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p>
    <w:p>
      <w:pPr>
        <w:adjustRightInd/>
        <w:spacing w:line="360" w:lineRule="auto"/>
        <w:jc w:val="both"/>
        <w:rPr>
          <w:rFonts w:ascii="宋体" w:hAnsi="宋体" w:cs="宋体"/>
          <w:b/>
          <w:color w:val="auto"/>
          <w:sz w:val="48"/>
          <w:szCs w:val="48"/>
        </w:rPr>
      </w:pPr>
    </w:p>
    <w:p>
      <w:pPr>
        <w:adjustRightInd/>
        <w:spacing w:line="600" w:lineRule="atLeast"/>
        <w:jc w:val="center"/>
        <w:rPr>
          <w:rFonts w:hint="eastAsia" w:ascii="宋体" w:hAnsi="宋体" w:eastAsia="宋体" w:cs="宋体"/>
          <w:b/>
          <w:bCs/>
          <w:color w:val="auto"/>
          <w:spacing w:val="6"/>
          <w:sz w:val="44"/>
          <w:szCs w:val="44"/>
          <w:highlight w:val="none"/>
          <w:lang w:eastAsia="zh-CN"/>
        </w:rPr>
      </w:pPr>
      <w:r>
        <w:rPr>
          <w:rFonts w:hint="eastAsia" w:ascii="宋体" w:hAnsi="宋体" w:cs="宋体"/>
          <w:b/>
          <w:bCs/>
          <w:color w:val="auto"/>
          <w:spacing w:val="6"/>
          <w:sz w:val="44"/>
          <w:szCs w:val="44"/>
          <w:highlight w:val="none"/>
          <w:lang w:eastAsia="zh-CN"/>
        </w:rPr>
        <w:t>五常街道城市管理综合养护二标段采购项目</w:t>
      </w:r>
    </w:p>
    <w:p>
      <w:pPr>
        <w:adjustRightInd/>
        <w:spacing w:line="360" w:lineRule="auto"/>
        <w:jc w:val="center"/>
        <w:rPr>
          <w:rFonts w:ascii="宋体" w:hAnsi="宋体" w:cs="宋体"/>
          <w:color w:val="auto"/>
          <w:sz w:val="48"/>
          <w:szCs w:val="48"/>
        </w:rPr>
      </w:pPr>
      <w:r>
        <w:rPr>
          <w:rFonts w:hint="eastAsia" w:ascii="宋体" w:hAnsi="宋体" w:cs="宋体"/>
          <w:color w:val="auto"/>
          <w:sz w:val="48"/>
          <w:szCs w:val="48"/>
        </w:rPr>
        <w:t xml:space="preserve">招标文件 </w:t>
      </w:r>
    </w:p>
    <w:p>
      <w:pPr>
        <w:adjustRightInd/>
        <w:spacing w:line="360" w:lineRule="auto"/>
        <w:jc w:val="center"/>
        <w:rPr>
          <w:rFonts w:ascii="宋体" w:hAnsi="宋体" w:cs="宋体"/>
          <w:b/>
          <w:color w:val="auto"/>
          <w:sz w:val="44"/>
          <w:szCs w:val="44"/>
        </w:rPr>
      </w:pPr>
      <w:r>
        <w:rPr>
          <w:rFonts w:hint="eastAsia" w:ascii="宋体" w:hAnsi="宋体" w:cs="宋体"/>
          <w:b/>
          <w:color w:val="auto"/>
          <w:sz w:val="44"/>
          <w:szCs w:val="44"/>
        </w:rPr>
        <w:t xml:space="preserve"> （电子招投标）</w:t>
      </w:r>
    </w:p>
    <w:p>
      <w:pPr>
        <w:jc w:val="center"/>
        <w:rPr>
          <w:rFonts w:hint="eastAsia" w:ascii="宋体" w:hAnsi="宋体" w:eastAsia="宋体" w:cs="宋体"/>
          <w:b/>
          <w:bCs/>
          <w:color w:val="auto"/>
          <w:sz w:val="32"/>
          <w:szCs w:val="32"/>
          <w:highlight w:val="none"/>
        </w:rPr>
      </w:pPr>
      <w:r>
        <w:rPr>
          <w:rFonts w:hint="eastAsia" w:ascii="宋体" w:hAnsi="宋体" w:cs="宋体"/>
          <w:color w:val="auto"/>
          <w:sz w:val="30"/>
          <w:szCs w:val="30"/>
        </w:rPr>
        <w:t>编号:</w:t>
      </w:r>
      <w:r>
        <w:rPr>
          <w:rFonts w:hint="eastAsia" w:ascii="宋体" w:hAnsi="宋体" w:cs="宋体"/>
          <w:color w:val="auto"/>
          <w:sz w:val="30"/>
          <w:szCs w:val="30"/>
          <w:lang w:eastAsia="zh-CN"/>
        </w:rPr>
        <w:t>（</w:t>
      </w:r>
      <w:r>
        <w:rPr>
          <w:rFonts w:hint="eastAsia" w:ascii="宋体" w:hAnsi="宋体" w:eastAsia="宋体" w:cs="宋体"/>
          <w:b/>
          <w:bCs/>
          <w:color w:val="auto"/>
          <w:sz w:val="32"/>
          <w:szCs w:val="32"/>
          <w:highlight w:val="none"/>
        </w:rPr>
        <w:t>ZJZFCG-YS</w:t>
      </w:r>
      <w:r>
        <w:rPr>
          <w:rFonts w:hint="eastAsia" w:ascii="宋体" w:hAnsi="宋体" w:cs="宋体"/>
          <w:b/>
          <w:bCs/>
          <w:color w:val="auto"/>
          <w:sz w:val="32"/>
          <w:szCs w:val="32"/>
          <w:highlight w:val="none"/>
          <w:lang w:eastAsia="zh-CN"/>
        </w:rPr>
        <w:t>2023</w:t>
      </w:r>
      <w:r>
        <w:rPr>
          <w:rFonts w:hint="eastAsia" w:ascii="宋体" w:hAnsi="宋体" w:eastAsia="宋体" w:cs="宋体"/>
          <w:b/>
          <w:bCs/>
          <w:color w:val="auto"/>
          <w:sz w:val="32"/>
          <w:szCs w:val="32"/>
          <w:highlight w:val="none"/>
        </w:rPr>
        <w:t>-</w:t>
      </w:r>
      <w:r>
        <w:rPr>
          <w:rFonts w:hint="eastAsia" w:ascii="宋体" w:hAnsi="宋体" w:cs="宋体"/>
          <w:b/>
          <w:bCs/>
          <w:color w:val="auto"/>
          <w:sz w:val="32"/>
          <w:szCs w:val="32"/>
          <w:highlight w:val="none"/>
          <w:lang w:val="en-US" w:eastAsia="zh-CN"/>
        </w:rPr>
        <w:t>002</w:t>
      </w:r>
      <w:r>
        <w:rPr>
          <w:rFonts w:hint="eastAsia" w:ascii="宋体" w:hAnsi="宋体" w:cs="宋体"/>
          <w:color w:val="auto"/>
          <w:sz w:val="30"/>
          <w:szCs w:val="30"/>
          <w:lang w:eastAsia="zh-CN"/>
        </w:rPr>
        <w:t>）</w:t>
      </w:r>
    </w:p>
    <w:p>
      <w:pPr>
        <w:snapToGrid w:val="0"/>
        <w:spacing w:line="360" w:lineRule="auto"/>
        <w:jc w:val="center"/>
        <w:rPr>
          <w:rFonts w:ascii="宋体" w:hAnsi="宋体" w:cs="宋体"/>
          <w:color w:val="auto"/>
          <w:sz w:val="30"/>
          <w:szCs w:val="30"/>
        </w:rPr>
      </w:pPr>
    </w:p>
    <w:p>
      <w:pPr>
        <w:adjustRightInd/>
        <w:spacing w:line="360" w:lineRule="auto"/>
        <w:rPr>
          <w:rFonts w:ascii="宋体" w:hAnsi="宋体" w:cs="宋体"/>
          <w:color w:val="auto"/>
          <w:sz w:val="28"/>
          <w:szCs w:val="20"/>
        </w:rPr>
      </w:pPr>
    </w:p>
    <w:p>
      <w:pPr>
        <w:spacing w:line="360" w:lineRule="auto"/>
        <w:jc w:val="center"/>
        <w:rPr>
          <w:rFonts w:ascii="宋体" w:hAnsi="宋体" w:cs="宋体"/>
          <w:b/>
          <w:color w:val="auto"/>
          <w:sz w:val="44"/>
          <w:szCs w:val="44"/>
        </w:rPr>
      </w:pPr>
      <w:r>
        <w:rPr>
          <w:rFonts w:hint="eastAsia" w:ascii="宋体" w:hAnsi="宋体" w:cs="宋体"/>
          <w:b/>
          <w:color w:val="auto"/>
          <w:sz w:val="44"/>
          <w:szCs w:val="44"/>
        </w:rPr>
        <w:t xml:space="preserve"> </w:t>
      </w:r>
    </w:p>
    <w:p>
      <w:pPr>
        <w:spacing w:line="360" w:lineRule="auto"/>
        <w:jc w:val="center"/>
        <w:rPr>
          <w:rFonts w:ascii="宋体" w:hAnsi="宋体" w:cs="宋体"/>
          <w:b/>
          <w:color w:val="auto"/>
          <w:sz w:val="44"/>
          <w:szCs w:val="44"/>
        </w:rPr>
      </w:pPr>
    </w:p>
    <w:p>
      <w:pPr>
        <w:spacing w:line="360" w:lineRule="auto"/>
        <w:jc w:val="center"/>
        <w:rPr>
          <w:rFonts w:ascii="宋体" w:hAnsi="宋体" w:cs="宋体"/>
          <w:color w:val="auto"/>
          <w:sz w:val="24"/>
        </w:rPr>
      </w:pPr>
    </w:p>
    <w:p>
      <w:pPr>
        <w:spacing w:line="360" w:lineRule="auto"/>
        <w:jc w:val="center"/>
        <w:rPr>
          <w:rFonts w:ascii="宋体" w:hAnsi="宋体" w:cs="宋体"/>
          <w:color w:val="auto"/>
          <w:sz w:val="24"/>
        </w:rPr>
      </w:pPr>
    </w:p>
    <w:p>
      <w:pPr>
        <w:pStyle w:val="2"/>
        <w:rPr>
          <w:rFonts w:ascii="宋体" w:hAnsi="宋体" w:cs="宋体"/>
          <w:color w:val="auto"/>
          <w:sz w:val="24"/>
        </w:rPr>
      </w:pPr>
    </w:p>
    <w:p>
      <w:pPr>
        <w:rPr>
          <w:color w:val="auto"/>
        </w:rPr>
      </w:pPr>
    </w:p>
    <w:p>
      <w:pPr>
        <w:spacing w:line="360" w:lineRule="auto"/>
        <w:rPr>
          <w:rFonts w:ascii="宋体" w:hAnsi="宋体" w:cs="宋体"/>
          <w:color w:val="auto"/>
          <w:sz w:val="32"/>
          <w:szCs w:val="32"/>
        </w:rPr>
      </w:pPr>
    </w:p>
    <w:p>
      <w:pPr>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采购人：杭州市余杭区人民政府五常街道办事处</w:t>
      </w:r>
    </w:p>
    <w:p>
      <w:pPr>
        <w:pStyle w:val="27"/>
        <w:rPr>
          <w:rFonts w:hint="eastAsia" w:ascii="宋体" w:hAnsi="宋体" w:eastAsia="宋体" w:cs="宋体"/>
          <w:color w:val="auto"/>
          <w:highlight w:val="none"/>
        </w:rPr>
      </w:pPr>
    </w:p>
    <w:p>
      <w:pPr>
        <w:jc w:val="center"/>
        <w:rPr>
          <w:rFonts w:hint="eastAsia" w:ascii="宋体" w:hAnsi="宋体" w:eastAsia="宋体" w:cs="宋体"/>
          <w:b/>
          <w:bCs/>
          <w:color w:val="auto"/>
          <w:sz w:val="28"/>
          <w:szCs w:val="28"/>
          <w:highlight w:val="none"/>
        </w:rPr>
      </w:pPr>
    </w:p>
    <w:p>
      <w:pPr>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rPr>
        <w:t>采购代理机构：</w:t>
      </w:r>
      <w:r>
        <w:rPr>
          <w:rFonts w:hint="eastAsia" w:ascii="宋体" w:hAnsi="宋体" w:cs="宋体"/>
          <w:b/>
          <w:bCs/>
          <w:color w:val="auto"/>
          <w:sz w:val="28"/>
          <w:szCs w:val="28"/>
          <w:highlight w:val="none"/>
          <w:lang w:eastAsia="zh-CN"/>
        </w:rPr>
        <w:t>杭州永圣工程咨询代理有限公司</w:t>
      </w:r>
    </w:p>
    <w:p>
      <w:pPr>
        <w:jc w:val="center"/>
        <w:rPr>
          <w:rFonts w:hint="eastAsia" w:ascii="宋体" w:hAnsi="宋体" w:eastAsia="宋体" w:cs="宋体"/>
          <w:b/>
          <w:bCs/>
          <w:color w:val="auto"/>
          <w:sz w:val="28"/>
          <w:szCs w:val="28"/>
          <w:highlight w:val="none"/>
        </w:rPr>
      </w:pPr>
    </w:p>
    <w:p>
      <w:pPr>
        <w:jc w:val="center"/>
        <w:rPr>
          <w:rFonts w:hint="eastAsia" w:ascii="宋体" w:hAnsi="宋体" w:eastAsia="宋体" w:cs="宋体"/>
          <w:b/>
          <w:bCs/>
          <w:color w:val="auto"/>
          <w:sz w:val="28"/>
          <w:szCs w:val="28"/>
          <w:highlight w:val="none"/>
        </w:rPr>
      </w:pPr>
    </w:p>
    <w:p>
      <w:pPr>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二〇二</w:t>
      </w:r>
      <w:r>
        <w:rPr>
          <w:rFonts w:hint="eastAsia" w:ascii="宋体" w:hAnsi="宋体" w:cs="宋体"/>
          <w:b/>
          <w:bCs/>
          <w:color w:val="auto"/>
          <w:sz w:val="28"/>
          <w:szCs w:val="28"/>
          <w:highlight w:val="none"/>
          <w:lang w:eastAsia="zh-CN"/>
        </w:rPr>
        <w:t>三</w:t>
      </w:r>
      <w:r>
        <w:rPr>
          <w:rFonts w:hint="eastAsia" w:ascii="宋体" w:hAnsi="宋体" w:eastAsia="宋体" w:cs="宋体"/>
          <w:b/>
          <w:bCs/>
          <w:color w:val="auto"/>
          <w:sz w:val="28"/>
          <w:szCs w:val="28"/>
          <w:highlight w:val="none"/>
        </w:rPr>
        <w:t>年</w:t>
      </w:r>
      <w:r>
        <w:rPr>
          <w:rFonts w:hint="eastAsia" w:ascii="宋体" w:hAnsi="宋体" w:cs="宋体"/>
          <w:b/>
          <w:bCs/>
          <w:color w:val="auto"/>
          <w:sz w:val="28"/>
          <w:szCs w:val="28"/>
          <w:highlight w:val="none"/>
          <w:lang w:val="en-US" w:eastAsia="zh-CN"/>
        </w:rPr>
        <w:t>三</w:t>
      </w:r>
      <w:r>
        <w:rPr>
          <w:rFonts w:hint="eastAsia" w:ascii="宋体" w:hAnsi="宋体" w:eastAsia="宋体" w:cs="宋体"/>
          <w:b/>
          <w:bCs/>
          <w:color w:val="auto"/>
          <w:sz w:val="28"/>
          <w:szCs w:val="28"/>
          <w:highlight w:val="none"/>
        </w:rPr>
        <w:t>月</w:t>
      </w:r>
    </w:p>
    <w:p>
      <w:pPr>
        <w:spacing w:line="360" w:lineRule="auto"/>
        <w:jc w:val="center"/>
        <w:rPr>
          <w:rFonts w:ascii="宋体" w:hAnsi="宋体" w:cs="宋体"/>
          <w:color w:val="auto"/>
          <w:sz w:val="24"/>
        </w:rPr>
      </w:pPr>
      <w:r>
        <w:rPr>
          <w:rFonts w:hint="eastAsia" w:ascii="宋体" w:hAnsi="宋体" w:cs="宋体"/>
          <w:color w:val="auto"/>
          <w:sz w:val="24"/>
        </w:rPr>
        <w:br w:type="page"/>
      </w:r>
      <w:bookmarkStart w:id="0" w:name="_Hlt67893495"/>
      <w:bookmarkEnd w:id="0"/>
    </w:p>
    <w:p>
      <w:pPr>
        <w:pStyle w:val="634"/>
        <w:rPr>
          <w:color w:val="auto"/>
        </w:rPr>
      </w:pPr>
    </w:p>
    <w:p>
      <w:pPr>
        <w:spacing w:line="360" w:lineRule="auto"/>
        <w:jc w:val="center"/>
        <w:rPr>
          <w:rFonts w:ascii="宋体" w:hAnsi="宋体" w:cs="宋体"/>
          <w:b/>
          <w:color w:val="auto"/>
          <w:sz w:val="48"/>
          <w:szCs w:val="48"/>
        </w:rPr>
      </w:pPr>
      <w:r>
        <w:rPr>
          <w:rFonts w:hint="eastAsia" w:ascii="宋体" w:hAnsi="宋体" w:cs="宋体"/>
          <w:b/>
          <w:color w:val="auto"/>
          <w:sz w:val="48"/>
          <w:szCs w:val="48"/>
        </w:rPr>
        <w:t>目  录</w:t>
      </w:r>
    </w:p>
    <w:p>
      <w:pPr>
        <w:spacing w:line="360" w:lineRule="auto"/>
        <w:rPr>
          <w:rFonts w:ascii="宋体" w:hAnsi="宋体" w:cs="宋体"/>
          <w:color w:val="auto"/>
          <w:sz w:val="32"/>
          <w:szCs w:val="32"/>
        </w:rPr>
      </w:pPr>
    </w:p>
    <w:p>
      <w:pPr>
        <w:spacing w:line="360" w:lineRule="auto"/>
        <w:rPr>
          <w:rFonts w:ascii="宋体" w:hAnsi="宋体" w:cs="宋体"/>
          <w:color w:val="auto"/>
          <w:sz w:val="32"/>
          <w:szCs w:val="32"/>
        </w:rPr>
      </w:pP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第一部分      招标公告</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第二部分      投标人须知</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第三部分      采购需求</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第四部分      评标办法</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第五部分      拟签订的合同文本</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第六部分      应提交的有关格式范例</w:t>
      </w:r>
    </w:p>
    <w:p>
      <w:pPr>
        <w:spacing w:line="360" w:lineRule="auto"/>
        <w:ind w:firstLine="549" w:firstLineChars="229"/>
        <w:rPr>
          <w:rFonts w:ascii="宋体" w:hAnsi="宋体" w:cs="宋体"/>
          <w:color w:val="auto"/>
          <w:sz w:val="24"/>
        </w:rPr>
      </w:pPr>
      <w:bookmarkStart w:id="1" w:name="_Hlt91233176"/>
      <w:bookmarkEnd w:id="1"/>
      <w:bookmarkStart w:id="2" w:name="_Toc91899869"/>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rPr>
          <w:rFonts w:ascii="宋体" w:hAnsi="宋体" w:cs="宋体"/>
          <w:color w:val="auto"/>
          <w:sz w:val="24"/>
        </w:rPr>
      </w:pPr>
    </w:p>
    <w:p>
      <w:pPr>
        <w:adjustRightInd/>
        <w:spacing w:line="360" w:lineRule="auto"/>
        <w:jc w:val="center"/>
        <w:outlineLvl w:val="0"/>
        <w:rPr>
          <w:rFonts w:ascii="宋体" w:hAnsi="宋体" w:cs="宋体"/>
          <w:b/>
          <w:color w:val="auto"/>
          <w:sz w:val="36"/>
          <w:szCs w:val="20"/>
        </w:rPr>
      </w:pPr>
      <w:bookmarkStart w:id="3" w:name="第一部分"/>
      <w:r>
        <w:rPr>
          <w:rFonts w:hint="eastAsia" w:ascii="宋体" w:hAnsi="宋体" w:cs="宋体"/>
          <w:b/>
          <w:color w:val="auto"/>
          <w:sz w:val="36"/>
          <w:szCs w:val="36"/>
        </w:rPr>
        <w:br w:type="page"/>
      </w:r>
      <w:bookmarkEnd w:id="2"/>
      <w:bookmarkEnd w:id="3"/>
      <w:bookmarkStart w:id="4" w:name="_Hlt74729822"/>
      <w:bookmarkEnd w:id="4"/>
      <w:bookmarkStart w:id="5" w:name="_Hlt74649545"/>
      <w:bookmarkEnd w:id="5"/>
      <w:bookmarkStart w:id="6" w:name="_Hlt74707423"/>
      <w:bookmarkEnd w:id="6"/>
      <w:bookmarkStart w:id="7" w:name="_Hlt74728647"/>
      <w:bookmarkEnd w:id="7"/>
      <w:bookmarkStart w:id="8" w:name="第二部分"/>
      <w:bookmarkStart w:id="9" w:name="_Toc91899870"/>
      <w:bookmarkStart w:id="10" w:name="_Toc91899871"/>
      <w:r>
        <w:rPr>
          <w:rFonts w:hint="eastAsia" w:ascii="宋体" w:hAnsi="宋体" w:cs="宋体"/>
          <w:b/>
          <w:color w:val="auto"/>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rPr>
      </w:pPr>
      <w:r>
        <w:rPr>
          <w:rFonts w:hint="eastAsia" w:ascii="宋体" w:hAnsi="宋体" w:cs="宋体"/>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u w:val="single"/>
        </w:rPr>
      </w:pPr>
      <w:r>
        <w:rPr>
          <w:rFonts w:hint="eastAsia" w:ascii="宋体" w:hAnsi="宋体" w:cs="宋体"/>
          <w:color w:val="auto"/>
          <w:sz w:val="24"/>
          <w:u w:val="single"/>
          <w:lang w:eastAsia="zh-CN"/>
        </w:rPr>
        <w:t>五常街道城市管理综合养护二标段采购项目</w:t>
      </w:r>
      <w:r>
        <w:rPr>
          <w:rFonts w:hint="eastAsia" w:ascii="宋体" w:hAnsi="宋体" w:cs="宋体"/>
          <w:color w:val="auto"/>
          <w:sz w:val="24"/>
        </w:rPr>
        <w:t>招标项目的潜在投标人应在政采云平台（</w:t>
      </w:r>
      <w:r>
        <w:rPr>
          <w:color w:val="auto"/>
        </w:rPr>
        <w:fldChar w:fldCharType="begin"/>
      </w:r>
      <w:r>
        <w:rPr>
          <w:color w:val="auto"/>
        </w:rPr>
        <w:instrText xml:space="preserve"> HYPERLINK "https://www.zcygov.cn/）获取（下载）招标文件，并于202%20年%20月%20日%20点%20分00秒" </w:instrText>
      </w:r>
      <w:r>
        <w:rPr>
          <w:color w:val="auto"/>
        </w:rPr>
        <w:fldChar w:fldCharType="separate"/>
      </w:r>
      <w:r>
        <w:rPr>
          <w:rStyle w:val="76"/>
          <w:rFonts w:hint="eastAsia" w:ascii="宋体" w:hAnsi="宋体" w:eastAsia="宋体" w:cs="宋体"/>
          <w:snapToGrid/>
          <w:color w:val="auto"/>
          <w:kern w:val="2"/>
          <w:sz w:val="24"/>
          <w:szCs w:val="24"/>
        </w:rPr>
        <w:t>https://www.zcygov.cn/）获取（下载）招标文件，并于202</w:t>
      </w:r>
      <w:r>
        <w:rPr>
          <w:rStyle w:val="76"/>
          <w:rFonts w:hint="eastAsia" w:ascii="宋体" w:hAnsi="宋体" w:cs="宋体"/>
          <w:snapToGrid/>
          <w:color w:val="auto"/>
          <w:kern w:val="2"/>
          <w:sz w:val="24"/>
          <w:szCs w:val="24"/>
          <w:lang w:val="en-US" w:eastAsia="zh-CN"/>
        </w:rPr>
        <w:t>3</w:t>
      </w:r>
      <w:r>
        <w:rPr>
          <w:rStyle w:val="76"/>
          <w:rFonts w:hint="eastAsia" w:ascii="宋体" w:hAnsi="宋体" w:eastAsia="宋体" w:cs="宋体"/>
          <w:snapToGrid/>
          <w:color w:val="auto"/>
          <w:kern w:val="2"/>
          <w:sz w:val="24"/>
          <w:szCs w:val="24"/>
        </w:rPr>
        <w:t xml:space="preserve"> 年 </w:t>
      </w:r>
      <w:r>
        <w:rPr>
          <w:rStyle w:val="76"/>
          <w:rFonts w:hint="eastAsia" w:ascii="宋体" w:hAnsi="宋体" w:cs="宋体"/>
          <w:snapToGrid/>
          <w:color w:val="auto"/>
          <w:kern w:val="2"/>
          <w:sz w:val="24"/>
          <w:szCs w:val="24"/>
          <w:lang w:val="en-US" w:eastAsia="zh-CN"/>
        </w:rPr>
        <w:t>3</w:t>
      </w:r>
      <w:r>
        <w:rPr>
          <w:rStyle w:val="76"/>
          <w:rFonts w:hint="eastAsia" w:ascii="宋体" w:hAnsi="宋体" w:eastAsia="宋体" w:cs="宋体"/>
          <w:snapToGrid/>
          <w:color w:val="auto"/>
          <w:kern w:val="2"/>
          <w:sz w:val="24"/>
          <w:szCs w:val="24"/>
        </w:rPr>
        <w:t xml:space="preserve">月 </w:t>
      </w:r>
      <w:r>
        <w:rPr>
          <w:rStyle w:val="76"/>
          <w:rFonts w:hint="eastAsia" w:ascii="宋体" w:hAnsi="宋体" w:cs="宋体"/>
          <w:snapToGrid/>
          <w:color w:val="auto"/>
          <w:kern w:val="2"/>
          <w:sz w:val="24"/>
          <w:szCs w:val="24"/>
          <w:lang w:val="en-US" w:eastAsia="zh-CN"/>
        </w:rPr>
        <w:t>30</w:t>
      </w:r>
      <w:r>
        <w:rPr>
          <w:rStyle w:val="76"/>
          <w:rFonts w:hint="eastAsia" w:ascii="宋体" w:hAnsi="宋体" w:eastAsia="宋体" w:cs="宋体"/>
          <w:snapToGrid/>
          <w:color w:val="auto"/>
          <w:kern w:val="2"/>
          <w:sz w:val="24"/>
          <w:szCs w:val="24"/>
        </w:rPr>
        <w:t xml:space="preserve">日 </w:t>
      </w:r>
      <w:r>
        <w:rPr>
          <w:rStyle w:val="76"/>
          <w:rFonts w:hint="eastAsia" w:ascii="宋体" w:hAnsi="宋体" w:cs="宋体"/>
          <w:snapToGrid/>
          <w:color w:val="auto"/>
          <w:kern w:val="2"/>
          <w:sz w:val="24"/>
          <w:szCs w:val="24"/>
          <w:lang w:val="en-US" w:eastAsia="zh-CN"/>
        </w:rPr>
        <w:t>14</w:t>
      </w:r>
      <w:r>
        <w:rPr>
          <w:rStyle w:val="76"/>
          <w:rFonts w:hint="eastAsia" w:ascii="宋体" w:hAnsi="宋体" w:eastAsia="宋体" w:cs="宋体"/>
          <w:snapToGrid/>
          <w:color w:val="auto"/>
          <w:kern w:val="2"/>
          <w:sz w:val="24"/>
          <w:szCs w:val="24"/>
        </w:rPr>
        <w:t>点</w:t>
      </w:r>
      <w:r>
        <w:rPr>
          <w:rStyle w:val="76"/>
          <w:rFonts w:hint="eastAsia" w:ascii="宋体" w:hAnsi="宋体" w:cs="宋体"/>
          <w:snapToGrid/>
          <w:color w:val="auto"/>
          <w:kern w:val="2"/>
          <w:sz w:val="24"/>
          <w:szCs w:val="24"/>
          <w:lang w:val="en-US" w:eastAsia="zh-CN"/>
        </w:rPr>
        <w:t>00</w:t>
      </w:r>
      <w:r>
        <w:rPr>
          <w:rStyle w:val="76"/>
          <w:rFonts w:hint="eastAsia" w:ascii="宋体" w:hAnsi="宋体" w:eastAsia="宋体" w:cs="宋体"/>
          <w:snapToGrid/>
          <w:color w:val="auto"/>
          <w:kern w:val="2"/>
          <w:sz w:val="24"/>
          <w:szCs w:val="24"/>
        </w:rPr>
        <w:t xml:space="preserve"> 分</w:t>
      </w:r>
      <w:r>
        <w:rPr>
          <w:rStyle w:val="76"/>
          <w:rFonts w:hint="eastAsia" w:ascii="宋体" w:hAnsi="宋体" w:eastAsia="宋体" w:cs="宋体"/>
          <w:bCs/>
          <w:snapToGrid/>
          <w:color w:val="auto"/>
          <w:kern w:val="2"/>
          <w:sz w:val="24"/>
          <w:szCs w:val="24"/>
        </w:rPr>
        <w:t>00秒</w:t>
      </w:r>
      <w:r>
        <w:rPr>
          <w:rStyle w:val="76"/>
          <w:rFonts w:hint="eastAsia" w:ascii="宋体" w:hAnsi="宋体" w:eastAsia="宋体" w:cs="宋体"/>
          <w:bCs/>
          <w:snapToGrid/>
          <w:color w:val="auto"/>
          <w:kern w:val="2"/>
          <w:sz w:val="24"/>
          <w:szCs w:val="24"/>
        </w:rPr>
        <w:fldChar w:fldCharType="end"/>
      </w:r>
      <w:r>
        <w:rPr>
          <w:rFonts w:hint="eastAsia" w:ascii="宋体" w:hAnsi="宋体" w:cs="宋体"/>
          <w:bCs/>
          <w:color w:val="auto"/>
          <w:sz w:val="24"/>
        </w:rPr>
        <w:t>（北京时间）前</w:t>
      </w:r>
      <w:r>
        <w:rPr>
          <w:rFonts w:hint="eastAsia" w:ascii="宋体" w:hAnsi="宋体" w:cs="宋体"/>
          <w:color w:val="auto"/>
          <w:sz w:val="24"/>
        </w:rPr>
        <w:t>递交（上传）投标文件。</w:t>
      </w:r>
    </w:p>
    <w:p>
      <w:pPr>
        <w:spacing w:line="360" w:lineRule="auto"/>
        <w:rPr>
          <w:rFonts w:ascii="宋体" w:hAnsi="宋体" w:cs="宋体"/>
          <w:b/>
          <w:color w:val="auto"/>
          <w:sz w:val="24"/>
        </w:rPr>
      </w:pPr>
      <w:r>
        <w:rPr>
          <w:rFonts w:hint="eastAsia" w:ascii="宋体" w:hAnsi="宋体" w:cs="宋体"/>
          <w:b/>
          <w:color w:val="auto"/>
          <w:sz w:val="24"/>
        </w:rPr>
        <w:t xml:space="preserve">一、项目基本情况                                            </w:t>
      </w:r>
    </w:p>
    <w:p>
      <w:pPr>
        <w:spacing w:line="360" w:lineRule="auto"/>
        <w:rPr>
          <w:rFonts w:hint="eastAsia" w:ascii="宋体" w:hAnsi="宋体" w:eastAsia="宋体" w:cs="宋体"/>
          <w:b/>
          <w:bCs w:val="0"/>
          <w:color w:val="auto"/>
          <w:sz w:val="24"/>
          <w:lang w:eastAsia="zh-CN"/>
        </w:rPr>
      </w:pPr>
      <w:r>
        <w:rPr>
          <w:rFonts w:hint="eastAsia" w:ascii="宋体" w:hAnsi="宋体" w:cs="宋体"/>
          <w:color w:val="auto"/>
          <w:sz w:val="24"/>
        </w:rPr>
        <w:t xml:space="preserve">    </w:t>
      </w:r>
      <w:r>
        <w:rPr>
          <w:rFonts w:hint="eastAsia" w:ascii="宋体" w:hAnsi="宋体" w:cs="宋体"/>
          <w:b/>
          <w:bCs w:val="0"/>
          <w:color w:val="auto"/>
          <w:sz w:val="24"/>
        </w:rPr>
        <w:t>项目编号：</w:t>
      </w:r>
      <w:r>
        <w:rPr>
          <w:rFonts w:hint="eastAsia" w:ascii="宋体" w:hAnsi="宋体" w:cs="宋体"/>
          <w:b/>
          <w:bCs w:val="0"/>
          <w:color w:val="auto"/>
          <w:sz w:val="24"/>
          <w:lang w:eastAsia="zh-CN"/>
        </w:rPr>
        <w:t>（ZJZFCG-YS2023-002）</w:t>
      </w:r>
    </w:p>
    <w:p>
      <w:pPr>
        <w:spacing w:line="360" w:lineRule="auto"/>
        <w:rPr>
          <w:rFonts w:hint="eastAsia" w:ascii="宋体" w:hAnsi="宋体" w:eastAsia="宋体" w:cs="宋体"/>
          <w:b/>
          <w:bCs w:val="0"/>
          <w:color w:val="auto"/>
          <w:sz w:val="24"/>
          <w:lang w:eastAsia="zh-CN"/>
        </w:rPr>
      </w:pPr>
      <w:r>
        <w:rPr>
          <w:rFonts w:hint="eastAsia" w:ascii="宋体" w:hAnsi="宋体" w:cs="宋体"/>
          <w:b/>
          <w:bCs w:val="0"/>
          <w:color w:val="auto"/>
          <w:sz w:val="24"/>
        </w:rPr>
        <w:t xml:space="preserve">    项目名称：</w:t>
      </w:r>
      <w:r>
        <w:rPr>
          <w:rFonts w:hint="eastAsia" w:ascii="宋体" w:hAnsi="宋体" w:cs="宋体"/>
          <w:b/>
          <w:bCs w:val="0"/>
          <w:color w:val="auto"/>
          <w:sz w:val="24"/>
          <w:lang w:eastAsia="zh-CN"/>
        </w:rPr>
        <w:t>五常街道城市管理综合养护二标段采购项目</w:t>
      </w:r>
    </w:p>
    <w:p>
      <w:pPr>
        <w:spacing w:line="360" w:lineRule="auto"/>
        <w:ind w:firstLine="480"/>
        <w:rPr>
          <w:rFonts w:hint="eastAsia" w:ascii="宋体" w:hAnsi="宋体" w:eastAsia="宋体" w:cs="宋体"/>
          <w:b/>
          <w:bCs w:val="0"/>
          <w:snapToGrid w:val="0"/>
          <w:color w:val="auto"/>
          <w:kern w:val="28"/>
          <w:sz w:val="24"/>
          <w:szCs w:val="20"/>
        </w:rPr>
      </w:pPr>
      <w:r>
        <w:rPr>
          <w:rFonts w:hint="eastAsia" w:ascii="宋体" w:hAnsi="宋体" w:eastAsia="宋体" w:cs="宋体"/>
          <w:b/>
          <w:bCs w:val="0"/>
          <w:snapToGrid w:val="0"/>
          <w:color w:val="auto"/>
          <w:kern w:val="28"/>
          <w:sz w:val="24"/>
          <w:szCs w:val="20"/>
        </w:rPr>
        <w:t xml:space="preserve">预算金额（元）： </w:t>
      </w:r>
      <w:r>
        <w:rPr>
          <w:rFonts w:hint="eastAsia" w:ascii="宋体" w:hAnsi="宋体" w:eastAsia="宋体" w:cs="宋体"/>
          <w:b/>
          <w:bCs w:val="0"/>
          <w:snapToGrid w:val="0"/>
          <w:color w:val="auto"/>
          <w:kern w:val="28"/>
          <w:sz w:val="24"/>
          <w:szCs w:val="20"/>
          <w:lang w:val="en-US" w:eastAsia="zh-CN"/>
        </w:rPr>
        <w:t xml:space="preserve"> 27380000 </w:t>
      </w:r>
      <w:r>
        <w:rPr>
          <w:rFonts w:hint="eastAsia" w:ascii="宋体" w:hAnsi="宋体" w:eastAsia="宋体" w:cs="宋体"/>
          <w:b/>
          <w:bCs w:val="0"/>
          <w:snapToGrid w:val="0"/>
          <w:color w:val="auto"/>
          <w:kern w:val="28"/>
          <w:sz w:val="24"/>
          <w:szCs w:val="20"/>
        </w:rPr>
        <w:t xml:space="preserve">元 </w:t>
      </w:r>
    </w:p>
    <w:p>
      <w:pPr>
        <w:spacing w:line="360" w:lineRule="auto"/>
        <w:ind w:firstLine="480"/>
        <w:rPr>
          <w:rFonts w:hint="eastAsia" w:ascii="宋体" w:hAnsi="宋体" w:eastAsia="宋体" w:cs="宋体"/>
          <w:b/>
          <w:bCs w:val="0"/>
          <w:snapToGrid w:val="0"/>
          <w:color w:val="auto"/>
          <w:kern w:val="28"/>
          <w:sz w:val="24"/>
          <w:szCs w:val="20"/>
        </w:rPr>
      </w:pPr>
      <w:r>
        <w:rPr>
          <w:rFonts w:hint="eastAsia" w:ascii="宋体" w:hAnsi="宋体" w:eastAsia="宋体" w:cs="宋体"/>
          <w:b/>
          <w:bCs w:val="0"/>
          <w:snapToGrid w:val="0"/>
          <w:color w:val="auto"/>
          <w:kern w:val="28"/>
          <w:sz w:val="24"/>
          <w:szCs w:val="20"/>
        </w:rPr>
        <w:t xml:space="preserve">最高限价（元）： </w:t>
      </w:r>
      <w:r>
        <w:rPr>
          <w:rFonts w:hint="eastAsia" w:ascii="宋体" w:hAnsi="宋体" w:eastAsia="宋体" w:cs="宋体"/>
          <w:b/>
          <w:bCs w:val="0"/>
          <w:snapToGrid w:val="0"/>
          <w:color w:val="auto"/>
          <w:kern w:val="28"/>
          <w:sz w:val="24"/>
          <w:szCs w:val="20"/>
          <w:lang w:val="en-US" w:eastAsia="zh-CN"/>
        </w:rPr>
        <w:t xml:space="preserve"> 27380000</w:t>
      </w:r>
      <w:r>
        <w:rPr>
          <w:rFonts w:hint="eastAsia" w:ascii="宋体" w:hAnsi="宋体" w:eastAsia="宋体" w:cs="宋体"/>
          <w:b/>
          <w:bCs w:val="0"/>
          <w:snapToGrid w:val="0"/>
          <w:color w:val="auto"/>
          <w:kern w:val="28"/>
          <w:sz w:val="24"/>
          <w:szCs w:val="20"/>
        </w:rPr>
        <w:t>元</w:t>
      </w:r>
    </w:p>
    <w:p>
      <w:pPr>
        <w:spacing w:line="360" w:lineRule="auto"/>
        <w:ind w:firstLine="480"/>
        <w:rPr>
          <w:rFonts w:hint="eastAsia" w:ascii="宋体" w:hAnsi="宋体" w:eastAsia="宋体" w:cs="宋体"/>
          <w:snapToGrid w:val="0"/>
          <w:color w:val="auto"/>
          <w:kern w:val="28"/>
          <w:sz w:val="24"/>
          <w:szCs w:val="20"/>
        </w:rPr>
      </w:pPr>
      <w:r>
        <w:rPr>
          <w:rFonts w:hint="eastAsia" w:ascii="宋体" w:hAnsi="宋体" w:eastAsia="宋体" w:cs="宋体"/>
          <w:b/>
          <w:bCs/>
          <w:snapToGrid w:val="0"/>
          <w:color w:val="auto"/>
          <w:kern w:val="28"/>
          <w:sz w:val="24"/>
          <w:szCs w:val="20"/>
        </w:rPr>
        <w:t>采购需求：</w:t>
      </w:r>
      <w:r>
        <w:rPr>
          <w:rFonts w:hint="eastAsia" w:ascii="宋体" w:hAnsi="宋体" w:eastAsia="宋体" w:cs="宋体"/>
          <w:snapToGrid w:val="0"/>
          <w:color w:val="auto"/>
          <w:kern w:val="28"/>
          <w:sz w:val="24"/>
          <w:szCs w:val="20"/>
          <w:lang w:eastAsia="zh-CN"/>
        </w:rPr>
        <w:t>五常街道城市管理综合养护二标段采购</w:t>
      </w:r>
      <w:bookmarkStart w:id="426" w:name="_GoBack"/>
      <w:bookmarkEnd w:id="426"/>
      <w:r>
        <w:rPr>
          <w:rFonts w:hint="eastAsia" w:ascii="宋体" w:hAnsi="宋体" w:eastAsia="宋体" w:cs="宋体"/>
          <w:snapToGrid w:val="0"/>
          <w:color w:val="auto"/>
          <w:kern w:val="28"/>
          <w:sz w:val="24"/>
          <w:szCs w:val="20"/>
          <w:lang w:eastAsia="zh-CN"/>
        </w:rPr>
        <w:t>项目</w:t>
      </w:r>
      <w:r>
        <w:rPr>
          <w:rFonts w:hint="eastAsia" w:ascii="宋体" w:hAnsi="宋体" w:eastAsia="宋体" w:cs="宋体"/>
          <w:snapToGrid w:val="0"/>
          <w:color w:val="auto"/>
          <w:kern w:val="28"/>
          <w:sz w:val="24"/>
          <w:szCs w:val="20"/>
        </w:rPr>
        <w:t>主要内容</w:t>
      </w:r>
      <w:r>
        <w:rPr>
          <w:rFonts w:hint="eastAsia" w:ascii="宋体" w:hAnsi="宋体" w:cs="宋体"/>
          <w:snapToGrid w:val="0"/>
          <w:color w:val="auto"/>
          <w:kern w:val="28"/>
          <w:sz w:val="24"/>
          <w:szCs w:val="20"/>
          <w:lang w:eastAsia="zh-CN"/>
        </w:rPr>
        <w:t>：</w:t>
      </w:r>
      <w:r>
        <w:rPr>
          <w:rFonts w:hint="eastAsia" w:ascii="宋体" w:hAnsi="宋体" w:eastAsia="宋体" w:cs="宋体"/>
          <w:snapToGrid w:val="0"/>
          <w:color w:val="auto"/>
          <w:kern w:val="28"/>
          <w:sz w:val="24"/>
          <w:szCs w:val="20"/>
        </w:rPr>
        <w:t>具体以招标文件第三部分采购需求为准，供应商可点击本公告下方“浏览采购文件”查看采购需求。</w:t>
      </w:r>
    </w:p>
    <w:p>
      <w:pPr>
        <w:spacing w:line="360" w:lineRule="auto"/>
        <w:ind w:firstLine="480"/>
        <w:rPr>
          <w:rFonts w:hint="eastAsia" w:ascii="宋体" w:hAnsi="宋体" w:eastAsia="宋体" w:cs="宋体"/>
          <w:snapToGrid w:val="0"/>
          <w:color w:val="auto"/>
          <w:kern w:val="28"/>
          <w:sz w:val="24"/>
          <w:szCs w:val="20"/>
        </w:rPr>
      </w:pPr>
      <w:r>
        <w:rPr>
          <w:rFonts w:hint="eastAsia" w:ascii="宋体" w:hAnsi="宋体" w:eastAsia="宋体" w:cs="宋体"/>
          <w:b/>
          <w:bCs/>
          <w:snapToGrid w:val="0"/>
          <w:color w:val="auto"/>
          <w:kern w:val="28"/>
          <w:sz w:val="24"/>
          <w:szCs w:val="20"/>
        </w:rPr>
        <w:t>合同履约期限：自合同签订之日起</w:t>
      </w:r>
      <w:r>
        <w:rPr>
          <w:rFonts w:hint="eastAsia" w:ascii="宋体" w:hAnsi="宋体" w:eastAsia="宋体" w:cs="宋体"/>
          <w:b/>
          <w:bCs/>
          <w:snapToGrid w:val="0"/>
          <w:color w:val="auto"/>
          <w:kern w:val="28"/>
          <w:sz w:val="24"/>
          <w:szCs w:val="20"/>
          <w:lang w:eastAsia="zh-CN"/>
        </w:rPr>
        <w:t>二</w:t>
      </w:r>
      <w:r>
        <w:rPr>
          <w:rFonts w:hint="eastAsia" w:ascii="宋体" w:hAnsi="宋体" w:eastAsia="宋体" w:cs="宋体"/>
          <w:b/>
          <w:bCs/>
          <w:snapToGrid w:val="0"/>
          <w:color w:val="auto"/>
          <w:kern w:val="28"/>
          <w:sz w:val="24"/>
          <w:szCs w:val="20"/>
        </w:rPr>
        <w:t>年（具体养护开始时间以甲方养护通知单为准）。具体单项养护工作以正式移交时间为准</w:t>
      </w:r>
      <w:r>
        <w:rPr>
          <w:rFonts w:hint="eastAsia" w:ascii="宋体" w:hAnsi="宋体" w:eastAsia="宋体" w:cs="宋体"/>
          <w:b/>
          <w:bCs/>
          <w:snapToGrid w:val="0"/>
          <w:color w:val="auto"/>
          <w:kern w:val="28"/>
          <w:sz w:val="24"/>
          <w:szCs w:val="20"/>
          <w:lang w:eastAsia="zh-CN"/>
        </w:rPr>
        <w:t>，一年一考核一续签。</w:t>
      </w:r>
      <w:r>
        <w:rPr>
          <w:rFonts w:hint="eastAsia" w:ascii="宋体" w:hAnsi="宋体" w:eastAsia="宋体" w:cs="宋体"/>
          <w:b/>
          <w:bCs/>
          <w:snapToGrid w:val="0"/>
          <w:color w:val="auto"/>
          <w:kern w:val="28"/>
          <w:sz w:val="24"/>
          <w:szCs w:val="20"/>
        </w:rPr>
        <w:t xml:space="preserve"> </w:t>
      </w:r>
    </w:p>
    <w:p>
      <w:pPr>
        <w:spacing w:line="360" w:lineRule="auto"/>
        <w:ind w:firstLine="480"/>
        <w:rPr>
          <w:rFonts w:hint="eastAsia" w:ascii="宋体" w:hAnsi="宋体" w:eastAsia="宋体" w:cs="宋体"/>
          <w:snapToGrid w:val="0"/>
          <w:color w:val="auto"/>
          <w:kern w:val="28"/>
          <w:sz w:val="24"/>
          <w:szCs w:val="20"/>
        </w:rPr>
      </w:pPr>
      <w:r>
        <w:rPr>
          <w:rFonts w:hint="eastAsia" w:ascii="宋体" w:hAnsi="宋体" w:eastAsia="宋体" w:cs="宋体"/>
          <w:snapToGrid w:val="0"/>
          <w:color w:val="auto"/>
          <w:kern w:val="28"/>
          <w:sz w:val="24"/>
          <w:szCs w:val="20"/>
        </w:rPr>
        <w:t xml:space="preserve">本项目接受联合体投标： </w:t>
      </w:r>
      <w:sdt>
        <w:sdtPr>
          <w:rPr>
            <w:rFonts w:hint="eastAsia" w:ascii="宋体" w:hAnsi="宋体" w:eastAsia="宋体" w:cs="宋体"/>
            <w:snapToGrid w:val="0"/>
            <w:color w:val="auto"/>
            <w:kern w:val="28"/>
            <w:sz w:val="24"/>
            <w:szCs w:val="20"/>
          </w:rPr>
          <w:id w:val="-441836950"/>
          <w14:checkbox>
            <w14:checked w14:val="1"/>
            <w14:checkedState w14:val="00FE" w14:font="Wingdings"/>
            <w14:uncheckedState w14:val="2610" w14:font="MS Gothic"/>
          </w14:checkbox>
        </w:sdtPr>
        <w:sdtEndPr>
          <w:rPr>
            <w:rFonts w:hint="eastAsia" w:ascii="宋体" w:hAnsi="宋体" w:eastAsia="宋体" w:cs="宋体"/>
            <w:snapToGrid w:val="0"/>
            <w:color w:val="auto"/>
            <w:kern w:val="28"/>
            <w:sz w:val="24"/>
            <w:szCs w:val="20"/>
          </w:rPr>
        </w:sdtEndPr>
        <w:sdtContent>
          <w:r>
            <w:rPr>
              <w:rFonts w:hint="eastAsia" w:ascii="宋体" w:hAnsi="宋体" w:eastAsia="宋体" w:cs="宋体"/>
              <w:snapToGrid w:val="0"/>
              <w:color w:val="auto"/>
              <w:kern w:val="28"/>
              <w:sz w:val="24"/>
              <w:szCs w:val="20"/>
            </w:rPr>
            <w:sym w:font="Wingdings" w:char="F0FE"/>
          </w:r>
        </w:sdtContent>
      </w:sdt>
      <w:r>
        <w:rPr>
          <w:rFonts w:hint="eastAsia" w:ascii="宋体" w:hAnsi="宋体" w:eastAsia="宋体" w:cs="宋体"/>
          <w:snapToGrid w:val="0"/>
          <w:color w:val="auto"/>
          <w:kern w:val="28"/>
          <w:sz w:val="24"/>
          <w:szCs w:val="20"/>
        </w:rPr>
        <w:t>是；</w:t>
      </w:r>
      <w:sdt>
        <w:sdtPr>
          <w:rPr>
            <w:rFonts w:hint="eastAsia" w:ascii="宋体" w:hAnsi="宋体" w:eastAsia="宋体" w:cs="宋体"/>
            <w:snapToGrid w:val="0"/>
            <w:color w:val="auto"/>
            <w:kern w:val="28"/>
            <w:sz w:val="24"/>
            <w:szCs w:val="20"/>
          </w:rPr>
          <w:id w:val="-1591624199"/>
          <w14:checkbox>
            <w14:checked w14:val="0"/>
            <w14:checkedState w14:val="00FE" w14:font="Wingdings"/>
            <w14:uncheckedState w14:val="2610" w14:font="MS Gothic"/>
          </w14:checkbox>
        </w:sdtPr>
        <w:sdtEndPr>
          <w:rPr>
            <w:rFonts w:hint="eastAsia" w:ascii="宋体" w:hAnsi="宋体" w:eastAsia="宋体" w:cs="宋体"/>
            <w:snapToGrid w:val="0"/>
            <w:color w:val="auto"/>
            <w:kern w:val="28"/>
            <w:sz w:val="24"/>
            <w:szCs w:val="20"/>
          </w:rPr>
        </w:sdtEndPr>
        <w:sdtContent>
          <w:r>
            <w:rPr>
              <w:rFonts w:hint="eastAsia" w:ascii="宋体" w:hAnsi="宋体" w:eastAsia="宋体" w:cs="宋体"/>
              <w:snapToGrid w:val="0"/>
              <w:color w:val="auto"/>
              <w:kern w:val="28"/>
              <w:sz w:val="24"/>
              <w:szCs w:val="20"/>
            </w:rPr>
            <w:t>☐</w:t>
          </w:r>
        </w:sdtContent>
      </w:sdt>
      <w:r>
        <w:rPr>
          <w:rFonts w:hint="eastAsia" w:ascii="宋体" w:hAnsi="宋体" w:eastAsia="宋体" w:cs="宋体"/>
          <w:snapToGrid w:val="0"/>
          <w:color w:val="auto"/>
          <w:kern w:val="28"/>
          <w:sz w:val="24"/>
          <w:szCs w:val="20"/>
        </w:rPr>
        <w:t>否。</w:t>
      </w:r>
    </w:p>
    <w:p>
      <w:pPr>
        <w:spacing w:line="360" w:lineRule="auto"/>
        <w:rPr>
          <w:rFonts w:ascii="宋体" w:hAnsi="宋体" w:cs="宋体"/>
          <w:b/>
          <w:color w:val="auto"/>
          <w:sz w:val="24"/>
        </w:rPr>
      </w:pPr>
      <w:r>
        <w:rPr>
          <w:rFonts w:hint="eastAsia" w:ascii="宋体" w:hAnsi="宋体" w:cs="宋体"/>
          <w:b/>
          <w:color w:val="auto"/>
          <w:sz w:val="24"/>
        </w:rPr>
        <w:t>二、申请人的资格要求：</w:t>
      </w:r>
    </w:p>
    <w:p>
      <w:pPr>
        <w:spacing w:line="360" w:lineRule="auto"/>
        <w:ind w:firstLine="480"/>
        <w:rPr>
          <w:rFonts w:ascii="宋体" w:hAnsi="宋体" w:cs="宋体"/>
          <w:snapToGrid w:val="0"/>
          <w:color w:val="auto"/>
          <w:kern w:val="28"/>
          <w:sz w:val="24"/>
          <w:szCs w:val="20"/>
        </w:rPr>
      </w:pPr>
      <w:r>
        <w:rPr>
          <w:rFonts w:hint="eastAsia" w:ascii="宋体" w:hAnsi="宋体" w:cs="宋体"/>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rPr>
      </w:pPr>
      <w:r>
        <w:rPr>
          <w:rFonts w:hint="eastAsia" w:ascii="宋体" w:hAnsi="宋体" w:cs="宋体"/>
          <w:snapToGrid w:val="0"/>
          <w:color w:val="auto"/>
          <w:kern w:val="28"/>
          <w:sz w:val="24"/>
          <w:szCs w:val="20"/>
        </w:rPr>
        <w:t xml:space="preserve">    </w:t>
      </w:r>
      <w:r>
        <w:rPr>
          <w:rFonts w:ascii="宋体" w:hAnsi="宋体" w:cs="宋体"/>
          <w:snapToGrid w:val="0"/>
          <w:color w:val="auto"/>
          <w:kern w:val="28"/>
          <w:sz w:val="24"/>
          <w:szCs w:val="20"/>
        </w:rPr>
        <w:t>2</w:t>
      </w:r>
      <w:r>
        <w:rPr>
          <w:rFonts w:hint="eastAsia" w:ascii="宋体" w:hAnsi="宋体" w:cs="宋体"/>
          <w:snapToGrid w:val="0"/>
          <w:color w:val="auto"/>
          <w:kern w:val="28"/>
          <w:sz w:val="24"/>
          <w:szCs w:val="20"/>
        </w:rPr>
        <w:t>.</w:t>
      </w:r>
      <w:r>
        <w:rPr>
          <w:rFonts w:hint="eastAsia"/>
          <w:color w:val="auto"/>
        </w:rPr>
        <w:t xml:space="preserve"> </w:t>
      </w:r>
      <w:r>
        <w:rPr>
          <w:rFonts w:hint="eastAsia" w:ascii="宋体" w:hAnsi="宋体" w:cs="宋体"/>
          <w:snapToGrid w:val="0"/>
          <w:color w:val="auto"/>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rPr>
      </w:pPr>
      <w:r>
        <w:rPr>
          <w:rFonts w:ascii="宋体" w:hAnsi="宋体" w:cs="宋体"/>
          <w:snapToGrid w:val="0"/>
          <w:color w:val="auto"/>
          <w:kern w:val="28"/>
          <w:sz w:val="24"/>
          <w:szCs w:val="20"/>
        </w:rPr>
        <w:t>3</w:t>
      </w:r>
      <w:r>
        <w:rPr>
          <w:rFonts w:hint="eastAsia" w:ascii="宋体" w:hAnsi="宋体" w:cs="宋体"/>
          <w:snapToGrid w:val="0"/>
          <w:color w:val="auto"/>
          <w:kern w:val="28"/>
          <w:sz w:val="24"/>
          <w:szCs w:val="20"/>
        </w:rPr>
        <w:t>.落实政府采购政策需满足的资格要求：</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28616923"/>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sz w:val="24"/>
        </w:rPr>
        <w:t>无</w:t>
      </w:r>
      <w:r>
        <w:rPr>
          <w:rFonts w:hint="eastAsia" w:ascii="宋体" w:hAnsi="宋体" w:cs="宋体"/>
          <w:snapToGrid w:val="0"/>
          <w:color w:val="auto"/>
          <w:kern w:val="28"/>
          <w:sz w:val="24"/>
          <w:szCs w:val="20"/>
        </w:rPr>
        <w:t>（注：不得限制大中型企业与小微企业组成联合体参与投标）；</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024704304"/>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专</w:t>
      </w:r>
      <w:r>
        <w:rPr>
          <w:rFonts w:hint="eastAsia" w:ascii="宋体" w:hAnsi="宋体" w:cs="宋体"/>
          <w:color w:val="auto"/>
          <w:sz w:val="24"/>
        </w:rPr>
        <w:t>门面向中小企业</w:t>
      </w:r>
    </w:p>
    <w:p>
      <w:pPr>
        <w:spacing w:line="360" w:lineRule="auto"/>
        <w:ind w:firstLine="897" w:firstLineChars="374"/>
        <w:rPr>
          <w:rFonts w:ascii="宋体" w:hAnsi="宋体" w:cs="宋体"/>
          <w:color w:val="auto"/>
          <w:sz w:val="24"/>
        </w:rPr>
      </w:pPr>
      <w:sdt>
        <w:sdtPr>
          <w:rPr>
            <w:rFonts w:hint="eastAsia" w:ascii="宋体" w:hAnsi="宋体" w:cs="宋体"/>
            <w:color w:val="auto"/>
            <w:kern w:val="0"/>
            <w:sz w:val="24"/>
          </w:rPr>
          <w:id w:val="-333685401"/>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sz w:val="24"/>
        </w:rPr>
        <w:t>服务全部由符合政策要求的中小企业承接，提供中小企业声明函；</w:t>
      </w:r>
    </w:p>
    <w:p>
      <w:pPr>
        <w:spacing w:line="360" w:lineRule="auto"/>
        <w:ind w:firstLine="897" w:firstLineChars="374"/>
        <w:rPr>
          <w:rFonts w:ascii="宋体" w:hAnsi="宋体" w:cs="宋体"/>
          <w:color w:val="auto"/>
          <w:sz w:val="24"/>
        </w:rPr>
      </w:pPr>
      <w:sdt>
        <w:sdtPr>
          <w:rPr>
            <w:rFonts w:hint="eastAsia" w:ascii="宋体" w:hAnsi="宋体" w:cs="宋体"/>
            <w:color w:val="auto"/>
            <w:kern w:val="0"/>
            <w:sz w:val="24"/>
          </w:rPr>
          <w:id w:val="-2141025358"/>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服务全部由符合政策要求的小微企业承接，提供中小企业声明函；</w:t>
      </w:r>
    </w:p>
    <w:p>
      <w:pPr>
        <w:rPr>
          <w:rFonts w:ascii="宋体" w:hAnsi="宋体" w:cs="宋体"/>
          <w:color w:val="auto"/>
        </w:rPr>
      </w:pP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8560779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要求以联合体形式参加，提供联合协议和中小企业声明函，联合协议中中小企业合同金额应当达到</w:t>
      </w:r>
      <w:r>
        <w:rPr>
          <w:rFonts w:hint="eastAsia" w:ascii="宋体" w:hAnsi="宋体" w:cs="宋体"/>
          <w:color w:val="auto"/>
          <w:sz w:val="24"/>
          <w:u w:val="single"/>
        </w:rPr>
        <w:t xml:space="preserve">  </w:t>
      </w:r>
      <w:r>
        <w:rPr>
          <w:rFonts w:hint="eastAsia" w:ascii="宋体" w:hAnsi="宋体" w:cs="宋体"/>
          <w:color w:val="auto"/>
          <w:sz w:val="24"/>
        </w:rPr>
        <w:t>%，其中小微企业合同金额应当达到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3463064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要求合同分包，提供分包意向协议和中小企业声明函，分包意向协议中中小企业合同金额应当达到达到</w:t>
      </w:r>
      <w:r>
        <w:rPr>
          <w:rFonts w:hint="eastAsia" w:ascii="宋体" w:hAnsi="宋体" w:cs="宋体"/>
          <w:color w:val="auto"/>
          <w:sz w:val="24"/>
          <w:u w:val="single"/>
        </w:rPr>
        <w:t xml:space="preserve">  </w:t>
      </w:r>
      <w:r>
        <w:rPr>
          <w:rFonts w:hint="eastAsia" w:ascii="宋体" w:hAnsi="宋体" w:cs="宋体"/>
          <w:color w:val="auto"/>
          <w:sz w:val="24"/>
        </w:rPr>
        <w:t>% ，其中小微企业合同金额应当达到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 ;</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color w:val="auto"/>
          <w:sz w:val="24"/>
        </w:rPr>
        <w:t>无；</w:t>
      </w:r>
    </w:p>
    <w:p>
      <w:pPr>
        <w:snapToGrid w:val="0"/>
        <w:spacing w:line="360" w:lineRule="auto"/>
        <w:ind w:firstLine="480" w:firstLineChars="200"/>
        <w:rPr>
          <w:rFonts w:ascii="宋体" w:hAnsi="宋体" w:cs="宋体"/>
          <w:color w:val="auto"/>
          <w:sz w:val="24"/>
        </w:rPr>
      </w:pPr>
      <w:r>
        <w:rPr>
          <w:rFonts w:ascii="宋体" w:hAnsi="宋体" w:cs="宋体"/>
          <w:color w:val="auto"/>
          <w:sz w:val="24"/>
        </w:rPr>
        <w:t>5</w:t>
      </w:r>
      <w:r>
        <w:rPr>
          <w:rFonts w:hint="eastAsia" w:ascii="宋体" w:hAnsi="宋体" w:cs="宋体"/>
          <w:color w:val="auto"/>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rPr>
      </w:pPr>
      <w:r>
        <w:rPr>
          <w:rFonts w:hint="eastAsia" w:ascii="宋体" w:hAnsi="宋体" w:cs="宋体"/>
          <w:b/>
          <w:color w:val="auto"/>
          <w:sz w:val="24"/>
        </w:rPr>
        <w:t xml:space="preserve">三、获取招标文件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时间：</w:t>
      </w:r>
      <w:r>
        <w:rPr>
          <w:rFonts w:hint="eastAsia" w:ascii="宋体" w:hAnsi="宋体" w:cs="宋体"/>
          <w:color w:val="auto"/>
          <w:sz w:val="24"/>
        </w:rPr>
        <w:t>/至</w:t>
      </w:r>
      <w:r>
        <w:rPr>
          <w:rFonts w:hint="eastAsia" w:ascii="宋体" w:hAnsi="宋体" w:cs="宋体"/>
          <w:color w:val="auto"/>
          <w:sz w:val="24"/>
          <w:u w:val="single"/>
        </w:rPr>
        <w:t>202</w:t>
      </w:r>
      <w:r>
        <w:rPr>
          <w:rFonts w:hint="eastAsia" w:ascii="宋体" w:hAnsi="宋体" w:cs="宋体"/>
          <w:color w:val="auto"/>
          <w:sz w:val="24"/>
          <w:u w:val="single"/>
          <w:lang w:val="en-US" w:eastAsia="zh-CN"/>
        </w:rPr>
        <w:t>3</w:t>
      </w:r>
      <w:r>
        <w:rPr>
          <w:rFonts w:hint="eastAsia" w:ascii="宋体" w:hAnsi="宋体" w:cs="宋体"/>
          <w:color w:val="auto"/>
          <w:sz w:val="24"/>
          <w:u w:val="single"/>
        </w:rPr>
        <w:t xml:space="preserve"> 年</w:t>
      </w:r>
      <w:r>
        <w:rPr>
          <w:rFonts w:hint="eastAsia" w:ascii="宋体" w:hAnsi="宋体" w:cs="宋体"/>
          <w:color w:val="auto"/>
          <w:sz w:val="24"/>
          <w:u w:val="single"/>
          <w:lang w:val="en-US" w:eastAsia="zh-CN"/>
        </w:rPr>
        <w:t>3</w:t>
      </w:r>
      <w:r>
        <w:rPr>
          <w:rFonts w:hint="eastAsia" w:ascii="宋体" w:hAnsi="宋体" w:cs="宋体"/>
          <w:color w:val="auto"/>
          <w:sz w:val="24"/>
          <w:u w:val="single"/>
        </w:rPr>
        <w:t xml:space="preserve"> 月</w:t>
      </w:r>
      <w:r>
        <w:rPr>
          <w:rFonts w:hint="eastAsia" w:ascii="宋体" w:hAnsi="宋体" w:cs="宋体"/>
          <w:color w:val="auto"/>
          <w:sz w:val="24"/>
          <w:u w:val="single"/>
          <w:lang w:val="en-US" w:eastAsia="zh-CN"/>
        </w:rPr>
        <w:t>30</w:t>
      </w:r>
      <w:r>
        <w:rPr>
          <w:rFonts w:hint="eastAsia" w:ascii="宋体" w:hAnsi="宋体" w:cs="宋体"/>
          <w:color w:val="auto"/>
          <w:sz w:val="24"/>
          <w:u w:val="single"/>
        </w:rPr>
        <w:t xml:space="preserve"> 日</w:t>
      </w:r>
      <w:r>
        <w:rPr>
          <w:rFonts w:hint="eastAsia" w:ascii="宋体" w:hAnsi="宋体" w:cs="宋体"/>
          <w:color w:val="auto"/>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rPr>
      </w:pPr>
      <w:r>
        <w:rPr>
          <w:rFonts w:hint="eastAsia" w:ascii="宋体" w:hAnsi="宋体" w:cs="宋体"/>
          <w:b/>
          <w:color w:val="auto"/>
          <w:sz w:val="24"/>
        </w:rPr>
        <w:t>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color w:val="auto"/>
          <w:sz w:val="24"/>
        </w:rPr>
      </w:pPr>
      <w:r>
        <w:rPr>
          <w:rFonts w:hint="eastAsia" w:ascii="宋体" w:hAnsi="宋体" w:cs="宋体"/>
          <w:b/>
          <w:color w:val="auto"/>
          <w:sz w:val="24"/>
        </w:rPr>
        <w:t>方式：</w:t>
      </w:r>
      <w:r>
        <w:rPr>
          <w:rFonts w:hint="eastAsia" w:ascii="宋体" w:hAnsi="宋体" w:cs="宋体"/>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售价（元）：</w:t>
      </w:r>
      <w:r>
        <w:rPr>
          <w:rFonts w:hint="eastAsia" w:ascii="宋体" w:hAnsi="宋体" w:cs="宋体"/>
          <w:color w:val="auto"/>
          <w:sz w:val="24"/>
        </w:rPr>
        <w:t xml:space="preserve">0 </w:t>
      </w:r>
      <w:r>
        <w:rPr>
          <w:rFonts w:hint="eastAsia" w:ascii="宋体" w:hAnsi="宋体" w:cs="宋体"/>
          <w:color w:val="auto"/>
          <w:sz w:val="24"/>
        </w:rPr>
        <w:tab/>
      </w:r>
    </w:p>
    <w:p>
      <w:pPr>
        <w:spacing w:line="360" w:lineRule="auto"/>
        <w:rPr>
          <w:rFonts w:ascii="宋体" w:hAnsi="宋体" w:cs="宋体"/>
          <w:b/>
          <w:color w:val="auto"/>
          <w:sz w:val="24"/>
        </w:rPr>
      </w:pPr>
      <w:r>
        <w:rPr>
          <w:rFonts w:hint="eastAsia" w:ascii="宋体" w:hAnsi="宋体" w:cs="宋体"/>
          <w:b/>
          <w:color w:val="auto"/>
          <w:sz w:val="24"/>
        </w:rPr>
        <w:t>四、提交投标文件截止时间、开标时间和地点</w:t>
      </w:r>
    </w:p>
    <w:p>
      <w:pPr>
        <w:spacing w:line="360" w:lineRule="auto"/>
        <w:ind w:firstLine="482" w:firstLineChars="200"/>
        <w:rPr>
          <w:rFonts w:ascii="宋体" w:hAnsi="宋体" w:cs="宋体"/>
          <w:color w:val="auto"/>
          <w:sz w:val="24"/>
        </w:rPr>
      </w:pPr>
      <w:r>
        <w:rPr>
          <w:rFonts w:hint="eastAsia" w:ascii="宋体" w:hAnsi="宋体" w:cs="宋体"/>
          <w:b/>
          <w:color w:val="auto"/>
          <w:sz w:val="24"/>
        </w:rPr>
        <w:t>提交投标文件截止时间：</w:t>
      </w:r>
      <w:r>
        <w:rPr>
          <w:rFonts w:hint="eastAsia" w:ascii="宋体" w:hAnsi="宋体" w:cs="宋体"/>
          <w:color w:val="auto"/>
          <w:sz w:val="24"/>
          <w:u w:val="single"/>
        </w:rPr>
        <w:t xml:space="preserve"> 202</w:t>
      </w:r>
      <w:r>
        <w:rPr>
          <w:rFonts w:hint="eastAsia" w:ascii="宋体" w:hAnsi="宋体" w:cs="宋体"/>
          <w:color w:val="auto"/>
          <w:sz w:val="24"/>
          <w:u w:val="single"/>
          <w:lang w:val="en-US" w:eastAsia="zh-CN"/>
        </w:rPr>
        <w:t>3</w:t>
      </w:r>
      <w:r>
        <w:rPr>
          <w:rFonts w:hint="eastAsia" w:ascii="宋体" w:hAnsi="宋体" w:cs="宋体"/>
          <w:color w:val="auto"/>
          <w:sz w:val="24"/>
          <w:u w:val="single"/>
        </w:rPr>
        <w:t xml:space="preserve"> 年</w:t>
      </w:r>
      <w:r>
        <w:rPr>
          <w:rFonts w:hint="eastAsia" w:ascii="宋体" w:hAnsi="宋体" w:cs="宋体"/>
          <w:color w:val="auto"/>
          <w:sz w:val="24"/>
          <w:u w:val="single"/>
          <w:lang w:val="en-US" w:eastAsia="zh-CN"/>
        </w:rPr>
        <w:t>3</w:t>
      </w:r>
      <w:r>
        <w:rPr>
          <w:rFonts w:hint="eastAsia" w:ascii="宋体" w:hAnsi="宋体" w:cs="宋体"/>
          <w:color w:val="auto"/>
          <w:sz w:val="24"/>
          <w:u w:val="single"/>
        </w:rPr>
        <w:t xml:space="preserve"> 月 </w:t>
      </w:r>
      <w:r>
        <w:rPr>
          <w:rFonts w:hint="eastAsia" w:ascii="宋体" w:hAnsi="宋体" w:cs="宋体"/>
          <w:color w:val="auto"/>
          <w:sz w:val="24"/>
          <w:u w:val="single"/>
          <w:lang w:val="en-US" w:eastAsia="zh-CN"/>
        </w:rPr>
        <w:t>30</w:t>
      </w:r>
      <w:r>
        <w:rPr>
          <w:rFonts w:hint="eastAsia" w:ascii="宋体" w:hAnsi="宋体" w:cs="宋体"/>
          <w:color w:val="auto"/>
          <w:sz w:val="24"/>
          <w:u w:val="single"/>
        </w:rPr>
        <w:t>日</w:t>
      </w:r>
      <w:r>
        <w:rPr>
          <w:rFonts w:hint="eastAsia" w:ascii="宋体" w:hAnsi="宋体" w:cs="宋体"/>
          <w:color w:val="auto"/>
          <w:sz w:val="24"/>
          <w:u w:val="single"/>
          <w:lang w:val="en-US" w:eastAsia="zh-CN"/>
        </w:rPr>
        <w:t>14</w:t>
      </w:r>
      <w:r>
        <w:rPr>
          <w:rFonts w:hint="eastAsia" w:ascii="宋体" w:hAnsi="宋体" w:cs="宋体"/>
          <w:color w:val="auto"/>
          <w:sz w:val="24"/>
          <w:u w:val="single"/>
        </w:rPr>
        <w:t xml:space="preserve"> 点 </w:t>
      </w:r>
      <w:r>
        <w:rPr>
          <w:rFonts w:hint="eastAsia" w:ascii="宋体" w:hAnsi="宋体" w:cs="宋体"/>
          <w:color w:val="auto"/>
          <w:sz w:val="24"/>
          <w:u w:val="single"/>
          <w:lang w:val="en-US" w:eastAsia="zh-CN"/>
        </w:rPr>
        <w:t>00</w:t>
      </w:r>
      <w:r>
        <w:rPr>
          <w:rFonts w:hint="eastAsia" w:ascii="宋体" w:hAnsi="宋体" w:cs="宋体"/>
          <w:color w:val="auto"/>
          <w:sz w:val="24"/>
          <w:u w:val="single"/>
        </w:rPr>
        <w:t>分00秒</w:t>
      </w:r>
      <w:r>
        <w:rPr>
          <w:rFonts w:hint="eastAsia" w:ascii="宋体" w:hAnsi="宋体" w:cs="宋体"/>
          <w:bCs/>
          <w:color w:val="auto"/>
          <w:sz w:val="24"/>
          <w:u w:val="single"/>
        </w:rPr>
        <w:t xml:space="preserve"> </w:t>
      </w:r>
      <w:r>
        <w:rPr>
          <w:rFonts w:hint="eastAsia" w:ascii="宋体" w:hAnsi="宋体" w:cs="宋体"/>
          <w:color w:val="auto"/>
          <w:sz w:val="24"/>
        </w:rPr>
        <w:t>（北京时间）</w:t>
      </w:r>
    </w:p>
    <w:p>
      <w:pPr>
        <w:spacing w:line="360" w:lineRule="auto"/>
        <w:ind w:firstLine="482" w:firstLineChars="200"/>
        <w:rPr>
          <w:rFonts w:ascii="宋体" w:hAnsi="宋体" w:cs="宋体"/>
          <w:b/>
          <w:color w:val="auto"/>
          <w:sz w:val="24"/>
        </w:rPr>
      </w:pPr>
      <w:r>
        <w:rPr>
          <w:rFonts w:hint="eastAsia" w:ascii="宋体" w:hAnsi="宋体" w:cs="宋体"/>
          <w:b/>
          <w:color w:val="auto"/>
          <w:sz w:val="24"/>
        </w:rPr>
        <w:t>投标地点（网址）：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bCs/>
          <w:color w:val="auto"/>
          <w:sz w:val="24"/>
          <w:u w:val="single"/>
        </w:rPr>
      </w:pPr>
      <w:r>
        <w:rPr>
          <w:rFonts w:hint="eastAsia" w:ascii="宋体" w:hAnsi="宋体" w:cs="宋体"/>
          <w:b/>
          <w:color w:val="auto"/>
          <w:sz w:val="24"/>
        </w:rPr>
        <w:t>开标时间：</w:t>
      </w:r>
      <w:r>
        <w:rPr>
          <w:rFonts w:hint="eastAsia" w:ascii="宋体" w:hAnsi="宋体" w:cs="宋体"/>
          <w:color w:val="auto"/>
          <w:sz w:val="24"/>
          <w:u w:val="single"/>
        </w:rPr>
        <w:t>202</w:t>
      </w:r>
      <w:r>
        <w:rPr>
          <w:rFonts w:hint="eastAsia" w:ascii="宋体" w:hAnsi="宋体" w:cs="宋体"/>
          <w:color w:val="auto"/>
          <w:sz w:val="24"/>
          <w:u w:val="single"/>
          <w:lang w:val="en-US" w:eastAsia="zh-CN"/>
        </w:rPr>
        <w:t>3</w:t>
      </w:r>
      <w:r>
        <w:rPr>
          <w:rFonts w:hint="eastAsia" w:ascii="宋体" w:hAnsi="宋体" w:cs="宋体"/>
          <w:color w:val="auto"/>
          <w:sz w:val="24"/>
          <w:u w:val="single"/>
        </w:rPr>
        <w:t xml:space="preserve"> 年 </w:t>
      </w:r>
      <w:r>
        <w:rPr>
          <w:rFonts w:hint="eastAsia" w:ascii="宋体" w:hAnsi="宋体" w:cs="宋体"/>
          <w:color w:val="auto"/>
          <w:sz w:val="24"/>
          <w:u w:val="single"/>
          <w:lang w:val="en-US" w:eastAsia="zh-CN"/>
        </w:rPr>
        <w:t>3</w:t>
      </w:r>
      <w:r>
        <w:rPr>
          <w:rFonts w:hint="eastAsia" w:ascii="宋体" w:hAnsi="宋体" w:cs="宋体"/>
          <w:color w:val="auto"/>
          <w:sz w:val="24"/>
          <w:u w:val="single"/>
        </w:rPr>
        <w:t xml:space="preserve">月 </w:t>
      </w:r>
      <w:r>
        <w:rPr>
          <w:rFonts w:hint="eastAsia" w:ascii="宋体" w:hAnsi="宋体" w:cs="宋体"/>
          <w:color w:val="auto"/>
          <w:sz w:val="24"/>
          <w:u w:val="single"/>
          <w:lang w:val="en-US" w:eastAsia="zh-CN"/>
        </w:rPr>
        <w:t>30</w:t>
      </w:r>
      <w:r>
        <w:rPr>
          <w:rFonts w:hint="eastAsia" w:ascii="宋体" w:hAnsi="宋体" w:cs="宋体"/>
          <w:color w:val="auto"/>
          <w:sz w:val="24"/>
          <w:u w:val="single"/>
        </w:rPr>
        <w:t>日</w:t>
      </w:r>
      <w:r>
        <w:rPr>
          <w:rFonts w:hint="eastAsia" w:ascii="宋体" w:hAnsi="宋体" w:cs="宋体"/>
          <w:color w:val="auto"/>
          <w:sz w:val="24"/>
          <w:u w:val="single"/>
          <w:lang w:val="en-US" w:eastAsia="zh-CN"/>
        </w:rPr>
        <w:t>14</w:t>
      </w:r>
      <w:r>
        <w:rPr>
          <w:rFonts w:hint="eastAsia" w:ascii="宋体" w:hAnsi="宋体" w:cs="宋体"/>
          <w:color w:val="auto"/>
          <w:sz w:val="24"/>
          <w:u w:val="single"/>
        </w:rPr>
        <w:t xml:space="preserve"> 点 </w:t>
      </w:r>
      <w:r>
        <w:rPr>
          <w:rFonts w:hint="eastAsia" w:ascii="宋体" w:hAnsi="宋体" w:cs="宋体"/>
          <w:color w:val="auto"/>
          <w:sz w:val="24"/>
          <w:u w:val="single"/>
          <w:lang w:val="en-US" w:eastAsia="zh-CN"/>
        </w:rPr>
        <w:t>00</w:t>
      </w:r>
      <w:r>
        <w:rPr>
          <w:rFonts w:hint="eastAsia" w:ascii="宋体" w:hAnsi="宋体" w:cs="宋体"/>
          <w:color w:val="auto"/>
          <w:sz w:val="24"/>
          <w:u w:val="single"/>
        </w:rPr>
        <w:t>分00秒</w:t>
      </w:r>
      <w:r>
        <w:rPr>
          <w:rFonts w:hint="eastAsia" w:ascii="宋体" w:hAnsi="宋体" w:cs="宋体"/>
          <w:bCs/>
          <w:color w:val="auto"/>
          <w:sz w:val="24"/>
          <w:u w:val="single"/>
        </w:rPr>
        <w:t xml:space="preserve"> </w:t>
      </w:r>
      <w:r>
        <w:rPr>
          <w:rFonts w:hint="eastAsia" w:ascii="宋体" w:hAnsi="宋体" w:cs="宋体"/>
          <w:bCs/>
          <w:color w:val="auto"/>
          <w:sz w:val="24"/>
          <w:u w:val="single"/>
        </w:rPr>
        <w:t xml:space="preserve"> </w:t>
      </w:r>
    </w:p>
    <w:p>
      <w:pPr>
        <w:spacing w:line="360" w:lineRule="auto"/>
        <w:ind w:firstLine="482" w:firstLineChars="200"/>
        <w:rPr>
          <w:rFonts w:ascii="宋体" w:hAnsi="宋体" w:cs="宋体"/>
          <w:color w:val="auto"/>
          <w:sz w:val="24"/>
        </w:rPr>
      </w:pPr>
      <w:r>
        <w:rPr>
          <w:rFonts w:hint="eastAsia" w:ascii="宋体" w:hAnsi="宋体" w:cs="宋体"/>
          <w:b/>
          <w:color w:val="auto"/>
          <w:sz w:val="24"/>
        </w:rPr>
        <w:t>开标地点（网址）：</w:t>
      </w:r>
      <w:r>
        <w:rPr>
          <w:rFonts w:hint="eastAsia" w:ascii="宋体" w:hAnsi="宋体" w:cs="宋体"/>
          <w:color w:val="auto"/>
          <w:sz w:val="24"/>
        </w:rPr>
        <w:t>政采云平台（https://www.zcygov.cn/）</w:t>
      </w:r>
    </w:p>
    <w:p>
      <w:pPr>
        <w:spacing w:line="360" w:lineRule="auto"/>
        <w:rPr>
          <w:rFonts w:ascii="宋体" w:hAnsi="宋体" w:cs="宋体"/>
          <w:color w:val="auto"/>
          <w:sz w:val="24"/>
        </w:rPr>
      </w:pPr>
      <w:r>
        <w:rPr>
          <w:rFonts w:hint="eastAsia" w:ascii="宋体" w:hAnsi="宋体" w:cs="宋体"/>
          <w:b/>
          <w:color w:val="auto"/>
          <w:sz w:val="24"/>
        </w:rPr>
        <w:t xml:space="preserve">五、公告期限 </w:t>
      </w:r>
    </w:p>
    <w:p>
      <w:pPr>
        <w:spacing w:line="360" w:lineRule="auto"/>
        <w:ind w:firstLine="480" w:firstLineChars="200"/>
        <w:rPr>
          <w:rFonts w:ascii="宋体" w:hAnsi="宋体" w:cs="宋体"/>
          <w:color w:val="auto"/>
          <w:sz w:val="24"/>
        </w:rPr>
      </w:pPr>
      <w:r>
        <w:rPr>
          <w:rFonts w:hint="eastAsia" w:ascii="宋体" w:hAnsi="宋体" w:cs="宋体"/>
          <w:color w:val="auto"/>
          <w:sz w:val="24"/>
        </w:rPr>
        <w:t>自本公告发布之日起5个工作日。</w:t>
      </w:r>
    </w:p>
    <w:p>
      <w:pPr>
        <w:spacing w:line="360" w:lineRule="auto"/>
        <w:rPr>
          <w:rFonts w:ascii="宋体" w:hAnsi="宋体" w:cs="宋体"/>
          <w:b/>
          <w:color w:val="auto"/>
          <w:sz w:val="24"/>
        </w:rPr>
      </w:pPr>
      <w:r>
        <w:rPr>
          <w:rFonts w:hint="eastAsia" w:ascii="宋体" w:hAnsi="宋体" w:cs="宋体"/>
          <w:b/>
          <w:color w:val="auto"/>
          <w:sz w:val="24"/>
        </w:rPr>
        <w:t>六、其他补充事宜</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 1.</w:t>
      </w:r>
      <w:r>
        <w:rPr>
          <w:rFonts w:ascii="宋体" w:hAnsi="宋体" w:cs="宋体"/>
          <w:color w:val="auto"/>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rPr>
      </w:pPr>
      <w:r>
        <w:rPr>
          <w:rFonts w:hint="eastAsia" w:ascii="宋体" w:hAnsi="宋体" w:cs="宋体"/>
          <w:color w:val="auto"/>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rPr>
      </w:pPr>
      <w:r>
        <w:rPr>
          <w:rFonts w:hint="eastAsia" w:ascii="宋体" w:hAnsi="宋体" w:cs="宋体"/>
          <w:color w:val="auto"/>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color w:val="auto"/>
          <w:sz w:val="24"/>
          <w:lang w:eastAsia="zh-CN"/>
        </w:rPr>
        <w:t>采购代理机构</w:t>
      </w:r>
      <w:r>
        <w:rPr>
          <w:rFonts w:hint="eastAsia" w:ascii="宋体" w:hAnsi="宋体" w:cs="宋体"/>
          <w:color w:val="auto"/>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rPr>
      </w:pPr>
      <w:r>
        <w:rPr>
          <w:rFonts w:hint="eastAsia" w:ascii="宋体" w:hAnsi="宋体" w:cs="宋体"/>
          <w:b/>
          <w:color w:val="auto"/>
          <w:sz w:val="24"/>
        </w:rPr>
        <w:t>七、对本次采购提出询问、质疑、投诉，请按以下方式联系</w:t>
      </w:r>
    </w:p>
    <w:p>
      <w:pPr>
        <w:spacing w:line="360" w:lineRule="auto"/>
        <w:rPr>
          <w:rFonts w:ascii="宋体" w:hAnsi="宋体" w:cs="宋体"/>
          <w:color w:val="auto"/>
          <w:sz w:val="24"/>
        </w:rPr>
      </w:pPr>
      <w:r>
        <w:rPr>
          <w:rFonts w:hint="eastAsia" w:ascii="宋体" w:hAnsi="宋体" w:cs="宋体"/>
          <w:color w:val="auto"/>
          <w:sz w:val="24"/>
        </w:rPr>
        <w:t xml:space="preserve">    1.采购人信息</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cs="宋体"/>
          <w:color w:val="auto"/>
          <w:sz w:val="24"/>
        </w:rPr>
        <w:t xml:space="preserve">   </w:t>
      </w:r>
      <w:r>
        <w:rPr>
          <w:rFonts w:hint="eastAsia" w:ascii="宋体" w:hAnsi="宋体" w:eastAsia="宋体" w:cs="宋体"/>
          <w:color w:val="auto"/>
          <w:sz w:val="24"/>
          <w:highlight w:val="none"/>
        </w:rPr>
        <w:t>1.采购人信息</w:t>
      </w:r>
    </w:p>
    <w:p>
      <w:pPr>
        <w:widowControl w:val="0"/>
        <w:wordWrap/>
        <w:adjustRightInd w:val="0"/>
        <w:snapToGrid/>
        <w:spacing w:line="560" w:lineRule="exact"/>
        <w:ind w:firstLine="48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名    称：杭州市余杭区人民政府五常街道办事处</w:t>
      </w:r>
    </w:p>
    <w:p>
      <w:pPr>
        <w:widowControl w:val="0"/>
        <w:wordWrap/>
        <w:adjustRightInd w:val="0"/>
        <w:snapToGrid/>
        <w:spacing w:line="560" w:lineRule="exact"/>
        <w:ind w:firstLine="48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址：浙江省杭州市余杭区西坝路59号</w:t>
      </w:r>
    </w:p>
    <w:p>
      <w:pPr>
        <w:widowControl w:val="0"/>
        <w:wordWrap/>
        <w:adjustRightInd w:val="0"/>
        <w:snapToGrid/>
        <w:spacing w:line="560" w:lineRule="exact"/>
        <w:ind w:firstLine="48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项目联系人（询问）：施建洪</w:t>
      </w:r>
    </w:p>
    <w:p>
      <w:pPr>
        <w:widowControl w:val="0"/>
        <w:wordWrap/>
        <w:adjustRightInd w:val="0"/>
        <w:snapToGrid/>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项目联系方式（询问）：0571-88732318</w:t>
      </w:r>
    </w:p>
    <w:p>
      <w:pPr>
        <w:widowControl w:val="0"/>
        <w:wordWrap/>
        <w:adjustRightInd w:val="0"/>
        <w:snapToGrid/>
        <w:spacing w:line="560" w:lineRule="exact"/>
        <w:ind w:firstLine="48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质疑联系人：张剑</w:t>
      </w:r>
    </w:p>
    <w:p>
      <w:pPr>
        <w:widowControl w:val="0"/>
        <w:wordWrap/>
        <w:adjustRightInd w:val="0"/>
        <w:snapToGrid/>
        <w:spacing w:line="560" w:lineRule="exact"/>
        <w:ind w:firstLine="48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质疑联系方式：0571-88733113</w:t>
      </w:r>
    </w:p>
    <w:p>
      <w:pPr>
        <w:widowControl w:val="0"/>
        <w:wordWrap/>
        <w:adjustRightInd w:val="0"/>
        <w:snapToGrid/>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2.采购代理机构信息            </w:t>
      </w:r>
    </w:p>
    <w:p>
      <w:pPr>
        <w:widowControl w:val="0"/>
        <w:wordWrap/>
        <w:adjustRightInd w:val="0"/>
        <w:snapToGrid/>
        <w:spacing w:line="560" w:lineRule="exact"/>
        <w:ind w:firstLine="48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名    称：</w:t>
      </w:r>
      <w:r>
        <w:rPr>
          <w:rFonts w:hint="eastAsia" w:ascii="宋体" w:hAnsi="宋体" w:cs="宋体"/>
          <w:color w:val="auto"/>
          <w:sz w:val="24"/>
          <w:highlight w:val="none"/>
          <w:lang w:eastAsia="zh-CN"/>
        </w:rPr>
        <w:t>杭州永圣工程咨询代理有限公司</w:t>
      </w:r>
    </w:p>
    <w:p>
      <w:pPr>
        <w:widowControl w:val="0"/>
        <w:wordWrap/>
        <w:adjustRightInd w:val="0"/>
        <w:snapToGrid/>
        <w:spacing w:line="560" w:lineRule="exact"/>
        <w:ind w:firstLine="48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址：杭州市</w:t>
      </w:r>
      <w:r>
        <w:rPr>
          <w:rFonts w:hint="eastAsia" w:ascii="宋体" w:hAnsi="宋体" w:cs="宋体"/>
          <w:color w:val="auto"/>
          <w:sz w:val="24"/>
          <w:highlight w:val="none"/>
          <w:lang w:eastAsia="zh-CN"/>
        </w:rPr>
        <w:t>临平</w:t>
      </w:r>
      <w:r>
        <w:rPr>
          <w:rFonts w:hint="eastAsia" w:ascii="宋体" w:hAnsi="宋体" w:eastAsia="宋体" w:cs="宋体"/>
          <w:color w:val="auto"/>
          <w:sz w:val="24"/>
          <w:highlight w:val="none"/>
        </w:rPr>
        <w:t xml:space="preserve">区塘栖镇运溪路113号电商大楼507室            </w:t>
      </w:r>
    </w:p>
    <w:p>
      <w:pPr>
        <w:widowControl w:val="0"/>
        <w:wordWrap/>
        <w:adjustRightInd w:val="0"/>
        <w:snapToGrid/>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项目联系人（询问）：</w:t>
      </w:r>
      <w:r>
        <w:rPr>
          <w:rFonts w:hint="eastAsia" w:ascii="宋体" w:hAnsi="宋体" w:cs="宋体"/>
          <w:color w:val="auto"/>
          <w:sz w:val="24"/>
          <w:highlight w:val="none"/>
          <w:lang w:eastAsia="zh-CN"/>
        </w:rPr>
        <w:t>胡丹</w:t>
      </w:r>
      <w:r>
        <w:rPr>
          <w:rFonts w:hint="eastAsia" w:ascii="宋体" w:hAnsi="宋体" w:eastAsia="宋体" w:cs="宋体"/>
          <w:color w:val="auto"/>
          <w:sz w:val="24"/>
          <w:highlight w:val="none"/>
        </w:rPr>
        <w:t xml:space="preserve">        </w:t>
      </w:r>
    </w:p>
    <w:p>
      <w:pPr>
        <w:widowControl w:val="0"/>
        <w:wordWrap/>
        <w:adjustRightInd w:val="0"/>
        <w:snapToGrid/>
        <w:spacing w:line="560" w:lineRule="exact"/>
        <w:ind w:firstLine="480" w:firstLineChars="200"/>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项目联系方式（询问）：</w:t>
      </w:r>
      <w:r>
        <w:rPr>
          <w:rFonts w:hint="eastAsia" w:ascii="宋体" w:hAnsi="宋体" w:cs="宋体"/>
          <w:color w:val="auto"/>
          <w:sz w:val="24"/>
          <w:highlight w:val="none"/>
          <w:lang w:val="en-US" w:eastAsia="zh-CN"/>
        </w:rPr>
        <w:t>13805796510</w:t>
      </w:r>
    </w:p>
    <w:p>
      <w:pPr>
        <w:widowControl w:val="0"/>
        <w:wordWrap/>
        <w:adjustRightInd w:val="0"/>
        <w:snapToGrid/>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质疑联系人：宋启超         </w:t>
      </w:r>
    </w:p>
    <w:p>
      <w:pPr>
        <w:widowControl w:val="0"/>
        <w:wordWrap/>
        <w:adjustRightInd w:val="0"/>
        <w:snapToGrid/>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质疑联系方式：13588366887</w:t>
      </w:r>
    </w:p>
    <w:p>
      <w:pPr>
        <w:widowControl w:val="0"/>
        <w:wordWrap/>
        <w:adjustRightInd w:val="0"/>
        <w:snapToGrid/>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3.同级政府采购监督管理部门            </w:t>
      </w:r>
    </w:p>
    <w:p>
      <w:pPr>
        <w:widowControl w:val="0"/>
        <w:wordWrap/>
        <w:adjustRightInd w:val="0"/>
        <w:snapToGrid/>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名    称：杭州市余杭区财政局 </w:t>
      </w:r>
    </w:p>
    <w:p>
      <w:pPr>
        <w:widowControl w:val="0"/>
        <w:wordWrap/>
        <w:adjustRightInd w:val="0"/>
        <w:snapToGrid/>
        <w:spacing w:line="560" w:lineRule="exact"/>
        <w:ind w:firstLine="240" w:firstLineChars="1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地    址：杭州市余杭区文一西路1500号8号楼1201室</w:t>
      </w:r>
    </w:p>
    <w:p>
      <w:pPr>
        <w:widowControl w:val="0"/>
        <w:wordWrap/>
        <w:adjustRightInd w:val="0"/>
        <w:snapToGrid/>
        <w:spacing w:line="560" w:lineRule="exact"/>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传    真： </w:t>
      </w:r>
      <w:r>
        <w:rPr>
          <w:rFonts w:hint="eastAsia" w:ascii="宋体" w:hAnsi="宋体" w:eastAsia="宋体" w:cs="宋体"/>
          <w:color w:val="auto"/>
          <w:sz w:val="24"/>
          <w:highlight w:val="none"/>
          <w:lang w:val="en-US" w:eastAsia="zh-CN"/>
        </w:rPr>
        <w:t>/</w:t>
      </w:r>
    </w:p>
    <w:p>
      <w:pPr>
        <w:widowControl w:val="0"/>
        <w:wordWrap/>
        <w:adjustRightInd w:val="0"/>
        <w:snapToGrid/>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联系人 ：杜国强    </w:t>
      </w:r>
    </w:p>
    <w:p>
      <w:pPr>
        <w:widowControl w:val="0"/>
        <w:wordWrap/>
        <w:adjustRightInd w:val="0"/>
        <w:snapToGrid/>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监督投诉电话： 0571-88728858  </w:t>
      </w:r>
      <w:r>
        <w:rPr>
          <w:rFonts w:hint="eastAsia" w:ascii="仿宋" w:hAnsi="仿宋" w:eastAsia="仿宋" w:cs="仿宋"/>
          <w:color w:val="auto"/>
          <w:sz w:val="24"/>
          <w:highlight w:val="none"/>
        </w:rPr>
        <w:t xml:space="preserve">   </w:t>
      </w:r>
      <w:r>
        <w:rPr>
          <w:rFonts w:hint="eastAsia" w:ascii="宋体" w:hAnsi="宋体" w:eastAsia="宋体" w:cs="宋体"/>
          <w:color w:val="auto"/>
          <w:sz w:val="24"/>
          <w:highlight w:val="none"/>
        </w:rPr>
        <w:t xml:space="preserve">     </w:t>
      </w:r>
    </w:p>
    <w:p>
      <w:pPr>
        <w:widowControl w:val="0"/>
        <w:wordWrap/>
        <w:adjustRightInd w:val="0"/>
        <w:snapToGrid/>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widowControl w:val="0"/>
        <w:wordWrap/>
        <w:adjustRightInd w:val="0"/>
        <w:snapToGrid/>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CA问题联系电话（人工）：汇信CA 400-888-4636；天谷CA 400-087-8198。</w:t>
      </w:r>
    </w:p>
    <w:p>
      <w:pPr>
        <w:spacing w:line="360" w:lineRule="auto"/>
        <w:ind w:firstLine="480" w:firstLineChars="200"/>
        <w:rPr>
          <w:rFonts w:ascii="宋体" w:hAnsi="宋体" w:cs="宋体"/>
          <w:color w:val="auto"/>
          <w:sz w:val="24"/>
        </w:rPr>
      </w:pPr>
    </w:p>
    <w:p>
      <w:pPr>
        <w:widowControl/>
        <w:adjustRightInd/>
        <w:jc w:val="left"/>
        <w:rPr>
          <w:rFonts w:ascii="宋体" w:hAnsi="宋体" w:cs="宋体"/>
          <w:b/>
          <w:color w:val="auto"/>
          <w:sz w:val="36"/>
          <w:szCs w:val="20"/>
        </w:rPr>
      </w:pPr>
      <w:r>
        <w:rPr>
          <w:rFonts w:ascii="宋体" w:hAnsi="宋体" w:cs="宋体"/>
          <w:b/>
          <w:color w:val="auto"/>
          <w:sz w:val="36"/>
          <w:szCs w:val="20"/>
        </w:rPr>
        <w:br w:type="page"/>
      </w:r>
    </w:p>
    <w:p>
      <w:pPr>
        <w:adjustRightInd/>
        <w:spacing w:line="360" w:lineRule="auto"/>
        <w:jc w:val="center"/>
        <w:outlineLvl w:val="0"/>
        <w:rPr>
          <w:rFonts w:ascii="宋体" w:hAnsi="宋体" w:cs="宋体"/>
          <w:b/>
          <w:color w:val="auto"/>
          <w:sz w:val="36"/>
          <w:szCs w:val="20"/>
        </w:rPr>
      </w:pPr>
      <w:r>
        <w:rPr>
          <w:rFonts w:hint="eastAsia" w:ascii="宋体" w:hAnsi="宋体" w:cs="宋体"/>
          <w:b/>
          <w:color w:val="auto"/>
          <w:sz w:val="36"/>
          <w:szCs w:val="20"/>
        </w:rPr>
        <w:t>第二部分</w:t>
      </w:r>
      <w:bookmarkEnd w:id="8"/>
      <w:r>
        <w:rPr>
          <w:rFonts w:hint="eastAsia" w:ascii="宋体" w:hAnsi="宋体" w:cs="宋体"/>
          <w:b/>
          <w:color w:val="auto"/>
          <w:sz w:val="36"/>
          <w:szCs w:val="20"/>
        </w:rPr>
        <w:t xml:space="preserve"> 投标人须知</w:t>
      </w:r>
      <w:bookmarkEnd w:id="9"/>
    </w:p>
    <w:p>
      <w:pPr>
        <w:adjustRightInd/>
        <w:spacing w:line="360" w:lineRule="auto"/>
        <w:ind w:firstLine="3845" w:firstLineChars="1197"/>
        <w:outlineLvl w:val="0"/>
        <w:rPr>
          <w:rFonts w:ascii="宋体" w:hAnsi="宋体" w:cs="宋体"/>
          <w:b/>
          <w:color w:val="auto"/>
          <w:sz w:val="32"/>
          <w:szCs w:val="20"/>
        </w:rPr>
      </w:pPr>
      <w:r>
        <w:rPr>
          <w:rFonts w:hint="eastAsia" w:ascii="宋体" w:hAnsi="宋体" w:cs="宋体"/>
          <w:b/>
          <w:color w:val="auto"/>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auto"/>
                <w:sz w:val="24"/>
              </w:rPr>
            </w:pPr>
            <w:r>
              <w:rPr>
                <w:rFonts w:hint="eastAsia" w:ascii="宋体" w:hAnsi="宋体" w:cs="宋体"/>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rPr>
            </w:pPr>
            <w:r>
              <w:rPr>
                <w:rFonts w:hint="eastAsia" w:ascii="宋体" w:hAnsi="宋体" w:cs="宋体"/>
                <w:b/>
                <w:color w:val="auto"/>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4"/>
              <w:rPr>
                <w:rFonts w:ascii="宋体" w:hAnsi="宋体" w:eastAsia="宋体" w:cs="宋体"/>
                <w:color w:val="auto"/>
                <w:lang w:val="en-US"/>
              </w:rPr>
            </w:pPr>
            <w:r>
              <w:rPr>
                <w:rFonts w:hint="eastAsia" w:ascii="宋体" w:hAnsi="宋体" w:eastAsia="宋体" w:cs="宋体"/>
                <w:color w:val="auto"/>
                <w:sz w:val="24"/>
                <w:highlight w:val="none"/>
              </w:rPr>
              <w:t>（1）标的：</w:t>
            </w:r>
            <w:r>
              <w:rPr>
                <w:rFonts w:hint="eastAsia" w:ascii="宋体" w:hAnsi="宋体" w:eastAsia="宋体" w:cs="宋体"/>
                <w:color w:val="auto"/>
                <w:sz w:val="24"/>
                <w:highlight w:val="none"/>
                <w:u w:val="single"/>
              </w:rPr>
              <w:t>养护项目</w:t>
            </w:r>
            <w:r>
              <w:rPr>
                <w:rFonts w:hint="eastAsia" w:ascii="宋体" w:hAnsi="宋体" w:eastAsia="宋体" w:cs="宋体"/>
                <w:color w:val="auto"/>
                <w:sz w:val="24"/>
                <w:highlight w:val="none"/>
              </w:rPr>
              <w:t xml:space="preserve"> ，属于（十六）其他未列明行业；</w:t>
            </w:r>
            <w:r>
              <w:rPr>
                <w:rFonts w:hint="eastAsia" w:ascii="宋体" w:hAnsi="宋体" w:eastAsia="宋体" w:cs="宋体"/>
                <w:color w:val="auto"/>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rPr>
            </w:pPr>
            <w:sdt>
              <w:sdtPr>
                <w:rPr>
                  <w:rFonts w:hint="eastAsia" w:ascii="宋体" w:hAnsi="宋体" w:cs="宋体"/>
                  <w:color w:val="auto"/>
                  <w:kern w:val="0"/>
                  <w:sz w:val="24"/>
                </w:rPr>
                <w:id w:val="-1828425707"/>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sym w:font="Wingdings" w:char="F0FE"/>
                </w:r>
              </w:sdtContent>
            </w:sdt>
            <w:r>
              <w:rPr>
                <w:rFonts w:hint="eastAsia" w:ascii="宋体" w:hAnsi="宋体" w:cs="宋体"/>
                <w:color w:val="auto"/>
                <w:kern w:val="0"/>
                <w:sz w:val="24"/>
              </w:rPr>
              <w:t>本项目不允许采购进口产品。</w:t>
            </w:r>
          </w:p>
          <w:p>
            <w:pPr>
              <w:spacing w:line="360" w:lineRule="auto"/>
              <w:rPr>
                <w:rFonts w:ascii="宋体" w:hAnsi="宋体" w:cs="宋体"/>
                <w:color w:val="auto"/>
              </w:rPr>
            </w:pPr>
            <w:sdt>
              <w:sdtPr>
                <w:rPr>
                  <w:rFonts w:hint="eastAsia" w:ascii="宋体" w:hAnsi="宋体" w:cs="宋体"/>
                  <w:color w:val="auto"/>
                  <w:kern w:val="0"/>
                  <w:sz w:val="24"/>
                </w:rPr>
                <w:id w:val="-5285282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可以就</w:t>
            </w:r>
            <w:r>
              <w:rPr>
                <w:rFonts w:hint="eastAsia" w:ascii="宋体" w:hAnsi="宋体" w:cs="宋体"/>
                <w:color w:val="auto"/>
                <w:sz w:val="24"/>
                <w:u w:val="single"/>
              </w:rPr>
              <w:t xml:space="preserve">    </w:t>
            </w:r>
            <w:r>
              <w:rPr>
                <w:rFonts w:hint="eastAsia" w:ascii="宋体" w:hAnsi="宋体" w:cs="宋体"/>
                <w:color w:val="auto"/>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47728692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w:t>
            </w:r>
            <w:r>
              <w:rPr>
                <w:rFonts w:hint="eastAsia" w:ascii="宋体" w:hAnsi="宋体" w:cs="宋体"/>
                <w:color w:val="auto"/>
                <w:sz w:val="24"/>
                <w:highlight w:val="none"/>
              </w:rPr>
              <w:t>非关键性的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工作分包</w:t>
            </w:r>
            <w:r>
              <w:rPr>
                <w:rFonts w:hint="eastAsia" w:ascii="宋体" w:hAnsi="宋体" w:cs="宋体"/>
                <w:color w:val="auto"/>
                <w:sz w:val="24"/>
                <w:highlight w:val="none"/>
              </w:rPr>
              <w:t>。</w:t>
            </w:r>
            <w:sdt>
              <w:sdtPr>
                <w:rPr>
                  <w:rFonts w:hint="eastAsia" w:ascii="宋体" w:hAnsi="宋体" w:cs="宋体"/>
                  <w:color w:val="auto"/>
                  <w:kern w:val="0"/>
                  <w:sz w:val="24"/>
                  <w:highlight w:val="none"/>
                </w:rPr>
                <w:id w:val="-127633135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212966419"/>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A</w:t>
            </w:r>
            <w:r>
              <w:rPr>
                <w:rFonts w:hint="eastAsia" w:ascii="宋体" w:hAnsi="宋体" w:cs="宋体"/>
                <w:color w:val="auto"/>
                <w:sz w:val="24"/>
              </w:rPr>
              <w:t>不组织。</w:t>
            </w:r>
          </w:p>
          <w:p>
            <w:pPr>
              <w:spacing w:line="360" w:lineRule="auto"/>
              <w:rPr>
                <w:rFonts w:ascii="宋体" w:hAnsi="宋体" w:cs="宋体"/>
                <w:color w:val="auto"/>
                <w:sz w:val="24"/>
                <w:szCs w:val="20"/>
              </w:rPr>
            </w:pPr>
            <w:sdt>
              <w:sdtPr>
                <w:rPr>
                  <w:rFonts w:hint="eastAsia" w:ascii="宋体" w:hAnsi="宋体" w:cs="宋体"/>
                  <w:color w:val="auto"/>
                  <w:kern w:val="0"/>
                  <w:sz w:val="24"/>
                </w:rPr>
                <w:id w:val="-99980297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B组织，</w:t>
            </w:r>
            <w:r>
              <w:rPr>
                <w:rFonts w:hint="eastAsia" w:ascii="宋体" w:hAnsi="宋体" w:cs="宋体"/>
                <w:color w:val="auto"/>
                <w:sz w:val="24"/>
              </w:rPr>
              <w:t>时间：</w:t>
            </w:r>
            <w:r>
              <w:rPr>
                <w:rFonts w:hint="eastAsia" w:ascii="宋体" w:hAnsi="宋体" w:cs="宋体"/>
                <w:color w:val="auto"/>
                <w:sz w:val="24"/>
                <w:u w:val="single"/>
              </w:rPr>
              <w:t xml:space="preserve">      </w:t>
            </w:r>
            <w:r>
              <w:rPr>
                <w:rFonts w:hint="eastAsia" w:ascii="宋体" w:hAnsi="宋体" w:cs="宋体"/>
                <w:color w:val="auto"/>
                <w:sz w:val="24"/>
              </w:rPr>
              <w:t>,地点：</w:t>
            </w:r>
            <w:r>
              <w:rPr>
                <w:rFonts w:hint="eastAsia" w:ascii="宋体" w:hAnsi="宋体" w:cs="宋体"/>
                <w:color w:val="auto"/>
                <w:sz w:val="24"/>
                <w:u w:val="single"/>
              </w:rPr>
              <w:t xml:space="preserve">      </w:t>
            </w:r>
            <w:r>
              <w:rPr>
                <w:rFonts w:hint="eastAsia" w:ascii="宋体" w:hAnsi="宋体" w:cs="宋体"/>
                <w:color w:val="auto"/>
                <w:sz w:val="24"/>
              </w:rPr>
              <w:t>，联系人：</w:t>
            </w:r>
            <w:r>
              <w:rPr>
                <w:rFonts w:hint="eastAsia" w:ascii="宋体" w:hAnsi="宋体" w:cs="宋体"/>
                <w:color w:val="auto"/>
                <w:sz w:val="24"/>
                <w:u w:val="single"/>
              </w:rPr>
              <w:t xml:space="preserve">      </w:t>
            </w:r>
            <w:r>
              <w:rPr>
                <w:rFonts w:hint="eastAsia" w:ascii="宋体" w:hAnsi="宋体" w:cs="宋体"/>
                <w:color w:val="auto"/>
                <w:sz w:val="24"/>
              </w:rPr>
              <w:t>，联系方式：</w:t>
            </w:r>
            <w:r>
              <w:rPr>
                <w:rFonts w:hint="eastAsia" w:ascii="宋体" w:hAnsi="宋体" w:cs="宋体"/>
                <w:color w:val="auto"/>
                <w:sz w:val="24"/>
                <w:u w:val="single"/>
              </w:rPr>
              <w:t xml:space="preserve">      </w:t>
            </w:r>
            <w:r>
              <w:rPr>
                <w:rFonts w:hint="eastAsia" w:ascii="宋体" w:hAnsi="宋体" w:cs="宋体"/>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1639946486"/>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A</w:t>
            </w:r>
            <w:r>
              <w:rPr>
                <w:rFonts w:hint="eastAsia" w:ascii="宋体" w:hAnsi="宋体" w:cs="宋体"/>
                <w:color w:val="auto"/>
                <w:sz w:val="24"/>
              </w:rPr>
              <w:t>不要求提供。</w:t>
            </w:r>
          </w:p>
          <w:p>
            <w:pPr>
              <w:spacing w:line="360" w:lineRule="auto"/>
              <w:rPr>
                <w:rFonts w:ascii="宋体" w:hAnsi="宋体" w:cs="宋体"/>
                <w:color w:val="auto"/>
                <w:kern w:val="0"/>
                <w:sz w:val="24"/>
              </w:rPr>
            </w:pPr>
            <w:sdt>
              <w:sdtPr>
                <w:rPr>
                  <w:rFonts w:hint="eastAsia" w:ascii="宋体" w:hAnsi="宋体" w:cs="宋体"/>
                  <w:color w:val="auto"/>
                  <w:kern w:val="0"/>
                  <w:sz w:val="24"/>
                </w:rPr>
                <w:id w:val="1026831988"/>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rPr>
              <w:t>B要求提供，</w:t>
            </w:r>
          </w:p>
          <w:p>
            <w:pPr>
              <w:spacing w:line="360" w:lineRule="auto"/>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snapToGrid w:val="0"/>
                <w:color w:val="auto"/>
                <w:kern w:val="28"/>
                <w:sz w:val="24"/>
              </w:rPr>
              <w:t>样品：</w:t>
            </w:r>
            <w:r>
              <w:rPr>
                <w:rFonts w:hint="eastAsia" w:ascii="宋体" w:hAnsi="宋体" w:cs="宋体"/>
                <w:color w:val="auto"/>
                <w:sz w:val="24"/>
                <w:u w:val="single"/>
              </w:rPr>
              <w:t xml:space="preserve">    </w:t>
            </w:r>
            <w:r>
              <w:rPr>
                <w:rFonts w:hint="eastAsia" w:ascii="宋体" w:hAnsi="宋体" w:cs="宋体"/>
                <w:color w:val="auto"/>
                <w:kern w:val="0"/>
                <w:sz w:val="24"/>
              </w:rPr>
              <w:t>；</w:t>
            </w:r>
          </w:p>
          <w:p>
            <w:pPr>
              <w:spacing w:line="360" w:lineRule="auto"/>
              <w:rPr>
                <w:rFonts w:ascii="宋体" w:hAnsi="宋体" w:cs="宋体"/>
                <w:color w:val="auto"/>
                <w:kern w:val="0"/>
                <w:sz w:val="24"/>
              </w:rPr>
            </w:pPr>
            <w:r>
              <w:rPr>
                <w:rFonts w:hint="eastAsia" w:ascii="宋体" w:hAnsi="宋体" w:cs="宋体"/>
                <w:color w:val="auto"/>
                <w:kern w:val="0"/>
                <w:sz w:val="24"/>
              </w:rPr>
              <w:t>（2）</w:t>
            </w:r>
            <w:r>
              <w:rPr>
                <w:rFonts w:hint="eastAsia" w:ascii="宋体" w:hAnsi="宋体" w:cs="宋体"/>
                <w:snapToGrid w:val="0"/>
                <w:color w:val="auto"/>
                <w:kern w:val="28"/>
                <w:sz w:val="24"/>
              </w:rPr>
              <w:t>样品制作的标准和要求：</w:t>
            </w:r>
            <w:r>
              <w:rPr>
                <w:rFonts w:hint="eastAsia" w:ascii="宋体" w:hAnsi="宋体" w:cs="宋体"/>
                <w:color w:val="auto"/>
                <w:sz w:val="24"/>
                <w:u w:val="single"/>
              </w:rPr>
              <w:t xml:space="preserve">    </w:t>
            </w:r>
            <w:r>
              <w:rPr>
                <w:rFonts w:hint="eastAsia" w:ascii="宋体" w:hAnsi="宋体" w:cs="宋体"/>
                <w:color w:val="auto"/>
                <w:kern w:val="0"/>
                <w:sz w:val="24"/>
              </w:rPr>
              <w:t>；</w:t>
            </w:r>
          </w:p>
          <w:p>
            <w:pPr>
              <w:spacing w:line="360" w:lineRule="auto"/>
              <w:rPr>
                <w:rFonts w:ascii="宋体" w:hAnsi="宋体" w:cs="宋体"/>
                <w:color w:val="auto"/>
                <w:kern w:val="0"/>
                <w:sz w:val="24"/>
              </w:rPr>
            </w:pPr>
            <w:r>
              <w:rPr>
                <w:rFonts w:hint="eastAsia" w:ascii="宋体" w:hAnsi="宋体" w:cs="宋体"/>
                <w:color w:val="auto"/>
                <w:kern w:val="0"/>
                <w:sz w:val="24"/>
              </w:rPr>
              <w:t>（3）样品的评审方法以及评审标准</w:t>
            </w:r>
            <w:r>
              <w:rPr>
                <w:rFonts w:hint="eastAsia" w:ascii="宋体" w:hAnsi="宋体" w:cs="宋体"/>
                <w:snapToGrid w:val="0"/>
                <w:color w:val="auto"/>
                <w:kern w:val="28"/>
                <w:sz w:val="24"/>
              </w:rPr>
              <w:t>：详见</w:t>
            </w:r>
            <w:r>
              <w:rPr>
                <w:rFonts w:hint="eastAsia" w:ascii="宋体" w:hAnsi="宋体" w:cs="宋体"/>
                <w:color w:val="auto"/>
                <w:sz w:val="24"/>
                <w:u w:val="single"/>
              </w:rPr>
              <w:t>评标办法</w:t>
            </w:r>
            <w:r>
              <w:rPr>
                <w:rFonts w:hint="eastAsia" w:ascii="宋体" w:hAnsi="宋体" w:cs="宋体"/>
                <w:color w:val="auto"/>
                <w:kern w:val="0"/>
                <w:sz w:val="24"/>
              </w:rPr>
              <w:t>；</w:t>
            </w:r>
          </w:p>
          <w:p>
            <w:pPr>
              <w:spacing w:line="360" w:lineRule="auto"/>
              <w:rPr>
                <w:rFonts w:ascii="宋体" w:hAnsi="宋体" w:cs="宋体"/>
                <w:color w:val="auto"/>
                <w:kern w:val="0"/>
                <w:sz w:val="24"/>
              </w:rPr>
            </w:pPr>
            <w:r>
              <w:rPr>
                <w:rFonts w:hint="eastAsia" w:ascii="宋体" w:hAnsi="宋体" w:cs="宋体"/>
                <w:color w:val="auto"/>
                <w:kern w:val="0"/>
                <w:sz w:val="24"/>
              </w:rPr>
              <w:t>（4）是否需要随样品提交检测报告：</w:t>
            </w:r>
            <w:sdt>
              <w:sdtPr>
                <w:rPr>
                  <w:rFonts w:hint="eastAsia" w:ascii="宋体" w:hAnsi="宋体" w:cs="宋体"/>
                  <w:color w:val="auto"/>
                  <w:kern w:val="0"/>
                  <w:sz w:val="24"/>
                </w:rPr>
                <w:id w:val="130342145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rPr>
              <w:t>否；</w:t>
            </w:r>
            <w:sdt>
              <w:sdtPr>
                <w:rPr>
                  <w:rFonts w:hint="eastAsia" w:ascii="宋体" w:hAnsi="宋体" w:cs="宋体"/>
                  <w:color w:val="auto"/>
                  <w:kern w:val="0"/>
                  <w:sz w:val="24"/>
                </w:rPr>
                <w:id w:val="1621728433"/>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是，检测机构的要求</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kern w:val="0"/>
                <w:sz w:val="24"/>
              </w:rPr>
              <w:t>；检测内容</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kern w:val="0"/>
                <w:sz w:val="24"/>
              </w:rPr>
              <w:t>。</w:t>
            </w:r>
          </w:p>
          <w:p>
            <w:pPr>
              <w:spacing w:line="360" w:lineRule="auto"/>
              <w:rPr>
                <w:rFonts w:ascii="宋体" w:hAnsi="宋体" w:cs="宋体"/>
                <w:color w:val="auto"/>
                <w:sz w:val="24"/>
              </w:rPr>
            </w:pPr>
            <w:r>
              <w:rPr>
                <w:rFonts w:hint="eastAsia" w:ascii="宋体" w:hAnsi="宋体" w:cs="宋体"/>
                <w:color w:val="auto"/>
                <w:sz w:val="24"/>
              </w:rPr>
              <w:t>（5）提供样品的时间：</w:t>
            </w:r>
            <w:r>
              <w:rPr>
                <w:rFonts w:hint="eastAsia" w:ascii="宋体" w:hAnsi="宋体" w:cs="宋体"/>
                <w:color w:val="auto"/>
                <w:sz w:val="24"/>
                <w:u w:val="single"/>
              </w:rPr>
              <w:t xml:space="preserve">    </w:t>
            </w:r>
            <w:r>
              <w:rPr>
                <w:rFonts w:hint="eastAsia" w:ascii="宋体" w:hAnsi="宋体" w:cs="宋体"/>
                <w:color w:val="auto"/>
                <w:kern w:val="0"/>
                <w:sz w:val="24"/>
              </w:rPr>
              <w:t>；地点：</w:t>
            </w:r>
            <w:r>
              <w:rPr>
                <w:rFonts w:hint="eastAsia" w:ascii="宋体" w:hAnsi="宋体" w:cs="宋体"/>
                <w:color w:val="auto"/>
                <w:sz w:val="24"/>
                <w:u w:val="single"/>
              </w:rPr>
              <w:t xml:space="preserve">    </w:t>
            </w:r>
            <w:r>
              <w:rPr>
                <w:rFonts w:hint="eastAsia" w:ascii="宋体" w:hAnsi="宋体" w:cs="宋体"/>
                <w:color w:val="auto"/>
                <w:kern w:val="0"/>
                <w:sz w:val="24"/>
              </w:rPr>
              <w:t>；联系人</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28"/>
                <w:sz w:val="24"/>
              </w:rPr>
              <w:t>联系电话：</w:t>
            </w:r>
            <w:r>
              <w:rPr>
                <w:rFonts w:hint="eastAsia" w:ascii="宋体" w:hAnsi="宋体" w:cs="宋体"/>
                <w:color w:val="auto"/>
                <w:sz w:val="24"/>
                <w:u w:val="single"/>
              </w:rPr>
              <w:t xml:space="preserve">    </w:t>
            </w:r>
            <w:r>
              <w:rPr>
                <w:rFonts w:hint="eastAsia" w:ascii="宋体" w:hAnsi="宋体" w:cs="宋体"/>
                <w:color w:val="auto"/>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rPr>
            </w:pPr>
            <w:r>
              <w:rPr>
                <w:rFonts w:hint="eastAsia" w:ascii="宋体" w:hAnsi="宋体" w:cs="宋体"/>
                <w:color w:val="auto"/>
                <w:sz w:val="24"/>
              </w:rPr>
              <w:t xml:space="preserve"> (6)采购活动结束后，对于未中标人提供的样品，采购人、</w:t>
            </w:r>
            <w:r>
              <w:rPr>
                <w:rFonts w:hint="eastAsia" w:ascii="宋体" w:hAnsi="宋体" w:cs="宋体"/>
                <w:color w:val="auto"/>
                <w:sz w:val="24"/>
                <w:lang w:eastAsia="zh-CN"/>
              </w:rPr>
              <w:t>采购代理机构</w:t>
            </w:r>
            <w:r>
              <w:rPr>
                <w:rFonts w:hint="eastAsia" w:ascii="宋体" w:hAnsi="宋体" w:cs="宋体"/>
                <w:color w:val="auto"/>
                <w:sz w:val="24"/>
              </w:rPr>
              <w:t>将通知未中标人在规定的时间内取回，逾期未取回的，采购人、</w:t>
            </w:r>
            <w:r>
              <w:rPr>
                <w:rFonts w:hint="eastAsia" w:ascii="宋体" w:hAnsi="宋体" w:cs="宋体"/>
                <w:color w:val="auto"/>
                <w:sz w:val="24"/>
                <w:lang w:eastAsia="zh-CN"/>
              </w:rPr>
              <w:t>采购代理机构</w:t>
            </w:r>
            <w:r>
              <w:rPr>
                <w:rFonts w:hint="eastAsia" w:ascii="宋体" w:hAnsi="宋体" w:cs="宋体"/>
                <w:color w:val="auto"/>
                <w:sz w:val="24"/>
              </w:rPr>
              <w:t>不负保管义务；对于中标人提供的样品，采购人将进行保管、封存，并作为履约验收的参考。</w:t>
            </w:r>
          </w:p>
          <w:p>
            <w:pPr>
              <w:spacing w:line="360" w:lineRule="auto"/>
              <w:rPr>
                <w:rFonts w:ascii="宋体" w:hAnsi="宋体" w:cs="宋体"/>
                <w:b/>
                <w:color w:val="auto"/>
                <w:sz w:val="24"/>
              </w:rPr>
            </w:pPr>
            <w:r>
              <w:rPr>
                <w:rFonts w:hint="eastAsia" w:ascii="宋体" w:hAnsi="宋体" w:cs="宋体"/>
                <w:color w:val="auto"/>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rPr>
            </w:pPr>
            <w:r>
              <w:rPr>
                <w:rFonts w:hint="eastAsia" w:ascii="宋体" w:hAnsi="宋体" w:cs="宋体"/>
                <w:b/>
                <w:color w:val="auto"/>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1859348549"/>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A</w:t>
            </w:r>
            <w:r>
              <w:rPr>
                <w:rFonts w:hint="eastAsia" w:ascii="宋体" w:hAnsi="宋体" w:cs="宋体"/>
                <w:color w:val="auto"/>
                <w:sz w:val="24"/>
              </w:rPr>
              <w:t>不组织。</w:t>
            </w:r>
          </w:p>
          <w:p>
            <w:pPr>
              <w:spacing w:line="360" w:lineRule="auto"/>
              <w:rPr>
                <w:rFonts w:ascii="宋体" w:hAnsi="宋体" w:cs="宋体"/>
                <w:color w:val="auto"/>
                <w:kern w:val="0"/>
                <w:sz w:val="24"/>
              </w:rPr>
            </w:pPr>
            <w:sdt>
              <w:sdtPr>
                <w:rPr>
                  <w:rFonts w:hint="eastAsia" w:ascii="宋体" w:hAnsi="宋体" w:cs="宋体"/>
                  <w:color w:val="auto"/>
                  <w:kern w:val="0"/>
                  <w:sz w:val="24"/>
                </w:rPr>
                <w:id w:val="1174071719"/>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B组织。</w:t>
            </w:r>
          </w:p>
          <w:p>
            <w:pPr>
              <w:snapToGrid w:val="0"/>
              <w:spacing w:line="360" w:lineRule="auto"/>
              <w:rPr>
                <w:rFonts w:ascii="宋体" w:hAnsi="宋体" w:cs="宋体"/>
                <w:color w:val="auto"/>
                <w:kern w:val="0"/>
                <w:sz w:val="24"/>
              </w:rPr>
            </w:pPr>
            <w:r>
              <w:rPr>
                <w:rFonts w:hint="eastAsia" w:ascii="宋体" w:hAnsi="宋体" w:cs="宋体"/>
                <w:color w:val="auto"/>
                <w:kern w:val="0"/>
                <w:sz w:val="24"/>
              </w:rPr>
              <w:t>（1）在评标时安排每个投标人进行方案讲解演示。每个投标人时间不超过</w:t>
            </w:r>
            <w:r>
              <w:rPr>
                <w:rFonts w:hint="eastAsia" w:ascii="宋体" w:hAnsi="宋体" w:cs="宋体"/>
                <w:color w:val="auto"/>
                <w:kern w:val="0"/>
                <w:sz w:val="24"/>
                <w:u w:val="single"/>
              </w:rPr>
              <w:t>20</w:t>
            </w:r>
            <w:r>
              <w:rPr>
                <w:rFonts w:hint="eastAsia" w:ascii="宋体" w:hAnsi="宋体" w:cs="宋体"/>
                <w:color w:val="auto"/>
                <w:kern w:val="0"/>
                <w:sz w:val="24"/>
                <w:u w:val="single"/>
                <w:lang w:eastAsia="zh-CN"/>
              </w:rPr>
              <w:t>（</w:t>
            </w:r>
            <w:r>
              <w:rPr>
                <w:rFonts w:hint="eastAsia" w:ascii="宋体" w:hAnsi="宋体" w:cs="宋体"/>
                <w:color w:val="auto"/>
                <w:kern w:val="0"/>
                <w:sz w:val="24"/>
                <w:u w:val="single"/>
                <w:lang w:val="en-US" w:eastAsia="zh-CN"/>
              </w:rPr>
              <w:t>编制时可根据项目情况进行调整</w:t>
            </w:r>
            <w:r>
              <w:rPr>
                <w:rFonts w:hint="eastAsia" w:ascii="宋体" w:hAnsi="宋体" w:cs="宋体"/>
                <w:color w:val="auto"/>
                <w:kern w:val="0"/>
                <w:sz w:val="24"/>
                <w:u w:val="single"/>
                <w:lang w:eastAsia="zh-CN"/>
              </w:rPr>
              <w:t>）</w:t>
            </w:r>
            <w:r>
              <w:rPr>
                <w:rFonts w:hint="eastAsia" w:ascii="宋体" w:hAnsi="宋体" w:cs="宋体"/>
                <w:color w:val="auto"/>
                <w:kern w:val="0"/>
                <w:sz w:val="24"/>
              </w:rPr>
              <w:t>分钟，讲解次序以投标文件解密时间先后次序为准，讲解演示人员不超过</w:t>
            </w:r>
            <w:r>
              <w:rPr>
                <w:rFonts w:hint="eastAsia" w:ascii="宋体" w:hAnsi="宋体" w:cs="宋体"/>
                <w:color w:val="auto"/>
                <w:kern w:val="0"/>
                <w:sz w:val="24"/>
                <w:u w:val="single"/>
              </w:rPr>
              <w:t>3</w:t>
            </w:r>
            <w:r>
              <w:rPr>
                <w:rFonts w:hint="eastAsia" w:ascii="宋体" w:hAnsi="宋体" w:cs="宋体"/>
                <w:color w:val="auto"/>
                <w:kern w:val="0"/>
                <w:sz w:val="24"/>
                <w:u w:val="single"/>
                <w:lang w:eastAsia="zh-CN"/>
              </w:rPr>
              <w:t>（</w:t>
            </w:r>
            <w:r>
              <w:rPr>
                <w:rFonts w:hint="eastAsia" w:ascii="宋体" w:hAnsi="宋体" w:cs="宋体"/>
                <w:color w:val="auto"/>
                <w:kern w:val="0"/>
                <w:sz w:val="24"/>
                <w:u w:val="single"/>
                <w:lang w:val="en-US" w:eastAsia="zh-CN"/>
              </w:rPr>
              <w:t>编制时可根据项目情况进行调整</w:t>
            </w:r>
            <w:r>
              <w:rPr>
                <w:rFonts w:hint="eastAsia" w:ascii="宋体" w:hAnsi="宋体" w:cs="宋体"/>
                <w:color w:val="auto"/>
                <w:kern w:val="0"/>
                <w:sz w:val="24"/>
                <w:u w:val="single"/>
                <w:lang w:eastAsia="zh-CN"/>
              </w:rPr>
              <w:t>）</w:t>
            </w:r>
            <w:r>
              <w:rPr>
                <w:rFonts w:hint="eastAsia" w:ascii="宋体" w:hAnsi="宋体" w:cs="宋体"/>
                <w:color w:val="auto"/>
                <w:kern w:val="0"/>
                <w:sz w:val="24"/>
              </w:rPr>
              <w:t>人。讲解演示结束后按要求解答评标委员会提问。</w:t>
            </w:r>
          </w:p>
          <w:p>
            <w:pPr>
              <w:snapToGrid w:val="0"/>
              <w:spacing w:line="360" w:lineRule="auto"/>
              <w:rPr>
                <w:rFonts w:ascii="宋体" w:hAnsi="宋体" w:cs="宋体"/>
                <w:color w:val="auto"/>
                <w:kern w:val="0"/>
                <w:sz w:val="24"/>
              </w:rPr>
            </w:pPr>
            <w:r>
              <w:rPr>
                <w:rFonts w:hint="eastAsia" w:ascii="宋体" w:hAnsi="宋体" w:cs="宋体"/>
                <w:color w:val="auto"/>
                <w:kern w:val="0"/>
                <w:sz w:val="24"/>
              </w:rPr>
              <w:t>（2）方案讲解演示可选择以下其中一种方式：</w:t>
            </w:r>
          </w:p>
          <w:p>
            <w:pPr>
              <w:snapToGrid w:val="0"/>
              <w:spacing w:line="360" w:lineRule="auto"/>
              <w:rPr>
                <w:rFonts w:ascii="宋体" w:hAnsi="宋体" w:cs="宋体"/>
                <w:color w:val="auto"/>
                <w:kern w:val="0"/>
                <w:sz w:val="24"/>
              </w:rPr>
            </w:pPr>
            <w:r>
              <w:rPr>
                <w:rFonts w:hint="eastAsia" w:ascii="宋体" w:hAnsi="宋体" w:cs="宋体"/>
                <w:color w:val="auto"/>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auto"/>
                <w:kern w:val="0"/>
                <w:sz w:val="24"/>
              </w:rPr>
            </w:pPr>
            <w:r>
              <w:rPr>
                <w:rFonts w:hint="eastAsia" w:ascii="宋体" w:hAnsi="宋体" w:cs="宋体"/>
                <w:color w:val="auto"/>
                <w:kern w:val="0"/>
                <w:sz w:val="24"/>
              </w:rPr>
              <w:t>方式二：交易中心现场讲解演示。现场讲解地点为</w:t>
            </w:r>
            <w:r>
              <w:rPr>
                <w:rFonts w:hint="eastAsia" w:ascii="宋体" w:hAnsi="宋体" w:cs="宋体"/>
                <w:color w:val="auto"/>
                <w:kern w:val="0"/>
                <w:sz w:val="24"/>
                <w:u w:val="single"/>
              </w:rPr>
              <w:t xml:space="preserve">     </w:t>
            </w:r>
            <w:r>
              <w:rPr>
                <w:rFonts w:hint="eastAsia" w:ascii="宋体" w:hAnsi="宋体" w:cs="宋体"/>
                <w:color w:val="auto"/>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auto"/>
                <w:kern w:val="0"/>
                <w:sz w:val="24"/>
                <w:lang w:val="zh-CN"/>
              </w:rPr>
            </w:pPr>
            <w:r>
              <w:rPr>
                <w:rFonts w:hint="eastAsia" w:ascii="宋体" w:hAnsi="宋体" w:cs="宋体"/>
                <w:color w:val="auto"/>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（1）资格证明文件：见招标文件第二部分11.1。</w:t>
            </w:r>
          </w:p>
          <w:p>
            <w:pPr>
              <w:spacing w:line="360" w:lineRule="auto"/>
              <w:rPr>
                <w:rFonts w:ascii="宋体" w:hAnsi="宋体" w:cs="宋体"/>
                <w:snapToGrid w:val="0"/>
                <w:color w:val="auto"/>
                <w:kern w:val="0"/>
                <w:szCs w:val="21"/>
              </w:rPr>
            </w:pPr>
            <w:r>
              <w:rPr>
                <w:rFonts w:hint="eastAsia" w:ascii="宋体" w:hAnsi="宋体" w:cs="宋体"/>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rPr>
            </w:pPr>
            <w:r>
              <w:rPr>
                <w:rFonts w:hint="eastAsia" w:ascii="宋体" w:hAnsi="宋体" w:cs="宋体"/>
                <w:color w:val="auto"/>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lang w:val="zh-CN"/>
              </w:rPr>
            </w:pPr>
            <w:r>
              <w:rPr>
                <w:rFonts w:hint="eastAsia" w:ascii="宋体" w:hAnsi="宋体" w:cs="宋体"/>
                <w:color w:val="auto"/>
                <w:kern w:val="0"/>
                <w:sz w:val="24"/>
                <w:lang w:val="zh-CN"/>
              </w:rPr>
              <w:t>有关本项目实施所需的所有费用（含税费）均计入报价。</w:t>
            </w:r>
            <w:r>
              <w:rPr>
                <w:rFonts w:hint="eastAsia" w:ascii="宋体" w:hAnsi="宋体" w:cs="宋体"/>
                <w:b/>
                <w:bCs/>
                <w:color w:val="auto"/>
                <w:kern w:val="0"/>
                <w:sz w:val="24"/>
                <w:lang w:val="zh-CN"/>
              </w:rPr>
              <w:t>投标文件</w:t>
            </w:r>
            <w:r>
              <w:rPr>
                <w:rFonts w:hint="eastAsia" w:ascii="宋体" w:hAnsi="宋体" w:cs="宋体"/>
                <w:b/>
                <w:bCs/>
                <w:color w:val="auto"/>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lang w:val="zh-CN"/>
              </w:rPr>
              <w:t>投标文件中价格全部采用人民币报价。招标文件未列明，而投标人认为必需的费用也需列入报价。</w:t>
            </w:r>
            <w:r>
              <w:rPr>
                <w:rFonts w:hint="eastAsia" w:ascii="宋体" w:hAnsi="宋体" w:cs="宋体"/>
                <w:b/>
                <w:color w:val="auto"/>
                <w:kern w:val="0"/>
                <w:sz w:val="24"/>
                <w:lang w:val="zh-CN"/>
              </w:rPr>
              <w:t>提醒：验收时检测费用由采购人承担，不包含在投标总价中。</w:t>
            </w:r>
          </w:p>
          <w:p>
            <w:pPr>
              <w:snapToGrid w:val="0"/>
              <w:spacing w:line="360" w:lineRule="auto"/>
              <w:jc w:val="left"/>
              <w:rPr>
                <w:rFonts w:ascii="宋体" w:hAnsi="宋体" w:cs="宋体"/>
                <w:b/>
                <w:color w:val="auto"/>
                <w:kern w:val="0"/>
                <w:sz w:val="24"/>
                <w:lang w:val="zh-CN"/>
              </w:rPr>
            </w:pPr>
            <w:r>
              <w:rPr>
                <w:rFonts w:hint="eastAsia" w:ascii="宋体" w:hAnsi="宋体" w:cs="宋体"/>
                <w:b/>
                <w:color w:val="auto"/>
                <w:kern w:val="0"/>
                <w:sz w:val="24"/>
                <w:lang w:val="zh-CN"/>
              </w:rPr>
              <w:t>投标报价出现下列情形的，投标无效：</w:t>
            </w:r>
          </w:p>
          <w:p>
            <w:pPr>
              <w:snapToGrid w:val="0"/>
              <w:spacing w:line="360" w:lineRule="auto"/>
              <w:ind w:firstLine="241" w:firstLineChars="100"/>
              <w:jc w:val="left"/>
              <w:rPr>
                <w:rFonts w:ascii="宋体" w:hAnsi="宋体" w:cs="宋体"/>
                <w:b/>
                <w:color w:val="auto"/>
                <w:kern w:val="0"/>
                <w:sz w:val="24"/>
                <w:lang w:val="zh-CN"/>
              </w:rPr>
            </w:pPr>
            <w:r>
              <w:rPr>
                <w:rFonts w:hint="eastAsia" w:ascii="宋体" w:hAnsi="宋体" w:cs="宋体"/>
                <w:b/>
                <w:color w:val="auto"/>
                <w:kern w:val="0"/>
                <w:sz w:val="24"/>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lang w:val="zh-CN"/>
              </w:rPr>
            </w:pPr>
            <w:r>
              <w:rPr>
                <w:rFonts w:hint="eastAsia" w:ascii="宋体" w:hAnsi="宋体" w:cs="宋体"/>
                <w:b/>
                <w:color w:val="auto"/>
                <w:kern w:val="0"/>
                <w:sz w:val="24"/>
                <w:lang w:val="zh-CN"/>
              </w:rPr>
              <w:t>投标报价超过招标文件中规定的预算金额或者最高限价的;</w:t>
            </w:r>
          </w:p>
          <w:p>
            <w:pPr>
              <w:spacing w:line="360" w:lineRule="auto"/>
              <w:ind w:firstLine="241" w:firstLineChars="100"/>
              <w:rPr>
                <w:rFonts w:ascii="宋体" w:hAnsi="宋体" w:cs="宋体"/>
                <w:b/>
                <w:color w:val="auto"/>
                <w:sz w:val="24"/>
              </w:rPr>
            </w:pPr>
            <w:r>
              <w:rPr>
                <w:rFonts w:hint="eastAsia" w:ascii="宋体" w:hAnsi="宋体" w:cs="宋体"/>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rPr>
              <w:t>;</w:t>
            </w:r>
          </w:p>
          <w:p>
            <w:pPr>
              <w:spacing w:line="360" w:lineRule="auto"/>
              <w:ind w:firstLine="241" w:firstLineChars="100"/>
              <w:rPr>
                <w:rFonts w:ascii="宋体" w:hAnsi="宋体" w:cs="宋体"/>
                <w:color w:val="auto"/>
                <w:sz w:val="24"/>
              </w:rPr>
            </w:pPr>
            <w:r>
              <w:rPr>
                <w:rFonts w:hint="eastAsia" w:ascii="宋体" w:hAnsi="宋体" w:cs="宋体"/>
                <w:b/>
                <w:color w:val="auto"/>
                <w:kern w:val="0"/>
                <w:sz w:val="24"/>
              </w:rPr>
              <w:t>投标人对根据修正原则修正后的报价不确认的</w:t>
            </w:r>
            <w:r>
              <w:rPr>
                <w:rFonts w:hint="eastAsia" w:ascii="宋体" w:hAnsi="宋体" w:cs="宋体"/>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rPr>
            </w:pPr>
            <w:r>
              <w:rPr>
                <w:rFonts w:hint="eastAsia" w:ascii="宋体" w:hAnsi="宋体" w:cs="宋体"/>
                <w:snapToGrid w:val="0"/>
                <w:color w:val="auto"/>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rPr>
            </w:pPr>
            <w:r>
              <w:rPr>
                <w:rFonts w:hint="eastAsia" w:ascii="宋体" w:hAnsi="宋体" w:cs="宋体"/>
                <w:color w:val="auto"/>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spacing w:line="530" w:lineRule="exact"/>
              <w:jc w:val="left"/>
              <w:textAlignment w:val="auto"/>
              <w:rPr>
                <w:rFonts w:hAnsi="宋体" w:cs="宋体"/>
                <w:color w:val="auto"/>
                <w:kern w:val="28"/>
                <w:sz w:val="24"/>
              </w:rPr>
            </w:pPr>
            <w:r>
              <w:rPr>
                <w:rFonts w:hint="eastAsia" w:ascii="宋体" w:hAnsi="宋体" w:eastAsia="宋体" w:cs="宋体"/>
                <w:color w:val="auto"/>
                <w:sz w:val="24"/>
                <w:highlight w:val="none"/>
              </w:rPr>
              <w:t>备份投标文件送达地点：杭州市余杭区塘栖镇运溪路113号电商大楼507室；备份投标文件签收人员联系电话：13588366887。</w:t>
            </w:r>
            <w:r>
              <w:rPr>
                <w:rFonts w:hint="eastAsia" w:hAnsi="宋体" w:cs="宋体"/>
                <w:b/>
                <w:color w:val="auto"/>
                <w:sz w:val="24"/>
                <w:szCs w:val="24"/>
              </w:rPr>
              <w:t>采购人、</w:t>
            </w:r>
            <w:r>
              <w:rPr>
                <w:rFonts w:hint="eastAsia" w:hAnsi="宋体" w:cs="宋体"/>
                <w:b/>
                <w:color w:val="auto"/>
                <w:sz w:val="24"/>
                <w:szCs w:val="24"/>
                <w:lang w:eastAsia="zh-CN"/>
              </w:rPr>
              <w:t>采购代理机构</w:t>
            </w:r>
            <w:r>
              <w:rPr>
                <w:rFonts w:hint="eastAsia" w:hAnsi="宋体" w:cs="宋体"/>
                <w:b/>
                <w:color w:val="auto"/>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auto"/>
                <w:sz w:val="24"/>
              </w:rPr>
            </w:pPr>
            <w:r>
              <w:rPr>
                <w:rFonts w:hint="eastAsia" w:ascii="宋体" w:hAnsi="宋体" w:cs="宋体"/>
                <w:color w:val="auto"/>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cs="仿宋_GB2312" w:asciiTheme="minorEastAsia" w:hAnsiTheme="minorEastAsia" w:eastAsiaTheme="minorEastAsia"/>
                <w:b/>
                <w:color w:val="auto"/>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rPr>
            </w:pPr>
            <w:r>
              <w:rPr>
                <w:rFonts w:hint="eastAsia" w:ascii="宋体" w:hAnsi="宋体" w:cs="宋体"/>
                <w:snapToGrid w:val="0"/>
                <w:color w:val="auto"/>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color w:val="auto"/>
                <w:sz w:val="24"/>
              </w:rPr>
            </w:pP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napToGrid w:val="0"/>
                <w:color w:val="auto"/>
                <w:kern w:val="28"/>
                <w:sz w:val="24"/>
              </w:rPr>
            </w:pPr>
            <w:sdt>
              <w:sdtPr>
                <w:rPr>
                  <w:rFonts w:hint="eastAsia" w:cs="Arial" w:asciiTheme="minorEastAsia" w:hAnsiTheme="minorEastAsia" w:eastAsiaTheme="minorEastAsia"/>
                  <w:color w:val="auto"/>
                  <w:kern w:val="0"/>
                  <w:sz w:val="24"/>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rPr>
              </w:sdtEndPr>
              <w:sdtContent>
                <w:r>
                  <w:rPr>
                    <w:rFonts w:hint="eastAsia" w:ascii="MS Mincho" w:hAnsi="MS Mincho" w:eastAsia="MS Mincho" w:cs="MS Mincho"/>
                    <w:color w:val="auto"/>
                    <w:kern w:val="0"/>
                    <w:sz w:val="24"/>
                  </w:rPr>
                  <w:t>☐</w:t>
                </w:r>
              </w:sdtContent>
            </w:sdt>
            <w:r>
              <w:rPr>
                <w:rFonts w:hint="eastAsia" w:ascii="宋体" w:hAnsi="宋体" w:cs="宋体"/>
                <w:snapToGrid w:val="0"/>
                <w:color w:val="auto"/>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rPr>
            </w:pPr>
            <w:sdt>
              <w:sdtPr>
                <w:rPr>
                  <w:rFonts w:hint="eastAsia" w:cs="Arial" w:asciiTheme="minorEastAsia" w:hAnsiTheme="minorEastAsia" w:eastAsiaTheme="minorEastAsia"/>
                  <w:color w:val="auto"/>
                  <w:kern w:val="0"/>
                  <w:sz w:val="24"/>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rPr>
              </w:sdtEndPr>
              <w:sdtContent>
                <w:r>
                  <w:rPr>
                    <w:rFonts w:hint="eastAsia" w:cs="Arial" w:asciiTheme="minorEastAsia" w:hAnsiTheme="minorEastAsia" w:eastAsiaTheme="minorEastAsia"/>
                    <w:color w:val="auto"/>
                    <w:kern w:val="0"/>
                    <w:sz w:val="24"/>
                  </w:rPr>
                  <w:sym w:font="Wingdings" w:char="F0FE"/>
                </w:r>
              </w:sdtContent>
            </w:sdt>
            <w:r>
              <w:rPr>
                <w:rFonts w:hint="eastAsia" w:ascii="宋体" w:hAnsi="宋体" w:cs="宋体"/>
                <w:snapToGrid w:val="0"/>
                <w:color w:val="auto"/>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14</w:t>
            </w:r>
          </w:p>
        </w:tc>
        <w:tc>
          <w:tcPr>
            <w:tcW w:w="1843" w:type="dxa"/>
            <w:tcBorders>
              <w:top w:val="single" w:color="auto" w:sz="4" w:space="0"/>
              <w:left w:val="single" w:color="000000" w:sz="2" w:space="0"/>
              <w:right w:val="single" w:color="000000" w:sz="8" w:space="0"/>
            </w:tcBorders>
            <w:vAlign w:val="center"/>
          </w:tcPr>
          <w:p>
            <w:pPr>
              <w:keepNext w:val="0"/>
              <w:keepLines w:val="0"/>
              <w:pageBreakBefore w:val="0"/>
              <w:kinsoku/>
              <w:wordWrap/>
              <w:overflowPunct/>
              <w:topLinePunct w:val="0"/>
              <w:autoSpaceDE/>
              <w:autoSpaceDN/>
              <w:bidi w:val="0"/>
              <w:adjustRightInd w:val="0"/>
              <w:spacing w:line="530" w:lineRule="exact"/>
              <w:jc w:val="center"/>
              <w:textAlignment w:val="auto"/>
              <w:rPr>
                <w:rFonts w:ascii="宋体" w:hAnsi="宋体" w:cs="宋体"/>
                <w:b/>
                <w:color w:val="auto"/>
                <w:sz w:val="24"/>
              </w:rPr>
            </w:pPr>
            <w:r>
              <w:rPr>
                <w:rFonts w:hint="eastAsia" w:ascii="宋体" w:hAnsi="宋体" w:eastAsia="宋体" w:cs="宋体"/>
                <w:color w:val="auto"/>
                <w:sz w:val="24"/>
                <w:highlight w:val="none"/>
              </w:rPr>
              <w:t>招标代理服务费</w:t>
            </w:r>
          </w:p>
        </w:tc>
        <w:tc>
          <w:tcPr>
            <w:tcW w:w="6095" w:type="dxa"/>
            <w:tcBorders>
              <w:top w:val="single" w:color="auto" w:sz="4"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spacing w:line="530" w:lineRule="exact"/>
              <w:jc w:val="left"/>
              <w:textAlignment w:val="auto"/>
              <w:rPr>
                <w:rFonts w:hint="eastAsia" w:cs="Arial" w:asciiTheme="minorEastAsia" w:hAnsiTheme="minorEastAsia" w:eastAsiaTheme="minorEastAsia"/>
                <w:color w:val="auto"/>
                <w:kern w:val="0"/>
                <w:sz w:val="24"/>
              </w:rPr>
            </w:pPr>
            <w:r>
              <w:rPr>
                <w:rFonts w:hint="eastAsia" w:ascii="宋体" w:hAnsi="宋体" w:eastAsia="宋体" w:cs="宋体"/>
                <w:color w:val="auto"/>
                <w:sz w:val="24"/>
                <w:highlight w:val="none"/>
              </w:rPr>
              <w:t>本次代理服务费由</w:t>
            </w:r>
            <w:r>
              <w:rPr>
                <w:rFonts w:hint="eastAsia" w:ascii="宋体" w:hAnsi="宋体" w:cs="宋体"/>
                <w:color w:val="auto"/>
                <w:sz w:val="24"/>
                <w:highlight w:val="none"/>
                <w:lang w:val="en-US" w:eastAsia="zh-CN"/>
              </w:rPr>
              <w:t>中标人</w:t>
            </w:r>
            <w:r>
              <w:rPr>
                <w:rFonts w:hint="eastAsia" w:ascii="宋体" w:hAnsi="宋体" w:eastAsia="宋体" w:cs="宋体"/>
                <w:color w:val="auto"/>
                <w:sz w:val="24"/>
                <w:highlight w:val="none"/>
              </w:rPr>
              <w:t>支付，代理服务费按照国家计委印发的《招标代理服务收费管理暂行办法》计价格[2002]1980号、发改办价格[2003]857号和《关于规范余杭区政府投资项目中介服务付费限额标准的通知》余财政〔2018〕24号</w:t>
            </w:r>
            <w:r>
              <w:rPr>
                <w:rFonts w:hint="eastAsia" w:ascii="宋体" w:hAnsi="宋体" w:eastAsia="宋体" w:cs="宋体"/>
                <w:color w:val="auto"/>
                <w:sz w:val="24"/>
                <w:highlight w:val="none"/>
                <w:lang w:val="en-US" w:eastAsia="zh-CN"/>
              </w:rPr>
              <w:t>文件</w:t>
            </w:r>
            <w:r>
              <w:rPr>
                <w:rFonts w:hint="eastAsia" w:ascii="宋体" w:hAnsi="宋体" w:eastAsia="宋体" w:cs="宋体"/>
                <w:color w:val="auto"/>
                <w:sz w:val="24"/>
                <w:highlight w:val="none"/>
              </w:rPr>
              <w:t>规定</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本项目</w:t>
            </w:r>
            <w:r>
              <w:rPr>
                <w:rFonts w:hint="eastAsia" w:ascii="宋体" w:hAnsi="宋体" w:eastAsia="宋体" w:cs="宋体"/>
                <w:color w:val="auto"/>
                <w:sz w:val="24"/>
                <w:highlight w:val="none"/>
              </w:rPr>
              <w:t>招标代理费</w:t>
            </w:r>
            <w:r>
              <w:rPr>
                <w:rFonts w:hint="eastAsia" w:ascii="宋体" w:hAnsi="宋体" w:cs="宋体"/>
                <w:color w:val="auto"/>
                <w:sz w:val="24"/>
                <w:highlight w:val="none"/>
                <w:lang w:eastAsia="zh-CN"/>
              </w:rPr>
              <w:t>最终不高于</w:t>
            </w:r>
            <w:r>
              <w:rPr>
                <w:rFonts w:hint="eastAsia" w:ascii="宋体" w:hAnsi="宋体" w:eastAsia="宋体" w:cs="宋体"/>
                <w:color w:val="auto"/>
                <w:sz w:val="24"/>
                <w:highlight w:val="none"/>
              </w:rPr>
              <w:t>人民币</w:t>
            </w:r>
            <w:r>
              <w:rPr>
                <w:rFonts w:hint="eastAsia" w:ascii="宋体" w:hAnsi="宋体" w:cs="宋体"/>
                <w:color w:val="auto"/>
                <w:sz w:val="24"/>
                <w:highlight w:val="none"/>
                <w:lang w:val="en-US" w:eastAsia="zh-CN"/>
              </w:rPr>
              <w:t>49000</w:t>
            </w:r>
            <w:r>
              <w:rPr>
                <w:rFonts w:hint="eastAsia" w:ascii="宋体" w:hAnsi="宋体" w:eastAsia="宋体" w:cs="宋体"/>
                <w:color w:val="auto"/>
                <w:sz w:val="24"/>
                <w:highlight w:val="none"/>
              </w:rPr>
              <w:t>元整。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629" w:type="dxa"/>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rPr>
            </w:pPr>
          </w:p>
        </w:tc>
        <w:tc>
          <w:tcPr>
            <w:tcW w:w="1843" w:type="dxa"/>
            <w:tcBorders>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val="0"/>
              <w:spacing w:line="530" w:lineRule="exact"/>
              <w:jc w:val="both"/>
              <w:textAlignment w:val="auto"/>
              <w:rPr>
                <w:rFonts w:ascii="宋体" w:hAnsi="宋体" w:cs="宋体"/>
                <w:b/>
                <w:color w:val="auto"/>
                <w:sz w:val="24"/>
              </w:rPr>
            </w:pPr>
          </w:p>
        </w:tc>
        <w:tc>
          <w:tcPr>
            <w:tcW w:w="6095" w:type="dxa"/>
            <w:tcBorders>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spacing w:line="530" w:lineRule="exact"/>
              <w:jc w:val="left"/>
              <w:textAlignment w:val="auto"/>
              <w:rPr>
                <w:rFonts w:hint="eastAsia" w:cs="Arial" w:asciiTheme="minorEastAsia" w:hAnsiTheme="minorEastAsia" w:eastAsiaTheme="minorEastAsia"/>
                <w:color w:val="auto"/>
                <w:kern w:val="0"/>
                <w:sz w:val="24"/>
              </w:rPr>
            </w:pPr>
          </w:p>
        </w:tc>
      </w:tr>
    </w:tbl>
    <w:p>
      <w:pPr>
        <w:snapToGrid w:val="0"/>
        <w:spacing w:line="360" w:lineRule="auto"/>
        <w:jc w:val="center"/>
        <w:rPr>
          <w:rFonts w:ascii="宋体" w:hAnsi="宋体" w:cs="宋体"/>
          <w:b/>
          <w:color w:val="auto"/>
          <w:sz w:val="32"/>
          <w:szCs w:val="20"/>
        </w:rPr>
      </w:pPr>
    </w:p>
    <w:bookmarkEnd w:id="10"/>
    <w:p>
      <w:pPr>
        <w:adjustRightInd/>
        <w:spacing w:line="360" w:lineRule="auto"/>
        <w:ind w:firstLine="3845" w:firstLineChars="1197"/>
        <w:outlineLvl w:val="0"/>
        <w:rPr>
          <w:rFonts w:hint="eastAsia" w:ascii="宋体" w:hAnsi="宋体" w:cs="宋体"/>
          <w:b/>
          <w:color w:val="auto"/>
          <w:sz w:val="32"/>
          <w:szCs w:val="20"/>
        </w:rPr>
      </w:pPr>
      <w:bookmarkStart w:id="11" w:name="_Toc164416483"/>
      <w:bookmarkStart w:id="12" w:name="第三部分"/>
    </w:p>
    <w:p>
      <w:pPr>
        <w:adjustRightInd/>
        <w:spacing w:line="360" w:lineRule="auto"/>
        <w:ind w:firstLine="3845" w:firstLineChars="1197"/>
        <w:outlineLvl w:val="0"/>
        <w:rPr>
          <w:rFonts w:hint="eastAsia" w:ascii="宋体" w:hAnsi="宋体" w:cs="宋体"/>
          <w:b/>
          <w:color w:val="auto"/>
          <w:sz w:val="32"/>
          <w:szCs w:val="20"/>
        </w:rPr>
      </w:pPr>
    </w:p>
    <w:p>
      <w:pPr>
        <w:adjustRightInd/>
        <w:spacing w:line="360" w:lineRule="auto"/>
        <w:ind w:firstLine="3845" w:firstLineChars="1197"/>
        <w:outlineLvl w:val="0"/>
        <w:rPr>
          <w:rFonts w:hint="eastAsia" w:ascii="宋体" w:hAnsi="宋体" w:cs="宋体"/>
          <w:b/>
          <w:color w:val="auto"/>
          <w:sz w:val="32"/>
          <w:szCs w:val="20"/>
        </w:rPr>
      </w:pPr>
    </w:p>
    <w:p>
      <w:pPr>
        <w:adjustRightInd/>
        <w:spacing w:line="360" w:lineRule="auto"/>
        <w:ind w:firstLine="3845" w:firstLineChars="1197"/>
        <w:outlineLvl w:val="0"/>
        <w:rPr>
          <w:rFonts w:hint="eastAsia" w:ascii="宋体" w:hAnsi="宋体" w:cs="宋体"/>
          <w:b/>
          <w:color w:val="auto"/>
          <w:sz w:val="32"/>
          <w:szCs w:val="20"/>
        </w:rPr>
      </w:pPr>
    </w:p>
    <w:p>
      <w:pPr>
        <w:adjustRightInd/>
        <w:spacing w:line="360" w:lineRule="auto"/>
        <w:ind w:firstLine="3845" w:firstLineChars="1197"/>
        <w:outlineLvl w:val="0"/>
        <w:rPr>
          <w:rFonts w:hint="eastAsia" w:ascii="宋体" w:hAnsi="宋体" w:cs="宋体"/>
          <w:b/>
          <w:color w:val="auto"/>
          <w:sz w:val="32"/>
          <w:szCs w:val="20"/>
        </w:rPr>
      </w:pPr>
    </w:p>
    <w:p>
      <w:pPr>
        <w:adjustRightInd/>
        <w:spacing w:line="360" w:lineRule="auto"/>
        <w:ind w:firstLine="3845" w:firstLineChars="1197"/>
        <w:outlineLvl w:val="0"/>
        <w:rPr>
          <w:rFonts w:hint="eastAsia" w:ascii="宋体" w:hAnsi="宋体" w:cs="宋体"/>
          <w:b/>
          <w:color w:val="auto"/>
          <w:sz w:val="32"/>
          <w:szCs w:val="20"/>
        </w:rPr>
      </w:pPr>
    </w:p>
    <w:p>
      <w:pPr>
        <w:adjustRightInd/>
        <w:spacing w:line="360" w:lineRule="auto"/>
        <w:ind w:firstLine="3845" w:firstLineChars="1197"/>
        <w:outlineLvl w:val="0"/>
        <w:rPr>
          <w:rFonts w:hint="eastAsia" w:ascii="宋体" w:hAnsi="宋体" w:cs="宋体"/>
          <w:b/>
          <w:color w:val="auto"/>
          <w:sz w:val="32"/>
          <w:szCs w:val="20"/>
        </w:rPr>
      </w:pPr>
    </w:p>
    <w:p>
      <w:pPr>
        <w:adjustRightInd/>
        <w:spacing w:line="360" w:lineRule="auto"/>
        <w:ind w:firstLine="3845" w:firstLineChars="1197"/>
        <w:outlineLvl w:val="0"/>
        <w:rPr>
          <w:rFonts w:hint="eastAsia" w:ascii="宋体" w:hAnsi="宋体" w:cs="宋体"/>
          <w:b/>
          <w:color w:val="auto"/>
          <w:sz w:val="32"/>
          <w:szCs w:val="20"/>
        </w:rPr>
      </w:pPr>
    </w:p>
    <w:p>
      <w:pPr>
        <w:adjustRightInd/>
        <w:spacing w:line="360" w:lineRule="auto"/>
        <w:ind w:firstLine="3845" w:firstLineChars="1197"/>
        <w:outlineLvl w:val="0"/>
        <w:rPr>
          <w:rFonts w:hint="eastAsia" w:ascii="宋体" w:hAnsi="宋体" w:cs="宋体"/>
          <w:b/>
          <w:color w:val="auto"/>
          <w:sz w:val="32"/>
          <w:szCs w:val="20"/>
        </w:rPr>
      </w:pPr>
    </w:p>
    <w:p>
      <w:pPr>
        <w:adjustRightInd/>
        <w:spacing w:line="360" w:lineRule="auto"/>
        <w:ind w:firstLine="3845" w:firstLineChars="1197"/>
        <w:outlineLvl w:val="0"/>
        <w:rPr>
          <w:rFonts w:hint="eastAsia" w:ascii="宋体" w:hAnsi="宋体" w:cs="宋体"/>
          <w:b/>
          <w:color w:val="auto"/>
          <w:sz w:val="32"/>
          <w:szCs w:val="20"/>
        </w:rPr>
      </w:pPr>
    </w:p>
    <w:p>
      <w:pPr>
        <w:adjustRightInd/>
        <w:spacing w:line="360" w:lineRule="auto"/>
        <w:ind w:firstLine="3845" w:firstLineChars="1197"/>
        <w:outlineLvl w:val="0"/>
        <w:rPr>
          <w:rFonts w:ascii="宋体" w:hAnsi="宋体" w:cs="宋体"/>
          <w:b/>
          <w:color w:val="auto"/>
          <w:sz w:val="32"/>
          <w:szCs w:val="20"/>
        </w:rPr>
      </w:pPr>
      <w:r>
        <w:rPr>
          <w:rFonts w:hint="eastAsia" w:ascii="宋体" w:hAnsi="宋体" w:cs="宋体"/>
          <w:b/>
          <w:color w:val="auto"/>
          <w:sz w:val="32"/>
          <w:szCs w:val="20"/>
        </w:rPr>
        <w:t>一、总则</w:t>
      </w:r>
    </w:p>
    <w:p>
      <w:pPr>
        <w:snapToGrid w:val="0"/>
        <w:spacing w:line="360" w:lineRule="auto"/>
        <w:ind w:firstLine="361" w:firstLineChars="150"/>
        <w:jc w:val="left"/>
        <w:outlineLvl w:val="1"/>
        <w:rPr>
          <w:rFonts w:ascii="宋体" w:hAnsi="宋体" w:cs="宋体"/>
          <w:b/>
          <w:color w:val="auto"/>
          <w:sz w:val="24"/>
        </w:rPr>
      </w:pPr>
      <w:r>
        <w:rPr>
          <w:rFonts w:hint="eastAsia" w:ascii="宋体" w:hAnsi="宋体" w:cs="宋体"/>
          <w:b/>
          <w:color w:val="auto"/>
          <w:sz w:val="24"/>
        </w:rPr>
        <w:t>1. 适用范围</w:t>
      </w:r>
    </w:p>
    <w:p>
      <w:pPr>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rPr>
      </w:pPr>
      <w:r>
        <w:rPr>
          <w:rFonts w:hint="eastAsia" w:ascii="宋体" w:hAnsi="宋体" w:cs="宋体"/>
          <w:b/>
          <w:color w:val="auto"/>
          <w:sz w:val="24"/>
        </w:rPr>
        <w:t xml:space="preserve">   2.定义</w:t>
      </w:r>
    </w:p>
    <w:p>
      <w:pPr>
        <w:spacing w:line="360" w:lineRule="auto"/>
        <w:ind w:firstLine="480" w:firstLineChars="200"/>
        <w:rPr>
          <w:rFonts w:ascii="宋体" w:hAnsi="宋体" w:cs="宋体"/>
          <w:color w:val="auto"/>
          <w:sz w:val="24"/>
        </w:rPr>
      </w:pPr>
      <w:r>
        <w:rPr>
          <w:rFonts w:hint="eastAsia" w:ascii="宋体" w:hAnsi="宋体" w:cs="宋体"/>
          <w:color w:val="auto"/>
          <w:sz w:val="24"/>
        </w:rPr>
        <w:t>2.1 “采购人”系指招标公告中载明的本项目的采购人。</w:t>
      </w:r>
    </w:p>
    <w:p>
      <w:pPr>
        <w:spacing w:line="360" w:lineRule="auto"/>
        <w:ind w:firstLine="480" w:firstLineChars="200"/>
        <w:rPr>
          <w:rFonts w:ascii="宋体" w:hAnsi="宋体" w:cs="宋体"/>
          <w:color w:val="auto"/>
          <w:sz w:val="24"/>
        </w:rPr>
      </w:pPr>
      <w:r>
        <w:rPr>
          <w:rFonts w:hint="eastAsia" w:ascii="宋体" w:hAnsi="宋体" w:cs="宋体"/>
          <w:color w:val="auto"/>
          <w:sz w:val="24"/>
        </w:rPr>
        <w:t>2.2 “</w:t>
      </w:r>
      <w:r>
        <w:rPr>
          <w:rFonts w:hint="eastAsia" w:ascii="宋体" w:hAnsi="宋体" w:cs="宋体"/>
          <w:color w:val="auto"/>
          <w:sz w:val="24"/>
          <w:lang w:eastAsia="zh-CN"/>
        </w:rPr>
        <w:t>采购代理机构</w:t>
      </w:r>
      <w:r>
        <w:rPr>
          <w:rFonts w:hint="eastAsia" w:ascii="宋体" w:hAnsi="宋体" w:cs="宋体"/>
          <w:color w:val="auto"/>
          <w:sz w:val="24"/>
        </w:rPr>
        <w:t>”系指招标公告中载明的本项目的</w:t>
      </w:r>
      <w:r>
        <w:rPr>
          <w:rFonts w:hint="eastAsia" w:ascii="宋体" w:hAnsi="宋体" w:cs="宋体"/>
          <w:color w:val="auto"/>
          <w:sz w:val="24"/>
          <w:lang w:eastAsia="zh-CN"/>
        </w:rPr>
        <w:t>采购代理机构</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2.3 “投标人”系指是指响应招标、参加投标竞争的法人、其他组织或者自然人。</w:t>
      </w:r>
    </w:p>
    <w:p>
      <w:pPr>
        <w:spacing w:line="360" w:lineRule="auto"/>
        <w:ind w:firstLine="480" w:firstLineChars="200"/>
        <w:rPr>
          <w:rFonts w:ascii="宋体" w:hAnsi="宋体" w:cs="宋体"/>
          <w:color w:val="auto"/>
          <w:sz w:val="24"/>
        </w:rPr>
      </w:pPr>
      <w:r>
        <w:rPr>
          <w:rFonts w:hint="eastAsia" w:ascii="宋体" w:hAnsi="宋体" w:cs="宋体"/>
          <w:color w:val="auto"/>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rPr>
      </w:pPr>
      <w:r>
        <w:rPr>
          <w:rFonts w:hint="eastAsia" w:ascii="宋体" w:hAnsi="宋体" w:cs="宋体"/>
          <w:color w:val="auto"/>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rPr>
      </w:pPr>
      <w:r>
        <w:rPr>
          <w:rFonts w:hint="eastAsia" w:ascii="宋体" w:hAnsi="宋体" w:cs="宋体"/>
          <w:color w:val="auto"/>
          <w:sz w:val="24"/>
        </w:rPr>
        <w:t>2.6“电子交易平台”</w:t>
      </w:r>
      <w:r>
        <w:rPr>
          <w:rFonts w:hint="eastAsia" w:ascii="宋体" w:hAnsi="宋体" w:cs="宋体"/>
          <w:color w:val="auto"/>
          <w:sz w:val="24"/>
          <w:lang w:val="en-US" w:eastAsia="zh-CN"/>
        </w:rPr>
        <w:t>系</w:t>
      </w:r>
      <w:r>
        <w:rPr>
          <w:rFonts w:hint="eastAsia" w:ascii="宋体" w:hAnsi="宋体" w:cs="宋体"/>
          <w:color w:val="auto"/>
          <w:sz w:val="24"/>
        </w:rPr>
        <w:t>指本项目政府采购活动所依托的政府采购云平台（https://www.zcygov.cn/）。</w:t>
      </w:r>
    </w:p>
    <w:p>
      <w:pPr>
        <w:spacing w:line="360" w:lineRule="auto"/>
        <w:ind w:firstLine="480" w:firstLineChars="200"/>
        <w:rPr>
          <w:rFonts w:ascii="宋体" w:hAnsi="宋体" w:cs="宋体"/>
          <w:color w:val="auto"/>
          <w:sz w:val="24"/>
        </w:rPr>
      </w:pPr>
      <w:r>
        <w:rPr>
          <w:rFonts w:hint="eastAsia" w:ascii="宋体" w:hAnsi="宋体" w:cs="宋体"/>
          <w:color w:val="auto"/>
          <w:sz w:val="24"/>
        </w:rPr>
        <w:t>2.7 “▲” 系指实质性要求条款，“</w:t>
      </w:r>
      <w:sdt>
        <w:sdtPr>
          <w:rPr>
            <w:rFonts w:hint="eastAsia" w:ascii="宋体" w:hAnsi="宋体" w:cs="宋体"/>
            <w:color w:val="auto"/>
            <w:kern w:val="0"/>
            <w:sz w:val="24"/>
          </w:rPr>
          <w:id w:val="512970236"/>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ascii="Wingdings" w:hAnsi="Wingdings" w:cs="宋体"/>
              <w:color w:val="auto"/>
              <w:kern w:val="0"/>
              <w:sz w:val="24"/>
            </w:rPr>
            <w:t></w:t>
          </w:r>
        </w:sdtContent>
      </w:sdt>
      <w:r>
        <w:rPr>
          <w:rFonts w:hint="eastAsia" w:ascii="宋体" w:hAnsi="宋体" w:cs="宋体"/>
          <w:color w:val="auto"/>
          <w:sz w:val="24"/>
        </w:rPr>
        <w:t>” 系指适用本项目的要求，“</w:t>
      </w:r>
      <w:sdt>
        <w:sdtPr>
          <w:rPr>
            <w:rFonts w:hint="eastAsia" w:ascii="宋体" w:hAnsi="宋体" w:cs="宋体"/>
            <w:color w:val="auto"/>
            <w:kern w:val="0"/>
            <w:sz w:val="24"/>
          </w:rPr>
          <w:id w:val="40488885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 系指不适用本项目的要求。</w:t>
      </w:r>
    </w:p>
    <w:p>
      <w:pPr>
        <w:spacing w:line="360" w:lineRule="auto"/>
        <w:ind w:firstLine="241" w:firstLineChars="100"/>
        <w:rPr>
          <w:rFonts w:ascii="宋体" w:hAnsi="宋体" w:cs="宋体"/>
          <w:b/>
          <w:color w:val="auto"/>
          <w:sz w:val="24"/>
        </w:rPr>
      </w:pPr>
      <w:r>
        <w:rPr>
          <w:rFonts w:hint="eastAsia" w:ascii="宋体" w:hAnsi="宋体" w:cs="宋体"/>
          <w:b/>
          <w:color w:val="auto"/>
          <w:sz w:val="24"/>
        </w:rPr>
        <w:t>3.</w:t>
      </w:r>
      <w:r>
        <w:rPr>
          <w:rFonts w:hint="eastAsia" w:ascii="宋体" w:hAnsi="宋体" w:cs="宋体"/>
          <w:color w:val="auto"/>
        </w:rPr>
        <w:t xml:space="preserve"> </w:t>
      </w:r>
      <w:r>
        <w:rPr>
          <w:rFonts w:hint="eastAsia" w:ascii="宋体" w:hAnsi="宋体" w:cs="宋体"/>
          <w:b/>
          <w:color w:val="auto"/>
          <w:sz w:val="24"/>
        </w:rPr>
        <w:t>采购项目需要落实的政府采购政策</w:t>
      </w:r>
    </w:p>
    <w:p>
      <w:pPr>
        <w:spacing w:line="360" w:lineRule="auto"/>
        <w:ind w:firstLine="240" w:firstLineChars="100"/>
        <w:rPr>
          <w:rFonts w:ascii="宋体" w:hAnsi="宋体" w:cs="宋体"/>
          <w:color w:val="auto"/>
          <w:sz w:val="24"/>
        </w:rPr>
      </w:pPr>
      <w:r>
        <w:rPr>
          <w:rFonts w:hint="eastAsia" w:ascii="宋体" w:hAnsi="宋体" w:cs="宋体"/>
          <w:color w:val="auto"/>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lang w:eastAsia="zh-CN"/>
        </w:rPr>
        <w:t>采购代理机构</w:t>
      </w:r>
      <w:r>
        <w:rPr>
          <w:rFonts w:hint="eastAsia" w:ascii="宋体" w:hAnsi="宋体" w:cs="宋体"/>
          <w:color w:val="auto"/>
          <w:sz w:val="24"/>
        </w:rPr>
        <w:t>不会对其加以限制，仍将按照公平竞争原则实施采购）；</w:t>
      </w:r>
      <w:r>
        <w:rPr>
          <w:rFonts w:hint="eastAsia" w:ascii="宋体" w:hAnsi="宋体" w:cs="宋体"/>
          <w:color w:val="auto"/>
          <w:kern w:val="0"/>
          <w:sz w:val="24"/>
        </w:rPr>
        <w:t>优先采购向我国企业转让技术、与我国企业签订消化吸收再创新方案的供应商的进口产品</w:t>
      </w:r>
      <w:r>
        <w:rPr>
          <w:rFonts w:hint="eastAsia" w:ascii="宋体" w:hAnsi="宋体" w:cs="宋体"/>
          <w:color w:val="auto"/>
          <w:sz w:val="24"/>
        </w:rPr>
        <w:t>。</w:t>
      </w:r>
    </w:p>
    <w:p>
      <w:pPr>
        <w:spacing w:line="360" w:lineRule="auto"/>
        <w:ind w:firstLine="240" w:firstLineChars="100"/>
        <w:rPr>
          <w:rFonts w:ascii="宋体" w:hAnsi="宋体" w:cs="宋体"/>
          <w:color w:val="auto"/>
          <w:sz w:val="24"/>
        </w:rPr>
      </w:pPr>
      <w:r>
        <w:rPr>
          <w:rFonts w:hint="eastAsia" w:ascii="宋体" w:hAnsi="宋体" w:cs="宋体"/>
          <w:color w:val="auto"/>
          <w:sz w:val="24"/>
        </w:rPr>
        <w:t>3.2 支持绿色发展</w:t>
      </w:r>
    </w:p>
    <w:p>
      <w:pPr>
        <w:spacing w:line="360" w:lineRule="auto"/>
        <w:ind w:firstLine="480" w:firstLineChars="200"/>
        <w:rPr>
          <w:rFonts w:ascii="宋体" w:hAnsi="宋体" w:cs="宋体"/>
          <w:b/>
          <w:color w:val="auto"/>
          <w:sz w:val="24"/>
        </w:rPr>
      </w:pPr>
      <w:r>
        <w:rPr>
          <w:rFonts w:hint="eastAsia" w:ascii="宋体" w:hAnsi="宋体" w:cs="宋体"/>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rPr>
      </w:pPr>
      <w:r>
        <w:rPr>
          <w:rFonts w:hint="eastAsia" w:ascii="宋体" w:hAnsi="宋体" w:cs="宋体"/>
          <w:color w:val="auto"/>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rPr>
      </w:pPr>
      <w:r>
        <w:rPr>
          <w:rFonts w:hint="eastAsia" w:ascii="宋体" w:hAnsi="宋体" w:cs="宋体"/>
          <w:color w:val="auto"/>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color w:val="auto"/>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rPr>
      </w:pPr>
      <w:r>
        <w:rPr>
          <w:rFonts w:ascii="宋体" w:hAnsi="宋体" w:cs="宋体"/>
          <w:color w:val="auto"/>
          <w:sz w:val="24"/>
          <w:highlight w:val="none"/>
        </w:rPr>
        <w:t xml:space="preserve">3.2.4 </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auto"/>
          <w:sz w:val="24"/>
        </w:rPr>
      </w:pPr>
      <w:r>
        <w:rPr>
          <w:rFonts w:hint="eastAsia" w:ascii="宋体" w:hAnsi="宋体" w:cs="宋体"/>
          <w:color w:val="auto"/>
          <w:sz w:val="24"/>
        </w:rPr>
        <w:t>3.3支持中小企业发展</w:t>
      </w:r>
    </w:p>
    <w:p>
      <w:pPr>
        <w:spacing w:line="360" w:lineRule="auto"/>
        <w:ind w:firstLine="480" w:firstLineChars="200"/>
        <w:rPr>
          <w:rFonts w:ascii="宋体" w:hAnsi="宋体" w:cs="宋体"/>
          <w:color w:val="auto"/>
          <w:sz w:val="24"/>
        </w:rPr>
      </w:pPr>
      <w:r>
        <w:rPr>
          <w:rFonts w:hint="eastAsia" w:ascii="宋体" w:hAnsi="宋体" w:cs="宋体"/>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rPr>
      </w:pPr>
      <w:r>
        <w:rPr>
          <w:rFonts w:hint="eastAsia" w:ascii="宋体" w:hAnsi="宋体" w:cs="宋体"/>
          <w:color w:val="auto"/>
          <w:sz w:val="24"/>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rPr>
      </w:pPr>
      <w:r>
        <w:rPr>
          <w:rFonts w:ascii="宋体" w:hAnsi="宋体" w:cs="宋体"/>
          <w:bCs/>
          <w:color w:val="auto"/>
          <w:sz w:val="24"/>
        </w:rPr>
        <w:t>3.3.2</w:t>
      </w:r>
      <w:r>
        <w:rPr>
          <w:rFonts w:hint="eastAsia" w:ascii="宋体" w:hAnsi="宋体" w:cs="宋体"/>
          <w:color w:val="auto"/>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2" w:firstLineChars="200"/>
        <w:jc w:val="left"/>
        <w:rPr>
          <w:rFonts w:ascii="宋体" w:hAnsi="宋体" w:cs="宋体"/>
          <w:b/>
          <w:bCs/>
          <w:color w:val="auto"/>
          <w:kern w:val="0"/>
          <w:sz w:val="24"/>
        </w:rPr>
      </w:pPr>
      <w:r>
        <w:rPr>
          <w:rFonts w:hint="eastAsia" w:ascii="宋体" w:hAnsi="宋体" w:cs="宋体"/>
          <w:b/>
          <w:bCs/>
          <w:color w:val="auto"/>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3.3.3</w:t>
      </w:r>
      <w:r>
        <w:rPr>
          <w:rFonts w:hint="eastAsia" w:ascii="宋体" w:hAnsi="宋体" w:cs="宋体"/>
          <w:b/>
          <w:bCs/>
          <w:color w:val="auto"/>
          <w:sz w:val="24"/>
        </w:rPr>
        <w:t>对于未预留份额专门面向中小企业的政府采购服务项目，</w:t>
      </w:r>
      <w:r>
        <w:rPr>
          <w:rFonts w:hint="eastAsia" w:ascii="宋体" w:hAnsi="宋体" w:cs="宋体"/>
          <w:color w:val="auto"/>
          <w:sz w:val="24"/>
        </w:rPr>
        <w:t>以及预留份额政府采购服务项目中的非预留部分标项，对小型和微型企业的投标报价给予10%-</w:t>
      </w:r>
      <w:r>
        <w:rPr>
          <w:rFonts w:ascii="宋体" w:hAnsi="宋体" w:cs="宋体"/>
          <w:color w:val="auto"/>
          <w:sz w:val="24"/>
        </w:rPr>
        <w:t>20</w:t>
      </w:r>
      <w:r>
        <w:rPr>
          <w:rFonts w:hint="eastAsia" w:ascii="宋体" w:hAnsi="宋体" w:cs="宋体"/>
          <w:color w:val="auto"/>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sz w:val="24"/>
        </w:rPr>
        <w:t>6</w:t>
      </w:r>
      <w:r>
        <w:rPr>
          <w:rFonts w:hint="eastAsia" w:ascii="宋体" w:hAnsi="宋体" w:cs="宋体"/>
          <w:color w:val="auto"/>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rPr>
      </w:pPr>
      <w:r>
        <w:rPr>
          <w:rFonts w:hint="eastAsia" w:ascii="宋体" w:hAnsi="宋体" w:cs="宋体"/>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rPr>
      </w:pPr>
      <w:r>
        <w:rPr>
          <w:rFonts w:hint="eastAsia" w:ascii="宋体" w:hAnsi="宋体" w:cs="宋体"/>
          <w:color w:val="auto"/>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rPr>
      </w:pPr>
      <w:r>
        <w:rPr>
          <w:rFonts w:hint="eastAsia" w:ascii="宋体" w:hAnsi="宋体" w:cs="宋体"/>
          <w:color w:val="auto"/>
          <w:sz w:val="24"/>
        </w:rPr>
        <w:t>3.4</w:t>
      </w:r>
      <w:r>
        <w:rPr>
          <w:rFonts w:hint="eastAsia" w:ascii="宋体" w:hAnsi="宋体" w:cs="宋体"/>
          <w:bCs/>
          <w:color w:val="auto"/>
          <w:sz w:val="24"/>
        </w:rPr>
        <w:t>支持创新发展</w:t>
      </w:r>
    </w:p>
    <w:p>
      <w:pPr>
        <w:spacing w:line="360" w:lineRule="auto"/>
        <w:ind w:firstLine="480" w:firstLineChars="200"/>
        <w:rPr>
          <w:rFonts w:ascii="宋体" w:hAnsi="宋体" w:cs="宋体"/>
          <w:color w:val="auto"/>
          <w:sz w:val="24"/>
        </w:rPr>
      </w:pPr>
      <w:r>
        <w:rPr>
          <w:rFonts w:hint="eastAsia" w:ascii="宋体" w:hAnsi="宋体" w:cs="宋体"/>
          <w:color w:val="auto"/>
          <w:sz w:val="24"/>
        </w:rPr>
        <w:t>3.4.1 采购人优先采购被认定为首台套产品和“制造精品”的自主创新产品。</w:t>
      </w:r>
    </w:p>
    <w:p>
      <w:pPr>
        <w:spacing w:line="360" w:lineRule="auto"/>
        <w:ind w:firstLine="480" w:firstLineChars="200"/>
        <w:rPr>
          <w:rFonts w:ascii="宋体" w:hAnsi="宋体" w:cs="宋体"/>
          <w:color w:val="auto"/>
          <w:sz w:val="24"/>
        </w:rPr>
      </w:pPr>
      <w:r>
        <w:rPr>
          <w:rFonts w:hint="eastAsia" w:ascii="宋体" w:hAnsi="宋体" w:cs="宋体"/>
          <w:color w:val="auto"/>
          <w:sz w:val="24"/>
        </w:rPr>
        <w:t>3.4.2首台套产品被纳入《首台套产品推广应用指导目录》之日起</w:t>
      </w:r>
      <w:r>
        <w:rPr>
          <w:rFonts w:ascii="宋体" w:hAnsi="宋体" w:cs="宋体"/>
          <w:color w:val="auto"/>
          <w:sz w:val="24"/>
        </w:rPr>
        <w:t>3</w:t>
      </w:r>
      <w:r>
        <w:rPr>
          <w:rFonts w:hint="eastAsia" w:ascii="宋体" w:hAnsi="宋体" w:cs="宋体"/>
          <w:color w:val="auto"/>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auto"/>
          <w:sz w:val="24"/>
        </w:rPr>
      </w:pPr>
      <w:r>
        <w:rPr>
          <w:rFonts w:hint="eastAsia" w:ascii="宋体" w:hAnsi="宋体" w:cs="宋体"/>
          <w:color w:val="auto"/>
          <w:sz w:val="24"/>
        </w:rPr>
        <w:t>3.5平等对待内外资企业和符合条件的破产重整企业</w:t>
      </w:r>
    </w:p>
    <w:p>
      <w:pPr>
        <w:spacing w:line="360" w:lineRule="auto"/>
        <w:ind w:firstLine="240" w:firstLineChars="100"/>
        <w:rPr>
          <w:rFonts w:ascii="宋体" w:hAnsi="宋体" w:cs="宋体"/>
          <w:b/>
          <w:color w:val="auto"/>
          <w:sz w:val="24"/>
        </w:rPr>
      </w:pPr>
      <w:r>
        <w:rPr>
          <w:rFonts w:hint="eastAsia" w:ascii="宋体" w:hAnsi="宋体" w:cs="宋体"/>
          <w:color w:val="auto"/>
          <w:sz w:val="24"/>
        </w:rPr>
        <w:t>平等对待内外资企业和符合条件的破产重整企业，切实保障企业公平竞争，平等维护企业的合法利益。</w:t>
      </w:r>
      <w:r>
        <w:rPr>
          <w:rFonts w:hint="eastAsia" w:ascii="宋体" w:hAnsi="宋体" w:cs="宋体"/>
          <w:color w:val="auto"/>
          <w:sz w:val="24"/>
        </w:rPr>
        <w:cr/>
      </w:r>
      <w:r>
        <w:rPr>
          <w:rFonts w:hint="eastAsia" w:ascii="宋体" w:hAnsi="宋体" w:cs="宋体"/>
          <w:b/>
          <w:color w:val="auto"/>
          <w:sz w:val="24"/>
        </w:rPr>
        <w:t>4. 询问、质疑、投诉</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4.2供应商询问</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lang w:val="zh-CN"/>
        </w:rPr>
      </w:pPr>
      <w:r>
        <w:rPr>
          <w:rFonts w:hint="eastAsia" w:ascii="宋体" w:hAnsi="宋体" w:cs="宋体"/>
          <w:color w:val="auto"/>
          <w:kern w:val="0"/>
          <w:sz w:val="24"/>
          <w:lang w:val="zh-CN"/>
        </w:rPr>
        <w:t>4.3供应商质疑</w:t>
      </w:r>
    </w:p>
    <w:p>
      <w:pPr>
        <w:pStyle w:val="36"/>
        <w:spacing w:line="360" w:lineRule="auto"/>
        <w:ind w:firstLine="480" w:firstLineChars="200"/>
        <w:rPr>
          <w:rFonts w:hAnsi="宋体" w:cs="宋体"/>
          <w:color w:val="auto"/>
          <w:sz w:val="24"/>
        </w:rPr>
      </w:pPr>
      <w:r>
        <w:rPr>
          <w:rFonts w:hint="eastAsia" w:hAnsi="宋体" w:cs="宋体"/>
          <w:color w:val="auto"/>
          <w:kern w:val="0"/>
          <w:sz w:val="24"/>
          <w:lang w:val="zh-CN"/>
        </w:rPr>
        <w:t>4.3</w:t>
      </w:r>
      <w:r>
        <w:rPr>
          <w:rFonts w:hint="eastAsia" w:hAnsi="宋体" w:cs="宋体"/>
          <w:color w:val="auto"/>
          <w:sz w:val="24"/>
        </w:rPr>
        <w:t>.1提出质疑的供应商应当是参与所质疑项目采购活动的供应商。潜在供应商已依法获取其可质疑的招标文件的，可以对该文件提出质疑。</w:t>
      </w:r>
    </w:p>
    <w:p>
      <w:pPr>
        <w:pStyle w:val="36"/>
        <w:spacing w:line="360" w:lineRule="auto"/>
        <w:ind w:firstLine="480" w:firstLineChars="200"/>
        <w:rPr>
          <w:rFonts w:hAnsi="宋体" w:cs="宋体"/>
          <w:color w:val="auto"/>
          <w:sz w:val="24"/>
        </w:rPr>
      </w:pPr>
      <w:r>
        <w:rPr>
          <w:rFonts w:hint="eastAsia" w:hAnsi="宋体" w:cs="宋体"/>
          <w:color w:val="auto"/>
          <w:kern w:val="0"/>
          <w:sz w:val="24"/>
          <w:lang w:val="zh-CN"/>
        </w:rPr>
        <w:t>4.3</w:t>
      </w:r>
      <w:r>
        <w:rPr>
          <w:rFonts w:hint="eastAsia" w:hAnsi="宋体" w:cs="宋体"/>
          <w:color w:val="auto"/>
          <w:sz w:val="24"/>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lang w:eastAsia="zh-CN"/>
        </w:rPr>
        <w:t>采购代理机构</w:t>
      </w:r>
      <w:r>
        <w:rPr>
          <w:rFonts w:hint="eastAsia" w:hAnsi="宋体" w:cs="宋体"/>
          <w:color w:val="auto"/>
          <w:sz w:val="24"/>
        </w:rPr>
        <w:t>提出质疑，否则，采购人或者</w:t>
      </w:r>
      <w:r>
        <w:rPr>
          <w:rFonts w:hint="eastAsia" w:hAnsi="宋体" w:cs="宋体"/>
          <w:color w:val="auto"/>
          <w:sz w:val="24"/>
          <w:lang w:eastAsia="zh-CN"/>
        </w:rPr>
        <w:t>采购代理机构</w:t>
      </w:r>
      <w:r>
        <w:rPr>
          <w:rFonts w:hint="eastAsia" w:hAnsi="宋体" w:cs="宋体"/>
          <w:color w:val="auto"/>
          <w:sz w:val="24"/>
        </w:rPr>
        <w:t>不予受理：</w:t>
      </w:r>
    </w:p>
    <w:p>
      <w:pPr>
        <w:pStyle w:val="6"/>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6"/>
        <w:spacing w:line="360" w:lineRule="auto"/>
        <w:ind w:left="479" w:leftChars="228"/>
        <w:rPr>
          <w:rFonts w:hAnsi="宋体" w:cs="宋体"/>
          <w:color w:val="auto"/>
          <w:sz w:val="24"/>
        </w:rPr>
      </w:pPr>
      <w:r>
        <w:rPr>
          <w:rFonts w:hint="eastAsia" w:hAnsi="宋体" w:cs="宋体"/>
          <w:color w:val="auto"/>
          <w:sz w:val="24"/>
        </w:rPr>
        <w:t>4.3.2.2对采购过程提出质疑的，质疑期限为各采购程序环节结束之日起计算。4.3.2.3对采购结果提出质疑的，质疑期限自采购结果公告期限届满之日起计算。</w:t>
      </w:r>
    </w:p>
    <w:p>
      <w:pPr>
        <w:pStyle w:val="36"/>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4.3.3</w:t>
      </w:r>
      <w:r>
        <w:rPr>
          <w:rFonts w:hint="eastAsia" w:hAnsi="宋体" w:cs="宋体"/>
          <w:color w:val="auto"/>
          <w:sz w:val="24"/>
        </w:rPr>
        <w:t>供应商提出质疑应当提交质疑函和必要的证明材料。质疑函应当包括下列内容：</w:t>
      </w:r>
    </w:p>
    <w:p>
      <w:pPr>
        <w:pStyle w:val="36"/>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4.3.3.1供应商的姓名或者名称、地址、邮编、联系人及联系电话；</w:t>
      </w:r>
    </w:p>
    <w:p>
      <w:pPr>
        <w:pStyle w:val="36"/>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4.3.3.2质疑项目的名称、编号；</w:t>
      </w:r>
    </w:p>
    <w:p>
      <w:pPr>
        <w:pStyle w:val="36"/>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4.3.3.3具体、明确的质疑事项和与质疑事项相关的请求；</w:t>
      </w:r>
    </w:p>
    <w:p>
      <w:pPr>
        <w:pStyle w:val="36"/>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4.3.3.4事实依据；</w:t>
      </w:r>
    </w:p>
    <w:p>
      <w:pPr>
        <w:pStyle w:val="36"/>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4.3.3.5必要的法律依据；</w:t>
      </w:r>
    </w:p>
    <w:p>
      <w:pPr>
        <w:pStyle w:val="36"/>
        <w:spacing w:line="360" w:lineRule="auto"/>
        <w:ind w:firstLine="960" w:firstLineChars="400"/>
        <w:rPr>
          <w:rFonts w:hAnsi="宋体" w:cs="宋体"/>
          <w:color w:val="auto"/>
          <w:kern w:val="0"/>
          <w:sz w:val="24"/>
          <w:lang w:val="zh-CN"/>
        </w:rPr>
      </w:pPr>
      <w:r>
        <w:rPr>
          <w:rFonts w:hint="eastAsia" w:hAnsi="宋体" w:cs="宋体"/>
          <w:color w:val="auto"/>
          <w:kern w:val="0"/>
          <w:sz w:val="24"/>
          <w:lang w:val="zh-CN"/>
        </w:rPr>
        <w:t>4.3.3.6提出质疑的日期。</w:t>
      </w:r>
    </w:p>
    <w:p>
      <w:pPr>
        <w:pStyle w:val="886"/>
        <w:shd w:val="clear" w:color="auto" w:fill="FFFFFF"/>
        <w:snapToGrid w:val="0"/>
        <w:spacing w:after="240" w:afterAutospacing="0" w:line="360" w:lineRule="auto"/>
        <w:ind w:firstLine="400"/>
        <w:contextualSpacing/>
        <w:rPr>
          <w:color w:val="auto"/>
        </w:rPr>
      </w:pPr>
      <w:r>
        <w:rPr>
          <w:rFonts w:hint="eastAsia"/>
          <w:color w:val="auto"/>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color w:val="auto"/>
        </w:rPr>
      </w:pPr>
      <w:r>
        <w:rPr>
          <w:rFonts w:hint="eastAsia"/>
          <w:color w:val="auto"/>
        </w:rPr>
        <w:t>质疑函范本及制作说明详见附件2。</w:t>
      </w:r>
    </w:p>
    <w:p>
      <w:pPr>
        <w:pStyle w:val="886"/>
        <w:shd w:val="clear" w:color="auto" w:fill="FFFFFF"/>
        <w:snapToGrid w:val="0"/>
        <w:spacing w:after="240" w:afterAutospacing="0" w:line="360" w:lineRule="auto"/>
        <w:ind w:firstLine="400"/>
        <w:contextualSpacing/>
        <w:rPr>
          <w:color w:val="auto"/>
        </w:rPr>
      </w:pPr>
      <w:r>
        <w:rPr>
          <w:rFonts w:hint="eastAsia"/>
          <w:color w:val="auto"/>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rPr>
          <w:color w:val="auto"/>
        </w:rPr>
      </w:pPr>
      <w:r>
        <w:rPr>
          <w:rFonts w:hint="eastAsia"/>
          <w:color w:val="auto"/>
          <w:lang w:val="zh-CN"/>
        </w:rPr>
        <w:t>4.3</w:t>
      </w:r>
      <w:r>
        <w:rPr>
          <w:rFonts w:hint="eastAsia"/>
          <w:color w:val="auto"/>
        </w:rPr>
        <w:t>.5采购人或者</w:t>
      </w:r>
      <w:r>
        <w:rPr>
          <w:rFonts w:hint="eastAsia"/>
          <w:color w:val="auto"/>
          <w:lang w:eastAsia="zh-CN"/>
        </w:rPr>
        <w:t>采购代理机构</w:t>
      </w:r>
      <w:r>
        <w:rPr>
          <w:rFonts w:hint="eastAsia"/>
          <w:color w:val="auto"/>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color w:val="auto"/>
          <w:lang w:eastAsia="zh-CN"/>
        </w:rPr>
        <w:t>采购代理机构</w:t>
      </w:r>
      <w:r>
        <w:rPr>
          <w:rFonts w:hint="eastAsia"/>
          <w:color w:val="auto"/>
        </w:rPr>
        <w:t>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color w:val="auto"/>
        </w:rPr>
      </w:pPr>
      <w:r>
        <w:rPr>
          <w:rFonts w:hint="eastAsia"/>
          <w:color w:val="auto"/>
          <w:lang w:val="zh-CN"/>
        </w:rPr>
        <w:t>4.3</w:t>
      </w:r>
      <w:r>
        <w:rPr>
          <w:rFonts w:hint="eastAsia"/>
          <w:color w:val="auto"/>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color w:val="auto"/>
          <w:lang w:val="zh-CN"/>
        </w:rPr>
      </w:pPr>
      <w:r>
        <w:rPr>
          <w:rFonts w:hint="eastAsia"/>
          <w:color w:val="auto"/>
          <w:lang w:val="zh-CN"/>
        </w:rPr>
        <w:t>4.4供应商投诉</w:t>
      </w:r>
    </w:p>
    <w:p>
      <w:pPr>
        <w:pStyle w:val="886"/>
        <w:shd w:val="clear" w:color="auto" w:fill="FFFFFF"/>
        <w:snapToGrid w:val="0"/>
        <w:spacing w:after="240" w:afterAutospacing="0" w:line="360" w:lineRule="auto"/>
        <w:ind w:firstLine="400"/>
        <w:contextualSpacing/>
        <w:rPr>
          <w:color w:val="auto"/>
        </w:rPr>
      </w:pPr>
      <w:r>
        <w:rPr>
          <w:rFonts w:hint="eastAsia"/>
          <w:color w:val="auto"/>
        </w:rPr>
        <w:t>4.4.1质疑供应商对采购人、</w:t>
      </w:r>
      <w:r>
        <w:rPr>
          <w:rFonts w:hint="eastAsia"/>
          <w:color w:val="auto"/>
          <w:lang w:eastAsia="zh-CN"/>
        </w:rPr>
        <w:t>采购代理机构</w:t>
      </w:r>
      <w:r>
        <w:rPr>
          <w:rFonts w:hint="eastAsia"/>
          <w:color w:val="auto"/>
        </w:rPr>
        <w:t>的答复不满意或者采购人、</w:t>
      </w:r>
      <w:r>
        <w:rPr>
          <w:rFonts w:hint="eastAsia"/>
          <w:color w:val="auto"/>
          <w:lang w:eastAsia="zh-CN"/>
        </w:rPr>
        <w:t>采购代理机构</w:t>
      </w:r>
      <w:r>
        <w:rPr>
          <w:rFonts w:hint="eastAsia"/>
          <w:color w:val="auto"/>
        </w:rPr>
        <w:t>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color w:val="auto"/>
        </w:rPr>
      </w:pPr>
      <w:r>
        <w:rPr>
          <w:rFonts w:hint="eastAsia"/>
          <w:color w:val="auto"/>
        </w:rPr>
        <w:t>4.4.</w:t>
      </w:r>
      <w:r>
        <w:rPr>
          <w:rFonts w:hint="eastAsia"/>
          <w:color w:val="auto"/>
          <w:lang w:val="zh-CN"/>
        </w:rPr>
        <w:t>2</w:t>
      </w:r>
      <w:r>
        <w:rPr>
          <w:rFonts w:hint="eastAsia"/>
          <w:color w:val="auto"/>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color w:val="auto"/>
        </w:rPr>
      </w:pPr>
      <w:r>
        <w:rPr>
          <w:rFonts w:hint="eastAsia"/>
          <w:color w:val="auto"/>
        </w:rPr>
        <w:t>4.4.3供应商投诉应当有明确的请求和必要的证明材料。</w:t>
      </w:r>
    </w:p>
    <w:p>
      <w:pPr>
        <w:pStyle w:val="886"/>
        <w:shd w:val="clear" w:color="auto" w:fill="FFFFFF"/>
        <w:snapToGrid w:val="0"/>
        <w:spacing w:after="240" w:afterAutospacing="0" w:line="360" w:lineRule="auto"/>
        <w:ind w:firstLine="400"/>
        <w:contextualSpacing/>
        <w:rPr>
          <w:color w:val="auto"/>
        </w:rPr>
      </w:pPr>
      <w:r>
        <w:rPr>
          <w:rFonts w:hint="eastAsia"/>
          <w:color w:val="auto"/>
        </w:rPr>
        <w:t>4.4.4以联合体形式参加政府采购活动的，其投诉应当由组成联合体的所有供应商共同提出。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color w:val="auto"/>
        </w:rPr>
      </w:pPr>
      <w:r>
        <w:rPr>
          <w:rFonts w:hint="eastAsia"/>
          <w:color w:val="auto"/>
        </w:rPr>
        <w:t>投诉书范本及制作说明详见附件3。</w:t>
      </w:r>
    </w:p>
    <w:p>
      <w:pPr>
        <w:pStyle w:val="128"/>
        <w:snapToGrid w:val="0"/>
        <w:spacing w:before="0"/>
        <w:ind w:firstLine="360"/>
        <w:rPr>
          <w:rFonts w:ascii="宋体" w:hAnsi="宋体" w:cs="宋体"/>
          <w:color w:val="auto"/>
          <w:sz w:val="18"/>
          <w:szCs w:val="18"/>
        </w:rPr>
      </w:pPr>
    </w:p>
    <w:p>
      <w:pPr>
        <w:adjustRightInd/>
        <w:spacing w:line="360" w:lineRule="auto"/>
        <w:jc w:val="center"/>
        <w:outlineLvl w:val="0"/>
        <w:rPr>
          <w:rFonts w:ascii="宋体" w:hAnsi="宋体" w:cs="宋体"/>
          <w:b/>
          <w:color w:val="auto"/>
          <w:sz w:val="32"/>
          <w:szCs w:val="20"/>
        </w:rPr>
      </w:pPr>
      <w:r>
        <w:rPr>
          <w:rFonts w:hint="eastAsia" w:ascii="宋体" w:hAnsi="宋体" w:cs="宋体"/>
          <w:b/>
          <w:color w:val="auto"/>
          <w:sz w:val="32"/>
          <w:szCs w:val="20"/>
        </w:rPr>
        <w:t xml:space="preserve">      二、招标文件的构成、澄清、修改</w:t>
      </w:r>
    </w:p>
    <w:p>
      <w:pPr>
        <w:pStyle w:val="36"/>
        <w:spacing w:line="360" w:lineRule="auto"/>
        <w:rPr>
          <w:rFonts w:hAnsi="宋体" w:cs="宋体"/>
          <w:b/>
          <w:color w:val="auto"/>
          <w:sz w:val="24"/>
          <w:szCs w:val="24"/>
        </w:rPr>
      </w:pPr>
      <w:r>
        <w:rPr>
          <w:rFonts w:hint="eastAsia" w:hAnsi="宋体" w:cs="宋体"/>
          <w:b/>
          <w:color w:val="auto"/>
          <w:sz w:val="24"/>
          <w:szCs w:val="24"/>
        </w:rPr>
        <w:t>5．招标文件的构成</w:t>
      </w:r>
    </w:p>
    <w:p>
      <w:pPr>
        <w:pStyle w:val="36"/>
        <w:spacing w:line="360" w:lineRule="auto"/>
        <w:ind w:firstLine="480" w:firstLineChars="200"/>
        <w:rPr>
          <w:rFonts w:hAnsi="宋体" w:cs="宋体"/>
          <w:color w:val="auto"/>
          <w:sz w:val="24"/>
          <w:szCs w:val="24"/>
        </w:rPr>
      </w:pPr>
      <w:r>
        <w:rPr>
          <w:rFonts w:hint="eastAsia" w:hAnsi="宋体" w:cs="宋体"/>
          <w:color w:val="auto"/>
          <w:sz w:val="24"/>
          <w:szCs w:val="24"/>
        </w:rPr>
        <w:t>5.1 招标文件包括下列文件及附件：</w:t>
      </w:r>
    </w:p>
    <w:p>
      <w:pPr>
        <w:pStyle w:val="36"/>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5.1.1招标公告；</w:t>
      </w:r>
    </w:p>
    <w:p>
      <w:pPr>
        <w:pStyle w:val="36"/>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5.1.2投标人须知；</w:t>
      </w:r>
    </w:p>
    <w:p>
      <w:pPr>
        <w:pStyle w:val="36"/>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5.1.3采购需求；</w:t>
      </w:r>
    </w:p>
    <w:p>
      <w:pPr>
        <w:pStyle w:val="36"/>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5.1.4评标办法；</w:t>
      </w:r>
    </w:p>
    <w:p>
      <w:pPr>
        <w:pStyle w:val="36"/>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5.1.5拟签订的合同文本；</w:t>
      </w:r>
    </w:p>
    <w:p>
      <w:pPr>
        <w:pStyle w:val="36"/>
        <w:tabs>
          <w:tab w:val="left" w:pos="840"/>
        </w:tabs>
        <w:spacing w:line="360" w:lineRule="auto"/>
        <w:ind w:firstLine="960" w:firstLineChars="400"/>
        <w:rPr>
          <w:rFonts w:hAnsi="宋体" w:cs="宋体"/>
          <w:color w:val="auto"/>
          <w:sz w:val="24"/>
          <w:szCs w:val="24"/>
        </w:rPr>
      </w:pPr>
      <w:r>
        <w:rPr>
          <w:rFonts w:hint="eastAsia" w:hAnsi="宋体" w:cs="宋体"/>
          <w:color w:val="auto"/>
          <w:sz w:val="24"/>
        </w:rPr>
        <w:t>5.1.6</w:t>
      </w:r>
      <w:r>
        <w:rPr>
          <w:rFonts w:hint="eastAsia" w:hAnsi="宋体" w:cs="宋体"/>
          <w:color w:val="auto"/>
          <w:sz w:val="24"/>
          <w:szCs w:val="24"/>
        </w:rPr>
        <w:t>应提交的有关格式范例。</w:t>
      </w:r>
    </w:p>
    <w:p>
      <w:pPr>
        <w:spacing w:line="360" w:lineRule="auto"/>
        <w:ind w:firstLine="480" w:firstLineChars="200"/>
        <w:rPr>
          <w:rFonts w:ascii="宋体" w:hAnsi="宋体" w:cs="宋体"/>
          <w:color w:val="auto"/>
          <w:sz w:val="24"/>
        </w:rPr>
      </w:pPr>
      <w:r>
        <w:rPr>
          <w:rFonts w:hint="eastAsia" w:ascii="宋体" w:hAnsi="宋体" w:cs="宋体"/>
          <w:color w:val="auto"/>
          <w:sz w:val="24"/>
        </w:rPr>
        <w:t>5.2与本项目有关的</w:t>
      </w:r>
      <w:r>
        <w:rPr>
          <w:rFonts w:hint="eastAsia" w:ascii="宋体" w:hAnsi="宋体" w:cs="宋体"/>
          <w:bCs/>
          <w:color w:val="auto"/>
          <w:sz w:val="24"/>
        </w:rPr>
        <w:t>澄清或者修改的内容为招标文件的组成部分</w:t>
      </w:r>
      <w:r>
        <w:rPr>
          <w:rFonts w:hint="eastAsia" w:ascii="宋体" w:hAnsi="宋体" w:cs="宋体"/>
          <w:color w:val="auto"/>
          <w:sz w:val="24"/>
        </w:rPr>
        <w:t>。</w:t>
      </w:r>
    </w:p>
    <w:p>
      <w:pPr>
        <w:pStyle w:val="36"/>
        <w:spacing w:line="360" w:lineRule="auto"/>
        <w:rPr>
          <w:rFonts w:hAnsi="宋体" w:cs="宋体"/>
          <w:b/>
          <w:color w:val="auto"/>
          <w:sz w:val="24"/>
          <w:szCs w:val="24"/>
        </w:rPr>
      </w:pPr>
      <w:r>
        <w:rPr>
          <w:rFonts w:hint="eastAsia" w:hAnsi="宋体" w:cs="宋体"/>
          <w:b/>
          <w:color w:val="auto"/>
          <w:sz w:val="24"/>
          <w:szCs w:val="24"/>
        </w:rPr>
        <w:t>6. 招标文件的澄清、修改</w:t>
      </w:r>
    </w:p>
    <w:p>
      <w:pPr>
        <w:pStyle w:val="128"/>
        <w:snapToGrid w:val="0"/>
        <w:spacing w:before="0"/>
        <w:ind w:firstLine="480"/>
        <w:rPr>
          <w:rFonts w:ascii="宋体" w:hAnsi="宋体" w:cs="宋体"/>
          <w:color w:val="auto"/>
        </w:rPr>
      </w:pPr>
      <w:r>
        <w:rPr>
          <w:rFonts w:hint="eastAsia" w:ascii="宋体" w:hAnsi="宋体" w:cs="宋体"/>
          <w:color w:val="auto"/>
        </w:rPr>
        <w:t>6.1已获取招标文件的潜在投标人，若有问题需要澄清，应于投标截止时间前，以书面形式向</w:t>
      </w:r>
      <w:r>
        <w:rPr>
          <w:rFonts w:hint="eastAsia" w:ascii="宋体" w:hAnsi="宋体" w:cs="宋体"/>
          <w:color w:val="auto"/>
          <w:lang w:eastAsia="zh-CN"/>
        </w:rPr>
        <w:t>采购代理机构</w:t>
      </w:r>
      <w:r>
        <w:rPr>
          <w:rFonts w:hint="eastAsia" w:ascii="宋体" w:hAnsi="宋体" w:cs="宋体"/>
          <w:color w:val="auto"/>
        </w:rPr>
        <w:t>提出。</w:t>
      </w:r>
    </w:p>
    <w:p>
      <w:pPr>
        <w:pStyle w:val="128"/>
        <w:snapToGrid w:val="0"/>
        <w:spacing w:before="0"/>
        <w:ind w:firstLine="480"/>
        <w:rPr>
          <w:rFonts w:ascii="宋体" w:hAnsi="宋体" w:cs="宋体"/>
          <w:color w:val="auto"/>
        </w:rPr>
      </w:pPr>
      <w:r>
        <w:rPr>
          <w:rFonts w:hint="eastAsia" w:ascii="宋体" w:hAnsi="宋体" w:cs="宋体"/>
          <w:color w:val="auto"/>
        </w:rPr>
        <w:t xml:space="preserve">6.2 </w:t>
      </w:r>
      <w:r>
        <w:rPr>
          <w:rFonts w:hint="eastAsia" w:ascii="宋体" w:hAnsi="宋体" w:cs="宋体"/>
          <w:color w:val="auto"/>
          <w:lang w:eastAsia="zh-CN"/>
        </w:rPr>
        <w:t>采购代理机构</w:t>
      </w:r>
      <w:r>
        <w:rPr>
          <w:rFonts w:hint="eastAsia" w:ascii="宋体" w:hAnsi="宋体" w:cs="宋体"/>
          <w:color w:val="auto"/>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Ansi="宋体" w:cs="宋体"/>
          <w:color w:val="auto"/>
          <w:sz w:val="18"/>
          <w:szCs w:val="18"/>
          <w:lang w:val="en-US"/>
        </w:rPr>
      </w:pPr>
      <w:r>
        <w:rPr>
          <w:rFonts w:hint="eastAsia" w:hAnsi="宋体" w:cs="宋体"/>
          <w:color w:val="auto"/>
          <w:szCs w:val="24"/>
          <w:lang w:val="en-US"/>
        </w:rPr>
        <w:t xml:space="preserve">    </w:t>
      </w:r>
    </w:p>
    <w:p>
      <w:pPr>
        <w:adjustRightInd/>
        <w:spacing w:line="360" w:lineRule="auto"/>
        <w:jc w:val="center"/>
        <w:outlineLvl w:val="0"/>
        <w:rPr>
          <w:rFonts w:ascii="宋体" w:hAnsi="宋体" w:cs="宋体"/>
          <w:b/>
          <w:color w:val="auto"/>
          <w:sz w:val="30"/>
          <w:szCs w:val="20"/>
        </w:rPr>
      </w:pPr>
      <w:r>
        <w:rPr>
          <w:rFonts w:hint="eastAsia" w:ascii="宋体" w:hAnsi="宋体" w:cs="宋体"/>
          <w:b/>
          <w:color w:val="auto"/>
          <w:sz w:val="30"/>
          <w:szCs w:val="20"/>
        </w:rPr>
        <w:t>三、投标</w:t>
      </w:r>
    </w:p>
    <w:p>
      <w:pPr>
        <w:pStyle w:val="36"/>
        <w:spacing w:line="360" w:lineRule="auto"/>
        <w:rPr>
          <w:rFonts w:hAnsi="宋体" w:cs="宋体"/>
          <w:b/>
          <w:color w:val="auto"/>
          <w:sz w:val="24"/>
          <w:szCs w:val="24"/>
        </w:rPr>
      </w:pPr>
      <w:r>
        <w:rPr>
          <w:rFonts w:hint="eastAsia" w:hAnsi="宋体" w:cs="宋体"/>
          <w:b/>
          <w:color w:val="auto"/>
          <w:sz w:val="24"/>
          <w:szCs w:val="24"/>
        </w:rPr>
        <w:t>7. 招标文件的获取</w:t>
      </w:r>
    </w:p>
    <w:p>
      <w:pPr>
        <w:spacing w:line="360" w:lineRule="auto"/>
        <w:ind w:firstLine="480" w:firstLineChars="200"/>
        <w:rPr>
          <w:rFonts w:ascii="宋体" w:hAnsi="宋体" w:cs="宋体"/>
          <w:snapToGrid w:val="0"/>
          <w:color w:val="auto"/>
          <w:kern w:val="28"/>
          <w:sz w:val="24"/>
        </w:rPr>
      </w:pPr>
      <w:r>
        <w:rPr>
          <w:rFonts w:hint="eastAsia" w:ascii="宋体" w:hAnsi="宋体" w:cs="宋体"/>
          <w:snapToGrid w:val="0"/>
          <w:color w:val="auto"/>
          <w:kern w:val="28"/>
          <w:sz w:val="24"/>
        </w:rPr>
        <w:t>详见招标公告中获取招标文件的时间期限、地点、方式及招标文件售价。</w:t>
      </w:r>
    </w:p>
    <w:p>
      <w:pPr>
        <w:pStyle w:val="36"/>
        <w:spacing w:line="360" w:lineRule="auto"/>
        <w:rPr>
          <w:rFonts w:hAnsi="宋体" w:cs="宋体"/>
          <w:b/>
          <w:color w:val="auto"/>
          <w:sz w:val="24"/>
          <w:szCs w:val="24"/>
        </w:rPr>
      </w:pPr>
      <w:r>
        <w:rPr>
          <w:rFonts w:hint="eastAsia" w:hAnsi="宋体" w:cs="宋体"/>
          <w:b/>
          <w:color w:val="auto"/>
          <w:sz w:val="24"/>
          <w:szCs w:val="24"/>
        </w:rPr>
        <w:t>8.开标前答疑会或现场考察</w:t>
      </w:r>
    </w:p>
    <w:p>
      <w:pPr>
        <w:pStyle w:val="36"/>
        <w:spacing w:line="360" w:lineRule="auto"/>
        <w:ind w:firstLine="480" w:firstLineChars="200"/>
        <w:rPr>
          <w:rFonts w:hAnsi="宋体" w:cs="宋体"/>
          <w:color w:val="auto"/>
          <w:sz w:val="24"/>
          <w:szCs w:val="24"/>
        </w:rPr>
      </w:pPr>
      <w:r>
        <w:rPr>
          <w:rFonts w:hint="eastAsia" w:hAnsi="宋体" w:cs="宋体"/>
          <w:color w:val="auto"/>
          <w:sz w:val="24"/>
          <w:szCs w:val="24"/>
        </w:rPr>
        <w:t>采购人组织潜在投标人现场考察或者召开开标前答疑会的，潜在投标人按第二部分投标人须知前附表的规定参加现场考察或者开标前答疑会。</w:t>
      </w:r>
    </w:p>
    <w:p>
      <w:pPr>
        <w:pStyle w:val="36"/>
        <w:spacing w:line="360" w:lineRule="auto"/>
        <w:rPr>
          <w:rFonts w:hAnsi="宋体" w:cs="宋体"/>
          <w:b/>
          <w:color w:val="auto"/>
          <w:szCs w:val="24"/>
        </w:rPr>
      </w:pPr>
      <w:r>
        <w:rPr>
          <w:rFonts w:hint="eastAsia" w:hAnsi="宋体" w:cs="宋体"/>
          <w:b/>
          <w:color w:val="auto"/>
          <w:kern w:val="28"/>
          <w:sz w:val="24"/>
          <w:szCs w:val="24"/>
        </w:rPr>
        <w:t>9.投标保证金</w:t>
      </w:r>
    </w:p>
    <w:p>
      <w:pPr>
        <w:pStyle w:val="6"/>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6"/>
        <w:spacing w:line="360" w:lineRule="auto"/>
        <w:rPr>
          <w:rFonts w:hAnsi="宋体" w:cs="宋体"/>
          <w:b/>
          <w:color w:val="auto"/>
          <w:sz w:val="24"/>
          <w:szCs w:val="24"/>
        </w:rPr>
      </w:pPr>
      <w:r>
        <w:rPr>
          <w:rFonts w:hint="eastAsia" w:hAnsi="宋体" w:cs="宋体"/>
          <w:b/>
          <w:color w:val="auto"/>
          <w:sz w:val="24"/>
          <w:szCs w:val="24"/>
        </w:rPr>
        <w:t>10. 投标文件的语言</w:t>
      </w:r>
    </w:p>
    <w:p>
      <w:pPr>
        <w:autoSpaceDE w:val="0"/>
        <w:autoSpaceDN w:val="0"/>
        <w:spacing w:line="360" w:lineRule="auto"/>
        <w:ind w:firstLine="480" w:firstLineChars="200"/>
        <w:rPr>
          <w:rFonts w:ascii="宋体" w:hAnsi="宋体" w:cs="宋体"/>
          <w:color w:val="auto"/>
          <w:sz w:val="24"/>
          <w:lang w:val="zh-CN"/>
        </w:rPr>
      </w:pPr>
      <w:r>
        <w:rPr>
          <w:rFonts w:hint="eastAsia" w:ascii="宋体" w:hAnsi="宋体" w:cs="宋体"/>
          <w:color w:val="auto"/>
          <w:sz w:val="24"/>
        </w:rPr>
        <w:t>投标文件及投标人与采购有关的来往通知、函件和文件均应使用中文。</w:t>
      </w:r>
    </w:p>
    <w:p>
      <w:pPr>
        <w:pStyle w:val="36"/>
        <w:spacing w:line="360" w:lineRule="auto"/>
        <w:rPr>
          <w:rFonts w:hAnsi="宋体" w:cs="宋体"/>
          <w:b/>
          <w:color w:val="auto"/>
          <w:sz w:val="24"/>
          <w:szCs w:val="24"/>
        </w:rPr>
      </w:pPr>
      <w:r>
        <w:rPr>
          <w:rFonts w:hint="eastAsia" w:hAnsi="宋体" w:cs="宋体"/>
          <w:b/>
          <w:color w:val="auto"/>
          <w:sz w:val="24"/>
          <w:szCs w:val="24"/>
        </w:rPr>
        <w:t>11. 投标文件的组成</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11.1</w:t>
      </w:r>
      <w:r>
        <w:rPr>
          <w:rFonts w:hint="eastAsia" w:ascii="宋体" w:hAnsi="宋体" w:cs="宋体"/>
          <w:b/>
          <w:color w:val="auto"/>
          <w:sz w:val="24"/>
        </w:rPr>
        <w:t>资格文件</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11.1.1符合参加政府采购活动应当具备的一般条件的承诺函；</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w:t>
      </w:r>
      <w:r>
        <w:rPr>
          <w:rFonts w:ascii="宋体" w:hAnsi="宋体" w:cs="宋体"/>
          <w:color w:val="auto"/>
          <w:sz w:val="24"/>
        </w:rPr>
        <w:t>1.1.2</w:t>
      </w:r>
      <w:r>
        <w:rPr>
          <w:rFonts w:hint="eastAsia" w:ascii="宋体" w:hAnsi="宋体" w:cs="宋体"/>
          <w:snapToGrid w:val="0"/>
          <w:color w:val="auto"/>
          <w:kern w:val="28"/>
          <w:sz w:val="24"/>
          <w:szCs w:val="20"/>
        </w:rPr>
        <w:t>联合协议</w:t>
      </w:r>
      <w:r>
        <w:rPr>
          <w:rFonts w:hint="eastAsia" w:ascii="宋体" w:hAnsi="宋体" w:cs="宋体"/>
          <w:snapToGrid w:val="0"/>
          <w:color w:val="auto"/>
          <w:kern w:val="28"/>
          <w:sz w:val="24"/>
          <w:szCs w:val="20"/>
        </w:rPr>
        <w:t>（如果有)</w:t>
      </w:r>
      <w:r>
        <w:rPr>
          <w:rFonts w:hint="eastAsia" w:ascii="宋体" w:hAnsi="宋体" w:cs="宋体"/>
          <w:snapToGrid w:val="0"/>
          <w:color w:val="auto"/>
          <w:kern w:val="28"/>
          <w:sz w:val="24"/>
          <w:szCs w:val="20"/>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3</w:t>
      </w:r>
      <w:r>
        <w:rPr>
          <w:rFonts w:hint="eastAsia" w:ascii="宋体" w:hAnsi="宋体" w:cs="宋体"/>
          <w:color w:val="auto"/>
          <w:sz w:val="24"/>
        </w:rPr>
        <w:t>落实政府采购政策需满足的资格要求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11.2.1投标函；</w:t>
      </w:r>
      <w:r>
        <w:rPr>
          <w:rFonts w:hint="eastAsia" w:ascii="宋体" w:hAnsi="宋体" w:cs="宋体"/>
          <w:color w:val="auto"/>
          <w:sz w:val="24"/>
          <w:lang w:val="zh-CN"/>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11.2.2授权委托书或法定代表人（单位负责人、自然人本人）身份证明；</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firstLine="960" w:firstLineChars="4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firstLine="480" w:firstLineChars="200"/>
        <w:rPr>
          <w:rFonts w:ascii="宋体" w:hAnsi="宋体" w:cs="宋体"/>
          <w:color w:val="auto"/>
          <w:sz w:val="24"/>
          <w:u w:val="single"/>
          <w:lang w:val="zh-CN"/>
        </w:rPr>
      </w:pPr>
      <w:r>
        <w:rPr>
          <w:rFonts w:hint="eastAsia" w:ascii="宋体" w:hAnsi="宋体" w:cs="宋体"/>
          <w:color w:val="auto"/>
          <w:kern w:val="0"/>
          <w:sz w:val="24"/>
          <w:lang w:val="zh-CN"/>
        </w:rPr>
        <w:t>11.</w:t>
      </w:r>
      <w:r>
        <w:rPr>
          <w:rFonts w:hint="eastAsia" w:ascii="宋体" w:hAnsi="宋体" w:cs="宋体"/>
          <w:color w:val="auto"/>
          <w:kern w:val="0"/>
          <w:sz w:val="24"/>
        </w:rPr>
        <w:t>3</w:t>
      </w:r>
      <w:r>
        <w:rPr>
          <w:rFonts w:hint="eastAsia" w:ascii="宋体" w:hAnsi="宋体" w:cs="宋体"/>
          <w:b/>
          <w:color w:val="auto"/>
          <w:sz w:val="24"/>
        </w:rPr>
        <w:t>报价文件：</w:t>
      </w:r>
      <w:r>
        <w:rPr>
          <w:rFonts w:hint="eastAsia" w:ascii="宋体" w:hAnsi="宋体" w:cs="宋体"/>
          <w:color w:val="auto"/>
          <w:sz w:val="24"/>
        </w:rPr>
        <w:t xml:space="preserve"> </w:t>
      </w:r>
    </w:p>
    <w:p>
      <w:pPr>
        <w:snapToGrid w:val="0"/>
        <w:spacing w:line="360" w:lineRule="auto"/>
        <w:ind w:firstLine="960" w:firstLineChars="400"/>
        <w:rPr>
          <w:rFonts w:hint="eastAsia" w:ascii="宋体" w:hAnsi="宋体" w:cs="宋体"/>
          <w:color w:val="auto"/>
          <w:sz w:val="24"/>
        </w:rPr>
      </w:pPr>
      <w:r>
        <w:rPr>
          <w:rFonts w:hint="eastAsia" w:ascii="宋体" w:hAnsi="宋体" w:cs="宋体"/>
          <w:color w:val="auto"/>
          <w:sz w:val="24"/>
        </w:rPr>
        <w:t>11.3.1开标一览表（报价表）；</w:t>
      </w:r>
    </w:p>
    <w:p>
      <w:pPr>
        <w:snapToGrid w:val="0"/>
        <w:spacing w:line="360" w:lineRule="auto"/>
        <w:ind w:firstLine="960" w:firstLineChars="400"/>
        <w:rPr>
          <w:rFonts w:hint="eastAsia" w:ascii="宋体" w:hAnsi="宋体" w:cs="宋体"/>
          <w:color w:val="auto"/>
          <w:sz w:val="24"/>
          <w:lang w:val="en-US" w:eastAsia="zh-CN"/>
        </w:rPr>
      </w:pPr>
      <w:r>
        <w:rPr>
          <w:rFonts w:hint="eastAsia" w:ascii="宋体" w:hAnsi="宋体" w:cs="宋体"/>
          <w:color w:val="auto"/>
          <w:sz w:val="24"/>
          <w:lang w:val="en-US" w:eastAsia="zh-CN"/>
        </w:rPr>
        <w:t>11.3.2报价明细清单-分项报价表</w:t>
      </w:r>
    </w:p>
    <w:p>
      <w:pPr>
        <w:snapToGrid w:val="0"/>
        <w:spacing w:line="360" w:lineRule="auto"/>
        <w:ind w:firstLine="960" w:firstLineChars="400"/>
        <w:rPr>
          <w:rFonts w:hint="eastAsia" w:ascii="宋体" w:hAnsi="宋体" w:cs="宋体"/>
          <w:color w:val="auto"/>
          <w:sz w:val="24"/>
        </w:rPr>
      </w:pPr>
      <w:r>
        <w:rPr>
          <w:rFonts w:hint="eastAsia" w:ascii="宋体" w:hAnsi="宋体" w:cs="宋体"/>
          <w:color w:val="auto"/>
          <w:sz w:val="24"/>
        </w:rPr>
        <w:t>11.3.</w:t>
      </w:r>
      <w:r>
        <w:rPr>
          <w:rFonts w:hint="eastAsia" w:ascii="宋体" w:hAnsi="宋体" w:cs="宋体"/>
          <w:color w:val="auto"/>
          <w:sz w:val="24"/>
          <w:lang w:val="en-US" w:eastAsia="zh-CN"/>
        </w:rPr>
        <w:t>3</w:t>
      </w:r>
      <w:r>
        <w:rPr>
          <w:rFonts w:hint="eastAsia" w:ascii="宋体" w:hAnsi="宋体" w:cs="宋体"/>
          <w:color w:val="auto"/>
          <w:sz w:val="24"/>
        </w:rPr>
        <w:t>中小企业声明函。</w:t>
      </w:r>
    </w:p>
    <w:p>
      <w:pPr>
        <w:spacing w:line="360" w:lineRule="auto"/>
        <w:ind w:firstLine="723" w:firstLineChars="300"/>
        <w:rPr>
          <w:rFonts w:ascii="宋体" w:hAnsi="宋体" w:cs="宋体"/>
          <w:b/>
          <w:color w:val="auto"/>
          <w:sz w:val="24"/>
        </w:rPr>
      </w:pPr>
      <w:r>
        <w:rPr>
          <w:rFonts w:hint="eastAsia" w:ascii="宋体" w:hAnsi="宋体" w:cs="宋体"/>
          <w:b/>
          <w:color w:val="auto"/>
          <w:sz w:val="24"/>
        </w:rPr>
        <w:t>投标文件含有采购人不能接受的附加条件的，投标无效；</w:t>
      </w:r>
    </w:p>
    <w:p>
      <w:pPr>
        <w:spacing w:line="360" w:lineRule="auto"/>
        <w:ind w:firstLine="723" w:firstLineChars="300"/>
        <w:rPr>
          <w:rFonts w:ascii="宋体" w:hAnsi="宋体" w:cs="宋体"/>
          <w:b/>
          <w:color w:val="auto"/>
          <w:sz w:val="24"/>
          <w:szCs w:val="21"/>
        </w:rPr>
      </w:pPr>
      <w:r>
        <w:rPr>
          <w:rFonts w:hint="eastAsia" w:ascii="宋体" w:hAnsi="宋体" w:cs="宋体"/>
          <w:b/>
          <w:color w:val="auto"/>
          <w:sz w:val="24"/>
        </w:rPr>
        <w:t>投标人提供虚假材料投标的，投标无效。</w:t>
      </w:r>
    </w:p>
    <w:p>
      <w:pPr>
        <w:pStyle w:val="128"/>
        <w:snapToGrid w:val="0"/>
        <w:spacing w:before="0"/>
        <w:ind w:firstLine="0" w:firstLineChars="0"/>
        <w:outlineLvl w:val="0"/>
        <w:rPr>
          <w:rFonts w:ascii="宋体" w:hAnsi="宋体" w:cs="宋体"/>
          <w:b/>
          <w:color w:val="auto"/>
          <w:szCs w:val="24"/>
        </w:rPr>
      </w:pPr>
      <w:r>
        <w:rPr>
          <w:rFonts w:hint="eastAsia" w:ascii="宋体" w:hAnsi="宋体" w:cs="宋体"/>
          <w:b/>
          <w:color w:val="auto"/>
          <w:szCs w:val="24"/>
        </w:rPr>
        <w:t>12</w:t>
      </w:r>
      <w:r>
        <w:rPr>
          <w:rFonts w:hint="eastAsia" w:ascii="宋体" w:hAnsi="宋体" w:cs="宋体"/>
          <w:b/>
          <w:color w:val="auto"/>
          <w:kern w:val="0"/>
          <w:szCs w:val="24"/>
          <w:lang w:val="zh-CN"/>
        </w:rPr>
        <w:t xml:space="preserve">. </w:t>
      </w:r>
      <w:r>
        <w:rPr>
          <w:rFonts w:hint="eastAsia" w:ascii="宋体" w:hAnsi="宋体" w:cs="宋体"/>
          <w:b/>
          <w:color w:val="auto"/>
          <w:szCs w:val="24"/>
        </w:rPr>
        <w:t>投标文件的编制</w:t>
      </w:r>
    </w:p>
    <w:p>
      <w:pPr>
        <w:spacing w:line="360" w:lineRule="auto"/>
        <w:ind w:firstLine="480" w:firstLineChars="200"/>
        <w:rPr>
          <w:rFonts w:ascii="宋体" w:hAnsi="宋体" w:cs="宋体"/>
          <w:b/>
          <w:color w:val="auto"/>
          <w:sz w:val="24"/>
        </w:rPr>
      </w:pPr>
      <w:r>
        <w:rPr>
          <w:rFonts w:hint="eastAsia" w:ascii="宋体" w:hAnsi="宋体" w:cs="宋体"/>
          <w:color w:val="auto"/>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rPr>
      </w:pPr>
      <w:r>
        <w:rPr>
          <w:rFonts w:hint="eastAsia" w:ascii="宋体" w:hAnsi="宋体" w:cs="宋体"/>
          <w:b/>
          <w:color w:val="auto"/>
          <w:sz w:val="24"/>
        </w:rPr>
        <w:t>13.投标文件的签署、盖章</w:t>
      </w:r>
    </w:p>
    <w:p>
      <w:pPr>
        <w:pStyle w:val="128"/>
        <w:snapToGrid w:val="0"/>
        <w:spacing w:before="0"/>
        <w:ind w:firstLine="480"/>
        <w:rPr>
          <w:rFonts w:ascii="宋体" w:hAnsi="宋体" w:cs="宋体"/>
          <w:b/>
          <w:color w:val="auto"/>
        </w:rPr>
      </w:pPr>
      <w:r>
        <w:rPr>
          <w:rFonts w:hint="eastAsia" w:ascii="宋体" w:hAnsi="宋体" w:cs="宋体"/>
          <w:color w:val="auto"/>
          <w:szCs w:val="24"/>
        </w:rPr>
        <w:t>13.1投标文件按照招标文件第六部分格式要</w:t>
      </w:r>
      <w:r>
        <w:rPr>
          <w:rFonts w:hint="eastAsia" w:ascii="宋体" w:hAnsi="宋体" w:cs="宋体"/>
          <w:color w:val="auto"/>
        </w:rPr>
        <w:t>求进行签署、盖章。</w:t>
      </w:r>
      <w:r>
        <w:rPr>
          <w:rFonts w:hint="eastAsia" w:ascii="宋体" w:hAnsi="宋体" w:cs="宋体"/>
          <w:b/>
          <w:color w:val="auto"/>
        </w:rPr>
        <w:t>▲投标人的投标文件未按照招标文件要求签署、盖章的，其投标无效</w:t>
      </w:r>
      <w:r>
        <w:rPr>
          <w:rFonts w:hint="eastAsia" w:ascii="宋体" w:hAnsi="宋体" w:cs="宋体"/>
          <w:color w:val="auto"/>
          <w:szCs w:val="24"/>
        </w:rPr>
        <w:t>。</w:t>
      </w:r>
    </w:p>
    <w:p>
      <w:pPr>
        <w:pStyle w:val="128"/>
        <w:snapToGrid w:val="0"/>
        <w:spacing w:before="0"/>
        <w:ind w:firstLine="480"/>
        <w:rPr>
          <w:rFonts w:ascii="宋体" w:hAnsi="宋体" w:cs="宋体"/>
          <w:color w:val="auto"/>
        </w:rPr>
      </w:pPr>
      <w:r>
        <w:rPr>
          <w:rFonts w:hint="eastAsia" w:ascii="宋体" w:hAnsi="宋体" w:cs="宋体"/>
          <w:color w:val="auto"/>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color w:val="auto"/>
          <w:szCs w:val="24"/>
        </w:rPr>
      </w:pPr>
      <w:r>
        <w:rPr>
          <w:rFonts w:hint="eastAsia" w:ascii="宋体" w:hAnsi="宋体" w:cs="宋体"/>
          <w:color w:val="auto"/>
        </w:rPr>
        <w:t>13.3招标文件对投标文件签署、盖章的要求适用于电子签名。</w:t>
      </w:r>
    </w:p>
    <w:p>
      <w:pPr>
        <w:pStyle w:val="128"/>
        <w:spacing w:before="0"/>
        <w:ind w:firstLine="0" w:firstLineChars="0"/>
        <w:rPr>
          <w:rFonts w:ascii="宋体" w:hAnsi="宋体" w:cs="宋体"/>
          <w:b/>
          <w:color w:val="auto"/>
          <w:szCs w:val="24"/>
        </w:rPr>
      </w:pPr>
      <w:r>
        <w:rPr>
          <w:rFonts w:hint="eastAsia" w:ascii="宋体" w:hAnsi="宋体" w:cs="宋体"/>
          <w:b/>
          <w:color w:val="auto"/>
          <w:szCs w:val="24"/>
        </w:rPr>
        <w:t>14. 投标文件的提交、补充、修改、撤回</w:t>
      </w:r>
    </w:p>
    <w:p>
      <w:pPr>
        <w:pStyle w:val="128"/>
        <w:ind w:firstLine="480"/>
        <w:rPr>
          <w:rFonts w:ascii="宋体" w:hAnsi="宋体" w:cs="宋体"/>
          <w:color w:val="auto"/>
          <w:szCs w:val="24"/>
        </w:rPr>
      </w:pPr>
      <w:r>
        <w:rPr>
          <w:rFonts w:hint="eastAsia" w:ascii="宋体" w:hAnsi="宋体" w:cs="宋体"/>
          <w:color w:val="auto"/>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宋体" w:hAnsi="宋体" w:cs="宋体"/>
          <w:color w:val="auto"/>
          <w:szCs w:val="24"/>
        </w:rPr>
      </w:pPr>
      <w:r>
        <w:rPr>
          <w:rFonts w:hint="eastAsia" w:ascii="宋体" w:hAnsi="宋体" w:cs="宋体"/>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color w:val="auto"/>
          <w:szCs w:val="24"/>
        </w:rPr>
      </w:pPr>
      <w:r>
        <w:rPr>
          <w:rFonts w:hint="eastAsia" w:ascii="宋体" w:hAnsi="宋体" w:cs="宋体"/>
          <w:color w:val="auto"/>
          <w:szCs w:val="24"/>
        </w:rPr>
        <w:t>14.3采购人、</w:t>
      </w:r>
      <w:r>
        <w:rPr>
          <w:rFonts w:hint="eastAsia" w:ascii="宋体" w:hAnsi="宋体" w:cs="宋体"/>
          <w:color w:val="auto"/>
          <w:szCs w:val="24"/>
          <w:lang w:eastAsia="zh-CN"/>
        </w:rPr>
        <w:t>采购代理机构</w:t>
      </w:r>
      <w:r>
        <w:rPr>
          <w:rFonts w:hint="eastAsia" w:ascii="宋体" w:hAnsi="宋体" w:cs="宋体"/>
          <w:color w:val="auto"/>
          <w:szCs w:val="24"/>
        </w:rPr>
        <w:t>可以视情况延长投标文件提交的截止时间。在上述情况下，</w:t>
      </w:r>
      <w:r>
        <w:rPr>
          <w:rFonts w:hint="eastAsia" w:ascii="宋体" w:hAnsi="宋体" w:cs="宋体"/>
          <w:color w:val="auto"/>
          <w:szCs w:val="24"/>
          <w:lang w:eastAsia="zh-CN"/>
        </w:rPr>
        <w:t>采购代理机构</w:t>
      </w:r>
      <w:r>
        <w:rPr>
          <w:rFonts w:hint="eastAsia" w:ascii="宋体" w:hAnsi="宋体" w:cs="宋体"/>
          <w:color w:val="auto"/>
          <w:szCs w:val="24"/>
        </w:rPr>
        <w:t>与投标人以前在投标截止期方面的全部权利、责任和义务，将适用于延长至新的投标截止期。</w:t>
      </w:r>
    </w:p>
    <w:p>
      <w:pPr>
        <w:pStyle w:val="36"/>
        <w:spacing w:line="360" w:lineRule="auto"/>
        <w:rPr>
          <w:rFonts w:hAnsi="宋体" w:cs="宋体"/>
          <w:b/>
          <w:color w:val="auto"/>
          <w:sz w:val="24"/>
          <w:szCs w:val="24"/>
        </w:rPr>
      </w:pPr>
      <w:r>
        <w:rPr>
          <w:rFonts w:hint="eastAsia" w:hAnsi="宋体" w:cs="宋体"/>
          <w:b/>
          <w:color w:val="auto"/>
          <w:sz w:val="24"/>
          <w:szCs w:val="24"/>
        </w:rPr>
        <w:t>15.备份投标文件</w:t>
      </w:r>
    </w:p>
    <w:p>
      <w:pPr>
        <w:pStyle w:val="36"/>
        <w:spacing w:line="360" w:lineRule="auto"/>
        <w:ind w:firstLine="360" w:firstLineChars="150"/>
        <w:rPr>
          <w:rFonts w:hAnsi="宋体" w:cs="宋体"/>
          <w:b/>
          <w:color w:val="auto"/>
          <w:sz w:val="24"/>
          <w:szCs w:val="24"/>
        </w:rPr>
      </w:pPr>
      <w:r>
        <w:rPr>
          <w:rFonts w:hint="eastAsia" w:hAnsi="宋体" w:cs="宋体"/>
          <w:color w:val="auto"/>
          <w:sz w:val="24"/>
          <w:szCs w:val="24"/>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rPr>
        <w:t>但采购人、</w:t>
      </w:r>
      <w:r>
        <w:rPr>
          <w:rFonts w:hint="eastAsia" w:hAnsi="宋体" w:cs="宋体"/>
          <w:b/>
          <w:color w:val="auto"/>
          <w:sz w:val="24"/>
          <w:szCs w:val="24"/>
          <w:lang w:eastAsia="zh-CN"/>
        </w:rPr>
        <w:t>采购代理机构</w:t>
      </w:r>
      <w:r>
        <w:rPr>
          <w:rFonts w:hint="eastAsia" w:hAnsi="宋体" w:cs="宋体"/>
          <w:b/>
          <w:color w:val="auto"/>
          <w:sz w:val="24"/>
          <w:szCs w:val="24"/>
        </w:rPr>
        <w:t>不强制或变相强制投标人提交备份投标文件。</w:t>
      </w:r>
    </w:p>
    <w:p>
      <w:pPr>
        <w:pStyle w:val="36"/>
        <w:spacing w:line="360" w:lineRule="auto"/>
        <w:ind w:firstLine="480" w:firstLineChars="200"/>
        <w:rPr>
          <w:rFonts w:hAnsi="宋体" w:cs="宋体"/>
          <w:b/>
          <w:color w:val="auto"/>
          <w:sz w:val="24"/>
          <w:szCs w:val="24"/>
        </w:rPr>
      </w:pPr>
      <w:r>
        <w:rPr>
          <w:rFonts w:hint="eastAsia" w:hAnsi="宋体" w:cs="宋体"/>
          <w:color w:val="auto"/>
          <w:sz w:val="24"/>
          <w:szCs w:val="24"/>
        </w:rPr>
        <w:t>15.2备份投标文件须在“政采云投标客户端”制作生成，并储存在</w:t>
      </w:r>
      <w:r>
        <w:rPr>
          <w:rFonts w:hint="eastAsia" w:hAnsi="宋体" w:cs="宋体"/>
          <w:color w:val="auto"/>
          <w:sz w:val="24"/>
        </w:rPr>
        <w:t>DVD光盘</w:t>
      </w:r>
      <w:r>
        <w:rPr>
          <w:rFonts w:hint="eastAsia" w:hAnsi="宋体" w:cs="宋体"/>
          <w:color w:val="auto"/>
          <w:sz w:val="24"/>
          <w:lang w:val="en-US" w:eastAsia="zh-CN"/>
        </w:rPr>
        <w:t>等存储介质</w:t>
      </w:r>
      <w:r>
        <w:rPr>
          <w:rFonts w:hint="eastAsia" w:hAnsi="宋体" w:cs="宋体"/>
          <w:color w:val="auto"/>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rPr>
        <w:t>不符合上述制作、</w:t>
      </w:r>
      <w:r>
        <w:rPr>
          <w:rFonts w:hint="eastAsia" w:hAnsi="宋体" w:cs="宋体"/>
          <w:b/>
          <w:color w:val="auto"/>
          <w:sz w:val="24"/>
          <w:szCs w:val="24"/>
        </w:rPr>
        <w:t>存储、密封规定的备份投标文件将被视为无效或者被拒绝接收。</w:t>
      </w:r>
    </w:p>
    <w:p>
      <w:pPr>
        <w:pStyle w:val="36"/>
        <w:spacing w:line="360" w:lineRule="auto"/>
        <w:ind w:firstLine="480" w:firstLineChars="200"/>
        <w:rPr>
          <w:rFonts w:hAnsi="宋体" w:cs="宋体"/>
          <w:color w:val="auto"/>
          <w:sz w:val="24"/>
          <w:szCs w:val="24"/>
        </w:rPr>
      </w:pPr>
      <w:r>
        <w:rPr>
          <w:rFonts w:hint="eastAsia" w:hAnsi="宋体" w:cs="宋体"/>
          <w:color w:val="auto"/>
          <w:sz w:val="24"/>
          <w:szCs w:val="24"/>
        </w:rPr>
        <w:t>15.3直接提交备份投标文件的，投标人应于投标截止时间前在招标公告中载明的开标地点将备份投标文件提交给</w:t>
      </w:r>
      <w:r>
        <w:rPr>
          <w:rFonts w:hint="eastAsia" w:hAnsi="宋体" w:cs="宋体"/>
          <w:color w:val="auto"/>
          <w:sz w:val="24"/>
          <w:szCs w:val="24"/>
          <w:lang w:eastAsia="zh-CN"/>
        </w:rPr>
        <w:t>采购代理机构</w:t>
      </w:r>
      <w:r>
        <w:rPr>
          <w:rFonts w:hint="eastAsia" w:hAnsi="宋体" w:cs="宋体"/>
          <w:color w:val="auto"/>
          <w:sz w:val="24"/>
          <w:szCs w:val="24"/>
        </w:rPr>
        <w:t>，</w:t>
      </w:r>
      <w:r>
        <w:rPr>
          <w:rFonts w:hint="eastAsia" w:hAnsi="宋体" w:cs="宋体"/>
          <w:color w:val="auto"/>
          <w:sz w:val="24"/>
          <w:szCs w:val="24"/>
          <w:lang w:eastAsia="zh-CN"/>
        </w:rPr>
        <w:t>采购代理机构</w:t>
      </w:r>
      <w:r>
        <w:rPr>
          <w:rFonts w:hint="eastAsia" w:hAnsi="宋体" w:cs="宋体"/>
          <w:color w:val="auto"/>
          <w:sz w:val="24"/>
          <w:szCs w:val="24"/>
        </w:rPr>
        <w:t>将拒绝接受逾期送达的备份投标文件。</w:t>
      </w:r>
    </w:p>
    <w:p>
      <w:pPr>
        <w:pStyle w:val="36"/>
        <w:spacing w:line="360" w:lineRule="auto"/>
        <w:ind w:firstLine="480" w:firstLineChars="200"/>
        <w:rPr>
          <w:rFonts w:hAnsi="宋体" w:cs="宋体"/>
          <w:color w:val="auto"/>
          <w:sz w:val="24"/>
          <w:szCs w:val="24"/>
        </w:rPr>
      </w:pPr>
      <w:r>
        <w:rPr>
          <w:rFonts w:hint="eastAsia" w:hAnsi="宋体" w:cs="宋体"/>
          <w:color w:val="auto"/>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rPr>
        <w:t>招标文件第二部分投标人须知前附表规定的备份投标文件送达地点；</w:t>
      </w:r>
      <w:r>
        <w:rPr>
          <w:rFonts w:hint="eastAsia" w:hAnsi="宋体" w:cs="宋体"/>
          <w:color w:val="auto"/>
          <w:sz w:val="24"/>
          <w:szCs w:val="24"/>
        </w:rPr>
        <w:t>送达时间以签收人签收时间为准。</w:t>
      </w:r>
      <w:r>
        <w:rPr>
          <w:rFonts w:hint="eastAsia" w:hAnsi="宋体" w:cs="宋体"/>
          <w:color w:val="auto"/>
          <w:sz w:val="24"/>
          <w:szCs w:val="24"/>
          <w:lang w:eastAsia="zh-CN"/>
        </w:rPr>
        <w:t>采购代理机构</w:t>
      </w:r>
      <w:r>
        <w:rPr>
          <w:rFonts w:hint="eastAsia" w:hAnsi="宋体" w:cs="宋体"/>
          <w:color w:val="auto"/>
          <w:sz w:val="24"/>
          <w:szCs w:val="24"/>
        </w:rPr>
        <w:t>将拒绝接受逾期送达的备份投标文件。邮寄过程中，电子备份投标文件发生泄露、遗失、损坏或延期送达等情况的，由投标人自行负责。</w:t>
      </w:r>
    </w:p>
    <w:p>
      <w:pPr>
        <w:pStyle w:val="36"/>
        <w:spacing w:line="360" w:lineRule="auto"/>
        <w:ind w:firstLine="479" w:firstLineChars="199"/>
        <w:rPr>
          <w:rFonts w:hAnsi="宋体" w:cs="宋体"/>
          <w:b/>
          <w:color w:val="auto"/>
          <w:sz w:val="24"/>
          <w:szCs w:val="24"/>
        </w:rPr>
      </w:pPr>
      <w:r>
        <w:rPr>
          <w:rFonts w:hint="eastAsia" w:hAnsi="宋体" w:cs="宋体"/>
          <w:b/>
          <w:color w:val="auto"/>
          <w:sz w:val="24"/>
          <w:szCs w:val="24"/>
        </w:rPr>
        <w:t>15.5投标人仅提交备份投标文件，未在电子交易平台传输递交投标文件的，投标无效。</w:t>
      </w:r>
    </w:p>
    <w:p>
      <w:pPr>
        <w:pStyle w:val="128"/>
        <w:spacing w:before="0"/>
        <w:ind w:firstLine="0" w:firstLineChars="0"/>
        <w:rPr>
          <w:rFonts w:ascii="宋体" w:hAnsi="宋体" w:cs="宋体"/>
          <w:b/>
          <w:color w:val="auto"/>
          <w:szCs w:val="24"/>
        </w:rPr>
      </w:pPr>
      <w:r>
        <w:rPr>
          <w:rFonts w:hint="eastAsia" w:ascii="宋体" w:hAnsi="宋体" w:cs="宋体"/>
          <w:b/>
          <w:color w:val="auto"/>
          <w:szCs w:val="24"/>
        </w:rPr>
        <w:t>16.投标文件的无效处理</w:t>
      </w:r>
    </w:p>
    <w:p>
      <w:pPr>
        <w:pStyle w:val="27"/>
        <w:spacing w:line="360" w:lineRule="auto"/>
        <w:ind w:firstLine="360" w:firstLineChars="150"/>
        <w:rPr>
          <w:rFonts w:cs="宋体"/>
          <w:color w:val="auto"/>
          <w:szCs w:val="21"/>
        </w:rPr>
      </w:pPr>
      <w:r>
        <w:rPr>
          <w:rFonts w:hint="eastAsia" w:cs="宋体"/>
          <w:color w:val="auto"/>
          <w:szCs w:val="21"/>
        </w:rPr>
        <w:t>有招标文件第四部分</w:t>
      </w:r>
      <w:r>
        <w:rPr>
          <w:rFonts w:cs="宋体"/>
          <w:color w:val="auto"/>
          <w:szCs w:val="21"/>
        </w:rPr>
        <w:t>4.2规定</w:t>
      </w:r>
      <w:r>
        <w:rPr>
          <w:rFonts w:hint="eastAsia" w:cs="宋体"/>
          <w:color w:val="auto"/>
          <w:szCs w:val="21"/>
        </w:rPr>
        <w:t>的情形之一的，投标无效：</w:t>
      </w:r>
    </w:p>
    <w:p>
      <w:pPr>
        <w:pStyle w:val="128"/>
        <w:spacing w:before="0"/>
        <w:ind w:firstLine="0" w:firstLineChars="0"/>
        <w:rPr>
          <w:rFonts w:ascii="宋体" w:hAnsi="宋体" w:cs="宋体"/>
          <w:b/>
          <w:color w:val="auto"/>
          <w:szCs w:val="24"/>
        </w:rPr>
      </w:pPr>
      <w:r>
        <w:rPr>
          <w:rFonts w:hint="eastAsia" w:ascii="宋体" w:hAnsi="宋体" w:cs="宋体"/>
          <w:b/>
          <w:color w:val="auto"/>
          <w:szCs w:val="24"/>
        </w:rPr>
        <w:t>17.投标有效期</w:t>
      </w:r>
    </w:p>
    <w:p>
      <w:pPr>
        <w:spacing w:line="360" w:lineRule="auto"/>
        <w:ind w:firstLine="480" w:firstLineChars="200"/>
        <w:rPr>
          <w:rFonts w:ascii="宋体" w:hAnsi="宋体" w:cs="宋体"/>
          <w:b/>
          <w:color w:val="auto"/>
          <w:sz w:val="24"/>
          <w:szCs w:val="21"/>
        </w:rPr>
      </w:pPr>
      <w:r>
        <w:rPr>
          <w:rFonts w:hint="eastAsia" w:ascii="宋体" w:hAnsi="宋体" w:cs="宋体"/>
          <w:color w:val="auto"/>
          <w:sz w:val="24"/>
          <w:szCs w:val="20"/>
        </w:rPr>
        <w:t>17.1投标有效期为从提交投标文件的截止之日起90天。▲</w:t>
      </w:r>
      <w:r>
        <w:rPr>
          <w:rFonts w:hint="eastAsia" w:ascii="宋体" w:hAnsi="宋体" w:cs="宋体"/>
          <w:b/>
          <w:color w:val="auto"/>
          <w:sz w:val="24"/>
          <w:szCs w:val="20"/>
        </w:rPr>
        <w:t>投标人的投标文件中承</w:t>
      </w:r>
      <w:r>
        <w:rPr>
          <w:rFonts w:hint="eastAsia" w:ascii="宋体" w:hAnsi="宋体" w:cs="宋体"/>
          <w:b/>
          <w:color w:val="auto"/>
          <w:sz w:val="24"/>
          <w:szCs w:val="21"/>
        </w:rPr>
        <w:t>诺的投标有效期少于招标文件中载明的投标有效期的，投标无效。</w:t>
      </w:r>
    </w:p>
    <w:p>
      <w:pPr>
        <w:pStyle w:val="128"/>
        <w:spacing w:before="0"/>
        <w:ind w:firstLine="480"/>
        <w:rPr>
          <w:rFonts w:ascii="宋体" w:hAnsi="宋体" w:cs="宋体"/>
          <w:color w:val="auto"/>
        </w:rPr>
      </w:pPr>
      <w:r>
        <w:rPr>
          <w:rFonts w:hint="eastAsia" w:ascii="宋体" w:hAnsi="宋体" w:cs="宋体"/>
          <w:color w:val="auto"/>
        </w:rPr>
        <w:t>17.2投标文件合格投递后，自投标截止日期起，在投标有效期内有效。</w:t>
      </w:r>
    </w:p>
    <w:p>
      <w:pPr>
        <w:pStyle w:val="128"/>
        <w:spacing w:before="0"/>
        <w:ind w:firstLine="480"/>
        <w:rPr>
          <w:rFonts w:ascii="宋体" w:hAnsi="宋体" w:cs="宋体"/>
          <w:color w:val="auto"/>
        </w:rPr>
      </w:pPr>
      <w:r>
        <w:rPr>
          <w:rFonts w:hint="eastAsia" w:ascii="宋体" w:hAnsi="宋体" w:cs="宋体"/>
          <w:color w:val="auto"/>
        </w:rPr>
        <w:t>17.3在原定投标有效期满之前，如果出现特殊情况，</w:t>
      </w:r>
      <w:r>
        <w:rPr>
          <w:rFonts w:hint="eastAsia" w:ascii="宋体" w:hAnsi="宋体" w:cs="宋体"/>
          <w:color w:val="auto"/>
          <w:lang w:eastAsia="zh-CN"/>
        </w:rPr>
        <w:t>采购代理机构</w:t>
      </w:r>
      <w:r>
        <w:rPr>
          <w:rFonts w:hint="eastAsia" w:ascii="宋体" w:hAnsi="宋体" w:cs="宋体"/>
          <w:color w:val="auto"/>
        </w:rPr>
        <w:t>可以以书面形式通知投标人延长投标有效期。投标人同意延长的，不得要求或被允许修改其投标文件，投标人拒绝延长的，其投标无效。</w:t>
      </w:r>
    </w:p>
    <w:p>
      <w:pPr>
        <w:pStyle w:val="128"/>
        <w:spacing w:before="0"/>
        <w:ind w:firstLine="643"/>
        <w:rPr>
          <w:rFonts w:ascii="宋体" w:hAnsi="宋体" w:cs="宋体"/>
          <w:b/>
          <w:color w:val="auto"/>
          <w:sz w:val="32"/>
        </w:rPr>
      </w:pPr>
    </w:p>
    <w:p>
      <w:pPr>
        <w:pStyle w:val="128"/>
        <w:spacing w:before="0"/>
        <w:ind w:firstLine="1928" w:firstLineChars="600"/>
        <w:rPr>
          <w:rFonts w:ascii="宋体" w:hAnsi="宋体" w:cs="宋体"/>
          <w:b/>
          <w:color w:val="auto"/>
          <w:sz w:val="32"/>
        </w:rPr>
      </w:pPr>
      <w:r>
        <w:rPr>
          <w:rFonts w:hint="eastAsia" w:ascii="宋体" w:hAnsi="宋体" w:cs="宋体"/>
          <w:b/>
          <w:color w:val="auto"/>
          <w:sz w:val="32"/>
        </w:rPr>
        <w:t>四、开标、资格审查与信用信息查询</w:t>
      </w:r>
    </w:p>
    <w:p>
      <w:pPr>
        <w:pStyle w:val="554"/>
        <w:spacing w:before="0" w:line="360" w:lineRule="auto"/>
        <w:ind w:left="0" w:firstLine="241" w:firstLineChars="100"/>
        <w:contextualSpacing/>
        <w:rPr>
          <w:rFonts w:ascii="宋体" w:hAnsi="宋体" w:cs="宋体"/>
          <w:color w:val="auto"/>
          <w:sz w:val="24"/>
        </w:rPr>
      </w:pPr>
      <w:r>
        <w:rPr>
          <w:rFonts w:hint="eastAsia" w:ascii="宋体" w:hAnsi="宋体" w:cs="宋体"/>
          <w:b/>
          <w:color w:val="auto"/>
          <w:sz w:val="24"/>
          <w:szCs w:val="24"/>
        </w:rPr>
        <w:t>18.开标</w:t>
      </w:r>
      <w:r>
        <w:rPr>
          <w:rFonts w:hint="eastAsia" w:ascii="宋体" w:hAnsi="宋体" w:cs="宋体"/>
          <w:color w:val="auto"/>
          <w:sz w:val="24"/>
        </w:rPr>
        <w:t xml:space="preserve"> </w:t>
      </w:r>
    </w:p>
    <w:p>
      <w:pPr>
        <w:pStyle w:val="554"/>
        <w:spacing w:before="0" w:line="360" w:lineRule="auto"/>
        <w:ind w:left="0" w:firstLine="480" w:firstLineChars="200"/>
        <w:contextualSpacing/>
        <w:rPr>
          <w:rFonts w:ascii="宋体" w:hAnsi="宋体" w:cs="宋体"/>
          <w:color w:val="auto"/>
          <w:sz w:val="24"/>
        </w:rPr>
      </w:pPr>
      <w:r>
        <w:rPr>
          <w:rFonts w:hint="eastAsia" w:ascii="宋体" w:hAnsi="宋体" w:cs="宋体"/>
          <w:color w:val="auto"/>
          <w:sz w:val="24"/>
        </w:rPr>
        <w:t>18.1</w:t>
      </w:r>
      <w:r>
        <w:rPr>
          <w:rFonts w:hint="eastAsia" w:ascii="宋体" w:hAnsi="宋体" w:cs="宋体"/>
          <w:color w:val="auto"/>
          <w:sz w:val="24"/>
          <w:lang w:eastAsia="zh-CN"/>
        </w:rPr>
        <w:t>采购代理机构</w:t>
      </w:r>
      <w:r>
        <w:rPr>
          <w:rFonts w:hint="eastAsia" w:ascii="宋体" w:hAnsi="宋体" w:cs="宋体"/>
          <w:color w:val="auto"/>
          <w:sz w:val="24"/>
        </w:rPr>
        <w:t>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color w:val="auto"/>
          <w:sz w:val="24"/>
        </w:rPr>
      </w:pPr>
      <w:r>
        <w:rPr>
          <w:rFonts w:hint="eastAsia" w:ascii="宋体" w:hAnsi="宋体" w:cs="宋体"/>
          <w:color w:val="auto"/>
          <w:sz w:val="24"/>
        </w:rPr>
        <w:t>　18.2开标时，电子交易平台按开标时间自动提取所有投标文件。</w:t>
      </w:r>
      <w:r>
        <w:rPr>
          <w:rFonts w:hint="eastAsia" w:ascii="宋体" w:hAnsi="宋体" w:cs="宋体"/>
          <w:color w:val="auto"/>
          <w:sz w:val="24"/>
          <w:lang w:eastAsia="zh-CN"/>
        </w:rPr>
        <w:t>采购代理机构</w:t>
      </w:r>
      <w:r>
        <w:rPr>
          <w:rFonts w:hint="eastAsia" w:ascii="宋体" w:hAnsi="宋体" w:cs="宋体"/>
          <w:color w:val="auto"/>
          <w:sz w:val="24"/>
        </w:rPr>
        <w:t>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color w:val="auto"/>
          <w:sz w:val="24"/>
        </w:rPr>
      </w:pPr>
      <w:r>
        <w:rPr>
          <w:rFonts w:hint="eastAsia" w:ascii="宋体" w:hAnsi="宋体" w:cs="宋体"/>
          <w:color w:val="auto"/>
          <w:sz w:val="24"/>
        </w:rPr>
        <w:t>　18.3</w:t>
      </w:r>
      <w:r>
        <w:rPr>
          <w:rFonts w:hint="eastAsia" w:ascii="宋体" w:hAnsi="宋体" w:cs="宋体"/>
          <w:b/>
          <w:color w:val="auto"/>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rPr>
      </w:pPr>
      <w:r>
        <w:rPr>
          <w:rFonts w:hint="eastAsia" w:ascii="宋体" w:hAnsi="宋体" w:cs="宋体"/>
          <w:b/>
          <w:color w:val="auto"/>
          <w:sz w:val="24"/>
          <w:szCs w:val="20"/>
        </w:rPr>
        <w:t>　19、资格审查</w:t>
      </w:r>
    </w:p>
    <w:p>
      <w:pPr>
        <w:snapToGrid w:val="0"/>
        <w:spacing w:line="360" w:lineRule="auto"/>
        <w:ind w:firstLine="480" w:firstLineChars="200"/>
        <w:rPr>
          <w:rFonts w:ascii="宋体" w:hAnsi="宋体" w:cs="宋体"/>
          <w:color w:val="auto"/>
          <w:sz w:val="24"/>
        </w:rPr>
      </w:pPr>
      <w:r>
        <w:rPr>
          <w:rFonts w:hint="eastAsia" w:ascii="宋体" w:hAnsi="宋体" w:cs="宋体"/>
          <w:color w:val="auto"/>
          <w:kern w:val="0"/>
          <w:sz w:val="24"/>
        </w:rPr>
        <w:t>19.</w:t>
      </w:r>
      <w:r>
        <w:rPr>
          <w:rFonts w:hint="eastAsia" w:ascii="宋体" w:hAnsi="宋体" w:cs="宋体"/>
          <w:color w:val="auto"/>
          <w:kern w:val="0"/>
          <w:sz w:val="24"/>
          <w:lang w:val="en-US" w:eastAsia="zh-CN"/>
        </w:rPr>
        <w:t>1</w:t>
      </w:r>
      <w:r>
        <w:rPr>
          <w:rFonts w:hint="eastAsia" w:ascii="宋体" w:hAnsi="宋体" w:cs="宋体"/>
          <w:color w:val="auto"/>
          <w:sz w:val="24"/>
        </w:rPr>
        <w:t>采购人或</w:t>
      </w:r>
      <w:r>
        <w:rPr>
          <w:rFonts w:hint="eastAsia" w:ascii="宋体" w:hAnsi="宋体" w:cs="宋体"/>
          <w:color w:val="auto"/>
          <w:sz w:val="24"/>
          <w:lang w:eastAsia="zh-CN"/>
        </w:rPr>
        <w:t>采购代理机构</w:t>
      </w:r>
      <w:r>
        <w:rPr>
          <w:rFonts w:hint="eastAsia" w:ascii="宋体" w:hAnsi="宋体" w:cs="宋体"/>
          <w:color w:val="auto"/>
          <w:sz w:val="24"/>
        </w:rPr>
        <w:t>依据法律法规和招标文件的规定，对投标人的资格进行审查。</w:t>
      </w:r>
    </w:p>
    <w:p>
      <w:pPr>
        <w:pStyle w:val="128"/>
        <w:spacing w:before="0"/>
        <w:ind w:firstLine="480"/>
        <w:rPr>
          <w:rFonts w:ascii="宋体" w:hAnsi="宋体" w:cs="宋体"/>
          <w:color w:val="auto"/>
        </w:rPr>
      </w:pPr>
      <w:r>
        <w:rPr>
          <w:rFonts w:hint="eastAsia" w:ascii="宋体" w:hAnsi="宋体" w:cs="宋体"/>
          <w:color w:val="auto"/>
          <w:kern w:val="0"/>
          <w:szCs w:val="24"/>
        </w:rPr>
        <w:t>19.</w:t>
      </w:r>
      <w:r>
        <w:rPr>
          <w:rFonts w:hint="eastAsia" w:ascii="宋体" w:hAnsi="宋体" w:cs="宋体"/>
          <w:color w:val="auto"/>
          <w:kern w:val="0"/>
          <w:szCs w:val="24"/>
          <w:lang w:val="en-US" w:eastAsia="zh-CN"/>
        </w:rPr>
        <w:t>2</w:t>
      </w:r>
      <w:r>
        <w:rPr>
          <w:rFonts w:hint="eastAsia" w:ascii="宋体" w:hAnsi="宋体" w:cs="宋体"/>
          <w:color w:val="auto"/>
          <w:kern w:val="0"/>
          <w:szCs w:val="24"/>
        </w:rPr>
        <w:t>投标人未按照招标文件要求提供与</w:t>
      </w:r>
      <w:r>
        <w:rPr>
          <w:rFonts w:hint="eastAsia" w:ascii="宋体" w:hAnsi="宋体" w:cs="宋体"/>
          <w:color w:val="auto"/>
        </w:rPr>
        <w:t>资格条件相应的</w:t>
      </w:r>
      <w:r>
        <w:rPr>
          <w:rFonts w:hint="eastAsia" w:ascii="宋体" w:hAnsi="宋体" w:cs="宋体"/>
          <w:color w:val="auto"/>
          <w:kern w:val="0"/>
          <w:szCs w:val="24"/>
        </w:rPr>
        <w:t>有效资格证明材料的，视为</w:t>
      </w:r>
      <w:r>
        <w:rPr>
          <w:rFonts w:hint="eastAsia" w:ascii="宋体" w:hAnsi="宋体" w:cs="宋体"/>
          <w:color w:val="auto"/>
        </w:rPr>
        <w:t>投标人不具备招标文件中规定的资格要求，其投标无效。</w:t>
      </w:r>
    </w:p>
    <w:p>
      <w:pPr>
        <w:pStyle w:val="128"/>
        <w:spacing w:before="0"/>
        <w:ind w:firstLine="480"/>
        <w:rPr>
          <w:rFonts w:ascii="宋体" w:hAnsi="宋体" w:cs="宋体"/>
          <w:color w:val="auto"/>
        </w:rPr>
      </w:pPr>
      <w:r>
        <w:rPr>
          <w:rFonts w:hint="eastAsia" w:ascii="宋体" w:hAnsi="宋体" w:cs="宋体"/>
          <w:color w:val="auto"/>
          <w:kern w:val="0"/>
          <w:szCs w:val="24"/>
        </w:rPr>
        <w:t>19.</w:t>
      </w:r>
      <w:r>
        <w:rPr>
          <w:rFonts w:hint="eastAsia" w:ascii="宋体" w:hAnsi="宋体" w:cs="宋体"/>
          <w:color w:val="auto"/>
          <w:lang w:val="en-US" w:eastAsia="zh-CN"/>
        </w:rPr>
        <w:t>3</w:t>
      </w:r>
      <w:r>
        <w:rPr>
          <w:rFonts w:hint="eastAsia" w:ascii="宋体" w:hAnsi="宋体" w:cs="宋体"/>
          <w:color w:val="auto"/>
        </w:rPr>
        <w:t>对未通过资格审查的投标人，采购人或</w:t>
      </w:r>
      <w:r>
        <w:rPr>
          <w:rFonts w:hint="eastAsia" w:ascii="宋体" w:hAnsi="宋体" w:cs="宋体"/>
          <w:color w:val="auto"/>
          <w:lang w:eastAsia="zh-CN"/>
        </w:rPr>
        <w:t>采购代理机构</w:t>
      </w:r>
      <w:r>
        <w:rPr>
          <w:rFonts w:hint="eastAsia" w:ascii="宋体" w:hAnsi="宋体" w:cs="宋体"/>
          <w:color w:val="auto"/>
        </w:rPr>
        <w:t>告知其未通过的原因。</w:t>
      </w:r>
    </w:p>
    <w:p>
      <w:pPr>
        <w:pStyle w:val="128"/>
        <w:spacing w:before="0"/>
        <w:ind w:firstLine="480"/>
        <w:rPr>
          <w:rFonts w:ascii="宋体" w:hAnsi="宋体" w:cs="宋体"/>
          <w:color w:val="auto"/>
        </w:rPr>
      </w:pPr>
      <w:r>
        <w:rPr>
          <w:rFonts w:hint="eastAsia" w:ascii="宋体" w:hAnsi="宋体" w:cs="宋体"/>
          <w:color w:val="auto"/>
          <w:kern w:val="0"/>
          <w:szCs w:val="24"/>
        </w:rPr>
        <w:t>19.</w:t>
      </w:r>
      <w:r>
        <w:rPr>
          <w:rFonts w:hint="eastAsia" w:ascii="宋体" w:hAnsi="宋体" w:cs="宋体"/>
          <w:color w:val="auto"/>
          <w:lang w:val="en-US" w:eastAsia="zh-CN"/>
        </w:rPr>
        <w:t>4</w:t>
      </w:r>
      <w:r>
        <w:rPr>
          <w:rFonts w:hint="eastAsia" w:ascii="宋体" w:hAnsi="宋体" w:cs="宋体"/>
          <w:color w:val="auto"/>
        </w:rPr>
        <w:t>合格投标人不足3家的，不再评标。</w:t>
      </w:r>
    </w:p>
    <w:p>
      <w:pPr>
        <w:pStyle w:val="128"/>
        <w:spacing w:before="0"/>
        <w:ind w:firstLine="0" w:firstLineChars="0"/>
        <w:rPr>
          <w:rFonts w:ascii="宋体" w:hAnsi="宋体" w:cs="宋体"/>
          <w:b/>
          <w:color w:val="auto"/>
          <w:szCs w:val="24"/>
        </w:rPr>
      </w:pPr>
      <w:r>
        <w:rPr>
          <w:rFonts w:hint="eastAsia" w:ascii="宋体" w:hAnsi="宋体" w:cs="宋体"/>
          <w:b/>
          <w:color w:val="auto"/>
          <w:szCs w:val="24"/>
        </w:rPr>
        <w:t>20、信用信息查询</w:t>
      </w:r>
    </w:p>
    <w:p>
      <w:pPr>
        <w:pStyle w:val="128"/>
        <w:spacing w:before="0"/>
        <w:ind w:firstLine="495" w:firstLineChars="0"/>
        <w:rPr>
          <w:rFonts w:ascii="宋体" w:hAnsi="宋体" w:cs="宋体"/>
          <w:color w:val="auto"/>
          <w:kern w:val="0"/>
          <w:szCs w:val="24"/>
        </w:rPr>
      </w:pPr>
      <w:r>
        <w:rPr>
          <w:rFonts w:hint="eastAsia" w:ascii="宋体" w:hAnsi="宋体" w:cs="宋体"/>
          <w:color w:val="auto"/>
          <w:kern w:val="0"/>
          <w:szCs w:val="24"/>
        </w:rPr>
        <w:t>20.1信用信息查询渠道及截止时间：</w:t>
      </w:r>
      <w:r>
        <w:rPr>
          <w:rFonts w:hint="eastAsia" w:ascii="宋体" w:hAnsi="宋体" w:cs="宋体"/>
          <w:color w:val="auto"/>
          <w:kern w:val="0"/>
          <w:szCs w:val="24"/>
          <w:lang w:eastAsia="zh-CN"/>
        </w:rPr>
        <w:t>采购代理机构</w:t>
      </w:r>
      <w:r>
        <w:rPr>
          <w:rFonts w:hint="eastAsia" w:ascii="宋体" w:hAnsi="宋体" w:cs="宋体"/>
          <w:color w:val="auto"/>
          <w:kern w:val="0"/>
          <w:szCs w:val="24"/>
        </w:rPr>
        <w:t>将在资格审查时通过“信用中国”网站(www.creditchina.gov.cn)、中国政府采购网(www.ccgp.gov.cn)渠道查询投标人接受资格时的信用记录。</w:t>
      </w:r>
    </w:p>
    <w:p>
      <w:pPr>
        <w:pStyle w:val="128"/>
        <w:spacing w:before="0"/>
        <w:ind w:firstLine="495" w:firstLineChars="0"/>
        <w:rPr>
          <w:rFonts w:ascii="宋体" w:hAnsi="宋体" w:cs="宋体"/>
          <w:color w:val="auto"/>
          <w:kern w:val="0"/>
          <w:szCs w:val="24"/>
        </w:rPr>
      </w:pPr>
      <w:r>
        <w:rPr>
          <w:rFonts w:hint="eastAsia" w:ascii="宋体" w:hAnsi="宋体" w:cs="宋体"/>
          <w:color w:val="auto"/>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color w:val="auto"/>
          <w:kern w:val="0"/>
          <w:szCs w:val="24"/>
        </w:rPr>
      </w:pPr>
      <w:r>
        <w:rPr>
          <w:rFonts w:hint="eastAsia" w:ascii="宋体" w:hAnsi="宋体" w:cs="宋体"/>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color w:val="auto"/>
        </w:rPr>
      </w:pPr>
      <w:r>
        <w:rPr>
          <w:rFonts w:hint="eastAsia" w:ascii="宋体" w:hAnsi="宋体" w:cs="宋体"/>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rPr>
        <w:t>。</w:t>
      </w:r>
    </w:p>
    <w:p>
      <w:pPr>
        <w:pStyle w:val="128"/>
        <w:spacing w:before="0"/>
        <w:ind w:firstLine="0" w:firstLineChars="0"/>
        <w:rPr>
          <w:rFonts w:ascii="宋体" w:hAnsi="宋体" w:cs="宋体"/>
          <w:color w:val="auto"/>
          <w:kern w:val="0"/>
          <w:szCs w:val="24"/>
        </w:rPr>
      </w:pPr>
    </w:p>
    <w:p>
      <w:pPr>
        <w:snapToGrid w:val="0"/>
        <w:spacing w:line="360" w:lineRule="auto"/>
        <w:jc w:val="center"/>
        <w:outlineLvl w:val="0"/>
        <w:rPr>
          <w:rFonts w:ascii="宋体" w:hAnsi="宋体" w:cs="宋体"/>
          <w:b/>
          <w:color w:val="auto"/>
          <w:sz w:val="36"/>
          <w:szCs w:val="36"/>
        </w:rPr>
      </w:pPr>
      <w:r>
        <w:rPr>
          <w:rFonts w:hint="eastAsia" w:ascii="宋体" w:hAnsi="宋体" w:cs="宋体"/>
          <w:b/>
          <w:color w:val="auto"/>
          <w:sz w:val="36"/>
          <w:szCs w:val="36"/>
        </w:rPr>
        <w:t>五、评标</w:t>
      </w:r>
    </w:p>
    <w:p>
      <w:pPr>
        <w:spacing w:line="360" w:lineRule="auto"/>
        <w:rPr>
          <w:rFonts w:ascii="宋体" w:hAnsi="宋体" w:cs="宋体"/>
          <w:b/>
          <w:color w:val="auto"/>
          <w:sz w:val="24"/>
        </w:rPr>
      </w:pPr>
      <w:bookmarkStart w:id="13" w:name="_Toc91899903"/>
      <w:r>
        <w:rPr>
          <w:rFonts w:hint="eastAsia" w:ascii="宋体" w:hAnsi="宋体" w:cs="宋体"/>
          <w:b/>
          <w:color w:val="auto"/>
          <w:sz w:val="24"/>
        </w:rPr>
        <w:t>21.</w:t>
      </w:r>
      <w:r>
        <w:rPr>
          <w:rFonts w:hint="eastAsia" w:ascii="宋体" w:hAnsi="宋体" w:cs="宋体"/>
          <w:color w:val="auto"/>
        </w:rPr>
        <w:t xml:space="preserve"> </w:t>
      </w:r>
      <w:r>
        <w:rPr>
          <w:rFonts w:hint="eastAsia" w:ascii="宋体" w:hAnsi="宋体" w:cs="宋体"/>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rPr>
        <w:t>详见招标文件第四部分评标办法。</w:t>
      </w:r>
    </w:p>
    <w:p>
      <w:pPr>
        <w:spacing w:line="360" w:lineRule="auto"/>
        <w:rPr>
          <w:rFonts w:ascii="宋体" w:hAnsi="宋体" w:cs="宋体"/>
          <w:b/>
          <w:color w:val="auto"/>
          <w:sz w:val="24"/>
        </w:rPr>
      </w:pPr>
    </w:p>
    <w:p>
      <w:pPr>
        <w:snapToGrid w:val="0"/>
        <w:spacing w:line="360" w:lineRule="auto"/>
        <w:jc w:val="center"/>
        <w:outlineLvl w:val="0"/>
        <w:rPr>
          <w:rFonts w:ascii="宋体" w:hAnsi="宋体" w:cs="宋体"/>
          <w:b/>
          <w:color w:val="auto"/>
          <w:sz w:val="36"/>
          <w:szCs w:val="36"/>
        </w:rPr>
      </w:pPr>
      <w:r>
        <w:rPr>
          <w:rFonts w:hint="eastAsia" w:ascii="宋体" w:hAnsi="宋体" w:cs="宋体"/>
          <w:b/>
          <w:color w:val="auto"/>
          <w:sz w:val="36"/>
          <w:szCs w:val="36"/>
        </w:rPr>
        <w:t>六、定 标</w:t>
      </w:r>
    </w:p>
    <w:p>
      <w:pPr>
        <w:pStyle w:val="27"/>
        <w:spacing w:line="360" w:lineRule="auto"/>
        <w:ind w:left="479" w:hanging="479" w:hangingChars="199"/>
        <w:rPr>
          <w:rFonts w:cs="宋体"/>
          <w:b/>
          <w:color w:val="auto"/>
        </w:rPr>
      </w:pPr>
      <w:r>
        <w:rPr>
          <w:rFonts w:hint="eastAsia" w:cs="宋体"/>
          <w:b/>
          <w:color w:val="auto"/>
        </w:rPr>
        <w:t>22. 确定中标供应商</w:t>
      </w:r>
    </w:p>
    <w:p>
      <w:pPr>
        <w:pStyle w:val="128"/>
        <w:snapToGrid w:val="0"/>
        <w:spacing w:before="0"/>
        <w:ind w:firstLine="480"/>
        <w:rPr>
          <w:rFonts w:ascii="宋体" w:hAnsi="宋体" w:cs="宋体"/>
          <w:b/>
          <w:color w:val="auto"/>
          <w:szCs w:val="24"/>
        </w:rPr>
      </w:pPr>
      <w:r>
        <w:rPr>
          <w:rFonts w:hint="eastAsia" w:ascii="宋体" w:hAnsi="宋体" w:cs="宋体"/>
          <w:color w:val="auto"/>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ascii="宋体" w:hAnsi="宋体" w:cs="宋体"/>
          <w:b/>
          <w:color w:val="auto"/>
          <w:szCs w:val="24"/>
        </w:rPr>
      </w:pPr>
      <w:r>
        <w:rPr>
          <w:rFonts w:hint="eastAsia" w:ascii="宋体" w:hAnsi="宋体" w:cs="宋体"/>
          <w:b/>
          <w:color w:val="auto"/>
          <w:szCs w:val="24"/>
        </w:rPr>
        <w:t>23. 中标通知与中标结果公告</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23.1自中标人确定之日起2个工作日内，</w:t>
      </w:r>
      <w:r>
        <w:rPr>
          <w:rFonts w:hint="eastAsia" w:ascii="宋体" w:hAnsi="宋体" w:cs="宋体"/>
          <w:color w:val="auto"/>
          <w:sz w:val="24"/>
          <w:lang w:eastAsia="zh-CN"/>
        </w:rPr>
        <w:t>采购代理机构</w:t>
      </w:r>
      <w:r>
        <w:rPr>
          <w:rFonts w:hint="eastAsia" w:ascii="宋体" w:hAnsi="宋体" w:cs="宋体"/>
          <w:color w:val="auto"/>
          <w:sz w:val="24"/>
        </w:rPr>
        <w:t>通过电子交易平台向中标人发出中标通知书，同时编制发布采购结果公告。</w:t>
      </w:r>
      <w:r>
        <w:rPr>
          <w:rFonts w:hint="eastAsia" w:ascii="宋体" w:hAnsi="宋体" w:cs="宋体"/>
          <w:color w:val="auto"/>
          <w:sz w:val="24"/>
          <w:lang w:eastAsia="zh-CN"/>
        </w:rPr>
        <w:t>采购代理机构</w:t>
      </w:r>
      <w:r>
        <w:rPr>
          <w:rFonts w:hint="eastAsia" w:ascii="宋体" w:hAnsi="宋体" w:cs="宋体"/>
          <w:color w:val="auto"/>
          <w:sz w:val="24"/>
        </w:rPr>
        <w:t>也可以以纸质形式进行中标通知。</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23.2中标结果公告内容包括采购人及其委托的</w:t>
      </w:r>
      <w:r>
        <w:rPr>
          <w:rFonts w:hint="eastAsia" w:ascii="宋体" w:hAnsi="宋体" w:cs="宋体"/>
          <w:color w:val="auto"/>
          <w:sz w:val="24"/>
          <w:lang w:eastAsia="zh-CN"/>
        </w:rPr>
        <w:t>采购代理机构</w:t>
      </w:r>
      <w:r>
        <w:rPr>
          <w:rFonts w:hint="eastAsia" w:ascii="宋体" w:hAnsi="宋体" w:cs="宋体"/>
          <w:color w:val="auto"/>
          <w:sz w:val="24"/>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rPr>
        <w:t>资格审查情况、评审专家抽取规则、符合性审查情况、</w:t>
      </w:r>
      <w:bookmarkEnd w:id="14"/>
      <w:r>
        <w:rPr>
          <w:rFonts w:hint="eastAsia" w:ascii="宋体" w:hAnsi="宋体" w:cs="宋体"/>
          <w:color w:val="auto"/>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23.3公告期限为1个工作日。</w:t>
      </w:r>
    </w:p>
    <w:p>
      <w:pPr>
        <w:snapToGrid w:val="0"/>
        <w:spacing w:line="360" w:lineRule="auto"/>
        <w:ind w:left="120" w:leftChars="57" w:firstLine="482" w:firstLineChars="150"/>
        <w:jc w:val="center"/>
        <w:rPr>
          <w:rFonts w:ascii="宋体" w:hAnsi="宋体" w:cs="宋体"/>
          <w:b/>
          <w:color w:val="auto"/>
          <w:sz w:val="32"/>
        </w:rPr>
      </w:pPr>
    </w:p>
    <w:p>
      <w:pPr>
        <w:snapToGrid w:val="0"/>
        <w:spacing w:line="360" w:lineRule="auto"/>
        <w:ind w:left="120" w:leftChars="57" w:firstLine="482" w:firstLineChars="150"/>
        <w:jc w:val="center"/>
        <w:rPr>
          <w:rFonts w:ascii="宋体" w:hAnsi="宋体" w:cs="宋体"/>
          <w:b/>
          <w:color w:val="auto"/>
          <w:sz w:val="32"/>
        </w:rPr>
      </w:pPr>
      <w:r>
        <w:rPr>
          <w:rFonts w:hint="eastAsia" w:ascii="宋体" w:hAnsi="宋体" w:cs="宋体"/>
          <w:b/>
          <w:color w:val="auto"/>
          <w:sz w:val="32"/>
        </w:rPr>
        <w:t>七、合同授予</w:t>
      </w:r>
    </w:p>
    <w:p>
      <w:pPr>
        <w:pStyle w:val="27"/>
        <w:spacing w:line="360" w:lineRule="auto"/>
        <w:ind w:left="479" w:hanging="479" w:hangingChars="199"/>
        <w:rPr>
          <w:rFonts w:cs="宋体"/>
          <w:b/>
          <w:color w:val="auto"/>
        </w:rPr>
      </w:pPr>
      <w:r>
        <w:rPr>
          <w:rFonts w:hint="eastAsia" w:cs="宋体"/>
          <w:b/>
          <w:color w:val="auto"/>
        </w:rPr>
        <w:t xml:space="preserve">24. </w:t>
      </w:r>
      <w:r>
        <w:rPr>
          <w:rFonts w:hint="eastAsia" w:cs="宋体"/>
          <w:color w:val="auto"/>
        </w:rPr>
        <w:t>合同主要条款详见第五部分拟签订的合同文本。</w:t>
      </w:r>
    </w:p>
    <w:p>
      <w:pPr>
        <w:pStyle w:val="27"/>
        <w:spacing w:line="360" w:lineRule="auto"/>
        <w:ind w:left="479" w:hanging="479" w:hangingChars="199"/>
        <w:rPr>
          <w:rFonts w:cs="宋体"/>
          <w:b/>
          <w:color w:val="auto"/>
        </w:rPr>
      </w:pPr>
      <w:r>
        <w:rPr>
          <w:rFonts w:hint="eastAsia" w:cs="宋体"/>
          <w:b/>
          <w:color w:val="auto"/>
        </w:rPr>
        <w:t>25. 合同的签订</w:t>
      </w:r>
    </w:p>
    <w:p>
      <w:pPr>
        <w:widowControl/>
        <w:shd w:val="clear" w:color="auto" w:fill="FFFFFF"/>
        <w:spacing w:line="360" w:lineRule="auto"/>
        <w:ind w:firstLine="480"/>
        <w:jc w:val="left"/>
        <w:rPr>
          <w:rFonts w:ascii="宋体" w:hAnsi="宋体" w:cs="宋体"/>
          <w:color w:val="auto"/>
          <w:kern w:val="0"/>
          <w:sz w:val="24"/>
        </w:rPr>
      </w:pPr>
      <w:r>
        <w:rPr>
          <w:rFonts w:hint="eastAsia" w:ascii="宋体" w:hAnsi="宋体" w:cs="宋体"/>
          <w:color w:val="auto"/>
          <w:sz w:val="24"/>
        </w:rPr>
        <w:t>25.1</w:t>
      </w:r>
      <w:r>
        <w:rPr>
          <w:rFonts w:hint="eastAsia" w:ascii="宋体" w:hAnsi="宋体" w:cs="宋体"/>
          <w:color w:val="auto"/>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color w:val="auto"/>
          <w:kern w:val="0"/>
        </w:rPr>
      </w:pPr>
      <w:r>
        <w:rPr>
          <w:rFonts w:hint="eastAsia" w:ascii="宋体" w:hAnsi="宋体" w:cs="宋体"/>
          <w:color w:val="auto"/>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color w:val="auto"/>
        </w:rPr>
      </w:pPr>
      <w:r>
        <w:rPr>
          <w:rFonts w:hint="eastAsia" w:ascii="宋体" w:hAnsi="宋体" w:cs="宋体"/>
          <w:color w:val="auto"/>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color w:val="auto"/>
        </w:rPr>
      </w:pPr>
      <w:r>
        <w:rPr>
          <w:rFonts w:hint="eastAsia" w:ascii="宋体" w:hAnsi="宋体" w:cs="宋体"/>
          <w:color w:val="auto"/>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color w:val="auto"/>
        </w:rPr>
      </w:pPr>
      <w:r>
        <w:rPr>
          <w:rFonts w:hint="eastAsia" w:ascii="宋体" w:hAnsi="宋体" w:cs="宋体"/>
          <w:color w:val="auto"/>
        </w:rPr>
        <w:t>25.5采购合同由采购人与中标供应商根据招标文件、投标文件等内容通过政府采购电子交易平台在线签订，自动备案。</w:t>
      </w:r>
    </w:p>
    <w:p>
      <w:pPr>
        <w:pStyle w:val="27"/>
        <w:spacing w:line="360" w:lineRule="auto"/>
        <w:ind w:left="479" w:hanging="479" w:hangingChars="199"/>
        <w:rPr>
          <w:rFonts w:cs="宋体"/>
          <w:b/>
          <w:color w:val="auto"/>
        </w:rPr>
      </w:pPr>
      <w:r>
        <w:rPr>
          <w:rFonts w:hint="eastAsia" w:cs="宋体"/>
          <w:b/>
          <w:color w:val="auto"/>
        </w:rPr>
        <w:t>26. 履约保证金</w:t>
      </w:r>
    </w:p>
    <w:p>
      <w:pPr>
        <w:tabs>
          <w:tab w:val="left" w:pos="0"/>
        </w:tabs>
        <w:spacing w:line="360" w:lineRule="auto"/>
        <w:ind w:firstLine="482"/>
        <w:rPr>
          <w:rFonts w:ascii="宋体" w:hAnsi="宋体" w:cs="宋体"/>
          <w:color w:val="auto"/>
          <w:sz w:val="24"/>
        </w:rPr>
      </w:pPr>
      <w:r>
        <w:rPr>
          <w:rFonts w:hint="eastAsia" w:ascii="宋体" w:hAnsi="宋体" w:cs="宋体"/>
          <w:color w:val="auto"/>
          <w:kern w:val="0"/>
          <w:sz w:val="24"/>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rPr>
        <w:t>。履约保证金的数额不得超过政府采购合同金额的</w:t>
      </w:r>
      <w:r>
        <w:rPr>
          <w:rFonts w:ascii="宋体" w:hAnsi="宋体" w:cs="宋体"/>
          <w:color w:val="auto"/>
          <w:sz w:val="24"/>
        </w:rPr>
        <w:t>1</w:t>
      </w:r>
      <w:r>
        <w:rPr>
          <w:rFonts w:hint="eastAsia" w:ascii="宋体" w:hAnsi="宋体" w:cs="宋体"/>
          <w:color w:val="auto"/>
          <w:sz w:val="24"/>
        </w:rPr>
        <w:t>%</w:t>
      </w:r>
      <w:r>
        <w:rPr>
          <w:rFonts w:hint="eastAsia" w:ascii="宋体" w:hAnsi="宋体" w:cs="宋体"/>
          <w:color w:val="auto"/>
          <w:sz w:val="24"/>
          <w:highlight w:val="none"/>
        </w:rPr>
        <w:t>，鼓励根据项目特点、供应商诚信等因素免收履约保证金或降低缴纳比例</w:t>
      </w:r>
      <w:r>
        <w:rPr>
          <w:rFonts w:hint="eastAsia" w:ascii="宋体" w:hAnsi="宋体" w:cs="宋体"/>
          <w:color w:val="auto"/>
          <w:sz w:val="24"/>
        </w:rPr>
        <w:t>。鼓励和支持供应商以银行、保险公司出具的保函形式提供履约保证金。采购人不得拒收履约保函，项目验收结束后应及时退还，</w:t>
      </w:r>
      <w:r>
        <w:rPr>
          <w:rFonts w:ascii="宋体" w:hAnsi="宋体" w:cs="宋体"/>
          <w:color w:val="auto"/>
          <w:sz w:val="24"/>
        </w:rPr>
        <w:t>延迟退还的，应当按照合同约定和法律规定承担相应的赔偿责任</w:t>
      </w:r>
      <w:r>
        <w:rPr>
          <w:rFonts w:hint="eastAsia" w:ascii="宋体" w:hAnsi="宋体" w:cs="宋体"/>
          <w:color w:val="auto"/>
          <w:sz w:val="24"/>
        </w:rPr>
        <w:t>。</w:t>
      </w:r>
    </w:p>
    <w:p>
      <w:pPr>
        <w:pStyle w:val="4"/>
        <w:ind w:left="0" w:firstLine="480" w:firstLineChars="200"/>
        <w:rPr>
          <w:rFonts w:ascii="宋体" w:hAnsi="宋体" w:eastAsia="宋体" w:cs="宋体"/>
          <w:b w:val="0"/>
          <w:bCs w:val="0"/>
          <w:snapToGrid w:val="0"/>
          <w:color w:val="auto"/>
          <w:kern w:val="28"/>
          <w:sz w:val="24"/>
        </w:rPr>
      </w:pPr>
      <w:r>
        <w:rPr>
          <w:rFonts w:hint="eastAsia" w:ascii="宋体" w:hAnsi="宋体" w:eastAsia="宋体" w:cs="宋体"/>
          <w:b w:val="0"/>
          <w:bCs w:val="0"/>
          <w:snapToGrid w:val="0"/>
          <w:color w:val="auto"/>
          <w:kern w:val="28"/>
          <w:sz w:val="24"/>
        </w:rPr>
        <w:t>供应商</w:t>
      </w:r>
      <w:r>
        <w:rPr>
          <w:rFonts w:hint="eastAsia" w:ascii="宋体" w:hAnsi="宋体" w:eastAsia="宋体" w:cs="宋体"/>
          <w:b w:val="0"/>
          <w:bCs w:val="0"/>
          <w:snapToGrid w:val="0"/>
          <w:color w:val="auto"/>
          <w:kern w:val="28"/>
          <w:sz w:val="24"/>
          <w:lang w:val="en-US"/>
        </w:rPr>
        <w:t>可</w:t>
      </w:r>
      <w:r>
        <w:rPr>
          <w:rFonts w:hint="eastAsia" w:ascii="宋体" w:hAnsi="宋体" w:eastAsia="宋体" w:cs="宋体"/>
          <w:b w:val="0"/>
          <w:bCs w:val="0"/>
          <w:snapToGrid w:val="0"/>
          <w:color w:val="auto"/>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rPr>
          <w:color w:val="auto"/>
          <w:highlight w:val="none"/>
        </w:rPr>
      </w:pPr>
      <w:r>
        <w:rPr>
          <w:rFonts w:ascii="宋体" w:hAnsi="宋体" w:eastAsia="宋体"/>
          <w:b/>
          <w:bCs/>
          <w:color w:val="auto"/>
          <w:sz w:val="24"/>
          <w:szCs w:val="32"/>
          <w:highlight w:val="none"/>
          <w:lang w:val="en-US"/>
        </w:rPr>
        <w:t>27.预付款</w:t>
      </w:r>
    </w:p>
    <w:p>
      <w:pPr>
        <w:adjustRightInd/>
        <w:spacing w:line="360" w:lineRule="auto"/>
        <w:ind w:firstLine="480" w:firstLineChars="200"/>
        <w:rPr>
          <w:color w:val="auto"/>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rPr>
        <w:t>不低于</w:t>
      </w:r>
      <w:r>
        <w:rPr>
          <w:rFonts w:ascii="宋体" w:hAnsi="宋体"/>
          <w:color w:val="auto"/>
          <w:sz w:val="24"/>
          <w:highlight w:val="none"/>
        </w:rPr>
        <w:t>项目年度计划支付资金额的40％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提交银行、保险公司等金融机构出具的预付款保函或其他担保措施。政府采购预付款应在合同生效以及具备实施条件后5个工作日内支付。</w:t>
      </w:r>
      <w:r>
        <w:rPr>
          <w:rFonts w:hint="eastAsia" w:ascii="宋体" w:hAnsi="宋体"/>
          <w:color w:val="auto"/>
          <w:sz w:val="24"/>
          <w:highlight w:val="none"/>
        </w:rPr>
        <w:t>政府采购工程以及与工程建设有关的货物、服务，采用招标方式采购的，预付款从其相关规定。供应商可登录政采云前台大厅选择金融服务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rPr>
          <w:color w:val="auto"/>
        </w:rPr>
      </w:pPr>
    </w:p>
    <w:p>
      <w:pPr>
        <w:snapToGrid w:val="0"/>
        <w:spacing w:line="360" w:lineRule="auto"/>
        <w:ind w:firstLine="3357" w:firstLineChars="1045"/>
        <w:rPr>
          <w:rFonts w:ascii="宋体" w:hAnsi="宋体" w:cs="宋体"/>
          <w:b/>
          <w:color w:val="auto"/>
          <w:sz w:val="32"/>
        </w:rPr>
      </w:pPr>
    </w:p>
    <w:p>
      <w:pPr>
        <w:snapToGrid w:val="0"/>
        <w:spacing w:line="360" w:lineRule="auto"/>
        <w:ind w:firstLine="3357" w:firstLineChars="1045"/>
        <w:rPr>
          <w:rFonts w:ascii="宋体" w:hAnsi="宋体" w:cs="宋体"/>
          <w:b/>
          <w:color w:val="auto"/>
          <w:sz w:val="24"/>
        </w:rPr>
      </w:pPr>
      <w:r>
        <w:rPr>
          <w:rFonts w:hint="eastAsia" w:ascii="宋体" w:hAnsi="宋体" w:cs="宋体"/>
          <w:b/>
          <w:color w:val="auto"/>
          <w:sz w:val="32"/>
        </w:rPr>
        <w:t>八、电子交易活动的中止</w:t>
      </w:r>
    </w:p>
    <w:p>
      <w:pPr>
        <w:pStyle w:val="128"/>
        <w:snapToGrid w:val="0"/>
        <w:spacing w:before="0"/>
        <w:ind w:firstLine="0" w:firstLineChars="0"/>
        <w:rPr>
          <w:rFonts w:ascii="宋体" w:hAnsi="宋体" w:cs="宋体"/>
          <w:color w:val="auto"/>
        </w:rPr>
      </w:pPr>
      <w:r>
        <w:rPr>
          <w:rFonts w:ascii="宋体" w:hAnsi="宋体" w:cs="宋体"/>
          <w:b/>
          <w:bCs/>
          <w:color w:val="auto"/>
          <w:sz w:val="24"/>
          <w:szCs w:val="20"/>
        </w:rPr>
        <w:t>2</w:t>
      </w:r>
      <w:r>
        <w:rPr>
          <w:rFonts w:ascii="宋体" w:hAnsi="宋体" w:cs="宋体"/>
          <w:b/>
          <w:bCs/>
          <w:color w:val="auto"/>
          <w:sz w:val="24"/>
          <w:szCs w:val="24"/>
        </w:rPr>
        <w:t>8</w:t>
      </w:r>
      <w:r>
        <w:rPr>
          <w:rFonts w:hint="eastAsia" w:ascii="宋体" w:hAnsi="宋体" w:cs="宋体"/>
          <w:b/>
          <w:color w:val="auto"/>
          <w:szCs w:val="24"/>
        </w:rPr>
        <w:t>. 电子交易活动的中止。</w:t>
      </w:r>
      <w:r>
        <w:rPr>
          <w:rFonts w:hint="eastAsia" w:ascii="宋体" w:hAnsi="宋体" w:cs="宋体"/>
          <w:color w:val="auto"/>
        </w:rPr>
        <w:t>采购过程中出现以下情形，导致电子交易平台无法正常运行，或者无法保证电子交易的公平、公正和安全时，</w:t>
      </w:r>
      <w:r>
        <w:rPr>
          <w:rFonts w:hint="eastAsia" w:ascii="宋体" w:hAnsi="宋体" w:cs="宋体"/>
          <w:color w:val="auto"/>
          <w:lang w:eastAsia="zh-CN"/>
        </w:rPr>
        <w:t>采购代理机构</w:t>
      </w:r>
      <w:r>
        <w:rPr>
          <w:rFonts w:hint="eastAsia" w:ascii="宋体" w:hAnsi="宋体" w:cs="宋体"/>
          <w:color w:val="auto"/>
        </w:rPr>
        <w:t>可中止电子交易活动：</w:t>
      </w:r>
    </w:p>
    <w:p>
      <w:pPr>
        <w:pStyle w:val="128"/>
        <w:snapToGrid w:val="0"/>
        <w:spacing w:before="0"/>
        <w:ind w:firstLine="480"/>
        <w:rPr>
          <w:rFonts w:ascii="宋体" w:hAnsi="宋体" w:cs="宋体"/>
          <w:color w:val="auto"/>
        </w:rPr>
      </w:pPr>
      <w:r>
        <w:rPr>
          <w:rFonts w:hint="eastAsia" w:ascii="宋体" w:hAnsi="宋体" w:cs="宋体"/>
          <w:color w:val="auto"/>
        </w:rPr>
        <w:t xml:space="preserve">28.1电子交易平台发生故障而无法登录访问的； </w:t>
      </w:r>
    </w:p>
    <w:p>
      <w:pPr>
        <w:pStyle w:val="128"/>
        <w:snapToGrid w:val="0"/>
        <w:spacing w:before="0"/>
        <w:ind w:firstLine="480"/>
        <w:rPr>
          <w:rFonts w:ascii="宋体" w:hAnsi="宋体" w:cs="宋体"/>
          <w:color w:val="auto"/>
        </w:rPr>
      </w:pPr>
      <w:r>
        <w:rPr>
          <w:rFonts w:hint="eastAsia" w:ascii="宋体" w:hAnsi="宋体" w:cs="宋体"/>
          <w:color w:val="auto"/>
        </w:rPr>
        <w:t>28.2电子交易平台应用或数据库出现错误，不能进行正常操作的；</w:t>
      </w:r>
    </w:p>
    <w:p>
      <w:pPr>
        <w:pStyle w:val="128"/>
        <w:snapToGrid w:val="0"/>
        <w:spacing w:before="0"/>
        <w:ind w:firstLine="480"/>
        <w:rPr>
          <w:rFonts w:ascii="宋体" w:hAnsi="宋体" w:cs="宋体"/>
          <w:color w:val="auto"/>
        </w:rPr>
      </w:pPr>
      <w:r>
        <w:rPr>
          <w:rFonts w:hint="eastAsia" w:ascii="宋体" w:hAnsi="宋体" w:cs="宋体"/>
          <w:color w:val="auto"/>
        </w:rPr>
        <w:t>28.3电子交易平台发现严重安全漏洞，有潜在泄密危险的；</w:t>
      </w:r>
    </w:p>
    <w:p>
      <w:pPr>
        <w:pStyle w:val="128"/>
        <w:snapToGrid w:val="0"/>
        <w:spacing w:before="0"/>
        <w:ind w:firstLine="480"/>
        <w:rPr>
          <w:rFonts w:ascii="宋体" w:hAnsi="宋体" w:cs="宋体"/>
          <w:color w:val="auto"/>
        </w:rPr>
      </w:pPr>
      <w:r>
        <w:rPr>
          <w:rFonts w:hint="eastAsia" w:ascii="宋体" w:hAnsi="宋体" w:cs="宋体"/>
          <w:color w:val="auto"/>
        </w:rPr>
        <w:t xml:space="preserve">28.4病毒发作导致不能进行正常操作的； </w:t>
      </w:r>
    </w:p>
    <w:p>
      <w:pPr>
        <w:pStyle w:val="128"/>
        <w:snapToGrid w:val="0"/>
        <w:spacing w:before="0"/>
        <w:ind w:firstLine="480"/>
        <w:rPr>
          <w:rFonts w:ascii="宋体" w:hAnsi="宋体" w:cs="宋体"/>
          <w:color w:val="auto"/>
        </w:rPr>
      </w:pPr>
      <w:r>
        <w:rPr>
          <w:rFonts w:hint="eastAsia" w:ascii="宋体" w:hAnsi="宋体" w:cs="宋体"/>
          <w:color w:val="auto"/>
        </w:rPr>
        <w:t>28.5其他无法保证电子交易的公平、公正和安全的情况。</w:t>
      </w:r>
    </w:p>
    <w:p>
      <w:pPr>
        <w:pStyle w:val="128"/>
        <w:snapToGrid w:val="0"/>
        <w:spacing w:before="0"/>
        <w:ind w:firstLine="0" w:firstLineChars="0"/>
        <w:rPr>
          <w:rFonts w:ascii="宋体" w:hAnsi="宋体" w:cs="宋体"/>
          <w:color w:val="auto"/>
        </w:rPr>
      </w:pPr>
      <w:r>
        <w:rPr>
          <w:rFonts w:hint="eastAsia" w:ascii="宋体" w:hAnsi="宋体" w:cs="宋体"/>
          <w:color w:val="auto"/>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rPr>
      </w:pPr>
    </w:p>
    <w:p>
      <w:pPr>
        <w:snapToGrid w:val="0"/>
        <w:spacing w:line="360" w:lineRule="auto"/>
        <w:ind w:left="120" w:leftChars="57" w:firstLine="482" w:firstLineChars="150"/>
        <w:jc w:val="center"/>
        <w:rPr>
          <w:rFonts w:ascii="宋体" w:hAnsi="宋体" w:cs="宋体"/>
          <w:b/>
          <w:color w:val="auto"/>
          <w:sz w:val="32"/>
        </w:rPr>
      </w:pPr>
      <w:r>
        <w:rPr>
          <w:rFonts w:hint="eastAsia" w:ascii="宋体" w:hAnsi="宋体" w:cs="宋体"/>
          <w:b/>
          <w:color w:val="auto"/>
          <w:sz w:val="32"/>
        </w:rPr>
        <w:t>九、验收</w:t>
      </w:r>
    </w:p>
    <w:p>
      <w:pPr>
        <w:pStyle w:val="27"/>
        <w:spacing w:line="360" w:lineRule="auto"/>
        <w:ind w:firstLine="0" w:firstLineChars="0"/>
        <w:rPr>
          <w:rFonts w:cs="宋体"/>
          <w:b/>
          <w:color w:val="auto"/>
        </w:rPr>
      </w:pPr>
      <w:r>
        <w:rPr>
          <w:rFonts w:hint="eastAsia" w:cs="宋体"/>
          <w:b/>
          <w:color w:val="auto"/>
        </w:rPr>
        <w:t>30.验收</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rPr>
      </w:pPr>
      <w:r>
        <w:rPr>
          <w:rFonts w:hint="eastAsia" w:ascii="宋体" w:hAnsi="宋体" w:cs="宋体"/>
          <w:color w:val="auto"/>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color w:val="auto"/>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68073093"/>
      <w:bookmarkEnd w:id="15"/>
      <w:bookmarkStart w:id="16" w:name="_Hlt74729768"/>
      <w:bookmarkEnd w:id="16"/>
      <w:bookmarkStart w:id="17" w:name="_Hlt68072990"/>
      <w:bookmarkEnd w:id="17"/>
      <w:bookmarkStart w:id="18" w:name="_Hlt74707468"/>
      <w:bookmarkEnd w:id="18"/>
      <w:bookmarkStart w:id="19" w:name="_Hlt75236011"/>
      <w:bookmarkEnd w:id="19"/>
      <w:bookmarkStart w:id="20" w:name="_Hlt75236290"/>
      <w:bookmarkEnd w:id="20"/>
      <w:bookmarkStart w:id="21" w:name="_Hlt74714665"/>
      <w:bookmarkEnd w:id="21"/>
      <w:bookmarkStart w:id="22" w:name="_Hlt68403820"/>
      <w:bookmarkEnd w:id="22"/>
      <w:bookmarkStart w:id="23" w:name="_Hlt75236101"/>
      <w:bookmarkEnd w:id="23"/>
      <w:bookmarkStart w:id="24" w:name="_Hlt68057669"/>
      <w:bookmarkEnd w:id="24"/>
      <w:bookmarkStart w:id="25" w:name="_Hlt74730295"/>
      <w:bookmarkEnd w:id="25"/>
      <w:bookmarkStart w:id="26" w:name="_Hlt68072998"/>
      <w:bookmarkEnd w:id="26"/>
    </w:p>
    <w:bookmarkEnd w:id="11"/>
    <w:bookmarkEnd w:id="12"/>
    <w:p>
      <w:pPr>
        <w:spacing w:line="600" w:lineRule="exact"/>
        <w:jc w:val="center"/>
        <w:rPr>
          <w:rFonts w:hint="eastAsia" w:ascii="宋体" w:hAnsi="宋体" w:eastAsia="宋体" w:cs="宋体"/>
          <w:b/>
          <w:color w:val="auto"/>
          <w:sz w:val="28"/>
          <w:szCs w:val="28"/>
          <w:highlight w:val="none"/>
        </w:rPr>
      </w:pPr>
      <w:bookmarkStart w:id="27" w:name="第四部分"/>
      <w:r>
        <w:rPr>
          <w:rFonts w:hint="eastAsia" w:ascii="宋体" w:hAnsi="宋体" w:eastAsia="宋体" w:cs="宋体"/>
          <w:b/>
          <w:color w:val="auto"/>
          <w:sz w:val="28"/>
          <w:szCs w:val="28"/>
          <w:highlight w:val="none"/>
        </w:rPr>
        <w:t>第三部分   采购需求</w:t>
      </w:r>
    </w:p>
    <w:p>
      <w:pPr>
        <w:widowControl w:val="0"/>
        <w:wordWrap/>
        <w:adjustRightInd w:val="0"/>
        <w:snapToGrid/>
        <w:spacing w:line="500" w:lineRule="exact"/>
        <w:ind w:firstLine="482" w:firstLineChars="20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采购需求中带“●”条款为实质性内容，投标人须在投标文件中提供《采购需求实质性内容响应表》（格式见第五部分  应提交的有关格式范例），如有任意一条未响应或不满足，将被视为无效。</w:t>
      </w:r>
    </w:p>
    <w:p>
      <w:pPr>
        <w:widowControl w:val="0"/>
        <w:wordWrap/>
        <w:adjustRightInd w:val="0"/>
        <w:snapToGrid/>
        <w:spacing w:line="500" w:lineRule="exact"/>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一、项目概况：</w:t>
      </w:r>
    </w:p>
    <w:p>
      <w:pPr>
        <w:widowControl w:val="0"/>
        <w:wordWrap/>
        <w:adjustRightInd w:val="0"/>
        <w:snapToGrid/>
        <w:spacing w:line="500" w:lineRule="exact"/>
        <w:ind w:firstLine="480" w:firstLineChars="200"/>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rPr>
        <w:t>本项目为“交钥匙”项目，采购内容主要包括</w:t>
      </w:r>
      <w:r>
        <w:rPr>
          <w:rFonts w:hint="eastAsia" w:ascii="宋体" w:hAnsi="宋体" w:eastAsia="宋体" w:cs="宋体"/>
          <w:bCs/>
          <w:color w:val="auto"/>
          <w:sz w:val="24"/>
          <w:highlight w:val="none"/>
          <w:lang w:val="en-US" w:eastAsia="zh-CN"/>
        </w:rPr>
        <w:t>道路</w:t>
      </w:r>
      <w:r>
        <w:rPr>
          <w:rFonts w:hint="eastAsia" w:ascii="宋体" w:hAnsi="宋体" w:eastAsia="宋体" w:cs="宋体"/>
          <w:bCs/>
          <w:color w:val="auto"/>
          <w:sz w:val="24"/>
          <w:highlight w:val="none"/>
        </w:rPr>
        <w:t>保洁、市政养护、绿化养护、河道保洁养护、桥梁养护等其他养护工作。</w:t>
      </w:r>
      <w:r>
        <w:rPr>
          <w:rFonts w:hint="eastAsia" w:ascii="宋体" w:hAnsi="宋体" w:eastAsia="宋体" w:cs="宋体"/>
          <w:bCs/>
          <w:color w:val="auto"/>
          <w:sz w:val="24"/>
          <w:highlight w:val="none"/>
          <w:lang w:val="en-US" w:eastAsia="zh-CN"/>
        </w:rPr>
        <w:t>主要包括如下：</w:t>
      </w:r>
    </w:p>
    <w:p>
      <w:pPr>
        <w:widowControl w:val="0"/>
        <w:wordWrap/>
        <w:adjustRightInd w:val="0"/>
        <w:snapToGrid/>
        <w:spacing w:line="500" w:lineRule="exact"/>
        <w:ind w:firstLine="480" w:firstLineChars="200"/>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1、道路路面、绿化带、城市家具、公交岗亭的保洁、清洗及垃圾处置；</w:t>
      </w:r>
    </w:p>
    <w:p>
      <w:pPr>
        <w:widowControl w:val="0"/>
        <w:wordWrap/>
        <w:adjustRightInd w:val="0"/>
        <w:snapToGrid/>
        <w:spacing w:line="500" w:lineRule="exact"/>
        <w:ind w:firstLine="480" w:firstLineChars="200"/>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2、道路路面、人行道、排水、桥梁等各项设施的检查、小修；</w:t>
      </w:r>
    </w:p>
    <w:p>
      <w:pPr>
        <w:widowControl w:val="0"/>
        <w:wordWrap/>
        <w:adjustRightInd w:val="0"/>
        <w:snapToGrid/>
        <w:spacing w:line="500" w:lineRule="exact"/>
        <w:ind w:firstLine="480" w:firstLineChars="200"/>
        <w:textAlignment w:val="auto"/>
        <w:rPr>
          <w:rFonts w:hint="eastAsia" w:ascii="宋体" w:hAnsi="宋体" w:eastAsia="宋体" w:cs="宋体"/>
          <w:bCs/>
          <w:color w:val="auto"/>
          <w:sz w:val="24"/>
          <w:highlight w:val="none"/>
          <w:lang w:val="en-US" w:eastAsia="zh-CN"/>
        </w:rPr>
      </w:pPr>
      <w:r>
        <w:rPr>
          <w:rFonts w:hint="eastAsia" w:ascii="宋体" w:hAnsi="宋体" w:cs="宋体"/>
          <w:bCs/>
          <w:color w:val="auto"/>
          <w:sz w:val="24"/>
          <w:highlight w:val="none"/>
          <w:lang w:val="en-US" w:eastAsia="zh-CN"/>
        </w:rPr>
        <w:t>3</w:t>
      </w:r>
      <w:r>
        <w:rPr>
          <w:rFonts w:hint="eastAsia" w:ascii="宋体" w:hAnsi="宋体" w:eastAsia="宋体" w:cs="宋体"/>
          <w:bCs/>
          <w:color w:val="auto"/>
          <w:sz w:val="24"/>
          <w:highlight w:val="none"/>
          <w:lang w:val="en-US" w:eastAsia="zh-CN"/>
        </w:rPr>
        <w:t>、道路范围内的绿化的浇水、施肥、除草、修剪、补种、预防病虫害等；</w:t>
      </w:r>
    </w:p>
    <w:p>
      <w:pPr>
        <w:widowControl w:val="0"/>
        <w:wordWrap/>
        <w:adjustRightInd w:val="0"/>
        <w:snapToGrid/>
        <w:spacing w:line="500" w:lineRule="exact"/>
        <w:ind w:firstLine="480" w:firstLineChars="200"/>
        <w:textAlignment w:val="auto"/>
        <w:rPr>
          <w:rFonts w:hint="eastAsia" w:ascii="宋体" w:hAnsi="宋体" w:eastAsia="宋体" w:cs="宋体"/>
          <w:bCs/>
          <w:color w:val="auto"/>
          <w:sz w:val="24"/>
          <w:highlight w:val="none"/>
          <w:lang w:val="en-US" w:eastAsia="zh-CN"/>
        </w:rPr>
      </w:pPr>
      <w:r>
        <w:rPr>
          <w:rFonts w:hint="eastAsia" w:ascii="宋体" w:hAnsi="宋体" w:cs="宋体"/>
          <w:bCs/>
          <w:color w:val="auto"/>
          <w:sz w:val="24"/>
          <w:highlight w:val="none"/>
          <w:lang w:val="en-US" w:eastAsia="zh-CN"/>
        </w:rPr>
        <w:t>4</w:t>
      </w:r>
      <w:r>
        <w:rPr>
          <w:rFonts w:hint="eastAsia" w:ascii="宋体" w:hAnsi="宋体" w:eastAsia="宋体" w:cs="宋体"/>
          <w:bCs/>
          <w:color w:val="auto"/>
          <w:sz w:val="24"/>
          <w:highlight w:val="none"/>
          <w:lang w:val="en-US" w:eastAsia="zh-CN"/>
        </w:rPr>
        <w:t>、时花的更换及养护</w:t>
      </w:r>
    </w:p>
    <w:p>
      <w:pPr>
        <w:widowControl w:val="0"/>
        <w:wordWrap/>
        <w:adjustRightInd w:val="0"/>
        <w:snapToGrid/>
        <w:spacing w:line="500" w:lineRule="exact"/>
        <w:ind w:firstLine="480" w:firstLineChars="200"/>
        <w:textAlignment w:val="auto"/>
        <w:rPr>
          <w:rFonts w:hint="eastAsia" w:ascii="宋体" w:hAnsi="宋体" w:eastAsia="宋体" w:cs="宋体"/>
          <w:bCs/>
          <w:color w:val="auto"/>
          <w:sz w:val="24"/>
          <w:highlight w:val="none"/>
          <w:lang w:val="en-US" w:eastAsia="zh-CN"/>
        </w:rPr>
      </w:pPr>
      <w:r>
        <w:rPr>
          <w:rFonts w:hint="eastAsia" w:ascii="宋体" w:hAnsi="宋体" w:cs="宋体"/>
          <w:bCs/>
          <w:color w:val="auto"/>
          <w:sz w:val="24"/>
          <w:highlight w:val="none"/>
          <w:lang w:val="en-US" w:eastAsia="zh-CN"/>
        </w:rPr>
        <w:t>5</w:t>
      </w:r>
      <w:r>
        <w:rPr>
          <w:rFonts w:hint="eastAsia" w:ascii="宋体" w:hAnsi="宋体" w:eastAsia="宋体" w:cs="宋体"/>
          <w:bCs/>
          <w:color w:val="auto"/>
          <w:sz w:val="24"/>
          <w:highlight w:val="none"/>
          <w:lang w:val="en-US" w:eastAsia="zh-CN"/>
        </w:rPr>
        <w:t>、市政道路、桥梁的巡查、养护等</w:t>
      </w:r>
    </w:p>
    <w:p>
      <w:pPr>
        <w:widowControl w:val="0"/>
        <w:wordWrap/>
        <w:adjustRightInd w:val="0"/>
        <w:snapToGrid/>
        <w:spacing w:line="500" w:lineRule="exact"/>
        <w:ind w:firstLine="480" w:firstLineChars="200"/>
        <w:textAlignment w:val="auto"/>
        <w:rPr>
          <w:rFonts w:hint="eastAsia" w:ascii="宋体" w:hAnsi="宋体" w:eastAsia="宋体" w:cs="宋体"/>
          <w:bCs/>
          <w:color w:val="auto"/>
          <w:sz w:val="24"/>
          <w:highlight w:val="none"/>
          <w:lang w:val="en-US" w:eastAsia="zh-CN"/>
        </w:rPr>
      </w:pPr>
      <w:r>
        <w:rPr>
          <w:rFonts w:hint="eastAsia" w:ascii="宋体" w:hAnsi="宋体" w:cs="宋体"/>
          <w:bCs/>
          <w:color w:val="auto"/>
          <w:sz w:val="24"/>
          <w:highlight w:val="none"/>
          <w:lang w:val="en-US" w:eastAsia="zh-CN"/>
        </w:rPr>
        <w:t>6</w:t>
      </w:r>
      <w:r>
        <w:rPr>
          <w:rFonts w:hint="eastAsia" w:ascii="宋体" w:hAnsi="宋体" w:eastAsia="宋体" w:cs="宋体"/>
          <w:bCs/>
          <w:color w:val="auto"/>
          <w:sz w:val="24"/>
          <w:highlight w:val="none"/>
          <w:lang w:val="en-US" w:eastAsia="zh-CN"/>
        </w:rPr>
        <w:t>、养护范围内的防汛防台、防雪防冻、突发事件的应急处理及重大活动保障的配合工作。</w:t>
      </w:r>
    </w:p>
    <w:p>
      <w:pPr>
        <w:pStyle w:val="4"/>
        <w:ind w:left="433" w:leftChars="202" w:hanging="9" w:hangingChars="4"/>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4"/>
          <w:highlight w:val="none"/>
          <w:lang w:val="en-US" w:eastAsia="zh-CN"/>
        </w:rPr>
        <w:t>7、养护范围内的景观灯、果壳箱、护栏（围栏）等所有设施的维修更换。</w:t>
      </w:r>
    </w:p>
    <w:p>
      <w:pPr>
        <w:widowControl w:val="0"/>
        <w:wordWrap/>
        <w:adjustRightInd w:val="0"/>
        <w:snapToGrid/>
        <w:spacing w:line="500" w:lineRule="exact"/>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二、采购清单：</w:t>
      </w:r>
    </w:p>
    <w:tbl>
      <w:tblPr>
        <w:tblStyle w:val="62"/>
        <w:tblW w:w="87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4"/>
        <w:gridCol w:w="1808"/>
        <w:gridCol w:w="705"/>
        <w:gridCol w:w="1365"/>
        <w:gridCol w:w="990"/>
        <w:gridCol w:w="3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7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b/>
                <w:bCs/>
                <w:color w:val="auto"/>
                <w:sz w:val="24"/>
                <w:highlight w:val="none"/>
              </w:rPr>
            </w:pPr>
            <w:r>
              <w:rPr>
                <w:rFonts w:hint="eastAsia" w:ascii="宋体" w:hAnsi="宋体" w:eastAsia="宋体" w:cs="宋体"/>
                <w:b/>
                <w:bCs/>
                <w:color w:val="auto"/>
                <w:kern w:val="0"/>
                <w:sz w:val="24"/>
                <w:highlight w:val="none"/>
              </w:rPr>
              <w:t>序号</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spacing w:line="360" w:lineRule="exact"/>
              <w:ind w:right="-1625" w:rightChars="-774" w:firstLine="482" w:firstLineChars="200"/>
              <w:textAlignment w:val="center"/>
              <w:rPr>
                <w:rFonts w:hint="eastAsia" w:ascii="宋体" w:hAnsi="宋体" w:eastAsia="宋体" w:cs="宋体"/>
                <w:b/>
                <w:bCs/>
                <w:color w:val="auto"/>
                <w:sz w:val="24"/>
                <w:highlight w:val="none"/>
              </w:rPr>
            </w:pPr>
            <w:r>
              <w:rPr>
                <w:rFonts w:hint="eastAsia" w:ascii="宋体" w:hAnsi="宋体" w:eastAsia="宋体" w:cs="宋体"/>
                <w:b/>
                <w:bCs/>
                <w:color w:val="auto"/>
                <w:kern w:val="0"/>
                <w:sz w:val="24"/>
                <w:highlight w:val="none"/>
              </w:rPr>
              <w:t>名</w:t>
            </w:r>
            <w:r>
              <w:rPr>
                <w:rFonts w:hint="eastAsia" w:ascii="宋体" w:hAnsi="宋体" w:cs="宋体"/>
                <w:b/>
                <w:bCs/>
                <w:color w:val="auto"/>
                <w:kern w:val="0"/>
                <w:sz w:val="24"/>
                <w:highlight w:val="none"/>
                <w:lang w:val="en-US" w:eastAsia="zh-CN"/>
              </w:rPr>
              <w:t xml:space="preserve"> </w:t>
            </w:r>
            <w:r>
              <w:rPr>
                <w:rFonts w:hint="eastAsia" w:ascii="宋体" w:hAnsi="宋体" w:eastAsia="宋体" w:cs="宋体"/>
                <w:b/>
                <w:bCs/>
                <w:color w:val="auto"/>
                <w:kern w:val="0"/>
                <w:sz w:val="24"/>
                <w:highlight w:val="none"/>
              </w:rPr>
              <w:t>称</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b/>
                <w:bCs/>
                <w:color w:val="auto"/>
                <w:sz w:val="24"/>
                <w:highlight w:val="none"/>
              </w:rPr>
            </w:pPr>
            <w:r>
              <w:rPr>
                <w:rFonts w:hint="eastAsia" w:ascii="宋体" w:hAnsi="宋体" w:eastAsia="宋体" w:cs="宋体"/>
                <w:b/>
                <w:bCs/>
                <w:color w:val="auto"/>
                <w:kern w:val="0"/>
                <w:sz w:val="24"/>
                <w:highlight w:val="none"/>
              </w:rPr>
              <w:t>单位</w:t>
            </w:r>
          </w:p>
        </w:tc>
        <w:tc>
          <w:tcPr>
            <w:tcW w:w="1365" w:type="dxa"/>
            <w:tcBorders>
              <w:top w:val="single" w:color="000000" w:sz="4" w:space="0"/>
              <w:left w:val="single" w:color="000000" w:sz="4" w:space="0"/>
              <w:bottom w:val="single" w:color="000000" w:sz="4" w:space="0"/>
              <w:right w:val="single" w:color="auto" w:sz="4" w:space="0"/>
            </w:tcBorders>
            <w:vAlign w:val="center"/>
          </w:tcPr>
          <w:p>
            <w:pPr>
              <w:widowControl/>
              <w:wordWrap/>
              <w:adjustRightInd w:val="0"/>
              <w:snapToGrid/>
              <w:spacing w:line="360" w:lineRule="exact"/>
              <w:jc w:val="center"/>
              <w:textAlignment w:val="center"/>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面积/</w:t>
            </w:r>
          </w:p>
          <w:p>
            <w:pPr>
              <w:widowControl/>
              <w:wordWrap/>
              <w:adjustRightInd w:val="0"/>
              <w:snapToGrid/>
              <w:spacing w:line="360" w:lineRule="exact"/>
              <w:jc w:val="center"/>
              <w:textAlignment w:val="center"/>
              <w:rPr>
                <w:rFonts w:hint="eastAsia" w:ascii="宋体" w:hAnsi="宋体" w:eastAsia="宋体" w:cs="宋体"/>
                <w:b/>
                <w:bCs/>
                <w:color w:val="auto"/>
                <w:sz w:val="24"/>
                <w:highlight w:val="none"/>
              </w:rPr>
            </w:pPr>
            <w:r>
              <w:rPr>
                <w:rFonts w:hint="eastAsia" w:ascii="宋体" w:hAnsi="宋体" w:eastAsia="宋体" w:cs="宋体"/>
                <w:b/>
                <w:bCs/>
                <w:color w:val="auto"/>
                <w:kern w:val="0"/>
                <w:sz w:val="24"/>
                <w:highlight w:val="none"/>
              </w:rPr>
              <w:t>数量</w:t>
            </w:r>
          </w:p>
        </w:tc>
        <w:tc>
          <w:tcPr>
            <w:tcW w:w="990" w:type="dxa"/>
            <w:tcBorders>
              <w:top w:val="single" w:color="000000" w:sz="4" w:space="0"/>
              <w:left w:val="single" w:color="auto"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b/>
                <w:bCs/>
                <w:color w:val="auto"/>
                <w:kern w:val="0"/>
                <w:sz w:val="24"/>
                <w:highlight w:val="none"/>
              </w:rPr>
            </w:pPr>
            <w:r>
              <w:rPr>
                <w:rFonts w:hint="eastAsia" w:ascii="宋体" w:hAnsi="宋体" w:cs="宋体"/>
                <w:b/>
                <w:bCs/>
                <w:color w:val="auto"/>
                <w:kern w:val="0"/>
                <w:sz w:val="24"/>
                <w:highlight w:val="none"/>
                <w:lang w:eastAsia="zh-CN"/>
              </w:rPr>
              <w:t>养护等级</w:t>
            </w:r>
          </w:p>
        </w:tc>
        <w:tc>
          <w:tcPr>
            <w:tcW w:w="31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b/>
                <w:bCs/>
                <w:color w:val="auto"/>
                <w:sz w:val="24"/>
                <w:highlight w:val="none"/>
              </w:rPr>
            </w:pPr>
            <w:r>
              <w:rPr>
                <w:rFonts w:hint="eastAsia" w:ascii="宋体" w:hAnsi="宋体" w:eastAsia="宋体" w:cs="宋体"/>
                <w:b/>
                <w:bCs/>
                <w:color w:val="auto"/>
                <w:kern w:val="0"/>
                <w:sz w:val="24"/>
                <w:highlight w:val="none"/>
              </w:rPr>
              <w:t>单项报价最高限价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754" w:type="dxa"/>
            <w:tcBorders>
              <w:top w:val="single" w:color="000000" w:sz="4" w:space="0"/>
              <w:left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w:t>
            </w:r>
          </w:p>
        </w:tc>
        <w:tc>
          <w:tcPr>
            <w:tcW w:w="1808" w:type="dxa"/>
            <w:tcBorders>
              <w:top w:val="single" w:color="000000" w:sz="4" w:space="0"/>
              <w:left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环卫保洁</w:t>
            </w:r>
          </w:p>
        </w:tc>
        <w:tc>
          <w:tcPr>
            <w:tcW w:w="705" w:type="dxa"/>
            <w:tcBorders>
              <w:top w:val="single" w:color="000000" w:sz="4" w:space="0"/>
              <w:left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w:t>
            </w:r>
          </w:p>
        </w:tc>
        <w:tc>
          <w:tcPr>
            <w:tcW w:w="1365" w:type="dxa"/>
            <w:tcBorders>
              <w:top w:val="single" w:color="000000" w:sz="4" w:space="0"/>
              <w:left w:val="single" w:color="000000" w:sz="4" w:space="0"/>
              <w:bottom w:val="single" w:color="000000" w:sz="4" w:space="0"/>
              <w:right w:val="single" w:color="auto" w:sz="4" w:space="0"/>
            </w:tcBorders>
            <w:vAlign w:val="center"/>
          </w:tcPr>
          <w:p>
            <w:pPr>
              <w:widowControl/>
              <w:wordWrap/>
              <w:adjustRightInd w:val="0"/>
              <w:snapToGrid/>
              <w:spacing w:line="360" w:lineRule="exact"/>
              <w:jc w:val="center"/>
              <w:textAlignment w:val="center"/>
              <w:rPr>
                <w:rFonts w:hint="default" w:ascii="宋体" w:hAnsi="宋体" w:eastAsia="宋体" w:cs="宋体"/>
                <w:b/>
                <w:bCs/>
                <w:color w:val="auto"/>
                <w:sz w:val="24"/>
                <w:highlight w:val="none"/>
                <w:lang w:val="en-US" w:eastAsia="zh-CN"/>
              </w:rPr>
            </w:pPr>
            <w:r>
              <w:rPr>
                <w:rFonts w:hint="eastAsia" w:ascii="宋体" w:hAnsi="宋体" w:cs="宋体"/>
                <w:b/>
                <w:bCs/>
                <w:color w:val="auto"/>
                <w:sz w:val="24"/>
                <w:highlight w:val="none"/>
                <w:lang w:val="en-US" w:eastAsia="zh-CN"/>
              </w:rPr>
              <w:t>296974.83</w:t>
            </w:r>
          </w:p>
        </w:tc>
        <w:tc>
          <w:tcPr>
            <w:tcW w:w="990" w:type="dxa"/>
            <w:tcBorders>
              <w:top w:val="single" w:color="000000" w:sz="4" w:space="0"/>
              <w:left w:val="single" w:color="auto"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二类</w:t>
            </w:r>
          </w:p>
        </w:tc>
        <w:tc>
          <w:tcPr>
            <w:tcW w:w="31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最高限价为</w:t>
            </w:r>
            <w:r>
              <w:rPr>
                <w:rFonts w:hint="eastAsia" w:ascii="宋体" w:hAnsi="宋体" w:cs="宋体"/>
                <w:color w:val="auto"/>
                <w:sz w:val="24"/>
                <w:highlight w:val="none"/>
                <w:lang w:val="en-US" w:eastAsia="zh-CN"/>
              </w:rPr>
              <w:t xml:space="preserve">22.98 </w:t>
            </w:r>
            <w:r>
              <w:rPr>
                <w:rFonts w:hint="eastAsia" w:ascii="宋体" w:hAnsi="宋体" w:eastAsia="宋体" w:cs="宋体"/>
                <w:color w:val="auto"/>
                <w:sz w:val="24"/>
                <w:highlight w:val="none"/>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2</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市政养护</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w:t>
            </w:r>
          </w:p>
        </w:tc>
        <w:tc>
          <w:tcPr>
            <w:tcW w:w="1365" w:type="dxa"/>
            <w:tcBorders>
              <w:top w:val="single" w:color="000000" w:sz="4" w:space="0"/>
              <w:left w:val="single" w:color="000000" w:sz="4" w:space="0"/>
              <w:bottom w:val="single" w:color="000000" w:sz="4" w:space="0"/>
              <w:right w:val="single" w:color="auto" w:sz="4" w:space="0"/>
            </w:tcBorders>
            <w:vAlign w:val="center"/>
          </w:tcPr>
          <w:p>
            <w:pPr>
              <w:widowControl/>
              <w:wordWrap/>
              <w:adjustRightInd w:val="0"/>
              <w:snapToGrid/>
              <w:spacing w:line="360" w:lineRule="exact"/>
              <w:jc w:val="center"/>
              <w:textAlignment w:val="center"/>
              <w:rPr>
                <w:rFonts w:hint="default" w:ascii="宋体" w:hAnsi="宋体" w:eastAsia="宋体" w:cs="宋体"/>
                <w:b/>
                <w:bCs/>
                <w:color w:val="auto"/>
                <w:sz w:val="24"/>
                <w:highlight w:val="none"/>
                <w:lang w:val="en-US" w:eastAsia="zh-CN"/>
              </w:rPr>
            </w:pPr>
            <w:r>
              <w:rPr>
                <w:rFonts w:hint="eastAsia" w:ascii="宋体" w:hAnsi="宋体" w:cs="宋体"/>
                <w:b/>
                <w:bCs/>
                <w:i w:val="0"/>
                <w:iCs w:val="0"/>
                <w:color w:val="auto"/>
                <w:kern w:val="0"/>
                <w:sz w:val="24"/>
                <w:szCs w:val="24"/>
                <w:highlight w:val="none"/>
                <w:u w:val="none"/>
                <w:lang w:val="en-US" w:eastAsia="zh-CN" w:bidi="ar"/>
              </w:rPr>
              <w:t>296974.83</w:t>
            </w:r>
          </w:p>
        </w:tc>
        <w:tc>
          <w:tcPr>
            <w:tcW w:w="990" w:type="dxa"/>
            <w:tcBorders>
              <w:top w:val="single" w:color="000000" w:sz="4" w:space="0"/>
              <w:left w:val="single" w:color="auto"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二类</w:t>
            </w:r>
          </w:p>
        </w:tc>
        <w:tc>
          <w:tcPr>
            <w:tcW w:w="31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此部分暂定费用为</w:t>
            </w:r>
            <w:r>
              <w:rPr>
                <w:rFonts w:hint="eastAsia" w:ascii="宋体" w:hAnsi="宋体" w:cs="宋体"/>
                <w:b/>
                <w:bCs/>
                <w:color w:val="auto"/>
                <w:sz w:val="24"/>
                <w:highlight w:val="none"/>
                <w:lang w:val="en-US" w:eastAsia="zh-CN"/>
              </w:rPr>
              <w:t>296</w:t>
            </w:r>
            <w:r>
              <w:rPr>
                <w:rFonts w:hint="eastAsia" w:ascii="宋体" w:hAnsi="宋体" w:eastAsia="宋体" w:cs="宋体"/>
                <w:color w:val="auto"/>
                <w:sz w:val="24"/>
                <w:highlight w:val="none"/>
                <w:lang w:val="zh-CN"/>
              </w:rPr>
              <w:t>万元</w:t>
            </w:r>
            <w:r>
              <w:rPr>
                <w:rFonts w:hint="eastAsia" w:ascii="宋体" w:hAnsi="宋体" w:cs="宋体"/>
                <w:color w:val="auto"/>
                <w:sz w:val="24"/>
                <w:highlight w:val="none"/>
                <w:lang w:val="en-US" w:eastAsia="zh-CN"/>
              </w:rPr>
              <w:t>/年</w:t>
            </w:r>
            <w:r>
              <w:rPr>
                <w:rFonts w:hint="eastAsia" w:ascii="宋体" w:hAnsi="宋体" w:eastAsia="宋体" w:cs="宋体"/>
                <w:color w:val="auto"/>
                <w:sz w:val="24"/>
                <w:highlight w:val="none"/>
                <w:lang w:val="zh-CN"/>
              </w:rPr>
              <w:t>，实际工程量以审计单位审核结果结算（此部分费用不作为竞争性报价，否则作无效标处理）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54" w:type="dxa"/>
            <w:tcBorders>
              <w:top w:val="single" w:color="000000" w:sz="4" w:space="0"/>
              <w:left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3</w:t>
            </w:r>
          </w:p>
        </w:tc>
        <w:tc>
          <w:tcPr>
            <w:tcW w:w="1808" w:type="dxa"/>
            <w:tcBorders>
              <w:top w:val="single" w:color="000000" w:sz="4" w:space="0"/>
              <w:left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道路</w:t>
            </w:r>
            <w:r>
              <w:rPr>
                <w:rFonts w:hint="eastAsia" w:ascii="宋体" w:hAnsi="宋体" w:eastAsia="宋体" w:cs="宋体"/>
                <w:color w:val="auto"/>
                <w:sz w:val="24"/>
                <w:highlight w:val="none"/>
              </w:rPr>
              <w:t>绿化养护</w:t>
            </w:r>
          </w:p>
        </w:tc>
        <w:tc>
          <w:tcPr>
            <w:tcW w:w="705" w:type="dxa"/>
            <w:tcBorders>
              <w:top w:val="single" w:color="000000" w:sz="4" w:space="0"/>
              <w:left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w:t>
            </w:r>
          </w:p>
        </w:tc>
        <w:tc>
          <w:tcPr>
            <w:tcW w:w="1365" w:type="dxa"/>
            <w:tcBorders>
              <w:top w:val="single" w:color="000000" w:sz="4" w:space="0"/>
              <w:left w:val="single" w:color="000000" w:sz="4" w:space="0"/>
              <w:bottom w:val="single" w:color="000000" w:sz="4" w:space="0"/>
              <w:right w:val="single" w:color="auto" w:sz="4" w:space="0"/>
            </w:tcBorders>
            <w:vAlign w:val="center"/>
          </w:tcPr>
          <w:p>
            <w:pPr>
              <w:widowControl/>
              <w:wordWrap/>
              <w:adjustRightInd w:val="0"/>
              <w:snapToGrid/>
              <w:spacing w:line="360" w:lineRule="exact"/>
              <w:jc w:val="center"/>
              <w:textAlignment w:val="center"/>
              <w:rPr>
                <w:rFonts w:hint="default" w:ascii="宋体" w:hAnsi="宋体" w:eastAsia="宋体" w:cs="宋体"/>
                <w:b/>
                <w:bCs/>
                <w:color w:val="auto"/>
                <w:sz w:val="24"/>
                <w:highlight w:val="none"/>
                <w:lang w:val="en-US"/>
              </w:rPr>
            </w:pPr>
            <w:r>
              <w:rPr>
                <w:rFonts w:hint="default" w:ascii="宋体" w:hAnsi="宋体" w:eastAsia="宋体" w:cs="宋体"/>
                <w:b/>
                <w:bCs/>
                <w:color w:val="auto"/>
                <w:sz w:val="24"/>
                <w:highlight w:val="none"/>
                <w:lang w:val="en-US"/>
              </w:rPr>
              <w:t>388743.24</w:t>
            </w:r>
          </w:p>
        </w:tc>
        <w:tc>
          <w:tcPr>
            <w:tcW w:w="990" w:type="dxa"/>
            <w:tcBorders>
              <w:top w:val="single" w:color="000000" w:sz="4" w:space="0"/>
              <w:left w:val="single" w:color="auto"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二类</w:t>
            </w:r>
          </w:p>
        </w:tc>
        <w:tc>
          <w:tcPr>
            <w:tcW w:w="31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最高限价为</w:t>
            </w:r>
            <w:r>
              <w:rPr>
                <w:rFonts w:hint="eastAsia" w:ascii="宋体" w:hAnsi="宋体" w:cs="宋体"/>
                <w:color w:val="auto"/>
                <w:sz w:val="24"/>
                <w:highlight w:val="none"/>
                <w:lang w:val="en-US" w:eastAsia="zh-CN"/>
              </w:rPr>
              <w:t>10.03</w:t>
            </w:r>
            <w:r>
              <w:rPr>
                <w:rFonts w:hint="eastAsia" w:ascii="宋体" w:hAnsi="宋体" w:eastAsia="宋体" w:cs="宋体"/>
                <w:color w:val="auto"/>
                <w:sz w:val="24"/>
                <w:highlight w:val="none"/>
              </w:rPr>
              <w:t>元/㎡</w:t>
            </w:r>
          </w:p>
        </w:tc>
      </w:tr>
    </w:tbl>
    <w:p>
      <w:pPr>
        <w:spacing w:line="600" w:lineRule="exact"/>
        <w:rPr>
          <w:rFonts w:hint="eastAsia" w:ascii="宋体" w:hAnsi="宋体" w:eastAsia="宋体" w:cs="宋体"/>
          <w:b/>
          <w:color w:val="auto"/>
          <w:sz w:val="24"/>
          <w:highlight w:val="none"/>
        </w:rPr>
        <w:sectPr>
          <w:pgSz w:w="11905" w:h="16838"/>
          <w:pgMar w:top="1531" w:right="1304" w:bottom="1531" w:left="1361" w:header="851" w:footer="992" w:gutter="0"/>
          <w:pgBorders>
            <w:top w:val="none" w:sz="0" w:space="0"/>
            <w:left w:val="none" w:sz="0" w:space="0"/>
            <w:bottom w:val="none" w:sz="0" w:space="0"/>
            <w:right w:val="none" w:sz="0" w:space="0"/>
          </w:pgBorders>
          <w:pgNumType w:fmt="decimal"/>
          <w:cols w:space="720" w:num="1"/>
          <w:titlePg/>
          <w:docGrid w:linePitch="1" w:charSpace="0"/>
        </w:sectPr>
      </w:pPr>
    </w:p>
    <w:p>
      <w:pPr>
        <w:numPr>
          <w:ilvl w:val="0"/>
          <w:numId w:val="1"/>
        </w:numPr>
        <w:spacing w:line="60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具体服务</w:t>
      </w:r>
      <w:r>
        <w:rPr>
          <w:rFonts w:hint="eastAsia" w:ascii="宋体" w:hAnsi="宋体" w:eastAsia="宋体" w:cs="宋体"/>
          <w:b/>
          <w:color w:val="auto"/>
          <w:sz w:val="24"/>
          <w:highlight w:val="none"/>
          <w:lang w:val="en-US" w:eastAsia="zh-CN"/>
        </w:rPr>
        <w:t>范围</w:t>
      </w:r>
      <w:r>
        <w:rPr>
          <w:rFonts w:hint="eastAsia" w:ascii="宋体" w:hAnsi="宋体" w:eastAsia="宋体" w:cs="宋体"/>
          <w:b/>
          <w:color w:val="auto"/>
          <w:sz w:val="24"/>
          <w:highlight w:val="none"/>
        </w:rPr>
        <w:t>：</w:t>
      </w:r>
    </w:p>
    <w:p>
      <w:pPr>
        <w:pStyle w:val="4"/>
        <w:jc w:val="center"/>
        <w:rPr>
          <w:rFonts w:hint="eastAsia" w:ascii="宋体" w:hAnsi="宋体" w:eastAsia="宋体" w:cs="宋体"/>
          <w:color w:val="auto"/>
          <w:highlight w:val="none"/>
          <w:lang w:val="en-US"/>
        </w:rPr>
      </w:pPr>
      <w:bookmarkStart w:id="28" w:name="_Hlk96791657"/>
      <w:r>
        <w:rPr>
          <w:rFonts w:hint="eastAsia" w:ascii="宋体" w:hAnsi="宋体" w:eastAsia="宋体" w:cs="宋体"/>
          <w:color w:val="auto"/>
          <w:highlight w:val="none"/>
          <w:lang w:val="en-US"/>
        </w:rPr>
        <w:t>五常街道城市管理综合养护</w:t>
      </w:r>
      <w:r>
        <w:rPr>
          <w:rFonts w:hint="eastAsia" w:ascii="宋体" w:hAnsi="宋体" w:eastAsia="宋体" w:cs="宋体"/>
          <w:color w:val="auto"/>
          <w:highlight w:val="none"/>
          <w:lang w:val="en-US" w:eastAsia="zh-CN"/>
        </w:rPr>
        <w:t>二标段</w:t>
      </w:r>
      <w:r>
        <w:rPr>
          <w:rFonts w:hint="eastAsia" w:ascii="宋体" w:hAnsi="宋体" w:eastAsia="宋体" w:cs="宋体"/>
          <w:color w:val="auto"/>
          <w:highlight w:val="none"/>
          <w:lang w:val="en-US"/>
        </w:rPr>
        <w:t>养护</w:t>
      </w:r>
      <w:r>
        <w:rPr>
          <w:rFonts w:hint="eastAsia" w:ascii="宋体" w:hAnsi="宋体" w:eastAsia="宋体" w:cs="宋体"/>
          <w:color w:val="auto"/>
          <w:highlight w:val="none"/>
          <w:lang w:val="en-US" w:eastAsia="zh-CN"/>
        </w:rPr>
        <w:t>市政及保洁</w:t>
      </w:r>
      <w:r>
        <w:rPr>
          <w:rFonts w:hint="eastAsia" w:ascii="宋体" w:hAnsi="宋体" w:eastAsia="宋体" w:cs="宋体"/>
          <w:color w:val="auto"/>
          <w:highlight w:val="none"/>
          <w:lang w:val="en-US"/>
        </w:rPr>
        <w:t>明细表</w:t>
      </w:r>
    </w:p>
    <w:bookmarkEnd w:id="28"/>
    <w:tbl>
      <w:tblPr>
        <w:tblStyle w:val="62"/>
        <w:tblW w:w="1335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2"/>
        <w:gridCol w:w="1642"/>
        <w:gridCol w:w="2415"/>
        <w:gridCol w:w="1155"/>
        <w:gridCol w:w="1500"/>
        <w:gridCol w:w="1563"/>
        <w:gridCol w:w="1527"/>
        <w:gridCol w:w="1545"/>
        <w:gridCol w:w="14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82" w:type="dxa"/>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序号</w:t>
            </w:r>
          </w:p>
        </w:tc>
        <w:tc>
          <w:tcPr>
            <w:tcW w:w="1642"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rPr>
              <w:t>道路名称</w:t>
            </w:r>
          </w:p>
        </w:tc>
        <w:tc>
          <w:tcPr>
            <w:tcW w:w="24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rPr>
              <w:t>起止点</w:t>
            </w:r>
          </w:p>
        </w:tc>
        <w:tc>
          <w:tcPr>
            <w:tcW w:w="11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kern w:val="0"/>
                <w:sz w:val="21"/>
                <w:szCs w:val="21"/>
                <w:highlight w:val="none"/>
              </w:rPr>
              <w:t>长度</w:t>
            </w:r>
          </w:p>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rPr>
              <w:t>（m）</w:t>
            </w:r>
          </w:p>
        </w:tc>
        <w:tc>
          <w:tcPr>
            <w:tcW w:w="1500" w:type="dxa"/>
            <w:vMerge w:val="restar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cs="宋体"/>
                <w:b/>
                <w:bCs/>
                <w:color w:val="auto"/>
                <w:kern w:val="0"/>
                <w:sz w:val="21"/>
                <w:szCs w:val="21"/>
                <w:highlight w:val="none"/>
                <w:lang w:eastAsia="zh-CN"/>
              </w:rPr>
              <w:t>车行道面积</w:t>
            </w:r>
            <w:r>
              <w:rPr>
                <w:rFonts w:hint="eastAsia" w:ascii="宋体" w:hAnsi="宋体" w:eastAsia="宋体" w:cs="宋体"/>
                <w:b/>
                <w:bCs/>
                <w:color w:val="auto"/>
                <w:kern w:val="0"/>
                <w:sz w:val="21"/>
                <w:szCs w:val="21"/>
                <w:highlight w:val="none"/>
              </w:rPr>
              <w:t>（㎡）</w:t>
            </w:r>
          </w:p>
        </w:tc>
        <w:tc>
          <w:tcPr>
            <w:tcW w:w="1563" w:type="dxa"/>
            <w:vMerge w:val="restart"/>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保洁面积</w:t>
            </w:r>
          </w:p>
          <w:p>
            <w:pPr>
              <w:widowControl/>
              <w:jc w:val="center"/>
              <w:textAlignment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w:t>
            </w:r>
          </w:p>
        </w:tc>
        <w:tc>
          <w:tcPr>
            <w:tcW w:w="1527" w:type="dxa"/>
            <w:vMerge w:val="restart"/>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auto"/>
                <w:kern w:val="0"/>
                <w:sz w:val="21"/>
                <w:szCs w:val="21"/>
                <w:highlight w:val="none"/>
                <w:lang w:eastAsia="zh-CN"/>
              </w:rPr>
            </w:pPr>
            <w:r>
              <w:rPr>
                <w:rFonts w:hint="eastAsia" w:ascii="宋体" w:hAnsi="宋体" w:cs="宋体"/>
                <w:b/>
                <w:bCs/>
                <w:color w:val="auto"/>
                <w:kern w:val="0"/>
                <w:sz w:val="21"/>
                <w:szCs w:val="21"/>
                <w:highlight w:val="none"/>
                <w:lang w:eastAsia="zh-CN"/>
              </w:rPr>
              <w:t>市政养护面积</w:t>
            </w:r>
          </w:p>
        </w:tc>
        <w:tc>
          <w:tcPr>
            <w:tcW w:w="1545" w:type="dxa"/>
            <w:vMerge w:val="restar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cs="宋体"/>
                <w:b/>
                <w:bCs/>
                <w:color w:val="auto"/>
                <w:kern w:val="0"/>
                <w:sz w:val="21"/>
                <w:szCs w:val="21"/>
                <w:highlight w:val="none"/>
                <w:lang w:val="en-US" w:eastAsia="zh-CN"/>
              </w:rPr>
              <w:t>小区退让人行面积(㎡)</w:t>
            </w:r>
          </w:p>
        </w:tc>
        <w:tc>
          <w:tcPr>
            <w:tcW w:w="1424" w:type="dxa"/>
            <w:vMerge w:val="restart"/>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auto"/>
                <w:sz w:val="21"/>
                <w:szCs w:val="21"/>
                <w:highlight w:val="none"/>
                <w:lang w:eastAsia="zh-CN"/>
              </w:rPr>
            </w:pPr>
            <w:r>
              <w:rPr>
                <w:rFonts w:hint="eastAsia" w:ascii="宋体" w:hAnsi="宋体" w:cs="宋体"/>
                <w:b/>
                <w:bCs/>
                <w:color w:val="auto"/>
                <w:sz w:val="21"/>
                <w:szCs w:val="21"/>
                <w:highlight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1"/>
                <w:szCs w:val="21"/>
                <w:highlight w:val="none"/>
              </w:rPr>
            </w:pPr>
          </w:p>
        </w:tc>
        <w:tc>
          <w:tcPr>
            <w:tcW w:w="1642"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b/>
                <w:bCs/>
                <w:color w:val="auto"/>
                <w:sz w:val="21"/>
                <w:szCs w:val="21"/>
                <w:highlight w:val="none"/>
              </w:rPr>
            </w:pPr>
          </w:p>
        </w:tc>
        <w:tc>
          <w:tcPr>
            <w:tcW w:w="24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auto"/>
                <w:sz w:val="21"/>
                <w:szCs w:val="21"/>
                <w:highlight w:val="none"/>
              </w:rPr>
            </w:pPr>
          </w:p>
        </w:tc>
        <w:tc>
          <w:tcPr>
            <w:tcW w:w="11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auto"/>
                <w:sz w:val="21"/>
                <w:szCs w:val="21"/>
                <w:highlight w:val="none"/>
              </w:rPr>
            </w:pPr>
          </w:p>
        </w:tc>
        <w:tc>
          <w:tcPr>
            <w:tcW w:w="150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b/>
                <w:bCs/>
                <w:color w:val="auto"/>
                <w:sz w:val="21"/>
                <w:szCs w:val="21"/>
                <w:highlight w:val="none"/>
              </w:rPr>
            </w:pPr>
          </w:p>
        </w:tc>
        <w:tc>
          <w:tcPr>
            <w:tcW w:w="1563" w:type="dxa"/>
            <w:vMerge w:val="continue"/>
            <w:tcBorders>
              <w:top w:val="single" w:color="000000" w:sz="4" w:space="0"/>
              <w:left w:val="single" w:color="auto" w:sz="4" w:space="0"/>
              <w:bottom w:val="single" w:color="000000" w:sz="4" w:space="0"/>
              <w:right w:val="single" w:color="auto" w:sz="4" w:space="0"/>
            </w:tcBorders>
            <w:vAlign w:val="center"/>
          </w:tcPr>
          <w:p>
            <w:pPr>
              <w:jc w:val="center"/>
              <w:rPr>
                <w:rFonts w:hint="eastAsia" w:ascii="宋体" w:hAnsi="宋体" w:eastAsia="宋体" w:cs="宋体"/>
                <w:b/>
                <w:bCs/>
                <w:color w:val="auto"/>
                <w:sz w:val="21"/>
                <w:szCs w:val="21"/>
                <w:highlight w:val="none"/>
              </w:rPr>
            </w:pPr>
          </w:p>
        </w:tc>
        <w:tc>
          <w:tcPr>
            <w:tcW w:w="1527"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b/>
                <w:bCs/>
                <w:color w:val="auto"/>
                <w:sz w:val="21"/>
                <w:szCs w:val="21"/>
                <w:highlight w:val="none"/>
              </w:rPr>
            </w:pPr>
          </w:p>
        </w:tc>
        <w:tc>
          <w:tcPr>
            <w:tcW w:w="1545"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b/>
                <w:bCs/>
                <w:color w:val="auto"/>
                <w:sz w:val="21"/>
                <w:szCs w:val="21"/>
                <w:highlight w:val="none"/>
              </w:rPr>
            </w:pPr>
          </w:p>
        </w:tc>
        <w:tc>
          <w:tcPr>
            <w:tcW w:w="1424"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b/>
                <w:bCs/>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p>
        </w:tc>
        <w:tc>
          <w:tcPr>
            <w:tcW w:w="164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霞绮巷</w:t>
            </w:r>
          </w:p>
        </w:tc>
        <w:tc>
          <w:tcPr>
            <w:tcW w:w="24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余杭塘路-溪沁街</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239</w:t>
            </w:r>
          </w:p>
        </w:tc>
        <w:tc>
          <w:tcPr>
            <w:tcW w:w="150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2949.78 </w:t>
            </w:r>
          </w:p>
        </w:tc>
        <w:tc>
          <w:tcPr>
            <w:tcW w:w="1563"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4226.09</w:t>
            </w:r>
          </w:p>
        </w:tc>
        <w:tc>
          <w:tcPr>
            <w:tcW w:w="1527"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4226.09</w:t>
            </w:r>
          </w:p>
        </w:tc>
        <w:tc>
          <w:tcPr>
            <w:tcW w:w="154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424"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p>
        </w:tc>
        <w:tc>
          <w:tcPr>
            <w:tcW w:w="164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松风巷</w:t>
            </w:r>
          </w:p>
        </w:tc>
        <w:tc>
          <w:tcPr>
            <w:tcW w:w="24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寻港街-联创街</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282</w:t>
            </w:r>
          </w:p>
        </w:tc>
        <w:tc>
          <w:tcPr>
            <w:tcW w:w="150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4046.08 </w:t>
            </w:r>
          </w:p>
        </w:tc>
        <w:tc>
          <w:tcPr>
            <w:tcW w:w="1563"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5547.15</w:t>
            </w:r>
          </w:p>
        </w:tc>
        <w:tc>
          <w:tcPr>
            <w:tcW w:w="1527"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5547.15</w:t>
            </w:r>
          </w:p>
        </w:tc>
        <w:tc>
          <w:tcPr>
            <w:tcW w:w="154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161.13 </w:t>
            </w:r>
          </w:p>
        </w:tc>
        <w:tc>
          <w:tcPr>
            <w:tcW w:w="1424"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8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3</w:t>
            </w:r>
          </w:p>
        </w:tc>
        <w:tc>
          <w:tcPr>
            <w:tcW w:w="1642" w:type="dxa"/>
            <w:tcBorders>
              <w:top w:val="single" w:color="000000"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永福路</w:t>
            </w:r>
          </w:p>
        </w:tc>
        <w:tc>
          <w:tcPr>
            <w:tcW w:w="2415"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同顺街-文一西路</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296</w:t>
            </w:r>
          </w:p>
        </w:tc>
        <w:tc>
          <w:tcPr>
            <w:tcW w:w="150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3763.86 </w:t>
            </w:r>
          </w:p>
        </w:tc>
        <w:tc>
          <w:tcPr>
            <w:tcW w:w="1563"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5267.3</w:t>
            </w:r>
          </w:p>
        </w:tc>
        <w:tc>
          <w:tcPr>
            <w:tcW w:w="1527"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5267.3</w:t>
            </w:r>
          </w:p>
        </w:tc>
        <w:tc>
          <w:tcPr>
            <w:tcW w:w="154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1690.18 </w:t>
            </w:r>
          </w:p>
        </w:tc>
        <w:tc>
          <w:tcPr>
            <w:tcW w:w="1424"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 w:hRule="atLeast"/>
        </w:trPr>
        <w:tc>
          <w:tcPr>
            <w:tcW w:w="58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4</w:t>
            </w:r>
          </w:p>
        </w:tc>
        <w:tc>
          <w:tcPr>
            <w:tcW w:w="1642"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夕佳弄</w:t>
            </w:r>
          </w:p>
        </w:tc>
        <w:tc>
          <w:tcPr>
            <w:tcW w:w="2415"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荆长大道-邱桥路</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230</w:t>
            </w:r>
          </w:p>
        </w:tc>
        <w:tc>
          <w:tcPr>
            <w:tcW w:w="150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2785.54 </w:t>
            </w:r>
          </w:p>
        </w:tc>
        <w:tc>
          <w:tcPr>
            <w:tcW w:w="1563"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3984.56</w:t>
            </w:r>
          </w:p>
        </w:tc>
        <w:tc>
          <w:tcPr>
            <w:tcW w:w="1527"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3984.56</w:t>
            </w:r>
          </w:p>
        </w:tc>
        <w:tc>
          <w:tcPr>
            <w:tcW w:w="154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5341.82 </w:t>
            </w:r>
          </w:p>
        </w:tc>
        <w:tc>
          <w:tcPr>
            <w:tcW w:w="1424"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5</w:t>
            </w:r>
          </w:p>
        </w:tc>
        <w:tc>
          <w:tcPr>
            <w:tcW w:w="164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邱桥路</w:t>
            </w:r>
          </w:p>
        </w:tc>
        <w:tc>
          <w:tcPr>
            <w:tcW w:w="24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余杭塘路-红旗路</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807</w:t>
            </w:r>
          </w:p>
        </w:tc>
        <w:tc>
          <w:tcPr>
            <w:tcW w:w="150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15244.70 </w:t>
            </w:r>
          </w:p>
        </w:tc>
        <w:tc>
          <w:tcPr>
            <w:tcW w:w="1563"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18890.75</w:t>
            </w:r>
          </w:p>
        </w:tc>
        <w:tc>
          <w:tcPr>
            <w:tcW w:w="1527"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18890.75</w:t>
            </w:r>
          </w:p>
        </w:tc>
        <w:tc>
          <w:tcPr>
            <w:tcW w:w="154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10369.23 </w:t>
            </w:r>
          </w:p>
        </w:tc>
        <w:tc>
          <w:tcPr>
            <w:tcW w:w="1424"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6</w:t>
            </w:r>
          </w:p>
        </w:tc>
        <w:tc>
          <w:tcPr>
            <w:tcW w:w="164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溪沁街</w:t>
            </w:r>
          </w:p>
        </w:tc>
        <w:tc>
          <w:tcPr>
            <w:tcW w:w="24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荆长大道-红旗路</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1056</w:t>
            </w:r>
          </w:p>
        </w:tc>
        <w:tc>
          <w:tcPr>
            <w:tcW w:w="150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16335.22 </w:t>
            </w:r>
          </w:p>
        </w:tc>
        <w:tc>
          <w:tcPr>
            <w:tcW w:w="1563"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21727.48</w:t>
            </w:r>
          </w:p>
        </w:tc>
        <w:tc>
          <w:tcPr>
            <w:tcW w:w="1527"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21727.48</w:t>
            </w:r>
          </w:p>
        </w:tc>
        <w:tc>
          <w:tcPr>
            <w:tcW w:w="154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6891.48 </w:t>
            </w:r>
          </w:p>
        </w:tc>
        <w:tc>
          <w:tcPr>
            <w:tcW w:w="1424"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7</w:t>
            </w:r>
          </w:p>
        </w:tc>
        <w:tc>
          <w:tcPr>
            <w:tcW w:w="164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同顺街</w:t>
            </w:r>
          </w:p>
        </w:tc>
        <w:tc>
          <w:tcPr>
            <w:tcW w:w="24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聚橙路-红旗路</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2139</w:t>
            </w:r>
          </w:p>
        </w:tc>
        <w:tc>
          <w:tcPr>
            <w:tcW w:w="150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40499.51 </w:t>
            </w:r>
          </w:p>
        </w:tc>
        <w:tc>
          <w:tcPr>
            <w:tcW w:w="1563"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50552.7</w:t>
            </w:r>
          </w:p>
        </w:tc>
        <w:tc>
          <w:tcPr>
            <w:tcW w:w="1527"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50552.7</w:t>
            </w:r>
          </w:p>
        </w:tc>
        <w:tc>
          <w:tcPr>
            <w:tcW w:w="154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31290.22 </w:t>
            </w:r>
          </w:p>
        </w:tc>
        <w:tc>
          <w:tcPr>
            <w:tcW w:w="1424"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8</w:t>
            </w:r>
          </w:p>
        </w:tc>
        <w:tc>
          <w:tcPr>
            <w:tcW w:w="164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寻港街</w:t>
            </w:r>
          </w:p>
        </w:tc>
        <w:tc>
          <w:tcPr>
            <w:tcW w:w="24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聚橙路-松风巷</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289</w:t>
            </w:r>
          </w:p>
        </w:tc>
        <w:tc>
          <w:tcPr>
            <w:tcW w:w="150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4281.00 </w:t>
            </w:r>
          </w:p>
        </w:tc>
        <w:tc>
          <w:tcPr>
            <w:tcW w:w="1563"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5841.84</w:t>
            </w:r>
          </w:p>
        </w:tc>
        <w:tc>
          <w:tcPr>
            <w:tcW w:w="1527"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5841.84</w:t>
            </w:r>
          </w:p>
        </w:tc>
        <w:tc>
          <w:tcPr>
            <w:tcW w:w="154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1580.37 </w:t>
            </w:r>
          </w:p>
        </w:tc>
        <w:tc>
          <w:tcPr>
            <w:tcW w:w="1424"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9</w:t>
            </w:r>
          </w:p>
        </w:tc>
        <w:tc>
          <w:tcPr>
            <w:tcW w:w="164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联创街</w:t>
            </w:r>
          </w:p>
        </w:tc>
        <w:tc>
          <w:tcPr>
            <w:tcW w:w="24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海创路-繁慧路</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1757</w:t>
            </w:r>
          </w:p>
        </w:tc>
        <w:tc>
          <w:tcPr>
            <w:tcW w:w="150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41657.10 </w:t>
            </w:r>
          </w:p>
        </w:tc>
        <w:tc>
          <w:tcPr>
            <w:tcW w:w="1563"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50139.21</w:t>
            </w:r>
          </w:p>
        </w:tc>
        <w:tc>
          <w:tcPr>
            <w:tcW w:w="1527"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50139.21</w:t>
            </w:r>
          </w:p>
        </w:tc>
        <w:tc>
          <w:tcPr>
            <w:tcW w:w="154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17633.50 </w:t>
            </w:r>
          </w:p>
        </w:tc>
        <w:tc>
          <w:tcPr>
            <w:tcW w:w="1424"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10</w:t>
            </w:r>
          </w:p>
        </w:tc>
        <w:tc>
          <w:tcPr>
            <w:tcW w:w="164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向往街</w:t>
            </w:r>
          </w:p>
        </w:tc>
        <w:tc>
          <w:tcPr>
            <w:tcW w:w="24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海创路-联创街</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358</w:t>
            </w:r>
          </w:p>
        </w:tc>
        <w:tc>
          <w:tcPr>
            <w:tcW w:w="150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8011.10 </w:t>
            </w:r>
          </w:p>
        </w:tc>
        <w:tc>
          <w:tcPr>
            <w:tcW w:w="1563"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9977.5</w:t>
            </w:r>
          </w:p>
        </w:tc>
        <w:tc>
          <w:tcPr>
            <w:tcW w:w="1527"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9977.5</w:t>
            </w:r>
          </w:p>
        </w:tc>
        <w:tc>
          <w:tcPr>
            <w:tcW w:w="154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4484.03 </w:t>
            </w:r>
          </w:p>
        </w:tc>
        <w:tc>
          <w:tcPr>
            <w:tcW w:w="1424"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11</w:t>
            </w:r>
          </w:p>
        </w:tc>
        <w:tc>
          <w:tcPr>
            <w:tcW w:w="164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海创路</w:t>
            </w:r>
          </w:p>
        </w:tc>
        <w:tc>
          <w:tcPr>
            <w:tcW w:w="24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文一西路-余杭塘路</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918</w:t>
            </w:r>
          </w:p>
        </w:tc>
        <w:tc>
          <w:tcPr>
            <w:tcW w:w="150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12250.31 </w:t>
            </w:r>
          </w:p>
        </w:tc>
        <w:tc>
          <w:tcPr>
            <w:tcW w:w="1563"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17099.95</w:t>
            </w:r>
          </w:p>
        </w:tc>
        <w:tc>
          <w:tcPr>
            <w:tcW w:w="1527"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17099.95</w:t>
            </w:r>
          </w:p>
        </w:tc>
        <w:tc>
          <w:tcPr>
            <w:tcW w:w="154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4737.15 </w:t>
            </w:r>
          </w:p>
        </w:tc>
        <w:tc>
          <w:tcPr>
            <w:tcW w:w="1424"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12</w:t>
            </w:r>
          </w:p>
        </w:tc>
        <w:tc>
          <w:tcPr>
            <w:tcW w:w="164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海福路</w:t>
            </w:r>
          </w:p>
        </w:tc>
        <w:tc>
          <w:tcPr>
            <w:tcW w:w="24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余杭塘路-联创街</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157</w:t>
            </w:r>
          </w:p>
        </w:tc>
        <w:tc>
          <w:tcPr>
            <w:tcW w:w="150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1998.46 </w:t>
            </w:r>
          </w:p>
        </w:tc>
        <w:tc>
          <w:tcPr>
            <w:tcW w:w="1563"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2740.01</w:t>
            </w:r>
          </w:p>
        </w:tc>
        <w:tc>
          <w:tcPr>
            <w:tcW w:w="1527"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2740.01</w:t>
            </w:r>
          </w:p>
        </w:tc>
        <w:tc>
          <w:tcPr>
            <w:tcW w:w="154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996.78 </w:t>
            </w:r>
          </w:p>
        </w:tc>
        <w:tc>
          <w:tcPr>
            <w:tcW w:w="1424"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13</w:t>
            </w:r>
          </w:p>
        </w:tc>
        <w:tc>
          <w:tcPr>
            <w:tcW w:w="164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乐业巷</w:t>
            </w:r>
          </w:p>
        </w:tc>
        <w:tc>
          <w:tcPr>
            <w:tcW w:w="24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余杭塘路-新桥港</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281</w:t>
            </w:r>
          </w:p>
        </w:tc>
        <w:tc>
          <w:tcPr>
            <w:tcW w:w="150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3465.17 </w:t>
            </w:r>
          </w:p>
        </w:tc>
        <w:tc>
          <w:tcPr>
            <w:tcW w:w="1563"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4932.08</w:t>
            </w:r>
          </w:p>
        </w:tc>
        <w:tc>
          <w:tcPr>
            <w:tcW w:w="1527"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4932.08</w:t>
            </w:r>
          </w:p>
        </w:tc>
        <w:tc>
          <w:tcPr>
            <w:tcW w:w="154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3117.93 </w:t>
            </w:r>
          </w:p>
        </w:tc>
        <w:tc>
          <w:tcPr>
            <w:tcW w:w="1424"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14</w:t>
            </w:r>
          </w:p>
        </w:tc>
        <w:tc>
          <w:tcPr>
            <w:tcW w:w="164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海新路</w:t>
            </w:r>
          </w:p>
        </w:tc>
        <w:tc>
          <w:tcPr>
            <w:tcW w:w="24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余杭塘路-联创街</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190</w:t>
            </w:r>
          </w:p>
        </w:tc>
        <w:tc>
          <w:tcPr>
            <w:tcW w:w="150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2336.07 </w:t>
            </w:r>
          </w:p>
        </w:tc>
        <w:tc>
          <w:tcPr>
            <w:tcW w:w="1563"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3253.81</w:t>
            </w:r>
          </w:p>
        </w:tc>
        <w:tc>
          <w:tcPr>
            <w:tcW w:w="1527"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3253.81</w:t>
            </w:r>
          </w:p>
        </w:tc>
        <w:tc>
          <w:tcPr>
            <w:tcW w:w="154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1128.17 </w:t>
            </w:r>
          </w:p>
        </w:tc>
        <w:tc>
          <w:tcPr>
            <w:tcW w:w="1424"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15</w:t>
            </w:r>
          </w:p>
        </w:tc>
        <w:tc>
          <w:tcPr>
            <w:tcW w:w="164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海园路</w:t>
            </w:r>
          </w:p>
        </w:tc>
        <w:tc>
          <w:tcPr>
            <w:tcW w:w="24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余杭塘路-新桥港</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247</w:t>
            </w:r>
          </w:p>
        </w:tc>
        <w:tc>
          <w:tcPr>
            <w:tcW w:w="150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3121.73 </w:t>
            </w:r>
          </w:p>
        </w:tc>
        <w:tc>
          <w:tcPr>
            <w:tcW w:w="1563"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4388.45</w:t>
            </w:r>
          </w:p>
        </w:tc>
        <w:tc>
          <w:tcPr>
            <w:tcW w:w="1527"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4388.45</w:t>
            </w:r>
          </w:p>
        </w:tc>
        <w:tc>
          <w:tcPr>
            <w:tcW w:w="154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6526.62 </w:t>
            </w:r>
          </w:p>
        </w:tc>
        <w:tc>
          <w:tcPr>
            <w:tcW w:w="1424"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16</w:t>
            </w:r>
          </w:p>
        </w:tc>
        <w:tc>
          <w:tcPr>
            <w:tcW w:w="164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红旗路</w:t>
            </w:r>
          </w:p>
        </w:tc>
        <w:tc>
          <w:tcPr>
            <w:tcW w:w="24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余杭塘路-荆长大道</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1287</w:t>
            </w:r>
          </w:p>
        </w:tc>
        <w:tc>
          <w:tcPr>
            <w:tcW w:w="150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18833.67 </w:t>
            </w:r>
          </w:p>
        </w:tc>
        <w:tc>
          <w:tcPr>
            <w:tcW w:w="1563"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25137.24</w:t>
            </w:r>
          </w:p>
        </w:tc>
        <w:tc>
          <w:tcPr>
            <w:tcW w:w="1527"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25137.24</w:t>
            </w:r>
          </w:p>
        </w:tc>
        <w:tc>
          <w:tcPr>
            <w:tcW w:w="154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12754.95 </w:t>
            </w:r>
          </w:p>
        </w:tc>
        <w:tc>
          <w:tcPr>
            <w:tcW w:w="1424"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17</w:t>
            </w:r>
          </w:p>
        </w:tc>
        <w:tc>
          <w:tcPr>
            <w:tcW w:w="164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繁慧路</w:t>
            </w:r>
          </w:p>
        </w:tc>
        <w:tc>
          <w:tcPr>
            <w:tcW w:w="24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余杭塘河-联创街</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842</w:t>
            </w:r>
          </w:p>
        </w:tc>
        <w:tc>
          <w:tcPr>
            <w:tcW w:w="150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12481.67 </w:t>
            </w:r>
          </w:p>
        </w:tc>
        <w:tc>
          <w:tcPr>
            <w:tcW w:w="1563"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17106.34</w:t>
            </w:r>
          </w:p>
        </w:tc>
        <w:tc>
          <w:tcPr>
            <w:tcW w:w="1527"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17106.34</w:t>
            </w:r>
          </w:p>
        </w:tc>
        <w:tc>
          <w:tcPr>
            <w:tcW w:w="154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808.10 </w:t>
            </w:r>
          </w:p>
        </w:tc>
        <w:tc>
          <w:tcPr>
            <w:tcW w:w="1424"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18</w:t>
            </w:r>
          </w:p>
        </w:tc>
        <w:tc>
          <w:tcPr>
            <w:tcW w:w="164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欧侣路</w:t>
            </w:r>
          </w:p>
        </w:tc>
        <w:tc>
          <w:tcPr>
            <w:tcW w:w="24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余杭塘路-滕家村路</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598</w:t>
            </w:r>
          </w:p>
        </w:tc>
        <w:tc>
          <w:tcPr>
            <w:tcW w:w="150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7469.29 </w:t>
            </w:r>
          </w:p>
        </w:tc>
        <w:tc>
          <w:tcPr>
            <w:tcW w:w="1563"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10758.05</w:t>
            </w:r>
          </w:p>
        </w:tc>
        <w:tc>
          <w:tcPr>
            <w:tcW w:w="1527"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10758.05</w:t>
            </w:r>
          </w:p>
        </w:tc>
        <w:tc>
          <w:tcPr>
            <w:tcW w:w="154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258.63 </w:t>
            </w:r>
          </w:p>
        </w:tc>
        <w:tc>
          <w:tcPr>
            <w:tcW w:w="1424"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0"/>
                <w:sz w:val="24"/>
                <w:szCs w:val="24"/>
                <w:highlight w:val="none"/>
                <w:lang w:val="en-US" w:eastAsia="zh-CN"/>
              </w:rPr>
              <w:t>19</w:t>
            </w:r>
          </w:p>
        </w:tc>
        <w:tc>
          <w:tcPr>
            <w:tcW w:w="164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云碧路</w:t>
            </w:r>
          </w:p>
        </w:tc>
        <w:tc>
          <w:tcPr>
            <w:tcW w:w="24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向往街-良睦路</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355</w:t>
            </w:r>
          </w:p>
        </w:tc>
        <w:tc>
          <w:tcPr>
            <w:tcW w:w="150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2594.28 </w:t>
            </w:r>
          </w:p>
        </w:tc>
        <w:tc>
          <w:tcPr>
            <w:tcW w:w="1563"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5122.45</w:t>
            </w:r>
          </w:p>
        </w:tc>
        <w:tc>
          <w:tcPr>
            <w:tcW w:w="1527"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5122.45</w:t>
            </w:r>
          </w:p>
        </w:tc>
        <w:tc>
          <w:tcPr>
            <w:tcW w:w="154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4871.82 </w:t>
            </w:r>
          </w:p>
        </w:tc>
        <w:tc>
          <w:tcPr>
            <w:tcW w:w="1424"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20</w:t>
            </w:r>
          </w:p>
        </w:tc>
        <w:tc>
          <w:tcPr>
            <w:tcW w:w="164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文昌路</w:t>
            </w:r>
          </w:p>
        </w:tc>
        <w:tc>
          <w:tcPr>
            <w:tcW w:w="24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聚橙路-海园路</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235</w:t>
            </w:r>
          </w:p>
        </w:tc>
        <w:tc>
          <w:tcPr>
            <w:tcW w:w="150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1743.28 </w:t>
            </w:r>
          </w:p>
        </w:tc>
        <w:tc>
          <w:tcPr>
            <w:tcW w:w="1563"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2881.15</w:t>
            </w:r>
          </w:p>
        </w:tc>
        <w:tc>
          <w:tcPr>
            <w:tcW w:w="1527"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2881.15</w:t>
            </w:r>
          </w:p>
        </w:tc>
        <w:tc>
          <w:tcPr>
            <w:tcW w:w="154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1521.70 </w:t>
            </w:r>
          </w:p>
        </w:tc>
        <w:tc>
          <w:tcPr>
            <w:tcW w:w="1424"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21</w:t>
            </w:r>
          </w:p>
        </w:tc>
        <w:tc>
          <w:tcPr>
            <w:tcW w:w="164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文一西路北侧规划支路</w:t>
            </w:r>
          </w:p>
        </w:tc>
        <w:tc>
          <w:tcPr>
            <w:tcW w:w="24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荆长大道-香樟港</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413</w:t>
            </w:r>
          </w:p>
        </w:tc>
        <w:tc>
          <w:tcPr>
            <w:tcW w:w="150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3414.76 </w:t>
            </w:r>
          </w:p>
        </w:tc>
        <w:tc>
          <w:tcPr>
            <w:tcW w:w="1563"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5593.15</w:t>
            </w:r>
          </w:p>
        </w:tc>
        <w:tc>
          <w:tcPr>
            <w:tcW w:w="1527"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5593.15</w:t>
            </w:r>
          </w:p>
        </w:tc>
        <w:tc>
          <w:tcPr>
            <w:tcW w:w="154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2395.52 </w:t>
            </w:r>
          </w:p>
        </w:tc>
        <w:tc>
          <w:tcPr>
            <w:tcW w:w="1424"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22</w:t>
            </w:r>
          </w:p>
        </w:tc>
        <w:tc>
          <w:tcPr>
            <w:tcW w:w="164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小腾街</w:t>
            </w:r>
          </w:p>
        </w:tc>
        <w:tc>
          <w:tcPr>
            <w:tcW w:w="24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余杭塘路-余杭塘路</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778</w:t>
            </w:r>
          </w:p>
        </w:tc>
        <w:tc>
          <w:tcPr>
            <w:tcW w:w="150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18317.33 </w:t>
            </w:r>
          </w:p>
        </w:tc>
        <w:tc>
          <w:tcPr>
            <w:tcW w:w="1563"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21807.57</w:t>
            </w:r>
          </w:p>
        </w:tc>
        <w:tc>
          <w:tcPr>
            <w:tcW w:w="1527"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21807.57</w:t>
            </w:r>
          </w:p>
        </w:tc>
        <w:tc>
          <w:tcPr>
            <w:tcW w:w="154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4257.62 </w:t>
            </w:r>
          </w:p>
        </w:tc>
        <w:tc>
          <w:tcPr>
            <w:tcW w:w="1424"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23</w:t>
            </w:r>
          </w:p>
        </w:tc>
        <w:tc>
          <w:tcPr>
            <w:tcW w:w="164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香樟港</w:t>
            </w:r>
          </w:p>
        </w:tc>
        <w:tc>
          <w:tcPr>
            <w:tcW w:w="24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邱桥港-余杭塘河</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150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563"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527"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54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424"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24</w:t>
            </w:r>
          </w:p>
        </w:tc>
        <w:tc>
          <w:tcPr>
            <w:tcW w:w="164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前进港</w:t>
            </w:r>
          </w:p>
        </w:tc>
        <w:tc>
          <w:tcPr>
            <w:tcW w:w="24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香樟港-五常港</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150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563"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527"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54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424"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25</w:t>
            </w:r>
          </w:p>
        </w:tc>
        <w:tc>
          <w:tcPr>
            <w:tcW w:w="164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北部园区河</w:t>
            </w:r>
          </w:p>
        </w:tc>
        <w:tc>
          <w:tcPr>
            <w:tcW w:w="24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香樟港-前进港</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150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563"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527"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54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424"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26</w:t>
            </w:r>
          </w:p>
        </w:tc>
        <w:tc>
          <w:tcPr>
            <w:tcW w:w="164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新桥港</w:t>
            </w:r>
          </w:p>
        </w:tc>
        <w:tc>
          <w:tcPr>
            <w:tcW w:w="24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闲林港-香樟港</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150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563"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527"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54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173.03 </w:t>
            </w:r>
          </w:p>
        </w:tc>
        <w:tc>
          <w:tcPr>
            <w:tcW w:w="1424"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27</w:t>
            </w:r>
          </w:p>
        </w:tc>
        <w:tc>
          <w:tcPr>
            <w:tcW w:w="164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余杭塘河</w:t>
            </w:r>
          </w:p>
        </w:tc>
        <w:tc>
          <w:tcPr>
            <w:tcW w:w="24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杭师大-绕城高速</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150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563"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527"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54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424"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28</w:t>
            </w:r>
          </w:p>
        </w:tc>
        <w:tc>
          <w:tcPr>
            <w:tcW w:w="1642" w:type="dxa"/>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合计</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 w:val="24"/>
                <w:szCs w:val="24"/>
                <w:highlight w:val="none"/>
              </w:rPr>
            </w:pP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p>
        </w:tc>
        <w:tc>
          <w:tcPr>
            <w:tcW w:w="150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p>
        </w:tc>
        <w:tc>
          <w:tcPr>
            <w:tcW w:w="1563"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2"/>
                <w:szCs w:val="12"/>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296974.83</w:t>
            </w:r>
          </w:p>
        </w:tc>
        <w:tc>
          <w:tcPr>
            <w:tcW w:w="1527"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2"/>
                <w:szCs w:val="12"/>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296974.83</w:t>
            </w:r>
          </w:p>
        </w:tc>
        <w:tc>
          <w:tcPr>
            <w:tcW w:w="154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fldChar w:fldCharType="begin"/>
            </w:r>
            <w:r>
              <w:rPr>
                <w:rFonts w:hint="eastAsia" w:ascii="宋体" w:hAnsi="宋体" w:eastAsia="宋体" w:cs="宋体"/>
                <w:i w:val="0"/>
                <w:iCs w:val="0"/>
                <w:color w:val="auto"/>
                <w:kern w:val="0"/>
                <w:sz w:val="24"/>
                <w:szCs w:val="24"/>
                <w:highlight w:val="none"/>
                <w:u w:val="none"/>
                <w:lang w:val="en-US" w:eastAsia="zh-CN" w:bidi="ar"/>
              </w:rPr>
              <w:instrText xml:space="preserve"> = sum(H3:H29) \* MERGEFORMAT </w:instrText>
            </w:r>
            <w:r>
              <w:rPr>
                <w:rFonts w:hint="eastAsia" w:ascii="宋体" w:hAnsi="宋体" w:eastAsia="宋体" w:cs="宋体"/>
                <w:i w:val="0"/>
                <w:iCs w:val="0"/>
                <w:color w:val="auto"/>
                <w:kern w:val="0"/>
                <w:sz w:val="24"/>
                <w:szCs w:val="24"/>
                <w:highlight w:val="none"/>
                <w:u w:val="none"/>
                <w:lang w:val="en-US" w:eastAsia="zh-CN" w:bidi="ar"/>
              </w:rPr>
              <w:fldChar w:fldCharType="separate"/>
            </w:r>
            <w:r>
              <w:rPr>
                <w:rFonts w:hint="eastAsia" w:ascii="宋体" w:hAnsi="宋体" w:eastAsia="宋体" w:cs="宋体"/>
                <w:i w:val="0"/>
                <w:iCs w:val="0"/>
                <w:color w:val="auto"/>
                <w:kern w:val="0"/>
                <w:sz w:val="24"/>
                <w:szCs w:val="24"/>
                <w:highlight w:val="none"/>
                <w:u w:val="none"/>
                <w:lang w:val="en-US" w:eastAsia="zh-CN" w:bidi="ar"/>
              </w:rPr>
              <w:t>122989.98</w:t>
            </w:r>
            <w:r>
              <w:rPr>
                <w:rFonts w:hint="eastAsia" w:ascii="宋体" w:hAnsi="宋体" w:eastAsia="宋体" w:cs="宋体"/>
                <w:i w:val="0"/>
                <w:iCs w:val="0"/>
                <w:color w:val="auto"/>
                <w:kern w:val="0"/>
                <w:sz w:val="24"/>
                <w:szCs w:val="24"/>
                <w:highlight w:val="none"/>
                <w:u w:val="none"/>
                <w:lang w:val="en-US" w:eastAsia="zh-CN" w:bidi="ar"/>
              </w:rPr>
              <w:fldChar w:fldCharType="end"/>
            </w:r>
          </w:p>
        </w:tc>
        <w:tc>
          <w:tcPr>
            <w:tcW w:w="1424"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9" w:hRule="atLeast"/>
        </w:trPr>
        <w:tc>
          <w:tcPr>
            <w:tcW w:w="13353" w:type="dxa"/>
            <w:gridSpan w:val="9"/>
            <w:tcBorders>
              <w:top w:val="single" w:color="000000" w:sz="4" w:space="0"/>
              <w:left w:val="single" w:color="000000" w:sz="4" w:space="0"/>
              <w:bottom w:val="single" w:color="000000" w:sz="4" w:space="0"/>
              <w:right w:val="single" w:color="auto" w:sz="4" w:space="0"/>
            </w:tcBorders>
            <w:vAlign w:val="center"/>
          </w:tcPr>
          <w:p>
            <w:pPr>
              <w:pStyle w:val="4"/>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一、市政总面积为296974.83平方米，</w:t>
            </w:r>
            <w:r>
              <w:rPr>
                <w:rFonts w:hint="eastAsia" w:ascii="宋体" w:hAnsi="宋体" w:eastAsia="宋体" w:cs="宋体"/>
                <w:color w:val="auto"/>
                <w:sz w:val="24"/>
                <w:highlight w:val="none"/>
                <w:lang w:val="zh-CN"/>
              </w:rPr>
              <w:t>此部分暂定费用为</w:t>
            </w:r>
            <w:r>
              <w:rPr>
                <w:rFonts w:hint="eastAsia" w:ascii="宋体" w:hAnsi="宋体" w:eastAsia="宋体" w:cs="宋体"/>
                <w:color w:val="auto"/>
                <w:sz w:val="24"/>
                <w:highlight w:val="none"/>
                <w:lang w:val="en-US" w:eastAsia="zh-CN"/>
              </w:rPr>
              <w:t>296</w:t>
            </w:r>
            <w:r>
              <w:rPr>
                <w:rFonts w:hint="eastAsia" w:ascii="宋体" w:hAnsi="宋体" w:eastAsia="宋体" w:cs="宋体"/>
                <w:color w:val="auto"/>
                <w:sz w:val="24"/>
                <w:highlight w:val="none"/>
                <w:lang w:val="zh-CN"/>
              </w:rPr>
              <w:t>万元</w:t>
            </w:r>
            <w:r>
              <w:rPr>
                <w:rFonts w:hint="eastAsia" w:ascii="宋体" w:hAnsi="宋体" w:eastAsia="宋体" w:cs="宋体"/>
                <w:color w:val="auto"/>
                <w:sz w:val="24"/>
                <w:highlight w:val="none"/>
                <w:lang w:val="en-US" w:eastAsia="zh-CN"/>
              </w:rPr>
              <w:t>/年，最终按实结算，结算方式详见付款方式。小区退让人行道面积有122989.98平方米，该面积不计入市政养护预算范围，但市政养护时需包含该面积。</w:t>
            </w:r>
          </w:p>
          <w:p>
            <w:pPr>
              <w:pStyle w:val="4"/>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二、保洁总面积为 296974.83 平方米（人行道面积+车行道面积），</w:t>
            </w:r>
            <w:r>
              <w:rPr>
                <w:rFonts w:hint="eastAsia" w:ascii="宋体" w:hAnsi="宋体" w:eastAsia="宋体" w:cs="宋体"/>
                <w:color w:val="auto"/>
                <w:sz w:val="24"/>
                <w:highlight w:val="none"/>
                <w:lang w:val="zh-CN"/>
              </w:rPr>
              <w:t>最高限价为</w:t>
            </w:r>
            <w:r>
              <w:rPr>
                <w:rFonts w:hint="eastAsia" w:ascii="宋体" w:hAnsi="宋体" w:eastAsia="宋体" w:cs="宋体"/>
                <w:color w:val="auto"/>
                <w:sz w:val="24"/>
                <w:highlight w:val="none"/>
                <w:lang w:val="en-US" w:eastAsia="zh-CN"/>
              </w:rPr>
              <w:t xml:space="preserve">22.98 </w:t>
            </w:r>
            <w:r>
              <w:rPr>
                <w:rFonts w:hint="eastAsia" w:ascii="宋体" w:hAnsi="宋体" w:eastAsia="宋体" w:cs="宋体"/>
                <w:color w:val="auto"/>
                <w:sz w:val="24"/>
                <w:highlight w:val="none"/>
                <w:lang w:val="zh-CN"/>
              </w:rPr>
              <w:t>元/㎡</w:t>
            </w:r>
            <w:r>
              <w:rPr>
                <w:rFonts w:hint="eastAsia" w:ascii="宋体" w:hAnsi="宋体" w:eastAsia="宋体" w:cs="宋体"/>
                <w:color w:val="auto"/>
                <w:sz w:val="24"/>
                <w:highlight w:val="none"/>
                <w:lang w:val="zh-CN" w:eastAsia="zh-CN"/>
              </w:rPr>
              <w:t>，</w:t>
            </w:r>
            <w:r>
              <w:rPr>
                <w:rFonts w:hint="eastAsia" w:ascii="宋体" w:hAnsi="宋体" w:eastAsia="宋体" w:cs="宋体"/>
                <w:color w:val="auto"/>
                <w:sz w:val="24"/>
                <w:highlight w:val="none"/>
                <w:lang w:val="en-US" w:eastAsia="zh-CN"/>
              </w:rPr>
              <w:t>小区退让人行道面积有122989.98平方米，该面积不计入保洁预算范围内，但保洁时需包含该面积。</w:t>
            </w:r>
          </w:p>
          <w:p>
            <w:pPr>
              <w:pStyle w:val="4"/>
              <w:rPr>
                <w:rFonts w:hint="eastAsia"/>
                <w:color w:val="auto"/>
                <w:highlight w:val="none"/>
              </w:rPr>
            </w:pPr>
            <w:r>
              <w:rPr>
                <w:rFonts w:hint="eastAsia" w:ascii="宋体" w:hAnsi="宋体" w:eastAsia="宋体" w:cs="宋体"/>
                <w:b/>
                <w:bCs/>
                <w:i w:val="0"/>
                <w:iCs w:val="0"/>
                <w:color w:val="auto"/>
                <w:kern w:val="0"/>
                <w:sz w:val="24"/>
                <w:szCs w:val="24"/>
                <w:highlight w:val="none"/>
                <w:u w:val="none"/>
                <w:lang w:val="en-US" w:eastAsia="zh-CN" w:bidi="ar"/>
              </w:rPr>
              <w:t>三、本项目综合养护内容还包括垃圾分类音乐线、牛皮藓清理、雨水篦清掏，该三项属保洁养护区域范围内的工作内容，相应的费用不在单独计取，含在投标报价内。</w:t>
            </w:r>
          </w:p>
        </w:tc>
      </w:tr>
    </w:tbl>
    <w:p>
      <w:pPr>
        <w:numPr>
          <w:ilvl w:val="0"/>
          <w:numId w:val="0"/>
        </w:numPr>
        <w:spacing w:line="600" w:lineRule="exact"/>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rPr>
        <w:t>注：1.新增</w:t>
      </w:r>
      <w:r>
        <w:rPr>
          <w:rFonts w:hint="eastAsia" w:ascii="宋体" w:hAnsi="宋体" w:cs="宋体"/>
          <w:b/>
          <w:bCs/>
          <w:color w:val="auto"/>
          <w:sz w:val="24"/>
          <w:szCs w:val="24"/>
          <w:highlight w:val="none"/>
          <w:lang w:val="en-US" w:eastAsia="zh-CN"/>
        </w:rPr>
        <w:t>养护面积</w:t>
      </w:r>
      <w:r>
        <w:rPr>
          <w:rFonts w:hint="eastAsia" w:ascii="宋体" w:hAnsi="宋体" w:eastAsia="宋体" w:cs="宋体"/>
          <w:b/>
          <w:bCs/>
          <w:color w:val="auto"/>
          <w:sz w:val="24"/>
          <w:szCs w:val="24"/>
          <w:highlight w:val="none"/>
        </w:rPr>
        <w:t>，</w:t>
      </w:r>
      <w:r>
        <w:rPr>
          <w:rFonts w:hint="eastAsia" w:ascii="宋体" w:hAnsi="宋体" w:cs="宋体"/>
          <w:b/>
          <w:bCs/>
          <w:color w:val="auto"/>
          <w:sz w:val="24"/>
          <w:szCs w:val="24"/>
          <w:highlight w:val="none"/>
          <w:lang w:val="en-US" w:eastAsia="zh-CN"/>
        </w:rPr>
        <w:t>超过招标面积3%以上的部分，按中标价计取（3%以内的不予计取）。</w:t>
      </w:r>
    </w:p>
    <w:p>
      <w:pPr>
        <w:numPr>
          <w:ilvl w:val="0"/>
          <w:numId w:val="2"/>
        </w:numPr>
        <w:spacing w:line="600" w:lineRule="exact"/>
        <w:ind w:left="630" w:leftChars="0" w:firstLine="0" w:firstLineChars="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以上面积为甲方提供的，各投标单位应根据现场实际踏测自行测量如面积不一致应充分考虑在投标报价内，今后不作调整。</w:t>
      </w:r>
    </w:p>
    <w:p>
      <w:pPr>
        <w:pStyle w:val="4"/>
        <w:ind w:left="0" w:leftChars="0" w:firstLine="0" w:firstLineChars="0"/>
        <w:rPr>
          <w:rFonts w:hint="eastAsia"/>
          <w:color w:val="auto"/>
          <w:highlight w:val="none"/>
        </w:rPr>
      </w:pPr>
    </w:p>
    <w:p>
      <w:pPr>
        <w:rPr>
          <w:rFonts w:hint="eastAsia"/>
          <w:color w:val="auto"/>
          <w:highlight w:val="none"/>
        </w:rPr>
      </w:pPr>
    </w:p>
    <w:p>
      <w:pPr>
        <w:pStyle w:val="28"/>
        <w:rPr>
          <w:rFonts w:hint="eastAsia" w:eastAsia="宋体"/>
          <w:color w:val="auto"/>
          <w:highlight w:val="none"/>
          <w:lang w:val="en-US" w:eastAsia="zh-CN"/>
        </w:rPr>
      </w:pPr>
    </w:p>
    <w:p>
      <w:pPr>
        <w:rPr>
          <w:rFonts w:hint="eastAsia"/>
          <w:color w:val="auto"/>
          <w:highlight w:val="none"/>
        </w:rPr>
      </w:pPr>
    </w:p>
    <w:p>
      <w:pPr>
        <w:pStyle w:val="4"/>
        <w:jc w:val="center"/>
        <w:rPr>
          <w:rFonts w:hint="eastAsia" w:ascii="宋体" w:hAnsi="宋体" w:eastAsia="宋体" w:cs="宋体"/>
          <w:color w:val="auto"/>
          <w:highlight w:val="none"/>
          <w:lang w:val="en-US"/>
        </w:rPr>
      </w:pPr>
      <w:r>
        <w:rPr>
          <w:rFonts w:hint="eastAsia" w:ascii="宋体" w:hAnsi="宋体" w:eastAsia="宋体" w:cs="宋体"/>
          <w:color w:val="auto"/>
          <w:highlight w:val="none"/>
          <w:lang w:val="en-US"/>
        </w:rPr>
        <w:t>五常街道城市管理综合养护</w:t>
      </w:r>
      <w:r>
        <w:rPr>
          <w:rFonts w:hint="eastAsia" w:ascii="宋体" w:hAnsi="宋体" w:eastAsia="宋体" w:cs="宋体"/>
          <w:color w:val="auto"/>
          <w:highlight w:val="none"/>
          <w:lang w:val="en-US" w:eastAsia="zh-CN"/>
        </w:rPr>
        <w:t>二标段绿化</w:t>
      </w:r>
      <w:r>
        <w:rPr>
          <w:rFonts w:hint="eastAsia" w:ascii="宋体" w:hAnsi="宋体" w:eastAsia="宋体" w:cs="宋体"/>
          <w:color w:val="auto"/>
          <w:highlight w:val="none"/>
          <w:lang w:val="en-US"/>
        </w:rPr>
        <w:t>养护明细表</w:t>
      </w:r>
    </w:p>
    <w:tbl>
      <w:tblPr>
        <w:tblStyle w:val="62"/>
        <w:tblW w:w="1386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2"/>
        <w:gridCol w:w="2077"/>
        <w:gridCol w:w="2325"/>
        <w:gridCol w:w="945"/>
        <w:gridCol w:w="1260"/>
        <w:gridCol w:w="1425"/>
        <w:gridCol w:w="1230"/>
        <w:gridCol w:w="1365"/>
        <w:gridCol w:w="1325"/>
        <w:gridCol w:w="15"/>
        <w:gridCol w:w="1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82" w:type="dxa"/>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序号</w:t>
            </w:r>
          </w:p>
        </w:tc>
        <w:tc>
          <w:tcPr>
            <w:tcW w:w="2077"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rPr>
              <w:t>道路名称</w:t>
            </w:r>
          </w:p>
        </w:tc>
        <w:tc>
          <w:tcPr>
            <w:tcW w:w="23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rPr>
              <w:t>起止点</w:t>
            </w:r>
          </w:p>
        </w:tc>
        <w:tc>
          <w:tcPr>
            <w:tcW w:w="9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kern w:val="0"/>
                <w:sz w:val="21"/>
                <w:szCs w:val="21"/>
                <w:highlight w:val="none"/>
              </w:rPr>
              <w:t>长度</w:t>
            </w:r>
          </w:p>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rPr>
              <w:t>（m）</w:t>
            </w:r>
          </w:p>
        </w:tc>
        <w:tc>
          <w:tcPr>
            <w:tcW w:w="1260" w:type="dxa"/>
            <w:vMerge w:val="restar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b/>
                <w:bCs/>
                <w:color w:val="auto"/>
                <w:sz w:val="21"/>
                <w:szCs w:val="21"/>
                <w:highlight w:val="none"/>
                <w:lang w:eastAsia="zh-CN"/>
              </w:rPr>
            </w:pPr>
            <w:r>
              <w:rPr>
                <w:rFonts w:hint="eastAsia" w:ascii="宋体" w:hAnsi="宋体" w:cs="宋体"/>
                <w:b/>
                <w:bCs/>
                <w:color w:val="auto"/>
                <w:sz w:val="21"/>
                <w:szCs w:val="21"/>
                <w:highlight w:val="none"/>
                <w:lang w:eastAsia="zh-CN"/>
              </w:rPr>
              <w:t>道路绿化面积</w:t>
            </w:r>
            <w:r>
              <w:rPr>
                <w:rFonts w:hint="eastAsia" w:ascii="宋体" w:hAnsi="宋体" w:eastAsia="宋体" w:cs="宋体"/>
                <w:b/>
                <w:bCs/>
                <w:color w:val="auto"/>
                <w:kern w:val="0"/>
                <w:sz w:val="21"/>
                <w:szCs w:val="21"/>
                <w:highlight w:val="none"/>
              </w:rPr>
              <w:t>（㎡）</w:t>
            </w:r>
          </w:p>
        </w:tc>
        <w:tc>
          <w:tcPr>
            <w:tcW w:w="1425" w:type="dxa"/>
            <w:vMerge w:val="restart"/>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b/>
                <w:bCs/>
                <w:color w:val="auto"/>
                <w:kern w:val="0"/>
                <w:sz w:val="21"/>
                <w:szCs w:val="21"/>
                <w:highlight w:val="none"/>
                <w:lang w:eastAsia="zh-CN"/>
              </w:rPr>
            </w:pPr>
            <w:r>
              <w:rPr>
                <w:rFonts w:hint="eastAsia" w:ascii="宋体" w:hAnsi="宋体" w:cs="宋体"/>
                <w:b/>
                <w:bCs/>
                <w:color w:val="auto"/>
                <w:kern w:val="0"/>
                <w:sz w:val="21"/>
                <w:szCs w:val="21"/>
                <w:highlight w:val="none"/>
                <w:lang w:eastAsia="zh-CN"/>
              </w:rPr>
              <w:t>公园绿化面积</w:t>
            </w:r>
            <w:r>
              <w:rPr>
                <w:rFonts w:hint="eastAsia" w:ascii="宋体" w:hAnsi="宋体" w:eastAsia="宋体" w:cs="宋体"/>
                <w:b/>
                <w:bCs/>
                <w:color w:val="auto"/>
                <w:kern w:val="0"/>
                <w:sz w:val="21"/>
                <w:szCs w:val="21"/>
                <w:highlight w:val="none"/>
              </w:rPr>
              <w:t>（㎡）</w:t>
            </w:r>
          </w:p>
        </w:tc>
        <w:tc>
          <w:tcPr>
            <w:tcW w:w="1230" w:type="dxa"/>
            <w:vMerge w:val="restart"/>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auto"/>
                <w:kern w:val="0"/>
                <w:sz w:val="21"/>
                <w:szCs w:val="21"/>
                <w:highlight w:val="none"/>
                <w:lang w:eastAsia="zh-CN"/>
              </w:rPr>
            </w:pPr>
            <w:r>
              <w:rPr>
                <w:rFonts w:hint="eastAsia" w:ascii="宋体" w:hAnsi="宋体" w:cs="宋体"/>
                <w:b/>
                <w:bCs/>
                <w:color w:val="auto"/>
                <w:kern w:val="0"/>
                <w:sz w:val="21"/>
                <w:szCs w:val="21"/>
                <w:highlight w:val="none"/>
                <w:lang w:eastAsia="zh-CN"/>
              </w:rPr>
              <w:t>公园道路面积</w:t>
            </w:r>
            <w:r>
              <w:rPr>
                <w:rFonts w:hint="eastAsia" w:ascii="宋体" w:hAnsi="宋体" w:eastAsia="宋体" w:cs="宋体"/>
                <w:b/>
                <w:bCs/>
                <w:color w:val="auto"/>
                <w:kern w:val="0"/>
                <w:sz w:val="21"/>
                <w:szCs w:val="21"/>
                <w:highlight w:val="none"/>
              </w:rPr>
              <w:t>（㎡）</w:t>
            </w:r>
          </w:p>
        </w:tc>
        <w:tc>
          <w:tcPr>
            <w:tcW w:w="13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公共设施</w:t>
            </w:r>
            <w:r>
              <w:rPr>
                <w:rFonts w:hint="eastAsia" w:ascii="宋体" w:hAnsi="宋体" w:cs="宋体"/>
                <w:b/>
                <w:bCs/>
                <w:color w:val="auto"/>
                <w:sz w:val="21"/>
                <w:szCs w:val="21"/>
                <w:highlight w:val="none"/>
                <w:lang w:eastAsia="zh-CN"/>
              </w:rPr>
              <w:t>面积</w:t>
            </w:r>
            <w:r>
              <w:rPr>
                <w:rFonts w:hint="eastAsia" w:ascii="宋体" w:hAnsi="宋体" w:eastAsia="宋体" w:cs="宋体"/>
                <w:b/>
                <w:bCs/>
                <w:color w:val="auto"/>
                <w:kern w:val="0"/>
                <w:sz w:val="21"/>
                <w:szCs w:val="21"/>
                <w:highlight w:val="none"/>
              </w:rPr>
              <w:t>（㎡）</w:t>
            </w:r>
          </w:p>
        </w:tc>
        <w:tc>
          <w:tcPr>
            <w:tcW w:w="1340" w:type="dxa"/>
            <w:gridSpan w:val="2"/>
            <w:vMerge w:val="restart"/>
            <w:tcBorders>
              <w:top w:val="single" w:color="000000" w:sz="4" w:space="0"/>
              <w:left w:val="single" w:color="000000" w:sz="4" w:space="0"/>
              <w:right w:val="single" w:color="auto" w:sz="4" w:space="0"/>
            </w:tcBorders>
            <w:vAlign w:val="center"/>
          </w:tcPr>
          <w:p>
            <w:pPr>
              <w:widowControl/>
              <w:jc w:val="center"/>
              <w:textAlignment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kern w:val="0"/>
                <w:sz w:val="21"/>
                <w:szCs w:val="21"/>
                <w:highlight w:val="none"/>
              </w:rPr>
              <w:t>已建成移交中绿化</w:t>
            </w:r>
            <w:r>
              <w:rPr>
                <w:rFonts w:hint="eastAsia" w:ascii="宋体" w:hAnsi="宋体" w:cs="宋体"/>
                <w:b/>
                <w:bCs/>
                <w:color w:val="auto"/>
                <w:kern w:val="0"/>
                <w:sz w:val="21"/>
                <w:szCs w:val="21"/>
                <w:highlight w:val="none"/>
                <w:lang w:eastAsia="zh-CN"/>
              </w:rPr>
              <w:t>面积</w:t>
            </w:r>
            <w:r>
              <w:rPr>
                <w:rFonts w:hint="eastAsia" w:ascii="宋体" w:hAnsi="宋体" w:eastAsia="宋体" w:cs="宋体"/>
                <w:b/>
                <w:bCs/>
                <w:color w:val="auto"/>
                <w:kern w:val="0"/>
                <w:sz w:val="21"/>
                <w:szCs w:val="21"/>
                <w:highlight w:val="none"/>
              </w:rPr>
              <w:t>（㎡）</w:t>
            </w:r>
          </w:p>
        </w:tc>
        <w:tc>
          <w:tcPr>
            <w:tcW w:w="1315" w:type="dxa"/>
            <w:vMerge w:val="restart"/>
            <w:tcBorders>
              <w:top w:val="single" w:color="000000" w:sz="4" w:space="0"/>
              <w:left w:val="single" w:color="auto" w:sz="4" w:space="0"/>
              <w:right w:val="single" w:color="000000" w:sz="4" w:space="0"/>
            </w:tcBorders>
            <w:vAlign w:val="center"/>
          </w:tcPr>
          <w:p>
            <w:pPr>
              <w:widowControl/>
              <w:jc w:val="center"/>
              <w:textAlignment w:val="center"/>
              <w:rPr>
                <w:rFonts w:hint="eastAsia" w:ascii="宋体" w:hAnsi="宋体" w:eastAsia="宋体" w:cs="宋体"/>
                <w:b/>
                <w:bCs/>
                <w:color w:val="auto"/>
                <w:kern w:val="0"/>
                <w:sz w:val="21"/>
                <w:szCs w:val="21"/>
                <w:highlight w:val="none"/>
              </w:rPr>
            </w:pPr>
            <w:r>
              <w:rPr>
                <w:rFonts w:hint="eastAsia" w:ascii="宋体" w:hAnsi="宋体" w:cs="宋体"/>
                <w:b/>
                <w:bCs/>
                <w:color w:val="auto"/>
                <w:kern w:val="0"/>
                <w:sz w:val="21"/>
                <w:szCs w:val="21"/>
                <w:highlight w:val="none"/>
                <w:lang w:val="en-US" w:eastAsia="zh-CN"/>
              </w:rPr>
              <w:t>小区退让人行面积(㎡)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1"/>
                <w:szCs w:val="21"/>
                <w:highlight w:val="none"/>
              </w:rPr>
            </w:pPr>
          </w:p>
        </w:tc>
        <w:tc>
          <w:tcPr>
            <w:tcW w:w="207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b/>
                <w:bCs/>
                <w:color w:val="auto"/>
                <w:sz w:val="21"/>
                <w:szCs w:val="21"/>
                <w:highlight w:val="none"/>
              </w:rPr>
            </w:pPr>
          </w:p>
        </w:tc>
        <w:tc>
          <w:tcPr>
            <w:tcW w:w="23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auto"/>
                <w:sz w:val="21"/>
                <w:szCs w:val="21"/>
                <w:highlight w:val="none"/>
              </w:rPr>
            </w:pPr>
          </w:p>
        </w:tc>
        <w:tc>
          <w:tcPr>
            <w:tcW w:w="9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auto"/>
                <w:sz w:val="21"/>
                <w:szCs w:val="21"/>
                <w:highlight w:val="none"/>
              </w:rPr>
            </w:pPr>
          </w:p>
        </w:tc>
        <w:tc>
          <w:tcPr>
            <w:tcW w:w="126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b/>
                <w:bCs/>
                <w:color w:val="auto"/>
                <w:sz w:val="21"/>
                <w:szCs w:val="21"/>
                <w:highlight w:val="none"/>
              </w:rPr>
            </w:pPr>
          </w:p>
        </w:tc>
        <w:tc>
          <w:tcPr>
            <w:tcW w:w="1425" w:type="dxa"/>
            <w:vMerge w:val="continue"/>
            <w:tcBorders>
              <w:top w:val="single" w:color="000000" w:sz="4" w:space="0"/>
              <w:left w:val="single" w:color="auto" w:sz="4" w:space="0"/>
              <w:bottom w:val="single" w:color="000000" w:sz="4" w:space="0"/>
              <w:right w:val="single" w:color="auto" w:sz="4" w:space="0"/>
            </w:tcBorders>
            <w:vAlign w:val="center"/>
          </w:tcPr>
          <w:p>
            <w:pPr>
              <w:jc w:val="center"/>
              <w:rPr>
                <w:rFonts w:hint="eastAsia" w:ascii="宋体" w:hAnsi="宋体" w:eastAsia="宋体" w:cs="宋体"/>
                <w:b/>
                <w:bCs/>
                <w:color w:val="auto"/>
                <w:sz w:val="21"/>
                <w:szCs w:val="21"/>
                <w:highlight w:val="none"/>
              </w:rPr>
            </w:pPr>
          </w:p>
        </w:tc>
        <w:tc>
          <w:tcPr>
            <w:tcW w:w="1230"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b/>
                <w:bCs/>
                <w:color w:val="auto"/>
                <w:sz w:val="21"/>
                <w:szCs w:val="21"/>
                <w:highlight w:val="none"/>
              </w:rPr>
            </w:pPr>
          </w:p>
        </w:tc>
        <w:tc>
          <w:tcPr>
            <w:tcW w:w="13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auto"/>
                <w:sz w:val="21"/>
                <w:szCs w:val="21"/>
                <w:highlight w:val="none"/>
              </w:rPr>
            </w:pPr>
          </w:p>
        </w:tc>
        <w:tc>
          <w:tcPr>
            <w:tcW w:w="1340" w:type="dxa"/>
            <w:gridSpan w:val="2"/>
            <w:vMerge w:val="continue"/>
            <w:tcBorders>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b/>
                <w:bCs/>
                <w:color w:val="auto"/>
                <w:kern w:val="0"/>
                <w:sz w:val="21"/>
                <w:szCs w:val="21"/>
                <w:highlight w:val="none"/>
              </w:rPr>
            </w:pPr>
          </w:p>
        </w:tc>
        <w:tc>
          <w:tcPr>
            <w:tcW w:w="1315" w:type="dxa"/>
            <w:vMerge w:val="continue"/>
            <w:tcBorders>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auto"/>
                <w:kern w:val="0"/>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霞绮巷</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余杭塘路-溪沁街</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239</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73.29 </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8489.66 </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2164.54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1121.43 </w:t>
            </w:r>
          </w:p>
        </w:tc>
        <w:tc>
          <w:tcPr>
            <w:tcW w:w="1340"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宋体" w:hAnsi="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143.50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松风巷</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寻港街-联创街</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282</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91.97 </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40"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359.59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8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3</w:t>
            </w:r>
          </w:p>
        </w:tc>
        <w:tc>
          <w:tcPr>
            <w:tcW w:w="2077" w:type="dxa"/>
            <w:tcBorders>
              <w:top w:val="single" w:color="000000"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永福路</w:t>
            </w:r>
          </w:p>
        </w:tc>
        <w:tc>
          <w:tcPr>
            <w:tcW w:w="2325"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同顺街-文一西路</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296</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79.03</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40"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 w:hRule="atLeast"/>
        </w:trPr>
        <w:tc>
          <w:tcPr>
            <w:tcW w:w="58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4</w:t>
            </w:r>
          </w:p>
        </w:tc>
        <w:tc>
          <w:tcPr>
            <w:tcW w:w="2077"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夕佳弄</w:t>
            </w:r>
          </w:p>
        </w:tc>
        <w:tc>
          <w:tcPr>
            <w:tcW w:w="2325"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荆长大道-邱桥路</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230</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83.35 </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40"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3313.39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5</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邱桥路</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余杭塘路-红旗路</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807</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1096.54 </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40"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1789.71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6</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溪沁街</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荆长大道-红旗路</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1056</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398.05 </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40"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4400.82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7</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同顺街</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聚橙路-红旗路</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2139</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452.65 </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40"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6531.18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8</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寻港街</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聚橙路-松风巷</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289</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91.97 </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40"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8.79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9</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联创街</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海创路-繁慧路</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1757</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5677.41 </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40"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4224.62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10</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向往街</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海创路-联创街</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358</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1155.39 </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40"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2803.51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11</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海创路</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文一西路-余杭塘路</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918</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235.67 </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40"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1469.21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12</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海福路</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余杭塘路-联创街</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157</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38.80 </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40"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291.28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13</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乐业巷</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余杭塘路-新桥港</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281</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89.09 </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40"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836.81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14</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海新路</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余杭塘路-联创街</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190</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48.86 </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40"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1201.35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15</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海园路</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余杭塘路-新桥港</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247</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74.72 </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40"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2850.36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16</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红旗路</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余杭塘路-荆长大道</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1287</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375.06 </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75750.16 </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1877.67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40"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4672.98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17</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繁慧路</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余杭塘河-联创街</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842</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272.42 </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40"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123.03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18</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欧侣路</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余杭塘路-滕家村路</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598</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191.12 </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18494.91 </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3157.24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75.91 </w:t>
            </w:r>
          </w:p>
        </w:tc>
        <w:tc>
          <w:tcPr>
            <w:tcW w:w="1340"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23.67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0"/>
                <w:sz w:val="24"/>
                <w:szCs w:val="24"/>
                <w:highlight w:val="none"/>
                <w:lang w:val="en-US" w:eastAsia="zh-CN"/>
              </w:rPr>
              <w:t>19</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云碧路</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向往街-良睦路</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355</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66.10 </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40"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3890.3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20</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文昌路</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聚橙路-海园路</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235</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30.18 </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40"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143.41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21</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文一西路北侧规划支路</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荆长大道-香樟港</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413</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40"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165.21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22</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小腾街</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余杭塘路-余杭塘路</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778</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1717.00 </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2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30"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 xml:space="preserve">4066.67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23</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香樟港</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邱桥港-余杭塘河</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26023.21 </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5517.67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202.07 </w:t>
            </w:r>
          </w:p>
        </w:tc>
        <w:tc>
          <w:tcPr>
            <w:tcW w:w="132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17927.67 </w:t>
            </w:r>
          </w:p>
        </w:tc>
        <w:tc>
          <w:tcPr>
            <w:tcW w:w="1330"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24</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前进港</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香樟港-五常港</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10829.06 </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2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16890.93 </w:t>
            </w:r>
          </w:p>
        </w:tc>
        <w:tc>
          <w:tcPr>
            <w:tcW w:w="1330"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3241.51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25</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北部园区河</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香樟港-前进港</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45238.45 </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12634.19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2937.35 </w:t>
            </w:r>
          </w:p>
        </w:tc>
        <w:tc>
          <w:tcPr>
            <w:tcW w:w="132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6969.94 </w:t>
            </w:r>
          </w:p>
        </w:tc>
        <w:tc>
          <w:tcPr>
            <w:tcW w:w="1330"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26</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新桥港</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闲林港-香樟港</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100317.43 </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12844.33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391.58 </w:t>
            </w:r>
          </w:p>
        </w:tc>
        <w:tc>
          <w:tcPr>
            <w:tcW w:w="132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30"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27</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余杭塘河</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杭师大-绕城高速</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6549.17 </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2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30"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28</w:t>
            </w:r>
          </w:p>
        </w:tc>
        <w:tc>
          <w:tcPr>
            <w:tcW w:w="2077" w:type="dxa"/>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合计</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 w:val="24"/>
                <w:szCs w:val="24"/>
                <w:highlight w:val="none"/>
              </w:rPr>
            </w:pP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default" w:ascii="宋体" w:hAnsi="宋体" w:eastAsia="宋体" w:cs="宋体"/>
                <w:i w:val="0"/>
                <w:iCs w:val="0"/>
                <w:color w:val="auto"/>
                <w:kern w:val="0"/>
                <w:sz w:val="24"/>
                <w:szCs w:val="24"/>
                <w:highlight w:val="none"/>
                <w:u w:val="none"/>
                <w:lang w:val="en-US" w:eastAsia="zh-CN" w:bidi="ar"/>
              </w:rPr>
              <w:fldChar w:fldCharType="begin"/>
            </w:r>
            <w:r>
              <w:rPr>
                <w:rFonts w:hint="default" w:ascii="宋体" w:hAnsi="宋体" w:eastAsia="宋体" w:cs="宋体"/>
                <w:i w:val="0"/>
                <w:iCs w:val="0"/>
                <w:color w:val="auto"/>
                <w:kern w:val="0"/>
                <w:sz w:val="24"/>
                <w:szCs w:val="24"/>
                <w:highlight w:val="none"/>
                <w:u w:val="none"/>
                <w:lang w:val="en-US" w:eastAsia="zh-CN" w:bidi="ar"/>
              </w:rPr>
              <w:instrText xml:space="preserve"> = sum(E3:E29) \* MERGEFORMAT </w:instrText>
            </w:r>
            <w:r>
              <w:rPr>
                <w:rFonts w:hint="default" w:ascii="宋体" w:hAnsi="宋体" w:eastAsia="宋体" w:cs="宋体"/>
                <w:i w:val="0"/>
                <w:iCs w:val="0"/>
                <w:color w:val="auto"/>
                <w:kern w:val="0"/>
                <w:sz w:val="24"/>
                <w:szCs w:val="24"/>
                <w:highlight w:val="none"/>
                <w:u w:val="none"/>
                <w:lang w:val="en-US" w:eastAsia="zh-CN" w:bidi="ar"/>
              </w:rPr>
              <w:fldChar w:fldCharType="separate"/>
            </w:r>
            <w:r>
              <w:rPr>
                <w:rFonts w:hint="default" w:ascii="宋体" w:hAnsi="宋体" w:eastAsia="宋体" w:cs="宋体"/>
                <w:i w:val="0"/>
                <w:iCs w:val="0"/>
                <w:color w:val="auto"/>
                <w:kern w:val="0"/>
                <w:sz w:val="24"/>
                <w:szCs w:val="24"/>
                <w:highlight w:val="none"/>
                <w:u w:val="none"/>
                <w:lang w:val="en-US" w:eastAsia="zh-CN" w:bidi="ar"/>
              </w:rPr>
              <w:t>12338.67</w:t>
            </w:r>
            <w:r>
              <w:rPr>
                <w:rFonts w:hint="default" w:ascii="宋体" w:hAnsi="宋体" w:eastAsia="宋体" w:cs="宋体"/>
                <w:i w:val="0"/>
                <w:iCs w:val="0"/>
                <w:color w:val="auto"/>
                <w:kern w:val="0"/>
                <w:sz w:val="24"/>
                <w:szCs w:val="24"/>
                <w:highlight w:val="none"/>
                <w:u w:val="none"/>
                <w:lang w:val="en-US" w:eastAsia="zh-CN" w:bidi="ar"/>
              </w:rPr>
              <w:fldChar w:fldCharType="end"/>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2"/>
                <w:szCs w:val="12"/>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291692.1</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fldChar w:fldCharType="begin"/>
            </w:r>
            <w:r>
              <w:rPr>
                <w:rFonts w:hint="eastAsia" w:ascii="宋体" w:hAnsi="宋体" w:cs="宋体"/>
                <w:i w:val="0"/>
                <w:iCs w:val="0"/>
                <w:color w:val="auto"/>
                <w:kern w:val="0"/>
                <w:sz w:val="24"/>
                <w:szCs w:val="24"/>
                <w:highlight w:val="none"/>
                <w:u w:val="none"/>
                <w:lang w:val="en-US" w:eastAsia="zh-CN" w:bidi="ar"/>
              </w:rPr>
              <w:instrText xml:space="preserve"> = sum(G3:G29) \* MERGEFORMAT </w:instrText>
            </w:r>
            <w:r>
              <w:rPr>
                <w:rFonts w:hint="eastAsia" w:ascii="宋体" w:hAnsi="宋体" w:cs="宋体"/>
                <w:i w:val="0"/>
                <w:iCs w:val="0"/>
                <w:color w:val="auto"/>
                <w:kern w:val="0"/>
                <w:sz w:val="24"/>
                <w:szCs w:val="24"/>
                <w:highlight w:val="none"/>
                <w:u w:val="none"/>
                <w:lang w:val="en-US" w:eastAsia="zh-CN" w:bidi="ar"/>
              </w:rPr>
              <w:fldChar w:fldCharType="separate"/>
            </w:r>
            <w:r>
              <w:rPr>
                <w:rFonts w:hint="eastAsia" w:ascii="宋体" w:hAnsi="宋体" w:cs="宋体"/>
                <w:i w:val="0"/>
                <w:iCs w:val="0"/>
                <w:color w:val="auto"/>
                <w:kern w:val="0"/>
                <w:sz w:val="24"/>
                <w:szCs w:val="24"/>
                <w:highlight w:val="none"/>
                <w:u w:val="none"/>
                <w:lang w:val="en-US" w:eastAsia="zh-CN" w:bidi="ar"/>
              </w:rPr>
              <w:t>38195.64</w:t>
            </w:r>
            <w:r>
              <w:rPr>
                <w:rFonts w:hint="eastAsia" w:ascii="宋体" w:hAnsi="宋体" w:cs="宋体"/>
                <w:i w:val="0"/>
                <w:iCs w:val="0"/>
                <w:color w:val="auto"/>
                <w:kern w:val="0"/>
                <w:sz w:val="24"/>
                <w:szCs w:val="24"/>
                <w:highlight w:val="none"/>
                <w:u w:val="none"/>
                <w:lang w:val="en-US" w:eastAsia="zh-CN" w:bidi="ar"/>
              </w:rPr>
              <w:fldChar w:fldCharType="end"/>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fldChar w:fldCharType="begin"/>
            </w:r>
            <w:r>
              <w:rPr>
                <w:rFonts w:hint="eastAsia" w:ascii="宋体" w:hAnsi="宋体" w:eastAsia="宋体" w:cs="宋体"/>
                <w:i w:val="0"/>
                <w:iCs w:val="0"/>
                <w:color w:val="auto"/>
                <w:kern w:val="0"/>
                <w:sz w:val="24"/>
                <w:szCs w:val="24"/>
                <w:highlight w:val="none"/>
                <w:u w:val="none"/>
                <w:lang w:val="en-US" w:eastAsia="zh-CN" w:bidi="ar"/>
              </w:rPr>
              <w:instrText xml:space="preserve"> = sum(H3:H29) \* MERGEFORMAT </w:instrText>
            </w:r>
            <w:r>
              <w:rPr>
                <w:rFonts w:hint="eastAsia" w:ascii="宋体" w:hAnsi="宋体" w:eastAsia="宋体" w:cs="宋体"/>
                <w:i w:val="0"/>
                <w:iCs w:val="0"/>
                <w:color w:val="auto"/>
                <w:kern w:val="0"/>
                <w:sz w:val="24"/>
                <w:szCs w:val="24"/>
                <w:highlight w:val="none"/>
                <w:u w:val="none"/>
                <w:lang w:val="en-US" w:eastAsia="zh-CN" w:bidi="ar"/>
              </w:rPr>
              <w:fldChar w:fldCharType="separate"/>
            </w:r>
            <w:r>
              <w:rPr>
                <w:rFonts w:hint="eastAsia" w:ascii="宋体" w:hAnsi="宋体" w:eastAsia="宋体" w:cs="宋体"/>
                <w:i w:val="0"/>
                <w:iCs w:val="0"/>
                <w:color w:val="auto"/>
                <w:kern w:val="0"/>
                <w:sz w:val="24"/>
                <w:szCs w:val="24"/>
                <w:highlight w:val="none"/>
                <w:u w:val="none"/>
                <w:lang w:val="en-US" w:eastAsia="zh-CN" w:bidi="ar"/>
              </w:rPr>
              <w:t>4728.34</w:t>
            </w:r>
            <w:r>
              <w:rPr>
                <w:rFonts w:hint="eastAsia" w:ascii="宋体" w:hAnsi="宋体" w:eastAsia="宋体" w:cs="宋体"/>
                <w:i w:val="0"/>
                <w:iCs w:val="0"/>
                <w:color w:val="auto"/>
                <w:kern w:val="0"/>
                <w:sz w:val="24"/>
                <w:szCs w:val="24"/>
                <w:highlight w:val="none"/>
                <w:u w:val="none"/>
                <w:lang w:val="en-US" w:eastAsia="zh-CN" w:bidi="ar"/>
              </w:rPr>
              <w:fldChar w:fldCharType="end"/>
            </w:r>
          </w:p>
        </w:tc>
        <w:tc>
          <w:tcPr>
            <w:tcW w:w="1325" w:type="dxa"/>
            <w:tcBorders>
              <w:top w:val="single" w:color="000000" w:sz="4" w:space="0"/>
              <w:left w:val="single" w:color="000000" w:sz="4" w:space="0"/>
              <w:bottom w:val="single" w:color="000000" w:sz="4" w:space="0"/>
              <w:right w:val="single" w:color="auto" w:sz="4" w:space="0"/>
            </w:tcBorders>
            <w:vAlign w:val="top"/>
          </w:tcPr>
          <w:p>
            <w:pPr>
              <w:widowControl/>
              <w:jc w:val="both"/>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fldChar w:fldCharType="begin"/>
            </w:r>
            <w:r>
              <w:rPr>
                <w:rFonts w:hint="eastAsia" w:ascii="宋体" w:hAnsi="宋体" w:eastAsia="宋体" w:cs="宋体"/>
                <w:color w:val="auto"/>
                <w:kern w:val="0"/>
                <w:sz w:val="24"/>
                <w:szCs w:val="24"/>
                <w:highlight w:val="none"/>
              </w:rPr>
              <w:instrText xml:space="preserve"> = sum(I3:I29) \* MERGEFORMAT </w:instrText>
            </w:r>
            <w:r>
              <w:rPr>
                <w:rFonts w:hint="eastAsia" w:ascii="宋体" w:hAnsi="宋体" w:eastAsia="宋体" w:cs="宋体"/>
                <w:color w:val="auto"/>
                <w:kern w:val="0"/>
                <w:sz w:val="24"/>
                <w:szCs w:val="24"/>
                <w:highlight w:val="none"/>
              </w:rPr>
              <w:fldChar w:fldCharType="separate"/>
            </w:r>
            <w:r>
              <w:rPr>
                <w:rFonts w:hint="eastAsia" w:ascii="宋体" w:hAnsi="宋体" w:eastAsia="宋体" w:cs="宋体"/>
                <w:color w:val="auto"/>
                <w:kern w:val="0"/>
                <w:sz w:val="24"/>
                <w:szCs w:val="24"/>
                <w:highlight w:val="none"/>
              </w:rPr>
              <w:t>41788.54</w:t>
            </w:r>
            <w:r>
              <w:rPr>
                <w:rFonts w:hint="eastAsia" w:ascii="宋体" w:hAnsi="宋体" w:eastAsia="宋体" w:cs="宋体"/>
                <w:color w:val="auto"/>
                <w:kern w:val="0"/>
                <w:sz w:val="24"/>
                <w:szCs w:val="24"/>
                <w:highlight w:val="none"/>
              </w:rPr>
              <w:fldChar w:fldCharType="end"/>
            </w:r>
          </w:p>
        </w:tc>
        <w:tc>
          <w:tcPr>
            <w:tcW w:w="1330" w:type="dxa"/>
            <w:gridSpan w:val="2"/>
            <w:tcBorders>
              <w:top w:val="single" w:color="000000" w:sz="4" w:space="0"/>
              <w:left w:val="single" w:color="auto" w:sz="4" w:space="0"/>
              <w:bottom w:val="single" w:color="000000" w:sz="4" w:space="0"/>
              <w:right w:val="single" w:color="000000" w:sz="4" w:space="0"/>
            </w:tcBorders>
            <w:vAlign w:val="top"/>
          </w:tcPr>
          <w:p>
            <w:pPr>
              <w:widowControl/>
              <w:jc w:val="both"/>
              <w:textAlignment w:val="center"/>
              <w:rPr>
                <w:rFonts w:hint="eastAsia" w:ascii="宋体" w:hAnsi="宋体" w:eastAsia="宋体" w:cs="宋体"/>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13864" w:type="dxa"/>
            <w:gridSpan w:val="11"/>
            <w:tcBorders>
              <w:top w:val="single" w:color="000000" w:sz="4" w:space="0"/>
              <w:left w:val="single" w:color="000000" w:sz="4" w:space="0"/>
              <w:bottom w:val="single" w:color="000000" w:sz="4" w:space="0"/>
              <w:right w:val="single" w:color="000000" w:sz="4" w:space="0"/>
            </w:tcBorders>
            <w:vAlign w:val="center"/>
          </w:tcPr>
          <w:p>
            <w:pPr>
              <w:pStyle w:val="4"/>
              <w:rPr>
                <w:rFonts w:hint="eastAsia"/>
                <w:color w:val="auto"/>
                <w:highlight w:val="none"/>
              </w:rPr>
            </w:pPr>
            <w:r>
              <w:rPr>
                <w:rFonts w:hint="eastAsia" w:ascii="宋体" w:hAnsi="宋体" w:eastAsia="宋体" w:cs="宋体"/>
                <w:b/>
                <w:bCs/>
                <w:i w:val="0"/>
                <w:iCs w:val="0"/>
                <w:color w:val="auto"/>
                <w:kern w:val="0"/>
                <w:sz w:val="24"/>
                <w:szCs w:val="24"/>
                <w:highlight w:val="none"/>
                <w:u w:val="none"/>
                <w:lang w:val="en-US" w:eastAsia="zh-CN" w:bidi="ar"/>
              </w:rPr>
              <w:t>一、绿化总面积为388743.24平方米（道路绿化+公园绿化+公园道路+公共设施+已建成移交中绿化），</w:t>
            </w:r>
            <w:r>
              <w:rPr>
                <w:rFonts w:hint="eastAsia" w:ascii="宋体" w:hAnsi="宋体" w:eastAsia="宋体" w:cs="宋体"/>
                <w:color w:val="auto"/>
                <w:sz w:val="24"/>
                <w:highlight w:val="none"/>
                <w:lang w:val="zh-CN"/>
              </w:rPr>
              <w:t>最高限价为</w:t>
            </w:r>
            <w:r>
              <w:rPr>
                <w:rFonts w:hint="eastAsia" w:ascii="宋体" w:hAnsi="宋体" w:eastAsia="宋体" w:cs="宋体"/>
                <w:color w:val="auto"/>
                <w:sz w:val="24"/>
                <w:highlight w:val="none"/>
                <w:lang w:val="en-US" w:eastAsia="zh-CN"/>
              </w:rPr>
              <w:t>10.03</w:t>
            </w:r>
            <w:r>
              <w:rPr>
                <w:rFonts w:hint="eastAsia" w:ascii="宋体" w:hAnsi="宋体" w:eastAsia="宋体" w:cs="宋体"/>
                <w:color w:val="auto"/>
                <w:sz w:val="24"/>
                <w:highlight w:val="none"/>
                <w:lang w:val="zh-CN"/>
              </w:rPr>
              <w:t>元/㎡，</w:t>
            </w:r>
            <w:r>
              <w:rPr>
                <w:rFonts w:hint="eastAsia" w:ascii="宋体" w:hAnsi="宋体" w:eastAsia="宋体" w:cs="宋体"/>
                <w:color w:val="auto"/>
                <w:sz w:val="24"/>
                <w:highlight w:val="none"/>
                <w:lang w:val="en-US" w:eastAsia="zh-CN"/>
              </w:rPr>
              <w:t>小区退让人行道面积有46550.9平方米，该面积不计入绿化养护预算范围内，但绿化养护时时需包含该面积。</w:t>
            </w:r>
          </w:p>
        </w:tc>
      </w:tr>
    </w:tbl>
    <w:p>
      <w:pPr>
        <w:numPr>
          <w:ilvl w:val="0"/>
          <w:numId w:val="0"/>
        </w:numPr>
        <w:spacing w:line="600" w:lineRule="exact"/>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rPr>
        <w:t>注：1.新增</w:t>
      </w:r>
      <w:r>
        <w:rPr>
          <w:rFonts w:hint="eastAsia" w:ascii="宋体" w:hAnsi="宋体" w:cs="宋体"/>
          <w:b/>
          <w:bCs/>
          <w:color w:val="auto"/>
          <w:sz w:val="24"/>
          <w:szCs w:val="24"/>
          <w:highlight w:val="none"/>
          <w:lang w:val="en-US" w:eastAsia="zh-CN"/>
        </w:rPr>
        <w:t>养护面积</w:t>
      </w:r>
      <w:r>
        <w:rPr>
          <w:rFonts w:hint="eastAsia" w:ascii="宋体" w:hAnsi="宋体" w:eastAsia="宋体" w:cs="宋体"/>
          <w:b/>
          <w:bCs/>
          <w:color w:val="auto"/>
          <w:sz w:val="24"/>
          <w:szCs w:val="24"/>
          <w:highlight w:val="none"/>
        </w:rPr>
        <w:t>，</w:t>
      </w:r>
      <w:r>
        <w:rPr>
          <w:rFonts w:hint="eastAsia" w:ascii="宋体" w:hAnsi="宋体" w:cs="宋体"/>
          <w:b/>
          <w:bCs/>
          <w:color w:val="auto"/>
          <w:sz w:val="24"/>
          <w:szCs w:val="24"/>
          <w:highlight w:val="none"/>
          <w:lang w:val="en-US" w:eastAsia="zh-CN"/>
        </w:rPr>
        <w:t>超过招标面积3%以上的部分，按中标价计取（3%以内的不予计取）。</w:t>
      </w:r>
    </w:p>
    <w:p>
      <w:pPr>
        <w:numPr>
          <w:ilvl w:val="0"/>
          <w:numId w:val="0"/>
        </w:numPr>
        <w:spacing w:line="600" w:lineRule="exact"/>
        <w:ind w:firstLine="241" w:firstLineChars="100"/>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以上面积为甲方提供的，各投标单位应根据现场实际踏测自行测量如面积不一致应充分考虑在投标报价内，今后不作调整。</w:t>
      </w:r>
    </w:p>
    <w:p>
      <w:pPr>
        <w:rPr>
          <w:rFonts w:hint="eastAsia"/>
          <w:color w:val="auto"/>
          <w:highlight w:val="none"/>
        </w:rPr>
        <w:sectPr>
          <w:pgSz w:w="16838" w:h="11905" w:orient="landscape"/>
          <w:pgMar w:top="1361" w:right="1531" w:bottom="1304" w:left="1531" w:header="851" w:footer="992" w:gutter="0"/>
          <w:pgBorders>
            <w:top w:val="none" w:sz="0" w:space="0"/>
            <w:left w:val="none" w:sz="0" w:space="0"/>
            <w:bottom w:val="none" w:sz="0" w:space="0"/>
            <w:right w:val="none" w:sz="0" w:space="0"/>
          </w:pgBorders>
          <w:pgNumType w:fmt="decimal"/>
          <w:cols w:space="720" w:num="1"/>
          <w:titlePg/>
          <w:docGrid w:linePitch="1" w:charSpace="0"/>
        </w:sectPr>
      </w:pPr>
    </w:p>
    <w:p>
      <w:pPr>
        <w:spacing w:line="600" w:lineRule="exact"/>
        <w:outlineLvl w:val="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四、</w:t>
      </w:r>
      <w:r>
        <w:rPr>
          <w:rFonts w:hint="eastAsia" w:ascii="宋体" w:hAnsi="宋体" w:eastAsia="宋体" w:cs="宋体"/>
          <w:b/>
          <w:bCs/>
          <w:color w:val="auto"/>
          <w:sz w:val="24"/>
          <w:highlight w:val="none"/>
          <w:lang w:val="en-US" w:eastAsia="zh-CN"/>
        </w:rPr>
        <w:t>服务</w:t>
      </w:r>
      <w:r>
        <w:rPr>
          <w:rFonts w:hint="eastAsia" w:ascii="宋体" w:hAnsi="宋体" w:eastAsia="宋体" w:cs="宋体"/>
          <w:b/>
          <w:bCs/>
          <w:color w:val="auto"/>
          <w:sz w:val="24"/>
          <w:highlight w:val="none"/>
        </w:rPr>
        <w:t>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●1、本项目人员配置</w:t>
      </w:r>
      <w:r>
        <w:rPr>
          <w:rFonts w:hint="eastAsia" w:ascii="宋体" w:hAnsi="宋体" w:eastAsia="宋体" w:cs="宋体"/>
          <w:color w:val="auto"/>
          <w:sz w:val="24"/>
          <w:highlight w:val="none"/>
          <w:lang w:val="en-US" w:eastAsia="zh-CN"/>
        </w:rPr>
        <w:t>要求</w:t>
      </w:r>
      <w:r>
        <w:rPr>
          <w:rFonts w:hint="eastAsia" w:ascii="宋体" w:hAnsi="宋体" w:eastAsia="宋体" w:cs="宋体"/>
          <w:color w:val="auto"/>
          <w:sz w:val="24"/>
          <w:highlight w:val="none"/>
        </w:rPr>
        <w:t>：项目负责人1人，道路管理人员</w:t>
      </w:r>
      <w:r>
        <w:rPr>
          <w:rFonts w:hint="eastAsia" w:hAnsi="宋体" w:cs="宋体"/>
          <w:color w:val="auto"/>
          <w:sz w:val="24"/>
          <w:highlight w:val="none"/>
          <w:lang w:val="en-US" w:eastAsia="zh-CN"/>
        </w:rPr>
        <w:t>1</w:t>
      </w:r>
      <w:r>
        <w:rPr>
          <w:rFonts w:hint="eastAsia" w:ascii="宋体" w:hAnsi="宋体" w:eastAsia="宋体" w:cs="宋体"/>
          <w:color w:val="auto"/>
          <w:sz w:val="24"/>
          <w:highlight w:val="none"/>
        </w:rPr>
        <w:t>人，绿化养护管理人员1人，市政养护管理人员1人</w:t>
      </w:r>
      <w:r>
        <w:rPr>
          <w:rFonts w:hint="eastAsia" w:ascii="宋体" w:hAnsi="宋体" w:eastAsia="宋体" w:cs="宋体"/>
          <w:color w:val="auto"/>
          <w:sz w:val="24"/>
          <w:szCs w:val="24"/>
          <w:highlight w:val="none"/>
        </w:rPr>
        <w:t>，</w:t>
      </w:r>
      <w:r>
        <w:rPr>
          <w:rFonts w:hint="eastAsia" w:ascii="宋体" w:hAnsi="宋体" w:eastAsia="宋体" w:cs="宋体"/>
          <w:color w:val="auto"/>
          <w:sz w:val="24"/>
          <w:highlight w:val="none"/>
        </w:rPr>
        <w:t>其他作业人员安排数量符合招标文件规定（保洁：道路保洁人均保洁面积</w:t>
      </w:r>
      <w:r>
        <w:rPr>
          <w:rFonts w:hint="eastAsia" w:hAnsi="宋体" w:cs="宋体"/>
          <w:b/>
          <w:bCs/>
          <w:color w:val="auto"/>
          <w:sz w:val="24"/>
          <w:highlight w:val="none"/>
          <w:lang w:val="en-US" w:eastAsia="zh-CN"/>
        </w:rPr>
        <w:t>5000</w:t>
      </w:r>
      <w:r>
        <w:rPr>
          <w:rFonts w:hint="eastAsia" w:ascii="宋体" w:hAnsi="宋体" w:eastAsia="宋体" w:cs="宋体"/>
          <w:color w:val="auto"/>
          <w:sz w:val="24"/>
          <w:highlight w:val="none"/>
        </w:rPr>
        <w:t>㎡，</w:t>
      </w:r>
      <w:r>
        <w:rPr>
          <w:rFonts w:hint="eastAsia" w:hAnsi="宋体" w:cs="宋体"/>
          <w:color w:val="auto"/>
          <w:sz w:val="24"/>
          <w:highlight w:val="none"/>
          <w:lang w:val="en-US" w:eastAsia="zh-CN"/>
        </w:rPr>
        <w:t>保洁16个小时，需两个班次，故人员</w:t>
      </w:r>
      <w:r>
        <w:rPr>
          <w:rFonts w:hint="eastAsia" w:ascii="宋体" w:hAnsi="宋体" w:eastAsia="宋体" w:cs="宋体"/>
          <w:color w:val="auto"/>
          <w:sz w:val="24"/>
          <w:highlight w:val="none"/>
        </w:rPr>
        <w:t>不少于</w:t>
      </w:r>
      <w:r>
        <w:rPr>
          <w:rFonts w:hint="eastAsia" w:hAnsi="宋体" w:cs="宋体"/>
          <w:b/>
          <w:bCs/>
          <w:color w:val="auto"/>
          <w:sz w:val="24"/>
          <w:highlight w:val="none"/>
          <w:lang w:val="en-US" w:eastAsia="zh-CN"/>
        </w:rPr>
        <w:t>120</w:t>
      </w:r>
      <w:r>
        <w:rPr>
          <w:rFonts w:hint="eastAsia" w:ascii="宋体" w:hAnsi="宋体" w:eastAsia="宋体" w:cs="宋体"/>
          <w:color w:val="auto"/>
          <w:sz w:val="24"/>
          <w:highlight w:val="none"/>
        </w:rPr>
        <w:t>人</w:t>
      </w:r>
      <w:r>
        <w:rPr>
          <w:rFonts w:hint="eastAsia" w:hAnsi="宋体" w:cs="宋体"/>
          <w:color w:val="auto"/>
          <w:sz w:val="24"/>
          <w:highlight w:val="none"/>
          <w:lang w:eastAsia="zh-CN"/>
        </w:rPr>
        <w:t>次，同一时间在岗人数不少于</w:t>
      </w:r>
      <w:r>
        <w:rPr>
          <w:rFonts w:hint="eastAsia" w:hAnsi="宋体" w:cs="宋体"/>
          <w:color w:val="auto"/>
          <w:sz w:val="24"/>
          <w:highlight w:val="none"/>
          <w:lang w:val="en-US" w:eastAsia="zh-CN"/>
        </w:rPr>
        <w:t>60人；</w:t>
      </w:r>
      <w:r>
        <w:rPr>
          <w:rFonts w:hint="eastAsia" w:ascii="宋体" w:hAnsi="宋体" w:eastAsia="宋体" w:cs="宋体"/>
          <w:color w:val="auto"/>
          <w:sz w:val="24"/>
          <w:highlight w:val="none"/>
        </w:rPr>
        <w:t>绿化养护：</w:t>
      </w:r>
      <w:r>
        <w:rPr>
          <w:rFonts w:hint="eastAsia" w:hAnsi="宋体" w:cs="宋体"/>
          <w:color w:val="auto"/>
          <w:sz w:val="24"/>
          <w:highlight w:val="none"/>
          <w:lang w:val="en-US" w:eastAsia="zh-CN"/>
        </w:rPr>
        <w:t>不少于</w:t>
      </w:r>
      <w:r>
        <w:rPr>
          <w:rFonts w:hint="eastAsia" w:hAnsi="宋体" w:cs="宋体"/>
          <w:b/>
          <w:bCs/>
          <w:color w:val="auto"/>
          <w:sz w:val="24"/>
          <w:highlight w:val="none"/>
          <w:lang w:val="en-US" w:eastAsia="zh-CN"/>
        </w:rPr>
        <w:t>60</w:t>
      </w:r>
      <w:r>
        <w:rPr>
          <w:rFonts w:hint="eastAsia" w:hAnsi="宋体" w:cs="宋体"/>
          <w:color w:val="auto"/>
          <w:sz w:val="24"/>
          <w:highlight w:val="none"/>
          <w:lang w:val="en-US" w:eastAsia="zh-CN"/>
        </w:rPr>
        <w:t>人</w:t>
      </w:r>
      <w:r>
        <w:rPr>
          <w:rFonts w:hint="eastAsia" w:ascii="宋体" w:hAnsi="宋体" w:eastAsia="宋体" w:cs="宋体"/>
          <w:color w:val="auto"/>
          <w:sz w:val="24"/>
          <w:highlight w:val="none"/>
        </w:rPr>
        <w:t>；市政养护：不少于2班组，每班组不少于</w:t>
      </w:r>
      <w:r>
        <w:rPr>
          <w:rFonts w:hint="eastAsia" w:hAnsi="宋体" w:cs="宋体"/>
          <w:color w:val="auto"/>
          <w:sz w:val="24"/>
          <w:highlight w:val="none"/>
          <w:lang w:val="en-US" w:eastAsia="zh-CN"/>
        </w:rPr>
        <w:t xml:space="preserve">  5 </w:t>
      </w:r>
      <w:r>
        <w:rPr>
          <w:rFonts w:hint="eastAsia" w:ascii="宋体" w:hAnsi="宋体" w:eastAsia="宋体" w:cs="宋体"/>
          <w:color w:val="auto"/>
          <w:sz w:val="24"/>
          <w:highlight w:val="none"/>
        </w:rPr>
        <w:t>人，不少于</w:t>
      </w:r>
      <w:r>
        <w:rPr>
          <w:rFonts w:hint="eastAsia" w:hAnsi="宋体" w:cs="宋体"/>
          <w:b/>
          <w:bCs/>
          <w:color w:val="auto"/>
          <w:sz w:val="24"/>
          <w:highlight w:val="none"/>
          <w:lang w:val="en-US" w:eastAsia="zh-CN"/>
        </w:rPr>
        <w:t>10</w:t>
      </w:r>
      <w:r>
        <w:rPr>
          <w:rFonts w:hint="eastAsia" w:ascii="宋体" w:hAnsi="宋体" w:eastAsia="宋体" w:cs="宋体"/>
          <w:color w:val="auto"/>
          <w:sz w:val="24"/>
          <w:highlight w:val="none"/>
        </w:rPr>
        <w:t>人；</w:t>
      </w:r>
      <w:r>
        <w:rPr>
          <w:rFonts w:hint="eastAsia" w:ascii="宋体" w:hAnsi="宋体" w:eastAsia="宋体" w:cs="宋体"/>
          <w:color w:val="auto"/>
          <w:sz w:val="24"/>
          <w:highlight w:val="none"/>
          <w:lang w:val="en-US" w:eastAsia="zh-CN"/>
        </w:rPr>
        <w:t>其他辅助人员</w:t>
      </w:r>
      <w:r>
        <w:rPr>
          <w:rFonts w:hint="eastAsia" w:hAnsi="宋体" w:cs="宋体"/>
          <w:b/>
          <w:bCs/>
          <w:color w:val="auto"/>
          <w:sz w:val="24"/>
          <w:highlight w:val="none"/>
          <w:lang w:val="en-US" w:eastAsia="zh-CN"/>
        </w:rPr>
        <w:t>2</w:t>
      </w:r>
      <w:r>
        <w:rPr>
          <w:rFonts w:hint="eastAsia" w:ascii="宋体" w:hAnsi="宋体" w:eastAsia="宋体" w:cs="宋体"/>
          <w:color w:val="auto"/>
          <w:sz w:val="24"/>
          <w:highlight w:val="none"/>
          <w:lang w:val="en-US" w:eastAsia="zh-CN"/>
        </w:rPr>
        <w:t>人</w:t>
      </w:r>
      <w:r>
        <w:rPr>
          <w:rFonts w:hint="eastAsia" w:ascii="宋体" w:hAnsi="宋体" w:eastAsia="宋体" w:cs="宋体"/>
          <w:color w:val="auto"/>
          <w:sz w:val="24"/>
          <w:highlight w:val="none"/>
        </w:rPr>
        <w:t>），如有活动、节假日、高温抗旱、抗台风、抗暴雨、抗雪灾等恶劣天气情况下根据甲方要求增派人员，满足突发事件需求。），所有作业人员必须挂牌上岗，统一着装，作业时必须统一穿着工作制服。</w:t>
      </w:r>
    </w:p>
    <w:p>
      <w:pPr>
        <w:pStyle w:val="36"/>
        <w:snapToGrid w:val="0"/>
        <w:spacing w:line="600" w:lineRule="exact"/>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人员要求配置表</w:t>
      </w:r>
      <w:r>
        <w:rPr>
          <w:rFonts w:hint="eastAsia" w:ascii="宋体" w:hAnsi="宋体" w:eastAsia="宋体" w:cs="宋体"/>
          <w:b/>
          <w:bCs/>
          <w:color w:val="auto"/>
          <w:sz w:val="24"/>
          <w:highlight w:val="none"/>
          <w:lang w:val="en-US"/>
        </w:rPr>
        <w:t>（</w:t>
      </w:r>
      <w:r>
        <w:rPr>
          <w:rFonts w:hint="eastAsia" w:ascii="宋体" w:hAnsi="宋体" w:eastAsia="宋体" w:cs="宋体"/>
          <w:b/>
          <w:bCs/>
          <w:color w:val="auto"/>
          <w:sz w:val="24"/>
          <w:highlight w:val="none"/>
        </w:rPr>
        <w:t>响应表中响应</w:t>
      </w:r>
      <w:r>
        <w:rPr>
          <w:rFonts w:hint="eastAsia" w:ascii="宋体" w:hAnsi="宋体" w:eastAsia="宋体" w:cs="宋体"/>
          <w:b/>
          <w:bCs/>
          <w:color w:val="auto"/>
          <w:sz w:val="24"/>
          <w:highlight w:val="none"/>
          <w:lang w:val="en-US" w:eastAsia="zh-CN"/>
        </w:rPr>
        <w:t>承诺</w:t>
      </w:r>
      <w:r>
        <w:rPr>
          <w:rFonts w:hint="eastAsia" w:ascii="宋体" w:hAnsi="宋体" w:eastAsia="宋体" w:cs="宋体"/>
          <w:b/>
          <w:bCs/>
          <w:color w:val="auto"/>
          <w:sz w:val="24"/>
          <w:highlight w:val="none"/>
        </w:rPr>
        <w:t>即可，否则视为不满足</w:t>
      </w:r>
      <w:r>
        <w:rPr>
          <w:rFonts w:hint="eastAsia" w:ascii="宋体" w:hAnsi="宋体" w:eastAsia="宋体" w:cs="宋体"/>
          <w:b/>
          <w:bCs/>
          <w:color w:val="auto"/>
          <w:sz w:val="24"/>
          <w:highlight w:val="none"/>
          <w:lang w:val="en-US"/>
        </w:rPr>
        <w:t>）</w:t>
      </w:r>
      <w:r>
        <w:rPr>
          <w:rFonts w:hint="eastAsia" w:ascii="宋体" w:hAnsi="宋体" w:eastAsia="宋体" w:cs="宋体"/>
          <w:b/>
          <w:bCs/>
          <w:color w:val="auto"/>
          <w:sz w:val="24"/>
          <w:highlight w:val="none"/>
        </w:rPr>
        <w:t>：</w:t>
      </w:r>
    </w:p>
    <w:tbl>
      <w:tblPr>
        <w:tblStyle w:val="62"/>
        <w:tblW w:w="9396"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38"/>
        <w:gridCol w:w="2321"/>
        <w:gridCol w:w="919"/>
        <w:gridCol w:w="2139"/>
        <w:gridCol w:w="1462"/>
        <w:gridCol w:w="171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838" w:type="dxa"/>
            <w:tcBorders>
              <w:top w:val="single" w:color="auto" w:sz="12" w:space="0"/>
              <w:left w:val="single" w:color="auto" w:sz="12" w:space="0"/>
              <w:bottom w:val="single" w:color="auto" w:sz="2" w:space="0"/>
              <w:right w:val="single" w:color="auto" w:sz="2" w:space="0"/>
            </w:tcBorders>
            <w:vAlign w:val="center"/>
          </w:tcPr>
          <w:p>
            <w:pPr>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序号</w:t>
            </w:r>
          </w:p>
        </w:tc>
        <w:tc>
          <w:tcPr>
            <w:tcW w:w="2321" w:type="dxa"/>
            <w:tcBorders>
              <w:top w:val="single" w:color="auto" w:sz="12" w:space="0"/>
              <w:left w:val="single" w:color="auto" w:sz="2" w:space="0"/>
              <w:bottom w:val="single" w:color="auto" w:sz="2" w:space="0"/>
              <w:right w:val="single" w:color="auto" w:sz="2" w:space="0"/>
            </w:tcBorders>
            <w:vAlign w:val="center"/>
          </w:tcPr>
          <w:p>
            <w:pPr>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拟任分工</w:t>
            </w:r>
          </w:p>
        </w:tc>
        <w:tc>
          <w:tcPr>
            <w:tcW w:w="919" w:type="dxa"/>
            <w:tcBorders>
              <w:top w:val="single" w:color="auto" w:sz="12" w:space="0"/>
              <w:left w:val="single" w:color="auto" w:sz="2" w:space="0"/>
              <w:bottom w:val="single" w:color="auto" w:sz="2" w:space="0"/>
              <w:right w:val="single" w:color="auto" w:sz="4" w:space="0"/>
            </w:tcBorders>
            <w:vAlign w:val="center"/>
          </w:tcPr>
          <w:p>
            <w:pPr>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数量</w:t>
            </w:r>
          </w:p>
        </w:tc>
        <w:tc>
          <w:tcPr>
            <w:tcW w:w="2139" w:type="dxa"/>
            <w:tcBorders>
              <w:top w:val="single" w:color="auto" w:sz="12" w:space="0"/>
              <w:left w:val="single" w:color="auto" w:sz="4" w:space="0"/>
              <w:bottom w:val="single" w:color="auto" w:sz="2" w:space="0"/>
              <w:right w:val="single" w:color="auto" w:sz="2" w:space="0"/>
            </w:tcBorders>
            <w:vAlign w:val="center"/>
          </w:tcPr>
          <w:p>
            <w:pPr>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职称</w:t>
            </w:r>
          </w:p>
        </w:tc>
        <w:tc>
          <w:tcPr>
            <w:tcW w:w="1462" w:type="dxa"/>
            <w:tcBorders>
              <w:top w:val="single" w:color="auto" w:sz="12" w:space="0"/>
              <w:left w:val="single" w:color="auto" w:sz="2" w:space="0"/>
              <w:bottom w:val="single" w:color="auto" w:sz="2" w:space="0"/>
              <w:right w:val="single" w:color="auto" w:sz="2" w:space="0"/>
            </w:tcBorders>
            <w:vAlign w:val="center"/>
          </w:tcPr>
          <w:p>
            <w:pPr>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学历</w:t>
            </w:r>
          </w:p>
        </w:tc>
        <w:tc>
          <w:tcPr>
            <w:tcW w:w="1717" w:type="dxa"/>
            <w:tcBorders>
              <w:top w:val="single" w:color="auto" w:sz="12" w:space="0"/>
              <w:left w:val="single" w:color="auto" w:sz="2" w:space="0"/>
              <w:bottom w:val="single" w:color="auto" w:sz="2" w:space="0"/>
              <w:right w:val="single" w:color="auto" w:sz="2" w:space="0"/>
            </w:tcBorders>
            <w:vAlign w:val="center"/>
          </w:tcPr>
          <w:p>
            <w:pPr>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社保</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838" w:type="dxa"/>
            <w:tcBorders>
              <w:top w:val="single" w:color="auto" w:sz="2" w:space="0"/>
              <w:left w:val="single" w:color="auto" w:sz="1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2321"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项目负责人</w:t>
            </w:r>
          </w:p>
        </w:tc>
        <w:tc>
          <w:tcPr>
            <w:tcW w:w="919" w:type="dxa"/>
            <w:tcBorders>
              <w:top w:val="single" w:color="auto" w:sz="2" w:space="0"/>
              <w:left w:val="single" w:color="auto" w:sz="2" w:space="0"/>
              <w:bottom w:val="single" w:color="auto" w:sz="2"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1人</w:t>
            </w:r>
          </w:p>
        </w:tc>
        <w:tc>
          <w:tcPr>
            <w:tcW w:w="2139"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中级职称及以上</w:t>
            </w:r>
          </w:p>
        </w:tc>
        <w:tc>
          <w:tcPr>
            <w:tcW w:w="1462"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大专</w:t>
            </w:r>
            <w:r>
              <w:rPr>
                <w:rFonts w:hint="eastAsia" w:ascii="宋体" w:hAnsi="宋体" w:eastAsia="宋体" w:cs="宋体"/>
                <w:color w:val="auto"/>
                <w:szCs w:val="21"/>
                <w:highlight w:val="none"/>
              </w:rPr>
              <w:t>及以上</w:t>
            </w:r>
          </w:p>
        </w:tc>
        <w:tc>
          <w:tcPr>
            <w:tcW w:w="1717"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6个月的社保缴纳证明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838" w:type="dxa"/>
            <w:tcBorders>
              <w:top w:val="single" w:color="auto" w:sz="2" w:space="0"/>
              <w:left w:val="single" w:color="auto" w:sz="1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2321"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道路管理人员</w:t>
            </w:r>
          </w:p>
        </w:tc>
        <w:tc>
          <w:tcPr>
            <w:tcW w:w="919" w:type="dxa"/>
            <w:tcBorders>
              <w:top w:val="single" w:color="auto" w:sz="2" w:space="0"/>
              <w:left w:val="single" w:color="auto" w:sz="2" w:space="0"/>
              <w:bottom w:val="single" w:color="auto" w:sz="2"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1</w:t>
            </w:r>
            <w:r>
              <w:rPr>
                <w:rFonts w:hint="eastAsia" w:ascii="宋体" w:hAnsi="宋体" w:eastAsia="宋体" w:cs="宋体"/>
                <w:color w:val="auto"/>
                <w:szCs w:val="21"/>
                <w:highlight w:val="none"/>
              </w:rPr>
              <w:t>人</w:t>
            </w:r>
          </w:p>
        </w:tc>
        <w:tc>
          <w:tcPr>
            <w:tcW w:w="2139"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中级职称及以上</w:t>
            </w:r>
          </w:p>
        </w:tc>
        <w:tc>
          <w:tcPr>
            <w:tcW w:w="1462"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高中及以上</w:t>
            </w:r>
          </w:p>
        </w:tc>
        <w:tc>
          <w:tcPr>
            <w:tcW w:w="1717"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6个月的社保缴纳证明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838" w:type="dxa"/>
            <w:tcBorders>
              <w:top w:val="single" w:color="auto" w:sz="2" w:space="0"/>
              <w:left w:val="single" w:color="auto" w:sz="1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2321"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绿化养护管理人员</w:t>
            </w:r>
          </w:p>
        </w:tc>
        <w:tc>
          <w:tcPr>
            <w:tcW w:w="919" w:type="dxa"/>
            <w:tcBorders>
              <w:top w:val="single" w:color="auto" w:sz="2" w:space="0"/>
              <w:left w:val="single" w:color="auto" w:sz="2" w:space="0"/>
              <w:bottom w:val="single" w:color="auto" w:sz="2"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1人</w:t>
            </w:r>
          </w:p>
        </w:tc>
        <w:tc>
          <w:tcPr>
            <w:tcW w:w="2139"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园林绿化初级职称及以上</w:t>
            </w:r>
          </w:p>
        </w:tc>
        <w:tc>
          <w:tcPr>
            <w:tcW w:w="1462"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高中及以上</w:t>
            </w:r>
          </w:p>
        </w:tc>
        <w:tc>
          <w:tcPr>
            <w:tcW w:w="1717"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6个月的社保缴纳证明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838" w:type="dxa"/>
            <w:tcBorders>
              <w:top w:val="single" w:color="auto" w:sz="2" w:space="0"/>
              <w:left w:val="single" w:color="auto" w:sz="1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2321"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市政养护管理人员</w:t>
            </w:r>
          </w:p>
        </w:tc>
        <w:tc>
          <w:tcPr>
            <w:tcW w:w="919" w:type="dxa"/>
            <w:tcBorders>
              <w:top w:val="single" w:color="auto" w:sz="2" w:space="0"/>
              <w:left w:val="single" w:color="auto" w:sz="2" w:space="0"/>
              <w:bottom w:val="single" w:color="auto" w:sz="2"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1人</w:t>
            </w:r>
          </w:p>
        </w:tc>
        <w:tc>
          <w:tcPr>
            <w:tcW w:w="2139"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中级职称及以上</w:t>
            </w:r>
          </w:p>
        </w:tc>
        <w:tc>
          <w:tcPr>
            <w:tcW w:w="1462"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高中及以上</w:t>
            </w:r>
          </w:p>
        </w:tc>
        <w:tc>
          <w:tcPr>
            <w:tcW w:w="1717"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6个月的社保缴纳证明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838" w:type="dxa"/>
            <w:tcBorders>
              <w:top w:val="single" w:color="auto" w:sz="2" w:space="0"/>
              <w:left w:val="single" w:color="auto" w:sz="1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8558"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其他作业人员</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838" w:type="dxa"/>
            <w:tcBorders>
              <w:top w:val="single" w:color="auto" w:sz="2" w:space="0"/>
              <w:left w:val="single" w:color="auto" w:sz="1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5.1</w:t>
            </w:r>
          </w:p>
        </w:tc>
        <w:tc>
          <w:tcPr>
            <w:tcW w:w="2321"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道路保洁人员</w:t>
            </w:r>
          </w:p>
        </w:tc>
        <w:tc>
          <w:tcPr>
            <w:tcW w:w="919" w:type="dxa"/>
            <w:tcBorders>
              <w:top w:val="single" w:color="auto" w:sz="2" w:space="0"/>
              <w:left w:val="single" w:color="auto" w:sz="2" w:space="0"/>
              <w:bottom w:val="single" w:color="auto" w:sz="2" w:space="0"/>
              <w:right w:val="single" w:color="auto" w:sz="4" w:space="0"/>
            </w:tcBorders>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120人</w:t>
            </w:r>
          </w:p>
        </w:tc>
        <w:tc>
          <w:tcPr>
            <w:tcW w:w="2139"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462"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717"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838" w:type="dxa"/>
            <w:tcBorders>
              <w:top w:val="single" w:color="auto" w:sz="2" w:space="0"/>
              <w:left w:val="single" w:color="auto" w:sz="1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5.2</w:t>
            </w:r>
          </w:p>
        </w:tc>
        <w:tc>
          <w:tcPr>
            <w:tcW w:w="2321"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绿化养护人员</w:t>
            </w:r>
          </w:p>
        </w:tc>
        <w:tc>
          <w:tcPr>
            <w:tcW w:w="919" w:type="dxa"/>
            <w:tcBorders>
              <w:top w:val="single" w:color="auto" w:sz="2" w:space="0"/>
              <w:left w:val="single" w:color="auto" w:sz="2" w:space="0"/>
              <w:bottom w:val="single" w:color="auto" w:sz="2" w:space="0"/>
              <w:right w:val="single" w:color="auto" w:sz="4" w:space="0"/>
            </w:tcBorders>
            <w:vAlign w:val="center"/>
          </w:tcPr>
          <w:p>
            <w:pPr>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60人</w:t>
            </w:r>
          </w:p>
        </w:tc>
        <w:tc>
          <w:tcPr>
            <w:tcW w:w="2139"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462"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717"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838" w:type="dxa"/>
            <w:tcBorders>
              <w:top w:val="single" w:color="auto" w:sz="2" w:space="0"/>
              <w:left w:val="single" w:color="auto" w:sz="1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5.3</w:t>
            </w:r>
          </w:p>
        </w:tc>
        <w:tc>
          <w:tcPr>
            <w:tcW w:w="2321"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市政养护人员</w:t>
            </w:r>
          </w:p>
        </w:tc>
        <w:tc>
          <w:tcPr>
            <w:tcW w:w="919" w:type="dxa"/>
            <w:tcBorders>
              <w:top w:val="single" w:color="auto" w:sz="2" w:space="0"/>
              <w:left w:val="single" w:color="auto" w:sz="2" w:space="0"/>
              <w:bottom w:val="single" w:color="auto" w:sz="2" w:space="0"/>
              <w:right w:val="single" w:color="auto" w:sz="4" w:space="0"/>
            </w:tcBorders>
            <w:vAlign w:val="center"/>
          </w:tcPr>
          <w:p>
            <w:pPr>
              <w:jc w:val="cente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10人</w:t>
            </w:r>
          </w:p>
        </w:tc>
        <w:tc>
          <w:tcPr>
            <w:tcW w:w="2139"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w:t>
            </w:r>
          </w:p>
        </w:tc>
        <w:tc>
          <w:tcPr>
            <w:tcW w:w="1462"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w:t>
            </w:r>
          </w:p>
        </w:tc>
        <w:tc>
          <w:tcPr>
            <w:tcW w:w="1717"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838" w:type="dxa"/>
            <w:tcBorders>
              <w:top w:val="single" w:color="auto" w:sz="2" w:space="0"/>
              <w:left w:val="single" w:color="auto" w:sz="1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5.4</w:t>
            </w:r>
          </w:p>
        </w:tc>
        <w:tc>
          <w:tcPr>
            <w:tcW w:w="2321"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其他辅助人员</w:t>
            </w:r>
          </w:p>
        </w:tc>
        <w:tc>
          <w:tcPr>
            <w:tcW w:w="919" w:type="dxa"/>
            <w:tcBorders>
              <w:top w:val="single" w:color="auto" w:sz="2" w:space="0"/>
              <w:left w:val="single" w:color="auto" w:sz="2" w:space="0"/>
              <w:bottom w:val="single" w:color="auto" w:sz="2" w:space="0"/>
              <w:right w:val="single" w:color="auto" w:sz="4" w:space="0"/>
            </w:tcBorders>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lang w:val="en-US" w:eastAsia="zh-CN"/>
              </w:rPr>
              <w:t>人</w:t>
            </w:r>
          </w:p>
        </w:tc>
        <w:tc>
          <w:tcPr>
            <w:tcW w:w="2139"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w:t>
            </w:r>
          </w:p>
        </w:tc>
        <w:tc>
          <w:tcPr>
            <w:tcW w:w="1462"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w:t>
            </w:r>
          </w:p>
        </w:tc>
        <w:tc>
          <w:tcPr>
            <w:tcW w:w="1717"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w:t>
            </w:r>
          </w:p>
        </w:tc>
      </w:tr>
    </w:tbl>
    <w:p>
      <w:pPr>
        <w:widowControl/>
        <w:spacing w:line="600" w:lineRule="exact"/>
        <w:ind w:left="-53" w:leftChars="-25" w:firstLine="482" w:firstLineChars="200"/>
        <w:rPr>
          <w:rFonts w:hint="eastAsia" w:ascii="宋体" w:hAnsi="宋体" w:eastAsia="宋体" w:cs="宋体"/>
          <w:b/>
          <w:bCs/>
          <w:snapToGrid w:val="0"/>
          <w:color w:val="auto"/>
          <w:kern w:val="2"/>
          <w:sz w:val="24"/>
          <w:szCs w:val="21"/>
          <w:highlight w:val="none"/>
          <w:lang w:val="en-US" w:eastAsia="zh-CN" w:bidi="ar-SA"/>
        </w:rPr>
      </w:pPr>
      <w:r>
        <w:rPr>
          <w:rFonts w:hint="eastAsia" w:ascii="宋体" w:hAnsi="宋体" w:eastAsia="宋体" w:cs="宋体"/>
          <w:b/>
          <w:bCs/>
          <w:color w:val="auto"/>
          <w:sz w:val="24"/>
          <w:highlight w:val="none"/>
          <w:lang w:val="zh-CN" w:eastAsia="zh-CN"/>
        </w:rPr>
        <w:t>●</w:t>
      </w:r>
      <w:r>
        <w:rPr>
          <w:rFonts w:hint="eastAsia" w:ascii="宋体" w:hAnsi="宋体" w:eastAsia="宋体" w:cs="宋体"/>
          <w:b/>
          <w:bCs/>
          <w:snapToGrid w:val="0"/>
          <w:color w:val="auto"/>
          <w:kern w:val="2"/>
          <w:sz w:val="24"/>
          <w:szCs w:val="21"/>
          <w:highlight w:val="none"/>
          <w:lang w:val="en-US" w:eastAsia="zh-CN" w:bidi="ar-SA"/>
        </w:rPr>
        <w:t>2、本项目设备配置要求</w:t>
      </w:r>
    </w:p>
    <w:p>
      <w:pPr>
        <w:widowControl/>
        <w:spacing w:line="600" w:lineRule="exact"/>
        <w:ind w:left="-53" w:leftChars="-25" w:firstLine="482" w:firstLineChars="200"/>
        <w:rPr>
          <w:rFonts w:hint="eastAsia" w:ascii="宋体" w:hAnsi="宋体" w:eastAsia="宋体" w:cs="宋体"/>
          <w:b/>
          <w:bCs/>
          <w:snapToGrid w:val="0"/>
          <w:color w:val="auto"/>
          <w:kern w:val="2"/>
          <w:sz w:val="24"/>
          <w:szCs w:val="21"/>
          <w:highlight w:val="none"/>
          <w:lang w:val="en-US" w:eastAsia="zh-CN" w:bidi="ar-SA"/>
        </w:rPr>
      </w:pPr>
      <w:r>
        <w:rPr>
          <w:rFonts w:hint="eastAsia" w:ascii="宋体" w:hAnsi="宋体" w:eastAsia="宋体" w:cs="宋体"/>
          <w:b/>
          <w:bCs/>
          <w:snapToGrid w:val="0"/>
          <w:color w:val="auto"/>
          <w:kern w:val="2"/>
          <w:sz w:val="24"/>
          <w:szCs w:val="21"/>
          <w:highlight w:val="none"/>
          <w:lang w:val="en-US" w:eastAsia="zh-CN" w:bidi="ar-SA"/>
        </w:rPr>
        <w:t>拟投入项目设备配置表</w:t>
      </w:r>
    </w:p>
    <w:tbl>
      <w:tblPr>
        <w:tblStyle w:val="62"/>
        <w:tblW w:w="8917"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2887"/>
        <w:gridCol w:w="2470"/>
        <w:gridCol w:w="981"/>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序号</w:t>
            </w:r>
          </w:p>
        </w:tc>
        <w:tc>
          <w:tcPr>
            <w:tcW w:w="2887" w:type="dxa"/>
            <w:vAlign w:val="center"/>
          </w:tcPr>
          <w:p>
            <w:pPr>
              <w:pStyle w:val="27"/>
              <w:wordWrap/>
              <w:spacing w:line="5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设备名称</w:t>
            </w:r>
          </w:p>
        </w:tc>
        <w:tc>
          <w:tcPr>
            <w:tcW w:w="2470" w:type="dxa"/>
            <w:vAlign w:val="center"/>
          </w:tcPr>
          <w:p>
            <w:pPr>
              <w:pStyle w:val="27"/>
              <w:wordWrap/>
              <w:spacing w:line="5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规格要求</w:t>
            </w:r>
          </w:p>
        </w:tc>
        <w:tc>
          <w:tcPr>
            <w:tcW w:w="981"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数量</w:t>
            </w:r>
          </w:p>
        </w:tc>
        <w:tc>
          <w:tcPr>
            <w:tcW w:w="1892" w:type="dxa"/>
            <w:vAlign w:val="center"/>
          </w:tcPr>
          <w:p>
            <w:pPr>
              <w:pStyle w:val="27"/>
              <w:wordWrap/>
              <w:spacing w:line="5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洒水机动车（后置喷雾）</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w:t>
            </w:r>
            <w:r>
              <w:rPr>
                <w:rFonts w:hint="eastAsia" w:cs="宋体"/>
                <w:b/>
                <w:bCs/>
                <w:color w:val="auto"/>
                <w:sz w:val="21"/>
                <w:szCs w:val="21"/>
                <w:highlight w:val="none"/>
                <w:lang w:val="en-US" w:eastAsia="zh-CN"/>
              </w:rPr>
              <w:t>18</w:t>
            </w:r>
            <w:r>
              <w:rPr>
                <w:rFonts w:hint="eastAsia" w:ascii="宋体" w:hAnsi="宋体" w:eastAsia="宋体" w:cs="宋体"/>
                <w:b/>
                <w:bCs/>
                <w:color w:val="auto"/>
                <w:sz w:val="21"/>
                <w:szCs w:val="21"/>
                <w:highlight w:val="none"/>
                <w:lang w:val="en-US" w:eastAsia="zh-CN"/>
              </w:rPr>
              <w:t>吨</w:t>
            </w:r>
          </w:p>
        </w:tc>
        <w:tc>
          <w:tcPr>
            <w:tcW w:w="981" w:type="dxa"/>
            <w:vAlign w:val="center"/>
          </w:tcPr>
          <w:p>
            <w:pPr>
              <w:pStyle w:val="27"/>
              <w:wordWrap/>
              <w:spacing w:line="500" w:lineRule="exact"/>
              <w:ind w:left="0" w:leftChars="0" w:firstLine="0" w:firstLineChars="0"/>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w:t>
            </w:r>
            <w:r>
              <w:rPr>
                <w:rFonts w:hint="eastAsia" w:cs="宋体"/>
                <w:b/>
                <w:bCs/>
                <w:color w:val="auto"/>
                <w:sz w:val="21"/>
                <w:szCs w:val="21"/>
                <w:highlight w:val="none"/>
                <w:lang w:val="en-US" w:eastAsia="zh-CN"/>
              </w:rPr>
              <w:t>1</w:t>
            </w:r>
            <w:r>
              <w:rPr>
                <w:rFonts w:hint="eastAsia" w:ascii="宋体" w:hAnsi="宋体" w:eastAsia="宋体" w:cs="宋体"/>
                <w:b/>
                <w:bCs/>
                <w:color w:val="auto"/>
                <w:sz w:val="21"/>
                <w:szCs w:val="21"/>
                <w:highlight w:val="none"/>
                <w:lang w:val="en-US" w:eastAsia="zh-CN"/>
              </w:rPr>
              <w:t>辆</w:t>
            </w:r>
          </w:p>
        </w:tc>
        <w:tc>
          <w:tcPr>
            <w:tcW w:w="1892" w:type="dxa"/>
            <w:vMerge w:val="restart"/>
            <w:vAlign w:val="center"/>
          </w:tcPr>
          <w:p>
            <w:pPr>
              <w:pStyle w:val="27"/>
              <w:wordWrap/>
              <w:spacing w:line="500" w:lineRule="exact"/>
              <w:ind w:left="0" w:leftChars="0" w:firstLine="0" w:firstLineChars="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保洁设备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洗扫一体车（三位一体）</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≥18吨</w:t>
            </w:r>
          </w:p>
        </w:tc>
        <w:tc>
          <w:tcPr>
            <w:tcW w:w="981"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w:t>
            </w:r>
            <w:r>
              <w:rPr>
                <w:rFonts w:hint="eastAsia"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辆</w:t>
            </w:r>
          </w:p>
        </w:tc>
        <w:tc>
          <w:tcPr>
            <w:tcW w:w="1892" w:type="dxa"/>
            <w:vMerge w:val="continue"/>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多功能抑尘车</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≥16吨</w:t>
            </w:r>
          </w:p>
        </w:tc>
        <w:tc>
          <w:tcPr>
            <w:tcW w:w="981"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w:t>
            </w:r>
            <w:r>
              <w:rPr>
                <w:rFonts w:hint="eastAsia"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辆</w:t>
            </w:r>
          </w:p>
        </w:tc>
        <w:tc>
          <w:tcPr>
            <w:tcW w:w="1892" w:type="dxa"/>
            <w:vMerge w:val="continue"/>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护栏清洗车</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≥7吨</w:t>
            </w:r>
          </w:p>
        </w:tc>
        <w:tc>
          <w:tcPr>
            <w:tcW w:w="981"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≥1辆</w:t>
            </w:r>
          </w:p>
        </w:tc>
        <w:tc>
          <w:tcPr>
            <w:tcW w:w="1892" w:type="dxa"/>
            <w:vMerge w:val="continue"/>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扫地车</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≥12吨</w:t>
            </w:r>
          </w:p>
        </w:tc>
        <w:tc>
          <w:tcPr>
            <w:tcW w:w="981"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≥1辆</w:t>
            </w:r>
          </w:p>
        </w:tc>
        <w:tc>
          <w:tcPr>
            <w:tcW w:w="1892" w:type="dxa"/>
            <w:vMerge w:val="continue"/>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高压冲洗车</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≥18吨</w:t>
            </w:r>
          </w:p>
        </w:tc>
        <w:tc>
          <w:tcPr>
            <w:tcW w:w="981"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≥1辆</w:t>
            </w:r>
          </w:p>
        </w:tc>
        <w:tc>
          <w:tcPr>
            <w:tcW w:w="1892" w:type="dxa"/>
            <w:vMerge w:val="continue"/>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7</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应急扫雪设备</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p>
        </w:tc>
        <w:tc>
          <w:tcPr>
            <w:tcW w:w="981"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w:t>
            </w:r>
            <w:r>
              <w:rPr>
                <w:rFonts w:hint="eastAsia"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套</w:t>
            </w:r>
          </w:p>
        </w:tc>
        <w:tc>
          <w:tcPr>
            <w:tcW w:w="1892" w:type="dxa"/>
            <w:vMerge w:val="continue"/>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8</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小型慢车道清扫车</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p>
        </w:tc>
        <w:tc>
          <w:tcPr>
            <w:tcW w:w="981" w:type="dxa"/>
            <w:vAlign w:val="center"/>
          </w:tcPr>
          <w:p>
            <w:pPr>
              <w:pStyle w:val="27"/>
              <w:wordWrap/>
              <w:spacing w:line="500" w:lineRule="exact"/>
              <w:ind w:left="0" w:leftChars="0" w:firstLine="0" w:firstLineChars="0"/>
              <w:jc w:val="center"/>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sz w:val="21"/>
                <w:szCs w:val="21"/>
                <w:highlight w:val="none"/>
                <w:lang w:val="en-US" w:eastAsia="zh-CN"/>
              </w:rPr>
              <w:t>≥</w:t>
            </w:r>
            <w:r>
              <w:rPr>
                <w:rFonts w:hint="eastAsia" w:cs="宋体"/>
                <w:b/>
                <w:bCs/>
                <w:color w:val="auto"/>
                <w:sz w:val="21"/>
                <w:szCs w:val="21"/>
                <w:highlight w:val="none"/>
                <w:lang w:val="en-US" w:eastAsia="zh-CN"/>
              </w:rPr>
              <w:t>2</w:t>
            </w:r>
            <w:r>
              <w:rPr>
                <w:rFonts w:hint="eastAsia" w:ascii="宋体" w:hAnsi="宋体" w:eastAsia="宋体" w:cs="宋体"/>
                <w:b/>
                <w:bCs/>
                <w:color w:val="auto"/>
                <w:sz w:val="21"/>
                <w:szCs w:val="21"/>
                <w:highlight w:val="none"/>
                <w:lang w:val="en-US" w:eastAsia="zh-CN"/>
              </w:rPr>
              <w:t>辆</w:t>
            </w:r>
          </w:p>
        </w:tc>
        <w:tc>
          <w:tcPr>
            <w:tcW w:w="1892" w:type="dxa"/>
            <w:vMerge w:val="continue"/>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9</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小型高压冲洗车</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p>
        </w:tc>
        <w:tc>
          <w:tcPr>
            <w:tcW w:w="981" w:type="dxa"/>
            <w:vAlign w:val="center"/>
          </w:tcPr>
          <w:p>
            <w:pPr>
              <w:pStyle w:val="27"/>
              <w:wordWrap/>
              <w:spacing w:line="500" w:lineRule="exact"/>
              <w:ind w:left="0" w:leftChars="0" w:firstLine="0" w:firstLineChars="0"/>
              <w:jc w:val="center"/>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sz w:val="21"/>
                <w:szCs w:val="21"/>
                <w:highlight w:val="none"/>
                <w:lang w:val="en-US" w:eastAsia="zh-CN"/>
              </w:rPr>
              <w:t>≥</w:t>
            </w:r>
            <w:r>
              <w:rPr>
                <w:rFonts w:hint="eastAsia" w:cs="宋体"/>
                <w:b/>
                <w:bCs/>
                <w:color w:val="auto"/>
                <w:sz w:val="21"/>
                <w:szCs w:val="21"/>
                <w:highlight w:val="none"/>
                <w:lang w:val="en-US" w:eastAsia="zh-CN"/>
              </w:rPr>
              <w:t>2</w:t>
            </w:r>
            <w:r>
              <w:rPr>
                <w:rFonts w:hint="eastAsia" w:ascii="宋体" w:hAnsi="宋体" w:eastAsia="宋体" w:cs="宋体"/>
                <w:b/>
                <w:bCs/>
                <w:color w:val="auto"/>
                <w:sz w:val="21"/>
                <w:szCs w:val="21"/>
                <w:highlight w:val="none"/>
                <w:lang w:val="en-US" w:eastAsia="zh-CN"/>
              </w:rPr>
              <w:t>辆</w:t>
            </w:r>
          </w:p>
        </w:tc>
        <w:tc>
          <w:tcPr>
            <w:tcW w:w="1892" w:type="dxa"/>
            <w:vMerge w:val="continue"/>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default" w:ascii="宋体" w:hAnsi="宋体" w:eastAsia="宋体" w:cs="宋体"/>
                <w:color w:val="auto"/>
                <w:kern w:val="2"/>
                <w:sz w:val="21"/>
                <w:szCs w:val="21"/>
                <w:highlight w:val="none"/>
                <w:lang w:val="en-US" w:eastAsia="zh-CN" w:bidi="ar-SA"/>
              </w:rPr>
            </w:pPr>
            <w:r>
              <w:rPr>
                <w:rFonts w:hint="eastAsia" w:cs="宋体"/>
                <w:color w:val="auto"/>
                <w:kern w:val="2"/>
                <w:sz w:val="21"/>
                <w:szCs w:val="21"/>
                <w:highlight w:val="none"/>
                <w:lang w:val="en-US" w:eastAsia="zh-CN" w:bidi="ar-SA"/>
              </w:rPr>
              <w:t>10</w:t>
            </w:r>
          </w:p>
        </w:tc>
        <w:tc>
          <w:tcPr>
            <w:tcW w:w="2887" w:type="dxa"/>
            <w:vAlign w:val="center"/>
          </w:tcPr>
          <w:p>
            <w:pPr>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rPr>
              <w:t>沥青路面热再生修补车</w:t>
            </w:r>
          </w:p>
        </w:tc>
        <w:tc>
          <w:tcPr>
            <w:tcW w:w="2470" w:type="dxa"/>
            <w:vAlign w:val="center"/>
          </w:tcPr>
          <w:p>
            <w:pPr>
              <w:jc w:val="left"/>
              <w:rPr>
                <w:rFonts w:hint="eastAsia" w:ascii="宋体" w:hAnsi="宋体" w:eastAsia="宋体" w:cs="宋体"/>
                <w:color w:val="auto"/>
                <w:kern w:val="2"/>
                <w:sz w:val="21"/>
                <w:szCs w:val="21"/>
                <w:highlight w:val="none"/>
                <w:lang w:val="en-US" w:eastAsia="zh-CN" w:bidi="ar-SA"/>
              </w:rPr>
            </w:pPr>
          </w:p>
        </w:tc>
        <w:tc>
          <w:tcPr>
            <w:tcW w:w="981"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≥1辆</w:t>
            </w:r>
          </w:p>
        </w:tc>
        <w:tc>
          <w:tcPr>
            <w:tcW w:w="1892" w:type="dxa"/>
            <w:vMerge w:val="restart"/>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市政养护设备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11</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储料式沥青保温车</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c>
          <w:tcPr>
            <w:tcW w:w="981"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≥1辆</w:t>
            </w:r>
          </w:p>
        </w:tc>
        <w:tc>
          <w:tcPr>
            <w:tcW w:w="1892" w:type="dxa"/>
            <w:vMerge w:val="continue"/>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12</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2"/>
                <w:sz w:val="21"/>
                <w:szCs w:val="21"/>
                <w:highlight w:val="none"/>
                <w:lang w:eastAsia="zh-CN"/>
              </w:rPr>
              <w:t>工程抢修车</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c>
          <w:tcPr>
            <w:tcW w:w="981"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≥1辆</w:t>
            </w:r>
          </w:p>
        </w:tc>
        <w:tc>
          <w:tcPr>
            <w:tcW w:w="1892" w:type="dxa"/>
            <w:vMerge w:val="continue"/>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5"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13</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2"/>
                <w:sz w:val="21"/>
                <w:szCs w:val="21"/>
                <w:highlight w:val="none"/>
                <w:lang w:eastAsia="zh-CN"/>
              </w:rPr>
              <w:t>雨污水管道专用高压冲洗</w:t>
            </w:r>
            <w:r>
              <w:rPr>
                <w:rFonts w:hint="eastAsia" w:ascii="宋体" w:hAnsi="宋体" w:eastAsia="宋体" w:cs="宋体"/>
                <w:color w:val="auto"/>
                <w:kern w:val="2"/>
                <w:sz w:val="21"/>
                <w:szCs w:val="21"/>
                <w:highlight w:val="none"/>
                <w:lang w:val="en-US" w:eastAsia="zh-CN"/>
              </w:rPr>
              <w:t>设备</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c>
          <w:tcPr>
            <w:tcW w:w="981"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≥1台</w:t>
            </w:r>
          </w:p>
        </w:tc>
        <w:tc>
          <w:tcPr>
            <w:tcW w:w="1892" w:type="dxa"/>
            <w:vMerge w:val="continue"/>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14</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2"/>
                <w:sz w:val="21"/>
                <w:szCs w:val="21"/>
                <w:highlight w:val="none"/>
                <w:lang w:eastAsia="zh-CN"/>
              </w:rPr>
              <w:t>管道CCTV摄像检测设备</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c>
          <w:tcPr>
            <w:tcW w:w="981"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w:t>
            </w:r>
            <w:r>
              <w:rPr>
                <w:rFonts w:hint="eastAsia"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套</w:t>
            </w:r>
          </w:p>
        </w:tc>
        <w:tc>
          <w:tcPr>
            <w:tcW w:w="1892" w:type="dxa"/>
            <w:vMerge w:val="continue"/>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15</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气体检测仪</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c>
          <w:tcPr>
            <w:tcW w:w="981"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≥5套</w:t>
            </w:r>
          </w:p>
        </w:tc>
        <w:tc>
          <w:tcPr>
            <w:tcW w:w="1892" w:type="dxa"/>
            <w:vMerge w:val="continue"/>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16</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发电机</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c>
          <w:tcPr>
            <w:tcW w:w="981"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≥5台</w:t>
            </w:r>
          </w:p>
        </w:tc>
        <w:tc>
          <w:tcPr>
            <w:tcW w:w="1892" w:type="dxa"/>
            <w:vMerge w:val="continue"/>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17</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抽水泵</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c>
          <w:tcPr>
            <w:tcW w:w="981"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≥5台</w:t>
            </w:r>
          </w:p>
        </w:tc>
        <w:tc>
          <w:tcPr>
            <w:tcW w:w="1892" w:type="dxa"/>
            <w:vMerge w:val="continue"/>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18</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铣刨机</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c>
          <w:tcPr>
            <w:tcW w:w="981" w:type="dxa"/>
            <w:vAlign w:val="center"/>
          </w:tcPr>
          <w:p>
            <w:pPr>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≥1台</w:t>
            </w:r>
          </w:p>
        </w:tc>
        <w:tc>
          <w:tcPr>
            <w:tcW w:w="1892" w:type="dxa"/>
            <w:vMerge w:val="continue"/>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19</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2"/>
                <w:sz w:val="21"/>
                <w:szCs w:val="21"/>
                <w:highlight w:val="none"/>
                <w:lang w:eastAsia="zh-CN"/>
              </w:rPr>
              <w:t>摊铺机</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c>
          <w:tcPr>
            <w:tcW w:w="981" w:type="dxa"/>
            <w:vAlign w:val="center"/>
          </w:tcPr>
          <w:p>
            <w:pPr>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≥1台</w:t>
            </w:r>
          </w:p>
        </w:tc>
        <w:tc>
          <w:tcPr>
            <w:tcW w:w="1892" w:type="dxa"/>
            <w:vMerge w:val="continue"/>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20</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2"/>
                <w:sz w:val="21"/>
                <w:szCs w:val="21"/>
                <w:highlight w:val="none"/>
                <w:lang w:eastAsia="zh-CN"/>
              </w:rPr>
              <w:t>压路机</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c>
          <w:tcPr>
            <w:tcW w:w="981" w:type="dxa"/>
            <w:vAlign w:val="center"/>
          </w:tcPr>
          <w:p>
            <w:pPr>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≥1台</w:t>
            </w:r>
          </w:p>
        </w:tc>
        <w:tc>
          <w:tcPr>
            <w:tcW w:w="1892" w:type="dxa"/>
            <w:vMerge w:val="continue"/>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21</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sz w:val="21"/>
                <w:szCs w:val="21"/>
                <w:highlight w:val="none"/>
                <w:lang w:eastAsia="zh-CN"/>
              </w:rPr>
              <w:t>登高车</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c>
          <w:tcPr>
            <w:tcW w:w="981" w:type="dxa"/>
            <w:vAlign w:val="center"/>
          </w:tcPr>
          <w:p>
            <w:pPr>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辆</w:t>
            </w:r>
          </w:p>
        </w:tc>
        <w:tc>
          <w:tcPr>
            <w:tcW w:w="1892" w:type="dxa"/>
            <w:vMerge w:val="restart"/>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绿化养护设备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22</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绿化喷洒车</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≥15吨</w:t>
            </w:r>
          </w:p>
        </w:tc>
        <w:tc>
          <w:tcPr>
            <w:tcW w:w="981" w:type="dxa"/>
            <w:vAlign w:val="center"/>
          </w:tcPr>
          <w:p>
            <w:pPr>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≥1辆</w:t>
            </w:r>
          </w:p>
        </w:tc>
        <w:tc>
          <w:tcPr>
            <w:tcW w:w="1892" w:type="dxa"/>
            <w:vMerge w:val="continue"/>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23</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货车</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≥2吨</w:t>
            </w:r>
          </w:p>
        </w:tc>
        <w:tc>
          <w:tcPr>
            <w:tcW w:w="981"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≥1辆</w:t>
            </w:r>
          </w:p>
        </w:tc>
        <w:tc>
          <w:tcPr>
            <w:tcW w:w="1892" w:type="dxa"/>
            <w:vMerge w:val="continue"/>
            <w:vAlign w:val="center"/>
          </w:tcPr>
          <w:p>
            <w:pPr>
              <w:pStyle w:val="27"/>
              <w:wordWrap/>
              <w:spacing w:line="500" w:lineRule="exact"/>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24</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割灌机</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c>
          <w:tcPr>
            <w:tcW w:w="981"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≥3台</w:t>
            </w:r>
          </w:p>
        </w:tc>
        <w:tc>
          <w:tcPr>
            <w:tcW w:w="1892" w:type="dxa"/>
            <w:vMerge w:val="continue"/>
            <w:vAlign w:val="center"/>
          </w:tcPr>
          <w:p>
            <w:pPr>
              <w:pStyle w:val="27"/>
              <w:wordWrap/>
              <w:spacing w:line="500" w:lineRule="exact"/>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25</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高压除虫喷雾器</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c>
          <w:tcPr>
            <w:tcW w:w="981"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≥2台</w:t>
            </w:r>
          </w:p>
        </w:tc>
        <w:tc>
          <w:tcPr>
            <w:tcW w:w="1892" w:type="dxa"/>
            <w:vMerge w:val="continue"/>
            <w:vAlign w:val="center"/>
          </w:tcPr>
          <w:p>
            <w:pPr>
              <w:pStyle w:val="27"/>
              <w:wordWrap/>
              <w:spacing w:line="500" w:lineRule="exact"/>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26</w:t>
            </w:r>
          </w:p>
        </w:tc>
        <w:tc>
          <w:tcPr>
            <w:tcW w:w="2887" w:type="dxa"/>
            <w:vAlign w:val="top"/>
          </w:tcPr>
          <w:p>
            <w:pPr>
              <w:pStyle w:val="27"/>
              <w:wordWrap/>
              <w:spacing w:line="5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树枝粉碎机</w:t>
            </w:r>
          </w:p>
        </w:tc>
        <w:tc>
          <w:tcPr>
            <w:tcW w:w="2470" w:type="dxa"/>
            <w:vAlign w:val="top"/>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中型</w:t>
            </w:r>
          </w:p>
        </w:tc>
        <w:tc>
          <w:tcPr>
            <w:tcW w:w="981" w:type="dxa"/>
            <w:vAlign w:val="top"/>
          </w:tcPr>
          <w:p>
            <w:pPr>
              <w:pStyle w:val="27"/>
              <w:wordWrap/>
              <w:spacing w:line="5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≥1台</w:t>
            </w:r>
          </w:p>
        </w:tc>
        <w:tc>
          <w:tcPr>
            <w:tcW w:w="1892" w:type="dxa"/>
            <w:vMerge w:val="continue"/>
            <w:vAlign w:val="center"/>
          </w:tcPr>
          <w:p>
            <w:pPr>
              <w:pStyle w:val="27"/>
              <w:wordWrap/>
              <w:spacing w:line="500" w:lineRule="exact"/>
              <w:jc w:val="center"/>
              <w:textAlignment w:val="auto"/>
              <w:rPr>
                <w:rFonts w:hint="eastAsia" w:ascii="宋体" w:hAnsi="宋体" w:eastAsia="宋体" w:cs="宋体"/>
                <w:color w:val="auto"/>
                <w:sz w:val="21"/>
                <w:szCs w:val="21"/>
                <w:highlight w:val="none"/>
                <w:lang w:val="en-US" w:eastAsia="zh-CN"/>
              </w:rPr>
            </w:pPr>
          </w:p>
        </w:tc>
      </w:tr>
    </w:tbl>
    <w:p>
      <w:pPr>
        <w:widowControl/>
        <w:numPr>
          <w:ilvl w:val="0"/>
          <w:numId w:val="0"/>
        </w:numPr>
        <w:spacing w:line="600" w:lineRule="exact"/>
        <w:rPr>
          <w:rFonts w:hint="eastAsia" w:ascii="宋体" w:hAnsi="宋体" w:eastAsia="宋体" w:cs="宋体"/>
          <w:b/>
          <w:bCs/>
          <w:color w:val="auto"/>
          <w:sz w:val="24"/>
          <w:highlight w:val="none"/>
        </w:rPr>
      </w:pPr>
      <w:r>
        <w:rPr>
          <w:rFonts w:hint="eastAsia" w:ascii="宋体" w:hAnsi="宋体" w:eastAsia="宋体" w:cs="宋体"/>
          <w:color w:val="auto"/>
          <w:sz w:val="24"/>
          <w:highlight w:val="none"/>
          <w:lang w:val="en-US" w:eastAsia="zh-CN"/>
        </w:rPr>
        <w:t>注：①</w:t>
      </w:r>
      <w:r>
        <w:rPr>
          <w:rFonts w:hint="eastAsia" w:ascii="宋体" w:hAnsi="宋体" w:eastAsia="宋体" w:cs="宋体"/>
          <w:b/>
          <w:bCs/>
          <w:color w:val="auto"/>
          <w:sz w:val="24"/>
          <w:highlight w:val="none"/>
          <w:lang w:val="en-US" w:eastAsia="zh-CN"/>
        </w:rPr>
        <w:t>以上设备要求中标单位须在收到中标通知书之日起10天内自行配备到位</w:t>
      </w:r>
      <w:r>
        <w:rPr>
          <w:rFonts w:hint="eastAsia" w:ascii="宋体" w:hAnsi="宋体" w:cs="宋体"/>
          <w:b/>
          <w:bCs/>
          <w:color w:val="auto"/>
          <w:sz w:val="24"/>
          <w:highlight w:val="none"/>
          <w:lang w:val="en-US" w:eastAsia="zh-CN"/>
        </w:rPr>
        <w:t>（</w:t>
      </w:r>
      <w:r>
        <w:rPr>
          <w:rFonts w:hint="eastAsia" w:ascii="宋体" w:hAnsi="宋体" w:eastAsia="宋体" w:cs="宋体"/>
          <w:b/>
          <w:bCs/>
          <w:color w:val="auto"/>
          <w:sz w:val="24"/>
          <w:highlight w:val="none"/>
          <w:lang w:val="en-US" w:eastAsia="zh-CN"/>
        </w:rPr>
        <w:t>除沥青路面热再生修补车及储料式沥青保温车、摊铺机、压路机这四台设备），并在投标文件中承诺，</w:t>
      </w:r>
      <w:r>
        <w:rPr>
          <w:rFonts w:hint="eastAsia" w:ascii="宋体" w:hAnsi="宋体" w:eastAsia="宋体" w:cs="宋体"/>
          <w:b/>
          <w:bCs/>
          <w:color w:val="auto"/>
          <w:sz w:val="24"/>
          <w:highlight w:val="none"/>
        </w:rPr>
        <w:t>否则视为不满足</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lang w:val="en-US" w:eastAsia="zh-CN"/>
        </w:rPr>
        <w:t>街道对主要机械设备安装GPS卫星定位系统，纳入系统平台管理，所产生的费用由中标单位承担，以上设备不得在本街道中标区块以外与其他乡镇（街道）承包的服务区域共用。</w:t>
      </w:r>
    </w:p>
    <w:p>
      <w:pPr>
        <w:widowControl/>
        <w:numPr>
          <w:ilvl w:val="0"/>
          <w:numId w:val="0"/>
        </w:numPr>
        <w:spacing w:line="600" w:lineRule="exact"/>
        <w:ind w:left="-53" w:leftChars="-25" w:firstLine="480" w:firstLineChars="200"/>
        <w:rPr>
          <w:rFonts w:hint="eastAsia" w:ascii="宋体" w:hAnsi="宋体" w:eastAsia="宋体" w:cs="宋体"/>
          <w:b/>
          <w:bCs/>
          <w:color w:val="auto"/>
          <w:highlight w:val="none"/>
          <w:lang w:val="en-US" w:eastAsia="zh-CN"/>
        </w:rPr>
      </w:pPr>
      <w:r>
        <w:rPr>
          <w:rFonts w:hint="eastAsia" w:ascii="宋体" w:hAnsi="宋体" w:eastAsia="宋体" w:cs="宋体"/>
          <w:color w:val="auto"/>
          <w:sz w:val="24"/>
          <w:highlight w:val="none"/>
          <w:lang w:val="en-US" w:eastAsia="zh-CN"/>
        </w:rPr>
        <w:t>②所有音乐线车辆必须配备称重系统并纳入街道系统管理，每天音乐线车辆（称重）</w:t>
      </w:r>
      <w:r>
        <w:rPr>
          <w:rFonts w:hint="eastAsia" w:ascii="宋体" w:hAnsi="宋体" w:eastAsia="宋体" w:cs="宋体"/>
          <w:b w:val="0"/>
          <w:bCs w:val="0"/>
          <w:color w:val="auto"/>
          <w:sz w:val="24"/>
          <w:highlight w:val="none"/>
          <w:lang w:val="en-US" w:eastAsia="zh-CN"/>
        </w:rPr>
        <w:t>数量书面记录必须提交给街道，音乐线车辆（定时）根据实际情况由街道通知配备到位</w:t>
      </w:r>
      <w:r>
        <w:rPr>
          <w:rFonts w:hint="eastAsia" w:ascii="宋体" w:hAnsi="宋体" w:eastAsia="宋体" w:cs="宋体"/>
          <w:b w:val="0"/>
          <w:bCs w:val="0"/>
          <w:color w:val="auto"/>
          <w:highlight w:val="none"/>
          <w:lang w:val="en-US" w:eastAsia="zh-CN"/>
        </w:rPr>
        <w:t>。</w:t>
      </w:r>
    </w:p>
    <w:p>
      <w:pPr>
        <w:pStyle w:val="4"/>
        <w:numPr>
          <w:ilvl w:val="0"/>
          <w:numId w:val="3"/>
        </w:numPr>
        <w:ind w:left="481" w:leftChars="0" w:firstLine="0" w:firstLineChars="0"/>
        <w:rPr>
          <w:rFonts w:hint="eastAsia" w:ascii="宋体" w:hAnsi="宋体" w:eastAsia="宋体" w:cs="宋体"/>
          <w:b/>
          <w:bCs/>
          <w:snapToGrid w:val="0"/>
          <w:color w:val="auto"/>
          <w:kern w:val="2"/>
          <w:sz w:val="24"/>
          <w:szCs w:val="21"/>
          <w:highlight w:val="none"/>
          <w:lang w:val="en-US" w:eastAsia="zh-CN" w:bidi="ar-SA"/>
        </w:rPr>
      </w:pPr>
      <w:r>
        <w:rPr>
          <w:rFonts w:hint="eastAsia" w:ascii="宋体" w:hAnsi="宋体" w:eastAsia="宋体" w:cs="宋体"/>
          <w:b/>
          <w:bCs/>
          <w:snapToGrid w:val="0"/>
          <w:color w:val="auto"/>
          <w:kern w:val="2"/>
          <w:sz w:val="24"/>
          <w:szCs w:val="21"/>
          <w:highlight w:val="none"/>
          <w:lang w:val="en-US" w:eastAsia="zh-CN" w:bidi="ar-SA"/>
        </w:rPr>
        <w:t>总体服务要求</w:t>
      </w:r>
    </w:p>
    <w:p>
      <w:pPr>
        <w:widowControl/>
        <w:numPr>
          <w:ilvl w:val="0"/>
          <w:numId w:val="0"/>
        </w:numPr>
        <w:wordWrap/>
        <w:spacing w:line="600" w:lineRule="exact"/>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b w:val="0"/>
          <w:bCs w:val="0"/>
          <w:color w:val="auto"/>
          <w:sz w:val="24"/>
          <w:highlight w:val="none"/>
          <w:lang w:val="en-US" w:eastAsia="zh-CN"/>
        </w:rPr>
        <w:t>3.1中标人应具有本养护项目所需五常街道范围内的固定办公场所、停车、仓库场所600平方米及以上（所有作业均规定停放在专业场地，如由于投标单位作业车辆不按规定停放，由此造成的安全事故一律由中标单位负责，招标人不承担任何责任。</w:t>
      </w:r>
    </w:p>
    <w:p>
      <w:pPr>
        <w:widowControl/>
        <w:numPr>
          <w:ilvl w:val="0"/>
          <w:numId w:val="0"/>
        </w:numPr>
        <w:wordWrap/>
        <w:spacing w:line="600" w:lineRule="exact"/>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3.2服务期内，中标单位作业人员配置必须满足实行8-16小时以上时间保洁制，作业时必须统一穿着反光条安全黄背心，保洁人员配备必须年富力强，在法定退体年龄以内。</w:t>
      </w:r>
    </w:p>
    <w:p>
      <w:pPr>
        <w:pStyle w:val="27"/>
        <w:wordWrap/>
        <w:spacing w:line="6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3.3服务期内，必须投入相应的养护人员（必须配备管理人员、道路保洁人员、市政养护人员、垃圾清运人员、绿化修剪人员、绿化养护人员、其他辅助人员等）和机械等设备。</w:t>
      </w:r>
    </w:p>
    <w:p>
      <w:pPr>
        <w:pStyle w:val="27"/>
        <w:wordWrap/>
        <w:spacing w:line="6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3.4服务期内，在迎检和各类创建活动中，中标单位应无条件服从招标人的安排，圆满完成各项任务，由于中标单位的原因失分或造成不良影响的，招标人有权进行处罚和清退中标单位，在迎检过程中，由于中标单位组织不力，由招标人组织人力、物力进行整治所涉及的费用，由中标单位双倍偿还招标人，招标人有权直接在服务费中扣除。</w:t>
      </w:r>
    </w:p>
    <w:p>
      <w:pPr>
        <w:pStyle w:val="27"/>
        <w:wordWrap/>
        <w:spacing w:line="6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3.5服务期内所发生的任何安全事故一律由中标单位负责，招标人不承担任何责任。</w:t>
      </w:r>
    </w:p>
    <w:p>
      <w:pPr>
        <w:pStyle w:val="27"/>
        <w:wordWrap/>
        <w:spacing w:line="6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3.6服务期内，中标单位所产生的各项费用（垃圾桶清洗费、垃圾运输费、突击整治费、垃圾清运车费、水费等），由中标单位自行考虑一并计入综合单价中，所有面积请在招标前确认，招标后招标人不再追加任何费用。</w:t>
      </w:r>
    </w:p>
    <w:p>
      <w:pPr>
        <w:pStyle w:val="27"/>
        <w:wordWrap/>
        <w:spacing w:line="6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3.7中标单位不得向沿街单位和个人收取任何费用。</w:t>
      </w:r>
    </w:p>
    <w:p>
      <w:pPr>
        <w:pStyle w:val="27"/>
        <w:wordWrap/>
        <w:spacing w:line="6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3.8中标单位不得将本项目分包或转包，否则招标人有权责令其停止作业并中止承包合同，所造成的损失由中标单位负责。</w:t>
      </w:r>
    </w:p>
    <w:p>
      <w:pPr>
        <w:pStyle w:val="27"/>
        <w:wordWrap/>
        <w:spacing w:line="6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3.9养护期内如道路扩建、新建，及新增人行道的，养护面积相应调整，以道路类别中标价格予以计取相应费用。道路隔离栏（隔离墩）、城市家具等增加部分，由中标单位承担保洁，保洁费用不得增加。如折迁或政策性调整等原因，养护区域减少等情况，面积相应作调整，中标单价不变，根据实际时间，费用作相应的调整。</w:t>
      </w:r>
    </w:p>
    <w:p>
      <w:pPr>
        <w:pStyle w:val="27"/>
        <w:wordWrap/>
        <w:spacing w:line="6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3.10中标单位在签订本项目服务合同前必须具备符合投标文件中承诺的投入本项目所需作业人员、配备的设备数量条件，中标单位若不能满足此条件的招标方有权更换中标单位，所造成的损失由中标单位自负。</w:t>
      </w:r>
    </w:p>
    <w:p>
      <w:pPr>
        <w:pStyle w:val="27"/>
        <w:wordWrap/>
        <w:spacing w:line="6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3.11道路垃圾桶清洗按本标段每天不少于五分之一的量进行清洗；清洗点需接入污水管网，点位由保洁单位自行解决，并经街道同意，避免在清洗过程中二次污染，由中标单位自行考虑一并计入综合单价中，招标后招标人不再追加任何费用。</w:t>
      </w:r>
    </w:p>
    <w:p>
      <w:pPr>
        <w:pStyle w:val="27"/>
        <w:wordWrap/>
        <w:spacing w:line="6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b w:val="0"/>
          <w:bCs w:val="0"/>
          <w:color w:val="auto"/>
          <w:sz w:val="24"/>
          <w:highlight w:val="none"/>
          <w:lang w:val="en-US" w:eastAsia="zh-CN"/>
        </w:rPr>
        <w:t>3.12</w:t>
      </w:r>
      <w:r>
        <w:rPr>
          <w:rFonts w:hint="eastAsia" w:ascii="宋体" w:hAnsi="宋体" w:eastAsia="宋体" w:cs="宋体"/>
          <w:b w:val="0"/>
          <w:bCs w:val="0"/>
          <w:color w:val="auto"/>
          <w:sz w:val="24"/>
          <w:highlight w:val="none"/>
        </w:rPr>
        <w:t>所有招标范围内实行垃圾分类收集、分类清运</w:t>
      </w:r>
      <w:r>
        <w:rPr>
          <w:rFonts w:hint="eastAsia" w:ascii="宋体" w:hAnsi="宋体" w:eastAsia="宋体" w:cs="宋体"/>
          <w:b w:val="0"/>
          <w:bCs w:val="0"/>
          <w:color w:val="auto"/>
          <w:sz w:val="24"/>
          <w:highlight w:val="none"/>
          <w:lang w:eastAsia="zh-CN"/>
        </w:rPr>
        <w:t>、沿街商铺垃圾分类指导</w:t>
      </w:r>
      <w:r>
        <w:rPr>
          <w:rFonts w:hint="eastAsia" w:ascii="宋体" w:hAnsi="宋体" w:eastAsia="宋体" w:cs="宋体"/>
          <w:b w:val="0"/>
          <w:bCs w:val="0"/>
          <w:color w:val="auto"/>
          <w:sz w:val="24"/>
          <w:highlight w:val="none"/>
          <w:lang w:val="en-US" w:eastAsia="zh-CN"/>
        </w:rPr>
        <w:t>，</w:t>
      </w:r>
      <w:r>
        <w:rPr>
          <w:rFonts w:hint="eastAsia" w:ascii="宋体" w:hAnsi="宋体" w:eastAsia="宋体" w:cs="宋体"/>
          <w:color w:val="auto"/>
          <w:sz w:val="24"/>
          <w:highlight w:val="none"/>
          <w:lang w:val="en-US" w:eastAsia="zh-CN"/>
        </w:rPr>
        <w:t>相应的费用由中标单位自行考虑一并计入综合单价中，招标后招标人不再追加任何费用。</w:t>
      </w:r>
    </w:p>
    <w:p>
      <w:pPr>
        <w:widowControl/>
        <w:numPr>
          <w:ilvl w:val="0"/>
          <w:numId w:val="0"/>
        </w:numPr>
        <w:wordWrap/>
        <w:spacing w:line="600" w:lineRule="exact"/>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3.13本绿化养护包含时花更换、苗木更新及道路上所有行道树，时花更换每年不少于5次，</w:t>
      </w:r>
      <w:r>
        <w:rPr>
          <w:rFonts w:hint="eastAsia" w:ascii="宋体" w:hAnsi="宋体" w:eastAsia="宋体" w:cs="宋体"/>
          <w:color w:val="auto"/>
          <w:sz w:val="24"/>
          <w:highlight w:val="none"/>
        </w:rPr>
        <w:t>时花调换制定全年计划，调换前必须要将时花品种、数量方案事先上报招标人，由招标人确定后方能种植，否则将作无更换时花处理，种后由甲方现场验收签字确定。</w:t>
      </w:r>
      <w:r>
        <w:rPr>
          <w:rFonts w:hint="eastAsia" w:ascii="宋体" w:hAnsi="宋体" w:eastAsia="宋体" w:cs="宋体"/>
          <w:color w:val="auto"/>
          <w:sz w:val="24"/>
          <w:highlight w:val="none"/>
          <w:lang w:val="en-US" w:eastAsia="zh-CN"/>
        </w:rPr>
        <w:t>所有费用包含在投标报价内，不在单独计取。</w:t>
      </w:r>
    </w:p>
    <w:p>
      <w:pPr>
        <w:pStyle w:val="27"/>
        <w:wordWrap/>
        <w:spacing w:line="6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3.14服务期内，中标单位对高温抗旱、抗台风、抗暴雨、抗雪灾等自然灾害应急不力，造成直接财产损失在10000元以上的次数有二次的</w:t>
      </w:r>
      <w:r>
        <w:rPr>
          <w:rFonts w:hint="eastAsia" w:ascii="宋体" w:hAnsi="宋体" w:eastAsia="宋体" w:cs="宋体"/>
          <w:color w:val="auto"/>
          <w:sz w:val="24"/>
          <w:szCs w:val="24"/>
          <w:highlight w:val="none"/>
          <w:lang w:val="en-US" w:eastAsia="zh-CN"/>
        </w:rPr>
        <w:t>，或者</w:t>
      </w:r>
      <w:r>
        <w:rPr>
          <w:rFonts w:hint="eastAsia" w:ascii="宋体" w:hAnsi="宋体" w:eastAsia="宋体" w:cs="宋体"/>
          <w:color w:val="auto"/>
          <w:kern w:val="0"/>
          <w:sz w:val="24"/>
          <w:szCs w:val="24"/>
          <w:highlight w:val="none"/>
        </w:rPr>
        <w:t>在“</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迎亚运’城市环境大整治、城市面貌大提升</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长效管理工作考核通报</w:t>
      </w:r>
      <w:r>
        <w:rPr>
          <w:rFonts w:hint="eastAsia" w:ascii="宋体" w:hAnsi="宋体" w:eastAsia="宋体" w:cs="宋体"/>
          <w:color w:val="auto"/>
          <w:kern w:val="0"/>
          <w:sz w:val="24"/>
          <w:szCs w:val="24"/>
          <w:highlight w:val="none"/>
        </w:rPr>
        <w:t>评比中</w:t>
      </w:r>
      <w:r>
        <w:rPr>
          <w:rFonts w:hint="eastAsia" w:ascii="宋体" w:hAnsi="宋体" w:eastAsia="宋体" w:cs="宋体"/>
          <w:color w:val="auto"/>
          <w:sz w:val="24"/>
          <w:highlight w:val="none"/>
          <w:lang w:val="en-US" w:eastAsia="zh-CN"/>
        </w:rPr>
        <w:t>获得最差绿地的，招标人有权清退中标单位，收回养护权，并处以罚款。</w:t>
      </w:r>
    </w:p>
    <w:p>
      <w:pPr>
        <w:pStyle w:val="27"/>
        <w:wordWrap/>
        <w:spacing w:line="6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3.15服务期内，中标单位对高温抗旱、抗台风、抗暴雨、抗雪灾等自然灾害应急不力，由招标人组织人力物力进行抗击。所涉及的费用由中标单位双倍偿还招标人，招标人有权直接在养护费中扣除。</w:t>
      </w:r>
    </w:p>
    <w:p>
      <w:pPr>
        <w:pStyle w:val="27"/>
        <w:wordWrap/>
        <w:spacing w:line="6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3.16服务期内，修剪的树枝等需进行粉碎处理，不得在养护范围内进行处理，其场所由养护单位自行解决，相应的费用考虑在投标报价内。</w:t>
      </w:r>
    </w:p>
    <w:p>
      <w:pPr>
        <w:pStyle w:val="27"/>
        <w:wordWrap/>
        <w:spacing w:line="6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3.17服务期内，扫地车清扫后的积泥、费水，人工清扫后的树叶由中标单位自行正规处理，相应的费用考虑在投标报价内。</w:t>
      </w:r>
    </w:p>
    <w:p>
      <w:pPr>
        <w:pStyle w:val="27"/>
        <w:wordWrap/>
        <w:spacing w:line="6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3.18服务期内，在一季度中由于中标单位服务不力而由招标人组织人力物力进行服务的次数达到二次的，扣除中标单位当月服务费的10%。</w:t>
      </w:r>
    </w:p>
    <w:p>
      <w:pPr>
        <w:pStyle w:val="27"/>
        <w:wordWrap/>
        <w:spacing w:line="6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3.19服务期内，中标单位需提供两辆电动汽车作为招标人巡查车辆，相应的费用考虑在投标报价内。</w:t>
      </w:r>
    </w:p>
    <w:p>
      <w:pPr>
        <w:pStyle w:val="27"/>
        <w:wordWrap/>
        <w:spacing w:line="600" w:lineRule="exact"/>
        <w:textAlignment w:val="auto"/>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color w:val="auto"/>
          <w:sz w:val="24"/>
          <w:highlight w:val="none"/>
          <w:lang w:val="en-US" w:eastAsia="zh-CN"/>
        </w:rPr>
        <w:t>3.20服</w:t>
      </w:r>
      <w:r>
        <w:rPr>
          <w:rFonts w:hint="eastAsia" w:ascii="宋体" w:hAnsi="宋体" w:eastAsia="宋体" w:cs="宋体"/>
          <w:snapToGrid w:val="0"/>
          <w:color w:val="auto"/>
          <w:kern w:val="2"/>
          <w:sz w:val="24"/>
          <w:szCs w:val="21"/>
          <w:highlight w:val="none"/>
          <w:lang w:val="en-US" w:eastAsia="zh-CN" w:bidi="ar-SA"/>
        </w:rPr>
        <w:t>务期内，中标单位需配备</w:t>
      </w:r>
      <w:r>
        <w:rPr>
          <w:rFonts w:hint="eastAsia" w:cs="宋体"/>
          <w:snapToGrid w:val="0"/>
          <w:color w:val="auto"/>
          <w:kern w:val="2"/>
          <w:sz w:val="24"/>
          <w:szCs w:val="21"/>
          <w:highlight w:val="none"/>
          <w:lang w:val="en-US" w:eastAsia="zh-CN" w:bidi="ar-SA"/>
        </w:rPr>
        <w:t>2</w:t>
      </w:r>
      <w:r>
        <w:rPr>
          <w:rFonts w:hint="eastAsia" w:ascii="宋体" w:hAnsi="宋体" w:eastAsia="宋体" w:cs="宋体"/>
          <w:snapToGrid w:val="0"/>
          <w:color w:val="auto"/>
          <w:kern w:val="2"/>
          <w:sz w:val="24"/>
          <w:szCs w:val="21"/>
          <w:highlight w:val="none"/>
          <w:lang w:val="en-US" w:eastAsia="zh-CN" w:bidi="ar-SA"/>
        </w:rPr>
        <w:t>名辅助工作人员，无条件服从招标人的工作要求进行调配，相应的费用考虑在投标报价内。</w:t>
      </w:r>
    </w:p>
    <w:p>
      <w:pPr>
        <w:widowControl/>
        <w:spacing w:line="600" w:lineRule="exact"/>
        <w:ind w:left="-53" w:leftChars="-25" w:firstLine="480" w:firstLineChars="2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 xml:space="preserve"> 3.21服务期内，如遇养护范围调整：养护范围核减的，相关养护费用予以扣除；养护范围核增的，核增在该标段3%以下工程量的，乙方应无条件纳入养护范围内，不额外增加养护费。</w:t>
      </w:r>
    </w:p>
    <w:p>
      <w:pPr>
        <w:widowControl/>
        <w:spacing w:line="600" w:lineRule="exact"/>
        <w:ind w:left="-53" w:leftChars="-25"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五、报价要求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1、投标报价除承包总价外，应参照《余杭区城市化管理范围内绿化、市政、保洁分级分类办法及相关养护标准的实施意见（试行）的通知》确定作业任务量，在此基础上测定作业分项经费。经费构成:</w:t>
      </w:r>
      <w:r>
        <w:rPr>
          <w:rFonts w:hint="eastAsia" w:ascii="宋体" w:hAnsi="宋体" w:eastAsia="宋体" w:cs="宋体"/>
          <w:color w:val="auto"/>
          <w:sz w:val="24"/>
          <w:highlight w:val="none"/>
          <w:lang w:val="en-US" w:eastAsia="zh-CN"/>
        </w:rPr>
        <w:t>所有</w:t>
      </w:r>
      <w:r>
        <w:rPr>
          <w:rFonts w:hint="eastAsia" w:ascii="宋体" w:hAnsi="宋体" w:eastAsia="宋体" w:cs="宋体"/>
          <w:color w:val="auto"/>
          <w:sz w:val="24"/>
          <w:highlight w:val="none"/>
        </w:rPr>
        <w:t>人员工资（包括基本工资、社会保障五险、意外伤害险、高温费、劳保费等）、绿化养护所必须用的化肥、农药、浇水、播种</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时花时花更换和养护</w:t>
      </w:r>
      <w:r>
        <w:rPr>
          <w:rFonts w:hint="eastAsia" w:ascii="宋体" w:hAnsi="宋体" w:eastAsia="宋体" w:cs="宋体"/>
          <w:color w:val="auto"/>
          <w:sz w:val="24"/>
          <w:highlight w:val="none"/>
        </w:rPr>
        <w:t>等费用可参照《杭州市城区公共绿地养护资金管理办法》、垃圾处置费（垃圾应运至垃圾中转站）、运输费、其他费用、应急费用、税收、管理费、招标代理费等均列入总报价。</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2、投标报价中必须符合招标方要求：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人员工资必须包括基本工资、社会保障五险、意外伤害险，养护人员要求《余杭区城市管理范围内洁化、市政亮化、绿化、序化分级分类及考核办法》的通知（余城管〔2020〕50号），养护人工工资报价不得低于杭州市最低工资标准（根据《杭州市人民政府关于调整市区最低工资标准的通知》（杭政函〔2021〕69号）精神执行。</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）投标报价应是唯一的，招标人将拒绝有选择的报价。</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3、投标单位中标后，绿化养护所必须用的化肥、农药、浇水、播种等费用必须按照《“公共绿地养护费”报价表》执行，不按招标单位要求执行的，将从养护经费中直接扣除相应养护款或由招标单位代执行。</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化肥、农药费用必须通过作业前报备、中标单位提供购货发票、招标单位现场清点、验收、检查、考核相结合。中标单位施肥、农药达不到标准的，招标方要求立即整改，限期不整改的，通报后，从当季养护款中直接扣除相应的费用。</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5、本招标绿地浇灌用水由中标人自行承担和解决。中标单位浇水的水质水量达不到标准的，招标方要求立即整改，限期不整改的，通报后，从当季养护款中直接扣除相应的浇水费用。</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6、本项目不提供洒水车取水口，由中标人自行解决，相应的费用考虑在投标报价中。</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7、中标方拒不整改、情节严重的，招标方有权解除合同，后果自负。</w:t>
      </w:r>
    </w:p>
    <w:p>
      <w:pPr>
        <w:pStyle w:val="36"/>
        <w:snapToGrid w:val="0"/>
        <w:spacing w:line="600" w:lineRule="exac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六、承包方式及期限</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1、本次招标项目采用养护总承包。</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2、本养护作业除在招投标文件中列明并经招标单位同意外，乙方一律不得将本项目分包、转包及内部经济承包，一经发现立即取消承包资格，作违约处理，并由乙方承担由此引起的法律责任及一切经济损失。</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3、自合同签订之日起</w:t>
      </w:r>
      <w:r>
        <w:rPr>
          <w:rFonts w:hint="eastAsia" w:hAnsi="宋体" w:cs="宋体"/>
          <w:color w:val="auto"/>
          <w:sz w:val="24"/>
          <w:highlight w:val="none"/>
          <w:lang w:eastAsia="zh-CN"/>
        </w:rPr>
        <w:t>两</w:t>
      </w:r>
      <w:r>
        <w:rPr>
          <w:rFonts w:hint="eastAsia" w:ascii="宋体" w:hAnsi="宋体" w:eastAsia="宋体" w:cs="宋体"/>
          <w:color w:val="auto"/>
          <w:sz w:val="24"/>
          <w:highlight w:val="none"/>
        </w:rPr>
        <w:t>年，具体</w:t>
      </w:r>
      <w:r>
        <w:rPr>
          <w:rFonts w:hint="eastAsia" w:ascii="宋体" w:hAnsi="宋体" w:eastAsia="宋体" w:cs="宋体"/>
          <w:color w:val="auto"/>
          <w:sz w:val="24"/>
          <w:highlight w:val="none"/>
          <w:lang w:val="en-US" w:eastAsia="zh-CN"/>
        </w:rPr>
        <w:t>开始时间以甲方养护通知为准，具体</w:t>
      </w:r>
      <w:r>
        <w:rPr>
          <w:rFonts w:hint="eastAsia" w:ascii="宋体" w:hAnsi="宋体" w:eastAsia="宋体" w:cs="宋体"/>
          <w:color w:val="auto"/>
          <w:sz w:val="24"/>
          <w:highlight w:val="none"/>
        </w:rPr>
        <w:t>单项养护工作以正式移交时间为准。</w:t>
      </w:r>
    </w:p>
    <w:p>
      <w:pPr>
        <w:pStyle w:val="36"/>
        <w:snapToGrid w:val="0"/>
        <w:spacing w:line="600" w:lineRule="exac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七、养护标准：</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综合养护标准按关于印发《关于提升余杭区市政、景观灯、环卫保洁管养定额标准及养护标准的通知》文件规定执行。本标段按二级养护标准实施。</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一、关于市政、景观灯、环卫保洁养护标准：</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（一）市政方面</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级市政设施养护标准：①人行道表面平整，砌块无松动，裂缝长度小于1m或宽度小于6mm，下沉或拱起变形小于25mm或面积小于1.5㎡；无堆积物、障碍物，平侧石整齐稳固，线型顺直；道板铺装材料统一，砌块及平侧石松动破碎面积小于0.3㎡。②沥青及混凝土路面线裂缝宽度小于6mm；网裂、碎裂面积小于0.5㎡；泛油、车辙、沉陷、坑槽、搓板、拥包、剥落、脱皮、烂边、啃边面积小于0.5㎡；雨水检查井、雨水篦子以及其他井盖与道路标高保持一致，误差不大于20mm；窨井盖无缺失、破损、断裂、反盖、错盖等现象；雨天路面临时积水面积每处不超过4m2（积水深度3cm以上）。③路灯及附属设施完好率达98％，外观整洁、安全、完好；按时亮灯熄灯，亮灯率达98％，重大节假日及大型活动期间亮灯率达100%。④排水设施完好，无阻水物，泄水孔、排水管道通畅，积泥深度不超过1/5管径。⑤桥面平整完好，无裂缝、坑槽、破损；梁板外形整洁，无麻面、变形、开裂、锈蚀、通缝；伸缩缝外形整齐平整牢固无破损、阻塞；支座安全有效整洁，无破损、锈蚀、污秽；墩台墙柱外形齐整，无剥落锈蚀、破损、开裂变形，设置墩台沉降观测点；基础牢固完整，无冲毁冻胀、下沉、位移开裂；栏杆结构牢固无破损；泄水孔、排水管道、落水管无堵塞损坏、残缺脱落；挡墙等基础牢固，无破损、开裂变形；桥名、限重等标志齐全清晰，无缺少、破损。</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（二）景观灯方面</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景观灯设施管养标准：城市景观照明亮灯率应达96%以上；景观照明设施完好率应达95%以上。城市景观照明及其附属设施外观整洁、安全、完好；按时亮灯熄灯，在盛夏高温季节按照有序用电要求实施亮灯；配电箱等附属设施完好，无破损、油漆剥落和锈斑；景观灯设施无缺损现象；照明质量好，照明亮度在标准范围内；无缺亮、断亮现象；控制箱完好无损；内部线路连接整齐、牢固、规范，重大节庆活动、重大会展活动、重大体育赛事、重要接待活动或其他临时应急活动期间的亮灯保障安全有序，亮灯率达96%；景观灯养护严格参照国家规范执行，文明安全施工，无安全责任事故。</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（三）环卫保洁方面</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类道路保洁标准：①路面无垃圾、污渍、积泥较少，人行道无杂草，晴天无积水，道路两侧3米内无垃圾。②人行道板及各类井盖等处缝隙、沟眼无垃圾，无积泥嵌石。③道路绿地、花坛、树圈无杂物、无垃圾。④环卫设施（果壳箱、垃圾桶、垃圾房）设置整齐规范、无破损、歪斜、油漆剥落（或严重褪色）、垃圾满溢，表面清洁无污垢，周围地面无暴露垃圾、污水现象。⑤在规定时间内（夏季6:30前，其它季节上午7点前）完成第一遍普扫，然后进行全天巡回保洁以及中午、晚上的两次普扫。每日16小时保洁，人均保洁面积5500㎡，每日洒水4次(夏季6次)、机械化清扫3次（夏季4次），每周清洗道路2次。</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牛皮癣处理标准：作业注意“色、形、洁、美”，达到“色、形、洁、美”的有机结合，自然、协调。色，根据不同墙体颜色，将调料调配成相同或相似的颜色，最大限度的将污染处恢复原来色泽；形，对被污染墙面的清除应有统一覆盖形状（四方形），有完整、清晰的轮廓；洁，清除作业要按照“一刮、二铲、三粉刷”程序操作，使作业墙体达到干净、整洁；美，要使清除作业墙体在“色、形、洁”上与周边环境相协调。</w:t>
      </w:r>
    </w:p>
    <w:p>
      <w:pPr>
        <w:numPr>
          <w:ilvl w:val="0"/>
          <w:numId w:val="0"/>
        </w:numPr>
        <w:rPr>
          <w:rFonts w:hint="eastAsia" w:ascii="宋体" w:hAnsi="宋体" w:eastAsia="宋体" w:cs="宋体"/>
          <w:color w:val="auto"/>
          <w:sz w:val="24"/>
          <w:highlight w:val="none"/>
          <w:lang w:val="en-US" w:eastAsia="zh-CN"/>
        </w:rPr>
      </w:pPr>
    </w:p>
    <w:p>
      <w:pPr>
        <w:widowControl w:val="0"/>
        <w:numPr>
          <w:ilvl w:val="0"/>
          <w:numId w:val="0"/>
        </w:numPr>
        <w:wordWrap/>
        <w:adjustRightInd w:val="0"/>
        <w:snapToGrid/>
        <w:spacing w:line="600" w:lineRule="exact"/>
        <w:textAlignment w:val="auto"/>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（四）绿化养护方面</w:t>
      </w:r>
    </w:p>
    <w:p>
      <w:pPr>
        <w:widowControl w:val="0"/>
        <w:numPr>
          <w:ilvl w:val="0"/>
          <w:numId w:val="0"/>
        </w:numPr>
        <w:wordWrap/>
        <w:adjustRightInd w:val="0"/>
        <w:snapToGrid/>
        <w:spacing w:line="600" w:lineRule="exact"/>
        <w:ind w:firstLine="480" w:firstLineChars="200"/>
        <w:textAlignment w:val="auto"/>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二级绿化养护标准：植物生长势好，树形良好，叶片正常，较严重的黄叶、焦叶、卷叶的株数在2%以下；枝干正常，无明显枯枝死杈；树冠基本完整，主侧枝分布均匀，通风透光；树穴有平整盖板或种植地被植物，黄土不裸露；无大型和缠绕性、攀缘性杂草，零星区域的杂草控制在5cm以下；病虫害危害未达到明显程度，食叶害虫危害的叶片每株不超过10%，刺吸性害虫危害的叶片每株不超过15%，蛀干性害虫危害的株数在2%以下；时花花坛内四季有花，花期整齐，整体效果好；草坪上草种基本纯，草坪覆盖率应大于95%，中心区不得有空秃现象、草高不得超过8cm，常绿草高不得超过6cm；绿化设施、卫生基本完好、整洁，基本无断桩、坏桩，桩位扎缚有效，并有一定的防台措施。</w:t>
      </w:r>
    </w:p>
    <w:p>
      <w:pPr>
        <w:rPr>
          <w:rFonts w:hint="eastAsia" w:ascii="宋体" w:hAnsi="宋体" w:eastAsia="宋体" w:cs="宋体"/>
          <w:color w:val="auto"/>
          <w:highlight w:val="none"/>
        </w:rPr>
      </w:pPr>
    </w:p>
    <w:p>
      <w:pPr>
        <w:pStyle w:val="36"/>
        <w:snapToGrid w:val="0"/>
        <w:spacing w:line="600" w:lineRule="exact"/>
        <w:ind w:firstLine="562" w:firstLine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val="en-US" w:eastAsia="zh-CN"/>
        </w:rPr>
        <w:t>八、</w:t>
      </w:r>
      <w:r>
        <w:rPr>
          <w:rFonts w:hint="eastAsia" w:ascii="宋体" w:hAnsi="宋体" w:eastAsia="宋体" w:cs="宋体"/>
          <w:b/>
          <w:bCs/>
          <w:color w:val="auto"/>
          <w:sz w:val="28"/>
          <w:szCs w:val="28"/>
          <w:highlight w:val="none"/>
        </w:rPr>
        <w:t>作业标准</w:t>
      </w:r>
    </w:p>
    <w:p>
      <w:pPr>
        <w:wordWrap/>
        <w:adjustRightInd w:val="0"/>
        <w:spacing w:line="60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（一）道路保洁作业标准：</w:t>
      </w:r>
    </w:p>
    <w:p>
      <w:pPr>
        <w:wordWrap/>
        <w:adjustRightInd w:val="0"/>
        <w:snapToGrid w:val="0"/>
        <w:spacing w:line="600" w:lineRule="exact"/>
        <w:ind w:firstLine="480" w:firstLineChars="200"/>
        <w:jc w:val="left"/>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1、道路保洁相关要求</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1.1本项目各标项</w:t>
      </w:r>
      <w:r>
        <w:rPr>
          <w:rFonts w:hint="eastAsia" w:ascii="宋体" w:hAnsi="宋体" w:eastAsia="宋体" w:cs="宋体"/>
          <w:color w:val="auto"/>
          <w:sz w:val="24"/>
          <w:highlight w:val="none"/>
          <w:lang w:val="zh-CN"/>
        </w:rPr>
        <w:t>人员要求</w:t>
      </w:r>
      <w:r>
        <w:rPr>
          <w:rFonts w:hint="eastAsia" w:ascii="宋体" w:hAnsi="宋体" w:eastAsia="宋体" w:cs="宋体"/>
          <w:color w:val="auto"/>
          <w:sz w:val="24"/>
          <w:highlight w:val="none"/>
        </w:rPr>
        <w:t>须符合</w:t>
      </w:r>
      <w:r>
        <w:rPr>
          <w:rFonts w:hint="eastAsia" w:ascii="宋体" w:hAnsi="宋体" w:eastAsia="宋体" w:cs="宋体"/>
          <w:bCs/>
          <w:color w:val="auto"/>
          <w:sz w:val="24"/>
          <w:highlight w:val="none"/>
        </w:rPr>
        <w:t>专职人员基本岗位数量要求</w:t>
      </w:r>
      <w:r>
        <w:rPr>
          <w:rFonts w:hint="eastAsia" w:ascii="宋体" w:hAnsi="宋体" w:eastAsia="宋体" w:cs="宋体"/>
          <w:color w:val="auto"/>
          <w:sz w:val="24"/>
          <w:highlight w:val="none"/>
          <w:lang w:val="zh-CN"/>
        </w:rPr>
        <w:t>。</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1.1.2除项目负责人和专职保洁人员（含车辆作业人员）、项目管理员以外，供应商应根据项目保洁的实际需要配备相应人员，所需费用应考虑在投标总价中。</w:t>
      </w:r>
    </w:p>
    <w:p>
      <w:pPr>
        <w:wordWrap/>
        <w:adjustRightInd w:val="0"/>
        <w:snapToGrid w:val="0"/>
        <w:spacing w:line="600" w:lineRule="exact"/>
        <w:ind w:firstLine="360" w:firstLineChars="150"/>
        <w:jc w:val="left"/>
        <w:rPr>
          <w:rFonts w:hint="eastAsia" w:ascii="宋体" w:hAnsi="宋体" w:eastAsia="宋体" w:cs="宋体"/>
          <w:color w:val="auto"/>
          <w:sz w:val="24"/>
          <w:highlight w:val="none"/>
        </w:rPr>
      </w:pPr>
      <w:r>
        <w:rPr>
          <w:rFonts w:hint="eastAsia" w:ascii="宋体" w:hAnsi="宋体" w:eastAsia="宋体" w:cs="宋体"/>
          <w:bCs/>
          <w:color w:val="auto"/>
          <w:sz w:val="24"/>
          <w:highlight w:val="none"/>
        </w:rPr>
        <w:t>1.1.3保洁人员在岗要求男性年龄在60周岁以下</w:t>
      </w:r>
      <w:r>
        <w:rPr>
          <w:rFonts w:hint="eastAsia" w:ascii="宋体" w:hAnsi="宋体" w:eastAsia="宋体" w:cs="宋体"/>
          <w:color w:val="auto"/>
          <w:sz w:val="24"/>
          <w:highlight w:val="none"/>
          <w:lang w:val="zh-CN"/>
        </w:rPr>
        <w:t>，女性年龄在55周岁以下，并按采购人要求完成智慧化管理措施、设施配备。大型活动、节假日、新作业方式调整或未达到管理标准等情况下</w:t>
      </w:r>
      <w:r>
        <w:rPr>
          <w:rFonts w:hint="eastAsia" w:ascii="宋体" w:hAnsi="宋体" w:eastAsia="宋体" w:cs="宋体"/>
          <w:color w:val="auto"/>
          <w:sz w:val="24"/>
          <w:highlight w:val="none"/>
        </w:rPr>
        <w:t>应根据实际情况或采购人要求增派保洁人员、保洁设备，以确保清卫保洁质量，</w:t>
      </w:r>
      <w:r>
        <w:rPr>
          <w:rFonts w:hint="eastAsia" w:ascii="宋体" w:hAnsi="宋体" w:eastAsia="宋体" w:cs="宋体"/>
          <w:color w:val="auto"/>
          <w:sz w:val="24"/>
          <w:highlight w:val="none"/>
          <w:lang w:val="zh-CN"/>
        </w:rPr>
        <w:t>增</w:t>
      </w:r>
      <w:r>
        <w:rPr>
          <w:rFonts w:hint="eastAsia" w:ascii="宋体" w:hAnsi="宋体" w:eastAsia="宋体" w:cs="宋体"/>
          <w:color w:val="auto"/>
          <w:sz w:val="24"/>
          <w:highlight w:val="none"/>
        </w:rPr>
        <w:t>派人员和设备的费用应考虑在投标总报价中。</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1.1.4鼓励供应商根据杭州市劳动和社会保障局、杭州市财政局“关于印发《市区“三类岗位”开发管理办法》的通知”及区政府等相关文件要求，鼓励中标供应商招聘失地失业人员参与本项目服务。</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1.1.5人员用工必须符合《中华人民共和国劳动民法典》等法规的相关规定，如因违法、违规并造成不良后果的，其责任由供应商自行承担。</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1.1.6 作业车辆、作业时间应符合属地交警部门要求，并按要求进行报备后实施。</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1.1.7 供应商提供的设施设备，根据采购人要求统一外观，标识。</w:t>
      </w:r>
    </w:p>
    <w:p>
      <w:pPr>
        <w:wordWrap/>
        <w:adjustRightInd w:val="0"/>
        <w:snapToGrid w:val="0"/>
        <w:spacing w:line="600" w:lineRule="exact"/>
        <w:ind w:firstLine="480" w:firstLineChars="200"/>
        <w:jc w:val="left"/>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1.2保洁服务内容</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1.2.1本项目涵盖采购文件第三部分采购需求项目概况及要求清单中所有道路的清扫运输、垃圾收集运输、偷倒垃圾清运等服务内容。</w:t>
      </w:r>
    </w:p>
    <w:p>
      <w:pPr>
        <w:wordWrap/>
        <w:adjustRightInd w:val="0"/>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1.2.2</w:t>
      </w:r>
      <w:r>
        <w:rPr>
          <w:rFonts w:hint="eastAsia" w:ascii="宋体" w:hAnsi="宋体" w:eastAsia="宋体" w:cs="宋体"/>
          <w:bCs/>
          <w:color w:val="auto"/>
          <w:sz w:val="24"/>
          <w:highlight w:val="none"/>
        </w:rPr>
        <w:t>本项目</w:t>
      </w:r>
      <w:r>
        <w:rPr>
          <w:rFonts w:hint="eastAsia" w:ascii="宋体" w:hAnsi="宋体" w:eastAsia="宋体" w:cs="宋体"/>
          <w:color w:val="auto"/>
          <w:sz w:val="24"/>
          <w:highlight w:val="none"/>
        </w:rPr>
        <w:t>道路中间绿化带含在道路保洁范围内，及道路两侧人行道外建筑物基石边或无建筑物外可视范围内</w:t>
      </w:r>
      <w:r>
        <w:rPr>
          <w:rFonts w:hint="eastAsia" w:ascii="宋体" w:hAnsi="宋体" w:eastAsia="宋体" w:cs="宋体"/>
          <w:bCs/>
          <w:color w:val="auto"/>
          <w:sz w:val="24"/>
          <w:highlight w:val="none"/>
        </w:rPr>
        <w:t>（不少于3米</w:t>
      </w:r>
      <w:r>
        <w:rPr>
          <w:rFonts w:hint="eastAsia" w:ascii="宋体" w:hAnsi="宋体" w:eastAsia="宋体" w:cs="宋体"/>
          <w:color w:val="auto"/>
          <w:sz w:val="24"/>
          <w:highlight w:val="none"/>
        </w:rPr>
        <w:t>）均包含在保洁范围内。</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1.2</w:t>
      </w:r>
      <w:r>
        <w:rPr>
          <w:rFonts w:hint="eastAsia" w:ascii="宋体" w:hAnsi="宋体" w:eastAsia="宋体" w:cs="宋体"/>
          <w:bCs/>
          <w:color w:val="auto"/>
          <w:sz w:val="24"/>
          <w:highlight w:val="none"/>
        </w:rPr>
        <w:t>.3本项目涵盖地铁站（如有）出入口台阶以下周边范围的保洁含在道路保洁范围内。</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1.2</w:t>
      </w:r>
      <w:r>
        <w:rPr>
          <w:rFonts w:hint="eastAsia" w:ascii="宋体" w:hAnsi="宋体" w:eastAsia="宋体" w:cs="宋体"/>
          <w:bCs/>
          <w:color w:val="auto"/>
          <w:sz w:val="24"/>
          <w:highlight w:val="none"/>
        </w:rPr>
        <w:t>.4本项目道路所附属的铁路下穿涵洞（如有）、果壳箱、交通隔离栏、路灯杆（2.2米以下部分）、交通信号杆（2.2米以下部分）均属于本项目保洁范围。</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bCs/>
          <w:color w:val="auto"/>
          <w:sz w:val="24"/>
          <w:highlight w:val="none"/>
        </w:rPr>
        <w:t>1.2.5</w:t>
      </w:r>
      <w:r>
        <w:rPr>
          <w:rFonts w:hint="eastAsia" w:ascii="宋体" w:hAnsi="宋体" w:eastAsia="宋体" w:cs="宋体"/>
          <w:color w:val="auto"/>
          <w:sz w:val="24"/>
          <w:highlight w:val="none"/>
        </w:rPr>
        <w:t>牛皮癣清理：标段范围内道路、围墙、道路沿线设施（含一层建筑立面）等区域的“乱涂”、“乱张贴”等牛皮癣日常清理</w:t>
      </w:r>
      <w:r>
        <w:rPr>
          <w:rFonts w:hint="eastAsia" w:ascii="宋体" w:hAnsi="宋体" w:eastAsia="宋体" w:cs="宋体"/>
          <w:bCs/>
          <w:color w:val="auto"/>
          <w:sz w:val="24"/>
          <w:highlight w:val="none"/>
        </w:rPr>
        <w:t>均属于本项目保洁范围</w:t>
      </w:r>
      <w:r>
        <w:rPr>
          <w:rFonts w:hint="eastAsia" w:ascii="宋体" w:hAnsi="宋体" w:eastAsia="宋体" w:cs="宋体"/>
          <w:color w:val="auto"/>
          <w:sz w:val="24"/>
          <w:highlight w:val="none"/>
        </w:rPr>
        <w:t>。</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1.2</w:t>
      </w:r>
      <w:r>
        <w:rPr>
          <w:rFonts w:hint="eastAsia" w:ascii="宋体" w:hAnsi="宋体" w:eastAsia="宋体" w:cs="宋体"/>
          <w:bCs/>
          <w:color w:val="auto"/>
          <w:sz w:val="24"/>
          <w:highlight w:val="none"/>
        </w:rPr>
        <w:t>.6</w:t>
      </w:r>
      <w:r>
        <w:rPr>
          <w:rFonts w:hint="eastAsia" w:ascii="宋体" w:hAnsi="宋体" w:eastAsia="宋体" w:cs="宋体"/>
          <w:color w:val="auto"/>
          <w:sz w:val="24"/>
          <w:highlight w:val="none"/>
        </w:rPr>
        <w:t xml:space="preserve">道路保洁承包期内如有道路改建、扩建、新增人行道等情况所增加的面积，原则上纳入中标单位保洁范围，保洁经费不再增加。  </w:t>
      </w:r>
    </w:p>
    <w:p>
      <w:pPr>
        <w:wordWrap/>
        <w:adjustRightInd w:val="0"/>
        <w:snapToGrid w:val="0"/>
        <w:spacing w:line="600" w:lineRule="exact"/>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1.3保洁基本要求</w:t>
      </w:r>
    </w:p>
    <w:p>
      <w:pPr>
        <w:pStyle w:val="27"/>
        <w:wordWrap/>
        <w:adjustRightInd w:val="0"/>
        <w:spacing w:line="600" w:lineRule="exact"/>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1.3.1</w:t>
      </w:r>
      <w:r>
        <w:rPr>
          <w:rFonts w:hint="eastAsia" w:ascii="宋体" w:hAnsi="宋体" w:eastAsia="宋体" w:cs="宋体"/>
          <w:b w:val="0"/>
          <w:bCs w:val="0"/>
          <w:color w:val="auto"/>
          <w:highlight w:val="none"/>
          <w:lang w:val="en-US" w:eastAsia="zh-CN"/>
        </w:rPr>
        <w:t>二</w:t>
      </w:r>
      <w:r>
        <w:rPr>
          <w:rFonts w:hint="eastAsia" w:ascii="宋体" w:hAnsi="宋体" w:eastAsia="宋体" w:cs="宋体"/>
          <w:b w:val="0"/>
          <w:bCs w:val="0"/>
          <w:color w:val="auto"/>
          <w:highlight w:val="none"/>
        </w:rPr>
        <w:t>级道路</w:t>
      </w:r>
    </w:p>
    <w:p>
      <w:pPr>
        <w:wordWrap/>
        <w:adjustRightIn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1.3.1.1保洁时长：1</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小时（4:30-2</w:t>
      </w:r>
      <w:r>
        <w:rPr>
          <w:rFonts w:hint="eastAsia" w:ascii="宋体" w:hAnsi="宋体" w:eastAsia="宋体" w:cs="宋体"/>
          <w:color w:val="auto"/>
          <w:sz w:val="24"/>
          <w:highlight w:val="none"/>
          <w:lang w:val="en-US" w:eastAsia="zh-CN"/>
        </w:rPr>
        <w:t>0</w:t>
      </w:r>
      <w:r>
        <w:rPr>
          <w:rFonts w:hint="eastAsia" w:ascii="宋体" w:hAnsi="宋体" w:eastAsia="宋体" w:cs="宋体"/>
          <w:color w:val="auto"/>
          <w:sz w:val="24"/>
          <w:highlight w:val="none"/>
        </w:rPr>
        <w:t>：30）。</w:t>
      </w:r>
    </w:p>
    <w:p>
      <w:pPr>
        <w:wordWrap/>
        <w:adjustRightIn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1.3.1.2快车道保洁：洒水</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次/日(夏季6次</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；高压冲洗</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次/日；洗扫吸三合一作业</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次/日，要求单向两边侧石、隔离栏底下全部覆盖。</w:t>
      </w:r>
    </w:p>
    <w:p>
      <w:pPr>
        <w:wordWrap/>
        <w:adjustRightIn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1.3.1.3慢车道和人行道保洁：日常普扫吹风机搭配小型慢车道清扫车作业，3次/日；洗、扫、吸一体清洗作业1次/日。</w:t>
      </w:r>
    </w:p>
    <w:p>
      <w:pPr>
        <w:wordWrap/>
        <w:adjustRightIn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1.3.1.4巡回保洁：保洁员配备电动巡回保洁车巡回作业。</w:t>
      </w:r>
    </w:p>
    <w:p>
      <w:pPr>
        <w:wordWrap/>
        <w:adjustRightIn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1.3.1.5空气抑尘：配置空气抑尘设备，每天2次洒水、抑尘。</w:t>
      </w:r>
    </w:p>
    <w:p>
      <w:pPr>
        <w:wordWrap/>
        <w:adjustRightIn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1.3.1.6城市家具：全覆盖擦洗1次/日。</w:t>
      </w:r>
    </w:p>
    <w:p>
      <w:pPr>
        <w:wordWrap/>
        <w:adjustRightIn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1.3.1.7小广告清除：配备高压冲洗设备，每天清除小广告。</w:t>
      </w:r>
    </w:p>
    <w:p>
      <w:pPr>
        <w:wordWrap/>
        <w:adjustRightIn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1.3.1.8道路栏杆：配备栏杆清洗车，每周清洗一次。</w:t>
      </w:r>
    </w:p>
    <w:p>
      <w:pPr>
        <w:wordWrap/>
        <w:adjustRightIn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1.3.1.9绿化带捡拾：配置小型设备，人工配合，每天1~2次。</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1.3.1.10应做到文明、清洁、安全和有序，最大限度地减少对环境的污染和对公众生活的影响。</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1.3.1.11合理安排作业计划。清晨或深夜在居民住宅小区或周边道路进行环卫作业时，不得大声喧哗，并应注意控制机具噪音。组织机械化清扫、洒水、清洗作业应避开交通高峰时段（7：00—9：00，16：30—18：30）。</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1.3.1.12下雪及雪后应根据需要，及时进行路面除雪作业 ，消除路面积雪、结冰，为道路交通畅通创造良好通行条件。清雪作业以机械化清雪为主，人工清雪为辅。清理的积雪不得堆放在雨水井口，禁止向道路路面、绿化带、绿地抛撒积雪。</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1.3.1.13日常</w:t>
      </w:r>
      <w:r>
        <w:rPr>
          <w:rFonts w:hint="eastAsia" w:ascii="宋体" w:hAnsi="宋体" w:eastAsia="宋体" w:cs="宋体"/>
          <w:color w:val="auto"/>
          <w:sz w:val="24"/>
          <w:highlight w:val="none"/>
        </w:rPr>
        <w:t>保洁时间内</w:t>
      </w:r>
      <w:r>
        <w:rPr>
          <w:rFonts w:hint="eastAsia" w:ascii="宋体" w:hAnsi="宋体" w:eastAsia="宋体" w:cs="宋体"/>
          <w:bCs/>
          <w:color w:val="auto"/>
          <w:sz w:val="24"/>
          <w:highlight w:val="none"/>
        </w:rPr>
        <w:t>保洁单位需确保</w:t>
      </w:r>
      <w:r>
        <w:rPr>
          <w:rFonts w:hint="eastAsia" w:ascii="宋体" w:hAnsi="宋体" w:eastAsia="宋体" w:cs="宋体"/>
          <w:color w:val="auto"/>
          <w:sz w:val="24"/>
          <w:highlight w:val="none"/>
        </w:rPr>
        <w:t>保洁范围干净，如有无主垃圾或其它垃圾，应加强监管，及时劝导并清理干净。</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1.3.1.14每辆环卫专用车辆应装有GPS装置，并按采购人要求安装摄像设备及人员的智慧管理等接入采购人指定系统，如GPS装置、摄像设备故障后应及时报修。GPS定位系统或摄像设备以及为本项目服务提供的智慧环卫等（含人员智慧管理）相关费用均由中标单位承担，同时需纳入城管智慧平台，采购人不另支付任何费用。</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1.3.1.15人工辅助清扫、清洗机动车道、非机动车道或清洗机动车道交通隔离栏时，应在距清扫点来车方向100M处设置警示标识，使用荧光锥形筒等警示标识围护清扫保洁区域，面向来车方向清扫，注意车辆动态。</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1.3.1.16洗扫车、扫路车、洒水车、清洗车车尾应设置荧光标宽标识（或警示灯）。夜间作业时或雨雾天气等能见度较低的天气，必须启用警示灯光。环卫电动作业车辆、保洁车等小型作业车辆车身设置荧光条，车后部或车顶设置警示灯。</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1.3.1.17本项目环卫作业车辆须有固定场所停放，严禁停放在消防通道、公交车站、盲道等影响车辆和行人通行的公共通道。</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1.3.1.18承诺能及时提供人力、设备、技术等支持。</w:t>
      </w:r>
    </w:p>
    <w:p>
      <w:pPr>
        <w:wordWrap/>
        <w:adjustRightInd w:val="0"/>
        <w:snapToGrid w:val="0"/>
        <w:spacing w:line="600" w:lineRule="exact"/>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 xml:space="preserve">1.4保洁作业规范 </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1.4.1道路普扫次数和时间</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1.4.1.1</w:t>
      </w:r>
      <w:r>
        <w:rPr>
          <w:rFonts w:hint="eastAsia" w:ascii="宋体" w:hAnsi="宋体" w:eastAsia="宋体" w:cs="宋体"/>
          <w:color w:val="auto"/>
          <w:sz w:val="24"/>
          <w:highlight w:val="none"/>
          <w:lang w:val="en-US" w:eastAsia="zh-CN"/>
        </w:rPr>
        <w:t>二</w:t>
      </w:r>
      <w:r>
        <w:rPr>
          <w:rFonts w:hint="eastAsia" w:ascii="宋体" w:hAnsi="宋体" w:eastAsia="宋体" w:cs="宋体"/>
          <w:color w:val="auto"/>
          <w:sz w:val="24"/>
          <w:highlight w:val="none"/>
        </w:rPr>
        <w:t>级道路普扫作业每日不少于3次。夏季（6月—8月）第一次普扫应在6：30前完成，春、秋、冬季（9月—次年5月）在7：00前完成；第二次普扫在13：30前完成；第三次普扫在17：00前完成。</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1.4.1.2应根据重大活动保障、落叶旺季等因素适时增加每日普扫频次。 </w:t>
      </w:r>
    </w:p>
    <w:p>
      <w:pPr>
        <w:wordWrap/>
        <w:adjustRightInd w:val="0"/>
        <w:snapToGrid w:val="0"/>
        <w:spacing w:line="600" w:lineRule="exact"/>
        <w:ind w:firstLine="480" w:firstLineChars="200"/>
        <w:jc w:val="left"/>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1.4.2洒水（清洗）</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1.4.2.1</w:t>
      </w:r>
      <w:r>
        <w:rPr>
          <w:rFonts w:hint="eastAsia" w:ascii="宋体" w:hAnsi="宋体" w:eastAsia="宋体" w:cs="宋体"/>
          <w:color w:val="auto"/>
          <w:sz w:val="24"/>
          <w:highlight w:val="none"/>
          <w:lang w:val="en-US" w:eastAsia="zh-CN"/>
        </w:rPr>
        <w:t>二</w:t>
      </w:r>
      <w:r>
        <w:rPr>
          <w:rFonts w:hint="eastAsia" w:ascii="宋体" w:hAnsi="宋体" w:eastAsia="宋体" w:cs="宋体"/>
          <w:color w:val="auto"/>
          <w:sz w:val="24"/>
          <w:highlight w:val="none"/>
        </w:rPr>
        <w:t>级道路作业每日不少于</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次</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夏季6次）</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w:t>
      </w:r>
      <w:r>
        <w:rPr>
          <w:rFonts w:hint="eastAsia" w:ascii="宋体" w:hAnsi="宋体" w:eastAsia="宋体" w:cs="宋体"/>
          <w:bCs/>
          <w:color w:val="auto"/>
          <w:sz w:val="24"/>
          <w:highlight w:val="none"/>
        </w:rPr>
        <w:t>洒水时，洒水车车速不得超过25km/h；清洗时，高压清洗车车速不得超过10km/h；机械化清扫作业。</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1.4.2.2</w:t>
      </w:r>
      <w:r>
        <w:rPr>
          <w:rFonts w:hint="eastAsia" w:ascii="宋体" w:hAnsi="宋体" w:eastAsia="宋体" w:cs="宋体"/>
          <w:bCs/>
          <w:color w:val="auto"/>
          <w:sz w:val="24"/>
          <w:highlight w:val="none"/>
        </w:rPr>
        <w:t>洒水时，应调整好洒水车水压和水幅，保持车行道全路段路面湿润。途经地铁站、公交站、人行横道等人流量集中的地点应注意放慢车速，避让行人，调整启闭装置，避免将水洒到行人身上。</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1.4.2.3</w:t>
      </w:r>
      <w:r>
        <w:rPr>
          <w:rFonts w:hint="eastAsia" w:ascii="宋体" w:hAnsi="宋体" w:eastAsia="宋体" w:cs="宋体"/>
          <w:bCs/>
          <w:color w:val="auto"/>
          <w:sz w:val="24"/>
          <w:highlight w:val="none"/>
        </w:rPr>
        <w:t>晚22时以后，洒水作业时禁止播放洒水提示音乐。中、高考等重要考试期间，洒水车途经考场周边道路时应及时关闭洒水提示音乐，夏季中午时间（12时-14时）适当降低洒水提示音量。</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1.4.2.4</w:t>
      </w:r>
      <w:r>
        <w:rPr>
          <w:rFonts w:hint="eastAsia" w:ascii="宋体" w:hAnsi="宋体" w:eastAsia="宋体" w:cs="宋体"/>
          <w:bCs/>
          <w:color w:val="auto"/>
          <w:sz w:val="24"/>
          <w:highlight w:val="none"/>
        </w:rPr>
        <w:t>小雨及以下雨量时，按计划保持洒水作业；中雨及以上雨量或雷阵雨期间，暂停道路洒水和清洗作业。</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1.4.2.5春秋季（3月—5月、9月—11月），每日道路洒水频次作为基准遍次，即</w:t>
      </w:r>
      <w:r>
        <w:rPr>
          <w:rFonts w:hint="eastAsia" w:ascii="宋体" w:hAnsi="宋体" w:eastAsia="宋体" w:cs="宋体"/>
          <w:bCs/>
          <w:color w:val="auto"/>
          <w:sz w:val="24"/>
          <w:highlight w:val="none"/>
          <w:lang w:val="en-US" w:eastAsia="zh-CN"/>
        </w:rPr>
        <w:t>二</w:t>
      </w:r>
      <w:r>
        <w:rPr>
          <w:rFonts w:hint="eastAsia" w:ascii="宋体" w:hAnsi="宋体" w:eastAsia="宋体" w:cs="宋体"/>
          <w:bCs/>
          <w:color w:val="auto"/>
          <w:sz w:val="24"/>
          <w:highlight w:val="none"/>
        </w:rPr>
        <w:t>级道路每日</w:t>
      </w:r>
      <w:r>
        <w:rPr>
          <w:rFonts w:hint="eastAsia" w:ascii="宋体" w:hAnsi="宋体" w:eastAsia="宋体" w:cs="宋体"/>
          <w:bCs/>
          <w:color w:val="auto"/>
          <w:sz w:val="24"/>
          <w:highlight w:val="none"/>
          <w:lang w:val="en-US" w:eastAsia="zh-CN"/>
        </w:rPr>
        <w:t>4</w:t>
      </w:r>
      <w:r>
        <w:rPr>
          <w:rFonts w:hint="eastAsia" w:ascii="宋体" w:hAnsi="宋体" w:eastAsia="宋体" w:cs="宋体"/>
          <w:bCs/>
          <w:color w:val="auto"/>
          <w:sz w:val="24"/>
          <w:highlight w:val="none"/>
        </w:rPr>
        <w:t>次</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lang w:val="en-US" w:eastAsia="zh-CN"/>
        </w:rPr>
        <w:t>夏季6次）</w:t>
      </w:r>
      <w:r>
        <w:rPr>
          <w:rFonts w:hint="eastAsia" w:ascii="宋体" w:hAnsi="宋体" w:eastAsia="宋体" w:cs="宋体"/>
          <w:bCs/>
          <w:color w:val="auto"/>
          <w:sz w:val="24"/>
          <w:highlight w:val="none"/>
        </w:rPr>
        <w:t>；夏季（6月—8月），在基准频次上每日分别增加1次；冬季（12月—2月），在基准频次上每日分别减少1次。</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1.4.2.6</w:t>
      </w:r>
      <w:r>
        <w:rPr>
          <w:rFonts w:hint="eastAsia" w:ascii="宋体" w:hAnsi="宋体" w:eastAsia="宋体" w:cs="宋体"/>
          <w:bCs/>
          <w:color w:val="auto"/>
          <w:sz w:val="24"/>
          <w:highlight w:val="none"/>
        </w:rPr>
        <w:t>气温低于2摄氏度时应停止清洗和洒水。</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1.4.2.7</w:t>
      </w:r>
      <w:r>
        <w:rPr>
          <w:rFonts w:hint="eastAsia" w:ascii="宋体" w:hAnsi="宋体" w:eastAsia="宋体" w:cs="宋体"/>
          <w:bCs/>
          <w:color w:val="auto"/>
          <w:sz w:val="24"/>
          <w:highlight w:val="none"/>
        </w:rPr>
        <w:t>根据清雪作业应急保障需要，可使用洒水车、清洗车冲刷路面积雪，并使用清雪车、扫路车等专业车辆或人工辅助，及时清除路面积水、积雪。</w:t>
      </w:r>
    </w:p>
    <w:p>
      <w:pPr>
        <w:wordWrap/>
        <w:adjustRightInd w:val="0"/>
        <w:snapToGrid w:val="0"/>
        <w:spacing w:line="600" w:lineRule="exact"/>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1.4.3机械化清扫</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1.4.3.1</w:t>
      </w:r>
      <w:r>
        <w:rPr>
          <w:rFonts w:hint="eastAsia" w:ascii="宋体" w:hAnsi="宋体" w:eastAsia="宋体" w:cs="宋体"/>
          <w:bCs/>
          <w:color w:val="auto"/>
          <w:sz w:val="24"/>
          <w:highlight w:val="none"/>
        </w:rPr>
        <w:t>机械化清扫范围主要为机动车道，及便于使用机械化装备清洁机动车道的交通隔离栏。</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1.4.3.2</w:t>
      </w:r>
      <w:r>
        <w:rPr>
          <w:rFonts w:hint="eastAsia" w:ascii="宋体" w:hAnsi="宋体" w:eastAsia="宋体" w:cs="宋体"/>
          <w:bCs/>
          <w:color w:val="auto"/>
          <w:sz w:val="24"/>
          <w:highlight w:val="none"/>
        </w:rPr>
        <w:t>清扫车或洗扫车应加足水，根据路面状况调整好扫路车侧刷和吸口，喷雾洁扫无扬尘，在规定时间和路线进行机械化清扫作业。</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1.4.3.3</w:t>
      </w:r>
      <w:r>
        <w:rPr>
          <w:rFonts w:hint="eastAsia" w:ascii="宋体" w:hAnsi="宋体" w:eastAsia="宋体" w:cs="宋体"/>
          <w:bCs/>
          <w:color w:val="auto"/>
          <w:sz w:val="24"/>
          <w:highlight w:val="none"/>
        </w:rPr>
        <w:t>机械化清扫作业时，扫路车或洗扫车车速不得超过10km/h。</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1.4.3.4</w:t>
      </w:r>
      <w:r>
        <w:rPr>
          <w:rFonts w:hint="eastAsia" w:ascii="宋体" w:hAnsi="宋体" w:eastAsia="宋体" w:cs="宋体"/>
          <w:bCs/>
          <w:color w:val="auto"/>
          <w:sz w:val="24"/>
          <w:highlight w:val="none"/>
        </w:rPr>
        <w:t>清扫时应注意观察路面清扫质量和路面障碍情况，对机械化清扫不能清除的大件垃圾或硬物，在确保作业安全的前提下，及时下车清除。</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1.4.3.5</w:t>
      </w:r>
      <w:r>
        <w:rPr>
          <w:rFonts w:hint="eastAsia" w:ascii="宋体" w:hAnsi="宋体" w:eastAsia="宋体" w:cs="宋体"/>
          <w:bCs/>
          <w:color w:val="auto"/>
          <w:sz w:val="24"/>
          <w:highlight w:val="none"/>
        </w:rPr>
        <w:t>当日清扫结束后，应在指定地点卸空机械化清扫车辆中的垃圾。</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1.4.3.6</w:t>
      </w:r>
      <w:r>
        <w:rPr>
          <w:rFonts w:hint="eastAsia" w:ascii="宋体" w:hAnsi="宋体" w:eastAsia="宋体" w:cs="宋体"/>
          <w:bCs/>
          <w:color w:val="auto"/>
          <w:sz w:val="24"/>
          <w:highlight w:val="none"/>
        </w:rPr>
        <w:t>机械化清扫车辆所用的扫把丝等消耗品应根据使用状况及时更换。</w:t>
      </w:r>
    </w:p>
    <w:p>
      <w:pPr>
        <w:wordWrap/>
        <w:adjustRightInd w:val="0"/>
        <w:snapToGrid w:val="0"/>
        <w:spacing w:line="600" w:lineRule="exact"/>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1.4.4人工普扫</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1.4.4.1清扫时，在距清扫点适当位置安全警示标识。</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1.4.4.2道路两侧、路面等承包区域内乱涂写招贴，应使用铲刀或高压清洗机具予以清除，对粘附力强的要求用清洗剂刷洗，被清洗或清除后物体表面没有明显残留痕迹，不得采用涂料遮盖等方式简单处理，路面有污染或明显肮脏时要及时冲洗。</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1.4.4.3清扫的街面垃圾、沿街果壳箱中的垃圾应密闭化运至指定地点，运输过程不得抛洒滴漏。</w:t>
      </w:r>
    </w:p>
    <w:p>
      <w:pPr>
        <w:wordWrap/>
        <w:adjustRightInd w:val="0"/>
        <w:snapToGrid w:val="0"/>
        <w:spacing w:line="600" w:lineRule="exact"/>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1.4.5人工保洁</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1.4.5.1普扫结束后，应按照规定的责任保洁区域、保洁时间组织巡回保洁。落实责任保洁区域边界管理，保洁时应向保洁边界以外适当延伸（不少于3米），不留保洁盲区和空白点。</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1.4.5.2应定时清运沿街果壳箱中的垃圾，做到垃圾不落地、不积存，日产日清。</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1.4.5.3突发性环境卫生污染现场清理时，应严格按照应急处置方案进行保洁，及时消除污染物，恢复路面清洁。</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1.4.5.4环卫电动专用作业车辆应在非机动车道顺向行驶，不得超载，且行驶速度不得超过20Km/h。</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1.4.5.5保洁作业结束后，作业工具应在规定地点摆放，不得在道路路面、墙角、绿化带、绿地中存放。</w:t>
      </w:r>
    </w:p>
    <w:p>
      <w:pPr>
        <w:wordWrap/>
        <w:adjustRightInd w:val="0"/>
        <w:snapToGrid w:val="0"/>
        <w:spacing w:line="600" w:lineRule="exact"/>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1.5保洁作业质量要求</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1.5.1清扫应做到“五无五净”。即无垃圾杂物；无积水积泥，无痰迹烟蒂，无果皮纸屑，无土石杂草；路面干净，绿化带和树圈干净，边角侧石干净，雨水井盖沟眼畅通干净，果壳箱等环卫设施干净、路面见本色。</w:t>
      </w:r>
    </w:p>
    <w:p>
      <w:pPr>
        <w:wordWrap/>
        <w:adjustRightInd w:val="0"/>
        <w:snapToGrid w:val="0"/>
        <w:spacing w:line="600" w:lineRule="exac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 xml:space="preserve">   1.5.2三化四分相关要求：</w:t>
      </w:r>
      <w:r>
        <w:rPr>
          <w:rFonts w:hint="eastAsia" w:ascii="宋体" w:hAnsi="宋体" w:eastAsia="宋体" w:cs="宋体"/>
          <w:color w:val="auto"/>
          <w:kern w:val="0"/>
          <w:sz w:val="24"/>
          <w:highlight w:val="none"/>
        </w:rPr>
        <w:t>本项目的供应商应按照杭州市垃圾分类工作的具体要求，确定生活垃圾分类（易腐垃圾、其他垃圾、可回收物、有害垃圾），并完成保洁范围内四类垃圾的分类、收集以及垃圾的清运工作。</w:t>
      </w:r>
    </w:p>
    <w:p>
      <w:pPr>
        <w:pStyle w:val="837"/>
        <w:wordWrap/>
        <w:adjustRightInd w:val="0"/>
        <w:spacing w:line="600" w:lineRule="exact"/>
        <w:rPr>
          <w:rFonts w:hint="eastAsia" w:ascii="宋体" w:hAnsi="宋体" w:eastAsia="宋体" w:cs="宋体"/>
          <w:color w:val="auto"/>
          <w:highlight w:val="none"/>
        </w:rPr>
      </w:pPr>
      <w:r>
        <w:rPr>
          <w:rFonts w:hint="eastAsia" w:ascii="宋体" w:hAnsi="宋体" w:eastAsia="宋体" w:cs="宋体"/>
          <w:bCs/>
          <w:color w:val="auto"/>
          <w:sz w:val="24"/>
          <w:highlight w:val="none"/>
        </w:rPr>
        <w:t>1.</w:t>
      </w:r>
      <w:r>
        <w:rPr>
          <w:rFonts w:hint="eastAsia" w:ascii="宋体" w:hAnsi="宋体" w:eastAsia="宋体" w:cs="宋体"/>
          <w:bCs/>
          <w:color w:val="auto"/>
          <w:sz w:val="24"/>
          <w:highlight w:val="none"/>
          <w:lang w:val="en-US" w:eastAsia="zh-CN"/>
        </w:rPr>
        <w:t>5.3</w:t>
      </w:r>
      <w:r>
        <w:rPr>
          <w:rFonts w:hint="eastAsia" w:ascii="宋体" w:hAnsi="宋体" w:eastAsia="宋体" w:cs="宋体"/>
          <w:color w:val="auto"/>
          <w:highlight w:val="none"/>
        </w:rPr>
        <w:t>本项目范围内所有道路、围墙、设施、建（构）筑物外墙等的“乱涂、乱张贴”等牛皮癣日常清理纳入本次招标内，所有费用包含在投标报价内。</w:t>
      </w:r>
    </w:p>
    <w:p>
      <w:pPr>
        <w:wordWrap/>
        <w:adjustRightInd w:val="0"/>
        <w:snapToGrid w:val="0"/>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1.5.</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 xml:space="preserve">其他要求：   </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（1）遇有窨井盖丢失、破损等，承包方必须及时上报采购人。  </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（2）遇有重大活动或突发事件，及时组织力量做好清扫保洁保障工作。   </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（3）遇有重大活动以及抗台、抗雪等突发事件，必须及时组织力量做好清扫保洁等应急保障工作，按照城市管理保障应急机制要求，保证人员及时到位，并根据应急指令服从统一调配。</w:t>
      </w:r>
    </w:p>
    <w:p>
      <w:pPr>
        <w:wordWrap/>
        <w:adjustRightInd w:val="0"/>
        <w:snapToGrid w:val="0"/>
        <w:spacing w:line="600" w:lineRule="exact"/>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1.6.管理要求</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1.6.1供应商在保洁作业中投入的机械设备、人员配置等必须与投标文件中所承诺的数量规格相符合。加强日常作业质量管理，相关计划及报告按采购人要求准时递交。</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1.6.2规范管理、文明作业、自觉接受采购人及其上级各部门领导的检查和社会监督，对出现的问题要及时整改。</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1.6.3作业时应严格遵守交通规则、遵守劳动纪律、遵守安全操作规程，作业人员须统一穿戴有反光标识的工作服，佩证上岗。加强日常安全生产管理，确保职工人身安全。如遇各种意外事故发生由中标单位自行负责，并依照法律法规妥善处理（事故情况应在30分钟内及时书面告知采购人）。</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1.6.4果壳箱应定期保养保持整洁完好无缺失，承包期间因操作或管理不善造成破损、缺失的，由中标单位承担费用并负责修复或更新（果壳箱更换款式应保持原样，或经采购人同意后调整款式）。</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1.6.5专用作业车辆（含人力三轮车）符合环卫标准化管理要求，外观喷漆及规格符合采购人要求，机动、人力车辆应按时冲洗保养保持外观整洁，无抛洒滴漏、无满溢、无吊挂。</w:t>
      </w:r>
    </w:p>
    <w:p>
      <w:pPr>
        <w:wordWrap/>
        <w:adjustRightInd w:val="0"/>
        <w:snapToGrid w:val="0"/>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1.6.6垃圾应倾倒在指定的垃圾堆放场地，不得焚烧垃圾、树叶，确需垃圾二次转运的应在指定地点进行，不得直接在保洁道路上进行。</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 xml:space="preserve">1.6.7如遇渣土抛洒污染路面等情况，中标单位应及时上报采购人，并做好照片资料，同时进行道路冲洗清理。   </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1.6.8无新闻媒体曝光，对“12345”市长公开电话和有关受理中心及信访处相关问题，处理、回复及时到位。</w:t>
      </w:r>
      <w:r>
        <w:rPr>
          <w:rFonts w:hint="eastAsia" w:ascii="宋体" w:hAnsi="宋体" w:eastAsia="宋体" w:cs="宋体"/>
          <w:color w:val="auto"/>
          <w:sz w:val="24"/>
          <w:highlight w:val="none"/>
        </w:rPr>
        <w:t>加强管理，确保在国家、省、市、区的各项检查中不失责任分。</w:t>
      </w:r>
    </w:p>
    <w:p>
      <w:pPr>
        <w:tabs>
          <w:tab w:val="left" w:pos="851"/>
          <w:tab w:val="left" w:pos="993"/>
        </w:tabs>
        <w:wordWrap/>
        <w:adjustRightInd w:val="0"/>
        <w:snapToGrid w:val="0"/>
        <w:spacing w:line="600" w:lineRule="exact"/>
        <w:ind w:firstLine="480" w:firstLineChars="200"/>
        <w:rPr>
          <w:rFonts w:hint="eastAsia" w:ascii="宋体" w:hAnsi="宋体" w:eastAsia="宋体" w:cs="宋体"/>
          <w:b w:val="0"/>
          <w:bCs w:val="0"/>
          <w:color w:val="auto"/>
          <w:kern w:val="44"/>
          <w:sz w:val="24"/>
          <w:highlight w:val="none"/>
        </w:rPr>
      </w:pPr>
      <w:r>
        <w:rPr>
          <w:rFonts w:hint="eastAsia" w:ascii="宋体" w:hAnsi="宋体" w:eastAsia="宋体" w:cs="宋体"/>
          <w:b w:val="0"/>
          <w:bCs w:val="0"/>
          <w:color w:val="auto"/>
          <w:kern w:val="44"/>
          <w:sz w:val="24"/>
          <w:highlight w:val="none"/>
        </w:rPr>
        <w:t>2、偷倒垃圾清运要求</w:t>
      </w:r>
    </w:p>
    <w:p>
      <w:pPr>
        <w:tabs>
          <w:tab w:val="left" w:pos="851"/>
          <w:tab w:val="left" w:pos="993"/>
        </w:tabs>
        <w:wordWrap/>
        <w:adjustRightInd w:val="0"/>
        <w:snapToGrid w:val="0"/>
        <w:spacing w:line="600" w:lineRule="exact"/>
        <w:ind w:firstLine="480" w:firstLineChars="200"/>
        <w:rPr>
          <w:rFonts w:hint="eastAsia" w:ascii="宋体" w:hAnsi="宋体" w:eastAsia="宋体" w:cs="宋体"/>
          <w:b/>
          <w:bCs/>
          <w:color w:val="auto"/>
          <w:kern w:val="44"/>
          <w:sz w:val="24"/>
          <w:highlight w:val="none"/>
        </w:rPr>
      </w:pPr>
      <w:r>
        <w:rPr>
          <w:rFonts w:hint="eastAsia" w:ascii="宋体" w:hAnsi="宋体" w:eastAsia="宋体" w:cs="宋体"/>
          <w:bCs/>
          <w:color w:val="auto"/>
          <w:kern w:val="0"/>
          <w:sz w:val="24"/>
          <w:highlight w:val="none"/>
        </w:rPr>
        <w:t>2.1服务内容：</w:t>
      </w:r>
      <w:r>
        <w:rPr>
          <w:rFonts w:hint="eastAsia" w:ascii="宋体" w:hAnsi="宋体" w:eastAsia="宋体" w:cs="宋体"/>
          <w:color w:val="auto"/>
          <w:sz w:val="24"/>
          <w:highlight w:val="none"/>
        </w:rPr>
        <w:t>主要为本项目各个标段采购人管养范围内偷倒的垃圾清运</w:t>
      </w:r>
      <w:r>
        <w:rPr>
          <w:rFonts w:hint="eastAsia" w:ascii="宋体" w:hAnsi="宋体" w:eastAsia="宋体" w:cs="宋体"/>
          <w:bCs/>
          <w:color w:val="auto"/>
          <w:sz w:val="24"/>
          <w:highlight w:val="none"/>
        </w:rPr>
        <w:t>工作，垃圾运至杭州市余杭区综合行政执法局指定的消纳处置场所，相关费包含在本次招标内容中。</w:t>
      </w:r>
    </w:p>
    <w:p>
      <w:pPr>
        <w:wordWrap/>
        <w:adjustRightInd w:val="0"/>
        <w:snapToGrid w:val="0"/>
        <w:spacing w:line="600" w:lineRule="exact"/>
        <w:ind w:firstLine="480" w:firstLineChars="200"/>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2.2具体要求：</w:t>
      </w:r>
    </w:p>
    <w:p>
      <w:pPr>
        <w:wordWrap/>
        <w:adjustRightInd w:val="0"/>
        <w:snapToGrid w:val="0"/>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（1）在</w:t>
      </w:r>
      <w:r>
        <w:rPr>
          <w:rFonts w:hint="eastAsia" w:ascii="宋体" w:hAnsi="宋体" w:eastAsia="宋体" w:cs="宋体"/>
          <w:color w:val="auto"/>
          <w:sz w:val="24"/>
          <w:highlight w:val="none"/>
        </w:rPr>
        <w:t>服务期内，</w:t>
      </w:r>
      <w:r>
        <w:rPr>
          <w:rFonts w:hint="eastAsia" w:ascii="宋体" w:hAnsi="宋体" w:eastAsia="宋体" w:cs="宋体"/>
          <w:color w:val="auto"/>
          <w:kern w:val="0"/>
          <w:sz w:val="24"/>
          <w:highlight w:val="none"/>
        </w:rPr>
        <w:t>供应商应加强</w:t>
      </w:r>
      <w:r>
        <w:rPr>
          <w:rFonts w:hint="eastAsia" w:ascii="宋体" w:hAnsi="宋体" w:eastAsia="宋体" w:cs="宋体"/>
          <w:color w:val="auto"/>
          <w:sz w:val="24"/>
          <w:highlight w:val="none"/>
        </w:rPr>
        <w:t>所承包范围内防止垃圾偷倒的管理工作。如在所承包范围内发生偷倒，</w:t>
      </w:r>
      <w:r>
        <w:rPr>
          <w:rFonts w:hint="eastAsia" w:ascii="宋体" w:hAnsi="宋体" w:eastAsia="宋体" w:cs="宋体"/>
          <w:color w:val="auto"/>
          <w:kern w:val="0"/>
          <w:sz w:val="24"/>
          <w:highlight w:val="none"/>
        </w:rPr>
        <w:t>需完成</w:t>
      </w:r>
      <w:r>
        <w:rPr>
          <w:rFonts w:hint="eastAsia" w:ascii="宋体" w:hAnsi="宋体" w:eastAsia="宋体" w:cs="宋体"/>
          <w:color w:val="auto"/>
          <w:sz w:val="24"/>
          <w:highlight w:val="none"/>
        </w:rPr>
        <w:t>偷倒的垃圾清运</w:t>
      </w:r>
      <w:r>
        <w:rPr>
          <w:rFonts w:hint="eastAsia" w:ascii="宋体" w:hAnsi="宋体" w:eastAsia="宋体" w:cs="宋体"/>
          <w:bCs/>
          <w:color w:val="auto"/>
          <w:sz w:val="24"/>
          <w:highlight w:val="none"/>
        </w:rPr>
        <w:t>工作，</w:t>
      </w:r>
      <w:r>
        <w:rPr>
          <w:rFonts w:hint="eastAsia" w:ascii="宋体" w:hAnsi="宋体" w:eastAsia="宋体" w:cs="宋体"/>
          <w:color w:val="auto"/>
          <w:kern w:val="0"/>
          <w:sz w:val="24"/>
          <w:highlight w:val="none"/>
        </w:rPr>
        <w:t>垃圾的装车、运输至消纳处置场，因乱倒垃圾不符合相关要求所引发的问题，由供应商承担所有责任及赔偿费用。</w:t>
      </w:r>
    </w:p>
    <w:p>
      <w:pPr>
        <w:wordWrap/>
        <w:adjustRightInd w:val="0"/>
        <w:snapToGrid w:val="0"/>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（2）车辆要求：本项目所需的作业车辆应具有有效的道路运输经营许可证，并到采购单位备案。</w:t>
      </w:r>
    </w:p>
    <w:p>
      <w:pPr>
        <w:wordWrap/>
        <w:adjustRightInd w:val="0"/>
        <w:snapToGrid w:val="0"/>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bCs/>
          <w:color w:val="auto"/>
          <w:sz w:val="24"/>
          <w:highlight w:val="none"/>
        </w:rPr>
        <w:t>（3）</w:t>
      </w:r>
      <w:r>
        <w:rPr>
          <w:rFonts w:hint="eastAsia" w:ascii="宋体" w:hAnsi="宋体" w:eastAsia="宋体" w:cs="宋体"/>
          <w:color w:val="auto"/>
          <w:kern w:val="0"/>
          <w:sz w:val="24"/>
          <w:highlight w:val="none"/>
        </w:rPr>
        <w:t>装运时必须密封整洁，不得沿路抛撒、滴漏。遵守环境卫生作业标准、规范，装运后及时复位，清理作业场地，保持场地周边环境干净整洁；装运时须铺设地垫等设施，防止污染路面，做到车走地净。</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kern w:val="0"/>
          <w:sz w:val="24"/>
          <w:highlight w:val="none"/>
        </w:rPr>
        <w:t>（4）清理的时间要求：</w:t>
      </w:r>
      <w:r>
        <w:rPr>
          <w:rFonts w:hint="eastAsia" w:ascii="宋体" w:hAnsi="宋体" w:eastAsia="宋体" w:cs="宋体"/>
          <w:color w:val="auto"/>
          <w:kern w:val="0"/>
          <w:sz w:val="24"/>
          <w:highlight w:val="none"/>
          <w:u w:val="single"/>
        </w:rPr>
        <w:t>2小时之内清理</w:t>
      </w:r>
      <w:r>
        <w:rPr>
          <w:rFonts w:hint="eastAsia" w:ascii="宋体" w:hAnsi="宋体" w:eastAsia="宋体" w:cs="宋体"/>
          <w:color w:val="auto"/>
          <w:kern w:val="0"/>
          <w:sz w:val="24"/>
          <w:highlight w:val="none"/>
        </w:rPr>
        <w:t>。</w:t>
      </w:r>
    </w:p>
    <w:p>
      <w:pPr>
        <w:wordWrap/>
        <w:adjustRightInd w:val="0"/>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（二）绿化</w:t>
      </w:r>
      <w:r>
        <w:rPr>
          <w:rFonts w:hint="eastAsia" w:ascii="宋体" w:hAnsi="宋体" w:eastAsia="宋体" w:cs="宋体"/>
          <w:color w:val="auto"/>
          <w:sz w:val="24"/>
          <w:highlight w:val="none"/>
          <w:lang w:val="en-US" w:eastAsia="zh-CN"/>
        </w:rPr>
        <w:t>养护</w:t>
      </w:r>
      <w:r>
        <w:rPr>
          <w:rFonts w:hint="eastAsia" w:ascii="宋体" w:hAnsi="宋体" w:eastAsia="宋体" w:cs="宋体"/>
          <w:color w:val="auto"/>
          <w:sz w:val="24"/>
          <w:highlight w:val="none"/>
        </w:rPr>
        <w:t>作业标准</w:t>
      </w:r>
    </w:p>
    <w:p>
      <w:pPr>
        <w:wordWrap/>
        <w:adjustRightInd w:val="0"/>
        <w:snapToGrid/>
        <w:spacing w:before="0" w:beforeAutospacing="0" w:after="0" w:afterAutospacing="0" w:line="600" w:lineRule="exact"/>
        <w:ind w:firstLine="480" w:firstLineChars="20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bCs w:val="0"/>
          <w:i w:val="0"/>
          <w:caps w:val="0"/>
          <w:color w:val="auto"/>
          <w:spacing w:val="0"/>
          <w:w w:val="100"/>
          <w:kern w:val="2"/>
          <w:sz w:val="24"/>
          <w:szCs w:val="24"/>
          <w:highlight w:val="none"/>
          <w:lang w:val="en-US" w:eastAsia="zh-CN" w:bidi="ar-SA"/>
        </w:rPr>
        <w:t>1、总体标准：</w:t>
      </w:r>
      <w:r>
        <w:rPr>
          <w:rStyle w:val="962"/>
          <w:rFonts w:hint="eastAsia" w:ascii="宋体" w:hAnsi="宋体" w:eastAsia="宋体" w:cs="宋体"/>
          <w:b w:val="0"/>
          <w:i w:val="0"/>
          <w:caps w:val="0"/>
          <w:color w:val="auto"/>
          <w:spacing w:val="0"/>
          <w:w w:val="100"/>
          <w:kern w:val="2"/>
          <w:sz w:val="24"/>
          <w:szCs w:val="24"/>
          <w:highlight w:val="none"/>
          <w:lang w:val="en-US" w:eastAsia="zh-CN" w:bidi="ar-SA"/>
        </w:rPr>
        <w:t>指道路绿化带养护的整体质量，内容有养护质量、树木存活率、设施维护、土肥标准、病虫害防治标准及管理标准。</w:t>
      </w:r>
    </w:p>
    <w:p>
      <w:pPr>
        <w:wordWrap/>
        <w:adjustRightInd w:val="0"/>
        <w:snapToGrid/>
        <w:spacing w:before="0" w:beforeAutospacing="0" w:after="0" w:afterAutospacing="0" w:line="600" w:lineRule="exact"/>
        <w:ind w:firstLine="480" w:firstLineChars="20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1.1.植物养护标准：按道路绿化带的立地条件，对植物进行特殊养护、精心养护，使植物健康生长，具有良好的道路景观。</w:t>
      </w:r>
    </w:p>
    <w:p>
      <w:pPr>
        <w:wordWrap/>
        <w:adjustRightInd w:val="0"/>
        <w:snapToGrid/>
        <w:spacing w:before="0" w:beforeAutospacing="0" w:after="0" w:afterAutospacing="0" w:line="600" w:lineRule="exact"/>
        <w:ind w:firstLine="480" w:firstLineChars="20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1.2.树木种植成活率标准：当年新栽植物成活率达95%以上，保存率98%以上，无缺株、死株。</w:t>
      </w:r>
    </w:p>
    <w:p>
      <w:pPr>
        <w:wordWrap/>
        <w:adjustRightInd w:val="0"/>
        <w:snapToGrid/>
        <w:spacing w:before="0" w:beforeAutospacing="0" w:after="0" w:afterAutospacing="0" w:line="600" w:lineRule="exact"/>
        <w:ind w:firstLine="480" w:firstLineChars="20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1.3.土肥标准：土壤疏松，无积水，种植土低于容器（或侧石）上沿5cm；充分利用有机肥，也可用复合肥，增强土壤肥力（要求一年施肥二次，有机肥或复合肥总量不少于0.5kg／㎡），其理化性状应符合下列规定：ph值为6.7—7.5之间；石砾粒径≤5cm（高架挂箱石砾粒径≤2cm），含量≤8%（w/w）；有机质含量≥25g/kg。</w:t>
      </w:r>
    </w:p>
    <w:p>
      <w:pPr>
        <w:wordWrap/>
        <w:adjustRightInd w:val="0"/>
        <w:snapToGrid/>
        <w:spacing w:before="0" w:beforeAutospacing="0" w:after="0" w:afterAutospacing="0" w:line="600" w:lineRule="exact"/>
        <w:ind w:firstLine="480" w:firstLineChars="20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1.4.病虫害防治标准：提倡综合防治，病虫害应控制在以不影响观赏效果的危害程度之内。</w:t>
      </w:r>
    </w:p>
    <w:p>
      <w:pPr>
        <w:wordWrap/>
        <w:adjustRightInd w:val="0"/>
        <w:snapToGrid/>
        <w:spacing w:before="0" w:beforeAutospacing="0" w:after="0" w:afterAutospacing="0" w:line="600" w:lineRule="exact"/>
        <w:ind w:firstLine="480" w:firstLineChars="20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1.5.道路绿化带的具体养管标准。</w:t>
      </w:r>
    </w:p>
    <w:p>
      <w:pPr>
        <w:wordWrap/>
        <w:adjustRightInd w:val="0"/>
        <w:snapToGrid/>
        <w:spacing w:before="0" w:beforeAutospacing="0" w:after="0" w:afterAutospacing="0" w:line="600" w:lineRule="exact"/>
        <w:ind w:firstLine="480" w:firstLineChars="20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（1）道路绿化带景观要求。</w:t>
      </w:r>
    </w:p>
    <w:p>
      <w:pPr>
        <w:wordWrap/>
        <w:adjustRightInd w:val="0"/>
        <w:snapToGrid/>
        <w:spacing w:before="0" w:beforeAutospacing="0" w:after="0" w:afterAutospacing="0" w:line="600" w:lineRule="exact"/>
        <w:ind w:firstLine="480" w:firstLineChars="20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（2）采用修剪等特殊手法，控制植物高度，植物高度不得影响交通视线。</w:t>
      </w:r>
    </w:p>
    <w:p>
      <w:pPr>
        <w:wordWrap/>
        <w:adjustRightInd w:val="0"/>
        <w:snapToGrid/>
        <w:spacing w:before="0" w:beforeAutospacing="0" w:after="0" w:afterAutospacing="0" w:line="600" w:lineRule="exact"/>
        <w:ind w:firstLine="480" w:firstLineChars="20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（3）特殊地段的景观应按设计精心养护，形成有特色的植物景观。整形植物必须及时修剪保持形态，悬垂植物生长健壮，及时通过修剪去除枯死枝和调整高度及生长密度，整体效果良好。</w:t>
      </w:r>
    </w:p>
    <w:p>
      <w:pPr>
        <w:wordWrap/>
        <w:adjustRightInd w:val="0"/>
        <w:snapToGrid/>
        <w:spacing w:before="0" w:beforeAutospacing="0" w:after="0" w:afterAutospacing="0" w:line="600" w:lineRule="exact"/>
        <w:ind w:firstLine="480" w:firstLineChars="20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（4）花卉花期整齐，株行距适宜，无空秃、色彩效果好。</w:t>
      </w:r>
    </w:p>
    <w:p>
      <w:pPr>
        <w:wordWrap/>
        <w:adjustRightInd w:val="0"/>
        <w:snapToGrid/>
        <w:spacing w:before="0" w:beforeAutospacing="0" w:after="0" w:afterAutospacing="0" w:line="600" w:lineRule="exact"/>
        <w:ind w:firstLine="480" w:firstLineChars="20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（5）绿带必须无裸地，可种植地被植物或草坪。</w:t>
      </w:r>
    </w:p>
    <w:p>
      <w:pPr>
        <w:wordWrap/>
        <w:adjustRightInd w:val="0"/>
        <w:snapToGrid/>
        <w:spacing w:before="0" w:beforeAutospacing="0" w:after="0" w:afterAutospacing="0" w:line="600" w:lineRule="exact"/>
        <w:ind w:firstLine="480" w:firstLineChars="20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（6）绿带内无枯枝残叶、无杂草，整洁无垃圾；每天冲洗一次以上，植物叶面无积尘。</w:t>
      </w:r>
    </w:p>
    <w:p>
      <w:pPr>
        <w:wordWrap/>
        <w:adjustRightInd w:val="0"/>
        <w:snapToGrid/>
        <w:spacing w:before="0" w:beforeAutospacing="0" w:after="0" w:afterAutospacing="0" w:line="600" w:lineRule="exact"/>
        <w:ind w:firstLine="480" w:firstLineChars="20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（7）辅助设施（包括支撑物和悬挂容器）必须安全、完好、整洁、美观。</w:t>
      </w:r>
    </w:p>
    <w:p>
      <w:pPr>
        <w:wordWrap/>
        <w:adjustRightInd w:val="0"/>
        <w:snapToGrid/>
        <w:spacing w:before="0" w:beforeAutospacing="0" w:after="0" w:afterAutospacing="0" w:line="600" w:lineRule="exact"/>
        <w:ind w:firstLine="480" w:firstLineChars="20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（8）道路绿化带及悬垂挂箱冬季浇水应注意不要让水溢出，避免造成路面结冰。</w:t>
      </w:r>
    </w:p>
    <w:p>
      <w:pPr>
        <w:wordWrap/>
        <w:adjustRightInd w:val="0"/>
        <w:snapToGrid/>
        <w:spacing w:before="0" w:beforeAutospacing="0" w:after="0" w:afterAutospacing="0" w:line="600" w:lineRule="exact"/>
        <w:ind w:firstLine="480" w:firstLineChars="20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1.6.道路绿化带养护作业必须穿着有反光条的工作服，做到文明作业，尽量减少对行车的干扰。</w:t>
      </w:r>
    </w:p>
    <w:p>
      <w:pPr>
        <w:wordWrap/>
        <w:adjustRightInd w:val="0"/>
        <w:snapToGrid/>
        <w:spacing w:before="0" w:beforeAutospacing="0" w:after="0" w:afterAutospacing="0" w:line="600" w:lineRule="exact"/>
        <w:ind w:firstLine="480" w:firstLineChars="20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 xml:space="preserve">1.7.招标绿地内涉及到时花养护标准具体参照《杭州市城区花坛、花境养护管理规定（试行）》，加强对花卉的养护管理。时花更换全年至少为六次，在每一次更换时必须要将时花品种、数量方案事先向采购人报备，由采购人确定种植方案，否则将作无更换时花处理，种后由采购人现场验收签字确定，该项费用由投标人自行考虑，含在投标总报价中。 </w:t>
      </w:r>
    </w:p>
    <w:p>
      <w:pPr>
        <w:wordWrap/>
        <w:adjustRightInd w:val="0"/>
        <w:snapToGrid w:val="0"/>
        <w:spacing w:before="0" w:beforeAutospacing="0" w:after="0" w:afterAutospacing="0" w:line="600" w:lineRule="exact"/>
        <w:ind w:firstLine="470" w:firstLineChars="196"/>
        <w:jc w:val="both"/>
        <w:textAlignment w:val="baseline"/>
        <w:rPr>
          <w:rStyle w:val="962"/>
          <w:rFonts w:hint="eastAsia" w:ascii="宋体" w:hAnsi="宋体" w:eastAsia="宋体" w:cs="宋体"/>
          <w:b w:val="0"/>
          <w:bCs/>
          <w:i w:val="0"/>
          <w:caps w:val="0"/>
          <w:color w:val="auto"/>
          <w:spacing w:val="0"/>
          <w:w w:val="100"/>
          <w:kern w:val="2"/>
          <w:sz w:val="24"/>
          <w:szCs w:val="24"/>
          <w:highlight w:val="none"/>
          <w:lang w:val="en-US" w:eastAsia="zh-CN" w:bidi="ar-SA"/>
        </w:rPr>
      </w:pPr>
      <w:r>
        <w:rPr>
          <w:rStyle w:val="962"/>
          <w:rFonts w:hint="eastAsia" w:ascii="宋体" w:hAnsi="宋体" w:eastAsia="宋体" w:cs="宋体"/>
          <w:b w:val="0"/>
          <w:bCs/>
          <w:i w:val="0"/>
          <w:caps w:val="0"/>
          <w:color w:val="auto"/>
          <w:spacing w:val="0"/>
          <w:w w:val="100"/>
          <w:kern w:val="2"/>
          <w:sz w:val="24"/>
          <w:szCs w:val="24"/>
          <w:highlight w:val="none"/>
          <w:lang w:val="en-US" w:eastAsia="zh-CN" w:bidi="ar-SA"/>
        </w:rPr>
        <w:t>2.养护管理其他要求：</w:t>
      </w:r>
    </w:p>
    <w:p>
      <w:pPr>
        <w:wordWrap/>
        <w:adjustRightInd w:val="0"/>
        <w:snapToGrid w:val="0"/>
        <w:spacing w:before="0" w:beforeAutospacing="0" w:after="0" w:afterAutospacing="0" w:line="600" w:lineRule="exact"/>
        <w:ind w:firstLine="360" w:firstLineChars="15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1）投标方在养护作业中投入的机械设备、人员配置等必须与投标文件中所承诺的数量规格相符合。加强日常作业质量管理，做好作业质量自查日记，按时报送工作报表，一般每月25日前将下月工作计划上报采购人。</w:t>
      </w:r>
    </w:p>
    <w:p>
      <w:pPr>
        <w:wordWrap/>
        <w:adjustRightInd w:val="0"/>
        <w:snapToGrid w:val="0"/>
        <w:spacing w:before="0" w:beforeAutospacing="0" w:after="0" w:afterAutospacing="0" w:line="600" w:lineRule="exact"/>
        <w:ind w:firstLine="360" w:firstLineChars="15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（2）规范管理、文明作业、自觉接受采购人及其上级各部门领导的检查和社会监督，对出现的问题要及时整改。</w:t>
      </w:r>
    </w:p>
    <w:p>
      <w:pPr>
        <w:wordWrap/>
        <w:adjustRightInd w:val="0"/>
        <w:snapToGrid w:val="0"/>
        <w:spacing w:before="0" w:beforeAutospacing="0" w:after="0" w:afterAutospacing="0" w:line="600" w:lineRule="exact"/>
        <w:ind w:firstLine="360" w:firstLineChars="15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3）作业时应严格遵守交通规则、遵守安全操作规程，作业人员上路作业时须统一穿戴安全反光背心。加强日常安全生产管理，确保职工人身安全。如遇各种意外事故发生由中标单位自行负责，并依照法律法规妥善处理（事故情况应及时书面告知采购人）。</w:t>
      </w:r>
    </w:p>
    <w:p>
      <w:pPr>
        <w:wordWrap/>
        <w:adjustRightInd w:val="0"/>
        <w:snapToGrid/>
        <w:spacing w:before="0" w:beforeAutospacing="0" w:after="0" w:afterAutospacing="0" w:line="600" w:lineRule="exact"/>
        <w:ind w:firstLine="360" w:firstLineChars="15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4）①对枯死的树木应连同根部在规定时间内挖除，并在挖除后3天内补种完毕，补种苗木的规格、品种和原苗木基本相同，特殊情况无法补种原规格苗木的，需经采购人同意。②建筑废弃物在接到通知后24小时内清理完毕并及时外运。③因养护企业巡查不力，遇到因人为或其它因素造成的苗木损坏，包括因重大活动造成的损坏，养护企业必须无条件在3天内补种完毕，如遇特殊情况无法及时补种，须经采购人同意。④未经采购人同意，中标单位不得擅自挖掘毁坏苗木，一经发现，责令整改，通报批评，情节严重的，终止合同。</w:t>
      </w:r>
    </w:p>
    <w:p>
      <w:pPr>
        <w:wordWrap/>
        <w:adjustRightInd w:val="0"/>
        <w:snapToGrid/>
        <w:spacing w:before="0" w:beforeAutospacing="0" w:after="0" w:afterAutospacing="0" w:line="600" w:lineRule="exact"/>
        <w:ind w:firstLine="360" w:firstLineChars="15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5）制定全年及每月绿地养护工作计划，主要包括绿地的各类养护措施（如施肥、修剪、病虫害防治、植物浇水等）、养护质量及安全保证、养护应急管理预案（抗旱、抗涝、抗台、抗寒、抗雪等）、重点技术措施等，并于中标后及时上报采购人。安排养护管理力量，制定劳动力计划表，做好突击性工作的应急安排等，落实专职养护人员名单，养护管理责任人名单。制定时花调换全年计划，包括图案设计方案、花卉品种、调换时间、养护管理等。</w:t>
      </w:r>
    </w:p>
    <w:p>
      <w:pPr>
        <w:wordWrap/>
        <w:adjustRightInd w:val="0"/>
        <w:snapToGrid/>
        <w:spacing w:before="0" w:beforeAutospacing="0" w:after="0" w:afterAutospacing="0" w:line="600" w:lineRule="exact"/>
        <w:ind w:firstLine="360" w:firstLineChars="15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（6）道路绿化中标后，应给每一个道路绿化工作人员购买人身意外伤害保险；</w:t>
      </w:r>
    </w:p>
    <w:p>
      <w:pPr>
        <w:wordWrap/>
        <w:adjustRightInd w:val="0"/>
        <w:snapToGrid/>
        <w:spacing w:before="0" w:beforeAutospacing="0" w:after="0" w:afterAutospacing="0" w:line="600" w:lineRule="exact"/>
        <w:ind w:firstLine="360" w:firstLineChars="15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（7）加强绿化养护应急响应管理工作，具体要求参照《杭州市城区绿化防台树木支撑工作方案》。</w:t>
      </w:r>
    </w:p>
    <w:p>
      <w:pPr>
        <w:wordWrap/>
        <w:adjustRightInd w:val="0"/>
        <w:snapToGrid/>
        <w:spacing w:before="0" w:beforeAutospacing="0" w:after="0" w:afterAutospacing="0" w:line="600" w:lineRule="exact"/>
        <w:ind w:firstLine="48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①制定灾害性天气应急预案，建立应急救灾队伍，将应急预案和人员名单上报采购人备案。</w:t>
      </w:r>
    </w:p>
    <w:p>
      <w:pPr>
        <w:wordWrap/>
        <w:adjustRightInd w:val="0"/>
        <w:snapToGrid/>
        <w:spacing w:before="0" w:beforeAutospacing="0" w:after="0" w:afterAutospacing="0" w:line="600" w:lineRule="exact"/>
        <w:ind w:firstLine="480" w:firstLineChars="20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②建立应急备货制，备货的内容有：抗旱、抗涝、抗台、抗寒、抗雪等物资（支撑钢管、毛竹、水泵、遮阴网、草包等），快速支撑钢管只能做为一部分应急物资储备，不是唯一的抗台应急物资。</w:t>
      </w:r>
    </w:p>
    <w:p>
      <w:pPr>
        <w:wordWrap/>
        <w:adjustRightInd w:val="0"/>
        <w:snapToGrid/>
        <w:spacing w:before="0" w:beforeAutospacing="0" w:after="0" w:afterAutospacing="0" w:line="600" w:lineRule="exact"/>
        <w:ind w:firstLine="480" w:firstLineChars="20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 xml:space="preserve">③遇灾害性天气，听从采购人统一指挥，及时组织人员夏季抗旱、抗台，冬季遇积雪必须及时组织人员进行抗雪。遇到树木斜倒时，根据采购人要求，做好清障扶正工作。 </w:t>
      </w:r>
    </w:p>
    <w:p>
      <w:pPr>
        <w:wordWrap/>
        <w:adjustRightInd w:val="0"/>
        <w:snapToGrid/>
        <w:spacing w:before="0" w:beforeAutospacing="0" w:after="0" w:afterAutospacing="0" w:line="600" w:lineRule="exact"/>
        <w:ind w:firstLine="480" w:firstLineChars="20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④做好防台树木支撑工作，在市气象台发出台风预警信号以后，立即做好树木支撑工作。</w:t>
      </w:r>
    </w:p>
    <w:p>
      <w:pPr>
        <w:wordWrap/>
        <w:adjustRightInd w:val="0"/>
        <w:snapToGrid w:val="0"/>
        <w:spacing w:before="0" w:beforeAutospacing="0" w:after="0" w:afterAutospacing="0" w:line="600" w:lineRule="exact"/>
        <w:ind w:firstLine="360" w:firstLineChars="15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（8）中标单位根据采购人通知要求，做好各类“迎检”和“创建”准备工作。</w:t>
      </w:r>
    </w:p>
    <w:p>
      <w:pPr>
        <w:wordWrap/>
        <w:adjustRightInd w:val="0"/>
        <w:snapToGrid/>
        <w:spacing w:before="0" w:beforeAutospacing="0" w:after="0" w:afterAutospacing="0" w:line="600" w:lineRule="exact"/>
        <w:ind w:firstLine="360" w:firstLineChars="15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（9）经过园林绿化管理部门批准的绿地内挖掘及占用绿地时，中标单位应予以积极配合，复种后的绿地应由中标单位负责正常养护。</w:t>
      </w:r>
    </w:p>
    <w:p>
      <w:pPr>
        <w:wordWrap/>
        <w:adjustRightIn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10</w:t>
      </w:r>
      <w:r>
        <w:rPr>
          <w:rFonts w:hint="eastAsia" w:ascii="宋体" w:hAnsi="宋体" w:eastAsia="宋体" w:cs="宋体"/>
          <w:color w:val="auto"/>
          <w:sz w:val="24"/>
          <w:highlight w:val="none"/>
        </w:rPr>
        <w:t>）要求公园、广场内的园路、硬质铺装、所有照明设施等养护质量达到《余杭区市政设施养护质量标准》。包括公园、广场内设施油漆，发现油漆剥落问题，即知即改；木质景观廊架、长廊油漆，每年梅雨季节前油漆桐油一次；保持园内水池清洁，水体不浑浊、无漂浮物、无青苔等其它垃圾。</w:t>
      </w:r>
    </w:p>
    <w:p>
      <w:pPr>
        <w:wordWrap/>
        <w:adjustRightInd w:val="0"/>
        <w:spacing w:line="600" w:lineRule="exact"/>
        <w:ind w:firstLine="480" w:firstLineChars="200"/>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11</w:t>
      </w:r>
      <w:r>
        <w:rPr>
          <w:rFonts w:hint="eastAsia" w:ascii="宋体" w:hAnsi="宋体" w:eastAsia="宋体" w:cs="宋体"/>
          <w:color w:val="auto"/>
          <w:sz w:val="24"/>
          <w:highlight w:val="none"/>
        </w:rPr>
        <w:t>）建立日常巡查制度，巡查人员对所管辖的绿地每天巡查一次，发现问题及时整改。建立养护管理工作台帐，做好养护工作日报、月报、年报，健全养护档案制度。</w:t>
      </w:r>
    </w:p>
    <w:p>
      <w:pPr>
        <w:wordWrap/>
        <w:adjustRightInd w:val="0"/>
        <w:snapToGrid/>
        <w:spacing w:before="0" w:beforeAutospacing="0" w:after="0" w:afterAutospacing="0" w:line="600" w:lineRule="exact"/>
        <w:ind w:firstLine="360" w:firstLineChars="15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（12）绿化养护期内产生的各种的垃圾必须进入垃圾中转站，其处理产生费用由中标单位负责。</w:t>
      </w:r>
    </w:p>
    <w:p>
      <w:pPr>
        <w:pStyle w:val="963"/>
        <w:widowControl/>
        <w:wordWrap/>
        <w:adjustRightInd w:val="0"/>
        <w:snapToGrid/>
        <w:spacing w:before="0" w:beforeAutospacing="0" w:after="0" w:afterAutospacing="0" w:line="600" w:lineRule="exact"/>
        <w:ind w:firstLine="352" w:firstLineChars="147"/>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（13）中标单位在养护管理期间，由于养管不力，采购人有权终止合同，并由中标单位承担一切责任。</w:t>
      </w:r>
    </w:p>
    <w:p>
      <w:pPr>
        <w:wordWrap/>
        <w:adjustRightIn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三</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市政养护</w:t>
      </w:r>
      <w:r>
        <w:rPr>
          <w:rFonts w:hint="eastAsia" w:ascii="宋体" w:hAnsi="宋体" w:eastAsia="宋体" w:cs="宋体"/>
          <w:color w:val="auto"/>
          <w:sz w:val="24"/>
          <w:highlight w:val="none"/>
        </w:rPr>
        <w:t>作业标准</w:t>
      </w:r>
    </w:p>
    <w:p>
      <w:pPr>
        <w:widowControl/>
        <w:wordWrap/>
        <w:adjustRightInd w:val="0"/>
        <w:spacing w:line="600" w:lineRule="exact"/>
        <w:ind w:firstLine="480" w:firstLineChars="200"/>
        <w:jc w:val="left"/>
        <w:rPr>
          <w:rFonts w:hint="eastAsia" w:ascii="宋体" w:hAnsi="宋体" w:eastAsia="宋体" w:cs="宋体"/>
          <w:color w:val="auto"/>
          <w:highlight w:val="none"/>
        </w:rPr>
      </w:pPr>
      <w:bookmarkStart w:id="29" w:name="_Toc113269385"/>
      <w:bookmarkStart w:id="30" w:name="_Toc120939369"/>
      <w:bookmarkStart w:id="31" w:name="_Toc113269438"/>
      <w:r>
        <w:rPr>
          <w:rFonts w:hint="eastAsia" w:ascii="宋体" w:hAnsi="宋体" w:eastAsia="宋体" w:cs="宋体"/>
          <w:color w:val="auto"/>
          <w:kern w:val="0"/>
          <w:sz w:val="24"/>
          <w:szCs w:val="24"/>
          <w:highlight w:val="none"/>
          <w:lang w:val="en-US" w:eastAsia="zh-CN"/>
        </w:rPr>
        <w:t xml:space="preserve">1、中标方在日常巡检、经常性检查和常规的定期检测、定期维护中，发现设施有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明显破损、设备有隐患，应立即进行保养；大面积维修，方案需报甲方审核后实施；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对道路因不适应现有交通量、载重量增长的需要及结构严重损坏，需恢复或提高技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术等级，从而提高其运行能力的加固、改扩建工程，乙方应专题上报，并经甲方审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定后申请立项。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2、中标方应建立一路一档，健全日常养护作业记录，认真做好台帐的整理和归档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工作，及时将日常养护、维修、检测、技术状况评价等相关数据及时、准确报送至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甲方。</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3、针对配套管线、管沟、无产权单位窨井发生下沉、坍塌等情况，对于产权明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确的管线、窨井问题（如电力、电信、自来水等），及时报告甲方同时必须通知相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应产权单位自行维护、处理；一时无法确定产权单位、存在安全隐患、无产权单位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窨井发生下沉、坍塌等情况，乙方应做好临时维护措施，确保行人、车辆安全，同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时及时报告采购方。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4、养护作业单位安全生产工作落实，避免发生交通事故，对辖区一线道路养护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人员进行安全生产全面轮训，新上岗人员应实施安全生产培训后方可上岗，自觉养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成“一停二看三作业”的良好习惯，提高自我防范意识。如遇意外伤亡交通事故发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生应及时上报。养护人员须穿反光背心，作业车辆要在车辆前部、后部、两侧设置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反光标识。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5其他要求（一标、二标、三标、四标）：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5.1 本项目投标报价为费率报价包括（人工费、材料费、机械使用费、相关设备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系统安装费、管理、利润、规费、税金、招标代理费、有关部门的验收费、政策性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文件规定及合同包含的所有风险、责任及其他因本项目而产生的一切费用。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5.2 养护期限内，明确承包人只有养护权，没有管理权，市政道路设施管理由杭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州市余杭区人民政府五常街道办事处全权管理。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5.3 投标人中标后，发包人与中标人签订安全生产责任书，责任书中明确提出，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在养护期间所发生的任何安全事故一律由承包人负责，发包人不承担任何责任。发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包人会定期对安全生产进行检查，万一出现安全事故，发包人有义务帮助承包人协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调解决。</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5.4 施工养护期间，对于原市政道路设施存在的问题，承包人负有担负调查、分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析原因和提出整改方案的义务，具体更换或维修由发包人统一安排。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5.5 在养护期限内产生的各种费用（运输、装卸、堆放、场地租用费及其他有关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费用）由投标单位负责。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5.6 中标人必须做好相关工作人员安全、文明的教育交底工作，交通安全、用电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安全尤其是道路安全隐患（比如道路坑洞、井盖缺失或破损）的排查工作，如发生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安全意外事故，一切责任由中标单位负责，负责做好赔偿等事宜。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5.7 本养护项目考核评分细则中的内容，也作为本工程招标的特殊条款，为招标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文件的组成部分，作为中标后养护管理的考核标准，施工养护期内，招标人有权修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改、完善、提升养护考核细则，更新的养护细则中标人须无条件接受。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5.8 道路养护巡查每次至少两个人，交通工具视具体情况而定，鼓励自行车或步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行为主，及时发现问题，涉及安全事宜，应立即采取措施，清除安全隐患，事后及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时报告，若巡查不到位，造成不良影响的，每次罚款 2000 元。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5.9 养护人员需统一服装，并有相应上岗证，在道路上养护时，需做好用电安全、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交通安全维护，如有需要须经交警部门审批后方可实施。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5.10 道路养护单位中标后必须配备 100 米以上的移动标准标志牌，尺寸为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1.5m*1.2m。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5.11 市政道路养护单位必须重视养护工程质量，各分项工程质量（比如砼、水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稳、沥青砼路面等）必须符合市政工程施工质量规范相关规定，施工过程必须做好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相应的试块，并送专业实验室检测，检测费用由中标单位承担，若经过相关试验检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测结果不合格，须返工处理，投标人必须无条件接受。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5.12 若市政道路砼、水稳、沥青砼路面存在外观欠佳、平整度差、表面松散等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情况，招标人有权决定是否返工处理，投标人必须无条件接受。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5.13 为缩短沥青路面修补的时间，保持道路安全畅通和城市整洁美观，要求沥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青路面修补在基层保养合格后或接到业主要求后，当天完成沥青路面修补。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5.14 在养护过程中，发包人若在该区域有新接收的市政道路设施，有权要求承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包人无条件养护，养护工作量按实计算。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5.15 在承包期内如因承包人原因造成招标人财产损失的，招标人有权酌情扣去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履约保证金。 </w:t>
      </w:r>
    </w:p>
    <w:p>
      <w:pPr>
        <w:widowControl/>
        <w:wordWrap/>
        <w:adjustRightIn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kern w:val="0"/>
          <w:sz w:val="24"/>
          <w:szCs w:val="24"/>
          <w:highlight w:val="none"/>
          <w:lang w:val="en-US" w:eastAsia="zh-CN"/>
        </w:rPr>
        <w:t xml:space="preserve">5.16 具体在养护合同中予以明确。 </w:t>
      </w:r>
      <w:bookmarkEnd w:id="29"/>
      <w:bookmarkEnd w:id="30"/>
      <w:bookmarkEnd w:id="31"/>
    </w:p>
    <w:p>
      <w:pPr>
        <w:pStyle w:val="36"/>
        <w:snapToGrid w:val="0"/>
        <w:spacing w:line="600" w:lineRule="exact"/>
        <w:ind w:firstLine="241" w:firstLineChars="1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九</w:t>
      </w:r>
      <w:r>
        <w:rPr>
          <w:rFonts w:hint="eastAsia" w:ascii="宋体" w:hAnsi="宋体" w:eastAsia="宋体" w:cs="宋体"/>
          <w:b/>
          <w:bCs/>
          <w:color w:val="auto"/>
          <w:sz w:val="24"/>
          <w:highlight w:val="none"/>
        </w:rPr>
        <w:t>、综合养护考核</w:t>
      </w:r>
    </w:p>
    <w:p>
      <w:pPr>
        <w:widowControl w:val="0"/>
        <w:wordWrap/>
        <w:adjustRightInd/>
        <w:snapToGrid/>
        <w:spacing w:line="560" w:lineRule="exact"/>
        <w:jc w:val="center"/>
        <w:textAlignment w:val="auto"/>
        <w:rPr>
          <w:rFonts w:hint="eastAsia" w:ascii="宋体" w:hAnsi="宋体" w:eastAsia="宋体" w:cs="宋体"/>
          <w:b/>
          <w:bCs/>
          <w:color w:val="auto"/>
          <w:sz w:val="24"/>
          <w:highlight w:val="none"/>
        </w:rPr>
      </w:pPr>
      <w:r>
        <w:rPr>
          <w:rFonts w:hint="eastAsia" w:ascii="宋体" w:hAnsi="宋体" w:cs="宋体"/>
          <w:b/>
          <w:bCs/>
          <w:snapToGrid w:val="0"/>
          <w:color w:val="auto"/>
          <w:kern w:val="2"/>
          <w:sz w:val="24"/>
          <w:szCs w:val="21"/>
          <w:highlight w:val="none"/>
          <w:lang w:val="en-US" w:eastAsia="zh-CN" w:bidi="ar-SA"/>
        </w:rPr>
        <w:t xml:space="preserve">  </w:t>
      </w:r>
      <w:r>
        <w:rPr>
          <w:rFonts w:hint="eastAsia" w:ascii="宋体" w:hAnsi="宋体" w:eastAsia="宋体" w:cs="宋体"/>
          <w:b/>
          <w:bCs/>
          <w:snapToGrid w:val="0"/>
          <w:color w:val="auto"/>
          <w:kern w:val="2"/>
          <w:sz w:val="24"/>
          <w:szCs w:val="21"/>
          <w:highlight w:val="none"/>
          <w:lang w:val="en-US" w:eastAsia="zh-CN" w:bidi="ar-SA"/>
        </w:rPr>
        <w:t>按</w:t>
      </w:r>
      <w:r>
        <w:rPr>
          <w:rFonts w:hint="eastAsia" w:ascii="宋体" w:hAnsi="宋体" w:cs="宋体"/>
          <w:b/>
          <w:bCs/>
          <w:snapToGrid w:val="0"/>
          <w:color w:val="auto"/>
          <w:kern w:val="2"/>
          <w:sz w:val="24"/>
          <w:szCs w:val="21"/>
          <w:highlight w:val="none"/>
          <w:lang w:val="en-US" w:eastAsia="zh-CN" w:bidi="ar-SA"/>
        </w:rPr>
        <w:t>《</w:t>
      </w:r>
      <w:r>
        <w:rPr>
          <w:rFonts w:hint="eastAsia" w:ascii="宋体" w:hAnsi="宋体" w:eastAsia="宋体" w:cs="宋体"/>
          <w:b/>
          <w:bCs/>
          <w:snapToGrid w:val="0"/>
          <w:color w:val="auto"/>
          <w:kern w:val="2"/>
          <w:sz w:val="24"/>
          <w:szCs w:val="21"/>
          <w:highlight w:val="none"/>
          <w:lang w:val="en-US" w:eastAsia="zh-CN" w:bidi="ar-SA"/>
        </w:rPr>
        <w:t>关于进一步完善五常街道城市一体化综合养护考核办法的通知</w:t>
      </w:r>
      <w:r>
        <w:rPr>
          <w:rFonts w:hint="eastAsia" w:ascii="宋体" w:hAnsi="宋体" w:cs="宋体"/>
          <w:b/>
          <w:bCs/>
          <w:snapToGrid w:val="0"/>
          <w:color w:val="auto"/>
          <w:kern w:val="2"/>
          <w:sz w:val="24"/>
          <w:szCs w:val="21"/>
          <w:highlight w:val="none"/>
          <w:lang w:val="en-US" w:eastAsia="zh-CN" w:bidi="ar-SA"/>
        </w:rPr>
        <w:t>》</w:t>
      </w:r>
      <w:r>
        <w:rPr>
          <w:rFonts w:hint="eastAsia" w:ascii="宋体" w:hAnsi="宋体" w:eastAsia="宋体" w:cs="宋体"/>
          <w:b/>
          <w:bCs/>
          <w:color w:val="auto"/>
          <w:sz w:val="24"/>
          <w:highlight w:val="none"/>
        </w:rPr>
        <w:t>（附件1-</w:t>
      </w:r>
      <w:r>
        <w:rPr>
          <w:rFonts w:hint="eastAsia" w:hAnsi="宋体" w:cs="宋体"/>
          <w:b/>
          <w:bCs/>
          <w:color w:val="auto"/>
          <w:sz w:val="24"/>
          <w:highlight w:val="none"/>
          <w:lang w:val="en-US" w:eastAsia="zh-CN"/>
        </w:rPr>
        <w:t>6</w:t>
      </w:r>
      <w:r>
        <w:rPr>
          <w:rFonts w:hint="eastAsia" w:ascii="宋体" w:hAnsi="宋体" w:eastAsia="宋体" w:cs="宋体"/>
          <w:b/>
          <w:bCs/>
          <w:color w:val="auto"/>
          <w:sz w:val="24"/>
          <w:highlight w:val="none"/>
        </w:rPr>
        <w:t>）规定执行。</w:t>
      </w:r>
    </w:p>
    <w:p>
      <w:pPr>
        <w:pStyle w:val="36"/>
        <w:snapToGrid w:val="0"/>
        <w:spacing w:line="600" w:lineRule="exact"/>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十一</w:t>
      </w:r>
      <w:r>
        <w:rPr>
          <w:rFonts w:hint="eastAsia" w:ascii="宋体" w:hAnsi="宋体" w:eastAsia="宋体" w:cs="宋体"/>
          <w:b/>
          <w:bCs/>
          <w:color w:val="auto"/>
          <w:sz w:val="24"/>
          <w:highlight w:val="none"/>
        </w:rPr>
        <w:t>、授予合同</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1、中标单位应在接到中标通知书30天内按照招标文件和中标人的投标文件签订服务承包合同（进场作业时间由招标单位确定后通知中标单位），并提交中标价</w:t>
      </w:r>
      <w:r>
        <w:rPr>
          <w:rFonts w:hint="eastAsia" w:hAnsi="宋体" w:cs="宋体"/>
          <w:color w:val="auto"/>
          <w:sz w:val="24"/>
          <w:highlight w:val="none"/>
          <w:lang w:val="en-US" w:eastAsia="zh-CN"/>
        </w:rPr>
        <w:t>1</w:t>
      </w:r>
      <w:r>
        <w:rPr>
          <w:rFonts w:hint="eastAsia" w:ascii="宋体" w:hAnsi="宋体" w:eastAsia="宋体" w:cs="宋体"/>
          <w:color w:val="auto"/>
          <w:sz w:val="24"/>
          <w:highlight w:val="none"/>
        </w:rPr>
        <w:t>%的履约保证金，若中标人借故拖延或拒签合同或对标函方案和标价计算作出随意更改的，即取消中标资格，没收投标保证金，并另选中标人，并按标价的10%补偿招标单位的经济损失。</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2、定标后，招标人借故拖延合同或改变中标单位的，依据有关法律、法规的规定执行。</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3、招标文件中的服务期即为合同服务期。</w:t>
      </w:r>
    </w:p>
    <w:p>
      <w:pPr>
        <w:widowControl w:val="0"/>
        <w:wordWrap/>
        <w:adjustRightInd/>
        <w:snapToGrid/>
        <w:spacing w:line="560" w:lineRule="exact"/>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4、中标单位须按招标人的招标文件、规定、综合养护标准认真履行合同，甲方根据招标文件、</w:t>
      </w:r>
      <w:r>
        <w:rPr>
          <w:rFonts w:hint="eastAsia" w:ascii="宋体" w:hAnsi="宋体" w:eastAsia="宋体" w:cs="宋体"/>
          <w:color w:val="auto"/>
          <w:sz w:val="24"/>
          <w:highlight w:val="none"/>
          <w:lang w:eastAsia="zh-CN"/>
        </w:rPr>
        <w:t>《</w:t>
      </w:r>
      <w:r>
        <w:rPr>
          <w:rFonts w:hint="eastAsia" w:ascii="宋体" w:hAnsi="宋体" w:eastAsia="宋体" w:cs="宋体"/>
          <w:b/>
          <w:bCs/>
          <w:snapToGrid w:val="0"/>
          <w:color w:val="auto"/>
          <w:kern w:val="2"/>
          <w:sz w:val="24"/>
          <w:szCs w:val="21"/>
          <w:highlight w:val="none"/>
          <w:lang w:val="en-US" w:eastAsia="zh-CN" w:bidi="ar-SA"/>
        </w:rPr>
        <w:t>关于进一步完善五常街道城市一体化综合养护考核办法的通知</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附件1-</w:t>
      </w:r>
      <w:r>
        <w:rPr>
          <w:rFonts w:hint="eastAsia" w:hAnsi="宋体" w:cs="宋体"/>
          <w:color w:val="auto"/>
          <w:sz w:val="24"/>
          <w:highlight w:val="none"/>
          <w:lang w:val="en-US" w:eastAsia="zh-CN"/>
        </w:rPr>
        <w:t>6</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规定执行及其它有关规定、技术标准执。</w:t>
      </w:r>
    </w:p>
    <w:p>
      <w:pPr>
        <w:pStyle w:val="36"/>
        <w:snapToGrid w:val="0"/>
        <w:spacing w:line="600" w:lineRule="exact"/>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十二</w:t>
      </w:r>
      <w:r>
        <w:rPr>
          <w:rFonts w:hint="eastAsia" w:ascii="宋体" w:hAnsi="宋体" w:eastAsia="宋体" w:cs="宋体"/>
          <w:b/>
          <w:bCs/>
          <w:color w:val="auto"/>
          <w:sz w:val="24"/>
          <w:highlight w:val="none"/>
        </w:rPr>
        <w:t>、履约保证金</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1、中标人在签订合同后需向招标人提交合同价金额</w:t>
      </w:r>
      <w:r>
        <w:rPr>
          <w:rFonts w:hint="eastAsia" w:hAnsi="宋体" w:cs="宋体"/>
          <w:color w:val="auto"/>
          <w:sz w:val="24"/>
          <w:highlight w:val="none"/>
          <w:lang w:val="en-US" w:eastAsia="zh-CN"/>
        </w:rPr>
        <w:t>1</w:t>
      </w:r>
      <w:r>
        <w:rPr>
          <w:rFonts w:hint="eastAsia" w:ascii="宋体" w:hAnsi="宋体" w:eastAsia="宋体" w:cs="宋体"/>
          <w:color w:val="auto"/>
          <w:sz w:val="24"/>
          <w:highlight w:val="none"/>
        </w:rPr>
        <w:t>％的合同履约保证金（保证金缴纳形式：转账支票、汇票、网银、保函等招标人认可的其他形式）,在承包期满后三十天内退还（无息）。如承包期内，中标人没按要求履行合同则保证金不予归还。</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2、在承包期内如因承包人原因造成招标人财产损失的，招标人有权酌情扣去履约保证金。</w:t>
      </w:r>
    </w:p>
    <w:p>
      <w:pPr>
        <w:pStyle w:val="36"/>
        <w:snapToGrid w:val="0"/>
        <w:spacing w:line="600" w:lineRule="exact"/>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十三</w:t>
      </w:r>
      <w:r>
        <w:rPr>
          <w:rFonts w:hint="eastAsia" w:ascii="宋体" w:hAnsi="宋体" w:eastAsia="宋体" w:cs="宋体"/>
          <w:b/>
          <w:bCs/>
          <w:color w:val="auto"/>
          <w:sz w:val="24"/>
          <w:highlight w:val="none"/>
        </w:rPr>
        <w:t>、养护费的支付</w:t>
      </w:r>
    </w:p>
    <w:p>
      <w:pPr>
        <w:pStyle w:val="36"/>
        <w:snapToGrid w:val="0"/>
        <w:spacing w:line="600" w:lineRule="exact"/>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中标单位应在中标通知书发出后7日内并在合同实施前，编写《综合养护方案》上报甲方审核后签订合同，签订合同后，7个工作日内支付总合同价的</w:t>
      </w:r>
      <w:r>
        <w:rPr>
          <w:rFonts w:hint="eastAsia" w:ascii="宋体" w:hAnsi="宋体" w:eastAsia="宋体" w:cs="宋体"/>
          <w:b/>
          <w:bCs/>
          <w:color w:val="auto"/>
          <w:sz w:val="24"/>
          <w:highlight w:val="none"/>
          <w:lang w:val="en-US" w:eastAsia="zh-CN"/>
        </w:rPr>
        <w:t>1</w:t>
      </w:r>
      <w:r>
        <w:rPr>
          <w:rFonts w:hint="eastAsia" w:ascii="宋体" w:hAnsi="宋体" w:eastAsia="宋体" w:cs="宋体"/>
          <w:b/>
          <w:bCs/>
          <w:color w:val="auto"/>
          <w:sz w:val="24"/>
          <w:highlight w:val="none"/>
        </w:rPr>
        <w:t>%作为履约保证金。</w:t>
      </w:r>
    </w:p>
    <w:p>
      <w:pPr>
        <w:pStyle w:val="36"/>
        <w:snapToGrid w:val="0"/>
        <w:spacing w:line="600" w:lineRule="exact"/>
        <w:ind w:firstLine="482" w:firstLineChars="200"/>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根据《浙江省财政厅关于进一步发挥政府采购政策 功能全力推动经济稳进提质的通知》</w:t>
      </w:r>
      <w:r>
        <w:rPr>
          <w:rFonts w:hint="eastAsia" w:ascii="宋体" w:hAnsi="宋体" w:eastAsia="宋体" w:cs="宋体"/>
          <w:b/>
          <w:bCs/>
          <w:color w:val="auto"/>
          <w:sz w:val="24"/>
          <w:highlight w:val="none"/>
        </w:rPr>
        <w:t>浙财采监〔2022〕3号</w:t>
      </w:r>
      <w:r>
        <w:rPr>
          <w:rFonts w:hint="eastAsia" w:ascii="宋体" w:hAnsi="宋体" w:eastAsia="宋体" w:cs="宋体"/>
          <w:b/>
          <w:bCs/>
          <w:color w:val="auto"/>
          <w:sz w:val="24"/>
          <w:highlight w:val="none"/>
          <w:lang w:val="en-US" w:eastAsia="zh-CN"/>
        </w:rPr>
        <w:t>文件相关规定，在签订合同时，供应商明确表示无需预付款或者主动要求降低预付款比例的，采购单位可不适用前述规定。中标单位应响应本项目设置的养护经费条款如下：</w:t>
      </w:r>
    </w:p>
    <w:p>
      <w:pPr>
        <w:pStyle w:val="36"/>
        <w:snapToGrid w:val="0"/>
        <w:spacing w:line="600" w:lineRule="exact"/>
        <w:ind w:firstLine="482" w:firstLineChars="200"/>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（一）设定养护经费预付款支付方式</w:t>
      </w:r>
    </w:p>
    <w:p>
      <w:pPr>
        <w:pStyle w:val="36"/>
        <w:snapToGrid w:val="0"/>
        <w:spacing w:line="600" w:lineRule="exact"/>
        <w:ind w:firstLine="482" w:firstLineChars="200"/>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1、合同签订完成后一个月内，甲方向乙方支付合同金额（除暂定市政养护经费外）的40%作为预付款，其余按实际完成工作量支付。支付养护款时，必须出具有效发票。</w:t>
      </w:r>
    </w:p>
    <w:p>
      <w:pPr>
        <w:pStyle w:val="36"/>
        <w:snapToGrid w:val="0"/>
        <w:spacing w:line="600" w:lineRule="exact"/>
        <w:ind w:firstLine="482" w:firstLineChars="200"/>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2、市政养护经费按实际完成工程量，每季度汇总，按最终审计结果的88%（即下浮12%）支付，剩余审定价的1.5%作为质保金。支付养护款时，必须出具有效发票。</w:t>
      </w:r>
    </w:p>
    <w:p>
      <w:pPr>
        <w:pStyle w:val="36"/>
        <w:snapToGrid w:val="0"/>
        <w:spacing w:line="600" w:lineRule="exact"/>
        <w:ind w:firstLine="482" w:firstLineChars="200"/>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（二）中标单位明确表示无需预付款的养护经费支付方式</w:t>
      </w:r>
    </w:p>
    <w:p>
      <w:pPr>
        <w:pStyle w:val="36"/>
        <w:snapToGrid w:val="0"/>
        <w:spacing w:line="600" w:lineRule="exact"/>
        <w:ind w:firstLine="482" w:firstLineChars="200"/>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1、合同签订完成后7日内，乙方以书面函形式明确表示无需预付款。</w:t>
      </w:r>
    </w:p>
    <w:p>
      <w:pPr>
        <w:pStyle w:val="36"/>
        <w:snapToGrid w:val="0"/>
        <w:spacing w:line="600" w:lineRule="exact"/>
        <w:ind w:firstLine="482" w:firstLineChars="200"/>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2、绿化养护、保洁经费（不含市政道路养护费用），根据市、区级每季度考核情况及街道考核情况，按每季度支付单年除市政养护费外的合同价22.5%，在下一季度首月上旬支付，剩余单年除市政养护费外的合同价款10%作为质保金，待单年合同结束，由甲方组织验收通过后，在下一季度首月上旬支付。支付养护款时，必须出具有效发票。</w:t>
      </w:r>
    </w:p>
    <w:p>
      <w:pPr>
        <w:pStyle w:val="36"/>
        <w:snapToGrid w:val="0"/>
        <w:spacing w:line="600" w:lineRule="exact"/>
        <w:ind w:firstLine="482" w:firstLineChars="200"/>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3、市政养护经费按实际完成工程量，每季度汇总，按最终审计结果的88%（即下浮12%）支付，剩余审定价的1.5%作为质保金。支付养护款时，必须出具有效发票。</w:t>
      </w:r>
    </w:p>
    <w:p>
      <w:pPr>
        <w:spacing w:line="600" w:lineRule="exact"/>
        <w:jc w:val="both"/>
        <w:rPr>
          <w:rFonts w:hint="eastAsia" w:ascii="宋体" w:hAnsi="宋体" w:eastAsia="宋体" w:cs="宋体"/>
          <w:b/>
          <w:color w:val="auto"/>
          <w:sz w:val="28"/>
          <w:szCs w:val="28"/>
          <w:highlight w:val="none"/>
        </w:rPr>
      </w:pPr>
    </w:p>
    <w:p>
      <w:pPr>
        <w:spacing w:line="600" w:lineRule="exact"/>
        <w:ind w:firstLine="2811" w:firstLineChars="1000"/>
        <w:jc w:val="both"/>
        <w:rPr>
          <w:rFonts w:hint="eastAsia" w:ascii="宋体" w:hAnsi="宋体" w:eastAsia="宋体" w:cs="宋体"/>
          <w:b/>
          <w:bCs/>
          <w:color w:val="auto"/>
          <w:sz w:val="28"/>
          <w:szCs w:val="28"/>
          <w:highlight w:val="none"/>
        </w:rPr>
      </w:pPr>
      <w:r>
        <w:rPr>
          <w:rFonts w:hint="eastAsia" w:ascii="宋体" w:hAnsi="宋体" w:eastAsia="宋体" w:cs="宋体"/>
          <w:b/>
          <w:color w:val="auto"/>
          <w:sz w:val="28"/>
          <w:szCs w:val="28"/>
          <w:highlight w:val="none"/>
        </w:rPr>
        <w:t xml:space="preserve">第四部分   </w:t>
      </w:r>
      <w:bookmarkStart w:id="32" w:name="_Toc184313287"/>
      <w:bookmarkEnd w:id="32"/>
      <w:bookmarkStart w:id="33" w:name="_Toc184310279"/>
      <w:bookmarkEnd w:id="33"/>
      <w:bookmarkStart w:id="34" w:name="_Toc184310328"/>
      <w:bookmarkEnd w:id="34"/>
      <w:bookmarkStart w:id="35" w:name="_Toc184313273"/>
      <w:bookmarkEnd w:id="35"/>
      <w:bookmarkStart w:id="36" w:name="_Toc184310314"/>
      <w:bookmarkEnd w:id="36"/>
      <w:bookmarkStart w:id="37" w:name="_Toc184314467"/>
      <w:bookmarkEnd w:id="37"/>
      <w:bookmarkStart w:id="38" w:name="_Toc184313241"/>
      <w:bookmarkEnd w:id="38"/>
      <w:bookmarkStart w:id="39" w:name="_Toc184313300"/>
      <w:bookmarkEnd w:id="39"/>
      <w:bookmarkStart w:id="40" w:name="_Toc184308059"/>
      <w:bookmarkEnd w:id="40"/>
      <w:bookmarkStart w:id="41" w:name="_Toc184312103"/>
      <w:bookmarkEnd w:id="41"/>
      <w:bookmarkStart w:id="42" w:name="_Toc184308101"/>
      <w:bookmarkEnd w:id="42"/>
      <w:bookmarkStart w:id="43" w:name="_Toc184312120"/>
      <w:bookmarkEnd w:id="43"/>
      <w:bookmarkStart w:id="44" w:name="_Toc184314422"/>
      <w:bookmarkEnd w:id="44"/>
      <w:bookmarkStart w:id="45" w:name="_Toc184313240"/>
      <w:bookmarkEnd w:id="45"/>
      <w:bookmarkStart w:id="46" w:name="_Toc184310294"/>
      <w:bookmarkEnd w:id="46"/>
      <w:bookmarkStart w:id="47" w:name="_Toc184308045"/>
      <w:bookmarkEnd w:id="47"/>
      <w:bookmarkStart w:id="48" w:name="_Toc184313280"/>
      <w:bookmarkEnd w:id="48"/>
      <w:bookmarkStart w:id="49" w:name="_Toc184314424"/>
      <w:bookmarkEnd w:id="49"/>
      <w:bookmarkStart w:id="50" w:name="_Toc184308060"/>
      <w:bookmarkEnd w:id="50"/>
      <w:bookmarkStart w:id="51" w:name="_Toc184308051"/>
      <w:bookmarkEnd w:id="51"/>
      <w:bookmarkStart w:id="52" w:name="_Toc184308094"/>
      <w:bookmarkEnd w:id="52"/>
      <w:bookmarkStart w:id="53" w:name="_Toc184308075"/>
      <w:bookmarkEnd w:id="53"/>
      <w:bookmarkStart w:id="54" w:name="_Toc184310282"/>
      <w:bookmarkEnd w:id="54"/>
      <w:bookmarkStart w:id="55" w:name="_Toc184314464"/>
      <w:bookmarkEnd w:id="55"/>
      <w:bookmarkStart w:id="56" w:name="_Toc184312104"/>
      <w:bookmarkEnd w:id="56"/>
      <w:bookmarkStart w:id="57" w:name="_Toc184308098"/>
      <w:bookmarkEnd w:id="57"/>
      <w:bookmarkStart w:id="58" w:name="_Toc184313291"/>
      <w:bookmarkEnd w:id="58"/>
      <w:bookmarkStart w:id="59" w:name="_Toc184312110"/>
      <w:bookmarkEnd w:id="59"/>
      <w:bookmarkStart w:id="60" w:name="_Toc184313266"/>
      <w:bookmarkEnd w:id="60"/>
      <w:bookmarkStart w:id="61" w:name="_Toc184310290"/>
      <w:bookmarkEnd w:id="61"/>
      <w:bookmarkStart w:id="62" w:name="_Toc184314475"/>
      <w:bookmarkEnd w:id="62"/>
      <w:bookmarkStart w:id="63" w:name="_Toc184308108"/>
      <w:bookmarkEnd w:id="63"/>
      <w:bookmarkStart w:id="64" w:name="_Toc184314446"/>
      <w:bookmarkEnd w:id="64"/>
      <w:bookmarkStart w:id="65" w:name="_Toc184312111"/>
      <w:bookmarkEnd w:id="65"/>
      <w:bookmarkStart w:id="66" w:name="_Toc184314437"/>
      <w:bookmarkEnd w:id="66"/>
      <w:bookmarkStart w:id="67" w:name="_Toc184308043"/>
      <w:bookmarkEnd w:id="67"/>
      <w:bookmarkStart w:id="68" w:name="_Toc184310323"/>
      <w:bookmarkEnd w:id="68"/>
      <w:bookmarkStart w:id="69" w:name="_Toc184310304"/>
      <w:bookmarkEnd w:id="69"/>
      <w:bookmarkStart w:id="70" w:name="_Toc184308076"/>
      <w:bookmarkEnd w:id="70"/>
      <w:bookmarkStart w:id="71" w:name="_Toc184313294"/>
      <w:bookmarkEnd w:id="71"/>
      <w:bookmarkStart w:id="72" w:name="_Toc184312067"/>
      <w:bookmarkEnd w:id="72"/>
      <w:bookmarkStart w:id="73" w:name="_Toc184308079"/>
      <w:bookmarkEnd w:id="73"/>
      <w:bookmarkStart w:id="74" w:name="_Toc184310341"/>
      <w:bookmarkEnd w:id="74"/>
      <w:bookmarkStart w:id="75" w:name="_Toc184312076"/>
      <w:bookmarkEnd w:id="75"/>
      <w:bookmarkStart w:id="76" w:name="_Toc184314459"/>
      <w:bookmarkEnd w:id="76"/>
      <w:bookmarkStart w:id="77" w:name="_Toc184313238"/>
      <w:bookmarkEnd w:id="77"/>
      <w:bookmarkStart w:id="78" w:name="_Toc184308042"/>
      <w:bookmarkEnd w:id="78"/>
      <w:bookmarkStart w:id="79" w:name="_Toc184313290"/>
      <w:bookmarkEnd w:id="79"/>
      <w:bookmarkStart w:id="80" w:name="_Toc184313297"/>
      <w:bookmarkEnd w:id="80"/>
      <w:bookmarkStart w:id="81" w:name="_Toc184308068"/>
      <w:bookmarkEnd w:id="81"/>
      <w:bookmarkStart w:id="82" w:name="_Toc184314433"/>
      <w:bookmarkEnd w:id="82"/>
      <w:bookmarkStart w:id="83" w:name="_Toc184313309"/>
      <w:bookmarkEnd w:id="83"/>
      <w:bookmarkStart w:id="84" w:name="_Toc184312082"/>
      <w:bookmarkEnd w:id="84"/>
      <w:bookmarkStart w:id="85" w:name="_Toc184313268"/>
      <w:bookmarkEnd w:id="85"/>
      <w:bookmarkStart w:id="86" w:name="_Toc184314448"/>
      <w:bookmarkEnd w:id="86"/>
      <w:bookmarkStart w:id="87" w:name="_Toc184312134"/>
      <w:bookmarkEnd w:id="87"/>
      <w:bookmarkStart w:id="88" w:name="_Toc184308044"/>
      <w:bookmarkEnd w:id="88"/>
      <w:bookmarkStart w:id="89" w:name="_Toc184310305"/>
      <w:bookmarkEnd w:id="89"/>
      <w:bookmarkStart w:id="90" w:name="_Toc184308086"/>
      <w:bookmarkEnd w:id="90"/>
      <w:bookmarkStart w:id="91" w:name="_Toc184308092"/>
      <w:bookmarkEnd w:id="91"/>
      <w:bookmarkStart w:id="92" w:name="_Toc184312128"/>
      <w:bookmarkEnd w:id="92"/>
      <w:bookmarkStart w:id="93" w:name="_Toc184308054"/>
      <w:bookmarkEnd w:id="93"/>
      <w:bookmarkStart w:id="94" w:name="_Toc184314421"/>
      <w:bookmarkEnd w:id="94"/>
      <w:bookmarkStart w:id="95" w:name="_Toc184308103"/>
      <w:bookmarkEnd w:id="95"/>
      <w:bookmarkStart w:id="96" w:name="_Toc184308082"/>
      <w:bookmarkEnd w:id="96"/>
      <w:bookmarkStart w:id="97" w:name="_Toc184310283"/>
      <w:bookmarkEnd w:id="97"/>
      <w:bookmarkStart w:id="98" w:name="_Toc184312121"/>
      <w:bookmarkEnd w:id="98"/>
      <w:bookmarkStart w:id="99" w:name="_Toc184308087"/>
      <w:bookmarkEnd w:id="99"/>
      <w:bookmarkStart w:id="100" w:name="_Toc184313254"/>
      <w:bookmarkEnd w:id="100"/>
      <w:bookmarkStart w:id="101" w:name="_Toc184310343"/>
      <w:bookmarkEnd w:id="101"/>
      <w:bookmarkStart w:id="102" w:name="_Toc184308097"/>
      <w:bookmarkEnd w:id="102"/>
      <w:bookmarkStart w:id="103" w:name="_Toc184312072"/>
      <w:bookmarkEnd w:id="103"/>
      <w:bookmarkStart w:id="104" w:name="_Toc184314481"/>
      <w:bookmarkEnd w:id="104"/>
      <w:bookmarkStart w:id="105" w:name="_Toc184314453"/>
      <w:bookmarkEnd w:id="105"/>
      <w:bookmarkStart w:id="106" w:name="_Toc184312074"/>
      <w:bookmarkEnd w:id="106"/>
      <w:bookmarkStart w:id="107" w:name="_Toc184312087"/>
      <w:bookmarkEnd w:id="107"/>
      <w:bookmarkStart w:id="108" w:name="_Toc184308037"/>
      <w:bookmarkEnd w:id="108"/>
      <w:bookmarkStart w:id="109" w:name="_Toc184314470"/>
      <w:bookmarkEnd w:id="109"/>
      <w:bookmarkStart w:id="110" w:name="_Toc184314450"/>
      <w:bookmarkEnd w:id="110"/>
      <w:bookmarkStart w:id="111" w:name="_Toc184312091"/>
      <w:bookmarkEnd w:id="111"/>
      <w:bookmarkStart w:id="112" w:name="_Toc184313298"/>
      <w:bookmarkEnd w:id="112"/>
      <w:bookmarkStart w:id="113" w:name="_Toc184313286"/>
      <w:bookmarkEnd w:id="113"/>
      <w:bookmarkStart w:id="114" w:name="_Toc184308106"/>
      <w:bookmarkEnd w:id="114"/>
      <w:bookmarkStart w:id="115" w:name="_Toc184312086"/>
      <w:bookmarkEnd w:id="115"/>
      <w:bookmarkStart w:id="116" w:name="_Toc184313255"/>
      <w:bookmarkEnd w:id="116"/>
      <w:bookmarkStart w:id="117" w:name="_Toc184310293"/>
      <w:bookmarkEnd w:id="117"/>
      <w:bookmarkStart w:id="118" w:name="_Toc184313308"/>
      <w:bookmarkEnd w:id="118"/>
      <w:bookmarkStart w:id="119" w:name="_Toc184314476"/>
      <w:bookmarkEnd w:id="119"/>
      <w:bookmarkStart w:id="120" w:name="_Toc184308039"/>
      <w:bookmarkEnd w:id="120"/>
      <w:bookmarkStart w:id="121" w:name="_Toc184314456"/>
      <w:bookmarkEnd w:id="121"/>
      <w:bookmarkStart w:id="122" w:name="_Toc184310285"/>
      <w:bookmarkEnd w:id="122"/>
      <w:bookmarkStart w:id="123" w:name="_Toc184314415"/>
      <w:bookmarkEnd w:id="123"/>
      <w:bookmarkStart w:id="124" w:name="_Toc184310339"/>
      <w:bookmarkEnd w:id="124"/>
      <w:bookmarkStart w:id="125" w:name="_Toc184313302"/>
      <w:bookmarkEnd w:id="125"/>
      <w:bookmarkStart w:id="126" w:name="_Toc184308050"/>
      <w:bookmarkEnd w:id="126"/>
      <w:bookmarkStart w:id="127" w:name="_Toc184314419"/>
      <w:bookmarkEnd w:id="127"/>
      <w:bookmarkStart w:id="128" w:name="_Toc184312075"/>
      <w:bookmarkEnd w:id="128"/>
      <w:bookmarkStart w:id="129" w:name="_Toc184312136"/>
      <w:bookmarkEnd w:id="129"/>
      <w:bookmarkStart w:id="130" w:name="_Toc184313269"/>
      <w:bookmarkEnd w:id="130"/>
      <w:bookmarkStart w:id="131" w:name="_Toc184310338"/>
      <w:bookmarkEnd w:id="131"/>
      <w:bookmarkStart w:id="132" w:name="_Toc184308057"/>
      <w:bookmarkEnd w:id="132"/>
      <w:bookmarkStart w:id="133" w:name="_Toc184312080"/>
      <w:bookmarkEnd w:id="133"/>
      <w:bookmarkStart w:id="134" w:name="_Toc184312098"/>
      <w:bookmarkEnd w:id="134"/>
      <w:bookmarkStart w:id="135" w:name="_Toc184310281"/>
      <w:bookmarkEnd w:id="135"/>
      <w:bookmarkStart w:id="136" w:name="_Toc184312079"/>
      <w:bookmarkEnd w:id="136"/>
      <w:bookmarkStart w:id="137" w:name="_Toc184314411"/>
      <w:bookmarkEnd w:id="137"/>
      <w:bookmarkStart w:id="138" w:name="_Toc184313310"/>
      <w:bookmarkEnd w:id="138"/>
      <w:bookmarkStart w:id="139" w:name="_Toc184314414"/>
      <w:bookmarkEnd w:id="139"/>
      <w:bookmarkStart w:id="140" w:name="_Toc184310331"/>
      <w:bookmarkEnd w:id="140"/>
      <w:bookmarkStart w:id="141" w:name="_Toc184314413"/>
      <w:bookmarkEnd w:id="141"/>
      <w:bookmarkStart w:id="142" w:name="_Toc184314455"/>
      <w:bookmarkEnd w:id="142"/>
      <w:bookmarkStart w:id="143" w:name="_Toc184314429"/>
      <w:bookmarkEnd w:id="143"/>
      <w:bookmarkStart w:id="144" w:name="_Toc184314473"/>
      <w:bookmarkEnd w:id="144"/>
      <w:bookmarkStart w:id="145" w:name="_Toc184308036"/>
      <w:bookmarkEnd w:id="145"/>
      <w:bookmarkStart w:id="146" w:name="_Toc184312124"/>
      <w:bookmarkEnd w:id="146"/>
      <w:bookmarkStart w:id="147" w:name="_Toc184310297"/>
      <w:bookmarkEnd w:id="147"/>
      <w:bookmarkStart w:id="148" w:name="_Toc184312122"/>
      <w:bookmarkEnd w:id="148"/>
      <w:bookmarkStart w:id="149" w:name="_Toc184314465"/>
      <w:bookmarkEnd w:id="149"/>
      <w:bookmarkStart w:id="150" w:name="_Toc184310324"/>
      <w:bookmarkEnd w:id="150"/>
      <w:bookmarkStart w:id="151" w:name="_Toc184313277"/>
      <w:bookmarkEnd w:id="151"/>
      <w:bookmarkStart w:id="152" w:name="_Toc184312089"/>
      <w:bookmarkEnd w:id="152"/>
      <w:bookmarkStart w:id="153" w:name="_Toc184314463"/>
      <w:bookmarkEnd w:id="153"/>
      <w:bookmarkStart w:id="154" w:name="_Toc184313242"/>
      <w:bookmarkEnd w:id="154"/>
      <w:bookmarkStart w:id="155" w:name="_Toc184312085"/>
      <w:bookmarkEnd w:id="155"/>
      <w:bookmarkStart w:id="156" w:name="_Toc184310273"/>
      <w:bookmarkEnd w:id="156"/>
      <w:bookmarkStart w:id="157" w:name="_Toc184312130"/>
      <w:bookmarkEnd w:id="157"/>
      <w:bookmarkStart w:id="158" w:name="_Toc184308091"/>
      <w:bookmarkEnd w:id="158"/>
      <w:bookmarkStart w:id="159" w:name="_Toc184310342"/>
      <w:bookmarkEnd w:id="159"/>
      <w:bookmarkStart w:id="160" w:name="_Toc184310311"/>
      <w:bookmarkEnd w:id="160"/>
      <w:bookmarkStart w:id="161" w:name="_Toc184312118"/>
      <w:bookmarkEnd w:id="161"/>
      <w:bookmarkStart w:id="162" w:name="_Toc184308048"/>
      <w:bookmarkEnd w:id="162"/>
      <w:bookmarkStart w:id="163" w:name="_Toc184308104"/>
      <w:bookmarkEnd w:id="163"/>
      <w:bookmarkStart w:id="164" w:name="_Toc184312115"/>
      <w:bookmarkEnd w:id="164"/>
      <w:bookmarkStart w:id="165" w:name="_Toc184314438"/>
      <w:bookmarkEnd w:id="165"/>
      <w:bookmarkStart w:id="166" w:name="_Toc184312106"/>
      <w:bookmarkEnd w:id="166"/>
      <w:bookmarkStart w:id="167" w:name="_Toc184314451"/>
      <w:bookmarkEnd w:id="167"/>
      <w:bookmarkStart w:id="168" w:name="_Toc184310313"/>
      <w:bookmarkEnd w:id="168"/>
      <w:bookmarkStart w:id="169" w:name="_Toc184313295"/>
      <w:bookmarkEnd w:id="169"/>
      <w:bookmarkStart w:id="170" w:name="_Toc184313289"/>
      <w:bookmarkEnd w:id="170"/>
      <w:bookmarkStart w:id="171" w:name="_Toc184314423"/>
      <w:bookmarkEnd w:id="171"/>
      <w:bookmarkStart w:id="172" w:name="_Toc184310336"/>
      <w:bookmarkEnd w:id="172"/>
      <w:bookmarkStart w:id="173" w:name="_Toc184312100"/>
      <w:bookmarkEnd w:id="173"/>
      <w:bookmarkStart w:id="174" w:name="_Toc184308063"/>
      <w:bookmarkEnd w:id="174"/>
      <w:bookmarkStart w:id="175" w:name="_Toc184310278"/>
      <w:bookmarkEnd w:id="175"/>
      <w:bookmarkStart w:id="176" w:name="_Toc184312133"/>
      <w:bookmarkEnd w:id="176"/>
      <w:bookmarkStart w:id="177" w:name="_Toc184313245"/>
      <w:bookmarkEnd w:id="177"/>
      <w:bookmarkStart w:id="178" w:name="_Toc184310321"/>
      <w:bookmarkEnd w:id="178"/>
      <w:bookmarkStart w:id="179" w:name="_Toc184308056"/>
      <w:bookmarkEnd w:id="179"/>
      <w:bookmarkStart w:id="180" w:name="_Toc184312119"/>
      <w:bookmarkEnd w:id="180"/>
      <w:bookmarkStart w:id="181" w:name="_Toc184314426"/>
      <w:bookmarkEnd w:id="181"/>
      <w:bookmarkStart w:id="182" w:name="_Toc184314436"/>
      <w:bookmarkEnd w:id="182"/>
      <w:bookmarkStart w:id="183" w:name="_Toc184308072"/>
      <w:bookmarkEnd w:id="183"/>
      <w:bookmarkStart w:id="184" w:name="_Toc184310277"/>
      <w:bookmarkEnd w:id="184"/>
      <w:bookmarkStart w:id="185" w:name="_Toc184312125"/>
      <w:bookmarkEnd w:id="185"/>
      <w:bookmarkStart w:id="186" w:name="_Toc184310316"/>
      <w:bookmarkEnd w:id="186"/>
      <w:bookmarkStart w:id="187" w:name="_Toc184313256"/>
      <w:bookmarkEnd w:id="187"/>
      <w:bookmarkStart w:id="188" w:name="_Toc184314431"/>
      <w:bookmarkEnd w:id="188"/>
      <w:bookmarkStart w:id="189" w:name="_Toc184310286"/>
      <w:bookmarkEnd w:id="189"/>
      <w:bookmarkStart w:id="190" w:name="_Toc184314420"/>
      <w:bookmarkEnd w:id="190"/>
      <w:bookmarkStart w:id="191" w:name="_Toc184312132"/>
      <w:bookmarkEnd w:id="191"/>
      <w:bookmarkStart w:id="192" w:name="_Toc184308073"/>
      <w:bookmarkEnd w:id="192"/>
      <w:bookmarkStart w:id="193" w:name="_Toc184310284"/>
      <w:bookmarkEnd w:id="193"/>
      <w:bookmarkStart w:id="194" w:name="_Toc184312084"/>
      <w:bookmarkEnd w:id="194"/>
      <w:bookmarkStart w:id="195" w:name="_Toc184312112"/>
      <w:bookmarkEnd w:id="195"/>
      <w:bookmarkStart w:id="196" w:name="_Toc184308083"/>
      <w:bookmarkEnd w:id="196"/>
      <w:bookmarkStart w:id="197" w:name="_Toc184313278"/>
      <w:bookmarkEnd w:id="197"/>
      <w:bookmarkStart w:id="198" w:name="_Toc184314458"/>
      <w:bookmarkEnd w:id="198"/>
      <w:bookmarkStart w:id="199" w:name="_Toc184313262"/>
      <w:bookmarkEnd w:id="199"/>
      <w:bookmarkStart w:id="200" w:name="_Toc184310302"/>
      <w:bookmarkEnd w:id="200"/>
      <w:bookmarkStart w:id="201" w:name="_Toc184308052"/>
      <w:bookmarkEnd w:id="201"/>
      <w:bookmarkStart w:id="202" w:name="_Toc184308061"/>
      <w:bookmarkEnd w:id="202"/>
      <w:bookmarkStart w:id="203" w:name="_Toc184308095"/>
      <w:bookmarkEnd w:id="203"/>
      <w:bookmarkStart w:id="204" w:name="_Toc184313281"/>
      <w:bookmarkEnd w:id="204"/>
      <w:bookmarkStart w:id="205" w:name="_Toc184313293"/>
      <w:bookmarkEnd w:id="205"/>
      <w:bookmarkStart w:id="206" w:name="_Toc184310330"/>
      <w:bookmarkEnd w:id="206"/>
      <w:bookmarkStart w:id="207" w:name="_Toc184313250"/>
      <w:bookmarkEnd w:id="207"/>
      <w:bookmarkStart w:id="208" w:name="_Toc184313301"/>
      <w:bookmarkEnd w:id="208"/>
      <w:bookmarkStart w:id="209" w:name="_Toc184313284"/>
      <w:bookmarkEnd w:id="209"/>
      <w:bookmarkStart w:id="210" w:name="_Toc184313271"/>
      <w:bookmarkEnd w:id="210"/>
      <w:bookmarkStart w:id="211" w:name="_Toc184312101"/>
      <w:bookmarkEnd w:id="211"/>
      <w:bookmarkStart w:id="212" w:name="_Toc184314443"/>
      <w:bookmarkEnd w:id="212"/>
      <w:bookmarkStart w:id="213" w:name="_Toc184312107"/>
      <w:bookmarkEnd w:id="213"/>
      <w:bookmarkStart w:id="214" w:name="_Toc184308085"/>
      <w:bookmarkEnd w:id="214"/>
      <w:bookmarkStart w:id="215" w:name="_Toc184312117"/>
      <w:bookmarkEnd w:id="215"/>
      <w:bookmarkStart w:id="216" w:name="_Toc184308069"/>
      <w:bookmarkEnd w:id="216"/>
      <w:bookmarkStart w:id="217" w:name="_Toc184312078"/>
      <w:bookmarkEnd w:id="217"/>
      <w:bookmarkStart w:id="218" w:name="_Toc184310317"/>
      <w:bookmarkEnd w:id="218"/>
      <w:bookmarkStart w:id="219" w:name="_Toc184308049"/>
      <w:bookmarkEnd w:id="219"/>
      <w:bookmarkStart w:id="220" w:name="_Toc184308041"/>
      <w:bookmarkEnd w:id="220"/>
      <w:bookmarkStart w:id="221" w:name="_Toc184314440"/>
      <w:bookmarkEnd w:id="221"/>
      <w:bookmarkStart w:id="222" w:name="_Toc184314417"/>
      <w:bookmarkEnd w:id="222"/>
      <w:bookmarkStart w:id="223" w:name="_Toc184310272"/>
      <w:bookmarkEnd w:id="223"/>
      <w:bookmarkStart w:id="224" w:name="_Toc184312093"/>
      <w:bookmarkEnd w:id="224"/>
      <w:bookmarkStart w:id="225" w:name="_Toc184313303"/>
      <w:bookmarkEnd w:id="225"/>
      <w:bookmarkStart w:id="226" w:name="_Toc184313270"/>
      <w:bookmarkEnd w:id="226"/>
      <w:bookmarkStart w:id="227" w:name="_Toc184314478"/>
      <w:bookmarkEnd w:id="227"/>
      <w:bookmarkStart w:id="228" w:name="_Toc184313272"/>
      <w:bookmarkEnd w:id="228"/>
      <w:bookmarkStart w:id="229" w:name="_Toc184308084"/>
      <w:bookmarkEnd w:id="229"/>
      <w:bookmarkStart w:id="230" w:name="_Toc184312081"/>
      <w:bookmarkEnd w:id="230"/>
      <w:bookmarkStart w:id="231" w:name="_Toc184314418"/>
      <w:bookmarkEnd w:id="231"/>
      <w:bookmarkStart w:id="232" w:name="_Toc184313260"/>
      <w:bookmarkEnd w:id="232"/>
      <w:bookmarkStart w:id="233" w:name="_Toc184312094"/>
      <w:bookmarkEnd w:id="233"/>
      <w:bookmarkStart w:id="234" w:name="_Toc184313276"/>
      <w:bookmarkEnd w:id="234"/>
      <w:bookmarkStart w:id="235" w:name="_Toc184308065"/>
      <w:bookmarkEnd w:id="235"/>
      <w:bookmarkStart w:id="236" w:name="_Toc184312131"/>
      <w:bookmarkEnd w:id="236"/>
      <w:bookmarkStart w:id="237" w:name="_Toc184310340"/>
      <w:bookmarkEnd w:id="237"/>
      <w:bookmarkStart w:id="238" w:name="_Toc184308062"/>
      <w:bookmarkEnd w:id="238"/>
      <w:bookmarkStart w:id="239" w:name="_Toc184314477"/>
      <w:bookmarkEnd w:id="239"/>
      <w:bookmarkStart w:id="240" w:name="_Toc184312083"/>
      <w:bookmarkEnd w:id="240"/>
      <w:bookmarkStart w:id="241" w:name="_Toc184313267"/>
      <w:bookmarkEnd w:id="241"/>
      <w:bookmarkStart w:id="242" w:name="_Toc184310288"/>
      <w:bookmarkEnd w:id="242"/>
      <w:bookmarkStart w:id="243" w:name="_Toc184308038"/>
      <w:bookmarkEnd w:id="243"/>
      <w:bookmarkStart w:id="244" w:name="_Toc184310320"/>
      <w:bookmarkEnd w:id="244"/>
      <w:bookmarkStart w:id="245" w:name="_Toc184313259"/>
      <w:bookmarkEnd w:id="245"/>
      <w:bookmarkStart w:id="246" w:name="_Toc184314474"/>
      <w:bookmarkEnd w:id="246"/>
      <w:bookmarkStart w:id="247" w:name="_Toc184312126"/>
      <w:bookmarkEnd w:id="247"/>
      <w:bookmarkStart w:id="248" w:name="_Toc184312073"/>
      <w:bookmarkEnd w:id="248"/>
      <w:bookmarkStart w:id="249" w:name="_Toc184314444"/>
      <w:bookmarkEnd w:id="249"/>
      <w:bookmarkStart w:id="250" w:name="_Toc184314466"/>
      <w:bookmarkEnd w:id="250"/>
      <w:bookmarkStart w:id="251" w:name="_Toc184312109"/>
      <w:bookmarkEnd w:id="251"/>
      <w:bookmarkStart w:id="252" w:name="_Toc184313285"/>
      <w:bookmarkEnd w:id="252"/>
      <w:bookmarkStart w:id="253" w:name="_Toc184313292"/>
      <w:bookmarkEnd w:id="253"/>
      <w:bookmarkStart w:id="254" w:name="_Toc184308070"/>
      <w:bookmarkEnd w:id="254"/>
      <w:bookmarkStart w:id="255" w:name="_Toc184312070"/>
      <w:bookmarkEnd w:id="255"/>
      <w:bookmarkStart w:id="256" w:name="_Toc184308107"/>
      <w:bookmarkEnd w:id="256"/>
      <w:bookmarkStart w:id="257" w:name="_Toc184310287"/>
      <w:bookmarkEnd w:id="257"/>
      <w:bookmarkStart w:id="258" w:name="_Toc184314425"/>
      <w:bookmarkEnd w:id="258"/>
      <w:bookmarkStart w:id="259" w:name="_Toc184314460"/>
      <w:bookmarkEnd w:id="259"/>
      <w:bookmarkStart w:id="260" w:name="_Toc184313246"/>
      <w:bookmarkEnd w:id="260"/>
      <w:bookmarkStart w:id="261" w:name="_Toc184310289"/>
      <w:bookmarkEnd w:id="261"/>
      <w:bookmarkStart w:id="262" w:name="_Toc184314480"/>
      <w:bookmarkEnd w:id="262"/>
      <w:bookmarkStart w:id="263" w:name="_Toc184310334"/>
      <w:bookmarkEnd w:id="263"/>
      <w:bookmarkStart w:id="264" w:name="_Toc184313306"/>
      <w:bookmarkEnd w:id="264"/>
      <w:bookmarkStart w:id="265" w:name="_Toc184314416"/>
      <w:bookmarkEnd w:id="265"/>
      <w:bookmarkStart w:id="266" w:name="_Toc184308089"/>
      <w:bookmarkEnd w:id="266"/>
      <w:bookmarkStart w:id="267" w:name="_Toc184308040"/>
      <w:bookmarkEnd w:id="267"/>
      <w:bookmarkStart w:id="268" w:name="_Toc184308058"/>
      <w:bookmarkEnd w:id="268"/>
      <w:bookmarkStart w:id="269" w:name="_Toc184308074"/>
      <w:bookmarkEnd w:id="269"/>
      <w:bookmarkStart w:id="270" w:name="_Toc184314434"/>
      <w:bookmarkEnd w:id="270"/>
      <w:bookmarkStart w:id="271" w:name="_Toc184310329"/>
      <w:bookmarkEnd w:id="271"/>
      <w:bookmarkStart w:id="272" w:name="_Toc184312137"/>
      <w:bookmarkEnd w:id="272"/>
      <w:bookmarkStart w:id="273" w:name="_Toc184310291"/>
      <w:bookmarkEnd w:id="273"/>
      <w:bookmarkStart w:id="274" w:name="_Toc184308077"/>
      <w:bookmarkEnd w:id="274"/>
      <w:bookmarkStart w:id="275" w:name="_Toc184313305"/>
      <w:bookmarkEnd w:id="275"/>
      <w:bookmarkStart w:id="276" w:name="_Toc184313239"/>
      <w:bookmarkEnd w:id="276"/>
      <w:bookmarkStart w:id="277" w:name="_Toc184312139"/>
      <w:bookmarkEnd w:id="277"/>
      <w:bookmarkStart w:id="278" w:name="_Toc184314454"/>
      <w:bookmarkEnd w:id="278"/>
      <w:bookmarkStart w:id="279" w:name="_Toc184308066"/>
      <w:bookmarkEnd w:id="279"/>
      <w:bookmarkStart w:id="280" w:name="_Toc184312095"/>
      <w:bookmarkEnd w:id="280"/>
      <w:bookmarkStart w:id="281" w:name="_Toc184312135"/>
      <w:bookmarkEnd w:id="281"/>
      <w:bookmarkStart w:id="282" w:name="_Toc184310303"/>
      <w:bookmarkEnd w:id="282"/>
      <w:bookmarkStart w:id="283" w:name="_Toc184314471"/>
      <w:bookmarkEnd w:id="283"/>
      <w:bookmarkStart w:id="284" w:name="_Toc184310307"/>
      <w:bookmarkEnd w:id="284"/>
      <w:bookmarkStart w:id="285" w:name="_Toc184308102"/>
      <w:bookmarkEnd w:id="285"/>
      <w:bookmarkStart w:id="286" w:name="_Toc184308046"/>
      <w:bookmarkEnd w:id="286"/>
      <w:bookmarkStart w:id="287" w:name="_Toc184314412"/>
      <w:bookmarkEnd w:id="287"/>
      <w:bookmarkStart w:id="288" w:name="_Toc184312102"/>
      <w:bookmarkEnd w:id="288"/>
      <w:bookmarkStart w:id="289" w:name="_Toc184314439"/>
      <w:bookmarkEnd w:id="289"/>
      <w:bookmarkStart w:id="290" w:name="_Toc184310295"/>
      <w:bookmarkEnd w:id="290"/>
      <w:bookmarkStart w:id="291" w:name="_Toc184310280"/>
      <w:bookmarkEnd w:id="291"/>
      <w:bookmarkStart w:id="292" w:name="_Toc184308100"/>
      <w:bookmarkEnd w:id="292"/>
      <w:bookmarkStart w:id="293" w:name="_Toc184313288"/>
      <w:bookmarkEnd w:id="293"/>
      <w:bookmarkStart w:id="294" w:name="_Toc184314452"/>
      <w:bookmarkEnd w:id="294"/>
      <w:bookmarkStart w:id="295" w:name="_Toc184308105"/>
      <w:bookmarkEnd w:id="295"/>
      <w:bookmarkStart w:id="296" w:name="_Toc184312077"/>
      <w:bookmarkEnd w:id="296"/>
      <w:bookmarkStart w:id="297" w:name="_Toc184312114"/>
      <w:bookmarkEnd w:id="297"/>
      <w:bookmarkStart w:id="298" w:name="_Toc184312068"/>
      <w:bookmarkEnd w:id="298"/>
      <w:bookmarkStart w:id="299" w:name="_Toc184314472"/>
      <w:bookmarkEnd w:id="299"/>
      <w:bookmarkStart w:id="300" w:name="_Toc184312071"/>
      <w:bookmarkEnd w:id="300"/>
      <w:bookmarkStart w:id="301" w:name="_Toc184314430"/>
      <w:bookmarkEnd w:id="301"/>
      <w:bookmarkStart w:id="302" w:name="_Toc184310299"/>
      <w:bookmarkEnd w:id="302"/>
      <w:bookmarkStart w:id="303" w:name="_Toc184310335"/>
      <w:bookmarkEnd w:id="303"/>
      <w:bookmarkStart w:id="304" w:name="_Toc184314441"/>
      <w:bookmarkEnd w:id="304"/>
      <w:bookmarkStart w:id="305" w:name="_Toc184313283"/>
      <w:bookmarkEnd w:id="305"/>
      <w:bookmarkStart w:id="306" w:name="_Toc184313243"/>
      <w:bookmarkEnd w:id="306"/>
      <w:bookmarkStart w:id="307" w:name="_Toc184314432"/>
      <w:bookmarkEnd w:id="307"/>
      <w:bookmarkStart w:id="308" w:name="_Toc184308053"/>
      <w:bookmarkEnd w:id="308"/>
      <w:bookmarkStart w:id="309" w:name="_Toc184314482"/>
      <w:bookmarkEnd w:id="309"/>
      <w:bookmarkStart w:id="310" w:name="_Toc184310309"/>
      <w:bookmarkEnd w:id="310"/>
      <w:bookmarkStart w:id="311" w:name="_Toc184313261"/>
      <w:bookmarkEnd w:id="311"/>
      <w:bookmarkStart w:id="312" w:name="_Toc184314435"/>
      <w:bookmarkEnd w:id="312"/>
      <w:bookmarkStart w:id="313" w:name="_Toc184310310"/>
      <w:bookmarkEnd w:id="313"/>
      <w:bookmarkStart w:id="314" w:name="_Toc184312116"/>
      <w:bookmarkEnd w:id="314"/>
      <w:bookmarkStart w:id="315" w:name="_Toc184313258"/>
      <w:bookmarkEnd w:id="315"/>
      <w:bookmarkStart w:id="316" w:name="_Toc184314468"/>
      <w:bookmarkEnd w:id="316"/>
      <w:bookmarkStart w:id="317" w:name="_Toc184310300"/>
      <w:bookmarkEnd w:id="317"/>
      <w:bookmarkStart w:id="318" w:name="_Toc184314449"/>
      <w:bookmarkEnd w:id="318"/>
      <w:bookmarkStart w:id="319" w:name="_Toc184313279"/>
      <w:bookmarkEnd w:id="319"/>
      <w:bookmarkStart w:id="320" w:name="_Toc184313265"/>
      <w:bookmarkEnd w:id="320"/>
      <w:bookmarkStart w:id="321" w:name="_Toc184313275"/>
      <w:bookmarkEnd w:id="321"/>
      <w:bookmarkStart w:id="322" w:name="_Toc184312069"/>
      <w:bookmarkEnd w:id="322"/>
      <w:bookmarkStart w:id="323" w:name="_Toc184308080"/>
      <w:bookmarkEnd w:id="323"/>
      <w:bookmarkStart w:id="324" w:name="_Toc184310322"/>
      <w:bookmarkEnd w:id="324"/>
      <w:bookmarkStart w:id="325" w:name="_Toc184308096"/>
      <w:bookmarkEnd w:id="325"/>
      <w:bookmarkStart w:id="326" w:name="_Toc184308067"/>
      <w:bookmarkEnd w:id="326"/>
      <w:bookmarkStart w:id="327" w:name="_Toc184312138"/>
      <w:bookmarkEnd w:id="327"/>
      <w:bookmarkStart w:id="328" w:name="_Toc184308055"/>
      <w:bookmarkEnd w:id="328"/>
      <w:bookmarkStart w:id="329" w:name="_Toc184314445"/>
      <w:bookmarkEnd w:id="329"/>
      <w:bookmarkStart w:id="330" w:name="_Toc184313253"/>
      <w:bookmarkEnd w:id="330"/>
      <w:bookmarkStart w:id="331" w:name="_Toc184313264"/>
      <w:bookmarkEnd w:id="331"/>
      <w:bookmarkStart w:id="332" w:name="_Toc184313257"/>
      <w:bookmarkEnd w:id="332"/>
      <w:bookmarkStart w:id="333" w:name="_Toc184310301"/>
      <w:bookmarkEnd w:id="333"/>
      <w:bookmarkStart w:id="334" w:name="_Toc184314457"/>
      <w:bookmarkEnd w:id="334"/>
      <w:bookmarkStart w:id="335" w:name="_Toc184312113"/>
      <w:bookmarkEnd w:id="335"/>
      <w:bookmarkStart w:id="336" w:name="_Toc184313244"/>
      <w:bookmarkEnd w:id="336"/>
      <w:bookmarkStart w:id="337" w:name="_Toc184310274"/>
      <w:bookmarkEnd w:id="337"/>
      <w:bookmarkStart w:id="338" w:name="_Toc184312108"/>
      <w:bookmarkEnd w:id="338"/>
      <w:bookmarkStart w:id="339" w:name="_Toc184314469"/>
      <w:bookmarkEnd w:id="339"/>
      <w:bookmarkStart w:id="340" w:name="_Toc184310312"/>
      <w:bookmarkEnd w:id="340"/>
      <w:bookmarkStart w:id="341" w:name="_Toc184308090"/>
      <w:bookmarkEnd w:id="341"/>
      <w:bookmarkStart w:id="342" w:name="_Toc184313299"/>
      <w:bookmarkEnd w:id="342"/>
      <w:bookmarkStart w:id="343" w:name="_Toc184310275"/>
      <w:bookmarkEnd w:id="343"/>
      <w:bookmarkStart w:id="344" w:name="_Toc184310315"/>
      <w:bookmarkEnd w:id="344"/>
      <w:bookmarkStart w:id="345" w:name="_Toc184314462"/>
      <w:bookmarkEnd w:id="345"/>
      <w:bookmarkStart w:id="346" w:name="_Toc184312105"/>
      <w:bookmarkEnd w:id="346"/>
      <w:bookmarkStart w:id="347" w:name="_Toc184314442"/>
      <w:bookmarkEnd w:id="347"/>
      <w:bookmarkStart w:id="348" w:name="_Toc184313252"/>
      <w:bookmarkEnd w:id="348"/>
      <w:bookmarkStart w:id="349" w:name="_Toc184314427"/>
      <w:bookmarkEnd w:id="349"/>
      <w:bookmarkStart w:id="350" w:name="_Toc184310344"/>
      <w:bookmarkEnd w:id="350"/>
      <w:bookmarkStart w:id="351" w:name="_Toc184312099"/>
      <w:bookmarkEnd w:id="351"/>
      <w:bookmarkStart w:id="352" w:name="_Toc184310332"/>
      <w:bookmarkEnd w:id="352"/>
      <w:bookmarkStart w:id="353" w:name="_Toc184312097"/>
      <w:bookmarkEnd w:id="353"/>
      <w:bookmarkStart w:id="354" w:name="_Toc184313248"/>
      <w:bookmarkEnd w:id="354"/>
      <w:bookmarkStart w:id="355" w:name="_Toc184313247"/>
      <w:bookmarkEnd w:id="355"/>
      <w:bookmarkStart w:id="356" w:name="_Toc184313304"/>
      <w:bookmarkEnd w:id="356"/>
      <w:bookmarkStart w:id="357" w:name="_Toc184313249"/>
      <w:bookmarkEnd w:id="357"/>
      <w:bookmarkStart w:id="358" w:name="_Toc184310319"/>
      <w:bookmarkEnd w:id="358"/>
      <w:bookmarkStart w:id="359" w:name="_Toc184310296"/>
      <w:bookmarkEnd w:id="359"/>
      <w:bookmarkStart w:id="360" w:name="_Toc184313251"/>
      <w:bookmarkEnd w:id="360"/>
      <w:bookmarkStart w:id="361" w:name="_Toc184312088"/>
      <w:bookmarkEnd w:id="361"/>
      <w:bookmarkStart w:id="362" w:name="_Toc184313307"/>
      <w:bookmarkEnd w:id="362"/>
      <w:bookmarkStart w:id="363" w:name="_Toc184308081"/>
      <w:bookmarkEnd w:id="363"/>
      <w:bookmarkStart w:id="364" w:name="_Toc184308064"/>
      <w:bookmarkEnd w:id="364"/>
      <w:bookmarkStart w:id="365" w:name="_Toc184312129"/>
      <w:bookmarkEnd w:id="365"/>
      <w:bookmarkStart w:id="366" w:name="_Toc184312127"/>
      <w:bookmarkEnd w:id="366"/>
      <w:bookmarkStart w:id="367" w:name="_Toc184312096"/>
      <w:bookmarkEnd w:id="367"/>
      <w:bookmarkStart w:id="368" w:name="_Toc184310337"/>
      <w:bookmarkEnd w:id="368"/>
      <w:bookmarkStart w:id="369" w:name="_Toc184310292"/>
      <w:bookmarkEnd w:id="369"/>
      <w:bookmarkStart w:id="370" w:name="_Toc184314447"/>
      <w:bookmarkEnd w:id="370"/>
      <w:bookmarkStart w:id="371" w:name="_Toc184314428"/>
      <w:bookmarkEnd w:id="371"/>
      <w:bookmarkStart w:id="372" w:name="_Toc184313274"/>
      <w:bookmarkEnd w:id="372"/>
      <w:bookmarkStart w:id="373" w:name="_Toc184310318"/>
      <w:bookmarkEnd w:id="373"/>
      <w:bookmarkStart w:id="374" w:name="_Toc184308099"/>
      <w:bookmarkEnd w:id="374"/>
      <w:bookmarkStart w:id="375" w:name="_Toc184310306"/>
      <w:bookmarkEnd w:id="375"/>
      <w:bookmarkStart w:id="376" w:name="_Toc184308078"/>
      <w:bookmarkEnd w:id="376"/>
      <w:bookmarkStart w:id="377" w:name="_Toc184308071"/>
      <w:bookmarkEnd w:id="377"/>
      <w:bookmarkStart w:id="378" w:name="_Toc184314410"/>
      <w:bookmarkEnd w:id="378"/>
      <w:bookmarkStart w:id="379" w:name="_Toc184310276"/>
      <w:bookmarkEnd w:id="379"/>
      <w:bookmarkStart w:id="380" w:name="_Toc184310333"/>
      <w:bookmarkEnd w:id="380"/>
      <w:bookmarkStart w:id="381" w:name="_Toc184313282"/>
      <w:bookmarkEnd w:id="381"/>
      <w:bookmarkStart w:id="382" w:name="_Toc184310327"/>
      <w:bookmarkEnd w:id="382"/>
      <w:bookmarkStart w:id="383" w:name="_Toc184312090"/>
      <w:bookmarkEnd w:id="383"/>
      <w:bookmarkStart w:id="384" w:name="_Toc184312123"/>
      <w:bookmarkEnd w:id="384"/>
      <w:bookmarkStart w:id="385" w:name="_Toc184313263"/>
      <w:bookmarkEnd w:id="385"/>
      <w:bookmarkStart w:id="386" w:name="_Toc184308088"/>
      <w:bookmarkEnd w:id="386"/>
      <w:bookmarkStart w:id="387" w:name="_Toc184310326"/>
      <w:bookmarkEnd w:id="387"/>
      <w:bookmarkStart w:id="388" w:name="_Toc184310308"/>
      <w:bookmarkEnd w:id="388"/>
      <w:bookmarkStart w:id="389" w:name="_Toc184308093"/>
      <w:bookmarkEnd w:id="389"/>
      <w:bookmarkStart w:id="390" w:name="_Toc184312092"/>
      <w:bookmarkEnd w:id="390"/>
      <w:bookmarkStart w:id="391" w:name="_Toc184314461"/>
      <w:bookmarkEnd w:id="391"/>
      <w:bookmarkStart w:id="392" w:name="_Toc184314479"/>
      <w:bookmarkEnd w:id="392"/>
      <w:bookmarkStart w:id="393" w:name="_Toc184313296"/>
      <w:bookmarkEnd w:id="393"/>
      <w:bookmarkStart w:id="394" w:name="_Toc184310325"/>
      <w:bookmarkEnd w:id="394"/>
      <w:bookmarkStart w:id="395" w:name="_Toc184310298"/>
      <w:bookmarkEnd w:id="395"/>
      <w:bookmarkStart w:id="396" w:name="_Toc184308047"/>
      <w:bookmarkEnd w:id="396"/>
      <w:r>
        <w:rPr>
          <w:rFonts w:hint="eastAsia" w:ascii="宋体" w:hAnsi="宋体" w:eastAsia="宋体" w:cs="宋体"/>
          <w:b/>
          <w:color w:val="auto"/>
          <w:sz w:val="28"/>
          <w:szCs w:val="28"/>
          <w:highlight w:val="none"/>
        </w:rPr>
        <w:t>评标办法</w:t>
      </w:r>
    </w:p>
    <w:p>
      <w:pPr>
        <w:spacing w:line="600" w:lineRule="exact"/>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评标办法前附表</w:t>
      </w:r>
    </w:p>
    <w:tbl>
      <w:tblPr>
        <w:tblStyle w:val="62"/>
        <w:tblpPr w:leftFromText="180" w:rightFromText="180" w:vertAnchor="text" w:horzAnchor="page" w:tblpX="1337" w:tblpY="126"/>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244"/>
        <w:gridCol w:w="4350"/>
        <w:gridCol w:w="870"/>
        <w:gridCol w:w="87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5594" w:type="dxa"/>
            <w:gridSpan w:val="2"/>
            <w:vAlign w:val="center"/>
          </w:tcPr>
          <w:p>
            <w:pPr>
              <w:spacing w:line="6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评标标准</w:t>
            </w:r>
          </w:p>
        </w:tc>
        <w:tc>
          <w:tcPr>
            <w:tcW w:w="870" w:type="dxa"/>
            <w:vAlign w:val="center"/>
          </w:tcPr>
          <w:p>
            <w:pPr>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权重</w:t>
            </w:r>
          </w:p>
        </w:tc>
        <w:tc>
          <w:tcPr>
            <w:tcW w:w="870" w:type="dxa"/>
            <w:vAlign w:val="center"/>
          </w:tcPr>
          <w:p>
            <w:pPr>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属性</w:t>
            </w:r>
          </w:p>
        </w:tc>
        <w:tc>
          <w:tcPr>
            <w:tcW w:w="144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投标文件中评标标准相应的商务技术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5594" w:type="dxa"/>
            <w:gridSpan w:val="2"/>
            <w:vAlign w:val="center"/>
          </w:tcPr>
          <w:p>
            <w:pPr>
              <w:adjustRightInd/>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综合养护方案：</w:t>
            </w:r>
          </w:p>
          <w:p>
            <w:pPr>
              <w:adjustRightInd/>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根据作业方案：投标人自行踏勘现场，针对本标段保洁的特点创新作业理念（0-3分），制定“人扫、机扫、巡捡”三位一体的保洁作业方案（0-3分），要求方案符合本标段实际情况，保洁作业能做到各要素的合理配置，全面、即时覆盖各作业区域（0-3分），进行打分</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w:t>
            </w:r>
          </w:p>
          <w:p>
            <w:pPr>
              <w:adjustRightInd/>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2）根据本项目服务内容及需求制定的绿化养护作业方案，由评标委员会进行打分；（0—</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分）；</w:t>
            </w:r>
          </w:p>
          <w:p>
            <w:pPr>
              <w:adjustRightInd/>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3）根据本项目服务内容及需求制定的市政养护作业方案，由评标委员会进行打分；（0—</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分）；</w:t>
            </w:r>
          </w:p>
          <w:p>
            <w:pPr>
              <w:adjustRightInd/>
              <w:spacing w:line="600" w:lineRule="exact"/>
              <w:jc w:val="left"/>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）根据质量保证体系和质量保证措施方案，由评标委员会进行打分；（0—</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分）</w:t>
            </w:r>
          </w:p>
          <w:p>
            <w:pPr>
              <w:adjustRightInd/>
              <w:spacing w:line="600" w:lineRule="exact"/>
              <w:jc w:val="left"/>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）根据文明安全保证体系和安全保证措施方案，由评标委员会进行打分；（0—</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分）</w:t>
            </w:r>
          </w:p>
          <w:p>
            <w:pPr>
              <w:adjustRightInd/>
              <w:spacing w:line="600" w:lineRule="exact"/>
              <w:jc w:val="left"/>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rPr>
              <w:t>）根据投标人针对本项目的服务优势、服务能力、服务及时性响应方案及后续服务承诺等方面，由评标委员会进行打分；（0—</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分）</w:t>
            </w:r>
          </w:p>
          <w:p>
            <w:pPr>
              <w:adjustRightInd/>
              <w:spacing w:line="600" w:lineRule="exact"/>
              <w:jc w:val="left"/>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rPr>
              <w:t>）针对突发事故、自然灾害处理及配合重大活动的应急预案，由评标委员会进行打分；（0—</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分）</w:t>
            </w:r>
          </w:p>
          <w:p>
            <w:pPr>
              <w:adjustRightInd/>
              <w:spacing w:line="600" w:lineRule="exact"/>
              <w:jc w:val="left"/>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rPr>
              <w:t>）根据台账管理制度，由评标委员会进行打分；（0—2分）</w:t>
            </w:r>
          </w:p>
          <w:p>
            <w:pPr>
              <w:adjustRightInd/>
              <w:spacing w:line="600" w:lineRule="exact"/>
              <w:jc w:val="left"/>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9</w:t>
            </w:r>
            <w:r>
              <w:rPr>
                <w:rFonts w:hint="eastAsia" w:ascii="宋体" w:hAnsi="宋体" w:eastAsia="宋体" w:cs="宋体"/>
                <w:color w:val="auto"/>
                <w:sz w:val="24"/>
                <w:highlight w:val="none"/>
              </w:rPr>
              <w:t>）提出关于本项目的合理化建议，由评标委员会进行打分；（0—2分）</w:t>
            </w:r>
          </w:p>
          <w:p>
            <w:pPr>
              <w:adjustRightInd/>
              <w:spacing w:line="600" w:lineRule="exact"/>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w:t>
            </w:r>
            <w:r>
              <w:rPr>
                <w:rFonts w:hint="eastAsia" w:ascii="宋体" w:hAnsi="宋体" w:cs="宋体"/>
                <w:color w:val="auto"/>
                <w:sz w:val="24"/>
                <w:highlight w:val="none"/>
                <w:lang w:val="en-US" w:eastAsia="zh-CN"/>
              </w:rPr>
              <w:t>0</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同城协助能力的工作方案</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方案是否合理、有针对性，具有较强的服务能力，如针对疫情等，</w:t>
            </w:r>
            <w:r>
              <w:rPr>
                <w:rFonts w:hint="eastAsia" w:ascii="宋体" w:hAnsi="宋体" w:eastAsia="宋体" w:cs="宋体"/>
                <w:color w:val="auto"/>
                <w:sz w:val="24"/>
                <w:highlight w:val="none"/>
              </w:rPr>
              <w:t>由评标委员会进行打分；（</w:t>
            </w:r>
            <w:r>
              <w:rPr>
                <w:rFonts w:hint="eastAsia" w:ascii="宋体" w:hAnsi="宋体" w:eastAsia="宋体" w:cs="宋体"/>
                <w:color w:val="auto"/>
                <w:sz w:val="24"/>
                <w:highlight w:val="none"/>
                <w:lang w:val="en-US" w:eastAsia="zh-CN"/>
              </w:rPr>
              <w:t>0-2</w:t>
            </w:r>
            <w:r>
              <w:rPr>
                <w:rFonts w:hint="eastAsia" w:ascii="宋体" w:hAnsi="宋体" w:eastAsia="宋体" w:cs="宋体"/>
                <w:color w:val="auto"/>
                <w:sz w:val="24"/>
                <w:highlight w:val="none"/>
              </w:rPr>
              <w:t>分）</w:t>
            </w:r>
          </w:p>
          <w:p>
            <w:pPr>
              <w:adjustRightInd/>
              <w:spacing w:line="600" w:lineRule="exact"/>
              <w:jc w:val="left"/>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11）</w:t>
            </w:r>
            <w:r>
              <w:rPr>
                <w:rFonts w:hint="eastAsia" w:ascii="宋体" w:hAnsi="宋体" w:eastAsia="宋体" w:cs="宋体"/>
                <w:color w:val="auto"/>
                <w:sz w:val="24"/>
                <w:highlight w:val="none"/>
                <w:lang w:val="en-US" w:eastAsia="zh-CN"/>
              </w:rPr>
              <w:t>对本项目提供的人力、设备、技术等支持是否响应及时、充足等内容，</w:t>
            </w:r>
            <w:r>
              <w:rPr>
                <w:rFonts w:hint="eastAsia" w:ascii="宋体" w:hAnsi="宋体" w:eastAsia="宋体" w:cs="宋体"/>
                <w:color w:val="auto"/>
                <w:sz w:val="24"/>
                <w:highlight w:val="none"/>
              </w:rPr>
              <w:t>由评标委员会进行打分；（</w:t>
            </w:r>
            <w:r>
              <w:rPr>
                <w:rFonts w:hint="eastAsia" w:ascii="宋体" w:hAnsi="宋体" w:eastAsia="宋体" w:cs="宋体"/>
                <w:color w:val="auto"/>
                <w:sz w:val="24"/>
                <w:highlight w:val="none"/>
                <w:lang w:val="en-US" w:eastAsia="zh-CN"/>
              </w:rPr>
              <w:t>0-</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分）</w:t>
            </w:r>
          </w:p>
          <w:p>
            <w:pPr>
              <w:adjustRightInd/>
              <w:spacing w:line="600" w:lineRule="exact"/>
              <w:jc w:val="left"/>
              <w:rPr>
                <w:rFonts w:hint="eastAsia" w:eastAsia="宋体"/>
                <w:color w:val="auto"/>
                <w:highlight w:val="none"/>
                <w:lang w:val="en-US" w:eastAsia="zh-CN"/>
              </w:rPr>
            </w:pPr>
            <w:r>
              <w:rPr>
                <w:rFonts w:hint="eastAsia" w:ascii="宋体" w:hAnsi="宋体" w:eastAsia="宋体" w:cs="宋体"/>
                <w:color w:val="auto"/>
                <w:sz w:val="24"/>
                <w:highlight w:val="none"/>
                <w:lang w:val="en-US" w:eastAsia="zh-CN"/>
              </w:rPr>
              <w:t>1</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重大活动和节日保障方案</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据重大活动</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如亚运会或其他大规模活动</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和节假日保障方案的科学性、合理性、针对性及可操作性进行评估，由评标委员会进行打分；（</w:t>
            </w:r>
            <w:r>
              <w:rPr>
                <w:rFonts w:hint="eastAsia" w:ascii="宋体" w:hAnsi="宋体" w:eastAsia="宋体" w:cs="宋体"/>
                <w:color w:val="auto"/>
                <w:sz w:val="24"/>
                <w:highlight w:val="none"/>
                <w:lang w:val="en-US" w:eastAsia="zh-CN"/>
              </w:rPr>
              <w:t>0-</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分）</w:t>
            </w:r>
          </w:p>
        </w:tc>
        <w:tc>
          <w:tcPr>
            <w:tcW w:w="870" w:type="dxa"/>
            <w:vAlign w:val="center"/>
          </w:tcPr>
          <w:p>
            <w:pPr>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37</w:t>
            </w:r>
          </w:p>
        </w:tc>
        <w:tc>
          <w:tcPr>
            <w:tcW w:w="870" w:type="dxa"/>
            <w:vAlign w:val="center"/>
          </w:tcPr>
          <w:p>
            <w:pPr>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主观分</w:t>
            </w:r>
          </w:p>
        </w:tc>
        <w:tc>
          <w:tcPr>
            <w:tcW w:w="1440" w:type="dxa"/>
            <w:vAlign w:val="center"/>
          </w:tcPr>
          <w:p>
            <w:pPr>
              <w:jc w:val="center"/>
              <w:rPr>
                <w:rFonts w:hint="eastAsia" w:ascii="宋体" w:hAnsi="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5594" w:type="dxa"/>
            <w:gridSpan w:val="2"/>
            <w:vAlign w:val="center"/>
          </w:tcPr>
          <w:p>
            <w:pPr>
              <w:pStyle w:val="965"/>
              <w:snapToGrid w:val="0"/>
              <w:ind w:firstLine="0" w:firstLineChars="0"/>
              <w:jc w:val="left"/>
              <w:rPr>
                <w:rFonts w:hint="eastAsia" w:ascii="宋体" w:hAnsi="宋体" w:eastAsia="宋体" w:cs="宋体"/>
                <w:b/>
                <w:bCs/>
                <w:color w:val="auto"/>
                <w:kern w:val="21"/>
                <w:sz w:val="24"/>
                <w:szCs w:val="24"/>
                <w:highlight w:val="none"/>
              </w:rPr>
            </w:pPr>
            <w:r>
              <w:rPr>
                <w:rFonts w:hint="eastAsia" w:ascii="宋体" w:hAnsi="宋体" w:eastAsia="宋体" w:cs="宋体"/>
                <w:b/>
                <w:bCs/>
                <w:color w:val="auto"/>
                <w:sz w:val="24"/>
                <w:szCs w:val="24"/>
                <w:highlight w:val="none"/>
              </w:rPr>
              <w:t>针对投诉的处理效率：投标人对各类考核、投诉的处理效率、时效及回复举措等，由专家进行打分（0—</w:t>
            </w:r>
            <w:r>
              <w:rPr>
                <w:rFonts w:hint="eastAsia" w:asci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分）；</w:t>
            </w:r>
          </w:p>
        </w:tc>
        <w:tc>
          <w:tcPr>
            <w:tcW w:w="870" w:type="dxa"/>
            <w:vAlign w:val="center"/>
          </w:tcPr>
          <w:p>
            <w:pPr>
              <w:jc w:val="center"/>
              <w:rPr>
                <w:rFonts w:hint="eastAsia" w:ascii="宋体" w:hAnsi="宋体" w:eastAsia="宋体" w:cs="宋体"/>
                <w:b/>
                <w:bCs/>
                <w:color w:val="auto"/>
                <w:sz w:val="24"/>
                <w:highlight w:val="none"/>
                <w:lang w:val="en-US" w:eastAsia="zh-CN"/>
              </w:rPr>
            </w:pPr>
            <w:r>
              <w:rPr>
                <w:rFonts w:hint="eastAsia" w:ascii="宋体" w:hAnsi="宋体" w:cs="宋体"/>
                <w:b/>
                <w:bCs/>
                <w:color w:val="auto"/>
                <w:sz w:val="24"/>
                <w:highlight w:val="none"/>
                <w:lang w:val="en-US" w:eastAsia="zh-CN"/>
              </w:rPr>
              <w:t>3</w:t>
            </w:r>
          </w:p>
        </w:tc>
        <w:tc>
          <w:tcPr>
            <w:tcW w:w="870" w:type="dxa"/>
            <w:vAlign w:val="center"/>
          </w:tcPr>
          <w:p>
            <w:pPr>
              <w:jc w:val="center"/>
              <w:rPr>
                <w:rFonts w:hint="eastAsia"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主观分</w:t>
            </w:r>
          </w:p>
        </w:tc>
        <w:tc>
          <w:tcPr>
            <w:tcW w:w="1440" w:type="dxa"/>
            <w:vAlign w:val="center"/>
          </w:tcPr>
          <w:p>
            <w:pPr>
              <w:jc w:val="center"/>
              <w:rPr>
                <w:rFonts w:hint="eastAsia" w:ascii="宋体" w:hAnsi="宋体" w:cs="宋体"/>
                <w:b/>
                <w:bCs/>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5594" w:type="dxa"/>
            <w:gridSpan w:val="2"/>
            <w:vAlign w:val="center"/>
          </w:tcPr>
          <w:p>
            <w:pPr>
              <w:adjustRightInd/>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人员配置：须提供以下相关人员（人员不能重复，若有重复只能按一人次计）：</w:t>
            </w:r>
          </w:p>
          <w:p>
            <w:pPr>
              <w:adjustRightInd/>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1）提供综合养护人员具体配置计划：满足项目基本配置要求的得2分；</w:t>
            </w:r>
          </w:p>
          <w:p>
            <w:pPr>
              <w:adjustRightInd/>
              <w:spacing w:line="600" w:lineRule="exact"/>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2）项目负责人：具有专科及以上学历且具有中级及以上职称的得 </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分</w:t>
            </w:r>
            <w:r>
              <w:rPr>
                <w:rFonts w:hint="eastAsia" w:ascii="宋体" w:hAnsi="宋体" w:cs="宋体"/>
                <w:color w:val="auto"/>
                <w:sz w:val="24"/>
                <w:highlight w:val="none"/>
                <w:lang w:eastAsia="zh-CN"/>
              </w:rPr>
              <w:t>；</w:t>
            </w:r>
          </w:p>
          <w:p>
            <w:pPr>
              <w:adjustRightInd/>
              <w:spacing w:line="600" w:lineRule="exact"/>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3）项目负责人荣誉：以项目负责人身份具有保洁或市政养护或绿化养护工作中获得区级及以上荣誉得1分；本项最高得</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分；</w:t>
            </w:r>
          </w:p>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4）拟投入的人员中具有安全员证证书、城市环卫工程师证证书、垃圾分类项目经理证证书、垃圾清运工程师证证书的，</w:t>
            </w:r>
            <w:r>
              <w:rPr>
                <w:rFonts w:hint="eastAsia" w:ascii="宋体" w:hAnsi="宋体" w:eastAsia="宋体" w:cs="宋体"/>
                <w:color w:val="auto"/>
                <w:kern w:val="0"/>
                <w:sz w:val="24"/>
                <w:highlight w:val="none"/>
              </w:rPr>
              <w:t>有毒有害空间作业证证书、管道CCTV检测工程师证</w:t>
            </w:r>
            <w:r>
              <w:rPr>
                <w:rFonts w:hint="eastAsia" w:ascii="宋体" w:hAnsi="宋体" w:eastAsia="宋体" w:cs="宋体"/>
                <w:color w:val="auto"/>
                <w:sz w:val="24"/>
                <w:highlight w:val="none"/>
              </w:rPr>
              <w:t>证书的，每有一个得0.5分，本项最高得</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分。</w:t>
            </w:r>
          </w:p>
          <w:p>
            <w:pPr>
              <w:spacing w:line="600" w:lineRule="exact"/>
              <w:jc w:val="left"/>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投标文件中同时提供的证书复印件及本人在本单位近6个月社保缴纳证明复印件；</w:t>
            </w:r>
          </w:p>
        </w:tc>
        <w:tc>
          <w:tcPr>
            <w:tcW w:w="8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870" w:type="dxa"/>
            <w:vAlign w:val="center"/>
          </w:tcPr>
          <w:p>
            <w:pPr>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客观分</w:t>
            </w:r>
          </w:p>
        </w:tc>
        <w:tc>
          <w:tcPr>
            <w:tcW w:w="1440"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Merge w:val="restart"/>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1244" w:type="dxa"/>
            <w:vMerge w:val="restart"/>
            <w:vAlign w:val="center"/>
          </w:tcPr>
          <w:p>
            <w:pPr>
              <w:adjustRightInd/>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投标人自有作业设备用于本项目情况：</w:t>
            </w:r>
          </w:p>
          <w:p>
            <w:pPr>
              <w:adjustRightInd/>
              <w:spacing w:line="600" w:lineRule="exact"/>
              <w:jc w:val="left"/>
              <w:rPr>
                <w:rFonts w:hint="eastAsia" w:ascii="宋体" w:hAnsi="宋体" w:eastAsia="宋体" w:cs="宋体"/>
                <w:b/>
                <w:bCs/>
                <w:color w:val="auto"/>
                <w:sz w:val="24"/>
                <w:highlight w:val="none"/>
              </w:rPr>
            </w:pPr>
          </w:p>
          <w:p>
            <w:pPr>
              <w:adjustRightInd/>
              <w:spacing w:line="600" w:lineRule="exact"/>
              <w:jc w:val="left"/>
              <w:rPr>
                <w:rFonts w:hint="eastAsia" w:ascii="宋体" w:hAnsi="宋体" w:eastAsia="宋体" w:cs="宋体"/>
                <w:b/>
                <w:bCs/>
                <w:color w:val="auto"/>
                <w:sz w:val="24"/>
                <w:highlight w:val="none"/>
              </w:rPr>
            </w:pPr>
          </w:p>
        </w:tc>
        <w:tc>
          <w:tcPr>
            <w:tcW w:w="4350" w:type="dxa"/>
            <w:vAlign w:val="center"/>
          </w:tcPr>
          <w:p>
            <w:pPr>
              <w:adjustRightInd/>
              <w:spacing w:line="60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保洁设备：</w:t>
            </w:r>
          </w:p>
          <w:p>
            <w:pPr>
              <w:adjustRightInd/>
              <w:spacing w:line="600" w:lineRule="exact"/>
              <w:jc w:val="left"/>
              <w:rPr>
                <w:rFonts w:ascii="宋体" w:hAnsi="宋体" w:cs="宋体"/>
                <w:color w:val="auto"/>
                <w:sz w:val="24"/>
                <w:highlight w:val="none"/>
              </w:rPr>
            </w:pPr>
            <w:r>
              <w:rPr>
                <w:rFonts w:hint="eastAsia" w:ascii="宋体" w:hAnsi="宋体" w:cs="宋体"/>
                <w:color w:val="auto"/>
                <w:sz w:val="24"/>
                <w:highlight w:val="none"/>
              </w:rPr>
              <w:t>1、投标人自有车辆（本项合计最高得</w:t>
            </w:r>
            <w:r>
              <w:rPr>
                <w:rFonts w:hint="eastAsia" w:ascii="宋体" w:hAnsi="宋体" w:cs="宋体"/>
                <w:color w:val="auto"/>
                <w:sz w:val="24"/>
                <w:highlight w:val="none"/>
                <w:lang w:val="en-US" w:eastAsia="zh-CN"/>
              </w:rPr>
              <w:t>17</w:t>
            </w:r>
            <w:r>
              <w:rPr>
                <w:rFonts w:hint="eastAsia" w:ascii="宋体" w:hAnsi="宋体" w:cs="宋体"/>
                <w:color w:val="auto"/>
                <w:sz w:val="24"/>
                <w:highlight w:val="none"/>
              </w:rPr>
              <w:t>分）：</w:t>
            </w:r>
          </w:p>
          <w:p>
            <w:pPr>
              <w:adjustRightInd/>
              <w:spacing w:line="600" w:lineRule="exact"/>
              <w:jc w:val="left"/>
              <w:rPr>
                <w:rFonts w:ascii="宋体" w:hAnsi="宋体" w:cs="宋体"/>
                <w:color w:val="auto"/>
                <w:sz w:val="24"/>
                <w:highlight w:val="none"/>
              </w:rPr>
            </w:pPr>
            <w:r>
              <w:rPr>
                <w:rFonts w:hint="eastAsia" w:ascii="宋体" w:hAnsi="宋体" w:cs="宋体"/>
                <w:color w:val="auto"/>
                <w:sz w:val="24"/>
                <w:highlight w:val="none"/>
              </w:rPr>
              <w:t>①自有总质量</w:t>
            </w:r>
            <w:r>
              <w:rPr>
                <w:rFonts w:hint="eastAsia" w:ascii="宋体" w:hAnsi="宋体" w:cs="宋体"/>
                <w:color w:val="auto"/>
                <w:sz w:val="24"/>
                <w:highlight w:val="none"/>
                <w:lang w:val="en-US" w:eastAsia="zh-CN"/>
              </w:rPr>
              <w:t>18</w:t>
            </w:r>
            <w:r>
              <w:rPr>
                <w:rFonts w:hint="eastAsia" w:ascii="宋体" w:hAnsi="宋体" w:cs="宋体"/>
                <w:color w:val="auto"/>
                <w:sz w:val="24"/>
                <w:highlight w:val="none"/>
              </w:rPr>
              <w:t>000kg及以上洒水车每有一辆的得</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分，最高得</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w:t>
            </w:r>
          </w:p>
          <w:p>
            <w:pPr>
              <w:adjustRightInd/>
              <w:spacing w:line="600" w:lineRule="exact"/>
              <w:jc w:val="left"/>
              <w:rPr>
                <w:rFonts w:ascii="宋体" w:hAnsi="宋体" w:cs="宋体"/>
                <w:color w:val="auto"/>
                <w:sz w:val="24"/>
                <w:highlight w:val="none"/>
              </w:rPr>
            </w:pPr>
            <w:r>
              <w:rPr>
                <w:rFonts w:hint="eastAsia" w:ascii="宋体" w:hAnsi="宋体" w:cs="宋体"/>
                <w:color w:val="auto"/>
                <w:sz w:val="24"/>
                <w:highlight w:val="none"/>
              </w:rPr>
              <w:t>② 自有总质量18000kg及以上洗扫一体车每有一辆得</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分，最高得</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w:t>
            </w:r>
          </w:p>
          <w:p>
            <w:pPr>
              <w:adjustRightInd/>
              <w:spacing w:line="600" w:lineRule="exact"/>
              <w:jc w:val="left"/>
              <w:rPr>
                <w:rFonts w:ascii="宋体" w:hAnsi="宋体" w:cs="宋体"/>
                <w:color w:val="auto"/>
                <w:sz w:val="24"/>
                <w:highlight w:val="none"/>
              </w:rPr>
            </w:pPr>
            <w:r>
              <w:rPr>
                <w:rFonts w:hint="eastAsia" w:ascii="宋体" w:hAnsi="宋体" w:cs="宋体"/>
                <w:color w:val="auto"/>
                <w:sz w:val="24"/>
                <w:highlight w:val="none"/>
              </w:rPr>
              <w:t>③自有总质量16000kg及以上多功能抑尘车每有一辆得</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分，最高得</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w:t>
            </w:r>
          </w:p>
          <w:p>
            <w:pPr>
              <w:adjustRightInd/>
              <w:spacing w:line="600" w:lineRule="exact"/>
              <w:jc w:val="left"/>
              <w:rPr>
                <w:rFonts w:ascii="宋体" w:hAnsi="宋体" w:cs="宋体"/>
                <w:color w:val="auto"/>
                <w:sz w:val="24"/>
                <w:highlight w:val="none"/>
              </w:rPr>
            </w:pPr>
            <w:r>
              <w:rPr>
                <w:rFonts w:hint="eastAsia" w:ascii="宋体" w:hAnsi="宋体" w:cs="宋体"/>
                <w:color w:val="auto"/>
                <w:sz w:val="24"/>
                <w:highlight w:val="none"/>
              </w:rPr>
              <w:t>④自有总质量7000kg及以上护栏清洗车每有一辆得2分，最高得2分；</w:t>
            </w:r>
          </w:p>
          <w:p>
            <w:pPr>
              <w:adjustRightInd/>
              <w:spacing w:line="600" w:lineRule="exact"/>
              <w:jc w:val="left"/>
              <w:rPr>
                <w:rFonts w:ascii="宋体" w:hAnsi="宋体" w:cs="宋体"/>
                <w:color w:val="auto"/>
                <w:sz w:val="24"/>
                <w:highlight w:val="none"/>
              </w:rPr>
            </w:pPr>
            <w:r>
              <w:rPr>
                <w:rFonts w:hint="eastAsia" w:ascii="宋体" w:hAnsi="宋体" w:cs="宋体"/>
                <w:color w:val="auto"/>
                <w:sz w:val="24"/>
                <w:highlight w:val="none"/>
              </w:rPr>
              <w:t>⑤自有总质量12000kg及以上扫地车每有一辆得2分，最高得2分；</w:t>
            </w:r>
          </w:p>
          <w:p>
            <w:pPr>
              <w:adjustRightInd/>
              <w:spacing w:line="600" w:lineRule="exact"/>
              <w:jc w:val="left"/>
              <w:rPr>
                <w:rFonts w:ascii="宋体" w:hAnsi="宋体" w:cs="宋体"/>
                <w:color w:val="auto"/>
                <w:sz w:val="24"/>
                <w:highlight w:val="none"/>
              </w:rPr>
            </w:pPr>
            <w:r>
              <w:rPr>
                <w:rFonts w:hint="eastAsia" w:ascii="宋体" w:hAnsi="宋体" w:cs="宋体"/>
                <w:color w:val="auto"/>
                <w:sz w:val="24"/>
                <w:highlight w:val="none"/>
              </w:rPr>
              <w:t>⑥自有总质量18000kg及以上高压冲洗车每有一辆得2分，最高得2分；</w:t>
            </w:r>
          </w:p>
          <w:p>
            <w:pPr>
              <w:adjustRightInd/>
              <w:spacing w:line="600" w:lineRule="exact"/>
              <w:jc w:val="left"/>
              <w:rPr>
                <w:rFonts w:ascii="宋体" w:hAnsi="宋体" w:cs="宋体"/>
                <w:color w:val="auto"/>
                <w:sz w:val="24"/>
                <w:highlight w:val="none"/>
              </w:rPr>
            </w:pPr>
            <w:r>
              <w:rPr>
                <w:rFonts w:hint="eastAsia" w:ascii="宋体" w:hAnsi="宋体" w:cs="宋体"/>
                <w:color w:val="auto"/>
                <w:sz w:val="24"/>
                <w:highlight w:val="none"/>
              </w:rPr>
              <w:t>⑦自有小型慢车道清扫车每有一辆得0.5分，最高得</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分；小型高压冲洗车每有一辆得0.5分，最高得</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分；自有应急扫雪设备</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套及以上得1分，否则不得分，最高得</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分；（除雪车可以采用其他动力车辆前加装除雪滚筒，但加装车辆不能占用投标需求中的车辆）本项最高得</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分（此项仅提供设备发票复印件）。</w:t>
            </w:r>
          </w:p>
          <w:p>
            <w:pPr>
              <w:adjustRightInd/>
              <w:spacing w:line="600" w:lineRule="exact"/>
              <w:jc w:val="left"/>
              <w:rPr>
                <w:rFonts w:ascii="宋体" w:hAnsi="宋体" w:cs="宋体"/>
                <w:color w:val="auto"/>
                <w:highlight w:val="none"/>
              </w:rPr>
            </w:pPr>
            <w:r>
              <w:rPr>
                <w:rFonts w:hint="eastAsia" w:ascii="宋体" w:hAnsi="宋体" w:cs="宋体"/>
                <w:color w:val="auto"/>
                <w:sz w:val="24"/>
                <w:highlight w:val="none"/>
                <w:lang w:val="en-US" w:eastAsia="zh-CN"/>
              </w:rPr>
              <w:t>8</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以上设备中，</w:t>
            </w:r>
            <w:r>
              <w:rPr>
                <w:rFonts w:hint="eastAsia" w:ascii="宋体" w:hAnsi="宋体" w:cs="宋体"/>
                <w:color w:val="auto"/>
                <w:sz w:val="24"/>
                <w:highlight w:val="none"/>
              </w:rPr>
              <w:t>投标人自有新</w:t>
            </w:r>
            <w:r>
              <w:rPr>
                <w:rFonts w:hint="eastAsia" w:ascii="宋体" w:hAnsi="宋体" w:cs="宋体"/>
                <w:color w:val="auto"/>
                <w:sz w:val="24"/>
                <w:highlight w:val="none"/>
                <w:lang w:val="en-US" w:eastAsia="zh-CN"/>
              </w:rPr>
              <w:t>能源</w:t>
            </w:r>
            <w:r>
              <w:rPr>
                <w:rFonts w:hint="eastAsia" w:ascii="宋体" w:hAnsi="宋体" w:cs="宋体"/>
                <w:color w:val="auto"/>
                <w:sz w:val="24"/>
                <w:highlight w:val="none"/>
              </w:rPr>
              <w:t>车的</w:t>
            </w:r>
            <w:r>
              <w:rPr>
                <w:rFonts w:hint="eastAsia" w:ascii="宋体" w:hAnsi="宋体" w:cs="宋体"/>
                <w:color w:val="auto"/>
                <w:sz w:val="24"/>
                <w:highlight w:val="none"/>
                <w:lang w:eastAsia="zh-CN"/>
              </w:rPr>
              <w:t>，</w:t>
            </w:r>
            <w:r>
              <w:rPr>
                <w:rFonts w:hint="eastAsia" w:ascii="宋体" w:hAnsi="宋体" w:cs="宋体"/>
                <w:color w:val="auto"/>
                <w:sz w:val="24"/>
                <w:highlight w:val="none"/>
              </w:rPr>
              <w:t>含纯电动汽车(BEV，包括太阳能汽车)、燃料电池电动汽车(FCEV)、</w:t>
            </w:r>
            <w:r>
              <w:rPr>
                <w:rFonts w:hint="eastAsia" w:ascii="宋体" w:hAnsi="宋体" w:cs="宋体"/>
                <w:color w:val="auto"/>
                <w:sz w:val="24"/>
                <w:highlight w:val="none"/>
                <w:lang w:eastAsia="zh-CN"/>
              </w:rPr>
              <w:t>天然气汽车、</w:t>
            </w:r>
            <w:r>
              <w:rPr>
                <w:rFonts w:hint="eastAsia" w:ascii="宋体" w:hAnsi="宋体" w:cs="宋体"/>
                <w:color w:val="auto"/>
                <w:sz w:val="24"/>
                <w:highlight w:val="none"/>
              </w:rPr>
              <w:t>其他新能源(如超级电容器、飞轮等高效储能器)汽车等，且总质量</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000kg及以上新能源车的每有一辆</w:t>
            </w:r>
            <w:r>
              <w:rPr>
                <w:rFonts w:hint="eastAsia" w:ascii="宋体" w:hAnsi="宋体" w:cs="宋体"/>
                <w:color w:val="auto"/>
                <w:sz w:val="24"/>
                <w:highlight w:val="none"/>
                <w:lang w:val="en-US" w:eastAsia="zh-CN"/>
              </w:rPr>
              <w:t>增加1</w:t>
            </w:r>
            <w:r>
              <w:rPr>
                <w:rFonts w:hint="eastAsia" w:ascii="宋体" w:hAnsi="宋体" w:cs="宋体"/>
                <w:color w:val="auto"/>
                <w:sz w:val="24"/>
                <w:highlight w:val="none"/>
              </w:rPr>
              <w:t>分，最高得2分；（本项合计最高得2分）</w:t>
            </w:r>
          </w:p>
          <w:p>
            <w:pPr>
              <w:adjustRightInd/>
              <w:spacing w:line="600" w:lineRule="exact"/>
              <w:jc w:val="left"/>
              <w:rPr>
                <w:rFonts w:hint="eastAsia" w:ascii="宋体" w:hAnsi="宋体" w:eastAsia="宋体" w:cs="宋体"/>
                <w:b/>
                <w:bCs/>
                <w:color w:val="auto"/>
                <w:sz w:val="24"/>
                <w:highlight w:val="none"/>
              </w:rPr>
            </w:pPr>
            <w:r>
              <w:rPr>
                <w:rFonts w:hint="eastAsia" w:ascii="宋体" w:hAnsi="宋体" w:cs="宋体"/>
                <w:b/>
                <w:bCs/>
                <w:color w:val="auto"/>
                <w:sz w:val="24"/>
                <w:highlight w:val="none"/>
              </w:rPr>
              <w:t>投标文件中同时提供车辆行驶证、购车发票及车辆登记证复印件；</w:t>
            </w:r>
            <w:r>
              <w:rPr>
                <w:rFonts w:hint="eastAsia" w:ascii="宋体" w:hAnsi="宋体" w:eastAsia="宋体" w:cs="宋体"/>
                <w:b/>
                <w:bCs/>
                <w:color w:val="auto"/>
                <w:sz w:val="24"/>
                <w:highlight w:val="none"/>
              </w:rPr>
              <w:t>投标文件中同时提供车辆行驶证、购车发票及车辆登记证复印件；</w:t>
            </w:r>
          </w:p>
        </w:tc>
        <w:tc>
          <w:tcPr>
            <w:tcW w:w="870" w:type="dxa"/>
            <w:vAlign w:val="center"/>
          </w:tcPr>
          <w:p>
            <w:pPr>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17</w:t>
            </w:r>
          </w:p>
        </w:tc>
        <w:tc>
          <w:tcPr>
            <w:tcW w:w="870" w:type="dxa"/>
            <w:vAlign w:val="center"/>
          </w:tcPr>
          <w:p>
            <w:pPr>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客观分</w:t>
            </w:r>
          </w:p>
        </w:tc>
        <w:tc>
          <w:tcPr>
            <w:tcW w:w="1440" w:type="dxa"/>
            <w:vAlign w:val="center"/>
          </w:tcPr>
          <w:p>
            <w:pPr>
              <w:jc w:val="center"/>
              <w:rPr>
                <w:rFonts w:hint="eastAsia" w:ascii="宋体" w:hAnsi="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Merge w:val="continue"/>
            <w:vAlign w:val="center"/>
          </w:tcPr>
          <w:p>
            <w:pPr>
              <w:jc w:val="center"/>
              <w:rPr>
                <w:rFonts w:hint="eastAsia" w:ascii="宋体" w:hAnsi="宋体" w:eastAsia="宋体" w:cs="宋体"/>
                <w:color w:val="auto"/>
                <w:sz w:val="24"/>
                <w:highlight w:val="none"/>
              </w:rPr>
            </w:pPr>
          </w:p>
        </w:tc>
        <w:tc>
          <w:tcPr>
            <w:tcW w:w="1244" w:type="dxa"/>
            <w:vMerge w:val="continue"/>
            <w:vAlign w:val="center"/>
          </w:tcPr>
          <w:p>
            <w:pPr>
              <w:adjustRightInd/>
              <w:spacing w:line="600" w:lineRule="exact"/>
              <w:jc w:val="left"/>
              <w:rPr>
                <w:rFonts w:hint="eastAsia" w:ascii="宋体" w:hAnsi="宋体" w:eastAsia="宋体" w:cs="宋体"/>
                <w:b/>
                <w:bCs/>
                <w:color w:val="auto"/>
                <w:sz w:val="24"/>
                <w:highlight w:val="none"/>
              </w:rPr>
            </w:pPr>
          </w:p>
        </w:tc>
        <w:tc>
          <w:tcPr>
            <w:tcW w:w="4350" w:type="dxa"/>
            <w:vAlign w:val="center"/>
          </w:tcPr>
          <w:p>
            <w:pPr>
              <w:adjustRightInd/>
              <w:spacing w:line="60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市政设备：</w:t>
            </w:r>
            <w:r>
              <w:rPr>
                <w:rFonts w:hint="eastAsia" w:ascii="宋体" w:hAnsi="宋体" w:eastAsia="宋体" w:cs="宋体"/>
                <w:color w:val="auto"/>
                <w:sz w:val="24"/>
                <w:highlight w:val="none"/>
              </w:rPr>
              <w:t>（本项合计最高得</w:t>
            </w:r>
            <w:r>
              <w:rPr>
                <w:rFonts w:hint="eastAsia" w:ascii="宋体" w:hAnsi="宋体" w:eastAsia="宋体" w:cs="宋体"/>
                <w:color w:val="auto"/>
                <w:sz w:val="24"/>
                <w:highlight w:val="none"/>
                <w:lang w:val="en-US" w:eastAsia="zh-CN"/>
              </w:rPr>
              <w:t>1</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分）</w:t>
            </w:r>
          </w:p>
          <w:p>
            <w:pPr>
              <w:adjustRightInd/>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①投标人自有沥青路面热再生修补车每有一辆得</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分，最高得</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分；</w:t>
            </w:r>
          </w:p>
          <w:p>
            <w:pPr>
              <w:pStyle w:val="4"/>
              <w:jc w:val="left"/>
              <w:rPr>
                <w:rFonts w:hint="eastAsia" w:ascii="宋体" w:hAnsi="宋体" w:eastAsia="宋体" w:cs="宋体"/>
                <w:color w:val="auto"/>
                <w:highlight w:val="none"/>
                <w:lang w:val="en-US"/>
              </w:rPr>
            </w:pPr>
            <w:r>
              <w:rPr>
                <w:rFonts w:hint="eastAsia" w:ascii="宋体" w:hAnsi="宋体" w:eastAsia="宋体" w:cs="宋体"/>
                <w:b w:val="0"/>
                <w:bCs w:val="0"/>
                <w:color w:val="auto"/>
                <w:sz w:val="24"/>
                <w:szCs w:val="24"/>
                <w:highlight w:val="none"/>
                <w:lang w:val="en-US"/>
              </w:rPr>
              <w:t>②投标人自有储料式沥青保温车每有一辆得</w:t>
            </w: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lang w:val="en-US"/>
              </w:rPr>
              <w:t>分，最高得</w:t>
            </w: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lang w:val="en-US"/>
              </w:rPr>
              <w:t>分；</w:t>
            </w:r>
          </w:p>
          <w:p>
            <w:pPr>
              <w:adjustRightInd/>
              <w:spacing w:line="600" w:lineRule="exact"/>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color w:val="auto"/>
                <w:sz w:val="24"/>
                <w:highlight w:val="none"/>
              </w:rPr>
              <w:t>③</w:t>
            </w:r>
            <w:r>
              <w:rPr>
                <w:rFonts w:hint="eastAsia" w:ascii="宋体" w:hAnsi="宋体" w:eastAsia="宋体" w:cs="宋体"/>
                <w:b w:val="0"/>
                <w:bCs w:val="0"/>
                <w:color w:val="auto"/>
                <w:sz w:val="24"/>
                <w:szCs w:val="24"/>
                <w:highlight w:val="none"/>
                <w:lang w:val="en-US"/>
              </w:rPr>
              <w:t>投标人自有铣刨机、沥青砼摊铺机、压路机一台的各得</w:t>
            </w: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lang w:val="en-US"/>
              </w:rPr>
              <w:t>分，</w:t>
            </w:r>
            <w:r>
              <w:rPr>
                <w:rFonts w:hint="eastAsia" w:ascii="宋体" w:hAnsi="宋体" w:eastAsia="宋体" w:cs="宋体"/>
                <w:b w:val="0"/>
                <w:bCs w:val="0"/>
                <w:color w:val="auto"/>
                <w:sz w:val="24"/>
                <w:szCs w:val="24"/>
                <w:highlight w:val="none"/>
                <w:lang w:val="en-US" w:eastAsia="zh-CN"/>
              </w:rPr>
              <w:t>最高得3分；</w:t>
            </w:r>
          </w:p>
          <w:p>
            <w:pPr>
              <w:adjustRightInd/>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④投标人自有管道</w:t>
            </w:r>
            <w:r>
              <w:rPr>
                <w:rFonts w:hint="eastAsia" w:ascii="宋体" w:hAnsi="宋体" w:cs="宋体"/>
                <w:color w:val="auto"/>
                <w:sz w:val="24"/>
                <w:highlight w:val="none"/>
                <w:lang w:eastAsia="zh-CN"/>
              </w:rPr>
              <w:t>清洗吸污车</w:t>
            </w:r>
            <w:r>
              <w:rPr>
                <w:rFonts w:hint="eastAsia" w:ascii="宋体" w:hAnsi="宋体" w:eastAsia="宋体" w:cs="宋体"/>
                <w:color w:val="auto"/>
                <w:sz w:val="24"/>
                <w:highlight w:val="none"/>
              </w:rPr>
              <w:t>每有一辆得1分，最高得</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分；</w:t>
            </w:r>
          </w:p>
          <w:p>
            <w:pPr>
              <w:adjustRightInd/>
              <w:spacing w:line="600" w:lineRule="exact"/>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⑤投标人自有皮卡工具车（车辆登记证原件中使用性质必须为工程救险或工程抢险）每有一辆得1分，最高得2分</w:t>
            </w:r>
            <w:r>
              <w:rPr>
                <w:rFonts w:hint="eastAsia" w:ascii="宋体" w:hAnsi="宋体" w:eastAsia="宋体" w:cs="宋体"/>
                <w:color w:val="auto"/>
                <w:sz w:val="24"/>
                <w:highlight w:val="none"/>
                <w:lang w:val="en-US" w:eastAsia="zh-CN"/>
              </w:rPr>
              <w:t>；</w:t>
            </w:r>
          </w:p>
          <w:p>
            <w:pPr>
              <w:pStyle w:val="4"/>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⑥自备 CCTV管道检测设备(管道机器人)2套以上得1分，</w:t>
            </w:r>
          </w:p>
          <w:p>
            <w:pPr>
              <w:pStyle w:val="4"/>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气体检测仪5套以上得1分，发电机5台以上得1分，抽水</w:t>
            </w:r>
          </w:p>
          <w:p>
            <w:pPr>
              <w:pStyle w:val="4"/>
              <w:ind w:left="0" w:leftChars="0" w:firstLine="0" w:firstLineChars="0"/>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水泵5台以上得1分，本项最高得分</w:t>
            </w: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lang w:val="en-US"/>
              </w:rPr>
              <w:t>分（投标文件中需提供设备购买发票复印件加盖公章）</w:t>
            </w:r>
          </w:p>
          <w:p>
            <w:pPr>
              <w:adjustRightInd/>
              <w:spacing w:line="60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以上设备是车辆的在</w:t>
            </w:r>
            <w:r>
              <w:rPr>
                <w:rFonts w:hint="eastAsia" w:ascii="宋体" w:hAnsi="宋体" w:eastAsia="宋体" w:cs="宋体"/>
                <w:b/>
                <w:bCs/>
                <w:color w:val="auto"/>
                <w:sz w:val="24"/>
                <w:highlight w:val="none"/>
              </w:rPr>
              <w:t>投标文件中同时提供车辆行驶证、购车发票及车辆登记证复印件；</w:t>
            </w:r>
          </w:p>
        </w:tc>
        <w:tc>
          <w:tcPr>
            <w:tcW w:w="870" w:type="dxa"/>
            <w:vAlign w:val="center"/>
          </w:tcPr>
          <w:p>
            <w:pPr>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w:t>
            </w:r>
            <w:r>
              <w:rPr>
                <w:rFonts w:hint="eastAsia" w:ascii="宋体" w:hAnsi="宋体" w:cs="宋体"/>
                <w:color w:val="auto"/>
                <w:sz w:val="24"/>
                <w:highlight w:val="none"/>
                <w:lang w:val="en-US" w:eastAsia="zh-CN"/>
              </w:rPr>
              <w:t>2</w:t>
            </w:r>
          </w:p>
        </w:tc>
        <w:tc>
          <w:tcPr>
            <w:tcW w:w="870" w:type="dxa"/>
            <w:vAlign w:val="center"/>
          </w:tcPr>
          <w:p>
            <w:pPr>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客观分</w:t>
            </w:r>
          </w:p>
        </w:tc>
        <w:tc>
          <w:tcPr>
            <w:tcW w:w="1440" w:type="dxa"/>
            <w:vAlign w:val="center"/>
          </w:tcPr>
          <w:p>
            <w:pPr>
              <w:jc w:val="center"/>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57" w:hRule="atLeast"/>
        </w:trPr>
        <w:tc>
          <w:tcPr>
            <w:tcW w:w="796" w:type="dxa"/>
            <w:vMerge w:val="continue"/>
            <w:vAlign w:val="center"/>
          </w:tcPr>
          <w:p>
            <w:pPr>
              <w:jc w:val="center"/>
              <w:rPr>
                <w:rFonts w:hint="eastAsia" w:ascii="宋体" w:hAnsi="宋体" w:eastAsia="宋体" w:cs="宋体"/>
                <w:color w:val="auto"/>
                <w:sz w:val="24"/>
                <w:highlight w:val="none"/>
              </w:rPr>
            </w:pPr>
          </w:p>
        </w:tc>
        <w:tc>
          <w:tcPr>
            <w:tcW w:w="1244" w:type="dxa"/>
            <w:vMerge w:val="continue"/>
            <w:vAlign w:val="center"/>
          </w:tcPr>
          <w:p>
            <w:pPr>
              <w:adjustRightInd/>
              <w:spacing w:line="600" w:lineRule="exact"/>
              <w:jc w:val="left"/>
              <w:rPr>
                <w:rFonts w:hint="eastAsia" w:ascii="宋体" w:hAnsi="宋体" w:eastAsia="宋体" w:cs="宋体"/>
                <w:b/>
                <w:bCs/>
                <w:color w:val="auto"/>
                <w:sz w:val="24"/>
                <w:highlight w:val="none"/>
              </w:rPr>
            </w:pPr>
          </w:p>
        </w:tc>
        <w:tc>
          <w:tcPr>
            <w:tcW w:w="4350" w:type="dxa"/>
            <w:vAlign w:val="center"/>
          </w:tcPr>
          <w:p>
            <w:pPr>
              <w:adjustRightInd/>
              <w:spacing w:line="60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绿化设备：</w:t>
            </w:r>
            <w:r>
              <w:rPr>
                <w:rFonts w:hint="eastAsia" w:ascii="宋体" w:hAnsi="宋体" w:eastAsia="宋体" w:cs="宋体"/>
                <w:color w:val="auto"/>
                <w:sz w:val="24"/>
                <w:highlight w:val="none"/>
              </w:rPr>
              <w:t>（本项合计最高得</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分）</w:t>
            </w:r>
          </w:p>
          <w:p>
            <w:pPr>
              <w:adjustRightInd/>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①投标人自有专项高空作业登高车每有一辆得</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分，最高得</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分；</w:t>
            </w:r>
          </w:p>
          <w:p>
            <w:pPr>
              <w:adjustRightInd/>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② 投标人自有总质量15000kg及以上绿化喷洒车每有一辆得1分，最高得1分；</w:t>
            </w:r>
          </w:p>
          <w:p>
            <w:pPr>
              <w:adjustRightInd/>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③投标人自有总质量 2 吨以上的货车每有一辆得1分，最高得1分；</w:t>
            </w:r>
          </w:p>
          <w:p>
            <w:pPr>
              <w:adjustRightInd/>
              <w:spacing w:line="600" w:lineRule="exact"/>
              <w:jc w:val="left"/>
              <w:rPr>
                <w:rFonts w:hint="eastAsia" w:ascii="宋体" w:hAnsi="宋体" w:eastAsia="宋体" w:cs="宋体"/>
                <w:color w:val="auto"/>
                <w:highlight w:val="none"/>
                <w:lang w:val="en-US" w:eastAsia="zh-CN"/>
              </w:rPr>
            </w:pPr>
            <w:r>
              <w:rPr>
                <w:rFonts w:hint="eastAsia" w:ascii="宋体" w:hAnsi="宋体" w:eastAsia="宋体" w:cs="宋体"/>
                <w:color w:val="auto"/>
                <w:sz w:val="24"/>
                <w:highlight w:val="none"/>
              </w:rPr>
              <w:t>④</w:t>
            </w:r>
            <w:r>
              <w:rPr>
                <w:rFonts w:hint="eastAsia" w:ascii="宋体" w:hAnsi="宋体" w:eastAsia="宋体" w:cs="宋体"/>
                <w:color w:val="auto"/>
                <w:sz w:val="24"/>
                <w:highlight w:val="none"/>
                <w:lang w:val="en-US" w:eastAsia="zh-CN"/>
              </w:rPr>
              <w:t>投标人割灌机5台及以上的得1分，草坪修剪机5台及以上的得1分，</w:t>
            </w:r>
            <w:r>
              <w:rPr>
                <w:rFonts w:hint="eastAsia" w:ascii="宋体" w:hAnsi="宋体" w:eastAsia="宋体" w:cs="宋体"/>
                <w:b w:val="0"/>
                <w:bCs w:val="0"/>
                <w:color w:val="auto"/>
                <w:sz w:val="24"/>
                <w:szCs w:val="24"/>
                <w:highlight w:val="none"/>
                <w:lang w:val="en-US"/>
              </w:rPr>
              <w:t>本项最高得分</w:t>
            </w: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val="en-US"/>
              </w:rPr>
              <w:t>分</w:t>
            </w:r>
            <w:r>
              <w:rPr>
                <w:rFonts w:hint="eastAsia" w:ascii="宋体" w:hAnsi="宋体" w:eastAsia="宋体" w:cs="宋体"/>
                <w:b w:val="0"/>
                <w:bCs w:val="0"/>
                <w:color w:val="auto"/>
                <w:sz w:val="24"/>
                <w:szCs w:val="24"/>
                <w:highlight w:val="none"/>
                <w:lang w:val="en-US" w:eastAsia="zh-CN"/>
              </w:rPr>
              <w:t>；</w:t>
            </w:r>
          </w:p>
          <w:p>
            <w:pPr>
              <w:adjustRightInd/>
              <w:spacing w:line="60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以上设备是车辆的在投</w:t>
            </w:r>
            <w:r>
              <w:rPr>
                <w:rFonts w:hint="eastAsia" w:ascii="宋体" w:hAnsi="宋体" w:eastAsia="宋体" w:cs="宋体"/>
                <w:b/>
                <w:bCs/>
                <w:color w:val="auto"/>
                <w:sz w:val="24"/>
                <w:highlight w:val="none"/>
              </w:rPr>
              <w:t>标文件中同时提供车辆行驶证、购车发票及车辆登记证复印件；</w:t>
            </w:r>
            <w:r>
              <w:rPr>
                <w:rFonts w:hint="eastAsia" w:ascii="宋体" w:hAnsi="宋体" w:eastAsia="宋体" w:cs="宋体"/>
                <w:b/>
                <w:bCs/>
                <w:color w:val="auto"/>
                <w:sz w:val="24"/>
                <w:highlight w:val="none"/>
                <w:lang w:val="en-US" w:eastAsia="zh-CN"/>
              </w:rPr>
              <w:t>其它</w:t>
            </w:r>
            <w:r>
              <w:rPr>
                <w:rFonts w:hint="eastAsia" w:ascii="宋体" w:hAnsi="宋体" w:eastAsia="宋体" w:cs="宋体"/>
                <w:b/>
                <w:bCs/>
                <w:color w:val="auto"/>
                <w:sz w:val="24"/>
                <w:highlight w:val="none"/>
                <w:lang w:val="en-US"/>
              </w:rPr>
              <w:t>设备提供购买发票复印件加盖公章</w:t>
            </w:r>
          </w:p>
        </w:tc>
        <w:tc>
          <w:tcPr>
            <w:tcW w:w="870" w:type="dxa"/>
            <w:vAlign w:val="center"/>
          </w:tcPr>
          <w:p>
            <w:pPr>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6</w:t>
            </w:r>
          </w:p>
        </w:tc>
        <w:tc>
          <w:tcPr>
            <w:tcW w:w="870" w:type="dxa"/>
            <w:vAlign w:val="center"/>
          </w:tcPr>
          <w:p>
            <w:pPr>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客观分</w:t>
            </w:r>
          </w:p>
        </w:tc>
        <w:tc>
          <w:tcPr>
            <w:tcW w:w="1440" w:type="dxa"/>
            <w:vAlign w:val="center"/>
          </w:tcPr>
          <w:p>
            <w:pPr>
              <w:jc w:val="center"/>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5594" w:type="dxa"/>
            <w:gridSpan w:val="2"/>
            <w:vAlign w:val="center"/>
          </w:tcPr>
          <w:p>
            <w:pPr>
              <w:pStyle w:val="965"/>
              <w:snapToGrid w:val="0"/>
              <w:ind w:firstLine="0" w:firstLineChars="0"/>
              <w:jc w:val="left"/>
              <w:rPr>
                <w:rFonts w:hint="eastAsia" w:ascii="宋体" w:hAnsi="宋体" w:eastAsia="宋体" w:cs="宋体"/>
                <w:color w:val="auto"/>
                <w:kern w:val="21"/>
                <w:sz w:val="24"/>
                <w:szCs w:val="24"/>
                <w:highlight w:val="none"/>
              </w:rPr>
            </w:pPr>
            <w:r>
              <w:rPr>
                <w:rFonts w:hint="eastAsia" w:ascii="宋体" w:hAnsi="宋体" w:eastAsia="宋体" w:cs="宋体"/>
                <w:color w:val="auto"/>
                <w:kern w:val="21"/>
                <w:sz w:val="24"/>
                <w:szCs w:val="24"/>
                <w:highlight w:val="none"/>
              </w:rPr>
              <w:t>管理体系认证证书：投标人具有效的环境管理体系认证、职业健康安全管理体系认证、质量管理体系认证证书每有一个得</w:t>
            </w:r>
            <w:r>
              <w:rPr>
                <w:rFonts w:hint="eastAsia" w:ascii="宋体" w:eastAsia="宋体" w:cs="宋体"/>
                <w:color w:val="auto"/>
                <w:kern w:val="21"/>
                <w:sz w:val="24"/>
                <w:szCs w:val="24"/>
                <w:highlight w:val="none"/>
                <w:lang w:val="en-US" w:eastAsia="zh-CN"/>
              </w:rPr>
              <w:t>2</w:t>
            </w:r>
            <w:r>
              <w:rPr>
                <w:rFonts w:hint="eastAsia" w:ascii="宋体" w:hAnsi="宋体" w:eastAsia="宋体" w:cs="宋体"/>
                <w:color w:val="auto"/>
                <w:kern w:val="21"/>
                <w:sz w:val="24"/>
                <w:szCs w:val="24"/>
                <w:highlight w:val="none"/>
              </w:rPr>
              <w:t>分，最多得</w:t>
            </w:r>
            <w:r>
              <w:rPr>
                <w:rFonts w:hint="eastAsia" w:ascii="宋体" w:eastAsia="宋体" w:cs="宋体"/>
                <w:color w:val="auto"/>
                <w:kern w:val="21"/>
                <w:sz w:val="24"/>
                <w:szCs w:val="24"/>
                <w:highlight w:val="none"/>
                <w:lang w:val="en-US" w:eastAsia="zh-CN"/>
              </w:rPr>
              <w:t>6</w:t>
            </w:r>
            <w:r>
              <w:rPr>
                <w:rFonts w:hint="eastAsia" w:ascii="宋体" w:hAnsi="宋体" w:eastAsia="宋体" w:cs="宋体"/>
                <w:color w:val="auto"/>
                <w:kern w:val="21"/>
                <w:sz w:val="24"/>
                <w:szCs w:val="24"/>
                <w:highlight w:val="none"/>
              </w:rPr>
              <w:t>分；</w:t>
            </w:r>
          </w:p>
          <w:p>
            <w:pPr>
              <w:pStyle w:val="965"/>
              <w:snapToGrid w:val="0"/>
              <w:ind w:firstLine="0" w:firstLineChars="0"/>
              <w:jc w:val="left"/>
              <w:rPr>
                <w:rFonts w:hint="eastAsia" w:ascii="宋体" w:hAnsi="宋体" w:eastAsia="宋体" w:cs="宋体"/>
                <w:color w:val="auto"/>
                <w:kern w:val="21"/>
                <w:sz w:val="24"/>
                <w:szCs w:val="24"/>
                <w:highlight w:val="none"/>
                <w:lang w:val="en-US" w:eastAsia="zh-CN" w:bidi="ar-SA"/>
              </w:rPr>
            </w:pPr>
            <w:r>
              <w:rPr>
                <w:rFonts w:hint="eastAsia" w:ascii="宋体" w:hAnsi="宋体" w:eastAsia="宋体" w:cs="宋体"/>
                <w:b/>
                <w:bCs/>
                <w:color w:val="auto"/>
                <w:kern w:val="21"/>
                <w:sz w:val="24"/>
                <w:szCs w:val="24"/>
                <w:highlight w:val="none"/>
              </w:rPr>
              <w:t>投标文件中提供证书复印件并加盖公章；</w:t>
            </w:r>
          </w:p>
        </w:tc>
        <w:tc>
          <w:tcPr>
            <w:tcW w:w="870" w:type="dxa"/>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6</w:t>
            </w:r>
          </w:p>
        </w:tc>
        <w:tc>
          <w:tcPr>
            <w:tcW w:w="870" w:type="dxa"/>
            <w:vAlign w:val="center"/>
          </w:tcPr>
          <w:p>
            <w:pPr>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客观分</w:t>
            </w:r>
          </w:p>
        </w:tc>
        <w:tc>
          <w:tcPr>
            <w:tcW w:w="1440" w:type="dxa"/>
            <w:vAlign w:val="center"/>
          </w:tcPr>
          <w:p>
            <w:pPr>
              <w:jc w:val="center"/>
              <w:rPr>
                <w:rFonts w:hint="eastAsia" w:ascii="宋体" w:hAnsi="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5594" w:type="dxa"/>
            <w:gridSpan w:val="2"/>
            <w:vAlign w:val="center"/>
          </w:tcPr>
          <w:p>
            <w:pPr>
              <w:pStyle w:val="965"/>
              <w:snapToGrid w:val="0"/>
              <w:ind w:firstLine="0" w:firstLineChars="0"/>
              <w:jc w:val="left"/>
              <w:rPr>
                <w:rFonts w:hint="eastAsia" w:ascii="宋体" w:hAnsi="宋体" w:eastAsia="宋体" w:cs="宋体"/>
                <w:color w:val="auto"/>
                <w:kern w:val="21"/>
                <w:sz w:val="24"/>
                <w:szCs w:val="24"/>
                <w:highlight w:val="none"/>
                <w:lang w:val="zh-CN"/>
              </w:rPr>
            </w:pPr>
            <w:r>
              <w:rPr>
                <w:rFonts w:hint="eastAsia" w:ascii="宋体" w:hAnsi="宋体" w:eastAsia="宋体" w:cs="宋体"/>
                <w:color w:val="auto"/>
                <w:kern w:val="21"/>
                <w:sz w:val="24"/>
                <w:szCs w:val="24"/>
                <w:highlight w:val="none"/>
                <w:lang w:val="zh-CN"/>
              </w:rPr>
              <w:t>类似项目实施业绩一览表：投标人自201</w:t>
            </w:r>
            <w:r>
              <w:rPr>
                <w:rFonts w:hint="eastAsia" w:ascii="宋体" w:hAnsi="宋体" w:eastAsia="宋体" w:cs="宋体"/>
                <w:color w:val="auto"/>
                <w:kern w:val="21"/>
                <w:sz w:val="24"/>
                <w:szCs w:val="24"/>
                <w:highlight w:val="none"/>
              </w:rPr>
              <w:t>9</w:t>
            </w:r>
            <w:r>
              <w:rPr>
                <w:rFonts w:hint="eastAsia" w:ascii="宋体" w:hAnsi="宋体" w:eastAsia="宋体" w:cs="宋体"/>
                <w:color w:val="auto"/>
                <w:kern w:val="21"/>
                <w:sz w:val="24"/>
                <w:szCs w:val="24"/>
                <w:highlight w:val="none"/>
                <w:lang w:val="zh-CN"/>
              </w:rPr>
              <w:t>年1月1日（含）以来（时间以合同签订时间为准）承担过类似项目（服务内容须包含市政道路清扫保洁、市政养护、绿化养护中二项及以上的）业绩的，每提供1个得</w:t>
            </w:r>
            <w:r>
              <w:rPr>
                <w:rFonts w:hint="eastAsia" w:ascii="宋体" w:hAnsi="宋体" w:eastAsia="宋体" w:cs="宋体"/>
                <w:color w:val="auto"/>
                <w:kern w:val="21"/>
                <w:sz w:val="24"/>
                <w:szCs w:val="24"/>
                <w:highlight w:val="none"/>
                <w:lang w:val="en-US" w:eastAsia="zh-CN"/>
              </w:rPr>
              <w:t>0.5</w:t>
            </w:r>
            <w:r>
              <w:rPr>
                <w:rFonts w:hint="eastAsia" w:ascii="宋体" w:hAnsi="宋体" w:eastAsia="宋体" w:cs="宋体"/>
                <w:color w:val="auto"/>
                <w:kern w:val="21"/>
                <w:sz w:val="24"/>
                <w:szCs w:val="24"/>
                <w:highlight w:val="none"/>
                <w:lang w:val="zh-CN"/>
              </w:rPr>
              <w:t>分，本项最多得</w:t>
            </w:r>
            <w:r>
              <w:rPr>
                <w:rFonts w:hint="eastAsia" w:ascii="宋体" w:eastAsia="宋体" w:cs="宋体"/>
                <w:color w:val="auto"/>
                <w:kern w:val="21"/>
                <w:sz w:val="24"/>
                <w:szCs w:val="24"/>
                <w:highlight w:val="none"/>
                <w:lang w:val="en-US" w:eastAsia="zh-CN"/>
              </w:rPr>
              <w:t>1</w:t>
            </w:r>
            <w:r>
              <w:rPr>
                <w:rFonts w:hint="eastAsia" w:ascii="宋体" w:hAnsi="宋体" w:eastAsia="宋体" w:cs="宋体"/>
                <w:color w:val="auto"/>
                <w:kern w:val="21"/>
                <w:sz w:val="24"/>
                <w:szCs w:val="24"/>
                <w:highlight w:val="none"/>
                <w:lang w:val="zh-CN"/>
              </w:rPr>
              <w:t>分；</w:t>
            </w:r>
          </w:p>
          <w:p>
            <w:pPr>
              <w:pStyle w:val="965"/>
              <w:snapToGrid w:val="0"/>
              <w:ind w:firstLine="0" w:firstLineChars="0"/>
              <w:jc w:val="left"/>
              <w:rPr>
                <w:rFonts w:hint="eastAsia" w:ascii="宋体" w:hAnsi="宋体" w:eastAsia="宋体" w:cs="宋体"/>
                <w:color w:val="auto"/>
                <w:kern w:val="21"/>
                <w:sz w:val="24"/>
                <w:szCs w:val="24"/>
                <w:highlight w:val="none"/>
                <w:lang w:val="en-US" w:eastAsia="zh-CN" w:bidi="ar-SA"/>
              </w:rPr>
            </w:pPr>
            <w:r>
              <w:rPr>
                <w:rFonts w:hint="eastAsia" w:ascii="宋体" w:hAnsi="宋体" w:eastAsia="宋体" w:cs="宋体"/>
                <w:b/>
                <w:bCs/>
                <w:color w:val="auto"/>
                <w:kern w:val="21"/>
                <w:sz w:val="24"/>
                <w:szCs w:val="24"/>
                <w:highlight w:val="none"/>
                <w:lang w:val="zh-CN"/>
              </w:rPr>
              <w:t>投标文件中提供合同复印件并加盖公章；</w:t>
            </w:r>
          </w:p>
        </w:tc>
        <w:tc>
          <w:tcPr>
            <w:tcW w:w="870" w:type="dxa"/>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1</w:t>
            </w:r>
          </w:p>
        </w:tc>
        <w:tc>
          <w:tcPr>
            <w:tcW w:w="870" w:type="dxa"/>
            <w:vAlign w:val="center"/>
          </w:tcPr>
          <w:p>
            <w:pPr>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客观分</w:t>
            </w:r>
          </w:p>
        </w:tc>
        <w:tc>
          <w:tcPr>
            <w:tcW w:w="1440" w:type="dxa"/>
            <w:vAlign w:val="center"/>
          </w:tcPr>
          <w:p>
            <w:pPr>
              <w:jc w:val="center"/>
              <w:rPr>
                <w:rFonts w:hint="eastAsia" w:ascii="宋体" w:hAnsi="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5594" w:type="dxa"/>
            <w:gridSpan w:val="2"/>
            <w:vAlign w:val="center"/>
          </w:tcPr>
          <w:p>
            <w:pPr>
              <w:spacing w:line="360" w:lineRule="auto"/>
              <w:outlineLvl w:val="0"/>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有效投标报价的最低价作为评标基准价，其最低报价为满分；按［投标报价得分</w:t>
            </w:r>
            <w:r>
              <w:rPr>
                <w:rFonts w:cs="仿宋_GB2312" w:asciiTheme="minorEastAsia" w:hAnsiTheme="minorEastAsia" w:eastAsiaTheme="minorEastAsia"/>
                <w:color w:val="auto"/>
                <w:sz w:val="24"/>
              </w:rPr>
              <w:t>=（评标基准价/投标报价）*</w:t>
            </w:r>
            <w:r>
              <w:rPr>
                <w:rFonts w:hint="eastAsia" w:cs="仿宋_GB2312" w:asciiTheme="minorEastAsia" w:hAnsiTheme="minorEastAsia" w:eastAsiaTheme="minorEastAsia"/>
                <w:color w:val="auto"/>
                <w:sz w:val="24"/>
                <w:lang w:val="en-US" w:eastAsia="zh-CN"/>
              </w:rPr>
              <w:t>10</w:t>
            </w:r>
            <w:r>
              <w:rPr>
                <w:rFonts w:cs="仿宋_GB2312" w:asciiTheme="minorEastAsia" w:hAnsiTheme="minorEastAsia" w:eastAsiaTheme="minorEastAsia"/>
                <w:color w:val="auto"/>
                <w:sz w:val="24"/>
              </w:rPr>
              <w:t>］的计算公式计算。</w:t>
            </w:r>
          </w:p>
          <w:p>
            <w:pPr>
              <w:widowControl/>
              <w:shd w:val="clear" w:color="auto" w:fill="FFFFFF"/>
              <w:adjustRightInd/>
              <w:spacing w:after="225" w:line="315" w:lineRule="atLeast"/>
              <w:ind w:firstLine="420"/>
              <w:jc w:val="left"/>
              <w:rPr>
                <w:rFonts w:cs="仿宋_GB2312" w:asciiTheme="minorEastAsia" w:hAnsiTheme="minorEastAsia" w:eastAsiaTheme="minorEastAsia"/>
                <w:color w:val="auto"/>
                <w:sz w:val="24"/>
              </w:rPr>
            </w:pPr>
            <w:r>
              <w:rPr>
                <w:rFonts w:cs="仿宋_GB2312" w:asciiTheme="minorEastAsia" w:hAnsiTheme="minorEastAsia" w:eastAsiaTheme="minorEastAsia"/>
                <w:color w:val="auto"/>
                <w:sz w:val="24"/>
              </w:rPr>
              <w:t>评标过程中，不得去掉报价中的最高报价和最低报价。</w:t>
            </w:r>
          </w:p>
          <w:p>
            <w:pPr>
              <w:pStyle w:val="965"/>
              <w:snapToGrid w:val="0"/>
              <w:ind w:firstLine="0" w:firstLineChars="0"/>
              <w:jc w:val="left"/>
              <w:rPr>
                <w:rFonts w:hint="eastAsia" w:ascii="宋体" w:hAnsi="宋体" w:eastAsia="宋体" w:cs="宋体"/>
                <w:color w:val="auto"/>
                <w:kern w:val="21"/>
                <w:sz w:val="24"/>
                <w:szCs w:val="24"/>
                <w:highlight w:val="none"/>
                <w:lang w:val="en-US" w:eastAsia="zh-CN" w:bidi="ar-SA"/>
              </w:rPr>
            </w:pPr>
            <w:r>
              <w:rPr>
                <w:rFonts w:hint="eastAsia" w:cs="仿宋_GB2312" w:asciiTheme="minorEastAsia" w:hAnsiTheme="minorEastAsia" w:eastAsiaTheme="minorEastAsia"/>
                <w:color w:val="auto"/>
                <w:sz w:val="24"/>
              </w:rPr>
              <w:t>对于未预留份额专门面向中小企业的政府采购服务项目，以及预留份额政府采购服务项目中的非预留部分标项，对小型和微型企业的投标报价给予</w:t>
            </w:r>
            <w:r>
              <w:rPr>
                <w:rFonts w:hint="eastAsia" w:cs="仿宋_GB2312" w:asciiTheme="minorEastAsia" w:hAnsiTheme="minorEastAsia" w:eastAsiaTheme="minorEastAsia"/>
                <w:color w:val="auto"/>
                <w:sz w:val="24"/>
                <w:lang w:val="en-US" w:eastAsia="zh-CN"/>
              </w:rPr>
              <w:t>20</w:t>
            </w:r>
            <w:r>
              <w:rPr>
                <w:rFonts w:hint="eastAsia" w:cs="仿宋_GB2312" w:asciiTheme="minorEastAsia" w:hAnsiTheme="minorEastAsia" w:eastAsiaTheme="minorEastAsia"/>
                <w:color w:val="auto"/>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cs="仿宋_GB2312" w:asciiTheme="minorEastAsia" w:hAnsiTheme="minorEastAsia" w:eastAsiaTheme="minorEastAsia"/>
                <w:color w:val="auto"/>
                <w:sz w:val="24"/>
                <w:lang w:val="en-US" w:eastAsia="zh-CN"/>
              </w:rPr>
              <w:t>6</w:t>
            </w:r>
            <w:r>
              <w:rPr>
                <w:rFonts w:hint="eastAsia" w:cs="仿宋_GB2312" w:asciiTheme="minorEastAsia" w:hAnsiTheme="minorEastAsia" w:eastAsiaTheme="minorEastAsia"/>
                <w:color w:val="auto"/>
                <w:sz w:val="24"/>
              </w:rPr>
              <w:t>%的扣除，用扣除后的价格参加评审</w:t>
            </w:r>
            <w:r>
              <w:rPr>
                <w:rFonts w:cs="仿宋_GB2312" w:asciiTheme="minorEastAsia" w:hAnsiTheme="minorEastAsia" w:eastAsiaTheme="minorEastAsia"/>
                <w:color w:val="auto"/>
                <w:sz w:val="24"/>
              </w:rPr>
              <w:t>。</w:t>
            </w:r>
          </w:p>
        </w:tc>
        <w:tc>
          <w:tcPr>
            <w:tcW w:w="870" w:type="dxa"/>
            <w:vAlign w:val="center"/>
          </w:tcPr>
          <w:p>
            <w:pPr>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10</w:t>
            </w:r>
          </w:p>
        </w:tc>
        <w:tc>
          <w:tcPr>
            <w:tcW w:w="870" w:type="dxa"/>
            <w:vAlign w:val="center"/>
          </w:tcPr>
          <w:p>
            <w:pPr>
              <w:jc w:val="center"/>
              <w:rPr>
                <w:rFonts w:hint="eastAsia" w:ascii="宋体" w:hAnsi="宋体" w:cs="宋体"/>
                <w:color w:val="auto"/>
                <w:kern w:val="2"/>
                <w:sz w:val="24"/>
                <w:szCs w:val="24"/>
                <w:highlight w:val="none"/>
                <w:lang w:val="en-US" w:eastAsia="zh-CN" w:bidi="ar-SA"/>
              </w:rPr>
            </w:pPr>
          </w:p>
        </w:tc>
        <w:tc>
          <w:tcPr>
            <w:tcW w:w="1440" w:type="dxa"/>
            <w:vAlign w:val="center"/>
          </w:tcPr>
          <w:p>
            <w:pPr>
              <w:jc w:val="center"/>
              <w:rPr>
                <w:rFonts w:hint="eastAsia" w:ascii="宋体" w:hAnsi="宋体" w:cs="宋体"/>
                <w:color w:val="auto"/>
                <w:kern w:val="2"/>
                <w:sz w:val="24"/>
                <w:szCs w:val="24"/>
                <w:highlight w:val="none"/>
                <w:lang w:val="en-US" w:eastAsia="zh-CN" w:bidi="ar-SA"/>
              </w:rPr>
            </w:pPr>
          </w:p>
        </w:tc>
      </w:tr>
    </w:tbl>
    <w:p>
      <w:pPr>
        <w:snapToGrid w:val="0"/>
        <w:spacing w:line="360" w:lineRule="auto"/>
        <w:rPr>
          <w:rFonts w:ascii="宋体" w:hAnsi="宋体" w:cs="宋体"/>
          <w:b/>
          <w:color w:val="auto"/>
          <w:sz w:val="24"/>
        </w:rPr>
      </w:pPr>
      <w:r>
        <w:rPr>
          <w:rFonts w:hint="eastAsia" w:ascii="宋体" w:hAnsi="宋体" w:cs="宋体"/>
          <w:color w:val="auto"/>
          <w:sz w:val="20"/>
          <w:szCs w:val="20"/>
          <w:shd w:val="clear" w:color="auto" w:fill="FFFFFF"/>
        </w:rPr>
        <w:t> *</w:t>
      </w:r>
      <w:r>
        <w:rPr>
          <w:rFonts w:hint="eastAsia" w:ascii="宋体" w:hAnsi="宋体" w:cs="宋体"/>
          <w:b/>
          <w:color w:val="auto"/>
          <w:sz w:val="24"/>
        </w:rPr>
        <w:t>备注：</w:t>
      </w:r>
      <w:r>
        <w:rPr>
          <w:rFonts w:hint="eastAsia" w:ascii="宋体" w:hAnsi="宋体" w:cs="宋体"/>
          <w:color w:val="auto"/>
          <w:sz w:val="24"/>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rPr>
      </w:pPr>
      <w:r>
        <w:rPr>
          <w:rFonts w:hint="eastAsia" w:ascii="宋体" w:hAnsi="宋体" w:cs="宋体"/>
          <w:b/>
          <w:color w:val="auto"/>
          <w:sz w:val="32"/>
        </w:rPr>
        <w:t>一、评标方法</w:t>
      </w:r>
    </w:p>
    <w:p>
      <w:pPr>
        <w:adjustRightInd/>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1.本项目采用综合评分法。</w:t>
      </w:r>
      <w:r>
        <w:rPr>
          <w:rFonts w:hint="eastAsia" w:ascii="宋体" w:hAnsi="宋体" w:cs="宋体"/>
          <w:color w:val="auto"/>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rPr>
      </w:pPr>
      <w:r>
        <w:rPr>
          <w:rFonts w:hint="eastAsia" w:ascii="宋体" w:hAnsi="宋体" w:cs="宋体"/>
          <w:b/>
          <w:color w:val="auto"/>
          <w:sz w:val="32"/>
        </w:rPr>
        <w:t>二、评标标准</w:t>
      </w:r>
    </w:p>
    <w:p>
      <w:pPr>
        <w:spacing w:line="360" w:lineRule="auto"/>
        <w:ind w:firstLine="472" w:firstLineChars="196"/>
        <w:rPr>
          <w:rFonts w:ascii="宋体" w:hAnsi="宋体" w:cs="宋体"/>
          <w:b/>
          <w:color w:val="auto"/>
          <w:sz w:val="24"/>
        </w:rPr>
      </w:pPr>
      <w:r>
        <w:rPr>
          <w:rFonts w:hint="eastAsia" w:ascii="宋体" w:hAnsi="宋体" w:cs="宋体"/>
          <w:b/>
          <w:color w:val="auto"/>
          <w:sz w:val="24"/>
        </w:rPr>
        <w:t>2.</w:t>
      </w:r>
      <w:r>
        <w:rPr>
          <w:rFonts w:hint="eastAsia" w:ascii="宋体" w:hAnsi="宋体" w:cs="宋体"/>
          <w:color w:val="auto"/>
        </w:rPr>
        <w:t xml:space="preserve"> </w:t>
      </w:r>
      <w:r>
        <w:rPr>
          <w:rFonts w:hint="eastAsia" w:ascii="宋体" w:hAnsi="宋体" w:cs="宋体"/>
          <w:b/>
          <w:color w:val="auto"/>
          <w:sz w:val="24"/>
        </w:rPr>
        <w:t>评标标准：</w:t>
      </w:r>
      <w:r>
        <w:rPr>
          <w:rFonts w:hint="eastAsia" w:ascii="宋体" w:hAnsi="宋体" w:cs="宋体"/>
          <w:color w:val="auto"/>
          <w:kern w:val="0"/>
          <w:sz w:val="24"/>
        </w:rPr>
        <w:t>见评标办法前附表。</w:t>
      </w:r>
    </w:p>
    <w:p>
      <w:pPr>
        <w:spacing w:line="360" w:lineRule="auto"/>
        <w:outlineLvl w:val="0"/>
        <w:rPr>
          <w:rFonts w:ascii="宋体" w:hAnsi="宋体" w:cs="宋体"/>
          <w:b/>
          <w:color w:val="auto"/>
          <w:sz w:val="36"/>
          <w:szCs w:val="36"/>
        </w:rPr>
      </w:pPr>
      <w:r>
        <w:rPr>
          <w:rFonts w:hint="eastAsia" w:ascii="宋体" w:hAnsi="宋体" w:cs="宋体"/>
          <w:b/>
          <w:color w:val="auto"/>
          <w:sz w:val="36"/>
          <w:szCs w:val="36"/>
        </w:rPr>
        <w:t>三、评标程序</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3.1符合性审查。</w:t>
      </w:r>
      <w:r>
        <w:rPr>
          <w:rFonts w:hint="eastAsia" w:ascii="宋体" w:hAnsi="宋体" w:cs="宋体"/>
          <w:color w:val="auto"/>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3.2 比较与评价。</w:t>
      </w:r>
      <w:r>
        <w:rPr>
          <w:rFonts w:hint="eastAsia" w:ascii="宋体" w:hAnsi="宋体" w:cs="宋体"/>
          <w:color w:val="auto"/>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3.3汇总商务技术得分。</w:t>
      </w:r>
      <w:r>
        <w:rPr>
          <w:rFonts w:hint="eastAsia" w:ascii="宋体" w:hAnsi="宋体" w:cs="宋体"/>
          <w:color w:val="auto"/>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rPr>
      </w:pPr>
      <w:r>
        <w:rPr>
          <w:rFonts w:hint="eastAsia" w:ascii="宋体" w:hAnsi="宋体" w:cs="宋体"/>
          <w:b/>
          <w:color w:val="auto"/>
          <w:kern w:val="0"/>
          <w:sz w:val="24"/>
        </w:rPr>
        <w:t>3.4报价评审。</w:t>
      </w:r>
    </w:p>
    <w:p>
      <w:pPr>
        <w:pStyle w:val="128"/>
        <w:spacing w:before="0"/>
        <w:ind w:firstLine="508" w:firstLineChars="212"/>
        <w:rPr>
          <w:rFonts w:ascii="宋体" w:hAnsi="宋体" w:cs="宋体"/>
          <w:color w:val="auto"/>
          <w:kern w:val="0"/>
        </w:rPr>
      </w:pPr>
      <w:r>
        <w:rPr>
          <w:rFonts w:hint="eastAsia" w:ascii="宋体" w:hAnsi="宋体" w:cs="宋体"/>
          <w:color w:val="auto"/>
          <w:kern w:val="0"/>
        </w:rPr>
        <w:t>3.4.1投标文件报价出现前后不一致的，按照下列规定修正：</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3.4.1.1投标文件中开标一览表(报价表)内容与投标文件中相应内容不一致的，以开标一览表(报价表)为准;</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3.4.1.2大写金额和小写金额不一致的，以大写金额为准;</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3.4.1.3单价金额小数点或者百分比有明显错位的，以开标一览表的总价为准，并修改单价;</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3.4.1.4总价金额与按单价汇总金额不一致的，以单价金额计算结果为准。</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3.4.3投标报价超过招标文件中规定的预算金额或者最高限价的，投标无效。</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color w:val="auto"/>
          <w:kern w:val="0"/>
          <w:szCs w:val="24"/>
        </w:rPr>
        <w:t>20</w:t>
      </w:r>
      <w:r>
        <w:rPr>
          <w:rFonts w:hint="eastAsia" w:ascii="宋体" w:hAnsi="宋体" w:cs="宋体"/>
          <w:color w:val="auto"/>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kern w:val="0"/>
          <w:szCs w:val="24"/>
        </w:rPr>
        <w:t>6</w:t>
      </w:r>
      <w:r>
        <w:rPr>
          <w:rFonts w:hint="eastAsia" w:ascii="宋体" w:hAnsi="宋体" w:cs="宋体"/>
          <w:color w:val="auto"/>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rPr>
      </w:pPr>
      <w:r>
        <w:rPr>
          <w:rFonts w:hint="eastAsia" w:ascii="宋体" w:hAnsi="宋体" w:cs="宋体"/>
          <w:b/>
          <w:color w:val="auto"/>
          <w:kern w:val="0"/>
          <w:sz w:val="24"/>
        </w:rPr>
        <w:t>3.5排序与推荐。</w:t>
      </w:r>
      <w:r>
        <w:rPr>
          <w:rFonts w:hint="eastAsia" w:ascii="宋体" w:hAnsi="宋体" w:cs="宋体"/>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rPr>
      </w:pPr>
      <w:r>
        <w:rPr>
          <w:rFonts w:hint="eastAsia" w:ascii="宋体" w:hAnsi="宋体" w:cs="宋体"/>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3.6编写评标报告。</w:t>
      </w:r>
      <w:r>
        <w:rPr>
          <w:rFonts w:hint="eastAsia" w:ascii="宋体" w:hAnsi="宋体" w:cs="宋体"/>
          <w:color w:val="auto"/>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rPr>
      </w:pPr>
      <w:r>
        <w:rPr>
          <w:rFonts w:hint="eastAsia" w:ascii="宋体" w:hAnsi="宋体" w:cs="宋体"/>
          <w:b/>
          <w:color w:val="auto"/>
          <w:sz w:val="32"/>
        </w:rPr>
        <w:t>四、评标中的其他事项</w:t>
      </w:r>
    </w:p>
    <w:p>
      <w:pPr>
        <w:pStyle w:val="128"/>
        <w:spacing w:before="0"/>
        <w:ind w:firstLine="472" w:firstLineChars="196"/>
        <w:rPr>
          <w:rFonts w:ascii="宋体" w:hAnsi="宋体" w:cs="宋体"/>
          <w:color w:val="auto"/>
          <w:kern w:val="0"/>
          <w:szCs w:val="24"/>
        </w:rPr>
      </w:pPr>
      <w:r>
        <w:rPr>
          <w:rFonts w:hint="eastAsia" w:ascii="宋体" w:hAnsi="宋体" w:cs="宋体"/>
          <w:b/>
          <w:color w:val="auto"/>
          <w:kern w:val="0"/>
          <w:szCs w:val="24"/>
        </w:rPr>
        <w:t>4.1投标人澄清、说明或者补正。</w:t>
      </w:r>
      <w:r>
        <w:rPr>
          <w:rFonts w:hint="eastAsia" w:ascii="宋体" w:hAnsi="宋体" w:cs="宋体"/>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7"/>
        <w:spacing w:line="360" w:lineRule="auto"/>
        <w:ind w:left="954" w:leftChars="226" w:hanging="479" w:firstLineChars="0"/>
        <w:rPr>
          <w:rFonts w:cs="宋体"/>
          <w:color w:val="auto"/>
          <w:szCs w:val="21"/>
        </w:rPr>
      </w:pPr>
      <w:r>
        <w:rPr>
          <w:rFonts w:hint="eastAsia" w:cs="宋体"/>
          <w:b/>
          <w:color w:val="auto"/>
          <w:kern w:val="0"/>
        </w:rPr>
        <w:t>4.2投标无效。</w:t>
      </w:r>
      <w:r>
        <w:rPr>
          <w:rFonts w:hint="eastAsia" w:cs="宋体"/>
          <w:color w:val="auto"/>
          <w:szCs w:val="21"/>
        </w:rPr>
        <w:t>有下列情形之一的，投标无效：</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4.2.2投标文件未按照招标文件要求签署、盖章的；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4.2.4投标文件含有采购人不能接受的附加条件的；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rPr>
      </w:pPr>
      <w:r>
        <w:rPr>
          <w:rFonts w:hint="eastAsia" w:ascii="宋体" w:hAnsi="宋体" w:cs="宋体"/>
          <w:color w:val="auto"/>
          <w:kern w:val="0"/>
          <w:sz w:val="24"/>
        </w:rPr>
        <w:t xml:space="preserve">   4.2.6投标文件出现不是唯一的、有选择性投标报价的;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4.2.7投标报价超过招标文件中规定的预算金额或者最高限价的;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4.2.9投标人对根据修正原则修正后的报价不确认的；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4.2.10投标人提供虚假材料投标的；</w:t>
      </w:r>
    </w:p>
    <w:p>
      <w:pPr>
        <w:spacing w:line="360" w:lineRule="auto"/>
        <w:ind w:firstLine="240" w:firstLineChars="100"/>
        <w:rPr>
          <w:rFonts w:ascii="宋体" w:hAnsi="宋体" w:cs="宋体"/>
          <w:color w:val="auto"/>
          <w:kern w:val="0"/>
          <w:sz w:val="24"/>
        </w:rPr>
      </w:pPr>
      <w:r>
        <w:rPr>
          <w:rFonts w:hint="eastAsia" w:ascii="宋体" w:hAnsi="宋体" w:cs="宋体"/>
          <w:color w:val="auto"/>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4.2.12投标人仅提交备份投标文件，未在电子交易平台传输递交投标文件的，投标无效；</w:t>
      </w:r>
    </w:p>
    <w:p>
      <w:pPr>
        <w:pStyle w:val="4"/>
        <w:ind w:left="862" w:leftChars="205"/>
        <w:rPr>
          <w:rFonts w:ascii="宋体" w:hAnsi="宋体" w:eastAsia="宋体" w:cs="宋体"/>
          <w:b w:val="0"/>
          <w:bCs w:val="0"/>
          <w:color w:val="auto"/>
          <w:kern w:val="0"/>
          <w:sz w:val="24"/>
          <w:szCs w:val="24"/>
          <w:lang w:val="en-US"/>
        </w:rPr>
      </w:pPr>
      <w:r>
        <w:rPr>
          <w:rFonts w:hint="eastAsia" w:ascii="宋体" w:hAnsi="宋体" w:eastAsia="宋体" w:cs="宋体"/>
          <w:b w:val="0"/>
          <w:bCs w:val="0"/>
          <w:color w:val="auto"/>
          <w:kern w:val="0"/>
          <w:sz w:val="24"/>
          <w:szCs w:val="24"/>
          <w:lang w:val="en-US"/>
        </w:rPr>
        <w:t>4.2.13 投标文件不满足招标文件的其它实质性要求的；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4.2.14法律、法规、规章（适用本市的）及省级以上规范性文件（适用本市的）规定的其他无效情形。</w:t>
      </w:r>
    </w:p>
    <w:p>
      <w:pPr>
        <w:pStyle w:val="27"/>
        <w:snapToGrid w:val="0"/>
        <w:spacing w:line="360" w:lineRule="auto"/>
        <w:ind w:firstLine="472" w:firstLineChars="196"/>
        <w:rPr>
          <w:rFonts w:cs="宋体"/>
          <w:color w:val="auto"/>
        </w:rPr>
      </w:pPr>
      <w:r>
        <w:rPr>
          <w:rFonts w:hint="eastAsia" w:cs="宋体"/>
          <w:b/>
          <w:color w:val="auto"/>
        </w:rPr>
        <w:t>5.废标。</w:t>
      </w:r>
      <w:r>
        <w:rPr>
          <w:rFonts w:hint="eastAsia" w:cs="宋体"/>
          <w:color w:val="auto"/>
        </w:rPr>
        <w:t>根据《中华人民共和国政府采购法》第三十六条之规定，在采购中，出现下列情形之一的，应予废标：</w:t>
      </w:r>
    </w:p>
    <w:p>
      <w:pPr>
        <w:pStyle w:val="27"/>
        <w:snapToGrid w:val="0"/>
        <w:spacing w:line="360" w:lineRule="auto"/>
        <w:rPr>
          <w:rFonts w:cs="宋体"/>
          <w:color w:val="auto"/>
        </w:rPr>
      </w:pPr>
      <w:r>
        <w:rPr>
          <w:rFonts w:hint="eastAsia" w:cs="宋体"/>
          <w:color w:val="auto"/>
        </w:rPr>
        <w:t>5.1符合专业条件的供应商或者对招标文件作实质响应的供应商不足3家的；</w:t>
      </w:r>
    </w:p>
    <w:p>
      <w:pPr>
        <w:pStyle w:val="27"/>
        <w:snapToGrid w:val="0"/>
        <w:spacing w:line="360" w:lineRule="auto"/>
        <w:rPr>
          <w:rFonts w:cs="宋体"/>
          <w:color w:val="auto"/>
        </w:rPr>
      </w:pPr>
      <w:r>
        <w:rPr>
          <w:rFonts w:hint="eastAsia" w:cs="宋体"/>
          <w:color w:val="auto"/>
        </w:rPr>
        <w:t>5.2出现影响采购公正的违法、违规行为的；</w:t>
      </w:r>
    </w:p>
    <w:p>
      <w:pPr>
        <w:pStyle w:val="27"/>
        <w:snapToGrid w:val="0"/>
        <w:spacing w:line="360" w:lineRule="auto"/>
        <w:rPr>
          <w:rFonts w:cs="宋体"/>
          <w:color w:val="auto"/>
        </w:rPr>
      </w:pPr>
      <w:r>
        <w:rPr>
          <w:rFonts w:hint="eastAsia" w:cs="宋体"/>
          <w:color w:val="auto"/>
        </w:rPr>
        <w:t>5.3投标人的报价均超过了采购预算，采购人不能支付的；</w:t>
      </w:r>
    </w:p>
    <w:p>
      <w:pPr>
        <w:pStyle w:val="27"/>
        <w:snapToGrid w:val="0"/>
        <w:spacing w:line="360" w:lineRule="auto"/>
        <w:rPr>
          <w:rFonts w:cs="宋体"/>
          <w:color w:val="auto"/>
        </w:rPr>
      </w:pPr>
      <w:r>
        <w:rPr>
          <w:rFonts w:hint="eastAsia" w:cs="宋体"/>
          <w:color w:val="auto"/>
        </w:rPr>
        <w:t>5.4因重大变故，采购任务取消的。</w:t>
      </w:r>
    </w:p>
    <w:p>
      <w:pPr>
        <w:pStyle w:val="27"/>
        <w:snapToGrid w:val="0"/>
        <w:spacing w:line="360" w:lineRule="auto"/>
        <w:rPr>
          <w:rFonts w:cs="宋体"/>
          <w:color w:val="auto"/>
        </w:rPr>
      </w:pPr>
      <w:r>
        <w:rPr>
          <w:rFonts w:hint="eastAsia" w:cs="宋体"/>
          <w:color w:val="auto"/>
        </w:rPr>
        <w:t>废标后，</w:t>
      </w:r>
      <w:r>
        <w:rPr>
          <w:rFonts w:hint="eastAsia" w:cs="宋体"/>
          <w:color w:val="auto"/>
          <w:lang w:eastAsia="zh-CN"/>
        </w:rPr>
        <w:t>采购代理机构</w:t>
      </w:r>
      <w:r>
        <w:rPr>
          <w:rFonts w:hint="eastAsia" w:cs="宋体"/>
          <w:color w:val="auto"/>
        </w:rPr>
        <w:t>应当将废标理由通知所有投标人。</w:t>
      </w:r>
    </w:p>
    <w:p>
      <w:pPr>
        <w:pStyle w:val="27"/>
        <w:snapToGrid w:val="0"/>
        <w:spacing w:line="360" w:lineRule="auto"/>
        <w:ind w:firstLine="590" w:firstLineChars="245"/>
        <w:rPr>
          <w:rFonts w:cs="宋体"/>
          <w:color w:val="auto"/>
        </w:rPr>
      </w:pPr>
      <w:r>
        <w:rPr>
          <w:rFonts w:hint="eastAsia" w:cs="宋体"/>
          <w:b/>
          <w:color w:val="auto"/>
        </w:rPr>
        <w:t>6.修改招标文件，重新组织采购活动。</w:t>
      </w:r>
      <w:r>
        <w:rPr>
          <w:rFonts w:hint="eastAsia" w:cs="宋体"/>
          <w:color w:val="auto"/>
        </w:rPr>
        <w:t>评标委员会发现招标文件存在歧义、重大缺陷导致评标工作无法进行，或者招标文件内容违反国家有关强制性规定的，将停止评标工作，并与采购人、</w:t>
      </w:r>
      <w:r>
        <w:rPr>
          <w:rFonts w:hint="eastAsia" w:cs="宋体"/>
          <w:color w:val="auto"/>
          <w:lang w:eastAsia="zh-CN"/>
        </w:rPr>
        <w:t>采购代理机构</w:t>
      </w:r>
      <w:r>
        <w:rPr>
          <w:rFonts w:hint="eastAsia" w:cs="宋体"/>
          <w:color w:val="auto"/>
        </w:rPr>
        <w:t>沟通并作书面记录。采购人、</w:t>
      </w:r>
      <w:r>
        <w:rPr>
          <w:rFonts w:hint="eastAsia" w:cs="宋体"/>
          <w:color w:val="auto"/>
          <w:lang w:eastAsia="zh-CN"/>
        </w:rPr>
        <w:t>采购代理机构</w:t>
      </w:r>
      <w:r>
        <w:rPr>
          <w:rFonts w:hint="eastAsia" w:cs="宋体"/>
          <w:color w:val="auto"/>
        </w:rPr>
        <w:t>确认后，将修改招标文件，重新组织采购活动。</w:t>
      </w:r>
    </w:p>
    <w:p>
      <w:pPr>
        <w:pStyle w:val="27"/>
        <w:snapToGrid w:val="0"/>
        <w:spacing w:line="360" w:lineRule="auto"/>
        <w:ind w:firstLine="482"/>
        <w:rPr>
          <w:rFonts w:cs="宋体"/>
          <w:color w:val="auto"/>
        </w:rPr>
      </w:pPr>
      <w:r>
        <w:rPr>
          <w:rFonts w:hint="eastAsia" w:cs="宋体"/>
          <w:b/>
          <w:color w:val="auto"/>
          <w:kern w:val="0"/>
        </w:rPr>
        <w:t>7.重新开展采购。</w:t>
      </w:r>
      <w:r>
        <w:rPr>
          <w:rFonts w:hint="eastAsia" w:cs="宋体"/>
          <w:color w:val="auto"/>
        </w:rPr>
        <w:t>有政府采购法第七十一条、第七十二条规定的违法行为之一，影响或者可能影响中标结果的，依照下列规定处理：</w:t>
      </w:r>
    </w:p>
    <w:p>
      <w:pPr>
        <w:pStyle w:val="27"/>
        <w:snapToGrid w:val="0"/>
        <w:spacing w:line="360" w:lineRule="auto"/>
        <w:rPr>
          <w:rFonts w:cs="宋体"/>
          <w:color w:val="auto"/>
        </w:rPr>
      </w:pPr>
      <w:r>
        <w:rPr>
          <w:rFonts w:hint="eastAsia" w:cs="宋体"/>
          <w:color w:val="auto"/>
        </w:rPr>
        <w:t>7.1未确定中标供应商的，终止本次政府采购活动，重新开展政府采购活动。</w:t>
      </w:r>
    </w:p>
    <w:p>
      <w:pPr>
        <w:pStyle w:val="27"/>
        <w:snapToGrid w:val="0"/>
        <w:spacing w:line="360" w:lineRule="auto"/>
        <w:rPr>
          <w:rFonts w:cs="宋体"/>
          <w:color w:val="auto"/>
        </w:rPr>
      </w:pPr>
      <w:r>
        <w:rPr>
          <w:rFonts w:hint="eastAsia" w:cs="宋体"/>
          <w:color w:val="auto"/>
        </w:rPr>
        <w:t>7.2已确定中标供应商但尚未签订政府采购合同的，中标结果无效，从合格的中标候选人中另行确定中标供应商；没有合格的中标候选人的，重新开展政府采购活动。</w:t>
      </w:r>
    </w:p>
    <w:p>
      <w:pPr>
        <w:pStyle w:val="27"/>
        <w:snapToGrid w:val="0"/>
        <w:spacing w:line="360" w:lineRule="auto"/>
        <w:rPr>
          <w:rFonts w:cs="宋体"/>
          <w:color w:val="auto"/>
        </w:rPr>
      </w:pPr>
      <w:r>
        <w:rPr>
          <w:rFonts w:hint="eastAsia" w:cs="宋体"/>
          <w:color w:val="auto"/>
        </w:rPr>
        <w:t>7.3政府采购合同已签订但尚未履行的，撤销合同，从合格的中标候选人中另行确定中标供应商；没有合格的中标候选人的，重新开展政府采购活动。</w:t>
      </w:r>
    </w:p>
    <w:p>
      <w:pPr>
        <w:pStyle w:val="27"/>
        <w:snapToGrid w:val="0"/>
        <w:spacing w:line="360" w:lineRule="auto"/>
        <w:rPr>
          <w:rFonts w:cs="宋体"/>
          <w:color w:val="auto"/>
        </w:rPr>
      </w:pPr>
      <w:r>
        <w:rPr>
          <w:rFonts w:hint="eastAsia" w:cs="宋体"/>
          <w:color w:val="auto"/>
        </w:rPr>
        <w:t>7.4政府采购合同已经履行，给采购人、供应商造成损失的，由责任人承担赔偿责任。</w:t>
      </w:r>
    </w:p>
    <w:p>
      <w:pPr>
        <w:pStyle w:val="27"/>
        <w:snapToGrid w:val="0"/>
        <w:spacing w:line="360" w:lineRule="auto"/>
        <w:rPr>
          <w:rFonts w:cs="宋体"/>
          <w:color w:val="auto"/>
        </w:rPr>
      </w:pPr>
      <w:r>
        <w:rPr>
          <w:rFonts w:hint="eastAsia" w:cs="宋体"/>
          <w:color w:val="auto"/>
        </w:rPr>
        <w:t>7.5政府采购当事人有其他违反政府采购法或者政府采购法实施条例等法律法规规定的行为，经改正后仍然影响或者可能影响中标结果或者依法被认定为中标无效的，依照7.1-7.4规定处理。</w:t>
      </w:r>
    </w:p>
    <w:p>
      <w:pPr>
        <w:pStyle w:val="27"/>
        <w:snapToGrid w:val="0"/>
        <w:spacing w:line="360" w:lineRule="auto"/>
        <w:ind w:firstLine="0" w:firstLineChars="0"/>
        <w:rPr>
          <w:rFonts w:cs="宋体"/>
          <w:color w:val="auto"/>
        </w:rPr>
      </w:pPr>
    </w:p>
    <w:bookmarkEnd w:id="27"/>
    <w:p>
      <w:pPr>
        <w:spacing w:line="360" w:lineRule="auto"/>
        <w:ind w:left="720" w:leftChars="343" w:firstLine="1084" w:firstLineChars="300"/>
        <w:outlineLvl w:val="0"/>
        <w:rPr>
          <w:rFonts w:ascii="宋体" w:hAnsi="宋体" w:cs="宋体"/>
          <w:b/>
          <w:color w:val="auto"/>
          <w:sz w:val="36"/>
          <w:szCs w:val="36"/>
        </w:rPr>
      </w:pPr>
      <w:bookmarkStart w:id="397" w:name="第五部分"/>
      <w:bookmarkStart w:id="398" w:name="_Toc86217003"/>
    </w:p>
    <w:p>
      <w:pPr>
        <w:spacing w:line="360" w:lineRule="auto"/>
        <w:ind w:left="720" w:leftChars="343" w:firstLine="1084" w:firstLineChars="300"/>
        <w:outlineLvl w:val="0"/>
        <w:rPr>
          <w:rFonts w:ascii="宋体" w:hAnsi="宋体" w:cs="宋体"/>
          <w:b/>
          <w:color w:val="auto"/>
          <w:sz w:val="36"/>
          <w:szCs w:val="36"/>
        </w:rPr>
      </w:pPr>
      <w:r>
        <w:rPr>
          <w:rFonts w:hint="eastAsia" w:ascii="宋体" w:hAnsi="宋体" w:cs="宋体"/>
          <w:b/>
          <w:color w:val="auto"/>
          <w:sz w:val="36"/>
          <w:szCs w:val="36"/>
        </w:rPr>
        <w:t xml:space="preserve">    </w:t>
      </w:r>
    </w:p>
    <w:p>
      <w:pPr>
        <w:spacing w:line="360" w:lineRule="auto"/>
        <w:ind w:left="720" w:leftChars="343" w:firstLine="1084" w:firstLineChars="300"/>
        <w:outlineLvl w:val="0"/>
        <w:rPr>
          <w:rFonts w:ascii="宋体" w:hAnsi="宋体" w:cs="宋体"/>
          <w:b/>
          <w:color w:val="auto"/>
          <w:sz w:val="36"/>
          <w:szCs w:val="36"/>
        </w:rPr>
      </w:pPr>
    </w:p>
    <w:p>
      <w:pPr>
        <w:spacing w:line="360" w:lineRule="auto"/>
        <w:ind w:left="720" w:leftChars="343" w:firstLine="1084" w:firstLineChars="300"/>
        <w:outlineLvl w:val="0"/>
        <w:rPr>
          <w:rFonts w:ascii="宋体" w:hAnsi="宋体" w:cs="宋体"/>
          <w:b/>
          <w:color w:val="auto"/>
          <w:sz w:val="36"/>
          <w:szCs w:val="36"/>
        </w:rPr>
      </w:pPr>
    </w:p>
    <w:p>
      <w:pPr>
        <w:spacing w:line="360" w:lineRule="auto"/>
        <w:ind w:left="720" w:leftChars="343" w:firstLine="1084" w:firstLineChars="300"/>
        <w:outlineLvl w:val="0"/>
        <w:rPr>
          <w:rFonts w:ascii="宋体" w:hAnsi="宋体" w:cs="宋体"/>
          <w:b/>
          <w:color w:val="auto"/>
          <w:sz w:val="36"/>
          <w:szCs w:val="36"/>
        </w:rPr>
      </w:pPr>
    </w:p>
    <w:p>
      <w:pPr>
        <w:spacing w:line="360" w:lineRule="auto"/>
        <w:ind w:left="720" w:leftChars="343" w:firstLine="1084" w:firstLineChars="300"/>
        <w:outlineLvl w:val="0"/>
        <w:rPr>
          <w:rFonts w:ascii="宋体" w:hAnsi="宋体" w:cs="宋体"/>
          <w:b/>
          <w:color w:val="auto"/>
          <w:sz w:val="36"/>
          <w:szCs w:val="36"/>
        </w:rPr>
      </w:pPr>
    </w:p>
    <w:p>
      <w:pPr>
        <w:spacing w:line="360" w:lineRule="auto"/>
        <w:ind w:left="720" w:leftChars="343" w:firstLine="1084" w:firstLineChars="300"/>
        <w:outlineLvl w:val="0"/>
        <w:rPr>
          <w:rFonts w:ascii="宋体" w:hAnsi="宋体" w:cs="宋体"/>
          <w:b/>
          <w:color w:val="auto"/>
          <w:sz w:val="36"/>
          <w:szCs w:val="36"/>
        </w:rPr>
      </w:pPr>
    </w:p>
    <w:p>
      <w:pPr>
        <w:widowControl/>
        <w:adjustRightInd/>
        <w:jc w:val="left"/>
        <w:rPr>
          <w:rFonts w:ascii="宋体" w:hAnsi="宋体" w:cs="宋体"/>
          <w:b/>
          <w:color w:val="auto"/>
          <w:sz w:val="36"/>
          <w:szCs w:val="36"/>
        </w:rPr>
      </w:pPr>
      <w:r>
        <w:rPr>
          <w:rFonts w:ascii="宋体" w:hAnsi="宋体" w:cs="宋体"/>
          <w:b/>
          <w:color w:val="auto"/>
          <w:sz w:val="36"/>
          <w:szCs w:val="36"/>
        </w:rPr>
        <w:br w:type="page"/>
      </w:r>
    </w:p>
    <w:p>
      <w:pPr>
        <w:spacing w:line="240" w:lineRule="atLeast"/>
        <w:jc w:val="center"/>
        <w:rPr>
          <w:rFonts w:hint="eastAsia" w:ascii="宋体" w:hAnsi="宋体" w:eastAsia="宋体" w:cs="宋体"/>
          <w:color w:val="auto"/>
          <w:sz w:val="28"/>
          <w:szCs w:val="28"/>
          <w:highlight w:val="none"/>
        </w:rPr>
      </w:pPr>
      <w:r>
        <w:rPr>
          <w:rFonts w:hint="eastAsia" w:ascii="宋体" w:hAnsi="宋体" w:eastAsia="宋体" w:cs="宋体"/>
          <w:b/>
          <w:color w:val="auto"/>
          <w:sz w:val="36"/>
          <w:szCs w:val="36"/>
          <w:highlight w:val="none"/>
        </w:rPr>
        <w:t>第五部分</w:t>
      </w:r>
      <w:bookmarkStart w:id="399" w:name="_Toc8346_WPSOffice_Level1"/>
      <w:r>
        <w:rPr>
          <w:rStyle w:val="966"/>
          <w:rFonts w:hint="eastAsia" w:ascii="宋体" w:hAnsi="宋体" w:eastAsia="宋体" w:cs="宋体"/>
          <w:color w:val="auto"/>
          <w:highlight w:val="none"/>
        </w:rPr>
        <w:t xml:space="preserve"> 养护合同主要条款</w:t>
      </w:r>
      <w:bookmarkEnd w:id="399"/>
    </w:p>
    <w:p>
      <w:pPr>
        <w:spacing w:line="240" w:lineRule="atLeast"/>
        <w:jc w:val="center"/>
        <w:rPr>
          <w:rFonts w:hint="eastAsia" w:ascii="宋体" w:hAnsi="宋体" w:eastAsia="宋体" w:cs="宋体"/>
          <w:b/>
          <w:color w:val="auto"/>
          <w:sz w:val="28"/>
          <w:szCs w:val="28"/>
          <w:highlight w:val="none"/>
        </w:rPr>
      </w:pPr>
    </w:p>
    <w:p>
      <w:pPr>
        <w:spacing w:line="480" w:lineRule="atLeast"/>
        <w:jc w:val="center"/>
        <w:rPr>
          <w:rFonts w:hint="eastAsia" w:ascii="宋体" w:hAnsi="宋体" w:eastAsia="宋体" w:cs="宋体"/>
          <w:color w:val="auto"/>
          <w:sz w:val="24"/>
          <w:highlight w:val="none"/>
        </w:rPr>
      </w:pPr>
      <w:r>
        <w:rPr>
          <w:rFonts w:hint="eastAsia" w:ascii="宋体" w:hAnsi="宋体" w:eastAsia="宋体" w:cs="宋体"/>
          <w:color w:val="auto"/>
          <w:sz w:val="44"/>
          <w:szCs w:val="44"/>
          <w:highlight w:val="none"/>
          <w:u w:val="single"/>
        </w:rPr>
        <w:t xml:space="preserve">                 </w:t>
      </w:r>
      <w:bookmarkStart w:id="400" w:name="_Toc14933_WPSOffice_Level1"/>
      <w:bookmarkStart w:id="401" w:name="_Toc9206_WPSOffice_Level1"/>
      <w:bookmarkStart w:id="402" w:name="_Toc31896_WPSOffice_Level1"/>
      <w:r>
        <w:rPr>
          <w:rFonts w:hint="eastAsia" w:ascii="宋体" w:hAnsi="宋体" w:eastAsia="宋体" w:cs="宋体"/>
          <w:color w:val="auto"/>
          <w:sz w:val="44"/>
          <w:szCs w:val="44"/>
          <w:highlight w:val="none"/>
        </w:rPr>
        <w:t>项目名称</w:t>
      </w:r>
      <w:bookmarkEnd w:id="400"/>
      <w:bookmarkEnd w:id="401"/>
      <w:bookmarkEnd w:id="402"/>
    </w:p>
    <w:p>
      <w:pPr>
        <w:spacing w:line="480" w:lineRule="atLeast"/>
        <w:jc w:val="center"/>
        <w:rPr>
          <w:rFonts w:hint="eastAsia" w:ascii="宋体" w:hAnsi="宋体" w:eastAsia="宋体" w:cs="宋体"/>
          <w:color w:val="auto"/>
          <w:sz w:val="24"/>
          <w:highlight w:val="none"/>
        </w:rPr>
      </w:pPr>
    </w:p>
    <w:p>
      <w:pPr>
        <w:spacing w:line="480" w:lineRule="atLeast"/>
        <w:jc w:val="center"/>
        <w:rPr>
          <w:rFonts w:hint="eastAsia" w:ascii="宋体" w:hAnsi="宋体" w:eastAsia="宋体" w:cs="宋体"/>
          <w:color w:val="auto"/>
          <w:sz w:val="24"/>
          <w:highlight w:val="none"/>
        </w:rPr>
      </w:pPr>
    </w:p>
    <w:p>
      <w:pPr>
        <w:spacing w:line="480" w:lineRule="atLeast"/>
        <w:jc w:val="center"/>
        <w:rPr>
          <w:rFonts w:hint="eastAsia" w:ascii="宋体" w:hAnsi="宋体" w:eastAsia="宋体" w:cs="宋体"/>
          <w:color w:val="auto"/>
          <w:sz w:val="24"/>
          <w:highlight w:val="none"/>
        </w:rPr>
      </w:pPr>
    </w:p>
    <w:p>
      <w:pPr>
        <w:spacing w:line="240" w:lineRule="atLeast"/>
        <w:jc w:val="center"/>
        <w:rPr>
          <w:rFonts w:hint="eastAsia" w:ascii="宋体" w:hAnsi="宋体" w:eastAsia="宋体" w:cs="宋体"/>
          <w:color w:val="auto"/>
          <w:sz w:val="72"/>
          <w:szCs w:val="72"/>
          <w:highlight w:val="none"/>
        </w:rPr>
      </w:pPr>
      <w:r>
        <w:rPr>
          <w:rFonts w:hint="eastAsia" w:ascii="宋体" w:hAnsi="宋体" w:eastAsia="宋体" w:cs="宋体"/>
          <w:color w:val="auto"/>
          <w:sz w:val="72"/>
          <w:szCs w:val="72"/>
          <w:highlight w:val="none"/>
        </w:rPr>
        <w:t>五常街道综合养护合同</w:t>
      </w:r>
    </w:p>
    <w:p>
      <w:pPr>
        <w:jc w:val="center"/>
        <w:rPr>
          <w:rFonts w:hint="eastAsia" w:ascii="宋体" w:hAnsi="宋体" w:eastAsia="宋体" w:cs="宋体"/>
          <w:color w:val="auto"/>
          <w:sz w:val="28"/>
          <w:szCs w:val="28"/>
          <w:highlight w:val="none"/>
        </w:rPr>
      </w:pPr>
    </w:p>
    <w:p>
      <w:pPr>
        <w:jc w:val="cente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jc w:val="center"/>
        <w:rPr>
          <w:rFonts w:hint="eastAsia" w:ascii="宋体" w:hAnsi="宋体" w:eastAsia="宋体" w:cs="宋体"/>
          <w:color w:val="auto"/>
          <w:sz w:val="28"/>
          <w:szCs w:val="28"/>
          <w:highlight w:val="none"/>
        </w:rPr>
      </w:pPr>
    </w:p>
    <w:p>
      <w:pPr>
        <w:jc w:val="center"/>
        <w:rPr>
          <w:rFonts w:hint="eastAsia" w:ascii="宋体" w:hAnsi="宋体" w:eastAsia="宋体" w:cs="宋体"/>
          <w:color w:val="auto"/>
          <w:sz w:val="28"/>
          <w:szCs w:val="28"/>
          <w:highlight w:val="none"/>
        </w:rPr>
      </w:pPr>
    </w:p>
    <w:p>
      <w:pPr>
        <w:jc w:val="center"/>
        <w:rPr>
          <w:rFonts w:hint="eastAsia" w:ascii="宋体" w:hAnsi="宋体" w:eastAsia="宋体" w:cs="宋体"/>
          <w:color w:val="auto"/>
          <w:sz w:val="28"/>
          <w:szCs w:val="28"/>
          <w:highlight w:val="none"/>
        </w:rPr>
      </w:pPr>
    </w:p>
    <w:p>
      <w:pPr>
        <w:jc w:val="center"/>
        <w:rPr>
          <w:rFonts w:hint="eastAsia" w:ascii="宋体" w:hAnsi="宋体" w:eastAsia="宋体" w:cs="宋体"/>
          <w:color w:val="auto"/>
          <w:sz w:val="28"/>
          <w:szCs w:val="28"/>
          <w:highlight w:val="none"/>
        </w:rPr>
      </w:pPr>
    </w:p>
    <w:p>
      <w:pPr>
        <w:spacing w:line="700" w:lineRule="exact"/>
        <w:ind w:firstLine="960" w:firstLineChars="3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发包人（甲方）：</w:t>
      </w:r>
      <w:r>
        <w:rPr>
          <w:rFonts w:hint="eastAsia" w:ascii="宋体" w:hAnsi="宋体" w:eastAsia="宋体" w:cs="宋体"/>
          <w:color w:val="auto"/>
          <w:sz w:val="32"/>
          <w:szCs w:val="32"/>
          <w:highlight w:val="none"/>
          <w:u w:val="single"/>
        </w:rPr>
        <w:t xml:space="preserve">                        </w:t>
      </w:r>
    </w:p>
    <w:p>
      <w:pPr>
        <w:spacing w:line="700" w:lineRule="exact"/>
        <w:ind w:firstLine="944" w:firstLineChars="295"/>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承包人（乙方）：</w:t>
      </w:r>
      <w:r>
        <w:rPr>
          <w:rFonts w:hint="eastAsia" w:ascii="宋体" w:hAnsi="宋体" w:eastAsia="宋体" w:cs="宋体"/>
          <w:color w:val="auto"/>
          <w:sz w:val="32"/>
          <w:szCs w:val="32"/>
          <w:highlight w:val="none"/>
          <w:u w:val="single"/>
        </w:rPr>
        <w:t xml:space="preserve">                         </w:t>
      </w:r>
    </w:p>
    <w:p>
      <w:pPr>
        <w:spacing w:line="700" w:lineRule="exact"/>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 xml:space="preserve">年 </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月</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日</w:t>
      </w:r>
    </w:p>
    <w:p>
      <w:pPr>
        <w:spacing w:line="50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p>
    <w:p>
      <w:pPr>
        <w:spacing w:line="720" w:lineRule="auto"/>
        <w:jc w:val="center"/>
        <w:rPr>
          <w:rFonts w:hint="eastAsia" w:ascii="宋体" w:hAnsi="宋体" w:eastAsia="宋体" w:cs="宋体"/>
          <w:b/>
          <w:color w:val="auto"/>
          <w:sz w:val="44"/>
          <w:szCs w:val="44"/>
          <w:highlight w:val="none"/>
        </w:rPr>
      </w:pPr>
      <w:bookmarkStart w:id="403" w:name="_Toc27037_WPSOffice_Level1"/>
      <w:bookmarkStart w:id="404" w:name="_Toc32345_WPSOffice_Level1"/>
      <w:r>
        <w:rPr>
          <w:rFonts w:hint="eastAsia" w:ascii="宋体" w:hAnsi="宋体" w:eastAsia="宋体" w:cs="宋体"/>
          <w:b/>
          <w:color w:val="auto"/>
          <w:sz w:val="44"/>
          <w:szCs w:val="44"/>
          <w:highlight w:val="none"/>
        </w:rPr>
        <w:t>目  录</w:t>
      </w:r>
      <w:bookmarkEnd w:id="403"/>
      <w:bookmarkEnd w:id="404"/>
    </w:p>
    <w:p>
      <w:pPr>
        <w:spacing w:line="500" w:lineRule="exact"/>
        <w:jc w:val="center"/>
        <w:rPr>
          <w:rFonts w:hint="eastAsia" w:ascii="宋体" w:hAnsi="宋体" w:eastAsia="宋体" w:cs="宋体"/>
          <w:b/>
          <w:color w:val="auto"/>
          <w:sz w:val="44"/>
          <w:szCs w:val="44"/>
          <w:highlight w:val="none"/>
        </w:rPr>
      </w:pPr>
    </w:p>
    <w:p>
      <w:pPr>
        <w:pStyle w:val="46"/>
        <w:tabs>
          <w:tab w:val="right" w:leader="dot" w:pos="8296"/>
        </w:tabs>
        <w:spacing w:line="800" w:lineRule="exact"/>
        <w:rPr>
          <w:rFonts w:hint="eastAsia" w:ascii="宋体" w:hAnsi="宋体" w:eastAsia="宋体" w:cs="宋体"/>
          <w:color w:val="auto"/>
          <w:sz w:val="32"/>
          <w:szCs w:val="32"/>
          <w:highlight w:val="none"/>
        </w:rPr>
      </w:pPr>
      <w:bookmarkStart w:id="405" w:name="_Toc11577_WPSOffice_Level1"/>
      <w:bookmarkStart w:id="406" w:name="_Toc21542_WPSOffice_Level1"/>
      <w:r>
        <w:rPr>
          <w:rStyle w:val="76"/>
          <w:rFonts w:hint="eastAsia" w:ascii="宋体" w:hAnsi="宋体" w:eastAsia="宋体" w:cs="宋体"/>
          <w:color w:val="auto"/>
          <w:sz w:val="32"/>
          <w:szCs w:val="32"/>
          <w:highlight w:val="none"/>
        </w:rPr>
        <w:t>第一部分  综合养护合同</w:t>
      </w:r>
      <w:bookmarkEnd w:id="405"/>
      <w:bookmarkEnd w:id="406"/>
    </w:p>
    <w:p>
      <w:pPr>
        <w:pStyle w:val="46"/>
        <w:tabs>
          <w:tab w:val="right" w:leader="dot" w:pos="8296"/>
        </w:tabs>
        <w:spacing w:line="800" w:lineRule="exact"/>
        <w:rPr>
          <w:rFonts w:hint="eastAsia" w:ascii="宋体" w:hAnsi="宋体" w:eastAsia="宋体" w:cs="宋体"/>
          <w:color w:val="auto"/>
          <w:sz w:val="32"/>
          <w:szCs w:val="32"/>
          <w:highlight w:val="none"/>
        </w:rPr>
      </w:pPr>
      <w:bookmarkStart w:id="407" w:name="_Toc22501_WPSOffice_Level1"/>
      <w:bookmarkStart w:id="408" w:name="_Toc17026_WPSOffice_Level1"/>
      <w:r>
        <w:rPr>
          <w:rStyle w:val="76"/>
          <w:rFonts w:hint="eastAsia" w:ascii="宋体" w:hAnsi="宋体" w:eastAsia="宋体" w:cs="宋体"/>
          <w:color w:val="auto"/>
          <w:sz w:val="32"/>
          <w:szCs w:val="32"/>
          <w:highlight w:val="none"/>
        </w:rPr>
        <w:t>第二部分  综合养护廉政责任书</w:t>
      </w:r>
      <w:bookmarkEnd w:id="407"/>
      <w:bookmarkEnd w:id="408"/>
    </w:p>
    <w:p>
      <w:pPr>
        <w:pStyle w:val="46"/>
        <w:tabs>
          <w:tab w:val="right" w:leader="dot" w:pos="8296"/>
        </w:tabs>
        <w:spacing w:line="800" w:lineRule="exact"/>
        <w:rPr>
          <w:rFonts w:hint="eastAsia" w:ascii="宋体" w:hAnsi="宋体" w:eastAsia="宋体" w:cs="宋体"/>
          <w:color w:val="auto"/>
          <w:sz w:val="32"/>
          <w:szCs w:val="32"/>
          <w:highlight w:val="none"/>
        </w:rPr>
      </w:pPr>
      <w:bookmarkStart w:id="409" w:name="_Toc3127_WPSOffice_Level1"/>
      <w:bookmarkStart w:id="410" w:name="_Toc30443_WPSOffice_Level1"/>
      <w:r>
        <w:rPr>
          <w:rStyle w:val="76"/>
          <w:rFonts w:hint="eastAsia" w:ascii="宋体" w:hAnsi="宋体" w:eastAsia="宋体" w:cs="宋体"/>
          <w:color w:val="auto"/>
          <w:sz w:val="32"/>
          <w:szCs w:val="32"/>
          <w:highlight w:val="none"/>
        </w:rPr>
        <w:t>第三部分  综合养护安全协议书</w:t>
      </w:r>
      <w:bookmarkEnd w:id="409"/>
      <w:bookmarkEnd w:id="410"/>
    </w:p>
    <w:p>
      <w:pPr>
        <w:pStyle w:val="46"/>
        <w:tabs>
          <w:tab w:val="right" w:leader="dot" w:pos="8296"/>
        </w:tabs>
        <w:spacing w:line="800" w:lineRule="exact"/>
        <w:rPr>
          <w:rFonts w:hint="eastAsia" w:ascii="宋体" w:hAnsi="宋体" w:eastAsia="宋体" w:cs="宋体"/>
          <w:color w:val="auto"/>
          <w:highlight w:val="none"/>
        </w:rPr>
      </w:pPr>
      <w:bookmarkStart w:id="411" w:name="_Toc11754_WPSOffice_Level1"/>
      <w:bookmarkStart w:id="412" w:name="_Toc21679_WPSOffice_Level1"/>
      <w:r>
        <w:rPr>
          <w:rStyle w:val="76"/>
          <w:rFonts w:hint="eastAsia" w:ascii="宋体" w:hAnsi="宋体" w:eastAsia="宋体" w:cs="宋体"/>
          <w:color w:val="auto"/>
          <w:sz w:val="32"/>
          <w:szCs w:val="32"/>
          <w:highlight w:val="none"/>
        </w:rPr>
        <w:t>第四部分  综合养护标准</w:t>
      </w:r>
      <w:bookmarkEnd w:id="411"/>
      <w:bookmarkEnd w:id="412"/>
      <w:r>
        <w:rPr>
          <w:rStyle w:val="76"/>
          <w:rFonts w:hint="eastAsia" w:ascii="宋体" w:hAnsi="宋体" w:eastAsia="宋体" w:cs="宋体"/>
          <w:color w:val="auto"/>
          <w:sz w:val="32"/>
          <w:szCs w:val="32"/>
          <w:highlight w:val="none"/>
        </w:rPr>
        <w:t>及作业标准</w:t>
      </w:r>
    </w:p>
    <w:p>
      <w:pPr>
        <w:pStyle w:val="46"/>
        <w:tabs>
          <w:tab w:val="right" w:leader="dot" w:pos="8296"/>
        </w:tabs>
        <w:spacing w:line="800" w:lineRule="exact"/>
        <w:rPr>
          <w:rStyle w:val="76"/>
          <w:rFonts w:hint="eastAsia" w:ascii="宋体" w:hAnsi="宋体" w:eastAsia="宋体" w:cs="宋体"/>
          <w:color w:val="auto"/>
          <w:sz w:val="32"/>
          <w:szCs w:val="32"/>
          <w:highlight w:val="none"/>
        </w:rPr>
      </w:pPr>
      <w:r>
        <w:rPr>
          <w:rStyle w:val="76"/>
          <w:rFonts w:hint="eastAsia" w:ascii="宋体" w:hAnsi="宋体" w:eastAsia="宋体" w:cs="宋体"/>
          <w:color w:val="auto"/>
          <w:sz w:val="32"/>
          <w:szCs w:val="32"/>
          <w:highlight w:val="none"/>
        </w:rPr>
        <w:t>第五部分  综合养护考核</w:t>
      </w:r>
    </w:p>
    <w:p>
      <w:pPr>
        <w:rPr>
          <w:rFonts w:hint="eastAsia" w:ascii="宋体" w:hAnsi="宋体" w:eastAsia="宋体" w:cs="宋体"/>
          <w:b/>
          <w:color w:val="auto"/>
          <w:sz w:val="28"/>
          <w:szCs w:val="28"/>
          <w:highlight w:val="none"/>
        </w:rPr>
      </w:pPr>
    </w:p>
    <w:p>
      <w:pPr>
        <w:spacing w:line="720" w:lineRule="auto"/>
        <w:jc w:val="center"/>
        <w:rPr>
          <w:rFonts w:hint="eastAsia" w:ascii="宋体" w:hAnsi="宋体" w:eastAsia="宋体" w:cs="宋体"/>
          <w:b/>
          <w:color w:val="auto"/>
          <w:sz w:val="44"/>
          <w:szCs w:val="44"/>
          <w:highlight w:val="none"/>
        </w:rPr>
      </w:pPr>
    </w:p>
    <w:p>
      <w:pPr>
        <w:pStyle w:val="4"/>
        <w:rPr>
          <w:rFonts w:hint="eastAsia" w:ascii="宋体" w:hAnsi="宋体" w:eastAsia="宋体" w:cs="宋体"/>
          <w:b/>
          <w:color w:val="auto"/>
          <w:sz w:val="44"/>
          <w:szCs w:val="44"/>
          <w:highlight w:val="none"/>
        </w:rPr>
      </w:pPr>
    </w:p>
    <w:p>
      <w:pPr>
        <w:rPr>
          <w:rFonts w:hint="eastAsia" w:ascii="宋体" w:hAnsi="宋体" w:eastAsia="宋体" w:cs="宋体"/>
          <w:b/>
          <w:color w:val="auto"/>
          <w:sz w:val="44"/>
          <w:szCs w:val="44"/>
          <w:highlight w:val="none"/>
        </w:rPr>
      </w:pPr>
    </w:p>
    <w:p>
      <w:pPr>
        <w:pStyle w:val="4"/>
        <w:rPr>
          <w:rFonts w:hint="eastAsia" w:ascii="宋体" w:hAnsi="宋体" w:eastAsia="宋体" w:cs="宋体"/>
          <w:b/>
          <w:color w:val="auto"/>
          <w:sz w:val="44"/>
          <w:szCs w:val="44"/>
          <w:highlight w:val="none"/>
        </w:rPr>
        <w:sectPr>
          <w:headerReference r:id="rId8" w:type="first"/>
          <w:footerReference r:id="rId11" w:type="first"/>
          <w:footerReference r:id="rId9" w:type="default"/>
          <w:footerReference r:id="rId10" w:type="even"/>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titlePg/>
          <w:docGrid w:type="lines" w:linePitch="312" w:charSpace="0"/>
        </w:sectPr>
      </w:pPr>
      <w:r>
        <w:rPr>
          <w:rFonts w:hint="eastAsia" w:eastAsia="宋体"/>
          <w:color w:val="auto"/>
          <w:highlight w:val="none"/>
          <w:lang w:val="en-US" w:eastAsia="zh-CN"/>
        </w:rPr>
        <w:t>注：以下内容均根据综合养护类编辑，如中标标项中无以下内容含在内的工作内容，可根据实际情况，进行调整。</w:t>
      </w:r>
      <w:bookmarkStart w:id="413" w:name="_Toc7856_WPSOffice_Level1"/>
      <w:bookmarkStart w:id="414" w:name="_Toc14635_WPSOffice_Level1"/>
    </w:p>
    <w:p>
      <w:pPr>
        <w:spacing w:line="560" w:lineRule="exact"/>
        <w:jc w:val="both"/>
        <w:rPr>
          <w:rFonts w:hint="eastAsia" w:ascii="宋体" w:hAnsi="宋体" w:eastAsia="宋体" w:cs="宋体"/>
          <w:b/>
          <w:color w:val="auto"/>
          <w:sz w:val="44"/>
          <w:szCs w:val="44"/>
          <w:highlight w:val="none"/>
        </w:rPr>
      </w:pPr>
    </w:p>
    <w:p>
      <w:pPr>
        <w:spacing w:line="560" w:lineRule="exact"/>
        <w:jc w:val="both"/>
        <w:rPr>
          <w:rFonts w:hint="eastAsia" w:ascii="宋体" w:hAnsi="宋体" w:eastAsia="宋体" w:cs="宋体"/>
          <w:b/>
          <w:color w:val="auto"/>
          <w:sz w:val="44"/>
          <w:szCs w:val="44"/>
          <w:highlight w:val="none"/>
        </w:rPr>
      </w:pPr>
    </w:p>
    <w:p>
      <w:pPr>
        <w:spacing w:line="560" w:lineRule="exact"/>
        <w:jc w:val="both"/>
        <w:rPr>
          <w:rFonts w:hint="eastAsia" w:ascii="宋体" w:hAnsi="宋体" w:eastAsia="宋体" w:cs="宋体"/>
          <w:b/>
          <w:color w:val="auto"/>
          <w:sz w:val="44"/>
          <w:szCs w:val="44"/>
          <w:highlight w:val="none"/>
        </w:rPr>
      </w:pPr>
    </w:p>
    <w:p>
      <w:pPr>
        <w:spacing w:line="560" w:lineRule="exact"/>
        <w:jc w:val="both"/>
        <w:rPr>
          <w:rFonts w:hint="eastAsia" w:ascii="宋体" w:hAnsi="宋体" w:eastAsia="宋体" w:cs="宋体"/>
          <w:b/>
          <w:color w:val="auto"/>
          <w:sz w:val="44"/>
          <w:szCs w:val="44"/>
          <w:highlight w:val="none"/>
        </w:rPr>
      </w:pPr>
    </w:p>
    <w:p>
      <w:pPr>
        <w:spacing w:line="560" w:lineRule="exact"/>
        <w:jc w:val="both"/>
        <w:rPr>
          <w:rFonts w:hint="eastAsia" w:ascii="宋体" w:hAnsi="宋体" w:eastAsia="宋体" w:cs="宋体"/>
          <w:b/>
          <w:color w:val="auto"/>
          <w:sz w:val="44"/>
          <w:szCs w:val="44"/>
          <w:highlight w:val="none"/>
        </w:rPr>
      </w:pPr>
    </w:p>
    <w:p>
      <w:pPr>
        <w:spacing w:line="560" w:lineRule="exact"/>
        <w:jc w:val="both"/>
        <w:rPr>
          <w:rFonts w:hint="eastAsia" w:ascii="宋体" w:hAnsi="宋体" w:eastAsia="宋体" w:cs="宋体"/>
          <w:b/>
          <w:color w:val="auto"/>
          <w:sz w:val="44"/>
          <w:szCs w:val="44"/>
          <w:highlight w:val="none"/>
        </w:rPr>
      </w:pPr>
    </w:p>
    <w:p>
      <w:pPr>
        <w:spacing w:line="560" w:lineRule="exact"/>
        <w:jc w:val="both"/>
        <w:rPr>
          <w:rFonts w:hint="eastAsia" w:ascii="宋体" w:hAnsi="宋体" w:eastAsia="宋体" w:cs="宋体"/>
          <w:b/>
          <w:color w:val="auto"/>
          <w:sz w:val="44"/>
          <w:szCs w:val="44"/>
          <w:highlight w:val="none"/>
        </w:rPr>
      </w:pPr>
    </w:p>
    <w:p>
      <w:pPr>
        <w:spacing w:line="560" w:lineRule="exact"/>
        <w:ind w:firstLine="2650" w:firstLineChars="600"/>
        <w:jc w:val="both"/>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综合养护合同</w:t>
      </w:r>
    </w:p>
    <w:p>
      <w:pPr>
        <w:spacing w:line="5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根据《中华人民共和国</w:t>
      </w:r>
      <w:r>
        <w:rPr>
          <w:rFonts w:hint="eastAsia" w:ascii="宋体" w:hAnsi="宋体" w:eastAsia="宋体" w:cs="宋体"/>
          <w:color w:val="auto"/>
          <w:sz w:val="24"/>
          <w:highlight w:val="none"/>
          <w:lang w:val="zh-CN"/>
        </w:rPr>
        <w:t>民法典</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关于印发关于提升余杭区市政、景观灯、环卫保洁管养定额标准及养护标准的通知</w:t>
      </w:r>
      <w:r>
        <w:rPr>
          <w:rFonts w:hint="eastAsia" w:ascii="宋体" w:hAnsi="宋体" w:eastAsia="宋体" w:cs="宋体"/>
          <w:color w:val="auto"/>
          <w:sz w:val="24"/>
          <w:highlight w:val="none"/>
          <w:lang w:eastAsia="zh-CN"/>
        </w:rPr>
        <w:t>》【余城管〔2020〕50号】</w:t>
      </w:r>
      <w:r>
        <w:rPr>
          <w:rFonts w:hint="eastAsia" w:ascii="宋体" w:hAnsi="宋体" w:eastAsia="宋体" w:cs="宋体"/>
          <w:color w:val="auto"/>
          <w:sz w:val="24"/>
          <w:highlight w:val="none"/>
        </w:rPr>
        <w:t>文件和《五常街道</w:t>
      </w:r>
      <w:r>
        <w:rPr>
          <w:rFonts w:hint="eastAsia" w:ascii="宋体" w:hAnsi="宋体" w:eastAsia="宋体" w:cs="宋体"/>
          <w:color w:val="auto"/>
          <w:sz w:val="24"/>
          <w:highlight w:val="none"/>
          <w:lang w:val="en-US" w:eastAsia="zh-CN"/>
        </w:rPr>
        <w:t>综合</w:t>
      </w:r>
      <w:r>
        <w:rPr>
          <w:rFonts w:hint="eastAsia" w:ascii="宋体" w:hAnsi="宋体" w:eastAsia="宋体" w:cs="宋体"/>
          <w:color w:val="auto"/>
          <w:sz w:val="24"/>
          <w:highlight w:val="none"/>
        </w:rPr>
        <w:t>管理考核细则》等相关文件，遵循平等、自愿、公平和诚实信用的原则，甲乙双方就</w:t>
      </w:r>
      <w:r>
        <w:rPr>
          <w:rFonts w:hint="eastAsia" w:ascii="宋体" w:hAnsi="宋体" w:eastAsia="宋体" w:cs="宋体"/>
          <w:color w:val="auto"/>
          <w:sz w:val="24"/>
          <w:highlight w:val="none"/>
          <w:u w:val="single"/>
        </w:rPr>
        <w:t xml:space="preserve"> </w:t>
      </w:r>
      <w:bookmarkStart w:id="415" w:name="_Hlk96791577"/>
      <w:r>
        <w:rPr>
          <w:rFonts w:hint="eastAsia" w:ascii="宋体" w:hAnsi="宋体" w:eastAsia="宋体" w:cs="宋体"/>
          <w:b/>
          <w:bCs/>
          <w:color w:val="auto"/>
          <w:sz w:val="24"/>
          <w:highlight w:val="none"/>
          <w:u w:val="single"/>
        </w:rPr>
        <w:t>五常街道城市管理综合养护二标段</w:t>
      </w:r>
      <w:bookmarkEnd w:id="415"/>
      <w:r>
        <w:rPr>
          <w:rFonts w:hint="eastAsia" w:ascii="宋体" w:hAnsi="宋体" w:eastAsia="宋体" w:cs="宋体"/>
          <w:b/>
          <w:bCs/>
          <w:color w:val="auto"/>
          <w:sz w:val="24"/>
          <w:highlight w:val="none"/>
          <w:u w:val="single"/>
        </w:rPr>
        <w:t>采购项目</w:t>
      </w:r>
      <w:r>
        <w:rPr>
          <w:rFonts w:hint="eastAsia" w:ascii="宋体" w:hAnsi="宋体" w:cs="宋体"/>
          <w:b/>
          <w:bCs/>
          <w:color w:val="auto"/>
          <w:sz w:val="24"/>
          <w:highlight w:val="none"/>
          <w:u w:val="single"/>
          <w:lang w:val="en-US" w:eastAsia="zh-CN"/>
        </w:rPr>
        <w:t xml:space="preserve"> </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的保洁、市政、绿化、河道综合养护事项协商一致，订立本合同。</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一、道路综合养护范围及设施量</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道路综合养护范围包括</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。具体养护设施量以道路移交时的设施量清单为准。</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二、道路综合养护主要内容</w:t>
      </w:r>
    </w:p>
    <w:p>
      <w:pPr>
        <w:widowControl w:val="0"/>
        <w:wordWrap/>
        <w:adjustRightInd w:val="0"/>
        <w:snapToGrid/>
        <w:spacing w:line="500" w:lineRule="exact"/>
        <w:ind w:firstLine="480" w:firstLineChars="200"/>
        <w:textAlignment w:val="auto"/>
        <w:rPr>
          <w:rFonts w:hint="eastAsia" w:ascii="宋体" w:hAnsi="宋体" w:eastAsia="宋体" w:cs="宋体"/>
          <w:bCs/>
          <w:color w:val="auto"/>
          <w:sz w:val="24"/>
          <w:highlight w:val="none"/>
          <w:lang w:val="en-US" w:eastAsia="zh-CN"/>
        </w:rPr>
      </w:pPr>
      <w:r>
        <w:rPr>
          <w:rFonts w:hint="eastAsia" w:ascii="宋体" w:hAnsi="宋体" w:eastAsia="宋体" w:cs="宋体"/>
          <w:color w:val="auto"/>
          <w:sz w:val="24"/>
          <w:highlight w:val="none"/>
        </w:rPr>
        <w:t>道路综合养护主要包括</w:t>
      </w:r>
      <w:r>
        <w:rPr>
          <w:rFonts w:hint="eastAsia" w:ascii="宋体" w:hAnsi="宋体" w:eastAsia="宋体" w:cs="宋体"/>
          <w:color w:val="auto"/>
          <w:sz w:val="24"/>
          <w:highlight w:val="none"/>
          <w:lang w:val="en-US" w:eastAsia="zh-CN"/>
        </w:rPr>
        <w:t>道路</w:t>
      </w:r>
      <w:r>
        <w:rPr>
          <w:rFonts w:hint="eastAsia" w:ascii="宋体" w:hAnsi="宋体" w:eastAsia="宋体" w:cs="宋体"/>
          <w:bCs/>
          <w:color w:val="auto"/>
          <w:sz w:val="24"/>
          <w:highlight w:val="none"/>
        </w:rPr>
        <w:t>保洁、市政养护、绿化养护、河道保洁养护、桥梁养护等其他养护工作。</w:t>
      </w:r>
      <w:r>
        <w:rPr>
          <w:rFonts w:hint="eastAsia" w:ascii="宋体" w:hAnsi="宋体" w:eastAsia="宋体" w:cs="宋体"/>
          <w:bCs/>
          <w:color w:val="auto"/>
          <w:sz w:val="24"/>
          <w:highlight w:val="none"/>
          <w:lang w:val="en-US" w:eastAsia="zh-CN"/>
        </w:rPr>
        <w:t>主要包括如下：</w:t>
      </w:r>
    </w:p>
    <w:p>
      <w:pPr>
        <w:widowControl w:val="0"/>
        <w:wordWrap/>
        <w:adjustRightInd w:val="0"/>
        <w:snapToGrid/>
        <w:spacing w:line="500" w:lineRule="exact"/>
        <w:ind w:firstLine="480" w:firstLineChars="200"/>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1、道路路面、绿化带、城市家具、公交岗亭</w:t>
      </w:r>
      <w:r>
        <w:rPr>
          <w:rFonts w:hint="eastAsia" w:ascii="宋体" w:hAnsi="宋体" w:cs="宋体"/>
          <w:bCs/>
          <w:color w:val="auto"/>
          <w:sz w:val="24"/>
          <w:highlight w:val="none"/>
          <w:lang w:val="en-US" w:eastAsia="zh-CN"/>
        </w:rPr>
        <w:t>等</w:t>
      </w:r>
      <w:r>
        <w:rPr>
          <w:rFonts w:hint="eastAsia" w:ascii="宋体" w:hAnsi="宋体" w:eastAsia="宋体" w:cs="宋体"/>
          <w:bCs/>
          <w:color w:val="auto"/>
          <w:sz w:val="24"/>
          <w:highlight w:val="none"/>
          <w:lang w:val="en-US" w:eastAsia="zh-CN"/>
        </w:rPr>
        <w:t>的保洁、清洗及垃圾处置；</w:t>
      </w:r>
    </w:p>
    <w:p>
      <w:pPr>
        <w:widowControl w:val="0"/>
        <w:wordWrap/>
        <w:adjustRightInd w:val="0"/>
        <w:snapToGrid/>
        <w:spacing w:line="500" w:lineRule="exact"/>
        <w:ind w:firstLine="480" w:firstLineChars="200"/>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2、道路路面、人行道、排水、桥梁等各项设施的检查、小修；</w:t>
      </w:r>
    </w:p>
    <w:p>
      <w:pPr>
        <w:widowControl w:val="0"/>
        <w:wordWrap/>
        <w:adjustRightInd w:val="0"/>
        <w:snapToGrid/>
        <w:spacing w:line="500" w:lineRule="exact"/>
        <w:ind w:firstLine="480" w:firstLineChars="200"/>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3、河道保洁、河岸3米线保洁、应急检查；</w:t>
      </w:r>
    </w:p>
    <w:p>
      <w:pPr>
        <w:widowControl w:val="0"/>
        <w:wordWrap/>
        <w:adjustRightInd w:val="0"/>
        <w:snapToGrid/>
        <w:spacing w:line="500" w:lineRule="exact"/>
        <w:ind w:firstLine="480" w:firstLineChars="200"/>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4、道路范围内的绿化及公园河道绿化的浇水、施肥、除草、修剪、补种、预防病虫害等；</w:t>
      </w:r>
    </w:p>
    <w:p>
      <w:pPr>
        <w:widowControl w:val="0"/>
        <w:wordWrap/>
        <w:adjustRightInd w:val="0"/>
        <w:snapToGrid/>
        <w:spacing w:line="500" w:lineRule="exact"/>
        <w:ind w:firstLine="480" w:firstLineChars="200"/>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5、时花的更换及养护</w:t>
      </w:r>
    </w:p>
    <w:p>
      <w:pPr>
        <w:widowControl w:val="0"/>
        <w:wordWrap/>
        <w:adjustRightInd w:val="0"/>
        <w:snapToGrid/>
        <w:spacing w:line="500" w:lineRule="exact"/>
        <w:ind w:firstLine="480" w:firstLineChars="200"/>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6、市政道路、桥梁的巡查、养护等</w:t>
      </w:r>
    </w:p>
    <w:p>
      <w:pPr>
        <w:widowControl w:val="0"/>
        <w:wordWrap/>
        <w:adjustRightInd w:val="0"/>
        <w:snapToGrid/>
        <w:spacing w:line="500" w:lineRule="exact"/>
        <w:ind w:firstLine="480" w:firstLineChars="200"/>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7、养护范围内的防汛防台、防雪防冻、突发事件的应急处理及重大活动保障的配合工作。</w:t>
      </w:r>
    </w:p>
    <w:p>
      <w:pPr>
        <w:pStyle w:val="4"/>
        <w:ind w:left="433" w:leftChars="202" w:hanging="9" w:hangingChars="4"/>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8、养护范围内的景观灯、果壳箱、护栏（围栏）等所有设施的维修更换。</w:t>
      </w:r>
    </w:p>
    <w:p>
      <w:pPr>
        <w:widowControl w:val="0"/>
        <w:wordWrap/>
        <w:adjustRightInd w:val="0"/>
        <w:snapToGrid/>
        <w:spacing w:line="500" w:lineRule="exact"/>
        <w:ind w:firstLine="480" w:firstLineChars="200"/>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9、在养护期限内，如遇甲方接收新移交市政、绿化、河道等道路、公园、广场相应管养内容的，在市政、绿化、河道各单项总面积3%内，乙方无条件接收管养，不核增养护经费；如遇不可抗力因素需核减面积的，可用新增面积抵扣。</w:t>
      </w:r>
    </w:p>
    <w:p>
      <w:pPr>
        <w:widowControl w:val="0"/>
        <w:wordWrap/>
        <w:adjustRightInd w:val="0"/>
        <w:snapToGrid/>
        <w:spacing w:line="500" w:lineRule="exact"/>
        <w:ind w:firstLine="480" w:firstLineChars="200"/>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具体内容详见附表</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三、道路综合养护期限</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养护合同期：</w:t>
      </w:r>
      <w:r>
        <w:rPr>
          <w:rFonts w:hint="eastAsia" w:ascii="宋体" w:hAnsi="宋体" w:cs="宋体"/>
          <w:b/>
          <w:bCs/>
          <w:color w:val="auto"/>
          <w:sz w:val="24"/>
          <w:highlight w:val="none"/>
          <w:lang w:val="en-US" w:eastAsia="zh-CN"/>
        </w:rPr>
        <w:t xml:space="preserve"> </w:t>
      </w:r>
      <w:r>
        <w:rPr>
          <w:rFonts w:hint="eastAsia" w:ascii="宋体" w:hAnsi="宋体" w:cs="宋体"/>
          <w:b w:val="0"/>
          <w:bCs w:val="0"/>
          <w:color w:val="auto"/>
          <w:sz w:val="24"/>
          <w:highlight w:val="none"/>
          <w:u w:val="single"/>
          <w:lang w:val="en-US" w:eastAsia="zh-CN"/>
        </w:rPr>
        <w:t xml:space="preserve">                          </w:t>
      </w:r>
      <w:r>
        <w:rPr>
          <w:rFonts w:hint="eastAsia" w:ascii="宋体" w:hAnsi="宋体" w:cs="宋体"/>
          <w:b/>
          <w:bCs/>
          <w:color w:val="auto"/>
          <w:sz w:val="24"/>
          <w:highlight w:val="none"/>
          <w:lang w:val="en-US" w:eastAsia="zh-CN"/>
        </w:rPr>
        <w:t xml:space="preserve">  </w:t>
      </w:r>
      <w:r>
        <w:rPr>
          <w:rFonts w:hint="eastAsia" w:ascii="宋体" w:hAnsi="宋体" w:eastAsia="宋体" w:cs="宋体"/>
          <w:color w:val="auto"/>
          <w:sz w:val="24"/>
          <w:highlight w:val="none"/>
        </w:rPr>
        <w:t>。</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四、道路综合养护标准</w:t>
      </w:r>
    </w:p>
    <w:p>
      <w:pPr>
        <w:spacing w:line="560" w:lineRule="exact"/>
        <w:ind w:left="0" w:leftChars="0" w:firstLine="57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道路综合养护标准按</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关于印发关于提升余杭区市政、景观灯、环卫保洁管养定额标准及养护标准的通知</w:t>
      </w:r>
      <w:r>
        <w:rPr>
          <w:rFonts w:hint="eastAsia" w:ascii="宋体" w:hAnsi="宋体" w:eastAsia="宋体" w:cs="宋体"/>
          <w:color w:val="auto"/>
          <w:sz w:val="24"/>
          <w:highlight w:val="none"/>
          <w:lang w:eastAsia="zh-CN"/>
        </w:rPr>
        <w:t>》【余城管〔2020〕50号】</w:t>
      </w:r>
      <w:r>
        <w:rPr>
          <w:rFonts w:hint="eastAsia" w:ascii="宋体" w:hAnsi="宋体" w:eastAsia="宋体" w:cs="宋体"/>
          <w:color w:val="auto"/>
          <w:sz w:val="24"/>
          <w:highlight w:val="none"/>
        </w:rPr>
        <w:t>文件规定执行。</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五、合同价款及支付方式</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（一）合同价款</w:t>
      </w:r>
    </w:p>
    <w:p>
      <w:pPr>
        <w:spacing w:line="560" w:lineRule="exact"/>
        <w:ind w:firstLine="57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（大写）：</w:t>
      </w:r>
      <w:r>
        <w:rPr>
          <w:rFonts w:hint="eastAsia" w:ascii="宋体" w:hAnsi="宋体" w:eastAsia="宋体" w:cs="宋体"/>
          <w:color w:val="auto"/>
          <w:sz w:val="24"/>
          <w:highlight w:val="none"/>
          <w:u w:val="single"/>
        </w:rPr>
        <w:t xml:space="preserve">  </w:t>
      </w:r>
      <w:r>
        <w:rPr>
          <w:rFonts w:hint="eastAsia" w:ascii="宋体" w:hAnsi="宋体" w:cs="宋体"/>
          <w:i w:val="0"/>
          <w:iCs w:val="0"/>
          <w:caps w:val="0"/>
          <w:color w:val="auto"/>
          <w:spacing w:val="0"/>
          <w:sz w:val="24"/>
          <w:szCs w:val="24"/>
          <w:highlight w:val="none"/>
          <w:u w:val="single"/>
          <w:lang w:val="en-US" w:eastAsia="zh-CN"/>
        </w:rPr>
        <w:t xml:space="preserve">      </w:t>
      </w:r>
      <w:r>
        <w:rPr>
          <w:rFonts w:hint="eastAsia" w:ascii="宋体" w:hAnsi="宋体" w:eastAsia="宋体" w:cs="宋体"/>
          <w:color w:val="auto"/>
          <w:sz w:val="24"/>
          <w:highlight w:val="none"/>
          <w:u w:val="single"/>
        </w:rPr>
        <w:t xml:space="preserve"> （人民币）</w:t>
      </w:r>
    </w:p>
    <w:p>
      <w:pPr>
        <w:spacing w:line="560" w:lineRule="exact"/>
        <w:ind w:firstLine="57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（小写）：</w:t>
      </w:r>
      <w:r>
        <w:rPr>
          <w:rFonts w:hint="eastAsia" w:ascii="宋体" w:hAnsi="宋体" w:eastAsia="宋体" w:cs="宋体"/>
          <w:color w:val="auto"/>
          <w:sz w:val="24"/>
          <w:highlight w:val="none"/>
          <w:u w:val="single"/>
        </w:rPr>
        <w:t xml:space="preserve">  </w:t>
      </w:r>
      <w:r>
        <w:rPr>
          <w:rFonts w:hint="eastAsia" w:ascii="宋体" w:hAnsi="宋体" w:cs="宋体"/>
          <w:i w:val="0"/>
          <w:iCs w:val="0"/>
          <w:caps w:val="0"/>
          <w:color w:val="auto"/>
          <w:spacing w:val="0"/>
          <w:sz w:val="24"/>
          <w:szCs w:val="24"/>
          <w:highlight w:val="none"/>
          <w:u w:val="single"/>
          <w:lang w:val="en-US" w:eastAsia="zh-CN"/>
        </w:rPr>
        <w:t xml:space="preserve">       </w:t>
      </w:r>
      <w:r>
        <w:rPr>
          <w:rFonts w:hint="eastAsia" w:ascii="宋体" w:hAnsi="宋体" w:eastAsia="宋体" w:cs="宋体"/>
          <w:color w:val="auto"/>
          <w:sz w:val="24"/>
          <w:highlight w:val="none"/>
          <w:u w:val="single"/>
        </w:rPr>
        <w:t xml:space="preserve"> 元</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（二）本合同为固定综合单价合同，单价中包含养护所需要的人工费、材料费、机械设备费、管理费、利润、风险等所有费用。</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（三）中标单位应在中标通知书发出后7日内并在合同实施前，编写《道路综合养护方案》上报甲方审核后签订合同，签订合同后，7个工作日内支付总合同价的</w:t>
      </w:r>
      <w:r>
        <w:rPr>
          <w:rFonts w:hint="eastAsia" w:ascii="宋体" w:hAnsi="宋体" w:cs="宋体"/>
          <w:b/>
          <w:bCs/>
          <w:color w:val="auto"/>
          <w:sz w:val="24"/>
          <w:highlight w:val="none"/>
          <w:lang w:val="en-US" w:eastAsia="zh-CN"/>
        </w:rPr>
        <w:t>1</w:t>
      </w:r>
      <w:r>
        <w:rPr>
          <w:rFonts w:hint="eastAsia" w:ascii="宋体" w:hAnsi="宋体" w:eastAsia="宋体" w:cs="宋体"/>
          <w:b/>
          <w:bCs/>
          <w:color w:val="auto"/>
          <w:sz w:val="24"/>
          <w:highlight w:val="none"/>
        </w:rPr>
        <w:t>%</w:t>
      </w:r>
      <w:r>
        <w:rPr>
          <w:rFonts w:hint="eastAsia" w:ascii="宋体" w:hAnsi="宋体" w:eastAsia="宋体" w:cs="宋体"/>
          <w:color w:val="auto"/>
          <w:sz w:val="24"/>
          <w:highlight w:val="none"/>
        </w:rPr>
        <w:t>作为履约保证金。</w:t>
      </w:r>
    </w:p>
    <w:p>
      <w:pPr>
        <w:pStyle w:val="36"/>
        <w:snapToGrid w:val="0"/>
        <w:spacing w:line="600" w:lineRule="exact"/>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（四）</w:t>
      </w:r>
      <w:r>
        <w:rPr>
          <w:rFonts w:hint="eastAsia" w:hAnsi="宋体" w:cs="宋体"/>
          <w:color w:val="auto"/>
          <w:sz w:val="24"/>
          <w:highlight w:val="none"/>
          <w:lang w:val="en-US" w:eastAsia="zh-CN"/>
        </w:rPr>
        <w:t>综合</w:t>
      </w:r>
      <w:r>
        <w:rPr>
          <w:rFonts w:hint="eastAsia" w:ascii="宋体" w:hAnsi="宋体" w:eastAsia="宋体" w:cs="宋体"/>
          <w:color w:val="auto"/>
          <w:sz w:val="24"/>
          <w:highlight w:val="none"/>
        </w:rPr>
        <w:t>养护经费</w:t>
      </w:r>
      <w:r>
        <w:rPr>
          <w:rFonts w:hint="eastAsia" w:hAnsi="宋体" w:cs="宋体"/>
          <w:color w:val="auto"/>
          <w:sz w:val="24"/>
          <w:highlight w:val="none"/>
          <w:lang w:eastAsia="zh-CN"/>
        </w:rPr>
        <w:t>：</w:t>
      </w:r>
    </w:p>
    <w:p>
      <w:pPr>
        <w:keepNext w:val="0"/>
        <w:keepLines w:val="0"/>
        <w:pageBreakBefore w:val="0"/>
        <w:widowControl/>
        <w:suppressLineNumbers w:val="0"/>
        <w:kinsoku/>
        <w:wordWrap/>
        <w:overflowPunct/>
        <w:topLinePunct w:val="0"/>
        <w:autoSpaceDE/>
        <w:autoSpaceDN/>
        <w:bidi w:val="0"/>
        <w:adjustRightInd w:val="0"/>
        <w:snapToGrid/>
        <w:spacing w:line="480" w:lineRule="auto"/>
        <w:ind w:firstLine="480" w:firstLineChars="200"/>
        <w:jc w:val="left"/>
        <w:textAlignment w:val="auto"/>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color w:val="auto"/>
          <w:sz w:val="24"/>
          <w:highlight w:val="none"/>
        </w:rPr>
        <w:t>（五</w:t>
      </w:r>
      <w:r>
        <w:rPr>
          <w:rFonts w:hint="eastAsia" w:ascii="宋体" w:hAnsi="宋体" w:eastAsia="宋体" w:cs="宋体"/>
          <w:color w:val="auto"/>
          <w:sz w:val="24"/>
          <w:szCs w:val="24"/>
          <w:highlight w:val="none"/>
        </w:rPr>
        <w:t>）</w:t>
      </w:r>
      <w:r>
        <w:rPr>
          <w:rFonts w:hint="eastAsia" w:ascii="宋体" w:hAnsi="宋体" w:eastAsia="宋体" w:cs="宋体"/>
          <w:b w:val="0"/>
          <w:bCs w:val="0"/>
          <w:color w:val="auto"/>
          <w:kern w:val="0"/>
          <w:sz w:val="24"/>
          <w:szCs w:val="24"/>
          <w:highlight w:val="none"/>
          <w:lang w:val="en-US" w:eastAsia="zh-CN" w:bidi="ar"/>
        </w:rPr>
        <w:t>市政道路养护费用：</w:t>
      </w:r>
    </w:p>
    <w:p>
      <w:pPr>
        <w:pStyle w:val="24"/>
        <w:kinsoku w:val="0"/>
        <w:overflowPunct w:val="0"/>
        <w:spacing w:beforeLines="0" w:afterLines="0" w:line="480" w:lineRule="auto"/>
        <w:rPr>
          <w:rFonts w:hint="default" w:eastAsia="宋体"/>
          <w:color w:val="auto"/>
          <w:highlight w:val="none"/>
          <w:u w:val="single"/>
          <w:lang w:val="en-US" w:eastAsia="zh-CN"/>
        </w:rPr>
      </w:pPr>
      <w:r>
        <w:rPr>
          <w:rFonts w:hint="eastAsia" w:eastAsia="宋体"/>
          <w:color w:val="auto"/>
          <w:spacing w:val="-2"/>
          <w:sz w:val="24"/>
          <w:szCs w:val="24"/>
          <w:highlight w:val="none"/>
          <w:lang w:val="en-US" w:eastAsia="zh-CN"/>
        </w:rPr>
        <w:t>2</w:t>
      </w:r>
      <w:r>
        <w:rPr>
          <w:rFonts w:hint="eastAsia"/>
          <w:color w:val="auto"/>
          <w:spacing w:val="-2"/>
          <w:sz w:val="24"/>
          <w:szCs w:val="24"/>
          <w:highlight w:val="none"/>
        </w:rPr>
        <w:t>、支付方式：</w:t>
      </w:r>
      <w:r>
        <w:rPr>
          <w:rFonts w:hint="eastAsia"/>
          <w:color w:val="auto"/>
          <w:spacing w:val="-2"/>
          <w:sz w:val="24"/>
          <w:szCs w:val="24"/>
          <w:highlight w:val="none"/>
          <w:u w:val="single"/>
          <w:lang w:val="en-US" w:eastAsia="zh-CN"/>
        </w:rPr>
        <w:t xml:space="preserve">                                  </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六</w:t>
      </w:r>
      <w:r>
        <w:rPr>
          <w:rFonts w:hint="eastAsia" w:ascii="宋体" w:hAnsi="宋体" w:eastAsia="宋体" w:cs="宋体"/>
          <w:color w:val="auto"/>
          <w:sz w:val="24"/>
          <w:highlight w:val="none"/>
        </w:rPr>
        <w:t>）中标人在连续两次区级</w:t>
      </w:r>
      <w:r>
        <w:rPr>
          <w:rFonts w:hint="eastAsia" w:ascii="宋体" w:hAnsi="宋体" w:eastAsia="宋体" w:cs="宋体"/>
          <w:color w:val="auto"/>
          <w:sz w:val="24"/>
          <w:highlight w:val="none"/>
          <w:lang w:val="en-US" w:eastAsia="zh-CN"/>
        </w:rPr>
        <w:t>月</w:t>
      </w:r>
      <w:r>
        <w:rPr>
          <w:rFonts w:hint="eastAsia" w:ascii="宋体" w:hAnsi="宋体" w:eastAsia="宋体" w:cs="宋体"/>
          <w:color w:val="auto"/>
          <w:sz w:val="24"/>
          <w:highlight w:val="none"/>
        </w:rPr>
        <w:t>度考核排名末</w:t>
      </w:r>
      <w:r>
        <w:rPr>
          <w:rFonts w:hint="eastAsia" w:ascii="宋体" w:hAnsi="宋体" w:eastAsia="宋体" w:cs="宋体"/>
          <w:color w:val="auto"/>
          <w:sz w:val="24"/>
          <w:highlight w:val="none"/>
          <w:lang w:val="en-US" w:eastAsia="zh-CN"/>
        </w:rPr>
        <w:t>三</w:t>
      </w:r>
      <w:r>
        <w:rPr>
          <w:rFonts w:hint="eastAsia" w:ascii="宋体" w:hAnsi="宋体" w:eastAsia="宋体" w:cs="宋体"/>
          <w:color w:val="auto"/>
          <w:sz w:val="24"/>
          <w:highlight w:val="none"/>
        </w:rPr>
        <w:t>位以内的或一个年度内累计有三次及以上区级月度排名末</w:t>
      </w:r>
      <w:r>
        <w:rPr>
          <w:rFonts w:hint="eastAsia" w:ascii="宋体" w:hAnsi="宋体" w:eastAsia="宋体" w:cs="宋体"/>
          <w:color w:val="auto"/>
          <w:sz w:val="24"/>
          <w:highlight w:val="none"/>
          <w:lang w:val="en-US" w:eastAsia="zh-CN"/>
        </w:rPr>
        <w:t>三</w:t>
      </w:r>
      <w:r>
        <w:rPr>
          <w:rFonts w:hint="eastAsia" w:ascii="宋体" w:hAnsi="宋体" w:eastAsia="宋体" w:cs="宋体"/>
          <w:color w:val="auto"/>
          <w:sz w:val="24"/>
          <w:highlight w:val="none"/>
        </w:rPr>
        <w:t>位时，即清退出场，同时对中标人按考核细则扣减履约保证金（总合同价</w:t>
      </w:r>
      <w:r>
        <w:rPr>
          <w:rFonts w:hint="eastAsia" w:ascii="宋体" w:hAnsi="宋体" w:cs="宋体"/>
          <w:b/>
          <w:bCs/>
          <w:color w:val="auto"/>
          <w:sz w:val="24"/>
          <w:highlight w:val="none"/>
          <w:lang w:val="en-US" w:eastAsia="zh-CN"/>
        </w:rPr>
        <w:t>1</w:t>
      </w:r>
      <w:r>
        <w:rPr>
          <w:rFonts w:hint="eastAsia" w:ascii="宋体" w:hAnsi="宋体" w:eastAsia="宋体" w:cs="宋体"/>
          <w:b/>
          <w:bCs/>
          <w:color w:val="auto"/>
          <w:sz w:val="24"/>
          <w:highlight w:val="none"/>
        </w:rPr>
        <w:t>%）</w:t>
      </w:r>
      <w:r>
        <w:rPr>
          <w:rFonts w:hint="eastAsia" w:ascii="宋体" w:hAnsi="宋体" w:eastAsia="宋体" w:cs="宋体"/>
          <w:color w:val="auto"/>
          <w:sz w:val="24"/>
          <w:highlight w:val="none"/>
        </w:rPr>
        <w:t>作为违约处罚。</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六、履约保证金</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（一）</w:t>
      </w:r>
      <w:r>
        <w:rPr>
          <w:rFonts w:hint="eastAsia" w:ascii="宋体" w:hAnsi="宋体" w:eastAsia="宋体" w:cs="宋体"/>
          <w:color w:val="auto"/>
          <w:sz w:val="24"/>
          <w:highlight w:val="none"/>
        </w:rPr>
        <w:t>1、中标人在签订合同后需向招标人提交合同价金额</w:t>
      </w:r>
      <w:r>
        <w:rPr>
          <w:rFonts w:hint="eastAsia" w:hAnsi="宋体" w:cs="宋体"/>
          <w:b/>
          <w:bCs/>
          <w:color w:val="auto"/>
          <w:sz w:val="24"/>
          <w:highlight w:val="none"/>
          <w:lang w:val="en-US" w:eastAsia="zh-CN"/>
        </w:rPr>
        <w:t>1</w:t>
      </w:r>
      <w:r>
        <w:rPr>
          <w:rFonts w:hint="eastAsia" w:ascii="宋体" w:hAnsi="宋体" w:eastAsia="宋体" w:cs="宋体"/>
          <w:b/>
          <w:bCs/>
          <w:color w:val="auto"/>
          <w:sz w:val="24"/>
          <w:highlight w:val="none"/>
        </w:rPr>
        <w:t>％</w:t>
      </w:r>
      <w:r>
        <w:rPr>
          <w:rFonts w:hint="eastAsia" w:ascii="宋体" w:hAnsi="宋体" w:eastAsia="宋体" w:cs="宋体"/>
          <w:color w:val="auto"/>
          <w:sz w:val="24"/>
          <w:highlight w:val="none"/>
        </w:rPr>
        <w:t>的合同履约保证金（保证金缴纳形式：转账支票、汇票、网银、保函等招标人认可的其他形式）,在承包期满后三十天内退还（无息）。如承包期内，中标人没按要求履行合同则保证金不予归还。</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（二）</w:t>
      </w:r>
      <w:r>
        <w:rPr>
          <w:rFonts w:hint="eastAsia" w:ascii="宋体" w:hAnsi="宋体" w:eastAsia="宋体" w:cs="宋体"/>
          <w:color w:val="auto"/>
          <w:sz w:val="24"/>
          <w:highlight w:val="none"/>
        </w:rPr>
        <w:t>在承包期内如因承包人原因造成招标人财产损失的，招标人有权酌情扣去履约保证金。</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七、甲方的权利、职责与义务</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（一）甲方的权利</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1、对合同范围内的所有道路设施进行管理，对占用或利用设施及其附属设施设置广告、管线、标志等进行审批，对在养护范围内进行施工、作业进行审批。</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2、审定养护计划，检查养护计划执行情况，审定乙方上报的养护工作量表。</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3、甲方及其委派的任何人在一切合理的时间内均可对乙方养护范围内的设施养护状况，日常养护的质量、安全和巡查工作及资料台帐进行检查，并对设施完好程度和运行安全情况进行月度考核。</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4、在有必要的情况下，可要求乙方对设施进行特殊养护。</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（二）甲方的职责与义务</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1、向乙方提供有关养护所需的竣工资料和规范性文件，提供道路养护的质量标准及考核办法，发送各类报表样式，指导乙方完善健全业内资料。</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2、按约定拨付乙方的养护经费。</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3、协助处理乙方在日常养护工作或突发应急情况中与相关单位的协调工作。</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4、及时审核、下达乙方上报的月度计划。</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5、对乙方的养护工作进行检查、督促，对设施完好状况进行跟踪监测。</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6、对养护工作中采用新工艺、新材料、新方法的适用性、安全性进行审查。</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7、负责处理或协调突发事件造成的设施损坏和侵害事件。</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八、乙方的职责与义务</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1、按照养护规范要求及合同约定，精心组织养护，使养护质量达到标准，并做到作业规范化。</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2、掌握养护设施动态，及时处置各类突发情况，确保各项设施的完好、整洁。</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3、在养护作业过程中，应遵守国家的法规及余杭区五常街道办事处的有关规定。</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4、必须加强安全管理，对作业人员进行必要的安全培训。发生各类事故后，应及时向甲方报告。</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5、根据养护计划编制养护方案，并应在每月月底前报送当月完成的工作量和下月的计划。</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6、配备技术熟练、经验丰富的项目负责人以及各类专业技术人员，并保持其岗位的相对稳定。如需更换项目负责人，应事先报请甲方同意；甲方有权要求乙方撤换不能胜任岗位职责或玩忽职守、工作不负责的人员。养护期间应保证招标所要求的机具设备投入，不得另作他用。</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7、配合甲方做好大型公共活动及突发事件的应急保障服务，落实应急保障服务设备和人员。</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8、乙方应及时发现并制止损坏养护设施的行为，向甲方报告设施损坏情况。</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九、考核规定</w:t>
      </w:r>
    </w:p>
    <w:p>
      <w:pPr>
        <w:widowControl w:val="0"/>
        <w:wordWrap/>
        <w:adjustRightInd/>
        <w:snapToGrid/>
        <w:spacing w:line="560" w:lineRule="exact"/>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按</w:t>
      </w:r>
      <w:r>
        <w:rPr>
          <w:rFonts w:hint="eastAsia" w:ascii="宋体" w:hAnsi="宋体" w:eastAsia="宋体" w:cs="宋体"/>
          <w:color w:val="auto"/>
          <w:sz w:val="24"/>
          <w:highlight w:val="none"/>
          <w:lang w:eastAsia="zh-CN"/>
        </w:rPr>
        <w:t>《</w:t>
      </w:r>
      <w:r>
        <w:rPr>
          <w:rFonts w:hint="eastAsia" w:ascii="宋体" w:hAnsi="宋体" w:eastAsia="宋体" w:cs="宋体"/>
          <w:b/>
          <w:bCs/>
          <w:snapToGrid w:val="0"/>
          <w:color w:val="auto"/>
          <w:kern w:val="2"/>
          <w:sz w:val="24"/>
          <w:szCs w:val="21"/>
          <w:highlight w:val="none"/>
          <w:lang w:val="en-US" w:eastAsia="zh-CN" w:bidi="ar-SA"/>
        </w:rPr>
        <w:t>关于进一步完善五常街道城市一体化综合养护考核办法的通知</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附件1-</w:t>
      </w: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规定执行。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十、违约约定</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（一）按照招标文件要求，中标人中标后1个月内按照要求设置办公场地及车辆停放场地，如不按时设置办公场地及车辆停放场地视为违约，甲方有权终止合同。</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（二）在日常养护中，对招标时所要求的设备投入不到位的，甲方有权扣除乙方当季20%日常综合养护费；如再发生类似情况的，甲方有权扣除乙方当季50%日常综合养护费；拒不整改的，甲方有权终止合同。</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（三）由于养护不文明施工、作业等情况而被新闻媒体曝光的，每发生一次，扣除当月养护经费20000元。发生有责投诉且社会影响恶劣的，每发生一次，扣除当月养护经费20000元。</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（四）因不可抗力等原因致双方无法继续履行合同时，双方共同承担责任。</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（五）本项目不得转包、分包。</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（六）中标人在连续两次区级季度考核排名末</w:t>
      </w:r>
      <w:r>
        <w:rPr>
          <w:rFonts w:hint="eastAsia" w:ascii="宋体" w:hAnsi="宋体" w:eastAsia="宋体" w:cs="宋体"/>
          <w:color w:val="auto"/>
          <w:sz w:val="24"/>
          <w:highlight w:val="none"/>
          <w:lang w:val="en-US" w:eastAsia="zh-CN"/>
        </w:rPr>
        <w:t>三</w:t>
      </w:r>
      <w:r>
        <w:rPr>
          <w:rFonts w:hint="eastAsia" w:ascii="宋体" w:hAnsi="宋体" w:eastAsia="宋体" w:cs="宋体"/>
          <w:color w:val="auto"/>
          <w:sz w:val="24"/>
          <w:highlight w:val="none"/>
        </w:rPr>
        <w:t>位以内的或一个年度内累计有三次及以上区级月度排名末</w:t>
      </w:r>
      <w:r>
        <w:rPr>
          <w:rFonts w:hint="eastAsia" w:ascii="宋体" w:hAnsi="宋体" w:eastAsia="宋体" w:cs="宋体"/>
          <w:color w:val="auto"/>
          <w:sz w:val="24"/>
          <w:highlight w:val="none"/>
          <w:lang w:val="en-US" w:eastAsia="zh-CN"/>
        </w:rPr>
        <w:t>三</w:t>
      </w:r>
      <w:r>
        <w:rPr>
          <w:rFonts w:hint="eastAsia" w:ascii="宋体" w:hAnsi="宋体" w:eastAsia="宋体" w:cs="宋体"/>
          <w:color w:val="auto"/>
          <w:sz w:val="24"/>
          <w:highlight w:val="none"/>
        </w:rPr>
        <w:t>位时，即清退出场，同时对中标人按考核细则扣减履约保证金（总合同</w:t>
      </w:r>
      <w:r>
        <w:rPr>
          <w:rFonts w:hint="eastAsia" w:ascii="宋体" w:hAnsi="宋体" w:eastAsia="宋体" w:cs="宋体"/>
          <w:b/>
          <w:bCs/>
          <w:color w:val="auto"/>
          <w:sz w:val="24"/>
          <w:highlight w:val="none"/>
        </w:rPr>
        <w:t>价</w:t>
      </w:r>
      <w:r>
        <w:rPr>
          <w:rFonts w:hint="eastAsia" w:ascii="宋体" w:hAnsi="宋体" w:cs="宋体"/>
          <w:b/>
          <w:bCs/>
          <w:color w:val="auto"/>
          <w:sz w:val="24"/>
          <w:highlight w:val="none"/>
          <w:lang w:val="en-US" w:eastAsia="zh-CN"/>
        </w:rPr>
        <w:t>1</w:t>
      </w:r>
      <w:r>
        <w:rPr>
          <w:rFonts w:hint="eastAsia" w:ascii="宋体" w:hAnsi="宋体" w:eastAsia="宋体" w:cs="宋体"/>
          <w:b/>
          <w:bCs/>
          <w:color w:val="auto"/>
          <w:sz w:val="24"/>
          <w:highlight w:val="none"/>
        </w:rPr>
        <w:t>%）</w:t>
      </w:r>
      <w:r>
        <w:rPr>
          <w:rFonts w:hint="eastAsia" w:ascii="宋体" w:hAnsi="宋体" w:eastAsia="宋体" w:cs="宋体"/>
          <w:color w:val="auto"/>
          <w:sz w:val="24"/>
          <w:highlight w:val="none"/>
        </w:rPr>
        <w:t>作为违约处罚。</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十</w:t>
      </w:r>
      <w:r>
        <w:rPr>
          <w:rFonts w:hint="eastAsia" w:ascii="宋体" w:hAnsi="宋体" w:cs="宋体"/>
          <w:color w:val="auto"/>
          <w:sz w:val="24"/>
          <w:highlight w:val="none"/>
          <w:lang w:eastAsia="zh-CN"/>
        </w:rPr>
        <w:t>一</w:t>
      </w:r>
      <w:r>
        <w:rPr>
          <w:rFonts w:hint="eastAsia" w:ascii="宋体" w:hAnsi="宋体" w:eastAsia="宋体" w:cs="宋体"/>
          <w:color w:val="auto"/>
          <w:sz w:val="24"/>
          <w:highlight w:val="none"/>
        </w:rPr>
        <w:t>、对于甲方要求执行养护范围之外的临时任务及维修不可抗力造成的设施损坏所产生费用，以联系单的方式，经甲方确认并通过审计后由甲方负责支付。</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十</w:t>
      </w:r>
      <w:r>
        <w:rPr>
          <w:rFonts w:hint="eastAsia" w:ascii="宋体" w:hAnsi="宋体" w:cs="宋体"/>
          <w:color w:val="auto"/>
          <w:sz w:val="24"/>
          <w:highlight w:val="none"/>
          <w:lang w:eastAsia="zh-CN"/>
        </w:rPr>
        <w:t>二</w:t>
      </w:r>
      <w:r>
        <w:rPr>
          <w:rFonts w:hint="eastAsia" w:ascii="宋体" w:hAnsi="宋体" w:eastAsia="宋体" w:cs="宋体"/>
          <w:color w:val="auto"/>
          <w:sz w:val="24"/>
          <w:highlight w:val="none"/>
        </w:rPr>
        <w:t>、乙方应当按照本合同约定完成养护任务，不得转包或分包，由此产生的法律责任和经济损失由乙方承担。对于乙方因设备或技术等原因无法实施的部分工作，在报请甲方同意后，委托他人实施的，乙方对分包人的所有行为负全责。</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十</w:t>
      </w:r>
      <w:r>
        <w:rPr>
          <w:rFonts w:hint="eastAsia" w:ascii="宋体" w:hAnsi="宋体" w:cs="宋体"/>
          <w:color w:val="auto"/>
          <w:sz w:val="24"/>
          <w:highlight w:val="none"/>
          <w:lang w:eastAsia="zh-CN"/>
        </w:rPr>
        <w:t>三</w:t>
      </w:r>
      <w:r>
        <w:rPr>
          <w:rFonts w:hint="eastAsia" w:ascii="宋体" w:hAnsi="宋体" w:eastAsia="宋体" w:cs="宋体"/>
          <w:color w:val="auto"/>
          <w:sz w:val="24"/>
          <w:highlight w:val="none"/>
        </w:rPr>
        <w:t>、本合同在履行过程中如有未尽事宜，双方可通过协商后签订补充协议，与本合同具有相同法律效力。</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十</w:t>
      </w:r>
      <w:r>
        <w:rPr>
          <w:rFonts w:hint="eastAsia" w:ascii="宋体" w:hAnsi="宋体" w:cs="宋体"/>
          <w:color w:val="auto"/>
          <w:sz w:val="24"/>
          <w:highlight w:val="none"/>
          <w:lang w:eastAsia="zh-CN"/>
        </w:rPr>
        <w:t>四</w:t>
      </w:r>
      <w:r>
        <w:rPr>
          <w:rFonts w:hint="eastAsia" w:ascii="宋体" w:hAnsi="宋体" w:eastAsia="宋体" w:cs="宋体"/>
          <w:color w:val="auto"/>
          <w:sz w:val="24"/>
          <w:highlight w:val="none"/>
        </w:rPr>
        <w:t>、在合同履约过程中，双方如发生争议，应当协商解决，协商不成的，向余杭区人民法院提起诉讼解决。</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十</w:t>
      </w:r>
      <w:r>
        <w:rPr>
          <w:rFonts w:hint="eastAsia" w:ascii="宋体" w:hAnsi="宋体" w:cs="宋体"/>
          <w:color w:val="auto"/>
          <w:sz w:val="24"/>
          <w:highlight w:val="none"/>
          <w:lang w:eastAsia="zh-CN"/>
        </w:rPr>
        <w:t>五</w:t>
      </w:r>
      <w:r>
        <w:rPr>
          <w:rFonts w:hint="eastAsia" w:ascii="宋体" w:hAnsi="宋体" w:eastAsia="宋体" w:cs="宋体"/>
          <w:color w:val="auto"/>
          <w:sz w:val="24"/>
          <w:highlight w:val="none"/>
        </w:rPr>
        <w:t>、本合同一式捌份，其中正本贰份，副本陆份，正本双方各执壹份，副本双方各执叁份。本合同经双方法定代表人签字、加盖单位公章后生效，合同期满后失效。</w:t>
      </w:r>
    </w:p>
    <w:p>
      <w:pPr>
        <w:pageBreakBefore/>
        <w:rPr>
          <w:rFonts w:hint="eastAsia" w:ascii="宋体" w:hAnsi="宋体" w:eastAsia="宋体" w:cs="宋体"/>
          <w:color w:val="auto"/>
          <w:sz w:val="28"/>
          <w:szCs w:val="28"/>
          <w:highlight w:val="none"/>
        </w:rPr>
      </w:pPr>
    </w:p>
    <w:tbl>
      <w:tblPr>
        <w:tblStyle w:val="62"/>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00"/>
        <w:gridCol w:w="2520"/>
        <w:gridCol w:w="1440"/>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trPr>
        <w:tc>
          <w:tcPr>
            <w:tcW w:w="720" w:type="dxa"/>
            <w:vMerge w:val="restart"/>
            <w:textDirection w:val="tbRlV"/>
            <w:vAlign w:val="center"/>
          </w:tcPr>
          <w:p>
            <w:pPr>
              <w:snapToGrid w:val="0"/>
              <w:spacing w:line="293" w:lineRule="auto"/>
              <w:ind w:left="113" w:right="113"/>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发 包 人（ 甲 方 ）</w:t>
            </w:r>
          </w:p>
        </w:tc>
        <w:tc>
          <w:tcPr>
            <w:tcW w:w="1800" w:type="dxa"/>
            <w:vAlign w:val="center"/>
          </w:tcPr>
          <w:p>
            <w:pPr>
              <w:snapToGrid w:val="0"/>
              <w:spacing w:line="293"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名称（或姓名）</w:t>
            </w:r>
          </w:p>
        </w:tc>
        <w:tc>
          <w:tcPr>
            <w:tcW w:w="6127" w:type="dxa"/>
            <w:gridSpan w:val="3"/>
            <w:vAlign w:val="center"/>
          </w:tcPr>
          <w:p>
            <w:pPr>
              <w:snapToGrid w:val="0"/>
              <w:spacing w:line="293" w:lineRule="auto"/>
              <w:ind w:left="32" w:hanging="32"/>
              <w:jc w:val="center"/>
              <w:rPr>
                <w:rFonts w:hint="eastAsia" w:ascii="宋体" w:hAnsi="宋体" w:eastAsia="宋体" w:cs="宋体"/>
                <w:color w:val="auto"/>
                <w:sz w:val="28"/>
                <w:szCs w:val="28"/>
                <w:highlight w:val="none"/>
              </w:rPr>
            </w:pPr>
            <w:r>
              <w:rPr>
                <w:rFonts w:hint="eastAsia" w:ascii="宋体" w:hAnsi="宋体" w:eastAsia="宋体" w:cs="宋体"/>
                <w:color w:val="auto"/>
                <w:sz w:val="24"/>
                <w:highlight w:val="none"/>
              </w:rPr>
              <w:t>杭州市余杭区人民政府五常街道办事处</w:t>
            </w:r>
            <w:r>
              <w:rPr>
                <w:rFonts w:hint="eastAsia" w:ascii="宋体" w:hAnsi="宋体" w:eastAsia="宋体" w:cs="宋体"/>
                <w:color w:val="auto"/>
                <w:sz w:val="24"/>
                <w:szCs w:val="24"/>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trPr>
        <w:tc>
          <w:tcPr>
            <w:tcW w:w="720" w:type="dxa"/>
            <w:vMerge w:val="continue"/>
            <w:vAlign w:val="center"/>
          </w:tcPr>
          <w:p>
            <w:pPr>
              <w:snapToGrid w:val="0"/>
              <w:spacing w:line="293" w:lineRule="auto"/>
              <w:jc w:val="left"/>
              <w:rPr>
                <w:rFonts w:hint="eastAsia" w:ascii="宋体" w:hAnsi="宋体" w:eastAsia="宋体" w:cs="宋体"/>
                <w:color w:val="auto"/>
                <w:sz w:val="24"/>
                <w:highlight w:val="none"/>
              </w:rPr>
            </w:pPr>
          </w:p>
        </w:tc>
        <w:tc>
          <w:tcPr>
            <w:tcW w:w="1800" w:type="dxa"/>
            <w:vAlign w:val="center"/>
          </w:tcPr>
          <w:p>
            <w:pPr>
              <w:snapToGrid w:val="0"/>
              <w:spacing w:line="293"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w:t>
            </w:r>
          </w:p>
        </w:tc>
        <w:tc>
          <w:tcPr>
            <w:tcW w:w="2520" w:type="dxa"/>
            <w:vAlign w:val="center"/>
          </w:tcPr>
          <w:p>
            <w:pPr>
              <w:snapToGrid w:val="0"/>
              <w:spacing w:line="293" w:lineRule="auto"/>
              <w:ind w:right="-108"/>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tc>
        <w:tc>
          <w:tcPr>
            <w:tcW w:w="1440" w:type="dxa"/>
            <w:vAlign w:val="center"/>
          </w:tcPr>
          <w:p>
            <w:pPr>
              <w:snapToGrid w:val="0"/>
              <w:spacing w:line="293"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委托代理人</w:t>
            </w:r>
          </w:p>
        </w:tc>
        <w:tc>
          <w:tcPr>
            <w:tcW w:w="2167" w:type="dxa"/>
            <w:vAlign w:val="center"/>
          </w:tcPr>
          <w:p>
            <w:pPr>
              <w:snapToGrid w:val="0"/>
              <w:spacing w:line="293" w:lineRule="auto"/>
              <w:ind w:right="-175"/>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exact"/>
        </w:trPr>
        <w:tc>
          <w:tcPr>
            <w:tcW w:w="720" w:type="dxa"/>
            <w:vMerge w:val="continue"/>
            <w:vAlign w:val="center"/>
          </w:tcPr>
          <w:p>
            <w:pPr>
              <w:snapToGrid w:val="0"/>
              <w:spacing w:line="293" w:lineRule="auto"/>
              <w:jc w:val="left"/>
              <w:rPr>
                <w:rFonts w:hint="eastAsia" w:ascii="宋体" w:hAnsi="宋体" w:eastAsia="宋体" w:cs="宋体"/>
                <w:color w:val="auto"/>
                <w:sz w:val="24"/>
                <w:highlight w:val="none"/>
              </w:rPr>
            </w:pPr>
          </w:p>
        </w:tc>
        <w:tc>
          <w:tcPr>
            <w:tcW w:w="1800" w:type="dxa"/>
            <w:vAlign w:val="center"/>
          </w:tcPr>
          <w:p>
            <w:pPr>
              <w:snapToGrid w:val="0"/>
              <w:spacing w:line="293"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联  系  人</w:t>
            </w:r>
          </w:p>
        </w:tc>
        <w:tc>
          <w:tcPr>
            <w:tcW w:w="6127" w:type="dxa"/>
            <w:gridSpan w:val="3"/>
            <w:vAlign w:val="center"/>
          </w:tcPr>
          <w:p>
            <w:pPr>
              <w:snapToGrid w:val="0"/>
              <w:spacing w:line="293" w:lineRule="auto"/>
              <w:ind w:firstLine="240" w:firstLineChars="100"/>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exact"/>
        </w:trPr>
        <w:tc>
          <w:tcPr>
            <w:tcW w:w="720" w:type="dxa"/>
            <w:vMerge w:val="continue"/>
            <w:vAlign w:val="center"/>
          </w:tcPr>
          <w:p>
            <w:pPr>
              <w:snapToGrid w:val="0"/>
              <w:spacing w:line="293" w:lineRule="auto"/>
              <w:jc w:val="left"/>
              <w:rPr>
                <w:rFonts w:hint="eastAsia" w:ascii="宋体" w:hAnsi="宋体" w:eastAsia="宋体" w:cs="宋体"/>
                <w:color w:val="auto"/>
                <w:sz w:val="24"/>
                <w:highlight w:val="none"/>
              </w:rPr>
            </w:pPr>
          </w:p>
        </w:tc>
        <w:tc>
          <w:tcPr>
            <w:tcW w:w="1800" w:type="dxa"/>
            <w:vAlign w:val="center"/>
          </w:tcPr>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住     所</w:t>
            </w:r>
          </w:p>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（通讯地址）</w:t>
            </w:r>
          </w:p>
        </w:tc>
        <w:tc>
          <w:tcPr>
            <w:tcW w:w="6127" w:type="dxa"/>
            <w:gridSpan w:val="3"/>
            <w:vAlign w:val="center"/>
          </w:tcPr>
          <w:p>
            <w:pPr>
              <w:snapToGrid w:val="0"/>
              <w:spacing w:line="293" w:lineRule="auto"/>
              <w:ind w:right="-108" w:firstLine="240" w:firstLineChars="100"/>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exact"/>
        </w:trPr>
        <w:tc>
          <w:tcPr>
            <w:tcW w:w="720" w:type="dxa"/>
            <w:vMerge w:val="continue"/>
            <w:vAlign w:val="center"/>
          </w:tcPr>
          <w:p>
            <w:pPr>
              <w:snapToGrid w:val="0"/>
              <w:spacing w:line="293" w:lineRule="auto"/>
              <w:jc w:val="left"/>
              <w:rPr>
                <w:rFonts w:hint="eastAsia" w:ascii="宋体" w:hAnsi="宋体" w:eastAsia="宋体" w:cs="宋体"/>
                <w:color w:val="auto"/>
                <w:sz w:val="24"/>
                <w:highlight w:val="none"/>
              </w:rPr>
            </w:pPr>
          </w:p>
        </w:tc>
        <w:tc>
          <w:tcPr>
            <w:tcW w:w="1800" w:type="dxa"/>
            <w:vAlign w:val="center"/>
          </w:tcPr>
          <w:p>
            <w:pPr>
              <w:snapToGrid w:val="0"/>
              <w:spacing w:line="293"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电      话</w:t>
            </w:r>
          </w:p>
        </w:tc>
        <w:tc>
          <w:tcPr>
            <w:tcW w:w="2520" w:type="dxa"/>
            <w:vAlign w:val="center"/>
          </w:tcPr>
          <w:p>
            <w:pPr>
              <w:snapToGrid w:val="0"/>
              <w:spacing w:line="293" w:lineRule="auto"/>
              <w:ind w:right="-175" w:firstLine="240" w:firstLineChars="100"/>
              <w:rPr>
                <w:rFonts w:hint="eastAsia" w:ascii="宋体" w:hAnsi="宋体" w:eastAsia="宋体" w:cs="宋体"/>
                <w:color w:val="auto"/>
                <w:sz w:val="24"/>
                <w:highlight w:val="none"/>
              </w:rPr>
            </w:pPr>
          </w:p>
        </w:tc>
        <w:tc>
          <w:tcPr>
            <w:tcW w:w="1440" w:type="dxa"/>
            <w:vAlign w:val="center"/>
          </w:tcPr>
          <w:p>
            <w:pPr>
              <w:snapToGrid w:val="0"/>
              <w:spacing w:line="293"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E-mail</w:t>
            </w:r>
          </w:p>
        </w:tc>
        <w:tc>
          <w:tcPr>
            <w:tcW w:w="2167" w:type="dxa"/>
            <w:vAlign w:val="center"/>
          </w:tcPr>
          <w:p>
            <w:pPr>
              <w:snapToGrid w:val="0"/>
              <w:spacing w:line="293"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trPr>
        <w:tc>
          <w:tcPr>
            <w:tcW w:w="720" w:type="dxa"/>
            <w:vMerge w:val="continue"/>
            <w:vAlign w:val="center"/>
          </w:tcPr>
          <w:p>
            <w:pPr>
              <w:snapToGrid w:val="0"/>
              <w:spacing w:line="293" w:lineRule="auto"/>
              <w:jc w:val="left"/>
              <w:rPr>
                <w:rFonts w:hint="eastAsia" w:ascii="宋体" w:hAnsi="宋体" w:eastAsia="宋体" w:cs="宋体"/>
                <w:color w:val="auto"/>
                <w:sz w:val="24"/>
                <w:highlight w:val="none"/>
              </w:rPr>
            </w:pPr>
          </w:p>
        </w:tc>
        <w:tc>
          <w:tcPr>
            <w:tcW w:w="1800" w:type="dxa"/>
            <w:vAlign w:val="center"/>
          </w:tcPr>
          <w:p>
            <w:pPr>
              <w:snapToGrid w:val="0"/>
              <w:spacing w:line="293"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开 户 银 行</w:t>
            </w:r>
          </w:p>
        </w:tc>
        <w:tc>
          <w:tcPr>
            <w:tcW w:w="6127" w:type="dxa"/>
            <w:gridSpan w:val="3"/>
            <w:vAlign w:val="center"/>
          </w:tcPr>
          <w:p>
            <w:pPr>
              <w:snapToGrid w:val="0"/>
              <w:spacing w:line="293"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trPr>
        <w:tc>
          <w:tcPr>
            <w:tcW w:w="720" w:type="dxa"/>
            <w:vMerge w:val="continue"/>
            <w:vAlign w:val="center"/>
          </w:tcPr>
          <w:p>
            <w:pPr>
              <w:snapToGrid w:val="0"/>
              <w:spacing w:line="293" w:lineRule="auto"/>
              <w:jc w:val="left"/>
              <w:rPr>
                <w:rFonts w:hint="eastAsia" w:ascii="宋体" w:hAnsi="宋体" w:eastAsia="宋体" w:cs="宋体"/>
                <w:color w:val="auto"/>
                <w:sz w:val="24"/>
                <w:highlight w:val="none"/>
              </w:rPr>
            </w:pPr>
          </w:p>
        </w:tc>
        <w:tc>
          <w:tcPr>
            <w:tcW w:w="1800" w:type="dxa"/>
            <w:vAlign w:val="center"/>
          </w:tcPr>
          <w:p>
            <w:pPr>
              <w:snapToGrid w:val="0"/>
              <w:spacing w:line="293"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帐      号</w:t>
            </w:r>
          </w:p>
        </w:tc>
        <w:tc>
          <w:tcPr>
            <w:tcW w:w="2520" w:type="dxa"/>
            <w:vAlign w:val="center"/>
          </w:tcPr>
          <w:p>
            <w:pPr>
              <w:snapToGrid w:val="0"/>
              <w:spacing w:line="293"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440" w:type="dxa"/>
            <w:vAlign w:val="center"/>
          </w:tcPr>
          <w:p>
            <w:pPr>
              <w:snapToGrid w:val="0"/>
              <w:spacing w:line="293"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邮政编码</w:t>
            </w:r>
          </w:p>
        </w:tc>
        <w:tc>
          <w:tcPr>
            <w:tcW w:w="2167" w:type="dxa"/>
            <w:vAlign w:val="center"/>
          </w:tcPr>
          <w:p>
            <w:pPr>
              <w:snapToGrid w:val="0"/>
              <w:spacing w:line="293"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trPr>
        <w:tc>
          <w:tcPr>
            <w:tcW w:w="720" w:type="dxa"/>
            <w:vMerge w:val="restart"/>
            <w:textDirection w:val="tbRlV"/>
            <w:vAlign w:val="center"/>
          </w:tcPr>
          <w:p>
            <w:pPr>
              <w:snapToGrid w:val="0"/>
              <w:spacing w:line="293" w:lineRule="auto"/>
              <w:ind w:left="113" w:right="113"/>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承 包 人（ 乙 方 ）</w:t>
            </w:r>
          </w:p>
        </w:tc>
        <w:tc>
          <w:tcPr>
            <w:tcW w:w="1800" w:type="dxa"/>
            <w:vAlign w:val="center"/>
          </w:tcPr>
          <w:p>
            <w:pPr>
              <w:snapToGrid w:val="0"/>
              <w:spacing w:line="293"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名称（或姓名）</w:t>
            </w:r>
          </w:p>
        </w:tc>
        <w:tc>
          <w:tcPr>
            <w:tcW w:w="6127" w:type="dxa"/>
            <w:gridSpan w:val="3"/>
            <w:vAlign w:val="center"/>
          </w:tcPr>
          <w:p>
            <w:pPr>
              <w:snapToGrid w:val="0"/>
              <w:spacing w:line="293" w:lineRule="auto"/>
              <w:jc w:val="left"/>
              <w:rPr>
                <w:rFonts w:hint="eastAsia" w:ascii="宋体" w:hAnsi="宋体" w:eastAsia="宋体" w:cs="宋体"/>
                <w:color w:val="auto"/>
                <w:sz w:val="24"/>
                <w:highlight w:val="none"/>
              </w:rPr>
            </w:pPr>
            <w:r>
              <w:rPr>
                <w:rFonts w:hint="eastAsia" w:ascii="宋体" w:hAnsi="宋体" w:eastAsia="宋体" w:cs="宋体"/>
                <w:bCs/>
                <w:color w:val="auto"/>
                <w:sz w:val="24"/>
                <w:highlight w:val="none"/>
              </w:rPr>
              <w:t xml:space="preserve"> </w:t>
            </w:r>
            <w:r>
              <w:rPr>
                <w:rFonts w:hint="eastAsia" w:ascii="宋体" w:hAnsi="宋体" w:cs="宋体"/>
                <w:bCs/>
                <w:color w:val="auto"/>
                <w:sz w:val="24"/>
                <w:highlight w:val="none"/>
                <w:lang w:val="en-US" w:eastAsia="zh-CN"/>
              </w:rPr>
              <w:t xml:space="preserve">           </w:t>
            </w:r>
            <w:r>
              <w:rPr>
                <w:rFonts w:hint="eastAsia" w:ascii="宋体" w:hAnsi="宋体" w:eastAsia="宋体" w:cs="宋体"/>
                <w:color w:val="auto"/>
                <w:sz w:val="24"/>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trPr>
        <w:tc>
          <w:tcPr>
            <w:tcW w:w="720" w:type="dxa"/>
            <w:vMerge w:val="continue"/>
            <w:vAlign w:val="center"/>
          </w:tcPr>
          <w:p>
            <w:pPr>
              <w:snapToGrid w:val="0"/>
              <w:spacing w:line="293" w:lineRule="auto"/>
              <w:jc w:val="left"/>
              <w:rPr>
                <w:rFonts w:hint="eastAsia" w:ascii="宋体" w:hAnsi="宋体" w:eastAsia="宋体" w:cs="宋体"/>
                <w:color w:val="auto"/>
                <w:sz w:val="24"/>
                <w:highlight w:val="none"/>
              </w:rPr>
            </w:pPr>
          </w:p>
        </w:tc>
        <w:tc>
          <w:tcPr>
            <w:tcW w:w="1800" w:type="dxa"/>
            <w:vAlign w:val="center"/>
          </w:tcPr>
          <w:p>
            <w:pPr>
              <w:snapToGrid w:val="0"/>
              <w:spacing w:line="293"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w:t>
            </w:r>
          </w:p>
        </w:tc>
        <w:tc>
          <w:tcPr>
            <w:tcW w:w="2520" w:type="dxa"/>
            <w:vAlign w:val="center"/>
          </w:tcPr>
          <w:p>
            <w:pPr>
              <w:snapToGrid w:val="0"/>
              <w:spacing w:line="293" w:lineRule="auto"/>
              <w:ind w:right="-108"/>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p>
        </w:tc>
        <w:tc>
          <w:tcPr>
            <w:tcW w:w="1440" w:type="dxa"/>
            <w:vAlign w:val="center"/>
          </w:tcPr>
          <w:p>
            <w:pPr>
              <w:snapToGrid w:val="0"/>
              <w:spacing w:line="293"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委托代理人</w:t>
            </w:r>
          </w:p>
        </w:tc>
        <w:tc>
          <w:tcPr>
            <w:tcW w:w="2167" w:type="dxa"/>
            <w:vAlign w:val="center"/>
          </w:tcPr>
          <w:p>
            <w:pPr>
              <w:snapToGrid w:val="0"/>
              <w:spacing w:line="293" w:lineRule="auto"/>
              <w:ind w:right="-175"/>
              <w:jc w:val="center"/>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exact"/>
        </w:trPr>
        <w:tc>
          <w:tcPr>
            <w:tcW w:w="720" w:type="dxa"/>
            <w:vMerge w:val="continue"/>
            <w:vAlign w:val="center"/>
          </w:tcPr>
          <w:p>
            <w:pPr>
              <w:snapToGrid w:val="0"/>
              <w:spacing w:line="293" w:lineRule="auto"/>
              <w:jc w:val="left"/>
              <w:rPr>
                <w:rFonts w:hint="eastAsia" w:ascii="宋体" w:hAnsi="宋体" w:eastAsia="宋体" w:cs="宋体"/>
                <w:color w:val="auto"/>
                <w:sz w:val="24"/>
                <w:highlight w:val="none"/>
              </w:rPr>
            </w:pPr>
          </w:p>
        </w:tc>
        <w:tc>
          <w:tcPr>
            <w:tcW w:w="1800" w:type="dxa"/>
            <w:vAlign w:val="center"/>
          </w:tcPr>
          <w:p>
            <w:pPr>
              <w:snapToGrid w:val="0"/>
              <w:spacing w:line="293"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联  系  人</w:t>
            </w:r>
          </w:p>
        </w:tc>
        <w:tc>
          <w:tcPr>
            <w:tcW w:w="6127" w:type="dxa"/>
            <w:gridSpan w:val="3"/>
            <w:vAlign w:val="center"/>
          </w:tcPr>
          <w:p>
            <w:pPr>
              <w:snapToGrid w:val="0"/>
              <w:spacing w:line="293" w:lineRule="auto"/>
              <w:ind w:right="-108"/>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trPr>
        <w:tc>
          <w:tcPr>
            <w:tcW w:w="720" w:type="dxa"/>
            <w:vMerge w:val="continue"/>
            <w:vAlign w:val="center"/>
          </w:tcPr>
          <w:p>
            <w:pPr>
              <w:snapToGrid w:val="0"/>
              <w:spacing w:line="293" w:lineRule="auto"/>
              <w:jc w:val="left"/>
              <w:rPr>
                <w:rFonts w:hint="eastAsia" w:ascii="宋体" w:hAnsi="宋体" w:eastAsia="宋体" w:cs="宋体"/>
                <w:color w:val="auto"/>
                <w:sz w:val="24"/>
                <w:highlight w:val="none"/>
              </w:rPr>
            </w:pPr>
          </w:p>
        </w:tc>
        <w:tc>
          <w:tcPr>
            <w:tcW w:w="1800" w:type="dxa"/>
            <w:vAlign w:val="center"/>
          </w:tcPr>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住     所</w:t>
            </w:r>
          </w:p>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（通讯地址）</w:t>
            </w:r>
          </w:p>
        </w:tc>
        <w:tc>
          <w:tcPr>
            <w:tcW w:w="6127" w:type="dxa"/>
            <w:gridSpan w:val="3"/>
            <w:vAlign w:val="center"/>
          </w:tcPr>
          <w:p>
            <w:pPr>
              <w:snapToGrid w:val="0"/>
              <w:spacing w:line="293" w:lineRule="auto"/>
              <w:ind w:firstLine="240" w:firstLineChars="100"/>
              <w:rPr>
                <w:rFonts w:hint="default" w:ascii="宋体" w:hAnsi="宋体" w:eastAsia="宋体" w:cs="宋体"/>
                <w:bCs/>
                <w:color w:val="auto"/>
                <w:sz w:val="24"/>
                <w:highlight w:val="none"/>
                <w:lang w:val="en-US" w:eastAsia="zh-CN"/>
              </w:rPr>
            </w:pPr>
            <w:r>
              <w:rPr>
                <w:rFonts w:hint="eastAsia" w:ascii="宋体" w:hAnsi="宋体" w:cs="宋体"/>
                <w:bCs/>
                <w:color w:val="auto"/>
                <w:sz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trPr>
        <w:tc>
          <w:tcPr>
            <w:tcW w:w="720" w:type="dxa"/>
            <w:vMerge w:val="continue"/>
            <w:vAlign w:val="center"/>
          </w:tcPr>
          <w:p>
            <w:pPr>
              <w:snapToGrid w:val="0"/>
              <w:spacing w:line="293" w:lineRule="auto"/>
              <w:jc w:val="left"/>
              <w:rPr>
                <w:rFonts w:hint="eastAsia" w:ascii="宋体" w:hAnsi="宋体" w:eastAsia="宋体" w:cs="宋体"/>
                <w:color w:val="auto"/>
                <w:sz w:val="24"/>
                <w:highlight w:val="none"/>
              </w:rPr>
            </w:pPr>
          </w:p>
        </w:tc>
        <w:tc>
          <w:tcPr>
            <w:tcW w:w="1800" w:type="dxa"/>
            <w:vAlign w:val="center"/>
          </w:tcPr>
          <w:p>
            <w:pPr>
              <w:snapToGrid w:val="0"/>
              <w:spacing w:line="293"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电       话</w:t>
            </w:r>
          </w:p>
        </w:tc>
        <w:tc>
          <w:tcPr>
            <w:tcW w:w="2520" w:type="dxa"/>
            <w:vAlign w:val="center"/>
          </w:tcPr>
          <w:p>
            <w:pPr>
              <w:snapToGrid w:val="0"/>
              <w:spacing w:line="293" w:lineRule="auto"/>
              <w:jc w:val="left"/>
              <w:rPr>
                <w:rFonts w:hint="eastAsia" w:ascii="宋体" w:hAnsi="宋体" w:eastAsia="宋体" w:cs="宋体"/>
                <w:bCs/>
                <w:color w:val="auto"/>
                <w:sz w:val="24"/>
                <w:highlight w:val="none"/>
                <w:lang w:val="en-US" w:eastAsia="zh-CN"/>
              </w:rPr>
            </w:pPr>
            <w:r>
              <w:rPr>
                <w:rFonts w:hint="eastAsia" w:ascii="宋体" w:hAnsi="宋体" w:eastAsia="宋体" w:cs="宋体"/>
                <w:b/>
                <w:bCs/>
                <w:color w:val="auto"/>
                <w:sz w:val="24"/>
                <w:highlight w:val="none"/>
              </w:rPr>
              <w:t xml:space="preserve"> </w:t>
            </w:r>
            <w:r>
              <w:rPr>
                <w:rFonts w:hint="eastAsia" w:ascii="宋体" w:hAnsi="宋体" w:cs="宋体"/>
                <w:b/>
                <w:bCs/>
                <w:color w:val="auto"/>
                <w:sz w:val="24"/>
                <w:highlight w:val="none"/>
                <w:lang w:val="en-US" w:eastAsia="zh-CN"/>
              </w:rPr>
              <w:t xml:space="preserve"> </w:t>
            </w:r>
          </w:p>
        </w:tc>
        <w:tc>
          <w:tcPr>
            <w:tcW w:w="1440" w:type="dxa"/>
            <w:vAlign w:val="center"/>
          </w:tcPr>
          <w:p>
            <w:pPr>
              <w:snapToGrid w:val="0"/>
              <w:spacing w:line="293"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E-mail</w:t>
            </w:r>
          </w:p>
        </w:tc>
        <w:tc>
          <w:tcPr>
            <w:tcW w:w="2167" w:type="dxa"/>
            <w:vAlign w:val="center"/>
          </w:tcPr>
          <w:p>
            <w:pPr>
              <w:snapToGrid w:val="0"/>
              <w:spacing w:line="293" w:lineRule="auto"/>
              <w:ind w:right="-108"/>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720" w:type="dxa"/>
            <w:vMerge w:val="continue"/>
            <w:vAlign w:val="center"/>
          </w:tcPr>
          <w:p>
            <w:pPr>
              <w:snapToGrid w:val="0"/>
              <w:spacing w:line="293" w:lineRule="auto"/>
              <w:jc w:val="left"/>
              <w:rPr>
                <w:rFonts w:hint="eastAsia" w:ascii="宋体" w:hAnsi="宋体" w:eastAsia="宋体" w:cs="宋体"/>
                <w:color w:val="auto"/>
                <w:sz w:val="24"/>
                <w:highlight w:val="none"/>
              </w:rPr>
            </w:pPr>
          </w:p>
        </w:tc>
        <w:tc>
          <w:tcPr>
            <w:tcW w:w="1800" w:type="dxa"/>
            <w:vAlign w:val="center"/>
          </w:tcPr>
          <w:p>
            <w:pPr>
              <w:snapToGrid w:val="0"/>
              <w:spacing w:line="293"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开 户 银 行</w:t>
            </w:r>
          </w:p>
        </w:tc>
        <w:tc>
          <w:tcPr>
            <w:tcW w:w="6127" w:type="dxa"/>
            <w:gridSpan w:val="3"/>
            <w:vAlign w:val="center"/>
          </w:tcPr>
          <w:p>
            <w:pPr>
              <w:snapToGrid w:val="0"/>
              <w:spacing w:line="293" w:lineRule="auto"/>
              <w:ind w:firstLine="240" w:firstLineChars="100"/>
              <w:rPr>
                <w:rFonts w:hint="default" w:ascii="宋体" w:hAnsi="宋体" w:eastAsia="宋体" w:cs="宋体"/>
                <w:bCs/>
                <w:color w:val="auto"/>
                <w:sz w:val="24"/>
                <w:highlight w:val="none"/>
                <w:lang w:val="en-US" w:eastAsia="zh-CN"/>
              </w:rPr>
            </w:pPr>
            <w:r>
              <w:rPr>
                <w:rFonts w:hint="eastAsia" w:ascii="宋体" w:hAnsi="宋体" w:cs="宋体"/>
                <w:bCs/>
                <w:color w:val="auto"/>
                <w:sz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trPr>
        <w:tc>
          <w:tcPr>
            <w:tcW w:w="720" w:type="dxa"/>
            <w:vMerge w:val="continue"/>
            <w:vAlign w:val="center"/>
          </w:tcPr>
          <w:p>
            <w:pPr>
              <w:snapToGrid w:val="0"/>
              <w:spacing w:line="293" w:lineRule="auto"/>
              <w:jc w:val="left"/>
              <w:rPr>
                <w:rFonts w:hint="eastAsia" w:ascii="宋体" w:hAnsi="宋体" w:eastAsia="宋体" w:cs="宋体"/>
                <w:color w:val="auto"/>
                <w:sz w:val="24"/>
                <w:highlight w:val="none"/>
              </w:rPr>
            </w:pPr>
          </w:p>
        </w:tc>
        <w:tc>
          <w:tcPr>
            <w:tcW w:w="1800" w:type="dxa"/>
            <w:vAlign w:val="center"/>
          </w:tcPr>
          <w:p>
            <w:pPr>
              <w:snapToGrid w:val="0"/>
              <w:spacing w:line="293"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帐      号</w:t>
            </w:r>
          </w:p>
        </w:tc>
        <w:tc>
          <w:tcPr>
            <w:tcW w:w="2520" w:type="dxa"/>
            <w:vAlign w:val="center"/>
          </w:tcPr>
          <w:p>
            <w:pPr>
              <w:snapToGrid w:val="0"/>
              <w:spacing w:line="293" w:lineRule="auto"/>
              <w:jc w:val="center"/>
              <w:rPr>
                <w:rFonts w:hint="default" w:ascii="宋体" w:hAnsi="宋体" w:eastAsia="宋体" w:cs="宋体"/>
                <w:bCs/>
                <w:color w:val="auto"/>
                <w:szCs w:val="21"/>
                <w:highlight w:val="none"/>
                <w:lang w:val="en-US" w:eastAsia="zh-CN"/>
              </w:rPr>
            </w:pPr>
            <w:r>
              <w:rPr>
                <w:rFonts w:hint="eastAsia" w:ascii="宋体" w:hAnsi="宋体" w:cs="宋体"/>
                <w:bCs/>
                <w:color w:val="auto"/>
                <w:szCs w:val="21"/>
                <w:highlight w:val="none"/>
                <w:lang w:val="en-US" w:eastAsia="zh-CN"/>
              </w:rPr>
              <w:t xml:space="preserve"> </w:t>
            </w:r>
          </w:p>
        </w:tc>
        <w:tc>
          <w:tcPr>
            <w:tcW w:w="1440" w:type="dxa"/>
            <w:vAlign w:val="center"/>
          </w:tcPr>
          <w:p>
            <w:pPr>
              <w:snapToGrid w:val="0"/>
              <w:spacing w:line="293"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邮政编码</w:t>
            </w:r>
          </w:p>
        </w:tc>
        <w:tc>
          <w:tcPr>
            <w:tcW w:w="2167" w:type="dxa"/>
            <w:vAlign w:val="center"/>
          </w:tcPr>
          <w:p>
            <w:pPr>
              <w:snapToGrid w:val="0"/>
              <w:spacing w:line="293" w:lineRule="auto"/>
              <w:jc w:val="center"/>
              <w:rPr>
                <w:rFonts w:hint="default" w:ascii="宋体" w:hAnsi="宋体" w:eastAsia="宋体" w:cs="宋体"/>
                <w:bCs/>
                <w:color w:val="auto"/>
                <w:sz w:val="24"/>
                <w:highlight w:val="none"/>
                <w:lang w:val="en-US" w:eastAsia="zh-CN"/>
              </w:rPr>
            </w:pPr>
            <w:r>
              <w:rPr>
                <w:rFonts w:hint="eastAsia" w:ascii="宋体" w:hAnsi="宋体" w:cs="宋体"/>
                <w:bCs/>
                <w:color w:val="auto"/>
                <w:sz w:val="24"/>
                <w:highlight w:val="none"/>
                <w:lang w:val="en-US" w:eastAsia="zh-CN"/>
              </w:rPr>
              <w:t xml:space="preserve"> </w:t>
            </w:r>
          </w:p>
        </w:tc>
      </w:tr>
    </w:tbl>
    <w:p>
      <w:pPr>
        <w:spacing w:line="560" w:lineRule="exact"/>
        <w:jc w:val="both"/>
        <w:rPr>
          <w:rFonts w:hint="eastAsia" w:ascii="宋体" w:hAnsi="宋体" w:eastAsia="宋体" w:cs="宋体"/>
          <w:color w:val="auto"/>
          <w:sz w:val="44"/>
          <w:szCs w:val="44"/>
          <w:highlight w:val="none"/>
        </w:rPr>
      </w:pPr>
    </w:p>
    <w:p>
      <w:pPr>
        <w:spacing w:line="560" w:lineRule="exact"/>
        <w:jc w:val="center"/>
        <w:rPr>
          <w:rFonts w:hint="eastAsia" w:ascii="宋体" w:hAnsi="宋体" w:eastAsia="宋体" w:cs="宋体"/>
          <w:color w:val="auto"/>
          <w:sz w:val="44"/>
          <w:szCs w:val="44"/>
          <w:highlight w:val="none"/>
        </w:rPr>
      </w:pPr>
    </w:p>
    <w:p>
      <w:pPr>
        <w:spacing w:line="560" w:lineRule="exact"/>
        <w:jc w:val="center"/>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t>综合养护廉政责任书</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为加强养护管理工作中的廉政建设，规范养护管理项目甲乙双方的各项活动，防止发生各种谋取不正当利益的违法违纪行为，保护国家、集体和当事人的合法权益，根据国家有关养护管理的法律法规和廉政建设责任制规定，</w:t>
      </w:r>
      <w:r>
        <w:rPr>
          <w:rFonts w:hint="eastAsia" w:ascii="宋体" w:hAnsi="宋体" w:eastAsia="宋体" w:cs="宋体"/>
          <w:color w:val="auto"/>
          <w:sz w:val="24"/>
          <w:highlight w:val="none"/>
          <w:u w:val="single"/>
        </w:rPr>
        <w:t xml:space="preserve"> 五常街道城市管理综合养护二标段采购项目</w:t>
      </w:r>
      <w:r>
        <w:rPr>
          <w:rFonts w:hint="eastAsia" w:ascii="宋体" w:hAnsi="宋体" w:eastAsia="宋体" w:cs="宋体"/>
          <w:color w:val="auto"/>
          <w:sz w:val="24"/>
          <w:highlight w:val="none"/>
        </w:rPr>
        <w:t>的业主单位</w:t>
      </w:r>
      <w:r>
        <w:rPr>
          <w:rFonts w:hint="eastAsia" w:ascii="宋体" w:hAnsi="宋体" w:eastAsia="宋体" w:cs="宋体"/>
          <w:color w:val="auto"/>
          <w:sz w:val="24"/>
          <w:highlight w:val="none"/>
          <w:u w:val="single"/>
        </w:rPr>
        <w:t xml:space="preserve"> 杭州市余杭区人民政府五常街道办事处</w:t>
      </w:r>
      <w:r>
        <w:rPr>
          <w:rFonts w:hint="eastAsia" w:ascii="宋体" w:hAnsi="宋体" w:eastAsia="宋体" w:cs="宋体"/>
          <w:color w:val="auto"/>
          <w:sz w:val="24"/>
          <w:highlight w:val="none"/>
        </w:rPr>
        <w:t>（以下简称甲方）与养护单位</w:t>
      </w:r>
      <w:r>
        <w:rPr>
          <w:rFonts w:hint="eastAsia" w:ascii="宋体" w:hAnsi="宋体" w:cs="宋体"/>
          <w:color w:val="auto"/>
          <w:sz w:val="24"/>
          <w:highlight w:val="none"/>
          <w:u w:val="single"/>
          <w:lang w:val="en-US" w:eastAsia="zh-CN"/>
        </w:rPr>
        <w:t xml:space="preserve"> </w:t>
      </w:r>
      <w:r>
        <w:rPr>
          <w:rFonts w:hint="eastAsia" w:ascii="宋体" w:hAnsi="宋体" w:cs="宋体"/>
          <w:bCs/>
          <w:color w:val="auto"/>
          <w:sz w:val="24"/>
          <w:highlight w:val="none"/>
          <w:u w:val="single"/>
          <w:lang w:val="en-US" w:eastAsia="zh-CN"/>
        </w:rPr>
        <w:t xml:space="preserve"> </w:t>
      </w:r>
      <w:r>
        <w:rPr>
          <w:rFonts w:hint="eastAsia" w:ascii="宋体" w:hAnsi="宋体" w:eastAsia="宋体" w:cs="宋体"/>
          <w:color w:val="auto"/>
          <w:sz w:val="24"/>
          <w:highlight w:val="none"/>
        </w:rPr>
        <w:t>（以下简称乙方），特订立本廉政责任书。</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第一条   甲乙双方的权利和义务</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（一）严格遵守党和国家有关法律法规关于廉政方面的相关规定。</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（二）严格执行养护项目的合同文件,自觉按合同办事。</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（三）双方的业务活动坚持公开、公正、诚信、透明的原则(除法律认定的商业秘密和合同文件另有规定除外),不得损害国家和集体利益,违反养护管理规章制度。</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（四）建立健全廉政制度,开展廉政教育,设立廉政告示牌,公布举报电话,监督并认真查处违法违纪行为。</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（五）发现对方在业务活动中有违反廉政规定的行为有及时提醒对方纠正的权利和义务。</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（六）发现对方严重违反本合同义务条款的行为,有向其上级有关部门举报、建议给予处理并要求告知处理结果的权利。</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第二条  甲方的义务</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（一）甲方及其工作人员不得索要或收受乙方的礼金有价证券和贵重物品,不得在乙方报销应由甲方单位或个人支付的任何费用。</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（二）甲方工作人员不得参加乙方安排的高消费宴请和娱乐活动;不得接受乙方提供的通讯工具、交通工具和高档办公用品。</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（三）甲方工作人员不得要求或者接受乙方为其住房装修、婚丧嫁娶、配偶子女的工作安排以及出国(境)、旅游等提供方便。</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（四）甲方工作人员的配偶、子女不得从事与乙方工作有关的材料设备供应、工程分包、劳务等经济活动。</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（五）甲方及其工作人员不得以任何理由向乙方推荐分包单位,不得要求乙方购买合同规定外的材料和设备。</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第三条  乙方的义务</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（一）乙方不得以任何理由向甲方及其工作人员馈赠礼金、有价证券、贵重礼品。</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（二）乙方不得以任何名义为甲方及其工作人员报销应由甲方单位或个人支付的任何费用。</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（三）乙方不得为甲方单位和个人购置或提供通讯工具、交通工具和高档办公用品等。</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第四条  违约责任</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（一）甲方及其工作人员违反本合同第一、二条,按管理权限,依据有关规定给予党纪、政纪或组织处理；涉嫌犯罪的,移交司法机关追究刑事责任；给乙方单位造成经济损失的,应予以赔偿。</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乙方及其工作人员违反本合同第一、三条,按管理权限,依据有关规定,给予党纪、政纪或组织处理；给甲方单位造成经济损失的,应予以赔偿；情节严重的,甲方建议区养护管理部门给予乙方一至三年内不得进入其主管的市政设施养护市场的处罚。</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第五条  本责任书作为养护管理合同的附件，与养护管理合同具有同等法律效力。经双方签署后立即生效。</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第六条  本合同有效期为甲乙双方签署之日起至该养护项目合同到期后止。</w:t>
      </w:r>
    </w:p>
    <w:p>
      <w:pPr>
        <w:widowControl w:val="0"/>
        <w:wordWrap/>
        <w:adjustRightInd w:val="0"/>
        <w:snapToGrid/>
        <w:spacing w:line="720" w:lineRule="auto"/>
        <w:ind w:firstLine="0" w:firstLineChars="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甲方(盖章)：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乙方(盖章)：</w:t>
      </w:r>
    </w:p>
    <w:p>
      <w:pPr>
        <w:widowControl w:val="0"/>
        <w:wordWrap/>
        <w:adjustRightInd w:val="0"/>
        <w:snapToGrid/>
        <w:spacing w:line="720" w:lineRule="auto"/>
        <w:ind w:firstLine="0" w:firstLineChars="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法定代表人：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 xml:space="preserve">  法定代表人：</w:t>
      </w:r>
    </w:p>
    <w:p>
      <w:pPr>
        <w:widowControl w:val="0"/>
        <w:wordWrap/>
        <w:adjustRightInd w:val="0"/>
        <w:snapToGrid/>
        <w:spacing w:line="720" w:lineRule="auto"/>
        <w:ind w:firstLine="0" w:firstLineChars="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委托代理人：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委托代理人：</w:t>
      </w:r>
    </w:p>
    <w:p>
      <w:pPr>
        <w:widowControl w:val="0"/>
        <w:wordWrap/>
        <w:adjustRightInd w:val="0"/>
        <w:snapToGrid/>
        <w:spacing w:line="720" w:lineRule="auto"/>
        <w:ind w:firstLine="0" w:firstLineChars="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地      址：</w:t>
      </w:r>
    </w:p>
    <w:p>
      <w:pPr>
        <w:widowControl w:val="0"/>
        <w:wordWrap/>
        <w:adjustRightInd w:val="0"/>
        <w:snapToGrid/>
        <w:spacing w:line="720" w:lineRule="auto"/>
        <w:ind w:firstLine="0" w:firstLineChars="0"/>
        <w:jc w:val="both"/>
        <w:textAlignment w:val="auto"/>
        <w:rPr>
          <w:rFonts w:hint="eastAsia" w:ascii="宋体" w:hAnsi="宋体" w:eastAsia="宋体" w:cs="宋体"/>
          <w:b/>
          <w:color w:val="auto"/>
          <w:sz w:val="36"/>
          <w:szCs w:val="20"/>
          <w:highlight w:val="none"/>
        </w:rPr>
      </w:pPr>
      <w:r>
        <w:rPr>
          <w:rFonts w:hint="eastAsia" w:ascii="宋体" w:hAnsi="宋体" w:eastAsia="宋体" w:cs="宋体"/>
          <w:color w:val="auto"/>
          <w:spacing w:val="40"/>
          <w:sz w:val="24"/>
          <w:highlight w:val="none"/>
        </w:rPr>
        <w:t>签订时间：</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pacing w:val="40"/>
          <w:sz w:val="24"/>
          <w:highlight w:val="none"/>
        </w:rPr>
        <w:t>签订时间：</w:t>
      </w:r>
    </w:p>
    <w:p>
      <w:pPr>
        <w:spacing w:line="600" w:lineRule="auto"/>
        <w:ind w:firstLine="360" w:firstLineChars="1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r>
        <w:rPr>
          <w:rFonts w:hint="eastAsia" w:ascii="宋体" w:hAnsi="宋体" w:eastAsia="宋体" w:cs="宋体"/>
          <w:b/>
          <w:bCs/>
          <w:color w:val="auto"/>
          <w:sz w:val="36"/>
          <w:szCs w:val="36"/>
          <w:highlight w:val="none"/>
        </w:rPr>
        <w:t>综合养护安全协议书</w:t>
      </w:r>
    </w:p>
    <w:p>
      <w:pPr>
        <w:spacing w:line="54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为贯彻“安全第一，预防为主”方针，明确双方的安全责任，确保养护管理工作中人身和设备安全，根据国家有关法律法规，经双方协商，就</w:t>
      </w:r>
      <w:r>
        <w:rPr>
          <w:rFonts w:hint="eastAsia" w:ascii="宋体" w:hAnsi="宋体" w:eastAsia="宋体" w:cs="宋体"/>
          <w:color w:val="auto"/>
          <w:sz w:val="24"/>
          <w:highlight w:val="none"/>
          <w:u w:val="single"/>
        </w:rPr>
        <w:t xml:space="preserve">              五常街道城市管理综合养护二标段采购项目</w:t>
      </w:r>
      <w:r>
        <w:rPr>
          <w:rFonts w:hint="eastAsia" w:ascii="宋体" w:hAnsi="宋体" w:eastAsia="宋体" w:cs="宋体"/>
          <w:color w:val="auto"/>
          <w:sz w:val="24"/>
          <w:highlight w:val="none"/>
        </w:rPr>
        <w:t>的业主单位</w:t>
      </w:r>
      <w:r>
        <w:rPr>
          <w:rFonts w:hint="eastAsia" w:ascii="宋体" w:hAnsi="宋体" w:eastAsia="宋体" w:cs="宋体"/>
          <w:color w:val="auto"/>
          <w:sz w:val="24"/>
          <w:highlight w:val="none"/>
          <w:u w:val="single"/>
        </w:rPr>
        <w:t xml:space="preserve"> 杭州市余杭区人民政府五常街道办事处 </w:t>
      </w:r>
      <w:r>
        <w:rPr>
          <w:rFonts w:hint="eastAsia" w:ascii="宋体" w:hAnsi="宋体" w:eastAsia="宋体" w:cs="宋体"/>
          <w:color w:val="auto"/>
          <w:sz w:val="24"/>
          <w:highlight w:val="none"/>
        </w:rPr>
        <w:t>（以下简称甲方）与养护单位</w:t>
      </w:r>
      <w:r>
        <w:rPr>
          <w:rFonts w:hint="eastAsia" w:ascii="宋体" w:hAnsi="宋体" w:eastAsia="宋体" w:cs="宋体"/>
          <w:color w:val="auto"/>
          <w:sz w:val="24"/>
          <w:highlight w:val="none"/>
          <w:u w:val="single"/>
        </w:rPr>
        <w:t xml:space="preserve"> </w:t>
      </w:r>
      <w:r>
        <w:rPr>
          <w:rFonts w:hint="eastAsia" w:ascii="宋体" w:hAnsi="宋体" w:cs="宋体"/>
          <w:bCs/>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（以下简称乙方），特签订本协议书。</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第一条  甲方安全责任</w:t>
      </w:r>
    </w:p>
    <w:p>
      <w:pPr>
        <w:spacing w:line="5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（一）甲方应要求乙方制定养护管理安全工作方案，报甲方备案。</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二）甲方有协助乙方搞好安全生产、防火管理以及督促检查的义务。甲方有权检查督促乙方执行有关安全生产方面的工作规定，对乙方不符合安全、文明作业的行为进行制止、纠正并发出安全整改通知书，直至清退出场。</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（三）甲方有权对乙方参与养护作业的人员进行安全技术知识和安全工作规程的抽考。</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四）乙方在养护作业中发生的安全事故，甲方有责任负责调查、统计上报。乙方在养护作业中如发生国务院《特别重大事故调查程序暂行规定》所规定的特大事故，甲方有权督促乙方立即通知当地政府和公安部门，要求派人保护现场，并有权要求乙方提供事故调查书面结论及处理意见。</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（五）甲方不得要求乙方违反安全管理规定进行作业。因甲方原因导致的事故由甲方承担责任。</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（六）发生以下情况停工整顿，因停工造成的违约责任由乙方承担：</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1、人身伤亡事故；</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2、施工机械、生产主设备严重损坏事故；</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3、场内火灾事故；</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4、违章作业、冒险作业不听劝阻的；</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第二条  乙方安全责任</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乙方作为养护项目的承包单位，对养护作业过程中发生的人身伤害、设备损坏事故承担安全责任。乙方应切实履行以下安全责任：</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（一）乙方所提供的承包养护项目要求的相关资质证明材料应真实、合法、有效。</w:t>
      </w:r>
    </w:p>
    <w:p>
      <w:pPr>
        <w:spacing w:line="5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（二）乙方必须贯彻执行国家有关安全生产的法律法规，必须制定相应的安全管理制度，并严格执行。　　</w:t>
      </w:r>
    </w:p>
    <w:p>
      <w:pPr>
        <w:spacing w:line="5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（三）日常养护作业应遵守国家和地方关于劳动安全，劳务用工法律法规及规章制度，保证用工的合法性。乙方必须按国家有关规定，为作业人员进行人身保险，配备合格的劳动防护用品、安全用具。</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（四）乙方应设有专职安全人员。</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（五）乙方进行养护作业前，需对全体作业人员进行全面的安全技术交底，并在整个作业过程正确、完整地执行，未交底的严禁作业。</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（六）乙方用于本项目的作业机械、工器具及安全防护用具的数量和质量必须满足作业需要，符合安全规定，乙方对因使用工器具不当所造成的人员伤害及设备损坏负责。</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（七）乙方必须接受甲方的监督、检查，对甲方提出的安全整改意见必须及时整改。</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（八）乙方养护作业过程中发生人生伤亡、设备事故或危及生产运行的不安全情况，应立即报告甲方，并积极配合调查。</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九）乙方应执行国务院《特别重大事故调查程序暂行规定》、《企业职工伤亡事故报告和处理规定》。对人员在作业中发生的人身伤亡事故，还必须立即向事故所在地的政府安全管理部门、公安部门、工会报告，按规定组织调查处理，并由乙方统计上报；如发生国务院《特别重大事故调查程序暂时规定》所规定的特大事故，还应立即通知当地政府、公安部门，并要求派人保护现场。</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（十）乙方应将事故调查组的事故调查报告及事故处理意见提交甲方备案。</w:t>
      </w:r>
    </w:p>
    <w:p>
      <w:pPr>
        <w:spacing w:line="5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第三条  甲乙双方联系方式及响应时间：甲乙双方应以工作联系单、传真、电传等书面形式送达对方。双方在接到对方的书面联系时，应于12小时内予以响应。</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第四条  违约责任</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（一）由于甲方或乙方责任造成对方或第三方的人身伤害和设备损坏等财产损失的，由责任方承担相应责任，并赔偿对方或第三方因此造成的全部损失。</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（二）合同履行中，发现乙方提供的有关资质材料无效，甲方有权解除合同，并由乙方承担由此造成的一切损失。</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（三）发现乙方现场作业人员有违章行为的，比照甲方有关安全生产奖惩规定对甲方职工相类似的违章行为应扣款数额，承担相应的违约金。</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四）乙方未设置安全人员，未能正确、全面执行安全措施，养护作业人员未掌握养护作业的相关安全措施，或用于本项目的作业机械、工器具及安全防护用品不满足作业需要的，甲方有权要求乙方立即停工整改，由此引起的后果及损失由乙方承担。</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（五）乙方对甲方提出的安全整改意见不及时整改的，每逾期一天，乙方按</w:t>
      </w:r>
      <w:r>
        <w:rPr>
          <w:rFonts w:hint="eastAsia" w:ascii="宋体" w:hAnsi="宋体" w:eastAsia="宋体" w:cs="宋体"/>
          <w:color w:val="auto"/>
          <w:sz w:val="24"/>
          <w:highlight w:val="none"/>
          <w:u w:val="single"/>
        </w:rPr>
        <w:t>200</w:t>
      </w:r>
      <w:r>
        <w:rPr>
          <w:rFonts w:hint="eastAsia" w:ascii="宋体" w:hAnsi="宋体" w:eastAsia="宋体" w:cs="宋体"/>
          <w:color w:val="auto"/>
          <w:sz w:val="24"/>
          <w:highlight w:val="none"/>
        </w:rPr>
        <w:t>元/天承担违约责任。</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第五条  本协议执行过程中，如发生争议，由双方协商、调解解决；若经协商、调解不能解决争议的，任何一方可以向当地人民法院提起诉讼。</w:t>
      </w:r>
    </w:p>
    <w:p>
      <w:pPr>
        <w:spacing w:line="5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第六条  本协议作为道路综合养护项目合同的附件，与道路综合养护项目合同具有同等法律效力。</w:t>
      </w:r>
    </w:p>
    <w:p>
      <w:pPr>
        <w:spacing w:line="5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第七条  本协议有效期限：自该养护项目合同规定的开始之日起至养护项目合同规定的结束之日止。</w:t>
      </w:r>
    </w:p>
    <w:p>
      <w:pPr>
        <w:spacing w:line="5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第八条  本协议经双方法定代表人签字盖章后生效。</w:t>
      </w:r>
    </w:p>
    <w:p>
      <w:pPr>
        <w:spacing w:line="360" w:lineRule="exact"/>
        <w:ind w:firstLine="480" w:firstLineChars="200"/>
        <w:rPr>
          <w:rFonts w:hint="eastAsia" w:ascii="宋体" w:hAnsi="宋体" w:eastAsia="宋体" w:cs="宋体"/>
          <w:color w:val="auto"/>
          <w:sz w:val="24"/>
          <w:highlight w:val="none"/>
        </w:rPr>
      </w:pPr>
    </w:p>
    <w:p>
      <w:pPr>
        <w:spacing w:line="360" w:lineRule="exact"/>
        <w:ind w:firstLine="480" w:firstLineChars="200"/>
        <w:rPr>
          <w:rFonts w:hint="eastAsia" w:ascii="宋体" w:hAnsi="宋体" w:eastAsia="宋体" w:cs="宋体"/>
          <w:color w:val="auto"/>
          <w:sz w:val="24"/>
          <w:highlight w:val="none"/>
        </w:rPr>
      </w:pPr>
    </w:p>
    <w:p>
      <w:pPr>
        <w:rPr>
          <w:rFonts w:hint="eastAsia"/>
          <w:color w:val="auto"/>
          <w:highlight w:val="none"/>
        </w:rPr>
      </w:pPr>
    </w:p>
    <w:p>
      <w:pPr>
        <w:rPr>
          <w:rFonts w:hint="eastAsia"/>
          <w:color w:val="auto"/>
          <w:highlight w:val="none"/>
        </w:rPr>
      </w:pPr>
    </w:p>
    <w:p>
      <w:pPr>
        <w:widowControl w:val="0"/>
        <w:wordWrap/>
        <w:adjustRightInd w:val="0"/>
        <w:snapToGrid/>
        <w:spacing w:line="720" w:lineRule="auto"/>
        <w:ind w:firstLine="0" w:firstLineChars="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甲方(盖章)：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乙方(盖章)：</w:t>
      </w:r>
    </w:p>
    <w:p>
      <w:pPr>
        <w:widowControl w:val="0"/>
        <w:wordWrap/>
        <w:adjustRightInd w:val="0"/>
        <w:snapToGrid/>
        <w:spacing w:line="720" w:lineRule="auto"/>
        <w:ind w:firstLine="0" w:firstLineChars="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法定代表人：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 xml:space="preserve">  法定代表人：</w:t>
      </w:r>
    </w:p>
    <w:p>
      <w:pPr>
        <w:widowControl w:val="0"/>
        <w:wordWrap/>
        <w:adjustRightInd w:val="0"/>
        <w:snapToGrid/>
        <w:spacing w:line="720" w:lineRule="auto"/>
        <w:ind w:firstLine="0" w:firstLineChars="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委托代理人：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委托代理人：</w:t>
      </w:r>
    </w:p>
    <w:p>
      <w:pPr>
        <w:widowControl w:val="0"/>
        <w:wordWrap/>
        <w:adjustRightInd w:val="0"/>
        <w:snapToGrid/>
        <w:spacing w:line="720" w:lineRule="auto"/>
        <w:ind w:firstLine="0" w:firstLineChars="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地      址：</w:t>
      </w:r>
    </w:p>
    <w:p>
      <w:pPr>
        <w:widowControl w:val="0"/>
        <w:wordWrap/>
        <w:adjustRightInd w:val="0"/>
        <w:snapToGrid/>
        <w:spacing w:line="720" w:lineRule="auto"/>
        <w:ind w:firstLine="0" w:firstLineChars="0"/>
        <w:jc w:val="both"/>
        <w:textAlignment w:val="auto"/>
        <w:rPr>
          <w:rFonts w:hint="eastAsia" w:ascii="宋体" w:hAnsi="宋体" w:eastAsia="宋体" w:cs="宋体"/>
          <w:color w:val="auto"/>
          <w:spacing w:val="40"/>
          <w:sz w:val="24"/>
          <w:highlight w:val="none"/>
        </w:rPr>
      </w:pPr>
      <w:r>
        <w:rPr>
          <w:rFonts w:hint="eastAsia" w:ascii="宋体" w:hAnsi="宋体" w:eastAsia="宋体" w:cs="宋体"/>
          <w:color w:val="auto"/>
          <w:spacing w:val="40"/>
          <w:sz w:val="24"/>
          <w:highlight w:val="none"/>
        </w:rPr>
        <w:t>签订时间：</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pacing w:val="40"/>
          <w:sz w:val="24"/>
          <w:highlight w:val="none"/>
        </w:rPr>
        <w:t>签订时间：</w:t>
      </w:r>
    </w:p>
    <w:p>
      <w:pPr>
        <w:pStyle w:val="4"/>
        <w:rPr>
          <w:rFonts w:hint="eastAsia" w:ascii="宋体" w:hAnsi="宋体" w:eastAsia="宋体" w:cs="宋体"/>
          <w:color w:val="auto"/>
          <w:spacing w:val="40"/>
          <w:sz w:val="24"/>
          <w:highlight w:val="none"/>
        </w:rPr>
      </w:pPr>
    </w:p>
    <w:p>
      <w:pPr>
        <w:rPr>
          <w:rFonts w:hint="eastAsia" w:ascii="宋体" w:hAnsi="宋体" w:eastAsia="宋体" w:cs="宋体"/>
          <w:color w:val="auto"/>
          <w:spacing w:val="40"/>
          <w:sz w:val="24"/>
          <w:highlight w:val="none"/>
        </w:rPr>
      </w:pPr>
    </w:p>
    <w:p>
      <w:pPr>
        <w:pStyle w:val="4"/>
        <w:rPr>
          <w:rFonts w:hint="eastAsia" w:ascii="宋体" w:hAnsi="宋体" w:eastAsia="宋体" w:cs="宋体"/>
          <w:color w:val="auto"/>
          <w:spacing w:val="40"/>
          <w:sz w:val="24"/>
          <w:highlight w:val="none"/>
        </w:rPr>
      </w:pPr>
    </w:p>
    <w:p>
      <w:pPr>
        <w:rPr>
          <w:rFonts w:hint="eastAsia" w:ascii="宋体" w:hAnsi="宋体" w:eastAsia="宋体" w:cs="宋体"/>
          <w:color w:val="auto"/>
          <w:spacing w:val="40"/>
          <w:sz w:val="24"/>
          <w:highlight w:val="none"/>
        </w:rPr>
      </w:pPr>
    </w:p>
    <w:p>
      <w:pPr>
        <w:pStyle w:val="2"/>
        <w:rPr>
          <w:rFonts w:hint="eastAsia" w:ascii="宋体" w:hAnsi="宋体" w:eastAsia="宋体" w:cs="宋体"/>
          <w:color w:val="auto"/>
          <w:spacing w:val="40"/>
          <w:sz w:val="24"/>
          <w:highlight w:val="none"/>
        </w:rPr>
      </w:pPr>
    </w:p>
    <w:p>
      <w:pPr>
        <w:rPr>
          <w:rFonts w:hint="eastAsia" w:ascii="宋体" w:hAnsi="宋体" w:eastAsia="宋体" w:cs="宋体"/>
          <w:color w:val="auto"/>
          <w:spacing w:val="40"/>
          <w:sz w:val="24"/>
          <w:highlight w:val="none"/>
        </w:rPr>
      </w:pPr>
    </w:p>
    <w:p>
      <w:pPr>
        <w:pStyle w:val="2"/>
        <w:rPr>
          <w:rFonts w:hint="eastAsia" w:ascii="宋体" w:hAnsi="宋体" w:eastAsia="宋体" w:cs="宋体"/>
          <w:color w:val="auto"/>
          <w:spacing w:val="40"/>
          <w:sz w:val="24"/>
          <w:highlight w:val="none"/>
        </w:rPr>
      </w:pPr>
    </w:p>
    <w:p>
      <w:pPr>
        <w:rPr>
          <w:rFonts w:hint="eastAsia" w:ascii="宋体" w:hAnsi="宋体" w:eastAsia="宋体" w:cs="宋体"/>
          <w:color w:val="auto"/>
          <w:spacing w:val="40"/>
          <w:sz w:val="24"/>
          <w:highlight w:val="none"/>
        </w:rPr>
      </w:pPr>
    </w:p>
    <w:p>
      <w:pPr>
        <w:pStyle w:val="2"/>
        <w:rPr>
          <w:rFonts w:hint="eastAsia" w:ascii="宋体" w:hAnsi="宋体" w:eastAsia="宋体" w:cs="宋体"/>
          <w:color w:val="auto"/>
          <w:spacing w:val="40"/>
          <w:sz w:val="24"/>
          <w:highlight w:val="none"/>
        </w:rPr>
      </w:pPr>
    </w:p>
    <w:p>
      <w:pPr>
        <w:rPr>
          <w:rFonts w:hint="eastAsia" w:ascii="宋体" w:hAnsi="宋体" w:eastAsia="宋体" w:cs="宋体"/>
          <w:color w:val="auto"/>
          <w:spacing w:val="40"/>
          <w:sz w:val="24"/>
          <w:highlight w:val="none"/>
        </w:rPr>
      </w:pPr>
    </w:p>
    <w:p>
      <w:pPr>
        <w:pStyle w:val="2"/>
        <w:rPr>
          <w:rFonts w:hint="eastAsia"/>
          <w:color w:val="auto"/>
          <w:highlight w:val="none"/>
        </w:rPr>
      </w:pPr>
    </w:p>
    <w:p>
      <w:pPr>
        <w:rPr>
          <w:rFonts w:hint="eastAsia" w:ascii="宋体" w:hAnsi="宋体" w:eastAsia="宋体" w:cs="宋体"/>
          <w:color w:val="auto"/>
          <w:spacing w:val="40"/>
          <w:sz w:val="24"/>
          <w:highlight w:val="none"/>
        </w:rPr>
      </w:pPr>
    </w:p>
    <w:p>
      <w:pPr>
        <w:pStyle w:val="4"/>
        <w:jc w:val="center"/>
        <w:rPr>
          <w:rFonts w:hint="eastAsia" w:ascii="宋体" w:hAnsi="宋体" w:eastAsia="宋体" w:cs="宋体"/>
          <w:b/>
          <w:bCs/>
          <w:color w:val="auto"/>
          <w:kern w:val="2"/>
          <w:sz w:val="36"/>
          <w:szCs w:val="36"/>
          <w:highlight w:val="none"/>
          <w:lang w:val="en-US" w:eastAsia="zh-CN" w:bidi="ar-SA"/>
        </w:rPr>
      </w:pPr>
      <w:r>
        <w:rPr>
          <w:rFonts w:hint="eastAsia" w:ascii="宋体" w:hAnsi="宋体" w:eastAsia="宋体" w:cs="宋体"/>
          <w:b/>
          <w:bCs/>
          <w:color w:val="auto"/>
          <w:kern w:val="2"/>
          <w:sz w:val="36"/>
          <w:szCs w:val="36"/>
          <w:highlight w:val="none"/>
          <w:lang w:val="en-US" w:eastAsia="zh-CN" w:bidi="ar-SA"/>
        </w:rPr>
        <w:t>综合养护标准及作业标准</w:t>
      </w:r>
    </w:p>
    <w:p>
      <w:pPr>
        <w:pStyle w:val="36"/>
        <w:snapToGrid w:val="0"/>
        <w:spacing w:line="600" w:lineRule="exac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养护标准：</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综合养护标准按关于印发《关于提升余杭区市政、景观灯、环卫保洁管养定额标准及养护标准的通知》文件规定执行。本标段按二级养护标准实施。</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一、关于市政、景观灯、环卫保洁养护标准：</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（一）市政方面</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级市政设施养护标准：①人行道表面平整，砌块无松动，裂缝长度小于1m或宽度小于6mm，下沉或拱起变形小于25mm或面积小于1.5㎡；无堆积物、障碍物，平侧石整齐稳固，线型顺直；道板铺装材料统一，砌块及平侧石松动破碎面积小于0.3㎡。②沥青及混凝土路面线裂缝宽度小于6mm；网裂、碎裂面积小于0.5㎡；泛油、车辙、沉陷、坑槽、搓板、拥包、剥落、脱皮、烂边、啃边面积小于0.5㎡；雨水检查井、雨水篦子以及其他井盖与道路标高保持一致，误差不大于20mm；窨井盖无缺失、破损、断裂、反盖、错盖等现象；雨天路面临时积水面积每处不超过4m2（积水深度3cm以上）。③路灯及附属设施完好率达98％，外观整洁、安全、完好；按时亮灯熄灯，亮灯率达98％，重大节假日及大型活动期间亮灯率达100%。④排水设施完好，无阻水物，泄水孔、排水管道通畅，积泥深度不超过1/5管径。⑤桥面平整完好，无裂缝、坑槽、破损；梁板外形整洁，无麻面、变形、开裂、锈蚀、通缝；伸缩缝外形整齐平整牢固无破损、阻塞；支座安全有效整洁，无破损、锈蚀、污秽；墩台墙柱外形齐整，无剥落锈蚀、破损、开裂变形，设置墩台沉降观测点；基础牢固完整，无冲毁冻胀、下沉、位移开裂；栏杆结构牢固无破损；泄水孔、排水管道、落水管无堵塞损坏、残缺脱落；挡墙等基础牢固，无破损、开裂变形；桥名、限重等标志齐全清晰，无缺少、破损。</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（二）景观灯方面</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景观灯设施管养标准：城市景观照明亮灯率应达96%以上；景观照明设施完好率应达95%以上。城市景观照明及其附属设施外观整洁、安全、完好；按时亮灯熄灯，在盛夏高温季节按照有序用电要求实施亮灯；配电箱等附属设施完好，无破损、油漆剥落和锈斑；景观灯设施无缺损现象；照明质量好，照明亮度在标准范围内；无缺亮、断亮现象；控制箱完好无损；内部线路连接整齐、牢固、规范，重大节庆活动、重大会展活动、重大体育赛事、重要接待活动或其他临时应急活动期间的亮灯保障安全有序，亮灯率达96%；景观灯养护严格参照国家规范执行，文明安全施工，无安全责任事故。</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（三）环卫保洁方面</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类道路保洁标准：①路面无垃圾、污渍、积泥较少，人行道无杂草，晴天无积水，道路两侧3米内无垃圾。②人行道板及各类井盖等处缝隙、沟眼无垃圾，无积泥嵌石。③道路绿地、花坛、树圈无杂物、无垃圾。④环卫设施（果壳箱、垃圾桶、垃圾房）设置整齐规范、无破损、歪斜、油漆剥落（或严重褪色）、垃圾满溢，表面清洁无污垢，周围地面无暴露垃圾、污水现象。⑤在规定时间内（夏季6:30前，其它季节上午7点前）完成第一遍普扫，然后进行全天巡回保洁以及中午、晚上的两次普扫。每日16小时保洁，人均保洁面积5500㎡，每日洒水4次(夏季6次)、机械化清扫3次（夏季4次），每周清洗道路2次。</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牛皮癣处理标准：作业注意“色、形、洁、美”，达到“色、形、洁、美”的有机结合，自然、协调。色，根据不同墙体颜色，将调料调配成相同或相似的颜色，最大限度的将污染处恢复原来色泽；形，对被污染墙面的清除应有统一覆盖形状（四方形），有完整、清晰的轮廓；洁，清除作业要按照“一刮、二铲、三粉刷”程序操作，使作业墙体达到干净、整洁；美，要使清除作业墙体在“色、形、洁”上与周边环境相协调。</w:t>
      </w:r>
    </w:p>
    <w:p>
      <w:pPr>
        <w:numPr>
          <w:ilvl w:val="0"/>
          <w:numId w:val="0"/>
        </w:numPr>
        <w:rPr>
          <w:rFonts w:hint="eastAsia" w:ascii="宋体" w:hAnsi="宋体" w:eastAsia="宋体" w:cs="宋体"/>
          <w:color w:val="auto"/>
          <w:sz w:val="24"/>
          <w:highlight w:val="none"/>
          <w:lang w:val="en-US" w:eastAsia="zh-CN"/>
        </w:rPr>
      </w:pPr>
    </w:p>
    <w:p>
      <w:pPr>
        <w:widowControl w:val="0"/>
        <w:numPr>
          <w:ilvl w:val="0"/>
          <w:numId w:val="0"/>
        </w:numPr>
        <w:wordWrap/>
        <w:adjustRightInd w:val="0"/>
        <w:snapToGrid/>
        <w:spacing w:line="600" w:lineRule="exact"/>
        <w:textAlignment w:val="auto"/>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（四）绿化养护方面</w:t>
      </w:r>
    </w:p>
    <w:p>
      <w:pPr>
        <w:widowControl w:val="0"/>
        <w:numPr>
          <w:ilvl w:val="0"/>
          <w:numId w:val="0"/>
        </w:numPr>
        <w:wordWrap/>
        <w:adjustRightInd w:val="0"/>
        <w:snapToGrid/>
        <w:spacing w:line="600" w:lineRule="exact"/>
        <w:ind w:firstLine="480" w:firstLineChars="200"/>
        <w:textAlignment w:val="auto"/>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二级绿化养护标准：植物生长势好，树形良好，叶片正常，较严重的黄叶、焦叶、卷叶的株数在2%以下；枝干正常，无明显枯枝死杈；树冠基本完整，主侧枝分布均匀，通风透光；树穴有平整盖板或种植地被植物，黄土不裸露；无大型和缠绕性、攀缘性杂草，零星区域的杂草控制在5cm以下；病虫害危害未达到明显程度，食叶害虫危害的叶片每株不超过10%，刺吸性害虫危害的叶片每株不超过15%，蛀干性害虫危害的株数在2%以下；时花花坛内四季有花，花期整齐，整体效果好；草坪上草种基本纯，草坪覆盖率应大于95%，中心区不得有空秃现象、草高不得超过8cm，常绿草高不得超过6cm；绿化设施、卫生基本完好、整洁，基本无断桩、坏桩，桩位扎缚有效，并有一定的防台措施。</w:t>
      </w:r>
    </w:p>
    <w:p>
      <w:pPr>
        <w:rPr>
          <w:rFonts w:hint="eastAsia" w:ascii="宋体" w:hAnsi="宋体" w:eastAsia="宋体" w:cs="宋体"/>
          <w:color w:val="auto"/>
          <w:highlight w:val="none"/>
        </w:rPr>
      </w:pPr>
    </w:p>
    <w:p>
      <w:pPr>
        <w:pStyle w:val="36"/>
        <w:numPr>
          <w:ilvl w:val="0"/>
          <w:numId w:val="4"/>
        </w:numPr>
        <w:snapToGrid w:val="0"/>
        <w:spacing w:line="600" w:lineRule="exact"/>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河道设施养护</w:t>
      </w:r>
      <w:r>
        <w:rPr>
          <w:rFonts w:hint="eastAsia" w:ascii="宋体" w:hAnsi="宋体" w:eastAsia="宋体" w:cs="宋体"/>
          <w:color w:val="auto"/>
          <w:sz w:val="24"/>
          <w:highlight w:val="none"/>
          <w:lang w:val="en-US" w:eastAsia="zh-CN"/>
        </w:rPr>
        <w:t>方面</w:t>
      </w:r>
    </w:p>
    <w:p>
      <w:pPr>
        <w:pStyle w:val="36"/>
        <w:numPr>
          <w:ilvl w:val="0"/>
          <w:numId w:val="0"/>
        </w:numPr>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1.河道保洁</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 河道保洁分为河面保洁和河岸保洁。</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1.2 总体要求：河面清洁无漂浮物，绿地无垃圾、无杂物，河岸各类硬化设施无垃圾、无污垢，保持整洁完好。</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 河面保洁</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1.3.1 主要是利用机械或人工对河道水面的垃圾、枯枝落叶、水草、绿萍等漂浮物（种植物除外）进行打捞清理及外运处置，从而保持河道景观、保护河道水环境。</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1.3.2 保洁要求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每天对河面进行2 次保洁，作业时间8 小时（8:00 一16 ：00）。</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1.3.3 作业要求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1.3.3.1 在通航河道内作业的保洁船须使用机动船舶。</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1.3.3.2 保洁船应有醒目的保洁单位名称及监督电话。</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1.3.3.3 开船前船员和打捞员按各自职责做好各项检查和准备工作。</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1.3.3.4 打捞的漂浮物应及时运至垃圾中转站或处理场。</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1.3.3.5 严禁开闸将漂浮物排入下游河段。</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1.3.3.6 每艘手划船应配备2 名保洁人员；每艘机动船应配备3～4 名人员。</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1.3.4 设备要求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1.3.4.1 机动保洁作业船应选用无油污染、低噪音的环保型船舶，船舶设施良好；备用水源河道内使用机动船舶必须采用电瓶动力或手划船。</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1.3.4.2 每艘保洁船应配备适合清理各种垃圾漂浮物及污染物的打捞工具，需安装GPS装置。</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1.3.4.3 保持良好的船容船貌，保洁工具整洁、干净。</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1.3.5 安全要求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1.3.5.1 保洁船应符合海事等主管部门的相关要求。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1.3.5.2 作业人员统一着装，持证上岗，水上作业时应穿着救生衣。</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1.3.5.3 遇台风和雷暴雨等恶劣天气应停止水上作业，并将船只停靠安全地点。</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1.3.5.4 保洁船在行驶过程中，遇到有人在河埠头、亲水平台、游船停靠点等设施进行亲水活动时应减速慢行，确保人员安全。</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1.3.6 应急要求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1.3.6.1 应制定河面保洁应急预案，配备应急所需的人员、工具、设备和物资。</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1.3.6.2 遇水草、水葫芦、绿萍等水生植物爆发，应第一时间组织力量进行清理并查明原因。</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1.3.6.3 汛期后应根据水位状况及时组织力量做好突击保洁，最快时间清除大型漂浮物、倾入河内的树木树枝等各类障碍物。</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1.3.6.4 应制定保障预案，遇各项重大活动及节假日，按上级有关要求落实各项措施。</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 河岸保洁</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1.4.1 主要是指利用各种机械或人工对城市河道的河岸、绿地、慢行系统、园路等设施的保洁，应做到干净整洁、无杂物堆积、无痰迹烟蒂、无青苔、无积水积泥等。</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1.4.2 保洁要求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每天保洁时间为8 小时（8:00 一16:00 )，每月对慢行系统、园路、亲水平台、河埠头、游船停靠点、廊亭地面等硬化设施冲水清洗1 次。</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1.4.3 作业要求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1.4.3.1 环卫车应有醒目的保洁单位名称及监督电话。</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1.4.3.2 保洁工具应整洁、干净。</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1.4.3.3 清洗设备应环保、低噪音，作业时应保护好其他设施。</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1.4.3.4 垃圾箱垃圾日产日清，清理的垃圾应及时运至垃圾中转站或处理场。</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1.4.3.5 应配备适合保洁各种设施的工具。</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1.4.4 安全要求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1.4.4.1 保洁车应符合环卫等主管部门的要求。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1.4.4.2 保洁作业人员应统一着装，穿着必要的安全警示服装。</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1.4.4.3 遇台风和雷暴雨等恶劣天气应停止室外作业。</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1.4.5 应急要求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1.4.5.1 应制定河岸保洁应急预案，配备应急所需的人员、工具、设备和物资。</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1.4.5.2 汛期及冰冻过后应及时组织力量做好对慢行系统、园路、栈道、亲水平台、河埠头、游船停靠点、廊亭地面等设施的全面清洗，确保干净整洁，无积水积泥。</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1.4.5.3 应制定保障预案，遇各项重大活动及节假日，按上级有关要求落实各项措施。</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1.5 灭蚊要求：按有关要求开展灭蚊工作。</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1.6 外运要求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1.6.1 河道保洁的垃圾应集中收集，日清日运，不得露天堆放过夜。</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1.6.2 垃圾在外运途中应采取密闭措施，防止抛洒、泄漏。</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 河道巡查</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 河道巡查除了对养护对象的日常巡查，还包括对河道水质状况、排水口、生态治理设施设备、绿地及廊亭栈道与景观桥的专项巡查，对涉河建设项目的监督巡查；对各项重大活动及节假日服务保障的重点巡查；对河道防汛、设施抢修等紧急状况的特殊巡查；对违法违章行为和不文明现象的劝阻。</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 总体要求：养护作业单位按要求配备巡查人员与巡查船。</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 巡查分类：</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2.3.1 三类巡查要求：每2 天全线巡查1 次。</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 巡查要求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2.4.1 巡查人员应配备照相机或摄像机，巡查车辆与船只应安装车载GPS等必要的装备。</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2.4.2 巡查人员在巡查时应认真负责、全面仔细，快速及时地掌握河道设施的安全性、整洁和完好状况，做到实事求是，当天做好巡查记录，每日一报。</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2.4.3 巡查人员要及时了解河道水质状况，包括水体感官与颜色等。遇死鱼、蓝藻等突发情况应及时上报。</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2.4.4 巡查人员要及时掌握河道沿线排水口设施（包括标识）完好情况、晴天出水情况。对有晴天出水现象的，要分时段（上午、中午、下午）检查出水情况，评估记录出水水频次（间歇性或常出水），并查看该排水口上下游河道水质感官，做好信息登记并第一时间上报，同时做好与截污部门的对接。</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2.4.5 巡查人员要及时了解生态项目情况，发现水生植物生长不良、病虫害、设施破损及设备故障等情况及时报告。</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2.4.6 巡查人员要及时了解河道沿线绿地的情况，掌握植物长势、缺株裸露及病虫害等情况，及时发现绿地内设施缺损情况。</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2.4.7 巡查人员要及时掌握栈道与景观桥的情况，特别对裂缝、缺损、塌陷等重大安全隐患要第一时间上报。</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2.4.8 巡查人员要及时掌握涉河建设项目实施动态，按审批要求对涉河建设项目进行监督。</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2.4.9 巡查人员对违法违章行为有劝阻的责任和义务，并第一时间上报。</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2.4.10 遇重大活动及节假日，应积极主动，加强巡查，配合河道监管部门做好保障工作，做好记录，及时上报。</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2.4.11 遇防汛、防台、抗雪等紧急状况，应加强巡查，配合河道监管部门做好抢险应急工作，第一时间掌握防汛隐患，做好记录，及时上报。</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 设施养护维修</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 设施养护维修</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主要内容是河岸设施养护维修、绿化养护、园路及慢行系统养护维修、生态治理设施养护、河埠头养护维修、沿河廊亭栈道及景观桥养护维修、防汛配水设施维护检修、在线监测设施维护检修、船闸设施维护检修、环卫设施维护、宣传牌、警示牌、其他附属设施维护等。</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 河岸设施养护维修</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主要内容是河岸驳坎挡墙、围护桩、护坡等的养护维修。</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3.2.1 河岸驳坎养护维修要求：按照《 杭州市城市河道养护技术规程（试行）》( CJS 一04 一2 000 ）执行。</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3.2.2 河岸围护桩养护维修要求：应定期观测，发现滑移、倾斜、缺失的，应采取相应措施及时修补，并做好记录。</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3.2.3 河岸护坡养护维修要求：应维持护坡内固土植物的正常生长，如有缺失及时补种；护坡有水土流失现象应及时采取措施固土。每年汛前、汛后和每次台风、洪水过后，应对河岸设施进行全面检查，发现问题及时修复，确保河岸设施安全、完好。</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 绿化养护要求：包括绿地范围内的绿化及其廊亭等附属设施，河岸绿地养护按照《 杭州市城区绿地养护质量标准（试行）》杭园文[2003 ]42 号执行。</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 园路及慢行系统养护维修</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3.4.1 随河园路养护维修要求：应确保其铺砌平整、牢固稳定，不得有破裂、翘动。若发现缺损、破碎、沉陷、翘动等病害，应及时更新修补。当基层强度不足而造成路面损坏，应清除软弱基层，换填新的基层料再恢复，面层的块石材质、规格应与原路面一致。</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3.4.2 慢行系统路面养护维修要求：参照《城镇道路养护技术规范》（CJJ 36-2006）中第9条“人行道的养护”标准执行。</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3.5生态治理设施养护要求：各类生态治理设施正常运行，具体养护要求按照《杭州市城市河道生态治理常用技术要点及养护要求》执行。</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3.6河埠头养护维修要求：河埠头相关配套设施应完整；在经常性巡查的基础上，每年汛前由专业技术人员进行一次全面检查，检查时需最大限度地降低水位。</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3.7 沿河廊亭栈道及景观桥养护维修要求：对廊亭、栈道进行日常巡视检查，及时发现缺损进行小修保养工作，确保护栏、铺砌等牢固稳定，不得有破裂、翘动，栏杆无变形、无油漆脱落、斑驳和生锈，造型完好。每次台风、洪水前，应进行全面检查，防止大件漂浮物堵塞过水断面。每年刷防腐漆一次。景观桥养护要求参照《城市桥梁养护技术规范》（CJJ99-2003）中V类养护规定执行。</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3.8 防汛配水、在线监测及船闸设施维护检修要求：按照《杭州市城市河道闸站养护管理要求》执行。</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3.9 环卫设施维护要求：按照《 杭州市城市环境卫生作业规范》执行。水上黄金旅游线河道公共厕所按照《 旅游厕所质量等级的划分与评定》（GB / T 18973 一2003 ）执行，其他河道公共厕所按照《 杭州市城市公厕管理办法》 （市政府令第125 号）执行。</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3.10宣传牌、警示牌养护要求：河道宣传牌、警示牌等标志标牌放置合理、醒目、规范，无松动，无变形，外观完好，字迹清晰，无油漆和涂料脱落、斑驳、生锈等影响感观现象。</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3.11河道其他附属设施和专业设施养护维修按照相应养护维修标准、规定执行。</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 养护单位要求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4.1 建立健全相关制度，配备齐全的养护队伍和养护设备。</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4.2 建立健全市区城市河道及其附属设施的技术资料和设施档案。（养护期结束前一月或服从中心的时间安排对养护河道进行一次全面的设施量统计核对工作。）</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4.3 建立健全市区城市河道日常养护、观测、维修技术台帐与资料，资料应全面、准确、清晰。</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4.4 建立每年一次城市河道排水口排查制度。同时，做好排水口建档工作，具体要求按照《杭州市城市河道沿线排水口管理要求》（杭城管委[2011]67号）执行。</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4.5建立每半年一次的城市河道淤积动态监控工作制度，动态监控专人负责，具体要求按照《关于开展城市河道淤积动态监控工作的通知》（杭河监〔2012〕7号）执行。</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4.6 市区城市河道养护技术资料应以每条河为单位进行归档管理。</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4.7 逐步实现城市河道养护技术资料数字化。</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5.负责处理有关河道范围内的数字城管、三来件、12345、12319的有关事宜。上述所涉及的文件内容以采购人提供的最新版本为准，凡有文号的参照具体文号执行。</w:t>
      </w:r>
    </w:p>
    <w:p>
      <w:pPr>
        <w:rPr>
          <w:rFonts w:hint="eastAsia" w:ascii="宋体" w:hAnsi="宋体" w:eastAsia="宋体" w:cs="宋体"/>
          <w:color w:val="auto"/>
          <w:sz w:val="24"/>
          <w:highlight w:val="none"/>
        </w:rPr>
      </w:pPr>
    </w:p>
    <w:p>
      <w:pPr>
        <w:pStyle w:val="36"/>
        <w:snapToGrid w:val="0"/>
        <w:spacing w:line="600" w:lineRule="exact"/>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作业标准</w:t>
      </w:r>
      <w:r>
        <w:rPr>
          <w:rFonts w:hint="eastAsia" w:hAnsi="宋体" w:cs="宋体"/>
          <w:b/>
          <w:bCs/>
          <w:color w:val="auto"/>
          <w:sz w:val="24"/>
          <w:szCs w:val="24"/>
          <w:highlight w:val="none"/>
          <w:lang w:eastAsia="zh-CN"/>
        </w:rPr>
        <w:t>：</w:t>
      </w:r>
    </w:p>
    <w:p>
      <w:pPr>
        <w:wordWrap/>
        <w:adjustRightInd w:val="0"/>
        <w:spacing w:line="60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（一）道路保洁作业标准：</w:t>
      </w:r>
    </w:p>
    <w:p>
      <w:pPr>
        <w:wordWrap/>
        <w:adjustRightInd w:val="0"/>
        <w:snapToGrid w:val="0"/>
        <w:spacing w:line="600" w:lineRule="exact"/>
        <w:ind w:firstLine="480" w:firstLineChars="200"/>
        <w:jc w:val="left"/>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1、道路保洁相关要求</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1.1本项目</w:t>
      </w:r>
      <w:r>
        <w:rPr>
          <w:rFonts w:hint="eastAsia" w:ascii="宋体" w:hAnsi="宋体" w:eastAsia="宋体" w:cs="宋体"/>
          <w:color w:val="auto"/>
          <w:sz w:val="24"/>
          <w:highlight w:val="none"/>
          <w:lang w:val="zh-CN"/>
        </w:rPr>
        <w:t>人员要求</w:t>
      </w:r>
      <w:r>
        <w:rPr>
          <w:rFonts w:hint="eastAsia" w:ascii="宋体" w:hAnsi="宋体" w:eastAsia="宋体" w:cs="宋体"/>
          <w:color w:val="auto"/>
          <w:sz w:val="24"/>
          <w:highlight w:val="none"/>
        </w:rPr>
        <w:t>须符合</w:t>
      </w:r>
      <w:r>
        <w:rPr>
          <w:rFonts w:hint="eastAsia" w:ascii="宋体" w:hAnsi="宋体" w:eastAsia="宋体" w:cs="宋体"/>
          <w:bCs/>
          <w:color w:val="auto"/>
          <w:sz w:val="24"/>
          <w:highlight w:val="none"/>
        </w:rPr>
        <w:t>专职人员基本岗位数量要求</w:t>
      </w:r>
      <w:r>
        <w:rPr>
          <w:rFonts w:hint="eastAsia" w:ascii="宋体" w:hAnsi="宋体" w:eastAsia="宋体" w:cs="宋体"/>
          <w:color w:val="auto"/>
          <w:sz w:val="24"/>
          <w:highlight w:val="none"/>
          <w:lang w:val="zh-CN"/>
        </w:rPr>
        <w:t>。</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1.1.2除项目负责人和专职保洁人员（含车辆作业人员）、项目管理员以外，供应商应根据项目保洁的实际需要配备相应人员，所需费用应考虑在投标总价中。</w:t>
      </w:r>
    </w:p>
    <w:p>
      <w:pPr>
        <w:wordWrap/>
        <w:adjustRightInd w:val="0"/>
        <w:snapToGrid w:val="0"/>
        <w:spacing w:line="600" w:lineRule="exact"/>
        <w:ind w:firstLine="360" w:firstLineChars="150"/>
        <w:jc w:val="left"/>
        <w:rPr>
          <w:rFonts w:hint="eastAsia" w:ascii="宋体" w:hAnsi="宋体" w:eastAsia="宋体" w:cs="宋体"/>
          <w:color w:val="auto"/>
          <w:sz w:val="24"/>
          <w:highlight w:val="none"/>
        </w:rPr>
      </w:pPr>
      <w:r>
        <w:rPr>
          <w:rFonts w:hint="eastAsia" w:ascii="宋体" w:hAnsi="宋体" w:eastAsia="宋体" w:cs="宋体"/>
          <w:bCs/>
          <w:color w:val="auto"/>
          <w:sz w:val="24"/>
          <w:highlight w:val="none"/>
        </w:rPr>
        <w:t>1.1.3保洁人员在岗要求男性年龄在60周岁以下</w:t>
      </w:r>
      <w:r>
        <w:rPr>
          <w:rFonts w:hint="eastAsia" w:ascii="宋体" w:hAnsi="宋体" w:eastAsia="宋体" w:cs="宋体"/>
          <w:color w:val="auto"/>
          <w:sz w:val="24"/>
          <w:highlight w:val="none"/>
          <w:lang w:val="zh-CN"/>
        </w:rPr>
        <w:t>，女性年龄在55周岁以下，并按采购人要求完成智慧化管理措施、设施配备。大型活动、节假日、新作业方式调整或未达到管理标准等情况下</w:t>
      </w:r>
      <w:r>
        <w:rPr>
          <w:rFonts w:hint="eastAsia" w:ascii="宋体" w:hAnsi="宋体" w:eastAsia="宋体" w:cs="宋体"/>
          <w:color w:val="auto"/>
          <w:sz w:val="24"/>
          <w:highlight w:val="none"/>
        </w:rPr>
        <w:t>应根据实际情况或采购人要求增派保洁人员、保洁设备，以确保清卫保洁质量，</w:t>
      </w:r>
      <w:r>
        <w:rPr>
          <w:rFonts w:hint="eastAsia" w:ascii="宋体" w:hAnsi="宋体" w:eastAsia="宋体" w:cs="宋体"/>
          <w:color w:val="auto"/>
          <w:sz w:val="24"/>
          <w:highlight w:val="none"/>
          <w:lang w:val="zh-CN"/>
        </w:rPr>
        <w:t>增</w:t>
      </w:r>
      <w:r>
        <w:rPr>
          <w:rFonts w:hint="eastAsia" w:ascii="宋体" w:hAnsi="宋体" w:eastAsia="宋体" w:cs="宋体"/>
          <w:color w:val="auto"/>
          <w:sz w:val="24"/>
          <w:highlight w:val="none"/>
        </w:rPr>
        <w:t>派人员和设备的费用应考虑在投标总报价中。</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1.1.4鼓励供应商根据杭州市劳动和社会保障局、杭州市财政局“关于印发《市区“三类岗位”开发管理办法》的通知”及区政府等相关文件要求，鼓励中标供应商招聘失地失业人员参与本项目服务。</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1.1.5人员用工必须符合《中华人民共和国劳动民法典》等法规的相关规定，如因违法、违规并造成不良后果的，其责任由供应商自行承担。</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1.1.6 作业车辆、作业时间应符合属地交警部门要求，并按要求进行报备后实施。</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1.1.7 供应商提供的设施设备，根据采购人要求统一外观，标识。</w:t>
      </w:r>
    </w:p>
    <w:p>
      <w:pPr>
        <w:wordWrap/>
        <w:adjustRightInd w:val="0"/>
        <w:snapToGrid w:val="0"/>
        <w:spacing w:line="600" w:lineRule="exact"/>
        <w:ind w:firstLine="480" w:firstLineChars="200"/>
        <w:jc w:val="left"/>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1.2保洁服务内容</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1.2.1本项目涵盖采购文件第三部分采购需求项目概况及要求清单中所有道路的清扫运输、垃圾收集运输、偷倒垃圾清运等服务内容。</w:t>
      </w:r>
    </w:p>
    <w:p>
      <w:pPr>
        <w:wordWrap/>
        <w:adjustRightInd w:val="0"/>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1.2.2</w:t>
      </w:r>
      <w:r>
        <w:rPr>
          <w:rFonts w:hint="eastAsia" w:ascii="宋体" w:hAnsi="宋体" w:eastAsia="宋体" w:cs="宋体"/>
          <w:bCs/>
          <w:color w:val="auto"/>
          <w:sz w:val="24"/>
          <w:highlight w:val="none"/>
        </w:rPr>
        <w:t>本项目</w:t>
      </w:r>
      <w:r>
        <w:rPr>
          <w:rFonts w:hint="eastAsia" w:ascii="宋体" w:hAnsi="宋体" w:eastAsia="宋体" w:cs="宋体"/>
          <w:color w:val="auto"/>
          <w:sz w:val="24"/>
          <w:highlight w:val="none"/>
        </w:rPr>
        <w:t>道路中间绿化带含在道路保洁范围内，及道路两侧人行道外建筑物基石边或无建筑物外可视范围内</w:t>
      </w:r>
      <w:r>
        <w:rPr>
          <w:rFonts w:hint="eastAsia" w:ascii="宋体" w:hAnsi="宋体" w:eastAsia="宋体" w:cs="宋体"/>
          <w:bCs/>
          <w:color w:val="auto"/>
          <w:sz w:val="24"/>
          <w:highlight w:val="none"/>
        </w:rPr>
        <w:t>（不少于</w:t>
      </w:r>
      <w:r>
        <w:rPr>
          <w:rFonts w:hint="eastAsia" w:ascii="宋体" w:hAnsi="宋体" w:cs="宋体"/>
          <w:bCs/>
          <w:color w:val="auto"/>
          <w:sz w:val="24"/>
          <w:highlight w:val="none"/>
          <w:lang w:val="en-US" w:eastAsia="zh-CN"/>
        </w:rPr>
        <w:t>5</w:t>
      </w:r>
      <w:r>
        <w:rPr>
          <w:rFonts w:hint="eastAsia" w:ascii="宋体" w:hAnsi="宋体" w:eastAsia="宋体" w:cs="宋体"/>
          <w:bCs/>
          <w:color w:val="auto"/>
          <w:sz w:val="24"/>
          <w:highlight w:val="none"/>
        </w:rPr>
        <w:t>米</w:t>
      </w:r>
      <w:r>
        <w:rPr>
          <w:rFonts w:hint="eastAsia" w:ascii="宋体" w:hAnsi="宋体" w:eastAsia="宋体" w:cs="宋体"/>
          <w:color w:val="auto"/>
          <w:sz w:val="24"/>
          <w:highlight w:val="none"/>
        </w:rPr>
        <w:t>）均包含在保洁范围内。</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1.2</w:t>
      </w:r>
      <w:r>
        <w:rPr>
          <w:rFonts w:hint="eastAsia" w:ascii="宋体" w:hAnsi="宋体" w:eastAsia="宋体" w:cs="宋体"/>
          <w:bCs/>
          <w:color w:val="auto"/>
          <w:sz w:val="24"/>
          <w:highlight w:val="none"/>
        </w:rPr>
        <w:t>.3本项目涵盖地铁站（如有）出入口台阶以下周边范围的保洁含在道路保洁范围内。</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1.2</w:t>
      </w:r>
      <w:r>
        <w:rPr>
          <w:rFonts w:hint="eastAsia" w:ascii="宋体" w:hAnsi="宋体" w:eastAsia="宋体" w:cs="宋体"/>
          <w:bCs/>
          <w:color w:val="auto"/>
          <w:sz w:val="24"/>
          <w:highlight w:val="none"/>
        </w:rPr>
        <w:t>.4本项目道路所附属的铁路下穿涵洞（如有）、果壳箱、交通隔离栏、路灯杆（2.2米以下部分）、交通信号杆（2.2米以下部分）均属于本项目保洁范围。</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bCs/>
          <w:color w:val="auto"/>
          <w:sz w:val="24"/>
          <w:highlight w:val="none"/>
        </w:rPr>
        <w:t>1.2.5</w:t>
      </w:r>
      <w:r>
        <w:rPr>
          <w:rFonts w:hint="eastAsia" w:ascii="宋体" w:hAnsi="宋体" w:eastAsia="宋体" w:cs="宋体"/>
          <w:color w:val="auto"/>
          <w:sz w:val="24"/>
          <w:highlight w:val="none"/>
        </w:rPr>
        <w:t>牛皮癣清理：标段范围内道路、围墙、道路沿线设施（含一层建筑立面）等区域的“乱涂”、“乱张贴”等牛皮癣日常清理</w:t>
      </w:r>
      <w:r>
        <w:rPr>
          <w:rFonts w:hint="eastAsia" w:ascii="宋体" w:hAnsi="宋体" w:eastAsia="宋体" w:cs="宋体"/>
          <w:bCs/>
          <w:color w:val="auto"/>
          <w:sz w:val="24"/>
          <w:highlight w:val="none"/>
        </w:rPr>
        <w:t>均属于本项目保洁范围</w:t>
      </w:r>
      <w:r>
        <w:rPr>
          <w:rFonts w:hint="eastAsia" w:ascii="宋体" w:hAnsi="宋体" w:eastAsia="宋体" w:cs="宋体"/>
          <w:color w:val="auto"/>
          <w:sz w:val="24"/>
          <w:highlight w:val="none"/>
        </w:rPr>
        <w:t>。</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1.2</w:t>
      </w:r>
      <w:r>
        <w:rPr>
          <w:rFonts w:hint="eastAsia" w:ascii="宋体" w:hAnsi="宋体" w:eastAsia="宋体" w:cs="宋体"/>
          <w:bCs/>
          <w:color w:val="auto"/>
          <w:sz w:val="24"/>
          <w:highlight w:val="none"/>
        </w:rPr>
        <w:t>.6</w:t>
      </w:r>
      <w:r>
        <w:rPr>
          <w:rFonts w:hint="eastAsia" w:ascii="宋体" w:hAnsi="宋体" w:eastAsia="宋体" w:cs="宋体"/>
          <w:color w:val="auto"/>
          <w:sz w:val="24"/>
          <w:highlight w:val="none"/>
        </w:rPr>
        <w:t xml:space="preserve">道路保洁承包期内如有道路改建、扩建、新增人行道等情况所增加的面积，原则上纳入中标单位保洁范围，保洁经费不再增加。  </w:t>
      </w:r>
    </w:p>
    <w:p>
      <w:pPr>
        <w:wordWrap/>
        <w:adjustRightInd w:val="0"/>
        <w:snapToGrid w:val="0"/>
        <w:spacing w:line="600" w:lineRule="exact"/>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1.3保洁基本要求</w:t>
      </w:r>
    </w:p>
    <w:p>
      <w:pPr>
        <w:pStyle w:val="27"/>
        <w:wordWrap/>
        <w:adjustRightInd w:val="0"/>
        <w:spacing w:line="600" w:lineRule="exact"/>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1.3.1</w:t>
      </w:r>
      <w:r>
        <w:rPr>
          <w:rFonts w:hint="eastAsia" w:ascii="宋体" w:hAnsi="宋体" w:eastAsia="宋体" w:cs="宋体"/>
          <w:b w:val="0"/>
          <w:bCs w:val="0"/>
          <w:color w:val="auto"/>
          <w:highlight w:val="none"/>
          <w:lang w:val="en-US" w:eastAsia="zh-CN"/>
        </w:rPr>
        <w:t>二</w:t>
      </w:r>
      <w:r>
        <w:rPr>
          <w:rFonts w:hint="eastAsia" w:ascii="宋体" w:hAnsi="宋体" w:eastAsia="宋体" w:cs="宋体"/>
          <w:b w:val="0"/>
          <w:bCs w:val="0"/>
          <w:color w:val="auto"/>
          <w:highlight w:val="none"/>
        </w:rPr>
        <w:t>级道路</w:t>
      </w:r>
    </w:p>
    <w:p>
      <w:pPr>
        <w:wordWrap/>
        <w:adjustRightIn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1.3.1.1保洁时长：1</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小时（4:30-2</w:t>
      </w:r>
      <w:r>
        <w:rPr>
          <w:rFonts w:hint="eastAsia" w:ascii="宋体" w:hAnsi="宋体" w:eastAsia="宋体" w:cs="宋体"/>
          <w:color w:val="auto"/>
          <w:sz w:val="24"/>
          <w:highlight w:val="none"/>
          <w:lang w:val="en-US" w:eastAsia="zh-CN"/>
        </w:rPr>
        <w:t>0</w:t>
      </w:r>
      <w:r>
        <w:rPr>
          <w:rFonts w:hint="eastAsia" w:ascii="宋体" w:hAnsi="宋体" w:eastAsia="宋体" w:cs="宋体"/>
          <w:color w:val="auto"/>
          <w:sz w:val="24"/>
          <w:highlight w:val="none"/>
        </w:rPr>
        <w:t>：30）。</w:t>
      </w:r>
    </w:p>
    <w:p>
      <w:pPr>
        <w:wordWrap/>
        <w:adjustRightIn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1.3.1.2快车道保洁：洒水</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次/日(夏季6次</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；高压冲洗</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次/日；洗扫吸三合一作业</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次/日，要求单向两边侧石、隔离栏底下全部覆盖。</w:t>
      </w:r>
    </w:p>
    <w:p>
      <w:pPr>
        <w:wordWrap/>
        <w:adjustRightIn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1.3.1.3慢车道和人行道保洁：日常普扫吹风机搭配小型慢车道清扫车作业，3次/日；洗、扫、吸一体清洗作业1次/日。</w:t>
      </w:r>
    </w:p>
    <w:p>
      <w:pPr>
        <w:wordWrap/>
        <w:adjustRightIn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1.3.1.4巡回保洁：保洁员配备电动巡回保洁车巡回作业。</w:t>
      </w:r>
    </w:p>
    <w:p>
      <w:pPr>
        <w:wordWrap/>
        <w:adjustRightIn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1.3.1.5空气抑尘：配置空气抑尘设备，每天2次洒水、抑尘。</w:t>
      </w:r>
    </w:p>
    <w:p>
      <w:pPr>
        <w:wordWrap/>
        <w:adjustRightIn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1.3.1.6城市家具：全覆盖擦洗1次/日。</w:t>
      </w:r>
    </w:p>
    <w:p>
      <w:pPr>
        <w:wordWrap/>
        <w:adjustRightIn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1.3.1.7小广告清除：配备高压冲洗设备，每天清除小广告。</w:t>
      </w:r>
    </w:p>
    <w:p>
      <w:pPr>
        <w:wordWrap/>
        <w:adjustRightIn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1.3.1.8道路栏杆：配备栏杆清洗车，每周清洗一次。</w:t>
      </w:r>
    </w:p>
    <w:p>
      <w:pPr>
        <w:wordWrap/>
        <w:adjustRightIn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1.3.1.9绿化带捡拾：配置小型设备，人工配合，每天1~2次。</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1.3.1.10应做到文明、清洁、安全和有序，最大限度地减少对环境的污染和对公众生活的影响。</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1.3.1.11合理安排作业计划。清晨或深夜在居民住宅小区或周边道路进行环卫作业时，不得大声喧哗，并应注意控制机具噪音。组织机械化清扫、洒水、清洗作业应避开交通高峰时段（7：00—9：00，16：30—18：30）。</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1.3.1.12下雪及雪后应根据需要，及时进行路面除雪作业 ，消除路面积雪、结冰，为道路交通畅通创造良好通行条件。清雪作业以机械化清雪为主，人工清雪为辅。清理的积雪不得堆放在雨水井口，禁止向道路路面、绿化带、绿地抛撒积雪。</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1.3.1.13日常</w:t>
      </w:r>
      <w:r>
        <w:rPr>
          <w:rFonts w:hint="eastAsia" w:ascii="宋体" w:hAnsi="宋体" w:eastAsia="宋体" w:cs="宋体"/>
          <w:color w:val="auto"/>
          <w:sz w:val="24"/>
          <w:highlight w:val="none"/>
        </w:rPr>
        <w:t>保洁时间内</w:t>
      </w:r>
      <w:r>
        <w:rPr>
          <w:rFonts w:hint="eastAsia" w:ascii="宋体" w:hAnsi="宋体" w:eastAsia="宋体" w:cs="宋体"/>
          <w:bCs/>
          <w:color w:val="auto"/>
          <w:sz w:val="24"/>
          <w:highlight w:val="none"/>
        </w:rPr>
        <w:t>保洁单位需确保</w:t>
      </w:r>
      <w:r>
        <w:rPr>
          <w:rFonts w:hint="eastAsia" w:ascii="宋体" w:hAnsi="宋体" w:eastAsia="宋体" w:cs="宋体"/>
          <w:color w:val="auto"/>
          <w:sz w:val="24"/>
          <w:highlight w:val="none"/>
        </w:rPr>
        <w:t>保洁范围干净，如有无主垃圾或其它垃圾，应加强监管，及时劝导并清理干净。</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1.3.1.14每辆环卫专用车辆应装有GPS装置，并按采购人要求安装摄像设备及人员的智慧管理等接入采购人指定系统，如GPS装置、摄像设备故障后应及时报修。GPS定位系统或摄像设备以及为本项目服务提供的智慧环卫等（含人员智慧管理）相关费用均由中标单位承担，同时需纳入城管智慧平台，采购人不另支付任何费用。</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1.3.1.15人工辅助清扫、清洗机动车道、非机动车道或清洗机动车道交通隔离栏时，应在距清扫点来车方向100M处设置警示标识，使用荧光锥形筒等警示标识围护清扫保洁区域，面向来车方向清扫，注意车辆动态。</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1.3.1.16洗扫车、扫路车、洒水车、清洗车车尾应设置荧光标宽标识（或警示灯）。夜间作业时或雨雾天气等能见度较低的天气，必须启用警示灯光。环卫电动作业车辆、保洁车等小型作业车辆车身设置荧光条，车后部或车顶设置警示灯。</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1.3.1.17本项目环卫作业车辆须有固定场所停放，严禁停放在消防通道、公交车站、盲道等影响车辆和行人通行的公共通道。</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1.3.1.18承诺能及时提供人力、设备、技术等支持。</w:t>
      </w:r>
    </w:p>
    <w:p>
      <w:pPr>
        <w:wordWrap/>
        <w:adjustRightInd w:val="0"/>
        <w:snapToGrid w:val="0"/>
        <w:spacing w:line="600" w:lineRule="exact"/>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 xml:space="preserve">1.4保洁作业规范 </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1.4.1道路普扫次数和时间</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1.4.1.1</w:t>
      </w:r>
      <w:r>
        <w:rPr>
          <w:rFonts w:hint="eastAsia" w:ascii="宋体" w:hAnsi="宋体" w:eastAsia="宋体" w:cs="宋体"/>
          <w:color w:val="auto"/>
          <w:sz w:val="24"/>
          <w:highlight w:val="none"/>
          <w:lang w:val="en-US" w:eastAsia="zh-CN"/>
        </w:rPr>
        <w:t>二</w:t>
      </w:r>
      <w:r>
        <w:rPr>
          <w:rFonts w:hint="eastAsia" w:ascii="宋体" w:hAnsi="宋体" w:eastAsia="宋体" w:cs="宋体"/>
          <w:color w:val="auto"/>
          <w:sz w:val="24"/>
          <w:highlight w:val="none"/>
        </w:rPr>
        <w:t>级道路普扫作业每日不少于3次。夏季（6月—8月）第一次普扫应在6：30前完成，春、秋、冬季（9月—次年5月）在7：00前完成；第二次普扫在13：30前完成；第三次普扫在17：00前完成。</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1.4.1.2应根据重大活动保障、落叶旺季等因素适时增加每日普扫频次。 </w:t>
      </w:r>
    </w:p>
    <w:p>
      <w:pPr>
        <w:wordWrap/>
        <w:adjustRightInd w:val="0"/>
        <w:snapToGrid w:val="0"/>
        <w:spacing w:line="600" w:lineRule="exact"/>
        <w:ind w:firstLine="480" w:firstLineChars="200"/>
        <w:jc w:val="left"/>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1.4.2洒水（清洗）</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1.4.2.1</w:t>
      </w:r>
      <w:r>
        <w:rPr>
          <w:rFonts w:hint="eastAsia" w:ascii="宋体" w:hAnsi="宋体" w:eastAsia="宋体" w:cs="宋体"/>
          <w:color w:val="auto"/>
          <w:sz w:val="24"/>
          <w:highlight w:val="none"/>
          <w:lang w:val="en-US" w:eastAsia="zh-CN"/>
        </w:rPr>
        <w:t>二</w:t>
      </w:r>
      <w:r>
        <w:rPr>
          <w:rFonts w:hint="eastAsia" w:ascii="宋体" w:hAnsi="宋体" w:eastAsia="宋体" w:cs="宋体"/>
          <w:color w:val="auto"/>
          <w:sz w:val="24"/>
          <w:highlight w:val="none"/>
        </w:rPr>
        <w:t>级道路作业每日不少于</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次</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夏季6次）</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w:t>
      </w:r>
      <w:r>
        <w:rPr>
          <w:rFonts w:hint="eastAsia" w:ascii="宋体" w:hAnsi="宋体" w:eastAsia="宋体" w:cs="宋体"/>
          <w:bCs/>
          <w:color w:val="auto"/>
          <w:sz w:val="24"/>
          <w:highlight w:val="none"/>
        </w:rPr>
        <w:t>洒水时，洒水车车速不得超过25km/h；清洗时，高压清洗车车速不得超过10km/h；机械化清扫作业。</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1.4.2.2</w:t>
      </w:r>
      <w:r>
        <w:rPr>
          <w:rFonts w:hint="eastAsia" w:ascii="宋体" w:hAnsi="宋体" w:eastAsia="宋体" w:cs="宋体"/>
          <w:bCs/>
          <w:color w:val="auto"/>
          <w:sz w:val="24"/>
          <w:highlight w:val="none"/>
        </w:rPr>
        <w:t>洒水时，应调整好洒水车水压和水幅，保持车行道全路段路面湿润。途经地铁站、公交站、人行横道等人流量集中的地点应注意放慢车速，避让行人，调整启闭装置，避免将水洒到行人身上。</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1.4.2.3</w:t>
      </w:r>
      <w:r>
        <w:rPr>
          <w:rFonts w:hint="eastAsia" w:ascii="宋体" w:hAnsi="宋体" w:eastAsia="宋体" w:cs="宋体"/>
          <w:bCs/>
          <w:color w:val="auto"/>
          <w:sz w:val="24"/>
          <w:highlight w:val="none"/>
        </w:rPr>
        <w:t>晚22时以后，洒水作业时禁止播放洒水提示音乐。中、高考等重要考试期间，洒水车途经考场周边道路时应及时关闭洒水提示音乐，夏季中午时间（12时-14时）适当降低洒水提示音量。</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1.4.2.4</w:t>
      </w:r>
      <w:r>
        <w:rPr>
          <w:rFonts w:hint="eastAsia" w:ascii="宋体" w:hAnsi="宋体" w:eastAsia="宋体" w:cs="宋体"/>
          <w:bCs/>
          <w:color w:val="auto"/>
          <w:sz w:val="24"/>
          <w:highlight w:val="none"/>
        </w:rPr>
        <w:t>小雨及以下雨量时，按计划保持洒水作业；中雨及以上雨量或雷阵雨期间，暂停道路洒水和清洗作业。</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1.4.2.5春秋季（3月—5月、9月—11月），每日道路洒水频次作为基准遍次，即</w:t>
      </w:r>
      <w:r>
        <w:rPr>
          <w:rFonts w:hint="eastAsia" w:ascii="宋体" w:hAnsi="宋体" w:eastAsia="宋体" w:cs="宋体"/>
          <w:bCs/>
          <w:color w:val="auto"/>
          <w:sz w:val="24"/>
          <w:highlight w:val="none"/>
          <w:lang w:val="en-US" w:eastAsia="zh-CN"/>
        </w:rPr>
        <w:t>二</w:t>
      </w:r>
      <w:r>
        <w:rPr>
          <w:rFonts w:hint="eastAsia" w:ascii="宋体" w:hAnsi="宋体" w:eastAsia="宋体" w:cs="宋体"/>
          <w:bCs/>
          <w:color w:val="auto"/>
          <w:sz w:val="24"/>
          <w:highlight w:val="none"/>
        </w:rPr>
        <w:t>级道路每日</w:t>
      </w:r>
      <w:r>
        <w:rPr>
          <w:rFonts w:hint="eastAsia" w:ascii="宋体" w:hAnsi="宋体" w:eastAsia="宋体" w:cs="宋体"/>
          <w:bCs/>
          <w:color w:val="auto"/>
          <w:sz w:val="24"/>
          <w:highlight w:val="none"/>
          <w:lang w:val="en-US" w:eastAsia="zh-CN"/>
        </w:rPr>
        <w:t>4</w:t>
      </w:r>
      <w:r>
        <w:rPr>
          <w:rFonts w:hint="eastAsia" w:ascii="宋体" w:hAnsi="宋体" w:eastAsia="宋体" w:cs="宋体"/>
          <w:bCs/>
          <w:color w:val="auto"/>
          <w:sz w:val="24"/>
          <w:highlight w:val="none"/>
        </w:rPr>
        <w:t>次</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lang w:val="en-US" w:eastAsia="zh-CN"/>
        </w:rPr>
        <w:t>夏季6次）</w:t>
      </w:r>
      <w:r>
        <w:rPr>
          <w:rFonts w:hint="eastAsia" w:ascii="宋体" w:hAnsi="宋体" w:eastAsia="宋体" w:cs="宋体"/>
          <w:bCs/>
          <w:color w:val="auto"/>
          <w:sz w:val="24"/>
          <w:highlight w:val="none"/>
        </w:rPr>
        <w:t>；夏季（6月—8月），在基准频次上每日分别增加1次；冬季（12月—2月），在基准频次上每日分别减少1次。</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1.4.2.6</w:t>
      </w:r>
      <w:r>
        <w:rPr>
          <w:rFonts w:hint="eastAsia" w:ascii="宋体" w:hAnsi="宋体" w:eastAsia="宋体" w:cs="宋体"/>
          <w:bCs/>
          <w:color w:val="auto"/>
          <w:sz w:val="24"/>
          <w:highlight w:val="none"/>
        </w:rPr>
        <w:t>气温低于2摄氏度时应停止清洗和洒水。</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1.4.2.7</w:t>
      </w:r>
      <w:r>
        <w:rPr>
          <w:rFonts w:hint="eastAsia" w:ascii="宋体" w:hAnsi="宋体" w:eastAsia="宋体" w:cs="宋体"/>
          <w:bCs/>
          <w:color w:val="auto"/>
          <w:sz w:val="24"/>
          <w:highlight w:val="none"/>
        </w:rPr>
        <w:t>根据清雪作业应急保障需要，可使用洒水车、清洗车冲刷路面积雪，并使用清雪车、扫路车等专业车辆或人工辅助，及时清除路面积水、积雪。</w:t>
      </w:r>
    </w:p>
    <w:p>
      <w:pPr>
        <w:wordWrap/>
        <w:adjustRightInd w:val="0"/>
        <w:snapToGrid w:val="0"/>
        <w:spacing w:line="600" w:lineRule="exact"/>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1.4.3机械化清扫</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1.4.3.1</w:t>
      </w:r>
      <w:r>
        <w:rPr>
          <w:rFonts w:hint="eastAsia" w:ascii="宋体" w:hAnsi="宋体" w:eastAsia="宋体" w:cs="宋体"/>
          <w:bCs/>
          <w:color w:val="auto"/>
          <w:sz w:val="24"/>
          <w:highlight w:val="none"/>
        </w:rPr>
        <w:t>机械化清扫范围主要为机动车道，及便于使用机械化装备清洁机动车道的交通隔离栏。</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1.4.3.2</w:t>
      </w:r>
      <w:r>
        <w:rPr>
          <w:rFonts w:hint="eastAsia" w:ascii="宋体" w:hAnsi="宋体" w:eastAsia="宋体" w:cs="宋体"/>
          <w:bCs/>
          <w:color w:val="auto"/>
          <w:sz w:val="24"/>
          <w:highlight w:val="none"/>
        </w:rPr>
        <w:t>清扫车或洗扫车应加足水，根据路面状况调整好扫路车侧刷和吸口，喷雾洁扫无扬尘，在规定时间和路线进行机械化清扫作业。</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1.4.3.3</w:t>
      </w:r>
      <w:r>
        <w:rPr>
          <w:rFonts w:hint="eastAsia" w:ascii="宋体" w:hAnsi="宋体" w:eastAsia="宋体" w:cs="宋体"/>
          <w:bCs/>
          <w:color w:val="auto"/>
          <w:sz w:val="24"/>
          <w:highlight w:val="none"/>
        </w:rPr>
        <w:t>机械化清扫作业时，扫路车或洗扫车车速不得超过10km/h。</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1.4.3.4</w:t>
      </w:r>
      <w:r>
        <w:rPr>
          <w:rFonts w:hint="eastAsia" w:ascii="宋体" w:hAnsi="宋体" w:eastAsia="宋体" w:cs="宋体"/>
          <w:bCs/>
          <w:color w:val="auto"/>
          <w:sz w:val="24"/>
          <w:highlight w:val="none"/>
        </w:rPr>
        <w:t>清扫时应注意观察路面清扫质量和路面障碍情况，对机械化清扫不能清除的大件垃圾或硬物，在确保作业安全的前提下，及时下车清除。</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1.4.3.5</w:t>
      </w:r>
      <w:r>
        <w:rPr>
          <w:rFonts w:hint="eastAsia" w:ascii="宋体" w:hAnsi="宋体" w:eastAsia="宋体" w:cs="宋体"/>
          <w:bCs/>
          <w:color w:val="auto"/>
          <w:sz w:val="24"/>
          <w:highlight w:val="none"/>
        </w:rPr>
        <w:t>当日清扫结束后，应在指定地点卸空机械化清扫车辆中的垃圾。</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1.4.3.6</w:t>
      </w:r>
      <w:r>
        <w:rPr>
          <w:rFonts w:hint="eastAsia" w:ascii="宋体" w:hAnsi="宋体" w:eastAsia="宋体" w:cs="宋体"/>
          <w:bCs/>
          <w:color w:val="auto"/>
          <w:sz w:val="24"/>
          <w:highlight w:val="none"/>
        </w:rPr>
        <w:t>机械化清扫车辆所用的扫把丝等消耗品应根据使用状况及时更换。</w:t>
      </w:r>
    </w:p>
    <w:p>
      <w:pPr>
        <w:wordWrap/>
        <w:adjustRightInd w:val="0"/>
        <w:snapToGrid w:val="0"/>
        <w:spacing w:line="600" w:lineRule="exact"/>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1.4.4人工普扫</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1.4.4.1清扫时，在距清扫点适当位置安全警示标识。</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1.4.4.2道路两侧、路面等承包区域内乱涂写招贴，应使用铲刀或高压清洗机具予以清除，对粘附力强的要求用清洗剂刷洗，被清洗或清除后物体表面没有明显残留痕迹，不得采用涂料遮盖等方式简单处理，路面有污染或明显肮脏时要及时冲洗。</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1.4.4.3清扫的街面垃圾、沿街果壳箱中的垃圾应密闭化运至指定地点，运输过程不得抛洒滴漏。</w:t>
      </w:r>
    </w:p>
    <w:p>
      <w:pPr>
        <w:rPr>
          <w:rFonts w:hint="eastAsia"/>
          <w:color w:val="auto"/>
          <w:highlight w:val="none"/>
        </w:rPr>
      </w:pPr>
    </w:p>
    <w:p>
      <w:pPr>
        <w:rPr>
          <w:rFonts w:hint="eastAsia"/>
          <w:color w:val="auto"/>
          <w:highlight w:val="none"/>
        </w:rPr>
      </w:pPr>
    </w:p>
    <w:p>
      <w:pPr>
        <w:rPr>
          <w:rFonts w:hint="eastAsia"/>
          <w:color w:val="auto"/>
          <w:highlight w:val="none"/>
        </w:rPr>
      </w:pPr>
    </w:p>
    <w:p>
      <w:pPr>
        <w:wordWrap/>
        <w:adjustRightInd w:val="0"/>
        <w:snapToGrid w:val="0"/>
        <w:spacing w:line="600" w:lineRule="exact"/>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1.4.5人工保洁</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1.4.5.1普扫结束后，应按照规定的责任保洁区域、保洁时间组织巡回保洁。落实责任保洁区域边界管理，保洁时应向保洁边界以外适当延伸（不少于3米），不留保洁盲区和空白点。</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1.4.5.2应定时清运沿街果壳箱中的垃圾，做到垃圾不落地、不积存，日产日清。</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1.4.5.3突发性环境卫生污染现场清理时，应严格按照应急处置方案进行保洁，及时消除污染物，恢复路面清洁。</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1.4.5.4环卫电动专用作业车辆应在非机动车道顺向行驶，不得超载，且行驶速度不得超过20Km/h。</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1.4.5.5保洁作业结束后，作业工具应在规定地点摆放，不得在道路路面、墙角、绿化带、绿地中存放。</w:t>
      </w:r>
    </w:p>
    <w:p>
      <w:pPr>
        <w:wordWrap/>
        <w:adjustRightInd w:val="0"/>
        <w:snapToGrid w:val="0"/>
        <w:spacing w:line="600" w:lineRule="exact"/>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1.5保洁作业质量要求</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1.5.1清扫应做到“五无五净”。即无垃圾杂物；无积水积泥，无痰迹烟蒂，无果皮纸屑，无土石杂草；路面干净，绿化带和树圈干净，边角侧石干净，雨水井盖沟眼畅通干净，果壳箱等环卫设施干净、路面见本色。</w:t>
      </w:r>
    </w:p>
    <w:p>
      <w:pPr>
        <w:wordWrap/>
        <w:adjustRightInd w:val="0"/>
        <w:snapToGrid w:val="0"/>
        <w:spacing w:line="600" w:lineRule="exac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 xml:space="preserve">   1.5.2三化四分相关要求：</w:t>
      </w:r>
      <w:r>
        <w:rPr>
          <w:rFonts w:hint="eastAsia" w:ascii="宋体" w:hAnsi="宋体" w:eastAsia="宋体" w:cs="宋体"/>
          <w:color w:val="auto"/>
          <w:kern w:val="0"/>
          <w:sz w:val="24"/>
          <w:highlight w:val="none"/>
        </w:rPr>
        <w:t>本项目的供应商应按照杭州市垃圾分类工作的具体要求，确定生活垃圾分类（易腐垃圾、其他垃圾、可回收物、有害垃圾），并完成保洁范围内四类垃圾的分类、收集以及垃圾的清运工作。</w:t>
      </w:r>
    </w:p>
    <w:p>
      <w:pPr>
        <w:pStyle w:val="837"/>
        <w:wordWrap/>
        <w:adjustRightInd w:val="0"/>
        <w:spacing w:line="600" w:lineRule="exact"/>
        <w:rPr>
          <w:rFonts w:hint="eastAsia" w:ascii="宋体" w:hAnsi="宋体" w:eastAsia="宋体" w:cs="宋体"/>
          <w:color w:val="auto"/>
          <w:highlight w:val="none"/>
        </w:rPr>
      </w:pPr>
      <w:r>
        <w:rPr>
          <w:rFonts w:hint="eastAsia" w:ascii="宋体" w:hAnsi="宋体" w:eastAsia="宋体" w:cs="宋体"/>
          <w:bCs/>
          <w:color w:val="auto"/>
          <w:sz w:val="24"/>
          <w:highlight w:val="none"/>
        </w:rPr>
        <w:t>1.</w:t>
      </w:r>
      <w:r>
        <w:rPr>
          <w:rFonts w:hint="eastAsia" w:ascii="宋体" w:hAnsi="宋体" w:eastAsia="宋体" w:cs="宋体"/>
          <w:bCs/>
          <w:color w:val="auto"/>
          <w:sz w:val="24"/>
          <w:highlight w:val="none"/>
          <w:lang w:val="en-US" w:eastAsia="zh-CN"/>
        </w:rPr>
        <w:t>5.3</w:t>
      </w:r>
      <w:r>
        <w:rPr>
          <w:rFonts w:hint="eastAsia" w:ascii="宋体" w:hAnsi="宋体" w:eastAsia="宋体" w:cs="宋体"/>
          <w:color w:val="auto"/>
          <w:highlight w:val="none"/>
        </w:rPr>
        <w:t>本项目范围内所有道路、围墙、设施、建（构）筑物外墙等的“乱涂、乱张贴”等牛皮癣日常清理纳入本次招标内，所有费用包含在投标报价内。</w:t>
      </w:r>
    </w:p>
    <w:p>
      <w:pPr>
        <w:wordWrap/>
        <w:adjustRightInd w:val="0"/>
        <w:snapToGrid w:val="0"/>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1.5.</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 xml:space="preserve">其他要求：   </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（1）遇有窨井盖丢失、破损等，承包方必须及时上报采购人。  </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（2）遇有重大活动或突发事件，及时组织力量做好清扫保洁保障工作。   </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（3）遇有重大活动以及抗台、抗雪等突发事件，必须及时组织力量做好清扫保洁等应急保障工作，按照城市管理保障应急机制要求，保证人员及时到位，并根据应急指令服从统一调配。</w:t>
      </w:r>
    </w:p>
    <w:p>
      <w:pPr>
        <w:wordWrap/>
        <w:adjustRightInd w:val="0"/>
        <w:snapToGrid w:val="0"/>
        <w:spacing w:line="600" w:lineRule="exact"/>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1.6.管理要求</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1.6.1供应商在保洁作业中投入的机械设备、人员配置等必须与投标文件中所承诺的数量规格相符合。加强日常作业质量管理，相关计划及报告按采购人要求准时递交。</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1.6.2规范管理、文明作业、自觉接受采购人及其上级各部门领导的检查和社会监督，对出现的问题要及时整改。</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1.6.3作业时应严格遵守交通规则、遵守劳动纪律、遵守安全操作规程，作业人员须统一穿戴有反光标识的工作服，佩证上岗。加强日常安全生产管理，确保职工人身安全。如遇各种意外事故发生由中标单位自行负责，并依照法律法规妥善处理（事故情况应在30分钟内及时书面告知采购人）。</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1.6.4果壳箱应定期保养保持整洁完好无缺失，承包期间因操作或管理不善造成破损、缺失的，由中标单位承担费用并负责修复或更新（果壳箱更换款式应保持原样，或经采购人同意后调整款式）。</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1.6.5专用作业车辆（含人力三轮车）符合环卫标准化管理要求，外观喷漆及规格符合采购人要求，机动、人力车辆应按时冲洗保养保持外观整洁，无抛洒滴漏、无满溢、无吊挂。</w:t>
      </w:r>
    </w:p>
    <w:p>
      <w:pPr>
        <w:wordWrap/>
        <w:adjustRightInd w:val="0"/>
        <w:snapToGrid w:val="0"/>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1.6.6垃圾应倾倒在指定的垃圾堆放场地，不得焚烧垃圾、树叶，确需垃圾二次转运的应在指定地点进行，不得直接在保洁道路上进行。</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 xml:space="preserve">1.6.7如遇渣土抛洒污染路面等情况，中标单位应及时上报采购人，并做好照片资料，同时进行道路冲洗清理。   </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1.6.8无新闻媒体曝光，对“12345”市长公开电话和有关受理中心及信访处相关问题，处理、回复及时到位。</w:t>
      </w:r>
      <w:r>
        <w:rPr>
          <w:rFonts w:hint="eastAsia" w:ascii="宋体" w:hAnsi="宋体" w:eastAsia="宋体" w:cs="宋体"/>
          <w:color w:val="auto"/>
          <w:sz w:val="24"/>
          <w:highlight w:val="none"/>
        </w:rPr>
        <w:t>加强管理，确保在国家、省、市、区的各项检查中不失责任分。</w:t>
      </w:r>
    </w:p>
    <w:p>
      <w:pPr>
        <w:tabs>
          <w:tab w:val="left" w:pos="851"/>
          <w:tab w:val="left" w:pos="993"/>
        </w:tabs>
        <w:wordWrap/>
        <w:adjustRightInd w:val="0"/>
        <w:snapToGrid w:val="0"/>
        <w:spacing w:line="600" w:lineRule="exact"/>
        <w:ind w:firstLine="480" w:firstLineChars="200"/>
        <w:rPr>
          <w:rFonts w:hint="eastAsia" w:ascii="宋体" w:hAnsi="宋体" w:eastAsia="宋体" w:cs="宋体"/>
          <w:b w:val="0"/>
          <w:bCs w:val="0"/>
          <w:color w:val="auto"/>
          <w:kern w:val="44"/>
          <w:sz w:val="24"/>
          <w:highlight w:val="none"/>
        </w:rPr>
      </w:pPr>
      <w:r>
        <w:rPr>
          <w:rFonts w:hint="eastAsia" w:ascii="宋体" w:hAnsi="宋体" w:eastAsia="宋体" w:cs="宋体"/>
          <w:b w:val="0"/>
          <w:bCs w:val="0"/>
          <w:color w:val="auto"/>
          <w:kern w:val="44"/>
          <w:sz w:val="24"/>
          <w:highlight w:val="none"/>
        </w:rPr>
        <w:t>2、偷倒垃圾清运要求</w:t>
      </w:r>
    </w:p>
    <w:p>
      <w:pPr>
        <w:tabs>
          <w:tab w:val="left" w:pos="851"/>
          <w:tab w:val="left" w:pos="993"/>
        </w:tabs>
        <w:wordWrap/>
        <w:adjustRightInd w:val="0"/>
        <w:snapToGrid w:val="0"/>
        <w:spacing w:line="600" w:lineRule="exact"/>
        <w:ind w:firstLine="480" w:firstLineChars="200"/>
        <w:rPr>
          <w:rFonts w:hint="eastAsia" w:ascii="宋体" w:hAnsi="宋体" w:eastAsia="宋体" w:cs="宋体"/>
          <w:b/>
          <w:bCs/>
          <w:color w:val="auto"/>
          <w:kern w:val="44"/>
          <w:sz w:val="24"/>
          <w:highlight w:val="none"/>
        </w:rPr>
      </w:pPr>
      <w:r>
        <w:rPr>
          <w:rFonts w:hint="eastAsia" w:ascii="宋体" w:hAnsi="宋体" w:eastAsia="宋体" w:cs="宋体"/>
          <w:bCs/>
          <w:color w:val="auto"/>
          <w:kern w:val="0"/>
          <w:sz w:val="24"/>
          <w:highlight w:val="none"/>
        </w:rPr>
        <w:t>2.1服务内容：</w:t>
      </w:r>
      <w:r>
        <w:rPr>
          <w:rFonts w:hint="eastAsia" w:ascii="宋体" w:hAnsi="宋体" w:eastAsia="宋体" w:cs="宋体"/>
          <w:color w:val="auto"/>
          <w:sz w:val="24"/>
          <w:highlight w:val="none"/>
        </w:rPr>
        <w:t>主要为本项目各个标段采购人管养范围内偷倒的垃圾清运</w:t>
      </w:r>
      <w:r>
        <w:rPr>
          <w:rFonts w:hint="eastAsia" w:ascii="宋体" w:hAnsi="宋体" w:eastAsia="宋体" w:cs="宋体"/>
          <w:bCs/>
          <w:color w:val="auto"/>
          <w:sz w:val="24"/>
          <w:highlight w:val="none"/>
        </w:rPr>
        <w:t>工作，垃圾运至杭州市余杭区综合行政执法局指定的消纳处置场所，相关费包含在本次招标内容中。</w:t>
      </w:r>
    </w:p>
    <w:p>
      <w:pPr>
        <w:wordWrap/>
        <w:adjustRightInd w:val="0"/>
        <w:snapToGrid w:val="0"/>
        <w:spacing w:line="600" w:lineRule="exact"/>
        <w:ind w:firstLine="480" w:firstLineChars="200"/>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2.2具体要求：</w:t>
      </w:r>
    </w:p>
    <w:p>
      <w:pPr>
        <w:wordWrap/>
        <w:adjustRightInd w:val="0"/>
        <w:snapToGrid w:val="0"/>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（1）在</w:t>
      </w:r>
      <w:r>
        <w:rPr>
          <w:rFonts w:hint="eastAsia" w:ascii="宋体" w:hAnsi="宋体" w:eastAsia="宋体" w:cs="宋体"/>
          <w:color w:val="auto"/>
          <w:sz w:val="24"/>
          <w:highlight w:val="none"/>
        </w:rPr>
        <w:t>服务期内，</w:t>
      </w:r>
      <w:r>
        <w:rPr>
          <w:rFonts w:hint="eastAsia" w:ascii="宋体" w:hAnsi="宋体" w:eastAsia="宋体" w:cs="宋体"/>
          <w:color w:val="auto"/>
          <w:kern w:val="0"/>
          <w:sz w:val="24"/>
          <w:highlight w:val="none"/>
        </w:rPr>
        <w:t>供应商应加强</w:t>
      </w:r>
      <w:r>
        <w:rPr>
          <w:rFonts w:hint="eastAsia" w:ascii="宋体" w:hAnsi="宋体" w:eastAsia="宋体" w:cs="宋体"/>
          <w:color w:val="auto"/>
          <w:sz w:val="24"/>
          <w:highlight w:val="none"/>
        </w:rPr>
        <w:t>所承包范围内防止垃圾偷倒的管理工作。如在所承包范围内发生偷倒，</w:t>
      </w:r>
      <w:r>
        <w:rPr>
          <w:rFonts w:hint="eastAsia" w:ascii="宋体" w:hAnsi="宋体" w:eastAsia="宋体" w:cs="宋体"/>
          <w:color w:val="auto"/>
          <w:kern w:val="0"/>
          <w:sz w:val="24"/>
          <w:highlight w:val="none"/>
        </w:rPr>
        <w:t>需完成</w:t>
      </w:r>
      <w:r>
        <w:rPr>
          <w:rFonts w:hint="eastAsia" w:ascii="宋体" w:hAnsi="宋体" w:eastAsia="宋体" w:cs="宋体"/>
          <w:color w:val="auto"/>
          <w:sz w:val="24"/>
          <w:highlight w:val="none"/>
        </w:rPr>
        <w:t>偷倒的垃圾清运</w:t>
      </w:r>
      <w:r>
        <w:rPr>
          <w:rFonts w:hint="eastAsia" w:ascii="宋体" w:hAnsi="宋体" w:eastAsia="宋体" w:cs="宋体"/>
          <w:bCs/>
          <w:color w:val="auto"/>
          <w:sz w:val="24"/>
          <w:highlight w:val="none"/>
        </w:rPr>
        <w:t>工作，</w:t>
      </w:r>
      <w:r>
        <w:rPr>
          <w:rFonts w:hint="eastAsia" w:ascii="宋体" w:hAnsi="宋体" w:eastAsia="宋体" w:cs="宋体"/>
          <w:color w:val="auto"/>
          <w:kern w:val="0"/>
          <w:sz w:val="24"/>
          <w:highlight w:val="none"/>
        </w:rPr>
        <w:t>垃圾的装车、运输至消纳处置场，因乱倒垃圾不符合相关要求所引发的问题，由供应商承担所有责任及赔偿费用。</w:t>
      </w:r>
    </w:p>
    <w:p>
      <w:pPr>
        <w:wordWrap/>
        <w:adjustRightInd w:val="0"/>
        <w:snapToGrid w:val="0"/>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（2）车辆要求：本项目所需的作业车辆应具有有效的道路运输经营许可证，并到采购单位备案。</w:t>
      </w:r>
    </w:p>
    <w:p>
      <w:pPr>
        <w:wordWrap/>
        <w:adjustRightInd w:val="0"/>
        <w:snapToGrid w:val="0"/>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bCs/>
          <w:color w:val="auto"/>
          <w:sz w:val="24"/>
          <w:highlight w:val="none"/>
        </w:rPr>
        <w:t>（3）</w:t>
      </w:r>
      <w:r>
        <w:rPr>
          <w:rFonts w:hint="eastAsia" w:ascii="宋体" w:hAnsi="宋体" w:eastAsia="宋体" w:cs="宋体"/>
          <w:color w:val="auto"/>
          <w:kern w:val="0"/>
          <w:sz w:val="24"/>
          <w:highlight w:val="none"/>
        </w:rPr>
        <w:t>装运时必须密封整洁，不得沿路抛撒、滴漏。遵守环境卫生作业标准、规范，装运后及时复位，清理作业场地，保持场地周边环境干净整洁；装运时须铺设地垫等设施，防止污染路面，做到车走地净。</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kern w:val="0"/>
          <w:sz w:val="24"/>
          <w:highlight w:val="none"/>
        </w:rPr>
        <w:t>（4）清理的时间要求：</w:t>
      </w:r>
      <w:r>
        <w:rPr>
          <w:rFonts w:hint="eastAsia" w:ascii="宋体" w:hAnsi="宋体" w:eastAsia="宋体" w:cs="宋体"/>
          <w:color w:val="auto"/>
          <w:kern w:val="0"/>
          <w:sz w:val="24"/>
          <w:highlight w:val="none"/>
          <w:u w:val="single"/>
        </w:rPr>
        <w:t>2小时之内清理</w:t>
      </w:r>
      <w:r>
        <w:rPr>
          <w:rFonts w:hint="eastAsia" w:ascii="宋体" w:hAnsi="宋体" w:eastAsia="宋体" w:cs="宋体"/>
          <w:color w:val="auto"/>
          <w:kern w:val="0"/>
          <w:sz w:val="24"/>
          <w:highlight w:val="none"/>
        </w:rPr>
        <w:t>。</w:t>
      </w:r>
    </w:p>
    <w:p>
      <w:pPr>
        <w:wordWrap/>
        <w:adjustRightInd w:val="0"/>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（二）绿化</w:t>
      </w:r>
      <w:r>
        <w:rPr>
          <w:rFonts w:hint="eastAsia" w:ascii="宋体" w:hAnsi="宋体" w:eastAsia="宋体" w:cs="宋体"/>
          <w:color w:val="auto"/>
          <w:sz w:val="24"/>
          <w:highlight w:val="none"/>
          <w:lang w:val="en-US" w:eastAsia="zh-CN"/>
        </w:rPr>
        <w:t>养护</w:t>
      </w:r>
      <w:r>
        <w:rPr>
          <w:rFonts w:hint="eastAsia" w:ascii="宋体" w:hAnsi="宋体" w:eastAsia="宋体" w:cs="宋体"/>
          <w:color w:val="auto"/>
          <w:sz w:val="24"/>
          <w:highlight w:val="none"/>
        </w:rPr>
        <w:t>作业标准</w:t>
      </w:r>
    </w:p>
    <w:p>
      <w:pPr>
        <w:wordWrap/>
        <w:adjustRightInd w:val="0"/>
        <w:snapToGrid/>
        <w:spacing w:before="0" w:beforeAutospacing="0" w:after="0" w:afterAutospacing="0" w:line="600" w:lineRule="exact"/>
        <w:ind w:firstLine="480" w:firstLineChars="20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bCs w:val="0"/>
          <w:i w:val="0"/>
          <w:caps w:val="0"/>
          <w:color w:val="auto"/>
          <w:spacing w:val="0"/>
          <w:w w:val="100"/>
          <w:kern w:val="2"/>
          <w:sz w:val="24"/>
          <w:szCs w:val="24"/>
          <w:highlight w:val="none"/>
          <w:lang w:val="en-US" w:eastAsia="zh-CN" w:bidi="ar-SA"/>
        </w:rPr>
        <w:t>1、总体标准：</w:t>
      </w:r>
      <w:r>
        <w:rPr>
          <w:rStyle w:val="962"/>
          <w:rFonts w:hint="eastAsia" w:ascii="宋体" w:hAnsi="宋体" w:eastAsia="宋体" w:cs="宋体"/>
          <w:b w:val="0"/>
          <w:i w:val="0"/>
          <w:caps w:val="0"/>
          <w:color w:val="auto"/>
          <w:spacing w:val="0"/>
          <w:w w:val="100"/>
          <w:kern w:val="2"/>
          <w:sz w:val="24"/>
          <w:szCs w:val="24"/>
          <w:highlight w:val="none"/>
          <w:lang w:val="en-US" w:eastAsia="zh-CN" w:bidi="ar-SA"/>
        </w:rPr>
        <w:t>指道路绿化带养护的整体质量，内容有养护质量、树木存活率、设施维护、土肥标准、病虫害防治标准及管理标准。</w:t>
      </w:r>
    </w:p>
    <w:p>
      <w:pPr>
        <w:wordWrap/>
        <w:adjustRightInd w:val="0"/>
        <w:snapToGrid/>
        <w:spacing w:before="0" w:beforeAutospacing="0" w:after="0" w:afterAutospacing="0" w:line="600" w:lineRule="exact"/>
        <w:ind w:firstLine="480" w:firstLineChars="20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1.1.植物养护标准：按道路绿化带的立地条件，对植物进行特殊养护、精心养护，使植物健康生长，具有良好的道路景观。</w:t>
      </w:r>
    </w:p>
    <w:p>
      <w:pPr>
        <w:wordWrap/>
        <w:adjustRightInd w:val="0"/>
        <w:snapToGrid/>
        <w:spacing w:before="0" w:beforeAutospacing="0" w:after="0" w:afterAutospacing="0" w:line="600" w:lineRule="exact"/>
        <w:ind w:firstLine="480" w:firstLineChars="20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1.2.树木种植成活率标准：当年新栽植物成活率达95%以上，保存率98%以上，无缺株、死株。</w:t>
      </w:r>
    </w:p>
    <w:p>
      <w:pPr>
        <w:wordWrap/>
        <w:adjustRightInd w:val="0"/>
        <w:snapToGrid/>
        <w:spacing w:before="0" w:beforeAutospacing="0" w:after="0" w:afterAutospacing="0" w:line="600" w:lineRule="exact"/>
        <w:ind w:firstLine="480" w:firstLineChars="20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1.3.土肥标准：土壤疏松，无积水，种植土低于容器（或侧石）上沿5cm；充分利用有机肥，也可用复合肥，增强土壤肥力（要求一年施肥二次，有机肥或复合肥总量不少于0.5kg／㎡），其理化性状应符合下列规定：ph值为6.7—7.5之间；石砾粒径≤5cm（高架挂箱石砾粒径≤2cm），含量≤8%（w/w）；有机质含量≥25g/kg。</w:t>
      </w:r>
    </w:p>
    <w:p>
      <w:pPr>
        <w:wordWrap/>
        <w:adjustRightInd w:val="0"/>
        <w:snapToGrid/>
        <w:spacing w:before="0" w:beforeAutospacing="0" w:after="0" w:afterAutospacing="0" w:line="600" w:lineRule="exact"/>
        <w:ind w:firstLine="480" w:firstLineChars="20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1.4.病虫害防治标准：提倡综合防治，病虫害应控制在以不影响观赏效果的危害程度之内。</w:t>
      </w:r>
    </w:p>
    <w:p>
      <w:pPr>
        <w:wordWrap/>
        <w:adjustRightInd w:val="0"/>
        <w:snapToGrid/>
        <w:spacing w:before="0" w:beforeAutospacing="0" w:after="0" w:afterAutospacing="0" w:line="600" w:lineRule="exact"/>
        <w:ind w:firstLine="480" w:firstLineChars="20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1.5.道路绿化带的具体养管标准。</w:t>
      </w:r>
    </w:p>
    <w:p>
      <w:pPr>
        <w:wordWrap/>
        <w:adjustRightInd w:val="0"/>
        <w:snapToGrid/>
        <w:spacing w:before="0" w:beforeAutospacing="0" w:after="0" w:afterAutospacing="0" w:line="600" w:lineRule="exact"/>
        <w:ind w:firstLine="480" w:firstLineChars="20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（1）道路绿化带景观要求。</w:t>
      </w:r>
    </w:p>
    <w:p>
      <w:pPr>
        <w:wordWrap/>
        <w:adjustRightInd w:val="0"/>
        <w:snapToGrid/>
        <w:spacing w:before="0" w:beforeAutospacing="0" w:after="0" w:afterAutospacing="0" w:line="600" w:lineRule="exact"/>
        <w:ind w:firstLine="480" w:firstLineChars="20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（2）采用修剪等特殊手法，控制植物高度，植物高度不得影响交通视线。</w:t>
      </w:r>
    </w:p>
    <w:p>
      <w:pPr>
        <w:wordWrap/>
        <w:adjustRightInd w:val="0"/>
        <w:snapToGrid/>
        <w:spacing w:before="0" w:beforeAutospacing="0" w:after="0" w:afterAutospacing="0" w:line="600" w:lineRule="exact"/>
        <w:ind w:firstLine="480" w:firstLineChars="20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（3）特殊地段的景观应按设计精心养护，形成有特色的植物景观。整形植物必须及时修剪保持形态，悬垂植物生长健壮，及时通过修剪去除枯死枝和调整高度及生长密度，整体效果良好。</w:t>
      </w:r>
    </w:p>
    <w:p>
      <w:pPr>
        <w:wordWrap/>
        <w:adjustRightInd w:val="0"/>
        <w:snapToGrid/>
        <w:spacing w:before="0" w:beforeAutospacing="0" w:after="0" w:afterAutospacing="0" w:line="600" w:lineRule="exact"/>
        <w:ind w:firstLine="480" w:firstLineChars="20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（4）花卉花期整齐，株行距适宜，无空秃、色彩效果好。</w:t>
      </w:r>
    </w:p>
    <w:p>
      <w:pPr>
        <w:wordWrap/>
        <w:adjustRightInd w:val="0"/>
        <w:snapToGrid/>
        <w:spacing w:before="0" w:beforeAutospacing="0" w:after="0" w:afterAutospacing="0" w:line="600" w:lineRule="exact"/>
        <w:ind w:firstLine="480" w:firstLineChars="20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（5）绿带必须无裸地，可种植地被植物或草坪。</w:t>
      </w:r>
    </w:p>
    <w:p>
      <w:pPr>
        <w:wordWrap/>
        <w:adjustRightInd w:val="0"/>
        <w:snapToGrid/>
        <w:spacing w:before="0" w:beforeAutospacing="0" w:after="0" w:afterAutospacing="0" w:line="600" w:lineRule="exact"/>
        <w:ind w:firstLine="480" w:firstLineChars="20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（6）绿带内无枯枝残叶、无杂草，整洁无垃圾；每天冲洗一次以上，植物叶面无积尘。</w:t>
      </w:r>
    </w:p>
    <w:p>
      <w:pPr>
        <w:wordWrap/>
        <w:adjustRightInd w:val="0"/>
        <w:snapToGrid/>
        <w:spacing w:before="0" w:beforeAutospacing="0" w:after="0" w:afterAutospacing="0" w:line="600" w:lineRule="exact"/>
        <w:ind w:firstLine="480" w:firstLineChars="20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（7）辅助设施（包括支撑物和悬挂容器）必须安全、完好、整洁、美观。</w:t>
      </w:r>
    </w:p>
    <w:p>
      <w:pPr>
        <w:wordWrap/>
        <w:adjustRightInd w:val="0"/>
        <w:snapToGrid/>
        <w:spacing w:before="0" w:beforeAutospacing="0" w:after="0" w:afterAutospacing="0" w:line="600" w:lineRule="exact"/>
        <w:ind w:firstLine="480" w:firstLineChars="20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（8）道路绿化带及悬垂挂箱冬季浇水应注意不要让水溢出，避免造成路面结冰。</w:t>
      </w:r>
    </w:p>
    <w:p>
      <w:pPr>
        <w:wordWrap/>
        <w:adjustRightInd w:val="0"/>
        <w:snapToGrid/>
        <w:spacing w:before="0" w:beforeAutospacing="0" w:after="0" w:afterAutospacing="0" w:line="600" w:lineRule="exact"/>
        <w:ind w:firstLine="480" w:firstLineChars="20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1.6.道路绿化带养护作业必须穿着有反光条的工作服，做到文明作业，尽量减少对行车的干扰。</w:t>
      </w:r>
    </w:p>
    <w:p>
      <w:pPr>
        <w:wordWrap/>
        <w:adjustRightInd w:val="0"/>
        <w:snapToGrid/>
        <w:spacing w:before="0" w:beforeAutospacing="0" w:after="0" w:afterAutospacing="0" w:line="600" w:lineRule="exact"/>
        <w:ind w:firstLine="480" w:firstLineChars="20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 xml:space="preserve">1.7.招标绿地内涉及到时花养护标准具体参照《杭州市城区花坛、花境养护管理规定（试行）》，加强对花卉的养护管理。时花更换全年至少为六次，在每一次更换时必须要将时花品种、数量方案事先向采购人报备，由采购人确定种植方案，否则将作无更换时花处理，种后由采购人现场验收签字确定，该项费用由投标人自行考虑，含在投标总报价中。 </w:t>
      </w:r>
    </w:p>
    <w:p>
      <w:pPr>
        <w:wordWrap/>
        <w:adjustRightInd w:val="0"/>
        <w:snapToGrid w:val="0"/>
        <w:spacing w:before="0" w:beforeAutospacing="0" w:after="0" w:afterAutospacing="0" w:line="600" w:lineRule="exact"/>
        <w:ind w:firstLine="470" w:firstLineChars="196"/>
        <w:jc w:val="both"/>
        <w:textAlignment w:val="baseline"/>
        <w:rPr>
          <w:rStyle w:val="962"/>
          <w:rFonts w:hint="eastAsia" w:ascii="宋体" w:hAnsi="宋体" w:eastAsia="宋体" w:cs="宋体"/>
          <w:b w:val="0"/>
          <w:bCs/>
          <w:i w:val="0"/>
          <w:caps w:val="0"/>
          <w:color w:val="auto"/>
          <w:spacing w:val="0"/>
          <w:w w:val="100"/>
          <w:kern w:val="2"/>
          <w:sz w:val="24"/>
          <w:szCs w:val="24"/>
          <w:highlight w:val="none"/>
          <w:lang w:val="en-US" w:eastAsia="zh-CN" w:bidi="ar-SA"/>
        </w:rPr>
      </w:pPr>
      <w:r>
        <w:rPr>
          <w:rStyle w:val="962"/>
          <w:rFonts w:hint="eastAsia" w:ascii="宋体" w:hAnsi="宋体" w:eastAsia="宋体" w:cs="宋体"/>
          <w:b w:val="0"/>
          <w:bCs/>
          <w:i w:val="0"/>
          <w:caps w:val="0"/>
          <w:color w:val="auto"/>
          <w:spacing w:val="0"/>
          <w:w w:val="100"/>
          <w:kern w:val="2"/>
          <w:sz w:val="24"/>
          <w:szCs w:val="24"/>
          <w:highlight w:val="none"/>
          <w:lang w:val="en-US" w:eastAsia="zh-CN" w:bidi="ar-SA"/>
        </w:rPr>
        <w:t>2.养护管理其他要求：</w:t>
      </w:r>
    </w:p>
    <w:p>
      <w:pPr>
        <w:wordWrap/>
        <w:adjustRightInd w:val="0"/>
        <w:snapToGrid w:val="0"/>
        <w:spacing w:before="0" w:beforeAutospacing="0" w:after="0" w:afterAutospacing="0" w:line="600" w:lineRule="exact"/>
        <w:ind w:firstLine="360" w:firstLineChars="15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1）投标方在养护作业中投入的机械设备、人员配置等必须与投标文件中所承诺的数量规格相符合。加强日常作业质量管理，做好作业质量自查日记，按时报送工作报表，一般每月25日前将下月工作计划上报采购人。</w:t>
      </w:r>
    </w:p>
    <w:p>
      <w:pPr>
        <w:wordWrap/>
        <w:adjustRightInd w:val="0"/>
        <w:snapToGrid w:val="0"/>
        <w:spacing w:before="0" w:beforeAutospacing="0" w:after="0" w:afterAutospacing="0" w:line="600" w:lineRule="exact"/>
        <w:ind w:firstLine="360" w:firstLineChars="15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（2）规范管理、文明作业、自觉接受采购人及其上级各部门领导的检查和社会监督，对出现的问题要及时整改。</w:t>
      </w:r>
    </w:p>
    <w:p>
      <w:pPr>
        <w:wordWrap/>
        <w:adjustRightInd w:val="0"/>
        <w:snapToGrid w:val="0"/>
        <w:spacing w:before="0" w:beforeAutospacing="0" w:after="0" w:afterAutospacing="0" w:line="600" w:lineRule="exact"/>
        <w:ind w:firstLine="360" w:firstLineChars="15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3）作业时应严格遵守交通规则、遵守安全操作规程，作业人员上路作业时须统一穿戴安全反光背心。加强日常安全生产管理，确保职工人身安全。如遇各种意外事故发生由中标单位自行负责，并依照法律法规妥善处理（事故情况应及时书面告知采购人）。</w:t>
      </w:r>
    </w:p>
    <w:p>
      <w:pPr>
        <w:wordWrap/>
        <w:adjustRightInd w:val="0"/>
        <w:snapToGrid/>
        <w:spacing w:before="0" w:beforeAutospacing="0" w:after="0" w:afterAutospacing="0" w:line="600" w:lineRule="exact"/>
        <w:ind w:firstLine="360" w:firstLineChars="15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4）①对枯死的树木应连同根部在规定时间内挖除，并在挖除后3天内补种完毕，补种苗木的规格、品种和原苗木基本相同，特殊情况无法补种原规格苗木的，需经采购人同意。②建筑废弃物在接到通知后24小时内清理完毕并及时外运。③因养护企业巡查不力，遇到因人为或其它因素造成的苗木损坏，包括因重大活动造成的损坏，养护企业必须无条件在3天内补种完毕，如遇特殊情况无法及时补种，须经采购人同意。④未经采购人同意，中标单位不得擅自挖掘毁坏苗木，一经发现，责令整改，通报批评，情节严重的，终止合同。</w:t>
      </w:r>
    </w:p>
    <w:p>
      <w:pPr>
        <w:wordWrap/>
        <w:adjustRightInd w:val="0"/>
        <w:snapToGrid/>
        <w:spacing w:before="0" w:beforeAutospacing="0" w:after="0" w:afterAutospacing="0" w:line="600" w:lineRule="exact"/>
        <w:ind w:firstLine="360" w:firstLineChars="15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5）制定全年及每月绿地养护工作计划，主要包括绿地的各类养护措施（如施肥、修剪、病虫害防治、植物浇水等）、养护质量及安全保证、养护应急管理预案（抗旱、抗涝、抗台、抗寒、抗雪等）、重点技术措施等，并于中标后及时上报采购人。安排养护管理力量，制定劳动力计划表，做好突击性工作的应急安排等，落实专职养护人员名单，养护管理责任人名单。制定时花调换全年计划，包括图案设计方案、花卉品种、调换时间、养护管理等。</w:t>
      </w:r>
    </w:p>
    <w:p>
      <w:pPr>
        <w:wordWrap/>
        <w:adjustRightInd w:val="0"/>
        <w:snapToGrid/>
        <w:spacing w:before="0" w:beforeAutospacing="0" w:after="0" w:afterAutospacing="0" w:line="600" w:lineRule="exact"/>
        <w:ind w:firstLine="360" w:firstLineChars="15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（6）道路绿化中标后，应给每一个道路绿化工作人员购买人身意外伤害保险；</w:t>
      </w:r>
    </w:p>
    <w:p>
      <w:pPr>
        <w:wordWrap/>
        <w:adjustRightInd w:val="0"/>
        <w:snapToGrid/>
        <w:spacing w:before="0" w:beforeAutospacing="0" w:after="0" w:afterAutospacing="0" w:line="600" w:lineRule="exact"/>
        <w:ind w:firstLine="360" w:firstLineChars="15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（7）加强绿化养护应急响应管理工作，具体要求参照《杭州市城区绿化防台树木支撑工作方案》。</w:t>
      </w:r>
    </w:p>
    <w:p>
      <w:pPr>
        <w:wordWrap/>
        <w:adjustRightInd w:val="0"/>
        <w:snapToGrid/>
        <w:spacing w:before="0" w:beforeAutospacing="0" w:after="0" w:afterAutospacing="0" w:line="600" w:lineRule="exact"/>
        <w:ind w:firstLine="48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①制定灾害性天气应急预案，建立应急救灾队伍，将应急预案和人员名单上报采购人备案。</w:t>
      </w:r>
    </w:p>
    <w:p>
      <w:pPr>
        <w:wordWrap/>
        <w:adjustRightInd w:val="0"/>
        <w:snapToGrid/>
        <w:spacing w:before="0" w:beforeAutospacing="0" w:after="0" w:afterAutospacing="0" w:line="600" w:lineRule="exact"/>
        <w:ind w:firstLine="480" w:firstLineChars="20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②建立应急备货制，备货的内容有：抗旱、抗涝、抗台、抗寒、抗雪等物资（支撑钢管、毛竹、水泵、遮阴网、草包等），快速支撑钢管只能做为一部分应急物资储备，不是唯一的抗台应急物资。</w:t>
      </w:r>
    </w:p>
    <w:p>
      <w:pPr>
        <w:wordWrap/>
        <w:adjustRightInd w:val="0"/>
        <w:snapToGrid/>
        <w:spacing w:before="0" w:beforeAutospacing="0" w:after="0" w:afterAutospacing="0" w:line="600" w:lineRule="exact"/>
        <w:ind w:firstLine="480" w:firstLineChars="20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 xml:space="preserve">③遇灾害性天气，听从采购人统一指挥，及时组织人员夏季抗旱、抗台，冬季遇积雪必须及时组织人员进行抗雪。遇到树木斜倒时，根据采购人要求，做好清障扶正工作。 </w:t>
      </w:r>
    </w:p>
    <w:p>
      <w:pPr>
        <w:wordWrap/>
        <w:adjustRightInd w:val="0"/>
        <w:snapToGrid/>
        <w:spacing w:before="0" w:beforeAutospacing="0" w:after="0" w:afterAutospacing="0" w:line="600" w:lineRule="exact"/>
        <w:ind w:firstLine="480" w:firstLineChars="20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④做好防台树木支撑工作，在市气象台发出台风预警信号以后，立即做好树木支撑工作。</w:t>
      </w:r>
    </w:p>
    <w:p>
      <w:pPr>
        <w:wordWrap/>
        <w:adjustRightInd w:val="0"/>
        <w:snapToGrid w:val="0"/>
        <w:spacing w:before="0" w:beforeAutospacing="0" w:after="0" w:afterAutospacing="0" w:line="600" w:lineRule="exact"/>
        <w:ind w:firstLine="360" w:firstLineChars="15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（8）中标单位根据采购人通知要求，做好各类“迎检”和“创建”准备工作。</w:t>
      </w:r>
    </w:p>
    <w:p>
      <w:pPr>
        <w:wordWrap/>
        <w:adjustRightInd w:val="0"/>
        <w:snapToGrid/>
        <w:spacing w:before="0" w:beforeAutospacing="0" w:after="0" w:afterAutospacing="0" w:line="600" w:lineRule="exact"/>
        <w:ind w:firstLine="360" w:firstLineChars="15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（9）经过园林绿化管理部门批准的绿地内挖掘及占用绿地时，中标单位应予以积极配合，复种后的绿地应由中标单位负责正常养护。</w:t>
      </w:r>
    </w:p>
    <w:p>
      <w:pPr>
        <w:wordWrap/>
        <w:adjustRightIn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10</w:t>
      </w:r>
      <w:r>
        <w:rPr>
          <w:rFonts w:hint="eastAsia" w:ascii="宋体" w:hAnsi="宋体" w:eastAsia="宋体" w:cs="宋体"/>
          <w:color w:val="auto"/>
          <w:sz w:val="24"/>
          <w:highlight w:val="none"/>
        </w:rPr>
        <w:t>）要求公园、广场内的园路、硬质铺装、所有照明设施等养护质量达到《余杭区市政设施养护质量标准》。包括公园、广场内设施油漆，发现油漆剥落问题，即知即改；木质景观廊架、长廊油漆，每年梅雨季节前油漆桐油一次；保持园内水池清洁，水体不浑浊、无漂浮物、无青苔等其它垃圾。</w:t>
      </w:r>
    </w:p>
    <w:p>
      <w:pPr>
        <w:wordWrap/>
        <w:adjustRightIn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11</w:t>
      </w:r>
      <w:r>
        <w:rPr>
          <w:rFonts w:hint="eastAsia" w:ascii="宋体" w:hAnsi="宋体" w:eastAsia="宋体" w:cs="宋体"/>
          <w:color w:val="auto"/>
          <w:sz w:val="24"/>
          <w:highlight w:val="none"/>
        </w:rPr>
        <w:t>）建立日常巡查制度，巡查人员对所管辖的绿地每天巡查一次，发现问题及时整改。建立养护管理工作台帐，做好养护工作日报、月报、年报，健全养护档案制度。</w:t>
      </w:r>
    </w:p>
    <w:p>
      <w:pPr>
        <w:wordWrap/>
        <w:adjustRightInd w:val="0"/>
        <w:snapToGrid/>
        <w:spacing w:before="0" w:beforeAutospacing="0" w:after="0" w:afterAutospacing="0" w:line="600" w:lineRule="exact"/>
        <w:ind w:firstLine="360" w:firstLineChars="15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p>
    <w:p>
      <w:pPr>
        <w:wordWrap/>
        <w:adjustRightInd w:val="0"/>
        <w:snapToGrid/>
        <w:spacing w:before="0" w:beforeAutospacing="0" w:after="0" w:afterAutospacing="0" w:line="600" w:lineRule="exact"/>
        <w:ind w:firstLine="360" w:firstLineChars="150"/>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（12）绿化养护期内产生的各种的垃圾必须进入垃圾中转站，其处理产生费用由中标单位负责。</w:t>
      </w:r>
    </w:p>
    <w:p>
      <w:pPr>
        <w:pStyle w:val="963"/>
        <w:widowControl/>
        <w:wordWrap/>
        <w:adjustRightInd w:val="0"/>
        <w:snapToGrid/>
        <w:spacing w:before="0" w:beforeAutospacing="0" w:after="0" w:afterAutospacing="0" w:line="600" w:lineRule="exact"/>
        <w:ind w:firstLine="352" w:firstLineChars="147"/>
        <w:jc w:val="both"/>
        <w:textAlignment w:val="baseline"/>
        <w:rPr>
          <w:rStyle w:val="962"/>
          <w:rFonts w:hint="eastAsia" w:ascii="宋体" w:hAnsi="宋体" w:eastAsia="宋体" w:cs="宋体"/>
          <w:b w:val="0"/>
          <w:i w:val="0"/>
          <w:caps w:val="0"/>
          <w:color w:val="auto"/>
          <w:spacing w:val="0"/>
          <w:w w:val="100"/>
          <w:kern w:val="2"/>
          <w:sz w:val="24"/>
          <w:szCs w:val="24"/>
          <w:highlight w:val="none"/>
          <w:lang w:val="en-US" w:eastAsia="zh-CN" w:bidi="ar-SA"/>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（13）中标单位在养护管理期间，由于养管不力，采购人有权终止合同，并由中标单位承担一切责任。</w:t>
      </w:r>
    </w:p>
    <w:p>
      <w:pPr>
        <w:wordWrap/>
        <w:adjustRightIn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三</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市政养护</w:t>
      </w:r>
      <w:r>
        <w:rPr>
          <w:rFonts w:hint="eastAsia" w:ascii="宋体" w:hAnsi="宋体" w:eastAsia="宋体" w:cs="宋体"/>
          <w:color w:val="auto"/>
          <w:sz w:val="24"/>
          <w:highlight w:val="none"/>
        </w:rPr>
        <w:t>作业标准</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1、中标方在日常巡检、经常性检查和常规的定期检测、定期维护中，发现设施有明显破损、设备有隐患，应立即进行保养；大面积维修，方案需报甲方审核后实施；对道路因不适应现有交通量、载重量增长的需要及结构严重损坏，需恢复或提高技术等级，从而提高其运行能力的加固、改扩建工程，乙方应专题上报，并经甲方审定后申请立项。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2、中标方应建立一路一档，健全日常养护作业记录，认真做好台帐的整理和归档工作，及时将日常养护、维修、检测、技术状况评价等相关数据及时、准确报送至甲方。</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3、针对配套管线、管沟、无产权单位窨井发生下沉、坍塌等情况，对于产权明确的管线、窨井问题（如电力、电信、自来水等），及时报告甲方同时必须通知相应产权单位自行维护、处理；一时无法确定产权单位、存在安全隐患、无产权单位窨井发生下沉、坍塌等情况，乙方应做好临时维护措施，确保行人、车辆安全，同时及时报告采购方。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4、养护作业单位安全生产工作落实，避免发生交通事故，对辖区一线道路养护人员进行安全生产全面轮训，新上岗人员应实施安全生产培训后方可上岗，自觉养成“一停二看三作业”的良好习惯，提高自我防范意识。如遇意外伤亡交通事故发生应及时上报。养护人员须穿反光背心，作业车辆要在车辆前部、后部、两侧设置反光标识。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5其他要求：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5.1 本项目投标报价为费率报价包括（人工费、材料费、机械使用费、相关设备系统安装费、管理、利润、规费、税金、招标代理费、有关部门的验收费、政策性文件规定及合同包含的所有风险、责任及其他因本项目而产生的一切费用。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5.2 养护期限内，明确承包人只有养护权，没有管理权，市政道路设施管理由杭州市余杭区人民政府五常街道办事处全权管理。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5.3 投标人中标后，发包人与中标人签订安全生产责任书，责任书中明确提出，在养护期间所发生的任何安全事故一律由承包人负责，发包人不承担任何责任。发包人会定期对安全生产进行检查，万一出现安全事故，发包人有义务帮助承包人协调解决。</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5.4 施工养护期间，对于原市政道路设施存在的问题，承包人负有担负调查、分析原因和提出整改方案的义务，具体更换或维修由发包人统一安排。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5.5 在养护期限内产生的各种费用（运输、装卸、堆放、场地租用费及其他有关费用）由投标单位负责。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5.6 中标人必须做好相关工作人员安全、文明的教育交底工作，交通安全、用电安全尤其是道路安全隐患（比如道路坑洞、井盖缺失或破损）的排查工作，如发生安全意外事故，一切责任由中标单位负责，负责做好赔偿等事宜。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5.7 本养护项目考核评分细则中的内容，也作为本工程招标的特殊条款，为招标文件的组成部分，作为中标后养护管理的考核标准，施工养护期内，招标人有权修改、完善、提升养护考核细则，更新的养护细则中标人须无条件接受。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5.8 道路养护巡查每次至少两个人，交通工具视具体情况而定，鼓励自行车或步行为主，及时发现问题，涉及安全事宜，应立即采取措施，清除安全隐患，事后及时报告，若巡查不到位，造成不良影响的，每次罚款 2000 元。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5.9 养护人员需统一服装，并有相应上岗证，在道路上养护时，需做好用电安全、交通安全维护，如有需要须经交警部门审批后方可实施。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5.10 道路养护单位中标后必须配备 100 米以上的移动标准标志牌，尺寸为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1.5m*1.2m。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5.11 市政道路养护单位必须重视养护工程质量，各分项工程质量（比如砼、水稳、沥青砼路面等）必须符合市政工程施工质量规范相关规定，施工过程必须做好相应的试块，并送专业实验室检测，检测费用由中标单位承担，若经过相关试验检测结果不合格，须返工处理，投标人必须无条件接受。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5.12 若市政道路砼、水稳、沥青砼路面存在外观欠佳、平整度差、表面松散等情况，招标人有权决定是否返工处理，投标人必须无条件接受。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5.13 为缩短沥青路面修补的时间，保持道路安全畅通和城市整洁美观，要求沥青路面修补在基层保养合格后或接到业主要求后，当天完成沥青路面修补。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5.14 在养护过程中，发包人若在该区域有新接收的市政道路设施，有权要求承包人无条件养护，养护工作量按实计算。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5.15 在承包期内如因承包人原因造成招标人财产损失的，招标人有权酌情扣去履约保证金。 </w:t>
      </w:r>
    </w:p>
    <w:p>
      <w:pPr>
        <w:widowControl/>
        <w:wordWrap/>
        <w:adjustRightInd w:val="0"/>
        <w:spacing w:line="600" w:lineRule="exact"/>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 xml:space="preserve">5.16 具体在养护合同中予以明确。 </w:t>
      </w:r>
    </w:p>
    <w:p>
      <w:pPr>
        <w:pStyle w:val="4"/>
        <w:rPr>
          <w:rFonts w:hint="eastAsia" w:ascii="宋体" w:hAnsi="宋体" w:eastAsia="宋体" w:cs="宋体"/>
          <w:color w:val="auto"/>
          <w:kern w:val="0"/>
          <w:sz w:val="24"/>
          <w:szCs w:val="24"/>
          <w:highlight w:val="none"/>
          <w:lang w:val="en-US" w:eastAsia="zh-CN"/>
        </w:rPr>
      </w:pP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（四）河道养护作业标准</w:t>
      </w:r>
    </w:p>
    <w:p>
      <w:pPr>
        <w:spacing w:line="360" w:lineRule="auto"/>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第一章 总则</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第一条 为进一步规范城市河道日常养护操作管理，确保河道养护质量，树立城市河道养护人员良好的服务形象，特制定本规范。</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第二条 本规范是杭州市城市河道养护作业人员队伍队容风纪管理的基本依据，适用于杭州市区范围内（上城区、下城区、江干区、拱墅区、西湖区、景区、萧山区、余杭区、滨江区、经济技术开发区）所有城市河道一线养护作业人员。</w:t>
      </w:r>
    </w:p>
    <w:p>
      <w:pPr>
        <w:spacing w:line="360" w:lineRule="auto"/>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第二章 仪容仪表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第三条 河道作业人员工作期间应穿着统一工作服，保持着装整洁。</w:t>
      </w:r>
    </w:p>
    <w:p>
      <w:pPr>
        <w:numPr>
          <w:ilvl w:val="0"/>
          <w:numId w:val="5"/>
        </w:num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作业时必须穿戴统一配发的工作服、工号牌。</w:t>
      </w:r>
    </w:p>
    <w:p>
      <w:pPr>
        <w:spacing w:line="360" w:lineRule="auto"/>
        <w:ind w:firstLine="2040" w:firstLineChars="850"/>
        <w:rPr>
          <w:rFonts w:hint="eastAsia" w:ascii="宋体" w:hAnsi="宋体" w:eastAsia="宋体" w:cs="宋体"/>
          <w:color w:val="auto"/>
          <w:sz w:val="24"/>
          <w:highlight w:val="none"/>
        </w:rPr>
      </w:pPr>
      <w:r>
        <w:rPr>
          <w:rFonts w:hint="eastAsia" w:ascii="宋体" w:hAnsi="宋体" w:eastAsia="宋体" w:cs="宋体"/>
          <w:color w:val="auto"/>
          <w:sz w:val="24"/>
          <w:highlight w:val="none"/>
        </w:rPr>
        <w:t>正面                               侧面</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2"/>
          <w:sz w:val="24"/>
          <w:szCs w:val="24"/>
          <w:highlight w:val="none"/>
          <w:lang w:val="en-US" w:eastAsia="zh-CN" w:bidi="ar-SA"/>
        </w:rPr>
        <w:drawing>
          <wp:inline distT="0" distB="0" distL="114300" distR="114300">
            <wp:extent cx="2095500" cy="2676525"/>
            <wp:effectExtent l="0" t="0" r="0"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32">
                      <a:lum/>
                    </a:blip>
                    <a:stretch>
                      <a:fillRect/>
                    </a:stretch>
                  </pic:blipFill>
                  <pic:spPr>
                    <a:xfrm>
                      <a:off x="0" y="0"/>
                      <a:ext cx="2095500" cy="2676525"/>
                    </a:xfrm>
                    <a:prstGeom prst="rect">
                      <a:avLst/>
                    </a:prstGeom>
                    <a:noFill/>
                    <a:ln>
                      <a:noFill/>
                    </a:ln>
                  </pic:spPr>
                </pic:pic>
              </a:graphicData>
            </a:graphic>
          </wp:inline>
        </w:drawing>
      </w:r>
      <w:r>
        <w:rPr>
          <w:rFonts w:hint="eastAsia" w:ascii="宋体" w:hAnsi="宋体" w:eastAsia="宋体" w:cs="宋体"/>
          <w:color w:val="auto"/>
          <w:sz w:val="24"/>
          <w:highlight w:val="none"/>
        </w:rPr>
        <w:t xml:space="preserve">          </w:t>
      </w:r>
      <w:r>
        <w:rPr>
          <w:rFonts w:hint="eastAsia" w:ascii="宋体" w:hAnsi="宋体" w:eastAsia="宋体" w:cs="宋体"/>
          <w:color w:val="auto"/>
          <w:kern w:val="2"/>
          <w:sz w:val="24"/>
          <w:szCs w:val="24"/>
          <w:highlight w:val="none"/>
          <w:lang w:val="en-US" w:eastAsia="zh-CN" w:bidi="ar-SA"/>
        </w:rPr>
        <w:drawing>
          <wp:inline distT="0" distB="0" distL="114300" distR="114300">
            <wp:extent cx="1943100" cy="272415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33">
                      <a:lum/>
                    </a:blip>
                    <a:stretch>
                      <a:fillRect/>
                    </a:stretch>
                  </pic:blipFill>
                  <pic:spPr>
                    <a:xfrm>
                      <a:off x="0" y="0"/>
                      <a:ext cx="1943100" cy="2724150"/>
                    </a:xfrm>
                    <a:prstGeom prst="rect">
                      <a:avLst/>
                    </a:prstGeom>
                    <a:noFill/>
                    <a:ln>
                      <a:noFill/>
                    </a:ln>
                  </pic:spPr>
                </pic:pic>
              </a:graphicData>
            </a:graphic>
          </wp:inline>
        </w:drawing>
      </w:r>
      <w:r>
        <w:rPr>
          <w:rFonts w:hint="eastAsia" w:ascii="宋体" w:hAnsi="宋体" w:eastAsia="宋体" w:cs="宋体"/>
          <w:color w:val="auto"/>
          <w:sz w:val="24"/>
          <w:highlight w:val="non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（二）作业时衣着整齐，工作服无污渍、无破损、无脱线、无纽扣缺损，扣全纽扣，不敞衣露怀（河面养护时须着救生衣），不挽袖卷裤腿（防汛时除外），不穿拖鞋工作。</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工号牌要求佩戴在左胸前，表面保持干净，避免污渍迹沾染。工号牌长6.5cm，宽2cm，底色橘黄，字体为宋体，工号由各城区头两个字的首位字母和4位数字组成，如上城区，用SC开头后面跟0001，各城区可结合实际具体划分后四位数字。</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第四条 河道作业人员工号牌，一人一号，不得转借。河道作业人员在非工作时间，不得穿戴工作服，凡离开河道作业队伍时，工作服和工号牌一律上交。</w:t>
      </w:r>
    </w:p>
    <w:p>
      <w:pPr>
        <w:spacing w:line="360" w:lineRule="auto"/>
        <w:ind w:firstLine="660"/>
        <w:rPr>
          <w:rFonts w:hint="eastAsia" w:ascii="宋体" w:hAnsi="宋体" w:eastAsia="宋体" w:cs="宋体"/>
          <w:color w:val="auto"/>
          <w:sz w:val="24"/>
          <w:highlight w:val="none"/>
        </w:rPr>
      </w:pPr>
      <w:r>
        <w:rPr>
          <w:rFonts w:hint="eastAsia" w:ascii="宋体" w:hAnsi="宋体" w:eastAsia="宋体" w:cs="宋体"/>
          <w:color w:val="auto"/>
          <w:sz w:val="24"/>
          <w:highlight w:val="none"/>
        </w:rPr>
        <w:t>第五条 河道作业人员仪表应当整洁。男作业人员不得留长发、蓄长须；女作业人员上岗前应把头发夹好。</w:t>
      </w:r>
    </w:p>
    <w:p>
      <w:pPr>
        <w:spacing w:line="360" w:lineRule="auto"/>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第三章 行为规范</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第六条 河道作业人员应自觉做到文明礼仪，文明用语，礼让行人，规范作业，不得与他人、单位发生冲突。</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第七条 作业时间内严禁饮酒及酒后作业。不得边作业边吸烟、吃零食，不得聚堆闲聊、打牌休闲，不得从事与本职无关的其它活动。</w:t>
      </w:r>
    </w:p>
    <w:p>
      <w:pPr>
        <w:spacing w:line="360" w:lineRule="auto"/>
        <w:rPr>
          <w:rFonts w:hint="eastAsia" w:ascii="宋体" w:hAnsi="宋体" w:eastAsia="宋体" w:cs="宋体"/>
          <w:snapToGrid w:val="0"/>
          <w:color w:val="auto"/>
          <w:sz w:val="24"/>
          <w:szCs w:val="21"/>
          <w:highlight w:val="none"/>
        </w:rPr>
      </w:pPr>
      <w:r>
        <w:rPr>
          <w:rFonts w:hint="eastAsia" w:ascii="宋体" w:hAnsi="宋体" w:eastAsia="宋体" w:cs="宋体"/>
          <w:color w:val="auto"/>
          <w:sz w:val="24"/>
          <w:highlight w:val="none"/>
        </w:rPr>
        <w:t xml:space="preserve">    第八条 河岸作业人员应将作业工具和设备摆放整齐，不得将扫帚、畚箕等作业工具存放在绿化带中。垃圾运输车辆保持车容车貌整洁，停放在不影响其它车辆、行人通行的合适位置。河面作业人员下班时应将作业船只打扫干净并系在固定地点。非作业需要，不</w:t>
      </w:r>
      <w:r>
        <w:rPr>
          <w:rFonts w:hint="eastAsia" w:ascii="宋体" w:hAnsi="宋体" w:eastAsia="宋体" w:cs="宋体"/>
          <w:snapToGrid w:val="0"/>
          <w:color w:val="auto"/>
          <w:sz w:val="24"/>
          <w:szCs w:val="21"/>
          <w:highlight w:val="none"/>
        </w:rPr>
        <w:t>得使用作业车辆或船只。</w:t>
      </w:r>
    </w:p>
    <w:p>
      <w:pPr>
        <w:spacing w:line="360" w:lineRule="auto"/>
        <w:ind w:firstLine="475" w:firstLineChars="198"/>
        <w:rPr>
          <w:rFonts w:hint="eastAsia" w:ascii="宋体" w:hAnsi="宋体" w:eastAsia="宋体" w:cs="宋体"/>
          <w:color w:val="auto"/>
          <w:sz w:val="24"/>
          <w:highlight w:val="none"/>
        </w:rPr>
      </w:pPr>
      <w:r>
        <w:rPr>
          <w:rFonts w:hint="eastAsia" w:ascii="宋体" w:hAnsi="宋体" w:eastAsia="宋体" w:cs="宋体"/>
          <w:snapToGrid w:val="0"/>
          <w:color w:val="auto"/>
          <w:sz w:val="24"/>
          <w:szCs w:val="21"/>
          <w:highlight w:val="none"/>
        </w:rPr>
        <w:t>第九条 河岸作业人员作业时不漏扫、返扫，变换工作位置时，不得将工具沿地拖行或扛在肩上，</w:t>
      </w:r>
      <w:r>
        <w:rPr>
          <w:rFonts w:hint="eastAsia" w:ascii="宋体" w:hAnsi="宋体" w:eastAsia="宋体" w:cs="宋体"/>
          <w:color w:val="auto"/>
          <w:sz w:val="24"/>
          <w:highlight w:val="none"/>
        </w:rPr>
        <w:t>应将工具手持离地或放置于作业车辆内。作业时装载垃圾防止撒漏，以免影响环境卫生。不得在河道内清洗作业工具。</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第十条 主动向班组长反馈作业过程中发现的异常情况（如违章行为、水质突变、已整治河道排水口晴天出水等现象）。</w:t>
      </w:r>
    </w:p>
    <w:p>
      <w:pPr>
        <w:pStyle w:val="4"/>
        <w:jc w:val="center"/>
        <w:rPr>
          <w:rFonts w:hint="eastAsia" w:ascii="宋体" w:hAnsi="宋体" w:eastAsia="宋体" w:cs="宋体"/>
          <w:b/>
          <w:bCs/>
          <w:color w:val="auto"/>
          <w:kern w:val="2"/>
          <w:sz w:val="36"/>
          <w:szCs w:val="36"/>
          <w:highlight w:val="none"/>
          <w:lang w:val="en-US" w:eastAsia="zh-CN" w:bidi="ar-SA"/>
        </w:rPr>
      </w:pPr>
      <w:r>
        <w:rPr>
          <w:rFonts w:hint="eastAsia" w:ascii="宋体" w:hAnsi="宋体" w:eastAsia="宋体" w:cs="宋体"/>
          <w:b/>
          <w:bCs/>
          <w:color w:val="auto"/>
          <w:kern w:val="2"/>
          <w:sz w:val="36"/>
          <w:szCs w:val="36"/>
          <w:highlight w:val="none"/>
          <w:lang w:val="en-US" w:eastAsia="zh-CN" w:bidi="ar-SA"/>
        </w:rPr>
        <w:t>综合养护考核</w:t>
      </w:r>
    </w:p>
    <w:p>
      <w:pPr>
        <w:widowControl w:val="0"/>
        <w:wordWrap/>
        <w:adjustRightInd/>
        <w:snapToGrid/>
        <w:spacing w:line="560" w:lineRule="exact"/>
        <w:jc w:val="center"/>
        <w:textAlignment w:val="auto"/>
        <w:rPr>
          <w:rFonts w:hint="eastAsia" w:ascii="宋体" w:hAnsi="宋体" w:eastAsia="宋体" w:cs="宋体"/>
          <w:b/>
          <w:bCs/>
          <w:color w:val="auto"/>
          <w:sz w:val="24"/>
          <w:highlight w:val="none"/>
        </w:rPr>
      </w:pPr>
      <w:r>
        <w:rPr>
          <w:rFonts w:hint="eastAsia" w:ascii="宋体" w:hAnsi="宋体" w:eastAsia="宋体" w:cs="宋体"/>
          <w:b/>
          <w:bCs/>
          <w:snapToGrid w:val="0"/>
          <w:color w:val="auto"/>
          <w:kern w:val="2"/>
          <w:sz w:val="24"/>
          <w:szCs w:val="21"/>
          <w:highlight w:val="none"/>
          <w:lang w:val="en-US" w:eastAsia="zh-CN" w:bidi="ar-SA"/>
        </w:rPr>
        <w:t>按关于进一步完善五常街道城市一体化综合养护考核办法的通知</w:t>
      </w:r>
      <w:r>
        <w:rPr>
          <w:rFonts w:hint="eastAsia" w:ascii="宋体" w:hAnsi="宋体" w:eastAsia="宋体" w:cs="宋体"/>
          <w:b/>
          <w:bCs/>
          <w:color w:val="auto"/>
          <w:sz w:val="24"/>
          <w:highlight w:val="none"/>
        </w:rPr>
        <w:t>（附件1-</w:t>
      </w:r>
      <w:r>
        <w:rPr>
          <w:rFonts w:hint="eastAsia" w:hAnsi="宋体" w:cs="宋体"/>
          <w:b/>
          <w:bCs/>
          <w:color w:val="auto"/>
          <w:sz w:val="24"/>
          <w:highlight w:val="none"/>
          <w:lang w:val="en-US" w:eastAsia="zh-CN"/>
        </w:rPr>
        <w:t>6</w:t>
      </w:r>
      <w:r>
        <w:rPr>
          <w:rFonts w:hint="eastAsia" w:ascii="宋体" w:hAnsi="宋体" w:eastAsia="宋体" w:cs="宋体"/>
          <w:b/>
          <w:bCs/>
          <w:color w:val="auto"/>
          <w:sz w:val="24"/>
          <w:highlight w:val="none"/>
        </w:rPr>
        <w:t>）规定执行。</w:t>
      </w: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spacing w:line="59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附件1：</w:t>
      </w:r>
    </w:p>
    <w:p>
      <w:pPr>
        <w:spacing w:line="560" w:lineRule="exact"/>
        <w:jc w:val="center"/>
        <w:rPr>
          <w:rFonts w:hint="eastAsia" w:ascii="宋体" w:hAnsi="宋体" w:eastAsia="宋体" w:cs="宋体"/>
          <w:b/>
          <w:color w:val="auto"/>
          <w:sz w:val="24"/>
          <w:szCs w:val="24"/>
          <w:highlight w:val="none"/>
          <w:lang w:val="en-US" w:eastAsia="zh-CN"/>
        </w:rPr>
      </w:pPr>
      <w:r>
        <w:rPr>
          <w:rFonts w:hint="eastAsia" w:ascii="宋体" w:hAnsi="宋体" w:cs="宋体"/>
          <w:b/>
          <w:bCs/>
          <w:color w:val="auto"/>
          <w:sz w:val="32"/>
          <w:szCs w:val="32"/>
          <w:highlight w:val="none"/>
          <w:lang w:eastAsia="zh-CN"/>
        </w:rPr>
        <w:t>（</w:t>
      </w:r>
      <w:r>
        <w:rPr>
          <w:rFonts w:hint="eastAsia" w:ascii="宋体" w:hAnsi="宋体" w:cs="宋体"/>
          <w:b/>
          <w:bCs/>
          <w:color w:val="auto"/>
          <w:sz w:val="32"/>
          <w:szCs w:val="32"/>
          <w:highlight w:val="none"/>
          <w:lang w:val="en-US" w:eastAsia="zh-CN"/>
        </w:rPr>
        <w:t>一</w:t>
      </w:r>
      <w:r>
        <w:rPr>
          <w:rFonts w:hint="eastAsia" w:ascii="宋体" w:hAnsi="宋体" w:cs="宋体"/>
          <w:b/>
          <w:bCs/>
          <w:color w:val="auto"/>
          <w:sz w:val="32"/>
          <w:szCs w:val="32"/>
          <w:highlight w:val="none"/>
          <w:lang w:eastAsia="zh-CN"/>
        </w:rPr>
        <w:t>）</w:t>
      </w:r>
      <w:r>
        <w:rPr>
          <w:rFonts w:hint="eastAsia" w:ascii="宋体" w:hAnsi="宋体" w:eastAsia="宋体" w:cs="宋体"/>
          <w:b/>
          <w:bCs/>
          <w:color w:val="auto"/>
          <w:sz w:val="32"/>
          <w:szCs w:val="32"/>
          <w:highlight w:val="none"/>
        </w:rPr>
        <w:t>市政设施</w:t>
      </w:r>
      <w:r>
        <w:rPr>
          <w:rFonts w:hint="eastAsia" w:ascii="宋体" w:hAnsi="宋体" w:cs="宋体"/>
          <w:b/>
          <w:bCs/>
          <w:color w:val="auto"/>
          <w:sz w:val="32"/>
          <w:szCs w:val="32"/>
          <w:highlight w:val="none"/>
          <w:lang w:val="en-US" w:eastAsia="zh-CN"/>
        </w:rPr>
        <w:t>管养</w:t>
      </w:r>
      <w:r>
        <w:rPr>
          <w:rFonts w:hint="eastAsia" w:ascii="宋体" w:hAnsi="宋体" w:eastAsia="宋体" w:cs="宋体"/>
          <w:b/>
          <w:bCs/>
          <w:color w:val="auto"/>
          <w:sz w:val="32"/>
          <w:szCs w:val="32"/>
          <w:highlight w:val="none"/>
        </w:rPr>
        <w:t>考核</w:t>
      </w:r>
      <w:r>
        <w:rPr>
          <w:rFonts w:hint="eastAsia" w:ascii="宋体" w:hAnsi="宋体" w:eastAsia="宋体" w:cs="宋体"/>
          <w:b/>
          <w:bCs/>
          <w:color w:val="auto"/>
          <w:sz w:val="32"/>
          <w:szCs w:val="32"/>
          <w:highlight w:val="none"/>
          <w:lang w:val="en-US" w:eastAsia="zh-CN"/>
        </w:rPr>
        <w:t>办法</w:t>
      </w:r>
    </w:p>
    <w:p>
      <w:pPr>
        <w:spacing w:line="590" w:lineRule="exact"/>
        <w:ind w:firstLine="482" w:firstLineChars="200"/>
        <w:rPr>
          <w:rFonts w:hint="eastAsia" w:ascii="仿宋_GB2312" w:eastAsia="仿宋_GB2312"/>
          <w:b/>
          <w:color w:val="auto"/>
          <w:sz w:val="24"/>
          <w:szCs w:val="24"/>
          <w:highlight w:val="none"/>
        </w:rPr>
      </w:pPr>
      <w:r>
        <w:rPr>
          <w:rFonts w:hint="eastAsia" w:ascii="宋体" w:hAnsi="宋体" w:eastAsia="宋体" w:cs="宋体"/>
          <w:b/>
          <w:color w:val="auto"/>
          <w:sz w:val="24"/>
          <w:szCs w:val="24"/>
          <w:highlight w:val="none"/>
        </w:rPr>
        <w:t xml:space="preserve">考核对象：                                  </w:t>
      </w: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rPr>
        <w:t xml:space="preserve">考核时间：   </w:t>
      </w:r>
      <w:r>
        <w:rPr>
          <w:rFonts w:hint="eastAsia" w:ascii="仿宋_GB2312" w:eastAsia="仿宋_GB2312"/>
          <w:b/>
          <w:color w:val="auto"/>
          <w:sz w:val="24"/>
          <w:szCs w:val="24"/>
          <w:highlight w:val="none"/>
        </w:rPr>
        <w:t xml:space="preserve">    </w:t>
      </w:r>
    </w:p>
    <w:tbl>
      <w:tblPr>
        <w:tblStyle w:val="62"/>
        <w:tblW w:w="9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323"/>
        <w:gridCol w:w="5539"/>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754" w:type="dxa"/>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考核   项目</w:t>
            </w:r>
          </w:p>
        </w:tc>
        <w:tc>
          <w:tcPr>
            <w:tcW w:w="1323" w:type="dxa"/>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考核内容</w:t>
            </w:r>
          </w:p>
        </w:tc>
        <w:tc>
          <w:tcPr>
            <w:tcW w:w="5539" w:type="dxa"/>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考核标准</w:t>
            </w:r>
          </w:p>
        </w:tc>
        <w:tc>
          <w:tcPr>
            <w:tcW w:w="1463" w:type="dxa"/>
            <w:vAlign w:val="center"/>
          </w:tcPr>
          <w:p>
            <w:pPr>
              <w:spacing w:line="240" w:lineRule="exact"/>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扣除分值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754" w:type="dxa"/>
            <w:vMerge w:val="restart"/>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道路    设施</w:t>
            </w:r>
          </w:p>
          <w:p>
            <w:pPr>
              <w:spacing w:line="240" w:lineRule="exact"/>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养护</w:t>
            </w:r>
          </w:p>
          <w:p>
            <w:pPr>
              <w:spacing w:line="240" w:lineRule="exact"/>
              <w:jc w:val="center"/>
              <w:rPr>
                <w:rFonts w:hint="eastAsia" w:ascii="宋体" w:hAnsi="宋体" w:eastAsia="宋体" w:cs="宋体"/>
                <w:b w:val="0"/>
                <w:bCs/>
                <w:color w:val="auto"/>
                <w:sz w:val="21"/>
                <w:szCs w:val="21"/>
                <w:highlight w:val="none"/>
              </w:rPr>
            </w:pPr>
          </w:p>
        </w:tc>
        <w:tc>
          <w:tcPr>
            <w:tcW w:w="1323" w:type="dxa"/>
            <w:vMerge w:val="restart"/>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路面养护</w:t>
            </w:r>
          </w:p>
        </w:tc>
        <w:tc>
          <w:tcPr>
            <w:tcW w:w="5539" w:type="dxa"/>
            <w:vAlign w:val="center"/>
          </w:tcPr>
          <w:p>
            <w:pPr>
              <w:spacing w:line="2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路面裂缝宽度大于0.5CM，长度小于3M，未做灌缝处理的</w:t>
            </w:r>
          </w:p>
        </w:tc>
        <w:tc>
          <w:tcPr>
            <w:tcW w:w="1463" w:type="dxa"/>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0.2分</w:t>
            </w:r>
            <w:r>
              <w:rPr>
                <w:rFonts w:hint="eastAsia" w:ascii="宋体" w:hAnsi="宋体" w:eastAsia="宋体" w:cs="宋体"/>
                <w:b w:val="0"/>
                <w:bCs/>
                <w:color w:val="auto"/>
                <w:sz w:val="21"/>
                <w:szCs w:val="21"/>
                <w:highlight w:val="none"/>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754"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1323"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5539" w:type="dxa"/>
            <w:vAlign w:val="center"/>
          </w:tcPr>
          <w:p>
            <w:pPr>
              <w:spacing w:line="2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拥包、车辙、搓板、松散、脱皮、烂边、啃边的</w:t>
            </w:r>
          </w:p>
        </w:tc>
        <w:tc>
          <w:tcPr>
            <w:tcW w:w="1463" w:type="dxa"/>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0.5</w:t>
            </w:r>
            <w:r>
              <w:rPr>
                <w:rFonts w:hint="eastAsia" w:ascii="宋体" w:hAnsi="宋体" w:eastAsia="宋体" w:cs="宋体"/>
                <w:b w:val="0"/>
                <w:bCs/>
                <w:color w:val="auto"/>
                <w:sz w:val="21"/>
                <w:szCs w:val="21"/>
                <w:highlight w:val="none"/>
                <w:lang w:eastAsia="zh-CN"/>
              </w:rPr>
              <w:t>分</w:t>
            </w:r>
            <w:r>
              <w:rPr>
                <w:rFonts w:hint="eastAsia" w:ascii="宋体" w:hAnsi="宋体" w:eastAsia="宋体" w:cs="宋体"/>
                <w:b w:val="0"/>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754"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1323"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5539" w:type="dxa"/>
            <w:vAlign w:val="center"/>
          </w:tcPr>
          <w:p>
            <w:pPr>
              <w:spacing w:line="2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碎裂、坑洞、沉陷、泛油的</w:t>
            </w:r>
          </w:p>
        </w:tc>
        <w:tc>
          <w:tcPr>
            <w:tcW w:w="1463" w:type="dxa"/>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cs="宋体"/>
                <w:b w:val="0"/>
                <w:bCs/>
                <w:color w:val="auto"/>
                <w:sz w:val="21"/>
                <w:szCs w:val="21"/>
                <w:highlight w:val="none"/>
                <w:lang w:val="en-US" w:eastAsia="zh-CN"/>
              </w:rPr>
              <w:t>0.5</w:t>
            </w:r>
            <w:r>
              <w:rPr>
                <w:rFonts w:hint="eastAsia" w:ascii="宋体" w:hAnsi="宋体" w:eastAsia="宋体" w:cs="宋体"/>
                <w:b w:val="0"/>
                <w:bCs/>
                <w:color w:val="auto"/>
                <w:sz w:val="21"/>
                <w:szCs w:val="21"/>
                <w:highlight w:val="none"/>
                <w:lang w:eastAsia="zh-CN"/>
              </w:rPr>
              <w:t>分</w:t>
            </w:r>
            <w:r>
              <w:rPr>
                <w:rFonts w:hint="eastAsia" w:ascii="宋体" w:hAnsi="宋体" w:eastAsia="宋体" w:cs="宋体"/>
                <w:b w:val="0"/>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754"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1323"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5539" w:type="dxa"/>
            <w:vAlign w:val="center"/>
          </w:tcPr>
          <w:p>
            <w:pPr>
              <w:spacing w:line="2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10平方米以上大面积积水的</w:t>
            </w:r>
          </w:p>
        </w:tc>
        <w:tc>
          <w:tcPr>
            <w:tcW w:w="1463" w:type="dxa"/>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lang w:eastAsia="zh-CN"/>
              </w:rPr>
              <w:t>分</w:t>
            </w:r>
            <w:r>
              <w:rPr>
                <w:rFonts w:hint="eastAsia" w:ascii="宋体" w:hAnsi="宋体" w:eastAsia="宋体" w:cs="宋体"/>
                <w:b w:val="0"/>
                <w:bCs/>
                <w:color w:val="auto"/>
                <w:sz w:val="21"/>
                <w:szCs w:val="21"/>
                <w:highlight w:val="none"/>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54"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1323" w:type="dxa"/>
            <w:vMerge w:val="restart"/>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人行道养护</w:t>
            </w:r>
          </w:p>
        </w:tc>
        <w:tc>
          <w:tcPr>
            <w:tcW w:w="5539" w:type="dxa"/>
            <w:vAlign w:val="center"/>
          </w:tcPr>
          <w:p>
            <w:pPr>
              <w:spacing w:line="2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坑洞、沉陷的</w:t>
            </w:r>
          </w:p>
        </w:tc>
        <w:tc>
          <w:tcPr>
            <w:tcW w:w="1463" w:type="dxa"/>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cs="宋体"/>
                <w:b w:val="0"/>
                <w:bCs/>
                <w:color w:val="auto"/>
                <w:sz w:val="21"/>
                <w:szCs w:val="21"/>
                <w:highlight w:val="none"/>
                <w:lang w:val="en-US" w:eastAsia="zh-CN"/>
              </w:rPr>
              <w:t>0.5</w:t>
            </w:r>
            <w:r>
              <w:rPr>
                <w:rFonts w:hint="eastAsia" w:ascii="宋体" w:hAnsi="宋体" w:eastAsia="宋体" w:cs="宋体"/>
                <w:b w:val="0"/>
                <w:bCs/>
                <w:color w:val="auto"/>
                <w:sz w:val="21"/>
                <w:szCs w:val="21"/>
                <w:highlight w:val="none"/>
                <w:lang w:eastAsia="zh-CN"/>
              </w:rPr>
              <w:t>分</w:t>
            </w:r>
            <w:r>
              <w:rPr>
                <w:rFonts w:hint="eastAsia" w:ascii="宋体" w:hAnsi="宋体" w:eastAsia="宋体" w:cs="宋体"/>
                <w:b w:val="0"/>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754"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1323"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5539" w:type="dxa"/>
            <w:vAlign w:val="center"/>
          </w:tcPr>
          <w:p>
            <w:pPr>
              <w:spacing w:line="2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拱起、松动、</w:t>
            </w:r>
            <w:r>
              <w:rPr>
                <w:rFonts w:hint="eastAsia" w:ascii="宋体" w:hAnsi="宋体" w:eastAsia="宋体" w:cs="宋体"/>
                <w:b w:val="0"/>
                <w:bCs/>
                <w:color w:val="auto"/>
                <w:sz w:val="21"/>
                <w:szCs w:val="21"/>
                <w:highlight w:val="none"/>
                <w:lang w:eastAsia="zh-CN"/>
              </w:rPr>
              <w:t>积水、</w:t>
            </w:r>
            <w:r>
              <w:rPr>
                <w:rFonts w:hint="eastAsia" w:ascii="宋体" w:hAnsi="宋体" w:eastAsia="宋体" w:cs="宋体"/>
                <w:b w:val="0"/>
                <w:bCs/>
                <w:color w:val="auto"/>
                <w:sz w:val="21"/>
                <w:szCs w:val="21"/>
                <w:highlight w:val="none"/>
              </w:rPr>
              <w:t>跷破、缺失、错台的</w:t>
            </w:r>
          </w:p>
        </w:tc>
        <w:tc>
          <w:tcPr>
            <w:tcW w:w="1463" w:type="dxa"/>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cs="宋体"/>
                <w:b w:val="0"/>
                <w:bCs/>
                <w:color w:val="auto"/>
                <w:sz w:val="21"/>
                <w:szCs w:val="21"/>
                <w:highlight w:val="none"/>
                <w:lang w:val="en-US" w:eastAsia="zh-CN"/>
              </w:rPr>
              <w:t>0.2</w:t>
            </w:r>
            <w:r>
              <w:rPr>
                <w:rFonts w:hint="eastAsia" w:ascii="宋体" w:hAnsi="宋体" w:eastAsia="宋体" w:cs="宋体"/>
                <w:b w:val="0"/>
                <w:bCs/>
                <w:color w:val="auto"/>
                <w:sz w:val="21"/>
                <w:szCs w:val="21"/>
                <w:highlight w:val="none"/>
                <w:lang w:eastAsia="zh-CN"/>
              </w:rPr>
              <w:t>分</w:t>
            </w:r>
            <w:r>
              <w:rPr>
                <w:rFonts w:hint="eastAsia" w:ascii="宋体" w:hAnsi="宋体" w:eastAsia="宋体" w:cs="宋体"/>
                <w:b w:val="0"/>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754"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1323"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5539" w:type="dxa"/>
            <w:vAlign w:val="center"/>
          </w:tcPr>
          <w:p>
            <w:pPr>
              <w:spacing w:line="2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平侧石破损缺少的</w:t>
            </w:r>
          </w:p>
        </w:tc>
        <w:tc>
          <w:tcPr>
            <w:tcW w:w="1463" w:type="dxa"/>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cs="宋体"/>
                <w:b w:val="0"/>
                <w:bCs/>
                <w:color w:val="auto"/>
                <w:sz w:val="21"/>
                <w:szCs w:val="21"/>
                <w:highlight w:val="none"/>
                <w:lang w:val="en-US" w:eastAsia="zh-CN"/>
              </w:rPr>
              <w:t>0.3</w:t>
            </w:r>
            <w:r>
              <w:rPr>
                <w:rFonts w:hint="eastAsia" w:ascii="宋体" w:hAnsi="宋体" w:eastAsia="宋体" w:cs="宋体"/>
                <w:b w:val="0"/>
                <w:bCs/>
                <w:color w:val="auto"/>
                <w:sz w:val="21"/>
                <w:szCs w:val="21"/>
                <w:highlight w:val="none"/>
                <w:lang w:eastAsia="zh-CN"/>
              </w:rPr>
              <w:t>分</w:t>
            </w:r>
            <w:r>
              <w:rPr>
                <w:rFonts w:hint="eastAsia" w:ascii="宋体" w:hAnsi="宋体" w:eastAsia="宋体" w:cs="宋体"/>
                <w:b w:val="0"/>
                <w:bCs/>
                <w:color w:val="auto"/>
                <w:sz w:val="21"/>
                <w:szCs w:val="21"/>
                <w:highlight w:val="none"/>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754"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1323" w:type="dxa"/>
            <w:vMerge w:val="restart"/>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管渠、检查井及雨水设施</w:t>
            </w:r>
          </w:p>
        </w:tc>
        <w:tc>
          <w:tcPr>
            <w:tcW w:w="5539" w:type="dxa"/>
            <w:vAlign w:val="center"/>
          </w:tcPr>
          <w:p>
            <w:pPr>
              <w:spacing w:line="2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雨、污水检查井盖（雨水口篦子）与道路高差超过20MM</w:t>
            </w:r>
          </w:p>
        </w:tc>
        <w:tc>
          <w:tcPr>
            <w:tcW w:w="1463" w:type="dxa"/>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cs="宋体"/>
                <w:b w:val="0"/>
                <w:bCs/>
                <w:color w:val="auto"/>
                <w:sz w:val="21"/>
                <w:szCs w:val="21"/>
                <w:highlight w:val="none"/>
                <w:lang w:val="en-US" w:eastAsia="zh-CN"/>
              </w:rPr>
              <w:t>0.2</w:t>
            </w:r>
            <w:r>
              <w:rPr>
                <w:rFonts w:hint="eastAsia" w:ascii="宋体" w:hAnsi="宋体" w:eastAsia="宋体" w:cs="宋体"/>
                <w:b w:val="0"/>
                <w:bCs/>
                <w:color w:val="auto"/>
                <w:sz w:val="21"/>
                <w:szCs w:val="21"/>
                <w:highlight w:val="none"/>
                <w:lang w:eastAsia="zh-CN"/>
              </w:rPr>
              <w:t>分</w:t>
            </w:r>
            <w:r>
              <w:rPr>
                <w:rFonts w:hint="eastAsia" w:ascii="宋体" w:hAnsi="宋体" w:eastAsia="宋体" w:cs="宋体"/>
                <w:b w:val="0"/>
                <w:bCs/>
                <w:color w:val="auto"/>
                <w:sz w:val="21"/>
                <w:szCs w:val="21"/>
                <w:highlight w:val="none"/>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754"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1323"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5539" w:type="dxa"/>
            <w:vAlign w:val="center"/>
          </w:tcPr>
          <w:p>
            <w:pPr>
              <w:spacing w:line="240" w:lineRule="exac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eastAsia="zh-CN"/>
              </w:rPr>
              <w:t>雨、污水检查井盖，产权井井盖缺失、破损有安全隐患不及时做好安全围护和报告的</w:t>
            </w:r>
          </w:p>
        </w:tc>
        <w:tc>
          <w:tcPr>
            <w:tcW w:w="1463" w:type="dxa"/>
            <w:vAlign w:val="center"/>
          </w:tcPr>
          <w:p>
            <w:pPr>
              <w:spacing w:line="240" w:lineRule="exact"/>
              <w:jc w:val="center"/>
              <w:rPr>
                <w:rFonts w:hint="eastAsia"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lang w:val="en-US" w:eastAsia="zh-CN"/>
              </w:rPr>
              <w:t>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754"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1323"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5539" w:type="dxa"/>
            <w:vAlign w:val="center"/>
          </w:tcPr>
          <w:p>
            <w:pPr>
              <w:spacing w:line="2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产权井井盖损坏或与高差超20MM不及时报告</w:t>
            </w:r>
          </w:p>
        </w:tc>
        <w:tc>
          <w:tcPr>
            <w:tcW w:w="1463" w:type="dxa"/>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cs="宋体"/>
                <w:b w:val="0"/>
                <w:bCs/>
                <w:color w:val="auto"/>
                <w:sz w:val="21"/>
                <w:szCs w:val="21"/>
                <w:highlight w:val="none"/>
                <w:lang w:val="en-US" w:eastAsia="zh-CN"/>
              </w:rPr>
              <w:t>0.2</w:t>
            </w:r>
            <w:r>
              <w:rPr>
                <w:rFonts w:hint="eastAsia" w:ascii="宋体" w:hAnsi="宋体" w:eastAsia="宋体" w:cs="宋体"/>
                <w:b w:val="0"/>
                <w:bCs/>
                <w:color w:val="auto"/>
                <w:sz w:val="21"/>
                <w:szCs w:val="21"/>
                <w:highlight w:val="none"/>
                <w:lang w:eastAsia="zh-CN"/>
              </w:rPr>
              <w:t>分</w:t>
            </w:r>
            <w:r>
              <w:rPr>
                <w:rFonts w:hint="eastAsia" w:ascii="宋体" w:hAnsi="宋体" w:eastAsia="宋体" w:cs="宋体"/>
                <w:b w:val="0"/>
                <w:bCs/>
                <w:color w:val="auto"/>
                <w:sz w:val="21"/>
                <w:szCs w:val="21"/>
                <w:highlight w:val="none"/>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754"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1323"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5539" w:type="dxa"/>
            <w:vAlign w:val="center"/>
          </w:tcPr>
          <w:p>
            <w:pPr>
              <w:spacing w:line="2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窨井盖板缺失、断裂、反盖、错盖</w:t>
            </w:r>
          </w:p>
        </w:tc>
        <w:tc>
          <w:tcPr>
            <w:tcW w:w="1463" w:type="dxa"/>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lang w:eastAsia="zh-CN"/>
              </w:rPr>
              <w:t>分</w:t>
            </w:r>
            <w:r>
              <w:rPr>
                <w:rFonts w:hint="eastAsia" w:ascii="宋体" w:hAnsi="宋体" w:eastAsia="宋体" w:cs="宋体"/>
                <w:b w:val="0"/>
                <w:bCs/>
                <w:color w:val="auto"/>
                <w:sz w:val="21"/>
                <w:szCs w:val="21"/>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754"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1323"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5539" w:type="dxa"/>
            <w:vAlign w:val="center"/>
          </w:tcPr>
          <w:p>
            <w:pPr>
              <w:spacing w:line="2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排水管渠堵塞</w:t>
            </w:r>
          </w:p>
        </w:tc>
        <w:tc>
          <w:tcPr>
            <w:tcW w:w="1463" w:type="dxa"/>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cs="宋体"/>
                <w:b w:val="0"/>
                <w:bCs/>
                <w:color w:val="auto"/>
                <w:sz w:val="21"/>
                <w:szCs w:val="21"/>
                <w:highlight w:val="none"/>
                <w:lang w:val="en-US" w:eastAsia="zh-CN"/>
              </w:rPr>
              <w:t>0.5</w:t>
            </w:r>
            <w:r>
              <w:rPr>
                <w:rFonts w:hint="eastAsia" w:ascii="宋体" w:hAnsi="宋体" w:eastAsia="宋体" w:cs="宋体"/>
                <w:b w:val="0"/>
                <w:bCs/>
                <w:color w:val="auto"/>
                <w:sz w:val="21"/>
                <w:szCs w:val="21"/>
                <w:highlight w:val="none"/>
                <w:lang w:eastAsia="zh-CN"/>
              </w:rPr>
              <w:t>分</w:t>
            </w:r>
            <w:r>
              <w:rPr>
                <w:rFonts w:hint="eastAsia" w:ascii="宋体" w:hAnsi="宋体" w:eastAsia="宋体" w:cs="宋体"/>
                <w:b w:val="0"/>
                <w:bCs/>
                <w:color w:val="auto"/>
                <w:sz w:val="21"/>
                <w:szCs w:val="21"/>
                <w:highlight w:val="none"/>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754"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1323"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5539" w:type="dxa"/>
            <w:vAlign w:val="center"/>
          </w:tcPr>
          <w:p>
            <w:pPr>
              <w:spacing w:line="2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kern w:val="0"/>
                <w:sz w:val="21"/>
                <w:szCs w:val="21"/>
                <w:highlight w:val="none"/>
                <w:lang w:val="en-US" w:eastAsia="zh-CN"/>
              </w:rPr>
              <w:t>检查井安全防护网设置不到位</w:t>
            </w:r>
          </w:p>
        </w:tc>
        <w:tc>
          <w:tcPr>
            <w:tcW w:w="1463" w:type="dxa"/>
            <w:vAlign w:val="center"/>
          </w:tcPr>
          <w:p>
            <w:pPr>
              <w:spacing w:line="240" w:lineRule="exact"/>
              <w:jc w:val="center"/>
              <w:rPr>
                <w:rFonts w:hint="eastAsia"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0.2</w:t>
            </w:r>
            <w:r>
              <w:rPr>
                <w:rFonts w:hint="eastAsia" w:ascii="宋体" w:hAnsi="宋体" w:eastAsia="宋体" w:cs="宋体"/>
                <w:b w:val="0"/>
                <w:bCs/>
                <w:color w:val="auto"/>
                <w:sz w:val="21"/>
                <w:szCs w:val="21"/>
                <w:highlight w:val="none"/>
                <w:lang w:eastAsia="zh-CN"/>
              </w:rPr>
              <w:t>分</w:t>
            </w:r>
            <w:r>
              <w:rPr>
                <w:rFonts w:hint="eastAsia" w:ascii="宋体" w:hAnsi="宋体" w:eastAsia="宋体" w:cs="宋体"/>
                <w:b w:val="0"/>
                <w:bCs/>
                <w:color w:val="auto"/>
                <w:sz w:val="21"/>
                <w:szCs w:val="21"/>
                <w:highlight w:val="none"/>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754" w:type="dxa"/>
            <w:vMerge w:val="restart"/>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桥梁设施养护</w:t>
            </w:r>
          </w:p>
        </w:tc>
        <w:tc>
          <w:tcPr>
            <w:tcW w:w="1323" w:type="dxa"/>
            <w:vMerge w:val="restart"/>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上（下）部结构、栏杆、排水设施、附属设施</w:t>
            </w:r>
          </w:p>
        </w:tc>
        <w:tc>
          <w:tcPr>
            <w:tcW w:w="5539" w:type="dxa"/>
            <w:vAlign w:val="center"/>
          </w:tcPr>
          <w:p>
            <w:pPr>
              <w:spacing w:line="2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桥面裂缝、坑槽、梁板有麻面、伸缩缝破损、支座破损的</w:t>
            </w:r>
          </w:p>
        </w:tc>
        <w:tc>
          <w:tcPr>
            <w:tcW w:w="1463" w:type="dxa"/>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cs="宋体"/>
                <w:b w:val="0"/>
                <w:bCs/>
                <w:color w:val="auto"/>
                <w:sz w:val="21"/>
                <w:szCs w:val="21"/>
                <w:highlight w:val="none"/>
                <w:lang w:val="en-US" w:eastAsia="zh-CN"/>
              </w:rPr>
              <w:t>0.2</w:t>
            </w:r>
            <w:r>
              <w:rPr>
                <w:rFonts w:hint="eastAsia" w:ascii="宋体" w:hAnsi="宋体" w:eastAsia="宋体" w:cs="宋体"/>
                <w:b w:val="0"/>
                <w:bCs/>
                <w:color w:val="auto"/>
                <w:sz w:val="21"/>
                <w:szCs w:val="21"/>
                <w:highlight w:val="none"/>
                <w:lang w:eastAsia="zh-CN"/>
              </w:rPr>
              <w:t>分</w:t>
            </w:r>
            <w:r>
              <w:rPr>
                <w:rFonts w:hint="eastAsia" w:ascii="宋体" w:hAnsi="宋体" w:eastAsia="宋体" w:cs="宋体"/>
                <w:b w:val="0"/>
                <w:bCs/>
                <w:color w:val="auto"/>
                <w:sz w:val="21"/>
                <w:szCs w:val="21"/>
                <w:highlight w:val="none"/>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754"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1323"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5539" w:type="dxa"/>
            <w:vAlign w:val="center"/>
          </w:tcPr>
          <w:p>
            <w:pPr>
              <w:spacing w:line="2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墩台墙柱开裂的</w:t>
            </w:r>
          </w:p>
        </w:tc>
        <w:tc>
          <w:tcPr>
            <w:tcW w:w="1463" w:type="dxa"/>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cs="宋体"/>
                <w:b w:val="0"/>
                <w:bCs/>
                <w:color w:val="auto"/>
                <w:sz w:val="21"/>
                <w:szCs w:val="21"/>
                <w:highlight w:val="none"/>
                <w:lang w:val="en-US" w:eastAsia="zh-CN"/>
              </w:rPr>
              <w:t>0.5</w:t>
            </w:r>
            <w:r>
              <w:rPr>
                <w:rFonts w:hint="eastAsia" w:ascii="宋体" w:hAnsi="宋体" w:eastAsia="宋体" w:cs="宋体"/>
                <w:b w:val="0"/>
                <w:bCs/>
                <w:color w:val="auto"/>
                <w:sz w:val="21"/>
                <w:szCs w:val="21"/>
                <w:highlight w:val="none"/>
                <w:lang w:eastAsia="zh-CN"/>
              </w:rPr>
              <w:t>分</w:t>
            </w:r>
            <w:r>
              <w:rPr>
                <w:rFonts w:hint="eastAsia" w:ascii="宋体" w:hAnsi="宋体" w:eastAsia="宋体" w:cs="宋体"/>
                <w:b w:val="0"/>
                <w:bCs/>
                <w:color w:val="auto"/>
                <w:sz w:val="21"/>
                <w:szCs w:val="21"/>
                <w:highlight w:val="none"/>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754"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1323"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5539" w:type="dxa"/>
            <w:vAlign w:val="center"/>
          </w:tcPr>
          <w:p>
            <w:pPr>
              <w:spacing w:line="2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基础下沉</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基础移位</w:t>
            </w:r>
          </w:p>
        </w:tc>
        <w:tc>
          <w:tcPr>
            <w:tcW w:w="1463" w:type="dxa"/>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lang w:eastAsia="zh-CN"/>
              </w:rPr>
              <w:t>分</w:t>
            </w:r>
            <w:r>
              <w:rPr>
                <w:rFonts w:hint="eastAsia" w:ascii="宋体" w:hAnsi="宋体" w:eastAsia="宋体" w:cs="宋体"/>
                <w:b w:val="0"/>
                <w:bCs/>
                <w:color w:val="auto"/>
                <w:sz w:val="21"/>
                <w:szCs w:val="21"/>
                <w:highlight w:val="none"/>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754"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1323"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5539" w:type="dxa"/>
            <w:vAlign w:val="center"/>
          </w:tcPr>
          <w:p>
            <w:pPr>
              <w:spacing w:line="2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栏杆结构不牢、排水孔堵塞、挡墙损坏开裂的</w:t>
            </w:r>
          </w:p>
        </w:tc>
        <w:tc>
          <w:tcPr>
            <w:tcW w:w="1463" w:type="dxa"/>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cs="宋体"/>
                <w:b w:val="0"/>
                <w:bCs/>
                <w:color w:val="auto"/>
                <w:sz w:val="21"/>
                <w:szCs w:val="21"/>
                <w:highlight w:val="none"/>
                <w:lang w:val="en-US" w:eastAsia="zh-CN"/>
              </w:rPr>
              <w:t>0.2</w:t>
            </w:r>
            <w:r>
              <w:rPr>
                <w:rFonts w:hint="eastAsia" w:ascii="宋体" w:hAnsi="宋体" w:eastAsia="宋体" w:cs="宋体"/>
                <w:b w:val="0"/>
                <w:bCs/>
                <w:color w:val="auto"/>
                <w:sz w:val="21"/>
                <w:szCs w:val="21"/>
                <w:highlight w:val="none"/>
                <w:lang w:eastAsia="zh-CN"/>
              </w:rPr>
              <w:t>分</w:t>
            </w:r>
            <w:r>
              <w:rPr>
                <w:rFonts w:hint="eastAsia" w:ascii="宋体" w:hAnsi="宋体" w:eastAsia="宋体" w:cs="宋体"/>
                <w:b w:val="0"/>
                <w:bCs/>
                <w:color w:val="auto"/>
                <w:sz w:val="21"/>
                <w:szCs w:val="21"/>
                <w:highlight w:val="none"/>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754" w:type="dxa"/>
            <w:vMerge w:val="continue"/>
            <w:tcBorders>
              <w:bottom w:val="single" w:color="auto" w:sz="4" w:space="0"/>
            </w:tcBorders>
            <w:vAlign w:val="center"/>
          </w:tcPr>
          <w:p>
            <w:pPr>
              <w:spacing w:line="240" w:lineRule="exact"/>
              <w:jc w:val="center"/>
              <w:rPr>
                <w:rFonts w:hint="eastAsia" w:ascii="宋体" w:hAnsi="宋体" w:eastAsia="宋体" w:cs="宋体"/>
                <w:b w:val="0"/>
                <w:bCs/>
                <w:color w:val="auto"/>
                <w:sz w:val="21"/>
                <w:szCs w:val="21"/>
                <w:highlight w:val="none"/>
              </w:rPr>
            </w:pPr>
          </w:p>
        </w:tc>
        <w:tc>
          <w:tcPr>
            <w:tcW w:w="1323" w:type="dxa"/>
            <w:vMerge w:val="continue"/>
            <w:tcBorders>
              <w:bottom w:val="single" w:color="auto" w:sz="4" w:space="0"/>
            </w:tcBorders>
            <w:vAlign w:val="center"/>
          </w:tcPr>
          <w:p>
            <w:pPr>
              <w:spacing w:line="240" w:lineRule="exact"/>
              <w:jc w:val="center"/>
              <w:rPr>
                <w:rFonts w:hint="eastAsia" w:ascii="宋体" w:hAnsi="宋体" w:eastAsia="宋体" w:cs="宋体"/>
                <w:b w:val="0"/>
                <w:bCs/>
                <w:color w:val="auto"/>
                <w:sz w:val="21"/>
                <w:szCs w:val="21"/>
                <w:highlight w:val="none"/>
              </w:rPr>
            </w:pPr>
          </w:p>
        </w:tc>
        <w:tc>
          <w:tcPr>
            <w:tcW w:w="5539" w:type="dxa"/>
            <w:tcBorders>
              <w:bottom w:val="single" w:color="auto" w:sz="4" w:space="0"/>
            </w:tcBorders>
            <w:vAlign w:val="center"/>
          </w:tcPr>
          <w:p>
            <w:pPr>
              <w:widowControl/>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kern w:val="0"/>
                <w:sz w:val="21"/>
                <w:szCs w:val="21"/>
                <w:highlight w:val="none"/>
                <w:lang w:val="en-US" w:eastAsia="zh-CN"/>
              </w:rPr>
              <w:t xml:space="preserve">桥名、限重等标志不清晰、 缺少、破损。 </w:t>
            </w:r>
          </w:p>
        </w:tc>
        <w:tc>
          <w:tcPr>
            <w:tcW w:w="1463" w:type="dxa"/>
            <w:tcBorders>
              <w:bottom w:val="single" w:color="auto" w:sz="4" w:space="0"/>
            </w:tcBorders>
            <w:vAlign w:val="center"/>
          </w:tcPr>
          <w:p>
            <w:pPr>
              <w:spacing w:line="240" w:lineRule="exact"/>
              <w:jc w:val="center"/>
              <w:rPr>
                <w:rFonts w:hint="eastAsia"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0.2</w:t>
            </w:r>
            <w:r>
              <w:rPr>
                <w:rFonts w:hint="eastAsia" w:ascii="宋体" w:hAnsi="宋体" w:eastAsia="宋体" w:cs="宋体"/>
                <w:b w:val="0"/>
                <w:bCs/>
                <w:color w:val="auto"/>
                <w:sz w:val="21"/>
                <w:szCs w:val="21"/>
                <w:highlight w:val="none"/>
                <w:lang w:eastAsia="zh-CN"/>
              </w:rPr>
              <w:t>分</w:t>
            </w:r>
            <w:r>
              <w:rPr>
                <w:rFonts w:hint="eastAsia" w:ascii="宋体" w:hAnsi="宋体" w:eastAsia="宋体" w:cs="宋体"/>
                <w:b w:val="0"/>
                <w:bCs/>
                <w:color w:val="auto"/>
                <w:sz w:val="21"/>
                <w:szCs w:val="21"/>
                <w:highlight w:val="none"/>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754" w:type="dxa"/>
            <w:vMerge w:val="restart"/>
            <w:tcBorders>
              <w:top w:val="single" w:color="auto" w:sz="4" w:space="0"/>
              <w:left w:val="single" w:color="auto" w:sz="4" w:space="0"/>
              <w:bottom w:val="single" w:color="auto" w:sz="4" w:space="0"/>
            </w:tcBorders>
            <w:vAlign w:val="center"/>
          </w:tcPr>
          <w:p>
            <w:pPr>
              <w:spacing w:line="240" w:lineRule="exact"/>
              <w:jc w:val="center"/>
              <w:rPr>
                <w:rFonts w:hint="default"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台账</w:t>
            </w:r>
          </w:p>
        </w:tc>
        <w:tc>
          <w:tcPr>
            <w:tcW w:w="1323" w:type="dxa"/>
            <w:tcBorders>
              <w:top w:val="single" w:color="auto" w:sz="4" w:space="0"/>
              <w:bottom w:val="single" w:color="auto" w:sz="4" w:space="0"/>
            </w:tcBorders>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台账资料</w:t>
            </w:r>
          </w:p>
        </w:tc>
        <w:tc>
          <w:tcPr>
            <w:tcW w:w="5539" w:type="dxa"/>
            <w:tcBorders>
              <w:top w:val="single" w:color="auto" w:sz="4" w:space="0"/>
              <w:bottom w:val="single" w:color="auto" w:sz="4" w:space="0"/>
            </w:tcBorders>
            <w:vAlign w:val="center"/>
          </w:tcPr>
          <w:p>
            <w:pPr>
              <w:spacing w:line="240" w:lineRule="exact"/>
              <w:rPr>
                <w:rFonts w:hint="default" w:ascii="宋体" w:hAnsi="宋体" w:eastAsia="宋体" w:cs="宋体"/>
                <w:b w:val="0"/>
                <w:bCs/>
                <w:color w:val="auto"/>
                <w:sz w:val="21"/>
                <w:szCs w:val="21"/>
                <w:highlight w:val="none"/>
                <w:lang w:val="en-US"/>
              </w:rPr>
            </w:pPr>
            <w:r>
              <w:rPr>
                <w:rFonts w:hint="eastAsia" w:ascii="宋体" w:hAnsi="宋体" w:eastAsia="宋体" w:cs="宋体"/>
                <w:b w:val="0"/>
                <w:bCs/>
                <w:color w:val="auto"/>
                <w:kern w:val="0"/>
                <w:sz w:val="21"/>
                <w:szCs w:val="21"/>
                <w:highlight w:val="none"/>
                <w:lang w:val="en-US" w:eastAsia="zh-CN"/>
              </w:rPr>
              <w:t>随机进行台账资料检查，</w:t>
            </w:r>
            <w:r>
              <w:rPr>
                <w:rFonts w:hint="eastAsia" w:ascii="宋体" w:hAnsi="宋体" w:cs="宋体"/>
                <w:b w:val="0"/>
                <w:bCs/>
                <w:color w:val="auto"/>
                <w:kern w:val="0"/>
                <w:sz w:val="21"/>
                <w:szCs w:val="21"/>
                <w:highlight w:val="none"/>
                <w:lang w:val="en-US" w:eastAsia="zh-CN"/>
              </w:rPr>
              <w:t>资料完整</w:t>
            </w:r>
            <w:r>
              <w:rPr>
                <w:rFonts w:hint="eastAsia" w:ascii="宋体" w:hAnsi="宋体" w:eastAsia="宋体" w:cs="宋体"/>
                <w:b w:val="0"/>
                <w:bCs/>
                <w:color w:val="auto"/>
                <w:kern w:val="0"/>
                <w:sz w:val="21"/>
                <w:szCs w:val="21"/>
                <w:highlight w:val="none"/>
                <w:lang w:val="en-US" w:eastAsia="zh-CN"/>
              </w:rPr>
              <w:t>不规范、不完善的</w:t>
            </w:r>
          </w:p>
        </w:tc>
        <w:tc>
          <w:tcPr>
            <w:tcW w:w="1463" w:type="dxa"/>
            <w:tcBorders>
              <w:top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754" w:type="dxa"/>
            <w:vMerge w:val="continue"/>
            <w:tcBorders>
              <w:top w:val="single" w:color="auto" w:sz="4" w:space="0"/>
              <w:left w:val="single" w:color="auto" w:sz="4" w:space="0"/>
              <w:bottom w:val="single" w:color="auto" w:sz="4" w:space="0"/>
              <w:right w:val="nil"/>
            </w:tcBorders>
            <w:vAlign w:val="center"/>
          </w:tcPr>
          <w:p>
            <w:pPr>
              <w:spacing w:line="240" w:lineRule="exact"/>
              <w:jc w:val="center"/>
              <w:rPr>
                <w:rFonts w:hint="eastAsia" w:ascii="宋体" w:hAnsi="宋体" w:cs="宋体"/>
                <w:b w:val="0"/>
                <w:bCs/>
                <w:color w:val="auto"/>
                <w:sz w:val="21"/>
                <w:szCs w:val="21"/>
                <w:highlight w:val="none"/>
                <w:lang w:val="en-US" w:eastAsia="zh-CN"/>
              </w:rPr>
            </w:pPr>
          </w:p>
        </w:tc>
        <w:tc>
          <w:tcPr>
            <w:tcW w:w="1323" w:type="dxa"/>
            <w:tcBorders>
              <w:top w:val="single" w:color="auto" w:sz="4" w:space="0"/>
            </w:tcBorders>
            <w:vAlign w:val="center"/>
          </w:tcPr>
          <w:p>
            <w:pPr>
              <w:spacing w:line="240" w:lineRule="exact"/>
              <w:jc w:val="center"/>
              <w:rPr>
                <w:rFonts w:hint="eastAsia"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工程量预算</w:t>
            </w:r>
          </w:p>
        </w:tc>
        <w:tc>
          <w:tcPr>
            <w:tcW w:w="5539" w:type="dxa"/>
            <w:tcBorders>
              <w:top w:val="single" w:color="auto" w:sz="4" w:space="0"/>
            </w:tcBorders>
            <w:vAlign w:val="center"/>
          </w:tcPr>
          <w:p>
            <w:pPr>
              <w:spacing w:line="240" w:lineRule="exact"/>
              <w:rPr>
                <w:rFonts w:hint="eastAsia" w:ascii="宋体" w:hAnsi="宋体" w:eastAsia="宋体" w:cs="宋体"/>
                <w:b w:val="0"/>
                <w:bCs/>
                <w:color w:val="auto"/>
                <w:kern w:val="0"/>
                <w:sz w:val="21"/>
                <w:szCs w:val="21"/>
                <w:highlight w:val="none"/>
                <w:lang w:val="en-US" w:eastAsia="zh-CN"/>
              </w:rPr>
            </w:pPr>
            <w:r>
              <w:rPr>
                <w:rFonts w:hint="eastAsia" w:ascii="宋体" w:hAnsi="宋体" w:cs="宋体"/>
                <w:b w:val="0"/>
                <w:bCs/>
                <w:color w:val="auto"/>
                <w:kern w:val="0"/>
                <w:sz w:val="21"/>
                <w:szCs w:val="21"/>
                <w:highlight w:val="none"/>
                <w:lang w:val="en-US" w:eastAsia="zh-CN"/>
              </w:rPr>
              <w:t>对于街道交办的工程，严格测算工程量，提交工程量与实际不符的，每超出10%扣1分</w:t>
            </w:r>
          </w:p>
        </w:tc>
        <w:tc>
          <w:tcPr>
            <w:tcW w:w="1463" w:type="dxa"/>
            <w:tcBorders>
              <w:top w:val="single" w:color="auto" w:sz="4" w:space="0"/>
            </w:tcBorders>
            <w:vAlign w:val="center"/>
          </w:tcPr>
          <w:p>
            <w:pPr>
              <w:spacing w:line="240" w:lineRule="exact"/>
              <w:jc w:val="center"/>
              <w:rPr>
                <w:rFonts w:hint="eastAsia"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lang w:eastAsia="zh-CN"/>
              </w:rPr>
              <w:t>分</w:t>
            </w:r>
            <w:r>
              <w:rPr>
                <w:rFonts w:hint="eastAsia" w:ascii="宋体" w:hAnsi="宋体" w:eastAsia="宋体" w:cs="宋体"/>
                <w:b w:val="0"/>
                <w:bCs/>
                <w:color w:val="auto"/>
                <w:sz w:val="21"/>
                <w:szCs w:val="21"/>
                <w:highlight w:val="none"/>
              </w:rPr>
              <w:t>/</w:t>
            </w:r>
            <w:r>
              <w:rPr>
                <w:rFonts w:hint="eastAsia" w:ascii="宋体" w:hAnsi="宋体" w:cs="宋体"/>
                <w:b w:val="0"/>
                <w:bCs/>
                <w:color w:val="auto"/>
                <w:sz w:val="21"/>
                <w:szCs w:val="21"/>
                <w:highlight w:val="none"/>
                <w:lang w:val="en-US" w:eastAsia="zh-CN"/>
              </w:rPr>
              <w:t>次</w:t>
            </w:r>
          </w:p>
        </w:tc>
      </w:tr>
    </w:tbl>
    <w:p>
      <w:pPr>
        <w:spacing w:line="590" w:lineRule="exact"/>
        <w:rPr>
          <w:rFonts w:hint="eastAsia" w:ascii="仿宋" w:hAnsi="仿宋" w:eastAsia="仿宋" w:cs="仿宋"/>
          <w:color w:val="auto"/>
          <w:sz w:val="21"/>
          <w:szCs w:val="21"/>
          <w:highlight w:val="none"/>
          <w:lang w:val="en-US" w:eastAsia="zh-CN"/>
        </w:rPr>
        <w:sectPr>
          <w:headerReference r:id="rId12" w:type="default"/>
          <w:footerReference r:id="rId13" w:type="default"/>
          <w:type w:val="continuous"/>
          <w:pgSz w:w="11906" w:h="16838"/>
          <w:pgMar w:top="2154" w:right="1474" w:bottom="2154" w:left="1587" w:header="283" w:footer="283" w:gutter="0"/>
          <w:pgNumType w:fmt="numberInDash"/>
          <w:cols w:space="720" w:num="1"/>
          <w:rtlGutter w:val="0"/>
          <w:docGrid w:type="lines" w:linePitch="317" w:charSpace="0"/>
        </w:sectPr>
      </w:pPr>
    </w:p>
    <w:p>
      <w:pPr>
        <w:pStyle w:val="837"/>
        <w:ind w:left="0" w:leftChars="0" w:firstLine="0" w:firstLineChars="0"/>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附件2：</w:t>
      </w:r>
    </w:p>
    <w:p>
      <w:pPr>
        <w:spacing w:line="560" w:lineRule="exact"/>
        <w:jc w:val="center"/>
        <w:rPr>
          <w:rFonts w:hint="default" w:ascii="宋体" w:hAnsi="宋体" w:eastAsia="宋体" w:cs="宋体"/>
          <w:b/>
          <w:bCs/>
          <w:color w:val="auto"/>
          <w:sz w:val="32"/>
          <w:szCs w:val="32"/>
          <w:highlight w:val="none"/>
          <w:lang w:val="en-US" w:eastAsia="zh-CN"/>
        </w:rPr>
      </w:pPr>
      <w:r>
        <w:rPr>
          <w:rFonts w:hint="eastAsia" w:ascii="宋体" w:hAnsi="宋体" w:cs="宋体"/>
          <w:b/>
          <w:bCs/>
          <w:color w:val="auto"/>
          <w:sz w:val="32"/>
          <w:szCs w:val="32"/>
          <w:highlight w:val="none"/>
          <w:lang w:eastAsia="zh-CN"/>
        </w:rPr>
        <w:t>（</w:t>
      </w:r>
      <w:r>
        <w:rPr>
          <w:rFonts w:hint="eastAsia" w:ascii="宋体" w:hAnsi="宋体" w:cs="宋体"/>
          <w:b/>
          <w:bCs/>
          <w:color w:val="auto"/>
          <w:sz w:val="32"/>
          <w:szCs w:val="32"/>
          <w:highlight w:val="none"/>
          <w:lang w:val="en-US" w:eastAsia="zh-CN"/>
        </w:rPr>
        <w:t>二</w:t>
      </w:r>
      <w:r>
        <w:rPr>
          <w:rFonts w:hint="eastAsia" w:ascii="宋体" w:hAnsi="宋体" w:cs="宋体"/>
          <w:b/>
          <w:bCs/>
          <w:color w:val="auto"/>
          <w:sz w:val="32"/>
          <w:szCs w:val="32"/>
          <w:highlight w:val="none"/>
          <w:lang w:eastAsia="zh-CN"/>
        </w:rPr>
        <w:t>）</w:t>
      </w:r>
      <w:r>
        <w:rPr>
          <w:rFonts w:hint="eastAsia" w:ascii="宋体" w:hAnsi="宋体" w:eastAsia="宋体" w:cs="宋体"/>
          <w:b/>
          <w:bCs/>
          <w:color w:val="auto"/>
          <w:sz w:val="32"/>
          <w:szCs w:val="32"/>
          <w:highlight w:val="none"/>
          <w:lang w:eastAsia="zh-CN"/>
        </w:rPr>
        <w:t>公共绿地</w:t>
      </w:r>
      <w:r>
        <w:rPr>
          <w:rFonts w:hint="eastAsia" w:ascii="宋体" w:hAnsi="宋体" w:cs="宋体"/>
          <w:b/>
          <w:bCs/>
          <w:color w:val="auto"/>
          <w:sz w:val="32"/>
          <w:szCs w:val="32"/>
          <w:highlight w:val="none"/>
          <w:lang w:val="en-US" w:eastAsia="zh-CN"/>
        </w:rPr>
        <w:t>管养</w:t>
      </w:r>
      <w:r>
        <w:rPr>
          <w:rFonts w:hint="eastAsia" w:ascii="宋体" w:hAnsi="宋体" w:eastAsia="宋体" w:cs="宋体"/>
          <w:b/>
          <w:bCs/>
          <w:color w:val="auto"/>
          <w:sz w:val="32"/>
          <w:szCs w:val="32"/>
          <w:highlight w:val="none"/>
          <w:lang w:eastAsia="zh-CN"/>
        </w:rPr>
        <w:t>考核</w:t>
      </w:r>
      <w:r>
        <w:rPr>
          <w:rFonts w:hint="eastAsia" w:ascii="宋体" w:hAnsi="宋体" w:eastAsia="宋体" w:cs="宋体"/>
          <w:b/>
          <w:bCs/>
          <w:color w:val="auto"/>
          <w:sz w:val="32"/>
          <w:szCs w:val="32"/>
          <w:highlight w:val="none"/>
          <w:lang w:val="en-US" w:eastAsia="zh-CN"/>
        </w:rPr>
        <w:t>办法</w:t>
      </w:r>
    </w:p>
    <w:p>
      <w:pPr>
        <w:rPr>
          <w:rFonts w:hint="eastAsia" w:ascii="宋体" w:hAnsi="宋体" w:eastAsia="宋体" w:cs="宋体"/>
          <w:b/>
          <w:color w:val="auto"/>
          <w:sz w:val="24"/>
          <w:szCs w:val="24"/>
          <w:highlight w:val="none"/>
        </w:rPr>
      </w:pPr>
    </w:p>
    <w:p>
      <w:pP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rPr>
        <w:t xml:space="preserve">考核对象：                                     </w:t>
      </w: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rPr>
        <w:t>考核时间</w:t>
      </w:r>
      <w:r>
        <w:rPr>
          <w:rFonts w:hint="eastAsia" w:ascii="宋体" w:hAnsi="宋体" w:eastAsia="宋体" w:cs="宋体"/>
          <w:b/>
          <w:color w:val="auto"/>
          <w:sz w:val="24"/>
          <w:szCs w:val="24"/>
          <w:highlight w:val="none"/>
          <w:lang w:val="en-US" w:eastAsia="zh-CN"/>
        </w:rPr>
        <w:t>:</w:t>
      </w:r>
      <w:r>
        <w:rPr>
          <w:rFonts w:hint="eastAsia" w:ascii="宋体" w:hAnsi="宋体" w:eastAsia="宋体" w:cs="宋体"/>
          <w:b/>
          <w:color w:val="auto"/>
          <w:sz w:val="24"/>
          <w:szCs w:val="24"/>
          <w:highlight w:val="none"/>
        </w:rPr>
        <w:t xml:space="preserve">       </w:t>
      </w:r>
    </w:p>
    <w:tbl>
      <w:tblPr>
        <w:tblStyle w:val="62"/>
        <w:tblpPr w:leftFromText="180" w:rightFromText="180" w:vertAnchor="text" w:horzAnchor="page" w:tblpX="1425" w:tblpY="276"/>
        <w:tblOverlap w:val="never"/>
        <w:tblW w:w="90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6"/>
        <w:gridCol w:w="6999"/>
        <w:gridCol w:w="1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6" w:hRule="atLeast"/>
        </w:trPr>
        <w:tc>
          <w:tcPr>
            <w:tcW w:w="90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考核</w:t>
            </w:r>
          </w:p>
          <w:p>
            <w:pPr>
              <w:spacing w:line="320" w:lineRule="exact"/>
              <w:jc w:val="center"/>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项目</w:t>
            </w:r>
          </w:p>
        </w:tc>
        <w:tc>
          <w:tcPr>
            <w:tcW w:w="6999"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考核标准</w:t>
            </w:r>
          </w:p>
        </w:tc>
        <w:tc>
          <w:tcPr>
            <w:tcW w:w="1174"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sz w:val="21"/>
                <w:szCs w:val="21"/>
                <w:highlight w:val="none"/>
                <w:lang w:val="en-US" w:eastAsia="zh-CN"/>
              </w:rPr>
              <w:t>扣除分值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906" w:type="dxa"/>
            <w:vMerge w:val="restart"/>
            <w:tcBorders>
              <w:top w:val="nil"/>
              <w:left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植</w:t>
            </w:r>
          </w:p>
          <w:p>
            <w:pPr>
              <w:spacing w:line="320" w:lineRule="exact"/>
              <w:jc w:val="center"/>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物</w:t>
            </w:r>
          </w:p>
          <w:p>
            <w:pPr>
              <w:spacing w:line="320" w:lineRule="exact"/>
              <w:jc w:val="center"/>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基</w:t>
            </w:r>
          </w:p>
          <w:p>
            <w:pPr>
              <w:spacing w:line="320" w:lineRule="exact"/>
              <w:jc w:val="center"/>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本</w:t>
            </w:r>
          </w:p>
          <w:p>
            <w:pPr>
              <w:spacing w:line="320" w:lineRule="exact"/>
              <w:jc w:val="center"/>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养</w:t>
            </w:r>
          </w:p>
          <w:p>
            <w:pPr>
              <w:spacing w:line="320" w:lineRule="exact"/>
              <w:jc w:val="center"/>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护</w:t>
            </w: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发现在公共绿地中出现黄土露天；行道树和乔木死株、缺株的。</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 w:val="21"/>
                <w:szCs w:val="21"/>
                <w:highlight w:val="none"/>
                <w:lang w:eastAsia="zh-CN"/>
              </w:rPr>
            </w:pPr>
            <w:r>
              <w:rPr>
                <w:rFonts w:hint="eastAsia" w:ascii="宋体" w:hAnsi="宋体" w:cs="宋体"/>
                <w:b w:val="0"/>
                <w:bCs/>
                <w:color w:val="auto"/>
                <w:kern w:val="0"/>
                <w:sz w:val="21"/>
                <w:szCs w:val="21"/>
                <w:highlight w:val="none"/>
                <w:lang w:val="en-US" w:eastAsia="zh-CN"/>
              </w:rPr>
              <w:t>0.5</w:t>
            </w:r>
            <w:r>
              <w:rPr>
                <w:rFonts w:hint="eastAsia" w:ascii="宋体" w:hAnsi="宋体" w:eastAsia="宋体" w:cs="宋体"/>
                <w:b w:val="0"/>
                <w:bCs/>
                <w:color w:val="auto"/>
                <w:kern w:val="0"/>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906" w:type="dxa"/>
            <w:vMerge w:val="continue"/>
            <w:tcBorders>
              <w:top w:val="nil"/>
              <w:left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监管不到位致绿化破坏的。</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cs="宋体"/>
                <w:b w:val="0"/>
                <w:bCs/>
                <w:color w:val="auto"/>
                <w:spacing w:val="-8"/>
                <w:sz w:val="21"/>
                <w:szCs w:val="21"/>
                <w:highlight w:val="none"/>
                <w:lang w:val="en-US" w:eastAsia="zh-CN"/>
              </w:rPr>
              <w:t>0.3</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906" w:type="dxa"/>
            <w:vMerge w:val="continue"/>
            <w:tcBorders>
              <w:left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行道树和乔木支撑不规范、支撑架倒塌、断桩、坏桩、树木倾斜严重。</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cs="宋体"/>
                <w:b w:val="0"/>
                <w:bCs/>
                <w:color w:val="auto"/>
                <w:spacing w:val="-8"/>
                <w:sz w:val="21"/>
                <w:szCs w:val="21"/>
                <w:highlight w:val="none"/>
                <w:lang w:val="en-US" w:eastAsia="zh-CN"/>
              </w:rPr>
              <w:t>0.2</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906" w:type="dxa"/>
            <w:vMerge w:val="continue"/>
            <w:tcBorders>
              <w:left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行道树和乔木病虫枝、枯枝、伤损枝、徒长枝超过养护标准的，树皮开裂、孔洞未及时填补；修剪不规范造成树木严重受损的。</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cs="宋体"/>
                <w:b w:val="0"/>
                <w:bCs/>
                <w:color w:val="auto"/>
                <w:spacing w:val="-8"/>
                <w:sz w:val="21"/>
                <w:szCs w:val="21"/>
                <w:highlight w:val="none"/>
                <w:lang w:val="en-US" w:eastAsia="zh-CN"/>
              </w:rPr>
              <w:t>0.2</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906" w:type="dxa"/>
            <w:vMerge w:val="continue"/>
            <w:tcBorders>
              <w:left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行道树和乔木长势不佳、偏冠严重、无冠幅；树木长势较弱，黄叶、焦叶、落叶株数超过养护标准的。</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cs="宋体"/>
                <w:b w:val="0"/>
                <w:bCs/>
                <w:color w:val="auto"/>
                <w:spacing w:val="-8"/>
                <w:sz w:val="21"/>
                <w:szCs w:val="21"/>
                <w:highlight w:val="none"/>
                <w:lang w:val="en-US" w:eastAsia="zh-CN"/>
              </w:rPr>
              <w:t>0.2</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906" w:type="dxa"/>
            <w:vMerge w:val="continue"/>
            <w:tcBorders>
              <w:left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树穴土壤高于侧石、板结、填充物缺失。</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cs="宋体"/>
                <w:b w:val="0"/>
                <w:bCs/>
                <w:color w:val="auto"/>
                <w:spacing w:val="-8"/>
                <w:sz w:val="21"/>
                <w:szCs w:val="21"/>
                <w:highlight w:val="none"/>
                <w:lang w:val="en-US" w:eastAsia="zh-CN"/>
              </w:rPr>
              <w:t>0.2</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906" w:type="dxa"/>
            <w:vMerge w:val="continue"/>
            <w:tcBorders>
              <w:left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绿篱和灌木出现死株、缺株、混种、小道、杂株返祖的。</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cs="宋体"/>
                <w:b w:val="0"/>
                <w:bCs/>
                <w:color w:val="auto"/>
                <w:spacing w:val="-8"/>
                <w:sz w:val="21"/>
                <w:szCs w:val="21"/>
                <w:highlight w:val="none"/>
                <w:lang w:val="en-US" w:eastAsia="zh-CN"/>
              </w:rPr>
              <w:t>0.2</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906" w:type="dxa"/>
            <w:vMerge w:val="continue"/>
            <w:tcBorders>
              <w:left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绿篱和灌木修剪不平整、不及时、高度影响交通视线的。</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cs="宋体"/>
                <w:b w:val="0"/>
                <w:bCs/>
                <w:color w:val="auto"/>
                <w:spacing w:val="-8"/>
                <w:sz w:val="21"/>
                <w:szCs w:val="21"/>
                <w:highlight w:val="none"/>
                <w:lang w:val="en-US" w:eastAsia="zh-CN"/>
              </w:rPr>
              <w:t>0.3</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906" w:type="dxa"/>
            <w:vMerge w:val="continue"/>
            <w:tcBorders>
              <w:left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草高超出养护标准、草坪边缘不清淅、草坪覆盖率低于养护标准、中心区出现空秃每2㎡以上的（面积10㎡以上的扣款加倍）。</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cs="宋体"/>
                <w:b w:val="0"/>
                <w:bCs/>
                <w:color w:val="auto"/>
                <w:spacing w:val="-8"/>
                <w:sz w:val="21"/>
                <w:szCs w:val="21"/>
                <w:highlight w:val="none"/>
                <w:lang w:val="en-US" w:eastAsia="zh-CN"/>
              </w:rPr>
              <w:t>0.2</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906" w:type="dxa"/>
            <w:vMerge w:val="continue"/>
            <w:tcBorders>
              <w:left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 xml:space="preserve">绿地内有明显杂草的。 </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cs="宋体"/>
                <w:b w:val="0"/>
                <w:bCs/>
                <w:color w:val="auto"/>
                <w:spacing w:val="-8"/>
                <w:sz w:val="21"/>
                <w:szCs w:val="21"/>
                <w:highlight w:val="none"/>
                <w:lang w:val="en-US" w:eastAsia="zh-CN"/>
              </w:rPr>
              <w:t>0.2</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906" w:type="dxa"/>
            <w:vMerge w:val="continue"/>
            <w:tcBorders>
              <w:left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花坛花箱内无时花，时花倒伏、枯枝残花、杂草垃圾等。</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cs="宋体"/>
                <w:b w:val="0"/>
                <w:bCs/>
                <w:color w:val="auto"/>
                <w:spacing w:val="-8"/>
                <w:sz w:val="21"/>
                <w:szCs w:val="21"/>
                <w:highlight w:val="none"/>
                <w:lang w:val="en-US" w:eastAsia="zh-CN"/>
              </w:rPr>
              <w:t>0.2</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906" w:type="dxa"/>
            <w:vMerge w:val="continue"/>
            <w:tcBorders>
              <w:left w:val="single" w:color="auto" w:sz="4" w:space="0"/>
              <w:bottom w:val="single" w:color="000000"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绿化补种不规范的。</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cs="宋体"/>
                <w:b w:val="0"/>
                <w:bCs/>
                <w:color w:val="auto"/>
                <w:spacing w:val="-8"/>
                <w:sz w:val="21"/>
                <w:szCs w:val="21"/>
                <w:highlight w:val="none"/>
                <w:lang w:val="en-US" w:eastAsia="zh-CN"/>
              </w:rPr>
              <w:t>0.5</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906" w:type="dxa"/>
            <w:vMerge w:val="restart"/>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病虫</w:t>
            </w:r>
          </w:p>
          <w:p>
            <w:pPr>
              <w:spacing w:line="320" w:lineRule="exact"/>
              <w:jc w:val="center"/>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害防</w:t>
            </w:r>
          </w:p>
          <w:p>
            <w:pPr>
              <w:spacing w:line="320" w:lineRule="exact"/>
              <w:jc w:val="center"/>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治</w:t>
            </w: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发生病虫害的及发现病虫害未及时进行防治措施的。</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cs="宋体"/>
                <w:b w:val="0"/>
                <w:bCs/>
                <w:color w:val="auto"/>
                <w:spacing w:val="-8"/>
                <w:sz w:val="21"/>
                <w:szCs w:val="21"/>
                <w:highlight w:val="none"/>
                <w:lang w:val="en-US" w:eastAsia="zh-CN"/>
              </w:rPr>
              <w:t>0.2</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906" w:type="dxa"/>
            <w:vMerge w:val="continue"/>
            <w:tcBorders>
              <w:top w:val="nil"/>
              <w:left w:val="single" w:color="auto" w:sz="4" w:space="0"/>
              <w:bottom w:val="single" w:color="000000"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食叶性害虫危害树木，每株或每㎡超过养护标准的。</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cs="宋体"/>
                <w:b w:val="0"/>
                <w:bCs/>
                <w:color w:val="auto"/>
                <w:spacing w:val="-8"/>
                <w:sz w:val="21"/>
                <w:szCs w:val="21"/>
                <w:highlight w:val="none"/>
                <w:lang w:val="en-US" w:eastAsia="zh-CN"/>
              </w:rPr>
              <w:t>0.3</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1" w:hRule="atLeast"/>
        </w:trPr>
        <w:tc>
          <w:tcPr>
            <w:tcW w:w="906" w:type="dxa"/>
            <w:vMerge w:val="continue"/>
            <w:tcBorders>
              <w:top w:val="nil"/>
              <w:left w:val="single" w:color="auto" w:sz="4" w:space="0"/>
              <w:bottom w:val="single" w:color="000000"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发现活蛀虫和活卵，每株或每㎡超过养护标准的。</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cs="宋体"/>
                <w:b w:val="0"/>
                <w:bCs/>
                <w:color w:val="auto"/>
                <w:spacing w:val="-8"/>
                <w:sz w:val="21"/>
                <w:szCs w:val="21"/>
                <w:highlight w:val="none"/>
                <w:lang w:val="en-US" w:eastAsia="zh-CN"/>
              </w:rPr>
              <w:t>0.2</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906"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绿化</w:t>
            </w:r>
          </w:p>
          <w:p>
            <w:pPr>
              <w:spacing w:line="320" w:lineRule="exact"/>
              <w:jc w:val="center"/>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设施</w:t>
            </w:r>
          </w:p>
        </w:tc>
        <w:tc>
          <w:tcPr>
            <w:tcW w:w="699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花箱、花坛、护栏、围栏、树穴破损、缺失的。</w:t>
            </w:r>
          </w:p>
        </w:tc>
        <w:tc>
          <w:tcPr>
            <w:tcW w:w="117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cs="宋体"/>
                <w:b w:val="0"/>
                <w:bCs/>
                <w:color w:val="auto"/>
                <w:spacing w:val="-8"/>
                <w:sz w:val="21"/>
                <w:szCs w:val="21"/>
                <w:highlight w:val="none"/>
                <w:lang w:val="en-US" w:eastAsia="zh-CN"/>
              </w:rPr>
              <w:t>0.3</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906" w:type="dxa"/>
            <w:vMerge w:val="continue"/>
            <w:tcBorders>
              <w:top w:val="nil"/>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果壳箱有污迹、破损、松动，箱内垃圾未日产日清的。</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cs="宋体"/>
                <w:b w:val="0"/>
                <w:bCs/>
                <w:color w:val="auto"/>
                <w:spacing w:val="-8"/>
                <w:sz w:val="21"/>
                <w:szCs w:val="21"/>
                <w:highlight w:val="none"/>
                <w:lang w:val="en-US" w:eastAsia="zh-CN"/>
              </w:rPr>
              <w:t>0.2</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906" w:type="dxa"/>
            <w:vMerge w:val="continue"/>
            <w:tcBorders>
              <w:top w:val="nil"/>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设施有污迹、破损，金属构件设施有锈斑，油漆剥落等现象的；其它（景墙、挡墙、浮雕墙、地雕、雕塑）等景观设施有明显裂缝的，墙面砖破损、松动、油漆剥落的。公园设施存在明显安全隐患，未采取安全措施的。</w:t>
            </w:r>
          </w:p>
          <w:p>
            <w:pPr>
              <w:pStyle w:val="837"/>
              <w:ind w:left="0" w:leftChars="0" w:firstLine="0" w:firstLineChars="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景观灯</w:t>
            </w:r>
            <w:r>
              <w:rPr>
                <w:rFonts w:hint="eastAsia" w:ascii="宋体" w:hAnsi="宋体" w:eastAsia="宋体" w:cs="宋体"/>
                <w:b w:val="0"/>
                <w:bCs/>
                <w:color w:val="auto"/>
                <w:sz w:val="21"/>
                <w:szCs w:val="21"/>
                <w:highlight w:val="none"/>
              </w:rPr>
              <w:t>破损、松动、油漆剥落</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lang w:val="en-US" w:eastAsia="zh-CN"/>
              </w:rPr>
              <w:t>不亮、缺失</w:t>
            </w:r>
            <w:r>
              <w:rPr>
                <w:rFonts w:hint="eastAsia" w:ascii="宋体" w:hAnsi="宋体" w:eastAsia="宋体" w:cs="宋体"/>
                <w:b w:val="0"/>
                <w:bCs/>
                <w:color w:val="auto"/>
                <w:sz w:val="21"/>
                <w:szCs w:val="21"/>
                <w:highlight w:val="none"/>
              </w:rPr>
              <w:t>的</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cs="宋体"/>
                <w:b w:val="0"/>
                <w:bCs/>
                <w:color w:val="auto"/>
                <w:spacing w:val="-8"/>
                <w:sz w:val="21"/>
                <w:szCs w:val="21"/>
                <w:highlight w:val="none"/>
                <w:lang w:val="en-US" w:eastAsia="zh-CN"/>
              </w:rPr>
              <w:t>0.2</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00" w:hRule="atLeast"/>
        </w:trPr>
        <w:tc>
          <w:tcPr>
            <w:tcW w:w="906" w:type="dxa"/>
            <w:vMerge w:val="restart"/>
            <w:tcBorders>
              <w:top w:val="nil"/>
              <w:left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卫生及</w:t>
            </w:r>
          </w:p>
          <w:p>
            <w:pPr>
              <w:spacing w:line="320" w:lineRule="exact"/>
              <w:jc w:val="center"/>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管理</w:t>
            </w: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树上有垃圾袋、零乱草绳、钉子、扎缚铁丝、电线、挂晾晒衣物的。</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eastAsia="宋体" w:cs="宋体"/>
                <w:b w:val="0"/>
                <w:bCs/>
                <w:color w:val="auto"/>
                <w:spacing w:val="-8"/>
                <w:sz w:val="21"/>
                <w:szCs w:val="21"/>
                <w:highlight w:val="none"/>
                <w:lang w:val="en-US" w:eastAsia="zh-CN"/>
              </w:rPr>
              <w:t>0.</w:t>
            </w:r>
            <w:r>
              <w:rPr>
                <w:rFonts w:hint="eastAsia" w:ascii="宋体" w:hAnsi="宋体" w:cs="宋体"/>
                <w:b w:val="0"/>
                <w:bCs/>
                <w:color w:val="auto"/>
                <w:spacing w:val="-8"/>
                <w:sz w:val="21"/>
                <w:szCs w:val="21"/>
                <w:highlight w:val="none"/>
                <w:lang w:val="en-US" w:eastAsia="zh-CN"/>
              </w:rPr>
              <w:t>2</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906" w:type="dxa"/>
            <w:vMerge w:val="continue"/>
            <w:tcBorders>
              <w:left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绿地内有垃圾、石块、果壳等杂物的。</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eastAsia="宋体" w:cs="宋体"/>
                <w:b w:val="0"/>
                <w:bCs/>
                <w:color w:val="auto"/>
                <w:spacing w:val="-8"/>
                <w:sz w:val="21"/>
                <w:szCs w:val="21"/>
                <w:highlight w:val="none"/>
                <w:lang w:val="en-US" w:eastAsia="zh-CN"/>
              </w:rPr>
              <w:t>0.</w:t>
            </w:r>
            <w:r>
              <w:rPr>
                <w:rFonts w:hint="eastAsia" w:ascii="宋体" w:hAnsi="宋体" w:cs="宋体"/>
                <w:b w:val="0"/>
                <w:bCs/>
                <w:color w:val="auto"/>
                <w:spacing w:val="-8"/>
                <w:sz w:val="21"/>
                <w:szCs w:val="21"/>
                <w:highlight w:val="none"/>
                <w:lang w:val="en-US" w:eastAsia="zh-CN"/>
              </w:rPr>
              <w:t>2</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906" w:type="dxa"/>
            <w:vMerge w:val="continue"/>
            <w:tcBorders>
              <w:left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乔木积尘明显每株扣1分，色块叶面积灰严重的。</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eastAsia="宋体" w:cs="宋体"/>
                <w:b w:val="0"/>
                <w:bCs/>
                <w:color w:val="auto"/>
                <w:spacing w:val="-8"/>
                <w:sz w:val="21"/>
                <w:szCs w:val="21"/>
                <w:highlight w:val="none"/>
                <w:lang w:val="en-US" w:eastAsia="zh-CN"/>
              </w:rPr>
              <w:t>0.</w:t>
            </w:r>
            <w:r>
              <w:rPr>
                <w:rFonts w:hint="eastAsia" w:ascii="宋体" w:hAnsi="宋体" w:cs="宋体"/>
                <w:b w:val="0"/>
                <w:bCs/>
                <w:color w:val="auto"/>
                <w:spacing w:val="-8"/>
                <w:sz w:val="21"/>
                <w:szCs w:val="21"/>
                <w:highlight w:val="none"/>
                <w:lang w:val="en-US" w:eastAsia="zh-CN"/>
              </w:rPr>
              <w:t>2</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906" w:type="dxa"/>
            <w:vMerge w:val="continue"/>
            <w:tcBorders>
              <w:left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管养人员不到位的。</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eastAsia="宋体" w:cs="宋体"/>
                <w:b w:val="0"/>
                <w:bCs/>
                <w:color w:val="auto"/>
                <w:spacing w:val="-8"/>
                <w:sz w:val="21"/>
                <w:szCs w:val="21"/>
                <w:highlight w:val="none"/>
                <w:lang w:val="en-US" w:eastAsia="zh-CN"/>
              </w:rPr>
              <w:t>0.</w:t>
            </w:r>
            <w:r>
              <w:rPr>
                <w:rFonts w:hint="eastAsia" w:ascii="宋体" w:hAnsi="宋体" w:cs="宋体"/>
                <w:b w:val="0"/>
                <w:bCs/>
                <w:color w:val="auto"/>
                <w:spacing w:val="-8"/>
                <w:sz w:val="21"/>
                <w:szCs w:val="21"/>
                <w:highlight w:val="none"/>
                <w:lang w:val="en-US" w:eastAsia="zh-CN"/>
              </w:rPr>
              <w:t>2</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906" w:type="dxa"/>
            <w:vMerge w:val="continue"/>
            <w:tcBorders>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养护人员上路作业不穿工作服，不文明作业的。</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eastAsia="宋体" w:cs="宋体"/>
                <w:b w:val="0"/>
                <w:bCs/>
                <w:color w:val="auto"/>
                <w:spacing w:val="-8"/>
                <w:sz w:val="21"/>
                <w:szCs w:val="21"/>
                <w:highlight w:val="none"/>
                <w:lang w:val="en-US" w:eastAsia="zh-CN"/>
              </w:rPr>
              <w:t>0.</w:t>
            </w:r>
            <w:r>
              <w:rPr>
                <w:rFonts w:hint="eastAsia" w:ascii="宋体" w:hAnsi="宋体" w:cs="宋体"/>
                <w:b w:val="0"/>
                <w:bCs/>
                <w:color w:val="auto"/>
                <w:spacing w:val="-8"/>
                <w:sz w:val="21"/>
                <w:szCs w:val="21"/>
                <w:highlight w:val="none"/>
                <w:lang w:val="en-US" w:eastAsia="zh-CN"/>
              </w:rPr>
              <w:t>2</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6" w:hRule="atLeast"/>
        </w:trPr>
        <w:tc>
          <w:tcPr>
            <w:tcW w:w="906" w:type="dxa"/>
            <w:tcBorders>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整体</w:t>
            </w:r>
          </w:p>
          <w:p>
            <w:pPr>
              <w:spacing w:line="320" w:lineRule="exact"/>
              <w:jc w:val="center"/>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景观</w:t>
            </w: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养护不当造成植物季相不分明，色彩不丰富，生长不茂盛，植物群落不完整等影响整体景观效果的。</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cs="宋体"/>
                <w:b w:val="0"/>
                <w:bCs/>
                <w:color w:val="auto"/>
                <w:spacing w:val="-8"/>
                <w:sz w:val="21"/>
                <w:szCs w:val="21"/>
                <w:highlight w:val="none"/>
                <w:lang w:val="en-US" w:eastAsia="zh-CN"/>
              </w:rPr>
              <w:t>0.3</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906" w:type="dxa"/>
            <w:tcBorders>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lang w:val="en-US" w:eastAsia="zh-CN"/>
              </w:rPr>
              <w:t>台账资料</w:t>
            </w: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lang w:val="en-US" w:eastAsia="zh-CN"/>
              </w:rPr>
              <w:t>随机进行台账资料检查，不规范、不完善的</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cs="宋体"/>
                <w:b w:val="0"/>
                <w:bCs/>
                <w:color w:val="auto"/>
                <w:spacing w:val="-8"/>
                <w:sz w:val="21"/>
                <w:szCs w:val="21"/>
                <w:highlight w:val="none"/>
                <w:lang w:val="en-US" w:eastAsia="zh-CN"/>
              </w:rPr>
              <w:t>0.5</w:t>
            </w:r>
            <w:r>
              <w:rPr>
                <w:rFonts w:hint="eastAsia" w:ascii="宋体" w:hAnsi="宋体" w:eastAsia="宋体" w:cs="宋体"/>
                <w:b w:val="0"/>
                <w:bCs/>
                <w:color w:val="auto"/>
                <w:spacing w:val="-8"/>
                <w:sz w:val="21"/>
                <w:szCs w:val="21"/>
                <w:highlight w:val="none"/>
                <w:lang w:eastAsia="zh-CN"/>
              </w:rPr>
              <w:t>分</w:t>
            </w:r>
            <w:r>
              <w:rPr>
                <w:rFonts w:hint="eastAsia" w:ascii="宋体" w:hAnsi="宋体" w:eastAsia="宋体" w:cs="宋体"/>
                <w:b w:val="0"/>
                <w:bCs/>
                <w:color w:val="auto"/>
                <w:spacing w:val="-8"/>
                <w:sz w:val="21"/>
                <w:szCs w:val="21"/>
                <w:highlight w:val="none"/>
              </w:rPr>
              <w:t>/</w:t>
            </w:r>
            <w:r>
              <w:rPr>
                <w:rFonts w:hint="eastAsia" w:ascii="宋体" w:hAnsi="宋体" w:cs="宋体"/>
                <w:b w:val="0"/>
                <w:bCs/>
                <w:color w:val="auto"/>
                <w:spacing w:val="-8"/>
                <w:sz w:val="21"/>
                <w:szCs w:val="21"/>
                <w:highlight w:val="none"/>
                <w:lang w:val="en-US" w:eastAsia="zh-CN"/>
              </w:rPr>
              <w:t>次</w:t>
            </w:r>
          </w:p>
        </w:tc>
      </w:tr>
    </w:tbl>
    <w:p>
      <w:pPr>
        <w:rPr>
          <w:rFonts w:hint="eastAsia" w:ascii="宋体" w:hAnsi="宋体" w:eastAsia="宋体" w:cs="宋体"/>
          <w:b w:val="0"/>
          <w:bCs w:val="0"/>
          <w:color w:val="auto"/>
          <w:sz w:val="21"/>
          <w:szCs w:val="21"/>
          <w:highlight w:val="none"/>
          <w:lang w:val="en-US" w:eastAsia="zh-CN"/>
        </w:rPr>
      </w:pPr>
    </w:p>
    <w:p>
      <w:pPr>
        <w:autoSpaceDE w:val="0"/>
        <w:autoSpaceDN w:val="0"/>
        <w:adjustRightInd w:val="0"/>
        <w:jc w:val="center"/>
        <w:rPr>
          <w:rFonts w:hint="eastAsia" w:ascii="宋体" w:hAnsi="宋体" w:eastAsia="宋体" w:cs="宋体"/>
          <w:b/>
          <w:bCs/>
          <w:color w:val="auto"/>
          <w:kern w:val="0"/>
          <w:sz w:val="32"/>
          <w:szCs w:val="32"/>
          <w:highlight w:val="none"/>
        </w:rPr>
      </w:pPr>
    </w:p>
    <w:p>
      <w:pPr>
        <w:pStyle w:val="2"/>
        <w:rPr>
          <w:rFonts w:hint="eastAsia" w:ascii="宋体" w:hAnsi="宋体" w:eastAsia="宋体" w:cs="宋体"/>
          <w:b/>
          <w:bCs/>
          <w:color w:val="auto"/>
          <w:kern w:val="0"/>
          <w:sz w:val="32"/>
          <w:szCs w:val="32"/>
          <w:highlight w:val="none"/>
        </w:rPr>
      </w:pPr>
    </w:p>
    <w:p>
      <w:pPr>
        <w:rPr>
          <w:rFonts w:hint="eastAsia" w:ascii="宋体" w:hAnsi="宋体" w:eastAsia="宋体" w:cs="宋体"/>
          <w:b/>
          <w:bCs/>
          <w:color w:val="auto"/>
          <w:kern w:val="0"/>
          <w:sz w:val="32"/>
          <w:szCs w:val="32"/>
          <w:highlight w:val="none"/>
        </w:rPr>
      </w:pPr>
    </w:p>
    <w:p>
      <w:pPr>
        <w:pStyle w:val="2"/>
        <w:rPr>
          <w:rFonts w:hint="eastAsia" w:ascii="宋体" w:hAnsi="宋体" w:eastAsia="宋体" w:cs="宋体"/>
          <w:b/>
          <w:bCs/>
          <w:color w:val="auto"/>
          <w:kern w:val="0"/>
          <w:sz w:val="32"/>
          <w:szCs w:val="32"/>
          <w:highlight w:val="none"/>
        </w:rPr>
      </w:pPr>
    </w:p>
    <w:p>
      <w:pPr>
        <w:rPr>
          <w:rFonts w:hint="eastAsia" w:ascii="宋体" w:hAnsi="宋体" w:eastAsia="宋体" w:cs="宋体"/>
          <w:b/>
          <w:bCs/>
          <w:color w:val="auto"/>
          <w:kern w:val="0"/>
          <w:sz w:val="32"/>
          <w:szCs w:val="32"/>
          <w:highlight w:val="none"/>
        </w:rPr>
      </w:pPr>
    </w:p>
    <w:p>
      <w:pPr>
        <w:pStyle w:val="2"/>
        <w:rPr>
          <w:rFonts w:hint="eastAsia" w:ascii="宋体" w:hAnsi="宋体" w:eastAsia="宋体" w:cs="宋体"/>
          <w:b/>
          <w:bCs/>
          <w:color w:val="auto"/>
          <w:kern w:val="0"/>
          <w:sz w:val="32"/>
          <w:szCs w:val="32"/>
          <w:highlight w:val="none"/>
        </w:rPr>
      </w:pPr>
    </w:p>
    <w:p>
      <w:pPr>
        <w:rPr>
          <w:rFonts w:hint="eastAsia" w:ascii="宋体" w:hAnsi="宋体" w:eastAsia="宋体" w:cs="宋体"/>
          <w:b/>
          <w:bCs/>
          <w:color w:val="auto"/>
          <w:kern w:val="0"/>
          <w:sz w:val="32"/>
          <w:szCs w:val="32"/>
          <w:highlight w:val="none"/>
        </w:rPr>
      </w:pPr>
    </w:p>
    <w:p>
      <w:pPr>
        <w:pStyle w:val="2"/>
        <w:rPr>
          <w:rFonts w:hint="eastAsia"/>
          <w:color w:val="auto"/>
          <w:highlight w:val="none"/>
        </w:rPr>
      </w:pPr>
    </w:p>
    <w:p>
      <w:pPr>
        <w:spacing w:line="590" w:lineRule="exact"/>
        <w:rPr>
          <w:rFonts w:hint="eastAsia" w:ascii="仿宋" w:hAnsi="仿宋" w:eastAsia="仿宋" w:cs="仿宋"/>
          <w:color w:val="auto"/>
          <w:sz w:val="32"/>
          <w:szCs w:val="32"/>
          <w:highlight w:val="none"/>
        </w:rPr>
      </w:pPr>
    </w:p>
    <w:p>
      <w:pPr>
        <w:spacing w:line="590" w:lineRule="exact"/>
        <w:rPr>
          <w:rFonts w:hint="eastAsia" w:ascii="黑体" w:eastAsia="黑体"/>
          <w:color w:val="auto"/>
          <w:sz w:val="32"/>
          <w:szCs w:val="32"/>
          <w:highlight w:val="none"/>
        </w:rPr>
      </w:pPr>
      <w:r>
        <w:rPr>
          <w:rFonts w:hint="eastAsia" w:ascii="仿宋" w:hAnsi="仿宋" w:eastAsia="仿宋" w:cs="仿宋"/>
          <w:color w:val="auto"/>
          <w:sz w:val="32"/>
          <w:szCs w:val="32"/>
          <w:highlight w:val="none"/>
        </w:rPr>
        <w:t>附件</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w:t>
      </w:r>
    </w:p>
    <w:p>
      <w:pPr>
        <w:autoSpaceDE w:val="0"/>
        <w:autoSpaceDN w:val="0"/>
        <w:adjustRightInd w:val="0"/>
        <w:jc w:val="center"/>
        <w:rPr>
          <w:rFonts w:hint="eastAsia" w:ascii="宋体" w:hAnsi="宋体" w:eastAsia="宋体" w:cs="宋体"/>
          <w:b/>
          <w:bCs/>
          <w:color w:val="auto"/>
          <w:kern w:val="0"/>
          <w:sz w:val="32"/>
          <w:szCs w:val="32"/>
          <w:highlight w:val="none"/>
          <w:lang w:val="en-US" w:eastAsia="zh-CN"/>
        </w:rPr>
      </w:pPr>
      <w:r>
        <w:rPr>
          <w:rFonts w:hint="eastAsia" w:ascii="宋体" w:hAnsi="宋体" w:eastAsia="宋体" w:cs="宋体"/>
          <w:b/>
          <w:bCs/>
          <w:color w:val="auto"/>
          <w:kern w:val="0"/>
          <w:sz w:val="32"/>
          <w:szCs w:val="32"/>
          <w:highlight w:val="none"/>
        </w:rPr>
        <w:t>节点时花</w:t>
      </w:r>
      <w:r>
        <w:rPr>
          <w:rFonts w:hint="eastAsia" w:ascii="宋体" w:hAnsi="宋体" w:cs="宋体"/>
          <w:b/>
          <w:bCs/>
          <w:color w:val="auto"/>
          <w:kern w:val="0"/>
          <w:sz w:val="32"/>
          <w:szCs w:val="32"/>
          <w:highlight w:val="none"/>
          <w:lang w:val="en-US" w:eastAsia="zh-CN"/>
        </w:rPr>
        <w:t>管养</w:t>
      </w:r>
      <w:r>
        <w:rPr>
          <w:rFonts w:hint="eastAsia" w:ascii="宋体" w:hAnsi="宋体" w:eastAsia="宋体" w:cs="宋体"/>
          <w:b/>
          <w:bCs/>
          <w:color w:val="auto"/>
          <w:kern w:val="0"/>
          <w:sz w:val="32"/>
          <w:szCs w:val="32"/>
          <w:highlight w:val="none"/>
        </w:rPr>
        <w:t>考核</w:t>
      </w:r>
      <w:r>
        <w:rPr>
          <w:rFonts w:hint="eastAsia" w:ascii="宋体" w:hAnsi="宋体" w:eastAsia="宋体" w:cs="宋体"/>
          <w:b/>
          <w:bCs/>
          <w:color w:val="auto"/>
          <w:kern w:val="0"/>
          <w:sz w:val="32"/>
          <w:szCs w:val="32"/>
          <w:highlight w:val="none"/>
          <w:lang w:val="en-US" w:eastAsia="zh-CN"/>
        </w:rPr>
        <w:t>办法</w:t>
      </w:r>
    </w:p>
    <w:p>
      <w:pPr>
        <w:autoSpaceDE w:val="0"/>
        <w:autoSpaceDN w:val="0"/>
        <w:adjustRightInd w:val="0"/>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bCs/>
          <w:color w:val="auto"/>
          <w:sz w:val="24"/>
          <w:szCs w:val="24"/>
          <w:highlight w:val="none"/>
        </w:rPr>
        <w:t xml:space="preserve">考核对象：                                 </w:t>
      </w:r>
      <w:r>
        <w:rPr>
          <w:rFonts w:hint="eastAsia" w:ascii="宋体" w:hAnsi="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考核时间：</w:t>
      </w:r>
      <w:r>
        <w:rPr>
          <w:rFonts w:hint="eastAsia" w:ascii="宋体" w:hAnsi="宋体" w:eastAsia="宋体" w:cs="宋体"/>
          <w:b w:val="0"/>
          <w:bCs w:val="0"/>
          <w:color w:val="auto"/>
          <w:sz w:val="21"/>
          <w:szCs w:val="21"/>
          <w:highlight w:val="none"/>
        </w:rPr>
        <w:t xml:space="preserve"> </w:t>
      </w:r>
      <w:r>
        <w:rPr>
          <w:rFonts w:hint="eastAsia" w:ascii="宋体" w:hAnsi="宋体" w:eastAsia="宋体" w:cs="宋体"/>
          <w:b w:val="0"/>
          <w:bCs w:val="0"/>
          <w:color w:val="auto"/>
          <w:kern w:val="0"/>
          <w:sz w:val="21"/>
          <w:szCs w:val="21"/>
          <w:highlight w:val="none"/>
        </w:rPr>
        <w:t xml:space="preserve">   </w:t>
      </w:r>
    </w:p>
    <w:tbl>
      <w:tblPr>
        <w:tblStyle w:val="63"/>
        <w:tblpPr w:leftFromText="180" w:rightFromText="180" w:vertAnchor="text" w:horzAnchor="page" w:tblpX="1695" w:tblpY="319"/>
        <w:tblOverlap w:val="never"/>
        <w:tblW w:w="83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5401"/>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vAlign w:val="center"/>
          </w:tcPr>
          <w:p>
            <w:pPr>
              <w:spacing w:line="320" w:lineRule="exact"/>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考核</w:t>
            </w:r>
          </w:p>
          <w:p>
            <w:pPr>
              <w:spacing w:line="320" w:lineRule="exact"/>
              <w:jc w:val="center"/>
              <w:rPr>
                <w:rFonts w:hint="eastAsia" w:ascii="宋体" w:hAnsi="宋体" w:eastAsia="宋体" w:cs="宋体"/>
                <w:b w:val="0"/>
                <w:bCs w:val="0"/>
                <w:color w:val="auto"/>
                <w:kern w:val="0"/>
                <w:sz w:val="21"/>
                <w:szCs w:val="21"/>
                <w:highlight w:val="none"/>
                <w:lang w:eastAsia="zh-CN"/>
              </w:rPr>
            </w:pPr>
            <w:r>
              <w:rPr>
                <w:rFonts w:hint="eastAsia" w:ascii="宋体" w:hAnsi="宋体" w:eastAsia="宋体" w:cs="宋体"/>
                <w:b w:val="0"/>
                <w:bCs w:val="0"/>
                <w:color w:val="auto"/>
                <w:kern w:val="0"/>
                <w:sz w:val="21"/>
                <w:szCs w:val="21"/>
                <w:highlight w:val="none"/>
              </w:rPr>
              <w:t>项目</w:t>
            </w:r>
          </w:p>
        </w:tc>
        <w:tc>
          <w:tcPr>
            <w:tcW w:w="5401" w:type="dxa"/>
            <w:vAlign w:val="center"/>
          </w:tcPr>
          <w:p>
            <w:pPr>
              <w:spacing w:line="320" w:lineRule="exact"/>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考核标准</w:t>
            </w:r>
          </w:p>
        </w:tc>
        <w:tc>
          <w:tcPr>
            <w:tcW w:w="2212" w:type="dxa"/>
            <w:vAlign w:val="center"/>
          </w:tcPr>
          <w:p>
            <w:pPr>
              <w:spacing w:line="320" w:lineRule="exact"/>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color w:val="auto"/>
                <w:sz w:val="21"/>
                <w:szCs w:val="21"/>
                <w:highlight w:val="none"/>
                <w:lang w:val="en-US" w:eastAsia="zh-CN"/>
              </w:rPr>
              <w:t>扣除分值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vMerge w:val="restart"/>
            <w:textDirection w:val="tbRlV"/>
            <w:vAlign w:val="center"/>
          </w:tcPr>
          <w:p>
            <w:pPr>
              <w:spacing w:line="320" w:lineRule="exact"/>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节点时花养护</w:t>
            </w:r>
          </w:p>
        </w:tc>
        <w:tc>
          <w:tcPr>
            <w:tcW w:w="5401" w:type="dxa"/>
            <w:vAlign w:val="center"/>
          </w:tcPr>
          <w:p>
            <w:pPr>
              <w:widowControl/>
              <w:jc w:val="lef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花坛花箱内无时花，时花倒伏、枯枝残花、杂草垃圾、黄土裸露等</w:t>
            </w:r>
          </w:p>
        </w:tc>
        <w:tc>
          <w:tcPr>
            <w:tcW w:w="2212" w:type="dxa"/>
            <w:vAlign w:val="center"/>
          </w:tcPr>
          <w:p>
            <w:pPr>
              <w:autoSpaceDE w:val="0"/>
              <w:autoSpaceDN w:val="0"/>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0.</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3" w:hRule="atLeast"/>
        </w:trPr>
        <w:tc>
          <w:tcPr>
            <w:tcW w:w="764" w:type="dxa"/>
            <w:vMerge w:val="continue"/>
            <w:vAlign w:val="center"/>
          </w:tcPr>
          <w:p>
            <w:pPr>
              <w:spacing w:line="320" w:lineRule="exact"/>
              <w:jc w:val="center"/>
              <w:rPr>
                <w:rFonts w:hint="eastAsia" w:ascii="宋体" w:hAnsi="宋体" w:eastAsia="宋体" w:cs="宋体"/>
                <w:b w:val="0"/>
                <w:bCs w:val="0"/>
                <w:color w:val="auto"/>
                <w:kern w:val="0"/>
                <w:sz w:val="21"/>
                <w:szCs w:val="21"/>
                <w:highlight w:val="none"/>
              </w:rPr>
            </w:pPr>
          </w:p>
        </w:tc>
        <w:tc>
          <w:tcPr>
            <w:tcW w:w="5401" w:type="dxa"/>
            <w:vAlign w:val="center"/>
          </w:tcPr>
          <w:p>
            <w:pPr>
              <w:widowControl/>
              <w:jc w:val="lef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土壤板结、过高。</w:t>
            </w:r>
          </w:p>
          <w:p>
            <w:pPr>
              <w:widowControl/>
              <w:jc w:val="left"/>
              <w:rPr>
                <w:rFonts w:hint="eastAsia" w:ascii="宋体" w:hAnsi="宋体" w:eastAsia="宋体" w:cs="宋体"/>
                <w:b w:val="0"/>
                <w:bCs w:val="0"/>
                <w:color w:val="auto"/>
                <w:kern w:val="0"/>
                <w:sz w:val="21"/>
                <w:szCs w:val="21"/>
                <w:highlight w:val="none"/>
              </w:rPr>
            </w:pPr>
          </w:p>
        </w:tc>
        <w:tc>
          <w:tcPr>
            <w:tcW w:w="2212" w:type="dxa"/>
            <w:vAlign w:val="center"/>
          </w:tcPr>
          <w:p>
            <w:pPr>
              <w:autoSpaceDE w:val="0"/>
              <w:autoSpaceDN w:val="0"/>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0.</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764" w:type="dxa"/>
            <w:vMerge w:val="continue"/>
            <w:vAlign w:val="center"/>
          </w:tcPr>
          <w:p>
            <w:pPr>
              <w:spacing w:line="320" w:lineRule="exact"/>
              <w:jc w:val="center"/>
              <w:rPr>
                <w:rFonts w:hint="eastAsia" w:ascii="宋体" w:hAnsi="宋体" w:eastAsia="宋体" w:cs="宋体"/>
                <w:b w:val="0"/>
                <w:bCs w:val="0"/>
                <w:color w:val="auto"/>
                <w:kern w:val="0"/>
                <w:sz w:val="21"/>
                <w:szCs w:val="21"/>
                <w:highlight w:val="none"/>
              </w:rPr>
            </w:pPr>
          </w:p>
        </w:tc>
        <w:tc>
          <w:tcPr>
            <w:tcW w:w="5401" w:type="dxa"/>
            <w:vAlign w:val="center"/>
          </w:tcPr>
          <w:p>
            <w:pPr>
              <w:widowControl/>
              <w:jc w:val="lef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绿化补种不规范，监管不到位致绿化破坏。</w:t>
            </w:r>
          </w:p>
        </w:tc>
        <w:tc>
          <w:tcPr>
            <w:tcW w:w="2212" w:type="dxa"/>
            <w:vAlign w:val="center"/>
          </w:tcPr>
          <w:p>
            <w:pPr>
              <w:autoSpaceDE w:val="0"/>
              <w:autoSpaceDN w:val="0"/>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0.</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764" w:type="dxa"/>
            <w:vMerge w:val="continue"/>
            <w:vAlign w:val="center"/>
          </w:tcPr>
          <w:p>
            <w:pPr>
              <w:spacing w:line="320" w:lineRule="exact"/>
              <w:jc w:val="center"/>
              <w:rPr>
                <w:rFonts w:hint="eastAsia" w:ascii="宋体" w:hAnsi="宋体" w:eastAsia="宋体" w:cs="宋体"/>
                <w:b w:val="0"/>
                <w:bCs w:val="0"/>
                <w:color w:val="auto"/>
                <w:kern w:val="0"/>
                <w:sz w:val="21"/>
                <w:szCs w:val="21"/>
                <w:highlight w:val="none"/>
              </w:rPr>
            </w:pPr>
          </w:p>
        </w:tc>
        <w:tc>
          <w:tcPr>
            <w:tcW w:w="5401" w:type="dxa"/>
            <w:vAlign w:val="center"/>
          </w:tcPr>
          <w:p>
            <w:pPr>
              <w:widowControl/>
              <w:jc w:val="lef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杂草、杂株未发现及时修剪</w:t>
            </w:r>
          </w:p>
        </w:tc>
        <w:tc>
          <w:tcPr>
            <w:tcW w:w="2212" w:type="dxa"/>
            <w:vAlign w:val="center"/>
          </w:tcPr>
          <w:p>
            <w:pPr>
              <w:autoSpaceDE w:val="0"/>
              <w:autoSpaceDN w:val="0"/>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0.</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64" w:type="dxa"/>
            <w:vMerge w:val="continue"/>
            <w:vAlign w:val="center"/>
          </w:tcPr>
          <w:p>
            <w:pPr>
              <w:spacing w:line="320" w:lineRule="exact"/>
              <w:jc w:val="center"/>
              <w:rPr>
                <w:rFonts w:hint="eastAsia" w:ascii="宋体" w:hAnsi="宋体" w:eastAsia="宋体" w:cs="宋体"/>
                <w:b w:val="0"/>
                <w:bCs w:val="0"/>
                <w:color w:val="auto"/>
                <w:kern w:val="0"/>
                <w:sz w:val="21"/>
                <w:szCs w:val="21"/>
                <w:highlight w:val="none"/>
              </w:rPr>
            </w:pPr>
          </w:p>
        </w:tc>
        <w:tc>
          <w:tcPr>
            <w:tcW w:w="5401" w:type="dxa"/>
            <w:vAlign w:val="center"/>
          </w:tcPr>
          <w:p>
            <w:pPr>
              <w:widowControl/>
              <w:jc w:val="lef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时花生长不健壮，不艳丽</w:t>
            </w:r>
          </w:p>
        </w:tc>
        <w:tc>
          <w:tcPr>
            <w:tcW w:w="2212" w:type="dxa"/>
            <w:vAlign w:val="center"/>
          </w:tcPr>
          <w:p>
            <w:pPr>
              <w:autoSpaceDE w:val="0"/>
              <w:autoSpaceDN w:val="0"/>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0.</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764" w:type="dxa"/>
            <w:vMerge w:val="restart"/>
            <w:textDirection w:val="tbRlV"/>
            <w:vAlign w:val="center"/>
          </w:tcPr>
          <w:p>
            <w:pPr>
              <w:spacing w:line="320" w:lineRule="exact"/>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lang w:eastAsia="zh-CN"/>
              </w:rPr>
              <w:t>病虫</w:t>
            </w:r>
            <w:r>
              <w:rPr>
                <w:rFonts w:hint="eastAsia" w:ascii="宋体" w:hAnsi="宋体" w:eastAsia="宋体" w:cs="宋体"/>
                <w:b w:val="0"/>
                <w:bCs w:val="0"/>
                <w:color w:val="auto"/>
                <w:kern w:val="0"/>
                <w:sz w:val="21"/>
                <w:szCs w:val="21"/>
                <w:highlight w:val="none"/>
              </w:rPr>
              <w:t>害防治</w:t>
            </w:r>
          </w:p>
        </w:tc>
        <w:tc>
          <w:tcPr>
            <w:tcW w:w="5401" w:type="dxa"/>
            <w:vAlign w:val="center"/>
          </w:tcPr>
          <w:p>
            <w:pPr>
              <w:widowControl/>
              <w:jc w:val="lef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未能及时掌握病虫害而导致病虫害发生</w:t>
            </w:r>
          </w:p>
        </w:tc>
        <w:tc>
          <w:tcPr>
            <w:tcW w:w="2212" w:type="dxa"/>
            <w:vAlign w:val="center"/>
          </w:tcPr>
          <w:p>
            <w:pPr>
              <w:autoSpaceDE w:val="0"/>
              <w:autoSpaceDN w:val="0"/>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0.</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764" w:type="dxa"/>
            <w:vMerge w:val="continue"/>
            <w:vAlign w:val="center"/>
          </w:tcPr>
          <w:p>
            <w:pPr>
              <w:spacing w:line="320" w:lineRule="exact"/>
              <w:jc w:val="center"/>
              <w:rPr>
                <w:rFonts w:hint="eastAsia" w:ascii="宋体" w:hAnsi="宋体" w:eastAsia="宋体" w:cs="宋体"/>
                <w:b w:val="0"/>
                <w:bCs w:val="0"/>
                <w:color w:val="auto"/>
                <w:kern w:val="0"/>
                <w:sz w:val="21"/>
                <w:szCs w:val="21"/>
                <w:highlight w:val="none"/>
              </w:rPr>
            </w:pPr>
          </w:p>
        </w:tc>
        <w:tc>
          <w:tcPr>
            <w:tcW w:w="5401" w:type="dxa"/>
            <w:vAlign w:val="center"/>
          </w:tcPr>
          <w:p>
            <w:pPr>
              <w:widowControl/>
              <w:jc w:val="lef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发现病虫害后不能及时进行防治措施</w:t>
            </w:r>
          </w:p>
        </w:tc>
        <w:tc>
          <w:tcPr>
            <w:tcW w:w="2212" w:type="dxa"/>
            <w:vAlign w:val="center"/>
          </w:tcPr>
          <w:p>
            <w:pPr>
              <w:autoSpaceDE w:val="0"/>
              <w:autoSpaceDN w:val="0"/>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0.</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64" w:type="dxa"/>
            <w:vMerge w:val="continue"/>
            <w:vAlign w:val="center"/>
          </w:tcPr>
          <w:p>
            <w:pPr>
              <w:spacing w:line="320" w:lineRule="exact"/>
              <w:jc w:val="center"/>
              <w:rPr>
                <w:rFonts w:hint="eastAsia" w:ascii="宋体" w:hAnsi="宋体" w:eastAsia="宋体" w:cs="宋体"/>
                <w:b w:val="0"/>
                <w:bCs w:val="0"/>
                <w:color w:val="auto"/>
                <w:kern w:val="0"/>
                <w:sz w:val="21"/>
                <w:szCs w:val="21"/>
                <w:highlight w:val="none"/>
              </w:rPr>
            </w:pPr>
          </w:p>
        </w:tc>
        <w:tc>
          <w:tcPr>
            <w:tcW w:w="5401" w:type="dxa"/>
            <w:vAlign w:val="center"/>
          </w:tcPr>
          <w:p>
            <w:pPr>
              <w:widowControl/>
              <w:jc w:val="lef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食叶性害虫危害植株每株多于5%叶片</w:t>
            </w:r>
          </w:p>
        </w:tc>
        <w:tc>
          <w:tcPr>
            <w:tcW w:w="2212" w:type="dxa"/>
            <w:vAlign w:val="center"/>
          </w:tcPr>
          <w:p>
            <w:pPr>
              <w:autoSpaceDE w:val="0"/>
              <w:autoSpaceDN w:val="0"/>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sz w:val="21"/>
                <w:szCs w:val="21"/>
                <w:highlight w:val="none"/>
                <w:lang w:val="en-US" w:eastAsia="zh-CN"/>
              </w:rPr>
              <w:t>0.</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分/株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764" w:type="dxa"/>
            <w:vMerge w:val="continue"/>
            <w:vAlign w:val="center"/>
          </w:tcPr>
          <w:p>
            <w:pPr>
              <w:spacing w:line="320" w:lineRule="exact"/>
              <w:jc w:val="center"/>
              <w:rPr>
                <w:rFonts w:hint="eastAsia" w:ascii="宋体" w:hAnsi="宋体" w:eastAsia="宋体" w:cs="宋体"/>
                <w:b w:val="0"/>
                <w:bCs w:val="0"/>
                <w:color w:val="auto"/>
                <w:kern w:val="0"/>
                <w:sz w:val="21"/>
                <w:szCs w:val="21"/>
                <w:highlight w:val="none"/>
              </w:rPr>
            </w:pPr>
          </w:p>
        </w:tc>
        <w:tc>
          <w:tcPr>
            <w:tcW w:w="5401" w:type="dxa"/>
            <w:vAlign w:val="center"/>
          </w:tcPr>
          <w:p>
            <w:pPr>
              <w:widowControl/>
              <w:jc w:val="lef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危害叶片多于10%以上</w:t>
            </w:r>
          </w:p>
        </w:tc>
        <w:tc>
          <w:tcPr>
            <w:tcW w:w="2212" w:type="dxa"/>
            <w:vAlign w:val="center"/>
          </w:tcPr>
          <w:p>
            <w:pPr>
              <w:autoSpaceDE w:val="0"/>
              <w:autoSpaceDN w:val="0"/>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sz w:val="21"/>
                <w:szCs w:val="21"/>
                <w:highlight w:val="none"/>
                <w:lang w:val="en-US" w:eastAsia="zh-CN"/>
              </w:rPr>
              <w:t>0.</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分/株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764" w:type="dxa"/>
            <w:vMerge w:val="restart"/>
            <w:textDirection w:val="tbRlV"/>
            <w:vAlign w:val="center"/>
          </w:tcPr>
          <w:p>
            <w:pPr>
              <w:spacing w:line="320" w:lineRule="exact"/>
              <w:ind w:left="0" w:leftChars="0" w:firstLine="0" w:firstLineChars="0"/>
              <w:jc w:val="both"/>
              <w:rPr>
                <w:rFonts w:hint="eastAsia" w:ascii="宋体" w:hAnsi="宋体" w:eastAsia="宋体" w:cs="宋体"/>
                <w:b w:val="0"/>
                <w:bCs w:val="0"/>
                <w:color w:val="auto"/>
                <w:kern w:val="0"/>
                <w:sz w:val="21"/>
                <w:szCs w:val="21"/>
                <w:highlight w:val="none"/>
                <w:lang w:eastAsia="zh-CN"/>
              </w:rPr>
            </w:pPr>
            <w:r>
              <w:rPr>
                <w:rFonts w:hint="eastAsia" w:ascii="宋体" w:hAnsi="宋体" w:eastAsia="宋体" w:cs="宋体"/>
                <w:b w:val="0"/>
                <w:bCs w:val="0"/>
                <w:color w:val="auto"/>
                <w:kern w:val="0"/>
                <w:sz w:val="21"/>
                <w:szCs w:val="21"/>
                <w:highlight w:val="none"/>
                <w:lang w:eastAsia="zh-CN"/>
              </w:rPr>
              <w:t>卫生管理</w:t>
            </w:r>
          </w:p>
        </w:tc>
        <w:tc>
          <w:tcPr>
            <w:tcW w:w="5401" w:type="dxa"/>
            <w:vAlign w:val="center"/>
          </w:tcPr>
          <w:p>
            <w:pPr>
              <w:widowControl/>
              <w:jc w:val="lef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绿地内有垃圾、石块等杂物</w:t>
            </w:r>
          </w:p>
        </w:tc>
        <w:tc>
          <w:tcPr>
            <w:tcW w:w="2212" w:type="dxa"/>
            <w:vAlign w:val="center"/>
          </w:tcPr>
          <w:p>
            <w:pPr>
              <w:autoSpaceDE w:val="0"/>
              <w:autoSpaceDN w:val="0"/>
              <w:adjustRightInd w:val="0"/>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sz w:val="21"/>
                <w:szCs w:val="21"/>
                <w:highlight w:val="none"/>
                <w:lang w:val="en-US" w:eastAsia="zh-CN"/>
              </w:rPr>
              <w:t>0.</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64" w:type="dxa"/>
            <w:vMerge w:val="continue"/>
            <w:vAlign w:val="center"/>
          </w:tcPr>
          <w:p>
            <w:pPr>
              <w:spacing w:line="320" w:lineRule="exact"/>
              <w:jc w:val="center"/>
              <w:rPr>
                <w:rFonts w:hint="eastAsia" w:ascii="宋体" w:hAnsi="宋体" w:eastAsia="宋体" w:cs="宋体"/>
                <w:b w:val="0"/>
                <w:bCs w:val="0"/>
                <w:color w:val="auto"/>
                <w:kern w:val="0"/>
                <w:sz w:val="21"/>
                <w:szCs w:val="21"/>
                <w:highlight w:val="none"/>
              </w:rPr>
            </w:pPr>
          </w:p>
        </w:tc>
        <w:tc>
          <w:tcPr>
            <w:tcW w:w="5401" w:type="dxa"/>
            <w:vAlign w:val="center"/>
          </w:tcPr>
          <w:p>
            <w:pPr>
              <w:widowControl/>
              <w:jc w:val="lef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积尘明</w:t>
            </w:r>
            <w:r>
              <w:rPr>
                <w:rFonts w:hint="eastAsia" w:ascii="宋体" w:hAnsi="宋体" w:eastAsia="宋体" w:cs="宋体"/>
                <w:b w:val="0"/>
                <w:bCs w:val="0"/>
                <w:color w:val="auto"/>
                <w:kern w:val="0"/>
                <w:sz w:val="21"/>
                <w:szCs w:val="21"/>
                <w:highlight w:val="none"/>
                <w:lang w:eastAsia="zh-CN"/>
              </w:rPr>
              <w:t>显，</w:t>
            </w:r>
            <w:r>
              <w:rPr>
                <w:rFonts w:hint="eastAsia" w:ascii="宋体" w:hAnsi="宋体" w:eastAsia="宋体" w:cs="宋体"/>
                <w:b w:val="0"/>
                <w:bCs w:val="0"/>
                <w:color w:val="auto"/>
                <w:kern w:val="0"/>
                <w:sz w:val="21"/>
                <w:szCs w:val="21"/>
                <w:highlight w:val="none"/>
              </w:rPr>
              <w:t>叶面积灰</w:t>
            </w:r>
          </w:p>
        </w:tc>
        <w:tc>
          <w:tcPr>
            <w:tcW w:w="2212" w:type="dxa"/>
            <w:vAlign w:val="center"/>
          </w:tcPr>
          <w:p>
            <w:pPr>
              <w:autoSpaceDE w:val="0"/>
              <w:autoSpaceDN w:val="0"/>
              <w:adjustRightInd w:val="0"/>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sz w:val="21"/>
                <w:szCs w:val="21"/>
                <w:highlight w:val="none"/>
                <w:lang w:val="en-US" w:eastAsia="zh-CN"/>
              </w:rPr>
              <w:t>0.</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764" w:type="dxa"/>
            <w:vMerge w:val="restart"/>
            <w:textDirection w:val="tbRlV"/>
            <w:vAlign w:val="center"/>
          </w:tcPr>
          <w:p>
            <w:pPr>
              <w:spacing w:line="320" w:lineRule="exact"/>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管理工作</w:t>
            </w:r>
          </w:p>
        </w:tc>
        <w:tc>
          <w:tcPr>
            <w:tcW w:w="5401" w:type="dxa"/>
            <w:vAlign w:val="center"/>
          </w:tcPr>
          <w:p>
            <w:pPr>
              <w:widowControl/>
              <w:jc w:val="lef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养护人员不到位</w:t>
            </w:r>
          </w:p>
        </w:tc>
        <w:tc>
          <w:tcPr>
            <w:tcW w:w="2212" w:type="dxa"/>
            <w:vAlign w:val="center"/>
          </w:tcPr>
          <w:p>
            <w:pPr>
              <w:autoSpaceDE w:val="0"/>
              <w:autoSpaceDN w:val="0"/>
              <w:adjustRightInd w:val="0"/>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sz w:val="21"/>
                <w:szCs w:val="21"/>
                <w:highlight w:val="none"/>
                <w:lang w:val="en-US" w:eastAsia="zh-CN"/>
              </w:rPr>
              <w:t>0.</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vMerge w:val="continue"/>
            <w:vAlign w:val="center"/>
          </w:tcPr>
          <w:p>
            <w:pPr>
              <w:autoSpaceDE w:val="0"/>
              <w:autoSpaceDN w:val="0"/>
              <w:adjustRightInd w:val="0"/>
              <w:jc w:val="center"/>
              <w:rPr>
                <w:rFonts w:hint="eastAsia" w:ascii="宋体" w:hAnsi="宋体" w:eastAsia="宋体" w:cs="宋体"/>
                <w:b w:val="0"/>
                <w:bCs w:val="0"/>
                <w:color w:val="auto"/>
                <w:kern w:val="0"/>
                <w:sz w:val="21"/>
                <w:szCs w:val="21"/>
                <w:highlight w:val="none"/>
              </w:rPr>
            </w:pPr>
          </w:p>
        </w:tc>
        <w:tc>
          <w:tcPr>
            <w:tcW w:w="5401" w:type="dxa"/>
            <w:vAlign w:val="center"/>
          </w:tcPr>
          <w:p>
            <w:pPr>
              <w:widowControl/>
              <w:jc w:val="lef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养护作业人员穿着不整齐统一，上路作业不穿有反光条的工作服，不文明作业</w:t>
            </w:r>
          </w:p>
        </w:tc>
        <w:tc>
          <w:tcPr>
            <w:tcW w:w="2212" w:type="dxa"/>
            <w:vAlign w:val="center"/>
          </w:tcPr>
          <w:p>
            <w:pPr>
              <w:autoSpaceDE w:val="0"/>
              <w:autoSpaceDN w:val="0"/>
              <w:adjustRightInd w:val="0"/>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sz w:val="21"/>
                <w:szCs w:val="21"/>
                <w:highlight w:val="none"/>
                <w:lang w:val="en-US" w:eastAsia="zh-CN"/>
              </w:rPr>
              <w:t>0.</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vMerge w:val="continue"/>
            <w:vAlign w:val="center"/>
          </w:tcPr>
          <w:p>
            <w:pPr>
              <w:autoSpaceDE w:val="0"/>
              <w:autoSpaceDN w:val="0"/>
              <w:adjustRightInd w:val="0"/>
              <w:jc w:val="center"/>
              <w:rPr>
                <w:rFonts w:hint="eastAsia" w:ascii="宋体" w:hAnsi="宋体" w:eastAsia="宋体" w:cs="宋体"/>
                <w:b w:val="0"/>
                <w:bCs w:val="0"/>
                <w:color w:val="auto"/>
                <w:kern w:val="0"/>
                <w:sz w:val="21"/>
                <w:szCs w:val="21"/>
                <w:highlight w:val="none"/>
              </w:rPr>
            </w:pPr>
          </w:p>
        </w:tc>
        <w:tc>
          <w:tcPr>
            <w:tcW w:w="5401" w:type="dxa"/>
            <w:vAlign w:val="center"/>
          </w:tcPr>
          <w:p>
            <w:pPr>
              <w:widowControl/>
              <w:jc w:val="lef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一旦发现违章占绿或违法建设情况，不能提供相关审批许可的，没有及时上报绿化管理单位的</w:t>
            </w:r>
          </w:p>
        </w:tc>
        <w:tc>
          <w:tcPr>
            <w:tcW w:w="2212" w:type="dxa"/>
            <w:vAlign w:val="center"/>
          </w:tcPr>
          <w:p>
            <w:pPr>
              <w:autoSpaceDE w:val="0"/>
              <w:autoSpaceDN w:val="0"/>
              <w:adjustRightInd w:val="0"/>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sz w:val="21"/>
                <w:szCs w:val="21"/>
                <w:highlight w:val="none"/>
                <w:lang w:val="en-US" w:eastAsia="zh-CN"/>
              </w:rPr>
              <w:t>0.2分-1分/处</w:t>
            </w:r>
          </w:p>
        </w:tc>
      </w:tr>
    </w:tbl>
    <w:p>
      <w:pPr>
        <w:widowControl/>
        <w:rPr>
          <w:rFonts w:hint="eastAsia" w:ascii="宋体" w:hAnsi="宋体" w:eastAsia="宋体" w:cs="宋体"/>
          <w:b w:val="0"/>
          <w:bCs w:val="0"/>
          <w:color w:val="auto"/>
          <w:sz w:val="21"/>
          <w:szCs w:val="21"/>
          <w:highlight w:val="none"/>
        </w:rPr>
      </w:pPr>
    </w:p>
    <w:p>
      <w:pPr>
        <w:widowControl/>
        <w:rPr>
          <w:rFonts w:hint="eastAsia" w:ascii="宋体" w:hAnsi="宋体" w:eastAsia="宋体" w:cs="宋体"/>
          <w:b w:val="0"/>
          <w:bCs w:val="0"/>
          <w:color w:val="auto"/>
          <w:sz w:val="21"/>
          <w:szCs w:val="21"/>
          <w:highlight w:val="none"/>
        </w:rPr>
      </w:pPr>
    </w:p>
    <w:p>
      <w:pPr>
        <w:widowControl/>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 xml:space="preserve"> </w:t>
      </w:r>
    </w:p>
    <w:p>
      <w:pPr>
        <w:spacing w:line="440" w:lineRule="exact"/>
        <w:jc w:val="center"/>
        <w:rPr>
          <w:rFonts w:hint="eastAsia" w:ascii="宋体" w:hAnsi="宋体" w:eastAsia="宋体" w:cs="宋体"/>
          <w:b/>
          <w:bCs/>
          <w:color w:val="auto"/>
          <w:sz w:val="32"/>
          <w:szCs w:val="32"/>
          <w:highlight w:val="none"/>
        </w:rPr>
      </w:pPr>
    </w:p>
    <w:p>
      <w:pPr>
        <w:spacing w:line="440" w:lineRule="exact"/>
        <w:jc w:val="center"/>
        <w:rPr>
          <w:rFonts w:hint="eastAsia" w:ascii="宋体" w:hAnsi="宋体" w:eastAsia="宋体" w:cs="宋体"/>
          <w:b/>
          <w:bCs/>
          <w:color w:val="auto"/>
          <w:sz w:val="32"/>
          <w:szCs w:val="32"/>
          <w:highlight w:val="none"/>
        </w:rPr>
      </w:pPr>
    </w:p>
    <w:p>
      <w:pPr>
        <w:widowControl/>
        <w:rPr>
          <w:rFonts w:hint="eastAsia" w:ascii="仿宋_GB2312" w:hAnsi="仿宋" w:eastAsia="仿宋_GB2312" w:cs="仿宋"/>
          <w:color w:val="auto"/>
          <w:sz w:val="24"/>
          <w:szCs w:val="24"/>
          <w:highlight w:val="none"/>
          <w:lang w:val="en-US" w:eastAsia="zh-CN"/>
        </w:rPr>
      </w:pPr>
    </w:p>
    <w:p>
      <w:pPr>
        <w:widowControl/>
        <w:rPr>
          <w:rFonts w:hint="eastAsia" w:ascii="仿宋_GB2312" w:hAnsi="仿宋" w:eastAsia="仿宋_GB2312" w:cs="仿宋"/>
          <w:color w:val="auto"/>
          <w:sz w:val="24"/>
          <w:szCs w:val="24"/>
          <w:highlight w:val="none"/>
          <w:lang w:val="en-US" w:eastAsia="zh-CN"/>
        </w:rPr>
      </w:pPr>
    </w:p>
    <w:p>
      <w:pPr>
        <w:widowControl/>
        <w:rPr>
          <w:rFonts w:hint="eastAsia" w:ascii="仿宋_GB2312" w:hAnsi="仿宋" w:eastAsia="仿宋_GB2312" w:cs="仿宋"/>
          <w:color w:val="auto"/>
          <w:sz w:val="24"/>
          <w:szCs w:val="24"/>
          <w:highlight w:val="none"/>
          <w:lang w:val="en-US" w:eastAsia="zh-CN"/>
        </w:rPr>
      </w:pPr>
    </w:p>
    <w:p>
      <w:pPr>
        <w:widowControl/>
        <w:rPr>
          <w:rFonts w:hint="eastAsia" w:ascii="仿宋_GB2312" w:hAnsi="仿宋" w:eastAsia="仿宋_GB2312" w:cs="仿宋"/>
          <w:color w:val="auto"/>
          <w:sz w:val="24"/>
          <w:szCs w:val="24"/>
          <w:highlight w:val="none"/>
          <w:lang w:val="en-US" w:eastAsia="zh-CN"/>
        </w:rPr>
      </w:pPr>
    </w:p>
    <w:p>
      <w:pPr>
        <w:widowControl/>
        <w:rPr>
          <w:rFonts w:hint="eastAsia" w:ascii="仿宋_GB2312" w:hAnsi="仿宋" w:eastAsia="仿宋_GB2312" w:cs="仿宋"/>
          <w:color w:val="auto"/>
          <w:sz w:val="24"/>
          <w:szCs w:val="24"/>
          <w:highlight w:val="none"/>
          <w:lang w:val="en-US" w:eastAsia="zh-CN"/>
        </w:rPr>
      </w:pPr>
    </w:p>
    <w:p>
      <w:pPr>
        <w:widowControl/>
        <w:rPr>
          <w:rFonts w:hint="eastAsia" w:ascii="仿宋_GB2312" w:hAnsi="仿宋" w:eastAsia="仿宋_GB2312" w:cs="仿宋"/>
          <w:color w:val="auto"/>
          <w:sz w:val="24"/>
          <w:szCs w:val="24"/>
          <w:highlight w:val="none"/>
        </w:rPr>
      </w:pPr>
    </w:p>
    <w:p>
      <w:pPr>
        <w:widowControl/>
        <w:rPr>
          <w:rFonts w:hint="eastAsia" w:ascii="仿宋_GB2312" w:hAnsi="仿宋" w:eastAsia="仿宋_GB2312" w:cs="仿宋"/>
          <w:color w:val="auto"/>
          <w:sz w:val="24"/>
          <w:szCs w:val="24"/>
          <w:highlight w:val="none"/>
        </w:rPr>
      </w:pPr>
    </w:p>
    <w:p>
      <w:pPr>
        <w:widowControl/>
        <w:rPr>
          <w:rFonts w:hint="eastAsia" w:ascii="仿宋_GB2312" w:hAnsi="仿宋" w:eastAsia="仿宋_GB2312" w:cs="仿宋"/>
          <w:color w:val="auto"/>
          <w:sz w:val="24"/>
          <w:szCs w:val="24"/>
          <w:highlight w:val="none"/>
        </w:rPr>
      </w:pPr>
    </w:p>
    <w:p>
      <w:pPr>
        <w:widowControl/>
        <w:rPr>
          <w:rFonts w:hint="eastAsia" w:ascii="仿宋_GB2312" w:hAnsi="仿宋" w:eastAsia="仿宋_GB2312" w:cs="仿宋"/>
          <w:color w:val="auto"/>
          <w:sz w:val="24"/>
          <w:szCs w:val="24"/>
          <w:highlight w:val="none"/>
        </w:rPr>
      </w:pPr>
    </w:p>
    <w:p>
      <w:pPr>
        <w:widowControl/>
        <w:rPr>
          <w:rFonts w:hint="eastAsia" w:ascii="仿宋_GB2312" w:hAnsi="仿宋" w:eastAsia="仿宋_GB2312" w:cs="仿宋"/>
          <w:color w:val="auto"/>
          <w:sz w:val="24"/>
          <w:szCs w:val="24"/>
          <w:highlight w:val="none"/>
        </w:rPr>
      </w:pPr>
    </w:p>
    <w:p>
      <w:pPr>
        <w:widowControl/>
        <w:rPr>
          <w:rFonts w:hint="eastAsia" w:ascii="仿宋_GB2312" w:hAnsi="仿宋" w:eastAsia="仿宋_GB2312" w:cs="仿宋"/>
          <w:color w:val="auto"/>
          <w:sz w:val="24"/>
          <w:szCs w:val="24"/>
          <w:highlight w:val="none"/>
        </w:rPr>
      </w:pPr>
    </w:p>
    <w:p>
      <w:pPr>
        <w:widowControl/>
        <w:rPr>
          <w:rFonts w:hint="eastAsia" w:ascii="仿宋_GB2312" w:hAnsi="仿宋" w:eastAsia="仿宋_GB2312" w:cs="仿宋"/>
          <w:color w:val="auto"/>
          <w:sz w:val="24"/>
          <w:szCs w:val="24"/>
          <w:highlight w:val="none"/>
        </w:rPr>
      </w:pPr>
    </w:p>
    <w:p>
      <w:pPr>
        <w:widowControl/>
        <w:rPr>
          <w:rFonts w:hint="eastAsia" w:ascii="仿宋_GB2312" w:hAnsi="仿宋" w:eastAsia="仿宋_GB2312" w:cs="仿宋"/>
          <w:color w:val="auto"/>
          <w:sz w:val="24"/>
          <w:szCs w:val="24"/>
          <w:highlight w:val="none"/>
        </w:rPr>
      </w:pPr>
    </w:p>
    <w:p>
      <w:pPr>
        <w:widowControl/>
        <w:rPr>
          <w:rFonts w:hint="eastAsia" w:ascii="仿宋_GB2312" w:hAnsi="仿宋" w:eastAsia="仿宋_GB2312" w:cs="仿宋"/>
          <w:color w:val="auto"/>
          <w:sz w:val="24"/>
          <w:szCs w:val="24"/>
          <w:highlight w:val="none"/>
        </w:rPr>
      </w:pPr>
    </w:p>
    <w:p>
      <w:pPr>
        <w:widowControl/>
        <w:rPr>
          <w:rFonts w:hint="eastAsia" w:ascii="仿宋_GB2312" w:hAnsi="仿宋" w:eastAsia="仿宋_GB2312" w:cs="仿宋"/>
          <w:color w:val="auto"/>
          <w:sz w:val="24"/>
          <w:szCs w:val="24"/>
          <w:highlight w:val="none"/>
        </w:rPr>
      </w:pPr>
    </w:p>
    <w:p>
      <w:pPr>
        <w:widowControl/>
        <w:rPr>
          <w:rFonts w:hint="eastAsia" w:ascii="仿宋_GB2312" w:hAnsi="仿宋" w:eastAsia="仿宋_GB2312" w:cs="仿宋"/>
          <w:color w:val="auto"/>
          <w:sz w:val="24"/>
          <w:szCs w:val="24"/>
          <w:highlight w:val="none"/>
        </w:rPr>
      </w:pPr>
    </w:p>
    <w:p>
      <w:pPr>
        <w:widowControl/>
        <w:rPr>
          <w:rFonts w:hint="eastAsia" w:ascii="仿宋_GB2312" w:hAnsi="仿宋" w:eastAsia="仿宋_GB2312" w:cs="仿宋"/>
          <w:color w:val="auto"/>
          <w:sz w:val="24"/>
          <w:szCs w:val="24"/>
          <w:highlight w:val="none"/>
        </w:rPr>
      </w:pPr>
    </w:p>
    <w:p>
      <w:pPr>
        <w:widowControl/>
        <w:rPr>
          <w:rFonts w:hint="eastAsia" w:ascii="仿宋_GB2312" w:hAnsi="仿宋" w:eastAsia="仿宋_GB2312" w:cs="仿宋"/>
          <w:color w:val="auto"/>
          <w:sz w:val="24"/>
          <w:szCs w:val="24"/>
          <w:highlight w:val="none"/>
        </w:rPr>
      </w:pPr>
    </w:p>
    <w:p>
      <w:pPr>
        <w:widowControl/>
        <w:rPr>
          <w:rFonts w:hint="eastAsia" w:ascii="仿宋" w:hAnsi="仿宋" w:eastAsia="仿宋" w:cs="仿宋"/>
          <w:color w:val="auto"/>
          <w:sz w:val="32"/>
          <w:szCs w:val="32"/>
          <w:highlight w:val="none"/>
          <w:lang w:eastAsia="zh-CN"/>
        </w:rPr>
      </w:pPr>
      <w:r>
        <w:rPr>
          <w:rFonts w:hint="eastAsia" w:ascii="仿宋_GB2312" w:hAnsi="仿宋" w:eastAsia="仿宋_GB2312" w:cs="仿宋"/>
          <w:color w:val="auto"/>
          <w:sz w:val="24"/>
          <w:szCs w:val="24"/>
          <w:highlight w:val="none"/>
        </w:rPr>
        <w:t>备注:</w:t>
      </w:r>
      <w:r>
        <w:rPr>
          <w:rFonts w:hint="eastAsia" w:ascii="仿宋_GB2312" w:eastAsia="仿宋_GB2312"/>
          <w:color w:val="auto"/>
          <w:sz w:val="24"/>
          <w:szCs w:val="24"/>
          <w:highlight w:val="none"/>
        </w:rPr>
        <w:t>绿化考核扣分比重按照一类道路100%，二类道路90%，三类道路80%，其他道路70%予以扣款。</w:t>
      </w:r>
    </w:p>
    <w:p>
      <w:pPr>
        <w:widowControl/>
        <w:rPr>
          <w:rFonts w:hint="eastAsia" w:ascii="仿宋" w:hAnsi="仿宋" w:eastAsia="仿宋" w:cs="仿宋"/>
          <w:color w:val="auto"/>
          <w:sz w:val="32"/>
          <w:szCs w:val="32"/>
          <w:highlight w:val="none"/>
          <w:lang w:eastAsia="zh-CN"/>
        </w:rPr>
      </w:pPr>
    </w:p>
    <w:p>
      <w:pPr>
        <w:pStyle w:val="2"/>
        <w:rPr>
          <w:rFonts w:hint="eastAsia" w:ascii="仿宋" w:hAnsi="仿宋" w:eastAsia="仿宋" w:cs="仿宋"/>
          <w:color w:val="auto"/>
          <w:sz w:val="32"/>
          <w:szCs w:val="32"/>
          <w:highlight w:val="none"/>
          <w:lang w:eastAsia="zh-CN"/>
        </w:rPr>
      </w:pPr>
    </w:p>
    <w:p>
      <w:pPr>
        <w:rPr>
          <w:rFonts w:hint="eastAsia" w:ascii="仿宋" w:hAnsi="仿宋" w:eastAsia="仿宋" w:cs="仿宋"/>
          <w:color w:val="auto"/>
          <w:sz w:val="32"/>
          <w:szCs w:val="32"/>
          <w:highlight w:val="none"/>
          <w:lang w:eastAsia="zh-CN"/>
        </w:rPr>
      </w:pPr>
    </w:p>
    <w:p>
      <w:pPr>
        <w:pStyle w:val="2"/>
        <w:rPr>
          <w:rFonts w:hint="eastAsia" w:ascii="仿宋" w:hAnsi="仿宋" w:eastAsia="仿宋" w:cs="仿宋"/>
          <w:color w:val="auto"/>
          <w:sz w:val="32"/>
          <w:szCs w:val="32"/>
          <w:highlight w:val="none"/>
          <w:lang w:eastAsia="zh-CN"/>
        </w:rPr>
      </w:pPr>
    </w:p>
    <w:p>
      <w:pPr>
        <w:rPr>
          <w:rFonts w:hint="eastAsia" w:ascii="仿宋" w:hAnsi="仿宋" w:eastAsia="仿宋" w:cs="仿宋"/>
          <w:color w:val="auto"/>
          <w:sz w:val="32"/>
          <w:szCs w:val="32"/>
          <w:highlight w:val="none"/>
          <w:lang w:eastAsia="zh-CN"/>
        </w:rPr>
      </w:pPr>
    </w:p>
    <w:p>
      <w:pPr>
        <w:pStyle w:val="2"/>
        <w:rPr>
          <w:rFonts w:hint="eastAsia" w:ascii="仿宋" w:hAnsi="仿宋" w:eastAsia="仿宋" w:cs="仿宋"/>
          <w:color w:val="auto"/>
          <w:sz w:val="32"/>
          <w:szCs w:val="32"/>
          <w:highlight w:val="none"/>
          <w:lang w:eastAsia="zh-CN"/>
        </w:rPr>
      </w:pPr>
    </w:p>
    <w:p>
      <w:pPr>
        <w:rPr>
          <w:rFonts w:hint="eastAsia"/>
          <w:color w:val="auto"/>
          <w:highlight w:val="none"/>
          <w:lang w:eastAsia="zh-CN"/>
        </w:rPr>
      </w:pPr>
    </w:p>
    <w:p>
      <w:pPr>
        <w:widowControl/>
        <w:rPr>
          <w:rFonts w:hint="eastAsia" w:ascii="仿宋" w:hAnsi="仿宋" w:eastAsia="仿宋" w:cs="仿宋"/>
          <w:color w:val="auto"/>
          <w:sz w:val="32"/>
          <w:szCs w:val="32"/>
          <w:highlight w:val="none"/>
          <w:lang w:eastAsia="zh-CN"/>
        </w:rPr>
      </w:pPr>
    </w:p>
    <w:p>
      <w:pPr>
        <w:widowControl/>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eastAsia="zh-CN"/>
        </w:rPr>
        <w:t>附件</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w:t>
      </w:r>
    </w:p>
    <w:p>
      <w:pPr>
        <w:spacing w:line="590" w:lineRule="exact"/>
        <w:jc w:val="center"/>
        <w:rPr>
          <w:rFonts w:hint="eastAsia" w:ascii="方正小标宋简体" w:eastAsia="方正小标宋简体"/>
          <w:color w:val="auto"/>
          <w:sz w:val="44"/>
          <w:szCs w:val="44"/>
          <w:highlight w:val="none"/>
          <w:lang w:eastAsia="zh-CN"/>
        </w:rPr>
      </w:pPr>
      <w:r>
        <w:rPr>
          <w:rFonts w:hint="eastAsia" w:ascii="方正小标宋简体" w:eastAsia="方正小标宋简体"/>
          <w:color w:val="auto"/>
          <w:sz w:val="44"/>
          <w:szCs w:val="44"/>
          <w:highlight w:val="none"/>
          <w:lang w:eastAsia="zh-CN"/>
        </w:rPr>
        <w:t>五常街道路灯（景观灯）设施考核细则</w:t>
      </w:r>
    </w:p>
    <w:tbl>
      <w:tblPr>
        <w:tblStyle w:val="63"/>
        <w:tblpPr w:leftFromText="180" w:rightFromText="180" w:vertAnchor="text" w:horzAnchor="page" w:tblpX="2220" w:tblpY="509"/>
        <w:tblOverlap w:val="never"/>
        <w:tblW w:w="7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5172"/>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Align w:val="center"/>
          </w:tcPr>
          <w:p>
            <w:pPr>
              <w:autoSpaceDE w:val="0"/>
              <w:autoSpaceDN w:val="0"/>
              <w:adjustRightInd w:val="0"/>
              <w:jc w:val="center"/>
              <w:rPr>
                <w:rFonts w:hint="eastAsia" w:ascii="宋体" w:eastAsia="宋体"/>
                <w:b/>
                <w:color w:val="auto"/>
                <w:kern w:val="0"/>
                <w:sz w:val="24"/>
                <w:szCs w:val="24"/>
                <w:highlight w:val="none"/>
                <w:lang w:val="en-US" w:eastAsia="zh-CN"/>
              </w:rPr>
            </w:pPr>
            <w:r>
              <w:rPr>
                <w:rFonts w:hint="eastAsia" w:ascii="仿宋_GB2312" w:eastAsia="仿宋_GB2312" w:cs="宋体"/>
                <w:b/>
                <w:color w:val="auto"/>
                <w:kern w:val="0"/>
                <w:sz w:val="24"/>
                <w:szCs w:val="24"/>
                <w:highlight w:val="none"/>
                <w:lang w:val="en-US" w:eastAsia="zh-CN"/>
              </w:rPr>
              <w:t>考核项目</w:t>
            </w:r>
          </w:p>
        </w:tc>
        <w:tc>
          <w:tcPr>
            <w:tcW w:w="5172" w:type="dxa"/>
            <w:vAlign w:val="center"/>
          </w:tcPr>
          <w:p>
            <w:pPr>
              <w:autoSpaceDE w:val="0"/>
              <w:autoSpaceDN w:val="0"/>
              <w:adjustRightInd w:val="0"/>
              <w:jc w:val="center"/>
              <w:rPr>
                <w:rFonts w:hint="eastAsia" w:ascii="宋体"/>
                <w:color w:val="auto"/>
                <w:kern w:val="0"/>
                <w:sz w:val="24"/>
                <w:szCs w:val="24"/>
                <w:highlight w:val="none"/>
              </w:rPr>
            </w:pPr>
            <w:r>
              <w:rPr>
                <w:rFonts w:hint="eastAsia" w:ascii="仿宋_GB2312" w:eastAsia="仿宋_GB2312" w:cs="宋体"/>
                <w:b/>
                <w:color w:val="auto"/>
                <w:kern w:val="0"/>
                <w:sz w:val="24"/>
                <w:szCs w:val="24"/>
                <w:highlight w:val="none"/>
              </w:rPr>
              <w:t>考核标准</w:t>
            </w:r>
          </w:p>
        </w:tc>
        <w:tc>
          <w:tcPr>
            <w:tcW w:w="1968" w:type="dxa"/>
            <w:vAlign w:val="center"/>
          </w:tcPr>
          <w:p>
            <w:pPr>
              <w:autoSpaceDE w:val="0"/>
              <w:autoSpaceDN w:val="0"/>
              <w:adjustRightInd w:val="0"/>
              <w:jc w:val="center"/>
              <w:rPr>
                <w:rFonts w:hint="eastAsia" w:ascii="宋体"/>
                <w:color w:val="auto"/>
                <w:kern w:val="0"/>
                <w:sz w:val="24"/>
                <w:szCs w:val="24"/>
                <w:highlight w:val="none"/>
              </w:rPr>
            </w:pPr>
            <w:r>
              <w:rPr>
                <w:rFonts w:hint="eastAsia" w:ascii="仿宋_GB2312" w:eastAsia="仿宋_GB2312"/>
                <w:b/>
                <w:color w:val="auto"/>
                <w:sz w:val="24"/>
                <w:szCs w:val="24"/>
                <w:highlight w:val="none"/>
              </w:rPr>
              <w:t>扣款金额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restart"/>
            <w:textDirection w:val="tbRlV"/>
            <w:vAlign w:val="center"/>
          </w:tcPr>
          <w:p>
            <w:pPr>
              <w:spacing w:line="320" w:lineRule="exact"/>
              <w:jc w:val="center"/>
              <w:rPr>
                <w:rFonts w:hint="eastAsia" w:ascii="仿宋_GB2312" w:eastAsia="仿宋_GB2312" w:cs="宋体"/>
                <w:color w:val="auto"/>
                <w:kern w:val="0"/>
                <w:sz w:val="24"/>
                <w:szCs w:val="24"/>
                <w:highlight w:val="none"/>
              </w:rPr>
            </w:pPr>
            <w:r>
              <w:rPr>
                <w:rFonts w:hint="eastAsia" w:ascii="仿宋_GB2312" w:eastAsia="仿宋_GB2312" w:cs="宋体"/>
                <w:color w:val="auto"/>
                <w:kern w:val="0"/>
                <w:sz w:val="24"/>
                <w:szCs w:val="24"/>
                <w:highlight w:val="none"/>
              </w:rPr>
              <w:t>路灯养护</w:t>
            </w:r>
          </w:p>
        </w:tc>
        <w:tc>
          <w:tcPr>
            <w:tcW w:w="5172" w:type="dxa"/>
            <w:vAlign w:val="center"/>
          </w:tcPr>
          <w:p>
            <w:pPr>
              <w:autoSpaceDE w:val="0"/>
              <w:autoSpaceDN w:val="0"/>
              <w:adjustRightInd w:val="0"/>
              <w:jc w:val="center"/>
              <w:rPr>
                <w:rFonts w:hint="eastAsia" w:ascii="宋体"/>
                <w:color w:val="auto"/>
                <w:kern w:val="0"/>
                <w:sz w:val="24"/>
                <w:szCs w:val="24"/>
                <w:highlight w:val="none"/>
              </w:rPr>
            </w:pPr>
            <w:r>
              <w:rPr>
                <w:rFonts w:hint="eastAsia" w:ascii="宋体" w:hAnsi="宋体"/>
                <w:color w:val="auto"/>
                <w:kern w:val="0"/>
                <w:sz w:val="24"/>
                <w:szCs w:val="24"/>
                <w:highlight w:val="none"/>
              </w:rPr>
              <w:t>路灯设施完好率达98%，亮灯率达98%，城市照明及其附属设施外观整洁、安全、完好</w:t>
            </w:r>
            <w:r>
              <w:rPr>
                <w:rFonts w:hint="eastAsia" w:ascii="宋体" w:hAnsi="宋体"/>
                <w:color w:val="auto"/>
                <w:kern w:val="0"/>
                <w:sz w:val="24"/>
                <w:szCs w:val="24"/>
                <w:highlight w:val="none"/>
                <w:lang w:eastAsia="zh-CN"/>
              </w:rPr>
              <w:t>。</w:t>
            </w:r>
            <w:r>
              <w:rPr>
                <w:rFonts w:hint="eastAsia" w:ascii="宋体" w:hAnsi="宋体"/>
                <w:color w:val="auto"/>
                <w:kern w:val="0"/>
                <w:sz w:val="24"/>
                <w:szCs w:val="24"/>
                <w:highlight w:val="none"/>
              </w:rPr>
              <w:t>低于养护标准</w:t>
            </w:r>
          </w:p>
        </w:tc>
        <w:tc>
          <w:tcPr>
            <w:tcW w:w="1968" w:type="dxa"/>
            <w:vAlign w:val="center"/>
          </w:tcPr>
          <w:p>
            <w:pPr>
              <w:autoSpaceDE w:val="0"/>
              <w:autoSpaceDN w:val="0"/>
              <w:adjustRightInd w:val="0"/>
              <w:jc w:val="center"/>
              <w:rPr>
                <w:rFonts w:hint="eastAsia" w:ascii="宋体" w:eastAsia="宋体"/>
                <w:color w:val="auto"/>
                <w:kern w:val="0"/>
                <w:sz w:val="24"/>
                <w:szCs w:val="24"/>
                <w:highlight w:val="none"/>
                <w:lang w:val="en-US" w:eastAsia="zh-CN"/>
              </w:rPr>
            </w:pPr>
            <w:r>
              <w:rPr>
                <w:rFonts w:hint="eastAsia" w:ascii="仿宋_GB2312" w:eastAsia="仿宋_GB2312"/>
                <w:color w:val="auto"/>
                <w:sz w:val="24"/>
                <w:szCs w:val="24"/>
                <w:highlight w:val="none"/>
                <w:lang w:val="en-US" w:eastAsia="zh-CN"/>
              </w:rPr>
              <w:t>100元/盏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vAlign w:val="center"/>
          </w:tcPr>
          <w:p>
            <w:pPr>
              <w:spacing w:line="320" w:lineRule="exact"/>
              <w:jc w:val="center"/>
              <w:rPr>
                <w:rFonts w:hint="eastAsia" w:ascii="仿宋_GB2312" w:eastAsia="仿宋_GB2312" w:cs="宋体"/>
                <w:color w:val="auto"/>
                <w:kern w:val="0"/>
                <w:sz w:val="24"/>
                <w:szCs w:val="24"/>
                <w:highlight w:val="none"/>
              </w:rPr>
            </w:pPr>
          </w:p>
        </w:tc>
        <w:tc>
          <w:tcPr>
            <w:tcW w:w="5172" w:type="dxa"/>
            <w:vAlign w:val="center"/>
          </w:tcPr>
          <w:p>
            <w:pPr>
              <w:autoSpaceDE w:val="0"/>
              <w:autoSpaceDN w:val="0"/>
              <w:adjustRightInd w:val="0"/>
              <w:jc w:val="center"/>
              <w:rPr>
                <w:rFonts w:hint="eastAsia" w:ascii="宋体"/>
                <w:color w:val="auto"/>
                <w:kern w:val="0"/>
                <w:sz w:val="24"/>
                <w:szCs w:val="24"/>
                <w:highlight w:val="none"/>
              </w:rPr>
            </w:pPr>
            <w:r>
              <w:rPr>
                <w:rFonts w:hint="eastAsia" w:ascii="宋体" w:hAnsi="宋体"/>
                <w:color w:val="auto"/>
                <w:kern w:val="0"/>
                <w:sz w:val="24"/>
                <w:szCs w:val="24"/>
                <w:highlight w:val="none"/>
              </w:rPr>
              <w:t>按时亮灯熄灯，在盛夏高温季节按照有序用电要求实施亮灯</w:t>
            </w:r>
            <w:r>
              <w:rPr>
                <w:rFonts w:hint="eastAsia" w:ascii="宋体" w:hAnsi="宋体"/>
                <w:color w:val="auto"/>
                <w:kern w:val="0"/>
                <w:sz w:val="24"/>
                <w:szCs w:val="24"/>
                <w:highlight w:val="none"/>
                <w:lang w:eastAsia="zh-CN"/>
              </w:rPr>
              <w:t>，</w:t>
            </w:r>
            <w:r>
              <w:rPr>
                <w:rFonts w:hint="eastAsia" w:ascii="宋体" w:hAnsi="宋体"/>
                <w:color w:val="auto"/>
                <w:kern w:val="0"/>
                <w:sz w:val="24"/>
                <w:szCs w:val="24"/>
                <w:highlight w:val="none"/>
              </w:rPr>
              <w:t>不按时亮熄灯</w:t>
            </w:r>
          </w:p>
        </w:tc>
        <w:tc>
          <w:tcPr>
            <w:tcW w:w="1968" w:type="dxa"/>
            <w:vAlign w:val="center"/>
          </w:tcPr>
          <w:p>
            <w:pPr>
              <w:autoSpaceDE w:val="0"/>
              <w:autoSpaceDN w:val="0"/>
              <w:adjustRightInd w:val="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vAlign w:val="center"/>
          </w:tcPr>
          <w:p>
            <w:pPr>
              <w:spacing w:line="320" w:lineRule="exact"/>
              <w:jc w:val="center"/>
              <w:rPr>
                <w:rFonts w:hint="eastAsia" w:ascii="仿宋_GB2312" w:eastAsia="仿宋_GB2312" w:cs="宋体"/>
                <w:color w:val="auto"/>
                <w:kern w:val="0"/>
                <w:sz w:val="24"/>
                <w:szCs w:val="24"/>
                <w:highlight w:val="none"/>
              </w:rPr>
            </w:pPr>
          </w:p>
        </w:tc>
        <w:tc>
          <w:tcPr>
            <w:tcW w:w="5172" w:type="dxa"/>
            <w:vAlign w:val="center"/>
          </w:tcPr>
          <w:p>
            <w:pPr>
              <w:autoSpaceDE w:val="0"/>
              <w:autoSpaceDN w:val="0"/>
              <w:adjustRightInd w:val="0"/>
              <w:jc w:val="center"/>
              <w:rPr>
                <w:rFonts w:hint="eastAsia" w:ascii="宋体"/>
                <w:color w:val="auto"/>
                <w:kern w:val="0"/>
                <w:sz w:val="24"/>
                <w:szCs w:val="24"/>
                <w:highlight w:val="none"/>
              </w:rPr>
            </w:pPr>
            <w:r>
              <w:rPr>
                <w:rFonts w:hint="eastAsia" w:ascii="宋体" w:hAnsi="宋体"/>
                <w:color w:val="auto"/>
                <w:kern w:val="0"/>
                <w:sz w:val="24"/>
                <w:szCs w:val="24"/>
                <w:highlight w:val="none"/>
              </w:rPr>
              <w:t>路灯设施倾斜、缺损（设施被盗现象除外，设施被盗应以报案受理单为准）</w:t>
            </w:r>
          </w:p>
        </w:tc>
        <w:tc>
          <w:tcPr>
            <w:tcW w:w="1968" w:type="dxa"/>
            <w:vAlign w:val="center"/>
          </w:tcPr>
          <w:p>
            <w:pPr>
              <w:autoSpaceDE w:val="0"/>
              <w:autoSpaceDN w:val="0"/>
              <w:adjustRightInd w:val="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200元/杆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vAlign w:val="center"/>
          </w:tcPr>
          <w:p>
            <w:pPr>
              <w:spacing w:line="320" w:lineRule="exact"/>
              <w:jc w:val="center"/>
              <w:rPr>
                <w:rFonts w:hint="eastAsia" w:ascii="仿宋_GB2312" w:eastAsia="仿宋_GB2312" w:cs="宋体"/>
                <w:color w:val="auto"/>
                <w:kern w:val="0"/>
                <w:sz w:val="24"/>
                <w:szCs w:val="24"/>
                <w:highlight w:val="none"/>
              </w:rPr>
            </w:pPr>
          </w:p>
        </w:tc>
        <w:tc>
          <w:tcPr>
            <w:tcW w:w="5172" w:type="dxa"/>
            <w:vAlign w:val="center"/>
          </w:tcPr>
          <w:p>
            <w:pPr>
              <w:autoSpaceDE w:val="0"/>
              <w:autoSpaceDN w:val="0"/>
              <w:adjustRightInd w:val="0"/>
              <w:rPr>
                <w:rFonts w:hint="eastAsia" w:ascii="宋体"/>
                <w:color w:val="auto"/>
                <w:kern w:val="0"/>
                <w:sz w:val="24"/>
                <w:szCs w:val="24"/>
                <w:highlight w:val="none"/>
              </w:rPr>
            </w:pPr>
            <w:r>
              <w:rPr>
                <w:rFonts w:hint="eastAsia" w:ascii="宋体" w:hAnsi="宋体"/>
                <w:color w:val="auto"/>
                <w:kern w:val="0"/>
                <w:sz w:val="24"/>
                <w:szCs w:val="24"/>
                <w:highlight w:val="none"/>
              </w:rPr>
              <w:t>内部线路连接整齐、牢固，无缺亮、断亮现象；控制箱完好无损</w:t>
            </w:r>
            <w:r>
              <w:rPr>
                <w:rFonts w:hint="eastAsia" w:ascii="宋体" w:hAnsi="宋体"/>
                <w:color w:val="auto"/>
                <w:kern w:val="0"/>
                <w:sz w:val="24"/>
                <w:szCs w:val="24"/>
                <w:highlight w:val="none"/>
                <w:lang w:eastAsia="zh-CN"/>
              </w:rPr>
              <w:t>，不符标准</w:t>
            </w:r>
          </w:p>
        </w:tc>
        <w:tc>
          <w:tcPr>
            <w:tcW w:w="1968" w:type="dxa"/>
            <w:vAlign w:val="center"/>
          </w:tcPr>
          <w:p>
            <w:pPr>
              <w:autoSpaceDE w:val="0"/>
              <w:autoSpaceDN w:val="0"/>
              <w:adjustRightInd w:val="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724" w:type="dxa"/>
            <w:vMerge w:val="restart"/>
            <w:textDirection w:val="tbRlV"/>
            <w:vAlign w:val="center"/>
          </w:tcPr>
          <w:p>
            <w:pPr>
              <w:spacing w:line="320" w:lineRule="exact"/>
              <w:jc w:val="center"/>
              <w:rPr>
                <w:rFonts w:hint="eastAsia" w:ascii="仿宋_GB2312" w:eastAsia="仿宋_GB2312" w:cs="宋体"/>
                <w:color w:val="auto"/>
                <w:kern w:val="0"/>
                <w:sz w:val="24"/>
                <w:szCs w:val="24"/>
                <w:highlight w:val="none"/>
              </w:rPr>
            </w:pPr>
            <w:r>
              <w:rPr>
                <w:rFonts w:hint="eastAsia" w:ascii="仿宋_GB2312" w:eastAsia="仿宋_GB2312" w:cs="宋体"/>
                <w:color w:val="auto"/>
                <w:kern w:val="0"/>
                <w:sz w:val="24"/>
                <w:szCs w:val="24"/>
                <w:highlight w:val="none"/>
              </w:rPr>
              <w:t>卫生管理</w:t>
            </w:r>
          </w:p>
        </w:tc>
        <w:tc>
          <w:tcPr>
            <w:tcW w:w="5172" w:type="dxa"/>
            <w:vAlign w:val="center"/>
          </w:tcPr>
          <w:p>
            <w:pPr>
              <w:autoSpaceDE w:val="0"/>
              <w:autoSpaceDN w:val="0"/>
              <w:jc w:val="left"/>
              <w:rPr>
                <w:rFonts w:ascii="宋体" w:hAnsi="宋体"/>
                <w:color w:val="auto"/>
                <w:kern w:val="0"/>
                <w:sz w:val="24"/>
                <w:szCs w:val="24"/>
                <w:highlight w:val="none"/>
              </w:rPr>
            </w:pPr>
            <w:r>
              <w:rPr>
                <w:rFonts w:hint="eastAsia" w:ascii="宋体" w:hAnsi="宋体"/>
                <w:color w:val="auto"/>
                <w:kern w:val="0"/>
                <w:sz w:val="24"/>
                <w:szCs w:val="24"/>
                <w:highlight w:val="none"/>
              </w:rPr>
              <w:t>灯上</w:t>
            </w:r>
            <w:r>
              <w:rPr>
                <w:rFonts w:hint="eastAsia" w:ascii="宋体" w:hAnsi="宋体"/>
                <w:color w:val="auto"/>
                <w:kern w:val="0"/>
                <w:sz w:val="24"/>
                <w:szCs w:val="24"/>
                <w:highlight w:val="none"/>
                <w:lang w:eastAsia="zh-CN"/>
              </w:rPr>
              <w:t>有</w:t>
            </w:r>
            <w:r>
              <w:rPr>
                <w:rFonts w:hint="eastAsia" w:ascii="宋体" w:hAnsi="宋体"/>
                <w:color w:val="auto"/>
                <w:kern w:val="0"/>
                <w:sz w:val="24"/>
                <w:szCs w:val="24"/>
                <w:highlight w:val="none"/>
              </w:rPr>
              <w:t>杂物（如：垃圾袋、铁丝、零乱草绳等）和挂晾衣物等情况</w:t>
            </w:r>
            <w:r>
              <w:rPr>
                <w:rFonts w:hint="eastAsia" w:ascii="宋体" w:hAnsi="宋体"/>
                <w:color w:val="auto"/>
                <w:kern w:val="0"/>
                <w:sz w:val="24"/>
                <w:szCs w:val="24"/>
                <w:highlight w:val="none"/>
                <w:lang w:eastAsia="zh-CN"/>
              </w:rPr>
              <w:t>，</w:t>
            </w:r>
          </w:p>
        </w:tc>
        <w:tc>
          <w:tcPr>
            <w:tcW w:w="1968" w:type="dxa"/>
            <w:vAlign w:val="center"/>
          </w:tcPr>
          <w:p>
            <w:pPr>
              <w:autoSpaceDE w:val="0"/>
              <w:autoSpaceDN w:val="0"/>
              <w:adjustRightInd w:val="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50元/杆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724" w:type="dxa"/>
            <w:vMerge w:val="continue"/>
            <w:vAlign w:val="center"/>
          </w:tcPr>
          <w:p>
            <w:pPr>
              <w:spacing w:line="320" w:lineRule="exact"/>
              <w:jc w:val="center"/>
              <w:rPr>
                <w:rFonts w:hint="eastAsia" w:ascii="仿宋_GB2312" w:eastAsia="仿宋_GB2312" w:cs="宋体"/>
                <w:color w:val="auto"/>
                <w:kern w:val="0"/>
                <w:sz w:val="24"/>
                <w:szCs w:val="24"/>
                <w:highlight w:val="none"/>
              </w:rPr>
            </w:pPr>
          </w:p>
        </w:tc>
        <w:tc>
          <w:tcPr>
            <w:tcW w:w="5172" w:type="dxa"/>
            <w:vAlign w:val="center"/>
          </w:tcPr>
          <w:p>
            <w:pPr>
              <w:autoSpaceDE w:val="0"/>
              <w:autoSpaceDN w:val="0"/>
              <w:jc w:val="left"/>
              <w:rPr>
                <w:rFonts w:ascii="宋体" w:hAnsi="宋体"/>
                <w:color w:val="auto"/>
                <w:kern w:val="0"/>
                <w:sz w:val="24"/>
                <w:szCs w:val="24"/>
                <w:highlight w:val="none"/>
              </w:rPr>
            </w:pPr>
            <w:r>
              <w:rPr>
                <w:rFonts w:hint="eastAsia" w:ascii="宋体" w:hAnsi="宋体"/>
                <w:color w:val="auto"/>
                <w:kern w:val="0"/>
                <w:sz w:val="24"/>
                <w:szCs w:val="24"/>
                <w:highlight w:val="none"/>
              </w:rPr>
              <w:t>油漆剥落和锈斑、外观不整洁</w:t>
            </w:r>
          </w:p>
        </w:tc>
        <w:tc>
          <w:tcPr>
            <w:tcW w:w="1968" w:type="dxa"/>
            <w:vAlign w:val="center"/>
          </w:tcPr>
          <w:p>
            <w:pPr>
              <w:autoSpaceDE w:val="0"/>
              <w:autoSpaceDN w:val="0"/>
              <w:adjustRightInd w:val="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50元/杆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724" w:type="dxa"/>
            <w:vMerge w:val="restart"/>
            <w:textDirection w:val="tbRlV"/>
            <w:vAlign w:val="center"/>
          </w:tcPr>
          <w:p>
            <w:pPr>
              <w:spacing w:line="320" w:lineRule="exact"/>
              <w:jc w:val="center"/>
              <w:rPr>
                <w:rFonts w:hint="eastAsia" w:ascii="仿宋_GB2312" w:eastAsia="仿宋_GB2312" w:cs="宋体"/>
                <w:color w:val="auto"/>
                <w:kern w:val="0"/>
                <w:sz w:val="24"/>
                <w:szCs w:val="24"/>
                <w:highlight w:val="none"/>
              </w:rPr>
            </w:pPr>
            <w:r>
              <w:rPr>
                <w:rFonts w:hint="eastAsia" w:ascii="仿宋_GB2312" w:eastAsia="仿宋_GB2312" w:cs="宋体"/>
                <w:color w:val="auto"/>
                <w:kern w:val="0"/>
                <w:sz w:val="24"/>
                <w:szCs w:val="24"/>
                <w:highlight w:val="none"/>
              </w:rPr>
              <w:t>管理工作</w:t>
            </w:r>
          </w:p>
        </w:tc>
        <w:tc>
          <w:tcPr>
            <w:tcW w:w="5172" w:type="dxa"/>
            <w:vAlign w:val="center"/>
          </w:tcPr>
          <w:p>
            <w:pPr>
              <w:autoSpaceDE w:val="0"/>
              <w:autoSpaceDN w:val="0"/>
              <w:adjustRightInd w:val="0"/>
              <w:jc w:val="center"/>
              <w:rPr>
                <w:rFonts w:hint="eastAsia" w:ascii="宋体" w:hAnsi="宋体"/>
                <w:color w:val="auto"/>
                <w:kern w:val="0"/>
                <w:sz w:val="24"/>
                <w:szCs w:val="24"/>
                <w:highlight w:val="none"/>
              </w:rPr>
            </w:pPr>
            <w:r>
              <w:rPr>
                <w:rFonts w:hint="eastAsia" w:ascii="宋体" w:hAnsi="宋体"/>
                <w:color w:val="auto"/>
                <w:kern w:val="0"/>
                <w:sz w:val="24"/>
                <w:szCs w:val="24"/>
                <w:highlight w:val="none"/>
              </w:rPr>
              <w:t>养护人员不到位</w:t>
            </w:r>
          </w:p>
        </w:tc>
        <w:tc>
          <w:tcPr>
            <w:tcW w:w="1968" w:type="dxa"/>
            <w:vAlign w:val="center"/>
          </w:tcPr>
          <w:p>
            <w:pPr>
              <w:autoSpaceDE w:val="0"/>
              <w:autoSpaceDN w:val="0"/>
              <w:adjustRightInd w:val="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vAlign w:val="center"/>
          </w:tcPr>
          <w:p>
            <w:pPr>
              <w:spacing w:line="320" w:lineRule="exact"/>
              <w:jc w:val="center"/>
              <w:rPr>
                <w:rFonts w:hint="eastAsia" w:ascii="仿宋_GB2312" w:eastAsia="仿宋_GB2312" w:cs="宋体"/>
                <w:color w:val="auto"/>
                <w:kern w:val="0"/>
                <w:sz w:val="24"/>
                <w:szCs w:val="24"/>
                <w:highlight w:val="none"/>
              </w:rPr>
            </w:pPr>
          </w:p>
        </w:tc>
        <w:tc>
          <w:tcPr>
            <w:tcW w:w="5172" w:type="dxa"/>
            <w:vAlign w:val="center"/>
          </w:tcPr>
          <w:p>
            <w:pPr>
              <w:autoSpaceDE w:val="0"/>
              <w:autoSpaceDN w:val="0"/>
              <w:adjustRightInd w:val="0"/>
              <w:jc w:val="center"/>
              <w:rPr>
                <w:rFonts w:hint="eastAsia" w:ascii="宋体" w:hAnsi="宋体"/>
                <w:color w:val="auto"/>
                <w:kern w:val="0"/>
                <w:sz w:val="24"/>
                <w:szCs w:val="24"/>
                <w:highlight w:val="none"/>
              </w:rPr>
            </w:pPr>
            <w:r>
              <w:rPr>
                <w:rFonts w:hint="eastAsia" w:ascii="宋体" w:hAnsi="宋体"/>
                <w:color w:val="auto"/>
                <w:kern w:val="0"/>
                <w:sz w:val="24"/>
                <w:szCs w:val="24"/>
                <w:highlight w:val="none"/>
              </w:rPr>
              <w:t>路灯养护采用机械化作业，文明安全施工，无安全责任事故</w:t>
            </w:r>
            <w:r>
              <w:rPr>
                <w:rFonts w:hint="eastAsia" w:ascii="宋体" w:hAnsi="宋体"/>
                <w:color w:val="auto"/>
                <w:kern w:val="0"/>
                <w:sz w:val="24"/>
                <w:szCs w:val="24"/>
                <w:highlight w:val="none"/>
                <w:lang w:eastAsia="zh-CN"/>
              </w:rPr>
              <w:t>，</w:t>
            </w:r>
            <w:r>
              <w:rPr>
                <w:rFonts w:hint="eastAsia" w:ascii="宋体" w:hAnsi="宋体"/>
                <w:color w:val="auto"/>
                <w:kern w:val="0"/>
                <w:sz w:val="24"/>
                <w:szCs w:val="24"/>
                <w:highlight w:val="none"/>
              </w:rPr>
              <w:t>养护作业未到位</w:t>
            </w:r>
          </w:p>
        </w:tc>
        <w:tc>
          <w:tcPr>
            <w:tcW w:w="1968" w:type="dxa"/>
            <w:vAlign w:val="center"/>
          </w:tcPr>
          <w:p>
            <w:pPr>
              <w:autoSpaceDE w:val="0"/>
              <w:autoSpaceDN w:val="0"/>
              <w:adjustRightInd w:val="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200元/处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extDirection w:val="tbRlV"/>
            <w:vAlign w:val="center"/>
          </w:tcPr>
          <w:p>
            <w:pPr>
              <w:spacing w:line="320" w:lineRule="exact"/>
              <w:jc w:val="center"/>
              <w:rPr>
                <w:rFonts w:hint="eastAsia" w:ascii="仿宋_GB2312" w:eastAsia="仿宋_GB2312" w:cs="宋体"/>
                <w:color w:val="auto"/>
                <w:kern w:val="0"/>
                <w:sz w:val="24"/>
                <w:szCs w:val="24"/>
                <w:highlight w:val="none"/>
              </w:rPr>
            </w:pPr>
          </w:p>
        </w:tc>
        <w:tc>
          <w:tcPr>
            <w:tcW w:w="5172" w:type="dxa"/>
            <w:vAlign w:val="center"/>
          </w:tcPr>
          <w:p>
            <w:pPr>
              <w:autoSpaceDE w:val="0"/>
              <w:autoSpaceDN w:val="0"/>
              <w:adjustRightInd w:val="0"/>
              <w:jc w:val="center"/>
              <w:rPr>
                <w:rFonts w:hint="eastAsia" w:ascii="宋体" w:hAnsi="宋体"/>
                <w:color w:val="auto"/>
                <w:kern w:val="0"/>
                <w:sz w:val="24"/>
                <w:szCs w:val="24"/>
                <w:highlight w:val="none"/>
              </w:rPr>
            </w:pPr>
            <w:r>
              <w:rPr>
                <w:rFonts w:hint="eastAsia" w:ascii="宋体" w:hAnsi="宋体"/>
                <w:color w:val="auto"/>
                <w:kern w:val="0"/>
                <w:sz w:val="24"/>
                <w:szCs w:val="24"/>
                <w:highlight w:val="none"/>
              </w:rPr>
              <w:t>重大节庆活动、重大会展活动、重大体育赛事、重要接待活动或其他临时应急活动期间的亮灯保障，亮灯保障安全有序，亮灯率100%。一旦发现未亮灯情况，不能提供相关原因的，没有及时上报路灯管理单位的</w:t>
            </w:r>
          </w:p>
        </w:tc>
        <w:tc>
          <w:tcPr>
            <w:tcW w:w="1968" w:type="dxa"/>
            <w:vAlign w:val="center"/>
          </w:tcPr>
          <w:p>
            <w:pPr>
              <w:autoSpaceDE w:val="0"/>
              <w:autoSpaceDN w:val="0"/>
              <w:adjustRightInd w:val="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200元-500元/处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restart"/>
            <w:textDirection w:val="tbRlV"/>
            <w:vAlign w:val="center"/>
          </w:tcPr>
          <w:p>
            <w:pPr>
              <w:spacing w:line="320" w:lineRule="exact"/>
              <w:jc w:val="center"/>
              <w:rPr>
                <w:rFonts w:hint="eastAsia" w:ascii="仿宋_GB2312" w:eastAsia="仿宋_GB2312" w:cs="宋体"/>
                <w:color w:val="auto"/>
                <w:kern w:val="0"/>
                <w:sz w:val="24"/>
                <w:szCs w:val="24"/>
                <w:highlight w:val="none"/>
              </w:rPr>
            </w:pPr>
            <w:r>
              <w:rPr>
                <w:rFonts w:hint="eastAsia" w:ascii="仿宋_GB2312" w:eastAsia="仿宋_GB2312" w:cs="宋体"/>
                <w:color w:val="auto"/>
                <w:kern w:val="0"/>
                <w:sz w:val="24"/>
                <w:szCs w:val="24"/>
                <w:highlight w:val="none"/>
              </w:rPr>
              <w:t>抄告单及处理</w:t>
            </w:r>
          </w:p>
        </w:tc>
        <w:tc>
          <w:tcPr>
            <w:tcW w:w="5172" w:type="dxa"/>
            <w:vAlign w:val="center"/>
          </w:tcPr>
          <w:p>
            <w:pPr>
              <w:autoSpaceDE w:val="0"/>
              <w:autoSpaceDN w:val="0"/>
              <w:adjustRightInd w:val="0"/>
              <w:jc w:val="center"/>
              <w:rPr>
                <w:rFonts w:hint="eastAsia" w:ascii="宋体" w:hAnsi="宋体"/>
                <w:color w:val="auto"/>
                <w:kern w:val="0"/>
                <w:sz w:val="24"/>
                <w:szCs w:val="24"/>
                <w:highlight w:val="none"/>
              </w:rPr>
            </w:pPr>
            <w:r>
              <w:rPr>
                <w:rFonts w:hint="eastAsia" w:ascii="宋体" w:hAnsi="宋体"/>
                <w:color w:val="auto"/>
                <w:kern w:val="0"/>
                <w:sz w:val="24"/>
                <w:szCs w:val="24"/>
                <w:highlight w:val="none"/>
              </w:rPr>
              <w:t>市查、区查、街道查抄告单未及时整改或整改不彻底的</w:t>
            </w:r>
            <w:r>
              <w:rPr>
                <w:rFonts w:hint="eastAsia" w:ascii="宋体" w:hAnsi="宋体"/>
                <w:color w:val="auto"/>
                <w:kern w:val="0"/>
                <w:sz w:val="24"/>
                <w:szCs w:val="24"/>
                <w:highlight w:val="none"/>
                <w:lang w:eastAsia="zh-CN"/>
              </w:rPr>
              <w:t>；数字城管抄告未在规定期限内整改或整改不到位的。</w:t>
            </w:r>
          </w:p>
        </w:tc>
        <w:tc>
          <w:tcPr>
            <w:tcW w:w="1968" w:type="dxa"/>
            <w:vAlign w:val="center"/>
          </w:tcPr>
          <w:p>
            <w:pPr>
              <w:autoSpaceDE w:val="0"/>
              <w:autoSpaceDN w:val="0"/>
              <w:adjustRightInd w:val="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200元/处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extDirection w:val="tbRlV"/>
            <w:vAlign w:val="center"/>
          </w:tcPr>
          <w:p>
            <w:pPr>
              <w:spacing w:line="320" w:lineRule="exact"/>
              <w:jc w:val="center"/>
              <w:rPr>
                <w:rFonts w:hint="eastAsia" w:ascii="仿宋_GB2312" w:eastAsia="仿宋_GB2312" w:cs="宋体"/>
                <w:color w:val="auto"/>
                <w:kern w:val="0"/>
                <w:sz w:val="24"/>
                <w:szCs w:val="24"/>
                <w:highlight w:val="none"/>
              </w:rPr>
            </w:pPr>
          </w:p>
        </w:tc>
        <w:tc>
          <w:tcPr>
            <w:tcW w:w="5172" w:type="dxa"/>
            <w:vAlign w:val="center"/>
          </w:tcPr>
          <w:p>
            <w:pPr>
              <w:autoSpaceDE w:val="0"/>
              <w:autoSpaceDN w:val="0"/>
              <w:adjustRightInd w:val="0"/>
              <w:jc w:val="center"/>
              <w:rPr>
                <w:rFonts w:hint="eastAsia" w:ascii="宋体" w:hAnsi="宋体" w:eastAsia="宋体" w:cs="Times New Roman"/>
                <w:color w:val="auto"/>
                <w:kern w:val="0"/>
                <w:sz w:val="24"/>
                <w:szCs w:val="24"/>
                <w:highlight w:val="none"/>
                <w:lang w:val="en-US" w:eastAsia="zh-CN" w:bidi="ar-SA"/>
              </w:rPr>
            </w:pPr>
            <w:r>
              <w:rPr>
                <w:rFonts w:hint="eastAsia" w:ascii="宋体" w:hAnsi="宋体"/>
                <w:color w:val="auto"/>
                <w:kern w:val="0"/>
                <w:sz w:val="24"/>
                <w:szCs w:val="24"/>
                <w:highlight w:val="none"/>
              </w:rPr>
              <w:t>市查、区查抄告单被上级通报批评或被市、区级媒体曝光的</w:t>
            </w:r>
          </w:p>
        </w:tc>
        <w:tc>
          <w:tcPr>
            <w:tcW w:w="1968" w:type="dxa"/>
            <w:vAlign w:val="center"/>
          </w:tcPr>
          <w:p>
            <w:pPr>
              <w:autoSpaceDE w:val="0"/>
              <w:autoSpaceDN w:val="0"/>
              <w:adjustRightInd w:val="0"/>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2000元/次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724" w:type="dxa"/>
            <w:vMerge w:val="continue"/>
            <w:vAlign w:val="center"/>
          </w:tcPr>
          <w:p>
            <w:pPr>
              <w:autoSpaceDE w:val="0"/>
              <w:autoSpaceDN w:val="0"/>
              <w:adjustRightInd w:val="0"/>
              <w:jc w:val="center"/>
              <w:rPr>
                <w:rFonts w:hint="eastAsia" w:ascii="宋体"/>
                <w:b/>
                <w:color w:val="auto"/>
                <w:kern w:val="0"/>
                <w:sz w:val="24"/>
                <w:szCs w:val="24"/>
                <w:highlight w:val="none"/>
              </w:rPr>
            </w:pPr>
          </w:p>
        </w:tc>
        <w:tc>
          <w:tcPr>
            <w:tcW w:w="5172" w:type="dxa"/>
            <w:vAlign w:val="center"/>
          </w:tcPr>
          <w:p>
            <w:pPr>
              <w:spacing w:line="240" w:lineRule="exact"/>
              <w:rPr>
                <w:rFonts w:hint="eastAsia" w:ascii="宋体" w:hAnsi="宋体"/>
                <w:color w:val="auto"/>
                <w:kern w:val="0"/>
                <w:sz w:val="24"/>
                <w:szCs w:val="24"/>
                <w:highlight w:val="none"/>
              </w:rPr>
            </w:pPr>
            <w:r>
              <w:rPr>
                <w:rFonts w:hint="eastAsia" w:ascii="仿宋_GB2312" w:hAnsi="宋体" w:eastAsia="仿宋_GB2312"/>
                <w:color w:val="auto"/>
                <w:sz w:val="24"/>
                <w:szCs w:val="24"/>
                <w:highlight w:val="none"/>
              </w:rPr>
              <w:t>市查、区查、街道查抄告单</w:t>
            </w:r>
            <w:r>
              <w:rPr>
                <w:rFonts w:hint="eastAsia" w:ascii="仿宋_GB2312" w:hAnsi="宋体" w:eastAsia="仿宋_GB2312"/>
                <w:color w:val="auto"/>
                <w:sz w:val="24"/>
                <w:szCs w:val="24"/>
                <w:highlight w:val="none"/>
                <w:lang w:eastAsia="zh-CN"/>
              </w:rPr>
              <w:t>、</w:t>
            </w:r>
            <w:r>
              <w:rPr>
                <w:rFonts w:hint="eastAsia" w:ascii="仿宋_GB2312" w:eastAsia="仿宋_GB2312"/>
                <w:color w:val="auto"/>
                <w:spacing w:val="-8"/>
                <w:sz w:val="24"/>
                <w:szCs w:val="24"/>
                <w:highlight w:val="none"/>
              </w:rPr>
              <w:t>被上级通报批评或被市、区级媒体曝光</w:t>
            </w:r>
            <w:r>
              <w:rPr>
                <w:rFonts w:hint="eastAsia" w:ascii="仿宋_GB2312" w:eastAsia="仿宋_GB2312"/>
                <w:color w:val="auto"/>
                <w:spacing w:val="-8"/>
                <w:sz w:val="24"/>
                <w:szCs w:val="24"/>
                <w:highlight w:val="none"/>
                <w:lang w:val="en-US" w:eastAsia="zh-CN"/>
              </w:rPr>
              <w:t>问题</w:t>
            </w:r>
            <w:r>
              <w:rPr>
                <w:rFonts w:hint="eastAsia" w:ascii="仿宋_GB2312" w:eastAsia="仿宋_GB2312"/>
                <w:color w:val="auto"/>
                <w:spacing w:val="-8"/>
                <w:sz w:val="24"/>
                <w:szCs w:val="24"/>
                <w:highlight w:val="none"/>
                <w:lang w:eastAsia="zh-CN"/>
              </w:rPr>
              <w:t>，</w:t>
            </w:r>
            <w:r>
              <w:rPr>
                <w:rFonts w:hint="eastAsia" w:ascii="仿宋_GB2312" w:eastAsia="仿宋_GB2312"/>
                <w:color w:val="auto"/>
                <w:spacing w:val="-8"/>
                <w:sz w:val="24"/>
                <w:szCs w:val="24"/>
                <w:highlight w:val="none"/>
                <w:lang w:val="en-US" w:eastAsia="zh-CN"/>
              </w:rPr>
              <w:t>复核仍未通过的</w:t>
            </w:r>
          </w:p>
        </w:tc>
        <w:tc>
          <w:tcPr>
            <w:tcW w:w="1968" w:type="dxa"/>
            <w:vAlign w:val="center"/>
          </w:tcPr>
          <w:p>
            <w:pPr>
              <w:spacing w:line="240" w:lineRule="exact"/>
              <w:jc w:val="center"/>
              <w:rPr>
                <w:rFonts w:hint="eastAsia" w:ascii="仿宋_GB2312" w:eastAsia="仿宋_GB2312"/>
                <w:color w:val="auto"/>
                <w:sz w:val="24"/>
                <w:szCs w:val="24"/>
                <w:highlight w:val="none"/>
                <w:lang w:val="en-US" w:eastAsia="zh-CN"/>
              </w:rPr>
            </w:pPr>
            <w:r>
              <w:rPr>
                <w:rFonts w:hint="eastAsia" w:ascii="仿宋_GB2312" w:eastAsia="仿宋_GB2312"/>
                <w:color w:val="auto"/>
                <w:spacing w:val="-8"/>
                <w:sz w:val="24"/>
                <w:szCs w:val="24"/>
                <w:highlight w:val="none"/>
                <w:lang w:val="en-US" w:eastAsia="zh-CN"/>
              </w:rPr>
              <w:t>A类2000元</w:t>
            </w:r>
            <w:r>
              <w:rPr>
                <w:rFonts w:hint="eastAsia" w:ascii="仿宋_GB2312" w:eastAsia="仿宋_GB2312"/>
                <w:color w:val="auto"/>
                <w:sz w:val="24"/>
                <w:szCs w:val="24"/>
                <w:highlight w:val="none"/>
              </w:rPr>
              <w:t>/处</w:t>
            </w:r>
            <w:r>
              <w:rPr>
                <w:rFonts w:hint="eastAsia" w:ascii="仿宋_GB2312" w:eastAsia="仿宋_GB2312"/>
                <w:color w:val="auto"/>
                <w:spacing w:val="-8"/>
                <w:sz w:val="24"/>
                <w:szCs w:val="24"/>
                <w:highlight w:val="none"/>
                <w:lang w:val="en-US" w:eastAsia="zh-CN"/>
              </w:rPr>
              <w:t>、B类4000元</w:t>
            </w:r>
            <w:r>
              <w:rPr>
                <w:rFonts w:hint="eastAsia" w:ascii="仿宋_GB2312" w:eastAsia="仿宋_GB2312"/>
                <w:color w:val="auto"/>
                <w:sz w:val="24"/>
                <w:szCs w:val="24"/>
                <w:highlight w:val="none"/>
              </w:rPr>
              <w:t>/处</w:t>
            </w:r>
            <w:r>
              <w:rPr>
                <w:rFonts w:hint="eastAsia" w:ascii="仿宋_GB2312" w:eastAsia="仿宋_GB2312"/>
                <w:color w:val="auto"/>
                <w:spacing w:val="-8"/>
                <w:sz w:val="24"/>
                <w:szCs w:val="24"/>
                <w:highlight w:val="none"/>
                <w:lang w:val="en-US" w:eastAsia="zh-CN"/>
              </w:rPr>
              <w:t>、C类8000元</w:t>
            </w:r>
            <w:r>
              <w:rPr>
                <w:rFonts w:hint="eastAsia" w:ascii="仿宋_GB2312" w:eastAsia="仿宋_GB2312"/>
                <w:color w:val="auto"/>
                <w:sz w:val="24"/>
                <w:szCs w:val="24"/>
                <w:highlight w:val="none"/>
              </w:rPr>
              <w:t>/处</w:t>
            </w:r>
          </w:p>
        </w:tc>
      </w:tr>
    </w:tbl>
    <w:p>
      <w:pPr>
        <w:autoSpaceDE w:val="0"/>
        <w:autoSpaceDN w:val="0"/>
        <w:adjustRightInd w:val="0"/>
        <w:rPr>
          <w:rFonts w:hint="eastAsia" w:ascii="仿宋_GB2312" w:hAnsi="仿宋" w:eastAsia="仿宋_GB2312" w:cs="仿宋"/>
          <w:color w:val="auto"/>
          <w:sz w:val="24"/>
          <w:szCs w:val="24"/>
          <w:highlight w:val="none"/>
          <w:lang w:val="en-US" w:eastAsia="zh-CN"/>
        </w:rPr>
      </w:pPr>
      <w:r>
        <w:rPr>
          <w:rFonts w:hint="eastAsia" w:ascii="仿宋_GB2312" w:eastAsia="仿宋_GB2312"/>
          <w:b/>
          <w:color w:val="auto"/>
          <w:sz w:val="24"/>
          <w:szCs w:val="24"/>
          <w:highlight w:val="none"/>
          <w:lang w:val="en-US" w:eastAsia="zh-CN"/>
        </w:rPr>
        <w:t xml:space="preserve">      </w:t>
      </w:r>
      <w:r>
        <w:rPr>
          <w:rFonts w:hint="eastAsia" w:ascii="仿宋_GB2312" w:eastAsia="仿宋_GB2312"/>
          <w:b/>
          <w:color w:val="auto"/>
          <w:sz w:val="24"/>
          <w:szCs w:val="24"/>
          <w:highlight w:val="none"/>
        </w:rPr>
        <w:t xml:space="preserve">考核对象：                                          考核时间： </w:t>
      </w:r>
      <w:r>
        <w:rPr>
          <w:rFonts w:hint="eastAsia" w:ascii="宋体"/>
          <w:color w:val="auto"/>
          <w:kern w:val="0"/>
          <w:sz w:val="24"/>
          <w:szCs w:val="24"/>
          <w:highlight w:val="none"/>
        </w:rPr>
        <w:t xml:space="preserve"> </w:t>
      </w:r>
      <w:r>
        <w:rPr>
          <w:rFonts w:hint="eastAsia" w:ascii="仿宋_GB2312" w:hAnsi="仿宋" w:eastAsia="仿宋_GB2312" w:cs="仿宋"/>
          <w:color w:val="auto"/>
          <w:sz w:val="24"/>
          <w:szCs w:val="24"/>
          <w:highlight w:val="none"/>
          <w:lang w:val="en-US" w:eastAsia="zh-CN"/>
        </w:rPr>
        <w:t xml:space="preserve"> </w:t>
      </w: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eastAsia="仿宋_GB2312"/>
          <w:color w:val="auto"/>
          <w:sz w:val="24"/>
          <w:szCs w:val="24"/>
          <w:highlight w:val="none"/>
        </w:rPr>
      </w:pPr>
      <w:r>
        <w:rPr>
          <w:rFonts w:hint="eastAsia" w:ascii="仿宋_GB2312" w:hAnsi="仿宋" w:eastAsia="仿宋_GB2312" w:cs="仿宋"/>
          <w:color w:val="auto"/>
          <w:sz w:val="24"/>
          <w:szCs w:val="24"/>
          <w:highlight w:val="none"/>
        </w:rPr>
        <w:t>备注:</w:t>
      </w:r>
      <w:r>
        <w:rPr>
          <w:rFonts w:hint="eastAsia" w:ascii="仿宋_GB2312" w:eastAsia="仿宋_GB2312"/>
          <w:color w:val="auto"/>
          <w:sz w:val="24"/>
          <w:szCs w:val="24"/>
          <w:highlight w:val="none"/>
        </w:rPr>
        <w:t>市政考核扣分比重按照一类道路100%，二类道路90%，三类道路80%，其他道路70%予以扣款。</w:t>
      </w:r>
    </w:p>
    <w:p>
      <w:pPr>
        <w:spacing w:line="560" w:lineRule="exact"/>
        <w:ind w:right="150"/>
        <w:rPr>
          <w:rFonts w:hint="eastAsia" w:ascii="仿宋" w:hAnsi="仿宋" w:eastAsia="仿宋" w:cs="仿宋"/>
          <w:color w:val="auto"/>
          <w:sz w:val="32"/>
          <w:szCs w:val="32"/>
          <w:highlight w:val="none"/>
        </w:rPr>
      </w:pPr>
    </w:p>
    <w:p>
      <w:pPr>
        <w:spacing w:line="560" w:lineRule="exact"/>
        <w:ind w:right="150"/>
        <w:rPr>
          <w:rFonts w:hint="eastAsia" w:ascii="仿宋" w:hAnsi="仿宋" w:eastAsia="仿宋" w:cs="仿宋"/>
          <w:color w:val="auto"/>
          <w:sz w:val="32"/>
          <w:szCs w:val="32"/>
          <w:highlight w:val="none"/>
        </w:rPr>
      </w:pPr>
    </w:p>
    <w:p>
      <w:pPr>
        <w:spacing w:line="560" w:lineRule="exact"/>
        <w:ind w:right="150"/>
        <w:rPr>
          <w:rFonts w:hint="eastAsia" w:ascii="仿宋" w:hAnsi="仿宋" w:eastAsia="仿宋" w:cs="仿宋"/>
          <w:color w:val="auto"/>
          <w:sz w:val="32"/>
          <w:szCs w:val="32"/>
          <w:highlight w:val="none"/>
        </w:rPr>
      </w:pPr>
    </w:p>
    <w:p>
      <w:pPr>
        <w:spacing w:line="560" w:lineRule="exact"/>
        <w:ind w:right="15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附件</w:t>
      </w: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rPr>
        <w:t>：</w:t>
      </w:r>
    </w:p>
    <w:p>
      <w:pPr>
        <w:spacing w:line="440" w:lineRule="exact"/>
        <w:jc w:val="center"/>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rPr>
        <w:t>市容环卫工作考核</w:t>
      </w:r>
      <w:r>
        <w:rPr>
          <w:rFonts w:hint="eastAsia" w:ascii="宋体" w:hAnsi="宋体" w:eastAsia="宋体" w:cs="宋体"/>
          <w:b/>
          <w:bCs/>
          <w:color w:val="auto"/>
          <w:sz w:val="32"/>
          <w:szCs w:val="32"/>
          <w:highlight w:val="none"/>
          <w:lang w:val="en-US" w:eastAsia="zh-CN"/>
        </w:rPr>
        <w:t>办法</w:t>
      </w:r>
    </w:p>
    <w:p>
      <w:pPr>
        <w:spacing w:line="44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考核对象：                                        考核时间：</w:t>
      </w:r>
    </w:p>
    <w:tbl>
      <w:tblPr>
        <w:tblStyle w:val="62"/>
        <w:tblW w:w="8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5961"/>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830" w:type="dxa"/>
            <w:vAlign w:val="center"/>
          </w:tcPr>
          <w:p>
            <w:pPr>
              <w:spacing w:line="30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考核项目</w:t>
            </w:r>
          </w:p>
        </w:tc>
        <w:tc>
          <w:tcPr>
            <w:tcW w:w="5961" w:type="dxa"/>
            <w:vAlign w:val="center"/>
          </w:tcPr>
          <w:p>
            <w:pPr>
              <w:spacing w:line="30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考核标准</w:t>
            </w:r>
          </w:p>
        </w:tc>
        <w:tc>
          <w:tcPr>
            <w:tcW w:w="1527" w:type="dxa"/>
            <w:vAlign w:val="center"/>
          </w:tcPr>
          <w:p>
            <w:pPr>
              <w:spacing w:line="30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扣除分值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restart"/>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道路清扫</w:t>
            </w:r>
          </w:p>
        </w:tc>
        <w:tc>
          <w:tcPr>
            <w:tcW w:w="5961" w:type="dxa"/>
            <w:shd w:val="clear" w:color="auto" w:fill="FFFFFF"/>
            <w:vAlign w:val="center"/>
          </w:tcPr>
          <w:p>
            <w:pPr>
              <w:spacing w:line="24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垃圾焚烧</w:t>
            </w:r>
          </w:p>
        </w:tc>
        <w:tc>
          <w:tcPr>
            <w:tcW w:w="1527" w:type="dxa"/>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shd w:val="clear" w:color="auto" w:fill="FFFFFF"/>
            <w:vAlign w:val="center"/>
          </w:tcPr>
          <w:p>
            <w:pPr>
              <w:spacing w:line="24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道路整体保洁质量差的（一条道路出现5处以上问题）</w:t>
            </w:r>
          </w:p>
        </w:tc>
        <w:tc>
          <w:tcPr>
            <w:tcW w:w="1527" w:type="dxa"/>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shd w:val="clear" w:color="auto" w:fill="FFFFFF"/>
            <w:vAlign w:val="center"/>
          </w:tcPr>
          <w:p>
            <w:pPr>
              <w:spacing w:line="24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道路整体出现多处零星垃圾（一条道路出现3处以上问题）</w:t>
            </w:r>
          </w:p>
        </w:tc>
        <w:tc>
          <w:tcPr>
            <w:tcW w:w="1527" w:type="dxa"/>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0.5</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shd w:val="clear" w:color="auto" w:fill="FFFFFF"/>
            <w:vAlign w:val="center"/>
          </w:tcPr>
          <w:p>
            <w:pPr>
              <w:spacing w:line="24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将垃圾扫入绿化带、窨井的</w:t>
            </w:r>
          </w:p>
        </w:tc>
        <w:tc>
          <w:tcPr>
            <w:tcW w:w="1527" w:type="dxa"/>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shd w:val="clear" w:color="auto" w:fill="FFFFFF"/>
            <w:vAlign w:val="center"/>
          </w:tcPr>
          <w:p>
            <w:pPr>
              <w:spacing w:line="24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出现成堆暴露垃圾</w:t>
            </w:r>
          </w:p>
        </w:tc>
        <w:tc>
          <w:tcPr>
            <w:tcW w:w="1527" w:type="dxa"/>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shd w:val="clear" w:color="auto" w:fill="FFFFFF"/>
            <w:vAlign w:val="center"/>
          </w:tcPr>
          <w:p>
            <w:pPr>
              <w:spacing w:line="24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道路扬尘</w:t>
            </w:r>
          </w:p>
        </w:tc>
        <w:tc>
          <w:tcPr>
            <w:tcW w:w="1527" w:type="dxa"/>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0.5</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shd w:val="clear" w:color="auto" w:fill="FFFFFF"/>
            <w:vAlign w:val="center"/>
          </w:tcPr>
          <w:p>
            <w:pPr>
              <w:spacing w:line="24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夏秋季每日上午7：00前，秋冬季每日上午7：:30前未完成普扫的</w:t>
            </w:r>
          </w:p>
        </w:tc>
        <w:tc>
          <w:tcPr>
            <w:tcW w:w="1527" w:type="dxa"/>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0.5</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shd w:val="clear" w:color="auto" w:fill="FFFFFF"/>
            <w:vAlign w:val="center"/>
          </w:tcPr>
          <w:p>
            <w:pPr>
              <w:spacing w:line="24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垃圾桶、果壳箱满溢未及时清倒的</w:t>
            </w:r>
          </w:p>
        </w:tc>
        <w:tc>
          <w:tcPr>
            <w:tcW w:w="1527" w:type="dxa"/>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0.2</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shd w:val="clear" w:color="auto" w:fill="FFFFFF"/>
            <w:vAlign w:val="center"/>
          </w:tcPr>
          <w:p>
            <w:pPr>
              <w:spacing w:line="24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道路积泥、大面积污渍</w:t>
            </w:r>
          </w:p>
        </w:tc>
        <w:tc>
          <w:tcPr>
            <w:tcW w:w="1527" w:type="dxa"/>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0.5</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shd w:val="clear" w:color="auto" w:fill="FFFFFF"/>
            <w:vAlign w:val="center"/>
          </w:tcPr>
          <w:p>
            <w:pPr>
              <w:spacing w:line="24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晴天积水、雨水井沟眼积泥、嵌石</w:t>
            </w:r>
          </w:p>
        </w:tc>
        <w:tc>
          <w:tcPr>
            <w:tcW w:w="1527" w:type="dxa"/>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0.2</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shd w:val="clear" w:color="auto" w:fill="FFFFFF"/>
            <w:vAlign w:val="center"/>
          </w:tcPr>
          <w:p>
            <w:pPr>
              <w:spacing w:line="24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路面杂草</w:t>
            </w:r>
          </w:p>
        </w:tc>
        <w:tc>
          <w:tcPr>
            <w:tcW w:w="1527" w:type="dxa"/>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0.2</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shd w:val="clear" w:color="auto" w:fill="FFFFFF"/>
            <w:vAlign w:val="center"/>
          </w:tcPr>
          <w:p>
            <w:pPr>
              <w:spacing w:line="24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清扫保洁时漏扫、归堆未清除的</w:t>
            </w:r>
          </w:p>
        </w:tc>
        <w:tc>
          <w:tcPr>
            <w:tcW w:w="1527" w:type="dxa"/>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0.2</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shd w:val="clear" w:color="auto" w:fill="FFFFFF"/>
            <w:vAlign w:val="center"/>
          </w:tcPr>
          <w:p>
            <w:pPr>
              <w:spacing w:line="24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机扫车、洒水车未按规定使用警示灯、提示音</w:t>
            </w:r>
          </w:p>
        </w:tc>
        <w:tc>
          <w:tcPr>
            <w:tcW w:w="1527" w:type="dxa"/>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0.5</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shd w:val="clear" w:color="auto" w:fill="FFFFFF"/>
            <w:vAlign w:val="center"/>
          </w:tcPr>
          <w:p>
            <w:pPr>
              <w:spacing w:line="24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辖区范围内有卫生死角的</w:t>
            </w:r>
          </w:p>
        </w:tc>
        <w:tc>
          <w:tcPr>
            <w:tcW w:w="1527" w:type="dxa"/>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0.5</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shd w:val="clear" w:color="auto" w:fill="FFFFFF"/>
            <w:vAlign w:val="center"/>
          </w:tcPr>
          <w:p>
            <w:pPr>
              <w:spacing w:line="24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垃圾桶未盖、垃圾箱、果壳箱不洁，果壳箱门未关的</w:t>
            </w:r>
          </w:p>
        </w:tc>
        <w:tc>
          <w:tcPr>
            <w:tcW w:w="1527" w:type="dxa"/>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0.3</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shd w:val="clear" w:color="auto" w:fill="FFFFFF"/>
            <w:vAlign w:val="center"/>
          </w:tcPr>
          <w:p>
            <w:pPr>
              <w:spacing w:line="24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店家反映门前三包垃圾清理不及时</w:t>
            </w:r>
          </w:p>
        </w:tc>
        <w:tc>
          <w:tcPr>
            <w:tcW w:w="1527" w:type="dxa"/>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0.</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tcBorders>
              <w:bottom w:val="single" w:color="auto" w:sz="4" w:space="0"/>
            </w:tcBorders>
            <w:shd w:val="clear" w:color="auto" w:fill="FFFFFF"/>
            <w:vAlign w:val="center"/>
          </w:tcPr>
          <w:p>
            <w:pPr>
              <w:spacing w:line="240" w:lineRule="exact"/>
              <w:rPr>
                <w:rFonts w:hint="eastAsia" w:ascii="宋体" w:hAnsi="宋体" w:eastAsia="宋体" w:cs="宋体"/>
                <w:b w:val="0"/>
                <w:bCs w:val="0"/>
                <w:color w:val="auto"/>
                <w:spacing w:val="-4"/>
                <w:sz w:val="21"/>
                <w:szCs w:val="21"/>
                <w:highlight w:val="none"/>
              </w:rPr>
            </w:pPr>
            <w:r>
              <w:rPr>
                <w:rFonts w:hint="eastAsia" w:ascii="宋体" w:hAnsi="宋体" w:eastAsia="宋体" w:cs="宋体"/>
                <w:b w:val="0"/>
                <w:bCs w:val="0"/>
                <w:color w:val="auto"/>
                <w:spacing w:val="-4"/>
                <w:sz w:val="21"/>
                <w:szCs w:val="21"/>
                <w:highlight w:val="none"/>
              </w:rPr>
              <w:t>临时清运点周边不洁</w:t>
            </w:r>
          </w:p>
        </w:tc>
        <w:tc>
          <w:tcPr>
            <w:tcW w:w="1527" w:type="dxa"/>
            <w:tcBorders>
              <w:bottom w:val="single" w:color="auto" w:sz="4" w:space="0"/>
            </w:tcBorders>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0.3</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tcBorders>
              <w:bottom w:val="single" w:color="auto" w:sz="4" w:space="0"/>
            </w:tcBorders>
            <w:shd w:val="clear" w:color="auto" w:fill="FFFFFF"/>
            <w:vAlign w:val="center"/>
          </w:tcPr>
          <w:p>
            <w:pPr>
              <w:spacing w:line="240" w:lineRule="exact"/>
              <w:rPr>
                <w:rFonts w:hint="eastAsia" w:ascii="宋体" w:hAnsi="宋体" w:eastAsia="宋体" w:cs="宋体"/>
                <w:b w:val="0"/>
                <w:bCs w:val="0"/>
                <w:color w:val="auto"/>
                <w:spacing w:val="-4"/>
                <w:sz w:val="21"/>
                <w:szCs w:val="21"/>
                <w:highlight w:val="none"/>
              </w:rPr>
            </w:pPr>
            <w:r>
              <w:rPr>
                <w:rFonts w:hint="eastAsia" w:ascii="宋体" w:hAnsi="宋体" w:eastAsia="宋体" w:cs="宋体"/>
                <w:b w:val="0"/>
                <w:bCs w:val="0"/>
                <w:color w:val="auto"/>
                <w:spacing w:val="-4"/>
                <w:sz w:val="21"/>
                <w:szCs w:val="21"/>
                <w:highlight w:val="none"/>
              </w:rPr>
              <w:t>机扫车、洒水车未按规定清扫次数（漏扫或者少扫，根据GPS轨迹）</w:t>
            </w:r>
          </w:p>
        </w:tc>
        <w:tc>
          <w:tcPr>
            <w:tcW w:w="1527" w:type="dxa"/>
            <w:tcBorders>
              <w:bottom w:val="single" w:color="auto" w:sz="4" w:space="0"/>
            </w:tcBorders>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0.5</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tcBorders>
              <w:bottom w:val="single" w:color="auto" w:sz="4" w:space="0"/>
            </w:tcBorders>
            <w:shd w:val="clear" w:color="auto" w:fill="FFFFFF"/>
            <w:vAlign w:val="center"/>
          </w:tcPr>
          <w:p>
            <w:pPr>
              <w:spacing w:line="240" w:lineRule="exact"/>
              <w:rPr>
                <w:rFonts w:hint="eastAsia" w:ascii="宋体" w:hAnsi="宋体" w:eastAsia="宋体" w:cs="宋体"/>
                <w:b w:val="0"/>
                <w:bCs w:val="0"/>
                <w:color w:val="auto"/>
                <w:spacing w:val="-4"/>
                <w:sz w:val="21"/>
                <w:szCs w:val="21"/>
                <w:highlight w:val="none"/>
              </w:rPr>
            </w:pPr>
            <w:r>
              <w:rPr>
                <w:rFonts w:hint="eastAsia" w:ascii="宋体" w:hAnsi="宋体" w:eastAsia="宋体" w:cs="宋体"/>
                <w:b w:val="0"/>
                <w:bCs w:val="0"/>
                <w:color w:val="auto"/>
                <w:spacing w:val="-4"/>
                <w:sz w:val="21"/>
                <w:szCs w:val="21"/>
                <w:highlight w:val="none"/>
              </w:rPr>
              <w:t>出现各类牛皮癣</w:t>
            </w:r>
          </w:p>
        </w:tc>
        <w:tc>
          <w:tcPr>
            <w:tcW w:w="1527" w:type="dxa"/>
            <w:tcBorders>
              <w:bottom w:val="single" w:color="auto" w:sz="4" w:space="0"/>
            </w:tcBorders>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0.2</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tcBorders>
              <w:bottom w:val="single" w:color="auto" w:sz="4" w:space="0"/>
            </w:tcBorders>
            <w:shd w:val="clear" w:color="auto" w:fill="FFFFFF"/>
            <w:vAlign w:val="center"/>
          </w:tcPr>
          <w:p>
            <w:pPr>
              <w:spacing w:line="240" w:lineRule="exact"/>
              <w:rPr>
                <w:rFonts w:hint="eastAsia" w:ascii="宋体" w:hAnsi="宋体" w:eastAsia="宋体" w:cs="宋体"/>
                <w:b w:val="0"/>
                <w:bCs w:val="0"/>
                <w:color w:val="auto"/>
                <w:spacing w:val="-4"/>
                <w:sz w:val="21"/>
                <w:szCs w:val="21"/>
                <w:highlight w:val="none"/>
              </w:rPr>
            </w:pPr>
            <w:r>
              <w:rPr>
                <w:rFonts w:hint="eastAsia" w:ascii="宋体" w:hAnsi="宋体" w:eastAsia="宋体" w:cs="宋体"/>
                <w:b w:val="0"/>
                <w:bCs w:val="0"/>
                <w:color w:val="auto"/>
                <w:sz w:val="21"/>
                <w:szCs w:val="21"/>
                <w:highlight w:val="none"/>
              </w:rPr>
              <w:t>路面（绿地、树穴）有垃圾（杂物）</w:t>
            </w:r>
          </w:p>
        </w:tc>
        <w:tc>
          <w:tcPr>
            <w:tcW w:w="1527" w:type="dxa"/>
            <w:tcBorders>
              <w:bottom w:val="single" w:color="auto" w:sz="4" w:space="0"/>
            </w:tcBorders>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0.2</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tcBorders>
              <w:bottom w:val="single" w:color="auto" w:sz="4" w:space="0"/>
            </w:tcBorders>
            <w:shd w:val="clear" w:color="auto" w:fill="FFFFFF"/>
            <w:vAlign w:val="center"/>
          </w:tcPr>
          <w:p>
            <w:pPr>
              <w:spacing w:line="240" w:lineRule="exact"/>
              <w:rPr>
                <w:rFonts w:hint="eastAsia" w:ascii="宋体" w:hAnsi="宋体" w:eastAsia="宋体" w:cs="宋体"/>
                <w:b w:val="0"/>
                <w:bCs w:val="0"/>
                <w:color w:val="auto"/>
                <w:spacing w:val="-4"/>
                <w:sz w:val="21"/>
                <w:szCs w:val="21"/>
                <w:highlight w:val="none"/>
              </w:rPr>
            </w:pPr>
            <w:r>
              <w:rPr>
                <w:rFonts w:hint="eastAsia" w:ascii="宋体" w:hAnsi="宋体" w:eastAsia="宋体" w:cs="宋体"/>
                <w:b w:val="0"/>
                <w:bCs w:val="0"/>
                <w:color w:val="auto"/>
                <w:spacing w:val="-4"/>
                <w:sz w:val="21"/>
                <w:szCs w:val="21"/>
                <w:highlight w:val="none"/>
              </w:rPr>
              <w:t>清运垃圾出现抛洒掉落</w:t>
            </w:r>
          </w:p>
        </w:tc>
        <w:tc>
          <w:tcPr>
            <w:tcW w:w="1527" w:type="dxa"/>
            <w:tcBorders>
              <w:bottom w:val="single" w:color="auto" w:sz="4" w:space="0"/>
            </w:tcBorders>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0.3</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tcBorders>
              <w:bottom w:val="single" w:color="auto" w:sz="4" w:space="0"/>
            </w:tcBorders>
            <w:shd w:val="clear" w:color="auto" w:fill="FFFFFF"/>
            <w:vAlign w:val="center"/>
          </w:tcPr>
          <w:p>
            <w:pPr>
              <w:spacing w:line="240" w:lineRule="exact"/>
              <w:rPr>
                <w:rFonts w:hint="eastAsia" w:ascii="宋体" w:hAnsi="宋体" w:eastAsia="宋体" w:cs="宋体"/>
                <w:b w:val="0"/>
                <w:bCs w:val="0"/>
                <w:color w:val="auto"/>
                <w:spacing w:val="-4"/>
                <w:sz w:val="21"/>
                <w:szCs w:val="21"/>
                <w:highlight w:val="none"/>
              </w:rPr>
            </w:pPr>
            <w:r>
              <w:rPr>
                <w:rFonts w:hint="eastAsia" w:ascii="宋体" w:hAnsi="宋体" w:eastAsia="宋体" w:cs="宋体"/>
                <w:b w:val="0"/>
                <w:bCs w:val="0"/>
                <w:color w:val="auto"/>
                <w:spacing w:val="-4"/>
                <w:sz w:val="21"/>
                <w:szCs w:val="21"/>
                <w:highlight w:val="none"/>
              </w:rPr>
              <w:t>果壳箱周边有垃圾包、不洁</w:t>
            </w:r>
          </w:p>
        </w:tc>
        <w:tc>
          <w:tcPr>
            <w:tcW w:w="1527" w:type="dxa"/>
            <w:tcBorders>
              <w:bottom w:val="single" w:color="auto" w:sz="4" w:space="0"/>
            </w:tcBorders>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0.2</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tcBorders>
              <w:bottom w:val="single" w:color="auto" w:sz="4" w:space="0"/>
            </w:tcBorders>
            <w:shd w:val="clear" w:color="auto" w:fill="FFFFFF"/>
            <w:vAlign w:val="center"/>
          </w:tcPr>
          <w:p>
            <w:pPr>
              <w:spacing w:line="240" w:lineRule="exact"/>
              <w:rPr>
                <w:rFonts w:hint="eastAsia" w:ascii="宋体" w:hAnsi="宋体" w:eastAsia="宋体" w:cs="宋体"/>
                <w:b w:val="0"/>
                <w:bCs w:val="0"/>
                <w:color w:val="auto"/>
                <w:spacing w:val="-4"/>
                <w:sz w:val="21"/>
                <w:szCs w:val="21"/>
                <w:highlight w:val="none"/>
              </w:rPr>
            </w:pPr>
            <w:r>
              <w:rPr>
                <w:rFonts w:hint="eastAsia" w:ascii="宋体" w:hAnsi="宋体" w:eastAsia="宋体" w:cs="宋体"/>
                <w:b w:val="0"/>
                <w:bCs w:val="0"/>
                <w:color w:val="auto"/>
                <w:spacing w:val="-4"/>
                <w:sz w:val="21"/>
                <w:szCs w:val="21"/>
                <w:highlight w:val="none"/>
              </w:rPr>
              <w:t>中央、绿化护栏不洁的</w:t>
            </w:r>
          </w:p>
        </w:tc>
        <w:tc>
          <w:tcPr>
            <w:tcW w:w="1527" w:type="dxa"/>
            <w:tcBorders>
              <w:bottom w:val="single" w:color="auto" w:sz="4" w:space="0"/>
            </w:tcBorders>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0.2</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restart"/>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安全监督</w:t>
            </w:r>
          </w:p>
        </w:tc>
        <w:tc>
          <w:tcPr>
            <w:tcW w:w="5961" w:type="dxa"/>
            <w:shd w:val="clear" w:color="auto" w:fill="FFFFFF"/>
            <w:vAlign w:val="center"/>
          </w:tcPr>
          <w:p>
            <w:pPr>
              <w:spacing w:line="240" w:lineRule="exact"/>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信访处置不力、因劳资纠纷引起群体性事件、发生有责投诉的。</w:t>
            </w:r>
          </w:p>
        </w:tc>
        <w:tc>
          <w:tcPr>
            <w:tcW w:w="1527" w:type="dxa"/>
            <w:vAlign w:val="center"/>
          </w:tcPr>
          <w:p>
            <w:pPr>
              <w:spacing w:line="300" w:lineRule="exac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5</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shd w:val="clear" w:color="auto" w:fill="FFFFFF"/>
            <w:vAlign w:val="center"/>
          </w:tcPr>
          <w:p>
            <w:pPr>
              <w:spacing w:line="240" w:lineRule="exact"/>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发生安全责任事故</w:t>
            </w:r>
          </w:p>
        </w:tc>
        <w:tc>
          <w:tcPr>
            <w:tcW w:w="1527" w:type="dxa"/>
            <w:vAlign w:val="center"/>
          </w:tcPr>
          <w:p>
            <w:pPr>
              <w:spacing w:line="300" w:lineRule="exac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3</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rPr>
                <w:rFonts w:hint="eastAsia" w:ascii="宋体" w:hAnsi="宋体" w:eastAsia="宋体" w:cs="宋体"/>
                <w:b w:val="0"/>
                <w:bCs w:val="0"/>
                <w:color w:val="auto"/>
                <w:sz w:val="21"/>
                <w:szCs w:val="21"/>
                <w:highlight w:val="none"/>
              </w:rPr>
            </w:pPr>
          </w:p>
        </w:tc>
        <w:tc>
          <w:tcPr>
            <w:tcW w:w="5961" w:type="dxa"/>
            <w:shd w:val="clear" w:color="auto" w:fill="FFFFFF"/>
            <w:vAlign w:val="center"/>
          </w:tcPr>
          <w:p>
            <w:pPr>
              <w:spacing w:line="240" w:lineRule="exact"/>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环卫工人作业时未穿反光背心（工作服）、不遵守交通规则、环卫车辆未设置反光标识的</w:t>
            </w:r>
          </w:p>
        </w:tc>
        <w:tc>
          <w:tcPr>
            <w:tcW w:w="1527" w:type="dxa"/>
            <w:vAlign w:val="center"/>
          </w:tcPr>
          <w:p>
            <w:pPr>
              <w:spacing w:line="300" w:lineRule="exac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0.3</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830" w:type="dxa"/>
            <w:vMerge w:val="continue"/>
            <w:shd w:val="clear" w:color="auto" w:fill="auto"/>
            <w:vAlign w:val="center"/>
          </w:tcPr>
          <w:p>
            <w:pPr>
              <w:spacing w:line="300" w:lineRule="exact"/>
              <w:rPr>
                <w:rFonts w:hint="eastAsia" w:ascii="宋体" w:hAnsi="宋体" w:eastAsia="宋体" w:cs="宋体"/>
                <w:b w:val="0"/>
                <w:bCs w:val="0"/>
                <w:color w:val="auto"/>
                <w:sz w:val="21"/>
                <w:szCs w:val="21"/>
                <w:highlight w:val="none"/>
              </w:rPr>
            </w:pPr>
          </w:p>
        </w:tc>
        <w:tc>
          <w:tcPr>
            <w:tcW w:w="5961" w:type="dxa"/>
            <w:shd w:val="clear" w:color="auto" w:fill="FFFFFF"/>
            <w:vAlign w:val="center"/>
          </w:tcPr>
          <w:p>
            <w:pPr>
              <w:spacing w:line="240" w:lineRule="exact"/>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rPr>
              <w:t>能够及时提供相应保洁台帐，如未能提供（日常管理资料等）</w:t>
            </w:r>
          </w:p>
        </w:tc>
        <w:tc>
          <w:tcPr>
            <w:tcW w:w="1527" w:type="dxa"/>
            <w:vAlign w:val="center"/>
          </w:tcPr>
          <w:p>
            <w:pPr>
              <w:spacing w:line="300" w:lineRule="exac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830" w:type="dxa"/>
            <w:vMerge w:val="continue"/>
            <w:shd w:val="clear" w:color="auto" w:fill="auto"/>
            <w:vAlign w:val="center"/>
          </w:tcPr>
          <w:p>
            <w:pPr>
              <w:spacing w:line="300" w:lineRule="exact"/>
              <w:rPr>
                <w:rFonts w:hint="eastAsia" w:ascii="宋体" w:hAnsi="宋体" w:eastAsia="宋体" w:cs="宋体"/>
                <w:b w:val="0"/>
                <w:bCs w:val="0"/>
                <w:color w:val="auto"/>
                <w:sz w:val="21"/>
                <w:szCs w:val="21"/>
                <w:highlight w:val="none"/>
              </w:rPr>
            </w:pPr>
          </w:p>
        </w:tc>
        <w:tc>
          <w:tcPr>
            <w:tcW w:w="5961" w:type="dxa"/>
            <w:shd w:val="clear" w:color="auto" w:fill="FFFFFF"/>
            <w:vAlign w:val="center"/>
          </w:tcPr>
          <w:p>
            <w:pPr>
              <w:spacing w:line="240" w:lineRule="exact"/>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rPr>
              <w:t>管养道路两侧发生偷到建筑垃圾、装修垃圾等在接到清理指令后未在8小时内清理的。</w:t>
            </w:r>
          </w:p>
        </w:tc>
        <w:tc>
          <w:tcPr>
            <w:tcW w:w="1527" w:type="dxa"/>
            <w:vAlign w:val="center"/>
          </w:tcPr>
          <w:p>
            <w:pPr>
              <w:spacing w:line="300" w:lineRule="exac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rPr>
                <w:rFonts w:hint="eastAsia" w:ascii="宋体" w:hAnsi="宋体" w:eastAsia="宋体" w:cs="宋体"/>
                <w:b w:val="0"/>
                <w:bCs w:val="0"/>
                <w:color w:val="auto"/>
                <w:sz w:val="21"/>
                <w:szCs w:val="21"/>
                <w:highlight w:val="none"/>
              </w:rPr>
            </w:pPr>
          </w:p>
        </w:tc>
        <w:tc>
          <w:tcPr>
            <w:tcW w:w="5961" w:type="dxa"/>
            <w:shd w:val="clear" w:color="auto" w:fill="FFFFFF"/>
            <w:vAlign w:val="center"/>
          </w:tcPr>
          <w:p>
            <w:pPr>
              <w:spacing w:line="240" w:lineRule="exact"/>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rPr>
              <w:t>保洁员沿线不在岗（且保洁道路整体情况较差加倍扣款）</w:t>
            </w:r>
          </w:p>
        </w:tc>
        <w:tc>
          <w:tcPr>
            <w:tcW w:w="1527" w:type="dxa"/>
            <w:vAlign w:val="center"/>
          </w:tcPr>
          <w:p>
            <w:pPr>
              <w:spacing w:line="300" w:lineRule="exac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0.5</w:t>
            </w:r>
            <w:r>
              <w:rPr>
                <w:rFonts w:hint="eastAsia" w:ascii="宋体" w:hAnsi="宋体" w:eastAsia="宋体" w:cs="宋体"/>
                <w:b w:val="0"/>
                <w:bCs w:val="0"/>
                <w:color w:val="auto"/>
                <w:sz w:val="21"/>
                <w:szCs w:val="21"/>
                <w:highlight w:val="none"/>
                <w:lang w:eastAsia="zh-CN"/>
              </w:rPr>
              <w:t>分</w:t>
            </w:r>
          </w:p>
        </w:tc>
      </w:tr>
    </w:tbl>
    <w:p>
      <w:pPr>
        <w:pStyle w:val="837"/>
        <w:rPr>
          <w:rFonts w:hint="eastAsia" w:ascii="宋体" w:hAnsi="宋体" w:eastAsia="宋体" w:cs="宋体"/>
          <w:b w:val="0"/>
          <w:bCs w:val="0"/>
          <w:color w:val="auto"/>
          <w:sz w:val="21"/>
          <w:szCs w:val="21"/>
          <w:highlight w:val="none"/>
        </w:rPr>
      </w:pPr>
    </w:p>
    <w:p>
      <w:pPr>
        <w:rPr>
          <w:rFonts w:hint="eastAsia" w:ascii="宋体" w:hAnsi="宋体" w:eastAsia="宋体" w:cs="宋体"/>
          <w:b w:val="0"/>
          <w:bCs w:val="0"/>
          <w:color w:val="auto"/>
          <w:sz w:val="21"/>
          <w:szCs w:val="21"/>
          <w:highlight w:val="none"/>
        </w:rPr>
      </w:pPr>
    </w:p>
    <w:p>
      <w:pPr>
        <w:pStyle w:val="837"/>
        <w:rPr>
          <w:rFonts w:hint="eastAsia" w:ascii="宋体" w:hAnsi="宋体" w:eastAsia="宋体" w:cs="宋体"/>
          <w:b w:val="0"/>
          <w:bCs w:val="0"/>
          <w:color w:val="auto"/>
          <w:sz w:val="21"/>
          <w:szCs w:val="21"/>
          <w:highlight w:val="none"/>
        </w:rPr>
      </w:pPr>
    </w:p>
    <w:p>
      <w:pPr>
        <w:widowControl/>
        <w:jc w:val="center"/>
        <w:rPr>
          <w:rFonts w:hint="eastAsia" w:ascii="宋体" w:hAnsi="宋体" w:eastAsia="宋体" w:cs="宋体"/>
          <w:b/>
          <w:bCs/>
          <w:color w:val="auto"/>
          <w:sz w:val="32"/>
          <w:szCs w:val="32"/>
          <w:highlight w:val="none"/>
        </w:rPr>
      </w:pPr>
    </w:p>
    <w:p>
      <w:pPr>
        <w:spacing w:line="560" w:lineRule="exact"/>
        <w:ind w:right="150"/>
        <w:rPr>
          <w:rFonts w:hint="eastAsia" w:ascii="仿宋" w:hAnsi="仿宋" w:eastAsia="仿宋" w:cs="仿宋"/>
          <w:color w:val="auto"/>
          <w:sz w:val="32"/>
          <w:szCs w:val="32"/>
          <w:highlight w:val="none"/>
        </w:rPr>
      </w:pPr>
    </w:p>
    <w:p>
      <w:pPr>
        <w:pStyle w:val="2"/>
        <w:rPr>
          <w:rFonts w:hint="eastAsia" w:ascii="仿宋" w:hAnsi="仿宋" w:eastAsia="仿宋" w:cs="仿宋"/>
          <w:color w:val="auto"/>
          <w:sz w:val="32"/>
          <w:szCs w:val="32"/>
          <w:highlight w:val="none"/>
        </w:rPr>
      </w:pPr>
    </w:p>
    <w:p>
      <w:pPr>
        <w:rPr>
          <w:rFonts w:hint="eastAsia" w:ascii="仿宋" w:hAnsi="仿宋" w:eastAsia="仿宋" w:cs="仿宋"/>
          <w:color w:val="auto"/>
          <w:sz w:val="32"/>
          <w:szCs w:val="32"/>
          <w:highlight w:val="none"/>
        </w:rPr>
      </w:pPr>
    </w:p>
    <w:p>
      <w:pPr>
        <w:pStyle w:val="2"/>
        <w:rPr>
          <w:rFonts w:hint="eastAsia" w:ascii="仿宋" w:hAnsi="仿宋" w:eastAsia="仿宋" w:cs="仿宋"/>
          <w:color w:val="auto"/>
          <w:sz w:val="32"/>
          <w:szCs w:val="32"/>
          <w:highlight w:val="none"/>
        </w:rPr>
      </w:pPr>
    </w:p>
    <w:p>
      <w:pPr>
        <w:rPr>
          <w:rFonts w:hint="eastAsia" w:ascii="仿宋" w:hAnsi="仿宋" w:eastAsia="仿宋" w:cs="仿宋"/>
          <w:color w:val="auto"/>
          <w:sz w:val="32"/>
          <w:szCs w:val="32"/>
          <w:highlight w:val="none"/>
        </w:rPr>
      </w:pPr>
    </w:p>
    <w:p>
      <w:pPr>
        <w:pStyle w:val="2"/>
        <w:rPr>
          <w:rFonts w:hint="eastAsia" w:ascii="仿宋" w:hAnsi="仿宋" w:eastAsia="仿宋" w:cs="仿宋"/>
          <w:color w:val="auto"/>
          <w:sz w:val="32"/>
          <w:szCs w:val="32"/>
          <w:highlight w:val="none"/>
        </w:rPr>
      </w:pPr>
    </w:p>
    <w:p>
      <w:pPr>
        <w:rPr>
          <w:rFonts w:hint="eastAsia" w:ascii="仿宋" w:hAnsi="仿宋" w:eastAsia="仿宋" w:cs="仿宋"/>
          <w:color w:val="auto"/>
          <w:sz w:val="32"/>
          <w:szCs w:val="32"/>
          <w:highlight w:val="none"/>
        </w:rPr>
      </w:pPr>
    </w:p>
    <w:p>
      <w:pPr>
        <w:pStyle w:val="2"/>
        <w:rPr>
          <w:rFonts w:hint="eastAsia"/>
          <w:color w:val="auto"/>
          <w:highlight w:val="none"/>
        </w:rPr>
      </w:pPr>
    </w:p>
    <w:p>
      <w:pPr>
        <w:spacing w:line="560" w:lineRule="exact"/>
        <w:ind w:right="15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附件</w:t>
      </w:r>
      <w:r>
        <w:rPr>
          <w:rFonts w:hint="eastAsia" w:ascii="仿宋" w:hAnsi="仿宋" w:eastAsia="仿宋" w:cs="仿宋"/>
          <w:color w:val="auto"/>
          <w:sz w:val="32"/>
          <w:szCs w:val="32"/>
          <w:highlight w:val="none"/>
          <w:lang w:val="en-US" w:eastAsia="zh-CN"/>
        </w:rPr>
        <w:t>6</w:t>
      </w:r>
      <w:r>
        <w:rPr>
          <w:rFonts w:hint="eastAsia" w:ascii="仿宋" w:hAnsi="仿宋" w:eastAsia="仿宋" w:cs="仿宋"/>
          <w:color w:val="auto"/>
          <w:sz w:val="32"/>
          <w:szCs w:val="32"/>
          <w:highlight w:val="none"/>
        </w:rPr>
        <w:t>：</w:t>
      </w:r>
    </w:p>
    <w:p>
      <w:pPr>
        <w:widowControl/>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防灾抗灾及重大活动</w:t>
      </w:r>
    </w:p>
    <w:p>
      <w:pPr>
        <w:widowControl/>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市场化养护考核细则</w:t>
      </w:r>
    </w:p>
    <w:p>
      <w:pPr>
        <w:widowControl/>
        <w:jc w:val="center"/>
        <w:rPr>
          <w:rFonts w:hint="eastAsia" w:ascii="宋体" w:hAnsi="宋体" w:eastAsia="宋体" w:cs="宋体"/>
          <w:b w:val="0"/>
          <w:bCs w:val="0"/>
          <w:color w:val="auto"/>
          <w:sz w:val="21"/>
          <w:szCs w:val="21"/>
          <w:highlight w:val="none"/>
        </w:rPr>
      </w:pPr>
    </w:p>
    <w:p>
      <w:pPr>
        <w:ind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考核</w:t>
      </w:r>
      <w:r>
        <w:rPr>
          <w:rFonts w:hint="eastAsia" w:ascii="宋体" w:hAnsi="宋体" w:eastAsia="宋体" w:cs="宋体"/>
          <w:b/>
          <w:bCs/>
          <w:color w:val="auto"/>
          <w:kern w:val="0"/>
          <w:sz w:val="24"/>
          <w:szCs w:val="24"/>
          <w:highlight w:val="none"/>
          <w:lang w:val="en-US" w:eastAsia="zh-CN"/>
        </w:rPr>
        <w:t>对象</w:t>
      </w:r>
      <w:r>
        <w:rPr>
          <w:rFonts w:hint="eastAsia" w:ascii="宋体" w:hAnsi="宋体" w:eastAsia="宋体" w:cs="宋体"/>
          <w:b/>
          <w:bCs/>
          <w:color w:val="auto"/>
          <w:kern w:val="0"/>
          <w:sz w:val="24"/>
          <w:szCs w:val="24"/>
          <w:highlight w:val="none"/>
        </w:rPr>
        <w:t xml:space="preserve">:                                 </w:t>
      </w:r>
      <w:r>
        <w:rPr>
          <w:rFonts w:hint="eastAsia" w:ascii="宋体" w:hAnsi="宋体" w:eastAsia="宋体" w:cs="宋体"/>
          <w:b/>
          <w:bCs/>
          <w:color w:val="auto"/>
          <w:kern w:val="0"/>
          <w:sz w:val="24"/>
          <w:szCs w:val="24"/>
          <w:highlight w:val="none"/>
          <w:lang w:val="en-US" w:eastAsia="zh-CN"/>
        </w:rPr>
        <w:t xml:space="preserve">       </w:t>
      </w:r>
      <w:r>
        <w:rPr>
          <w:rFonts w:hint="eastAsia" w:ascii="宋体" w:hAnsi="宋体" w:eastAsia="宋体" w:cs="宋体"/>
          <w:b/>
          <w:bCs/>
          <w:color w:val="auto"/>
          <w:kern w:val="0"/>
          <w:sz w:val="24"/>
          <w:szCs w:val="24"/>
          <w:highlight w:val="none"/>
        </w:rPr>
        <w:t>考核</w:t>
      </w:r>
      <w:r>
        <w:rPr>
          <w:rFonts w:hint="eastAsia" w:ascii="宋体" w:hAnsi="宋体" w:eastAsia="宋体" w:cs="宋体"/>
          <w:b/>
          <w:bCs/>
          <w:color w:val="auto"/>
          <w:kern w:val="0"/>
          <w:sz w:val="24"/>
          <w:szCs w:val="24"/>
          <w:highlight w:val="none"/>
          <w:lang w:val="en-US" w:eastAsia="zh-CN"/>
        </w:rPr>
        <w:t>时间</w:t>
      </w:r>
      <w:r>
        <w:rPr>
          <w:rFonts w:hint="eastAsia" w:ascii="宋体" w:hAnsi="宋体" w:eastAsia="宋体" w:cs="宋体"/>
          <w:b/>
          <w:bCs/>
          <w:color w:val="auto"/>
          <w:kern w:val="0"/>
          <w:sz w:val="24"/>
          <w:szCs w:val="24"/>
          <w:highlight w:val="none"/>
        </w:rPr>
        <w:t>:</w:t>
      </w:r>
    </w:p>
    <w:tbl>
      <w:tblPr>
        <w:tblStyle w:val="62"/>
        <w:tblW w:w="814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5"/>
        <w:gridCol w:w="1177"/>
        <w:gridCol w:w="4569"/>
        <w:gridCol w:w="16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序号</w:t>
            </w:r>
          </w:p>
        </w:tc>
        <w:tc>
          <w:tcPr>
            <w:tcW w:w="117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考核内容</w:t>
            </w:r>
          </w:p>
        </w:tc>
        <w:tc>
          <w:tcPr>
            <w:tcW w:w="456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考核细则</w:t>
            </w:r>
          </w:p>
        </w:tc>
        <w:tc>
          <w:tcPr>
            <w:tcW w:w="1673"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扣除分值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5" w:hRule="atLeast"/>
        </w:trPr>
        <w:tc>
          <w:tcPr>
            <w:tcW w:w="72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1</w:t>
            </w:r>
          </w:p>
        </w:tc>
        <w:tc>
          <w:tcPr>
            <w:tcW w:w="1177"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工作重视</w:t>
            </w:r>
          </w:p>
        </w:tc>
        <w:tc>
          <w:tcPr>
            <w:tcW w:w="4569" w:type="dxa"/>
            <w:tcBorders>
              <w:top w:val="nil"/>
              <w:left w:val="nil"/>
              <w:bottom w:val="single" w:color="auto" w:sz="4" w:space="0"/>
              <w:right w:val="single" w:color="auto" w:sz="4" w:space="0"/>
            </w:tcBorders>
            <w:vAlign w:val="center"/>
          </w:tcPr>
          <w:p>
            <w:pPr>
              <w:widowControl/>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未能按要求安排人员值班的</w:t>
            </w:r>
          </w:p>
        </w:tc>
        <w:tc>
          <w:tcPr>
            <w:tcW w:w="167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auto"/>
                <w:kern w:val="0"/>
                <w:sz w:val="21"/>
                <w:szCs w:val="21"/>
                <w:highlight w:val="none"/>
              </w:rPr>
            </w:pPr>
            <w:r>
              <w:rPr>
                <w:rFonts w:hint="eastAsia" w:ascii="宋体" w:hAnsi="宋体" w:cs="宋体"/>
                <w:b w:val="0"/>
                <w:bCs w:val="0"/>
                <w:color w:val="auto"/>
                <w:kern w:val="0"/>
                <w:sz w:val="21"/>
                <w:szCs w:val="21"/>
                <w:highlight w:val="none"/>
                <w:lang w:val="en-US" w:eastAsia="zh-CN"/>
              </w:rPr>
              <w:t>2</w:t>
            </w:r>
            <w:r>
              <w:rPr>
                <w:rFonts w:hint="eastAsia" w:ascii="宋体" w:hAnsi="宋体" w:eastAsia="宋体" w:cs="宋体"/>
                <w:b w:val="0"/>
                <w:bCs w:val="0"/>
                <w:color w:val="auto"/>
                <w:kern w:val="0"/>
                <w:sz w:val="21"/>
                <w:szCs w:val="21"/>
                <w:highlight w:val="none"/>
                <w:lang w:val="en-US" w:eastAsia="zh-CN"/>
              </w:rPr>
              <w:t>分</w:t>
            </w:r>
            <w:r>
              <w:rPr>
                <w:rFonts w:hint="eastAsia" w:ascii="宋体" w:hAnsi="宋体" w:eastAsia="宋体" w:cs="宋体"/>
                <w:b w:val="0"/>
                <w:bCs w:val="0"/>
                <w:color w:val="auto"/>
                <w:kern w:val="0"/>
                <w:sz w:val="21"/>
                <w:szCs w:val="21"/>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3" w:hRule="atLeast"/>
        </w:trPr>
        <w:tc>
          <w:tcPr>
            <w:tcW w:w="72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2</w:t>
            </w: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val="0"/>
                <w:color w:val="auto"/>
                <w:kern w:val="0"/>
                <w:sz w:val="21"/>
                <w:szCs w:val="21"/>
                <w:highlight w:val="none"/>
              </w:rPr>
            </w:pPr>
          </w:p>
        </w:tc>
        <w:tc>
          <w:tcPr>
            <w:tcW w:w="4569" w:type="dxa"/>
            <w:tcBorders>
              <w:top w:val="nil"/>
              <w:left w:val="nil"/>
              <w:bottom w:val="single" w:color="auto" w:sz="4" w:space="0"/>
              <w:right w:val="single" w:color="auto" w:sz="4" w:space="0"/>
            </w:tcBorders>
            <w:vAlign w:val="center"/>
          </w:tcPr>
          <w:p>
            <w:pPr>
              <w:widowControl/>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lang w:val="en-US" w:eastAsia="zh-CN"/>
              </w:rPr>
              <w:t>负责人</w:t>
            </w:r>
            <w:r>
              <w:rPr>
                <w:rFonts w:hint="eastAsia" w:ascii="宋体" w:hAnsi="宋体" w:eastAsia="宋体" w:cs="宋体"/>
                <w:b w:val="0"/>
                <w:bCs w:val="0"/>
                <w:color w:val="auto"/>
                <w:kern w:val="0"/>
                <w:sz w:val="21"/>
                <w:szCs w:val="21"/>
                <w:highlight w:val="none"/>
              </w:rPr>
              <w:t>未亲自参加中心召集的会议</w:t>
            </w:r>
          </w:p>
        </w:tc>
        <w:tc>
          <w:tcPr>
            <w:tcW w:w="1673"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w:t>
            </w:r>
            <w:r>
              <w:rPr>
                <w:rFonts w:hint="eastAsia" w:ascii="宋体" w:hAnsi="宋体" w:eastAsia="宋体" w:cs="宋体"/>
                <w:b w:val="0"/>
                <w:bCs w:val="0"/>
                <w:color w:val="auto"/>
                <w:kern w:val="0"/>
                <w:sz w:val="21"/>
                <w:szCs w:val="21"/>
                <w:highlight w:val="none"/>
                <w:lang w:val="en-US"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trPr>
        <w:tc>
          <w:tcPr>
            <w:tcW w:w="72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3</w:t>
            </w:r>
          </w:p>
        </w:tc>
        <w:tc>
          <w:tcPr>
            <w:tcW w:w="1177"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工作思路</w:t>
            </w:r>
          </w:p>
        </w:tc>
        <w:tc>
          <w:tcPr>
            <w:tcW w:w="4569" w:type="dxa"/>
            <w:tcBorders>
              <w:top w:val="nil"/>
              <w:left w:val="nil"/>
              <w:bottom w:val="single" w:color="auto" w:sz="4" w:space="0"/>
              <w:right w:val="single" w:color="auto" w:sz="4" w:space="0"/>
            </w:tcBorders>
            <w:vAlign w:val="center"/>
          </w:tcPr>
          <w:p>
            <w:pPr>
              <w:widowControl/>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工作思路不清晰，人员安排不充足得当的</w:t>
            </w:r>
          </w:p>
        </w:tc>
        <w:tc>
          <w:tcPr>
            <w:tcW w:w="167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lang w:val="en-US" w:eastAsia="zh-CN"/>
              </w:rPr>
              <w:t>2分-5分</w:t>
            </w:r>
            <w:r>
              <w:rPr>
                <w:rFonts w:hint="eastAsia" w:ascii="宋体" w:hAnsi="宋体" w:eastAsia="宋体" w:cs="宋体"/>
                <w:b w:val="0"/>
                <w:bCs w:val="0"/>
                <w:color w:val="auto"/>
                <w:kern w:val="0"/>
                <w:sz w:val="21"/>
                <w:szCs w:val="21"/>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3" w:hRule="atLeast"/>
        </w:trPr>
        <w:tc>
          <w:tcPr>
            <w:tcW w:w="72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4</w:t>
            </w: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val="0"/>
                <w:color w:val="auto"/>
                <w:kern w:val="0"/>
                <w:sz w:val="21"/>
                <w:szCs w:val="21"/>
                <w:highlight w:val="none"/>
              </w:rPr>
            </w:pPr>
          </w:p>
        </w:tc>
        <w:tc>
          <w:tcPr>
            <w:tcW w:w="4569" w:type="dxa"/>
            <w:tcBorders>
              <w:top w:val="nil"/>
              <w:left w:val="nil"/>
              <w:bottom w:val="single" w:color="auto" w:sz="4" w:space="0"/>
              <w:right w:val="single" w:color="auto" w:sz="4" w:space="0"/>
            </w:tcBorders>
            <w:vAlign w:val="center"/>
          </w:tcPr>
          <w:p>
            <w:pPr>
              <w:widowControl/>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lang w:val="en-US" w:eastAsia="zh-CN"/>
              </w:rPr>
              <w:t>未</w:t>
            </w:r>
            <w:r>
              <w:rPr>
                <w:rFonts w:hint="eastAsia" w:ascii="宋体" w:hAnsi="宋体" w:eastAsia="宋体" w:cs="宋体"/>
                <w:b w:val="0"/>
                <w:bCs w:val="0"/>
                <w:color w:val="auto"/>
                <w:kern w:val="0"/>
                <w:sz w:val="21"/>
                <w:szCs w:val="21"/>
                <w:highlight w:val="none"/>
              </w:rPr>
              <w:t xml:space="preserve">按要求充足储备物资，随时调配并根据实际情况自觉使用的 </w:t>
            </w:r>
          </w:p>
        </w:tc>
        <w:tc>
          <w:tcPr>
            <w:tcW w:w="167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lang w:val="en-US" w:eastAsia="zh-CN"/>
              </w:rPr>
              <w:t>2分-5分</w:t>
            </w:r>
            <w:r>
              <w:rPr>
                <w:rFonts w:hint="eastAsia" w:ascii="宋体" w:hAnsi="宋体" w:eastAsia="宋体" w:cs="宋体"/>
                <w:b w:val="0"/>
                <w:bCs w:val="0"/>
                <w:color w:val="auto"/>
                <w:kern w:val="0"/>
                <w:sz w:val="21"/>
                <w:szCs w:val="21"/>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0" w:hRule="atLeast"/>
        </w:trPr>
        <w:tc>
          <w:tcPr>
            <w:tcW w:w="72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5</w:t>
            </w: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val="0"/>
                <w:color w:val="auto"/>
                <w:kern w:val="0"/>
                <w:sz w:val="21"/>
                <w:szCs w:val="21"/>
                <w:highlight w:val="none"/>
              </w:rPr>
            </w:pPr>
          </w:p>
        </w:tc>
        <w:tc>
          <w:tcPr>
            <w:tcW w:w="4569" w:type="dxa"/>
            <w:tcBorders>
              <w:top w:val="nil"/>
              <w:left w:val="nil"/>
              <w:bottom w:val="single" w:color="auto" w:sz="4" w:space="0"/>
              <w:right w:val="single" w:color="auto" w:sz="4" w:space="0"/>
            </w:tcBorders>
            <w:vAlign w:val="center"/>
          </w:tcPr>
          <w:p>
            <w:pPr>
              <w:widowControl/>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工作重点把握</w:t>
            </w:r>
            <w:r>
              <w:rPr>
                <w:rFonts w:hint="eastAsia" w:ascii="宋体" w:hAnsi="宋体" w:eastAsia="宋体" w:cs="宋体"/>
                <w:b w:val="0"/>
                <w:bCs w:val="0"/>
                <w:color w:val="auto"/>
                <w:kern w:val="0"/>
                <w:sz w:val="21"/>
                <w:szCs w:val="21"/>
                <w:highlight w:val="none"/>
                <w:lang w:val="en-US" w:eastAsia="zh-CN"/>
              </w:rPr>
              <w:t>不</w:t>
            </w:r>
            <w:r>
              <w:rPr>
                <w:rFonts w:hint="eastAsia" w:ascii="宋体" w:hAnsi="宋体" w:eastAsia="宋体" w:cs="宋体"/>
                <w:b w:val="0"/>
                <w:bCs w:val="0"/>
                <w:color w:val="auto"/>
                <w:kern w:val="0"/>
                <w:sz w:val="21"/>
                <w:szCs w:val="21"/>
                <w:highlight w:val="none"/>
              </w:rPr>
              <w:t>及时</w:t>
            </w:r>
            <w:r>
              <w:rPr>
                <w:rFonts w:hint="eastAsia" w:ascii="宋体" w:hAnsi="宋体" w:eastAsia="宋体" w:cs="宋体"/>
                <w:b w:val="0"/>
                <w:bCs w:val="0"/>
                <w:color w:val="auto"/>
                <w:kern w:val="0"/>
                <w:sz w:val="21"/>
                <w:szCs w:val="21"/>
                <w:highlight w:val="none"/>
                <w:lang w:val="en-US" w:eastAsia="zh-CN"/>
              </w:rPr>
              <w:t>不</w:t>
            </w:r>
            <w:r>
              <w:rPr>
                <w:rFonts w:hint="eastAsia" w:ascii="宋体" w:hAnsi="宋体" w:eastAsia="宋体" w:cs="宋体"/>
                <w:b w:val="0"/>
                <w:bCs w:val="0"/>
                <w:color w:val="auto"/>
                <w:kern w:val="0"/>
                <w:sz w:val="21"/>
                <w:szCs w:val="21"/>
                <w:highlight w:val="none"/>
              </w:rPr>
              <w:t>到位，</w:t>
            </w:r>
            <w:r>
              <w:rPr>
                <w:rFonts w:hint="eastAsia" w:ascii="宋体" w:hAnsi="宋体" w:eastAsia="宋体" w:cs="宋体"/>
                <w:b w:val="0"/>
                <w:bCs w:val="0"/>
                <w:color w:val="auto"/>
                <w:kern w:val="0"/>
                <w:sz w:val="21"/>
                <w:szCs w:val="21"/>
                <w:highlight w:val="none"/>
                <w:lang w:val="en-US" w:eastAsia="zh-CN"/>
              </w:rPr>
              <w:t>不</w:t>
            </w:r>
            <w:r>
              <w:rPr>
                <w:rFonts w:hint="eastAsia" w:ascii="宋体" w:hAnsi="宋体" w:eastAsia="宋体" w:cs="宋体"/>
                <w:b w:val="0"/>
                <w:bCs w:val="0"/>
                <w:color w:val="auto"/>
                <w:kern w:val="0"/>
                <w:sz w:val="21"/>
                <w:szCs w:val="21"/>
                <w:highlight w:val="none"/>
              </w:rPr>
              <w:t>服从中心调配指挥的</w:t>
            </w:r>
          </w:p>
        </w:tc>
        <w:tc>
          <w:tcPr>
            <w:tcW w:w="167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auto"/>
                <w:kern w:val="0"/>
                <w:sz w:val="21"/>
                <w:szCs w:val="21"/>
                <w:highlight w:val="none"/>
              </w:rPr>
            </w:pPr>
            <w:r>
              <w:rPr>
                <w:rFonts w:hint="eastAsia" w:ascii="宋体" w:hAnsi="宋体" w:cs="宋体"/>
                <w:b w:val="0"/>
                <w:bCs w:val="0"/>
                <w:color w:val="auto"/>
                <w:kern w:val="0"/>
                <w:sz w:val="21"/>
                <w:szCs w:val="21"/>
                <w:highlight w:val="none"/>
                <w:lang w:val="en-US" w:eastAsia="zh-CN"/>
              </w:rPr>
              <w:t>5</w:t>
            </w:r>
            <w:r>
              <w:rPr>
                <w:rFonts w:hint="eastAsia" w:ascii="宋体" w:hAnsi="宋体" w:eastAsia="宋体" w:cs="宋体"/>
                <w:b w:val="0"/>
                <w:bCs w:val="0"/>
                <w:color w:val="auto"/>
                <w:kern w:val="0"/>
                <w:sz w:val="21"/>
                <w:szCs w:val="21"/>
                <w:highlight w:val="none"/>
                <w:lang w:val="en-US" w:eastAsia="zh-CN"/>
              </w:rPr>
              <w:t>分-</w:t>
            </w:r>
            <w:r>
              <w:rPr>
                <w:rFonts w:hint="eastAsia" w:ascii="宋体" w:hAnsi="宋体" w:cs="宋体"/>
                <w:b w:val="0"/>
                <w:bCs w:val="0"/>
                <w:color w:val="auto"/>
                <w:kern w:val="0"/>
                <w:sz w:val="21"/>
                <w:szCs w:val="21"/>
                <w:highlight w:val="none"/>
                <w:lang w:val="en-US" w:eastAsia="zh-CN"/>
              </w:rPr>
              <w:t>10</w:t>
            </w:r>
            <w:r>
              <w:rPr>
                <w:rFonts w:hint="eastAsia" w:ascii="宋体" w:hAnsi="宋体" w:eastAsia="宋体" w:cs="宋体"/>
                <w:b w:val="0"/>
                <w:bCs w:val="0"/>
                <w:color w:val="auto"/>
                <w:kern w:val="0"/>
                <w:sz w:val="21"/>
                <w:szCs w:val="21"/>
                <w:highlight w:val="none"/>
                <w:lang w:val="en-US" w:eastAsia="zh-CN"/>
              </w:rPr>
              <w:t>分</w:t>
            </w:r>
            <w:r>
              <w:rPr>
                <w:rFonts w:hint="eastAsia" w:ascii="宋体" w:hAnsi="宋体" w:eastAsia="宋体" w:cs="宋体"/>
                <w:b w:val="0"/>
                <w:bCs w:val="0"/>
                <w:color w:val="auto"/>
                <w:kern w:val="0"/>
                <w:sz w:val="21"/>
                <w:szCs w:val="21"/>
                <w:highlight w:val="none"/>
              </w:rPr>
              <w:t>　</w:t>
            </w:r>
          </w:p>
        </w:tc>
      </w:tr>
    </w:tbl>
    <w:p>
      <w:pPr>
        <w:spacing w:line="560" w:lineRule="exact"/>
        <w:ind w:right="150"/>
        <w:rPr>
          <w:rFonts w:hint="eastAsia" w:ascii="仿宋" w:hAnsi="仿宋" w:eastAsia="仿宋" w:cs="仿宋"/>
          <w:color w:val="auto"/>
          <w:sz w:val="32"/>
          <w:szCs w:val="32"/>
          <w:highlight w:val="none"/>
        </w:rPr>
      </w:pPr>
    </w:p>
    <w:p>
      <w:pPr>
        <w:pStyle w:val="2"/>
        <w:rPr>
          <w:rFonts w:hint="eastAsia" w:ascii="仿宋" w:hAnsi="仿宋" w:eastAsia="仿宋" w:cs="仿宋"/>
          <w:color w:val="auto"/>
          <w:sz w:val="32"/>
          <w:szCs w:val="32"/>
          <w:highlight w:val="none"/>
        </w:rPr>
      </w:pPr>
    </w:p>
    <w:p>
      <w:pPr>
        <w:rPr>
          <w:rFonts w:hint="eastAsia" w:ascii="仿宋" w:hAnsi="仿宋" w:eastAsia="仿宋" w:cs="仿宋"/>
          <w:color w:val="auto"/>
          <w:sz w:val="32"/>
          <w:szCs w:val="32"/>
          <w:highlight w:val="none"/>
        </w:rPr>
      </w:pPr>
    </w:p>
    <w:p>
      <w:pPr>
        <w:pStyle w:val="2"/>
        <w:rPr>
          <w:rFonts w:hint="eastAsia" w:ascii="仿宋" w:hAnsi="仿宋" w:eastAsia="仿宋" w:cs="仿宋"/>
          <w:color w:val="auto"/>
          <w:sz w:val="32"/>
          <w:szCs w:val="32"/>
          <w:highlight w:val="none"/>
        </w:rPr>
      </w:pPr>
    </w:p>
    <w:p>
      <w:pPr>
        <w:rPr>
          <w:rFonts w:hint="eastAsia" w:ascii="仿宋" w:hAnsi="仿宋" w:eastAsia="仿宋" w:cs="仿宋"/>
          <w:color w:val="auto"/>
          <w:sz w:val="32"/>
          <w:szCs w:val="32"/>
          <w:highlight w:val="none"/>
        </w:rPr>
      </w:pPr>
    </w:p>
    <w:p>
      <w:pPr>
        <w:pStyle w:val="2"/>
        <w:rPr>
          <w:rFonts w:hint="eastAsia" w:ascii="仿宋" w:hAnsi="仿宋" w:eastAsia="仿宋" w:cs="仿宋"/>
          <w:color w:val="auto"/>
          <w:sz w:val="32"/>
          <w:szCs w:val="32"/>
          <w:highlight w:val="none"/>
        </w:rPr>
      </w:pPr>
    </w:p>
    <w:p>
      <w:pPr>
        <w:rPr>
          <w:rFonts w:hint="eastAsia" w:ascii="仿宋" w:hAnsi="仿宋" w:eastAsia="仿宋" w:cs="仿宋"/>
          <w:color w:val="auto"/>
          <w:sz w:val="32"/>
          <w:szCs w:val="32"/>
          <w:highlight w:val="none"/>
        </w:rPr>
      </w:pPr>
    </w:p>
    <w:p>
      <w:pPr>
        <w:pStyle w:val="2"/>
        <w:rPr>
          <w:rFonts w:hint="eastAsia" w:ascii="仿宋" w:hAnsi="仿宋" w:eastAsia="仿宋" w:cs="仿宋"/>
          <w:color w:val="auto"/>
          <w:sz w:val="32"/>
          <w:szCs w:val="32"/>
          <w:highlight w:val="none"/>
        </w:rPr>
      </w:pPr>
    </w:p>
    <w:p>
      <w:pPr>
        <w:rPr>
          <w:rFonts w:hint="eastAsia" w:ascii="仿宋" w:hAnsi="仿宋" w:eastAsia="仿宋" w:cs="仿宋"/>
          <w:color w:val="auto"/>
          <w:sz w:val="32"/>
          <w:szCs w:val="32"/>
          <w:highlight w:val="none"/>
        </w:rPr>
      </w:pPr>
    </w:p>
    <w:p>
      <w:pPr>
        <w:pStyle w:val="2"/>
        <w:rPr>
          <w:rFonts w:hint="eastAsia" w:ascii="仿宋" w:hAnsi="仿宋" w:eastAsia="仿宋" w:cs="仿宋"/>
          <w:color w:val="auto"/>
          <w:sz w:val="32"/>
          <w:szCs w:val="32"/>
          <w:highlight w:val="none"/>
        </w:rPr>
      </w:pPr>
    </w:p>
    <w:p>
      <w:pPr>
        <w:rPr>
          <w:rFonts w:hint="eastAsia" w:ascii="仿宋" w:hAnsi="仿宋" w:eastAsia="仿宋" w:cs="仿宋"/>
          <w:color w:val="auto"/>
          <w:sz w:val="32"/>
          <w:szCs w:val="32"/>
          <w:highlight w:val="none"/>
        </w:rPr>
      </w:pPr>
    </w:p>
    <w:p>
      <w:pPr>
        <w:pStyle w:val="2"/>
        <w:rPr>
          <w:rFonts w:hint="eastAsia" w:ascii="仿宋" w:hAnsi="仿宋" w:eastAsia="仿宋" w:cs="仿宋"/>
          <w:color w:val="auto"/>
          <w:sz w:val="32"/>
          <w:szCs w:val="32"/>
          <w:highlight w:val="none"/>
        </w:rPr>
      </w:pPr>
    </w:p>
    <w:p>
      <w:pPr>
        <w:rPr>
          <w:rFonts w:hint="eastAsia" w:ascii="仿宋" w:hAnsi="仿宋" w:eastAsia="仿宋" w:cs="仿宋"/>
          <w:color w:val="auto"/>
          <w:sz w:val="32"/>
          <w:szCs w:val="32"/>
          <w:highlight w:val="none"/>
        </w:rPr>
      </w:pPr>
    </w:p>
    <w:p>
      <w:pPr>
        <w:pStyle w:val="2"/>
        <w:rPr>
          <w:rFonts w:hint="eastAsia"/>
          <w:color w:val="auto"/>
          <w:highlight w:val="none"/>
        </w:rPr>
      </w:pPr>
    </w:p>
    <w:p>
      <w:pPr>
        <w:spacing w:line="560" w:lineRule="exact"/>
        <w:ind w:right="150"/>
        <w:rPr>
          <w:rFonts w:hint="eastAsia" w:ascii="仿宋" w:hAnsi="仿宋" w:eastAsia="仿宋" w:cs="仿宋"/>
          <w:color w:val="auto"/>
          <w:sz w:val="32"/>
          <w:szCs w:val="32"/>
          <w:highlight w:val="none"/>
        </w:rPr>
      </w:pPr>
    </w:p>
    <w:bookmarkEnd w:id="413"/>
    <w:bookmarkEnd w:id="414"/>
    <w:p>
      <w:pPr>
        <w:spacing w:line="360" w:lineRule="auto"/>
        <w:ind w:left="-420" w:leftChars="-200" w:right="-420" w:rightChars="-200" w:firstLine="480" w:firstLineChars="200"/>
        <w:jc w:val="center"/>
        <w:outlineLvl w:val="0"/>
        <w:rPr>
          <w:rFonts w:ascii="宋体" w:hAnsi="宋体" w:cs="宋体"/>
          <w:color w:val="auto"/>
          <w:sz w:val="24"/>
        </w:rPr>
      </w:pPr>
    </w:p>
    <w:p>
      <w:pPr>
        <w:widowControl/>
        <w:adjustRightInd/>
        <w:jc w:val="center"/>
        <w:rPr>
          <w:rFonts w:ascii="宋体" w:hAnsi="宋体" w:cs="宋体"/>
          <w:b/>
          <w:color w:val="auto"/>
          <w:sz w:val="36"/>
          <w:szCs w:val="20"/>
        </w:rPr>
      </w:pPr>
      <w:r>
        <w:rPr>
          <w:rFonts w:hint="eastAsia" w:ascii="宋体" w:hAnsi="宋体" w:cs="宋体"/>
          <w:b/>
          <w:color w:val="auto"/>
          <w:sz w:val="36"/>
          <w:szCs w:val="20"/>
        </w:rPr>
        <w:t>第六部分</w:t>
      </w:r>
      <w:bookmarkEnd w:id="397"/>
      <w:r>
        <w:rPr>
          <w:rFonts w:hint="eastAsia" w:ascii="宋体" w:hAnsi="宋体" w:cs="宋体"/>
          <w:b/>
          <w:color w:val="auto"/>
          <w:sz w:val="36"/>
          <w:szCs w:val="20"/>
        </w:rPr>
        <w:t xml:space="preserve"> </w:t>
      </w:r>
      <w:bookmarkEnd w:id="398"/>
      <w:r>
        <w:rPr>
          <w:rFonts w:hint="eastAsia" w:ascii="宋体" w:hAnsi="宋体" w:cs="宋体"/>
          <w:b/>
          <w:color w:val="auto"/>
          <w:sz w:val="36"/>
          <w:szCs w:val="20"/>
        </w:rPr>
        <w:t>应提交的有关格式范例</w:t>
      </w:r>
    </w:p>
    <w:p>
      <w:pPr>
        <w:spacing w:line="360" w:lineRule="auto"/>
        <w:jc w:val="center"/>
        <w:outlineLvl w:val="0"/>
        <w:rPr>
          <w:rFonts w:ascii="宋体" w:hAnsi="宋体" w:cs="宋体"/>
          <w:b/>
          <w:color w:val="auto"/>
          <w:kern w:val="0"/>
          <w:sz w:val="36"/>
          <w:szCs w:val="36"/>
        </w:rPr>
      </w:pP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资格文件部分</w:t>
      </w: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目录</w:t>
      </w:r>
    </w:p>
    <w:p>
      <w:pPr>
        <w:spacing w:line="360" w:lineRule="auto"/>
        <w:jc w:val="center"/>
        <w:outlineLvl w:val="0"/>
        <w:rPr>
          <w:rFonts w:ascii="宋体" w:hAnsi="宋体" w:cs="宋体"/>
          <w:b/>
          <w:color w:val="auto"/>
          <w:kern w:val="0"/>
          <w:sz w:val="36"/>
          <w:szCs w:val="36"/>
        </w:rPr>
      </w:pPr>
    </w:p>
    <w:p>
      <w:pPr>
        <w:snapToGrid w:val="0"/>
        <w:spacing w:line="360" w:lineRule="auto"/>
        <w:rPr>
          <w:rFonts w:ascii="宋体" w:hAnsi="宋体" w:cs="宋体"/>
          <w:color w:val="auto"/>
          <w:sz w:val="24"/>
        </w:rPr>
      </w:pPr>
      <w:r>
        <w:rPr>
          <w:rFonts w:hint="eastAsia" w:ascii="宋体" w:hAnsi="宋体" w:cs="宋体"/>
          <w:color w:val="auto"/>
          <w:sz w:val="24"/>
        </w:rPr>
        <w:t>（1）符合参加政府采购活动应当具备的一般条件的承诺函……………（页码）</w:t>
      </w:r>
    </w:p>
    <w:p>
      <w:pPr>
        <w:snapToGrid w:val="0"/>
        <w:spacing w:line="360" w:lineRule="auto"/>
        <w:rPr>
          <w:rFonts w:ascii="宋体" w:hAnsi="宋体" w:cs="宋体"/>
          <w:color w:val="auto"/>
          <w:sz w:val="24"/>
        </w:rPr>
      </w:pPr>
      <w:r>
        <w:rPr>
          <w:rFonts w:hint="eastAsia" w:ascii="宋体" w:hAnsi="宋体" w:cs="宋体"/>
          <w:snapToGrid w:val="0"/>
          <w:color w:val="auto"/>
          <w:kern w:val="28"/>
          <w:sz w:val="24"/>
          <w:szCs w:val="20"/>
        </w:rPr>
        <w:t>（2）联合协议</w:t>
      </w:r>
      <w:r>
        <w:rPr>
          <w:rFonts w:hint="eastAsia" w:ascii="宋体" w:hAnsi="宋体" w:cs="宋体"/>
          <w:color w:val="auto"/>
          <w:sz w:val="24"/>
        </w:rPr>
        <w:t>………………………………………………………………（页码）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）落实政府采购政策需满足的资格要求………………………………（页码）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）本项目的特定资格要求………………………………………………（页码）</w:t>
      </w:r>
    </w:p>
    <w:p>
      <w:pPr>
        <w:snapToGrid w:val="0"/>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color w:val="auto"/>
          <w:kern w:val="0"/>
          <w:sz w:val="24"/>
        </w:rPr>
        <w:br w:type="page"/>
      </w:r>
      <w:r>
        <w:rPr>
          <w:rFonts w:hint="eastAsia" w:ascii="宋体" w:hAnsi="宋体" w:cs="宋体"/>
          <w:b/>
          <w:color w:val="auto"/>
          <w:kern w:val="0"/>
          <w:sz w:val="32"/>
          <w:szCs w:val="32"/>
        </w:rPr>
        <w:t xml:space="preserve">  一、 符合参加政府采购活动应当具备的一般条件的承诺函</w:t>
      </w:r>
    </w:p>
    <w:p>
      <w:pPr>
        <w:snapToGrid w:val="0"/>
        <w:spacing w:line="360" w:lineRule="auto"/>
        <w:rPr>
          <w:rFonts w:ascii="宋体" w:hAnsi="宋体" w:cs="宋体"/>
          <w:color w:val="auto"/>
          <w:sz w:val="24"/>
        </w:rPr>
      </w:pPr>
      <w:r>
        <w:rPr>
          <w:rFonts w:hint="eastAsia" w:ascii="宋体" w:hAnsi="宋体" w:cs="宋体"/>
          <w:color w:val="auto"/>
          <w:sz w:val="24"/>
        </w:rPr>
        <w:t>（采购人）</w:t>
      </w:r>
      <w:r>
        <w:rPr>
          <w:rFonts w:hint="eastAsia" w:ascii="宋体" w:hAnsi="宋体" w:cs="宋体"/>
          <w:color w:val="auto"/>
          <w:sz w:val="24"/>
        </w:rPr>
        <w:t>、（采购代理机构）：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我方参与</w:t>
      </w:r>
      <w:r>
        <w:rPr>
          <w:rFonts w:hint="eastAsia" w:ascii="宋体" w:hAnsi="宋体" w:cs="宋体"/>
          <w:color w:val="auto"/>
          <w:sz w:val="24"/>
          <w:lang w:eastAsia="zh-CN"/>
        </w:rPr>
        <w:t>五常街道城市管理综合养护二标段采购项目</w:t>
      </w:r>
      <w:r>
        <w:rPr>
          <w:rFonts w:hint="eastAsia" w:ascii="宋体" w:hAnsi="宋体" w:cs="宋体"/>
          <w:color w:val="auto"/>
          <w:sz w:val="24"/>
        </w:rPr>
        <w:t>【招标编号：</w:t>
      </w:r>
      <w:r>
        <w:rPr>
          <w:rFonts w:hint="eastAsia" w:ascii="宋体" w:hAnsi="宋体" w:cs="宋体"/>
          <w:color w:val="auto"/>
          <w:sz w:val="24"/>
          <w:lang w:eastAsia="zh-CN"/>
        </w:rPr>
        <w:t>（ZJZFCG-YS2023-002）</w:t>
      </w:r>
      <w:r>
        <w:rPr>
          <w:rFonts w:hint="eastAsia" w:ascii="宋体" w:hAnsi="宋体" w:cs="宋体"/>
          <w:color w:val="auto"/>
          <w:sz w:val="24"/>
        </w:rPr>
        <w:t>】政府采购活动，郑重承诺：</w:t>
      </w:r>
    </w:p>
    <w:p>
      <w:pPr>
        <w:snapToGrid w:val="0"/>
        <w:spacing w:line="360" w:lineRule="auto"/>
        <w:ind w:firstLine="360" w:firstLineChars="150"/>
        <w:rPr>
          <w:rFonts w:ascii="宋体" w:hAnsi="宋体" w:cs="宋体"/>
          <w:color w:val="auto"/>
          <w:sz w:val="24"/>
        </w:rPr>
      </w:pPr>
      <w:r>
        <w:rPr>
          <w:rFonts w:hint="eastAsia" w:ascii="宋体" w:hAnsi="宋体" w:cs="宋体"/>
          <w:color w:val="auto"/>
          <w:sz w:val="24"/>
        </w:rPr>
        <w:t>（一）具备《中华人民共和国政府采购法》第二十二条第一款规定的条件：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1、具有独立承担民事责任的能力；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 xml:space="preserve">2、具有良好的商业信誉和健全的财务会计制度； </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3、具有履行合同所必需的设备和专业技术能力；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4、有依法缴纳税收和社会保障资金的良好记录；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5、参加政府采购活动前三年内，在经营活动中没有重大违法记录；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6、具有法律、行政法规规定的其他条件。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（三）不存在以下情况：</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rPr>
      </w:pPr>
      <w:r>
        <w:rPr>
          <w:rFonts w:hint="eastAsia" w:ascii="宋体" w:hAnsi="宋体" w:cs="宋体"/>
          <w:color w:val="auto"/>
          <w:kern w:val="0"/>
          <w:sz w:val="24"/>
          <w:lang w:val="zh-CN"/>
        </w:rPr>
        <w:t>投标人名称(电子签名)：</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w:t>
      </w:r>
      <w:r>
        <w:rPr>
          <w:rFonts w:hint="eastAsia" w:ascii="宋体" w:hAnsi="宋体" w:cs="宋体"/>
          <w:color w:val="auto"/>
          <w:kern w:val="0"/>
          <w:sz w:val="24"/>
        </w:rPr>
        <w:t xml:space="preserve">                      </w:t>
      </w:r>
      <w:r>
        <w:rPr>
          <w:rFonts w:hint="eastAsia" w:ascii="宋体" w:hAnsi="宋体" w:cs="宋体"/>
          <w:color w:val="auto"/>
          <w:kern w:val="0"/>
          <w:sz w:val="24"/>
          <w:lang w:val="zh-CN"/>
        </w:rPr>
        <w:t>日期</w:t>
      </w:r>
      <w:r>
        <w:rPr>
          <w:rFonts w:hint="eastAsia" w:ascii="宋体" w:hAnsi="宋体" w:cs="宋体"/>
          <w:color w:val="auto"/>
          <w:kern w:val="0"/>
          <w:sz w:val="24"/>
        </w:rPr>
        <w:t xml:space="preserve">：  年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rPr>
          <w:rFonts w:ascii="宋体" w:hAnsi="宋体" w:cs="宋体"/>
          <w:color w:val="auto"/>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widowControl/>
        <w:spacing w:line="360" w:lineRule="auto"/>
        <w:ind w:firstLine="643" w:firstLineChars="200"/>
        <w:jc w:val="center"/>
        <w:rPr>
          <w:rFonts w:ascii="宋体" w:hAnsi="宋体" w:cs="宋体"/>
          <w:b/>
          <w:color w:val="auto"/>
          <w:kern w:val="0"/>
          <w:sz w:val="32"/>
          <w:szCs w:val="32"/>
        </w:rPr>
      </w:pPr>
      <w:r>
        <w:rPr>
          <w:rFonts w:hint="eastAsia" w:ascii="宋体" w:hAnsi="宋体" w:cs="宋体"/>
          <w:b/>
          <w:color w:val="auto"/>
          <w:kern w:val="0"/>
          <w:sz w:val="32"/>
          <w:szCs w:val="32"/>
        </w:rPr>
        <w:t>二、联合协议</w:t>
      </w:r>
      <w:r>
        <w:rPr>
          <w:rFonts w:hint="eastAsia" w:ascii="宋体" w:hAnsi="宋体" w:cs="宋体"/>
          <w:b/>
          <w:color w:val="auto"/>
          <w:kern w:val="0"/>
          <w:sz w:val="32"/>
          <w:szCs w:val="32"/>
        </w:rPr>
        <w:t>（如果有）</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b/>
          <w:color w:val="auto"/>
          <w:kern w:val="0"/>
          <w:sz w:val="32"/>
          <w:szCs w:val="32"/>
        </w:rPr>
        <w:t>三、落实政府采购政策需满足的资格要求</w:t>
      </w:r>
    </w:p>
    <w:p>
      <w:pPr>
        <w:spacing w:line="360" w:lineRule="auto"/>
        <w:rPr>
          <w:rFonts w:ascii="宋体" w:hAnsi="宋体" w:cs="宋体"/>
          <w:color w:val="auto"/>
          <w:sz w:val="24"/>
        </w:rPr>
      </w:pPr>
      <w:r>
        <w:rPr>
          <w:rFonts w:hint="eastAsia" w:ascii="宋体" w:hAnsi="宋体" w:cs="宋体"/>
          <w:color w:val="auto"/>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rPr>
      </w:pPr>
      <w:r>
        <w:rPr>
          <w:rFonts w:hint="eastAsia" w:ascii="宋体" w:hAnsi="宋体" w:cs="宋体"/>
          <w:b/>
          <w:color w:val="auto"/>
          <w:sz w:val="24"/>
        </w:rPr>
        <w:t>A</w:t>
      </w:r>
      <w:r>
        <w:rPr>
          <w:rFonts w:hint="eastAsia" w:ascii="宋体" w:hAnsi="宋体" w:cs="宋体"/>
          <w:color w:val="auto"/>
          <w:sz w:val="24"/>
        </w:rPr>
        <w:t>.专门面向中小企业，服务全部由符合政策要求的中小企业（或小微企业）承接的，提供相应的中小企业声明函（附件</w:t>
      </w:r>
      <w:r>
        <w:rPr>
          <w:rFonts w:ascii="宋体" w:hAnsi="宋体" w:cs="宋体"/>
          <w:color w:val="auto"/>
          <w:sz w:val="24"/>
        </w:rPr>
        <w:t>7</w:t>
      </w:r>
      <w:r>
        <w:rPr>
          <w:rFonts w:hint="eastAsia" w:ascii="宋体" w:hAnsi="宋体" w:cs="宋体"/>
          <w:color w:val="auto"/>
          <w:sz w:val="24"/>
        </w:rPr>
        <w:t xml:space="preserve">）。 </w:t>
      </w:r>
    </w:p>
    <w:p>
      <w:pPr>
        <w:widowControl/>
        <w:spacing w:line="360" w:lineRule="auto"/>
        <w:ind w:firstLine="480"/>
        <w:jc w:val="left"/>
        <w:rPr>
          <w:rFonts w:ascii="宋体" w:hAnsi="宋体" w:cs="宋体"/>
          <w:color w:val="auto"/>
          <w:sz w:val="24"/>
        </w:rPr>
      </w:pPr>
    </w:p>
    <w:p>
      <w:pPr>
        <w:widowControl/>
        <w:spacing w:line="360" w:lineRule="auto"/>
        <w:ind w:firstLine="472" w:firstLineChars="196"/>
        <w:jc w:val="left"/>
        <w:rPr>
          <w:rFonts w:ascii="宋体" w:hAnsi="宋体" w:cs="宋体"/>
          <w:color w:val="auto"/>
          <w:sz w:val="24"/>
        </w:rPr>
      </w:pPr>
      <w:r>
        <w:rPr>
          <w:rFonts w:hint="eastAsia" w:ascii="宋体" w:hAnsi="宋体" w:cs="宋体"/>
          <w:b/>
          <w:color w:val="auto"/>
          <w:sz w:val="24"/>
        </w:rPr>
        <w:t>B.</w:t>
      </w:r>
      <w:r>
        <w:rPr>
          <w:rFonts w:hint="eastAsia" w:ascii="宋体" w:hAnsi="宋体" w:cs="宋体"/>
          <w:color w:val="auto"/>
          <w:sz w:val="24"/>
        </w:rPr>
        <w:t>要求以联合体形式参加的，提供联合协议（附件</w:t>
      </w:r>
      <w:r>
        <w:rPr>
          <w:rFonts w:ascii="宋体" w:hAnsi="宋体" w:cs="宋体"/>
          <w:color w:val="auto"/>
          <w:sz w:val="24"/>
        </w:rPr>
        <w:t>5</w:t>
      </w:r>
      <w:r>
        <w:rPr>
          <w:rFonts w:hint="eastAsia" w:ascii="宋体" w:hAnsi="宋体" w:cs="宋体"/>
          <w:color w:val="auto"/>
          <w:sz w:val="24"/>
        </w:rPr>
        <w:t>）和中小企业声明函（附件</w:t>
      </w:r>
      <w:r>
        <w:rPr>
          <w:rFonts w:ascii="宋体" w:hAnsi="宋体" w:cs="宋体"/>
          <w:color w:val="auto"/>
          <w:sz w:val="24"/>
        </w:rPr>
        <w:t>7</w:t>
      </w:r>
      <w:r>
        <w:rPr>
          <w:rFonts w:hint="eastAsia" w:ascii="宋体" w:hAnsi="宋体" w:cs="宋体"/>
          <w:color w:val="auto"/>
          <w:sz w:val="24"/>
        </w:rPr>
        <w:t>），联合协议中中小企业合同金额应当达到招标公告载明的比例；如果供应商本身提供所有标的均由中小企业承接的，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rPr>
      </w:pPr>
      <w:r>
        <w:rPr>
          <w:rFonts w:hint="eastAsia" w:ascii="宋体" w:hAnsi="宋体" w:cs="宋体"/>
          <w:b/>
          <w:color w:val="auto"/>
          <w:sz w:val="24"/>
        </w:rPr>
        <w:t xml:space="preserve">    </w:t>
      </w:r>
    </w:p>
    <w:p>
      <w:pPr>
        <w:spacing w:line="360" w:lineRule="auto"/>
        <w:ind w:firstLine="482" w:firstLineChars="200"/>
        <w:rPr>
          <w:rFonts w:ascii="宋体" w:hAnsi="宋体" w:cs="宋体"/>
          <w:color w:val="auto"/>
          <w:sz w:val="24"/>
        </w:rPr>
      </w:pPr>
      <w:r>
        <w:rPr>
          <w:rFonts w:hint="eastAsia" w:ascii="宋体" w:hAnsi="宋体" w:cs="宋体"/>
          <w:b/>
          <w:color w:val="auto"/>
          <w:sz w:val="24"/>
        </w:rPr>
        <w:t>C、</w:t>
      </w:r>
      <w:r>
        <w:rPr>
          <w:rFonts w:hint="eastAsia" w:ascii="宋体" w:hAnsi="宋体" w:cs="宋体"/>
          <w:color w:val="auto"/>
          <w:sz w:val="24"/>
        </w:rPr>
        <w:t>要求合同分包的，提供分包意向协议（附件6）和中小企业声明函（附件</w:t>
      </w:r>
      <w:r>
        <w:rPr>
          <w:rFonts w:ascii="宋体" w:hAnsi="宋体" w:cs="宋体"/>
          <w:color w:val="auto"/>
          <w:sz w:val="24"/>
        </w:rPr>
        <w:t>7</w:t>
      </w:r>
      <w:r>
        <w:rPr>
          <w:rFonts w:hint="eastAsia" w:ascii="宋体" w:hAnsi="宋体" w:cs="宋体"/>
          <w:color w:val="auto"/>
          <w:sz w:val="24"/>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rPr>
      </w:pPr>
    </w:p>
    <w:p>
      <w:pPr>
        <w:widowControl/>
        <w:spacing w:line="360" w:lineRule="auto"/>
        <w:ind w:left="150"/>
        <w:jc w:val="center"/>
        <w:rPr>
          <w:rFonts w:ascii="宋体" w:hAnsi="宋体" w:cs="宋体"/>
          <w:b/>
          <w:color w:val="auto"/>
          <w:kern w:val="0"/>
          <w:sz w:val="32"/>
          <w:szCs w:val="32"/>
        </w:rPr>
      </w:pPr>
      <w:r>
        <w:rPr>
          <w:rFonts w:hint="eastAsia" w:ascii="宋体" w:hAnsi="宋体" w:cs="宋体"/>
          <w:b/>
          <w:color w:val="auto"/>
          <w:kern w:val="0"/>
          <w:sz w:val="32"/>
          <w:szCs w:val="32"/>
        </w:rPr>
        <w:t>四、本项目的特定资格要求</w:t>
      </w:r>
    </w:p>
    <w:p>
      <w:pPr>
        <w:spacing w:line="360" w:lineRule="auto"/>
        <w:jc w:val="center"/>
        <w:rPr>
          <w:rFonts w:ascii="宋体" w:hAnsi="宋体" w:cs="宋体"/>
          <w:color w:val="auto"/>
          <w:sz w:val="24"/>
        </w:rPr>
      </w:pPr>
      <w:r>
        <w:rPr>
          <w:rFonts w:hint="eastAsia" w:ascii="宋体" w:hAnsi="宋体" w:cs="宋体"/>
          <w:color w:val="auto"/>
          <w:sz w:val="24"/>
        </w:rPr>
        <w:t>（根据招标公告本项目的特定资格要求提供相应的材料；未要求的，无需提供）</w:t>
      </w:r>
    </w:p>
    <w:p>
      <w:pPr>
        <w:rPr>
          <w:rFonts w:ascii="宋体" w:hAnsi="宋体" w:cs="宋体"/>
          <w:color w:val="auto"/>
        </w:rPr>
      </w:pPr>
    </w:p>
    <w:p>
      <w:pPr>
        <w:snapToGrid w:val="0"/>
        <w:spacing w:line="360" w:lineRule="auto"/>
        <w:ind w:right="480"/>
        <w:jc w:val="center"/>
        <w:rPr>
          <w:rFonts w:ascii="宋体" w:hAnsi="宋体" w:cs="宋体"/>
          <w:b/>
          <w:color w:val="auto"/>
          <w:kern w:val="0"/>
          <w:sz w:val="32"/>
          <w:szCs w:val="32"/>
        </w:rPr>
      </w:pPr>
    </w:p>
    <w:p>
      <w:pPr>
        <w:widowControl/>
        <w:adjustRightInd/>
        <w:jc w:val="left"/>
        <w:rPr>
          <w:rFonts w:ascii="宋体" w:hAnsi="宋体" w:cs="宋体"/>
          <w:b/>
          <w:color w:val="auto"/>
          <w:kern w:val="0"/>
          <w:sz w:val="36"/>
          <w:szCs w:val="36"/>
        </w:rPr>
      </w:pPr>
      <w:r>
        <w:rPr>
          <w:rFonts w:ascii="宋体" w:hAnsi="宋体" w:cs="宋体"/>
          <w:b/>
          <w:color w:val="auto"/>
          <w:kern w:val="0"/>
          <w:sz w:val="36"/>
          <w:szCs w:val="36"/>
        </w:rPr>
        <w:br w:type="page"/>
      </w:r>
    </w:p>
    <w:p>
      <w:pPr>
        <w:spacing w:line="360" w:lineRule="auto"/>
        <w:ind w:right="420" w:firstLine="3614" w:firstLineChars="1000"/>
        <w:rPr>
          <w:rFonts w:ascii="宋体" w:hAnsi="宋体" w:cs="宋体"/>
          <w:b/>
          <w:color w:val="auto"/>
          <w:kern w:val="0"/>
          <w:sz w:val="36"/>
          <w:szCs w:val="36"/>
        </w:rPr>
      </w:pPr>
      <w:r>
        <w:rPr>
          <w:rFonts w:hint="eastAsia" w:ascii="宋体" w:hAnsi="宋体" w:cs="宋体"/>
          <w:b/>
          <w:color w:val="auto"/>
          <w:kern w:val="0"/>
          <w:sz w:val="36"/>
          <w:szCs w:val="36"/>
        </w:rPr>
        <w:t>商务技术文件部分</w:t>
      </w:r>
    </w:p>
    <w:p>
      <w:pPr>
        <w:spacing w:line="360" w:lineRule="auto"/>
        <w:jc w:val="center"/>
        <w:outlineLvl w:val="0"/>
        <w:rPr>
          <w:rFonts w:ascii="宋体" w:hAnsi="宋体" w:cs="宋体"/>
          <w:b/>
          <w:color w:val="auto"/>
          <w:kern w:val="0"/>
          <w:sz w:val="24"/>
        </w:rPr>
      </w:pPr>
    </w:p>
    <w:p>
      <w:pPr>
        <w:spacing w:line="360" w:lineRule="auto"/>
        <w:jc w:val="center"/>
        <w:outlineLvl w:val="0"/>
        <w:rPr>
          <w:rFonts w:ascii="宋体" w:hAnsi="宋体" w:cs="宋体"/>
          <w:b/>
          <w:color w:val="auto"/>
          <w:kern w:val="0"/>
          <w:sz w:val="28"/>
          <w:szCs w:val="28"/>
        </w:rPr>
      </w:pPr>
      <w:r>
        <w:rPr>
          <w:rFonts w:hint="eastAsia" w:ascii="宋体" w:hAnsi="宋体" w:cs="宋体"/>
          <w:b/>
          <w:color w:val="auto"/>
          <w:kern w:val="0"/>
          <w:sz w:val="28"/>
          <w:szCs w:val="28"/>
        </w:rPr>
        <w:t>目录</w:t>
      </w:r>
    </w:p>
    <w:p>
      <w:pPr>
        <w:snapToGrid w:val="0"/>
        <w:spacing w:line="360" w:lineRule="auto"/>
        <w:ind w:left="479" w:leftChars="228"/>
        <w:rPr>
          <w:rFonts w:ascii="宋体" w:hAnsi="宋体" w:cs="宋体"/>
          <w:color w:val="auto"/>
        </w:rPr>
      </w:pPr>
      <w:r>
        <w:rPr>
          <w:rFonts w:hint="eastAsia" w:ascii="宋体" w:hAnsi="宋体" w:cs="宋体"/>
          <w:color w:val="auto"/>
          <w:sz w:val="24"/>
        </w:rPr>
        <w:t>（1）投标函</w:t>
      </w:r>
      <w:r>
        <w:rPr>
          <w:rFonts w:hint="eastAsia" w:ascii="宋体" w:hAnsi="宋体" w:cs="宋体"/>
          <w:color w:val="auto"/>
        </w:rPr>
        <w:t>…………………………………………………………………………………（页码）</w:t>
      </w:r>
      <w:r>
        <w:rPr>
          <w:rFonts w:hint="eastAsia" w:ascii="宋体" w:hAnsi="宋体" w:cs="宋体"/>
          <w:color w:val="auto"/>
          <w:sz w:val="24"/>
        </w:rPr>
        <w:t>（2）授权委托书或法定代表人（单位负责人、自然人本人）身份证明</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color w:val="auto"/>
        </w:rPr>
        <w:t>…………………………………………………………………………（页码）</w:t>
      </w:r>
    </w:p>
    <w:p>
      <w:pPr>
        <w:snapToGrid w:val="0"/>
        <w:spacing w:line="360" w:lineRule="auto"/>
        <w:ind w:firstLine="480" w:firstLineChars="200"/>
        <w:rPr>
          <w:rFonts w:ascii="宋体" w:hAnsi="宋体" w:cs="宋体"/>
          <w:color w:val="auto"/>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）符合性审查资料</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5</w:t>
      </w:r>
      <w:r>
        <w:rPr>
          <w:rFonts w:hint="eastAsia" w:ascii="宋体" w:hAnsi="宋体" w:cs="宋体"/>
          <w:color w:val="auto"/>
          <w:sz w:val="24"/>
        </w:rPr>
        <w:t>）评标标准相应的商务技术资料</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……………（页码）</w:t>
      </w:r>
      <w:r>
        <w:rPr>
          <w:rFonts w:hint="eastAsia" w:ascii="宋体" w:hAnsi="宋体" w:cs="宋体"/>
          <w:color w:val="auto"/>
          <w:sz w:val="24"/>
        </w:rPr>
        <w:t>（</w:t>
      </w:r>
      <w:r>
        <w:rPr>
          <w:rFonts w:ascii="宋体" w:hAnsi="宋体" w:cs="宋体"/>
          <w:color w:val="auto"/>
          <w:sz w:val="24"/>
        </w:rPr>
        <w:t>6</w:t>
      </w:r>
      <w:r>
        <w:rPr>
          <w:rFonts w:hint="eastAsia" w:ascii="宋体" w:hAnsi="宋体" w:cs="宋体"/>
          <w:color w:val="auto"/>
          <w:sz w:val="24"/>
        </w:rPr>
        <w:t>）投标标的清单</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……………（页码）</w:t>
      </w:r>
      <w:r>
        <w:rPr>
          <w:rFonts w:hint="eastAsia" w:ascii="宋体" w:hAnsi="宋体" w:cs="宋体"/>
          <w:color w:val="auto"/>
          <w:sz w:val="24"/>
        </w:rPr>
        <w:t>（</w:t>
      </w:r>
      <w:r>
        <w:rPr>
          <w:rFonts w:ascii="宋体" w:hAnsi="宋体" w:cs="宋体"/>
          <w:color w:val="auto"/>
          <w:sz w:val="24"/>
        </w:rPr>
        <w:t>7</w:t>
      </w:r>
      <w:r>
        <w:rPr>
          <w:rFonts w:hint="eastAsia" w:ascii="宋体" w:hAnsi="宋体" w:cs="宋体"/>
          <w:color w:val="auto"/>
          <w:sz w:val="24"/>
        </w:rPr>
        <w:t>）商务技术偏离表</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r>
        <w:rPr>
          <w:rFonts w:hint="eastAsia" w:ascii="宋体" w:hAnsi="宋体" w:cs="宋体"/>
          <w:color w:val="auto"/>
        </w:rPr>
        <w:t>…………………………………………………（页码）</w:t>
      </w: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rPr>
          <w:rFonts w:ascii="宋体" w:hAnsi="宋体" w:cs="宋体"/>
          <w:b/>
          <w:color w:val="auto"/>
          <w:kern w:val="0"/>
          <w:sz w:val="32"/>
          <w:szCs w:val="32"/>
          <w:lang w:val="zh-CN"/>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snapToGrid w:val="0"/>
        <w:spacing w:line="360" w:lineRule="auto"/>
        <w:jc w:val="center"/>
        <w:outlineLvl w:val="0"/>
        <w:rPr>
          <w:rFonts w:ascii="宋体" w:hAnsi="宋体" w:cs="宋体"/>
          <w:b/>
          <w:color w:val="auto"/>
          <w:sz w:val="32"/>
          <w:szCs w:val="32"/>
        </w:rPr>
      </w:pPr>
      <w:r>
        <w:rPr>
          <w:rFonts w:hint="eastAsia" w:ascii="宋体" w:hAnsi="宋体" w:cs="宋体"/>
          <w:b/>
          <w:color w:val="auto"/>
          <w:kern w:val="0"/>
          <w:sz w:val="32"/>
          <w:szCs w:val="32"/>
        </w:rPr>
        <w:t>一、投标</w:t>
      </w:r>
      <w:r>
        <w:rPr>
          <w:rFonts w:hint="eastAsia" w:ascii="宋体" w:hAnsi="宋体" w:cs="宋体"/>
          <w:b/>
          <w:color w:val="auto"/>
          <w:sz w:val="32"/>
          <w:szCs w:val="32"/>
        </w:rPr>
        <w:t>函</w:t>
      </w:r>
    </w:p>
    <w:p>
      <w:pPr>
        <w:snapToGrid w:val="0"/>
        <w:spacing w:line="360" w:lineRule="auto"/>
        <w:rPr>
          <w:rFonts w:ascii="宋体" w:hAnsi="宋体" w:cs="宋体"/>
          <w:color w:val="auto"/>
          <w:sz w:val="24"/>
        </w:rPr>
      </w:pPr>
      <w:r>
        <w:rPr>
          <w:rFonts w:hint="eastAsia" w:ascii="宋体" w:hAnsi="宋体" w:cs="宋体"/>
          <w:color w:val="auto"/>
          <w:sz w:val="24"/>
        </w:rPr>
        <w:t>（采购人）</w:t>
      </w:r>
      <w:r>
        <w:rPr>
          <w:rFonts w:hint="eastAsia" w:ascii="宋体" w:hAnsi="宋体" w:cs="宋体"/>
          <w:color w:val="auto"/>
          <w:sz w:val="24"/>
        </w:rPr>
        <w:t>、（采购代理机构）：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我方参加你方组织的</w:t>
      </w:r>
      <w:r>
        <w:rPr>
          <w:rFonts w:hint="eastAsia" w:ascii="宋体" w:hAnsi="宋体" w:cs="宋体"/>
          <w:color w:val="auto"/>
          <w:sz w:val="24"/>
          <w:lang w:eastAsia="zh-CN"/>
        </w:rPr>
        <w:t>五常街道城市管理综合养护二标段采购项目</w:t>
      </w:r>
      <w:r>
        <w:rPr>
          <w:rFonts w:hint="eastAsia" w:ascii="宋体" w:hAnsi="宋体" w:cs="宋体"/>
          <w:color w:val="auto"/>
          <w:sz w:val="24"/>
        </w:rPr>
        <w:t>【招标编号：</w:t>
      </w:r>
      <w:r>
        <w:rPr>
          <w:rFonts w:hint="eastAsia" w:ascii="宋体" w:hAnsi="宋体" w:cs="宋体"/>
          <w:color w:val="auto"/>
          <w:sz w:val="24"/>
          <w:lang w:eastAsia="zh-CN"/>
        </w:rPr>
        <w:t>（ZJZFCG-YS2023-002）</w:t>
      </w:r>
      <w:r>
        <w:rPr>
          <w:rFonts w:hint="eastAsia" w:ascii="宋体" w:hAnsi="宋体" w:cs="宋体"/>
          <w:color w:val="auto"/>
          <w:sz w:val="24"/>
        </w:rPr>
        <w:t>】招标的有关活动，并对此项目进行投标。为此：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1、我方承诺投标有效期从提交投标文件的截止之日起</w:t>
      </w:r>
      <w:r>
        <w:rPr>
          <w:rFonts w:hint="eastAsia" w:ascii="宋体" w:hAnsi="宋体" w:cs="宋体"/>
          <w:color w:val="auto"/>
          <w:sz w:val="24"/>
          <w:u w:val="single"/>
        </w:rPr>
        <w:t xml:space="preserve">     </w:t>
      </w:r>
      <w:r>
        <w:rPr>
          <w:rFonts w:hint="eastAsia" w:ascii="宋体" w:hAnsi="宋体" w:cs="宋体"/>
          <w:color w:val="auto"/>
          <w:sz w:val="24"/>
        </w:rPr>
        <w:t>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2、我方的投标文件包括以下内容：</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2.1资格文件：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2.1.1承诺函；</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2.1.2</w:t>
      </w:r>
      <w:r>
        <w:rPr>
          <w:rFonts w:hint="eastAsia" w:ascii="宋体" w:hAnsi="宋体" w:cs="宋体"/>
          <w:snapToGrid w:val="0"/>
          <w:color w:val="auto"/>
          <w:kern w:val="28"/>
          <w:sz w:val="24"/>
          <w:szCs w:val="20"/>
        </w:rPr>
        <w:t>联合协议</w:t>
      </w:r>
      <w:bookmarkStart w:id="416" w:name="_Hlk101257010"/>
      <w:r>
        <w:rPr>
          <w:rFonts w:hint="eastAsia" w:ascii="宋体" w:hAnsi="宋体" w:cs="宋体"/>
          <w:color w:val="auto"/>
          <w:sz w:val="24"/>
        </w:rPr>
        <w:t>（如果有)</w:t>
      </w:r>
      <w:bookmarkEnd w:id="416"/>
      <w:r>
        <w:rPr>
          <w:rFonts w:hint="eastAsia" w:ascii="宋体" w:hAnsi="宋体" w:cs="宋体"/>
          <w:snapToGrid w:val="0"/>
          <w:color w:val="auto"/>
          <w:kern w:val="28"/>
          <w:sz w:val="24"/>
          <w:szCs w:val="20"/>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.1.3</w:t>
      </w:r>
      <w:r>
        <w:rPr>
          <w:rFonts w:hint="eastAsia" w:ascii="宋体" w:hAnsi="宋体" w:cs="宋体"/>
          <w:color w:val="auto"/>
          <w:sz w:val="24"/>
        </w:rPr>
        <w:t>落实政府采购政策需满足的资格要求</w:t>
      </w:r>
      <w:r>
        <w:rPr>
          <w:rFonts w:hint="eastAsia" w:ascii="宋体" w:hAnsi="宋体" w:cs="宋体"/>
          <w:color w:val="auto"/>
          <w:sz w:val="24"/>
        </w:rPr>
        <w:t>（如果有）</w:t>
      </w:r>
      <w:r>
        <w:rPr>
          <w:rFonts w:hint="eastAsia" w:ascii="宋体" w:hAnsi="宋体" w:cs="宋体"/>
          <w:color w:val="auto"/>
          <w:sz w:val="24"/>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color w:val="auto"/>
          <w:sz w:val="24"/>
        </w:rPr>
        <w:t>（如果有)</w:t>
      </w:r>
      <w:r>
        <w:rPr>
          <w:rFonts w:hint="eastAsia" w:ascii="宋体" w:hAnsi="宋体" w:cs="宋体"/>
          <w:color w:val="auto"/>
          <w:sz w:val="24"/>
        </w:rPr>
        <w:t>。</w:t>
      </w:r>
    </w:p>
    <w:p>
      <w:pPr>
        <w:snapToGrid w:val="0"/>
        <w:spacing w:line="360" w:lineRule="auto"/>
        <w:ind w:left="210" w:leftChars="1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2.2.1投标函；</w:t>
      </w:r>
      <w:r>
        <w:rPr>
          <w:rFonts w:hint="eastAsia" w:ascii="宋体" w:hAnsi="宋体" w:cs="宋体"/>
          <w:color w:val="auto"/>
          <w:sz w:val="24"/>
          <w:lang w:val="zh-CN"/>
        </w:rPr>
        <w:t xml:space="preserve"> </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2.2.2授权委托书或法定代表人（单位负责人）身份证明；</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color w:val="auto"/>
          <w:sz w:val="24"/>
        </w:rPr>
        <w:t>（如果有)</w:t>
      </w:r>
      <w:r>
        <w:rPr>
          <w:rFonts w:hint="eastAsia" w:ascii="宋体" w:hAnsi="宋体" w:cs="宋体"/>
          <w:color w:val="auto"/>
          <w:sz w:val="24"/>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left="420" w:leftChars="2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3报价文件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2.3.1开标一览表（报价表）；</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2.3.2中小企业声明函（如果有）。</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4、如我方中标，我方承诺：</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4.3按照招标文件要求提交履约保证金；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5、其他补充说明:</w:t>
      </w:r>
      <w:r>
        <w:rPr>
          <w:rFonts w:hint="eastAsia" w:ascii="宋体" w:hAnsi="宋体" w:cs="宋体"/>
          <w:color w:val="auto"/>
          <w:sz w:val="24"/>
          <w:u w:val="single"/>
        </w:rPr>
        <w:t xml:space="preserve">                                        </w:t>
      </w:r>
      <w:r>
        <w:rPr>
          <w:rFonts w:hint="eastAsia" w:ascii="宋体" w:hAnsi="宋体" w:cs="宋体"/>
          <w:color w:val="auto"/>
          <w:sz w:val="24"/>
        </w:rPr>
        <w:t>。</w:t>
      </w:r>
    </w:p>
    <w:p>
      <w:pPr>
        <w:spacing w:line="360" w:lineRule="auto"/>
        <w:ind w:firstLine="3600" w:firstLineChars="1500"/>
        <w:rPr>
          <w:rFonts w:ascii="宋体" w:hAnsi="宋体" w:cs="宋体"/>
          <w:color w:val="auto"/>
          <w:sz w:val="24"/>
        </w:rPr>
      </w:pPr>
      <w:r>
        <w:rPr>
          <w:rFonts w:hint="eastAsia" w:ascii="宋体" w:hAnsi="宋体" w:cs="宋体"/>
          <w:color w:val="auto"/>
          <w:sz w:val="24"/>
        </w:rPr>
        <w:t xml:space="preserve">投标人名称（电子签名）：                          </w:t>
      </w:r>
    </w:p>
    <w:p>
      <w:pPr>
        <w:spacing w:line="360" w:lineRule="auto"/>
        <w:jc w:val="center"/>
        <w:rPr>
          <w:rFonts w:ascii="宋体" w:hAnsi="宋体" w:cs="宋体"/>
          <w:color w:val="auto"/>
          <w:sz w:val="24"/>
        </w:rPr>
      </w:pPr>
      <w:r>
        <w:rPr>
          <w:rFonts w:hint="eastAsia" w:ascii="宋体" w:hAnsi="宋体" w:cs="宋体"/>
          <w:color w:val="auto"/>
          <w:sz w:val="24"/>
        </w:rPr>
        <w:t xml:space="preserve">     日期：  年   月   日</w:t>
      </w:r>
    </w:p>
    <w:p>
      <w:pPr>
        <w:snapToGrid w:val="0"/>
        <w:spacing w:line="360" w:lineRule="auto"/>
        <w:ind w:left="420" w:leftChars="200" w:firstLine="4200" w:firstLineChars="1750"/>
        <w:rPr>
          <w:rFonts w:ascii="宋体" w:hAnsi="宋体" w:cs="宋体"/>
          <w:color w:val="auto"/>
          <w:kern w:val="0"/>
          <w:sz w:val="24"/>
          <w:u w:val="single"/>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napToGrid w:val="0"/>
        <w:spacing w:line="360" w:lineRule="auto"/>
        <w:jc w:val="center"/>
        <w:rPr>
          <w:rFonts w:ascii="宋体" w:hAnsi="宋体" w:cs="宋体"/>
          <w:b/>
          <w:color w:val="auto"/>
          <w:kern w:val="0"/>
          <w:sz w:val="32"/>
          <w:szCs w:val="32"/>
        </w:rPr>
      </w:pP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pStyle w:val="4"/>
        <w:rPr>
          <w:color w:val="auto"/>
          <w:lang w:val="en-US"/>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lang w:val="zh-CN"/>
        </w:rPr>
      </w:pPr>
      <w:r>
        <w:rPr>
          <w:rFonts w:hint="eastAsia" w:ascii="宋体" w:hAnsi="宋体" w:cs="宋体"/>
          <w:b/>
          <w:color w:val="auto"/>
          <w:kern w:val="0"/>
          <w:sz w:val="32"/>
          <w:szCs w:val="32"/>
          <w:lang w:val="zh-CN"/>
        </w:rPr>
        <w:t>二、授权委托书或法定代表人（单位负责人、自然人本人）身份证明</w:t>
      </w:r>
    </w:p>
    <w:p>
      <w:pPr>
        <w:snapToGrid w:val="0"/>
        <w:spacing w:line="360" w:lineRule="auto"/>
        <w:rPr>
          <w:rFonts w:ascii="宋体" w:hAnsi="宋体" w:cs="宋体"/>
          <w:color w:val="auto"/>
          <w:sz w:val="24"/>
        </w:rPr>
      </w:pPr>
      <w:r>
        <w:rPr>
          <w:rFonts w:hint="eastAsia" w:ascii="宋体" w:hAnsi="宋体" w:cs="宋体"/>
          <w:color w:val="auto"/>
          <w:sz w:val="24"/>
        </w:rPr>
        <w:t xml:space="preserve">                                </w:t>
      </w:r>
    </w:p>
    <w:p>
      <w:pPr>
        <w:snapToGrid w:val="0"/>
        <w:spacing w:line="360" w:lineRule="auto"/>
        <w:ind w:firstLine="2872" w:firstLineChars="894"/>
        <w:rPr>
          <w:rFonts w:ascii="宋体" w:hAnsi="宋体" w:cs="宋体"/>
          <w:color w:val="auto"/>
        </w:rPr>
      </w:pPr>
      <w:r>
        <w:rPr>
          <w:rFonts w:hint="eastAsia" w:ascii="宋体" w:hAnsi="宋体" w:cs="宋体"/>
          <w:b/>
          <w:color w:val="auto"/>
          <w:kern w:val="0"/>
          <w:sz w:val="32"/>
          <w:szCs w:val="32"/>
          <w:lang w:val="zh-CN"/>
        </w:rPr>
        <w:t>授权委托书（适用于非联合体投标）</w:t>
      </w:r>
      <w:r>
        <w:rPr>
          <w:rFonts w:hint="eastAsia" w:ascii="宋体" w:hAnsi="宋体" w:cs="宋体"/>
          <w:color w:val="auto"/>
        </w:rPr>
        <w:t xml:space="preserve">                               </w:t>
      </w:r>
    </w:p>
    <w:p>
      <w:pPr>
        <w:snapToGrid w:val="0"/>
        <w:spacing w:line="360" w:lineRule="auto"/>
        <w:rPr>
          <w:rFonts w:ascii="宋体" w:hAnsi="宋体" w:cs="宋体"/>
          <w:color w:val="auto"/>
          <w:kern w:val="0"/>
          <w:sz w:val="24"/>
        </w:rPr>
      </w:pPr>
      <w:r>
        <w:rPr>
          <w:rFonts w:hint="eastAsia" w:ascii="宋体" w:hAnsi="宋体" w:cs="宋体"/>
          <w:color w:val="auto"/>
          <w:sz w:val="24"/>
        </w:rPr>
        <w:t>（采购人）</w:t>
      </w:r>
      <w:r>
        <w:rPr>
          <w:rFonts w:hint="eastAsia" w:ascii="宋体" w:hAnsi="宋体" w:cs="宋体"/>
          <w:color w:val="auto"/>
          <w:sz w:val="24"/>
        </w:rPr>
        <w:t>、（采购代理机构）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lang w:eastAsia="zh-CN"/>
        </w:rPr>
        <w:t>五常街道城市管理综合养护二标段采购项目</w:t>
      </w:r>
      <w:r>
        <w:rPr>
          <w:rFonts w:hint="eastAsia" w:ascii="宋体" w:hAnsi="宋体" w:cs="宋体"/>
          <w:color w:val="auto"/>
          <w:sz w:val="24"/>
        </w:rPr>
        <w:t>【招标编号：</w:t>
      </w:r>
      <w:r>
        <w:rPr>
          <w:rFonts w:hint="eastAsia" w:ascii="宋体" w:hAnsi="宋体" w:cs="宋体"/>
          <w:color w:val="auto"/>
          <w:sz w:val="24"/>
          <w:lang w:eastAsia="zh-CN"/>
        </w:rPr>
        <w:t>（ZJZFCG-YS2023-002）</w:t>
      </w:r>
      <w:r>
        <w:rPr>
          <w:rFonts w:hint="eastAsia" w:ascii="宋体" w:hAnsi="宋体" w:cs="宋体"/>
          <w:color w:val="auto"/>
          <w:sz w:val="24"/>
        </w:rPr>
        <w:t>】</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签发日期：  年  月   日</w:t>
      </w: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lang w:val="zh-CN"/>
        </w:rPr>
        <w:t xml:space="preserve">      </w:t>
      </w: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snapToGrid w:val="0"/>
        <w:spacing w:line="360" w:lineRule="auto"/>
        <w:rPr>
          <w:rFonts w:ascii="宋体" w:hAnsi="宋体" w:cs="宋体"/>
          <w:color w:val="auto"/>
          <w:kern w:val="0"/>
          <w:sz w:val="24"/>
        </w:rPr>
      </w:pPr>
      <w:r>
        <w:rPr>
          <w:rFonts w:hint="eastAsia" w:ascii="宋体" w:hAnsi="宋体" w:cs="宋体"/>
          <w:color w:val="auto"/>
          <w:sz w:val="24"/>
        </w:rPr>
        <w:t>（采购人）</w:t>
      </w:r>
      <w:r>
        <w:rPr>
          <w:rFonts w:hint="eastAsia" w:ascii="宋体" w:hAnsi="宋体" w:cs="宋体"/>
          <w:color w:val="auto"/>
          <w:sz w:val="24"/>
        </w:rPr>
        <w:t>、（采购代理机构）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lang w:eastAsia="zh-CN"/>
        </w:rPr>
        <w:t>五常街道城市管理综合养护二标段采购项目</w:t>
      </w:r>
      <w:r>
        <w:rPr>
          <w:rFonts w:hint="eastAsia" w:ascii="宋体" w:hAnsi="宋体" w:cs="宋体"/>
          <w:color w:val="auto"/>
          <w:sz w:val="24"/>
        </w:rPr>
        <w:t>【招标编号：</w:t>
      </w:r>
      <w:r>
        <w:rPr>
          <w:rFonts w:hint="eastAsia" w:ascii="宋体" w:hAnsi="宋体" w:cs="宋体"/>
          <w:color w:val="auto"/>
          <w:sz w:val="24"/>
          <w:lang w:eastAsia="zh-CN"/>
        </w:rPr>
        <w:t>（ZJZFCG-YS2023-002）</w:t>
      </w:r>
      <w:r>
        <w:rPr>
          <w:rFonts w:hint="eastAsia" w:ascii="宋体" w:hAnsi="宋体" w:cs="宋体"/>
          <w:color w:val="auto"/>
          <w:sz w:val="24"/>
        </w:rPr>
        <w:t>】</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jc w:val="center"/>
        <w:rPr>
          <w:rFonts w:ascii="宋体" w:hAnsi="宋体" w:cs="宋体"/>
          <w:b/>
          <w:color w:val="auto"/>
          <w:kern w:val="0"/>
          <w:sz w:val="32"/>
          <w:szCs w:val="32"/>
        </w:rPr>
      </w:pPr>
    </w:p>
    <w:p>
      <w:pPr>
        <w:rPr>
          <w:rFonts w:ascii="宋体" w:hAnsi="宋体" w:cs="宋体"/>
          <w:color w:val="auto"/>
        </w:rPr>
      </w:pP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760" w:firstLineChars="2400"/>
        <w:rPr>
          <w:rFonts w:ascii="宋体" w:hAnsi="宋体" w:cs="宋体"/>
          <w:color w:val="auto"/>
        </w:rPr>
      </w:pPr>
      <w:r>
        <w:rPr>
          <w:rFonts w:hint="eastAsia" w:ascii="宋体" w:hAnsi="宋体" w:cs="宋体"/>
          <w:color w:val="auto"/>
          <w:kern w:val="0"/>
          <w:sz w:val="24"/>
          <w:lang w:val="zh-CN"/>
        </w:rPr>
        <w:t>……</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autoSpaceDE w:val="0"/>
        <w:autoSpaceDN w:val="0"/>
        <w:spacing w:line="360" w:lineRule="auto"/>
        <w:jc w:val="center"/>
        <w:rPr>
          <w:rFonts w:ascii="宋体" w:hAnsi="宋体" w:cs="宋体"/>
          <w:b/>
          <w:color w:val="auto"/>
          <w:kern w:val="0"/>
          <w:sz w:val="32"/>
          <w:szCs w:val="32"/>
          <w:lang w:val="zh-CN"/>
        </w:rPr>
      </w:pPr>
    </w:p>
    <w:p>
      <w:pPr>
        <w:autoSpaceDE w:val="0"/>
        <w:autoSpaceDN w:val="0"/>
        <w:spacing w:line="360" w:lineRule="auto"/>
        <w:jc w:val="center"/>
        <w:rPr>
          <w:rFonts w:ascii="宋体" w:hAnsi="宋体" w:cs="宋体"/>
          <w:b/>
          <w:color w:val="auto"/>
          <w:kern w:val="0"/>
          <w:sz w:val="32"/>
          <w:szCs w:val="32"/>
          <w:lang w:val="zh-CN"/>
        </w:rPr>
      </w:pPr>
    </w:p>
    <w:p>
      <w:pPr>
        <w:autoSpaceDE w:val="0"/>
        <w:autoSpaceDN w:val="0"/>
        <w:spacing w:line="360" w:lineRule="auto"/>
        <w:jc w:val="center"/>
        <w:rPr>
          <w:rFonts w:ascii="宋体" w:hAnsi="宋体" w:cs="宋体"/>
          <w:b/>
          <w:color w:val="auto"/>
          <w:kern w:val="0"/>
          <w:sz w:val="32"/>
          <w:szCs w:val="32"/>
          <w:lang w:val="zh-CN"/>
        </w:rPr>
      </w:pPr>
    </w:p>
    <w:p>
      <w:pPr>
        <w:autoSpaceDE w:val="0"/>
        <w:autoSpaceDN w:val="0"/>
        <w:spacing w:line="360" w:lineRule="auto"/>
        <w:jc w:val="center"/>
        <w:rPr>
          <w:rFonts w:ascii="宋体" w:hAnsi="宋体" w:cs="宋体"/>
          <w:b/>
          <w:color w:val="auto"/>
          <w:sz w:val="24"/>
        </w:rPr>
      </w:pPr>
      <w:r>
        <w:rPr>
          <w:rFonts w:hint="eastAsia" w:ascii="宋体" w:hAnsi="宋体" w:cs="宋体"/>
          <w:b/>
          <w:color w:val="auto"/>
          <w:kern w:val="0"/>
          <w:sz w:val="32"/>
          <w:szCs w:val="32"/>
          <w:lang w:val="zh-CN"/>
        </w:rPr>
        <w:t>法定代表人、单位负责人或自然人本人</w:t>
      </w:r>
      <w:r>
        <w:rPr>
          <w:rFonts w:hint="eastAsia" w:ascii="宋体" w:hAnsi="宋体" w:cs="宋体"/>
          <w:b/>
          <w:color w:val="auto"/>
          <w:sz w:val="30"/>
          <w:szCs w:val="30"/>
        </w:rPr>
        <w:t>的身份证明（适用于法定代表人、单位负责人或者自然人本人代表投标人参加投标）</w:t>
      </w:r>
    </w:p>
    <w:p>
      <w:pPr>
        <w:pStyle w:val="146"/>
        <w:spacing w:line="360" w:lineRule="auto"/>
        <w:rPr>
          <w:rFonts w:hAnsi="宋体" w:cs="宋体"/>
          <w:bCs/>
          <w:color w:val="auto"/>
          <w:sz w:val="24"/>
        </w:rPr>
      </w:pPr>
      <w:r>
        <w:rPr>
          <w:rFonts w:hint="eastAsia" w:hAnsi="宋体" w:cs="宋体"/>
          <w:bCs/>
          <w:color w:val="auto"/>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color w:val="auto"/>
                <w:sz w:val="24"/>
              </w:rPr>
            </w:pPr>
            <w:r>
              <w:rPr>
                <w:rFonts w:hint="eastAsia" w:hAnsi="宋体" w:cs="宋体"/>
                <w:bCs/>
                <w:color w:val="auto"/>
                <w:sz w:val="24"/>
              </w:rPr>
              <w:t>正面：                                 反面：</w:t>
            </w:r>
          </w:p>
          <w:p>
            <w:pPr>
              <w:pStyle w:val="146"/>
              <w:adjustRightInd w:val="0"/>
              <w:spacing w:line="360" w:lineRule="auto"/>
              <w:rPr>
                <w:rFonts w:hAnsi="宋体" w:cs="宋体"/>
                <w:bCs/>
                <w:color w:val="auto"/>
                <w:sz w:val="24"/>
              </w:rPr>
            </w:pPr>
          </w:p>
        </w:tc>
      </w:tr>
    </w:tbl>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p>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zh-CN"/>
        </w:rPr>
        <w:t xml:space="preserve">                  投标人名称(电子签名)：                              </w:t>
      </w:r>
    </w:p>
    <w:p>
      <w:pPr>
        <w:spacing w:line="360" w:lineRule="auto"/>
        <w:jc w:val="center"/>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snapToGrid w:val="0"/>
        <w:spacing w:line="360" w:lineRule="auto"/>
        <w:ind w:right="480"/>
        <w:rPr>
          <w:rFonts w:ascii="宋体" w:hAnsi="宋体" w:cs="宋体"/>
          <w:b/>
          <w:color w:val="auto"/>
          <w:kern w:val="0"/>
          <w:sz w:val="32"/>
          <w:szCs w:val="32"/>
        </w:rPr>
        <w:sectPr>
          <w:headerReference r:id="rId15" w:type="first"/>
          <w:footerReference r:id="rId17" w:type="first"/>
          <w:headerReference r:id="rId14" w:type="default"/>
          <w:footerReference r:id="rId16"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rPr>
      </w:pPr>
      <w:r>
        <w:rPr>
          <w:rFonts w:hint="eastAsia" w:ascii="宋体" w:hAnsi="宋体" w:cs="宋体"/>
          <w:b/>
          <w:color w:val="auto"/>
          <w:kern w:val="0"/>
          <w:sz w:val="32"/>
          <w:szCs w:val="32"/>
        </w:rPr>
        <w:t>三、分包意向协议</w:t>
      </w:r>
      <w:r>
        <w:rPr>
          <w:rFonts w:hint="eastAsia" w:ascii="宋体" w:hAnsi="宋体" w:cs="宋体"/>
          <w:b/>
          <w:color w:val="auto"/>
          <w:kern w:val="0"/>
          <w:sz w:val="32"/>
          <w:szCs w:val="32"/>
        </w:rPr>
        <w:t>（如果有）</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中标后以分包方式履行合同的，提供分包意向协议(附件6</w:t>
      </w:r>
      <w:r>
        <w:rPr>
          <w:rFonts w:ascii="宋体" w:hAnsi="宋体" w:cs="宋体"/>
          <w:b/>
          <w:color w:val="auto"/>
          <w:sz w:val="24"/>
        </w:rPr>
        <w:t>)</w:t>
      </w:r>
      <w:r>
        <w:rPr>
          <w:rFonts w:hint="eastAsia" w:ascii="宋体" w:hAnsi="宋体" w:cs="宋体"/>
          <w:b/>
          <w:color w:val="auto"/>
          <w:sz w:val="24"/>
        </w:rPr>
        <w:t>；采购人不同意分包或者投标人中标后不以分包方式履行合同的，则不需要提供。</w:t>
      </w:r>
      <w:r>
        <w:rPr>
          <w:rFonts w:hint="eastAsia" w:ascii="宋体" w:hAnsi="宋体" w:cs="宋体"/>
          <w:color w:val="auto"/>
          <w:sz w:val="24"/>
        </w:rPr>
        <w:t>]</w:t>
      </w:r>
    </w:p>
    <w:p>
      <w:pPr>
        <w:snapToGrid w:val="0"/>
        <w:spacing w:line="360" w:lineRule="auto"/>
        <w:rPr>
          <w:rFonts w:ascii="宋体" w:hAnsi="宋体" w:cs="宋体"/>
          <w:color w:val="auto"/>
          <w:kern w:val="0"/>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rPr>
        <w:t>四、符合性审查资料</w:t>
      </w:r>
    </w:p>
    <w:p>
      <w:pPr>
        <w:jc w:val="center"/>
        <w:rPr>
          <w:rFonts w:ascii="宋体" w:hAnsi="宋体" w:cs="宋体"/>
          <w:b/>
          <w:color w:val="auto"/>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序号</w:t>
            </w:r>
          </w:p>
        </w:tc>
        <w:tc>
          <w:tcPr>
            <w:tcW w:w="499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实质性要求</w:t>
            </w:r>
          </w:p>
        </w:tc>
        <w:tc>
          <w:tcPr>
            <w:tcW w:w="255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需要提供的符合性审查资料</w:t>
            </w:r>
          </w:p>
        </w:tc>
        <w:tc>
          <w:tcPr>
            <w:tcW w:w="1418"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投标文件中的</w:t>
            </w:r>
          </w:p>
          <w:p>
            <w:pPr>
              <w:snapToGrid w:val="0"/>
              <w:spacing w:line="240" w:lineRule="atLeast"/>
              <w:jc w:val="center"/>
              <w:rPr>
                <w:rFonts w:ascii="宋体" w:hAnsi="宋体" w:cs="宋体"/>
                <w:b/>
                <w:color w:val="auto"/>
                <w:sz w:val="24"/>
              </w:rPr>
            </w:pPr>
            <w:r>
              <w:rPr>
                <w:rFonts w:hint="eastAsia" w:ascii="宋体" w:hAnsi="宋体" w:cs="宋体"/>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1</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投标文件按照招标文件要求签署、盖章。</w:t>
            </w:r>
          </w:p>
        </w:tc>
        <w:tc>
          <w:tcPr>
            <w:tcW w:w="2551" w:type="dxa"/>
            <w:vAlign w:val="center"/>
          </w:tcPr>
          <w:p>
            <w:pPr>
              <w:rPr>
                <w:rFonts w:ascii="宋体" w:hAnsi="宋体" w:cs="宋体"/>
                <w:color w:val="auto"/>
                <w:sz w:val="24"/>
              </w:rPr>
            </w:pPr>
            <w:r>
              <w:rPr>
                <w:rFonts w:hint="eastAsia" w:ascii="宋体" w:hAnsi="宋体" w:cs="宋体"/>
                <w:color w:val="auto"/>
                <w:sz w:val="24"/>
              </w:rPr>
              <w:t>需要使用电子签名或者签字盖章的投标文件的组成部分</w:t>
            </w:r>
          </w:p>
        </w:tc>
        <w:tc>
          <w:tcPr>
            <w:tcW w:w="1418" w:type="dxa"/>
          </w:tcPr>
          <w:p>
            <w:pPr>
              <w:rPr>
                <w:rFonts w:ascii="宋体" w:hAnsi="宋体" w:cs="宋体"/>
                <w:color w:val="auto"/>
                <w:sz w:val="24"/>
              </w:rPr>
            </w:pPr>
          </w:p>
          <w:p>
            <w:pPr>
              <w:rPr>
                <w:rFonts w:ascii="宋体" w:hAnsi="宋体" w:cs="宋体"/>
                <w:color w:val="auto"/>
                <w:sz w:val="24"/>
              </w:rPr>
            </w:pPr>
            <w:r>
              <w:rPr>
                <w:rFonts w:hint="eastAsia" w:ascii="宋体" w:hAnsi="宋体" w:cs="宋体"/>
                <w:color w:val="auto"/>
                <w:sz w:val="24"/>
              </w:rPr>
              <w:t>见投标文件</w:t>
            </w:r>
          </w:p>
          <w:p>
            <w:pPr>
              <w:rPr>
                <w:rFonts w:ascii="宋体" w:hAnsi="宋体" w:cs="宋体"/>
                <w:color w:val="auto"/>
              </w:rPr>
            </w:pPr>
            <w:r>
              <w:rPr>
                <w:rFonts w:hint="eastAsia" w:ascii="宋体" w:hAnsi="宋体" w:cs="宋体"/>
                <w:color w:val="auto"/>
                <w:sz w:val="24"/>
              </w:rPr>
              <w:t>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2</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投标文件中承诺的投标有效期不少于招标文件中载明的投标有效期。</w:t>
            </w:r>
          </w:p>
        </w:tc>
        <w:tc>
          <w:tcPr>
            <w:tcW w:w="2551" w:type="dxa"/>
            <w:vAlign w:val="center"/>
          </w:tcPr>
          <w:p>
            <w:pPr>
              <w:rPr>
                <w:rFonts w:ascii="宋体" w:hAnsi="宋体" w:cs="宋体"/>
                <w:color w:val="auto"/>
                <w:sz w:val="24"/>
              </w:rPr>
            </w:pPr>
            <w:r>
              <w:rPr>
                <w:rFonts w:hint="eastAsia" w:ascii="宋体" w:hAnsi="宋体" w:cs="宋体"/>
                <w:color w:val="auto"/>
                <w:sz w:val="24"/>
              </w:rPr>
              <w:t>投标函</w:t>
            </w:r>
          </w:p>
        </w:tc>
        <w:tc>
          <w:tcPr>
            <w:tcW w:w="1418" w:type="dxa"/>
          </w:tcPr>
          <w:p>
            <w:pPr>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3</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投标文件满足招标文件的其它实质性要求。</w:t>
            </w:r>
          </w:p>
        </w:tc>
        <w:tc>
          <w:tcPr>
            <w:tcW w:w="2551" w:type="dxa"/>
            <w:vAlign w:val="center"/>
          </w:tcPr>
          <w:p>
            <w:pPr>
              <w:rPr>
                <w:rFonts w:ascii="宋体" w:hAnsi="宋体" w:cs="宋体"/>
                <w:color w:val="auto"/>
                <w:sz w:val="24"/>
              </w:rPr>
            </w:pPr>
            <w:r>
              <w:rPr>
                <w:rFonts w:hint="eastAsia" w:ascii="宋体" w:hAnsi="宋体" w:cs="宋体"/>
                <w:color w:val="auto"/>
                <w:kern w:val="0"/>
                <w:sz w:val="24"/>
              </w:rPr>
              <w:t>招标文件其它实质性要求相应的材料（“▲” 系指实质性要求条款，招标文件无其它实质性要求的，无需提供）</w:t>
            </w:r>
          </w:p>
        </w:tc>
        <w:tc>
          <w:tcPr>
            <w:tcW w:w="1418" w:type="dxa"/>
          </w:tcPr>
          <w:p>
            <w:pPr>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 xml:space="preserve">            </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color w:val="auto"/>
        </w:rPr>
      </w:pPr>
      <w:r>
        <w:rPr>
          <w:rFonts w:hint="eastAsia" w:ascii="宋体" w:hAnsi="宋体" w:cs="宋体"/>
          <w:b/>
          <w:color w:val="auto"/>
          <w:kern w:val="0"/>
          <w:sz w:val="32"/>
          <w:szCs w:val="32"/>
        </w:rPr>
        <w:t>五、评标标准相应的商务技术资料</w:t>
      </w:r>
    </w:p>
    <w:p>
      <w:pPr>
        <w:snapToGrid w:val="0"/>
        <w:spacing w:line="360" w:lineRule="auto"/>
        <w:jc w:val="left"/>
        <w:rPr>
          <w:rFonts w:ascii="宋体" w:hAnsi="宋体" w:cs="宋体"/>
          <w:b/>
          <w:color w:val="auto"/>
          <w:sz w:val="24"/>
        </w:rPr>
      </w:pPr>
      <w:r>
        <w:rPr>
          <w:rFonts w:hint="eastAsia" w:ascii="宋体" w:hAnsi="宋体" w:cs="宋体"/>
          <w:b/>
          <w:color w:val="auto"/>
          <w:sz w:val="24"/>
        </w:rPr>
        <w:t>（按招标文件第四部分评标办法前附表中“投标文件中评标标准相应的商务技术资料目录”提供资料。）</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ind w:firstLine="2891" w:firstLineChars="900"/>
        <w:rPr>
          <w:rFonts w:ascii="宋体" w:hAnsi="宋体" w:cs="宋体"/>
          <w:b/>
          <w:color w:val="auto"/>
          <w:kern w:val="0"/>
          <w:sz w:val="32"/>
          <w:szCs w:val="32"/>
        </w:rPr>
      </w:pPr>
      <w:r>
        <w:rPr>
          <w:rFonts w:hint="eastAsia" w:ascii="宋体" w:hAnsi="宋体" w:cs="宋体"/>
          <w:b/>
          <w:color w:val="auto"/>
          <w:kern w:val="0"/>
          <w:sz w:val="32"/>
          <w:szCs w:val="32"/>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备注（如果有）</w:t>
            </w:r>
          </w:p>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rPr>
            </w:pPr>
            <w:r>
              <w:rPr>
                <w:rFonts w:hint="eastAsia" w:ascii="宋体" w:hAnsi="宋体" w:cs="宋体"/>
                <w:b/>
                <w:bCs/>
                <w:color w:val="auto"/>
                <w:sz w:val="24"/>
              </w:rPr>
              <w:t>序号</w:t>
            </w:r>
          </w:p>
        </w:tc>
        <w:tc>
          <w:tcPr>
            <w:tcW w:w="3683" w:type="dxa"/>
          </w:tcPr>
          <w:p>
            <w:pPr>
              <w:jc w:val="center"/>
              <w:rPr>
                <w:rFonts w:ascii="宋体" w:hAnsi="宋体" w:cs="宋体"/>
                <w:b/>
                <w:bCs/>
                <w:color w:val="auto"/>
                <w:sz w:val="24"/>
              </w:rPr>
            </w:pPr>
            <w:r>
              <w:rPr>
                <w:rFonts w:hint="eastAsia" w:ascii="宋体" w:hAnsi="宋体" w:cs="宋体"/>
                <w:b/>
                <w:bCs/>
                <w:color w:val="auto"/>
                <w:sz w:val="24"/>
              </w:rPr>
              <w:t>招标文件章节及具体内容</w:t>
            </w:r>
          </w:p>
        </w:tc>
        <w:tc>
          <w:tcPr>
            <w:tcW w:w="3546" w:type="dxa"/>
          </w:tcPr>
          <w:p>
            <w:pPr>
              <w:jc w:val="center"/>
              <w:rPr>
                <w:rFonts w:ascii="宋体" w:hAnsi="宋体" w:cs="宋体"/>
                <w:b/>
                <w:bCs/>
                <w:color w:val="auto"/>
                <w:sz w:val="24"/>
              </w:rPr>
            </w:pPr>
            <w:r>
              <w:rPr>
                <w:rFonts w:hint="eastAsia" w:ascii="宋体" w:hAnsi="宋体" w:cs="宋体"/>
                <w:b/>
                <w:bCs/>
                <w:color w:val="auto"/>
                <w:sz w:val="24"/>
              </w:rPr>
              <w:t>投标文件章节及具体内容</w:t>
            </w:r>
          </w:p>
        </w:tc>
        <w:tc>
          <w:tcPr>
            <w:tcW w:w="1276" w:type="dxa"/>
          </w:tcPr>
          <w:p>
            <w:pPr>
              <w:jc w:val="center"/>
              <w:rPr>
                <w:rFonts w:ascii="宋体" w:hAnsi="宋体" w:cs="宋体"/>
                <w:b/>
                <w:bCs/>
                <w:color w:val="auto"/>
                <w:sz w:val="24"/>
              </w:rPr>
            </w:pPr>
            <w:r>
              <w:rPr>
                <w:rFonts w:hint="eastAsia" w:ascii="宋体" w:hAnsi="宋体" w:cs="宋体"/>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1</w:t>
            </w:r>
          </w:p>
        </w:tc>
        <w:tc>
          <w:tcPr>
            <w:tcW w:w="3683" w:type="dxa"/>
          </w:tcPr>
          <w:p>
            <w:pPr>
              <w:jc w:val="center"/>
              <w:rPr>
                <w:rFonts w:ascii="宋体" w:hAnsi="宋体" w:cs="宋体"/>
                <w:b/>
                <w:color w:val="auto"/>
                <w:kern w:val="0"/>
                <w:sz w:val="32"/>
                <w:szCs w:val="32"/>
              </w:rPr>
            </w:pPr>
          </w:p>
        </w:tc>
        <w:tc>
          <w:tcPr>
            <w:tcW w:w="3546" w:type="dxa"/>
          </w:tcPr>
          <w:p>
            <w:pPr>
              <w:jc w:val="center"/>
              <w:rPr>
                <w:rFonts w:ascii="宋体" w:hAnsi="宋体" w:cs="宋体"/>
                <w:b/>
                <w:color w:val="auto"/>
                <w:kern w:val="0"/>
                <w:sz w:val="32"/>
                <w:szCs w:val="32"/>
              </w:rPr>
            </w:pPr>
          </w:p>
        </w:tc>
        <w:tc>
          <w:tcPr>
            <w:tcW w:w="1276" w:type="dxa"/>
          </w:tcPr>
          <w:p>
            <w:pPr>
              <w:jc w:val="center"/>
              <w:rPr>
                <w:rFonts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2</w:t>
            </w:r>
          </w:p>
        </w:tc>
        <w:tc>
          <w:tcPr>
            <w:tcW w:w="3683" w:type="dxa"/>
          </w:tcPr>
          <w:p>
            <w:pPr>
              <w:jc w:val="center"/>
              <w:rPr>
                <w:rFonts w:ascii="宋体" w:hAnsi="宋体" w:cs="宋体"/>
                <w:b/>
                <w:color w:val="auto"/>
                <w:kern w:val="0"/>
                <w:sz w:val="32"/>
                <w:szCs w:val="32"/>
              </w:rPr>
            </w:pPr>
          </w:p>
        </w:tc>
        <w:tc>
          <w:tcPr>
            <w:tcW w:w="3546" w:type="dxa"/>
          </w:tcPr>
          <w:p>
            <w:pPr>
              <w:jc w:val="center"/>
              <w:rPr>
                <w:rFonts w:ascii="宋体" w:hAnsi="宋体" w:cs="宋体"/>
                <w:b/>
                <w:color w:val="auto"/>
                <w:kern w:val="0"/>
                <w:sz w:val="32"/>
                <w:szCs w:val="32"/>
              </w:rPr>
            </w:pPr>
          </w:p>
        </w:tc>
        <w:tc>
          <w:tcPr>
            <w:tcW w:w="1276" w:type="dxa"/>
          </w:tcPr>
          <w:p>
            <w:pPr>
              <w:jc w:val="center"/>
              <w:rPr>
                <w:rFonts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w:t>
            </w:r>
          </w:p>
        </w:tc>
        <w:tc>
          <w:tcPr>
            <w:tcW w:w="3683" w:type="dxa"/>
          </w:tcPr>
          <w:p>
            <w:pPr>
              <w:jc w:val="center"/>
              <w:rPr>
                <w:rFonts w:ascii="宋体" w:hAnsi="宋体" w:cs="宋体"/>
                <w:b/>
                <w:color w:val="auto"/>
                <w:kern w:val="0"/>
                <w:sz w:val="32"/>
                <w:szCs w:val="32"/>
              </w:rPr>
            </w:pPr>
          </w:p>
        </w:tc>
        <w:tc>
          <w:tcPr>
            <w:tcW w:w="3546" w:type="dxa"/>
          </w:tcPr>
          <w:p>
            <w:pPr>
              <w:jc w:val="center"/>
              <w:rPr>
                <w:rFonts w:ascii="宋体" w:hAnsi="宋体" w:cs="宋体"/>
                <w:b/>
                <w:color w:val="auto"/>
                <w:kern w:val="0"/>
                <w:sz w:val="32"/>
                <w:szCs w:val="32"/>
              </w:rPr>
            </w:pPr>
          </w:p>
        </w:tc>
        <w:tc>
          <w:tcPr>
            <w:tcW w:w="1276" w:type="dxa"/>
          </w:tcPr>
          <w:p>
            <w:pPr>
              <w:jc w:val="center"/>
              <w:rPr>
                <w:rFonts w:ascii="宋体" w:hAnsi="宋体" w:cs="宋体"/>
                <w:b/>
                <w:color w:val="auto"/>
                <w:kern w:val="0"/>
                <w:sz w:val="32"/>
                <w:szCs w:val="32"/>
              </w:rPr>
            </w:pPr>
          </w:p>
        </w:tc>
      </w:tr>
    </w:tbl>
    <w:p>
      <w:pPr>
        <w:jc w:val="left"/>
        <w:rPr>
          <w:rFonts w:ascii="宋体" w:hAnsi="宋体" w:cs="宋体"/>
          <w:color w:val="auto"/>
          <w:kern w:val="0"/>
          <w:sz w:val="24"/>
        </w:rPr>
      </w:pPr>
      <w:r>
        <w:rPr>
          <w:rFonts w:hint="eastAsia" w:ascii="宋体" w:hAnsi="宋体" w:cs="宋体"/>
          <w:color w:val="auto"/>
          <w:kern w:val="0"/>
          <w:sz w:val="24"/>
        </w:rPr>
        <w:t>投标人保证：除商务技术偏离表列出的偏离外，投标人响应招标文件的全部要求</w:t>
      </w:r>
    </w:p>
    <w:p>
      <w:pPr>
        <w:jc w:val="center"/>
        <w:rPr>
          <w:rFonts w:ascii="宋体" w:hAnsi="宋体" w:cs="宋体"/>
          <w:b/>
          <w:color w:val="auto"/>
          <w:kern w:val="0"/>
          <w:sz w:val="32"/>
          <w:szCs w:val="32"/>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widowControl/>
        <w:adjustRightInd/>
        <w:jc w:val="left"/>
        <w:rPr>
          <w:rFonts w:ascii="宋体" w:hAnsi="宋体" w:cs="宋体"/>
          <w:b/>
          <w:bCs/>
          <w:color w:val="auto"/>
          <w:sz w:val="32"/>
          <w:szCs w:val="32"/>
        </w:rPr>
      </w:pPr>
      <w:r>
        <w:rPr>
          <w:rFonts w:ascii="宋体" w:hAnsi="宋体" w:cs="宋体"/>
          <w:b/>
          <w:bCs/>
          <w:color w:val="auto"/>
          <w:sz w:val="32"/>
          <w:szCs w:val="32"/>
        </w:rPr>
        <w:br w:type="page"/>
      </w:r>
    </w:p>
    <w:p>
      <w:pPr>
        <w:ind w:firstLine="1911" w:firstLineChars="595"/>
        <w:rPr>
          <w:rFonts w:ascii="宋体" w:hAnsi="宋体" w:cs="宋体"/>
          <w:b/>
          <w:color w:val="auto"/>
          <w:kern w:val="0"/>
          <w:sz w:val="32"/>
          <w:szCs w:val="32"/>
        </w:rPr>
      </w:pPr>
      <w:r>
        <w:rPr>
          <w:rFonts w:hint="eastAsia" w:ascii="宋体" w:hAnsi="宋体" w:cs="宋体"/>
          <w:b/>
          <w:bCs/>
          <w:color w:val="auto"/>
          <w:sz w:val="32"/>
          <w:szCs w:val="32"/>
        </w:rPr>
        <w:t>八</w:t>
      </w:r>
      <w:r>
        <w:rPr>
          <w:rFonts w:hint="eastAsia" w:ascii="宋体" w:hAnsi="宋体" w:cs="宋体"/>
          <w:b/>
          <w:color w:val="auto"/>
          <w:kern w:val="0"/>
          <w:sz w:val="32"/>
          <w:szCs w:val="32"/>
        </w:rPr>
        <w:t>、</w:t>
      </w:r>
      <w:r>
        <w:rPr>
          <w:rFonts w:hint="eastAsia" w:ascii="宋体" w:hAnsi="宋体" w:cs="宋体"/>
          <w:b/>
          <w:color w:val="auto"/>
          <w:kern w:val="0"/>
          <w:sz w:val="32"/>
          <w:szCs w:val="32"/>
          <w:lang w:val="zh-CN"/>
        </w:rPr>
        <w:t>政府采购供应商廉洁自律承诺书</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kern w:val="0"/>
          <w:sz w:val="24"/>
        </w:rPr>
      </w:pPr>
      <w:r>
        <w:rPr>
          <w:rFonts w:hint="eastAsia" w:ascii="宋体" w:hAnsi="宋体" w:cs="宋体"/>
          <w:color w:val="auto"/>
          <w:sz w:val="24"/>
        </w:rPr>
        <w:t>（采购人）</w:t>
      </w:r>
      <w:r>
        <w:rPr>
          <w:rFonts w:hint="eastAsia" w:ascii="宋体" w:hAnsi="宋体" w:cs="宋体"/>
          <w:color w:val="auto"/>
          <w:sz w:val="24"/>
        </w:rPr>
        <w:t>、（采购代理机构）</w:t>
      </w:r>
      <w:r>
        <w:rPr>
          <w:rFonts w:hint="eastAsia" w:ascii="宋体" w:hAnsi="宋体" w:cs="宋体"/>
          <w:color w:val="auto"/>
          <w:kern w:val="0"/>
          <w:sz w:val="24"/>
          <w:lang w:val="zh-CN"/>
        </w:rPr>
        <w:t>：</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我单位响应你</w:t>
      </w:r>
      <w:r>
        <w:rPr>
          <w:rFonts w:hint="eastAsia" w:ascii="宋体" w:hAnsi="宋体" w:cs="宋体"/>
          <w:color w:val="auto"/>
          <w:sz w:val="24"/>
        </w:rPr>
        <w:t>单位</w:t>
      </w:r>
      <w:r>
        <w:rPr>
          <w:rFonts w:hint="eastAsia" w:ascii="宋体" w:hAnsi="宋体" w:cs="宋体"/>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好处；</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六、严格遵守《</w:t>
      </w:r>
      <w:r>
        <w:rPr>
          <w:rFonts w:hint="eastAsia" w:ascii="宋体" w:hAnsi="宋体" w:cs="宋体"/>
          <w:color w:val="auto"/>
          <w:sz w:val="24"/>
          <w:lang w:val="zh-CN"/>
        </w:rPr>
        <w:t>中华人民共和国</w:t>
      </w:r>
      <w:r>
        <w:rPr>
          <w:rFonts w:hint="eastAsia" w:ascii="宋体" w:hAnsi="宋体" w:cs="宋体"/>
          <w:color w:val="auto"/>
          <w:kern w:val="0"/>
          <w:sz w:val="24"/>
          <w:lang w:val="zh-CN"/>
        </w:rPr>
        <w:t>政府采购法》《</w:t>
      </w:r>
      <w:r>
        <w:rPr>
          <w:rFonts w:hint="eastAsia" w:ascii="宋体" w:hAnsi="宋体" w:cs="宋体"/>
          <w:color w:val="auto"/>
          <w:sz w:val="24"/>
          <w:lang w:val="zh-CN"/>
        </w:rPr>
        <w:t>中华人民共和国</w:t>
      </w:r>
      <w:r>
        <w:rPr>
          <w:rFonts w:hint="eastAsia" w:ascii="宋体" w:hAnsi="宋体" w:cs="宋体"/>
          <w:color w:val="auto"/>
          <w:kern w:val="0"/>
          <w:sz w:val="24"/>
          <w:lang w:val="zh-CN"/>
        </w:rPr>
        <w:t>招标投标</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法》</w:t>
      </w:r>
      <w:r>
        <w:rPr>
          <w:rFonts w:hint="eastAsia" w:ascii="宋体" w:hAnsi="宋体" w:cs="宋体"/>
          <w:color w:val="auto"/>
          <w:sz w:val="24"/>
          <w:lang w:val="zh-CN"/>
        </w:rPr>
        <w:t>《中华人民共和国民法典》</w:t>
      </w:r>
      <w:r>
        <w:rPr>
          <w:rFonts w:hint="eastAsia" w:ascii="宋体" w:hAnsi="宋体" w:cs="宋体"/>
          <w:color w:val="auto"/>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如违反上述承诺，你</w:t>
      </w:r>
      <w:r>
        <w:rPr>
          <w:rFonts w:hint="eastAsia" w:ascii="宋体" w:hAnsi="宋体" w:cs="宋体"/>
          <w:color w:val="auto"/>
          <w:sz w:val="24"/>
        </w:rPr>
        <w:t>单位</w:t>
      </w:r>
      <w:r>
        <w:rPr>
          <w:rFonts w:hint="eastAsia" w:ascii="宋体" w:hAnsi="宋体" w:cs="宋体"/>
          <w:color w:val="auto"/>
          <w:kern w:val="0"/>
          <w:sz w:val="24"/>
          <w:lang w:val="zh-CN"/>
        </w:rPr>
        <w:t>有权立即取消我单位投标、中标或在建项目的建设资格，有权拒绝我单位在一定时期内进入你</w:t>
      </w:r>
      <w:r>
        <w:rPr>
          <w:rFonts w:hint="eastAsia" w:ascii="宋体" w:hAnsi="宋体" w:cs="宋体"/>
          <w:color w:val="auto"/>
          <w:sz w:val="24"/>
        </w:rPr>
        <w:t>单位</w:t>
      </w:r>
      <w:r>
        <w:rPr>
          <w:rFonts w:hint="eastAsia" w:ascii="宋体" w:hAnsi="宋体" w:cs="宋体"/>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leftChars="1" w:right="1120" w:firstLine="4560" w:firstLineChars="1900"/>
        <w:jc w:val="left"/>
        <w:rPr>
          <w:rFonts w:ascii="宋体" w:hAnsi="宋体" w:cs="宋体"/>
          <w:color w:val="auto"/>
          <w:kern w:val="0"/>
          <w:sz w:val="24"/>
          <w:lang w:val="zh-CN"/>
        </w:rPr>
      </w:pPr>
      <w:r>
        <w:rPr>
          <w:rFonts w:hint="eastAsia" w:ascii="宋体" w:hAnsi="宋体" w:cs="宋体"/>
          <w:color w:val="auto"/>
          <w:kern w:val="0"/>
          <w:sz w:val="24"/>
          <w:lang w:val="zh-CN"/>
        </w:rPr>
        <w:t>投标人名称（</w:t>
      </w:r>
      <w:r>
        <w:rPr>
          <w:rFonts w:hint="eastAsia" w:ascii="宋体" w:hAnsi="宋体" w:cs="宋体"/>
          <w:color w:val="auto"/>
          <w:sz w:val="24"/>
        </w:rPr>
        <w:t>电子签名</w:t>
      </w:r>
      <w:r>
        <w:rPr>
          <w:rFonts w:hint="eastAsia" w:ascii="宋体" w:hAnsi="宋体" w:cs="宋体"/>
          <w:color w:val="auto"/>
          <w:kern w:val="0"/>
          <w:sz w:val="24"/>
          <w:lang w:val="zh-CN"/>
        </w:rPr>
        <w:t xml:space="preserve">）：                                                                                                                                                                                                               </w:t>
      </w:r>
    </w:p>
    <w:p>
      <w:pPr>
        <w:spacing w:line="360" w:lineRule="auto"/>
        <w:ind w:left="4620" w:leftChars="2200"/>
        <w:rPr>
          <w:rFonts w:ascii="宋体" w:hAnsi="宋体" w:cs="宋体"/>
          <w:color w:val="auto"/>
          <w:sz w:val="24"/>
        </w:rPr>
      </w:pPr>
      <w:r>
        <w:rPr>
          <w:rFonts w:hint="eastAsia" w:ascii="宋体" w:hAnsi="宋体" w:cs="宋体"/>
          <w:color w:val="auto"/>
          <w:kern w:val="0"/>
          <w:sz w:val="24"/>
          <w:lang w:val="zh-CN"/>
        </w:rPr>
        <w:t>日期</w:t>
      </w:r>
      <w:r>
        <w:rPr>
          <w:rFonts w:hint="eastAsia" w:ascii="宋体" w:hAnsi="宋体" w:cs="宋体"/>
          <w:color w:val="auto"/>
          <w:kern w:val="0"/>
          <w:sz w:val="24"/>
        </w:rPr>
        <w:t>：</w:t>
      </w:r>
      <w:r>
        <w:rPr>
          <w:rFonts w:hint="eastAsia" w:ascii="宋体" w:hAnsi="宋体" w:cs="宋体"/>
          <w:color w:val="auto"/>
          <w:kern w:val="0"/>
          <w:sz w:val="24"/>
          <w:lang w:val="zh-CN"/>
        </w:rPr>
        <w:t xml:space="preserve">   年   月   日</w:t>
      </w:r>
    </w:p>
    <w:p>
      <w:pPr>
        <w:spacing w:line="360" w:lineRule="auto"/>
        <w:jc w:val="center"/>
        <w:rPr>
          <w:rFonts w:ascii="宋体" w:hAnsi="宋体" w:cs="宋体"/>
          <w:b/>
          <w:bCs/>
          <w:color w:val="auto"/>
          <w:sz w:val="24"/>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pacing w:line="360" w:lineRule="auto"/>
        <w:jc w:val="center"/>
        <w:rPr>
          <w:rFonts w:ascii="宋体" w:hAnsi="宋体" w:cs="宋体"/>
          <w:b/>
          <w:bCs/>
          <w:color w:val="auto"/>
          <w:sz w:val="24"/>
        </w:rPr>
        <w:sectPr>
          <w:headerReference r:id="rId19" w:type="first"/>
          <w:footerReference r:id="rId21" w:type="first"/>
          <w:headerReference r:id="rId18" w:type="default"/>
          <w:footerReference r:id="rId20"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报价文件部分</w:t>
      </w: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目录</w:t>
      </w:r>
    </w:p>
    <w:p>
      <w:pPr>
        <w:spacing w:line="360" w:lineRule="auto"/>
        <w:jc w:val="center"/>
        <w:outlineLvl w:val="0"/>
        <w:rPr>
          <w:rFonts w:ascii="宋体" w:hAnsi="宋体" w:cs="宋体"/>
          <w:b/>
          <w:color w:val="auto"/>
          <w:kern w:val="0"/>
          <w:sz w:val="36"/>
          <w:szCs w:val="36"/>
        </w:rPr>
      </w:pPr>
    </w:p>
    <w:p>
      <w:pPr>
        <w:numPr>
          <w:ilvl w:val="0"/>
          <w:numId w:val="6"/>
        </w:numPr>
        <w:snapToGrid w:val="0"/>
        <w:spacing w:line="360" w:lineRule="auto"/>
        <w:rPr>
          <w:rFonts w:hint="eastAsia" w:ascii="宋体" w:hAnsi="宋体" w:cs="宋体"/>
          <w:color w:val="auto"/>
          <w:sz w:val="24"/>
        </w:rPr>
      </w:pPr>
      <w:r>
        <w:rPr>
          <w:rFonts w:hint="eastAsia" w:ascii="宋体" w:hAnsi="宋体" w:cs="宋体"/>
          <w:color w:val="auto"/>
          <w:sz w:val="24"/>
        </w:rPr>
        <w:t>开标一览表（报价表）………………………………………………………（页码）</w:t>
      </w:r>
    </w:p>
    <w:p>
      <w:pPr>
        <w:numPr>
          <w:ilvl w:val="0"/>
          <w:numId w:val="6"/>
        </w:numPr>
        <w:snapToGrid w:val="0"/>
        <w:spacing w:line="360" w:lineRule="auto"/>
        <w:rPr>
          <w:rFonts w:hint="eastAsia" w:ascii="宋体" w:hAnsi="宋体" w:cs="宋体"/>
          <w:color w:val="auto"/>
          <w:sz w:val="24"/>
          <w:lang w:val="en-US" w:eastAsia="zh-CN"/>
        </w:rPr>
      </w:pPr>
      <w:r>
        <w:rPr>
          <w:rFonts w:hint="eastAsia" w:ascii="宋体" w:hAnsi="宋体" w:cs="宋体"/>
          <w:color w:val="auto"/>
          <w:sz w:val="24"/>
          <w:lang w:val="en-US" w:eastAsia="zh-CN"/>
        </w:rPr>
        <w:t>报价明细清单-分项报价表</w:t>
      </w:r>
      <w:r>
        <w:rPr>
          <w:rFonts w:hint="eastAsia" w:ascii="宋体" w:hAnsi="宋体" w:cs="宋体"/>
          <w:color w:val="auto"/>
          <w:sz w:val="24"/>
        </w:rPr>
        <w:t>……………………………………………………（页码）</w:t>
      </w:r>
    </w:p>
    <w:p>
      <w:pPr>
        <w:numPr>
          <w:ilvl w:val="0"/>
          <w:numId w:val="6"/>
        </w:numPr>
        <w:snapToGrid w:val="0"/>
        <w:spacing w:line="360" w:lineRule="auto"/>
        <w:rPr>
          <w:rFonts w:hint="eastAsia" w:ascii="宋体" w:hAnsi="宋体" w:cs="宋体"/>
          <w:color w:val="auto"/>
          <w:sz w:val="24"/>
        </w:rPr>
      </w:pPr>
      <w:r>
        <w:rPr>
          <w:rFonts w:hint="eastAsia" w:ascii="宋体" w:hAnsi="宋体" w:cs="宋体"/>
          <w:color w:val="auto"/>
          <w:sz w:val="24"/>
        </w:rPr>
        <w:t>中小企业声明函…………………………………………………………………（页码）</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sectPr>
          <w:headerReference r:id="rId23" w:type="first"/>
          <w:footerReference r:id="rId25" w:type="first"/>
          <w:headerReference r:id="rId22" w:type="default"/>
          <w:footerReference r:id="rId24" w:type="default"/>
          <w:pgSz w:w="11906" w:h="16838"/>
          <w:pgMar w:top="1276" w:right="1418" w:bottom="1247" w:left="1418" w:header="851" w:footer="992" w:gutter="0"/>
          <w:cols w:space="720" w:num="1"/>
          <w:titlePg/>
          <w:docGrid w:linePitch="312" w:charSpace="0"/>
        </w:sectPr>
      </w:pPr>
    </w:p>
    <w:p>
      <w:pPr>
        <w:pStyle w:val="4"/>
        <w:ind w:left="0" w:leftChars="0" w:firstLine="0" w:firstLineChars="0"/>
        <w:jc w:val="center"/>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28"/>
          <w:szCs w:val="28"/>
          <w:highlight w:val="none"/>
        </w:rPr>
        <w:t>开标一览表（报价表）</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2"/>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color w:val="auto"/>
          <w:sz w:val="24"/>
          <w:highlight w:val="none"/>
        </w:rPr>
        <w:t>（项目名称）</w:t>
      </w:r>
      <w:r>
        <w:rPr>
          <w:rFonts w:hint="eastAsia" w:ascii="宋体" w:hAnsi="宋体" w:eastAsia="宋体" w:cs="宋体"/>
          <w:color w:val="auto"/>
          <w:kern w:val="0"/>
          <w:sz w:val="24"/>
          <w:highlight w:val="none"/>
          <w:lang w:val="zh-CN"/>
        </w:rPr>
        <w:t>【招标编号：</w:t>
      </w:r>
      <w:r>
        <w:rPr>
          <w:rFonts w:hint="eastAsia" w:ascii="宋体" w:hAnsi="宋体" w:cs="宋体"/>
          <w:color w:val="auto"/>
          <w:sz w:val="24"/>
          <w:highlight w:val="none"/>
          <w:lang w:eastAsia="zh-CN"/>
        </w:rPr>
        <w:t>（ZJZFCG-YS2023-002）</w:t>
      </w:r>
      <w:r>
        <w:rPr>
          <w:rFonts w:hint="eastAsia" w:ascii="宋体" w:hAnsi="宋体" w:eastAsia="宋体" w:cs="宋体"/>
          <w:color w:val="auto"/>
          <w:sz w:val="24"/>
          <w:highlight w:val="none"/>
        </w:rPr>
        <w:t>】的实施</w:t>
      </w:r>
      <w:r>
        <w:rPr>
          <w:rFonts w:hint="eastAsia" w:ascii="宋体" w:hAnsi="宋体" w:eastAsia="宋体" w:cs="宋体"/>
          <w:color w:val="auto"/>
          <w:kern w:val="0"/>
          <w:sz w:val="24"/>
          <w:highlight w:val="none"/>
          <w:lang w:val="zh-CN"/>
        </w:rPr>
        <w:t>。</w:t>
      </w:r>
    </w:p>
    <w:p>
      <w:pPr>
        <w:shd w:val="clear" w:color="auto" w:fill="FFFFFF"/>
        <w:snapToGrid w:val="0"/>
        <w:spacing w:line="600" w:lineRule="exact"/>
        <w:ind w:firstLine="482" w:firstLineChars="200"/>
        <w:jc w:val="center"/>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开标一览表（报价表）(单位均为人民币元）</w:t>
      </w:r>
    </w:p>
    <w:tbl>
      <w:tblPr>
        <w:tblStyle w:val="62"/>
        <w:tblW w:w="91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7"/>
        <w:gridCol w:w="1099"/>
        <w:gridCol w:w="1724"/>
        <w:gridCol w:w="1136"/>
        <w:gridCol w:w="1074"/>
        <w:gridCol w:w="1121"/>
        <w:gridCol w:w="2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序号</w:t>
            </w:r>
          </w:p>
        </w:tc>
        <w:tc>
          <w:tcPr>
            <w:tcW w:w="2823" w:type="dxa"/>
            <w:gridSpan w:val="2"/>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项目</w:t>
            </w:r>
          </w:p>
        </w:tc>
        <w:tc>
          <w:tcPr>
            <w:tcW w:w="1136" w:type="dxa"/>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单位</w:t>
            </w:r>
          </w:p>
        </w:tc>
        <w:tc>
          <w:tcPr>
            <w:tcW w:w="1074"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数量</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合计（元）</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79" w:hRule="atLeast"/>
        </w:trPr>
        <w:tc>
          <w:tcPr>
            <w:tcW w:w="727" w:type="dxa"/>
            <w:vMerge w:val="restart"/>
            <w:tcBorders>
              <w:top w:val="single" w:color="000000" w:sz="4" w:space="0"/>
              <w:left w:val="single" w:color="000000" w:sz="4" w:space="0"/>
              <w:right w:val="single" w:color="000000"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1</w:t>
            </w:r>
          </w:p>
        </w:tc>
        <w:tc>
          <w:tcPr>
            <w:tcW w:w="1099" w:type="dxa"/>
            <w:vMerge w:val="restart"/>
            <w:tcBorders>
              <w:top w:val="single" w:color="000000" w:sz="4" w:space="0"/>
              <w:left w:val="single" w:color="000000" w:sz="4" w:space="0"/>
              <w:right w:val="single" w:color="auto"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道路保洁费</w:t>
            </w:r>
          </w:p>
        </w:tc>
        <w:tc>
          <w:tcPr>
            <w:tcW w:w="1724" w:type="dxa"/>
            <w:tcBorders>
              <w:top w:val="single" w:color="000000" w:sz="4" w:space="0"/>
              <w:left w:val="single" w:color="auto" w:sz="4" w:space="0"/>
              <w:right w:val="single" w:color="auto"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日常保洁人员工资</w:t>
            </w:r>
          </w:p>
        </w:tc>
        <w:tc>
          <w:tcPr>
            <w:tcW w:w="1136" w:type="dxa"/>
            <w:tcBorders>
              <w:top w:val="single" w:color="000000" w:sz="4" w:space="0"/>
              <w:left w:val="single" w:color="auto" w:sz="4" w:space="0"/>
              <w:right w:val="single" w:color="auto"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项</w:t>
            </w:r>
          </w:p>
        </w:tc>
        <w:tc>
          <w:tcPr>
            <w:tcW w:w="1074" w:type="dxa"/>
            <w:tcBorders>
              <w:top w:val="single" w:color="000000" w:sz="4" w:space="0"/>
              <w:left w:val="single" w:color="auto" w:sz="4" w:space="0"/>
              <w:right w:val="single" w:color="000000"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1</w:t>
            </w:r>
          </w:p>
        </w:tc>
        <w:tc>
          <w:tcPr>
            <w:tcW w:w="1121" w:type="dxa"/>
            <w:tcBorders>
              <w:top w:val="single" w:color="000000" w:sz="4" w:space="0"/>
              <w:left w:val="single" w:color="000000" w:sz="4" w:space="0"/>
              <w:right w:val="single" w:color="000000" w:sz="4" w:space="0"/>
            </w:tcBorders>
            <w:noWrap w:val="0"/>
            <w:vAlign w:val="center"/>
          </w:tcPr>
          <w:p>
            <w:pPr>
              <w:jc w:val="center"/>
              <w:rPr>
                <w:rFonts w:hint="eastAsia"/>
                <w:color w:val="auto"/>
                <w:highlight w:val="none"/>
                <w:lang w:val="zh-CN" w:eastAsia="zh-CN"/>
              </w:rPr>
            </w:pP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人员不得少于</w:t>
            </w:r>
            <w:r>
              <w:rPr>
                <w:rFonts w:hint="eastAsia"/>
                <w:color w:val="auto"/>
                <w:highlight w:val="none"/>
                <w:lang w:val="en-US" w:eastAsia="zh-CN"/>
              </w:rPr>
              <w:t xml:space="preserve">  </w:t>
            </w:r>
            <w:r>
              <w:rPr>
                <w:rFonts w:hint="eastAsia"/>
                <w:color w:val="auto"/>
                <w:highlight w:val="none"/>
                <w:lang w:val="zh-CN" w:eastAsia="zh-CN"/>
              </w:rPr>
              <w:t xml:space="preserve">人，服务期 </w:t>
            </w:r>
            <w:r>
              <w:rPr>
                <w:rFonts w:hint="eastAsia"/>
                <w:color w:val="auto"/>
                <w:highlight w:val="none"/>
                <w:lang w:val="en-US" w:eastAsia="zh-CN"/>
              </w:rPr>
              <w:t>2</w:t>
            </w:r>
            <w:r>
              <w:rPr>
                <w:rFonts w:hint="eastAsia"/>
                <w:color w:val="auto"/>
                <w:highlight w:val="none"/>
                <w:lang w:val="zh-CN" w:eastAsia="zh-CN"/>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5" w:hRule="atLeast"/>
        </w:trPr>
        <w:tc>
          <w:tcPr>
            <w:tcW w:w="727" w:type="dxa"/>
            <w:vMerge w:val="continue"/>
            <w:tcBorders>
              <w:left w:val="single" w:color="000000" w:sz="4" w:space="0"/>
              <w:right w:val="single" w:color="000000" w:sz="4" w:space="0"/>
            </w:tcBorders>
            <w:noWrap w:val="0"/>
            <w:vAlign w:val="center"/>
          </w:tcPr>
          <w:p>
            <w:pPr>
              <w:jc w:val="center"/>
              <w:rPr>
                <w:rFonts w:hint="eastAsia"/>
                <w:color w:val="auto"/>
                <w:highlight w:val="none"/>
                <w:lang w:val="zh-CN" w:eastAsia="zh-CN"/>
              </w:rPr>
            </w:pPr>
          </w:p>
        </w:tc>
        <w:tc>
          <w:tcPr>
            <w:tcW w:w="1099" w:type="dxa"/>
            <w:vMerge w:val="continue"/>
            <w:tcBorders>
              <w:left w:val="single" w:color="000000" w:sz="4" w:space="0"/>
              <w:right w:val="single" w:color="auto" w:sz="4" w:space="0"/>
            </w:tcBorders>
            <w:noWrap w:val="0"/>
            <w:vAlign w:val="center"/>
          </w:tcPr>
          <w:p>
            <w:pPr>
              <w:jc w:val="center"/>
              <w:rPr>
                <w:rFonts w:hint="eastAsia"/>
                <w:color w:val="auto"/>
                <w:highlight w:val="none"/>
                <w:lang w:val="zh-CN" w:eastAsia="zh-CN"/>
              </w:rPr>
            </w:pPr>
          </w:p>
        </w:tc>
        <w:tc>
          <w:tcPr>
            <w:tcW w:w="1724" w:type="dxa"/>
            <w:tcBorders>
              <w:top w:val="single" w:color="000000" w:sz="4" w:space="0"/>
              <w:left w:val="single" w:color="auto" w:sz="4" w:space="0"/>
              <w:right w:val="single" w:color="auto" w:sz="4" w:space="0"/>
            </w:tcBorders>
            <w:noWrap w:val="0"/>
            <w:vAlign w:val="center"/>
          </w:tcPr>
          <w:p>
            <w:pPr>
              <w:jc w:val="center"/>
              <w:rPr>
                <w:rFonts w:hint="default"/>
                <w:color w:val="auto"/>
                <w:highlight w:val="none"/>
                <w:lang w:val="en-US" w:eastAsia="zh-CN"/>
              </w:rPr>
            </w:pPr>
            <w:r>
              <w:rPr>
                <w:rFonts w:hint="eastAsia"/>
                <w:color w:val="auto"/>
                <w:highlight w:val="none"/>
                <w:lang w:val="en-US" w:eastAsia="zh-CN"/>
              </w:rPr>
              <w:t>设备耗材及设备折损费用</w:t>
            </w:r>
          </w:p>
        </w:tc>
        <w:tc>
          <w:tcPr>
            <w:tcW w:w="1136" w:type="dxa"/>
            <w:tcBorders>
              <w:top w:val="single" w:color="000000" w:sz="4" w:space="0"/>
              <w:left w:val="single" w:color="auto" w:sz="4" w:space="0"/>
              <w:right w:val="single" w:color="auto"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项</w:t>
            </w:r>
          </w:p>
        </w:tc>
        <w:tc>
          <w:tcPr>
            <w:tcW w:w="1074" w:type="dxa"/>
            <w:tcBorders>
              <w:top w:val="single" w:color="000000" w:sz="4" w:space="0"/>
              <w:left w:val="single" w:color="auto" w:sz="4" w:space="0"/>
              <w:right w:val="single" w:color="000000"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1</w:t>
            </w:r>
          </w:p>
        </w:tc>
        <w:tc>
          <w:tcPr>
            <w:tcW w:w="1121" w:type="dxa"/>
            <w:tcBorders>
              <w:top w:val="single" w:color="000000" w:sz="4" w:space="0"/>
              <w:left w:val="single" w:color="000000" w:sz="4" w:space="0"/>
              <w:right w:val="single" w:color="000000" w:sz="4" w:space="0"/>
            </w:tcBorders>
            <w:noWrap w:val="0"/>
            <w:vAlign w:val="center"/>
          </w:tcPr>
          <w:p>
            <w:pPr>
              <w:jc w:val="center"/>
              <w:rPr>
                <w:rFonts w:hint="eastAsia"/>
                <w:color w:val="auto"/>
                <w:highlight w:val="none"/>
                <w:lang w:val="zh-CN" w:eastAsia="zh-CN"/>
              </w:rPr>
            </w:pP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highlight w:val="none"/>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75" w:hRule="atLeast"/>
        </w:trPr>
        <w:tc>
          <w:tcPr>
            <w:tcW w:w="727" w:type="dxa"/>
            <w:tcBorders>
              <w:left w:val="single" w:color="000000" w:sz="4" w:space="0"/>
              <w:right w:val="single" w:color="000000"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2</w:t>
            </w:r>
          </w:p>
        </w:tc>
        <w:tc>
          <w:tcPr>
            <w:tcW w:w="2823" w:type="dxa"/>
            <w:gridSpan w:val="2"/>
            <w:tcBorders>
              <w:left w:val="single" w:color="000000" w:sz="4" w:space="0"/>
              <w:right w:val="single" w:color="auto"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市政养护费</w:t>
            </w:r>
          </w:p>
        </w:tc>
        <w:tc>
          <w:tcPr>
            <w:tcW w:w="1136" w:type="dxa"/>
            <w:tcBorders>
              <w:left w:val="single" w:color="auto" w:sz="4" w:space="0"/>
              <w:right w:val="single" w:color="auto"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项</w:t>
            </w:r>
          </w:p>
        </w:tc>
        <w:tc>
          <w:tcPr>
            <w:tcW w:w="1074" w:type="dxa"/>
            <w:tcBorders>
              <w:left w:val="single" w:color="auto" w:sz="4" w:space="0"/>
              <w:right w:val="single" w:color="000000"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1</w:t>
            </w:r>
          </w:p>
        </w:tc>
        <w:tc>
          <w:tcPr>
            <w:tcW w:w="1121" w:type="dxa"/>
            <w:tcBorders>
              <w:top w:val="single" w:color="000000" w:sz="4" w:space="0"/>
              <w:left w:val="single" w:color="000000" w:sz="4" w:space="0"/>
              <w:right w:val="single" w:color="000000" w:sz="4" w:space="0"/>
            </w:tcBorders>
            <w:noWrap w:val="0"/>
            <w:vAlign w:val="center"/>
          </w:tcPr>
          <w:p>
            <w:pPr>
              <w:jc w:val="center"/>
              <w:rPr>
                <w:rFonts w:hint="default"/>
                <w:color w:val="auto"/>
                <w:highlight w:val="none"/>
                <w:lang w:val="en-US" w:eastAsia="zh-CN"/>
              </w:rPr>
            </w:pP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暂定价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79" w:hRule="atLeast"/>
        </w:trPr>
        <w:tc>
          <w:tcPr>
            <w:tcW w:w="727" w:type="dxa"/>
            <w:tcBorders>
              <w:left w:val="single" w:color="000000" w:sz="4" w:space="0"/>
              <w:bottom w:val="single" w:color="000000" w:sz="4" w:space="0"/>
              <w:right w:val="single" w:color="000000"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3</w:t>
            </w:r>
          </w:p>
        </w:tc>
        <w:tc>
          <w:tcPr>
            <w:tcW w:w="2823" w:type="dxa"/>
            <w:gridSpan w:val="2"/>
            <w:tcBorders>
              <w:left w:val="single" w:color="000000" w:sz="4" w:space="0"/>
              <w:bottom w:val="single" w:color="000000" w:sz="4" w:space="0"/>
              <w:right w:val="single" w:color="auto"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绿化养护费</w:t>
            </w:r>
          </w:p>
        </w:tc>
        <w:tc>
          <w:tcPr>
            <w:tcW w:w="1136" w:type="dxa"/>
            <w:tcBorders>
              <w:left w:val="single" w:color="auto" w:sz="4" w:space="0"/>
              <w:bottom w:val="single" w:color="000000" w:sz="4" w:space="0"/>
              <w:right w:val="single" w:color="auto"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项</w:t>
            </w:r>
          </w:p>
        </w:tc>
        <w:tc>
          <w:tcPr>
            <w:tcW w:w="1074" w:type="dxa"/>
            <w:tcBorders>
              <w:left w:val="single" w:color="auto" w:sz="4" w:space="0"/>
              <w:bottom w:val="single" w:color="000000" w:sz="4" w:space="0"/>
              <w:right w:val="single" w:color="000000"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1</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highlight w:val="none"/>
                <w:lang w:val="zh-CN" w:eastAsia="zh-CN"/>
              </w:rPr>
            </w:pP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人员不得少于</w:t>
            </w:r>
            <w:r>
              <w:rPr>
                <w:rFonts w:hint="eastAsia"/>
                <w:color w:val="auto"/>
                <w:highlight w:val="none"/>
                <w:lang w:val="en-US" w:eastAsia="zh-CN"/>
              </w:rPr>
              <w:t xml:space="preserve"> </w:t>
            </w:r>
            <w:r>
              <w:rPr>
                <w:rFonts w:hint="eastAsia"/>
                <w:color w:val="auto"/>
                <w:highlight w:val="none"/>
                <w:lang w:val="zh-CN" w:eastAsia="zh-CN"/>
              </w:rPr>
              <w:t xml:space="preserve">人，服务期 </w:t>
            </w:r>
            <w:r>
              <w:rPr>
                <w:rFonts w:hint="eastAsia"/>
                <w:color w:val="auto"/>
                <w:highlight w:val="none"/>
                <w:lang w:val="en-US" w:eastAsia="zh-CN"/>
              </w:rPr>
              <w:t>2</w:t>
            </w:r>
            <w:r>
              <w:rPr>
                <w:rFonts w:hint="eastAsia"/>
                <w:color w:val="auto"/>
                <w:highlight w:val="none"/>
                <w:lang w:val="zh-CN" w:eastAsia="zh-CN"/>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79" w:hRule="atLeast"/>
        </w:trPr>
        <w:tc>
          <w:tcPr>
            <w:tcW w:w="727" w:type="dxa"/>
            <w:tcBorders>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color w:val="auto"/>
                <w:kern w:val="2"/>
                <w:sz w:val="21"/>
                <w:szCs w:val="24"/>
                <w:highlight w:val="none"/>
                <w:lang w:val="zh-CN" w:eastAsia="zh-CN" w:bidi="ar-SA"/>
              </w:rPr>
            </w:pPr>
            <w:r>
              <w:rPr>
                <w:rFonts w:hint="eastAsia"/>
                <w:color w:val="auto"/>
                <w:highlight w:val="none"/>
                <w:lang w:val="en-US" w:eastAsia="zh-CN"/>
              </w:rPr>
              <w:t>4</w:t>
            </w:r>
          </w:p>
        </w:tc>
        <w:tc>
          <w:tcPr>
            <w:tcW w:w="2823" w:type="dxa"/>
            <w:gridSpan w:val="2"/>
            <w:tcBorders>
              <w:left w:val="single" w:color="000000" w:sz="4" w:space="0"/>
              <w:bottom w:val="single" w:color="000000" w:sz="4" w:space="0"/>
              <w:right w:val="single" w:color="auto" w:sz="4" w:space="0"/>
            </w:tcBorders>
            <w:noWrap w:val="0"/>
            <w:vAlign w:val="center"/>
          </w:tcPr>
          <w:p>
            <w:pPr>
              <w:ind w:firstLine="420" w:firstLineChars="200"/>
              <w:jc w:val="both"/>
              <w:rPr>
                <w:rFonts w:hint="eastAsia" w:ascii="Times New Roman" w:hAnsi="Times New Roman" w:eastAsia="宋体" w:cs="Times New Roman"/>
                <w:color w:val="auto"/>
                <w:kern w:val="2"/>
                <w:sz w:val="21"/>
                <w:szCs w:val="24"/>
                <w:highlight w:val="none"/>
                <w:lang w:val="zh-CN" w:eastAsia="zh-CN" w:bidi="ar-SA"/>
              </w:rPr>
            </w:pPr>
            <w:r>
              <w:rPr>
                <w:rFonts w:hint="eastAsia"/>
                <w:color w:val="auto"/>
                <w:highlight w:val="none"/>
                <w:lang w:val="en-US" w:eastAsia="zh-CN"/>
              </w:rPr>
              <w:t>管理人员及辅助人员</w:t>
            </w:r>
          </w:p>
        </w:tc>
        <w:tc>
          <w:tcPr>
            <w:tcW w:w="1136" w:type="dxa"/>
            <w:tcBorders>
              <w:left w:val="single" w:color="auto" w:sz="4" w:space="0"/>
              <w:bottom w:val="single" w:color="000000" w:sz="4" w:space="0"/>
              <w:right w:val="single" w:color="auto" w:sz="4" w:space="0"/>
            </w:tcBorders>
            <w:noWrap w:val="0"/>
            <w:vAlign w:val="center"/>
          </w:tcPr>
          <w:p>
            <w:pPr>
              <w:jc w:val="center"/>
              <w:rPr>
                <w:rFonts w:hint="eastAsia" w:ascii="Times New Roman" w:hAnsi="Times New Roman" w:eastAsia="宋体" w:cs="Times New Roman"/>
                <w:color w:val="auto"/>
                <w:kern w:val="2"/>
                <w:sz w:val="21"/>
                <w:szCs w:val="24"/>
                <w:highlight w:val="none"/>
                <w:lang w:val="zh-CN" w:eastAsia="zh-CN" w:bidi="ar-SA"/>
              </w:rPr>
            </w:pPr>
            <w:r>
              <w:rPr>
                <w:rFonts w:hint="eastAsia"/>
                <w:color w:val="auto"/>
                <w:highlight w:val="none"/>
                <w:lang w:val="zh-CN" w:eastAsia="zh-CN"/>
              </w:rPr>
              <w:t>项</w:t>
            </w:r>
          </w:p>
        </w:tc>
        <w:tc>
          <w:tcPr>
            <w:tcW w:w="1074" w:type="dxa"/>
            <w:tcBorders>
              <w:left w:val="single" w:color="auto"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color w:val="auto"/>
                <w:kern w:val="2"/>
                <w:sz w:val="21"/>
                <w:szCs w:val="24"/>
                <w:highlight w:val="none"/>
                <w:lang w:val="zh-CN" w:eastAsia="zh-CN" w:bidi="ar-SA"/>
              </w:rPr>
            </w:pPr>
            <w:r>
              <w:rPr>
                <w:rFonts w:hint="eastAsia"/>
                <w:color w:val="auto"/>
                <w:highlight w:val="none"/>
                <w:lang w:val="zh-CN" w:eastAsia="zh-CN"/>
              </w:rPr>
              <w:t>1</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color w:val="auto"/>
                <w:kern w:val="2"/>
                <w:sz w:val="21"/>
                <w:szCs w:val="24"/>
                <w:highlight w:val="none"/>
                <w:lang w:val="zh-CN" w:eastAsia="zh-CN" w:bidi="ar-SA"/>
              </w:rPr>
            </w:pP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color w:val="auto"/>
                <w:kern w:val="2"/>
                <w:sz w:val="21"/>
                <w:szCs w:val="24"/>
                <w:highlight w:val="none"/>
                <w:lang w:val="zh-CN" w:eastAsia="zh-CN" w:bidi="ar-SA"/>
              </w:rPr>
            </w:pPr>
            <w:r>
              <w:rPr>
                <w:rFonts w:hint="eastAsia"/>
                <w:color w:val="auto"/>
                <w:highlight w:val="none"/>
                <w:lang w:val="zh-CN" w:eastAsia="zh-CN"/>
              </w:rPr>
              <w:t>人员不得少于</w:t>
            </w:r>
            <w:r>
              <w:rPr>
                <w:rFonts w:hint="eastAsia"/>
                <w:color w:val="auto"/>
                <w:highlight w:val="none"/>
                <w:lang w:val="en-US" w:eastAsia="zh-CN"/>
              </w:rPr>
              <w:t xml:space="preserve">   </w:t>
            </w:r>
            <w:r>
              <w:rPr>
                <w:rFonts w:hint="eastAsia"/>
                <w:color w:val="auto"/>
                <w:highlight w:val="none"/>
                <w:lang w:val="zh-CN" w:eastAsia="zh-CN"/>
              </w:rPr>
              <w:t>人，服务期</w:t>
            </w:r>
            <w:r>
              <w:rPr>
                <w:rFonts w:hint="eastAsia"/>
                <w:color w:val="auto"/>
                <w:highlight w:val="none"/>
                <w:lang w:val="en-US" w:eastAsia="zh-CN"/>
              </w:rPr>
              <w:t>2</w:t>
            </w:r>
            <w:r>
              <w:rPr>
                <w:rFonts w:hint="eastAsia"/>
                <w:color w:val="auto"/>
                <w:highlight w:val="none"/>
                <w:lang w:val="zh-CN" w:eastAsia="zh-CN"/>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78" w:hRule="atLeast"/>
        </w:trPr>
        <w:tc>
          <w:tcPr>
            <w:tcW w:w="5760"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合计总价（1+2+3+4+5）</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小写（元）</w:t>
            </w:r>
          </w:p>
        </w:tc>
        <w:tc>
          <w:tcPr>
            <w:tcW w:w="2276"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color w:val="auto"/>
                <w:highlight w:val="none"/>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99" w:hRule="atLeast"/>
        </w:trPr>
        <w:tc>
          <w:tcPr>
            <w:tcW w:w="576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highlight w:val="none"/>
                <w:lang w:val="zh-CN" w:eastAsia="zh-CN"/>
              </w:rPr>
            </w:pP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大写（元）</w:t>
            </w:r>
          </w:p>
        </w:tc>
        <w:tc>
          <w:tcPr>
            <w:tcW w:w="2276" w:type="dxa"/>
            <w:tcBorders>
              <w:top w:val="single" w:color="auto" w:sz="4" w:space="0"/>
              <w:left w:val="single" w:color="000000" w:sz="4" w:space="0"/>
              <w:right w:val="single" w:color="000000" w:sz="4" w:space="0"/>
            </w:tcBorders>
            <w:noWrap w:val="0"/>
            <w:vAlign w:val="center"/>
          </w:tcPr>
          <w:p>
            <w:pPr>
              <w:jc w:val="center"/>
              <w:rPr>
                <w:rFonts w:hint="eastAsia"/>
                <w:color w:val="auto"/>
                <w:highlight w:val="none"/>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9157" w:type="dxa"/>
            <w:gridSpan w:val="7"/>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color w:val="auto"/>
                <w:highlight w:val="none"/>
                <w:lang w:val="zh-CN" w:eastAsia="zh-CN"/>
              </w:rPr>
            </w:pPr>
            <w:r>
              <w:rPr>
                <w:rFonts w:hint="eastAsia"/>
                <w:color w:val="auto"/>
                <w:highlight w:val="none"/>
                <w:lang w:val="zh-CN" w:eastAsia="zh-CN"/>
              </w:rPr>
              <w:t>说明：（1）投标报价四舍五入到元。</w:t>
            </w:r>
          </w:p>
          <w:p>
            <w:pPr>
              <w:jc w:val="left"/>
              <w:rPr>
                <w:rFonts w:hint="eastAsia"/>
                <w:color w:val="auto"/>
                <w:highlight w:val="none"/>
                <w:lang w:val="zh-CN" w:eastAsia="zh-CN"/>
              </w:rPr>
            </w:pPr>
            <w:r>
              <w:rPr>
                <w:rFonts w:hint="eastAsia" w:ascii="宋体" w:hAnsi="宋体" w:eastAsia="宋体" w:cs="宋体"/>
                <w:b/>
                <w:bCs/>
                <w:i w:val="0"/>
                <w:iCs w:val="0"/>
                <w:color w:val="auto"/>
                <w:kern w:val="0"/>
                <w:sz w:val="24"/>
                <w:szCs w:val="24"/>
                <w:highlight w:val="none"/>
                <w:u w:val="none"/>
                <w:lang w:val="en-US" w:eastAsia="zh-CN" w:bidi="ar"/>
              </w:rPr>
              <w:t>本项目综合养护内容还包括垃圾分类音乐线、牛皮藓清理、雨水篦清掏，该三项属保洁养护区域范围内的工作内容，相应的费用不在单独计取，含在投标报价内</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宋体" w:hAnsi="宋体" w:eastAsia="宋体" w:cs="宋体"/>
          <w:b w:val="0"/>
          <w:bCs w:val="0"/>
          <w:color w:val="auto"/>
          <w:sz w:val="24"/>
          <w:szCs w:val="24"/>
          <w:highlight w:val="none"/>
          <w:lang w:val="zh-CN" w:eastAsia="zh-CN"/>
        </w:rPr>
      </w:pPr>
      <w:r>
        <w:rPr>
          <w:rFonts w:hint="eastAsia" w:ascii="宋体" w:hAnsi="宋体" w:eastAsia="宋体" w:cs="宋体"/>
          <w:b w:val="0"/>
          <w:bCs w:val="0"/>
          <w:color w:val="auto"/>
          <w:sz w:val="24"/>
          <w:szCs w:val="24"/>
          <w:highlight w:val="none"/>
          <w:lang w:val="zh-CN" w:eastAsia="zh-CN"/>
        </w:rPr>
        <w:t>1、本投标文件及其所附文件涵盖了我方要约的全部内容。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宋体" w:hAnsi="宋体" w:eastAsia="宋体" w:cs="宋体"/>
          <w:b w:val="0"/>
          <w:bCs w:val="0"/>
          <w:color w:val="auto"/>
          <w:sz w:val="24"/>
          <w:szCs w:val="24"/>
          <w:highlight w:val="none"/>
          <w:lang w:val="zh-CN" w:eastAsia="zh-CN"/>
        </w:rPr>
      </w:pPr>
      <w:r>
        <w:rPr>
          <w:rFonts w:hint="eastAsia" w:ascii="宋体" w:hAnsi="宋体" w:eastAsia="宋体" w:cs="宋体"/>
          <w:b w:val="0"/>
          <w:bCs w:val="0"/>
          <w:color w:val="auto"/>
          <w:sz w:val="24"/>
          <w:szCs w:val="24"/>
          <w:highlight w:val="none"/>
          <w:lang w:val="zh-CN" w:eastAsia="zh-CN"/>
        </w:rPr>
        <w:t>2、本项目招标人员工资含人员基础工资、环卫特殊岗位津贴、高温费、社会保险费、住房公积金、双休日及法定节假日加班费、医疗体检费等；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宋体" w:hAnsi="宋体" w:eastAsia="宋体" w:cs="宋体"/>
          <w:b w:val="0"/>
          <w:bCs w:val="0"/>
          <w:color w:val="auto"/>
          <w:sz w:val="24"/>
          <w:szCs w:val="24"/>
          <w:highlight w:val="none"/>
          <w:lang w:val="zh-CN" w:eastAsia="zh-CN"/>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lang w:val="zh-CN" w:eastAsia="zh-CN"/>
        </w:rPr>
        <w:t>根据中华人民共和国招标投标法第三十三条规定“投标人不得以低于成本的报价竞标”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根据中华人民共和国财政部令第87号中的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6"/>
        <w:snapToGrid w:val="0"/>
        <w:spacing w:line="600" w:lineRule="exact"/>
        <w:ind w:firstLine="480" w:firstLineChars="200"/>
        <w:rPr>
          <w:rFonts w:hint="eastAsia" w:hAnsi="宋体" w:cs="宋体"/>
          <w:color w:val="auto"/>
          <w:sz w:val="24"/>
          <w:highlight w:val="none"/>
          <w:lang w:val="en-US" w:eastAsia="zh-CN"/>
        </w:rPr>
      </w:pPr>
      <w:r>
        <w:rPr>
          <w:rFonts w:hint="eastAsia" w:hAnsi="宋体" w:cs="宋体"/>
          <w:color w:val="auto"/>
          <w:sz w:val="24"/>
          <w:highlight w:val="none"/>
          <w:lang w:val="en-US" w:eastAsia="zh-CN"/>
        </w:rPr>
        <w:t>4、人员工资：根据杭政办〔2008〕14号、浙政办发〔2009〕190号、</w:t>
      </w:r>
      <w:r>
        <w:rPr>
          <w:rFonts w:hint="eastAsia" w:hAnsi="宋体" w:cs="宋体"/>
          <w:color w:val="auto"/>
          <w:sz w:val="24"/>
          <w:highlight w:val="none"/>
          <w:lang w:val="zh-CN" w:eastAsia="zh-CN"/>
        </w:rPr>
        <w:t>《浙江省人民政府关于调整全省最低工资标准的通知》（浙政发[2021]22号）、</w:t>
      </w:r>
      <w:r>
        <w:rPr>
          <w:rFonts w:hint="eastAsia" w:hAnsi="宋体" w:cs="宋体"/>
          <w:color w:val="auto"/>
          <w:sz w:val="24"/>
          <w:highlight w:val="none"/>
          <w:lang w:val="en-US" w:eastAsia="zh-CN"/>
        </w:rPr>
        <w:t>《杭州市人民政府关于调整市区最低工资标准的通知》（杭政函[2021]69号），日常加班工资按劳动法相关要求另行计算。必须为本项目人员缴纳五险、住房公积金及杭政办〔2008〕14号和浙政办发〔2009〕190号文件规定的其它经费，须在杭州本地缴纳“五险一金”。投标单位根据道路保洁作业定额，结合作业难易程度，确定投标合理报价。</w:t>
      </w:r>
    </w:p>
    <w:tbl>
      <w:tblPr>
        <w:tblStyle w:val="62"/>
        <w:tblW w:w="9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2"/>
        <w:gridCol w:w="3199"/>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52"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基本工资</w:t>
            </w:r>
          </w:p>
        </w:tc>
        <w:tc>
          <w:tcPr>
            <w:tcW w:w="3199"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2280元/月，即27360元/年</w:t>
            </w:r>
          </w:p>
        </w:tc>
        <w:tc>
          <w:tcPr>
            <w:tcW w:w="2659"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杭政函[2021]69号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3252"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上浮10%</w:t>
            </w:r>
          </w:p>
        </w:tc>
        <w:tc>
          <w:tcPr>
            <w:tcW w:w="3199"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228元/月，即2736元/年</w:t>
            </w:r>
          </w:p>
        </w:tc>
        <w:tc>
          <w:tcPr>
            <w:tcW w:w="2659"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杭政办〔2008〕14号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52"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特殊岗位津贴</w:t>
            </w:r>
          </w:p>
        </w:tc>
        <w:tc>
          <w:tcPr>
            <w:tcW w:w="3199"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300元/月，即3600元/年</w:t>
            </w:r>
          </w:p>
        </w:tc>
        <w:tc>
          <w:tcPr>
            <w:tcW w:w="2659"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浙政办发〔2009〕190号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52"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夏季高温津贴</w:t>
            </w:r>
          </w:p>
        </w:tc>
        <w:tc>
          <w:tcPr>
            <w:tcW w:w="3199"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1200元/年</w:t>
            </w:r>
          </w:p>
        </w:tc>
        <w:tc>
          <w:tcPr>
            <w:tcW w:w="2659"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浙人社发〔2018〕65号300元/月，按4个月计算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3252"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住房公积金</w:t>
            </w:r>
          </w:p>
        </w:tc>
        <w:tc>
          <w:tcPr>
            <w:tcW w:w="3199"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125.4元/月，即1504.8元/年</w:t>
            </w:r>
          </w:p>
        </w:tc>
        <w:tc>
          <w:tcPr>
            <w:tcW w:w="2659"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杭政办〔2008〕14号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3252"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企业职工基本养老保险</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（单位缴纳比例按14%）</w:t>
            </w:r>
          </w:p>
        </w:tc>
        <w:tc>
          <w:tcPr>
            <w:tcW w:w="3199"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553.98元/月，即6647.76元/年</w:t>
            </w:r>
          </w:p>
        </w:tc>
        <w:tc>
          <w:tcPr>
            <w:tcW w:w="2659" w:type="dxa"/>
            <w:vMerge w:val="restart"/>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关于启动2021年度社会保险缴费基数的通知、浙人社发[2021]54号，基数保底值按3957元计算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3252"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失业保险</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（按0.5%计取）</w:t>
            </w:r>
          </w:p>
        </w:tc>
        <w:tc>
          <w:tcPr>
            <w:tcW w:w="3199"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19.79元/月，即237.48元/年</w:t>
            </w:r>
          </w:p>
        </w:tc>
        <w:tc>
          <w:tcPr>
            <w:tcW w:w="2659" w:type="dxa"/>
            <w:vMerge w:val="continue"/>
            <w:noWrap w:val="0"/>
            <w:vAlign w:val="center"/>
          </w:tcPr>
          <w:p>
            <w:pPr>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52"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医疗保险</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（单位缴纳比例按9.9%）</w:t>
            </w:r>
          </w:p>
        </w:tc>
        <w:tc>
          <w:tcPr>
            <w:tcW w:w="3199"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391.74元/月，即4700.88元/年</w:t>
            </w:r>
          </w:p>
        </w:tc>
        <w:tc>
          <w:tcPr>
            <w:tcW w:w="2659" w:type="dxa"/>
            <w:vMerge w:val="continue"/>
            <w:noWrap w:val="0"/>
            <w:vAlign w:val="center"/>
          </w:tcPr>
          <w:p>
            <w:pPr>
              <w:jc w:val="left"/>
              <w:rPr>
                <w:rFonts w:hint="eastAsia" w:ascii="宋体" w:hAnsi="宋体" w:eastAsia="宋体" w:cs="宋体"/>
                <w:color w:val="auto"/>
                <w:sz w:val="24"/>
                <w:szCs w:val="24"/>
                <w:highlight w:val="none"/>
              </w:rPr>
            </w:pPr>
          </w:p>
        </w:tc>
      </w:tr>
    </w:tbl>
    <w:p>
      <w:pPr>
        <w:widowControl w:val="0"/>
        <w:shd w:val="clear" w:color="auto" w:fill="FFFFFF"/>
        <w:tabs>
          <w:tab w:val="left" w:pos="914"/>
        </w:tabs>
        <w:wordWrap/>
        <w:adjustRightInd w:val="0"/>
        <w:snapToGrid w:val="0"/>
        <w:spacing w:line="440" w:lineRule="exact"/>
        <w:ind w:firstLine="480" w:firstLineChars="200"/>
        <w:jc w:val="left"/>
        <w:textAlignment w:val="auto"/>
        <w:rPr>
          <w:rFonts w:hint="eastAsia" w:ascii="宋体" w:hAnsi="宋体" w:eastAsia="宋体" w:cs="宋体"/>
          <w:color w:val="auto"/>
          <w:sz w:val="24"/>
          <w:highlight w:val="none"/>
          <w:lang w:eastAsia="zh-CN"/>
        </w:rPr>
      </w:pPr>
    </w:p>
    <w:p>
      <w:pPr>
        <w:spacing w:line="360" w:lineRule="auto"/>
        <w:ind w:left="-2" w:leftChars="-1" w:firstLine="480" w:firstLineChars="200"/>
        <w:rPr>
          <w:rFonts w:ascii="宋体" w:hAnsi="宋体" w:cs="宋体"/>
          <w:color w:val="auto"/>
          <w:kern w:val="0"/>
          <w:sz w:val="24"/>
          <w:lang w:val="zh-CN"/>
        </w:rPr>
      </w:pPr>
      <w:r>
        <w:rPr>
          <w:rFonts w:hint="eastAsia" w:ascii="宋体" w:hAnsi="宋体" w:cs="宋体"/>
          <w:color w:val="auto"/>
          <w:kern w:val="0"/>
          <w:sz w:val="24"/>
          <w:lang w:val="en-US" w:eastAsia="zh-CN"/>
        </w:rPr>
        <w:t>5</w:t>
      </w:r>
      <w:r>
        <w:rPr>
          <w:rFonts w:hint="eastAsia" w:ascii="宋体" w:hAnsi="宋体" w:cs="宋体"/>
          <w:color w:val="auto"/>
          <w:kern w:val="0"/>
          <w:sz w:val="24"/>
          <w:lang w:val="zh-CN"/>
        </w:rPr>
        <w:t>、投标人需按本表格式填写</w:t>
      </w:r>
      <w:r>
        <w:rPr>
          <w:rFonts w:hint="eastAsia" w:ascii="宋体" w:hAnsi="宋体" w:cs="宋体"/>
          <w:b/>
          <w:color w:val="auto"/>
          <w:kern w:val="0"/>
          <w:sz w:val="24"/>
          <w:lang w:val="zh-CN"/>
        </w:rPr>
        <w:t>，</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b/>
          <w:color w:val="auto"/>
          <w:kern w:val="0"/>
          <w:sz w:val="24"/>
          <w:lang w:val="zh-CN"/>
        </w:rPr>
        <w:t>；</w:t>
      </w:r>
      <w:r>
        <w:rPr>
          <w:rFonts w:hint="eastAsia" w:ascii="宋体" w:hAnsi="宋体" w:cs="宋体"/>
          <w:color w:val="auto"/>
          <w:kern w:val="0"/>
          <w:sz w:val="24"/>
          <w:lang w:val="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6</w:t>
      </w:r>
      <w:r>
        <w:rPr>
          <w:rFonts w:hint="eastAsia" w:ascii="宋体" w:hAnsi="宋体" w:cs="宋体"/>
          <w:color w:val="auto"/>
          <w:kern w:val="0"/>
          <w:sz w:val="24"/>
          <w:lang w:val="zh-CN"/>
        </w:rPr>
        <w:t>、有关本项目实施所涉及的一切费用均计入报价。</w:t>
      </w:r>
      <w:r>
        <w:rPr>
          <w:rFonts w:hint="eastAsia" w:ascii="宋体" w:hAnsi="宋体" w:cs="宋体"/>
          <w:b/>
          <w:color w:val="auto"/>
          <w:kern w:val="0"/>
          <w:sz w:val="24"/>
          <w:lang w:val="zh-CN"/>
        </w:rPr>
        <w:t>采购人将以合同形式有偿取得货物或服务，不接受投标人给予的赠品、回扣或者与采购无关的其他商品、服务</w:t>
      </w:r>
      <w:r>
        <w:rPr>
          <w:rFonts w:hint="eastAsia" w:ascii="宋体" w:hAnsi="宋体" w:cs="宋体"/>
          <w:color w:val="auto"/>
          <w:kern w:val="0"/>
          <w:sz w:val="24"/>
          <w:lang w:val="zh-CN"/>
        </w:rPr>
        <w:t>，</w:t>
      </w:r>
      <w:r>
        <w:rPr>
          <w:rFonts w:hint="eastAsia" w:ascii="宋体" w:hAnsi="宋体" w:cs="宋体"/>
          <w:b/>
          <w:color w:val="auto"/>
          <w:kern w:val="0"/>
          <w:sz w:val="24"/>
          <w:lang w:val="zh-CN"/>
        </w:rPr>
        <w:t>不得出现“0元”“免费赠送”等形式的无偿报价，</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b/>
          <w:color w:val="auto"/>
          <w:kern w:val="0"/>
          <w:sz w:val="24"/>
          <w:lang w:val="zh-CN"/>
        </w:rPr>
        <w:t>；采购内容未包含在《开标一览表（报价表）》名称栏中，投标人不能作出合理解释的，</w:t>
      </w:r>
      <w:r>
        <w:rPr>
          <w:rFonts w:hint="eastAsia" w:ascii="宋体" w:hAnsi="宋体" w:cs="宋体"/>
          <w:b/>
          <w:color w:val="auto"/>
          <w:kern w:val="0"/>
          <w:sz w:val="24"/>
        </w:rPr>
        <w:t>视为</w:t>
      </w:r>
      <w:r>
        <w:rPr>
          <w:rFonts w:hint="eastAsia" w:ascii="宋体" w:hAnsi="宋体" w:cs="宋体"/>
          <w:b/>
          <w:color w:val="auto"/>
          <w:sz w:val="24"/>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en-US" w:eastAsia="zh-CN"/>
        </w:rPr>
        <w:t>7</w:t>
      </w:r>
      <w:r>
        <w:rPr>
          <w:rFonts w:hint="eastAsia" w:ascii="宋体" w:hAnsi="宋体" w:cs="宋体"/>
          <w:color w:val="auto"/>
          <w:kern w:val="0"/>
          <w:sz w:val="24"/>
          <w:lang w:val="zh-CN"/>
        </w:rPr>
        <w:t>、特别提示：采购代理机构将对项目名称和项目编号，中标供应商名称、地址和中标金额，主要中标标的名称、服务范围、服务要求、服务时间、服务标准等予以公示。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szCs w:val="22"/>
          <w:lang w:val="en-US" w:eastAsia="zh-CN"/>
        </w:rPr>
        <w:t>8</w:t>
      </w:r>
      <w:r>
        <w:rPr>
          <w:rFonts w:hint="eastAsia" w:ascii="宋体" w:hAnsi="宋体" w:cs="宋体"/>
          <w:color w:val="auto"/>
          <w:kern w:val="0"/>
          <w:sz w:val="24"/>
          <w:szCs w:val="22"/>
          <w:lang w:val="zh-CN"/>
        </w:rPr>
        <w:t>、</w:t>
      </w:r>
      <w:r>
        <w:rPr>
          <w:rFonts w:hint="eastAsia" w:ascii="宋体" w:hAnsi="宋体" w:cs="宋体"/>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kern w:val="0"/>
          <w:sz w:val="24"/>
        </w:rPr>
      </w:pPr>
    </w:p>
    <w:p>
      <w:pPr>
        <w:shd w:val="clear" w:color="auto" w:fill="FFFFFF"/>
        <w:snapToGrid w:val="0"/>
        <w:spacing w:line="360" w:lineRule="auto"/>
        <w:ind w:firstLine="480" w:firstLineChars="200"/>
        <w:jc w:val="right"/>
        <w:rPr>
          <w:rFonts w:hint="eastAsia" w:ascii="宋体" w:hAnsi="宋体" w:eastAsia="宋体" w:cs="宋体"/>
          <w:color w:val="auto"/>
          <w:sz w:val="24"/>
          <w:highlight w:val="none"/>
        </w:rPr>
      </w:pPr>
    </w:p>
    <w:p>
      <w:pPr>
        <w:shd w:val="clear" w:color="auto" w:fill="FFFFFF"/>
        <w:snapToGrid w:val="0"/>
        <w:spacing w:line="360" w:lineRule="auto"/>
        <w:ind w:firstLine="480" w:firstLineChars="20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投标人名称(公章)：</w:t>
      </w:r>
    </w:p>
    <w:p>
      <w:pPr>
        <w:shd w:val="clear" w:color="auto" w:fill="FFFFFF"/>
        <w:snapToGrid w:val="0"/>
        <w:spacing w:line="360" w:lineRule="auto"/>
        <w:ind w:firstLine="480" w:firstLineChars="200"/>
        <w:jc w:val="right"/>
        <w:rPr>
          <w:rFonts w:hint="eastAsia" w:ascii="宋体" w:hAnsi="宋体" w:eastAsia="宋体" w:cs="宋体"/>
          <w:color w:val="auto"/>
          <w:sz w:val="24"/>
          <w:highlight w:val="none"/>
          <w:lang w:val="zh-CN"/>
        </w:rPr>
      </w:pPr>
      <w:r>
        <w:rPr>
          <w:rFonts w:hint="eastAsia" w:ascii="宋体" w:hAnsi="宋体" w:eastAsia="宋体" w:cs="宋体"/>
          <w:color w:val="auto"/>
          <w:kern w:val="0"/>
          <w:sz w:val="24"/>
          <w:highlight w:val="none"/>
          <w:lang w:val="zh-CN"/>
        </w:rPr>
        <w:t>法定（授权）代表人（</w:t>
      </w:r>
      <w:r>
        <w:rPr>
          <w:rFonts w:hint="eastAsia" w:ascii="宋体" w:hAnsi="宋体" w:eastAsia="宋体" w:cs="宋体"/>
          <w:color w:val="auto"/>
          <w:kern w:val="0"/>
          <w:sz w:val="24"/>
          <w:highlight w:val="none"/>
        </w:rPr>
        <w:t>盖</w:t>
      </w:r>
      <w:r>
        <w:rPr>
          <w:rFonts w:hint="eastAsia" w:ascii="宋体" w:hAnsi="宋体" w:eastAsia="宋体" w:cs="宋体"/>
          <w:color w:val="auto"/>
          <w:sz w:val="24"/>
          <w:highlight w:val="none"/>
        </w:rPr>
        <w:t>章或签字</w:t>
      </w:r>
      <w:r>
        <w:rPr>
          <w:rFonts w:hint="eastAsia" w:ascii="宋体" w:hAnsi="宋体" w:eastAsia="宋体" w:cs="宋体"/>
          <w:color w:val="auto"/>
          <w:sz w:val="24"/>
          <w:highlight w:val="none"/>
          <w:lang w:val="zh-CN"/>
        </w:rPr>
        <w:t>）：</w:t>
      </w:r>
    </w:p>
    <w:p>
      <w:pPr>
        <w:pStyle w:val="4"/>
        <w:jc w:val="right"/>
        <w:rPr>
          <w:rFonts w:hint="eastAsia" w:ascii="宋体" w:hAnsi="宋体" w:eastAsia="宋体" w:cs="宋体"/>
          <w:b w:val="0"/>
          <w:bCs w:val="0"/>
          <w:color w:val="auto"/>
          <w:highlight w:val="none"/>
        </w:rPr>
      </w:pPr>
      <w:r>
        <w:rPr>
          <w:rFonts w:hint="eastAsia" w:ascii="宋体" w:hAnsi="宋体" w:eastAsia="宋体" w:cs="宋体"/>
          <w:b w:val="0"/>
          <w:bCs w:val="0"/>
          <w:color w:val="auto"/>
          <w:sz w:val="24"/>
          <w:highlight w:val="none"/>
        </w:rPr>
        <w:t>日期：    年   月   日</w:t>
      </w:r>
    </w:p>
    <w:p>
      <w:pPr>
        <w:pStyle w:val="690"/>
        <w:tabs>
          <w:tab w:val="clear" w:pos="720"/>
        </w:tabs>
        <w:snapToGrid w:val="0"/>
        <w:spacing w:before="120" w:after="120" w:line="600" w:lineRule="exact"/>
        <w:ind w:firstLine="643"/>
        <w:outlineLvl w:val="9"/>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二、报价明细清单-分项报价表</w:t>
      </w:r>
    </w:p>
    <w:p>
      <w:pPr>
        <w:spacing w:line="600" w:lineRule="exact"/>
        <w:ind w:firstLine="241" w:firstLineChars="100"/>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项目编号：</w:t>
      </w:r>
    </w:p>
    <w:tbl>
      <w:tblPr>
        <w:tblStyle w:val="62"/>
        <w:tblW w:w="97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42"/>
        <w:gridCol w:w="1624"/>
        <w:gridCol w:w="956"/>
        <w:gridCol w:w="1023"/>
        <w:gridCol w:w="1290"/>
        <w:gridCol w:w="1408"/>
        <w:gridCol w:w="28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542" w:type="dxa"/>
            <w:tcBorders>
              <w:top w:val="single" w:color="auto" w:sz="8" w:space="0"/>
              <w:left w:val="single" w:color="auto" w:sz="8" w:space="0"/>
              <w:bottom w:val="single" w:color="auto" w:sz="4" w:space="0"/>
              <w:right w:val="single" w:color="auto" w:sz="4" w:space="0"/>
            </w:tcBorders>
            <w:tcMar>
              <w:top w:w="17" w:type="dxa"/>
              <w:left w:w="17" w:type="dxa"/>
              <w:bottom w:w="0" w:type="dxa"/>
              <w:right w:w="17" w:type="dxa"/>
            </w:tcMar>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1624" w:type="dxa"/>
            <w:tcBorders>
              <w:top w:val="single" w:color="auto" w:sz="8" w:space="0"/>
              <w:left w:val="nil"/>
              <w:bottom w:val="single" w:color="auto" w:sz="4" w:space="0"/>
              <w:right w:val="single" w:color="auto" w:sz="4" w:space="0"/>
            </w:tcBorders>
            <w:tcMar>
              <w:top w:w="17" w:type="dxa"/>
              <w:left w:w="17" w:type="dxa"/>
              <w:bottom w:w="0" w:type="dxa"/>
              <w:right w:w="17" w:type="dxa"/>
            </w:tcMar>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经费名称项目</w:t>
            </w:r>
          </w:p>
        </w:tc>
        <w:tc>
          <w:tcPr>
            <w:tcW w:w="956" w:type="dxa"/>
            <w:tcBorders>
              <w:top w:val="single" w:color="auto" w:sz="8" w:space="0"/>
              <w:left w:val="nil"/>
              <w:bottom w:val="single" w:color="auto" w:sz="4" w:space="0"/>
              <w:right w:val="single" w:color="auto" w:sz="4" w:space="0"/>
            </w:tcBorders>
            <w:tcMar>
              <w:top w:w="17" w:type="dxa"/>
              <w:left w:w="17" w:type="dxa"/>
              <w:bottom w:w="0" w:type="dxa"/>
              <w:right w:w="17" w:type="dxa"/>
            </w:tcMar>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单位</w:t>
            </w:r>
          </w:p>
        </w:tc>
        <w:tc>
          <w:tcPr>
            <w:tcW w:w="1023" w:type="dxa"/>
            <w:tcBorders>
              <w:top w:val="single" w:color="auto" w:sz="8" w:space="0"/>
              <w:left w:val="nil"/>
              <w:bottom w:val="single" w:color="auto" w:sz="4" w:space="0"/>
              <w:right w:val="single" w:color="auto" w:sz="4" w:space="0"/>
            </w:tcBorders>
            <w:tcMar>
              <w:top w:w="17" w:type="dxa"/>
              <w:left w:w="17" w:type="dxa"/>
              <w:bottom w:w="0" w:type="dxa"/>
              <w:right w:w="17" w:type="dxa"/>
            </w:tcMar>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数量</w:t>
            </w:r>
          </w:p>
        </w:tc>
        <w:tc>
          <w:tcPr>
            <w:tcW w:w="1290" w:type="dxa"/>
            <w:tcBorders>
              <w:top w:val="single" w:color="auto" w:sz="8" w:space="0"/>
              <w:left w:val="nil"/>
              <w:bottom w:val="single" w:color="auto" w:sz="4" w:space="0"/>
              <w:right w:val="single" w:color="auto" w:sz="4" w:space="0"/>
            </w:tcBorders>
            <w:tcMar>
              <w:top w:w="17" w:type="dxa"/>
              <w:left w:w="17" w:type="dxa"/>
              <w:bottom w:w="0" w:type="dxa"/>
              <w:right w:w="17" w:type="dxa"/>
            </w:tcMar>
            <w:vAlign w:val="center"/>
          </w:tcPr>
          <w:p>
            <w:pPr>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投标单价</w:t>
            </w:r>
          </w:p>
        </w:tc>
        <w:tc>
          <w:tcPr>
            <w:tcW w:w="1408" w:type="dxa"/>
            <w:tcBorders>
              <w:top w:val="single" w:color="auto" w:sz="8" w:space="0"/>
              <w:left w:val="nil"/>
              <w:bottom w:val="single" w:color="auto" w:sz="4" w:space="0"/>
              <w:right w:val="single" w:color="auto" w:sz="4" w:space="0"/>
            </w:tcBorders>
            <w:tcMar>
              <w:top w:w="17" w:type="dxa"/>
              <w:left w:w="17" w:type="dxa"/>
              <w:bottom w:w="0" w:type="dxa"/>
              <w:right w:w="17" w:type="dxa"/>
            </w:tcMar>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金额（元）</w:t>
            </w:r>
          </w:p>
          <w:p>
            <w:pPr>
              <w:jc w:val="center"/>
              <w:rPr>
                <w:rFonts w:hint="eastAsia" w:ascii="宋体" w:hAnsi="宋体" w:eastAsia="宋体" w:cs="宋体"/>
                <w:b/>
                <w:bCs/>
                <w:color w:val="auto"/>
                <w:sz w:val="24"/>
                <w:szCs w:val="24"/>
                <w:highlight w:val="none"/>
              </w:rPr>
            </w:pPr>
            <w:r>
              <w:rPr>
                <w:rFonts w:hint="eastAsia" w:cs="宋体"/>
                <w:b/>
                <w:bCs/>
                <w:color w:val="auto"/>
                <w:sz w:val="24"/>
                <w:szCs w:val="24"/>
                <w:highlight w:val="none"/>
                <w:lang w:val="en-US" w:eastAsia="zh-CN"/>
              </w:rPr>
              <w:t>2年服务</w:t>
            </w:r>
          </w:p>
        </w:tc>
        <w:tc>
          <w:tcPr>
            <w:tcW w:w="2867" w:type="dxa"/>
            <w:tcBorders>
              <w:top w:val="single" w:color="auto" w:sz="8" w:space="0"/>
              <w:left w:val="nil"/>
              <w:bottom w:val="single" w:color="auto" w:sz="4" w:space="0"/>
              <w:right w:val="single" w:color="auto" w:sz="4" w:space="0"/>
            </w:tcBorders>
            <w:tcMar>
              <w:top w:w="17" w:type="dxa"/>
              <w:left w:w="17" w:type="dxa"/>
              <w:bottom w:w="0" w:type="dxa"/>
              <w:right w:w="17" w:type="dxa"/>
            </w:tcMar>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542" w:type="dxa"/>
            <w:tcBorders>
              <w:top w:val="nil"/>
              <w:left w:val="single" w:color="auto" w:sz="8" w:space="0"/>
              <w:right w:val="single" w:color="auto" w:sz="4" w:space="0"/>
            </w:tcBorders>
            <w:tcMar>
              <w:top w:w="17" w:type="dxa"/>
              <w:left w:w="17" w:type="dxa"/>
              <w:bottom w:w="0" w:type="dxa"/>
              <w:right w:w="17"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624" w:type="dxa"/>
            <w:tcBorders>
              <w:top w:val="nil"/>
              <w:left w:val="single" w:color="auto" w:sz="4" w:space="0"/>
              <w:right w:val="single" w:color="auto" w:sz="4" w:space="0"/>
            </w:tcBorders>
            <w:tcMar>
              <w:top w:w="17" w:type="dxa"/>
              <w:left w:w="17" w:type="dxa"/>
              <w:bottom w:w="0" w:type="dxa"/>
              <w:right w:w="17" w:type="dxa"/>
            </w:tcMar>
            <w:vAlign w:val="center"/>
          </w:tcPr>
          <w:p>
            <w:pPr>
              <w:widowControl/>
              <w:wordWrap/>
              <w:adjustRightInd w:val="0"/>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环卫保洁</w:t>
            </w:r>
          </w:p>
        </w:tc>
        <w:tc>
          <w:tcPr>
            <w:tcW w:w="956" w:type="dxa"/>
            <w:tcBorders>
              <w:top w:val="nil"/>
              <w:left w:val="single" w:color="auto" w:sz="4" w:space="0"/>
              <w:right w:val="single" w:color="auto" w:sz="4" w:space="0"/>
            </w:tcBorders>
            <w:tcMar>
              <w:top w:w="17" w:type="dxa"/>
              <w:left w:w="17" w:type="dxa"/>
              <w:bottom w:w="0" w:type="dxa"/>
              <w:right w:w="17" w:type="dxa"/>
            </w:tcMar>
            <w:vAlign w:val="center"/>
          </w:tcPr>
          <w:p>
            <w:pPr>
              <w:widowControl/>
              <w:wordWrap/>
              <w:adjustRightInd w:val="0"/>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023" w:type="dxa"/>
            <w:tcBorders>
              <w:top w:val="nil"/>
              <w:left w:val="single" w:color="auto" w:sz="4" w:space="0"/>
              <w:bottom w:val="single" w:color="auto" w:sz="4" w:space="0"/>
              <w:right w:val="single" w:color="auto" w:sz="4" w:space="0"/>
            </w:tcBorders>
            <w:tcMar>
              <w:top w:w="17" w:type="dxa"/>
              <w:left w:w="17" w:type="dxa"/>
              <w:bottom w:w="0" w:type="dxa"/>
              <w:right w:w="17" w:type="dxa"/>
            </w:tcMar>
            <w:vAlign w:val="center"/>
          </w:tcPr>
          <w:p>
            <w:pPr>
              <w:widowControl/>
              <w:wordWrap/>
              <w:adjustRightInd w:val="0"/>
              <w:snapToGrid/>
              <w:spacing w:line="360" w:lineRule="exact"/>
              <w:jc w:val="center"/>
              <w:textAlignment w:val="center"/>
              <w:rPr>
                <w:rFonts w:hint="default" w:ascii="宋体" w:hAnsi="宋体" w:eastAsia="宋体" w:cs="宋体"/>
                <w:color w:val="auto"/>
                <w:sz w:val="24"/>
                <w:szCs w:val="24"/>
                <w:highlight w:val="none"/>
                <w:lang w:val="en-US" w:eastAsia="zh-CN"/>
              </w:rPr>
            </w:pPr>
          </w:p>
        </w:tc>
        <w:tc>
          <w:tcPr>
            <w:tcW w:w="1290" w:type="dxa"/>
            <w:tcBorders>
              <w:top w:val="nil"/>
              <w:left w:val="nil"/>
              <w:bottom w:val="single" w:color="auto" w:sz="4" w:space="0"/>
              <w:right w:val="single" w:color="auto" w:sz="4" w:space="0"/>
            </w:tcBorders>
            <w:tcMar>
              <w:top w:w="17" w:type="dxa"/>
              <w:left w:w="17" w:type="dxa"/>
              <w:bottom w:w="0" w:type="dxa"/>
              <w:right w:w="17" w:type="dxa"/>
            </w:tcMar>
            <w:vAlign w:val="center"/>
          </w:tcPr>
          <w:p>
            <w:pPr>
              <w:widowControl/>
              <w:jc w:val="center"/>
              <w:textAlignment w:val="center"/>
              <w:rPr>
                <w:rFonts w:hint="eastAsia" w:ascii="宋体" w:hAnsi="宋体" w:eastAsia="宋体" w:cs="宋体"/>
                <w:color w:val="auto"/>
                <w:sz w:val="24"/>
                <w:szCs w:val="24"/>
                <w:highlight w:val="none"/>
              </w:rPr>
            </w:pPr>
          </w:p>
        </w:tc>
        <w:tc>
          <w:tcPr>
            <w:tcW w:w="1408" w:type="dxa"/>
            <w:tcBorders>
              <w:top w:val="nil"/>
              <w:left w:val="nil"/>
              <w:bottom w:val="single" w:color="auto" w:sz="4" w:space="0"/>
              <w:right w:val="single" w:color="auto" w:sz="4" w:space="0"/>
            </w:tcBorders>
            <w:tcMar>
              <w:top w:w="17" w:type="dxa"/>
              <w:left w:w="17" w:type="dxa"/>
              <w:bottom w:w="0" w:type="dxa"/>
              <w:right w:w="17" w:type="dxa"/>
            </w:tcMar>
            <w:vAlign w:val="center"/>
          </w:tcPr>
          <w:p>
            <w:pPr>
              <w:jc w:val="center"/>
              <w:rPr>
                <w:rFonts w:hint="eastAsia" w:ascii="宋体" w:hAnsi="宋体" w:eastAsia="宋体" w:cs="宋体"/>
                <w:color w:val="auto"/>
                <w:sz w:val="24"/>
                <w:szCs w:val="24"/>
                <w:highlight w:val="none"/>
              </w:rPr>
            </w:pPr>
          </w:p>
        </w:tc>
        <w:tc>
          <w:tcPr>
            <w:tcW w:w="2867" w:type="dxa"/>
            <w:tcBorders>
              <w:top w:val="nil"/>
              <w:left w:val="nil"/>
              <w:bottom w:val="single" w:color="auto" w:sz="4" w:space="0"/>
              <w:right w:val="single" w:color="auto" w:sz="4" w:space="0"/>
            </w:tcBorders>
            <w:tcMar>
              <w:top w:w="17" w:type="dxa"/>
              <w:left w:w="17" w:type="dxa"/>
              <w:bottom w:w="0" w:type="dxa"/>
              <w:right w:w="17" w:type="dxa"/>
            </w:tcMar>
            <w:vAlign w:val="center"/>
          </w:tcPr>
          <w:p>
            <w:pPr>
              <w:widowControl/>
              <w:wordWrap/>
              <w:adjustRightInd w:val="0"/>
              <w:snapToGrid/>
              <w:spacing w:line="360" w:lineRule="exact"/>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最高限价为</w:t>
            </w:r>
            <w:r>
              <w:rPr>
                <w:rFonts w:hint="eastAsia" w:ascii="宋体" w:hAnsi="宋体" w:cs="宋体"/>
                <w:color w:val="auto"/>
                <w:sz w:val="24"/>
                <w:highlight w:val="none"/>
                <w:lang w:val="en-US" w:eastAsia="zh-CN"/>
              </w:rPr>
              <w:t>22.98</w:t>
            </w:r>
            <w:r>
              <w:rPr>
                <w:rFonts w:hint="eastAsia" w:ascii="宋体" w:hAnsi="宋体" w:eastAsia="宋体" w:cs="宋体"/>
                <w:color w:val="auto"/>
                <w:sz w:val="24"/>
                <w:highlight w:val="none"/>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542" w:type="dxa"/>
            <w:tcBorders>
              <w:top w:val="single" w:color="auto" w:sz="4" w:space="0"/>
              <w:left w:val="single" w:color="auto" w:sz="8" w:space="0"/>
              <w:bottom w:val="single" w:color="auto" w:sz="4" w:space="0"/>
              <w:right w:val="single" w:color="auto" w:sz="4" w:space="0"/>
            </w:tcBorders>
            <w:tcMar>
              <w:top w:w="17" w:type="dxa"/>
              <w:left w:w="17" w:type="dxa"/>
              <w:bottom w:w="0" w:type="dxa"/>
              <w:right w:w="17"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624" w:type="dxa"/>
            <w:tcBorders>
              <w:top w:val="single" w:color="auto" w:sz="4" w:space="0"/>
              <w:left w:val="nil"/>
              <w:bottom w:val="single" w:color="auto" w:sz="4" w:space="0"/>
              <w:right w:val="single" w:color="000000" w:sz="4" w:space="0"/>
            </w:tcBorders>
            <w:tcMar>
              <w:top w:w="17" w:type="dxa"/>
              <w:left w:w="17" w:type="dxa"/>
              <w:bottom w:w="0" w:type="dxa"/>
              <w:right w:w="17" w:type="dxa"/>
            </w:tcMar>
            <w:vAlign w:val="center"/>
          </w:tcPr>
          <w:p>
            <w:pPr>
              <w:widowControl/>
              <w:wordWrap/>
              <w:adjustRightInd w:val="0"/>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市政养护</w:t>
            </w:r>
          </w:p>
        </w:tc>
        <w:tc>
          <w:tcPr>
            <w:tcW w:w="956"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widowControl/>
              <w:wordWrap/>
              <w:adjustRightInd w:val="0"/>
              <w:snapToGrid/>
              <w:spacing w:line="360" w:lineRule="exact"/>
              <w:jc w:val="center"/>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lang w:val="en-US" w:eastAsia="zh-CN"/>
              </w:rPr>
              <w:t>项</w:t>
            </w:r>
          </w:p>
        </w:tc>
        <w:tc>
          <w:tcPr>
            <w:tcW w:w="1023" w:type="dxa"/>
            <w:tcBorders>
              <w:top w:val="nil"/>
              <w:left w:val="single" w:color="auto" w:sz="4" w:space="0"/>
              <w:bottom w:val="single" w:color="auto" w:sz="4" w:space="0"/>
              <w:right w:val="single" w:color="auto" w:sz="4" w:space="0"/>
            </w:tcBorders>
            <w:tcMar>
              <w:top w:w="17" w:type="dxa"/>
              <w:left w:w="17" w:type="dxa"/>
              <w:bottom w:w="0" w:type="dxa"/>
              <w:right w:w="17" w:type="dxa"/>
            </w:tcMar>
            <w:vAlign w:val="center"/>
          </w:tcPr>
          <w:p>
            <w:pPr>
              <w:widowControl/>
              <w:wordWrap/>
              <w:adjustRightInd w:val="0"/>
              <w:snapToGrid/>
              <w:spacing w:line="360" w:lineRule="exact"/>
              <w:jc w:val="center"/>
              <w:textAlignment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1</w:t>
            </w:r>
          </w:p>
        </w:tc>
        <w:tc>
          <w:tcPr>
            <w:tcW w:w="1290" w:type="dxa"/>
            <w:tcBorders>
              <w:top w:val="nil"/>
              <w:left w:val="nil"/>
              <w:bottom w:val="single" w:color="auto" w:sz="4" w:space="0"/>
              <w:right w:val="single" w:color="auto" w:sz="4" w:space="0"/>
            </w:tcBorders>
            <w:tcMar>
              <w:top w:w="17" w:type="dxa"/>
              <w:left w:w="17" w:type="dxa"/>
              <w:bottom w:w="0" w:type="dxa"/>
              <w:right w:w="17" w:type="dxa"/>
            </w:tcMar>
            <w:vAlign w:val="center"/>
          </w:tcPr>
          <w:p>
            <w:pPr>
              <w:widowControl/>
              <w:jc w:val="center"/>
              <w:textAlignment w:val="center"/>
              <w:rPr>
                <w:rFonts w:hint="default" w:ascii="宋体" w:hAnsi="宋体" w:eastAsia="宋体" w:cs="宋体"/>
                <w:b/>
                <w:bCs/>
                <w:color w:val="auto"/>
                <w:sz w:val="24"/>
                <w:szCs w:val="24"/>
                <w:highlight w:val="none"/>
                <w:lang w:val="en-US"/>
              </w:rPr>
            </w:pPr>
            <w:r>
              <w:rPr>
                <w:rFonts w:hint="eastAsia" w:ascii="宋体" w:hAnsi="宋体" w:cs="宋体"/>
                <w:b/>
                <w:bCs/>
                <w:color w:val="auto"/>
                <w:sz w:val="24"/>
                <w:szCs w:val="24"/>
                <w:highlight w:val="none"/>
                <w:lang w:val="en-US" w:eastAsia="zh-CN"/>
              </w:rPr>
              <w:t xml:space="preserve"> </w:t>
            </w:r>
          </w:p>
        </w:tc>
        <w:tc>
          <w:tcPr>
            <w:tcW w:w="1408" w:type="dxa"/>
            <w:tcBorders>
              <w:top w:val="nil"/>
              <w:left w:val="nil"/>
              <w:bottom w:val="single" w:color="auto" w:sz="4" w:space="0"/>
              <w:right w:val="single" w:color="auto" w:sz="4" w:space="0"/>
            </w:tcBorders>
            <w:tcMar>
              <w:top w:w="17" w:type="dxa"/>
              <w:left w:w="17" w:type="dxa"/>
              <w:bottom w:w="0" w:type="dxa"/>
              <w:right w:w="17" w:type="dxa"/>
            </w:tcMar>
            <w:vAlign w:val="center"/>
          </w:tcPr>
          <w:p>
            <w:pPr>
              <w:jc w:val="left"/>
              <w:rPr>
                <w:rFonts w:hint="default" w:ascii="宋体" w:hAnsi="宋体" w:eastAsia="宋体" w:cs="宋体"/>
                <w:b/>
                <w:bCs/>
                <w:color w:val="auto"/>
                <w:sz w:val="24"/>
                <w:szCs w:val="24"/>
                <w:highlight w:val="none"/>
                <w:lang w:val="en-US" w:eastAsia="zh-CN"/>
              </w:rPr>
            </w:pPr>
          </w:p>
        </w:tc>
        <w:tc>
          <w:tcPr>
            <w:tcW w:w="2867" w:type="dxa"/>
            <w:tcBorders>
              <w:top w:val="nil"/>
              <w:left w:val="nil"/>
              <w:bottom w:val="single" w:color="auto" w:sz="4" w:space="0"/>
              <w:right w:val="single" w:color="auto" w:sz="4" w:space="0"/>
            </w:tcBorders>
            <w:tcMar>
              <w:top w:w="17" w:type="dxa"/>
              <w:left w:w="17" w:type="dxa"/>
              <w:bottom w:w="0" w:type="dxa"/>
              <w:right w:w="17" w:type="dxa"/>
            </w:tcMar>
            <w:vAlign w:val="center"/>
          </w:tcPr>
          <w:p>
            <w:pPr>
              <w:widowControl/>
              <w:wordWrap/>
              <w:adjustRightInd w:val="0"/>
              <w:snapToGrid/>
              <w:spacing w:line="360" w:lineRule="exact"/>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zh-CN"/>
              </w:rPr>
              <w:t>此部分暂定费用为</w:t>
            </w:r>
            <w:r>
              <w:rPr>
                <w:rFonts w:hint="eastAsia" w:ascii="宋体" w:hAnsi="宋体" w:cs="宋体"/>
                <w:b/>
                <w:bCs/>
                <w:color w:val="auto"/>
                <w:sz w:val="24"/>
                <w:highlight w:val="none"/>
                <w:lang w:val="en-US" w:eastAsia="zh-CN"/>
              </w:rPr>
              <w:t>296</w:t>
            </w:r>
            <w:r>
              <w:rPr>
                <w:rFonts w:hint="eastAsia" w:ascii="宋体" w:hAnsi="宋体" w:eastAsia="宋体" w:cs="宋体"/>
                <w:color w:val="auto"/>
                <w:sz w:val="24"/>
                <w:highlight w:val="none"/>
                <w:lang w:val="zh-CN"/>
              </w:rPr>
              <w:t>万元</w:t>
            </w:r>
            <w:r>
              <w:rPr>
                <w:rFonts w:hint="eastAsia" w:ascii="宋体" w:hAnsi="宋体" w:cs="宋体"/>
                <w:color w:val="auto"/>
                <w:sz w:val="24"/>
                <w:highlight w:val="none"/>
                <w:lang w:val="en-US" w:eastAsia="zh-CN"/>
              </w:rPr>
              <w:t>/年</w:t>
            </w:r>
            <w:r>
              <w:rPr>
                <w:rFonts w:hint="eastAsia" w:ascii="宋体" w:hAnsi="宋体" w:eastAsia="宋体" w:cs="宋体"/>
                <w:color w:val="auto"/>
                <w:sz w:val="24"/>
                <w:highlight w:val="none"/>
                <w:lang w:val="zh-CN"/>
              </w:rPr>
              <w:t>，实际工程量以审计单位审核结果结算（此部分费用不作为竞争性报价，否则作无效标处理）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7" w:hRule="atLeast"/>
          <w:jc w:val="center"/>
        </w:trPr>
        <w:tc>
          <w:tcPr>
            <w:tcW w:w="542" w:type="dxa"/>
            <w:tcBorders>
              <w:top w:val="nil"/>
              <w:left w:val="single" w:color="auto" w:sz="8" w:space="0"/>
              <w:right w:val="single" w:color="auto" w:sz="4" w:space="0"/>
            </w:tcBorders>
            <w:tcMar>
              <w:top w:w="17" w:type="dxa"/>
              <w:left w:w="17" w:type="dxa"/>
              <w:bottom w:w="0" w:type="dxa"/>
              <w:right w:w="17"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624" w:type="dxa"/>
            <w:tcBorders>
              <w:top w:val="single" w:color="auto" w:sz="4" w:space="0"/>
              <w:left w:val="nil"/>
              <w:right w:val="single" w:color="000000" w:sz="4" w:space="0"/>
            </w:tcBorders>
            <w:tcMar>
              <w:top w:w="17" w:type="dxa"/>
              <w:left w:w="17" w:type="dxa"/>
              <w:bottom w:w="0" w:type="dxa"/>
              <w:right w:w="17" w:type="dxa"/>
            </w:tcMar>
            <w:vAlign w:val="center"/>
          </w:tcPr>
          <w:p>
            <w:pPr>
              <w:widowControl/>
              <w:wordWrap/>
              <w:adjustRightInd w:val="0"/>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绿化养护</w:t>
            </w:r>
          </w:p>
        </w:tc>
        <w:tc>
          <w:tcPr>
            <w:tcW w:w="956" w:type="dxa"/>
            <w:tcBorders>
              <w:top w:val="nil"/>
              <w:left w:val="single" w:color="auto" w:sz="4" w:space="0"/>
              <w:right w:val="single" w:color="auto" w:sz="4" w:space="0"/>
            </w:tcBorders>
            <w:tcMar>
              <w:top w:w="17" w:type="dxa"/>
              <w:left w:w="17" w:type="dxa"/>
              <w:bottom w:w="0" w:type="dxa"/>
              <w:right w:w="17" w:type="dxa"/>
            </w:tcMar>
            <w:vAlign w:val="center"/>
          </w:tcPr>
          <w:p>
            <w:pPr>
              <w:widowControl/>
              <w:wordWrap/>
              <w:adjustRightInd w:val="0"/>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023" w:type="dxa"/>
            <w:tcBorders>
              <w:top w:val="nil"/>
              <w:left w:val="single" w:color="auto" w:sz="4" w:space="0"/>
              <w:bottom w:val="single" w:color="auto" w:sz="4" w:space="0"/>
              <w:right w:val="single" w:color="auto" w:sz="4" w:space="0"/>
            </w:tcBorders>
            <w:tcMar>
              <w:top w:w="17" w:type="dxa"/>
              <w:left w:w="17" w:type="dxa"/>
              <w:bottom w:w="0" w:type="dxa"/>
              <w:right w:w="17" w:type="dxa"/>
            </w:tcMar>
            <w:vAlign w:val="center"/>
          </w:tcPr>
          <w:p>
            <w:pPr>
              <w:widowControl/>
              <w:wordWrap/>
              <w:adjustRightInd w:val="0"/>
              <w:snapToGrid/>
              <w:spacing w:line="360" w:lineRule="exact"/>
              <w:jc w:val="center"/>
              <w:textAlignment w:val="center"/>
              <w:rPr>
                <w:rFonts w:hint="default" w:ascii="宋体" w:hAnsi="宋体" w:eastAsia="宋体" w:cs="宋体"/>
                <w:color w:val="auto"/>
                <w:sz w:val="24"/>
                <w:szCs w:val="24"/>
                <w:highlight w:val="none"/>
                <w:lang w:val="en-US" w:eastAsia="zh-CN"/>
              </w:rPr>
            </w:pPr>
          </w:p>
        </w:tc>
        <w:tc>
          <w:tcPr>
            <w:tcW w:w="1290" w:type="dxa"/>
            <w:tcBorders>
              <w:top w:val="nil"/>
              <w:left w:val="nil"/>
              <w:bottom w:val="single" w:color="auto" w:sz="4" w:space="0"/>
              <w:right w:val="single" w:color="auto" w:sz="4" w:space="0"/>
            </w:tcBorders>
            <w:tcMar>
              <w:top w:w="17" w:type="dxa"/>
              <w:left w:w="17" w:type="dxa"/>
              <w:bottom w:w="0" w:type="dxa"/>
              <w:right w:w="17" w:type="dxa"/>
            </w:tcMar>
            <w:vAlign w:val="center"/>
          </w:tcPr>
          <w:p>
            <w:pPr>
              <w:widowControl/>
              <w:jc w:val="center"/>
              <w:textAlignment w:val="center"/>
              <w:rPr>
                <w:rFonts w:hint="eastAsia" w:ascii="宋体" w:hAnsi="宋体" w:eastAsia="宋体" w:cs="宋体"/>
                <w:color w:val="auto"/>
                <w:sz w:val="24"/>
                <w:szCs w:val="24"/>
                <w:highlight w:val="none"/>
              </w:rPr>
            </w:pPr>
          </w:p>
        </w:tc>
        <w:tc>
          <w:tcPr>
            <w:tcW w:w="1408" w:type="dxa"/>
            <w:tcBorders>
              <w:top w:val="nil"/>
              <w:left w:val="nil"/>
              <w:bottom w:val="single" w:color="auto" w:sz="4" w:space="0"/>
              <w:right w:val="single" w:color="auto" w:sz="4" w:space="0"/>
            </w:tcBorders>
            <w:tcMar>
              <w:top w:w="17" w:type="dxa"/>
              <w:left w:w="17" w:type="dxa"/>
              <w:bottom w:w="0" w:type="dxa"/>
              <w:right w:w="17" w:type="dxa"/>
            </w:tcMar>
            <w:vAlign w:val="center"/>
          </w:tcPr>
          <w:p>
            <w:pPr>
              <w:jc w:val="center"/>
              <w:rPr>
                <w:rFonts w:hint="eastAsia" w:ascii="宋体" w:hAnsi="宋体" w:eastAsia="宋体" w:cs="宋体"/>
                <w:color w:val="auto"/>
                <w:sz w:val="24"/>
                <w:szCs w:val="24"/>
                <w:highlight w:val="none"/>
              </w:rPr>
            </w:pPr>
          </w:p>
        </w:tc>
        <w:tc>
          <w:tcPr>
            <w:tcW w:w="2867" w:type="dxa"/>
            <w:tcBorders>
              <w:top w:val="nil"/>
              <w:left w:val="nil"/>
              <w:bottom w:val="single" w:color="auto" w:sz="4" w:space="0"/>
              <w:right w:val="single" w:color="auto" w:sz="4" w:space="0"/>
            </w:tcBorders>
            <w:tcMar>
              <w:top w:w="17" w:type="dxa"/>
              <w:left w:w="17" w:type="dxa"/>
              <w:bottom w:w="0" w:type="dxa"/>
              <w:right w:w="17" w:type="dxa"/>
            </w:tcMar>
            <w:vAlign w:val="center"/>
          </w:tcPr>
          <w:p>
            <w:pPr>
              <w:widowControl/>
              <w:wordWrap/>
              <w:adjustRightInd w:val="0"/>
              <w:snapToGrid/>
              <w:spacing w:line="360" w:lineRule="exact"/>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最高限价为</w:t>
            </w:r>
            <w:r>
              <w:rPr>
                <w:rFonts w:hint="eastAsia" w:ascii="宋体" w:hAnsi="宋体" w:cs="宋体"/>
                <w:color w:val="auto"/>
                <w:sz w:val="24"/>
                <w:highlight w:val="none"/>
                <w:lang w:val="en-US" w:eastAsia="zh-CN"/>
              </w:rPr>
              <w:t>10.03</w:t>
            </w:r>
            <w:r>
              <w:rPr>
                <w:rFonts w:hint="eastAsia" w:ascii="宋体" w:hAnsi="宋体" w:eastAsia="宋体" w:cs="宋体"/>
                <w:color w:val="auto"/>
                <w:sz w:val="24"/>
                <w:highlight w:val="none"/>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542" w:type="dxa"/>
            <w:tcBorders>
              <w:top w:val="nil"/>
              <w:left w:val="single" w:color="auto" w:sz="8" w:space="0"/>
              <w:bottom w:val="single" w:color="auto" w:sz="4" w:space="0"/>
              <w:right w:val="single" w:color="auto" w:sz="4" w:space="0"/>
            </w:tcBorders>
            <w:tcMar>
              <w:top w:w="17" w:type="dxa"/>
              <w:left w:w="17" w:type="dxa"/>
              <w:bottom w:w="0" w:type="dxa"/>
              <w:right w:w="17" w:type="dxa"/>
            </w:tcMar>
            <w:vAlign w:val="center"/>
          </w:tcPr>
          <w:p>
            <w:pPr>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p>
        </w:tc>
        <w:tc>
          <w:tcPr>
            <w:tcW w:w="3603" w:type="dxa"/>
            <w:gridSpan w:val="3"/>
            <w:tcBorders>
              <w:top w:val="single" w:color="auto" w:sz="4" w:space="0"/>
              <w:left w:val="nil"/>
              <w:bottom w:val="single" w:color="auto" w:sz="4" w:space="0"/>
              <w:right w:val="single" w:color="000000" w:sz="4" w:space="0"/>
            </w:tcBorders>
            <w:tcMar>
              <w:top w:w="17" w:type="dxa"/>
              <w:left w:w="17" w:type="dxa"/>
              <w:bottom w:w="0" w:type="dxa"/>
              <w:right w:w="17"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报价合计（1+2+3）</w:t>
            </w:r>
          </w:p>
        </w:tc>
        <w:tc>
          <w:tcPr>
            <w:tcW w:w="5565"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hint="eastAsia" w:ascii="宋体" w:hAnsi="宋体" w:eastAsia="宋体" w:cs="宋体"/>
                <w:color w:val="auto"/>
                <w:sz w:val="24"/>
                <w:szCs w:val="24"/>
                <w:highlight w:val="none"/>
              </w:rPr>
            </w:pPr>
          </w:p>
        </w:tc>
      </w:tr>
    </w:tbl>
    <w:p>
      <w:pPr>
        <w:pStyle w:val="967"/>
        <w:rPr>
          <w:rFonts w:hint="eastAsia" w:ascii="宋体" w:hAnsi="宋体" w:eastAsia="宋体" w:cs="宋体"/>
          <w:color w:val="auto"/>
          <w:highlight w:val="none"/>
          <w:lang w:val="en-US"/>
        </w:rPr>
      </w:pPr>
    </w:p>
    <w:p>
      <w:pPr>
        <w:pStyle w:val="36"/>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zh-CN"/>
        </w:rPr>
        <w:t>注：</w:t>
      </w:r>
      <w:r>
        <w:rPr>
          <w:rFonts w:hint="eastAsia" w:ascii="宋体" w:hAnsi="宋体" w:eastAsia="宋体" w:cs="宋体"/>
          <w:b/>
          <w:bCs/>
          <w:i w:val="0"/>
          <w:iCs w:val="0"/>
          <w:color w:val="auto"/>
          <w:kern w:val="0"/>
          <w:sz w:val="24"/>
          <w:szCs w:val="24"/>
          <w:highlight w:val="none"/>
          <w:u w:val="none"/>
          <w:lang w:val="en-US" w:eastAsia="zh-CN" w:bidi="ar"/>
        </w:rPr>
        <w:t>本项目综合养护内容还包括垃圾分类音乐线、牛皮藓清理、雨水篦清掏，该三项属保洁养护区域范围内的工作内容，相应的费用不在单独计取，含在投标报价内</w:t>
      </w:r>
      <w:r>
        <w:rPr>
          <w:rFonts w:hint="eastAsia" w:hAnsi="宋体" w:cs="宋体"/>
          <w:b/>
          <w:bCs/>
          <w:i w:val="0"/>
          <w:iCs w:val="0"/>
          <w:color w:val="auto"/>
          <w:kern w:val="0"/>
          <w:sz w:val="24"/>
          <w:szCs w:val="24"/>
          <w:highlight w:val="none"/>
          <w:u w:val="none"/>
          <w:lang w:val="en-US" w:eastAsia="zh-CN" w:bidi="ar"/>
        </w:rPr>
        <w:t>。</w:t>
      </w:r>
    </w:p>
    <w:p>
      <w:pPr>
        <w:pStyle w:val="3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sz w:val="24"/>
          <w:szCs w:val="24"/>
          <w:highlight w:val="none"/>
        </w:rPr>
        <w:t>可根据具体情况调整报价明细清单格式，但应包括项目涉及的一切相关税费等费用。</w:t>
      </w:r>
    </w:p>
    <w:p>
      <w:pPr>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3、分项报价表中合计总价应与开标一览表中的各项相应报价相一致。</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 xml:space="preserve">4、漏报视作包含在投标总价内。 </w:t>
      </w:r>
    </w:p>
    <w:p>
      <w:pPr>
        <w:shd w:val="clear" w:color="auto" w:fill="FFFFFF"/>
        <w:snapToGrid w:val="0"/>
        <w:spacing w:line="360" w:lineRule="auto"/>
        <w:ind w:firstLine="480" w:firstLineChars="20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投标人名称(公章)：</w:t>
      </w:r>
    </w:p>
    <w:p>
      <w:pPr>
        <w:shd w:val="clear" w:color="auto" w:fill="FFFFFF"/>
        <w:snapToGrid w:val="0"/>
        <w:spacing w:line="360" w:lineRule="auto"/>
        <w:ind w:firstLine="480" w:firstLineChars="200"/>
        <w:jc w:val="right"/>
        <w:rPr>
          <w:rFonts w:hint="eastAsia" w:ascii="宋体" w:hAnsi="宋体" w:eastAsia="宋体" w:cs="宋体"/>
          <w:color w:val="auto"/>
          <w:sz w:val="24"/>
          <w:highlight w:val="none"/>
          <w:lang w:val="zh-CN"/>
        </w:rPr>
      </w:pPr>
      <w:r>
        <w:rPr>
          <w:rFonts w:hint="eastAsia" w:ascii="宋体" w:hAnsi="宋体" w:eastAsia="宋体" w:cs="宋体"/>
          <w:color w:val="auto"/>
          <w:kern w:val="0"/>
          <w:sz w:val="24"/>
          <w:highlight w:val="none"/>
          <w:lang w:val="zh-CN"/>
        </w:rPr>
        <w:t>法定（授权）代表人（</w:t>
      </w:r>
      <w:r>
        <w:rPr>
          <w:rFonts w:hint="eastAsia" w:ascii="宋体" w:hAnsi="宋体" w:eastAsia="宋体" w:cs="宋体"/>
          <w:color w:val="auto"/>
          <w:kern w:val="0"/>
          <w:sz w:val="24"/>
          <w:highlight w:val="none"/>
        </w:rPr>
        <w:t>盖</w:t>
      </w:r>
      <w:r>
        <w:rPr>
          <w:rFonts w:hint="eastAsia" w:ascii="宋体" w:hAnsi="宋体" w:eastAsia="宋体" w:cs="宋体"/>
          <w:color w:val="auto"/>
          <w:sz w:val="24"/>
          <w:highlight w:val="none"/>
        </w:rPr>
        <w:t>章或签字</w:t>
      </w:r>
      <w:r>
        <w:rPr>
          <w:rFonts w:hint="eastAsia" w:ascii="宋体" w:hAnsi="宋体" w:eastAsia="宋体" w:cs="宋体"/>
          <w:color w:val="auto"/>
          <w:sz w:val="24"/>
          <w:highlight w:val="none"/>
          <w:lang w:val="zh-CN"/>
        </w:rPr>
        <w:t>）：</w:t>
      </w:r>
    </w:p>
    <w:p>
      <w:pPr>
        <w:shd w:val="clear" w:color="auto" w:fill="FFFFFF"/>
        <w:snapToGrid w:val="0"/>
        <w:spacing w:line="360" w:lineRule="auto"/>
        <w:ind w:firstLine="480" w:firstLineChars="200"/>
        <w:jc w:val="righ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 xml:space="preserve">日期：  </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zh-CN"/>
        </w:rPr>
        <w:t>年</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zh-CN"/>
        </w:rPr>
        <w:t>月</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zh-CN"/>
        </w:rPr>
        <w:t>日</w:t>
      </w:r>
    </w:p>
    <w:p>
      <w:pPr>
        <w:pStyle w:val="690"/>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r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sectPr>
          <w:pgSz w:w="11906" w:h="16838"/>
          <w:pgMar w:top="1247" w:right="1418" w:bottom="1276"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auto"/>
          <w:sz w:val="32"/>
          <w:szCs w:val="32"/>
        </w:rPr>
      </w:pPr>
      <w:r>
        <w:rPr>
          <w:rFonts w:hint="eastAsia" w:ascii="宋体" w:hAnsi="宋体" w:eastAsia="宋体" w:cs="宋体"/>
          <w:color w:val="auto"/>
          <w:kern w:val="2"/>
          <w:sz w:val="32"/>
          <w:szCs w:val="32"/>
        </w:rPr>
        <w:t>二、</w:t>
      </w:r>
      <w:r>
        <w:rPr>
          <w:rFonts w:hint="eastAsia" w:ascii="宋体" w:hAnsi="宋体" w:eastAsia="宋体" w:cs="宋体"/>
          <w:color w:val="auto"/>
          <w:sz w:val="32"/>
          <w:szCs w:val="32"/>
        </w:rPr>
        <w:t>中小企业声明函（如果有）</w:t>
      </w:r>
    </w:p>
    <w:p>
      <w:pPr>
        <w:widowControl/>
        <w:spacing w:line="360" w:lineRule="auto"/>
        <w:ind w:firstLine="120" w:firstLineChars="50"/>
        <w:jc w:val="left"/>
        <w:rPr>
          <w:rFonts w:ascii="宋体" w:hAnsi="宋体" w:cs="宋体"/>
          <w:b/>
          <w:color w:val="auto"/>
          <w:sz w:val="24"/>
        </w:rPr>
      </w:pPr>
      <w:r>
        <w:rPr>
          <w:rFonts w:hint="eastAsia" w:ascii="宋体" w:hAnsi="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rPr>
        <w:t>7</w:t>
      </w:r>
      <w:r>
        <w:rPr>
          <w:rFonts w:hint="eastAsia" w:ascii="宋体" w:hAnsi="宋体" w:cs="宋体"/>
          <w:b/>
          <w:color w:val="auto"/>
          <w:sz w:val="24"/>
        </w:rPr>
        <w:t>）。]</w:t>
      </w:r>
    </w:p>
    <w:p>
      <w:pPr>
        <w:pStyle w:val="690"/>
        <w:keepNext w:val="0"/>
        <w:pageBreakBefore w:val="0"/>
        <w:tabs>
          <w:tab w:val="clear" w:pos="720"/>
        </w:tabs>
        <w:snapToGrid w:val="0"/>
        <w:spacing w:before="120" w:after="120"/>
        <w:ind w:firstLine="643"/>
        <w:outlineLvl w:val="9"/>
        <w:rPr>
          <w:rFonts w:ascii="宋体" w:hAnsi="宋体" w:eastAsia="宋体" w:cs="宋体"/>
          <w:b w:val="0"/>
          <w:color w:val="auto"/>
          <w:sz w:val="32"/>
          <w:szCs w:val="32"/>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color w:val="auto"/>
        </w:rPr>
      </w:pPr>
      <w:r>
        <w:rPr>
          <w:rFonts w:hint="eastAsia" w:ascii="宋体" w:hAnsi="宋体" w:cs="宋体"/>
          <w:color w:val="auto"/>
        </w:rPr>
        <w:t>附件</w:t>
      </w:r>
    </w:p>
    <w:p>
      <w:pPr>
        <w:spacing w:line="360" w:lineRule="auto"/>
        <w:rPr>
          <w:rFonts w:ascii="宋体" w:hAnsi="宋体" w:cs="宋体"/>
          <w:b/>
          <w:color w:val="auto"/>
          <w:spacing w:val="6"/>
          <w:sz w:val="32"/>
          <w:szCs w:val="32"/>
        </w:rPr>
      </w:pPr>
      <w:r>
        <w:rPr>
          <w:rFonts w:hint="eastAsia" w:ascii="宋体" w:hAnsi="宋体" w:cs="宋体"/>
          <w:b/>
          <w:color w:val="auto"/>
          <w:spacing w:val="6"/>
          <w:sz w:val="32"/>
          <w:szCs w:val="32"/>
        </w:rPr>
        <w:t>附件1：</w:t>
      </w:r>
    </w:p>
    <w:p>
      <w:pPr>
        <w:spacing w:line="360" w:lineRule="auto"/>
        <w:jc w:val="center"/>
        <w:rPr>
          <w:rFonts w:ascii="宋体" w:hAnsi="宋体" w:cs="宋体"/>
          <w:b/>
          <w:color w:val="auto"/>
          <w:spacing w:val="6"/>
          <w:sz w:val="32"/>
          <w:szCs w:val="32"/>
        </w:rPr>
      </w:pPr>
      <w:bookmarkStart w:id="417" w:name="OLE_LINK13"/>
      <w:bookmarkStart w:id="418" w:name="OLE_LINK14"/>
      <w:r>
        <w:rPr>
          <w:rFonts w:hint="eastAsia" w:ascii="宋体" w:hAnsi="宋体" w:cs="宋体"/>
          <w:b/>
          <w:color w:val="auto"/>
          <w:spacing w:val="6"/>
          <w:sz w:val="32"/>
          <w:szCs w:val="32"/>
        </w:rPr>
        <w:t>残疾人福利性单位声明函</w:t>
      </w:r>
    </w:p>
    <w:bookmarkEnd w:id="417"/>
    <w:bookmarkEnd w:id="418"/>
    <w:p>
      <w:pPr>
        <w:spacing w:line="360" w:lineRule="auto"/>
        <w:rPr>
          <w:rFonts w:ascii="宋体" w:hAnsi="宋体" w:cs="宋体"/>
          <w:b/>
          <w:color w:val="auto"/>
          <w:spacing w:val="6"/>
          <w:sz w:val="30"/>
          <w:szCs w:val="30"/>
        </w:rPr>
      </w:pPr>
    </w:p>
    <w:p>
      <w:pPr>
        <w:spacing w:line="360" w:lineRule="auto"/>
        <w:ind w:firstLine="480" w:firstLineChars="200"/>
        <w:rPr>
          <w:rFonts w:ascii="宋体" w:hAnsi="宋体" w:cs="宋体"/>
          <w:color w:val="auto"/>
          <w:sz w:val="24"/>
        </w:rPr>
      </w:pPr>
      <w:r>
        <w:rPr>
          <w:rFonts w:hint="eastAsia" w:ascii="宋体" w:hAnsi="宋体" w:cs="宋体"/>
          <w:color w:val="auto"/>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u w:val="single"/>
        </w:rPr>
        <w:t>(采购人)</w:t>
      </w:r>
      <w:r>
        <w:rPr>
          <w:rFonts w:hint="eastAsia" w:ascii="宋体" w:hAnsi="宋体" w:cs="宋体"/>
          <w:color w:val="auto"/>
          <w:sz w:val="24"/>
        </w:rPr>
        <w:t>_单位的_</w:t>
      </w:r>
      <w:r>
        <w:rPr>
          <w:rFonts w:hint="eastAsia" w:ascii="宋体" w:hAnsi="宋体" w:cs="宋体"/>
          <w:color w:val="auto"/>
          <w:sz w:val="24"/>
          <w:u w:val="single"/>
          <w:lang w:eastAsia="zh-CN"/>
        </w:rPr>
        <w:t>五常街道城市管理综合养护二标段采购项目</w:t>
      </w:r>
      <w:r>
        <w:rPr>
          <w:rFonts w:hint="eastAsia" w:ascii="宋体" w:hAnsi="宋体" w:cs="宋体"/>
          <w:color w:val="auto"/>
          <w:sz w:val="24"/>
        </w:rPr>
        <w:t>_</w:t>
      </w:r>
      <w:r>
        <w:rPr>
          <w:rFonts w:hint="eastAsia" w:ascii="宋体" w:hAnsi="宋体" w:cs="宋体"/>
          <w:color w:val="auto"/>
          <w:sz w:val="24"/>
        </w:rPr>
        <w:t>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rPr>
      </w:pPr>
      <w:r>
        <w:rPr>
          <w:rFonts w:hint="eastAsia" w:ascii="宋体" w:hAnsi="宋体" w:cs="宋体"/>
          <w:color w:val="auto"/>
          <w:sz w:val="24"/>
        </w:rPr>
        <w:t>本单位对上述声明的真实性负责。如有虚假，将依法承担相应责任。</w:t>
      </w: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kern w:val="0"/>
          <w:sz w:val="24"/>
          <w:lang w:val="zh-CN"/>
        </w:rPr>
        <w:t>投标人名称（电子签名）</w:t>
      </w:r>
      <w:r>
        <w:rPr>
          <w:rFonts w:hint="eastAsia" w:ascii="宋体" w:hAnsi="宋体" w:cs="宋体"/>
          <w:color w:val="auto"/>
          <w:sz w:val="24"/>
        </w:rPr>
        <w:t>：</w:t>
      </w: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日  期：</w:t>
      </w:r>
    </w:p>
    <w:p>
      <w:pPr>
        <w:spacing w:line="360" w:lineRule="auto"/>
        <w:ind w:firstLine="480" w:firstLineChars="200"/>
        <w:rPr>
          <w:rFonts w:ascii="宋体" w:hAnsi="宋体" w:cs="宋体"/>
          <w:color w:val="auto"/>
          <w:sz w:val="24"/>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jc w:val="left"/>
        <w:rPr>
          <w:rFonts w:ascii="宋体" w:hAnsi="宋体" w:cs="宋体"/>
          <w:b/>
          <w:color w:val="auto"/>
          <w:spacing w:val="6"/>
          <w:sz w:val="32"/>
          <w:szCs w:val="32"/>
        </w:rPr>
      </w:pPr>
      <w:r>
        <w:rPr>
          <w:rFonts w:hint="eastAsia" w:ascii="宋体" w:hAnsi="宋体" w:cs="宋体"/>
          <w:b/>
          <w:color w:val="auto"/>
          <w:spacing w:val="6"/>
          <w:sz w:val="32"/>
          <w:szCs w:val="32"/>
        </w:rPr>
        <w:t>附件2：质疑函范本及制作说明</w:t>
      </w: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质疑函范本</w:t>
      </w:r>
    </w:p>
    <w:p>
      <w:pPr>
        <w:snapToGrid w:val="0"/>
        <w:spacing w:before="240" w:beforeLines="100" w:line="360" w:lineRule="auto"/>
        <w:rPr>
          <w:rFonts w:ascii="宋体" w:hAnsi="宋体" w:cs="宋体"/>
          <w:bCs/>
          <w:color w:val="auto"/>
          <w:sz w:val="24"/>
        </w:rPr>
      </w:pPr>
      <w:r>
        <w:rPr>
          <w:rFonts w:hint="eastAsia" w:ascii="宋体" w:hAnsi="宋体" w:cs="宋体"/>
          <w:bCs/>
          <w:color w:val="auto"/>
          <w:sz w:val="24"/>
        </w:rPr>
        <w:t>一、质疑供应商基本信息</w:t>
      </w:r>
    </w:p>
    <w:p>
      <w:pPr>
        <w:snapToGrid w:val="0"/>
        <w:spacing w:line="360" w:lineRule="auto"/>
        <w:rPr>
          <w:rFonts w:ascii="宋体" w:hAnsi="宋体" w:cs="宋体"/>
          <w:color w:val="auto"/>
          <w:sz w:val="24"/>
          <w:u w:val="dotted"/>
        </w:rPr>
      </w:pPr>
      <w:r>
        <w:rPr>
          <w:rFonts w:hint="eastAsia" w:ascii="宋体" w:hAnsi="宋体" w:cs="宋体"/>
          <w:color w:val="auto"/>
          <w:sz w:val="24"/>
        </w:rPr>
        <w:t>质疑供应商：</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地址：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napToGrid w:val="0"/>
        <w:spacing w:line="360" w:lineRule="auto"/>
        <w:rPr>
          <w:rFonts w:ascii="宋体" w:hAnsi="宋体" w:cs="宋体"/>
          <w:color w:val="auto"/>
          <w:sz w:val="24"/>
        </w:rPr>
      </w:pPr>
      <w:r>
        <w:rPr>
          <w:rFonts w:hint="eastAsia" w:ascii="宋体" w:hAnsi="宋体" w:cs="宋体"/>
          <w:color w:val="auto"/>
          <w:sz w:val="24"/>
        </w:rPr>
        <w:t xml:space="preserve">地址： </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二、质疑项目基本情况</w:t>
      </w:r>
    </w:p>
    <w:p>
      <w:pPr>
        <w:snapToGrid w:val="0"/>
        <w:spacing w:line="360" w:lineRule="auto"/>
        <w:rPr>
          <w:rFonts w:ascii="宋体" w:hAnsi="宋体" w:cs="宋体"/>
          <w:color w:val="auto"/>
          <w:sz w:val="24"/>
        </w:rPr>
      </w:pPr>
      <w:r>
        <w:rPr>
          <w:rFonts w:hint="eastAsia" w:ascii="宋体" w:hAnsi="宋体" w:cs="宋体"/>
          <w:color w:val="auto"/>
          <w:sz w:val="24"/>
        </w:rPr>
        <w:t>质疑项目的名称：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质疑项目的编号：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采购人名称：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采购文件获取日期：</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三、质疑事项具体内容</w:t>
      </w:r>
    </w:p>
    <w:p>
      <w:pPr>
        <w:snapToGrid w:val="0"/>
        <w:spacing w:line="360" w:lineRule="auto"/>
        <w:rPr>
          <w:rFonts w:ascii="宋体" w:hAnsi="宋体" w:cs="宋体"/>
          <w:color w:val="auto"/>
          <w:sz w:val="24"/>
          <w:u w:val="dotted"/>
        </w:rPr>
      </w:pPr>
      <w:r>
        <w:rPr>
          <w:rFonts w:hint="eastAsia" w:ascii="宋体" w:hAnsi="宋体" w:cs="宋体"/>
          <w:color w:val="auto"/>
          <w:sz w:val="24"/>
        </w:rPr>
        <w:t>质疑事项1：</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质疑事项2</w:t>
      </w:r>
    </w:p>
    <w:p>
      <w:pPr>
        <w:snapToGrid w:val="0"/>
        <w:spacing w:line="360" w:lineRule="auto"/>
        <w:rPr>
          <w:rFonts w:ascii="宋体" w:hAnsi="宋体" w:cs="宋体"/>
          <w:color w:val="auto"/>
          <w:sz w:val="24"/>
        </w:rPr>
      </w:pPr>
      <w:r>
        <w:rPr>
          <w:rFonts w:hint="eastAsia" w:ascii="宋体" w:hAnsi="宋体" w:cs="宋体"/>
          <w:color w:val="auto"/>
          <w:sz w:val="24"/>
        </w:rPr>
        <w:t>……</w:t>
      </w:r>
    </w:p>
    <w:p>
      <w:pPr>
        <w:snapToGrid w:val="0"/>
        <w:spacing w:line="360" w:lineRule="auto"/>
        <w:rPr>
          <w:rFonts w:ascii="宋体" w:hAnsi="宋体" w:cs="宋体"/>
          <w:bCs/>
          <w:color w:val="auto"/>
          <w:sz w:val="24"/>
        </w:rPr>
      </w:pPr>
      <w:r>
        <w:rPr>
          <w:rFonts w:hint="eastAsia" w:ascii="宋体" w:hAnsi="宋体" w:cs="宋体"/>
          <w:bCs/>
          <w:color w:val="auto"/>
          <w:sz w:val="24"/>
        </w:rPr>
        <w:t>四、与质疑事项相关的质疑请求</w:t>
      </w:r>
    </w:p>
    <w:p>
      <w:pPr>
        <w:snapToGrid w:val="0"/>
        <w:spacing w:line="360" w:lineRule="auto"/>
        <w:rPr>
          <w:rFonts w:ascii="宋体" w:hAnsi="宋体" w:cs="宋体"/>
          <w:color w:val="auto"/>
          <w:sz w:val="24"/>
          <w:u w:val="dotted"/>
        </w:rPr>
      </w:pPr>
      <w:r>
        <w:rPr>
          <w:rFonts w:hint="eastAsia" w:ascii="宋体" w:hAnsi="宋体" w:cs="宋体"/>
          <w:color w:val="auto"/>
          <w:sz w:val="24"/>
        </w:rPr>
        <w:t>请求：</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jc w:val="center"/>
        <w:rPr>
          <w:rFonts w:ascii="宋体" w:hAnsi="宋体" w:cs="宋体"/>
          <w:b/>
          <w:bCs/>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质疑函制作说明：</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1.供应商提出质疑时，应提交质疑函和必要的证明材料。</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2.质疑供应商若委托代理人进行质疑的，质疑函应按要求列明“授权代表”的有关内容，并在附件中提交由质疑</w:t>
      </w:r>
      <w:r>
        <w:rPr>
          <w:rFonts w:hint="eastAsia" w:ascii="宋体" w:hAnsi="宋体"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5.质疑函的质疑请求应与质疑事项相关。</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r>
        <w:rPr>
          <w:rFonts w:hint="eastAsia" w:ascii="宋体" w:hAnsi="宋体" w:cs="宋体"/>
          <w:b/>
          <w:color w:val="auto"/>
          <w:spacing w:val="6"/>
          <w:sz w:val="32"/>
          <w:szCs w:val="32"/>
        </w:rPr>
        <w:t>附件3：投诉书范本及制作说明</w:t>
      </w:r>
    </w:p>
    <w:p>
      <w:pPr>
        <w:spacing w:line="360" w:lineRule="auto"/>
        <w:jc w:val="center"/>
        <w:rPr>
          <w:rFonts w:ascii="宋体" w:hAnsi="宋体" w:cs="宋体"/>
          <w:b/>
          <w:color w:val="auto"/>
          <w:sz w:val="24"/>
        </w:rPr>
      </w:pP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投诉书范本</w:t>
      </w:r>
    </w:p>
    <w:p>
      <w:pPr>
        <w:spacing w:line="360" w:lineRule="auto"/>
        <w:rPr>
          <w:rFonts w:ascii="宋体" w:hAnsi="宋体" w:cs="宋体"/>
          <w:color w:val="auto"/>
          <w:sz w:val="24"/>
        </w:rPr>
      </w:pPr>
      <w:r>
        <w:rPr>
          <w:rFonts w:hint="eastAsia" w:ascii="宋体" w:hAnsi="宋体" w:cs="宋体"/>
          <w:color w:val="auto"/>
          <w:sz w:val="24"/>
        </w:rPr>
        <w:t>一、投诉相关主体基本情况</w:t>
      </w:r>
    </w:p>
    <w:p>
      <w:pPr>
        <w:spacing w:line="360" w:lineRule="auto"/>
        <w:rPr>
          <w:rFonts w:ascii="宋体" w:hAnsi="宋体" w:cs="宋体"/>
          <w:color w:val="auto"/>
          <w:sz w:val="24"/>
          <w:u w:val="dotted"/>
        </w:rPr>
      </w:pPr>
      <w:r>
        <w:rPr>
          <w:rFonts w:hint="eastAsia" w:ascii="宋体" w:hAnsi="宋体" w:cs="宋体"/>
          <w:color w:val="auto"/>
          <w:sz w:val="24"/>
        </w:rPr>
        <w:t>投诉人：</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tabs>
          <w:tab w:val="left" w:pos="6510"/>
        </w:tabs>
        <w:spacing w:line="360" w:lineRule="auto"/>
        <w:jc w:val="left"/>
        <w:rPr>
          <w:rFonts w:ascii="宋体" w:hAnsi="宋体" w:cs="宋体"/>
          <w:color w:val="auto"/>
          <w:sz w:val="24"/>
        </w:rPr>
      </w:pPr>
      <w:r>
        <w:rPr>
          <w:rFonts w:hint="eastAsia" w:ascii="宋体" w:hAnsi="宋体" w:cs="宋体"/>
          <w:color w:val="auto"/>
          <w:sz w:val="24"/>
        </w:rPr>
        <w:t>法定代表人/主要负责人：</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tabs>
          <w:tab w:val="left" w:pos="6510"/>
        </w:tabs>
        <w:spacing w:line="360" w:lineRule="auto"/>
        <w:rPr>
          <w:rFonts w:ascii="宋体" w:hAnsi="宋体" w:cs="宋体"/>
          <w:color w:val="auto"/>
          <w:sz w:val="24"/>
          <w:u w:val="dotted"/>
        </w:rPr>
      </w:pPr>
      <w:r>
        <w:rPr>
          <w:rFonts w:hint="eastAsia" w:ascii="宋体" w:hAnsi="宋体" w:cs="宋体"/>
          <w:color w:val="auto"/>
          <w:sz w:val="24"/>
        </w:rPr>
        <w:t>联系电话：</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被投诉人1：</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rPr>
      </w:pPr>
      <w:r>
        <w:rPr>
          <w:rFonts w:hint="eastAsia" w:ascii="宋体" w:hAnsi="宋体" w:cs="宋体"/>
          <w:color w:val="auto"/>
          <w:sz w:val="24"/>
        </w:rPr>
        <w:t>被投诉人2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u w:val="single"/>
        </w:rPr>
      </w:pPr>
      <w:r>
        <w:rPr>
          <w:rFonts w:hint="eastAsia" w:ascii="宋体" w:hAnsi="宋体" w:cs="宋体"/>
          <w:color w:val="auto"/>
          <w:sz w:val="24"/>
        </w:rPr>
        <w:t>相关供应商：</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rPr>
      </w:pPr>
      <w:r>
        <w:rPr>
          <w:rFonts w:hint="eastAsia" w:ascii="宋体" w:hAnsi="宋体" w:cs="宋体"/>
          <w:color w:val="auto"/>
          <w:sz w:val="24"/>
        </w:rPr>
        <w:t>二、投诉项目基本情况</w:t>
      </w:r>
    </w:p>
    <w:p>
      <w:pPr>
        <w:spacing w:line="360" w:lineRule="auto"/>
        <w:rPr>
          <w:rFonts w:ascii="宋体" w:hAnsi="宋体" w:cs="宋体"/>
          <w:color w:val="auto"/>
          <w:sz w:val="24"/>
          <w:u w:val="dotted"/>
        </w:rPr>
      </w:pPr>
      <w:r>
        <w:rPr>
          <w:rFonts w:hint="eastAsia" w:ascii="宋体" w:hAnsi="宋体" w:cs="宋体"/>
          <w:color w:val="auto"/>
          <w:sz w:val="24"/>
        </w:rPr>
        <w:t>采购项目名称：</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采购项目编号：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采购人名称：</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代理机构名称：</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采购文件公告:</w:t>
      </w:r>
      <w:r>
        <w:rPr>
          <w:rFonts w:hint="eastAsia" w:ascii="宋体" w:hAnsi="宋体" w:cs="宋体"/>
          <w:color w:val="auto"/>
          <w:sz w:val="24"/>
          <w:u w:val="dotted"/>
        </w:rPr>
        <w:t xml:space="preserve">是/否 </w:t>
      </w:r>
      <w:r>
        <w:rPr>
          <w:rFonts w:hint="eastAsia" w:ascii="宋体" w:hAnsi="宋体" w:cs="宋体"/>
          <w:color w:val="auto"/>
          <w:sz w:val="24"/>
        </w:rPr>
        <w:t>公告期限：</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采购结果公告:</w:t>
      </w:r>
      <w:r>
        <w:rPr>
          <w:rFonts w:hint="eastAsia" w:ascii="宋体" w:hAnsi="宋体" w:cs="宋体"/>
          <w:color w:val="auto"/>
          <w:sz w:val="24"/>
          <w:u w:val="dotted"/>
        </w:rPr>
        <w:t xml:space="preserve">是/否 </w:t>
      </w:r>
      <w:r>
        <w:rPr>
          <w:rFonts w:hint="eastAsia" w:ascii="宋体" w:hAnsi="宋体" w:cs="宋体"/>
          <w:color w:val="auto"/>
          <w:sz w:val="24"/>
        </w:rPr>
        <w:t>公告期限：</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三、质疑基本情况</w:t>
      </w:r>
    </w:p>
    <w:p>
      <w:pPr>
        <w:spacing w:line="360" w:lineRule="auto"/>
        <w:ind w:firstLine="480" w:firstLineChars="200"/>
        <w:rPr>
          <w:rFonts w:ascii="宋体" w:hAnsi="宋体" w:cs="宋体"/>
          <w:color w:val="auto"/>
          <w:sz w:val="24"/>
          <w:u w:val="dotted"/>
        </w:rPr>
      </w:pPr>
      <w:r>
        <w:rPr>
          <w:rFonts w:hint="eastAsia" w:ascii="宋体" w:hAnsi="宋体" w:cs="宋体"/>
          <w:color w:val="auto"/>
          <w:sz w:val="24"/>
        </w:rPr>
        <w:t>投诉人于</w:t>
      </w:r>
      <w:r>
        <w:rPr>
          <w:rFonts w:hint="eastAsia" w:ascii="宋体" w:hAnsi="宋体" w:cs="宋体"/>
          <w:color w:val="auto"/>
          <w:sz w:val="24"/>
          <w:u w:val="dotted"/>
        </w:rPr>
        <w:t xml:space="preserve">   </w:t>
      </w:r>
      <w:r>
        <w:rPr>
          <w:rFonts w:hint="eastAsia" w:ascii="宋体" w:hAnsi="宋体" w:cs="宋体"/>
          <w:color w:val="auto"/>
          <w:sz w:val="24"/>
        </w:rPr>
        <w:t>年</w:t>
      </w:r>
      <w:r>
        <w:rPr>
          <w:rFonts w:hint="eastAsia" w:ascii="宋体" w:hAnsi="宋体" w:cs="宋体"/>
          <w:color w:val="auto"/>
          <w:sz w:val="24"/>
          <w:u w:val="dotted"/>
        </w:rPr>
        <w:t xml:space="preserve">   </w:t>
      </w:r>
      <w:r>
        <w:rPr>
          <w:rFonts w:hint="eastAsia" w:ascii="宋体" w:hAnsi="宋体" w:cs="宋体"/>
          <w:color w:val="auto"/>
          <w:sz w:val="24"/>
        </w:rPr>
        <w:t>月</w:t>
      </w:r>
      <w:r>
        <w:rPr>
          <w:rFonts w:hint="eastAsia" w:ascii="宋体" w:hAnsi="宋体" w:cs="宋体"/>
          <w:color w:val="auto"/>
          <w:sz w:val="24"/>
          <w:u w:val="dotted"/>
        </w:rPr>
        <w:t xml:space="preserve">  </w:t>
      </w:r>
      <w:r>
        <w:rPr>
          <w:rFonts w:hint="eastAsia" w:ascii="宋体" w:hAnsi="宋体" w:cs="宋体"/>
          <w:color w:val="auto"/>
          <w:sz w:val="24"/>
        </w:rPr>
        <w:t>日,向</w:t>
      </w:r>
      <w:r>
        <w:rPr>
          <w:rFonts w:hint="eastAsia" w:ascii="宋体" w:hAnsi="宋体" w:cs="宋体"/>
          <w:color w:val="auto"/>
          <w:sz w:val="24"/>
          <w:u w:val="dotted"/>
        </w:rPr>
        <w:t xml:space="preserve">                   </w:t>
      </w:r>
      <w:r>
        <w:rPr>
          <w:rFonts w:hint="eastAsia" w:ascii="宋体" w:hAnsi="宋体" w:cs="宋体"/>
          <w:color w:val="auto"/>
          <w:sz w:val="24"/>
        </w:rPr>
        <w:t>提出质疑，质疑事项为：</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r>
        <w:rPr>
          <w:rFonts w:hint="eastAsia" w:ascii="宋体" w:hAnsi="宋体" w:cs="宋体"/>
          <w:color w:val="auto"/>
          <w:sz w:val="24"/>
        </w:rPr>
        <w:t xml:space="preserve">  </w:t>
      </w:r>
    </w:p>
    <w:p>
      <w:pPr>
        <w:spacing w:line="360" w:lineRule="auto"/>
        <w:ind w:firstLine="360" w:firstLineChars="150"/>
        <w:rPr>
          <w:rFonts w:ascii="宋体" w:hAnsi="宋体" w:cs="宋体"/>
          <w:color w:val="auto"/>
          <w:sz w:val="24"/>
        </w:rPr>
      </w:pPr>
      <w:r>
        <w:rPr>
          <w:rFonts w:hint="eastAsia" w:ascii="宋体" w:hAnsi="宋体" w:cs="宋体"/>
          <w:color w:val="auto"/>
          <w:sz w:val="24"/>
          <w:u w:val="dotted"/>
        </w:rPr>
        <w:t>采购人/代理机构</w:t>
      </w:r>
      <w:r>
        <w:rPr>
          <w:rFonts w:hint="eastAsia" w:ascii="宋体" w:hAnsi="宋体" w:cs="宋体"/>
          <w:color w:val="auto"/>
          <w:sz w:val="24"/>
        </w:rPr>
        <w:t>于</w:t>
      </w:r>
      <w:r>
        <w:rPr>
          <w:rFonts w:hint="eastAsia" w:ascii="宋体" w:hAnsi="宋体" w:cs="宋体"/>
          <w:color w:val="auto"/>
          <w:sz w:val="24"/>
          <w:u w:val="dotted"/>
        </w:rPr>
        <w:t xml:space="preserve">   </w:t>
      </w:r>
      <w:r>
        <w:rPr>
          <w:rFonts w:hint="eastAsia" w:ascii="宋体" w:hAnsi="宋体" w:cs="宋体"/>
          <w:color w:val="auto"/>
          <w:sz w:val="24"/>
        </w:rPr>
        <w:t>年</w:t>
      </w:r>
      <w:r>
        <w:rPr>
          <w:rFonts w:hint="eastAsia" w:ascii="宋体" w:hAnsi="宋体" w:cs="宋体"/>
          <w:color w:val="auto"/>
          <w:sz w:val="24"/>
          <w:u w:val="dotted"/>
        </w:rPr>
        <w:t xml:space="preserve">   </w:t>
      </w:r>
      <w:r>
        <w:rPr>
          <w:rFonts w:hint="eastAsia" w:ascii="宋体" w:hAnsi="宋体" w:cs="宋体"/>
          <w:color w:val="auto"/>
          <w:sz w:val="24"/>
        </w:rPr>
        <w:t>月</w:t>
      </w:r>
      <w:r>
        <w:rPr>
          <w:rFonts w:hint="eastAsia" w:ascii="宋体" w:hAnsi="宋体" w:cs="宋体"/>
          <w:color w:val="auto"/>
          <w:sz w:val="24"/>
          <w:u w:val="dotted"/>
        </w:rPr>
        <w:t xml:space="preserve">   </w:t>
      </w:r>
      <w:r>
        <w:rPr>
          <w:rFonts w:hint="eastAsia" w:ascii="宋体" w:hAnsi="宋体" w:cs="宋体"/>
          <w:color w:val="auto"/>
          <w:sz w:val="24"/>
        </w:rPr>
        <w:t>日,就质疑事项作出了答复/没有在法定期限内作出答复。</w:t>
      </w:r>
    </w:p>
    <w:p>
      <w:pPr>
        <w:spacing w:line="360" w:lineRule="auto"/>
        <w:rPr>
          <w:rFonts w:ascii="宋体" w:hAnsi="宋体" w:cs="宋体"/>
          <w:color w:val="auto"/>
          <w:sz w:val="24"/>
        </w:rPr>
      </w:pPr>
      <w:r>
        <w:rPr>
          <w:rFonts w:hint="eastAsia" w:ascii="宋体" w:hAnsi="宋体" w:cs="宋体"/>
          <w:color w:val="auto"/>
          <w:sz w:val="24"/>
        </w:rPr>
        <w:t>四、投诉事项具体内容</w:t>
      </w:r>
    </w:p>
    <w:p>
      <w:pPr>
        <w:spacing w:line="360" w:lineRule="auto"/>
        <w:rPr>
          <w:rFonts w:ascii="宋体" w:hAnsi="宋体" w:cs="宋体"/>
          <w:color w:val="auto"/>
          <w:sz w:val="24"/>
          <w:u w:val="single"/>
        </w:rPr>
      </w:pPr>
      <w:r>
        <w:rPr>
          <w:rFonts w:hint="eastAsia" w:ascii="宋体" w:hAnsi="宋体" w:cs="宋体"/>
          <w:color w:val="auto"/>
          <w:sz w:val="24"/>
        </w:rPr>
        <w:t>投诉事项 1：</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投诉事项2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rPr>
      </w:pPr>
      <w:r>
        <w:rPr>
          <w:rFonts w:hint="eastAsia" w:ascii="宋体" w:hAnsi="宋体" w:cs="宋体"/>
          <w:color w:val="auto"/>
          <w:sz w:val="24"/>
        </w:rPr>
        <w:t>五、与投诉事项相关的投诉请求</w:t>
      </w:r>
    </w:p>
    <w:p>
      <w:pPr>
        <w:spacing w:line="360" w:lineRule="auto"/>
        <w:rPr>
          <w:rFonts w:ascii="宋体" w:hAnsi="宋体" w:cs="宋体"/>
          <w:color w:val="auto"/>
          <w:sz w:val="24"/>
        </w:rPr>
      </w:pPr>
      <w:r>
        <w:rPr>
          <w:rFonts w:hint="eastAsia" w:ascii="宋体" w:hAnsi="宋体" w:cs="宋体"/>
          <w:color w:val="auto"/>
          <w:sz w:val="24"/>
        </w:rPr>
        <w:t>请求：</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pacing w:line="360" w:lineRule="auto"/>
        <w:rPr>
          <w:rFonts w:ascii="宋体" w:hAnsi="宋体" w:cs="宋体"/>
          <w:color w:val="auto"/>
          <w:sz w:val="24"/>
          <w:u w:val="single"/>
        </w:rPr>
      </w:pP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投诉书制作说明：</w:t>
      </w:r>
    </w:p>
    <w:p>
      <w:pPr>
        <w:widowControl/>
        <w:spacing w:line="360" w:lineRule="auto"/>
        <w:ind w:firstLine="480" w:firstLineChars="200"/>
        <w:rPr>
          <w:rFonts w:ascii="宋体" w:hAnsi="宋体" w:cs="宋体"/>
          <w:color w:val="auto"/>
          <w:kern w:val="0"/>
          <w:sz w:val="24"/>
        </w:rPr>
      </w:pPr>
      <w:r>
        <w:rPr>
          <w:rFonts w:hint="eastAsia" w:ascii="宋体" w:hAnsi="宋体" w:cs="宋体"/>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2.投诉人若委托代理人进行投诉的，投诉书应按照要求列明“授权代表”的有关内容，并在附件中提交由</w:t>
      </w:r>
      <w:r>
        <w:rPr>
          <w:rFonts w:hint="eastAsia" w:ascii="宋体" w:hAnsi="宋体" w:cs="宋体"/>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6.投诉书的投诉请求应与投诉事项相关。</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bCs/>
          <w:color w:val="auto"/>
          <w:sz w:val="32"/>
          <w:szCs w:val="32"/>
        </w:rPr>
      </w:pPr>
      <w:r>
        <w:rPr>
          <w:rFonts w:hint="eastAsia" w:ascii="宋体" w:hAnsi="宋体" w:cs="宋体"/>
          <w:b/>
          <w:color w:val="auto"/>
          <w:spacing w:val="6"/>
          <w:sz w:val="32"/>
          <w:szCs w:val="32"/>
        </w:rPr>
        <w:t>附件4：</w:t>
      </w:r>
      <w:r>
        <w:rPr>
          <w:rFonts w:hint="eastAsia" w:ascii="宋体" w:hAnsi="宋体" w:cs="宋体"/>
          <w:b/>
          <w:bCs/>
          <w:color w:val="auto"/>
          <w:sz w:val="32"/>
          <w:szCs w:val="32"/>
        </w:rPr>
        <w:t>业务专用章使用说明函</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u w:val="single"/>
        </w:rPr>
        <w:t>（采购人）</w:t>
      </w:r>
      <w:r>
        <w:rPr>
          <w:rFonts w:hint="eastAsia" w:ascii="宋体" w:hAnsi="宋体" w:cs="宋体"/>
          <w:color w:val="auto"/>
          <w:sz w:val="24"/>
          <w:u w:val="single"/>
        </w:rPr>
        <w:t>、（采购代理机构）：</w:t>
      </w:r>
    </w:p>
    <w:p>
      <w:pPr>
        <w:spacing w:line="360" w:lineRule="auto"/>
        <w:ind w:firstLine="480" w:firstLineChars="200"/>
        <w:rPr>
          <w:rFonts w:ascii="宋体" w:hAnsi="宋体" w:cs="宋体"/>
          <w:color w:val="auto"/>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w:t>
      </w:r>
      <w:r>
        <w:rPr>
          <w:rFonts w:hint="eastAsia" w:ascii="宋体" w:hAnsi="宋体" w:cs="宋体"/>
          <w:color w:val="auto"/>
          <w:sz w:val="24"/>
          <w:lang w:eastAsia="zh-CN"/>
        </w:rPr>
        <w:t>五常街道城市管理综合养护二标段采购项目</w:t>
      </w:r>
      <w:r>
        <w:rPr>
          <w:rFonts w:hint="eastAsia" w:ascii="宋体" w:hAnsi="宋体" w:cs="宋体"/>
          <w:color w:val="auto"/>
          <w:sz w:val="24"/>
        </w:rPr>
        <w:t>【招标编号：</w:t>
      </w:r>
      <w:r>
        <w:rPr>
          <w:rFonts w:hint="eastAsia" w:ascii="宋体" w:hAnsi="宋体" w:cs="宋体"/>
          <w:color w:val="auto"/>
          <w:sz w:val="24"/>
          <w:lang w:eastAsia="zh-CN"/>
        </w:rPr>
        <w:t>（ZJZFCG-YS2023-002）</w:t>
      </w:r>
      <w:r>
        <w:rPr>
          <w:rFonts w:hint="eastAsia" w:ascii="宋体" w:hAnsi="宋体" w:cs="宋体"/>
          <w:color w:val="auto"/>
          <w:sz w:val="24"/>
        </w:rPr>
        <w:t>】</w:t>
      </w:r>
      <w:r>
        <w:rPr>
          <w:rFonts w:hint="eastAsia" w:ascii="宋体" w:hAnsi="宋体" w:cs="宋体"/>
          <w:bCs/>
          <w:color w:val="auto"/>
          <w:sz w:val="24"/>
        </w:rPr>
        <w:t>投标活动中作如下说明：</w:t>
      </w:r>
      <w:r>
        <w:rPr>
          <w:rFonts w:hint="eastAsia" w:ascii="宋体" w:hAnsi="宋体" w:cs="宋体"/>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rPr>
      </w:pPr>
      <w:r>
        <w:rPr>
          <w:rFonts w:hint="eastAsia" w:ascii="宋体" w:hAnsi="宋体" w:cs="宋体"/>
          <w:color w:val="auto"/>
          <w:sz w:val="24"/>
        </w:rPr>
        <w:t>特此说明。</w:t>
      </w: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right="480" w:firstLine="4080" w:firstLineChars="1700"/>
        <w:rPr>
          <w:rFonts w:ascii="宋体" w:hAnsi="宋体" w:cs="宋体"/>
          <w:color w:val="auto"/>
          <w:sz w:val="24"/>
        </w:rPr>
      </w:pPr>
      <w:r>
        <w:rPr>
          <w:rFonts w:hint="eastAsia" w:ascii="宋体" w:hAnsi="宋体" w:cs="宋体"/>
          <w:color w:val="auto"/>
          <w:sz w:val="24"/>
        </w:rPr>
        <w:t>投标单位（法定名称章）：</w:t>
      </w:r>
    </w:p>
    <w:p>
      <w:pPr>
        <w:ind w:right="1440" w:firstLine="494"/>
        <w:jc w:val="center"/>
        <w:rPr>
          <w:rFonts w:ascii="宋体" w:hAnsi="宋体" w:cs="宋体"/>
          <w:color w:val="auto"/>
          <w:sz w:val="24"/>
        </w:rPr>
      </w:pPr>
      <w:r>
        <w:rPr>
          <w:rFonts w:hint="eastAsia" w:ascii="宋体" w:hAnsi="宋体" w:cs="宋体"/>
          <w:color w:val="auto"/>
          <w:sz w:val="24"/>
        </w:rPr>
        <w:t xml:space="preserve">                              日期：       年     月     日</w:t>
      </w:r>
    </w:p>
    <w:p>
      <w:pPr>
        <w:rPr>
          <w:rFonts w:ascii="宋体" w:hAnsi="宋体" w:cs="宋体"/>
          <w:color w:val="auto"/>
          <w:sz w:val="24"/>
        </w:rPr>
      </w:pPr>
      <w:r>
        <w:rPr>
          <w:rFonts w:hint="eastAsia" w:ascii="宋体" w:hAnsi="宋体" w:cs="宋体"/>
          <w:b/>
          <w:bCs/>
          <w:color w:val="auto"/>
          <w:sz w:val="24"/>
        </w:rPr>
        <w:t>附：</w:t>
      </w:r>
    </w:p>
    <w:p>
      <w:pPr>
        <w:spacing w:line="360" w:lineRule="auto"/>
        <w:rPr>
          <w:rFonts w:ascii="宋体" w:hAnsi="宋体" w:cs="宋体"/>
          <w:bCs/>
          <w:color w:val="auto"/>
          <w:sz w:val="24"/>
        </w:rPr>
      </w:pPr>
      <w:r>
        <w:rPr>
          <w:rFonts w:hint="eastAsia" w:ascii="宋体" w:hAnsi="宋体" w:cs="宋体"/>
          <w:b/>
          <w:bCs/>
          <w:color w:val="auto"/>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auto"/>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auto"/>
          <w:sz w:val="24"/>
        </w:rPr>
        <w:t>投标单位法定名称章（印模）                投标单位“XX专用章”（印模）</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kern w:val="0"/>
          <w:sz w:val="32"/>
          <w:szCs w:val="32"/>
          <w:lang w:val="zh-CN"/>
        </w:rPr>
      </w:pPr>
      <w:r>
        <w:rPr>
          <w:rFonts w:hint="eastAsia" w:ascii="宋体" w:hAnsi="宋体" w:cs="宋体"/>
          <w:b/>
          <w:color w:val="auto"/>
          <w:spacing w:val="6"/>
          <w:sz w:val="32"/>
          <w:szCs w:val="32"/>
        </w:rPr>
        <w:t>附件</w:t>
      </w:r>
      <w:r>
        <w:rPr>
          <w:rFonts w:ascii="宋体" w:hAnsi="宋体" w:cs="宋体"/>
          <w:b/>
          <w:color w:val="auto"/>
          <w:spacing w:val="6"/>
          <w:sz w:val="32"/>
          <w:szCs w:val="32"/>
        </w:rPr>
        <w:t>5</w:t>
      </w:r>
      <w:r>
        <w:rPr>
          <w:rFonts w:hint="eastAsia" w:ascii="宋体" w:hAnsi="宋体" w:cs="宋体"/>
          <w:b/>
          <w:color w:val="auto"/>
          <w:spacing w:val="6"/>
          <w:sz w:val="32"/>
          <w:szCs w:val="32"/>
        </w:rPr>
        <w:t>：</w:t>
      </w:r>
      <w:r>
        <w:rPr>
          <w:rFonts w:hint="eastAsia" w:ascii="宋体" w:hAnsi="宋体" w:cs="宋体"/>
          <w:b/>
          <w:color w:val="auto"/>
          <w:kern w:val="0"/>
          <w:sz w:val="32"/>
          <w:szCs w:val="32"/>
          <w:lang w:val="zh-CN"/>
        </w:rPr>
        <w:t>联合协议</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（联合体所有成员名称）</w:t>
      </w:r>
      <w:r>
        <w:rPr>
          <w:rFonts w:hint="eastAsia" w:ascii="宋体" w:hAnsi="宋体" w:cs="宋体"/>
          <w:color w:val="auto"/>
          <w:kern w:val="0"/>
          <w:sz w:val="24"/>
        </w:rPr>
        <w:t>自愿</w:t>
      </w:r>
      <w:r>
        <w:rPr>
          <w:rFonts w:hint="eastAsia" w:ascii="宋体" w:hAnsi="宋体" w:cs="宋体"/>
          <w:color w:val="auto"/>
          <w:kern w:val="0"/>
          <w:sz w:val="24"/>
          <w:lang w:val="zh-CN"/>
        </w:rPr>
        <w:t>组成一个联合体，以一个投标人的身份</w:t>
      </w:r>
      <w:r>
        <w:rPr>
          <w:rFonts w:hint="eastAsia" w:ascii="宋体" w:hAnsi="宋体" w:cs="宋体"/>
          <w:color w:val="auto"/>
          <w:kern w:val="0"/>
          <w:sz w:val="24"/>
        </w:rPr>
        <w:t>参加</w:t>
      </w:r>
      <w:r>
        <w:rPr>
          <w:rFonts w:hint="eastAsia" w:ascii="宋体" w:hAnsi="宋体" w:cs="宋体"/>
          <w:color w:val="auto"/>
          <w:sz w:val="24"/>
          <w:lang w:eastAsia="zh-CN"/>
        </w:rPr>
        <w:t>五常街道城市管理综合养护二标段采购项目</w:t>
      </w:r>
      <w:r>
        <w:rPr>
          <w:rFonts w:hint="eastAsia" w:ascii="宋体" w:hAnsi="宋体" w:cs="宋体"/>
          <w:color w:val="auto"/>
          <w:sz w:val="24"/>
        </w:rPr>
        <w:t>【招标编号：</w:t>
      </w:r>
      <w:r>
        <w:rPr>
          <w:rFonts w:hint="eastAsia" w:ascii="宋体" w:hAnsi="宋体" w:cs="宋体"/>
          <w:color w:val="auto"/>
          <w:sz w:val="24"/>
          <w:lang w:eastAsia="zh-CN"/>
        </w:rPr>
        <w:t>（ZJZFCG-YS2023-002）</w:t>
      </w:r>
      <w:r>
        <w:rPr>
          <w:rFonts w:hint="eastAsia" w:ascii="宋体" w:hAnsi="宋体" w:cs="宋体"/>
          <w:color w:val="auto"/>
          <w:sz w:val="24"/>
        </w:rPr>
        <w:t>】</w:t>
      </w:r>
      <w:r>
        <w:rPr>
          <w:rFonts w:hint="eastAsia" w:ascii="宋体" w:hAnsi="宋体" w:cs="宋体"/>
          <w:color w:val="auto"/>
          <w:kern w:val="0"/>
          <w:sz w:val="24"/>
          <w:lang w:val="zh-CN"/>
        </w:rPr>
        <w:t xml:space="preserve">投标。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为联合体</w:t>
      </w:r>
      <w:r>
        <w:rPr>
          <w:rFonts w:hint="eastAsia" w:ascii="宋体" w:hAnsi="宋体" w:cs="宋体"/>
          <w:color w:val="auto"/>
          <w:kern w:val="0"/>
          <w:sz w:val="24"/>
          <w:lang w:val="zh-CN"/>
        </w:rPr>
        <w:t>牵头人</w:t>
      </w:r>
      <w:r>
        <w:rPr>
          <w:rFonts w:hint="eastAsia" w:ascii="宋体" w:hAnsi="宋体" w:cs="宋体"/>
          <w:color w:val="auto"/>
          <w:sz w:val="24"/>
        </w:rPr>
        <w:t>，代表所有联合体成员负责投标和合同实施阶段的主办、协调工作</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w:t>
      </w:r>
      <w:r>
        <w:rPr>
          <w:rFonts w:hint="eastAsia" w:ascii="宋体" w:hAnsi="宋体" w:cs="宋体"/>
          <w:color w:val="auto"/>
          <w:sz w:val="24"/>
        </w:rPr>
        <w:t>所有联合体成员各方签署授权书，授权书载明的</w:t>
      </w:r>
      <w:r>
        <w:rPr>
          <w:rFonts w:hint="eastAsia" w:ascii="宋体" w:hAnsi="宋体" w:cs="宋体"/>
          <w:color w:val="auto"/>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三、本次联合投标中，分工如下：</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（联合体成员1）</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w:t>
      </w:r>
      <w:r>
        <w:rPr>
          <w:rFonts w:ascii="宋体" w:hAnsi="宋体" w:cs="宋体"/>
          <w:color w:val="auto"/>
          <w:kern w:val="0"/>
          <w:sz w:val="24"/>
          <w:u w:val="single"/>
        </w:rPr>
        <w:t>2</w:t>
      </w:r>
      <w:r>
        <w:rPr>
          <w:rFonts w:hint="eastAsia" w:ascii="宋体" w:hAnsi="宋体" w:cs="宋体"/>
          <w:color w:val="auto"/>
          <w:kern w:val="0"/>
          <w:sz w:val="24"/>
          <w:u w:val="single"/>
        </w:rPr>
        <w:t>）</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四、联合体成员中小企业合同份额。</w:t>
      </w:r>
    </w:p>
    <w:p>
      <w:pPr>
        <w:snapToGrid w:val="0"/>
        <w:spacing w:line="360" w:lineRule="auto"/>
        <w:ind w:firstLine="576"/>
        <w:rPr>
          <w:rFonts w:ascii="宋体" w:hAnsi="宋体" w:cs="宋体"/>
          <w:b/>
          <w:color w:val="auto"/>
          <w:kern w:val="0"/>
          <w:sz w:val="24"/>
          <w:lang w:val="zh-CN"/>
        </w:rPr>
      </w:pPr>
      <w:r>
        <w:rPr>
          <w:rFonts w:hint="eastAsia" w:ascii="宋体" w:hAnsi="宋体" w:cs="宋体"/>
          <w:color w:val="auto"/>
          <w:kern w:val="0"/>
          <w:sz w:val="24"/>
          <w:lang w:val="zh-CN"/>
        </w:rPr>
        <w:t>1、</w:t>
      </w:r>
      <w:r>
        <w:rPr>
          <w:rFonts w:hint="eastAsia" w:ascii="宋体" w:hAnsi="宋体" w:cs="宋体"/>
          <w:color w:val="auto"/>
          <w:kern w:val="0"/>
          <w:sz w:val="24"/>
          <w:u w:val="single"/>
        </w:rPr>
        <w:t>（</w:t>
      </w:r>
      <w:bookmarkStart w:id="419" w:name="_Hlk101131882"/>
      <w:r>
        <w:rPr>
          <w:rFonts w:hint="eastAsia" w:ascii="宋体" w:hAnsi="宋体" w:cs="宋体"/>
          <w:color w:val="auto"/>
          <w:kern w:val="0"/>
          <w:sz w:val="24"/>
          <w:u w:val="single"/>
        </w:rPr>
        <w:t>联合体成员X</w:t>
      </w:r>
      <w:r>
        <w:rPr>
          <w:rFonts w:ascii="宋体" w:hAnsi="宋体" w:cs="宋体"/>
          <w:color w:val="auto"/>
          <w:kern w:val="0"/>
          <w:sz w:val="24"/>
          <w:u w:val="single"/>
        </w:rPr>
        <w:t>,</w:t>
      </w:r>
      <w:r>
        <w:rPr>
          <w:rFonts w:hint="eastAsia" w:ascii="宋体" w:hAnsi="宋体" w:cs="宋体"/>
          <w:color w:val="auto"/>
          <w:kern w:val="0"/>
          <w:sz w:val="24"/>
          <w:u w:val="single"/>
        </w:rPr>
        <w:t>……</w:t>
      </w:r>
      <w:bookmarkEnd w:id="419"/>
      <w:r>
        <w:rPr>
          <w:rFonts w:hint="eastAsia" w:ascii="宋体" w:hAnsi="宋体" w:cs="宋体"/>
          <w:color w:val="auto"/>
          <w:kern w:val="0"/>
          <w:sz w:val="24"/>
          <w:u w:val="single"/>
        </w:rPr>
        <w:t>）</w:t>
      </w:r>
      <w:r>
        <w:rPr>
          <w:rFonts w:hint="eastAsia" w:ascii="宋体" w:hAnsi="宋体" w:cs="宋体"/>
          <w:color w:val="auto"/>
          <w:kern w:val="0"/>
          <w:sz w:val="24"/>
        </w:rPr>
        <w:t>提供的服务由小微企业承接，其合同份额占到合同总金额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kern w:val="0"/>
          <w:sz w:val="24"/>
          <w:lang w:val="zh-CN"/>
        </w:rPr>
        <w:t>。</w:t>
      </w:r>
      <w:r>
        <w:rPr>
          <w:rFonts w:hint="eastAsia" w:ascii="宋体" w:hAnsi="宋体" w:cs="宋体"/>
          <w:b/>
          <w:color w:val="auto"/>
          <w:kern w:val="0"/>
          <w:sz w:val="24"/>
          <w:lang w:val="zh-CN"/>
        </w:rPr>
        <w:t>（</w:t>
      </w:r>
      <w:bookmarkStart w:id="420" w:name="_Hlk101133598"/>
      <w:r>
        <w:rPr>
          <w:rFonts w:hint="eastAsia" w:ascii="宋体" w:hAnsi="宋体" w:cs="宋体"/>
          <w:b/>
          <w:color w:val="auto"/>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rPr>
        <w:t>拟享受以上价格扣除政策的，填写有关内容。</w:t>
      </w:r>
      <w:bookmarkEnd w:id="420"/>
      <w:r>
        <w:rPr>
          <w:rFonts w:hint="eastAsia" w:ascii="宋体" w:hAnsi="宋体" w:cs="宋体"/>
          <w:b/>
          <w:color w:val="auto"/>
          <w:kern w:val="0"/>
          <w:sz w:val="24"/>
          <w:lang w:val="zh-CN"/>
        </w:rPr>
        <w:t>）</w:t>
      </w:r>
    </w:p>
    <w:p>
      <w:pPr>
        <w:spacing w:line="360" w:lineRule="auto"/>
        <w:ind w:firstLine="480" w:firstLineChars="200"/>
        <w:rPr>
          <w:rFonts w:ascii="宋体" w:hAnsi="宋体" w:cs="宋体"/>
          <w:b/>
          <w:bCs/>
          <w:color w:val="auto"/>
          <w:kern w:val="0"/>
          <w:sz w:val="24"/>
          <w:lang w:val="zh-CN"/>
        </w:rPr>
      </w:pPr>
      <w:r>
        <w:rPr>
          <w:rFonts w:hint="eastAsia" w:ascii="宋体" w:hAnsi="宋体" w:cs="宋体"/>
          <w:color w:val="auto"/>
          <w:sz w:val="24"/>
        </w:rPr>
        <w:t>2、</w:t>
      </w:r>
      <w:bookmarkStart w:id="421" w:name="_Hlk101133173"/>
      <w:r>
        <w:rPr>
          <w:rFonts w:hint="eastAsia" w:ascii="宋体" w:hAnsi="宋体" w:cs="宋体"/>
          <w:color w:val="auto"/>
          <w:sz w:val="24"/>
        </w:rPr>
        <w:t>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lang w:val="zh-CN"/>
        </w:rPr>
        <w:t>）</w:t>
      </w:r>
      <w:bookmarkEnd w:id="421"/>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五、如果中标，</w:t>
      </w:r>
      <w:r>
        <w:rPr>
          <w:rFonts w:hint="eastAsia" w:ascii="宋体" w:hAnsi="宋体" w:cs="宋体"/>
          <w:color w:val="auto"/>
          <w:sz w:val="24"/>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六、有关本次联合投标的其他事宜：</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right="960"/>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日期：  年  月   日</w:t>
      </w: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snapToGrid w:val="0"/>
        <w:spacing w:line="360" w:lineRule="auto"/>
        <w:ind w:firstLine="3666" w:firstLineChars="1100"/>
        <w:rPr>
          <w:rFonts w:ascii="宋体" w:hAnsi="宋体" w:cs="宋体"/>
          <w:b/>
          <w:color w:val="auto"/>
          <w:spacing w:val="6"/>
          <w:sz w:val="32"/>
          <w:szCs w:val="32"/>
        </w:rPr>
      </w:pPr>
    </w:p>
    <w:p>
      <w:pPr>
        <w:widowControl/>
        <w:adjustRightInd/>
        <w:jc w:val="left"/>
        <w:rPr>
          <w:rFonts w:ascii="宋体" w:hAnsi="宋体" w:cs="宋体"/>
          <w:b/>
          <w:color w:val="auto"/>
          <w:spacing w:val="6"/>
          <w:sz w:val="32"/>
          <w:szCs w:val="32"/>
        </w:rPr>
      </w:pPr>
      <w:r>
        <w:rPr>
          <w:rFonts w:ascii="宋体" w:hAnsi="宋体" w:cs="宋体"/>
          <w:b/>
          <w:color w:val="auto"/>
          <w:spacing w:val="6"/>
          <w:sz w:val="32"/>
          <w:szCs w:val="32"/>
        </w:rPr>
        <w:br w:type="page"/>
      </w:r>
    </w:p>
    <w:p>
      <w:pPr>
        <w:snapToGrid w:val="0"/>
        <w:spacing w:line="360" w:lineRule="auto"/>
        <w:ind w:firstLine="3666" w:firstLineChars="1100"/>
        <w:rPr>
          <w:rFonts w:ascii="宋体" w:hAnsi="宋体" w:cs="宋体"/>
          <w:b/>
          <w:color w:val="auto"/>
          <w:kern w:val="0"/>
          <w:sz w:val="32"/>
          <w:szCs w:val="32"/>
        </w:rPr>
      </w:pPr>
      <w:r>
        <w:rPr>
          <w:rFonts w:hint="eastAsia" w:ascii="宋体" w:hAnsi="宋体" w:cs="宋体"/>
          <w:b/>
          <w:color w:val="auto"/>
          <w:spacing w:val="6"/>
          <w:sz w:val="32"/>
          <w:szCs w:val="32"/>
        </w:rPr>
        <w:t>附件</w:t>
      </w:r>
      <w:r>
        <w:rPr>
          <w:rFonts w:ascii="宋体" w:hAnsi="宋体" w:cs="宋体"/>
          <w:b/>
          <w:color w:val="auto"/>
          <w:spacing w:val="6"/>
          <w:sz w:val="32"/>
          <w:szCs w:val="32"/>
        </w:rPr>
        <w:t>6</w:t>
      </w:r>
      <w:r>
        <w:rPr>
          <w:rFonts w:hint="eastAsia" w:ascii="宋体" w:hAnsi="宋体" w:cs="宋体"/>
          <w:b/>
          <w:color w:val="auto"/>
          <w:spacing w:val="6"/>
          <w:sz w:val="32"/>
          <w:szCs w:val="32"/>
        </w:rPr>
        <w:t>：</w:t>
      </w:r>
      <w:r>
        <w:rPr>
          <w:rFonts w:hint="eastAsia" w:ascii="宋体" w:hAnsi="宋体" w:cs="宋体"/>
          <w:b/>
          <w:color w:val="auto"/>
          <w:kern w:val="0"/>
          <w:sz w:val="32"/>
          <w:szCs w:val="32"/>
        </w:rPr>
        <w:t>分包意向协议</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中标后以分包方式履行合同的，提供分包意向协议；采购人不同意分包或者投标人中标后不以分包方式履行合同的，则不需要提供。</w:t>
      </w:r>
      <w:r>
        <w:rPr>
          <w:rFonts w:hint="eastAsia" w:ascii="宋体" w:hAnsi="宋体" w:cs="宋体"/>
          <w:color w:val="auto"/>
          <w:sz w:val="24"/>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若成为</w:t>
      </w:r>
      <w:r>
        <w:rPr>
          <w:rFonts w:hint="eastAsia" w:ascii="宋体" w:hAnsi="宋体" w:cs="宋体"/>
          <w:color w:val="auto"/>
          <w:sz w:val="24"/>
          <w:lang w:eastAsia="zh-CN"/>
        </w:rPr>
        <w:t>五常街道城市管理综合养护二标段采购项目</w:t>
      </w:r>
      <w:r>
        <w:rPr>
          <w:rFonts w:hint="eastAsia" w:ascii="宋体" w:hAnsi="宋体" w:cs="宋体"/>
          <w:color w:val="auto"/>
          <w:sz w:val="24"/>
        </w:rPr>
        <w:t>【招标编号：</w:t>
      </w:r>
      <w:r>
        <w:rPr>
          <w:rFonts w:hint="eastAsia" w:ascii="宋体" w:hAnsi="宋体" w:cs="宋体"/>
          <w:color w:val="auto"/>
          <w:sz w:val="24"/>
          <w:lang w:eastAsia="zh-CN"/>
        </w:rPr>
        <w:t>（ZJZFCG-YS2023-002）</w:t>
      </w:r>
      <w:r>
        <w:rPr>
          <w:rFonts w:hint="eastAsia" w:ascii="宋体" w:hAnsi="宋体" w:cs="宋体"/>
          <w:color w:val="auto"/>
          <w:sz w:val="24"/>
        </w:rPr>
        <w:t>】</w:t>
      </w:r>
      <w:r>
        <w:rPr>
          <w:rFonts w:hint="eastAsia" w:ascii="宋体" w:hAnsi="宋体" w:cs="宋体"/>
          <w:color w:val="auto"/>
          <w:kern w:val="0"/>
          <w:sz w:val="24"/>
          <w:lang w:val="zh-CN"/>
        </w:rPr>
        <w:t>的中标供应商，将依法采取分包方式履行合同。</w:t>
      </w:r>
      <w:r>
        <w:rPr>
          <w:rFonts w:hint="eastAsia" w:ascii="宋体" w:hAnsi="宋体" w:cs="宋体"/>
          <w:color w:val="auto"/>
          <w:kern w:val="0"/>
          <w:sz w:val="24"/>
          <w:u w:val="single"/>
        </w:rPr>
        <w:t>（投标人名称）</w:t>
      </w:r>
      <w:r>
        <w:rPr>
          <w:rFonts w:hint="eastAsia" w:ascii="宋体" w:hAnsi="宋体" w:cs="宋体"/>
          <w:color w:val="auto"/>
          <w:kern w:val="0"/>
          <w:sz w:val="24"/>
        </w:rPr>
        <w:t>与</w:t>
      </w:r>
      <w:r>
        <w:rPr>
          <w:rFonts w:hint="eastAsia" w:ascii="宋体" w:hAnsi="宋体" w:cs="宋体"/>
          <w:color w:val="auto"/>
          <w:kern w:val="0"/>
          <w:sz w:val="24"/>
          <w:u w:val="single"/>
        </w:rPr>
        <w:t>（所有分包供应商名称）</w:t>
      </w:r>
      <w:r>
        <w:rPr>
          <w:rFonts w:hint="eastAsia" w:ascii="宋体" w:hAnsi="宋体" w:cs="宋体"/>
          <w:color w:val="auto"/>
          <w:kern w:val="0"/>
          <w:sz w:val="24"/>
        </w:rPr>
        <w:t>达成分包意向协议</w:t>
      </w:r>
      <w:r>
        <w:rPr>
          <w:rFonts w:hint="eastAsia" w:ascii="宋体" w:hAnsi="宋体" w:cs="宋体"/>
          <w:color w:val="auto"/>
          <w:kern w:val="0"/>
          <w:sz w:val="24"/>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一、分包标的及数量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将</w:t>
      </w:r>
      <w:r>
        <w:rPr>
          <w:rFonts w:hint="eastAsia" w:ascii="宋体" w:hAnsi="宋体" w:cs="宋体"/>
          <w:color w:val="auto"/>
          <w:u w:val="single"/>
        </w:rPr>
        <w:t xml:space="preserve">  </w:t>
      </w:r>
      <w:r>
        <w:rPr>
          <w:rFonts w:ascii="宋体" w:hAnsi="宋体" w:cs="宋体"/>
          <w:color w:val="auto"/>
          <w:kern w:val="0"/>
          <w:sz w:val="24"/>
          <w:u w:val="single"/>
        </w:rPr>
        <w:t xml:space="preserve"> XX工作内容   </w:t>
      </w:r>
      <w:r>
        <w:rPr>
          <w:rFonts w:hint="eastAsia" w:ascii="宋体" w:hAnsi="宋体" w:cs="宋体"/>
          <w:color w:val="auto"/>
          <w:sz w:val="24"/>
        </w:rPr>
        <w:t>分包给</w:t>
      </w:r>
      <w:r>
        <w:rPr>
          <w:rFonts w:hint="eastAsia" w:ascii="宋体" w:hAnsi="宋体" w:cs="宋体"/>
          <w:color w:val="auto"/>
          <w:kern w:val="0"/>
          <w:sz w:val="24"/>
          <w:u w:val="single"/>
        </w:rPr>
        <w:t>（分包供应商1名称）</w:t>
      </w:r>
      <w:r>
        <w:rPr>
          <w:rFonts w:hint="eastAsia" w:ascii="宋体" w:hAnsi="宋体" w:cs="宋体"/>
          <w:color w:val="auto"/>
          <w:kern w:val="0"/>
          <w:sz w:val="24"/>
          <w:lang w:val="zh-CN"/>
        </w:rPr>
        <w:t>，</w:t>
      </w:r>
      <w:r>
        <w:rPr>
          <w:rFonts w:hint="eastAsia" w:ascii="宋体" w:hAnsi="宋体" w:cs="宋体"/>
          <w:color w:val="auto"/>
          <w:kern w:val="0"/>
          <w:sz w:val="24"/>
          <w:u w:val="single"/>
        </w:rPr>
        <w:t>（分包供应商2名称），</w:t>
      </w:r>
      <w:r>
        <w:rPr>
          <w:rFonts w:hint="eastAsia" w:ascii="宋体" w:hAnsi="宋体" w:cs="宋体"/>
          <w:color w:val="auto"/>
          <w:kern w:val="0"/>
          <w:sz w:val="24"/>
          <w:lang w:val="zh-CN"/>
        </w:rPr>
        <w:t>具备承</w:t>
      </w:r>
      <w:r>
        <w:rPr>
          <w:rFonts w:hint="eastAsia" w:ascii="宋体" w:hAnsi="宋体" w:cs="宋体"/>
          <w:color w:val="auto"/>
          <w:kern w:val="0"/>
          <w:sz w:val="24"/>
        </w:rPr>
        <w:t>担</w:t>
      </w:r>
      <w:r>
        <w:rPr>
          <w:rFonts w:hint="eastAsia" w:ascii="宋体" w:hAnsi="宋体" w:cs="宋体"/>
          <w:color w:val="auto"/>
          <w:kern w:val="0"/>
          <w:sz w:val="24"/>
          <w:u w:val="single"/>
          <w:lang w:val="zh-CN"/>
        </w:rPr>
        <w:t>XX工作内容</w:t>
      </w:r>
      <w:r>
        <w:rPr>
          <w:rFonts w:hint="eastAsia" w:ascii="宋体" w:hAnsi="宋体" w:cs="宋体"/>
          <w:color w:val="auto"/>
          <w:kern w:val="0"/>
          <w:sz w:val="24"/>
          <w:lang w:val="zh-CN"/>
        </w:rPr>
        <w:t>相应资质条件且不得再次分包；</w:t>
      </w:r>
    </w:p>
    <w:p>
      <w:pPr>
        <w:pStyle w:val="4"/>
        <w:ind w:left="664" w:leftChars="316" w:firstLine="229" w:firstLineChars="95"/>
        <w:rPr>
          <w:rFonts w:ascii="宋体" w:hAnsi="宋体" w:eastAsia="宋体" w:cs="宋体"/>
          <w:color w:val="auto"/>
          <w:kern w:val="0"/>
          <w:sz w:val="24"/>
          <w:szCs w:val="24"/>
        </w:rPr>
      </w:pPr>
      <w:r>
        <w:rPr>
          <w:rFonts w:hint="eastAsia" w:ascii="宋体" w:hAnsi="宋体" w:eastAsia="宋体" w:cs="宋体"/>
          <w:color w:val="auto"/>
          <w:kern w:val="0"/>
          <w:sz w:val="24"/>
          <w:szCs w:val="24"/>
        </w:rPr>
        <w:t>……</w:t>
      </w:r>
    </w:p>
    <w:p>
      <w:pPr>
        <w:rPr>
          <w:color w:val="auto"/>
        </w:rPr>
      </w:pPr>
      <w:r>
        <w:rPr>
          <w:rFonts w:hint="eastAsia"/>
          <w:color w:val="auto"/>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二、分包供应商中小企业合同份额</w:t>
      </w:r>
    </w:p>
    <w:p>
      <w:pPr>
        <w:snapToGrid w:val="0"/>
        <w:spacing w:line="360" w:lineRule="auto"/>
        <w:ind w:firstLine="576"/>
        <w:rPr>
          <w:rFonts w:ascii="宋体" w:hAnsi="宋体" w:cs="宋体"/>
          <w:b/>
          <w:color w:val="auto"/>
          <w:kern w:val="0"/>
          <w:sz w:val="24"/>
          <w:lang w:val="zh-CN"/>
        </w:rPr>
      </w:pPr>
      <w:r>
        <w:rPr>
          <w:rFonts w:ascii="宋体" w:hAnsi="宋体" w:cs="宋体"/>
          <w:color w:val="auto"/>
          <w:kern w:val="0"/>
          <w:sz w:val="24"/>
        </w:rPr>
        <w:t>1、</w:t>
      </w:r>
      <w:r>
        <w:rPr>
          <w:rFonts w:hint="eastAsia" w:ascii="宋体" w:hAnsi="宋体" w:cs="宋体"/>
          <w:color w:val="auto"/>
          <w:kern w:val="0"/>
          <w:sz w:val="24"/>
          <w:u w:val="single"/>
        </w:rPr>
        <w:t>（分包供应商X</w:t>
      </w:r>
      <w:r>
        <w:rPr>
          <w:rFonts w:ascii="宋体" w:hAnsi="宋体" w:cs="宋体"/>
          <w:color w:val="auto"/>
          <w:kern w:val="0"/>
          <w:sz w:val="24"/>
          <w:u w:val="single"/>
        </w:rPr>
        <w:t>,</w:t>
      </w:r>
      <w:r>
        <w:rPr>
          <w:rFonts w:hint="eastAsia" w:ascii="宋体" w:hAnsi="宋体" w:cs="宋体"/>
          <w:color w:val="auto"/>
          <w:kern w:val="0"/>
          <w:sz w:val="24"/>
          <w:u w:val="single"/>
        </w:rPr>
        <w:t>……）提供的服务全部由小微企业承接，</w:t>
      </w:r>
      <w:r>
        <w:rPr>
          <w:rFonts w:hint="eastAsia" w:ascii="宋体" w:hAnsi="宋体" w:cs="宋体"/>
          <w:color w:val="auto"/>
          <w:kern w:val="0"/>
          <w:sz w:val="24"/>
        </w:rPr>
        <w:t>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rPr>
        <w:t>。</w:t>
      </w:r>
      <w:r>
        <w:rPr>
          <w:rFonts w:hint="eastAsia" w:ascii="宋体" w:hAnsi="宋体" w:cs="宋体"/>
          <w:b/>
          <w:color w:val="auto"/>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rPr>
        <w:t>拟享受以上价格扣除政策的，填写有关内容。</w:t>
      </w:r>
      <w:r>
        <w:rPr>
          <w:rFonts w:hint="eastAsia" w:ascii="宋体" w:hAnsi="宋体" w:cs="宋体"/>
          <w:b/>
          <w:color w:val="auto"/>
          <w:kern w:val="0"/>
          <w:sz w:val="24"/>
          <w:lang w:val="zh-CN"/>
        </w:rPr>
        <w:t>）</w:t>
      </w:r>
    </w:p>
    <w:p>
      <w:pPr>
        <w:spacing w:line="360" w:lineRule="auto"/>
        <w:ind w:firstLine="480" w:firstLineChars="200"/>
        <w:rPr>
          <w:rFonts w:ascii="宋体" w:hAnsi="宋体" w:cs="宋体"/>
          <w:b/>
          <w:bCs/>
          <w:color w:val="auto"/>
          <w:kern w:val="0"/>
          <w:sz w:val="24"/>
          <w:lang w:val="zh-CN"/>
        </w:rPr>
      </w:pPr>
      <w:r>
        <w:rPr>
          <w:rFonts w:hint="eastAsia" w:ascii="宋体" w:hAnsi="宋体" w:cs="宋体"/>
          <w:color w:val="auto"/>
          <w:sz w:val="24"/>
        </w:rPr>
        <w:t>2、中小企业合同金额达到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要求合同分包形式参加的项目或采购包，供应商按招标文件第一部分招标公告申请人的资格要求中规定的</w:t>
      </w:r>
      <w:r>
        <w:rPr>
          <w:rFonts w:hint="eastAsia" w:ascii="宋体" w:hAnsi="宋体" w:cs="宋体"/>
          <w:b/>
          <w:color w:val="auto"/>
          <w:kern w:val="0"/>
          <w:sz w:val="24"/>
          <w:lang w:val="zh-CN"/>
        </w:rPr>
        <w:t>分包意向协议</w:t>
      </w:r>
      <w:r>
        <w:rPr>
          <w:rFonts w:hint="eastAsia" w:ascii="宋体" w:hAnsi="宋体" w:cs="宋体"/>
          <w:b/>
          <w:bCs/>
          <w:color w:val="auto"/>
          <w:sz w:val="24"/>
        </w:rPr>
        <w:t>中中小企业、小微企业合同金额应当达到的比例要求填写。</w:t>
      </w:r>
      <w:r>
        <w:rPr>
          <w:rFonts w:hint="eastAsia" w:ascii="宋体" w:hAnsi="宋体" w:cs="宋体"/>
          <w:b/>
          <w:bCs/>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三、分包工作履行期限、地点、方式</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四、质量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五、价款或者报酬</w:t>
      </w:r>
    </w:p>
    <w:p>
      <w:pPr>
        <w:snapToGrid w:val="0"/>
        <w:spacing w:line="360" w:lineRule="auto"/>
        <w:ind w:left="573" w:leftChars="273"/>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left="573" w:leftChars="273"/>
        <w:rPr>
          <w:rFonts w:ascii="宋体" w:hAnsi="宋体" w:cs="宋体"/>
          <w:color w:val="auto"/>
          <w:kern w:val="0"/>
          <w:sz w:val="24"/>
          <w:lang w:val="zh-CN"/>
        </w:rPr>
      </w:pPr>
      <w:r>
        <w:rPr>
          <w:rFonts w:hint="eastAsia" w:ascii="宋体" w:hAnsi="宋体" w:cs="宋体"/>
          <w:color w:val="auto"/>
          <w:kern w:val="0"/>
          <w:sz w:val="24"/>
          <w:lang w:val="zh-CN"/>
        </w:rPr>
        <w:t>六、违约责任</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七、争议解决的办法</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八、其他</w:t>
      </w:r>
    </w:p>
    <w:p>
      <w:pPr>
        <w:snapToGrid w:val="0"/>
        <w:spacing w:line="360" w:lineRule="auto"/>
        <w:ind w:left="5758" w:leftChars="342" w:hanging="5040" w:hangingChars="2100"/>
        <w:rPr>
          <w:rFonts w:ascii="宋体" w:hAnsi="宋体" w:cs="宋体"/>
          <w:color w:val="auto"/>
          <w:kern w:val="0"/>
          <w:sz w:val="24"/>
          <w:lang w:val="zh-CN"/>
        </w:rPr>
      </w:pPr>
      <w:r>
        <w:rPr>
          <w:rFonts w:hint="eastAsia" w:ascii="宋体" w:hAnsi="宋体" w:cs="宋体"/>
          <w:color w:val="auto"/>
          <w:sz w:val="24"/>
        </w:rPr>
        <w:t>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 xml:space="preserve">  。                                           投标人名称(电子签名)：</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分包供应商名称(电子签名/公章)：</w:t>
      </w:r>
    </w:p>
    <w:p>
      <w:pPr>
        <w:snapToGrid w:val="0"/>
        <w:spacing w:line="360" w:lineRule="auto"/>
        <w:ind w:firstLine="5760" w:firstLineChars="2400"/>
        <w:rPr>
          <w:rFonts w:ascii="宋体" w:hAnsi="宋体" w:cs="宋体"/>
          <w:color w:val="auto"/>
        </w:rPr>
      </w:pPr>
      <w:r>
        <w:rPr>
          <w:rFonts w:hint="eastAsia" w:ascii="宋体" w:hAnsi="宋体" w:cs="宋体"/>
          <w:color w:val="auto"/>
          <w:kern w:val="0"/>
          <w:sz w:val="24"/>
          <w:lang w:val="zh-CN"/>
        </w:rPr>
        <w:t>……</w:t>
      </w:r>
    </w:p>
    <w:p>
      <w:pPr>
        <w:snapToGrid w:val="0"/>
        <w:spacing w:line="360" w:lineRule="auto"/>
        <w:ind w:left="5758" w:leftChars="342" w:hanging="5040" w:hangingChars="2100"/>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spacing w:line="360" w:lineRule="auto"/>
        <w:jc w:val="left"/>
        <w:outlineLvl w:val="0"/>
        <w:rPr>
          <w:rFonts w:ascii="宋体" w:hAnsi="宋体" w:cs="宋体"/>
          <w:b/>
          <w:color w:val="auto"/>
          <w:sz w:val="36"/>
          <w:szCs w:val="20"/>
        </w:rPr>
      </w:pPr>
      <w:r>
        <w:rPr>
          <w:rFonts w:hint="eastAsia" w:ascii="宋体" w:hAnsi="宋体" w:cs="宋体"/>
          <w:b/>
          <w:color w:val="auto"/>
          <w:sz w:val="36"/>
          <w:szCs w:val="20"/>
        </w:rPr>
        <w:t>附件</w:t>
      </w:r>
      <w:r>
        <w:rPr>
          <w:rFonts w:ascii="宋体" w:hAnsi="宋体" w:cs="宋体"/>
          <w:b/>
          <w:color w:val="auto"/>
          <w:sz w:val="36"/>
          <w:szCs w:val="20"/>
        </w:rPr>
        <w:t>7</w:t>
      </w:r>
      <w:r>
        <w:rPr>
          <w:rFonts w:hint="eastAsia" w:ascii="宋体" w:hAnsi="宋体" w:cs="宋体"/>
          <w:b/>
          <w:color w:val="auto"/>
          <w:sz w:val="36"/>
          <w:szCs w:val="20"/>
        </w:rPr>
        <w:t>：中小企业声明函</w:t>
      </w:r>
    </w:p>
    <w:p>
      <w:pPr>
        <w:spacing w:line="360" w:lineRule="auto"/>
        <w:jc w:val="center"/>
        <w:rPr>
          <w:rFonts w:ascii="宋体" w:hAnsi="宋体" w:cs="宋体"/>
          <w:color w:val="auto"/>
          <w:sz w:val="24"/>
          <w:u w:val="single"/>
        </w:rPr>
      </w:pPr>
    </w:p>
    <w:p>
      <w:pPr>
        <w:spacing w:line="360" w:lineRule="auto"/>
        <w:jc w:val="center"/>
        <w:rPr>
          <w:rFonts w:ascii="宋体" w:hAnsi="宋体" w:cs="宋体"/>
          <w:b/>
          <w:color w:val="auto"/>
          <w:sz w:val="32"/>
          <w:szCs w:val="32"/>
        </w:rPr>
      </w:pPr>
      <w:r>
        <w:rPr>
          <w:rFonts w:hint="eastAsia" w:ascii="宋体" w:hAnsi="宋体" w:cs="宋体"/>
          <w:b/>
          <w:color w:val="auto"/>
          <w:sz w:val="32"/>
          <w:szCs w:val="32"/>
        </w:rPr>
        <w:t>中小企业声明函（服务）</w:t>
      </w:r>
    </w:p>
    <w:p>
      <w:pPr>
        <w:spacing w:line="360" w:lineRule="auto"/>
        <w:ind w:firstLine="360" w:firstLineChars="150"/>
        <w:jc w:val="left"/>
        <w:rPr>
          <w:rFonts w:ascii="宋体" w:hAnsi="宋体" w:cs="宋体"/>
          <w:color w:val="auto"/>
          <w:sz w:val="24"/>
        </w:rPr>
      </w:pPr>
      <w:r>
        <w:rPr>
          <w:rFonts w:hint="eastAsia" w:ascii="宋体" w:hAnsi="宋体" w:cs="宋体"/>
          <w:color w:val="auto"/>
          <w:sz w:val="24"/>
        </w:rPr>
        <w:t xml:space="preserve">本公司（联合体）郑重声明，根据《政府采购促进中小企业发展管理办法》（财库﹝2020﹞46 号）的规定，本公司（联合体）参加 </w:t>
      </w:r>
      <w:r>
        <w:rPr>
          <w:rFonts w:hint="eastAsia" w:ascii="宋体" w:hAnsi="宋体" w:cs="宋体"/>
          <w:color w:val="auto"/>
          <w:sz w:val="24"/>
          <w:u w:val="single"/>
        </w:rPr>
        <w:t>（采购人）</w:t>
      </w:r>
      <w:r>
        <w:rPr>
          <w:rFonts w:hint="eastAsia" w:ascii="宋体" w:hAnsi="宋体" w:cs="宋体"/>
          <w:color w:val="auto"/>
          <w:sz w:val="24"/>
          <w:u w:val="single"/>
        </w:rPr>
        <w:t xml:space="preserve"> </w:t>
      </w:r>
      <w:r>
        <w:rPr>
          <w:rFonts w:hint="eastAsia" w:ascii="宋体" w:hAnsi="宋体" w:cs="宋体"/>
          <w:color w:val="auto"/>
          <w:sz w:val="24"/>
        </w:rPr>
        <w:t>的</w:t>
      </w:r>
      <w:r>
        <w:rPr>
          <w:rFonts w:hint="eastAsia" w:ascii="宋体" w:hAnsi="宋体" w:cs="宋体"/>
          <w:color w:val="auto"/>
          <w:sz w:val="24"/>
          <w:u w:val="single"/>
        </w:rPr>
        <w:t xml:space="preserve"> </w:t>
      </w:r>
      <w:r>
        <w:rPr>
          <w:rFonts w:hint="eastAsia" w:ascii="宋体" w:hAnsi="宋体" w:cs="宋体"/>
          <w:color w:val="auto"/>
          <w:sz w:val="24"/>
          <w:u w:val="single"/>
          <w:lang w:eastAsia="zh-CN"/>
        </w:rPr>
        <w:t>五常街道城市管理综合养护二标段采购项目</w:t>
      </w:r>
      <w:r>
        <w:rPr>
          <w:rFonts w:hint="eastAsia" w:ascii="宋体" w:hAnsi="宋体" w:cs="宋体"/>
          <w:color w:val="auto"/>
          <w:sz w:val="24"/>
          <w:u w:val="single"/>
        </w:rPr>
        <w:t xml:space="preserve"> </w:t>
      </w:r>
      <w:r>
        <w:rPr>
          <w:rFonts w:hint="eastAsia" w:ascii="宋体" w:hAnsi="宋体" w:cs="宋体"/>
          <w:color w:val="auto"/>
          <w:sz w:val="24"/>
        </w:rPr>
        <w:t>采购活动，</w:t>
      </w:r>
      <w:r>
        <w:rPr>
          <w:rFonts w:hint="eastAsia" w:ascii="宋体" w:hAnsi="宋体" w:cs="宋体"/>
          <w:color w:val="auto"/>
          <w:sz w:val="24"/>
        </w:rPr>
        <w:t>工程的施工单位全部为符合政策要求的中小企业（或者：服务全部由符合政策要求的中小企业承接）</w:t>
      </w:r>
      <w:r>
        <w:rPr>
          <w:rFonts w:hint="eastAsia" w:ascii="宋体" w:hAnsi="宋体" w:cs="宋体"/>
          <w:color w:val="auto"/>
          <w:sz w:val="24"/>
        </w:rPr>
        <w:t>。相关企业（含联合体中的中小企业、签订分包意向协议的中小企业）的具体情况如下：</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1.</w:t>
      </w:r>
      <w:r>
        <w:rPr>
          <w:rFonts w:hint="eastAsia" w:ascii="宋体" w:hAnsi="宋体" w:cs="宋体"/>
          <w:color w:val="auto"/>
        </w:rPr>
        <w:t xml:space="preserve"> </w:t>
      </w:r>
      <w:r>
        <w:rPr>
          <w:rFonts w:hint="eastAsia" w:ascii="宋体" w:hAnsi="宋体" w:cs="宋体"/>
          <w:color w:val="auto"/>
          <w:sz w:val="24"/>
          <w:u w:val="single"/>
        </w:rPr>
        <w:t>（标的名称）</w:t>
      </w:r>
      <w:r>
        <w:rPr>
          <w:rFonts w:hint="eastAsia" w:ascii="宋体" w:hAnsi="宋体" w:cs="宋体"/>
          <w:color w:val="auto"/>
          <w:sz w:val="24"/>
        </w:rPr>
        <w:t>，属于</w:t>
      </w:r>
      <w:r>
        <w:rPr>
          <w:rFonts w:hint="eastAsia" w:ascii="宋体" w:hAnsi="宋体" w:cs="宋体"/>
          <w:color w:val="auto"/>
          <w:sz w:val="24"/>
          <w:u w:val="single"/>
        </w:rPr>
        <w:t xml:space="preserve"> （采购文件中明确的所属行业）</w:t>
      </w:r>
      <w:r>
        <w:rPr>
          <w:rFonts w:hint="eastAsia" w:ascii="宋体" w:hAnsi="宋体" w:cs="宋体"/>
          <w:color w:val="auto"/>
          <w:sz w:val="24"/>
        </w:rPr>
        <w:t xml:space="preserve"> ；</w:t>
      </w:r>
      <w:r>
        <w:rPr>
          <w:rFonts w:hint="eastAsia" w:ascii="宋体" w:hAnsi="宋体" w:cs="宋体"/>
          <w:color w:val="auto"/>
          <w:sz w:val="24"/>
        </w:rPr>
        <w:t>承建（承接）</w:t>
      </w:r>
      <w:r>
        <w:rPr>
          <w:rFonts w:hint="eastAsia" w:ascii="宋体" w:hAnsi="宋体" w:cs="宋体"/>
          <w:color w:val="auto"/>
          <w:sz w:val="24"/>
        </w:rPr>
        <w:t xml:space="preserve">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u w:val="single"/>
        </w:rPr>
        <w:t xml:space="preserve"> （标的名称），</w:t>
      </w:r>
      <w:r>
        <w:rPr>
          <w:rFonts w:hint="eastAsia" w:ascii="宋体" w:hAnsi="宋体" w:cs="宋体"/>
          <w:color w:val="auto"/>
          <w:sz w:val="24"/>
        </w:rPr>
        <w:t xml:space="preserve">属于 </w:t>
      </w:r>
      <w:r>
        <w:rPr>
          <w:rFonts w:hint="eastAsia" w:ascii="宋体" w:hAnsi="宋体" w:cs="宋体"/>
          <w:color w:val="auto"/>
          <w:sz w:val="24"/>
          <w:u w:val="single"/>
        </w:rPr>
        <w:t xml:space="preserve">（采购文件中明确的所属行业） </w:t>
      </w:r>
      <w:r>
        <w:rPr>
          <w:rFonts w:hint="eastAsia" w:ascii="宋体" w:hAnsi="宋体" w:cs="宋体"/>
          <w:color w:val="auto"/>
          <w:sz w:val="24"/>
        </w:rPr>
        <w:t>；</w:t>
      </w:r>
      <w:r>
        <w:rPr>
          <w:rFonts w:hint="eastAsia" w:ascii="宋体" w:hAnsi="宋体" w:cs="宋体"/>
          <w:color w:val="auto"/>
          <w:sz w:val="24"/>
        </w:rPr>
        <w:t>承建（承接）</w:t>
      </w:r>
      <w:r>
        <w:rPr>
          <w:rFonts w:hint="eastAsia" w:ascii="宋体" w:hAnsi="宋体" w:cs="宋体"/>
          <w:color w:val="auto"/>
          <w:sz w:val="24"/>
        </w:rPr>
        <w:t xml:space="preserve">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本企业对上述声明内容的真实性负责。如有虚假，将依法承担相应责任。</w:t>
      </w:r>
    </w:p>
    <w:p>
      <w:pPr>
        <w:spacing w:line="360" w:lineRule="auto"/>
        <w:ind w:right="1760"/>
        <w:jc w:val="right"/>
        <w:rPr>
          <w:rFonts w:ascii="宋体" w:hAnsi="宋体" w:cs="宋体"/>
          <w:color w:val="auto"/>
          <w:sz w:val="24"/>
        </w:rPr>
      </w:pPr>
      <w:r>
        <w:rPr>
          <w:rFonts w:hint="eastAsia" w:ascii="宋体" w:hAnsi="宋体" w:cs="宋体"/>
          <w:color w:val="auto"/>
          <w:sz w:val="24"/>
        </w:rPr>
        <w:t>投标人名称（电子签名）：</w:t>
      </w:r>
    </w:p>
    <w:p>
      <w:pPr>
        <w:spacing w:line="360" w:lineRule="auto"/>
        <w:ind w:right="1120" w:firstLine="4680" w:firstLineChars="1950"/>
        <w:rPr>
          <w:rFonts w:ascii="宋体" w:hAnsi="宋体" w:cs="宋体"/>
          <w:color w:val="auto"/>
          <w:sz w:val="24"/>
        </w:rPr>
      </w:pPr>
      <w:r>
        <w:rPr>
          <w:rFonts w:hint="eastAsia" w:ascii="宋体" w:hAnsi="宋体" w:cs="宋体"/>
          <w:color w:val="auto"/>
          <w:sz w:val="24"/>
        </w:rPr>
        <w:t>日 期：</w:t>
      </w:r>
    </w:p>
    <w:p>
      <w:pPr>
        <w:spacing w:line="360" w:lineRule="auto"/>
        <w:ind w:firstLine="310" w:firstLineChars="147"/>
        <w:jc w:val="left"/>
        <w:rPr>
          <w:rFonts w:ascii="宋体" w:hAnsi="宋体" w:cs="宋体"/>
          <w:b/>
          <w:color w:val="auto"/>
          <w:szCs w:val="21"/>
        </w:rPr>
      </w:pPr>
      <w:r>
        <w:rPr>
          <w:rFonts w:hint="eastAsia" w:ascii="宋体" w:hAnsi="宋体" w:cs="宋体"/>
          <w:b/>
          <w:color w:val="auto"/>
          <w:szCs w:val="21"/>
        </w:rPr>
        <w:t>从业人员、营业收入、资产总额填报上一年度数据，无上一年度数据的新成立企业可不填报。</w:t>
      </w:r>
    </w:p>
    <w:p>
      <w:pPr>
        <w:spacing w:line="360" w:lineRule="auto"/>
        <w:ind w:right="420"/>
        <w:rPr>
          <w:rFonts w:ascii="宋体" w:hAnsi="宋体" w:cs="宋体"/>
          <w:color w:val="auto"/>
          <w:sz w:val="24"/>
        </w:rPr>
      </w:pPr>
    </w:p>
    <w:p>
      <w:pPr>
        <w:spacing w:line="360" w:lineRule="auto"/>
        <w:ind w:right="420"/>
        <w:rPr>
          <w:rFonts w:ascii="宋体" w:hAnsi="宋体" w:cs="宋体"/>
          <w:color w:val="auto"/>
          <w:sz w:val="24"/>
        </w:rPr>
      </w:pPr>
      <w:r>
        <w:rPr>
          <w:rFonts w:hint="eastAsia" w:ascii="宋体" w:hAnsi="宋体" w:cs="宋体"/>
          <w:color w:val="auto"/>
          <w:sz w:val="24"/>
        </w:rPr>
        <w:t xml:space="preserve">   注：</w:t>
      </w:r>
    </w:p>
    <w:p>
      <w:pPr>
        <w:spacing w:line="360" w:lineRule="auto"/>
        <w:ind w:right="420" w:firstLine="480" w:firstLineChars="200"/>
        <w:rPr>
          <w:rFonts w:ascii="宋体" w:hAnsi="宋体" w:cs="宋体"/>
          <w:color w:val="auto"/>
          <w:sz w:val="24"/>
        </w:rPr>
      </w:pPr>
      <w:r>
        <w:rPr>
          <w:rFonts w:hint="eastAsia" w:ascii="宋体" w:hAnsi="宋体" w:cs="宋体"/>
          <w:color w:val="auto"/>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rPr>
      </w:pPr>
      <w:r>
        <w:rPr>
          <w:rFonts w:hint="eastAsia" w:ascii="宋体" w:hAnsi="宋体" w:cs="宋体"/>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rFonts w:ascii="宋体" w:hAnsi="宋体" w:eastAsia="宋体" w:cs="宋体"/>
          <w:color w:val="auto"/>
          <w:lang w:val="en-US"/>
        </w:rPr>
      </w:pPr>
    </w:p>
    <w:p>
      <w:pPr>
        <w:spacing w:line="360" w:lineRule="auto"/>
        <w:ind w:right="420"/>
        <w:rPr>
          <w:rFonts w:ascii="宋体" w:hAnsi="宋体" w:cs="宋体"/>
          <w:color w:val="auto"/>
        </w:rPr>
      </w:pPr>
    </w:p>
    <w:p>
      <w:pPr>
        <w:spacing w:line="360" w:lineRule="auto"/>
        <w:rPr>
          <w:rFonts w:ascii="宋体" w:hAnsi="宋体" w:cs="宋体"/>
          <w:bCs/>
          <w:color w:val="auto"/>
          <w:sz w:val="24"/>
        </w:rPr>
      </w:pPr>
    </w:p>
    <w:sectPr>
      <w:headerReference r:id="rId27" w:type="first"/>
      <w:footerReference r:id="rId30" w:type="first"/>
      <w:headerReference r:id="rId26" w:type="default"/>
      <w:footerReference r:id="rId28" w:type="default"/>
      <w:footerReference r:id="rId29"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S Sans Serif">
    <w:altName w:val="Vrinda"/>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NumberOnly"/>
    <w:panose1 w:val="020B0502020202020204"/>
    <w:charset w:val="00"/>
    <w:family w:val="swiss"/>
    <w:pitch w:val="default"/>
    <w:sig w:usb0="00000000" w:usb1="00000000" w:usb2="00000000" w:usb3="00000000" w:csb0="0000009F"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roman"/>
    <w:pitch w:val="default"/>
    <w:sig w:usb0="E00002FF" w:usb1="6AC7FDFB" w:usb2="00000012" w:usb3="00000000" w:csb0="4002009F" w:csb1="DFD70000"/>
  </w:font>
  <w:font w:name="方正小标宋简体">
    <w:altName w:val="黑体"/>
    <w:panose1 w:val="02010601030101010101"/>
    <w:charset w:val="86"/>
    <w:family w:val="auto"/>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Vrinda">
    <w:panose1 w:val="020B0502040204020203"/>
    <w:charset w:val="00"/>
    <w:family w:val="auto"/>
    <w:pitch w:val="default"/>
    <w:sig w:usb0="00010003" w:usb1="00000000" w:usb2="00000000" w:usb3="00000000" w:csb0="00000001" w:csb1="00000000"/>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2"/>
      </w:rPr>
    </w:pPr>
    <w:r>
      <w:fldChar w:fldCharType="begin"/>
    </w:r>
    <w:r>
      <w:rPr>
        <w:rStyle w:val="72"/>
      </w:rPr>
      <w:instrText xml:space="preserve">PAGE  </w:instrText>
    </w:r>
    <w:r>
      <w:fldChar w:fldCharType="end"/>
    </w:r>
  </w:p>
  <w:p>
    <w:pPr>
      <w:pStyle w:val="43"/>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422" w:name="_Toc91899912"/>
    <w:bookmarkStart w:id="423" w:name="_Toc131845147"/>
    <w:bookmarkStart w:id="424" w:name="_Toc36110187"/>
    <w:bookmarkStart w:id="425" w:name="_Toc164085800"/>
    <w:r>
      <w:rPr>
        <w:rFonts w:hint="eastAsia" w:ascii="仿宋_GB2312" w:eastAsia="仿宋_GB2312"/>
        <w:kern w:val="0"/>
        <w:szCs w:val="21"/>
      </w:rPr>
      <w:t xml:space="preserve"> 页</w:t>
    </w:r>
    <w:bookmarkEnd w:id="422"/>
    <w:bookmarkEnd w:id="423"/>
    <w:bookmarkEnd w:id="424"/>
    <w:bookmarkEnd w:id="42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2"/>
      </w:rPr>
    </w:pPr>
    <w:r>
      <w:fldChar w:fldCharType="begin"/>
    </w:r>
    <w:r>
      <w:rPr>
        <w:rStyle w:val="72"/>
      </w:rPr>
      <w:instrText xml:space="preserve">PAGE  </w:instrText>
    </w:r>
    <w:r>
      <w:fldChar w:fldCharType="end"/>
    </w:r>
  </w:p>
  <w:p>
    <w:pPr>
      <w:pStyle w:val="4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Style w:val="72"/>
        <w:b/>
      </w:rPr>
    </w:pPr>
    <w:r>
      <w:rPr>
        <w:rFonts w:ascii="Times New Roman" w:hAnsi="Times New Roman" w:eastAsia="宋体" w:cs="Times New Roman"/>
        <w:kern w:val="2"/>
        <w:sz w:val="24"/>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007745" cy="168910"/>
              <wp:effectExtent l="0" t="0" r="0" b="0"/>
              <wp:wrapNone/>
              <wp:docPr id="8" name="文本框 1"/>
              <wp:cNvGraphicFramePr/>
              <a:graphic xmlns:a="http://schemas.openxmlformats.org/drawingml/2006/main">
                <a:graphicData uri="http://schemas.microsoft.com/office/word/2010/wordprocessingShape">
                  <wps:wsp>
                    <wps:cNvSpPr/>
                    <wps:spPr>
                      <a:xfrm>
                        <a:off x="0" y="0"/>
                        <a:ext cx="1007745" cy="168910"/>
                      </a:xfrm>
                      <a:prstGeom prst="rect">
                        <a:avLst/>
                      </a:prstGeom>
                      <a:noFill/>
                      <a:ln>
                        <a:noFill/>
                      </a:ln>
                    </wps:spPr>
                    <wps:txbx>
                      <w:txbxContent>
                        <w:p>
                          <w:pPr>
                            <w:pStyle w:val="43"/>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106</w:t>
                          </w:r>
                          <w:r>
                            <w:fldChar w:fldCharType="end"/>
                          </w:r>
                          <w:r>
                            <w:t xml:space="preserve"> 页</w:t>
                          </w:r>
                        </w:p>
                      </w:txbxContent>
                    </wps:txbx>
                    <wps:bodyPr lIns="0" tIns="0" rIns="0" bIns="0" upright="1"/>
                  </wps:wsp>
                </a:graphicData>
              </a:graphic>
            </wp:anchor>
          </w:drawing>
        </mc:Choice>
        <mc:Fallback>
          <w:pict>
            <v:rect id="文本框 1" o:spid="_x0000_s1026" o:spt="1" style="position:absolute;left:0pt;margin-top:0pt;height:13.3pt;width:79.35pt;mso-position-horizontal:center;mso-position-horizontal-relative:margin;z-index:251661312;mso-width-relative:page;mso-height-relative:page;" filled="f" stroked="f" coordsize="21600,21600" o:gfxdata="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8&#10;olyT1gAAAAQBAAAPAAAAAAAAAAEAIAAAACIAAABkcnMvZG93bnJldi54bWxQSwECFAAUAAAACACH&#10;TuJAbtJW4rQBAABoAwAADgAAAAAAAAABACAAAAAlAQAAZHJzL2Uyb0RvYy54bWxQSwUGAAAAAAYA&#10;BgBZAQAASwUAAAAA&#10;">
              <v:fill on="f" focussize="0,0"/>
              <v:stroke on="f"/>
              <v:imagedata o:title=""/>
              <o:lock v:ext="edit" aspectratio="f"/>
              <v:textbox inset="0mm,0mm,0mm,0mm">
                <w:txbxContent>
                  <w:p>
                    <w:pPr>
                      <w:pStyle w:val="43"/>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106</w:t>
                    </w:r>
                    <w:r>
                      <w:fldChar w:fldCharType="end"/>
                    </w:r>
                    <w:r>
                      <w:t xml:space="preserve"> 页</w:t>
                    </w:r>
                  </w:p>
                </w:txbxContent>
              </v:textbox>
            </v:rect>
          </w:pict>
        </mc:Fallback>
      </mc:AlternateContent>
    </w:r>
  </w:p>
  <w:p>
    <w:pPr>
      <w:pStyle w:val="43"/>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2"/>
      </w:rPr>
    </w:pPr>
    <w:r>
      <w:fldChar w:fldCharType="begin"/>
    </w:r>
    <w:r>
      <w:rPr>
        <w:rStyle w:val="72"/>
      </w:rPr>
      <w:instrText xml:space="preserve">PAGE  </w:instrText>
    </w:r>
    <w:r>
      <w:fldChar w:fldCharType="separate"/>
    </w:r>
    <w:r>
      <w:rPr>
        <w:rStyle w:val="72"/>
      </w:rPr>
      <w:t>22</w:t>
    </w:r>
    <w:r>
      <w:fldChar w:fldCharType="end"/>
    </w:r>
  </w:p>
  <w:p>
    <w:pPr>
      <w:pStyle w:val="4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49</w:t>
                          </w:r>
                          <w:r>
                            <w:rPr>
                              <w:rFonts w:hint="eastAsia"/>
                              <w:sz w:val="18"/>
                              <w:lang w:eastAsia="zh-CN"/>
                            </w:rPr>
                            <w:fldChar w:fldCharType="end"/>
                          </w:r>
                          <w:r>
                            <w:rPr>
                              <w:rFonts w:hint="eastAsia"/>
                              <w:sz w:val="18"/>
                              <w:lang w:eastAsia="zh-CN"/>
                            </w:rPr>
                            <w:t xml:space="preserve"> 页</w:t>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qwBckBAACZAwAADgAAAGRycy9lMm9Eb2MueG1srVPNjtMwEL4j8Q6W&#10;79TZCqE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LeUOG5x4OefP86//px/fye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o6rAF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49</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- 1 -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SGkOqyQEAAJs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- 1 -</w:t>
                    </w:r>
                    <w:r>
                      <w:rPr>
                        <w:rFonts w:hint="eastAsia"/>
                        <w:sz w:val="18"/>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4"/>
      </w:pBdr>
      <w:jc w:val="right"/>
    </w:pPr>
    <w:r>
      <w:t></w:t>
    </w:r>
    <w:r>
      <w:rPr>
        <w:rFonts w:hint="eastAsia"/>
      </w:rPr>
      <w:t xml:space="preserve">             </w:t>
    </w:r>
    <w:r>
      <w:t>杭州市政府采购公开招标文件</w:t>
    </w:r>
  </w:p>
  <w:p>
    <w:pPr>
      <w:pStyle w:val="2"/>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rPr>
        <w:rFonts w:hint="eastAsia"/>
      </w:rPr>
      <w:t xml:space="preserve">                                                                                                        </w:t>
    </w: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iCs/>
        <w:u w:val="single"/>
      </w:rPr>
    </w:pPr>
    <w:r>
      <w:t>杭州市政府采购公开招标文件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p>
  <w:p>
    <w:pPr>
      <w:pStyle w:val="44"/>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t></w:t>
    </w:r>
    <w:r>
      <w:rPr>
        <w:rFonts w:hint="eastAsia"/>
      </w:rPr>
      <w:t xml:space="preserve">                 </w:t>
    </w:r>
    <w:r>
      <w:t xml:space="preserve">                                </w:t>
    </w: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69861A"/>
    <w:multiLevelType w:val="singleLevel"/>
    <w:tmpl w:val="8A69861A"/>
    <w:lvl w:ilvl="0" w:tentative="0">
      <w:start w:val="1"/>
      <w:numFmt w:val="decimal"/>
      <w:suff w:val="nothing"/>
      <w:lvlText w:val="（%1）"/>
      <w:lvlJc w:val="left"/>
    </w:lvl>
  </w:abstractNum>
  <w:abstractNum w:abstractNumId="1">
    <w:nsid w:val="E40135B3"/>
    <w:multiLevelType w:val="singleLevel"/>
    <w:tmpl w:val="E40135B3"/>
    <w:lvl w:ilvl="0" w:tentative="0">
      <w:start w:val="2"/>
      <w:numFmt w:val="decimal"/>
      <w:suff w:val="nothing"/>
      <w:lvlText w:val="%1、"/>
      <w:lvlJc w:val="left"/>
      <w:pPr>
        <w:ind w:left="630" w:leftChars="0" w:firstLine="0" w:firstLineChars="0"/>
      </w:pPr>
    </w:lvl>
  </w:abstractNum>
  <w:abstractNum w:abstractNumId="2">
    <w:nsid w:val="00000009"/>
    <w:multiLevelType w:val="singleLevel"/>
    <w:tmpl w:val="00000009"/>
    <w:lvl w:ilvl="0" w:tentative="0">
      <w:start w:val="1"/>
      <w:numFmt w:val="chineseCounting"/>
      <w:suff w:val="nothing"/>
      <w:lvlText w:val="（%1）"/>
      <w:lvlJc w:val="left"/>
    </w:lvl>
  </w:abstractNum>
  <w:abstractNum w:abstractNumId="3">
    <w:nsid w:val="24074C7B"/>
    <w:multiLevelType w:val="singleLevel"/>
    <w:tmpl w:val="24074C7B"/>
    <w:lvl w:ilvl="0" w:tentative="0">
      <w:start w:val="3"/>
      <w:numFmt w:val="chineseCounting"/>
      <w:suff w:val="nothing"/>
      <w:lvlText w:val="%1、"/>
      <w:lvlJc w:val="left"/>
      <w:rPr>
        <w:rFonts w:hint="eastAsia"/>
      </w:rPr>
    </w:lvl>
  </w:abstractNum>
  <w:abstractNum w:abstractNumId="4">
    <w:nsid w:val="4BAE36DA"/>
    <w:multiLevelType w:val="singleLevel"/>
    <w:tmpl w:val="4BAE36DA"/>
    <w:lvl w:ilvl="0" w:tentative="0">
      <w:start w:val="3"/>
      <w:numFmt w:val="decimal"/>
      <w:suff w:val="nothing"/>
      <w:lvlText w:val="%1、"/>
      <w:lvlJc w:val="left"/>
      <w:pPr>
        <w:ind w:left="481" w:leftChars="0" w:firstLine="0" w:firstLineChars="0"/>
      </w:pPr>
    </w:lvl>
  </w:abstractNum>
  <w:abstractNum w:abstractNumId="5">
    <w:nsid w:val="71D00B43"/>
    <w:multiLevelType w:val="singleLevel"/>
    <w:tmpl w:val="71D00B43"/>
    <w:lvl w:ilvl="0" w:tentative="0">
      <w:start w:val="5"/>
      <w:numFmt w:val="chineseCounting"/>
      <w:suff w:val="nothing"/>
      <w:lvlText w:val="（%1）"/>
      <w:lvlJc w:val="left"/>
      <w:rPr>
        <w:rFonts w:hint="eastAsia"/>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5ZGMwY2E1OTQwYzNlYTgwMjliNzA4ZGIzZTI1NTM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9E248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A11B05"/>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090EA0"/>
    <w:rsid w:val="1830729E"/>
    <w:rsid w:val="1870062C"/>
    <w:rsid w:val="18817102"/>
    <w:rsid w:val="18830A15"/>
    <w:rsid w:val="18852B28"/>
    <w:rsid w:val="188B5321"/>
    <w:rsid w:val="18C01E96"/>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BA5707"/>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C04F22"/>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CC6C2E"/>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0E5757"/>
    <w:rsid w:val="476E1671"/>
    <w:rsid w:val="47705F96"/>
    <w:rsid w:val="477B778F"/>
    <w:rsid w:val="478203EC"/>
    <w:rsid w:val="47B025FA"/>
    <w:rsid w:val="4809698F"/>
    <w:rsid w:val="4811697D"/>
    <w:rsid w:val="487A3E25"/>
    <w:rsid w:val="488B5503"/>
    <w:rsid w:val="4892592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D30162"/>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323268"/>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2F25C8"/>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DB415F6"/>
    <w:rsid w:val="5E006862"/>
    <w:rsid w:val="5E0207B9"/>
    <w:rsid w:val="5E1834A1"/>
    <w:rsid w:val="5E261785"/>
    <w:rsid w:val="5E4A7017"/>
    <w:rsid w:val="5E552BBA"/>
    <w:rsid w:val="5E611C10"/>
    <w:rsid w:val="5E7A0F3F"/>
    <w:rsid w:val="5EEF6DA6"/>
    <w:rsid w:val="5EFC7377"/>
    <w:rsid w:val="5F06174D"/>
    <w:rsid w:val="5F3A3602"/>
    <w:rsid w:val="5F45733B"/>
    <w:rsid w:val="5F6277C6"/>
    <w:rsid w:val="5F6D0B1D"/>
    <w:rsid w:val="5F8D0B82"/>
    <w:rsid w:val="5FCC5339"/>
    <w:rsid w:val="5FE34A5B"/>
    <w:rsid w:val="5FFE1E36"/>
    <w:rsid w:val="60232584"/>
    <w:rsid w:val="604560A5"/>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E0BD1"/>
    <w:rsid w:val="6AE96859"/>
    <w:rsid w:val="6AF34D3B"/>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6FD013A"/>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66"/>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283"/>
    <w:qFormat/>
    <w:uiPriority w:val="10"/>
    <w:pPr>
      <w:widowControl/>
      <w:overflowPunct w:val="0"/>
      <w:autoSpaceDE w:val="0"/>
      <w:autoSpaceDN w:val="0"/>
      <w:jc w:val="center"/>
      <w:textAlignment w:val="baseline"/>
    </w:pPr>
    <w:rPr>
      <w:b/>
      <w:kern w:val="0"/>
      <w:sz w:val="24"/>
      <w:szCs w:val="20"/>
      <w:lang w:val="en-GB"/>
    </w:rPr>
  </w:style>
  <w:style w:type="paragraph" w:styleId="6">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226"/>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199"/>
    <w:qFormat/>
    <w:uiPriority w:val="0"/>
    <w:pPr>
      <w:shd w:val="clear" w:color="auto" w:fill="000080"/>
    </w:pPr>
  </w:style>
  <w:style w:type="paragraph" w:styleId="20">
    <w:name w:val="annotation text"/>
    <w:basedOn w:val="1"/>
    <w:link w:val="341"/>
    <w:qFormat/>
    <w:uiPriority w:val="99"/>
    <w:pPr>
      <w:jc w:val="left"/>
    </w:pPr>
  </w:style>
  <w:style w:type="paragraph" w:styleId="21">
    <w:name w:val="Salutation"/>
    <w:basedOn w:val="1"/>
    <w:next w:val="1"/>
    <w:link w:val="295"/>
    <w:qFormat/>
    <w:uiPriority w:val="0"/>
    <w:rPr>
      <w:rFonts w:ascii="仿宋_GB2312" w:eastAsia="仿宋_GB2312"/>
      <w:sz w:val="28"/>
      <w:szCs w:val="20"/>
    </w:rPr>
  </w:style>
  <w:style w:type="paragraph" w:styleId="22">
    <w:name w:val="Body Text 3"/>
    <w:basedOn w:val="1"/>
    <w:link w:val="327"/>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25"/>
    <w:link w:val="427"/>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26"/>
    <w:link w:val="318"/>
    <w:qFormat/>
    <w:uiPriority w:val="0"/>
    <w:pPr>
      <w:ind w:firstLine="420"/>
    </w:pPr>
    <w:rPr>
      <w:rFonts w:hAnsi="Calibri" w:cs="Times New Roman"/>
      <w:snapToGrid/>
      <w:szCs w:val="20"/>
    </w:rPr>
  </w:style>
  <w:style w:type="paragraph" w:styleId="26">
    <w:name w:val="toc 6"/>
    <w:basedOn w:val="1"/>
    <w:next w:val="1"/>
    <w:qFormat/>
    <w:uiPriority w:val="0"/>
    <w:pPr>
      <w:ind w:left="2100" w:leftChars="1000"/>
    </w:pPr>
  </w:style>
  <w:style w:type="paragraph" w:styleId="27">
    <w:name w:val="Body Text Indent"/>
    <w:basedOn w:val="1"/>
    <w:next w:val="28"/>
    <w:link w:val="262"/>
    <w:qFormat/>
    <w:uiPriority w:val="0"/>
    <w:pPr>
      <w:spacing w:line="480" w:lineRule="exact"/>
      <w:ind w:firstLine="480" w:firstLineChars="200"/>
    </w:pPr>
    <w:rPr>
      <w:rFonts w:ascii="宋体" w:hAnsi="宋体"/>
      <w:sz w:val="24"/>
    </w:rPr>
  </w:style>
  <w:style w:type="paragraph" w:styleId="28">
    <w:name w:val="Body Text First Indent 2"/>
    <w:basedOn w:val="27"/>
    <w:next w:val="1"/>
    <w:link w:val="118"/>
    <w:qFormat/>
    <w:uiPriority w:val="0"/>
    <w:pPr>
      <w:adjustRightInd/>
      <w:spacing w:after="120" w:line="240" w:lineRule="auto"/>
      <w:ind w:left="420" w:leftChars="200" w:firstLine="210"/>
    </w:pPr>
    <w:rPr>
      <w:sz w:val="21"/>
    </w:rPr>
  </w:style>
  <w:style w:type="paragraph" w:styleId="29">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0">
    <w:name w:val="List 2"/>
    <w:basedOn w:val="1"/>
    <w:qFormat/>
    <w:uiPriority w:val="0"/>
    <w:pPr>
      <w:adjustRightInd/>
      <w:spacing w:line="360" w:lineRule="auto"/>
      <w:ind w:left="100" w:leftChars="200" w:hanging="200" w:hangingChars="200"/>
    </w:pPr>
    <w:rPr>
      <w:rFonts w:eastAsia="微软雅黑"/>
    </w:rPr>
  </w:style>
  <w:style w:type="paragraph" w:styleId="31">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2">
    <w:name w:val="List Bullet 2"/>
    <w:basedOn w:val="1"/>
    <w:qFormat/>
    <w:uiPriority w:val="0"/>
    <w:pPr>
      <w:autoSpaceDE w:val="0"/>
      <w:autoSpaceDN w:val="0"/>
      <w:ind w:left="420"/>
      <w:jc w:val="left"/>
    </w:pPr>
    <w:rPr>
      <w:rFonts w:ascii="宋体" w:hAnsi="宋体"/>
      <w:color w:val="000000"/>
      <w:kern w:val="0"/>
      <w:sz w:val="24"/>
      <w:szCs w:val="20"/>
    </w:rPr>
  </w:style>
  <w:style w:type="paragraph" w:styleId="33">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4">
    <w:name w:val="toc 5"/>
    <w:basedOn w:val="1"/>
    <w:next w:val="1"/>
    <w:qFormat/>
    <w:uiPriority w:val="0"/>
    <w:pPr>
      <w:ind w:left="1680" w:leftChars="800"/>
    </w:pPr>
  </w:style>
  <w:style w:type="paragraph" w:styleId="35">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6">
    <w:name w:val="Plain Text"/>
    <w:basedOn w:val="1"/>
    <w:next w:val="1"/>
    <w:link w:val="122"/>
    <w:qFormat/>
    <w:uiPriority w:val="0"/>
    <w:rPr>
      <w:rFonts w:ascii="宋体" w:hAnsi="Courier New" w:cs="Arial"/>
      <w:snapToGrid w:val="0"/>
      <w:szCs w:val="21"/>
    </w:rPr>
  </w:style>
  <w:style w:type="paragraph" w:styleId="37">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8">
    <w:name w:val="toc 8"/>
    <w:basedOn w:val="1"/>
    <w:next w:val="1"/>
    <w:qFormat/>
    <w:uiPriority w:val="0"/>
    <w:pPr>
      <w:ind w:left="2940" w:leftChars="1400"/>
    </w:pPr>
  </w:style>
  <w:style w:type="paragraph" w:styleId="39">
    <w:name w:val="Date"/>
    <w:basedOn w:val="1"/>
    <w:next w:val="1"/>
    <w:link w:val="178"/>
    <w:qFormat/>
    <w:uiPriority w:val="0"/>
    <w:pPr>
      <w:ind w:left="100" w:leftChars="2500"/>
    </w:pPr>
    <w:rPr>
      <w:rFonts w:ascii="宋体"/>
      <w:sz w:val="24"/>
      <w:szCs w:val="21"/>
      <w:lang w:val="zh-CN"/>
    </w:rPr>
  </w:style>
  <w:style w:type="paragraph" w:styleId="40">
    <w:name w:val="Body Text Indent 2"/>
    <w:basedOn w:val="1"/>
    <w:link w:val="305"/>
    <w:qFormat/>
    <w:uiPriority w:val="0"/>
    <w:pPr>
      <w:spacing w:line="360" w:lineRule="auto"/>
      <w:ind w:firstLine="601"/>
      <w:textAlignment w:val="baseline"/>
    </w:pPr>
    <w:rPr>
      <w:rFonts w:ascii="宋体"/>
      <w:kern w:val="0"/>
      <w:sz w:val="28"/>
      <w:szCs w:val="20"/>
    </w:rPr>
  </w:style>
  <w:style w:type="paragraph" w:styleId="41">
    <w:name w:val="endnote text"/>
    <w:basedOn w:val="1"/>
    <w:link w:val="929"/>
    <w:qFormat/>
    <w:uiPriority w:val="0"/>
    <w:rPr>
      <w:lang w:val="zh-CN"/>
    </w:rPr>
  </w:style>
  <w:style w:type="paragraph" w:styleId="42">
    <w:name w:val="Balloon Text"/>
    <w:basedOn w:val="1"/>
    <w:link w:val="185"/>
    <w:qFormat/>
    <w:uiPriority w:val="0"/>
    <w:rPr>
      <w:sz w:val="18"/>
      <w:szCs w:val="18"/>
    </w:rPr>
  </w:style>
  <w:style w:type="paragraph" w:styleId="43">
    <w:name w:val="footer"/>
    <w:basedOn w:val="1"/>
    <w:link w:val="380"/>
    <w:qFormat/>
    <w:uiPriority w:val="99"/>
    <w:pPr>
      <w:tabs>
        <w:tab w:val="center" w:pos="4153"/>
        <w:tab w:val="right" w:pos="8306"/>
      </w:tabs>
      <w:snapToGrid w:val="0"/>
      <w:jc w:val="left"/>
    </w:pPr>
    <w:rPr>
      <w:sz w:val="18"/>
      <w:szCs w:val="18"/>
    </w:rPr>
  </w:style>
  <w:style w:type="paragraph" w:styleId="44">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6">
    <w:name w:val="toc 1"/>
    <w:basedOn w:val="1"/>
    <w:next w:val="1"/>
    <w:qFormat/>
    <w:uiPriority w:val="0"/>
  </w:style>
  <w:style w:type="paragraph" w:styleId="47">
    <w:name w:val="toc 4"/>
    <w:basedOn w:val="1"/>
    <w:next w:val="1"/>
    <w:qFormat/>
    <w:uiPriority w:val="0"/>
    <w:pPr>
      <w:ind w:left="1260" w:leftChars="600"/>
    </w:pPr>
  </w:style>
  <w:style w:type="paragraph" w:styleId="48">
    <w:name w:val="index heading"/>
    <w:basedOn w:val="1"/>
    <w:next w:val="49"/>
    <w:qFormat/>
    <w:uiPriority w:val="0"/>
    <w:pPr>
      <w:adjustRightInd/>
      <w:ind w:firstLine="200" w:firstLineChars="200"/>
    </w:pPr>
  </w:style>
  <w:style w:type="paragraph" w:styleId="49">
    <w:name w:val="index 1"/>
    <w:basedOn w:val="1"/>
    <w:next w:val="1"/>
    <w:qFormat/>
    <w:uiPriority w:val="0"/>
    <w:pPr>
      <w:adjustRightInd/>
      <w:spacing w:line="360" w:lineRule="auto"/>
      <w:ind w:firstLine="200" w:firstLineChars="200"/>
      <w:jc w:val="center"/>
    </w:pPr>
    <w:rPr>
      <w:sz w:val="24"/>
      <w:szCs w:val="20"/>
    </w:rPr>
  </w:style>
  <w:style w:type="paragraph" w:styleId="50">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1">
    <w:name w:val="List Number 5"/>
    <w:basedOn w:val="1"/>
    <w:qFormat/>
    <w:uiPriority w:val="0"/>
    <w:pPr>
      <w:tabs>
        <w:tab w:val="left" w:pos="902"/>
      </w:tabs>
      <w:adjustRightInd/>
      <w:spacing w:line="400" w:lineRule="exact"/>
      <w:ind w:left="902" w:hanging="420"/>
    </w:pPr>
    <w:rPr>
      <w:sz w:val="24"/>
      <w:szCs w:val="20"/>
    </w:rPr>
  </w:style>
  <w:style w:type="paragraph" w:styleId="52">
    <w:name w:val="List"/>
    <w:basedOn w:val="1"/>
    <w:qFormat/>
    <w:uiPriority w:val="0"/>
    <w:pPr>
      <w:ind w:left="200" w:hanging="200" w:hangingChars="200"/>
    </w:pPr>
  </w:style>
  <w:style w:type="paragraph" w:styleId="53">
    <w:name w:val="footnote text"/>
    <w:basedOn w:val="6"/>
    <w:link w:val="307"/>
    <w:qFormat/>
    <w:uiPriority w:val="0"/>
    <w:pPr>
      <w:adjustRightInd/>
      <w:snapToGrid/>
      <w:spacing w:before="60" w:after="60" w:line="300" w:lineRule="exact"/>
      <w:ind w:firstLine="0"/>
    </w:pPr>
    <w:rPr>
      <w:rFonts w:ascii="Calibri"/>
      <w:snapToGrid/>
      <w:color w:val="0000FF"/>
      <w:kern w:val="0"/>
      <w:sz w:val="21"/>
    </w:rPr>
  </w:style>
  <w:style w:type="paragraph" w:styleId="54">
    <w:name w:val="List 5"/>
    <w:basedOn w:val="1"/>
    <w:qFormat/>
    <w:uiPriority w:val="0"/>
    <w:pPr>
      <w:adjustRightInd/>
      <w:ind w:left="100" w:leftChars="800" w:hanging="200" w:hangingChars="200"/>
    </w:pPr>
  </w:style>
  <w:style w:type="paragraph" w:styleId="55">
    <w:name w:val="Body Text Indent 3"/>
    <w:basedOn w:val="1"/>
    <w:link w:val="372"/>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299"/>
    <w:qFormat/>
    <w:uiPriority w:val="0"/>
    <w:pPr>
      <w:spacing w:after="120" w:line="480" w:lineRule="auto"/>
    </w:pPr>
  </w:style>
  <w:style w:type="paragraph" w:styleId="59">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annotation subject"/>
    <w:basedOn w:val="20"/>
    <w:next w:val="20"/>
    <w:link w:val="93"/>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1"/>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28"/>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6"/>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50"/>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9"/>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4"/>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9"/>
    <w:qFormat/>
    <w:uiPriority w:val="0"/>
    <w:rPr>
      <w:rFonts w:ascii="宋体"/>
      <w:kern w:val="2"/>
      <w:sz w:val="24"/>
      <w:szCs w:val="21"/>
      <w:lang w:val="zh-CN"/>
    </w:rPr>
  </w:style>
  <w:style w:type="character" w:customStyle="1" w:styleId="179">
    <w:name w:val="标题 9 Char"/>
    <w:link w:val="12"/>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42"/>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6"/>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9"/>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3"/>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7"/>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7"/>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7"/>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2"/>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8"/>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1"/>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9"/>
    <w:qFormat/>
    <w:uiPriority w:val="0"/>
    <w:rPr>
      <w:rFonts w:ascii="黑体" w:hAnsi="Courier New" w:eastAsia="黑体"/>
    </w:rPr>
  </w:style>
  <w:style w:type="character" w:customStyle="1" w:styleId="299">
    <w:name w:val="正文文本 2 Char1"/>
    <w:link w:val="58"/>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7"/>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10"/>
    <w:qFormat/>
    <w:uiPriority w:val="0"/>
    <w:rPr>
      <w:b/>
      <w:bCs/>
      <w:kern w:val="2"/>
      <w:sz w:val="24"/>
      <w:szCs w:val="24"/>
    </w:rPr>
  </w:style>
  <w:style w:type="character" w:customStyle="1" w:styleId="305">
    <w:name w:val="正文文本缩进 2 Char"/>
    <w:link w:val="40"/>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3"/>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25"/>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7"/>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2"/>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0"/>
    <w:qFormat/>
    <w:uiPriority w:val="99"/>
    <w:rPr>
      <w:kern w:val="2"/>
      <w:sz w:val="21"/>
      <w:szCs w:val="24"/>
    </w:rPr>
  </w:style>
  <w:style w:type="character" w:customStyle="1" w:styleId="342">
    <w:name w:val="签名 Char"/>
    <w:link w:val="45"/>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1"/>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5"/>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3"/>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4"/>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6"/>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7"/>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7"/>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4"/>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5"/>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8"/>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5"/>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5"/>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7"/>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7"/>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6"/>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7"/>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8"/>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2"/>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7"/>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7"/>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40"/>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5"/>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2"/>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7"/>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5"/>
    <w:next w:val="55"/>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40"/>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5"/>
    <w:next w:val="1"/>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7"/>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9"/>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8"/>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41"/>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962">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963">
    <w:name w:val="BodyTextIndent"/>
    <w:basedOn w:val="1"/>
    <w:next w:val="964"/>
    <w:qFormat/>
    <w:uiPriority w:val="0"/>
    <w:pPr>
      <w:spacing w:line="480" w:lineRule="auto"/>
      <w:ind w:firstLine="600"/>
      <w:textAlignment w:val="baseline"/>
    </w:pPr>
    <w:rPr>
      <w:sz w:val="28"/>
    </w:rPr>
  </w:style>
  <w:style w:type="paragraph" w:customStyle="1" w:styleId="964">
    <w:name w:val="UserStyle_460"/>
    <w:basedOn w:val="963"/>
    <w:qFormat/>
    <w:uiPriority w:val="0"/>
    <w:pPr>
      <w:spacing w:line="240" w:lineRule="atLeast"/>
      <w:ind w:firstLine="420"/>
      <w:jc w:val="both"/>
      <w:textAlignment w:val="baseline"/>
    </w:pPr>
    <w:rPr>
      <w:rFonts w:ascii="宋体" w:hAnsi="Courier New" w:eastAsia="??"/>
      <w:spacing w:val="-4"/>
      <w:kern w:val="2"/>
      <w:sz w:val="18"/>
      <w:szCs w:val="28"/>
      <w:lang w:val="en-US" w:eastAsia="zh-CN" w:bidi="ar-SA"/>
    </w:rPr>
  </w:style>
  <w:style w:type="paragraph" w:customStyle="1" w:styleId="965">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966">
    <w:name w:val="标题 1 字符1"/>
    <w:link w:val="3"/>
    <w:qFormat/>
    <w:uiPriority w:val="9"/>
    <w:rPr>
      <w:b/>
      <w:bCs/>
      <w:kern w:val="44"/>
      <w:sz w:val="44"/>
      <w:szCs w:val="44"/>
    </w:rPr>
  </w:style>
  <w:style w:type="paragraph" w:customStyle="1" w:styleId="967">
    <w:name w:val="[Normal]"/>
    <w:qFormat/>
    <w:uiPriority w:val="0"/>
    <w:rPr>
      <w:rFonts w:ascii="宋体" w:hAnsi="宋体" w:eastAsia="宋体" w:cs="Times New Roman"/>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6" Type="http://schemas.openxmlformats.org/officeDocument/2006/relationships/fontTable" Target="fontTable.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2.jpeg"/><Relationship Id="rId32" Type="http://schemas.openxmlformats.org/officeDocument/2006/relationships/image" Target="media/image1.jpeg"/><Relationship Id="rId31" Type="http://schemas.openxmlformats.org/officeDocument/2006/relationships/theme" Target="theme/theme1.xml"/><Relationship Id="rId30" Type="http://schemas.openxmlformats.org/officeDocument/2006/relationships/footer" Target="footer16.xml"/><Relationship Id="rId3" Type="http://schemas.openxmlformats.org/officeDocument/2006/relationships/header" Target="header1.xml"/><Relationship Id="rId29" Type="http://schemas.openxmlformats.org/officeDocument/2006/relationships/footer" Target="footer15.xml"/><Relationship Id="rId28" Type="http://schemas.openxmlformats.org/officeDocument/2006/relationships/footer" Target="footer14.xml"/><Relationship Id="rId27" Type="http://schemas.openxmlformats.org/officeDocument/2006/relationships/header" Target="header12.xml"/><Relationship Id="rId26" Type="http://schemas.openxmlformats.org/officeDocument/2006/relationships/header" Target="header11.xml"/><Relationship Id="rId25" Type="http://schemas.openxmlformats.org/officeDocument/2006/relationships/footer" Target="footer13.xml"/><Relationship Id="rId24" Type="http://schemas.openxmlformats.org/officeDocument/2006/relationships/footer" Target="footer12.xml"/><Relationship Id="rId23" Type="http://schemas.openxmlformats.org/officeDocument/2006/relationships/header" Target="header10.xml"/><Relationship Id="rId22" Type="http://schemas.openxmlformats.org/officeDocument/2006/relationships/header" Target="header9.xml"/><Relationship Id="rId21" Type="http://schemas.openxmlformats.org/officeDocument/2006/relationships/footer" Target="footer1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header" Target="header7.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151</Pages>
  <Words>70256</Words>
  <Characters>75365</Characters>
  <Lines>281</Lines>
  <Paragraphs>79</Paragraphs>
  <TotalTime>13</TotalTime>
  <ScaleCrop>false</ScaleCrop>
  <LinksUpToDate>false</LinksUpToDate>
  <CharactersWithSpaces>80981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HD</cp:lastModifiedBy>
  <cp:lastPrinted>2021-12-27T11:06:00Z</cp:lastPrinted>
  <dcterms:modified xsi:type="dcterms:W3CDTF">2023-03-10T08:32:50Z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