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p>
    <w:p>
      <w:pPr>
        <w:adjustRightInd/>
        <w:spacing w:line="360" w:lineRule="auto"/>
        <w:jc w:val="center"/>
        <w:rPr>
          <w:rFonts w:hint="eastAsia" w:ascii="宋体" w:hAnsi="宋体" w:eastAsia="宋体" w:cs="宋体"/>
          <w:b/>
          <w:color w:val="auto"/>
          <w:sz w:val="48"/>
          <w:szCs w:val="48"/>
          <w:highlight w:val="none"/>
          <w:lang w:val="en-US" w:eastAsia="zh-CN"/>
        </w:rPr>
      </w:pPr>
    </w:p>
    <w:p>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eastAsia="宋体" w:cs="宋体"/>
          <w:color w:val="auto"/>
          <w:sz w:val="48"/>
          <w:szCs w:val="48"/>
          <w:highlight w:val="none"/>
          <w:lang w:eastAsia="zh-CN"/>
        </w:rPr>
        <w:t>古镇景区保洁绿化养护服务</w:t>
      </w:r>
    </w:p>
    <w:p>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 xml:space="preserve">招标文件 </w:t>
      </w:r>
    </w:p>
    <w:p>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rPr>
        <w:t>编号:</w:t>
      </w:r>
      <w:r>
        <w:rPr>
          <w:rFonts w:hint="eastAsia" w:ascii="宋体" w:hAnsi="宋体" w:eastAsia="宋体" w:cs="宋体"/>
          <w:b/>
          <w:bCs/>
          <w:color w:val="auto"/>
          <w:sz w:val="30"/>
          <w:szCs w:val="30"/>
          <w:highlight w:val="none"/>
        </w:rPr>
        <w:t>ZJZFCG-YS2023-0</w:t>
      </w:r>
      <w:r>
        <w:rPr>
          <w:rFonts w:hint="eastAsia" w:ascii="宋体" w:hAnsi="宋体" w:eastAsia="宋体" w:cs="宋体"/>
          <w:b/>
          <w:bCs/>
          <w:color w:val="auto"/>
          <w:sz w:val="30"/>
          <w:szCs w:val="30"/>
          <w:highlight w:val="none"/>
          <w:lang w:val="en-US" w:eastAsia="zh-CN"/>
        </w:rPr>
        <w:t>18</w:t>
      </w:r>
    </w:p>
    <w:p>
      <w:pPr>
        <w:adjustRightInd/>
        <w:spacing w:line="360" w:lineRule="auto"/>
        <w:rPr>
          <w:rFonts w:hint="eastAsia" w:ascii="宋体" w:hAnsi="宋体" w:eastAsia="宋体" w:cs="宋体"/>
          <w:color w:val="auto"/>
          <w:sz w:val="28"/>
          <w:szCs w:val="20"/>
          <w:highlight w:val="none"/>
        </w:rPr>
      </w:pPr>
    </w:p>
    <w:p>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pPr>
        <w:spacing w:line="360" w:lineRule="auto"/>
        <w:jc w:val="center"/>
        <w:rPr>
          <w:rFonts w:hint="eastAsia" w:ascii="宋体" w:hAnsi="宋体" w:eastAsia="宋体" w:cs="宋体"/>
          <w:b/>
          <w:color w:val="auto"/>
          <w:sz w:val="44"/>
          <w:szCs w:val="44"/>
          <w:highlight w:val="none"/>
        </w:rPr>
      </w:pPr>
    </w:p>
    <w:p>
      <w:pPr>
        <w:spacing w:line="360" w:lineRule="auto"/>
        <w:rPr>
          <w:rFonts w:hint="eastAsia" w:ascii="宋体" w:hAnsi="宋体" w:eastAsia="宋体" w:cs="宋体"/>
          <w:color w:val="auto"/>
          <w:sz w:val="32"/>
          <w:szCs w:val="32"/>
          <w:highlight w:val="none"/>
        </w:rPr>
      </w:pPr>
    </w:p>
    <w:p>
      <w:pPr>
        <w:pStyle w:val="25"/>
        <w:rPr>
          <w:rFonts w:hint="eastAsia" w:ascii="宋体" w:hAnsi="宋体" w:eastAsia="宋体" w:cs="宋体"/>
          <w:color w:val="auto"/>
          <w:sz w:val="32"/>
          <w:szCs w:val="32"/>
          <w:highlight w:val="none"/>
        </w:rPr>
      </w:pPr>
    </w:p>
    <w:p>
      <w:pPr>
        <w:pStyle w:val="25"/>
        <w:rPr>
          <w:rFonts w:hint="eastAsia" w:ascii="宋体" w:hAnsi="宋体" w:eastAsia="宋体" w:cs="宋体"/>
          <w:color w:val="auto"/>
          <w:sz w:val="32"/>
          <w:szCs w:val="32"/>
          <w:highlight w:val="none"/>
        </w:rPr>
      </w:pPr>
    </w:p>
    <w:p>
      <w:pPr>
        <w:pStyle w:val="60"/>
        <w:rPr>
          <w:rFonts w:hint="eastAsia" w:ascii="宋体" w:hAnsi="宋体" w:eastAsia="宋体" w:cs="宋体"/>
          <w:color w:val="auto"/>
          <w:sz w:val="32"/>
          <w:szCs w:val="32"/>
          <w:highlight w:val="none"/>
        </w:rPr>
      </w:pPr>
    </w:p>
    <w:p>
      <w:pPr>
        <w:rPr>
          <w:rFonts w:hint="eastAsia" w:ascii="宋体" w:hAnsi="宋体" w:eastAsia="宋体" w:cs="宋体"/>
          <w:color w:val="auto"/>
          <w:highlight w:val="none"/>
        </w:rPr>
      </w:pPr>
    </w:p>
    <w:p>
      <w:pPr>
        <w:spacing w:line="360" w:lineRule="auto"/>
        <w:rPr>
          <w:rFonts w:hint="eastAsia" w:ascii="宋体" w:hAnsi="宋体" w:eastAsia="宋体" w:cs="宋体"/>
          <w:color w:val="auto"/>
          <w:sz w:val="32"/>
          <w:szCs w:val="32"/>
          <w:highlight w:val="none"/>
        </w:rPr>
      </w:pPr>
    </w:p>
    <w:p>
      <w:pPr>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（采购人）：杭州市临平区塘栖镇人民政府</w:t>
      </w:r>
    </w:p>
    <w:p>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（采购代理机构）：杭州永圣工程咨询代理有限公司</w:t>
      </w:r>
    </w:p>
    <w:p>
      <w:pPr>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二〇二三年</w:t>
      </w:r>
      <w:r>
        <w:rPr>
          <w:rFonts w:hint="eastAsia" w:ascii="宋体" w:hAnsi="宋体" w:cs="宋体"/>
          <w:b/>
          <w:color w:val="auto"/>
          <w:sz w:val="32"/>
          <w:szCs w:val="32"/>
          <w:highlight w:val="none"/>
          <w:lang w:eastAsia="zh-CN"/>
        </w:rPr>
        <w:t>十</w:t>
      </w:r>
      <w:r>
        <w:rPr>
          <w:rFonts w:hint="eastAsia" w:ascii="宋体" w:hAnsi="宋体" w:eastAsia="宋体" w:cs="宋体"/>
          <w:b/>
          <w:color w:val="auto"/>
          <w:sz w:val="32"/>
          <w:szCs w:val="32"/>
          <w:highlight w:val="none"/>
        </w:rPr>
        <w:t>月</w:t>
      </w:r>
      <w:r>
        <w:rPr>
          <w:rFonts w:hint="eastAsia" w:ascii="宋体" w:hAnsi="宋体" w:cs="宋体"/>
          <w:b/>
          <w:color w:val="auto"/>
          <w:sz w:val="32"/>
          <w:szCs w:val="32"/>
          <w:highlight w:val="none"/>
          <w:lang w:val="en-US" w:eastAsia="zh-CN"/>
        </w:rPr>
        <w:t>九</w:t>
      </w:r>
      <w:r>
        <w:rPr>
          <w:rFonts w:hint="eastAsia" w:ascii="宋体" w:hAnsi="宋体" w:eastAsia="宋体" w:cs="宋体"/>
          <w:b/>
          <w:color w:val="auto"/>
          <w:sz w:val="32"/>
          <w:szCs w:val="32"/>
          <w:highlight w:val="none"/>
        </w:rPr>
        <w:t>日</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pPr>
        <w:spacing w:line="360" w:lineRule="auto"/>
        <w:jc w:val="center"/>
        <w:rPr>
          <w:rFonts w:hint="eastAsia" w:ascii="宋体" w:hAnsi="宋体" w:eastAsia="宋体" w:cs="宋体"/>
          <w:color w:val="auto"/>
          <w:sz w:val="24"/>
          <w:highlight w:val="none"/>
        </w:rPr>
      </w:pPr>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目录</w:t>
      </w:r>
    </w:p>
    <w:p>
      <w:pPr>
        <w:spacing w:line="360" w:lineRule="auto"/>
        <w:rPr>
          <w:rFonts w:hint="eastAsia" w:ascii="宋体" w:hAnsi="宋体" w:eastAsia="宋体" w:cs="宋体"/>
          <w:color w:val="auto"/>
          <w:sz w:val="32"/>
          <w:szCs w:val="32"/>
          <w:highlight w:val="none"/>
        </w:rPr>
      </w:pPr>
    </w:p>
    <w:p>
      <w:pPr>
        <w:spacing w:line="360" w:lineRule="auto"/>
        <w:rPr>
          <w:rFonts w:hint="eastAsia" w:ascii="宋体" w:hAnsi="宋体" w:eastAsia="宋体" w:cs="宋体"/>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第一部分招标公告</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第二部分投标人须知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第四部分评标办法</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第六部分应提交的有关格式范例</w:t>
      </w:r>
    </w:p>
    <w:p>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eastAsia="zh-CN"/>
        </w:rPr>
        <w:t>古镇景区保洁绿化养护服务</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"https://www.zcygov.cn/）获取（下载）招标文件，并于2023%20年%208月21日%2014点%2000分00秒" </w:instrText>
      </w:r>
      <w:r>
        <w:rPr>
          <w:rFonts w:hint="eastAsia" w:ascii="宋体" w:hAnsi="宋体" w:eastAsia="宋体" w:cs="宋体"/>
          <w:color w:val="auto"/>
          <w:highlight w:val="none"/>
        </w:rPr>
        <w:fldChar w:fldCharType="separate"/>
      </w:r>
      <w:r>
        <w:rPr>
          <w:rStyle w:val="77"/>
          <w:rFonts w:hint="eastAsia" w:ascii="宋体" w:hAnsi="宋体" w:eastAsia="宋体" w:cs="宋体"/>
          <w:snapToGrid/>
          <w:color w:val="auto"/>
          <w:kern w:val="2"/>
          <w:sz w:val="24"/>
          <w:highlight w:val="none"/>
        </w:rPr>
        <w:t>https://www.zcygov.cn/）获取（下载）招标文件，并于</w:t>
      </w:r>
      <w:r>
        <w:rPr>
          <w:rStyle w:val="77"/>
          <w:rFonts w:hint="eastAsia" w:ascii="宋体" w:hAnsi="宋体" w:eastAsia="宋体" w:cs="宋体"/>
          <w:b/>
          <w:bCs/>
          <w:snapToGrid/>
          <w:color w:val="auto"/>
          <w:kern w:val="2"/>
          <w:sz w:val="24"/>
          <w:highlight w:val="none"/>
        </w:rPr>
        <w:t xml:space="preserve">2023 年 </w:t>
      </w:r>
      <w:r>
        <w:rPr>
          <w:rStyle w:val="77"/>
          <w:rFonts w:hint="eastAsia" w:ascii="宋体" w:hAnsi="宋体" w:eastAsia="宋体" w:cs="宋体"/>
          <w:b/>
          <w:bCs/>
          <w:snapToGrid/>
          <w:color w:val="auto"/>
          <w:kern w:val="2"/>
          <w:sz w:val="24"/>
          <w:highlight w:val="none"/>
          <w:lang w:val="en-US" w:eastAsia="zh-CN"/>
        </w:rPr>
        <w:t>10</w:t>
      </w:r>
      <w:r>
        <w:rPr>
          <w:rStyle w:val="77"/>
          <w:rFonts w:hint="eastAsia" w:ascii="宋体" w:hAnsi="宋体" w:eastAsia="宋体" w:cs="宋体"/>
          <w:b/>
          <w:bCs/>
          <w:snapToGrid/>
          <w:color w:val="auto"/>
          <w:kern w:val="2"/>
          <w:sz w:val="24"/>
          <w:highlight w:val="none"/>
        </w:rPr>
        <w:t>月</w:t>
      </w:r>
      <w:r>
        <w:rPr>
          <w:rStyle w:val="77"/>
          <w:rFonts w:hint="eastAsia" w:ascii="宋体" w:hAnsi="宋体" w:cs="宋体"/>
          <w:b/>
          <w:bCs/>
          <w:snapToGrid/>
          <w:color w:val="auto"/>
          <w:kern w:val="2"/>
          <w:sz w:val="24"/>
          <w:highlight w:val="none"/>
          <w:lang w:val="en-US" w:eastAsia="zh-CN"/>
        </w:rPr>
        <w:t>30</w:t>
      </w:r>
      <w:r>
        <w:rPr>
          <w:rStyle w:val="77"/>
          <w:rFonts w:hint="eastAsia" w:ascii="宋体" w:hAnsi="宋体" w:eastAsia="宋体" w:cs="宋体"/>
          <w:b/>
          <w:bCs/>
          <w:snapToGrid/>
          <w:color w:val="auto"/>
          <w:kern w:val="2"/>
          <w:sz w:val="24"/>
          <w:highlight w:val="none"/>
        </w:rPr>
        <w:t>日 14点 0</w:t>
      </w:r>
      <w:r>
        <w:rPr>
          <w:rStyle w:val="77"/>
          <w:rFonts w:hint="eastAsia" w:ascii="宋体" w:hAnsi="宋体" w:eastAsia="宋体" w:cs="宋体"/>
          <w:snapToGrid/>
          <w:color w:val="auto"/>
          <w:kern w:val="2"/>
          <w:sz w:val="24"/>
          <w:highlight w:val="none"/>
        </w:rPr>
        <w:t>0分</w:t>
      </w:r>
      <w:r>
        <w:rPr>
          <w:rStyle w:val="77"/>
          <w:rFonts w:hint="eastAsia" w:ascii="宋体" w:hAnsi="宋体" w:eastAsia="宋体" w:cs="宋体"/>
          <w:bCs/>
          <w:snapToGrid/>
          <w:color w:val="auto"/>
          <w:kern w:val="2"/>
          <w:sz w:val="24"/>
          <w:highlight w:val="none"/>
        </w:rPr>
        <w:t>00秒</w:t>
      </w:r>
      <w:r>
        <w:rPr>
          <w:rStyle w:val="77"/>
          <w:rFonts w:hint="eastAsia" w:ascii="宋体" w:hAnsi="宋体" w:eastAsia="宋体" w:cs="宋体"/>
          <w:bCs/>
          <w:snapToGrid/>
          <w:color w:val="auto"/>
          <w:kern w:val="2"/>
          <w:sz w:val="24"/>
          <w:highlight w:val="non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eastAsia="宋体" w:cs="宋体"/>
          <w:color w:val="auto"/>
          <w:sz w:val="24"/>
          <w:highlight w:val="none"/>
          <w:lang w:eastAsia="zh-CN"/>
        </w:rPr>
        <w:t>ZJZFCG-YS2023-018</w:t>
      </w:r>
    </w:p>
    <w:p>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项目名称：</w:t>
      </w:r>
      <w:r>
        <w:rPr>
          <w:rFonts w:hint="eastAsia" w:ascii="宋体" w:hAnsi="宋体" w:eastAsia="宋体" w:cs="宋体"/>
          <w:color w:val="auto"/>
          <w:sz w:val="24"/>
          <w:highlight w:val="none"/>
          <w:lang w:eastAsia="zh-CN"/>
        </w:rPr>
        <w:t>古镇景区保洁绿化养护服务</w:t>
      </w:r>
    </w:p>
    <w:p>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预算金额（元）：</w:t>
      </w:r>
      <w:r>
        <w:rPr>
          <w:rFonts w:hint="eastAsia" w:ascii="宋体" w:hAnsi="宋体" w:eastAsia="宋体" w:cs="宋体"/>
          <w:b/>
          <w:bCs/>
          <w:color w:val="auto"/>
          <w:sz w:val="24"/>
          <w:highlight w:val="none"/>
          <w:lang w:eastAsia="zh-CN"/>
        </w:rPr>
        <w:t>6180000</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最高限价（元）：</w:t>
      </w:r>
      <w:r>
        <w:rPr>
          <w:rFonts w:hint="eastAsia" w:ascii="宋体" w:hAnsi="宋体" w:eastAsia="宋体" w:cs="宋体"/>
          <w:b/>
          <w:bCs/>
          <w:color w:val="auto"/>
          <w:sz w:val="24"/>
          <w:highlight w:val="none"/>
          <w:lang w:eastAsia="zh-CN"/>
        </w:rPr>
        <w:t>6180000</w:t>
      </w:r>
    </w:p>
    <w:p>
      <w:pPr>
        <w:pStyle w:val="838"/>
        <w:ind w:left="0" w:leftChars="0" w:firstLine="482" w:firstLineChars="200"/>
        <w:rPr>
          <w:rFonts w:hint="eastAsia" w:ascii="宋体" w:hAnsi="宋体" w:eastAsia="宋体" w:cs="宋体"/>
          <w:bCs/>
          <w:color w:val="auto"/>
          <w:kern w:val="2"/>
          <w:sz w:val="24"/>
          <w:szCs w:val="24"/>
          <w:highlight w:val="none"/>
        </w:rPr>
      </w:pPr>
      <w:r>
        <w:rPr>
          <w:rFonts w:hint="eastAsia" w:ascii="宋体" w:hAnsi="宋体" w:eastAsia="宋体" w:cs="宋体"/>
          <w:b/>
          <w:color w:val="auto"/>
          <w:kern w:val="2"/>
          <w:sz w:val="24"/>
          <w:szCs w:val="24"/>
          <w:highlight w:val="none"/>
          <w:lang w:val="en-US" w:eastAsia="zh-CN" w:bidi="ar-SA"/>
        </w:rPr>
        <w:t>采购需求：</w:t>
      </w:r>
      <w:r>
        <w:rPr>
          <w:rFonts w:hint="eastAsia" w:ascii="宋体" w:hAnsi="宋体" w:eastAsia="宋体" w:cs="宋体"/>
          <w:b/>
          <w:color w:val="auto"/>
          <w:kern w:val="2"/>
          <w:sz w:val="24"/>
          <w:szCs w:val="24"/>
          <w:highlight w:val="none"/>
          <w:lang w:val="zh-CN" w:eastAsia="zh-CN" w:bidi="ar-SA"/>
        </w:rPr>
        <w:t>塘栖镇古镇景区11.9万方保洁及6.5万方绿化服务</w:t>
      </w:r>
      <w:r>
        <w:rPr>
          <w:rFonts w:hint="eastAsia" w:ascii="宋体" w:hAnsi="宋体" w:eastAsia="宋体" w:cs="宋体"/>
          <w:b/>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具体以招标文件第三部分采购需求为准，供应商可点击本公告下方“浏览采购文件”查看采购需求</w:t>
      </w:r>
      <w:r>
        <w:rPr>
          <w:rFonts w:hint="eastAsia" w:ascii="宋体" w:hAnsi="宋体" w:eastAsia="宋体" w:cs="宋体"/>
          <w:color w:val="auto"/>
          <w:kern w:val="2"/>
          <w:sz w:val="24"/>
          <w:szCs w:val="24"/>
          <w:highlight w:val="none"/>
        </w:rPr>
        <w:t>。</w:t>
      </w:r>
    </w:p>
    <w:p>
      <w:pPr>
        <w:pStyle w:val="129"/>
        <w:ind w:firstLine="482"/>
        <w:outlineLvl w:val="2"/>
        <w:rPr>
          <w:rFonts w:hint="eastAsia" w:ascii="宋体" w:hAnsi="宋体" w:eastAsia="宋体" w:cs="宋体"/>
          <w:color w:val="auto"/>
          <w:highlight w:val="none"/>
        </w:rPr>
      </w:pPr>
      <w:r>
        <w:rPr>
          <w:rFonts w:hint="eastAsia" w:ascii="宋体" w:hAnsi="宋体" w:eastAsia="宋体" w:cs="宋体"/>
          <w:b/>
          <w:color w:val="auto"/>
          <w:highlight w:val="none"/>
        </w:rPr>
        <w:t>合同履约期限：2年</w:t>
      </w:r>
      <w:r>
        <w:rPr>
          <w:rFonts w:hint="eastAsia" w:ascii="宋体" w:hAnsi="宋体" w:eastAsia="宋体" w:cs="宋体"/>
          <w:color w:val="auto"/>
          <w:highlight w:val="none"/>
        </w:rPr>
        <w:t xml:space="preserve"> </w:t>
      </w:r>
    </w:p>
    <w:p>
      <w:pPr>
        <w:pStyle w:val="6"/>
        <w:spacing w:line="360" w:lineRule="auto"/>
        <w:ind w:firstLine="480"/>
        <w:rPr>
          <w:rFonts w:hint="eastAsia" w:ascii="宋体" w:hAnsi="宋体" w:eastAsia="宋体" w:cs="宋体"/>
          <w:b/>
          <w:color w:val="auto"/>
          <w:highlight w:val="none"/>
        </w:rPr>
      </w:pPr>
      <w:r>
        <w:rPr>
          <w:rFonts w:hint="eastAsia" w:ascii="宋体" w:hAnsi="宋体" w:eastAsia="宋体" w:cs="宋体"/>
          <w:b/>
          <w:color w:val="auto"/>
          <w:sz w:val="24"/>
          <w:highlight w:val="none"/>
        </w:rPr>
        <w:t>本项目接受联合体投标：</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szCs w:val="24"/>
          <w:highlight w:val="none"/>
        </w:rPr>
        <w:sym w:font="Wingdings" w:char="00FE"/>
      </w:r>
      <w:r>
        <w:rPr>
          <w:rFonts w:hint="eastAsia" w:ascii="宋体" w:hAnsi="宋体" w:eastAsia="宋体" w:cs="宋体"/>
          <w:b/>
          <w:color w:val="auto"/>
          <w:sz w:val="24"/>
          <w:highlight w:val="none"/>
        </w:rPr>
        <w:t>是；</w:t>
      </w:r>
      <w:r>
        <w:rPr>
          <w:rFonts w:hint="eastAsia" w:ascii="宋体" w:hAnsi="宋体" w:eastAsia="宋体" w:cs="宋体"/>
          <w:color w:val="auto"/>
          <w:kern w:val="0"/>
          <w:sz w:val="24"/>
          <w:highlight w:val="none"/>
        </w:rPr>
        <w:t>☐</w:t>
      </w:r>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w:t>
      </w:r>
      <w:r>
        <w:rPr>
          <w:rFonts w:hint="eastAsia" w:ascii="宋体" w:hAnsi="宋体" w:eastAsia="宋体" w:cs="宋体"/>
          <w:color w:val="auto"/>
          <w:highlight w:val="none"/>
        </w:rPr>
        <w:t xml:space="preserve"> </w:t>
      </w:r>
      <w:r>
        <w:rPr>
          <w:rFonts w:hint="eastAsia" w:ascii="宋体" w:hAnsi="宋体" w:eastAsia="宋体" w:cs="宋体"/>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（注：不得限制大中型企业与小微企业组成联合体参与投标）；</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pPr>
        <w:spacing w:line="360" w:lineRule="auto"/>
        <w:ind w:firstLine="897" w:firstLineChars="374"/>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sz w:val="24"/>
          <w:highlight w:val="none"/>
        </w:rPr>
        <w:t>服务全部由符合政策要求的中小企业承接，提供中小企业声明函；</w:t>
      </w:r>
    </w:p>
    <w:p>
      <w:pPr>
        <w:spacing w:line="360" w:lineRule="auto"/>
        <w:ind w:firstLine="897" w:firstLineChars="374"/>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服务全部由符合政策要求的小微企业承接，提供中小企业声明函；</w:t>
      </w:r>
    </w:p>
    <w:p>
      <w:pPr>
        <w:rPr>
          <w:rFonts w:hint="eastAsia" w:ascii="宋体" w:hAnsi="宋体" w:eastAsia="宋体" w:cs="宋体"/>
          <w:color w:val="auto"/>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要求合同分包，提供分包意向协议和中小企业声明函，分包意向协议中中小企业合同金额应当达到达到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4.本项目的特定资格要求：无；</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时间：/至</w:t>
      </w:r>
      <w:r>
        <w:rPr>
          <w:rFonts w:hint="eastAsia" w:ascii="宋体" w:hAnsi="宋体" w:eastAsia="宋体" w:cs="宋体"/>
          <w:b/>
          <w:color w:val="auto"/>
          <w:sz w:val="24"/>
          <w:highlight w:val="none"/>
          <w:u w:val="single"/>
        </w:rPr>
        <w:t xml:space="preserve">2023 年 </w:t>
      </w:r>
      <w:r>
        <w:rPr>
          <w:rFonts w:hint="eastAsia" w:ascii="宋体" w:hAnsi="宋体" w:eastAsia="宋体" w:cs="宋体"/>
          <w:b/>
          <w:color w:val="auto"/>
          <w:sz w:val="24"/>
          <w:highlight w:val="none"/>
          <w:u w:val="single"/>
          <w:lang w:val="en-US" w:eastAsia="zh-CN"/>
        </w:rPr>
        <w:t>10</w:t>
      </w:r>
      <w:r>
        <w:rPr>
          <w:rFonts w:hint="eastAsia" w:ascii="宋体" w:hAnsi="宋体" w:eastAsia="宋体" w:cs="宋体"/>
          <w:b/>
          <w:color w:val="auto"/>
          <w:sz w:val="24"/>
          <w:highlight w:val="none"/>
          <w:u w:val="single"/>
        </w:rPr>
        <w:t>月</w:t>
      </w:r>
      <w:r>
        <w:rPr>
          <w:rFonts w:hint="eastAsia" w:ascii="宋体" w:hAnsi="宋体" w:eastAsia="宋体" w:cs="宋体"/>
          <w:b/>
          <w:color w:val="auto"/>
          <w:sz w:val="24"/>
          <w:highlight w:val="none"/>
          <w:u w:val="single"/>
          <w:lang w:val="en-US" w:eastAsia="zh-CN"/>
        </w:rPr>
        <w:t xml:space="preserve"> </w:t>
      </w:r>
      <w:r>
        <w:rPr>
          <w:rFonts w:hint="eastAsia" w:ascii="宋体" w:hAnsi="宋体" w:cs="宋体"/>
          <w:b/>
          <w:color w:val="auto"/>
          <w:sz w:val="24"/>
          <w:highlight w:val="none"/>
          <w:u w:val="single"/>
          <w:lang w:val="en-US" w:eastAsia="zh-CN"/>
        </w:rPr>
        <w:t>30</w:t>
      </w:r>
      <w:r>
        <w:rPr>
          <w:rFonts w:hint="eastAsia" w:ascii="宋体" w:hAnsi="宋体" w:eastAsia="宋体" w:cs="宋体"/>
          <w:b/>
          <w:color w:val="auto"/>
          <w:sz w:val="24"/>
          <w:highlight w:val="none"/>
          <w:u w:val="single"/>
          <w:lang w:val="en-US" w:eastAsia="zh-CN"/>
        </w:rPr>
        <w:t xml:space="preserve"> </w:t>
      </w:r>
      <w:r>
        <w:rPr>
          <w:rFonts w:hint="eastAsia" w:ascii="宋体" w:hAnsi="宋体" w:eastAsia="宋体" w:cs="宋体"/>
          <w:b/>
          <w:color w:val="auto"/>
          <w:sz w:val="24"/>
          <w:highlight w:val="none"/>
          <w:u w:val="single"/>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b/>
          <w:bCs/>
          <w:color w:val="auto"/>
          <w:sz w:val="24"/>
          <w:highlight w:val="none"/>
          <w:u w:val="single"/>
        </w:rPr>
        <w:t xml:space="preserve"> 2023 年</w:t>
      </w:r>
      <w:r>
        <w:rPr>
          <w:rFonts w:hint="eastAsia" w:ascii="宋体" w:hAnsi="宋体" w:eastAsia="宋体" w:cs="宋体"/>
          <w:b/>
          <w:bCs/>
          <w:color w:val="auto"/>
          <w:sz w:val="24"/>
          <w:highlight w:val="none"/>
          <w:u w:val="single"/>
          <w:lang w:val="en-US" w:eastAsia="zh-CN"/>
        </w:rPr>
        <w:t>10</w:t>
      </w:r>
      <w:r>
        <w:rPr>
          <w:rFonts w:hint="eastAsia" w:ascii="宋体" w:hAnsi="宋体" w:eastAsia="宋体" w:cs="宋体"/>
          <w:b/>
          <w:bCs/>
          <w:color w:val="auto"/>
          <w:sz w:val="24"/>
          <w:highlight w:val="none"/>
          <w:u w:val="single"/>
        </w:rPr>
        <w:t>月</w:t>
      </w:r>
      <w:r>
        <w:rPr>
          <w:rFonts w:hint="eastAsia" w:ascii="宋体" w:hAnsi="宋体" w:eastAsia="宋体" w:cs="宋体"/>
          <w:b/>
          <w:bCs/>
          <w:color w:val="auto"/>
          <w:sz w:val="24"/>
          <w:highlight w:val="none"/>
          <w:u w:val="single"/>
          <w:lang w:val="en-US" w:eastAsia="zh-CN"/>
        </w:rPr>
        <w:t xml:space="preserve"> </w:t>
      </w:r>
      <w:r>
        <w:rPr>
          <w:rFonts w:hint="eastAsia" w:ascii="宋体" w:hAnsi="宋体" w:cs="宋体"/>
          <w:b/>
          <w:bCs/>
          <w:color w:val="auto"/>
          <w:sz w:val="24"/>
          <w:highlight w:val="none"/>
          <w:u w:val="single"/>
          <w:lang w:val="en-US" w:eastAsia="zh-CN"/>
        </w:rPr>
        <w:t>30</w:t>
      </w:r>
      <w:r>
        <w:rPr>
          <w:rFonts w:hint="eastAsia" w:ascii="宋体" w:hAnsi="宋体" w:eastAsia="宋体" w:cs="宋体"/>
          <w:b/>
          <w:bCs/>
          <w:color w:val="auto"/>
          <w:sz w:val="24"/>
          <w:highlight w:val="none"/>
          <w:u w:val="single"/>
          <w:lang w:val="en-US" w:eastAsia="zh-CN"/>
        </w:rPr>
        <w:t xml:space="preserve"> </w:t>
      </w:r>
      <w:r>
        <w:rPr>
          <w:rFonts w:hint="eastAsia" w:ascii="宋体" w:hAnsi="宋体" w:eastAsia="宋体" w:cs="宋体"/>
          <w:b/>
          <w:bCs/>
          <w:color w:val="auto"/>
          <w:sz w:val="24"/>
          <w:highlight w:val="none"/>
          <w:u w:val="single"/>
        </w:rPr>
        <w:t xml:space="preserve">日 14 点00 分00秒 </w:t>
      </w:r>
      <w:r>
        <w:rPr>
          <w:rFonts w:hint="eastAsia" w:ascii="宋体" w:hAnsi="宋体" w:eastAsia="宋体" w:cs="宋体"/>
          <w:color w:val="auto"/>
          <w:sz w:val="24"/>
          <w:highlight w:val="none"/>
        </w:rPr>
        <w:t>（北京时间）</w:t>
      </w:r>
    </w:p>
    <w:p>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eastAsia="宋体" w:cs="宋体"/>
          <w:b/>
          <w:bCs/>
          <w:color w:val="auto"/>
          <w:sz w:val="24"/>
          <w:highlight w:val="none"/>
          <w:u w:val="single"/>
        </w:rPr>
        <w:t xml:space="preserve"> 2023 年  </w:t>
      </w:r>
      <w:r>
        <w:rPr>
          <w:rFonts w:hint="eastAsia" w:ascii="宋体" w:hAnsi="宋体" w:eastAsia="宋体" w:cs="宋体"/>
          <w:b/>
          <w:bCs/>
          <w:color w:val="auto"/>
          <w:sz w:val="24"/>
          <w:highlight w:val="none"/>
          <w:u w:val="single"/>
          <w:lang w:val="en-US" w:eastAsia="zh-CN"/>
        </w:rPr>
        <w:t>10</w:t>
      </w:r>
      <w:r>
        <w:rPr>
          <w:rFonts w:hint="eastAsia" w:ascii="宋体" w:hAnsi="宋体" w:eastAsia="宋体" w:cs="宋体"/>
          <w:b/>
          <w:bCs/>
          <w:color w:val="auto"/>
          <w:sz w:val="24"/>
          <w:highlight w:val="none"/>
          <w:u w:val="single"/>
        </w:rPr>
        <w:t>月</w:t>
      </w:r>
      <w:r>
        <w:rPr>
          <w:rFonts w:hint="eastAsia" w:ascii="宋体" w:hAnsi="宋体" w:eastAsia="宋体" w:cs="宋体"/>
          <w:b/>
          <w:bCs/>
          <w:color w:val="auto"/>
          <w:sz w:val="24"/>
          <w:highlight w:val="none"/>
          <w:u w:val="single"/>
          <w:lang w:val="en-US" w:eastAsia="zh-CN"/>
        </w:rPr>
        <w:t xml:space="preserve"> </w:t>
      </w:r>
      <w:r>
        <w:rPr>
          <w:rFonts w:hint="eastAsia" w:ascii="宋体" w:hAnsi="宋体" w:cs="宋体"/>
          <w:b/>
          <w:bCs/>
          <w:color w:val="auto"/>
          <w:sz w:val="24"/>
          <w:highlight w:val="none"/>
          <w:u w:val="single"/>
          <w:lang w:val="en-US" w:eastAsia="zh-CN"/>
        </w:rPr>
        <w:t>30</w:t>
      </w:r>
      <w:r>
        <w:rPr>
          <w:rFonts w:hint="eastAsia" w:ascii="宋体" w:hAnsi="宋体" w:eastAsia="宋体" w:cs="宋体"/>
          <w:b/>
          <w:bCs/>
          <w:color w:val="auto"/>
          <w:sz w:val="24"/>
          <w:highlight w:val="none"/>
          <w:u w:val="single"/>
          <w:lang w:val="en-US" w:eastAsia="zh-CN"/>
        </w:rPr>
        <w:t xml:space="preserve"> </w:t>
      </w:r>
      <w:r>
        <w:rPr>
          <w:rFonts w:hint="eastAsia" w:ascii="宋体" w:hAnsi="宋体" w:eastAsia="宋体" w:cs="宋体"/>
          <w:b/>
          <w:bCs/>
          <w:color w:val="auto"/>
          <w:sz w:val="24"/>
          <w:highlight w:val="none"/>
          <w:u w:val="single"/>
        </w:rPr>
        <w:t xml:space="preserve">日14 点00 分00秒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称：（采购人）杭州市临平区塘栖镇人民政府</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  杭州市临平区塘栖镇人民路300号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项目联系人（询问）：沈强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项目联系方式（询问）：0571-86316620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质疑联系人：陈佳</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质疑联系方式：0571-89026959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2.采购代理机构信息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称：（采购代理机构）杭州永圣工程咨询代理有限公司</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    址：杭州市临平区塘栖镇运溪路113号电商大楼507室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传    真：/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项目联系人（询问）： 胡丹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项目联系方式（询问）：13805796510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质疑联系人：宋启超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质疑联系方式：13588366887</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3.同级政府采购监督管理部门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称：杭州市临平区财政局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址：杭州市临平区临平东湖中路236号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传    真：/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联系人 ：俞征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监督投诉电话：0571-89185312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pPr>
        <w:spacing w:line="360" w:lineRule="auto"/>
        <w:ind w:firstLine="480" w:firstLineChars="200"/>
        <w:rPr>
          <w:rFonts w:hint="eastAsia" w:ascii="宋体" w:hAnsi="宋体" w:eastAsia="宋体" w:cs="宋体"/>
          <w:color w:val="auto"/>
          <w:sz w:val="24"/>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color w:val="auto"/>
                <w:sz w:val="24"/>
                <w:highlight w:val="none"/>
              </w:rPr>
              <w:t>开标一览表（报价表）是报价的唯一载体</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728692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同意将非主体、非关键性的工作分包。</w:t>
            </w:r>
            <w:sdt>
              <w:sdtPr>
                <w:rPr>
                  <w:rFonts w:hint="eastAsia" w:ascii="宋体" w:hAnsi="宋体" w:eastAsia="宋体" w:cs="宋体"/>
                  <w:color w:val="auto"/>
                  <w:kern w:val="0"/>
                  <w:sz w:val="24"/>
                  <w:highlight w:val="none"/>
                </w:rPr>
                <w:id w:val="-127633135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2966419"/>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99980297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时间：,地点：，联系人：，联系方式：</w:t>
            </w:r>
            <w:r>
              <w:rPr>
                <w:rFonts w:hint="eastAsia" w:ascii="宋体" w:hAnsi="宋体" w:eastAsia="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639946486"/>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026831988"/>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☐B要求提供，</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kern w:val="0"/>
                <w:sz w:val="24"/>
                <w:highlight w:val="none"/>
              </w:rPr>
              <w:t>；地点：；联系人</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859348549"/>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145161188"/>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174071719"/>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方式二：交易中心现场讲解演示。现场讲解地点为，讲解演示所用电脑等设备由投标人自备。现场讲解演示人员进场时提供讲解人员名单（加盖公章）及身份证明，否则不得讲解演示。</w:t>
            </w:r>
          </w:p>
          <w:p>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828425707"/>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本项目不允许采购进口产品。</w:t>
            </w:r>
          </w:p>
          <w:p>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52852824"/>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货物类，单一产品或</w:t>
            </w:r>
            <w:r>
              <w:rPr>
                <w:rFonts w:hint="eastAsia" w:ascii="宋体" w:hAnsi="宋体" w:eastAsia="宋体" w:cs="宋体"/>
                <w:color w:val="auto"/>
                <w:kern w:val="0"/>
                <w:sz w:val="24"/>
                <w:highlight w:val="none"/>
              </w:rPr>
              <w:t>核心产品为：</w:t>
            </w: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474885559"/>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18727868"/>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145161189"/>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sdtContent>
                </w:sdt>
              </w:sdtContent>
            </w:sdt>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采购标的：城市道路保洁；所属行业：其他未列明行业。</w:t>
            </w:r>
          </w:p>
          <w:p>
            <w:pPr>
              <w:pStyle w:val="4"/>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标准详见附件《中小企业划型标准规定》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p>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tcPr>
          <w:p>
            <w:pPr>
              <w:spacing w:line="360" w:lineRule="auto"/>
              <w:ind w:firstLine="420" w:firstLineChars="200"/>
              <w:rPr>
                <w:rFonts w:hint="eastAsia" w:ascii="宋体" w:hAnsi="宋体" w:eastAsia="宋体" w:cs="宋体"/>
                <w:color w:val="auto"/>
                <w:highlight w:val="none"/>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hint="eastAsia" w:ascii="宋体" w:hAnsi="宋体" w:eastAsia="宋体" w:cs="宋体"/>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int="eastAsia" w:ascii="宋体" w:hAnsi="宋体" w:eastAsia="宋体" w:cs="宋体"/>
                <w:color w:val="auto"/>
                <w:kern w:val="28"/>
                <w:sz w:val="24"/>
                <w:highlight w:val="none"/>
              </w:rPr>
            </w:pPr>
            <w:r>
              <w:rPr>
                <w:rFonts w:hint="eastAsia" w:ascii="宋体" w:hAnsi="宋体" w:eastAsia="宋体" w:cs="宋体"/>
                <w:snapToGrid w:val="0"/>
                <w:color w:val="auto"/>
                <w:kern w:val="28"/>
                <w:sz w:val="24"/>
                <w:szCs w:val="24"/>
                <w:highlight w:val="none"/>
                <w:lang w:val="en-US" w:eastAsia="zh-CN" w:bidi="ar-SA"/>
              </w:rPr>
              <w:t>备份投标文件送达地点：杭州市临平区塘栖镇运溪路113号电商大楼507室；备份投标文件签收人员联系电话：13588366887。采购人、采购机构不强制或变相强制投标人提交备份投标文件。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本项目采购文件公告期限与采购公告期限一致。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中标人在领取中标通知书时需向招标代理机构支付招标代理服务费，费用包含在总报价中，不单独列项报价。</w:t>
            </w:r>
          </w:p>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代理服务费按照国家计委印发的《招标代理服务收费管理暂行办法》计价格[2002]1980号、发改办价格[2003]857号规定进行收费。各投标人应在投标报价中予以考虑。</w:t>
            </w:r>
          </w:p>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中标服务费的交纳方式：以转帐或支票的形式支付，开户名：杭州永圣工程咨询代理有限公司；开户行名称：浙江杭州余杭农村商业银行股份有限公司塘栖支行 ； 帐号：201000256592836中标单位需在领取中标通知书时缴纳中标服务费，缴纳时注明招标编号。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snapToGrid w:val="0"/>
                <w:color w:val="auto"/>
                <w:kern w:val="28"/>
                <w:sz w:val="24"/>
                <w:highlight w:val="none"/>
              </w:rPr>
              <w:t>书面投标文件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中标单位需在领取中标通知书时，提供本项目纸质投标文件（资格文件”、“报价文件”和“商务技术文件”）三份（正本一份，副本二份）并提供电子投标文件与纸质投标文件内容一致承诺书三份。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其他约定</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▲供应商以联合体形式投标的：按采购文件要求提供联合协议，联合体投标的联合体各方承担连带责任。</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▲联合体各方不再单独参加或者与其他供应商另外组成联合体参加同一标项的政府采购活动，否则相关投标均无效。</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采用联合体投标，投标文件应根据采购文件要求进行签名或盖章，采购文件未作要求的，由联合体牵头人在投标文件相应位置签名或盖章即可。</w:t>
            </w:r>
          </w:p>
        </w:tc>
      </w:tr>
    </w:tbl>
    <w:p>
      <w:pPr>
        <w:snapToGrid w:val="0"/>
        <w:spacing w:line="360" w:lineRule="auto"/>
        <w:jc w:val="center"/>
        <w:rPr>
          <w:rFonts w:hint="eastAsia" w:ascii="宋体" w:hAnsi="宋体" w:eastAsia="宋体" w:cs="宋体"/>
          <w:b/>
          <w:color w:val="auto"/>
          <w:sz w:val="32"/>
          <w:szCs w:val="20"/>
          <w:highlight w:val="none"/>
        </w:rPr>
      </w:pPr>
    </w:p>
    <w:bookmarkEnd w:id="10"/>
    <w:p>
      <w:pPr>
        <w:adjustRightInd/>
        <w:spacing w:line="360" w:lineRule="auto"/>
        <w:ind w:firstLine="3845" w:firstLineChars="1197"/>
        <w:outlineLvl w:val="0"/>
        <w:rPr>
          <w:rFonts w:hint="eastAsia" w:ascii="宋体" w:hAnsi="宋体" w:eastAsia="宋体" w:cs="宋体"/>
          <w:b/>
          <w:color w:val="auto"/>
          <w:sz w:val="32"/>
          <w:szCs w:val="20"/>
          <w:highlight w:val="none"/>
        </w:rPr>
      </w:pPr>
      <w:bookmarkStart w:id="11" w:name="第三部分"/>
      <w:bookmarkStart w:id="12" w:name="_Toc164416483"/>
    </w:p>
    <w:bookmarkEnd w:id="11"/>
    <w:bookmarkEnd w:id="12"/>
    <w:p>
      <w:pPr>
        <w:adjustRightInd/>
        <w:spacing w:line="360" w:lineRule="auto"/>
        <w:ind w:firstLine="3845" w:firstLineChars="1197"/>
        <w:outlineLvl w:val="0"/>
        <w:rPr>
          <w:rFonts w:ascii="宋体" w:hAnsi="宋体" w:cs="宋体"/>
          <w:b/>
          <w:color w:val="auto"/>
          <w:sz w:val="32"/>
          <w:szCs w:val="20"/>
          <w:highlight w:val="none"/>
        </w:rPr>
      </w:pPr>
      <w:bookmarkStart w:id="13" w:name="第四部分"/>
      <w:r>
        <w:rPr>
          <w:rFonts w:hint="eastAsia" w:ascii="宋体" w:hAnsi="宋体" w:cs="宋体"/>
          <w:b/>
          <w:color w:val="auto"/>
          <w:sz w:val="32"/>
          <w:szCs w:val="20"/>
          <w:highlight w:val="none"/>
        </w:rPr>
        <w:t>一、总则</w:t>
      </w:r>
    </w:p>
    <w:p>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hint="eastAsia" w:ascii="宋体" w:hAnsi="宋体" w:cs="宋体"/>
          <w:color w:val="auto"/>
          <w:kern w:val="0"/>
          <w:sz w:val="24"/>
          <w:highlight w:val="none"/>
        </w:rPr>
        <w:t></w:t>
      </w:r>
      <w:r>
        <w:rPr>
          <w:rFonts w:hint="eastAsia" w:ascii="宋体" w:hAnsi="宋体" w:cs="宋体"/>
          <w:color w:val="auto"/>
          <w:sz w:val="24"/>
          <w:highlight w:val="none"/>
        </w:rPr>
        <w:t>” 系指适用本项目的要求，“</w:t>
      </w:r>
      <w:r>
        <w:rPr>
          <w:rFonts w:hint="eastAsia" w:ascii="宋体" w:hAnsi="宋体" w:cs="宋体"/>
          <w:color w:val="auto"/>
          <w:kern w:val="0"/>
          <w:sz w:val="24"/>
          <w:highlight w:val="none"/>
        </w:rPr>
        <w:t>☐</w:t>
      </w:r>
      <w:r>
        <w:rPr>
          <w:rFonts w:hint="eastAsia" w:ascii="宋体" w:hAnsi="宋体" w:cs="宋体"/>
          <w:color w:val="auto"/>
          <w:sz w:val="24"/>
          <w:highlight w:val="none"/>
        </w:rPr>
        <w:t>” 系指不适用本项目的要求。</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6"/>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4.3.2.1对招标文件提出质疑的，质疑期限为供应商获得招标文件之日或者招标文件公告期限届满之日起计算。</w:t>
      </w:r>
    </w:p>
    <w:p>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pPr>
        <w:pStyle w:val="129"/>
        <w:snapToGrid w:val="0"/>
        <w:spacing w:before="0"/>
        <w:ind w:firstLine="360"/>
        <w:rPr>
          <w:rFonts w:ascii="宋体" w:hAnsi="宋体" w:cs="宋体"/>
          <w:color w:val="auto"/>
          <w:sz w:val="18"/>
          <w:szCs w:val="18"/>
          <w:highlight w:val="none"/>
        </w:rPr>
      </w:pP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11.1.2</w:t>
      </w:r>
      <w:r>
        <w:rPr>
          <w:rFonts w:hint="eastAsia" w:ascii="宋体" w:hAnsi="宋体" w:cs="宋体"/>
          <w:snapToGrid w:val="0"/>
          <w:color w:val="auto"/>
          <w:kern w:val="28"/>
          <w:sz w:val="24"/>
          <w:szCs w:val="20"/>
          <w:highlight w:val="none"/>
        </w:rPr>
        <w:t>联合协议（如果有)；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11.1.3落实政府采购政策需满足的资格要求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11.1.4本项目的特定资格要求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11.2.5评标标准相应的商务技术资料；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11.2.6投标标的清单；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11.2.7商务技术偏离表；</w:t>
      </w:r>
    </w:p>
    <w:p>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snapToGrid w:val="0"/>
        <w:spacing w:line="360" w:lineRule="auto"/>
        <w:ind w:left="420" w:firstLine="480" w:firstLineChars="200"/>
        <w:rPr>
          <w:rFonts w:ascii="宋体" w:hAnsi="宋体" w:cs="宋体"/>
          <w:color w:val="auto"/>
          <w:sz w:val="24"/>
          <w:highlight w:val="none"/>
        </w:rPr>
      </w:pPr>
      <w:r>
        <w:rPr>
          <w:rFonts w:hint="eastAsia" w:ascii="宋体" w:hAnsi="宋体" w:cs="宋体"/>
          <w:color w:val="auto"/>
          <w:sz w:val="24"/>
          <w:highlight w:val="none"/>
        </w:rPr>
        <w:t>11.3.1开标一览表（报价表）</w:t>
      </w:r>
    </w:p>
    <w:p>
      <w:pPr>
        <w:snapToGrid w:val="0"/>
        <w:spacing w:line="360" w:lineRule="auto"/>
        <w:ind w:firstLine="960" w:firstLineChars="400"/>
        <w:rPr>
          <w:rFonts w:ascii="宋体" w:hAnsi="宋体" w:cs="宋体"/>
          <w:color w:val="auto"/>
          <w:highlight w:val="none"/>
        </w:rPr>
      </w:pPr>
      <w:r>
        <w:rPr>
          <w:rFonts w:hint="eastAsia" w:ascii="宋体" w:hAnsi="宋体" w:cs="宋体"/>
          <w:color w:val="auto"/>
          <w:sz w:val="24"/>
          <w:highlight w:val="none"/>
        </w:rPr>
        <w:t>11.3.2报价表明细清单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11.3.3中小企业声明函</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pPr>
        <w:pStyle w:val="129"/>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pPr>
        <w:pStyle w:val="129"/>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29"/>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pPr>
        <w:pStyle w:val="129"/>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9"/>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9"/>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pPr>
        <w:pStyle w:val="2"/>
        <w:spacing w:line="360" w:lineRule="auto"/>
        <w:ind w:firstLine="360" w:firstLineChars="150"/>
        <w:rPr>
          <w:rFonts w:cs="宋体"/>
          <w:color w:val="auto"/>
          <w:szCs w:val="21"/>
          <w:highlight w:val="none"/>
        </w:rPr>
      </w:pPr>
      <w:r>
        <w:rPr>
          <w:rFonts w:hint="eastAsia" w:cs="宋体"/>
          <w:color w:val="auto"/>
          <w:szCs w:val="21"/>
          <w:highlight w:val="none"/>
        </w:rPr>
        <w:t>有招标文件第四部分4.2规定的情形之一的，投标无效：</w:t>
      </w:r>
    </w:p>
    <w:p>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pPr>
        <w:pStyle w:val="129"/>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pPr>
        <w:pStyle w:val="129"/>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29"/>
        <w:spacing w:before="0"/>
        <w:ind w:firstLine="643"/>
        <w:rPr>
          <w:rFonts w:ascii="宋体" w:hAnsi="宋体" w:cs="宋体"/>
          <w:b/>
          <w:color w:val="auto"/>
          <w:sz w:val="32"/>
          <w:highlight w:val="none"/>
        </w:rPr>
      </w:pPr>
    </w:p>
    <w:p>
      <w:pPr>
        <w:pStyle w:val="129"/>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555"/>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pPr>
        <w:pStyle w:val="555"/>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1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pPr>
        <w:pStyle w:val="1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pPr>
        <w:pStyle w:val="1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pStyle w:val="129"/>
        <w:spacing w:before="0"/>
        <w:ind w:firstLine="0" w:firstLineChars="0"/>
        <w:rPr>
          <w:rFonts w:ascii="宋体" w:hAnsi="宋体" w:cs="宋体"/>
          <w:color w:val="auto"/>
          <w:kern w:val="0"/>
          <w:szCs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spacing w:line="360" w:lineRule="auto"/>
        <w:rPr>
          <w:rFonts w:ascii="宋体" w:hAnsi="宋体" w:cs="宋体"/>
          <w:b/>
          <w:color w:val="auto"/>
          <w:sz w:val="24"/>
          <w:highlight w:val="none"/>
        </w:rPr>
      </w:pPr>
      <w:bookmarkStart w:id="14"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pPr>
        <w:spacing w:line="360" w:lineRule="auto"/>
        <w:rPr>
          <w:rFonts w:ascii="宋体" w:hAnsi="宋体" w:cs="宋体"/>
          <w:b/>
          <w:color w:val="auto"/>
          <w:sz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2"/>
        <w:spacing w:line="360" w:lineRule="auto"/>
        <w:ind w:left="479" w:hanging="479" w:hangingChars="199"/>
        <w:rPr>
          <w:rFonts w:cs="宋体"/>
          <w:b/>
          <w:color w:val="auto"/>
          <w:highlight w:val="none"/>
        </w:rPr>
      </w:pPr>
      <w:r>
        <w:rPr>
          <w:rFonts w:hint="eastAsia" w:cs="宋体"/>
          <w:b/>
          <w:color w:val="auto"/>
          <w:highlight w:val="none"/>
        </w:rPr>
        <w:t>22. 确定中标供应商</w:t>
      </w:r>
    </w:p>
    <w:p>
      <w:pPr>
        <w:pStyle w:val="129"/>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9"/>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5" w:name="_Hlk101184471"/>
      <w:r>
        <w:rPr>
          <w:rFonts w:hint="eastAsia" w:ascii="宋体" w:hAnsi="宋体" w:cs="宋体"/>
          <w:color w:val="auto"/>
          <w:sz w:val="24"/>
          <w:highlight w:val="none"/>
        </w:rPr>
        <w:t>资格审查情况、评审专家抽取规则、符合性审查情况、</w:t>
      </w:r>
      <w:bookmarkEnd w:id="15"/>
      <w:r>
        <w:rPr>
          <w:rFonts w:hint="eastAsia" w:ascii="宋体" w:hAnsi="宋体" w:cs="宋体"/>
          <w:color w:val="auto"/>
          <w:sz w:val="24"/>
          <w:highlight w:val="none"/>
        </w:rPr>
        <w:t>未中标情况说明、中标公告期限以及评审专家名单、评分汇总及明细。</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pPr>
        <w:snapToGrid w:val="0"/>
        <w:spacing w:line="360" w:lineRule="auto"/>
        <w:ind w:left="120" w:leftChars="57" w:firstLine="482" w:firstLineChars="150"/>
        <w:jc w:val="center"/>
        <w:rPr>
          <w:rFonts w:ascii="宋体" w:hAnsi="宋体" w:cs="宋体"/>
          <w:b/>
          <w:color w:val="auto"/>
          <w:sz w:val="32"/>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9"/>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29"/>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pPr>
        <w:pStyle w:val="129"/>
        <w:snapToGrid w:val="0"/>
        <w:spacing w:before="0" w:after="120"/>
        <w:ind w:firstLine="482"/>
        <w:rPr>
          <w:rFonts w:ascii="宋体" w:hAnsi="宋体" w:cs="宋体"/>
          <w:b/>
          <w:color w:val="auto"/>
          <w:highlight w:val="none"/>
        </w:rPr>
      </w:pPr>
      <w:r>
        <w:rPr>
          <w:rFonts w:hint="eastAsia" w:ascii="宋体" w:hAnsi="宋体" w:cs="宋体"/>
          <w:b/>
          <w:color w:val="auto"/>
          <w:highlight w:val="none"/>
        </w:rPr>
        <w:t>25.6合同签订依据为相关法律法规文件、招标文件、乙方投标文件等，合同条款有与前者冲突的，以前者为准。</w:t>
      </w:r>
    </w:p>
    <w:p>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4"/>
        <w:rPr>
          <w:rFonts w:ascii="宋体" w:hAnsi="宋体" w:eastAsia="宋体" w:cs="宋体"/>
          <w:color w:val="auto"/>
          <w:highlight w:val="none"/>
        </w:rPr>
      </w:pPr>
      <w:r>
        <w:rPr>
          <w:rFonts w:hint="eastAsia" w:ascii="宋体" w:hAnsi="宋体" w:eastAsia="宋体" w:cs="宋体"/>
          <w:color w:val="auto"/>
          <w:sz w:val="24"/>
          <w:highlight w:val="none"/>
          <w:lang w:val="en-US"/>
        </w:rPr>
        <w:t>27.预付款</w:t>
      </w:r>
    </w:p>
    <w:p>
      <w:pPr>
        <w:adjustRightInd/>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rPr>
          <w:rFonts w:ascii="宋体" w:hAnsi="宋体" w:cs="宋体"/>
          <w:color w:val="auto"/>
          <w:highlight w:val="none"/>
        </w:rPr>
      </w:pPr>
    </w:p>
    <w:p>
      <w:pPr>
        <w:snapToGrid w:val="0"/>
        <w:spacing w:line="360" w:lineRule="auto"/>
        <w:ind w:firstLine="3357" w:firstLineChars="1045"/>
        <w:rPr>
          <w:rFonts w:ascii="宋体" w:hAnsi="宋体" w:cs="宋体"/>
          <w:b/>
          <w:color w:val="auto"/>
          <w:sz w:val="32"/>
          <w:highlight w:val="none"/>
        </w:rPr>
      </w:pPr>
    </w:p>
    <w:p>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129"/>
        <w:snapToGrid w:val="0"/>
        <w:spacing w:before="0"/>
        <w:ind w:firstLine="0" w:firstLineChars="0"/>
        <w:rPr>
          <w:rFonts w:ascii="宋体" w:hAnsi="宋体" w:cs="宋体"/>
          <w:color w:val="auto"/>
          <w:highlight w:val="none"/>
        </w:rPr>
      </w:pPr>
      <w:r>
        <w:rPr>
          <w:rFonts w:hint="eastAsia" w:ascii="宋体" w:hAnsi="宋体" w:cs="宋体"/>
          <w:b/>
          <w:bCs/>
          <w:color w:val="auto"/>
          <w:highlight w:val="none"/>
        </w:rPr>
        <w:t>2</w:t>
      </w:r>
      <w:r>
        <w:rPr>
          <w:rFonts w:hint="eastAsia"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pPr>
        <w:pStyle w:val="129"/>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2"/>
        <w:spacing w:line="360" w:lineRule="auto"/>
        <w:ind w:firstLine="0" w:firstLineChars="0"/>
        <w:rPr>
          <w:rFonts w:cs="宋体"/>
          <w:b/>
          <w:color w:val="auto"/>
          <w:highlight w:val="none"/>
        </w:rPr>
      </w:pPr>
      <w:r>
        <w:rPr>
          <w:rFonts w:hint="eastAsia" w:cs="宋体"/>
          <w:b/>
          <w:color w:val="auto"/>
          <w:highlight w:val="none"/>
        </w:rPr>
        <w:t>30.验收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4"/>
    <w:p>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68057669"/>
      <w:bookmarkEnd w:id="16"/>
      <w:bookmarkStart w:id="17" w:name="_Hlt68403820"/>
      <w:bookmarkEnd w:id="17"/>
      <w:bookmarkStart w:id="18" w:name="_Hlt68073093"/>
      <w:bookmarkEnd w:id="18"/>
      <w:bookmarkStart w:id="19" w:name="_Hlt74730295"/>
      <w:bookmarkEnd w:id="19"/>
      <w:bookmarkStart w:id="20" w:name="_Hlt74729768"/>
      <w:bookmarkEnd w:id="20"/>
      <w:bookmarkStart w:id="21" w:name="_Hlt75236011"/>
      <w:bookmarkEnd w:id="21"/>
      <w:bookmarkStart w:id="22" w:name="_Hlt75236101"/>
      <w:bookmarkEnd w:id="22"/>
      <w:bookmarkStart w:id="23" w:name="_Hlt68072998"/>
      <w:bookmarkEnd w:id="23"/>
      <w:bookmarkStart w:id="24" w:name="_Hlt75236290"/>
      <w:bookmarkEnd w:id="24"/>
      <w:bookmarkStart w:id="25" w:name="_Hlt68072990"/>
      <w:bookmarkEnd w:id="25"/>
      <w:bookmarkStart w:id="26" w:name="_Hlt74714665"/>
      <w:bookmarkEnd w:id="26"/>
      <w:bookmarkStart w:id="27" w:name="_Hlt74707468"/>
      <w:bookmarkEnd w:id="27"/>
    </w:p>
    <w:p>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第三部分采购需求</w:t>
      </w:r>
    </w:p>
    <w:p>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一、项目概况及要求</w:t>
      </w:r>
    </w:p>
    <w:p>
      <w:pPr>
        <w:snapToGrid w:val="0"/>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1、项目名称：</w:t>
      </w:r>
      <w:r>
        <w:rPr>
          <w:rFonts w:hint="eastAsia" w:ascii="宋体" w:hAnsi="宋体" w:eastAsia="宋体" w:cs="宋体"/>
          <w:color w:val="auto"/>
          <w:sz w:val="24"/>
          <w:highlight w:val="none"/>
          <w:lang w:val="en-US" w:eastAsia="zh-CN"/>
        </w:rPr>
        <w:t>古镇景区保洁绿化养护服务</w:t>
      </w:r>
    </w:p>
    <w:p>
      <w:pPr>
        <w:snapToGrid w:val="0"/>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2、采购内容：各标项</w:t>
      </w:r>
      <w:r>
        <w:rPr>
          <w:rStyle w:val="77"/>
          <w:rFonts w:hint="eastAsia" w:ascii="宋体" w:hAnsi="宋体" w:eastAsia="宋体" w:cs="宋体"/>
          <w:color w:val="auto"/>
          <w:sz w:val="24"/>
          <w:szCs w:val="24"/>
          <w:highlight w:val="none"/>
        </w:rPr>
        <w:t>指定服务范围内的道路清扫，包含服务区域内的道路清扫（垃圾收集清运）和所承包范围内偷倒垃圾清运服务</w:t>
      </w:r>
      <w:r>
        <w:rPr>
          <w:rStyle w:val="77"/>
          <w:rFonts w:hint="eastAsia" w:ascii="宋体" w:hAnsi="宋体" w:eastAsia="宋体" w:cs="宋体"/>
          <w:color w:val="auto"/>
          <w:sz w:val="24"/>
          <w:szCs w:val="24"/>
          <w:highlight w:val="none"/>
          <w:lang w:eastAsia="zh-CN"/>
        </w:rPr>
        <w:t>，主要为</w:t>
      </w:r>
      <w:r>
        <w:rPr>
          <w:rStyle w:val="77"/>
          <w:rFonts w:hint="eastAsia" w:ascii="宋体" w:hAnsi="宋体" w:eastAsia="宋体" w:cs="宋体"/>
          <w:color w:val="auto"/>
          <w:sz w:val="24"/>
          <w:szCs w:val="24"/>
          <w:highlight w:val="none"/>
          <w:lang w:val="zh-CN" w:eastAsia="zh-CN"/>
        </w:rPr>
        <w:t>塘栖镇古镇景区11.9万方保洁及6.5万方绿化服务</w:t>
      </w:r>
      <w:r>
        <w:rPr>
          <w:rFonts w:hint="eastAsia" w:ascii="宋体" w:hAnsi="宋体" w:eastAsia="宋体" w:cs="宋体"/>
          <w:color w:val="auto"/>
          <w:sz w:val="24"/>
          <w:highlight w:val="none"/>
        </w:rPr>
        <w:t>。</w:t>
      </w:r>
    </w:p>
    <w:p>
      <w:pPr>
        <w:snapToGrid w:val="0"/>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 w:val="24"/>
          <w:highlight w:val="none"/>
        </w:rPr>
        <w:t>3、合同履约期限：</w:t>
      </w: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年</w:t>
      </w:r>
      <w:r>
        <w:rPr>
          <w:rFonts w:hint="eastAsia" w:ascii="宋体" w:hAnsi="宋体" w:eastAsia="宋体" w:cs="宋体"/>
          <w:color w:val="auto"/>
          <w:sz w:val="24"/>
          <w:highlight w:val="none"/>
        </w:rPr>
        <w:t>，具体起始日期以合同约定为准。</w:t>
      </w:r>
    </w:p>
    <w:p>
      <w:pPr>
        <w:spacing w:line="360" w:lineRule="auto"/>
        <w:ind w:firstLine="480"/>
        <w:rPr>
          <w:rStyle w:val="77"/>
          <w:rFonts w:hint="eastAsia" w:ascii="宋体" w:hAnsi="宋体" w:eastAsia="宋体" w:cs="宋体"/>
          <w:b/>
          <w:bCs/>
          <w:color w:val="auto"/>
          <w:sz w:val="24"/>
          <w:szCs w:val="24"/>
          <w:highlight w:val="none"/>
        </w:rPr>
      </w:pPr>
      <w:r>
        <w:rPr>
          <w:rStyle w:val="77"/>
          <w:rFonts w:hint="eastAsia" w:ascii="宋体" w:hAnsi="宋体" w:eastAsia="宋体" w:cs="宋体"/>
          <w:color w:val="auto"/>
          <w:sz w:val="24"/>
          <w:szCs w:val="24"/>
          <w:highlight w:val="none"/>
        </w:rPr>
        <w:t>4、</w:t>
      </w:r>
      <w:r>
        <w:rPr>
          <w:rStyle w:val="77"/>
          <w:rFonts w:hint="eastAsia" w:ascii="宋体" w:hAnsi="宋体" w:eastAsia="宋体" w:cs="宋体"/>
          <w:b/>
          <w:bCs/>
          <w:color w:val="auto"/>
          <w:sz w:val="24"/>
          <w:szCs w:val="24"/>
          <w:highlight w:val="none"/>
        </w:rPr>
        <w:t>预算金额：</w:t>
      </w:r>
      <w:r>
        <w:rPr>
          <w:rStyle w:val="77"/>
          <w:rFonts w:hint="eastAsia" w:ascii="宋体" w:hAnsi="宋体" w:eastAsia="宋体" w:cs="宋体"/>
          <w:b/>
          <w:bCs/>
          <w:color w:val="auto"/>
          <w:sz w:val="24"/>
          <w:szCs w:val="24"/>
          <w:highlight w:val="none"/>
          <w:lang w:val="en-US" w:eastAsia="zh-CN"/>
        </w:rPr>
        <w:t>6180000</w:t>
      </w:r>
      <w:r>
        <w:rPr>
          <w:rStyle w:val="77"/>
          <w:rFonts w:hint="eastAsia" w:ascii="宋体" w:hAnsi="宋体" w:eastAsia="宋体" w:cs="宋体"/>
          <w:b/>
          <w:bCs/>
          <w:color w:val="auto"/>
          <w:sz w:val="24"/>
          <w:szCs w:val="24"/>
          <w:highlight w:val="none"/>
        </w:rPr>
        <w:t>元。</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w:t>
      </w:r>
      <w:r>
        <w:rPr>
          <w:rFonts w:hint="eastAsia" w:ascii="宋体" w:hAnsi="宋体" w:eastAsia="宋体" w:cs="宋体"/>
          <w:b/>
          <w:color w:val="auto"/>
          <w:sz w:val="24"/>
          <w:highlight w:val="none"/>
          <w:lang w:eastAsia="zh-CN"/>
        </w:rPr>
        <w:t>保洁</w:t>
      </w:r>
      <w:r>
        <w:rPr>
          <w:rFonts w:hint="eastAsia" w:ascii="宋体" w:hAnsi="宋体" w:eastAsia="宋体" w:cs="宋体"/>
          <w:b/>
          <w:color w:val="auto"/>
          <w:sz w:val="24"/>
          <w:highlight w:val="none"/>
        </w:rPr>
        <w:t>清单</w:t>
      </w:r>
    </w:p>
    <w:p>
      <w:pPr>
        <w:pStyle w:val="2"/>
        <w:ind w:left="-199" w:leftChars="-95"/>
        <w:rPr>
          <w:rFonts w:hint="eastAsia" w:ascii="宋体" w:hAnsi="宋体" w:eastAsia="宋体" w:cs="宋体"/>
          <w:b/>
          <w:bCs w:val="0"/>
          <w:color w:val="auto"/>
          <w:highlight w:val="none"/>
          <w:lang w:val="en-US" w:eastAsia="zh-CN"/>
        </w:rPr>
      </w:pPr>
      <w:r>
        <w:rPr>
          <w:rFonts w:hint="eastAsia" w:ascii="宋体" w:hAnsi="宋体" w:eastAsia="宋体" w:cs="宋体"/>
          <w:b/>
          <w:bCs w:val="0"/>
          <w:color w:val="auto"/>
          <w:highlight w:val="none"/>
        </w:rPr>
        <w:t>1、</w:t>
      </w:r>
      <w:r>
        <w:rPr>
          <w:rFonts w:hint="eastAsia" w:ascii="宋体" w:hAnsi="宋体" w:eastAsia="宋体" w:cs="宋体"/>
          <w:b/>
          <w:bCs w:val="0"/>
          <w:color w:val="auto"/>
          <w:highlight w:val="none"/>
          <w:lang w:val="en-US" w:eastAsia="zh-CN"/>
        </w:rPr>
        <w:t xml:space="preserve"> 服务范围</w:t>
      </w:r>
    </w:p>
    <w:p>
      <w:pPr>
        <w:pageBreakBefore w:val="0"/>
        <w:widowControl/>
        <w:kinsoku/>
        <w:wordWrap/>
        <w:overflowPunct/>
        <w:topLinePunct w:val="0"/>
        <w:autoSpaceDE/>
        <w:autoSpaceDN/>
        <w:bidi w:val="0"/>
        <w:snapToGrid/>
        <w:spacing w:line="360" w:lineRule="auto"/>
        <w:ind w:firstLine="540"/>
        <w:jc w:val="left"/>
        <w:textAlignment w:val="auto"/>
        <w:rPr>
          <w:rFonts w:hint="eastAsia" w:ascii="宋体" w:hAnsi="宋体"/>
          <w:color w:val="auto"/>
          <w:sz w:val="24"/>
          <w:highlight w:val="none"/>
        </w:rPr>
      </w:pPr>
      <w:r>
        <w:rPr>
          <w:rFonts w:hint="eastAsia" w:ascii="宋体" w:hAnsi="宋体"/>
          <w:color w:val="auto"/>
          <w:sz w:val="24"/>
          <w:highlight w:val="none"/>
        </w:rPr>
        <w:t>保洁包括果皮、纸屑、塑模、痰迹、污水、人畜粪便、泥沙等影响景区的各类废弃物和垃圾、公益性宣传牌、候车亭、交通护栏、绿化护栏、大理石隔离墩、隔离栏杆、果壳箱、垃圾桶、垃圾中转（集中）点，城市家俱、乱涂画张贴、雨水口、绿化带内垃圾等纳入环卫保洁范围，。</w:t>
      </w:r>
    </w:p>
    <w:p>
      <w:pPr>
        <w:pageBreakBefore w:val="0"/>
        <w:widowControl/>
        <w:kinsoku/>
        <w:wordWrap/>
        <w:overflowPunct/>
        <w:topLinePunct w:val="0"/>
        <w:autoSpaceDE/>
        <w:autoSpaceDN/>
        <w:bidi w:val="0"/>
        <w:snapToGrid/>
        <w:spacing w:line="360" w:lineRule="auto"/>
        <w:jc w:val="left"/>
        <w:textAlignment w:val="auto"/>
        <w:rPr>
          <w:rFonts w:hint="eastAsia" w:ascii="宋体" w:hAnsi="宋体"/>
          <w:b/>
          <w:bCs/>
          <w:color w:val="auto"/>
          <w:sz w:val="24"/>
          <w:highlight w:val="none"/>
        </w:rPr>
      </w:pPr>
      <w:r>
        <w:rPr>
          <w:rFonts w:hint="eastAsia" w:ascii="宋体" w:hAnsi="宋体"/>
          <w:b/>
          <w:bCs/>
          <w:color w:val="auto"/>
          <w:sz w:val="24"/>
          <w:highlight w:val="none"/>
        </w:rPr>
        <w:t xml:space="preserve">   保洁标准及要求：</w:t>
      </w:r>
    </w:p>
    <w:p>
      <w:pPr>
        <w:pageBreakBefore w:val="0"/>
        <w:widowControl/>
        <w:kinsoku/>
        <w:wordWrap/>
        <w:overflowPunct/>
        <w:topLinePunct w:val="0"/>
        <w:autoSpaceDE/>
        <w:autoSpaceDN/>
        <w:bidi w:val="0"/>
        <w:snapToGrid/>
        <w:spacing w:line="360" w:lineRule="auto"/>
        <w:ind w:firstLine="540"/>
        <w:jc w:val="left"/>
        <w:textAlignment w:val="auto"/>
        <w:rPr>
          <w:rFonts w:hint="eastAsia" w:ascii="宋体" w:hAnsi="宋体"/>
          <w:color w:val="auto"/>
          <w:sz w:val="24"/>
          <w:highlight w:val="none"/>
        </w:rPr>
      </w:pPr>
      <w:r>
        <w:rPr>
          <w:rFonts w:hint="eastAsia" w:ascii="宋体" w:hAnsi="宋体"/>
          <w:color w:val="auto"/>
          <w:sz w:val="24"/>
          <w:highlight w:val="none"/>
        </w:rPr>
        <w:t>①景区内无垃圾，无杂物、无积泥（沙石），晴天无积水。②雨水井沟眼畅通干净。③绿化内清洁无杂物、无垃圾。④环卫设施无破损、箱（桶、房）表面及周边整洁。⑤景区有色垃圾滞留时间不得</w:t>
      </w:r>
      <w:r>
        <w:rPr>
          <w:rFonts w:hint="eastAsia" w:ascii="宋体" w:hAnsi="宋体"/>
          <w:color w:val="auto"/>
          <w:sz w:val="24"/>
          <w:highlight w:val="none"/>
          <w:lang w:eastAsia="zh-CN"/>
        </w:rPr>
        <w:t>超过</w:t>
      </w:r>
      <w:r>
        <w:rPr>
          <w:rFonts w:hint="eastAsia" w:ascii="宋体" w:hAnsi="宋体"/>
          <w:b/>
          <w:bCs/>
          <w:color w:val="auto"/>
          <w:sz w:val="24"/>
          <w:highlight w:val="none"/>
        </w:rPr>
        <w:t>10</w:t>
      </w:r>
      <w:r>
        <w:rPr>
          <w:rFonts w:hint="eastAsia" w:ascii="宋体" w:hAnsi="宋体"/>
          <w:color w:val="auto"/>
          <w:sz w:val="24"/>
          <w:highlight w:val="none"/>
        </w:rPr>
        <w:t>分钟。</w:t>
      </w:r>
    </w:p>
    <w:p>
      <w:pPr>
        <w:pageBreakBefore w:val="0"/>
        <w:widowControl/>
        <w:kinsoku/>
        <w:wordWrap/>
        <w:overflowPunct/>
        <w:topLinePunct w:val="0"/>
        <w:autoSpaceDE/>
        <w:autoSpaceDN/>
        <w:bidi w:val="0"/>
        <w:snapToGrid/>
        <w:spacing w:line="360" w:lineRule="auto"/>
        <w:ind w:firstLine="540"/>
        <w:jc w:val="left"/>
        <w:textAlignment w:val="auto"/>
        <w:rPr>
          <w:rFonts w:hint="eastAsia" w:ascii="宋体" w:hAnsi="宋体"/>
          <w:color w:val="auto"/>
          <w:sz w:val="24"/>
          <w:highlight w:val="none"/>
        </w:rPr>
      </w:pPr>
      <w:r>
        <w:rPr>
          <w:rFonts w:hint="eastAsia" w:ascii="宋体" w:hAnsi="宋体"/>
          <w:color w:val="auto"/>
          <w:sz w:val="24"/>
          <w:highlight w:val="none"/>
        </w:rPr>
        <w:t>要求：</w:t>
      </w:r>
    </w:p>
    <w:p>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3.1保洁员在景区清扫保洁时必须穿着</w:t>
      </w:r>
      <w:r>
        <w:rPr>
          <w:rFonts w:hint="eastAsia" w:ascii="宋体" w:hAnsi="宋体"/>
          <w:color w:val="auto"/>
          <w:sz w:val="24"/>
          <w:highlight w:val="none"/>
          <w:lang w:eastAsia="zh-CN"/>
        </w:rPr>
        <w:t>与古镇景区相协调的服装</w:t>
      </w:r>
      <w:r>
        <w:rPr>
          <w:rFonts w:hint="eastAsia" w:ascii="宋体" w:hAnsi="宋体"/>
          <w:color w:val="auto"/>
          <w:sz w:val="24"/>
          <w:highlight w:val="none"/>
        </w:rPr>
        <w:t xml:space="preserve">作业。 </w:t>
      </w:r>
    </w:p>
    <w:p>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3.2垃圾应倾倒在规定地点，不得焚烧垃圾、树叶。落叶旺季做到及时清扫，并按指定地点堆放和转运树叶。</w:t>
      </w:r>
    </w:p>
    <w:p>
      <w:pPr>
        <w:pageBreakBefore w:val="0"/>
        <w:kinsoku/>
        <w:wordWrap/>
        <w:overflowPunct/>
        <w:topLinePunct w:val="0"/>
        <w:autoSpaceDE/>
        <w:autoSpaceDN/>
        <w:bidi w:val="0"/>
        <w:snapToGrid/>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3.3道路清扫保洁作业严格按照依据余城环领办[2017]2号文件《余杭区城乡环境卫生作业质量标准及考核办法（试行）》附件：《余杭区城乡环境卫生作业质量标准（试行）》的要求执行</w:t>
      </w:r>
    </w:p>
    <w:p>
      <w:pPr>
        <w:pStyle w:val="789"/>
        <w:pageBreakBefore w:val="0"/>
        <w:kinsoku/>
        <w:wordWrap/>
        <w:overflowPunct/>
        <w:topLinePunct w:val="0"/>
        <w:autoSpaceDE/>
        <w:autoSpaceDN/>
        <w:bidi w:val="0"/>
        <w:snapToGrid/>
        <w:spacing w:line="360" w:lineRule="auto"/>
        <w:ind w:firstLine="0" w:firstLineChars="0"/>
        <w:textAlignment w:val="auto"/>
        <w:rPr>
          <w:rFonts w:hint="eastAsia" w:ascii="宋体" w:hAnsi="宋体" w:cs="宋体"/>
          <w:b/>
          <w:color w:val="auto"/>
          <w:szCs w:val="24"/>
          <w:highlight w:val="none"/>
        </w:rPr>
      </w:pPr>
      <w:r>
        <w:rPr>
          <w:rFonts w:hint="eastAsia" w:ascii="宋体" w:hAnsi="宋体" w:cs="宋体"/>
          <w:b/>
          <w:color w:val="auto"/>
          <w:szCs w:val="24"/>
          <w:highlight w:val="none"/>
        </w:rPr>
        <w:t>保洁面积范围</w:t>
      </w:r>
    </w:p>
    <w:p>
      <w:pPr>
        <w:pStyle w:val="789"/>
        <w:pageBreakBefore w:val="0"/>
        <w:kinsoku/>
        <w:wordWrap/>
        <w:overflowPunct/>
        <w:topLinePunct w:val="0"/>
        <w:autoSpaceDE/>
        <w:autoSpaceDN/>
        <w:bidi w:val="0"/>
        <w:snapToGrid/>
        <w:spacing w:line="360" w:lineRule="auto"/>
        <w:ind w:firstLine="560"/>
        <w:textAlignment w:val="auto"/>
        <w:rPr>
          <w:rFonts w:hint="eastAsia" w:ascii="宋体" w:hAnsi="宋体" w:cs="宋体"/>
          <w:b/>
          <w:color w:val="auto"/>
          <w:szCs w:val="24"/>
          <w:highlight w:val="none"/>
        </w:rPr>
      </w:pPr>
      <w:r>
        <w:rPr>
          <w:rFonts w:hint="eastAsia" w:ascii="宋体" w:hAnsi="宋体" w:cs="宋体"/>
          <w:color w:val="auto"/>
          <w:sz w:val="28"/>
          <w:highlight w:val="none"/>
        </w:rPr>
        <w:t>●</w:t>
      </w:r>
      <w:r>
        <w:rPr>
          <w:rFonts w:hint="eastAsia" w:ascii="宋体" w:hAnsi="宋体" w:cs="宋体"/>
          <w:b/>
          <w:color w:val="auto"/>
          <w:szCs w:val="24"/>
          <w:highlight w:val="none"/>
        </w:rPr>
        <w:t>塘栖古镇景区水南、水北、广济路步行街、景区（室外）停车场，市河两侧（含围挡内通道）石板铺装路面，市南街历史街区，北新桥两侧（消防中队对面）绿化，其中路面保洁面积</w:t>
      </w:r>
      <w:r>
        <w:rPr>
          <w:rFonts w:hint="eastAsia" w:ascii="宋体" w:hAnsi="宋体" w:eastAsia="宋体" w:cs="宋体"/>
          <w:b/>
          <w:bCs/>
          <w:color w:val="auto"/>
          <w:kern w:val="0"/>
          <w:sz w:val="24"/>
          <w:szCs w:val="24"/>
          <w:highlight w:val="none"/>
          <w:lang w:val="zh-CN" w:eastAsia="zh-CN" w:bidi="ar-SA"/>
        </w:rPr>
        <w:t>11.9万方</w:t>
      </w:r>
      <w:r>
        <w:rPr>
          <w:rFonts w:hint="eastAsia" w:ascii="宋体" w:hAnsi="宋体" w:cs="宋体"/>
          <w:b/>
          <w:color w:val="auto"/>
          <w:szCs w:val="24"/>
          <w:highlight w:val="none"/>
        </w:rPr>
        <w:t>、绿化</w:t>
      </w:r>
      <w:r>
        <w:rPr>
          <w:rFonts w:hint="eastAsia" w:ascii="宋体" w:hAnsi="宋体" w:cs="宋体"/>
          <w:b/>
          <w:color w:val="auto"/>
          <w:szCs w:val="24"/>
          <w:highlight w:val="none"/>
          <w:lang w:eastAsia="zh-CN"/>
        </w:rPr>
        <w:t>面积</w:t>
      </w:r>
      <w:r>
        <w:rPr>
          <w:rFonts w:hint="eastAsia" w:ascii="宋体" w:hAnsi="宋体" w:eastAsia="宋体" w:cs="宋体"/>
          <w:b/>
          <w:bCs/>
          <w:color w:val="auto"/>
          <w:kern w:val="0"/>
          <w:sz w:val="24"/>
          <w:szCs w:val="24"/>
          <w:highlight w:val="none"/>
          <w:lang w:val="zh-CN" w:eastAsia="zh-CN" w:bidi="ar-SA"/>
        </w:rPr>
        <w:t>6.5万方</w:t>
      </w:r>
      <w:r>
        <w:rPr>
          <w:rFonts w:hint="eastAsia" w:ascii="宋体" w:hAnsi="宋体" w:cs="宋体"/>
          <w:b/>
          <w:color w:val="auto"/>
          <w:szCs w:val="24"/>
          <w:highlight w:val="none"/>
        </w:rPr>
        <w:t>。</w:t>
      </w:r>
    </w:p>
    <w:p>
      <w:pPr>
        <w:spacing w:line="480" w:lineRule="exact"/>
        <w:ind w:firstLine="240" w:firstLineChars="100"/>
        <w:rPr>
          <w:rFonts w:hint="eastAsia"/>
          <w:color w:val="auto"/>
          <w:highlight w:val="none"/>
        </w:rPr>
      </w:pPr>
      <w:r>
        <w:rPr>
          <w:rFonts w:hint="eastAsia" w:ascii="宋体" w:hAnsi="宋体" w:cs="宋体"/>
          <w:color w:val="auto"/>
          <w:sz w:val="24"/>
          <w:highlight w:val="none"/>
        </w:rPr>
        <w:t>备注：上述保洁面积如有调整，相关养护经费按实调整。</w:t>
      </w:r>
    </w:p>
    <w:p>
      <w:pPr>
        <w:pStyle w:val="964"/>
        <w:rPr>
          <w:rFonts w:hint="eastAsia"/>
          <w:color w:val="auto"/>
          <w:highlight w:val="none"/>
        </w:rPr>
      </w:pPr>
    </w:p>
    <w:p>
      <w:pPr>
        <w:widowControl/>
        <w:adjustRightInd w:val="0"/>
        <w:spacing w:line="0" w:lineRule="atLeast"/>
        <w:jc w:val="left"/>
        <w:rPr>
          <w:rFonts w:hint="eastAsia" w:ascii="宋体" w:hAnsi="宋体" w:cs="宋体"/>
          <w:b/>
          <w:color w:val="auto"/>
          <w:kern w:val="0"/>
          <w:sz w:val="24"/>
          <w:highlight w:val="none"/>
        </w:rPr>
      </w:pPr>
      <w:r>
        <w:rPr>
          <w:rFonts w:hint="eastAsia" w:ascii="宋体" w:hAnsi="宋体" w:cs="宋体"/>
          <w:b/>
          <w:color w:val="auto"/>
          <w:kern w:val="0"/>
          <w:sz w:val="24"/>
          <w:highlight w:val="none"/>
        </w:rPr>
        <w:t>三、说明：</w:t>
      </w:r>
    </w:p>
    <w:p>
      <w:pPr>
        <w:spacing w:line="400" w:lineRule="exact"/>
        <w:ind w:firstLine="482" w:firstLineChars="200"/>
        <w:rPr>
          <w:rFonts w:hint="eastAsia" w:ascii="宋体" w:hAnsi="宋体"/>
          <w:b/>
          <w:bCs/>
          <w:color w:val="auto"/>
          <w:sz w:val="24"/>
          <w:highlight w:val="none"/>
        </w:rPr>
      </w:pPr>
      <w:r>
        <w:rPr>
          <w:rFonts w:hint="eastAsia" w:ascii="宋体" w:hAnsi="宋体"/>
          <w:b/>
          <w:bCs/>
          <w:color w:val="auto"/>
          <w:sz w:val="24"/>
          <w:highlight w:val="none"/>
        </w:rPr>
        <w:t>1、本项目为景区保洁项目，需专用的小型垃圾清运车，小型的高压冲洗车（因本项目为景区内保洁，大型的保洁机械无法进入景区内保洁，进入景区保洁的机械基本考虑为小型）所属的车辆（含机动车、非机动车）应印有编号、监督电话、责任单位等信息。</w:t>
      </w:r>
    </w:p>
    <w:p>
      <w:pPr>
        <w:spacing w:line="400" w:lineRule="exact"/>
        <w:ind w:firstLine="482" w:firstLineChars="200"/>
        <w:rPr>
          <w:rFonts w:hint="eastAsia" w:ascii="宋体" w:hAnsi="宋体"/>
          <w:b/>
          <w:bCs/>
          <w:color w:val="auto"/>
          <w:sz w:val="24"/>
          <w:highlight w:val="none"/>
        </w:rPr>
      </w:pPr>
      <w:r>
        <w:rPr>
          <w:rFonts w:hint="eastAsia" w:ascii="宋体" w:hAnsi="宋体"/>
          <w:b/>
          <w:bCs/>
          <w:color w:val="auto"/>
          <w:sz w:val="24"/>
          <w:highlight w:val="none"/>
        </w:rPr>
        <w:t>2、因本项目为古镇景区内保洁，考虑到塘栖镇古镇景区的实际情况，大型保洁设备无法进入景区内部保洁，一些特殊地段只能采用人工保洁，且景区内需长期有专职保洁员入驻保洁，保洁时间需倒穿插式，每日需18小时以上保洁，人均保洁面积不超过</w:t>
      </w:r>
      <w:r>
        <w:rPr>
          <w:rFonts w:hint="eastAsia" w:ascii="宋体" w:hAnsi="宋体"/>
          <w:b/>
          <w:bCs/>
          <w:color w:val="auto"/>
          <w:sz w:val="24"/>
          <w:highlight w:val="none"/>
          <w:lang w:val="en-US" w:eastAsia="zh-CN"/>
        </w:rPr>
        <w:t>500</w:t>
      </w:r>
      <w:r>
        <w:rPr>
          <w:rFonts w:hint="eastAsia" w:ascii="宋体" w:hAnsi="宋体"/>
          <w:b/>
          <w:bCs/>
          <w:color w:val="auto"/>
          <w:sz w:val="24"/>
          <w:highlight w:val="none"/>
        </w:rPr>
        <w:t>0㎡，机械化清扫每日不少于1次。特殊天气除外 ，建设单位另行通知。作业时必须统一穿着反光条安全黄背心。</w:t>
      </w:r>
    </w:p>
    <w:p>
      <w:pPr>
        <w:pStyle w:val="2"/>
        <w:ind w:firstLine="236" w:firstLineChars="98"/>
        <w:rPr>
          <w:rFonts w:hint="eastAsia" w:ascii="宋体" w:hAnsi="宋体" w:eastAsia="宋体" w:cs="宋体"/>
          <w:b/>
          <w:color w:val="auto"/>
          <w:highlight w:val="none"/>
        </w:rPr>
      </w:pPr>
      <w:r>
        <w:rPr>
          <w:rFonts w:hint="eastAsia" w:ascii="宋体" w:hAnsi="宋体" w:eastAsia="宋体" w:cs="宋体"/>
          <w:b/>
          <w:color w:val="auto"/>
          <w:highlight w:val="none"/>
        </w:rPr>
        <w:t>2、各标项道路清单及人员要求</w:t>
      </w:r>
    </w:p>
    <w:p>
      <w:pPr>
        <w:pStyle w:val="2"/>
        <w:ind w:firstLine="241" w:firstLineChars="100"/>
        <w:rPr>
          <w:rFonts w:hint="eastAsia" w:ascii="宋体" w:hAnsi="宋体" w:eastAsia="宋体" w:cs="宋体"/>
          <w:b/>
          <w:color w:val="auto"/>
          <w:highlight w:val="none"/>
        </w:rPr>
      </w:pPr>
      <w:r>
        <w:rPr>
          <w:rFonts w:hint="eastAsia" w:ascii="宋体" w:hAnsi="宋体" w:eastAsia="宋体" w:cs="宋体"/>
          <w:b/>
          <w:color w:val="auto"/>
          <w:highlight w:val="none"/>
        </w:rPr>
        <w:t>道路人均保洁面积标准如下：</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9285" w:type="dxa"/>
          </w:tcPr>
          <w:p>
            <w:pPr>
              <w:pStyle w:val="2"/>
              <w:ind w:firstLine="0" w:firstLineChars="0"/>
              <w:jc w:val="center"/>
              <w:rPr>
                <w:rFonts w:hint="eastAsia" w:ascii="宋体" w:hAnsi="宋体" w:eastAsia="宋体" w:cs="宋体"/>
                <w:bCs/>
                <w:color w:val="auto"/>
                <w:highlight w:val="none"/>
              </w:rPr>
            </w:pPr>
            <w:r>
              <w:rPr>
                <w:rFonts w:hint="eastAsia" w:ascii="宋体" w:hAnsi="宋体" w:eastAsia="宋体" w:cs="宋体"/>
                <w:bCs/>
                <w:color w:val="auto"/>
                <w:highlight w:val="none"/>
              </w:rPr>
              <w:t>一类道路/人均面积（平方米）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9" w:hRule="atLeast"/>
        </w:trPr>
        <w:tc>
          <w:tcPr>
            <w:tcW w:w="9285" w:type="dxa"/>
          </w:tcPr>
          <w:p>
            <w:pPr>
              <w:pStyle w:val="2"/>
              <w:ind w:firstLine="0" w:firstLineChars="0"/>
              <w:jc w:val="center"/>
              <w:rPr>
                <w:rFonts w:hint="eastAsia" w:ascii="宋体" w:hAnsi="宋体" w:eastAsia="宋体" w:cs="宋体"/>
                <w:bCs/>
                <w:color w:val="auto"/>
                <w:highlight w:val="none"/>
                <w:lang w:val="en-US"/>
              </w:rPr>
            </w:pPr>
            <w:r>
              <w:rPr>
                <w:rFonts w:hint="eastAsia" w:ascii="宋体" w:hAnsi="宋体" w:eastAsia="宋体" w:cs="宋体"/>
                <w:b/>
                <w:bCs w:val="0"/>
                <w:color w:val="auto"/>
                <w:highlight w:val="none"/>
                <w:lang w:val="en-US" w:eastAsia="zh-CN"/>
              </w:rPr>
              <w:t>因本项目为景区保洁项目，按人均</w:t>
            </w:r>
            <w:r>
              <w:rPr>
                <w:rFonts w:hint="eastAsia" w:cs="宋体"/>
                <w:b/>
                <w:bCs w:val="0"/>
                <w:color w:val="auto"/>
                <w:highlight w:val="none"/>
                <w:lang w:val="en-US" w:eastAsia="zh-CN"/>
              </w:rPr>
              <w:t>5</w:t>
            </w:r>
            <w:r>
              <w:rPr>
                <w:rFonts w:hint="eastAsia" w:ascii="宋体" w:hAnsi="宋体" w:eastAsia="宋体" w:cs="宋体"/>
                <w:b/>
                <w:bCs w:val="0"/>
                <w:color w:val="auto"/>
                <w:highlight w:val="none"/>
                <w:lang w:val="en-US" w:eastAsia="zh-CN"/>
              </w:rPr>
              <w:t>000平方米</w:t>
            </w:r>
          </w:p>
        </w:tc>
      </w:tr>
    </w:tbl>
    <w:p>
      <w:pPr>
        <w:pStyle w:val="2"/>
        <w:ind w:left="220" w:leftChars="105" w:firstLine="0" w:firstLineChars="0"/>
        <w:rPr>
          <w:rFonts w:hint="eastAsia" w:ascii="宋体" w:hAnsi="宋体" w:eastAsia="宋体" w:cs="宋体"/>
          <w:bCs/>
          <w:color w:val="auto"/>
          <w:highlight w:val="none"/>
        </w:rPr>
      </w:pPr>
      <w:r>
        <w:rPr>
          <w:rFonts w:hint="eastAsia" w:ascii="宋体" w:hAnsi="宋体" w:eastAsia="宋体" w:cs="宋体"/>
          <w:bCs/>
          <w:color w:val="auto"/>
          <w:highlight w:val="none"/>
        </w:rPr>
        <w:t>2.1.标项一道路及人员要求</w:t>
      </w:r>
    </w:p>
    <w:p>
      <w:pPr>
        <w:snapToGrid w:val="0"/>
        <w:spacing w:line="360" w:lineRule="auto"/>
        <w:jc w:val="left"/>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w:t>
      </w:r>
      <w:r>
        <w:rPr>
          <w:rFonts w:hint="eastAsia" w:ascii="宋体" w:hAnsi="宋体" w:eastAsia="宋体" w:cs="宋体"/>
          <w:bCs/>
          <w:color w:val="auto"/>
          <w:sz w:val="24"/>
          <w:highlight w:val="none"/>
        </w:rPr>
        <w:t>2.1.2标项一投入的岗位及人员数量</w:t>
      </w:r>
    </w:p>
    <w:tbl>
      <w:tblPr>
        <w:tblStyle w:val="63"/>
        <w:tblW w:w="545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0"/>
        <w:gridCol w:w="1813"/>
        <w:gridCol w:w="936"/>
        <w:gridCol w:w="2180"/>
        <w:gridCol w:w="1238"/>
        <w:gridCol w:w="22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69" w:type="pct"/>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序号</w:t>
            </w:r>
          </w:p>
        </w:tc>
        <w:tc>
          <w:tcPr>
            <w:tcW w:w="1483" w:type="pct"/>
            <w:gridSpan w:val="2"/>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承担岗位名称</w:t>
            </w:r>
          </w:p>
        </w:tc>
        <w:tc>
          <w:tcPr>
            <w:tcW w:w="1176" w:type="pct"/>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人员数量（人）</w:t>
            </w:r>
          </w:p>
        </w:tc>
        <w:tc>
          <w:tcPr>
            <w:tcW w:w="1870" w:type="pct"/>
            <w:gridSpan w:val="2"/>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5000" w:type="pct"/>
            <w:gridSpan w:val="6"/>
          </w:tcPr>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69" w:type="pct"/>
            <w:vAlign w:val="center"/>
          </w:tcPr>
          <w:p>
            <w:pPr>
              <w:snapToGrid w:val="0"/>
              <w:spacing w:line="360" w:lineRule="auto"/>
              <w:jc w:val="center"/>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（1）</w:t>
            </w:r>
          </w:p>
        </w:tc>
        <w:tc>
          <w:tcPr>
            <w:tcW w:w="1483" w:type="pct"/>
            <w:gridSpan w:val="2"/>
            <w:vAlign w:val="center"/>
          </w:tcPr>
          <w:p>
            <w:pPr>
              <w:snapToGrid w:val="0"/>
              <w:spacing w:line="360" w:lineRule="auto"/>
              <w:jc w:val="center"/>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项目负责人</w:t>
            </w:r>
          </w:p>
        </w:tc>
        <w:tc>
          <w:tcPr>
            <w:tcW w:w="1176" w:type="pct"/>
            <w:vAlign w:val="center"/>
          </w:tcPr>
          <w:p>
            <w:pPr>
              <w:snapToGrid w:val="0"/>
              <w:spacing w:line="360" w:lineRule="auto"/>
              <w:jc w:val="center"/>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1人</w:t>
            </w:r>
          </w:p>
        </w:tc>
        <w:tc>
          <w:tcPr>
            <w:tcW w:w="1870" w:type="pct"/>
            <w:gridSpan w:val="2"/>
            <w:vAlign w:val="center"/>
          </w:tcPr>
          <w:p>
            <w:pPr>
              <w:snapToGrid w:val="0"/>
              <w:spacing w:line="360" w:lineRule="auto"/>
              <w:jc w:val="center"/>
              <w:rPr>
                <w:rFonts w:hint="eastAsia" w:ascii="宋体" w:hAnsi="宋体" w:eastAsia="宋体" w:cs="宋体"/>
                <w:b/>
                <w:bCs w:val="0"/>
                <w:color w:val="auto"/>
                <w:sz w:val="24"/>
                <w:highlight w:val="none"/>
                <w:lang w:val="en-US" w:eastAsia="zh-CN"/>
              </w:rPr>
            </w:pPr>
            <w:r>
              <w:rPr>
                <w:rFonts w:hint="eastAsia" w:ascii="宋体" w:hAnsi="宋体" w:eastAsia="宋体" w:cs="宋体"/>
                <w:b/>
                <w:bCs w:val="0"/>
                <w:color w:val="auto"/>
                <w:sz w:val="24"/>
                <w:highlight w:val="none"/>
              </w:rPr>
              <w:t>大专及以上学历</w:t>
            </w:r>
            <w:r>
              <w:rPr>
                <w:rFonts w:hint="eastAsia" w:ascii="宋体" w:hAnsi="宋体" w:eastAsia="宋体" w:cs="宋体"/>
                <w:b/>
                <w:bCs w:val="0"/>
                <w:color w:val="auto"/>
                <w:sz w:val="24"/>
                <w:highlight w:val="none"/>
                <w:lang w:eastAsia="zh-CN"/>
              </w:rPr>
              <w:t>，</w:t>
            </w:r>
            <w:r>
              <w:rPr>
                <w:rFonts w:hint="eastAsia" w:ascii="宋体" w:hAnsi="宋体" w:eastAsia="宋体" w:cs="宋体"/>
                <w:b/>
                <w:bCs w:val="0"/>
                <w:color w:val="auto"/>
                <w:sz w:val="24"/>
                <w:highlight w:val="none"/>
                <w:lang w:val="en-US" w:eastAsia="zh-CN"/>
              </w:rPr>
              <w:t>45周岁以下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5000" w:type="pct"/>
            <w:gridSpan w:val="6"/>
          </w:tcPr>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2、道路保洁</w:t>
            </w:r>
            <w:r>
              <w:rPr>
                <w:rFonts w:hint="eastAsia" w:ascii="宋体" w:hAnsi="宋体" w:cs="宋体"/>
                <w:bCs/>
                <w:color w:val="auto"/>
                <w:sz w:val="24"/>
                <w:highlight w:val="none"/>
                <w:lang w:eastAsia="zh-CN"/>
              </w:rPr>
              <w:t>及绿化养护</w:t>
            </w:r>
            <w:r>
              <w:rPr>
                <w:rFonts w:hint="eastAsia" w:ascii="宋体" w:hAnsi="宋体" w:eastAsia="宋体" w:cs="宋体"/>
                <w:bCs/>
                <w:color w:val="auto"/>
                <w:sz w:val="24"/>
                <w:highlight w:val="none"/>
              </w:rPr>
              <w:t>人员（专职道路保洁员包括车辆作业人员）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469" w:type="pct"/>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序号</w:t>
            </w:r>
          </w:p>
        </w:tc>
        <w:tc>
          <w:tcPr>
            <w:tcW w:w="1483" w:type="pct"/>
            <w:gridSpan w:val="2"/>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承担岗位名称</w:t>
            </w:r>
          </w:p>
        </w:tc>
        <w:tc>
          <w:tcPr>
            <w:tcW w:w="1844" w:type="pct"/>
            <w:gridSpan w:val="2"/>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每年人员数量</w:t>
            </w:r>
          </w:p>
        </w:tc>
        <w:tc>
          <w:tcPr>
            <w:tcW w:w="1202" w:type="pct"/>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69" w:type="pct"/>
            <w:vAlign w:val="center"/>
          </w:tcPr>
          <w:p>
            <w:pPr>
              <w:snapToGrid w:val="0"/>
              <w:spacing w:line="360" w:lineRule="auto"/>
              <w:jc w:val="center"/>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（1）</w:t>
            </w:r>
          </w:p>
        </w:tc>
        <w:tc>
          <w:tcPr>
            <w:tcW w:w="1483" w:type="pct"/>
            <w:gridSpan w:val="2"/>
            <w:vAlign w:val="center"/>
          </w:tcPr>
          <w:p>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sz w:val="24"/>
                <w:highlight w:val="none"/>
              </w:rPr>
              <w:t>专职道路保洁员</w:t>
            </w:r>
          </w:p>
        </w:tc>
        <w:tc>
          <w:tcPr>
            <w:tcW w:w="1844" w:type="pct"/>
            <w:gridSpan w:val="2"/>
            <w:vAlign w:val="center"/>
          </w:tcPr>
          <w:p>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sz w:val="24"/>
                <w:highlight w:val="none"/>
              </w:rPr>
              <w:t>不少于</w:t>
            </w:r>
            <w:r>
              <w:rPr>
                <w:rFonts w:hint="eastAsia" w:ascii="宋体" w:hAnsi="宋体" w:cs="宋体"/>
                <w:b/>
                <w:bCs w:val="0"/>
                <w:color w:val="auto"/>
                <w:sz w:val="24"/>
                <w:highlight w:val="none"/>
                <w:lang w:val="en-US" w:eastAsia="zh-CN"/>
              </w:rPr>
              <w:t>48</w:t>
            </w:r>
            <w:r>
              <w:rPr>
                <w:rFonts w:hint="eastAsia" w:ascii="宋体" w:hAnsi="宋体" w:eastAsia="宋体" w:cs="宋体"/>
                <w:b/>
                <w:bCs w:val="0"/>
                <w:color w:val="auto"/>
                <w:sz w:val="24"/>
                <w:highlight w:val="none"/>
              </w:rPr>
              <w:t xml:space="preserve">人 </w:t>
            </w:r>
            <w:r>
              <w:rPr>
                <w:rFonts w:hint="eastAsia" w:ascii="宋体" w:hAnsi="宋体" w:eastAsia="宋体" w:cs="宋体"/>
                <w:b/>
                <w:bCs w:val="0"/>
                <w:color w:val="auto"/>
                <w:sz w:val="24"/>
                <w:highlight w:val="none"/>
                <w:lang w:eastAsia="zh-CN"/>
              </w:rPr>
              <w:t>（其中保洁专职人员</w:t>
            </w:r>
            <w:r>
              <w:rPr>
                <w:rFonts w:hint="eastAsia" w:ascii="宋体" w:hAnsi="宋体" w:cs="宋体"/>
                <w:b/>
                <w:bCs w:val="0"/>
                <w:color w:val="auto"/>
                <w:sz w:val="24"/>
                <w:highlight w:val="none"/>
                <w:lang w:val="en-US" w:eastAsia="zh-CN"/>
              </w:rPr>
              <w:t>44</w:t>
            </w:r>
            <w:r>
              <w:rPr>
                <w:rFonts w:hint="eastAsia" w:ascii="宋体" w:hAnsi="宋体" w:eastAsia="宋体" w:cs="宋体"/>
                <w:b/>
                <w:bCs w:val="0"/>
                <w:color w:val="auto"/>
                <w:sz w:val="24"/>
                <w:highlight w:val="none"/>
                <w:lang w:val="en-US" w:eastAsia="zh-CN"/>
              </w:rPr>
              <w:t>人，垃圾清运人员2人，高压冲洗人员2人</w:t>
            </w:r>
            <w:r>
              <w:rPr>
                <w:rFonts w:hint="eastAsia" w:ascii="宋体" w:hAnsi="宋体" w:eastAsia="宋体" w:cs="宋体"/>
                <w:b/>
                <w:bCs w:val="0"/>
                <w:color w:val="auto"/>
                <w:sz w:val="24"/>
                <w:highlight w:val="none"/>
                <w:lang w:eastAsia="zh-CN"/>
              </w:rPr>
              <w:t>）</w:t>
            </w:r>
          </w:p>
        </w:tc>
        <w:tc>
          <w:tcPr>
            <w:tcW w:w="1202" w:type="pct"/>
            <w:vAlign w:val="center"/>
          </w:tcPr>
          <w:p>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sz w:val="24"/>
                <w:highlight w:val="none"/>
              </w:rPr>
              <w:t>含车辆作业人员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469" w:type="pct"/>
            <w:vAlign w:val="center"/>
          </w:tcPr>
          <w:p>
            <w:pPr>
              <w:snapToGrid w:val="0"/>
              <w:spacing w:line="360" w:lineRule="auto"/>
              <w:jc w:val="center"/>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（2）</w:t>
            </w:r>
          </w:p>
        </w:tc>
        <w:tc>
          <w:tcPr>
            <w:tcW w:w="1483" w:type="pct"/>
            <w:gridSpan w:val="2"/>
            <w:vAlign w:val="center"/>
          </w:tcPr>
          <w:p>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sz w:val="24"/>
                <w:highlight w:val="none"/>
              </w:rPr>
              <w:t>景区内绿化养护人员</w:t>
            </w:r>
          </w:p>
        </w:tc>
        <w:tc>
          <w:tcPr>
            <w:tcW w:w="1844" w:type="pct"/>
            <w:gridSpan w:val="2"/>
            <w:vAlign w:val="center"/>
          </w:tcPr>
          <w:p>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cs="宋体"/>
                <w:b/>
                <w:bCs w:val="0"/>
                <w:color w:val="auto"/>
                <w:sz w:val="24"/>
                <w:highlight w:val="none"/>
                <w:lang w:val="en-US" w:eastAsia="zh-CN"/>
              </w:rPr>
              <w:t>13</w:t>
            </w:r>
            <w:r>
              <w:rPr>
                <w:rFonts w:hint="eastAsia" w:ascii="宋体" w:hAnsi="宋体" w:eastAsia="宋体" w:cs="宋体"/>
                <w:b/>
                <w:bCs w:val="0"/>
                <w:color w:val="auto"/>
                <w:sz w:val="24"/>
                <w:highlight w:val="none"/>
              </w:rPr>
              <w:t>人</w:t>
            </w:r>
          </w:p>
        </w:tc>
        <w:tc>
          <w:tcPr>
            <w:tcW w:w="1202" w:type="pct"/>
            <w:vAlign w:val="center"/>
          </w:tcPr>
          <w:p>
            <w:pPr>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sz w:val="24"/>
                <w:highlight w:val="none"/>
                <w:lang w:val="en-US" w:eastAsia="zh-CN"/>
              </w:rPr>
              <w:t>55周岁以下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469" w:type="pct"/>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w:t>
            </w:r>
            <w:r>
              <w:rPr>
                <w:rFonts w:hint="eastAsia" w:ascii="宋体" w:hAnsi="宋体" w:cs="宋体"/>
                <w:bCs/>
                <w:color w:val="auto"/>
                <w:sz w:val="24"/>
                <w:highlight w:val="none"/>
                <w:lang w:val="en-US" w:eastAsia="zh-CN"/>
              </w:rPr>
              <w:t>3</w:t>
            </w:r>
            <w:r>
              <w:rPr>
                <w:rFonts w:hint="eastAsia" w:ascii="宋体" w:hAnsi="宋体" w:eastAsia="宋体" w:cs="宋体"/>
                <w:bCs/>
                <w:color w:val="auto"/>
                <w:sz w:val="24"/>
                <w:highlight w:val="none"/>
              </w:rPr>
              <w:t>）</w:t>
            </w:r>
          </w:p>
        </w:tc>
        <w:tc>
          <w:tcPr>
            <w:tcW w:w="1483" w:type="pct"/>
            <w:gridSpan w:val="2"/>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小计（人）</w:t>
            </w:r>
          </w:p>
        </w:tc>
        <w:tc>
          <w:tcPr>
            <w:tcW w:w="1844" w:type="pct"/>
            <w:gridSpan w:val="2"/>
          </w:tcPr>
          <w:p>
            <w:pPr>
              <w:snapToGrid w:val="0"/>
              <w:spacing w:line="360" w:lineRule="auto"/>
              <w:jc w:val="center"/>
              <w:rPr>
                <w:rFonts w:hint="eastAsia" w:ascii="宋体" w:hAnsi="宋体" w:eastAsia="宋体" w:cs="宋体"/>
                <w:bCs/>
                <w:color w:val="auto"/>
                <w:sz w:val="24"/>
                <w:highlight w:val="none"/>
              </w:rPr>
            </w:pPr>
            <w:r>
              <w:rPr>
                <w:rFonts w:hint="eastAsia" w:ascii="宋体" w:hAnsi="宋体" w:cs="宋体"/>
                <w:b/>
                <w:bCs w:val="0"/>
                <w:color w:val="auto"/>
                <w:sz w:val="24"/>
                <w:highlight w:val="none"/>
                <w:lang w:val="en-US" w:eastAsia="zh-CN"/>
              </w:rPr>
              <w:t>61</w:t>
            </w:r>
            <w:r>
              <w:rPr>
                <w:rFonts w:hint="eastAsia" w:ascii="宋体" w:hAnsi="宋体" w:eastAsia="宋体" w:cs="宋体"/>
                <w:b/>
                <w:bCs w:val="0"/>
                <w:color w:val="auto"/>
                <w:sz w:val="24"/>
                <w:highlight w:val="none"/>
              </w:rPr>
              <w:t>人</w:t>
            </w:r>
          </w:p>
        </w:tc>
        <w:tc>
          <w:tcPr>
            <w:tcW w:w="1202" w:type="pct"/>
          </w:tcPr>
          <w:p>
            <w:pPr>
              <w:snapToGrid w:val="0"/>
              <w:spacing w:line="360" w:lineRule="auto"/>
              <w:jc w:val="center"/>
              <w:rPr>
                <w:rFonts w:hint="eastAsia" w:ascii="宋体" w:hAnsi="宋体" w:eastAsia="宋体" w:cs="宋体"/>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1447" w:type="pct"/>
            <w:gridSpan w:val="2"/>
            <w:vMerge w:val="restart"/>
            <w:vAlign w:val="center"/>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合计（1+2）</w:t>
            </w:r>
          </w:p>
        </w:tc>
        <w:tc>
          <w:tcPr>
            <w:tcW w:w="3552" w:type="pct"/>
            <w:gridSpan w:val="4"/>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每年总计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447" w:type="pct"/>
            <w:gridSpan w:val="2"/>
            <w:vMerge w:val="continue"/>
          </w:tcPr>
          <w:p>
            <w:pPr>
              <w:snapToGrid w:val="0"/>
              <w:spacing w:line="360" w:lineRule="auto"/>
              <w:jc w:val="center"/>
              <w:rPr>
                <w:rFonts w:hint="eastAsia" w:ascii="宋体" w:hAnsi="宋体" w:eastAsia="宋体" w:cs="宋体"/>
                <w:bCs/>
                <w:color w:val="auto"/>
                <w:sz w:val="24"/>
                <w:highlight w:val="none"/>
              </w:rPr>
            </w:pPr>
          </w:p>
        </w:tc>
        <w:tc>
          <w:tcPr>
            <w:tcW w:w="3552" w:type="pct"/>
            <w:gridSpan w:val="4"/>
          </w:tcPr>
          <w:p>
            <w:pPr>
              <w:snapToGrid w:val="0"/>
              <w:spacing w:line="360" w:lineRule="auto"/>
              <w:jc w:val="center"/>
              <w:rPr>
                <w:rFonts w:hint="eastAsia" w:ascii="宋体" w:hAnsi="宋体" w:eastAsia="宋体" w:cs="宋体"/>
                <w:bCs/>
                <w:color w:val="auto"/>
                <w:sz w:val="24"/>
                <w:highlight w:val="none"/>
              </w:rPr>
            </w:pPr>
            <w:r>
              <w:rPr>
                <w:rFonts w:hint="eastAsia" w:ascii="宋体" w:hAnsi="宋体" w:cs="宋体"/>
                <w:b/>
                <w:bCs w:val="0"/>
                <w:color w:val="auto"/>
                <w:sz w:val="24"/>
                <w:highlight w:val="none"/>
                <w:lang w:val="en-US" w:eastAsia="zh-CN"/>
              </w:rPr>
              <w:t>62</w:t>
            </w:r>
            <w:r>
              <w:rPr>
                <w:rFonts w:hint="eastAsia" w:ascii="宋体" w:hAnsi="宋体" w:eastAsia="宋体" w:cs="宋体"/>
                <w:bCs/>
                <w:color w:val="auto"/>
                <w:sz w:val="24"/>
                <w:highlight w:val="none"/>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3" w:hRule="atLeast"/>
        </w:trPr>
        <w:tc>
          <w:tcPr>
            <w:tcW w:w="5000" w:type="pct"/>
            <w:gridSpan w:val="6"/>
          </w:tcPr>
          <w:p>
            <w:pPr>
              <w:pStyle w:val="2"/>
              <w:spacing w:line="36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注：1、</w:t>
            </w:r>
            <w:r>
              <w:rPr>
                <w:rFonts w:hint="eastAsia" w:ascii="宋体" w:hAnsi="宋体" w:eastAsia="宋体" w:cs="宋体"/>
                <w:b/>
                <w:bCs w:val="0"/>
                <w:color w:val="auto"/>
                <w:sz w:val="21"/>
                <w:szCs w:val="21"/>
                <w:highlight w:val="none"/>
              </w:rPr>
              <w:t>投入的人数不得少于上表要求的人员数量。一级道路保洁时间均不少于18小时，人均清扫保洁面积按</w:t>
            </w:r>
            <w:r>
              <w:rPr>
                <w:rFonts w:hint="eastAsia" w:cs="宋体"/>
                <w:b/>
                <w:bCs w:val="0"/>
                <w:color w:val="auto"/>
                <w:sz w:val="21"/>
                <w:szCs w:val="21"/>
                <w:highlight w:val="none"/>
                <w:lang w:val="en-US" w:eastAsia="zh-CN"/>
              </w:rPr>
              <w:t>5</w:t>
            </w:r>
            <w:r>
              <w:rPr>
                <w:rFonts w:hint="eastAsia" w:ascii="宋体" w:hAnsi="宋体" w:eastAsia="宋体" w:cs="宋体"/>
                <w:b/>
                <w:bCs w:val="0"/>
                <w:color w:val="auto"/>
                <w:sz w:val="21"/>
                <w:szCs w:val="21"/>
                <w:highlight w:val="none"/>
                <w:lang w:val="en-US" w:eastAsia="zh-CN"/>
              </w:rPr>
              <w:t>000</w:t>
            </w:r>
            <w:r>
              <w:rPr>
                <w:rFonts w:hint="eastAsia" w:ascii="宋体" w:hAnsi="宋体" w:eastAsia="宋体" w:cs="宋体"/>
                <w:b/>
                <w:bCs w:val="0"/>
                <w:color w:val="auto"/>
                <w:sz w:val="21"/>
                <w:szCs w:val="21"/>
                <w:highlight w:val="none"/>
              </w:rPr>
              <w:t>平方米，每岗清扫人员安排以作业时间8小时计轮班</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bCs w:val="0"/>
                <w:color w:val="auto"/>
                <w:sz w:val="21"/>
                <w:szCs w:val="21"/>
                <w:highlight w:val="none"/>
              </w:rPr>
              <w:t>供应商应根据以上保洁人员数量做好轮班，同一时间段作业人员不少于</w:t>
            </w:r>
            <w:r>
              <w:rPr>
                <w:rFonts w:hint="eastAsia" w:ascii="宋体" w:hAnsi="宋体" w:eastAsia="宋体" w:cs="宋体"/>
                <w:b/>
                <w:bCs w:val="0"/>
                <w:color w:val="auto"/>
                <w:sz w:val="21"/>
                <w:szCs w:val="21"/>
                <w:highlight w:val="none"/>
                <w:lang w:val="en-US" w:eastAsia="zh-CN"/>
              </w:rPr>
              <w:t>20</w:t>
            </w:r>
            <w:r>
              <w:rPr>
                <w:rFonts w:hint="eastAsia" w:ascii="宋体" w:hAnsi="宋体" w:eastAsia="宋体" w:cs="宋体"/>
                <w:b/>
                <w:bCs w:val="0"/>
                <w:color w:val="auto"/>
                <w:sz w:val="21"/>
                <w:szCs w:val="21"/>
                <w:highlight w:val="none"/>
              </w:rPr>
              <w:t>人</w:t>
            </w:r>
            <w:r>
              <w:rPr>
                <w:rFonts w:hint="eastAsia" w:ascii="宋体" w:hAnsi="宋体" w:eastAsia="宋体" w:cs="宋体"/>
                <w:bCs/>
                <w:color w:val="auto"/>
                <w:sz w:val="21"/>
                <w:szCs w:val="21"/>
                <w:highlight w:val="none"/>
                <w:lang w:eastAsia="zh-CN"/>
              </w:rPr>
              <w:t>；</w:t>
            </w:r>
          </w:p>
          <w:p>
            <w:pPr>
              <w:pStyle w:val="2"/>
              <w:spacing w:line="36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2、所有的人工费用均应考虑在投标总价中。</w:t>
            </w:r>
          </w:p>
        </w:tc>
      </w:tr>
    </w:tbl>
    <w:p>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三、项目具体要求</w:t>
      </w:r>
    </w:p>
    <w:p>
      <w:pPr>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1、道路保洁相关要求</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1.1本项目各标项</w:t>
      </w:r>
      <w:r>
        <w:rPr>
          <w:rFonts w:hint="eastAsia" w:ascii="宋体" w:hAnsi="宋体" w:eastAsia="宋体" w:cs="宋体"/>
          <w:color w:val="auto"/>
          <w:sz w:val="24"/>
          <w:highlight w:val="none"/>
          <w:lang w:val="zh-CN"/>
        </w:rPr>
        <w:t>人员要求</w:t>
      </w:r>
      <w:r>
        <w:rPr>
          <w:rFonts w:hint="eastAsia" w:ascii="宋体" w:hAnsi="宋体" w:eastAsia="宋体" w:cs="宋体"/>
          <w:color w:val="auto"/>
          <w:sz w:val="24"/>
          <w:highlight w:val="none"/>
        </w:rPr>
        <w:t>须符合</w:t>
      </w:r>
      <w:r>
        <w:rPr>
          <w:rFonts w:hint="eastAsia" w:ascii="宋体" w:hAnsi="宋体" w:eastAsia="宋体" w:cs="宋体"/>
          <w:bCs/>
          <w:color w:val="auto"/>
          <w:sz w:val="24"/>
          <w:highlight w:val="none"/>
        </w:rPr>
        <w:t>专职人员基本岗位数量要求</w:t>
      </w:r>
      <w:r>
        <w:rPr>
          <w:rFonts w:hint="eastAsia" w:ascii="宋体" w:hAnsi="宋体" w:eastAsia="宋体" w:cs="宋体"/>
          <w:color w:val="auto"/>
          <w:sz w:val="24"/>
          <w:highlight w:val="none"/>
          <w:lang w:val="zh-CN"/>
        </w:rPr>
        <w:t>。</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1.1.2除项目负责人和专职保洁人员（含车辆作业人员）、项目管理员以外，供应商应根据项目保洁的实际需要配备相应人员，所需费用应考虑在投标总价中。</w:t>
      </w:r>
    </w:p>
    <w:p>
      <w:pPr>
        <w:snapToGrid w:val="0"/>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bCs/>
          <w:color w:val="auto"/>
          <w:sz w:val="24"/>
          <w:highlight w:val="none"/>
        </w:rPr>
        <w:t>1.1.3保洁人员在岗要求男性年龄在60周岁以下</w:t>
      </w:r>
      <w:r>
        <w:rPr>
          <w:rFonts w:hint="eastAsia" w:ascii="宋体" w:hAnsi="宋体" w:eastAsia="宋体" w:cs="宋体"/>
          <w:color w:val="auto"/>
          <w:sz w:val="24"/>
          <w:highlight w:val="none"/>
          <w:lang w:val="zh-CN"/>
        </w:rPr>
        <w:t>，女性年龄在55周岁以下，并按采购人要求完成智慧化管理措施、设施配备。大型活动、节假日、新作业方式调整或未达到管理标准等情况下</w:t>
      </w:r>
      <w:r>
        <w:rPr>
          <w:rFonts w:hint="eastAsia" w:ascii="宋体" w:hAnsi="宋体" w:eastAsia="宋体" w:cs="宋体"/>
          <w:color w:val="auto"/>
          <w:sz w:val="24"/>
          <w:highlight w:val="none"/>
        </w:rPr>
        <w:t>应根据实际情况或采购人要求增派保洁人员、保洁设备，以确保清卫保洁质量，</w:t>
      </w:r>
      <w:r>
        <w:rPr>
          <w:rFonts w:hint="eastAsia" w:ascii="宋体" w:hAnsi="宋体" w:eastAsia="宋体" w:cs="宋体"/>
          <w:color w:val="auto"/>
          <w:sz w:val="24"/>
          <w:highlight w:val="none"/>
          <w:lang w:val="zh-CN"/>
        </w:rPr>
        <w:t>增</w:t>
      </w:r>
      <w:r>
        <w:rPr>
          <w:rFonts w:hint="eastAsia" w:ascii="宋体" w:hAnsi="宋体" w:eastAsia="宋体" w:cs="宋体"/>
          <w:color w:val="auto"/>
          <w:sz w:val="24"/>
          <w:highlight w:val="none"/>
        </w:rPr>
        <w:t>派人员和设备的费用应考虑在投标总报价中。</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1.1.4鼓励供应商根据杭州市劳动和社会保障局、杭州市财政局“关于印发《市区“三类岗位”开发管理办法》的通知”及区政府等相关文件要求，鼓励中标供应商招聘失地失业人员参与本项目服务。</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1.1.5人员用工必须符合《中华人民共和国劳动民法典》等法规的相关规定，如因违法、违规并造成不良后果的，其责任由供应商自行承担。</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1.1.6 作业车辆、作业时间应符合属地交警部门要求，并按要求进行报备后实施。</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1.1.7 供应商提供的设施设备，根据采购人要求统一外观，标识。</w:t>
      </w:r>
    </w:p>
    <w:p>
      <w:pPr>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1.2保洁服务内容</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1.2.1本项目涵盖采购文件第三部分采购需求项目概况及要求清单中所有道路的清扫运输、垃圾收集运输、偷倒垃圾清运</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lang w:eastAsia="zh-CN"/>
        </w:rPr>
        <w:t>景区</w:t>
      </w:r>
      <w:r>
        <w:rPr>
          <w:rFonts w:hint="eastAsia" w:ascii="宋体" w:hAnsi="宋体" w:eastAsia="宋体" w:cs="宋体"/>
          <w:color w:val="auto"/>
          <w:sz w:val="24"/>
          <w:highlight w:val="none"/>
        </w:rPr>
        <w:t>道路、街巷</w:t>
      </w:r>
      <w:r>
        <w:rPr>
          <w:rFonts w:hint="eastAsia" w:ascii="宋体" w:hAnsi="宋体" w:eastAsia="宋体" w:cs="宋体"/>
          <w:color w:val="auto"/>
          <w:sz w:val="24"/>
          <w:highlight w:val="none"/>
          <w:lang w:eastAsia="zh-CN"/>
        </w:rPr>
        <w:t>】商业外摆等</w:t>
      </w:r>
      <w:r>
        <w:rPr>
          <w:rFonts w:hint="eastAsia" w:ascii="宋体" w:hAnsi="宋体" w:eastAsia="宋体" w:cs="宋体"/>
          <w:color w:val="auto"/>
          <w:sz w:val="24"/>
          <w:highlight w:val="none"/>
        </w:rPr>
        <w:t>进行的全面清扫</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zh-CN" w:eastAsia="zh-CN"/>
        </w:rPr>
        <w:t>6.5万方绿化服务</w:t>
      </w:r>
      <w:r>
        <w:rPr>
          <w:rFonts w:hint="eastAsia" w:ascii="宋体" w:hAnsi="宋体" w:eastAsia="宋体" w:cs="宋体"/>
          <w:color w:val="auto"/>
          <w:sz w:val="24"/>
          <w:highlight w:val="none"/>
        </w:rPr>
        <w:t>等服务内容。</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1.2.2</w:t>
      </w:r>
      <w:r>
        <w:rPr>
          <w:rFonts w:hint="eastAsia" w:ascii="宋体" w:hAnsi="宋体" w:eastAsia="宋体" w:cs="宋体"/>
          <w:bCs/>
          <w:color w:val="auto"/>
          <w:sz w:val="24"/>
          <w:highlight w:val="none"/>
        </w:rPr>
        <w:t>本项目</w:t>
      </w:r>
      <w:r>
        <w:rPr>
          <w:rFonts w:hint="eastAsia" w:ascii="宋体" w:hAnsi="宋体" w:eastAsia="宋体" w:cs="宋体"/>
          <w:color w:val="auto"/>
          <w:sz w:val="24"/>
          <w:highlight w:val="none"/>
        </w:rPr>
        <w:t>道路中间绿化带含在道路保洁范围内，及道路两侧人行道外建筑物基石边或无建筑物外可视范围内</w:t>
      </w:r>
      <w:r>
        <w:rPr>
          <w:rFonts w:hint="eastAsia" w:ascii="宋体" w:hAnsi="宋体" w:eastAsia="宋体" w:cs="宋体"/>
          <w:bCs/>
          <w:color w:val="auto"/>
          <w:sz w:val="24"/>
          <w:highlight w:val="none"/>
        </w:rPr>
        <w:t>（不少于</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米</w:t>
      </w:r>
      <w:r>
        <w:rPr>
          <w:rFonts w:hint="eastAsia" w:ascii="宋体" w:hAnsi="宋体" w:eastAsia="宋体" w:cs="宋体"/>
          <w:color w:val="auto"/>
          <w:sz w:val="24"/>
          <w:highlight w:val="none"/>
        </w:rPr>
        <w:t>）均包含在保洁范围内。</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t>1.2</w:t>
      </w:r>
      <w:r>
        <w:rPr>
          <w:rFonts w:hint="eastAsia" w:ascii="宋体" w:hAnsi="宋体" w:eastAsia="宋体" w:cs="宋体"/>
          <w:bCs/>
          <w:color w:val="auto"/>
          <w:sz w:val="24"/>
          <w:highlight w:val="none"/>
        </w:rPr>
        <w:t>.3本项目涵盖地铁站（如有）出入口台阶以下周边范围的保洁含在道路保洁范围内。</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t>1.2</w:t>
      </w:r>
      <w:r>
        <w:rPr>
          <w:rFonts w:hint="eastAsia" w:ascii="宋体" w:hAnsi="宋体" w:eastAsia="宋体" w:cs="宋体"/>
          <w:bCs/>
          <w:color w:val="auto"/>
          <w:sz w:val="24"/>
          <w:highlight w:val="none"/>
        </w:rPr>
        <w:t>.4本项目道路所附属的铁路下穿涵洞（如有）、果壳箱、交通隔离栏、路灯杆（2.2米以下部分）、交通信号杆（2.2米以下部分）均属于本项目保洁范围。</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bCs/>
          <w:color w:val="auto"/>
          <w:sz w:val="24"/>
          <w:highlight w:val="none"/>
        </w:rPr>
        <w:t>1.2.5</w:t>
      </w:r>
      <w:r>
        <w:rPr>
          <w:rFonts w:hint="eastAsia" w:ascii="宋体" w:hAnsi="宋体" w:eastAsia="宋体" w:cs="宋体"/>
          <w:color w:val="auto"/>
          <w:sz w:val="24"/>
          <w:highlight w:val="none"/>
        </w:rPr>
        <w:t>牛皮癣清理：标段范围内道路、围墙、道路沿线设施（含一层建筑立面）等区域的“乱涂”、“乱张贴”等牛皮癣日常清理</w:t>
      </w:r>
      <w:r>
        <w:rPr>
          <w:rFonts w:hint="eastAsia" w:ascii="宋体" w:hAnsi="宋体" w:eastAsia="宋体" w:cs="宋体"/>
          <w:bCs/>
          <w:color w:val="auto"/>
          <w:sz w:val="24"/>
          <w:highlight w:val="none"/>
        </w:rPr>
        <w:t>均属于本项目保洁范围</w:t>
      </w:r>
      <w:r>
        <w:rPr>
          <w:rFonts w:hint="eastAsia" w:ascii="宋体" w:hAnsi="宋体" w:eastAsia="宋体" w:cs="宋体"/>
          <w:color w:val="auto"/>
          <w:sz w:val="24"/>
          <w:highlight w:val="none"/>
        </w:rPr>
        <w:t>。</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t>1.2</w:t>
      </w:r>
      <w:r>
        <w:rPr>
          <w:rFonts w:hint="eastAsia" w:ascii="宋体" w:hAnsi="宋体" w:eastAsia="宋体" w:cs="宋体"/>
          <w:bCs/>
          <w:color w:val="auto"/>
          <w:sz w:val="24"/>
          <w:highlight w:val="none"/>
        </w:rPr>
        <w:t>.6</w:t>
      </w:r>
      <w:r>
        <w:rPr>
          <w:rFonts w:hint="eastAsia" w:ascii="宋体" w:hAnsi="宋体" w:eastAsia="宋体" w:cs="宋体"/>
          <w:color w:val="auto"/>
          <w:sz w:val="24"/>
          <w:highlight w:val="none"/>
        </w:rPr>
        <w:t xml:space="preserve">道路保洁承包期内如有道路改建、扩建、新增人行道等情况所增加的面积，原则上纳入中标单位保洁范围，保洁经费不再增加。  </w:t>
      </w:r>
    </w:p>
    <w:p>
      <w:pPr>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w:t>
      </w:r>
      <w:r>
        <w:rPr>
          <w:rFonts w:hint="eastAsia" w:ascii="宋体" w:hAnsi="宋体" w:eastAsia="宋体" w:cs="宋体"/>
          <w:b/>
          <w:bCs/>
          <w:color w:val="auto"/>
          <w:sz w:val="24"/>
          <w:highlight w:val="none"/>
        </w:rPr>
        <w:t>保洁</w:t>
      </w:r>
      <w:r>
        <w:rPr>
          <w:rFonts w:hint="eastAsia" w:ascii="宋体" w:hAnsi="宋体" w:eastAsia="宋体" w:cs="宋体"/>
          <w:b/>
          <w:color w:val="auto"/>
          <w:sz w:val="24"/>
          <w:highlight w:val="none"/>
          <w:lang w:eastAsia="zh-CN"/>
        </w:rPr>
        <w:t>作业标准</w:t>
      </w:r>
    </w:p>
    <w:p>
      <w:pPr>
        <w:adjustRightInd w:val="0"/>
        <w:snapToGrid w:val="0"/>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保洁标准：</w:t>
      </w:r>
      <w:r>
        <w:rPr>
          <w:rFonts w:hint="eastAsia" w:ascii="宋体" w:hAnsi="宋体" w:eastAsia="宋体" w:cs="宋体"/>
          <w:color w:val="auto"/>
          <w:sz w:val="24"/>
          <w:highlight w:val="none"/>
        </w:rPr>
        <w:t>①路面无垃圾、无杂物、无积泥、无污渍，人行道无杂草，晴天无积水，道路两侧3米内无废土、垃圾。②人行道板及各类井盖等处缝隙、沟眼无垃圾，无积泥嵌石。③道路绿地、花坛、树圈保洁应与道路保洁同步，做到无杂物、无垃圾。④环卫设施（果壳箱、垃圾桶、垃圾房）设置整齐规范、无破损、歪斜、油漆剥落（或严重褪色）、垃圾满溢，表面清洁无污垢，周围地面无暴露垃圾、污水现象。⑤在规定时间内完成第一遍普扫，然后进行全天巡回保洁以及中午、晚上的两次普扫。</w:t>
      </w:r>
      <w:r>
        <w:rPr>
          <w:rFonts w:hint="eastAsia" w:ascii="宋体" w:hAnsi="宋体" w:eastAsia="宋体" w:cs="宋体"/>
          <w:color w:val="auto"/>
          <w:sz w:val="24"/>
          <w:highlight w:val="none"/>
          <w:lang w:eastAsia="zh-CN"/>
        </w:rPr>
        <w:t>冲洗、机扫、清运等作业标准按照保洁作业标准执行。</w:t>
      </w:r>
    </w:p>
    <w:p>
      <w:pPr>
        <w:adjustRightInd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清扫保洁期内，必须投入相应的清扫、洒水机械等设备</w:t>
      </w:r>
      <w:r>
        <w:rPr>
          <w:rFonts w:hint="eastAsia" w:ascii="宋体" w:hAnsi="宋体" w:eastAsia="宋体" w:cs="宋体"/>
          <w:color w:val="auto"/>
          <w:sz w:val="24"/>
          <w:highlight w:val="none"/>
          <w:lang w:eastAsia="zh-CN"/>
        </w:rPr>
        <w:t>以及与保洁标准</w:t>
      </w:r>
      <w:r>
        <w:rPr>
          <w:rFonts w:hint="eastAsia" w:ascii="宋体" w:hAnsi="宋体" w:eastAsia="宋体" w:cs="宋体"/>
          <w:color w:val="auto"/>
          <w:sz w:val="24"/>
          <w:highlight w:val="none"/>
        </w:rPr>
        <w:t>相应要求配备的保洁人员，符合杭州市环卫行业标准化管理的要求，同时保证所有投入的机械设备只用于本项目。若今后发现机械设备及人员未按规定仅服务于本项目，则招标人有权扣除相应养护费用。</w:t>
      </w:r>
    </w:p>
    <w:p>
      <w:pPr>
        <w:adjustRightInd w:val="0"/>
        <w:snapToGrid w:val="0"/>
        <w:spacing w:line="360" w:lineRule="auto"/>
        <w:ind w:firstLine="480" w:firstLineChars="200"/>
        <w:jc w:val="left"/>
        <w:rPr>
          <w:rFonts w:hint="eastAsia" w:ascii="宋体" w:hAnsi="宋体" w:eastAsia="宋体" w:cs="宋体"/>
          <w:b/>
          <w:bCs/>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中标人必须在塘栖镇古镇景区保洁绿化养护项目范围内成立养护班组，并设立固定办公场地及项目负责人，以保证及时响应。</w:t>
      </w:r>
    </w:p>
    <w:p>
      <w:pPr>
        <w:snapToGrid w:val="0"/>
        <w:spacing w:line="360" w:lineRule="auto"/>
        <w:ind w:firstLine="482" w:firstLineChars="200"/>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1.4保洁作业规范 </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1.4.1一级道路普扫作业每日不少于3次。夏季（6月—8月）第一次普扫应在6：30前完成，春、秋、冬季（9月—次年5月）在7：00前完成；第二次普扫在13：30前完成；第三次普扫在17：00前完成。</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应根据重大活动保障、落叶旺季等因素适时增加每日普扫频次。 </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应做到文明、清洁、安全和有序，最大限度地减少对环境的污染和对公众生活的影响。</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4.4</w:t>
      </w:r>
      <w:r>
        <w:rPr>
          <w:rFonts w:hint="eastAsia" w:ascii="宋体" w:hAnsi="宋体" w:eastAsia="宋体" w:cs="宋体"/>
          <w:color w:val="auto"/>
          <w:sz w:val="24"/>
          <w:highlight w:val="none"/>
        </w:rPr>
        <w:t>合理安排作业计划</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清晨或深夜在居民住宅小区或周边道路进行环卫作业时，不得大声喧哗，并应注意控制机具噪音。组织机械化清扫、洒水、清洗作业应避开交通高峰时段（7：00—9：00，16：30—18：30）。</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4.5</w:t>
      </w:r>
      <w:r>
        <w:rPr>
          <w:rFonts w:hint="eastAsia" w:ascii="宋体" w:hAnsi="宋体" w:eastAsia="宋体" w:cs="宋体"/>
          <w:bCs/>
          <w:color w:val="auto"/>
          <w:sz w:val="24"/>
          <w:highlight w:val="none"/>
        </w:rPr>
        <w:t>下雪及雪后应根据需要，及时进行路面除雪作业 ，消除路面积雪、结冰，为道路交通畅通创造良好通行条件。清雪作业以机械化清雪为主，人工清雪为辅。清理的积雪不得堆放在雨水井口，禁止向道路路面、绿化带、绿地抛撒积雪。</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4.6</w:t>
      </w:r>
      <w:r>
        <w:rPr>
          <w:rFonts w:hint="eastAsia" w:ascii="宋体" w:hAnsi="宋体" w:eastAsia="宋体" w:cs="宋体"/>
          <w:bCs/>
          <w:color w:val="auto"/>
          <w:sz w:val="24"/>
          <w:highlight w:val="none"/>
        </w:rPr>
        <w:t>日常</w:t>
      </w:r>
      <w:r>
        <w:rPr>
          <w:rFonts w:hint="eastAsia" w:ascii="宋体" w:hAnsi="宋体" w:eastAsia="宋体" w:cs="宋体"/>
          <w:color w:val="auto"/>
          <w:sz w:val="24"/>
          <w:highlight w:val="none"/>
        </w:rPr>
        <w:t>保洁时间内</w:t>
      </w:r>
      <w:r>
        <w:rPr>
          <w:rFonts w:hint="eastAsia" w:ascii="宋体" w:hAnsi="宋体" w:eastAsia="宋体" w:cs="宋体"/>
          <w:bCs/>
          <w:color w:val="auto"/>
          <w:sz w:val="24"/>
          <w:highlight w:val="none"/>
        </w:rPr>
        <w:t>保洁单位需确保</w:t>
      </w:r>
      <w:r>
        <w:rPr>
          <w:rFonts w:hint="eastAsia" w:ascii="宋体" w:hAnsi="宋体" w:eastAsia="宋体" w:cs="宋体"/>
          <w:color w:val="auto"/>
          <w:sz w:val="24"/>
          <w:highlight w:val="none"/>
        </w:rPr>
        <w:t>保洁范围干净，如有无主垃圾或其它垃圾，应加强监管，及时劝导并清理干净。</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4.7</w:t>
      </w:r>
      <w:r>
        <w:rPr>
          <w:rFonts w:hint="eastAsia" w:ascii="宋体" w:hAnsi="宋体" w:eastAsia="宋体" w:cs="宋体"/>
          <w:bCs/>
          <w:color w:val="auto"/>
          <w:sz w:val="24"/>
          <w:highlight w:val="none"/>
        </w:rPr>
        <w:t>每辆环卫专用车辆应装有GPS装置，并按采购人要求安装摄像设备及人员的智慧管理等接入采购人指定系统，如GPS装置、摄像设备故障后应及时报修。GPS定位系统或摄像设备以及为本项目服务提供的智慧环卫等（含人员智慧管理）相关费用均由中标单位承担，同时需纳入城管智慧平台，采购人不另支付任何费用。</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4.8</w:t>
      </w:r>
      <w:r>
        <w:rPr>
          <w:rFonts w:hint="eastAsia" w:ascii="宋体" w:hAnsi="宋体" w:eastAsia="宋体" w:cs="宋体"/>
          <w:bCs/>
          <w:color w:val="auto"/>
          <w:sz w:val="24"/>
          <w:highlight w:val="none"/>
        </w:rPr>
        <w:t>人工辅助清扫、清洗机动车道、非机动车道或清洗机动车道交通隔离栏时，应在距清扫点来车方向100M处设置警示标识，使用荧光锥形筒等警示标识围护清扫保洁区域，面向来车方向清扫，注意车辆动态。</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4.9</w:t>
      </w:r>
      <w:r>
        <w:rPr>
          <w:rFonts w:hint="eastAsia" w:ascii="宋体" w:hAnsi="宋体" w:eastAsia="宋体" w:cs="宋体"/>
          <w:bCs/>
          <w:color w:val="auto"/>
          <w:sz w:val="24"/>
          <w:highlight w:val="none"/>
        </w:rPr>
        <w:t>洗扫车、扫路车、洒水车、清洗车车尾应设置荧光标宽标识（或警示灯）。夜间作业时或雨雾天气等能见度较低的天气，必须启用警示灯光。环卫电动作业车辆、保洁车等小型作业车辆车身设置荧光条，车后部或车顶设置警示灯。</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4.10</w:t>
      </w:r>
      <w:r>
        <w:rPr>
          <w:rFonts w:hint="eastAsia" w:ascii="宋体" w:hAnsi="宋体" w:eastAsia="宋体" w:cs="宋体"/>
          <w:bCs/>
          <w:color w:val="auto"/>
          <w:sz w:val="24"/>
          <w:highlight w:val="none"/>
        </w:rPr>
        <w:t>本项目环卫作业车辆须有固定场所停放，严禁停放在消防通道、公交车站、盲道等影响车辆和行人通行的公共通道。</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4.11</w:t>
      </w:r>
      <w:r>
        <w:rPr>
          <w:rFonts w:hint="eastAsia" w:ascii="宋体" w:hAnsi="宋体" w:eastAsia="宋体" w:cs="宋体"/>
          <w:bCs/>
          <w:color w:val="auto"/>
          <w:sz w:val="24"/>
          <w:highlight w:val="none"/>
        </w:rPr>
        <w:t>承诺能及时提供人力、设备、技术等支持。</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4.12</w:t>
      </w:r>
      <w:r>
        <w:rPr>
          <w:rFonts w:hint="eastAsia" w:ascii="宋体" w:hAnsi="宋体" w:eastAsia="宋体" w:cs="宋体"/>
          <w:bCs/>
          <w:color w:val="auto"/>
          <w:sz w:val="24"/>
          <w:highlight w:val="none"/>
        </w:rPr>
        <w:t>洒水时，洒水车车速不得超过25km/h；清洗时，高压清洗车车速不得超过10km/h；机械化清扫作业。</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4.13</w:t>
      </w:r>
      <w:r>
        <w:rPr>
          <w:rFonts w:hint="eastAsia" w:ascii="宋体" w:hAnsi="宋体" w:eastAsia="宋体" w:cs="宋体"/>
          <w:bCs/>
          <w:color w:val="auto"/>
          <w:sz w:val="24"/>
          <w:highlight w:val="none"/>
        </w:rPr>
        <w:t>洒水时，应调整好洒水车水压和水幅，保持车行道全路段路面湿润。途经地铁站、公交站、人行横道等人流量集中的地点应注意放慢车速，避让行人，调整启闭装置，避免将水洒到行人身上。</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4.14</w:t>
      </w:r>
      <w:r>
        <w:rPr>
          <w:rFonts w:hint="eastAsia" w:ascii="宋体" w:hAnsi="宋体" w:eastAsia="宋体" w:cs="宋体"/>
          <w:bCs/>
          <w:color w:val="auto"/>
          <w:sz w:val="24"/>
          <w:highlight w:val="none"/>
        </w:rPr>
        <w:t>晚22时以后，洒水作业时禁止播放洒水提示音乐。中、高考等重要考试期间，洒水车途经考场周边道路时应及时关闭洒水提示音乐，夏季中午时间（12时-14时）适当降低洒水提示音量。</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4.15</w:t>
      </w:r>
      <w:r>
        <w:rPr>
          <w:rFonts w:hint="eastAsia" w:ascii="宋体" w:hAnsi="宋体" w:eastAsia="宋体" w:cs="宋体"/>
          <w:bCs/>
          <w:color w:val="auto"/>
          <w:sz w:val="24"/>
          <w:highlight w:val="none"/>
        </w:rPr>
        <w:t>小雨及以下雨量时，按计划保持洒水作业；中雨及以上雨量或雷阵雨期间，暂停道路洒水和清洗作业</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气温低于2摄氏度时应停止清洗和洒水。</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4.16</w:t>
      </w:r>
      <w:r>
        <w:rPr>
          <w:rFonts w:hint="eastAsia" w:ascii="宋体" w:hAnsi="宋体" w:eastAsia="宋体" w:cs="宋体"/>
          <w:bCs/>
          <w:color w:val="auto"/>
          <w:sz w:val="24"/>
          <w:highlight w:val="none"/>
        </w:rPr>
        <w:t>根据清雪作业应急保障需要，可使用洒水车、清洗车冲刷路面积雪，并使用清雪车、扫路车等专业车辆或人工辅助，及时清除路面积水、积雪。</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4.17</w:t>
      </w:r>
      <w:r>
        <w:rPr>
          <w:rFonts w:hint="eastAsia" w:ascii="宋体" w:hAnsi="宋体" w:eastAsia="宋体" w:cs="宋体"/>
          <w:bCs/>
          <w:color w:val="auto"/>
          <w:sz w:val="24"/>
          <w:highlight w:val="none"/>
        </w:rPr>
        <w:t>机械化清扫范围主要为机动车道，及便于使用机械化装备清洁机动车道的交通隔离栏。</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4.18</w:t>
      </w:r>
      <w:r>
        <w:rPr>
          <w:rFonts w:hint="eastAsia" w:ascii="宋体" w:hAnsi="宋体" w:eastAsia="宋体" w:cs="宋体"/>
          <w:bCs/>
          <w:color w:val="auto"/>
          <w:sz w:val="24"/>
          <w:highlight w:val="none"/>
        </w:rPr>
        <w:t>清扫车或洗扫车应加足水，根据路面状况调整好扫路车侧刷和吸口，喷雾洁扫无扬尘，在规定时间和路线进行机械化清扫作业。</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4.19</w:t>
      </w:r>
      <w:r>
        <w:rPr>
          <w:rFonts w:hint="eastAsia" w:ascii="宋体" w:hAnsi="宋体" w:eastAsia="宋体" w:cs="宋体"/>
          <w:bCs/>
          <w:color w:val="auto"/>
          <w:sz w:val="24"/>
          <w:highlight w:val="none"/>
        </w:rPr>
        <w:t>机械化清扫作业时，扫路车或洗扫车车速不得超过10km/h。</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4.20</w:t>
      </w:r>
      <w:r>
        <w:rPr>
          <w:rFonts w:hint="eastAsia" w:ascii="宋体" w:hAnsi="宋体" w:eastAsia="宋体" w:cs="宋体"/>
          <w:bCs/>
          <w:color w:val="auto"/>
          <w:sz w:val="24"/>
          <w:highlight w:val="none"/>
        </w:rPr>
        <w:t>清扫时应注意观察路面清扫质量和路面障碍情况，对机械化清扫不能清除的大件垃圾或硬物，在确保作业安全的前提下，及时下车清除。</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4.21</w:t>
      </w:r>
      <w:r>
        <w:rPr>
          <w:rFonts w:hint="eastAsia" w:ascii="宋体" w:hAnsi="宋体" w:eastAsia="宋体" w:cs="宋体"/>
          <w:bCs/>
          <w:color w:val="auto"/>
          <w:sz w:val="24"/>
          <w:highlight w:val="none"/>
        </w:rPr>
        <w:t>当日清扫结束后，应在指定地点卸空机械化清扫车辆中的垃圾。</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4.22</w:t>
      </w:r>
      <w:r>
        <w:rPr>
          <w:rFonts w:hint="eastAsia" w:ascii="宋体" w:hAnsi="宋体" w:eastAsia="宋体" w:cs="宋体"/>
          <w:bCs/>
          <w:color w:val="auto"/>
          <w:sz w:val="24"/>
          <w:highlight w:val="none"/>
        </w:rPr>
        <w:t>机械化清扫车辆所用的扫把丝等消耗品应根据使用状况及时更换。</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4.23</w:t>
      </w:r>
      <w:r>
        <w:rPr>
          <w:rFonts w:hint="eastAsia" w:ascii="宋体" w:hAnsi="宋体" w:eastAsia="宋体" w:cs="宋体"/>
          <w:b/>
          <w:color w:val="auto"/>
          <w:sz w:val="24"/>
          <w:highlight w:val="none"/>
        </w:rPr>
        <w:t>人工</w:t>
      </w:r>
      <w:r>
        <w:rPr>
          <w:rFonts w:hint="eastAsia" w:ascii="宋体" w:hAnsi="宋体" w:eastAsia="宋体" w:cs="宋体"/>
          <w:bCs/>
          <w:color w:val="auto"/>
          <w:sz w:val="24"/>
          <w:highlight w:val="none"/>
        </w:rPr>
        <w:t>清扫时，在距清扫点适当位置安全警示标识。</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4.24</w:t>
      </w:r>
      <w:r>
        <w:rPr>
          <w:rFonts w:hint="eastAsia" w:ascii="宋体" w:hAnsi="宋体" w:eastAsia="宋体" w:cs="宋体"/>
          <w:bCs/>
          <w:color w:val="auto"/>
          <w:sz w:val="24"/>
          <w:highlight w:val="none"/>
        </w:rPr>
        <w:t>道路两侧、路面等承包区域内乱涂写招贴，应使用铲刀或高压清洗机具予以清除，对粘附力强的要求用清洗剂刷洗，被清洗或清除后物体表面没有明显残留痕迹，不得采用涂料遮盖等方式简单处理，路面有污染或明显肮脏时要及时冲洗。</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4.25</w:t>
      </w:r>
      <w:r>
        <w:rPr>
          <w:rFonts w:hint="eastAsia" w:ascii="宋体" w:hAnsi="宋体" w:eastAsia="宋体" w:cs="宋体"/>
          <w:bCs/>
          <w:color w:val="auto"/>
          <w:sz w:val="24"/>
          <w:highlight w:val="none"/>
        </w:rPr>
        <w:t>清扫的街面垃圾、沿街果壳箱中的垃圾应密闭化运至指定地点，运输过程不得抛洒滴漏。</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4.26</w:t>
      </w:r>
      <w:r>
        <w:rPr>
          <w:rFonts w:hint="eastAsia" w:ascii="宋体" w:hAnsi="宋体" w:eastAsia="宋体" w:cs="宋体"/>
          <w:bCs/>
          <w:color w:val="auto"/>
          <w:sz w:val="24"/>
          <w:highlight w:val="none"/>
        </w:rPr>
        <w:t>普扫结束后，应按照规定的责任保洁区域、保洁时间组织巡回保洁。落实责任保洁区域边界管理，保洁时应向保洁边界以外适当延伸（不少于</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米），不留保洁盲区和空白点。</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4.27</w:t>
      </w:r>
      <w:r>
        <w:rPr>
          <w:rFonts w:hint="eastAsia" w:ascii="宋体" w:hAnsi="宋体" w:eastAsia="宋体" w:cs="宋体"/>
          <w:bCs/>
          <w:color w:val="auto"/>
          <w:sz w:val="24"/>
          <w:highlight w:val="none"/>
        </w:rPr>
        <w:t>应定时清运沿街果壳箱中的垃圾，做到垃圾不落地、不积存，日产日清。</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突发性环境卫生污染现场清理时，应严格按照应急处置方案进行保洁，及时消除污染物，恢复路面清洁。</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4.28</w:t>
      </w:r>
      <w:r>
        <w:rPr>
          <w:rFonts w:hint="eastAsia" w:ascii="宋体" w:hAnsi="宋体" w:eastAsia="宋体" w:cs="宋体"/>
          <w:bCs/>
          <w:color w:val="auto"/>
          <w:sz w:val="24"/>
          <w:highlight w:val="none"/>
        </w:rPr>
        <w:t>环卫电动专用作业车辆应在非机动车道顺向行驶，不得超载，且行驶速度不得超过20Km/h。</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val="en-US" w:eastAsia="zh-CN"/>
        </w:rPr>
        <w:t>4.29</w:t>
      </w:r>
      <w:r>
        <w:rPr>
          <w:rFonts w:hint="eastAsia" w:ascii="宋体" w:hAnsi="宋体" w:eastAsia="宋体" w:cs="宋体"/>
          <w:bCs/>
          <w:color w:val="auto"/>
          <w:sz w:val="24"/>
          <w:highlight w:val="none"/>
        </w:rPr>
        <w:t>保洁作业结束后，作业工具应在规定地点摆放，不得在道路路面、墙角、绿化带、绿地中存放。</w:t>
      </w:r>
    </w:p>
    <w:p>
      <w:pPr>
        <w:snapToGrid w:val="0"/>
        <w:spacing w:line="360" w:lineRule="auto"/>
        <w:ind w:firstLine="482" w:firstLineChars="200"/>
        <w:jc w:val="left"/>
        <w:rPr>
          <w:rFonts w:hint="eastAsia" w:ascii="宋体" w:hAnsi="宋体" w:eastAsia="宋体" w:cs="宋体"/>
          <w:b/>
          <w:bCs/>
          <w:color w:val="auto"/>
          <w:sz w:val="24"/>
          <w:highlight w:val="none"/>
        </w:rPr>
      </w:pPr>
    </w:p>
    <w:p>
      <w:pPr>
        <w:snapToGrid w:val="0"/>
        <w:spacing w:line="360" w:lineRule="auto"/>
        <w:ind w:firstLine="482" w:firstLineChars="200"/>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1.5保洁质量要求</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1.5.1清扫应做到“五无五净”。即无垃圾杂物；无积水积泥，无痰迹烟蒂，无果皮纸屑，无土石杂草；路面干净，绿化带和树圈干净，边角侧石干净，雨水井盖沟眼畅通干净，果壳箱等环卫设施干净、路面见本色。</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 xml:space="preserve">   1.5.2三化四分相关要求：</w:t>
      </w:r>
      <w:r>
        <w:rPr>
          <w:rFonts w:hint="eastAsia" w:ascii="宋体" w:hAnsi="宋体" w:eastAsia="宋体" w:cs="宋体"/>
          <w:color w:val="auto"/>
          <w:kern w:val="0"/>
          <w:sz w:val="24"/>
          <w:highlight w:val="none"/>
        </w:rPr>
        <w:t>本项目的供应商应按照杭州市垃圾分类工作的具体要求，确定生活垃圾分类（易腐垃圾、其他垃圾、可回收物、有害垃圾），并完成保洁范围内四类垃圾的分类、收集以及垃圾的清运工作。</w:t>
      </w:r>
    </w:p>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1.5.3其他要求：   </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（1）遇有窨井盖丢失、破损等，承包方必须及时上报采购人。  </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（2）遇有重大活动或突发事件，及时组织力量做好清扫保洁保障工作。   </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（3）遇有重大活动以及抗台、抗雪等突发事件，必须及时组织力量做好清扫保洁等应急保障工作，按照城市管理保障应急机制要求，保证人员及时到位，并根据应急指令服从统一调配。</w:t>
      </w:r>
    </w:p>
    <w:p>
      <w:pPr>
        <w:snapToGrid w:val="0"/>
        <w:spacing w:line="360" w:lineRule="auto"/>
        <w:ind w:firstLine="482" w:firstLineChars="200"/>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1.6.管理要求</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1.6.1供应商在保洁作业中投入的机械设备、人员配置等必须与投标文件中所承诺的数量规格相符合。加强日常作业质量管理，相关计划及报告按采购人要求准时递交。</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1.6.2规范管理、文明作业、自觉接受采购人及其上级各部门领导的检查和社会监督，对出现的问题要及时整改。</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1.6.3作业时应严格遵守交通规则、遵守劳动纪律、遵守安全操作规程，作业人员须统一穿戴有反光标识的工作服，佩证上岗。加强日常安全生产管理，确保职工人身安全。如遇各种意外事故发生由中标单位自行负责，并依照法律法规妥善处理（事故情况应在30分钟内及时书面告知采购人）。</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1.6.4果壳箱应定期保养保持整洁完好无缺失，承包期间因操作或管理不善造成破损、缺失的，由中标单位承担费用并负责修复或更新（果壳箱更换款式应保持原样，或经采购人同意后调整款式）。</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1.6.5专用作业车辆（含人力三轮车）符合环卫标准化管理要求，外观喷漆及规格符合采购人要求，机动、人力车辆应按时冲洗保养保持外观整洁，无抛洒滴漏、无满溢、无吊挂。</w:t>
      </w:r>
    </w:p>
    <w:p>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1.6.6垃圾应倾倒在指定的垃圾堆放场地，不得焚烧垃圾、树叶，确需垃圾二次转运的应在指定地点进行，不得直接在保洁道路上进行。</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t xml:space="preserve">1.6.7如遇渣土抛洒污染路面等情况，中标单位应及时上报采购人，并做好照片资料，同时进行道路冲洗清理。   </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1.6.8无新闻媒体曝光，对“12345”市长公开电话和有关受理中心及信访处相关问题，处理、回复及时到位。</w:t>
      </w:r>
      <w:r>
        <w:rPr>
          <w:rFonts w:hint="eastAsia" w:ascii="宋体" w:hAnsi="宋体" w:eastAsia="宋体" w:cs="宋体"/>
          <w:color w:val="auto"/>
          <w:sz w:val="24"/>
          <w:highlight w:val="none"/>
        </w:rPr>
        <w:t>加强管理，确保在国家、省、市、区的各项检查中不失责任分。</w:t>
      </w:r>
    </w:p>
    <w:p>
      <w:pPr>
        <w:tabs>
          <w:tab w:val="left" w:pos="851"/>
          <w:tab w:val="left" w:pos="993"/>
        </w:tabs>
        <w:snapToGrid w:val="0"/>
        <w:spacing w:line="360" w:lineRule="auto"/>
        <w:ind w:firstLine="482" w:firstLineChars="200"/>
        <w:rPr>
          <w:rFonts w:hint="eastAsia" w:ascii="宋体" w:hAnsi="宋体" w:eastAsia="宋体" w:cs="宋体"/>
          <w:b/>
          <w:bCs/>
          <w:color w:val="auto"/>
          <w:kern w:val="44"/>
          <w:sz w:val="24"/>
          <w:highlight w:val="none"/>
        </w:rPr>
      </w:pPr>
      <w:r>
        <w:rPr>
          <w:rFonts w:hint="eastAsia" w:ascii="宋体" w:hAnsi="宋体" w:eastAsia="宋体" w:cs="宋体"/>
          <w:b/>
          <w:bCs/>
          <w:color w:val="auto"/>
          <w:kern w:val="44"/>
          <w:sz w:val="24"/>
          <w:highlight w:val="none"/>
        </w:rPr>
        <w:t>2、偷倒垃圾清运要求</w:t>
      </w:r>
    </w:p>
    <w:p>
      <w:pPr>
        <w:tabs>
          <w:tab w:val="left" w:pos="851"/>
          <w:tab w:val="left" w:pos="993"/>
        </w:tabs>
        <w:snapToGrid w:val="0"/>
        <w:spacing w:line="360" w:lineRule="auto"/>
        <w:ind w:firstLine="480" w:firstLineChars="200"/>
        <w:rPr>
          <w:rFonts w:hint="eastAsia" w:ascii="宋体" w:hAnsi="宋体" w:eastAsia="宋体" w:cs="宋体"/>
          <w:b/>
          <w:bCs/>
          <w:color w:val="auto"/>
          <w:kern w:val="44"/>
          <w:sz w:val="24"/>
          <w:highlight w:val="none"/>
        </w:rPr>
      </w:pPr>
      <w:r>
        <w:rPr>
          <w:rFonts w:hint="eastAsia" w:ascii="宋体" w:hAnsi="宋体" w:eastAsia="宋体" w:cs="宋体"/>
          <w:bCs/>
          <w:color w:val="auto"/>
          <w:kern w:val="0"/>
          <w:sz w:val="24"/>
          <w:highlight w:val="none"/>
        </w:rPr>
        <w:t>2.1服务内容：</w:t>
      </w:r>
      <w:r>
        <w:rPr>
          <w:rFonts w:hint="eastAsia" w:ascii="宋体" w:hAnsi="宋体" w:eastAsia="宋体" w:cs="宋体"/>
          <w:color w:val="auto"/>
          <w:sz w:val="24"/>
          <w:highlight w:val="none"/>
        </w:rPr>
        <w:t>主要为本项目各个标段采购人管养范围内偷倒的垃圾清运</w:t>
      </w:r>
      <w:r>
        <w:rPr>
          <w:rFonts w:hint="eastAsia" w:ascii="宋体" w:hAnsi="宋体" w:eastAsia="宋体" w:cs="宋体"/>
          <w:bCs/>
          <w:color w:val="auto"/>
          <w:sz w:val="24"/>
          <w:highlight w:val="none"/>
        </w:rPr>
        <w:t>工作，垃圾运至</w:t>
      </w:r>
      <w:r>
        <w:rPr>
          <w:rFonts w:hint="eastAsia" w:ascii="宋体" w:hAnsi="宋体" w:eastAsia="宋体" w:cs="宋体"/>
          <w:bCs/>
          <w:color w:val="auto"/>
          <w:sz w:val="24"/>
          <w:highlight w:val="none"/>
          <w:lang w:eastAsia="zh-CN"/>
        </w:rPr>
        <w:t>业主</w:t>
      </w:r>
      <w:r>
        <w:rPr>
          <w:rFonts w:hint="eastAsia" w:ascii="宋体" w:hAnsi="宋体" w:eastAsia="宋体" w:cs="宋体"/>
          <w:bCs/>
          <w:color w:val="auto"/>
          <w:sz w:val="24"/>
          <w:highlight w:val="none"/>
        </w:rPr>
        <w:t>指定的消纳处置场所，相关费包含在本次招标内容中。</w:t>
      </w:r>
    </w:p>
    <w:p>
      <w:pPr>
        <w:snapToGrid w:val="0"/>
        <w:spacing w:line="360" w:lineRule="auto"/>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2.2具体要求：</w:t>
      </w:r>
    </w:p>
    <w:p>
      <w:pPr>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w:t>
      </w:r>
      <w:r>
        <w:rPr>
          <w:rFonts w:hint="eastAsia" w:ascii="宋体" w:hAnsi="宋体" w:eastAsia="宋体" w:cs="宋体"/>
          <w:color w:val="auto"/>
          <w:sz w:val="24"/>
          <w:highlight w:val="none"/>
        </w:rPr>
        <w:t>服务期内，</w:t>
      </w:r>
      <w:r>
        <w:rPr>
          <w:rFonts w:hint="eastAsia" w:ascii="宋体" w:hAnsi="宋体" w:eastAsia="宋体" w:cs="宋体"/>
          <w:color w:val="auto"/>
          <w:kern w:val="0"/>
          <w:sz w:val="24"/>
          <w:highlight w:val="none"/>
        </w:rPr>
        <w:t>供应商应加强</w:t>
      </w:r>
      <w:r>
        <w:rPr>
          <w:rFonts w:hint="eastAsia" w:ascii="宋体" w:hAnsi="宋体" w:eastAsia="宋体" w:cs="宋体"/>
          <w:color w:val="auto"/>
          <w:sz w:val="24"/>
          <w:highlight w:val="none"/>
        </w:rPr>
        <w:t>所承包范围内防止垃圾偷倒的管理工作。如在所承包范围内发生偷倒，</w:t>
      </w:r>
      <w:r>
        <w:rPr>
          <w:rFonts w:hint="eastAsia" w:ascii="宋体" w:hAnsi="宋体" w:eastAsia="宋体" w:cs="宋体"/>
          <w:color w:val="auto"/>
          <w:kern w:val="0"/>
          <w:sz w:val="24"/>
          <w:highlight w:val="none"/>
        </w:rPr>
        <w:t>需完成</w:t>
      </w:r>
      <w:r>
        <w:rPr>
          <w:rFonts w:hint="eastAsia" w:ascii="宋体" w:hAnsi="宋体" w:eastAsia="宋体" w:cs="宋体"/>
          <w:color w:val="auto"/>
          <w:sz w:val="24"/>
          <w:highlight w:val="none"/>
        </w:rPr>
        <w:t>偷倒的垃圾清运</w:t>
      </w:r>
      <w:r>
        <w:rPr>
          <w:rFonts w:hint="eastAsia" w:ascii="宋体" w:hAnsi="宋体" w:eastAsia="宋体" w:cs="宋体"/>
          <w:bCs/>
          <w:color w:val="auto"/>
          <w:sz w:val="24"/>
          <w:highlight w:val="none"/>
        </w:rPr>
        <w:t>工作，</w:t>
      </w:r>
      <w:r>
        <w:rPr>
          <w:rFonts w:hint="eastAsia" w:ascii="宋体" w:hAnsi="宋体" w:eastAsia="宋体" w:cs="宋体"/>
          <w:color w:val="auto"/>
          <w:kern w:val="0"/>
          <w:sz w:val="24"/>
          <w:highlight w:val="none"/>
        </w:rPr>
        <w:t>垃圾的装车、运输至消纳处置场，因乱倒垃圾不符合相关要求所引发的问题，由供应商承担所有责任及赔偿费用。</w:t>
      </w:r>
    </w:p>
    <w:p>
      <w:pPr>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（2）车辆要求：本项目所需的作业车辆应具有有效的道路运输经营许可证，并到采购单位备案。</w:t>
      </w:r>
    </w:p>
    <w:p>
      <w:pPr>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w:t>
      </w:r>
      <w:r>
        <w:rPr>
          <w:rFonts w:hint="eastAsia" w:ascii="宋体" w:hAnsi="宋体" w:eastAsia="宋体" w:cs="宋体"/>
          <w:color w:val="auto"/>
          <w:kern w:val="0"/>
          <w:sz w:val="24"/>
          <w:highlight w:val="none"/>
        </w:rPr>
        <w:t>装运时必须密封整洁，不得沿路抛撒、滴漏。遵守环境卫生作业标准、规范，装运后及时复位，清理作业场地，保持场地周边环境干净整洁；装运时须铺设地垫等设施，防止污染路面，做到车走地净。</w:t>
      </w:r>
    </w:p>
    <w:p>
      <w:pPr>
        <w:snapToGrid w:val="0"/>
        <w:spacing w:line="360" w:lineRule="auto"/>
        <w:ind w:firstLine="480" w:firstLineChars="200"/>
        <w:jc w:val="left"/>
        <w:rPr>
          <w:rFonts w:hint="eastAsia" w:ascii="宋体" w:hAnsi="宋体" w:eastAsia="宋体" w:cs="宋体"/>
          <w:bCs/>
          <w:color w:val="auto"/>
          <w:sz w:val="24"/>
          <w:highlight w:val="none"/>
        </w:rPr>
      </w:pPr>
      <w:r>
        <w:rPr>
          <w:rFonts w:hint="eastAsia" w:ascii="宋体" w:hAnsi="宋体" w:eastAsia="宋体" w:cs="宋体"/>
          <w:color w:val="auto"/>
          <w:kern w:val="0"/>
          <w:sz w:val="24"/>
          <w:highlight w:val="none"/>
        </w:rPr>
        <w:t>（4）清理的时间要求：</w:t>
      </w:r>
      <w:r>
        <w:rPr>
          <w:rFonts w:hint="eastAsia" w:ascii="宋体" w:hAnsi="宋体" w:eastAsia="宋体" w:cs="宋体"/>
          <w:color w:val="auto"/>
          <w:kern w:val="0"/>
          <w:sz w:val="24"/>
          <w:highlight w:val="none"/>
          <w:u w:val="single"/>
        </w:rPr>
        <w:t>2小时之内清理</w:t>
      </w:r>
      <w:r>
        <w:rPr>
          <w:rFonts w:hint="eastAsia" w:ascii="宋体" w:hAnsi="宋体" w:eastAsia="宋体" w:cs="宋体"/>
          <w:color w:val="auto"/>
          <w:kern w:val="0"/>
          <w:sz w:val="24"/>
          <w:highlight w:val="none"/>
        </w:rPr>
        <w:t>。</w:t>
      </w:r>
    </w:p>
    <w:p>
      <w:pPr>
        <w:pStyle w:val="3"/>
        <w:adjustRightInd/>
        <w:spacing w:before="0" w:after="0" w:line="360" w:lineRule="auto"/>
        <w:ind w:left="0" w:firstLine="482" w:firstLineChars="200"/>
        <w:rPr>
          <w:rFonts w:hint="eastAsia" w:ascii="宋体" w:hAnsi="宋体" w:eastAsia="宋体" w:cs="宋体"/>
          <w:color w:val="auto"/>
          <w:sz w:val="24"/>
          <w:szCs w:val="24"/>
          <w:highlight w:val="none"/>
        </w:rPr>
      </w:pPr>
      <w:bookmarkStart w:id="28" w:name="_Toc21616"/>
      <w:r>
        <w:rPr>
          <w:rFonts w:hint="eastAsia" w:ascii="宋体" w:hAnsi="宋体" w:eastAsia="宋体" w:cs="宋体"/>
          <w:color w:val="auto"/>
          <w:sz w:val="24"/>
          <w:szCs w:val="24"/>
          <w:highlight w:val="none"/>
          <w:lang w:val="en-US" w:eastAsia="zh-CN"/>
        </w:rPr>
        <w:t>4.设备保障</w:t>
      </w:r>
      <w:r>
        <w:rPr>
          <w:rFonts w:hint="eastAsia" w:ascii="宋体" w:hAnsi="宋体" w:eastAsia="宋体" w:cs="宋体"/>
          <w:color w:val="auto"/>
          <w:sz w:val="24"/>
          <w:szCs w:val="24"/>
          <w:highlight w:val="none"/>
        </w:rPr>
        <w:t>相关要求</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养护涉及的设备，供应商须安排专业人员进行养护维修，所安排的专业人员须向采购人报备，采购人同意后方可实施维修养护，如在养护过程中出现设备破损无法使用的，供应商须及时更换，费用均已包含在本次投标报价内，今后不再另行调整。</w:t>
      </w:r>
    </w:p>
    <w:p>
      <w:pPr>
        <w:snapToGrid w:val="0"/>
        <w:spacing w:line="360" w:lineRule="auto"/>
        <w:ind w:right="281" w:rightChars="134"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2、在服务期间如遇到重大活动、节日等特殊情况的，供应商须无条件的配合采购人。</w:t>
      </w:r>
      <w:bookmarkEnd w:id="28"/>
    </w:p>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四、项目其他要求</w:t>
      </w:r>
    </w:p>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供应商中标后15日历天内需在</w:t>
      </w:r>
      <w:r>
        <w:rPr>
          <w:rFonts w:hint="eastAsia" w:ascii="宋体" w:hAnsi="宋体" w:cs="宋体"/>
          <w:b/>
          <w:color w:val="auto"/>
          <w:sz w:val="24"/>
          <w:highlight w:val="none"/>
          <w:lang w:eastAsia="zh-CN"/>
        </w:rPr>
        <w:t>塘栖镇</w:t>
      </w:r>
      <w:r>
        <w:rPr>
          <w:rFonts w:hint="eastAsia" w:ascii="宋体" w:hAnsi="宋体" w:eastAsia="宋体" w:cs="宋体"/>
          <w:b/>
          <w:color w:val="auto"/>
          <w:sz w:val="24"/>
          <w:highlight w:val="none"/>
        </w:rPr>
        <w:t>范围内设置不少于1处固定</w:t>
      </w:r>
      <w:r>
        <w:rPr>
          <w:rFonts w:hint="eastAsia" w:ascii="宋体" w:hAnsi="宋体" w:cs="宋体"/>
          <w:b/>
          <w:color w:val="auto"/>
          <w:sz w:val="24"/>
          <w:highlight w:val="none"/>
          <w:lang w:eastAsia="zh-CN"/>
        </w:rPr>
        <w:t>保洁</w:t>
      </w:r>
      <w:r>
        <w:rPr>
          <w:rFonts w:hint="eastAsia" w:ascii="宋体" w:hAnsi="宋体" w:eastAsia="宋体" w:cs="宋体"/>
          <w:b/>
          <w:color w:val="auto"/>
          <w:sz w:val="24"/>
          <w:highlight w:val="none"/>
        </w:rPr>
        <w:t>养护基地等。</w:t>
      </w:r>
    </w:p>
    <w:p>
      <w:pPr>
        <w:snapToGrid w:val="0"/>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五、质量标准及验收标标准</w:t>
      </w:r>
    </w:p>
    <w:tbl>
      <w:tblPr>
        <w:tblStyle w:val="63"/>
        <w:tblW w:w="89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5"/>
        <w:gridCol w:w="768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3" w:hRule="atLeast"/>
          <w:jc w:val="center"/>
        </w:trPr>
        <w:tc>
          <w:tcPr>
            <w:tcW w:w="130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质量标准</w:t>
            </w:r>
          </w:p>
        </w:tc>
        <w:tc>
          <w:tcPr>
            <w:tcW w:w="768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道路保洁达到《杭州市城市市容和环卫管理条例》（2005年7月1日施行）、《杭州市生活垃圾管理条例》（2015年7月30日浙江省第十二届人民代表大会常务委员会第二十一次会议批准）、城市环境卫生作业规范（DB3301/T0006-2013）等（以行业主管部门颁布的最新检查考核文件为准）。</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2.偷倒的垃圾清运须达到符合《城市装修垃圾管理规定》（建设部第139号）、《杭州市建设工程渣土管理办法》杭州市相关法律法规管理文件要求（如有新文件的则以最新的文件为准）。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130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验收标准及办法</w:t>
            </w:r>
          </w:p>
        </w:tc>
        <w:tc>
          <w:tcPr>
            <w:tcW w:w="768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根据杭城管局[2019]49号文件所附《杭州市清洁度评价实施办法（2019年度）》、杭城管局[2021]138号《关于发布2021年版杭州市道路保洁经费定额的通知》文件执行（以行业主管部门颁布的最新检查考核文件为准）及</w:t>
            </w:r>
            <w:r>
              <w:rPr>
                <w:rFonts w:hint="eastAsia" w:ascii="宋体" w:hAnsi="宋体" w:eastAsia="宋体" w:cs="宋体"/>
                <w:color w:val="auto"/>
                <w:sz w:val="24"/>
                <w:szCs w:val="32"/>
                <w:highlight w:val="none"/>
              </w:rPr>
              <w:t>根据采购人制定的本项目养护考核细则</w:t>
            </w:r>
            <w:r>
              <w:rPr>
                <w:rFonts w:hint="eastAsia" w:ascii="宋体" w:hAnsi="宋体" w:eastAsia="宋体" w:cs="宋体"/>
                <w:color w:val="auto"/>
                <w:kern w:val="0"/>
                <w:sz w:val="24"/>
                <w:highlight w:val="none"/>
              </w:rPr>
              <w:t>。</w:t>
            </w:r>
          </w:p>
        </w:tc>
      </w:tr>
    </w:tbl>
    <w:p>
      <w:pPr>
        <w:widowControl/>
        <w:snapToGrid w:val="0"/>
        <w:spacing w:line="360" w:lineRule="auto"/>
        <w:jc w:val="left"/>
        <w:rPr>
          <w:rFonts w:hint="eastAsia" w:ascii="宋体" w:hAnsi="宋体" w:eastAsia="宋体" w:cs="宋体"/>
          <w:b/>
          <w:color w:val="auto"/>
          <w:sz w:val="24"/>
          <w:highlight w:val="none"/>
        </w:rPr>
      </w:pPr>
    </w:p>
    <w:p>
      <w:pPr>
        <w:widowControl/>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五、商务要求表</w:t>
      </w:r>
    </w:p>
    <w:tbl>
      <w:tblPr>
        <w:tblStyle w:val="63"/>
        <w:tblW w:w="90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57"/>
        <w:gridCol w:w="75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50"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报价要求</w:t>
            </w:r>
          </w:p>
        </w:tc>
        <w:tc>
          <w:tcPr>
            <w:tcW w:w="7571" w:type="dxa"/>
            <w:tcBorders>
              <w:top w:val="single" w:color="auto" w:sz="4" w:space="0"/>
              <w:left w:val="single" w:color="auto" w:sz="4" w:space="0"/>
              <w:bottom w:val="single" w:color="auto" w:sz="4" w:space="0"/>
              <w:right w:val="single" w:color="auto" w:sz="4" w:space="0"/>
            </w:tcBorders>
            <w:vAlign w:val="center"/>
          </w:tcPr>
          <w:p>
            <w:pPr>
              <w:tabs>
                <w:tab w:val="left" w:pos="851"/>
                <w:tab w:val="left" w:pos="993"/>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b/>
                <w:bCs/>
                <w:color w:val="auto"/>
                <w:sz w:val="24"/>
                <w:highlight w:val="none"/>
              </w:rPr>
              <w:t>、投标报价上限：报价不得高于项目预算。</w:t>
            </w:r>
          </w:p>
          <w:p>
            <w:pPr>
              <w:tabs>
                <w:tab w:val="left" w:pos="851"/>
                <w:tab w:val="left" w:pos="993"/>
              </w:tabs>
              <w:spacing w:line="360" w:lineRule="auto"/>
              <w:jc w:val="left"/>
              <w:rPr>
                <w:rFonts w:hint="eastAsia" w:ascii="宋体" w:hAnsi="宋体" w:eastAsia="宋体" w:cs="宋体"/>
                <w:b/>
                <w:color w:val="auto"/>
                <w:kern w:val="0"/>
                <w:sz w:val="24"/>
                <w:highlight w:val="none"/>
              </w:rPr>
            </w:pPr>
            <w:r>
              <w:rPr>
                <w:rFonts w:hint="eastAsia" w:ascii="宋体" w:hAnsi="宋体" w:eastAsia="宋体" w:cs="宋体"/>
                <w:b/>
                <w:color w:val="auto"/>
                <w:sz w:val="24"/>
                <w:highlight w:val="none"/>
              </w:rPr>
              <w:t>▲</w:t>
            </w:r>
            <w:r>
              <w:rPr>
                <w:rFonts w:hint="eastAsia" w:ascii="宋体" w:hAnsi="宋体" w:eastAsia="宋体" w:cs="宋体"/>
                <w:color w:val="auto"/>
                <w:sz w:val="24"/>
                <w:highlight w:val="none"/>
              </w:rPr>
              <w:t>2、</w:t>
            </w:r>
            <w:r>
              <w:rPr>
                <w:rFonts w:hint="eastAsia" w:ascii="宋体" w:hAnsi="宋体" w:eastAsia="宋体" w:cs="宋体"/>
                <w:b/>
                <w:color w:val="auto"/>
                <w:kern w:val="0"/>
                <w:sz w:val="24"/>
                <w:highlight w:val="none"/>
              </w:rPr>
              <w:t>最低人员工资：</w:t>
            </w:r>
            <w:r>
              <w:rPr>
                <w:rFonts w:hint="eastAsia" w:ascii="宋体" w:hAnsi="宋体" w:eastAsia="宋体" w:cs="宋体"/>
                <w:color w:val="auto"/>
                <w:kern w:val="0"/>
                <w:sz w:val="24"/>
                <w:highlight w:val="none"/>
              </w:rPr>
              <w:t>根据杭政办〔2008〕14号、浙政办发〔2009〕190号、</w:t>
            </w:r>
            <w:r>
              <w:rPr>
                <w:rFonts w:hint="eastAsia" w:ascii="宋体" w:hAnsi="宋体" w:eastAsia="宋体" w:cs="宋体"/>
                <w:color w:val="auto"/>
                <w:kern w:val="0"/>
                <w:sz w:val="24"/>
                <w:highlight w:val="none"/>
                <w:lang w:val="zh-CN"/>
              </w:rPr>
              <w:t>《浙江省人民政府关于调整全省最低工资标准的通知》（浙政发[2021]22号）、</w:t>
            </w:r>
            <w:r>
              <w:rPr>
                <w:rFonts w:hint="eastAsia" w:ascii="宋体" w:hAnsi="宋体" w:eastAsia="宋体" w:cs="宋体"/>
                <w:color w:val="auto"/>
                <w:kern w:val="0"/>
                <w:sz w:val="24"/>
                <w:highlight w:val="none"/>
              </w:rPr>
              <w:t>《杭州市人民政府关于调整市区最低工资标准的通知》（杭政函[2021]69号），项目保洁人员工资不得低于杭州市最低工资标准的110%和定额内人员相关工资要求，日常加班工资按劳动法相关要求另行计算。必须为本项目人员缴纳五险、住房公积金及杭政办〔2008〕14号和浙政办发〔2009〕190号文件规定的其它经费，须在杭州本地缴纳“五险一金”。</w:t>
            </w:r>
            <w:r>
              <w:rPr>
                <w:rFonts w:hint="eastAsia" w:ascii="宋体" w:hAnsi="宋体" w:eastAsia="宋体" w:cs="宋体"/>
                <w:b/>
                <w:color w:val="auto"/>
                <w:kern w:val="0"/>
                <w:sz w:val="24"/>
                <w:highlight w:val="none"/>
              </w:rPr>
              <w:t>投标单位根据道路保洁作业定额，结合作业难易程度，确定投标合理报价。</w:t>
            </w:r>
          </w:p>
          <w:tbl>
            <w:tblPr>
              <w:tblStyle w:val="63"/>
              <w:tblW w:w="70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4"/>
              <w:gridCol w:w="2378"/>
              <w:gridCol w:w="19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基本工资</w:t>
                  </w:r>
                </w:p>
              </w:tc>
              <w:tc>
                <w:tcPr>
                  <w:tcW w:w="2378"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2280元/月，即27360元/年</w:t>
                  </w:r>
                </w:p>
              </w:tc>
              <w:tc>
                <w:tcPr>
                  <w:tcW w:w="1979"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杭政函[2021]69号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上浮10%</w:t>
                  </w:r>
                </w:p>
              </w:tc>
              <w:tc>
                <w:tcPr>
                  <w:tcW w:w="2378"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228元/月，即2736元/年</w:t>
                  </w:r>
                </w:p>
              </w:tc>
              <w:tc>
                <w:tcPr>
                  <w:tcW w:w="1979"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杭政办〔2008〕14号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特殊岗位津贴</w:t>
                  </w:r>
                </w:p>
              </w:tc>
              <w:tc>
                <w:tcPr>
                  <w:tcW w:w="2378"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300元/月，即3600元/年</w:t>
                  </w:r>
                </w:p>
              </w:tc>
              <w:tc>
                <w:tcPr>
                  <w:tcW w:w="1979"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浙政办发〔2009〕190号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夏季高温津贴</w:t>
                  </w:r>
                </w:p>
              </w:tc>
              <w:tc>
                <w:tcPr>
                  <w:tcW w:w="2378"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1200元/年</w:t>
                  </w:r>
                </w:p>
              </w:tc>
              <w:tc>
                <w:tcPr>
                  <w:tcW w:w="1979"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浙人社发〔2018〕65号300元/月，按4个月计算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住房公积金</w:t>
                  </w:r>
                </w:p>
              </w:tc>
              <w:tc>
                <w:tcPr>
                  <w:tcW w:w="2378"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125.4元/月，即1504.8元/年</w:t>
                  </w:r>
                </w:p>
              </w:tc>
              <w:tc>
                <w:tcPr>
                  <w:tcW w:w="1979"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杭政办〔2008〕14号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2664"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企业职工基本养老保险</w:t>
                  </w:r>
                </w:p>
                <w:p>
                  <w:pPr>
                    <w:tabs>
                      <w:tab w:val="left" w:pos="851"/>
                      <w:tab w:val="left" w:pos="993"/>
                    </w:tabs>
                    <w:spacing w:line="360" w:lineRule="auto"/>
                    <w:jc w:val="left"/>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（单位缴纳比例按14%）</w:t>
                  </w:r>
                </w:p>
              </w:tc>
              <w:tc>
                <w:tcPr>
                  <w:tcW w:w="2378" w:type="dxa"/>
                </w:tcPr>
                <w:p>
                  <w:pPr>
                    <w:tabs>
                      <w:tab w:val="left" w:pos="851"/>
                      <w:tab w:val="left" w:pos="993"/>
                    </w:tabs>
                    <w:spacing w:line="360" w:lineRule="auto"/>
                    <w:jc w:val="left"/>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553.98元/月，即6647.76元/年</w:t>
                  </w:r>
                </w:p>
              </w:tc>
              <w:tc>
                <w:tcPr>
                  <w:tcW w:w="1979" w:type="dxa"/>
                  <w:vMerge w:val="restart"/>
                </w:tcPr>
                <w:p>
                  <w:pPr>
                    <w:tabs>
                      <w:tab w:val="left" w:pos="851"/>
                      <w:tab w:val="left" w:pos="993"/>
                    </w:tabs>
                    <w:spacing w:line="360" w:lineRule="auto"/>
                    <w:jc w:val="left"/>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关于启动2021年度社会保险缴费基数的通知、浙人社发[2021]54号，基数保底值按3957元计算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失业保险</w:t>
                  </w:r>
                </w:p>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（按0.5%计取）</w:t>
                  </w:r>
                </w:p>
              </w:tc>
              <w:tc>
                <w:tcPr>
                  <w:tcW w:w="2378"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19.79元/月，即237.48元/年</w:t>
                  </w:r>
                </w:p>
              </w:tc>
              <w:tc>
                <w:tcPr>
                  <w:tcW w:w="1979" w:type="dxa"/>
                  <w:vMerge w:val="continue"/>
                </w:tcPr>
                <w:p>
                  <w:pPr>
                    <w:tabs>
                      <w:tab w:val="left" w:pos="851"/>
                      <w:tab w:val="left" w:pos="993"/>
                    </w:tabs>
                    <w:spacing w:line="360" w:lineRule="auto"/>
                    <w:jc w:val="left"/>
                    <w:rPr>
                      <w:rFonts w:hint="eastAsia" w:ascii="宋体" w:hAnsi="宋体" w:eastAsia="宋体" w:cs="宋体"/>
                      <w:b/>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医疗保险</w:t>
                  </w:r>
                </w:p>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（单位缴纳比例按9.9%）</w:t>
                  </w:r>
                </w:p>
              </w:tc>
              <w:tc>
                <w:tcPr>
                  <w:tcW w:w="2378" w:type="dxa"/>
                </w:tcPr>
                <w:p>
                  <w:pPr>
                    <w:tabs>
                      <w:tab w:val="left" w:pos="851"/>
                      <w:tab w:val="left" w:pos="993"/>
                    </w:tabs>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391.74元/月，即4700.88元/年</w:t>
                  </w:r>
                </w:p>
              </w:tc>
              <w:tc>
                <w:tcPr>
                  <w:tcW w:w="1979" w:type="dxa"/>
                  <w:vMerge w:val="continue"/>
                </w:tcPr>
                <w:p>
                  <w:pPr>
                    <w:tabs>
                      <w:tab w:val="left" w:pos="851"/>
                      <w:tab w:val="left" w:pos="993"/>
                    </w:tabs>
                    <w:spacing w:line="360" w:lineRule="auto"/>
                    <w:jc w:val="left"/>
                    <w:rPr>
                      <w:rFonts w:hint="eastAsia" w:ascii="宋体" w:hAnsi="宋体" w:eastAsia="宋体" w:cs="宋体"/>
                      <w:b/>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tcPr>
                <w:p>
                  <w:pPr>
                    <w:tabs>
                      <w:tab w:val="left" w:pos="851"/>
                      <w:tab w:val="left" w:pos="993"/>
                    </w:tabs>
                    <w:spacing w:line="360" w:lineRule="auto"/>
                    <w:jc w:val="left"/>
                    <w:rPr>
                      <w:rFonts w:hint="eastAsia" w:ascii="宋体" w:hAnsi="宋体" w:eastAsia="宋体" w:cs="宋体"/>
                      <w:b/>
                      <w:color w:val="auto"/>
                      <w:kern w:val="0"/>
                      <w:sz w:val="24"/>
                      <w:highlight w:val="none"/>
                    </w:rPr>
                  </w:pPr>
                  <w:r>
                    <w:rPr>
                      <w:rFonts w:hint="eastAsia" w:ascii="宋体" w:hAnsi="宋体" w:eastAsia="宋体" w:cs="宋体"/>
                      <w:b/>
                      <w:color w:val="auto"/>
                      <w:sz w:val="24"/>
                      <w:highlight w:val="none"/>
                    </w:rPr>
                    <w:t>▲</w:t>
                  </w:r>
                  <w:r>
                    <w:rPr>
                      <w:rFonts w:hint="eastAsia" w:ascii="宋体" w:hAnsi="宋体" w:eastAsia="宋体" w:cs="宋体"/>
                      <w:b/>
                      <w:color w:val="auto"/>
                      <w:kern w:val="0"/>
                      <w:sz w:val="24"/>
                      <w:highlight w:val="none"/>
                    </w:rPr>
                    <w:t>本次招标最低人员工资</w:t>
                  </w:r>
                </w:p>
              </w:tc>
              <w:tc>
                <w:tcPr>
                  <w:tcW w:w="2378" w:type="dxa"/>
                </w:tcPr>
                <w:p>
                  <w:pPr>
                    <w:tabs>
                      <w:tab w:val="left" w:pos="851"/>
                      <w:tab w:val="left" w:pos="993"/>
                    </w:tabs>
                    <w:spacing w:line="360" w:lineRule="auto"/>
                    <w:jc w:val="left"/>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47986.92元/年•人</w:t>
                  </w:r>
                </w:p>
              </w:tc>
              <w:tc>
                <w:tcPr>
                  <w:tcW w:w="1979" w:type="dxa"/>
                </w:tcPr>
                <w:p>
                  <w:pPr>
                    <w:tabs>
                      <w:tab w:val="left" w:pos="851"/>
                      <w:tab w:val="left" w:pos="993"/>
                    </w:tabs>
                    <w:spacing w:line="360" w:lineRule="auto"/>
                    <w:jc w:val="left"/>
                    <w:rPr>
                      <w:rFonts w:hint="eastAsia" w:ascii="宋体" w:hAnsi="宋体" w:eastAsia="宋体" w:cs="宋体"/>
                      <w:b/>
                      <w:color w:val="auto"/>
                      <w:kern w:val="0"/>
                      <w:sz w:val="24"/>
                      <w:highlight w:val="none"/>
                    </w:rPr>
                  </w:pPr>
                </w:p>
              </w:tc>
            </w:tr>
          </w:tbl>
          <w:p>
            <w:pPr>
              <w:tabs>
                <w:tab w:val="left" w:pos="851"/>
                <w:tab w:val="left" w:pos="993"/>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设施设备费报价：拟投入本项目中的设施设备的备品备件、车辆设备保险、日常维修保养，燃油、应急物资、日常服务易耗品，如扫把（含机扫车扫把）等，以及服务过程中所产生的水费、电费、开户安装等相关费用，结合企业成本列报。</w:t>
            </w:r>
          </w:p>
          <w:p>
            <w:pPr>
              <w:pStyle w:val="129"/>
              <w:adjustRightInd/>
              <w:spacing w:before="0"/>
              <w:ind w:firstLine="0" w:firstLineChars="0"/>
              <w:jc w:val="left"/>
              <w:rPr>
                <w:rFonts w:hint="eastAsia" w:ascii="宋体" w:hAnsi="宋体" w:eastAsia="宋体" w:cs="宋体"/>
                <w:color w:val="auto"/>
                <w:sz w:val="21"/>
                <w:szCs w:val="24"/>
                <w:highlight w:val="none"/>
              </w:rPr>
            </w:pPr>
            <w:r>
              <w:rPr>
                <w:rFonts w:hint="eastAsia" w:ascii="宋体" w:hAnsi="宋体" w:eastAsia="宋体" w:cs="宋体"/>
                <w:color w:val="auto"/>
                <w:szCs w:val="24"/>
                <w:highlight w:val="none"/>
              </w:rPr>
              <w:t>4、如评标委员会认为供应商的上述报价明显低于其他通过符合性审查供应商的报价，有可能影响产品质量或者不能诚信履约的，应当要求其在合理的时间内提供书面说明，必要时提交相关证明材料。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w:t>
            </w:r>
          </w:p>
        </w:tc>
        <w:tc>
          <w:tcPr>
            <w:tcW w:w="7571"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Style w:val="963"/>
                <w:rFonts w:hint="eastAsia" w:ascii="宋体" w:hAnsi="宋体" w:eastAsia="宋体" w:cs="宋体"/>
                <w:color w:val="auto"/>
                <w:highlight w:val="none"/>
              </w:rPr>
            </w:pPr>
            <w:r>
              <w:rPr>
                <w:rFonts w:hint="eastAsia" w:ascii="宋体" w:hAnsi="宋体" w:eastAsia="宋体" w:cs="宋体"/>
                <w:color w:val="auto"/>
                <w:sz w:val="24"/>
                <w:highlight w:val="none"/>
              </w:rPr>
              <w:t>1、签订合同后5个工作日内，供应商须向采购人交纳合同总额</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%的履约保证金。以保证供应商遵守本合同的一切条款、条件和承诺，该保证金在采购人的规定存续期间不计息。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服务地点</w:t>
            </w:r>
          </w:p>
        </w:tc>
        <w:tc>
          <w:tcPr>
            <w:tcW w:w="75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杭州市</w:t>
            </w:r>
            <w:r>
              <w:rPr>
                <w:rFonts w:hint="eastAsia" w:ascii="宋体" w:hAnsi="宋体" w:eastAsia="宋体" w:cs="宋体"/>
                <w:color w:val="auto"/>
                <w:sz w:val="24"/>
                <w:highlight w:val="none"/>
                <w:lang w:eastAsia="zh-CN"/>
              </w:rPr>
              <w:t>临平</w:t>
            </w:r>
            <w:r>
              <w:rPr>
                <w:rFonts w:hint="eastAsia" w:ascii="宋体" w:hAnsi="宋体" w:eastAsia="宋体" w:cs="宋体"/>
                <w:color w:val="auto"/>
                <w:sz w:val="24"/>
                <w:highlight w:val="none"/>
              </w:rPr>
              <w:t>区</w:t>
            </w:r>
            <w:r>
              <w:rPr>
                <w:rFonts w:hint="eastAsia" w:ascii="宋体" w:hAnsi="宋体" w:eastAsia="宋体" w:cs="宋体"/>
                <w:color w:val="auto"/>
                <w:sz w:val="24"/>
                <w:highlight w:val="none"/>
                <w:lang w:val="en-US" w:eastAsia="zh-CN"/>
              </w:rPr>
              <w:t>塘栖镇古镇景区</w:t>
            </w:r>
            <w:r>
              <w:rPr>
                <w:rFonts w:hint="eastAsia" w:ascii="宋体" w:hAnsi="宋体" w:eastAsia="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0"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付款</w:t>
            </w:r>
            <w:r>
              <w:rPr>
                <w:rFonts w:hint="eastAsia" w:ascii="宋体" w:hAnsi="宋体" w:eastAsia="宋体" w:cs="宋体"/>
                <w:color w:val="auto"/>
                <w:sz w:val="24"/>
                <w:highlight w:val="none"/>
                <w:lang w:eastAsia="zh-CN"/>
              </w:rPr>
              <w:t>方式</w:t>
            </w:r>
          </w:p>
        </w:tc>
        <w:tc>
          <w:tcPr>
            <w:tcW w:w="757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482"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b/>
                <w:bCs/>
                <w:color w:val="auto"/>
                <w:sz w:val="24"/>
                <w:szCs w:val="32"/>
                <w:highlight w:val="none"/>
              </w:rPr>
              <w:t>中标单位在签订合同前应按规定向招标人缴纳合同价的1%的履约保证金，履约保证金在保洁期满验收合格后退还（不计息）。最终支付比例，以经塘栖镇根据政府采购法等相关规定审核通过的合同相应条款为准。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0"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考核办法</w:t>
            </w:r>
          </w:p>
        </w:tc>
        <w:tc>
          <w:tcPr>
            <w:tcW w:w="75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采购人制定的本项目养护考核细则</w:t>
            </w:r>
            <w:r>
              <w:rPr>
                <w:rFonts w:hint="eastAsia" w:ascii="宋体" w:hAnsi="宋体" w:eastAsia="宋体" w:cs="宋体"/>
                <w:color w:val="auto"/>
                <w:kern w:val="0"/>
                <w:sz w:val="24"/>
                <w:highlight w:val="none"/>
              </w:rPr>
              <w:t>。</w:t>
            </w:r>
            <w:r>
              <w:rPr>
                <w:rFonts w:hint="eastAsia" w:ascii="宋体" w:hAnsi="宋体" w:eastAsia="宋体" w:cs="宋体"/>
                <w:color w:val="auto"/>
                <w:sz w:val="24"/>
                <w:szCs w:val="32"/>
                <w:highlight w:val="none"/>
              </w:rPr>
              <w:t>（后附）</w:t>
            </w:r>
          </w:p>
        </w:tc>
      </w:tr>
    </w:tbl>
    <w:p>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六、供应商拟投入本项目机具基本要求（供应商必须根据要求提供证明材料，不提供或提供不全的，视为不满足，作无效标处理）</w:t>
      </w:r>
    </w:p>
    <w:tbl>
      <w:tblPr>
        <w:tblStyle w:val="63"/>
        <w:tblW w:w="91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2218"/>
        <w:gridCol w:w="2126"/>
        <w:gridCol w:w="993"/>
        <w:gridCol w:w="3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b/>
                <w:color w:val="auto"/>
                <w:sz w:val="24"/>
                <w:highlight w:val="none"/>
                <w:lang w:val="en-US" w:eastAsia="zh-CN"/>
              </w:rPr>
              <w:t>*</w:t>
            </w:r>
            <w:r>
              <w:rPr>
                <w:rFonts w:hint="eastAsia" w:ascii="宋体" w:hAnsi="宋体" w:eastAsia="宋体" w:cs="宋体"/>
                <w:color w:val="auto"/>
                <w:sz w:val="21"/>
                <w:szCs w:val="21"/>
                <w:highlight w:val="none"/>
              </w:rPr>
              <w:t>序号</w:t>
            </w:r>
          </w:p>
        </w:tc>
        <w:tc>
          <w:tcPr>
            <w:tcW w:w="2218" w:type="dxa"/>
            <w:vAlign w:val="center"/>
          </w:tcPr>
          <w:p>
            <w:pPr>
              <w:pStyle w:val="2"/>
              <w:spacing w:line="360" w:lineRule="auto"/>
              <w:ind w:firstLine="42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机具名称</w:t>
            </w:r>
          </w:p>
        </w:tc>
        <w:tc>
          <w:tcPr>
            <w:tcW w:w="2126" w:type="dxa"/>
            <w:vAlign w:val="center"/>
          </w:tcPr>
          <w:p>
            <w:pPr>
              <w:pStyle w:val="2"/>
              <w:spacing w:line="360" w:lineRule="auto"/>
              <w:ind w:firstLine="42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规格要求</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最低数量要求</w:t>
            </w:r>
          </w:p>
        </w:tc>
        <w:tc>
          <w:tcPr>
            <w:tcW w:w="3086" w:type="dxa"/>
            <w:vAlign w:val="center"/>
          </w:tcPr>
          <w:p>
            <w:pPr>
              <w:pStyle w:val="2"/>
              <w:spacing w:line="360" w:lineRule="auto"/>
              <w:ind w:firstLine="42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抑尘车（雾炮车</w:t>
            </w:r>
            <w:r>
              <w:rPr>
                <w:rFonts w:hint="eastAsia" w:ascii="宋体" w:hAnsi="宋体" w:eastAsia="宋体" w:cs="宋体"/>
                <w:color w:val="auto"/>
                <w:sz w:val="24"/>
                <w:highlight w:val="none"/>
                <w:lang w:eastAsia="zh-CN"/>
              </w:rPr>
              <w:t>）</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总质量</w:t>
            </w:r>
            <w:r>
              <w:rPr>
                <w:rFonts w:hint="eastAsia" w:ascii="宋体" w:hAnsi="宋体" w:eastAsia="宋体" w:cs="宋体"/>
                <w:color w:val="auto"/>
                <w:sz w:val="21"/>
                <w:szCs w:val="21"/>
                <w:highlight w:val="none"/>
                <w:lang w:val="en-US" w:eastAsia="zh-CN"/>
              </w:rPr>
              <w:t>18</w:t>
            </w:r>
            <w:r>
              <w:rPr>
                <w:rFonts w:hint="eastAsia" w:ascii="宋体" w:hAnsi="宋体" w:eastAsia="宋体" w:cs="宋体"/>
                <w:color w:val="auto"/>
                <w:sz w:val="21"/>
                <w:szCs w:val="21"/>
                <w:highlight w:val="none"/>
              </w:rPr>
              <w:t>吨及以上</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辆</w:t>
            </w:r>
          </w:p>
        </w:tc>
        <w:tc>
          <w:tcPr>
            <w:tcW w:w="3086" w:type="dxa"/>
            <w:vMerge w:val="restart"/>
            <w:vAlign w:val="center"/>
          </w:tcPr>
          <w:p>
            <w:pPr>
              <w:pStyle w:val="2"/>
              <w:spacing w:line="36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按国家规定必须上牌的车辆在投标文件中同时提供车辆行驶证、购车发票、车辆登记证扫描件、清晰带有车牌号的正面、45度斜侧面的照片；否则不予认可。按国家规定无需上牌的车辆、设备，在投标文件中同时提供购买发票、购买合同、车辆或设备照片，否则不予认可。</w:t>
            </w:r>
          </w:p>
          <w:p>
            <w:pPr>
              <w:pStyle w:val="2"/>
              <w:spacing w:line="36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（2）提供车辆、设备仅用于本保洁项目的书面承诺书（格式自拟）。</w:t>
            </w:r>
          </w:p>
          <w:p>
            <w:pPr>
              <w:pStyle w:val="2"/>
              <w:spacing w:line="36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（3）车辆、设备必须为供应商自有。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4"/>
                <w:highlight w:val="none"/>
              </w:rPr>
              <w:t>小型多功能高压清洗车</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辆</w:t>
            </w:r>
          </w:p>
        </w:tc>
        <w:tc>
          <w:tcPr>
            <w:tcW w:w="3086" w:type="dxa"/>
            <w:vMerge w:val="continue"/>
            <w:vAlign w:val="center"/>
          </w:tcPr>
          <w:p>
            <w:pPr>
              <w:pStyle w:val="2"/>
              <w:spacing w:line="360" w:lineRule="auto"/>
              <w:ind w:left="2100" w:firstLine="420"/>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4"/>
                <w:szCs w:val="28"/>
                <w:highlight w:val="none"/>
              </w:rPr>
              <w:t>小型四轮电动封闭式垃圾储运</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辆</w:t>
            </w:r>
          </w:p>
        </w:tc>
        <w:tc>
          <w:tcPr>
            <w:tcW w:w="3086" w:type="dxa"/>
            <w:vMerge w:val="continue"/>
            <w:vAlign w:val="center"/>
          </w:tcPr>
          <w:p>
            <w:pPr>
              <w:pStyle w:val="2"/>
              <w:spacing w:line="360" w:lineRule="auto"/>
              <w:ind w:firstLine="0" w:firstLineChars="0"/>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小型四轮封闭驾驶式清扫车</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辆</w:t>
            </w:r>
          </w:p>
        </w:tc>
        <w:tc>
          <w:tcPr>
            <w:tcW w:w="3086" w:type="dxa"/>
            <w:vMerge w:val="continue"/>
            <w:vAlign w:val="center"/>
          </w:tcPr>
          <w:p>
            <w:pPr>
              <w:pStyle w:val="2"/>
              <w:spacing w:line="360" w:lineRule="auto"/>
              <w:ind w:firstLine="0" w:firstLineChars="0"/>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中型专项作业登高车</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总质量</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吨及以上</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辆</w:t>
            </w:r>
          </w:p>
        </w:tc>
        <w:tc>
          <w:tcPr>
            <w:tcW w:w="3086" w:type="dxa"/>
            <w:vMerge w:val="continue"/>
            <w:vAlign w:val="center"/>
          </w:tcPr>
          <w:p>
            <w:pPr>
              <w:pStyle w:val="2"/>
              <w:spacing w:line="360" w:lineRule="auto"/>
              <w:ind w:firstLine="0" w:firstLineChars="0"/>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草坪机</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3台</w:t>
            </w:r>
          </w:p>
        </w:tc>
        <w:tc>
          <w:tcPr>
            <w:tcW w:w="3086" w:type="dxa"/>
            <w:vMerge w:val="continue"/>
            <w:vAlign w:val="center"/>
          </w:tcPr>
          <w:p>
            <w:pPr>
              <w:pStyle w:val="2"/>
              <w:spacing w:line="360" w:lineRule="auto"/>
              <w:ind w:firstLine="420"/>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绿篱机</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3台</w:t>
            </w:r>
          </w:p>
        </w:tc>
        <w:tc>
          <w:tcPr>
            <w:tcW w:w="3086" w:type="dxa"/>
            <w:vMerge w:val="continue"/>
            <w:vAlign w:val="center"/>
          </w:tcPr>
          <w:p>
            <w:pPr>
              <w:pStyle w:val="2"/>
              <w:spacing w:line="360" w:lineRule="auto"/>
              <w:ind w:firstLine="420"/>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高压喷雾机</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3台</w:t>
            </w:r>
          </w:p>
        </w:tc>
        <w:tc>
          <w:tcPr>
            <w:tcW w:w="3086" w:type="dxa"/>
            <w:vMerge w:val="continue"/>
            <w:vAlign w:val="center"/>
          </w:tcPr>
          <w:p>
            <w:pPr>
              <w:pStyle w:val="2"/>
              <w:spacing w:line="360" w:lineRule="auto"/>
              <w:ind w:firstLine="420"/>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柴油或者汽油泵</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台</w:t>
            </w:r>
          </w:p>
        </w:tc>
        <w:tc>
          <w:tcPr>
            <w:tcW w:w="3086" w:type="dxa"/>
            <w:vMerge w:val="continue"/>
            <w:vAlign w:val="center"/>
          </w:tcPr>
          <w:p>
            <w:pPr>
              <w:pStyle w:val="2"/>
              <w:spacing w:line="360" w:lineRule="auto"/>
              <w:ind w:firstLine="420"/>
              <w:jc w:val="center"/>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pPr>
              <w:pStyle w:val="2"/>
              <w:numPr>
                <w:ilvl w:val="0"/>
                <w:numId w:val="1"/>
              </w:numPr>
              <w:spacing w:line="360" w:lineRule="auto"/>
              <w:ind w:left="630" w:leftChars="0" w:firstLineChars="0"/>
              <w:jc w:val="center"/>
              <w:rPr>
                <w:rFonts w:hint="eastAsia" w:ascii="宋体" w:hAnsi="宋体" w:eastAsia="宋体" w:cs="宋体"/>
                <w:color w:val="auto"/>
                <w:sz w:val="21"/>
                <w:szCs w:val="21"/>
                <w:highlight w:val="none"/>
              </w:rPr>
            </w:pPr>
          </w:p>
        </w:tc>
        <w:tc>
          <w:tcPr>
            <w:tcW w:w="2218" w:type="dxa"/>
            <w:vAlign w:val="center"/>
          </w:tcPr>
          <w:p>
            <w:pPr>
              <w:pStyle w:val="2"/>
              <w:spacing w:line="36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打药机</w:t>
            </w:r>
          </w:p>
        </w:tc>
        <w:tc>
          <w:tcPr>
            <w:tcW w:w="2126" w:type="dxa"/>
            <w:vAlign w:val="center"/>
          </w:tcPr>
          <w:p>
            <w:pPr>
              <w:pStyle w:val="2"/>
              <w:spacing w:line="36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993" w:type="dxa"/>
            <w:vAlign w:val="center"/>
          </w:tcPr>
          <w:p>
            <w:pPr>
              <w:pStyle w:val="2"/>
              <w:spacing w:line="36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台</w:t>
            </w:r>
          </w:p>
        </w:tc>
        <w:tc>
          <w:tcPr>
            <w:tcW w:w="3086" w:type="dxa"/>
            <w:vMerge w:val="continue"/>
            <w:vAlign w:val="center"/>
          </w:tcPr>
          <w:p>
            <w:pPr>
              <w:pStyle w:val="2"/>
              <w:spacing w:line="360" w:lineRule="auto"/>
              <w:ind w:firstLine="420"/>
              <w:jc w:val="center"/>
              <w:rPr>
                <w:rFonts w:hint="eastAsia" w:ascii="宋体" w:hAnsi="宋体" w:eastAsia="宋体" w:cs="宋体"/>
                <w:color w:val="auto"/>
                <w:sz w:val="21"/>
                <w:szCs w:val="21"/>
                <w:highlight w:val="none"/>
              </w:rPr>
            </w:pPr>
          </w:p>
        </w:tc>
      </w:tr>
    </w:tbl>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36"/>
          <w:szCs w:val="36"/>
          <w:highlight w:val="none"/>
        </w:rPr>
      </w:pPr>
    </w:p>
    <w:p>
      <w:pPr>
        <w:pStyle w:val="2"/>
        <w:rPr>
          <w:rFonts w:hint="eastAsia" w:ascii="宋体" w:hAnsi="宋体" w:eastAsia="宋体" w:cs="宋体"/>
          <w:b/>
          <w:color w:val="auto"/>
          <w:sz w:val="36"/>
          <w:szCs w:val="36"/>
          <w:highlight w:val="none"/>
        </w:rPr>
      </w:pPr>
    </w:p>
    <w:p>
      <w:pPr>
        <w:rPr>
          <w:rFonts w:hint="eastAsia"/>
          <w:color w:val="auto"/>
          <w:highlight w:val="none"/>
        </w:rPr>
      </w:pPr>
    </w:p>
    <w:p>
      <w:pPr>
        <w:pStyle w:val="2"/>
        <w:rPr>
          <w:rFonts w:hint="eastAsia"/>
          <w:color w:val="auto"/>
          <w:highlight w:val="none"/>
        </w:rPr>
      </w:pPr>
    </w:p>
    <w:p>
      <w:pPr>
        <w:rPr>
          <w:rFonts w:hint="eastAsia"/>
        </w:rPr>
      </w:pPr>
    </w:p>
    <w:p>
      <w:pPr>
        <w:snapToGrid w:val="0"/>
        <w:spacing w:line="360" w:lineRule="auto"/>
        <w:jc w:val="center"/>
        <w:rPr>
          <w:rFonts w:hint="eastAsia" w:ascii="宋体" w:hAnsi="宋体" w:eastAsia="宋体" w:cs="宋体"/>
          <w:b/>
          <w:color w:val="auto"/>
          <w:sz w:val="36"/>
          <w:szCs w:val="36"/>
          <w:highlight w:val="none"/>
        </w:rPr>
      </w:pPr>
    </w:p>
    <w:p>
      <w:pPr>
        <w:pStyle w:val="60"/>
        <w:rPr>
          <w:rFonts w:hint="eastAsia" w:ascii="宋体" w:hAnsi="宋体" w:eastAsia="宋体" w:cs="宋体"/>
          <w:color w:val="auto"/>
          <w:highlight w:val="none"/>
        </w:rPr>
      </w:pPr>
    </w:p>
    <w:p>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第四部分   评标办法</w:t>
      </w:r>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3"/>
        <w:tblW w:w="96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5929"/>
        <w:gridCol w:w="750"/>
        <w:gridCol w:w="784"/>
        <w:gridCol w:w="1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592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评标标准</w:t>
            </w:r>
          </w:p>
        </w:tc>
        <w:tc>
          <w:tcPr>
            <w:tcW w:w="750"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784" w:type="dxa"/>
            <w:vAlign w:val="center"/>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主观分/客观分属性</w:t>
            </w:r>
          </w:p>
        </w:tc>
        <w:tc>
          <w:tcPr>
            <w:tcW w:w="1250" w:type="dxa"/>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89" w:type="dxa"/>
            <w:vMerge w:val="restart"/>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5929"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投标人具有有效的环境管理体系认证、职业健康安全管理体系认证及质量管理体系认证认证证书的</w:t>
            </w:r>
            <w:r>
              <w:rPr>
                <w:rFonts w:hint="eastAsia" w:ascii="宋体" w:hAnsi="宋体" w:eastAsia="宋体" w:cs="宋体"/>
                <w:color w:val="auto"/>
                <w:sz w:val="24"/>
                <w:highlight w:val="none"/>
                <w:lang w:eastAsia="zh-CN"/>
              </w:rPr>
              <w:t>一个</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最高得</w:t>
            </w:r>
            <w:r>
              <w:rPr>
                <w:rFonts w:hint="eastAsia" w:ascii="宋体" w:hAnsi="宋体" w:eastAsia="宋体" w:cs="宋体"/>
                <w:color w:val="auto"/>
                <w:sz w:val="24"/>
                <w:highlight w:val="none"/>
                <w:lang w:val="en-US" w:eastAsia="zh-CN"/>
              </w:rPr>
              <w:t>6分</w:t>
            </w:r>
            <w:r>
              <w:rPr>
                <w:rFonts w:hint="eastAsia" w:ascii="宋体" w:hAnsi="宋体" w:eastAsia="宋体" w:cs="宋体"/>
                <w:color w:val="auto"/>
                <w:sz w:val="24"/>
                <w:highlight w:val="none"/>
              </w:rPr>
              <w:t>。（</w:t>
            </w:r>
            <w:r>
              <w:rPr>
                <w:rFonts w:hint="eastAsia" w:ascii="宋体" w:hAnsi="宋体" w:eastAsia="宋体" w:cs="宋体"/>
                <w:b/>
                <w:bCs/>
                <w:color w:val="auto"/>
                <w:sz w:val="24"/>
                <w:highlight w:val="none"/>
              </w:rPr>
              <w:t>投标文件中提供证书复印件及证书网页查询结果截图，否则不得分</w:t>
            </w:r>
            <w:r>
              <w:rPr>
                <w:rFonts w:hint="eastAsia" w:ascii="宋体" w:hAnsi="宋体" w:eastAsia="宋体" w:cs="宋体"/>
                <w:color w:val="auto"/>
                <w:sz w:val="24"/>
                <w:highlight w:val="none"/>
              </w:rPr>
              <w:t>。）</w:t>
            </w:r>
          </w:p>
        </w:tc>
        <w:tc>
          <w:tcPr>
            <w:tcW w:w="750" w:type="dxa"/>
            <w:vAlign w:val="center"/>
          </w:tcPr>
          <w:p>
            <w:pPr>
              <w:jc w:val="center"/>
              <w:rPr>
                <w:rFonts w:hint="eastAsia" w:ascii="宋体" w:hAnsi="宋体" w:eastAsia="宋体" w:cs="宋体"/>
                <w:color w:val="auto"/>
                <w:sz w:val="24"/>
                <w:highlight w:val="none"/>
              </w:rPr>
            </w:pPr>
            <w:r>
              <w:rPr>
                <w:rFonts w:hint="eastAsia" w:ascii="宋体" w:hAnsi="宋体" w:eastAsia="宋体" w:cs="宋体"/>
                <w:bCs/>
                <w:color w:val="auto"/>
                <w:sz w:val="24"/>
                <w:szCs w:val="24"/>
                <w:highlight w:val="none"/>
                <w:lang w:val="en-US" w:eastAsia="zh-CN"/>
              </w:rPr>
              <w:t>0-6</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客观分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889" w:type="dxa"/>
            <w:vMerge w:val="continue"/>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p>
        </w:tc>
        <w:tc>
          <w:tcPr>
            <w:tcW w:w="5929" w:type="dxa"/>
            <w:vAlign w:val="center"/>
          </w:tcPr>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w:t>
            </w: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年1月1日(以合同签订时间为准)以来，投标单位所承担的类似养护业绩（至少包括道路保洁或绿化养护），有一个业绩得</w:t>
            </w:r>
            <w:r>
              <w:rPr>
                <w:rFonts w:hint="eastAsia" w:ascii="宋体" w:hAnsi="宋体" w:eastAsia="宋体" w:cs="宋体"/>
                <w:color w:val="auto"/>
                <w:sz w:val="24"/>
                <w:highlight w:val="none"/>
                <w:lang w:val="en-US" w:eastAsia="zh-CN"/>
              </w:rPr>
              <w:t>0.5</w:t>
            </w:r>
            <w:r>
              <w:rPr>
                <w:rFonts w:hint="eastAsia" w:ascii="宋体" w:hAnsi="宋体" w:eastAsia="宋体" w:cs="宋体"/>
                <w:color w:val="auto"/>
                <w:sz w:val="24"/>
                <w:highlight w:val="none"/>
              </w:rPr>
              <w:t>分。本项满分</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分。</w:t>
            </w:r>
          </w:p>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投标文件提供合同复印件或扫描件，否则不得分。</w:t>
            </w:r>
          </w:p>
        </w:tc>
        <w:tc>
          <w:tcPr>
            <w:tcW w:w="750" w:type="dxa"/>
            <w:vAlign w:val="center"/>
          </w:tcPr>
          <w:p>
            <w:pPr>
              <w:jc w:val="center"/>
              <w:rPr>
                <w:rFonts w:hint="eastAsia" w:ascii="宋体" w:hAnsi="宋体" w:eastAsia="宋体" w:cs="宋体"/>
                <w:color w:val="auto"/>
                <w:sz w:val="24"/>
                <w:highlight w:val="none"/>
              </w:rPr>
            </w:pPr>
            <w:r>
              <w:rPr>
                <w:rFonts w:hint="eastAsia" w:ascii="宋体" w:hAnsi="宋体" w:eastAsia="宋体" w:cs="宋体"/>
                <w:bCs/>
                <w:color w:val="auto"/>
                <w:sz w:val="24"/>
                <w:szCs w:val="24"/>
                <w:highlight w:val="none"/>
                <w:lang w:val="en-US" w:eastAsia="zh-CN"/>
              </w:rPr>
              <w:t>0-1</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客观分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5929" w:type="dxa"/>
            <w:vAlign w:val="center"/>
          </w:tcPr>
          <w:p>
            <w:pPr>
              <w:numPr>
                <w:ilvl w:val="0"/>
                <w:numId w:val="0"/>
              </w:numPr>
              <w:autoSpaceDE w:val="0"/>
              <w:autoSpaceDN w:val="0"/>
              <w:adjustRightInd w:val="0"/>
              <w:spacing w:line="46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投标人技术人员力量情况：须提供以下相关人员（人员不能重复，若</w:t>
            </w:r>
            <w:r>
              <w:rPr>
                <w:rFonts w:hint="eastAsia" w:ascii="宋体" w:hAnsi="宋体" w:eastAsia="宋体" w:cs="宋体"/>
                <w:b w:val="0"/>
                <w:bCs w:val="0"/>
                <w:color w:val="auto"/>
                <w:sz w:val="24"/>
                <w:highlight w:val="none"/>
              </w:rPr>
              <w:t>有重复只能按一人次计）</w:t>
            </w:r>
          </w:p>
          <w:p>
            <w:pPr>
              <w:keepNext w:val="0"/>
              <w:keepLines w:val="0"/>
              <w:pageBreakBefore w:val="0"/>
              <w:widowControl w:val="0"/>
              <w:numPr>
                <w:ilvl w:val="0"/>
                <w:numId w:val="0"/>
              </w:numPr>
              <w:kinsoku/>
              <w:wordWrap/>
              <w:overflowPunct/>
              <w:topLinePunct w:val="0"/>
              <w:autoSpaceDE w:val="0"/>
              <w:autoSpaceDN w:val="0"/>
              <w:bidi w:val="0"/>
              <w:adjustRightInd w:val="0"/>
              <w:spacing w:line="240" w:lineRule="auto"/>
              <w:jc w:val="left"/>
              <w:textAlignment w:val="auto"/>
              <w:rPr>
                <w:rFonts w:hint="eastAsia" w:ascii="宋体" w:hAnsi="宋体" w:eastAsia="宋体" w:cs="宋体"/>
                <w:b w:val="0"/>
                <w:bCs w:val="0"/>
                <w:color w:val="auto"/>
                <w:kern w:val="0"/>
                <w:sz w:val="24"/>
                <w:highlight w:val="none"/>
              </w:rPr>
            </w:pP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szCs w:val="22"/>
                <w:highlight w:val="none"/>
              </w:rPr>
              <w:t>保洁养护项目负责人</w:t>
            </w:r>
            <w:r>
              <w:rPr>
                <w:rFonts w:hint="eastAsia" w:ascii="宋体" w:hAnsi="宋体" w:eastAsia="宋体" w:cs="宋体"/>
                <w:b w:val="0"/>
                <w:bCs w:val="0"/>
                <w:color w:val="auto"/>
                <w:kern w:val="0"/>
                <w:sz w:val="24"/>
                <w:highlight w:val="none"/>
              </w:rPr>
              <w:t>：</w:t>
            </w:r>
            <w:r>
              <w:rPr>
                <w:rFonts w:hint="eastAsia" w:ascii="宋体" w:hAnsi="宋体" w:eastAsia="宋体" w:cs="宋体"/>
                <w:b w:val="0"/>
                <w:bCs w:val="0"/>
                <w:color w:val="auto"/>
                <w:kern w:val="0"/>
                <w:sz w:val="24"/>
                <w:highlight w:val="none"/>
                <w:lang w:eastAsia="zh-CN"/>
              </w:rPr>
              <w:t>应</w:t>
            </w:r>
            <w:r>
              <w:rPr>
                <w:rFonts w:hint="eastAsia" w:ascii="宋体" w:hAnsi="宋体" w:eastAsia="宋体" w:cs="宋体"/>
                <w:b w:val="0"/>
                <w:bCs w:val="0"/>
                <w:color w:val="auto"/>
                <w:kern w:val="0"/>
                <w:sz w:val="24"/>
                <w:highlight w:val="none"/>
              </w:rPr>
              <w:t>具备</w:t>
            </w:r>
            <w:r>
              <w:rPr>
                <w:rFonts w:hint="eastAsia" w:ascii="宋体" w:hAnsi="宋体" w:eastAsia="宋体" w:cs="宋体"/>
                <w:b w:val="0"/>
                <w:bCs w:val="0"/>
                <w:color w:val="auto"/>
                <w:kern w:val="0"/>
                <w:sz w:val="24"/>
                <w:highlight w:val="none"/>
                <w:lang w:eastAsia="zh-CN"/>
              </w:rPr>
              <w:t>中级及以上</w:t>
            </w:r>
            <w:r>
              <w:rPr>
                <w:rFonts w:hint="eastAsia" w:ascii="宋体" w:hAnsi="宋体" w:eastAsia="宋体" w:cs="宋体"/>
                <w:b w:val="0"/>
                <w:bCs w:val="0"/>
                <w:color w:val="auto"/>
                <w:kern w:val="0"/>
                <w:sz w:val="24"/>
                <w:highlight w:val="none"/>
              </w:rPr>
              <w:t>技术职称，环卫（道路清扫保洁）工程师</w:t>
            </w:r>
            <w:r>
              <w:rPr>
                <w:rFonts w:hint="eastAsia" w:ascii="宋体" w:hAnsi="宋体" w:eastAsia="宋体" w:cs="宋体"/>
                <w:b w:val="0"/>
                <w:bCs w:val="0"/>
                <w:color w:val="auto"/>
                <w:kern w:val="0"/>
                <w:sz w:val="24"/>
                <w:highlight w:val="none"/>
                <w:lang w:eastAsia="zh-CN"/>
              </w:rPr>
              <w:t>或</w:t>
            </w:r>
            <w:r>
              <w:rPr>
                <w:rFonts w:hint="eastAsia" w:ascii="宋体" w:hAnsi="宋体" w:eastAsia="宋体" w:cs="宋体"/>
                <w:b w:val="0"/>
                <w:bCs w:val="0"/>
                <w:color w:val="auto"/>
                <w:kern w:val="0"/>
                <w:sz w:val="24"/>
                <w:highlight w:val="none"/>
              </w:rPr>
              <w:t>保洁（环卫作业、物业）项目经理，得</w:t>
            </w:r>
            <w:r>
              <w:rPr>
                <w:rFonts w:hint="eastAsia" w:ascii="宋体" w:hAnsi="宋体" w:eastAsia="宋体" w:cs="宋体"/>
                <w:b w:val="0"/>
                <w:bCs w:val="0"/>
                <w:color w:val="auto"/>
                <w:kern w:val="0"/>
                <w:sz w:val="24"/>
                <w:highlight w:val="none"/>
                <w:lang w:val="en-US" w:eastAsia="zh-CN"/>
              </w:rPr>
              <w:t>3</w:t>
            </w:r>
            <w:r>
              <w:rPr>
                <w:rFonts w:hint="eastAsia" w:ascii="宋体" w:hAnsi="宋体" w:eastAsia="宋体" w:cs="宋体"/>
                <w:b w:val="0"/>
                <w:bCs w:val="0"/>
                <w:color w:val="auto"/>
                <w:kern w:val="0"/>
                <w:sz w:val="24"/>
                <w:highlight w:val="none"/>
              </w:rPr>
              <w:t>分，</w:t>
            </w:r>
            <w:r>
              <w:rPr>
                <w:rFonts w:hint="eastAsia" w:ascii="宋体" w:hAnsi="宋体" w:eastAsia="宋体" w:cs="宋体"/>
                <w:b/>
                <w:bCs/>
                <w:color w:val="auto"/>
                <w:kern w:val="0"/>
                <w:sz w:val="24"/>
                <w:highlight w:val="none"/>
              </w:rPr>
              <w:t>本项最高得</w:t>
            </w:r>
            <w:r>
              <w:rPr>
                <w:rFonts w:hint="eastAsia" w:ascii="宋体" w:hAnsi="宋体" w:eastAsia="宋体" w:cs="宋体"/>
                <w:b/>
                <w:bCs/>
                <w:color w:val="auto"/>
                <w:kern w:val="0"/>
                <w:sz w:val="24"/>
                <w:highlight w:val="none"/>
                <w:lang w:val="en-US" w:eastAsia="zh-CN"/>
              </w:rPr>
              <w:t>3</w:t>
            </w:r>
            <w:r>
              <w:rPr>
                <w:rFonts w:hint="eastAsia" w:ascii="宋体" w:hAnsi="宋体" w:eastAsia="宋体" w:cs="宋体"/>
                <w:b/>
                <w:bCs/>
                <w:color w:val="auto"/>
                <w:kern w:val="0"/>
                <w:sz w:val="24"/>
                <w:highlight w:val="none"/>
              </w:rPr>
              <w:t>分。</w:t>
            </w:r>
          </w:p>
          <w:p>
            <w:pPr>
              <w:keepNext w:val="0"/>
              <w:keepLines w:val="0"/>
              <w:pageBreakBefore w:val="0"/>
              <w:widowControl w:val="0"/>
              <w:kinsoku/>
              <w:wordWrap/>
              <w:overflowPunct/>
              <w:topLinePunct w:val="0"/>
              <w:autoSpaceDE w:val="0"/>
              <w:autoSpaceDN w:val="0"/>
              <w:bidi w:val="0"/>
              <w:adjustRightInd w:val="0"/>
              <w:spacing w:line="240" w:lineRule="auto"/>
              <w:jc w:val="left"/>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szCs w:val="22"/>
                <w:highlight w:val="none"/>
              </w:rPr>
              <w:t>保洁养护项目负责人</w:t>
            </w:r>
            <w:r>
              <w:rPr>
                <w:rFonts w:hint="eastAsia" w:ascii="宋体" w:hAnsi="宋体" w:eastAsia="宋体" w:cs="宋体"/>
                <w:b w:val="0"/>
                <w:bCs w:val="0"/>
                <w:color w:val="auto"/>
                <w:kern w:val="0"/>
                <w:sz w:val="24"/>
                <w:highlight w:val="none"/>
              </w:rPr>
              <w:t>：投入本项目管理人员要求45周岁以下，</w:t>
            </w:r>
            <w:r>
              <w:rPr>
                <w:rFonts w:hint="eastAsia" w:ascii="宋体" w:hAnsi="宋体" w:eastAsia="宋体" w:cs="宋体"/>
                <w:b w:val="0"/>
                <w:bCs w:val="0"/>
                <w:color w:val="auto"/>
                <w:kern w:val="0"/>
                <w:sz w:val="24"/>
                <w:highlight w:val="none"/>
                <w:lang w:eastAsia="zh-CN"/>
              </w:rPr>
              <w:t>以身份证上出生时间为准</w:t>
            </w:r>
            <w:r>
              <w:rPr>
                <w:rFonts w:hint="eastAsia" w:ascii="宋体" w:hAnsi="宋体" w:eastAsia="宋体" w:cs="宋体"/>
                <w:b w:val="0"/>
                <w:bCs w:val="0"/>
                <w:color w:val="auto"/>
                <w:kern w:val="0"/>
                <w:sz w:val="24"/>
                <w:highlight w:val="none"/>
              </w:rPr>
              <w:t>）的得1分</w:t>
            </w:r>
            <w:r>
              <w:rPr>
                <w:rFonts w:hint="eastAsia" w:ascii="宋体" w:hAnsi="宋体" w:eastAsia="宋体" w:cs="宋体"/>
                <w:b w:val="0"/>
                <w:bCs w:val="0"/>
                <w:color w:val="auto"/>
                <w:kern w:val="0"/>
                <w:sz w:val="24"/>
                <w:highlight w:val="none"/>
                <w:lang w:eastAsia="zh-CN"/>
              </w:rPr>
              <w:t>，</w:t>
            </w:r>
            <w:r>
              <w:rPr>
                <w:rFonts w:hint="eastAsia" w:ascii="宋体" w:hAnsi="宋体" w:eastAsia="宋体" w:cs="宋体"/>
                <w:b/>
                <w:bCs/>
                <w:color w:val="auto"/>
                <w:kern w:val="0"/>
                <w:sz w:val="24"/>
                <w:highlight w:val="none"/>
              </w:rPr>
              <w:t>本项最高得</w:t>
            </w:r>
            <w:r>
              <w:rPr>
                <w:rFonts w:hint="eastAsia" w:ascii="宋体" w:hAnsi="宋体" w:eastAsia="宋体" w:cs="宋体"/>
                <w:b/>
                <w:bCs/>
                <w:color w:val="auto"/>
                <w:kern w:val="0"/>
                <w:sz w:val="24"/>
                <w:highlight w:val="none"/>
                <w:lang w:val="en-US" w:eastAsia="zh-CN"/>
              </w:rPr>
              <w:t>1</w:t>
            </w:r>
            <w:r>
              <w:rPr>
                <w:rFonts w:hint="eastAsia" w:ascii="宋体" w:hAnsi="宋体" w:eastAsia="宋体" w:cs="宋体"/>
                <w:b/>
                <w:bCs/>
                <w:color w:val="auto"/>
                <w:kern w:val="0"/>
                <w:sz w:val="24"/>
                <w:highlight w:val="none"/>
              </w:rPr>
              <w:t>分</w:t>
            </w:r>
            <w:r>
              <w:rPr>
                <w:rFonts w:hint="eastAsia" w:ascii="宋体" w:hAnsi="宋体" w:eastAsia="宋体" w:cs="宋体"/>
                <w:b/>
                <w:bCs/>
                <w:color w:val="auto"/>
                <w:kern w:val="0"/>
                <w:sz w:val="24"/>
                <w:highlight w:val="none"/>
                <w:lang w:eastAsia="zh-CN"/>
              </w:rPr>
              <w:t>。</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color w:val="auto"/>
                <w:sz w:val="24"/>
                <w:highlight w:val="none"/>
              </w:rPr>
              <w:t>市级及以上园林管理部门或培训机构颁发的植保员证书，2名（含）以上的得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分，1名植保员的得</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分，没有不得分；本项满分</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市级及以上园林管理部门或培训机构颁发的绿化工证书，3名（含）以上的得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分，绿化工1-2人的得1分，没有不得分；本项满分</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w:t>
            </w:r>
          </w:p>
          <w:p>
            <w:pPr>
              <w:pStyle w:val="4"/>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（投标文件中提供相应证书和本单位</w:t>
            </w:r>
            <w:r>
              <w:rPr>
                <w:rFonts w:hint="eastAsia" w:ascii="宋体" w:hAnsi="宋体" w:eastAsia="宋体" w:cs="宋体"/>
                <w:b/>
                <w:bCs/>
                <w:color w:val="auto"/>
                <w:sz w:val="24"/>
                <w:highlight w:val="none"/>
                <w:lang w:val="en-US" w:eastAsia="zh-CN"/>
              </w:rPr>
              <w:t>3个月及以上</w:t>
            </w:r>
            <w:r>
              <w:rPr>
                <w:rFonts w:hint="eastAsia" w:ascii="宋体" w:hAnsi="宋体" w:eastAsia="宋体" w:cs="宋体"/>
                <w:b/>
                <w:bCs/>
                <w:color w:val="auto"/>
                <w:sz w:val="24"/>
                <w:highlight w:val="none"/>
              </w:rPr>
              <w:t>社保证明复印件或扫描件，否则不得分）</w:t>
            </w:r>
          </w:p>
        </w:tc>
        <w:tc>
          <w:tcPr>
            <w:tcW w:w="750"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0-</w:t>
            </w:r>
            <w:r>
              <w:rPr>
                <w:rFonts w:hint="eastAsia" w:ascii="宋体" w:hAnsi="宋体" w:eastAsia="宋体" w:cs="宋体"/>
                <w:color w:val="auto"/>
                <w:sz w:val="24"/>
                <w:highlight w:val="none"/>
                <w:lang w:val="en-US" w:eastAsia="zh-CN"/>
              </w:rPr>
              <w:t>10</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客观分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5929" w:type="dxa"/>
            <w:vAlign w:val="center"/>
          </w:tcPr>
          <w:p>
            <w:pPr>
              <w:pStyle w:val="129"/>
              <w:keepNext w:val="0"/>
              <w:keepLines w:val="0"/>
              <w:pageBreakBefore w:val="0"/>
              <w:widowControl w:val="0"/>
              <w:kinsoku/>
              <w:wordWrap/>
              <w:overflowPunct/>
              <w:topLinePunct w:val="0"/>
              <w:autoSpaceDE/>
              <w:autoSpaceDN/>
              <w:bidi w:val="0"/>
              <w:adjustRightInd/>
              <w:snapToGrid/>
              <w:spacing w:before="0" w:line="240" w:lineRule="auto"/>
              <w:ind w:left="0" w:leftChars="0" w:firstLine="0" w:firstLineChars="0"/>
              <w:textAlignment w:val="auto"/>
              <w:rPr>
                <w:rFonts w:hint="eastAsia" w:ascii="宋体" w:hAnsi="宋体" w:eastAsia="宋体" w:cs="宋体"/>
                <w:b/>
                <w:bCs/>
                <w:color w:val="auto"/>
                <w:sz w:val="24"/>
                <w:highlight w:val="none"/>
              </w:rPr>
            </w:pPr>
            <w:r>
              <w:rPr>
                <w:rFonts w:hint="eastAsia" w:ascii="宋体" w:hAnsi="宋体" w:eastAsia="宋体" w:cs="宋体"/>
                <w:b/>
                <w:bCs w:val="0"/>
                <w:color w:val="auto"/>
                <w:kern w:val="0"/>
                <w:sz w:val="24"/>
                <w:highlight w:val="none"/>
                <w:lang w:val="en-US" w:eastAsia="zh-CN"/>
              </w:rPr>
              <w:t>环卫保洁车和设备</w:t>
            </w:r>
            <w:r>
              <w:rPr>
                <w:rFonts w:hint="eastAsia" w:ascii="宋体" w:hAnsi="宋体" w:eastAsia="宋体" w:cs="宋体"/>
                <w:b/>
                <w:bCs/>
                <w:color w:val="auto"/>
                <w:sz w:val="24"/>
                <w:highlight w:val="none"/>
              </w:rPr>
              <w:t>：</w:t>
            </w:r>
          </w:p>
          <w:p>
            <w:pPr>
              <w:snapToGrid w:val="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投标人自有作业设备情况：</w:t>
            </w:r>
          </w:p>
          <w:p>
            <w:pPr>
              <w:snapToGrid w:val="0"/>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自备</w:t>
            </w:r>
            <w:r>
              <w:rPr>
                <w:rFonts w:hint="eastAsia" w:ascii="宋体" w:hAnsi="宋体" w:eastAsia="宋体" w:cs="宋体"/>
                <w:color w:val="auto"/>
                <w:sz w:val="24"/>
                <w:highlight w:val="none"/>
              </w:rPr>
              <w:t>总质量18吨及以上抑尘车</w:t>
            </w:r>
            <w:r>
              <w:rPr>
                <w:rFonts w:hint="eastAsia" w:ascii="宋体" w:hAnsi="宋体" w:eastAsia="宋体" w:cs="宋体"/>
                <w:color w:val="auto"/>
                <w:sz w:val="21"/>
                <w:szCs w:val="21"/>
                <w:highlight w:val="none"/>
                <w:lang w:eastAsia="zh-CN"/>
              </w:rPr>
              <w:t>（雾炮车</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不少于1辆，本项最高得3分，没有不得分；</w:t>
            </w:r>
          </w:p>
          <w:p>
            <w:pPr>
              <w:snapToGrid w:val="0"/>
              <w:ind w:firstLine="480" w:firstLineChars="200"/>
              <w:rPr>
                <w:rFonts w:hint="eastAsia" w:ascii="宋体" w:hAnsi="宋体" w:eastAsia="宋体" w:cs="宋体"/>
                <w:color w:val="auto"/>
                <w:highlight w:val="none"/>
              </w:rPr>
            </w:pP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自备</w:t>
            </w:r>
            <w:r>
              <w:rPr>
                <w:rFonts w:hint="eastAsia" w:ascii="宋体" w:hAnsi="宋体" w:eastAsia="宋体" w:cs="宋体"/>
                <w:bCs/>
                <w:color w:val="auto"/>
                <w:sz w:val="24"/>
                <w:highlight w:val="none"/>
              </w:rPr>
              <w:t>小型多功能高压清洗车</w:t>
            </w:r>
            <w:r>
              <w:rPr>
                <w:rFonts w:hint="eastAsia" w:ascii="宋体" w:hAnsi="宋体" w:eastAsia="宋体" w:cs="宋体"/>
                <w:color w:val="auto"/>
                <w:sz w:val="24"/>
                <w:highlight w:val="none"/>
              </w:rPr>
              <w:t>不少于</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辆，本项最高得</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未满足要求</w:t>
            </w:r>
            <w:r>
              <w:rPr>
                <w:rFonts w:hint="eastAsia" w:ascii="宋体" w:hAnsi="宋体" w:eastAsia="宋体" w:cs="宋体"/>
                <w:color w:val="auto"/>
                <w:sz w:val="24"/>
                <w:highlight w:val="none"/>
              </w:rPr>
              <w:t>不得分；</w:t>
            </w:r>
          </w:p>
          <w:p>
            <w:pPr>
              <w:snapToGrid w:val="0"/>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eastAsia="zh-CN"/>
              </w:rPr>
              <w:t>自备</w:t>
            </w:r>
            <w:r>
              <w:rPr>
                <w:rFonts w:hint="eastAsia" w:ascii="宋体" w:hAnsi="宋体" w:eastAsia="宋体" w:cs="宋体"/>
                <w:color w:val="auto"/>
                <w:sz w:val="24"/>
                <w:szCs w:val="28"/>
                <w:highlight w:val="none"/>
              </w:rPr>
              <w:t>小型四轮电动封闭式垃圾储运车</w:t>
            </w:r>
            <w:r>
              <w:rPr>
                <w:rFonts w:hint="eastAsia" w:ascii="宋体" w:hAnsi="宋体" w:eastAsia="宋体" w:cs="宋体"/>
                <w:color w:val="auto"/>
                <w:sz w:val="24"/>
                <w:highlight w:val="none"/>
                <w:lang w:eastAsia="zh-CN"/>
              </w:rPr>
              <w:t>不少于</w:t>
            </w:r>
            <w:r>
              <w:rPr>
                <w:rFonts w:hint="eastAsia" w:ascii="宋体" w:hAnsi="宋体" w:eastAsia="宋体" w:cs="宋体"/>
                <w:color w:val="auto"/>
                <w:sz w:val="24"/>
                <w:highlight w:val="none"/>
                <w:lang w:val="en-US" w:eastAsia="zh-CN"/>
              </w:rPr>
              <w:t>2辆</w:t>
            </w:r>
            <w:r>
              <w:rPr>
                <w:rFonts w:hint="eastAsia" w:ascii="宋体" w:hAnsi="宋体" w:eastAsia="宋体" w:cs="宋体"/>
                <w:color w:val="auto"/>
                <w:sz w:val="24"/>
                <w:highlight w:val="none"/>
              </w:rPr>
              <w:t>；本项最高得</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未满足要求</w:t>
            </w:r>
            <w:r>
              <w:rPr>
                <w:rFonts w:hint="eastAsia" w:ascii="宋体" w:hAnsi="宋体" w:eastAsia="宋体" w:cs="宋体"/>
                <w:color w:val="auto"/>
                <w:sz w:val="24"/>
                <w:highlight w:val="none"/>
              </w:rPr>
              <w:t>不得分；</w:t>
            </w:r>
          </w:p>
          <w:p>
            <w:pPr>
              <w:pStyle w:val="53"/>
              <w:tabs>
                <w:tab w:val="left" w:pos="1050"/>
              </w:tabs>
              <w:spacing w:line="400" w:lineRule="exact"/>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自备小型四轮封闭驾驶式清扫车</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辆，本项最高得</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未满足要求</w:t>
            </w:r>
            <w:r>
              <w:rPr>
                <w:rFonts w:hint="eastAsia" w:ascii="宋体" w:hAnsi="宋体" w:eastAsia="宋体" w:cs="宋体"/>
                <w:color w:val="auto"/>
                <w:sz w:val="24"/>
                <w:highlight w:val="none"/>
              </w:rPr>
              <w:t>不得分；</w:t>
            </w:r>
          </w:p>
          <w:p>
            <w:pPr>
              <w:pStyle w:val="53"/>
              <w:tabs>
                <w:tab w:val="left" w:pos="1050"/>
              </w:tabs>
              <w:spacing w:line="400" w:lineRule="exact"/>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eastAsia="zh-CN"/>
              </w:rPr>
              <w:t>自备</w:t>
            </w:r>
            <w:r>
              <w:rPr>
                <w:rFonts w:hint="eastAsia" w:ascii="宋体" w:hAnsi="宋体" w:eastAsia="宋体" w:cs="宋体"/>
                <w:color w:val="auto"/>
                <w:sz w:val="24"/>
                <w:highlight w:val="none"/>
              </w:rPr>
              <w:t>中型专项作业登高车（总质量4吨及以上）</w:t>
            </w:r>
            <w:r>
              <w:rPr>
                <w:rFonts w:hint="eastAsia" w:ascii="宋体" w:hAnsi="宋体" w:eastAsia="宋体" w:cs="宋体"/>
                <w:color w:val="auto"/>
                <w:sz w:val="24"/>
                <w:highlight w:val="none"/>
                <w:lang w:eastAsia="zh-CN"/>
              </w:rPr>
              <w:t>不少于</w:t>
            </w:r>
            <w:r>
              <w:rPr>
                <w:rFonts w:hint="eastAsia" w:ascii="宋体" w:hAnsi="宋体" w:eastAsia="宋体" w:cs="宋体"/>
                <w:color w:val="auto"/>
                <w:sz w:val="24"/>
                <w:highlight w:val="none"/>
              </w:rPr>
              <w:t>1辆</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本项最高得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，没有不得分</w:t>
            </w:r>
            <w:r>
              <w:rPr>
                <w:rFonts w:hint="eastAsia" w:ascii="宋体" w:hAnsi="宋体" w:eastAsia="宋体" w:cs="宋体"/>
                <w:color w:val="auto"/>
                <w:sz w:val="24"/>
                <w:highlight w:val="none"/>
              </w:rPr>
              <w:t>；</w:t>
            </w:r>
          </w:p>
          <w:p>
            <w:pPr>
              <w:pStyle w:val="53"/>
              <w:tabs>
                <w:tab w:val="left" w:pos="1050"/>
              </w:tabs>
              <w:spacing w:line="400" w:lineRule="exact"/>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具备草坪机3台及以上；绿篱机3台及以上；高压喷雾机3台及以上；柴油或者汽油泵2台及以上；打药机2台及以上，全部满足得</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eastAsia="zh-CN"/>
              </w:rPr>
              <w:t>未满足要求</w:t>
            </w:r>
            <w:r>
              <w:rPr>
                <w:rFonts w:hint="eastAsia" w:ascii="宋体" w:hAnsi="宋体" w:eastAsia="宋体" w:cs="宋体"/>
                <w:color w:val="auto"/>
                <w:sz w:val="24"/>
                <w:highlight w:val="none"/>
              </w:rPr>
              <w:t>不得分。</w:t>
            </w:r>
          </w:p>
          <w:p>
            <w:pPr>
              <w:widowControl/>
              <w:shd w:val="clear" w:color="auto" w:fill="FFFFFF"/>
              <w:adjustRightInd/>
              <w:spacing w:after="225" w:line="315" w:lineRule="atLeast"/>
              <w:ind w:firstLine="241" w:firstLineChars="100"/>
              <w:jc w:val="left"/>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注：证明材料为：</w:t>
            </w:r>
            <w:r>
              <w:rPr>
                <w:rFonts w:hint="eastAsia" w:ascii="宋体" w:hAnsi="宋体" w:eastAsia="宋体" w:cs="宋体"/>
                <w:b/>
                <w:color w:val="auto"/>
                <w:szCs w:val="24"/>
                <w:highlight w:val="none"/>
              </w:rPr>
              <w:t>投标文件中同时提供车辆行驶证、购车发票、车辆登记证扫描件、清晰带有车牌号的正面、45度斜侧面的照片、仅用于本保洁项目的书面承诺书（格式自拟）</w:t>
            </w:r>
            <w:r>
              <w:rPr>
                <w:rFonts w:hint="eastAsia" w:ascii="宋体" w:hAnsi="宋体" w:eastAsia="宋体" w:cs="宋体"/>
                <w:b/>
                <w:color w:val="auto"/>
                <w:szCs w:val="24"/>
                <w:highlight w:val="none"/>
                <w:lang w:eastAsia="zh-CN"/>
              </w:rPr>
              <w:t>；无需车辆行驶证的</w:t>
            </w:r>
            <w:r>
              <w:rPr>
                <w:rFonts w:hint="eastAsia" w:ascii="宋体" w:hAnsi="宋体" w:eastAsia="宋体" w:cs="宋体"/>
                <w:b/>
                <w:color w:val="auto"/>
                <w:szCs w:val="24"/>
                <w:highlight w:val="none"/>
              </w:rPr>
              <w:t>投标文件中同时提供购车发票、清晰带有车</w:t>
            </w:r>
            <w:r>
              <w:rPr>
                <w:rFonts w:hint="eastAsia" w:ascii="宋体" w:hAnsi="宋体" w:eastAsia="宋体" w:cs="宋体"/>
                <w:b/>
                <w:color w:val="auto"/>
                <w:szCs w:val="24"/>
                <w:highlight w:val="none"/>
                <w:lang w:eastAsia="zh-CN"/>
              </w:rPr>
              <w:t>辆</w:t>
            </w:r>
            <w:r>
              <w:rPr>
                <w:rFonts w:hint="eastAsia" w:ascii="宋体" w:hAnsi="宋体" w:eastAsia="宋体" w:cs="宋体"/>
                <w:b/>
                <w:color w:val="auto"/>
                <w:szCs w:val="24"/>
                <w:highlight w:val="none"/>
              </w:rPr>
              <w:t>正面、45度斜侧面的照片、仅用于本保洁项目的书面承诺书（格式自拟）否则不得分。</w:t>
            </w:r>
          </w:p>
        </w:tc>
        <w:tc>
          <w:tcPr>
            <w:tcW w:w="750" w:type="dxa"/>
            <w:vAlign w:val="center"/>
          </w:tcPr>
          <w:p>
            <w:pPr>
              <w:widowControl/>
              <w:shd w:val="clear" w:color="auto" w:fill="FFFFFF"/>
              <w:adjustRightInd/>
              <w:spacing w:after="225" w:line="315" w:lineRule="atLeast"/>
              <w:ind w:firstLine="420"/>
              <w:jc w:val="left"/>
              <w:rPr>
                <w:rFonts w:hint="eastAsia" w:ascii="宋体" w:hAnsi="宋体" w:eastAsia="宋体" w:cs="宋体"/>
                <w:color w:val="auto"/>
                <w:sz w:val="24"/>
                <w:highlight w:val="none"/>
              </w:rPr>
            </w:pPr>
          </w:p>
          <w:p>
            <w:pPr>
              <w:widowControl/>
              <w:shd w:val="clear" w:color="auto" w:fill="FFFFFF"/>
              <w:adjustRightInd/>
              <w:spacing w:after="225" w:line="315" w:lineRule="atLeast"/>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0-</w:t>
            </w:r>
            <w:r>
              <w:rPr>
                <w:rFonts w:hint="eastAsia" w:ascii="宋体" w:hAnsi="宋体" w:eastAsia="宋体" w:cs="宋体"/>
                <w:color w:val="auto"/>
                <w:sz w:val="24"/>
                <w:highlight w:val="none"/>
                <w:lang w:val="en-US" w:eastAsia="zh-CN"/>
              </w:rPr>
              <w:t>28</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客观分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restart"/>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5929" w:type="dxa"/>
            <w:vAlign w:val="center"/>
          </w:tcPr>
          <w:p>
            <w:pPr>
              <w:spacing w:line="36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偷倒垃圾日常巡查管理及清理清运方案具有针对性，配备专职巡查人员，建立完善的考核机制等。不提供得0分，差得1分，一般得2分，较好得4分，好得6分；</w:t>
            </w:r>
          </w:p>
        </w:tc>
        <w:tc>
          <w:tcPr>
            <w:tcW w:w="750"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0-6分</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p>
        </w:tc>
        <w:tc>
          <w:tcPr>
            <w:tcW w:w="5929" w:type="dxa"/>
            <w:vAlign w:val="center"/>
          </w:tcPr>
          <w:p>
            <w:pPr>
              <w:spacing w:line="36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绿化带清扫保洁方案是否针对本项目，清扫保洁人员组织，时间安排、特殊路段的解决方案等。不提供得0分，差得1分，一般得2分，较好得4分，好得6分；</w:t>
            </w:r>
          </w:p>
        </w:tc>
        <w:tc>
          <w:tcPr>
            <w:tcW w:w="750"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0-6分</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p>
        </w:tc>
        <w:tc>
          <w:tcPr>
            <w:tcW w:w="5929" w:type="dxa"/>
          </w:tcPr>
          <w:p>
            <w:pPr>
              <w:spacing w:line="36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提供垃圾清理、清运工作方案，配备垃圾分类巡查员，协助开展垃圾分类相关工作并建立完善的考核机制情况等。不提供得0分，差得1分，一般得2分，较好得4分，好得6分；</w:t>
            </w:r>
          </w:p>
        </w:tc>
        <w:tc>
          <w:tcPr>
            <w:tcW w:w="750"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0-6分</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p>
        </w:tc>
        <w:tc>
          <w:tcPr>
            <w:tcW w:w="5929" w:type="dxa"/>
          </w:tcPr>
          <w:p>
            <w:pPr>
              <w:spacing w:line="36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组织管理体，制订内部考核管理制度，有专门的队伍对本项目的人员和质量进行监督，配备保洁班组长、监管人员，并提供针对本项目制订具体质量管理考核细则情况。不提供得0分，差得1分，一般得2分，较好得5分，好得7分；</w:t>
            </w:r>
          </w:p>
        </w:tc>
        <w:tc>
          <w:tcPr>
            <w:tcW w:w="750"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0-7分</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p>
        </w:tc>
        <w:tc>
          <w:tcPr>
            <w:tcW w:w="5929" w:type="dxa"/>
            <w:vAlign w:val="center"/>
          </w:tcPr>
          <w:p>
            <w:pPr>
              <w:spacing w:line="36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有完善的应急管理方案，能及时响应城市应急（气象灾害、防汛抗台、抗雪防冻）和项目实施过程中各类应急保障任务，有固定应急物资仓储及应急设施设备存放场地，具有丰富的应急管理经验情况。不提供得0分，差得1分，一般得2分，较好得5分，好得7分；</w:t>
            </w:r>
          </w:p>
        </w:tc>
        <w:tc>
          <w:tcPr>
            <w:tcW w:w="750"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0-7分</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p>
        </w:tc>
        <w:tc>
          <w:tcPr>
            <w:tcW w:w="5929" w:type="dxa"/>
            <w:vAlign w:val="center"/>
          </w:tcPr>
          <w:p>
            <w:pPr>
              <w:spacing w:line="360" w:lineRule="exac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有完善的的重大活动保障方案，方案科学合理，具有针对性及可操作性，能圆满完成大型活动、节庆假日、创优评优等重大活动保障任务情况。不提供得0分，差得1分，一般得2分，较好得</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分，好得</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分；</w:t>
            </w:r>
          </w:p>
        </w:tc>
        <w:tc>
          <w:tcPr>
            <w:tcW w:w="750"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0-</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分</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Merge w:val="continue"/>
            <w:vAlign w:val="center"/>
          </w:tcPr>
          <w:p>
            <w:pPr>
              <w:widowControl/>
              <w:shd w:val="clear" w:color="auto" w:fill="FFFFFF"/>
              <w:adjustRightInd/>
              <w:spacing w:after="225" w:line="315" w:lineRule="atLeast"/>
              <w:jc w:val="center"/>
              <w:rPr>
                <w:rFonts w:hint="eastAsia" w:ascii="宋体" w:hAnsi="宋体" w:eastAsia="宋体" w:cs="宋体"/>
                <w:color w:val="auto"/>
                <w:sz w:val="24"/>
                <w:highlight w:val="none"/>
              </w:rPr>
            </w:pPr>
          </w:p>
        </w:tc>
        <w:tc>
          <w:tcPr>
            <w:tcW w:w="5929"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根据投标人针对本项目的合理化建议及项目服务能力、服务及时性响应方案。不提供得0分，差得1分，一般得2分，较好得4分，好得6分；</w:t>
            </w:r>
          </w:p>
        </w:tc>
        <w:tc>
          <w:tcPr>
            <w:tcW w:w="750" w:type="dxa"/>
            <w:vAlign w:val="center"/>
          </w:tcPr>
          <w:p>
            <w:pPr>
              <w:widowControl/>
              <w:shd w:val="clear" w:color="auto" w:fill="FFFFFF"/>
              <w:adjustRightInd/>
              <w:spacing w:after="225" w:line="315" w:lineRule="atLeas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0-6分</w:t>
            </w:r>
          </w:p>
        </w:tc>
        <w:tc>
          <w:tcPr>
            <w:tcW w:w="784"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主观分</w:t>
            </w:r>
          </w:p>
        </w:tc>
        <w:tc>
          <w:tcPr>
            <w:tcW w:w="1250" w:type="dxa"/>
          </w:tcPr>
          <w:p>
            <w:pPr>
              <w:snapToGrid w:val="0"/>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5929" w:type="dxa"/>
          </w:tcPr>
          <w:p>
            <w:pPr>
              <w:spacing w:line="360" w:lineRule="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有效投标报价的最低价作为评标基准价，其最低报价为满分；按［投标报价得分=（评标基准价/投标报价）*权重］的计算公式计算。</w:t>
            </w:r>
          </w:p>
          <w:p>
            <w:pPr>
              <w:widowControl/>
              <w:shd w:val="clear" w:color="auto" w:fill="FFFFFF"/>
              <w:adjustRightInd/>
              <w:spacing w:after="225" w:line="315" w:lineRule="atLeast"/>
              <w:ind w:firstLine="42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评标过程中，不得去掉报价中的最高报价和最低报价。</w:t>
            </w:r>
          </w:p>
          <w:p>
            <w:pPr>
              <w:widowControl/>
              <w:shd w:val="clear" w:color="auto" w:fill="FFFFFF"/>
              <w:adjustRightInd/>
              <w:spacing w:after="225" w:line="315" w:lineRule="atLeast"/>
              <w:ind w:firstLine="42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于未预留份额专门面向中小企业的政府采购服务项目，以及预留份额政府采购服务项目中的非预留部分标项，对小型和微型企业的投标报价给予X%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X%的扣除，用扣除后的价格参加评审。</w:t>
            </w:r>
          </w:p>
        </w:tc>
        <w:tc>
          <w:tcPr>
            <w:tcW w:w="750" w:type="dxa"/>
            <w:vAlign w:val="center"/>
          </w:tcPr>
          <w:p>
            <w:pPr>
              <w:spacing w:line="360" w:lineRule="auto"/>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10分</w:t>
            </w:r>
          </w:p>
        </w:tc>
        <w:tc>
          <w:tcPr>
            <w:tcW w:w="784" w:type="dxa"/>
            <w:vAlign w:val="center"/>
          </w:tcPr>
          <w:p>
            <w:pPr>
              <w:spacing w:line="360" w:lineRule="auto"/>
              <w:jc w:val="center"/>
              <w:outlineLvl w:val="0"/>
              <w:rPr>
                <w:rFonts w:hint="eastAsia" w:ascii="宋体" w:hAnsi="宋体" w:eastAsia="宋体" w:cs="宋体"/>
                <w:color w:val="auto"/>
                <w:sz w:val="24"/>
                <w:highlight w:val="none"/>
              </w:rPr>
            </w:pPr>
          </w:p>
        </w:tc>
        <w:tc>
          <w:tcPr>
            <w:tcW w:w="1250" w:type="dxa"/>
            <w:vAlign w:val="center"/>
          </w:tcPr>
          <w:p>
            <w:pPr>
              <w:spacing w:line="360" w:lineRule="auto"/>
              <w:jc w:val="center"/>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bl>
    <w:p>
      <w:pPr>
        <w:snapToGrid w:val="0"/>
        <w:spacing w:line="360" w:lineRule="auto"/>
        <w:jc w:val="both"/>
        <w:rPr>
          <w:rFonts w:hint="eastAsia" w:ascii="宋体" w:hAnsi="宋体" w:eastAsia="宋体" w:cs="宋体"/>
          <w:b/>
          <w:color w:val="auto"/>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备注：1、</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pPr>
        <w:snapToGrid w:val="0"/>
        <w:spacing w:line="360" w:lineRule="auto"/>
        <w:ind w:firstLine="361" w:firstLineChars="15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2、由于各车辆制造商不同，对于“洒水车/清洗车、三合一洗扫车/洗扫车”的车辆名称表述存在一定差异，但必须具备上述要求的相关作业功能。</w:t>
      </w:r>
    </w:p>
    <w:p>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2.评标标准：</w:t>
      </w:r>
      <w:r>
        <w:rPr>
          <w:rFonts w:hint="eastAsia" w:ascii="宋体" w:hAnsi="宋体" w:eastAsia="宋体" w:cs="宋体"/>
          <w:color w:val="auto"/>
          <w:kern w:val="0"/>
          <w:sz w:val="24"/>
          <w:highlight w:val="none"/>
        </w:rPr>
        <w:t>见评标办法前附表。</w:t>
      </w:r>
    </w:p>
    <w:p>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r>
        <w:rPr>
          <w:rFonts w:hint="eastAsia" w:ascii="宋体" w:hAnsi="宋体" w:eastAsia="宋体" w:cs="宋体"/>
          <w:b/>
          <w:color w:val="auto"/>
          <w:kern w:val="0"/>
          <w:sz w:val="24"/>
          <w:highlight w:val="none"/>
        </w:rPr>
        <w:t>（评标委员会各成员评分的算术平均值，保留两位小数，后一位四舍五入）</w:t>
      </w:r>
      <w:r>
        <w:rPr>
          <w:rFonts w:hint="eastAsia" w:ascii="宋体" w:hAnsi="宋体" w:eastAsia="宋体" w:cs="宋体"/>
          <w:color w:val="auto"/>
          <w:kern w:val="0"/>
          <w:sz w:val="24"/>
          <w:highlight w:val="none"/>
        </w:rPr>
        <w:t>。</w:t>
      </w:r>
    </w:p>
    <w:p>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pPr>
        <w:pStyle w:val="129"/>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pPr>
        <w:pStyle w:val="129"/>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有下列情况之一的，投标无效：</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4.2.6投标文件出现不是唯一的、有选择性投标报价的;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4.2.12投标人仅提交备份投标文件，没有在电子交易平台传输递交投标文件的，投标无效；</w:t>
      </w:r>
    </w:p>
    <w:p>
      <w:pPr>
        <w:pStyle w:val="4"/>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pPr>
        <w:pStyle w:val="2"/>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pPr>
        <w:pStyle w:val="2"/>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pPr>
        <w:pStyle w:val="2"/>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pPr>
        <w:pStyle w:val="2"/>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pPr>
        <w:pStyle w:val="2"/>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pPr>
        <w:pStyle w:val="2"/>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pPr>
        <w:pStyle w:val="2"/>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有政府采购法第七十一条、第七十二条规定的违法行为之一，影响或者可能影响中标、成交结果的，依照下列规定处理：</w:t>
      </w:r>
    </w:p>
    <w:p>
      <w:pPr>
        <w:pStyle w:val="2"/>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7.1未确定中标或者中标人的，终止本次政府采购活动，重新开展政府采购活动。</w:t>
      </w:r>
    </w:p>
    <w:p>
      <w:pPr>
        <w:pStyle w:val="2"/>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pPr>
        <w:pStyle w:val="2"/>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w:t>
      </w:r>
      <w:r>
        <w:rPr>
          <w:rFonts w:hint="eastAsia" w:ascii="宋体" w:hAnsi="宋体" w:eastAsia="宋体" w:cs="宋体"/>
          <w:color w:val="auto"/>
          <w:kern w:val="0"/>
          <w:highlight w:val="none"/>
        </w:rPr>
        <w:t>或者政府采购法实施条例等法律法规规定</w:t>
      </w:r>
      <w:r>
        <w:rPr>
          <w:rFonts w:hint="eastAsia" w:ascii="宋体" w:hAnsi="宋体" w:eastAsia="宋体" w:cs="宋体"/>
          <w:color w:val="auto"/>
          <w:highlight w:val="none"/>
        </w:rPr>
        <w:t>的行为，经改正后仍然影响或者可能影响中标、成交结果或者依法被认定为中标、成交无效的，依照7.1-7.4规定处理。</w:t>
      </w:r>
    </w:p>
    <w:p>
      <w:pPr>
        <w:pStyle w:val="2"/>
        <w:snapToGrid w:val="0"/>
        <w:spacing w:line="360" w:lineRule="auto"/>
        <w:ind w:firstLine="0" w:firstLineChars="0"/>
        <w:rPr>
          <w:rFonts w:hint="eastAsia" w:ascii="宋体" w:hAnsi="宋体" w:eastAsia="宋体" w:cs="宋体"/>
          <w:color w:val="auto"/>
          <w:highlight w:val="none"/>
        </w:rPr>
      </w:pPr>
    </w:p>
    <w:p>
      <w:pPr>
        <w:pStyle w:val="2"/>
        <w:snapToGrid w:val="0"/>
        <w:spacing w:line="360" w:lineRule="auto"/>
        <w:ind w:firstLine="0" w:firstLineChars="0"/>
        <w:rPr>
          <w:rFonts w:hint="eastAsia" w:ascii="宋体" w:hAnsi="宋体" w:eastAsia="宋体" w:cs="宋体"/>
          <w:color w:val="auto"/>
          <w:highlight w:val="none"/>
        </w:rPr>
      </w:pPr>
    </w:p>
    <w:p>
      <w:pPr>
        <w:pStyle w:val="2"/>
        <w:snapToGrid w:val="0"/>
        <w:spacing w:line="360" w:lineRule="auto"/>
        <w:ind w:firstLine="0" w:firstLineChars="0"/>
        <w:rPr>
          <w:rFonts w:hint="eastAsia" w:ascii="宋体" w:hAnsi="宋体" w:eastAsia="宋体" w:cs="宋体"/>
          <w:color w:val="auto"/>
          <w:highlight w:val="none"/>
        </w:rPr>
      </w:pPr>
    </w:p>
    <w:p>
      <w:pPr>
        <w:pStyle w:val="2"/>
        <w:snapToGrid w:val="0"/>
        <w:spacing w:line="360" w:lineRule="auto"/>
        <w:ind w:firstLine="0" w:firstLineChars="0"/>
        <w:rPr>
          <w:rFonts w:hint="eastAsia" w:ascii="宋体" w:hAnsi="宋体" w:eastAsia="宋体" w:cs="宋体"/>
          <w:color w:val="auto"/>
          <w:highlight w:val="none"/>
        </w:rPr>
      </w:pPr>
    </w:p>
    <w:p>
      <w:pPr>
        <w:pStyle w:val="2"/>
        <w:snapToGrid w:val="0"/>
        <w:spacing w:line="360" w:lineRule="auto"/>
        <w:ind w:firstLine="0" w:firstLineChars="0"/>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
        <w:ind w:left="0" w:leftChars="0" w:firstLine="0" w:firstLineChars="0"/>
        <w:rPr>
          <w:rFonts w:hint="eastAsia"/>
        </w:rPr>
      </w:pPr>
      <w:bookmarkStart w:id="151" w:name="_GoBack"/>
      <w:bookmarkEnd w:id="151"/>
    </w:p>
    <w:p>
      <w:pPr>
        <w:pStyle w:val="2"/>
        <w:snapToGrid w:val="0"/>
        <w:spacing w:line="360" w:lineRule="auto"/>
        <w:ind w:firstLine="0" w:firstLineChars="0"/>
        <w:rPr>
          <w:rFonts w:hint="eastAsia" w:ascii="宋体" w:hAnsi="宋体" w:eastAsia="宋体" w:cs="宋体"/>
          <w:color w:val="auto"/>
          <w:highlight w:val="none"/>
        </w:rPr>
      </w:pPr>
    </w:p>
    <w:p>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pPr>
        <w:spacing w:line="480" w:lineRule="auto"/>
        <w:jc w:val="center"/>
        <w:rPr>
          <w:rFonts w:hint="eastAsia" w:ascii="宋体" w:hAnsi="宋体" w:eastAsia="宋体" w:cs="宋体"/>
          <w:b/>
          <w:color w:val="auto"/>
          <w:sz w:val="28"/>
          <w:szCs w:val="28"/>
          <w:highlight w:val="none"/>
        </w:rPr>
      </w:pPr>
    </w:p>
    <w:p>
      <w:pPr>
        <w:spacing w:line="480" w:lineRule="auto"/>
        <w:jc w:val="center"/>
        <w:rPr>
          <w:rFonts w:hint="eastAsia" w:ascii="宋体" w:hAnsi="宋体" w:eastAsia="宋体" w:cs="宋体"/>
          <w:b/>
          <w:color w:val="auto"/>
          <w:sz w:val="24"/>
          <w:highlight w:val="none"/>
        </w:rPr>
      </w:pPr>
    </w:p>
    <w:p>
      <w:pPr>
        <w:spacing w:line="480" w:lineRule="auto"/>
        <w:jc w:val="center"/>
        <w:rPr>
          <w:rFonts w:hint="eastAsia" w:ascii="宋体" w:hAnsi="宋体" w:eastAsia="宋体" w:cs="宋体"/>
          <w:b/>
          <w:color w:val="auto"/>
          <w:sz w:val="24"/>
          <w:highlight w:val="none"/>
        </w:rPr>
      </w:pPr>
    </w:p>
    <w:p>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pPr>
        <w:pStyle w:val="700"/>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pPr>
        <w:spacing w:before="120" w:line="22" w:lineRule="atLeast"/>
        <w:rPr>
          <w:rFonts w:hint="eastAsia" w:ascii="宋体" w:hAnsi="宋体" w:eastAsia="宋体" w:cs="宋体"/>
          <w:color w:val="auto"/>
          <w:sz w:val="24"/>
          <w:highlight w:val="none"/>
        </w:rPr>
      </w:pPr>
    </w:p>
    <w:p>
      <w:pPr>
        <w:pStyle w:val="4"/>
        <w:rPr>
          <w:rFonts w:hint="eastAsia" w:ascii="宋体" w:hAnsi="宋体" w:eastAsia="宋体" w:cs="宋体"/>
          <w:color w:val="auto"/>
          <w:highlight w:val="none"/>
        </w:rPr>
      </w:pPr>
    </w:p>
    <w:p>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pPr>
        <w:pStyle w:val="597"/>
        <w:spacing w:before="120" w:line="22" w:lineRule="atLeast"/>
        <w:rPr>
          <w:rFonts w:hint="eastAsia" w:ascii="宋体" w:hAnsi="宋体" w:eastAsia="宋体" w:cs="宋体"/>
          <w:color w:val="auto"/>
          <w:szCs w:val="24"/>
          <w:highlight w:val="none"/>
        </w:rPr>
      </w:pPr>
    </w:p>
    <w:p>
      <w:pPr>
        <w:pStyle w:val="597"/>
        <w:spacing w:before="120" w:line="22" w:lineRule="atLeast"/>
        <w:rPr>
          <w:rFonts w:hint="eastAsia" w:ascii="宋体" w:hAnsi="宋体" w:eastAsia="宋体" w:cs="宋体"/>
          <w:color w:val="auto"/>
          <w:szCs w:val="24"/>
          <w:highlight w:val="none"/>
        </w:rPr>
      </w:pPr>
    </w:p>
    <w:p>
      <w:pPr>
        <w:rPr>
          <w:rFonts w:hint="eastAsia" w:ascii="宋体" w:hAnsi="宋体" w:eastAsia="宋体" w:cs="宋体"/>
          <w:color w:val="auto"/>
          <w:sz w:val="24"/>
          <w:highlight w:val="none"/>
        </w:rPr>
      </w:pPr>
    </w:p>
    <w:p>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pPr>
        <w:spacing w:before="120" w:line="22" w:lineRule="atLeast"/>
        <w:rPr>
          <w:rFonts w:hint="eastAsia" w:ascii="宋体" w:hAnsi="宋体" w:eastAsia="宋体" w:cs="宋体"/>
          <w:color w:val="auto"/>
          <w:sz w:val="24"/>
          <w:highlight w:val="none"/>
        </w:rPr>
      </w:pPr>
    </w:p>
    <w:p>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pPr>
        <w:spacing w:before="120" w:line="22" w:lineRule="atLeast"/>
        <w:rPr>
          <w:rFonts w:hint="eastAsia" w:ascii="宋体" w:hAnsi="宋体" w:eastAsia="宋体" w:cs="宋体"/>
          <w:color w:val="auto"/>
          <w:sz w:val="24"/>
          <w:highlight w:val="none"/>
        </w:rPr>
      </w:pPr>
    </w:p>
    <w:p>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pPr>
        <w:spacing w:before="120" w:line="22" w:lineRule="atLeast"/>
        <w:rPr>
          <w:rFonts w:hint="eastAsia" w:ascii="宋体" w:hAnsi="宋体" w:eastAsia="宋体" w:cs="宋体"/>
          <w:color w:val="auto"/>
          <w:sz w:val="24"/>
          <w:highlight w:val="none"/>
        </w:rPr>
      </w:pPr>
    </w:p>
    <w:p>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pPr>
        <w:widowControl/>
        <w:jc w:val="left"/>
        <w:rPr>
          <w:rFonts w:hint="eastAsia" w:ascii="宋体" w:hAnsi="宋体" w:eastAsia="宋体" w:cs="宋体"/>
          <w:color w:val="auto"/>
          <w:kern w:val="0"/>
          <w:sz w:val="24"/>
          <w:highlight w:val="none"/>
        </w:rPr>
        <w:sectPr>
          <w:headerReference r:id="rId8" w:type="default"/>
          <w:footerReference r:id="rId9" w:type="default"/>
          <w:pgSz w:w="11907" w:h="16840"/>
          <w:pgMar w:top="1474" w:right="1814" w:bottom="1474" w:left="1814" w:header="851" w:footer="851" w:gutter="0"/>
          <w:cols w:space="720" w:num="1"/>
        </w:sectPr>
      </w:pPr>
    </w:p>
    <w:p>
      <w:pPr>
        <w:rPr>
          <w:rFonts w:hint="eastAsia" w:ascii="宋体" w:hAnsi="宋体" w:eastAsia="宋体" w:cs="宋体"/>
          <w:b/>
          <w:color w:val="auto"/>
          <w:sz w:val="24"/>
          <w:highlight w:val="none"/>
        </w:rPr>
      </w:pP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古镇景区保洁绿化养护服务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（中标或者成交供应商名称） </w:t>
      </w:r>
      <w:r>
        <w:rPr>
          <w:rFonts w:hint="eastAsia" w:ascii="宋体" w:hAnsi="宋体" w:eastAsia="宋体" w:cs="宋体"/>
          <w:color w:val="auto"/>
          <w:sz w:val="24"/>
          <w:highlight w:val="none"/>
        </w:rPr>
        <w:t>为该项目中标或者成交供应商。现于中标或者成交通知书发出之日起10个工作日内，按照采购文件确定的事项签订本合同。</w:t>
      </w:r>
      <w:r>
        <w:rPr>
          <w:rFonts w:hint="eastAsia" w:ascii="宋体" w:hAnsi="宋体" w:eastAsia="宋体" w:cs="宋体"/>
          <w:b/>
          <w:color w:val="auto"/>
          <w:sz w:val="24"/>
          <w:highlight w:val="none"/>
        </w:rPr>
        <w:t>合同签订依据为相关法律法规文件、招标文件、乙方投标文件等，合同条款有与前者冲突的，以前者为准。</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（中或者成交标供应商名称）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pPr>
        <w:spacing w:line="560" w:lineRule="exact"/>
        <w:ind w:firstLine="482" w:firstLineChars="200"/>
        <w:outlineLvl w:val="0"/>
        <w:rPr>
          <w:rFonts w:hint="eastAsia" w:ascii="宋体" w:hAnsi="宋体" w:eastAsia="宋体" w:cs="宋体"/>
          <w:color w:val="auto"/>
          <w:sz w:val="24"/>
          <w:highlight w:val="none"/>
        </w:rPr>
      </w:pPr>
      <w:bookmarkStart w:id="29" w:name="_Toc19273"/>
      <w:bookmarkStart w:id="30" w:name="_Toc15367"/>
      <w:bookmarkStart w:id="31" w:name="_Toc22967"/>
      <w:bookmarkStart w:id="32" w:name="_Toc28855"/>
      <w:bookmarkStart w:id="33" w:name="_Toc20421"/>
      <w:r>
        <w:rPr>
          <w:rFonts w:hint="eastAsia" w:ascii="宋体" w:hAnsi="宋体" w:eastAsia="宋体" w:cs="宋体"/>
          <w:b/>
          <w:color w:val="auto"/>
          <w:sz w:val="24"/>
          <w:highlight w:val="none"/>
        </w:rPr>
        <w:t>1.1 合同组成部分</w:t>
      </w:r>
      <w:bookmarkEnd w:id="29"/>
      <w:bookmarkEnd w:id="30"/>
      <w:bookmarkEnd w:id="31"/>
      <w:bookmarkEnd w:id="32"/>
      <w:bookmarkEnd w:id="33"/>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中标或者成交通知书；</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投标或者响应文件（含澄清或者说明文件）；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采购文件（含澄清或者修改文件）；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pPr>
        <w:spacing w:line="560" w:lineRule="exact"/>
        <w:ind w:firstLine="482" w:firstLineChars="200"/>
        <w:outlineLvl w:val="0"/>
        <w:rPr>
          <w:rFonts w:hint="eastAsia" w:ascii="宋体" w:hAnsi="宋体" w:eastAsia="宋体" w:cs="宋体"/>
          <w:b/>
          <w:color w:val="auto"/>
          <w:sz w:val="24"/>
          <w:highlight w:val="none"/>
        </w:rPr>
      </w:pPr>
      <w:bookmarkStart w:id="34" w:name="_Toc6773"/>
      <w:bookmarkStart w:id="35" w:name="_Toc6311"/>
      <w:bookmarkStart w:id="36" w:name="_Toc18585"/>
      <w:bookmarkStart w:id="37" w:name="_Toc2918"/>
      <w:bookmarkStart w:id="38" w:name="_Toc22185"/>
      <w:r>
        <w:rPr>
          <w:rFonts w:hint="eastAsia" w:ascii="宋体" w:hAnsi="宋体" w:eastAsia="宋体" w:cs="宋体"/>
          <w:b/>
          <w:color w:val="auto"/>
          <w:sz w:val="24"/>
          <w:highlight w:val="none"/>
        </w:rPr>
        <w:t>1.2 标的</w:t>
      </w:r>
      <w:bookmarkEnd w:id="34"/>
      <w:bookmarkEnd w:id="35"/>
      <w:bookmarkEnd w:id="36"/>
      <w:bookmarkEnd w:id="37"/>
      <w:bookmarkEnd w:id="38"/>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服务内容：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服务标准：</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1.2.3 技术保障：</w:t>
      </w:r>
      <w:r>
        <w:rPr>
          <w:rFonts w:hint="eastAsia" w:ascii="宋体" w:hAnsi="宋体" w:eastAsia="宋体" w:cs="宋体"/>
          <w:color w:val="auto"/>
          <w:sz w:val="24"/>
          <w:highlight w:val="none"/>
          <w:u w:val="single"/>
        </w:rPr>
        <w:t>　　　　　　　　　                      　      ；</w:t>
      </w:r>
    </w:p>
    <w:p>
      <w:pPr>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1.2.4 服务人员组成：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pStyle w:val="95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1.2.5合同</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（是/否）涉及货物。若涉及货物的的，则：</w:t>
      </w:r>
    </w:p>
    <w:p>
      <w:pPr>
        <w:spacing w:line="560" w:lineRule="exact"/>
        <w:ind w:firstLine="480" w:firstLineChars="200"/>
        <w:rPr>
          <w:rFonts w:hint="eastAsia" w:ascii="宋体" w:hAnsi="宋体" w:eastAsia="宋体" w:cs="宋体"/>
          <w:color w:val="auto"/>
          <w:sz w:val="24"/>
          <w:highlight w:val="none"/>
          <w:u w:val="single"/>
        </w:rPr>
      </w:pPr>
      <w:bookmarkStart w:id="39" w:name="_Toc4929"/>
      <w:bookmarkStart w:id="40" w:name="_Toc5635"/>
      <w:bookmarkStart w:id="41" w:name="_Toc1386"/>
      <w:bookmarkStart w:id="42" w:name="_Toc13918"/>
      <w:bookmarkStart w:id="43" w:name="_Toc21124"/>
      <w:r>
        <w:rPr>
          <w:rFonts w:hint="eastAsia" w:ascii="宋体" w:hAnsi="宋体" w:eastAsia="宋体" w:cs="宋体"/>
          <w:color w:val="auto"/>
          <w:sz w:val="24"/>
          <w:highlight w:val="none"/>
        </w:rPr>
        <w:t>1.2.5.1 货物名称、品牌、规格型号、花色：</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1.2.5.2 货物数量：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1.2.5.3 货物质量：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 价款</w:t>
      </w:r>
      <w:bookmarkEnd w:id="39"/>
      <w:bookmarkEnd w:id="40"/>
      <w:bookmarkEnd w:id="41"/>
      <w:bookmarkEnd w:id="42"/>
      <w:bookmarkEnd w:id="43"/>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本项目采用以下第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条款规定的计价方式计价。</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1.3.1总价合同，本合同总价（含税）为：￥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vAlign w:val="center"/>
          </w:tcPr>
          <w:p>
            <w:pPr>
              <w:pStyle w:val="318"/>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vAlign w:val="center"/>
          </w:tcPr>
          <w:p>
            <w:pPr>
              <w:pStyle w:val="318"/>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8"/>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vAlign w:val="center"/>
          </w:tcPr>
          <w:p>
            <w:pPr>
              <w:pStyle w:val="318"/>
              <w:spacing w:line="560" w:lineRule="exact"/>
              <w:ind w:firstLine="200"/>
              <w:jc w:val="center"/>
              <w:rPr>
                <w:rFonts w:hint="eastAsia" w:ascii="宋体" w:hAnsi="宋体" w:eastAsia="宋体" w:cs="宋体"/>
                <w:color w:val="auto"/>
                <w:sz w:val="24"/>
                <w:szCs w:val="24"/>
                <w:highlight w:val="none"/>
              </w:rPr>
            </w:pPr>
          </w:p>
        </w:tc>
      </w:tr>
    </w:tbl>
    <w:p>
      <w:pPr>
        <w:spacing w:line="560" w:lineRule="exact"/>
        <w:ind w:firstLine="480" w:firstLineChars="200"/>
        <w:rPr>
          <w:rFonts w:hint="eastAsia" w:ascii="宋体" w:hAnsi="宋体" w:eastAsia="宋体" w:cs="宋体"/>
          <w:color w:val="auto"/>
          <w:sz w:val="24"/>
          <w:highlight w:val="none"/>
        </w:rPr>
      </w:pPr>
      <w:bookmarkStart w:id="44" w:name="_Toc30158"/>
      <w:bookmarkStart w:id="45" w:name="_Toc30506"/>
      <w:bookmarkStart w:id="46" w:name="_Toc26916"/>
      <w:bookmarkStart w:id="47" w:name="_Toc3654"/>
      <w:bookmarkStart w:id="48" w:name="_Toc14993"/>
      <w:r>
        <w:rPr>
          <w:rFonts w:hint="eastAsia" w:ascii="宋体" w:hAnsi="宋体" w:eastAsia="宋体" w:cs="宋体"/>
          <w:bCs/>
          <w:color w:val="auto"/>
          <w:sz w:val="24"/>
          <w:highlight w:val="none"/>
        </w:rPr>
        <w:t>1.3.2单价合同，本合同单价（含税）标准为：</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。服务工作量的计量方式为：</w:t>
      </w:r>
      <w:r>
        <w:rPr>
          <w:rFonts w:hint="eastAsia" w:ascii="宋体" w:hAnsi="宋体" w:eastAsia="宋体" w:cs="宋体"/>
          <w:bCs/>
          <w:color w:val="auto"/>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。单价合同，在合同履行期间内，根据实际完成的工作量据实结算，但结算总价上限不得超过预算金额或者双方确定的金额￥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pPr>
        <w:pStyle w:val="4"/>
        <w:rPr>
          <w:rFonts w:hint="eastAsia" w:ascii="宋体" w:hAnsi="宋体" w:eastAsia="宋体" w:cs="宋体"/>
          <w:color w:val="auto"/>
          <w:highlight w:val="none"/>
          <w:lang w:val="en-US"/>
        </w:rPr>
      </w:pPr>
      <w:r>
        <w:rPr>
          <w:rFonts w:hint="eastAsia" w:ascii="宋体" w:hAnsi="宋体" w:eastAsia="宋体" w:cs="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4"/>
    <w:bookmarkEnd w:id="45"/>
    <w:bookmarkEnd w:id="46"/>
    <w:bookmarkEnd w:id="47"/>
    <w:bookmarkEnd w:id="48"/>
    <w:p>
      <w:pPr>
        <w:pStyle w:val="958"/>
        <w:spacing w:before="0" w:beforeAutospacing="0" w:after="0" w:afterAutospacing="0" w:line="360" w:lineRule="auto"/>
        <w:ind w:firstLine="480"/>
        <w:rPr>
          <w:rFonts w:hint="eastAsia" w:ascii="宋体" w:hAnsi="宋体" w:eastAsia="宋体" w:cs="宋体"/>
          <w:b/>
          <w:color w:val="auto"/>
          <w:highlight w:val="none"/>
        </w:rPr>
      </w:pPr>
      <w:bookmarkStart w:id="49" w:name="_Toc22618"/>
      <w:bookmarkStart w:id="50" w:name="_Toc1814"/>
      <w:bookmarkStart w:id="51" w:name="_Toc10340"/>
      <w:bookmarkStart w:id="52" w:name="_Toc31421"/>
      <w:bookmarkStart w:id="53" w:name="_Toc3625"/>
      <w:bookmarkStart w:id="54" w:name="_Toc4760"/>
      <w:bookmarkStart w:id="55" w:name="_Toc8772"/>
      <w:bookmarkStart w:id="56" w:name="_Toc11108"/>
      <w:r>
        <w:rPr>
          <w:rFonts w:hint="eastAsia" w:ascii="宋体" w:hAnsi="宋体" w:eastAsia="宋体" w:cs="宋体"/>
          <w:b/>
          <w:color w:val="auto"/>
          <w:highlight w:val="none"/>
        </w:rPr>
        <w:t>1.4履约保证金</w:t>
      </w:r>
    </w:p>
    <w:p>
      <w:pPr>
        <w:pStyle w:val="95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（是/否）需要支付履约保证金。若需要支付履约保证金的，则：</w:t>
      </w:r>
    </w:p>
    <w:p>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1.4.1履约保证金的比例为合同金额的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1.4.2履约保证金支付方式详见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pPr>
        <w:pStyle w:val="4"/>
        <w:tabs>
          <w:tab w:val="left" w:pos="0"/>
        </w:tabs>
        <w:spacing w:line="560" w:lineRule="exact"/>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1.4.4甲方在项目验收结束后及时退还履约保证金。甲方在项目通过验收之日起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highlight w:val="none"/>
          <w:u w:val="single"/>
        </w:rPr>
        <w:t xml:space="preserve">  0.05（可根据情况修改）  </w:t>
      </w:r>
      <w:r>
        <w:rPr>
          <w:rFonts w:hint="eastAsia" w:ascii="宋体" w:hAnsi="宋体" w:eastAsia="宋体" w:cs="宋体"/>
          <w:color w:val="auto"/>
          <w:kern w:val="0"/>
          <w:sz w:val="24"/>
          <w:highlight w:val="none"/>
        </w:rPr>
        <w:t>%计算，最高限额为本合同履约保证金的</w:t>
      </w:r>
      <w:r>
        <w:rPr>
          <w:rFonts w:hint="eastAsia" w:ascii="宋体" w:hAnsi="宋体" w:eastAsia="宋体" w:cs="宋体"/>
          <w:color w:val="auto"/>
          <w:kern w:val="0"/>
          <w:sz w:val="24"/>
          <w:highlight w:val="none"/>
          <w:u w:val="single"/>
        </w:rPr>
        <w:t xml:space="preserve">  20  </w:t>
      </w:r>
      <w:r>
        <w:rPr>
          <w:rFonts w:hint="eastAsia" w:ascii="宋体" w:hAnsi="宋体" w:eastAsia="宋体" w:cs="宋体"/>
          <w:color w:val="auto"/>
          <w:kern w:val="0"/>
          <w:sz w:val="24"/>
          <w:highlight w:val="none"/>
        </w:rPr>
        <w:t xml:space="preserve"> %。</w:t>
      </w:r>
    </w:p>
    <w:p>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w:t>
      </w:r>
      <w:bookmarkEnd w:id="49"/>
      <w:bookmarkEnd w:id="50"/>
      <w:bookmarkEnd w:id="51"/>
      <w:r>
        <w:rPr>
          <w:rFonts w:hint="eastAsia" w:ascii="宋体" w:hAnsi="宋体" w:eastAsia="宋体" w:cs="宋体"/>
          <w:b/>
          <w:color w:val="auto"/>
          <w:sz w:val="24"/>
          <w:highlight w:val="none"/>
        </w:rPr>
        <w:t>预付款</w:t>
      </w:r>
    </w:p>
    <w:p>
      <w:pPr>
        <w:pStyle w:val="95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（是/否）需要支付预付款。若需要支付预付款的，则：</w:t>
      </w:r>
    </w:p>
    <w:p>
      <w:pPr>
        <w:spacing w:line="56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1.5.1预付款比例、支付方式、时间详见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pPr>
        <w:pStyle w:val="95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1.5.2预付款的扣回方式详见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pPr>
        <w:pStyle w:val="958"/>
        <w:spacing w:before="0" w:beforeAutospacing="0" w:after="0" w:afterAutospacing="0" w:line="360" w:lineRule="auto"/>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1.5.3预付款的担保措施详见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pPr>
        <w:pStyle w:val="958"/>
        <w:spacing w:before="0" w:beforeAutospacing="0" w:after="0" w:afterAutospacing="0" w:line="360" w:lineRule="auto"/>
        <w:ind w:firstLine="480"/>
        <w:rPr>
          <w:rFonts w:hint="eastAsia" w:ascii="宋体" w:hAnsi="宋体" w:eastAsia="宋体" w:cs="宋体"/>
          <w:b/>
          <w:bCs/>
          <w:color w:val="auto"/>
          <w:highlight w:val="none"/>
        </w:rPr>
      </w:pPr>
      <w:r>
        <w:rPr>
          <w:rFonts w:hint="eastAsia" w:ascii="宋体" w:hAnsi="宋体" w:eastAsia="宋体" w:cs="宋体"/>
          <w:b/>
          <w:bCs/>
          <w:color w:val="auto"/>
          <w:highlight w:val="none"/>
        </w:rPr>
        <w:t>1.6资金支付</w:t>
      </w:r>
    </w:p>
    <w:p>
      <w:pPr>
        <w:pStyle w:val="95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hint="eastAsia" w:ascii="宋体" w:hAnsi="宋体" w:eastAsia="宋体" w:cs="宋体"/>
          <w:b/>
          <w:color w:val="auto"/>
          <w:sz w:val="24"/>
          <w:highlight w:val="none"/>
        </w:rPr>
      </w:pPr>
      <w:r>
        <w:rPr>
          <w:rFonts w:hint="eastAsia" w:ascii="宋体" w:hAnsi="宋体" w:eastAsia="宋体" w:cs="宋体"/>
          <w:color w:val="auto"/>
          <w:sz w:val="24"/>
          <w:highlight w:val="none"/>
        </w:rPr>
        <w:t>1.6.2资金支付的方式、时间和条件详见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以经塘栖镇根据政府采购法等相关规定审核通过的合同相应条款为准。</w:t>
      </w:r>
    </w:p>
    <w:p>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 履行期限、地点和方式</w:t>
      </w:r>
      <w:bookmarkEnd w:id="52"/>
      <w:bookmarkEnd w:id="53"/>
      <w:bookmarkEnd w:id="54"/>
      <w:bookmarkEnd w:id="55"/>
      <w:bookmarkEnd w:id="56"/>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1.7.1 服务交付（实施）的时间（期限）：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服务交付（实施）的地点（地域范围）：</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1.7.3 服务交付（实施）的方式：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0" w:firstLineChars="200"/>
        <w:outlineLvl w:val="0"/>
        <w:rPr>
          <w:rFonts w:hint="eastAsia" w:ascii="宋体" w:hAnsi="宋体" w:eastAsia="宋体" w:cs="宋体"/>
          <w:bCs/>
          <w:color w:val="auto"/>
          <w:sz w:val="24"/>
          <w:highlight w:val="none"/>
        </w:rPr>
      </w:pPr>
      <w:bookmarkStart w:id="57" w:name="_Toc8586"/>
      <w:bookmarkStart w:id="58" w:name="_Toc24662"/>
      <w:bookmarkStart w:id="59" w:name="_Toc3079"/>
      <w:bookmarkStart w:id="60" w:name="_Toc2375"/>
      <w:bookmarkStart w:id="61" w:name="_Toc5698"/>
      <w:r>
        <w:rPr>
          <w:rFonts w:hint="eastAsia" w:ascii="宋体" w:hAnsi="宋体" w:eastAsia="宋体" w:cs="宋体"/>
          <w:bCs/>
          <w:color w:val="auto"/>
          <w:sz w:val="24"/>
          <w:highlight w:val="none"/>
        </w:rPr>
        <w:t>1.7.4若服务涉及货物的，则货物的：</w:t>
      </w:r>
    </w:p>
    <w:p>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1.7.4.1 交付期限：详见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1.7.4.2 交付地点：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1.7.4.3 交付方式：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pStyle w:val="138"/>
        <w:snapToGrid w:val="0"/>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1.8、考核扣款：</w:t>
      </w:r>
    </w:p>
    <w:p>
      <w:pPr>
        <w:pStyle w:val="138"/>
        <w:snapToGrid w:val="0"/>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1.8.1、根据市级检查采纳的环卫类行业问题进行扣款，市级1000元/每件，区级500元/每件；</w:t>
      </w:r>
    </w:p>
    <w:p>
      <w:pPr>
        <w:pStyle w:val="138"/>
        <w:snapToGrid w:val="0"/>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1.8.2、区城市管理领导小组办公室每月组织养护项目“红黑榜”评比，黑榜标段每次扣款1万元；</w:t>
      </w:r>
    </w:p>
    <w:p>
      <w:pPr>
        <w:pStyle w:val="138"/>
        <w:snapToGrid w:val="0"/>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1.8.3、根据临平区分级分类考核办法，区级对镇街按照考核排名进行扣款，各镇街根据区级标段考核成绩以及镇街内日常检查情况对各标段实施扣款，扣款总金额不应少于区级扣款。其他扣款方式可由镇街结合实际自行制定增加。</w:t>
      </w:r>
    </w:p>
    <w:p>
      <w:pPr>
        <w:pStyle w:val="138"/>
        <w:snapToGrid w:val="0"/>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1.8.4、标准落实：</w:t>
      </w:r>
    </w:p>
    <w:p>
      <w:pPr>
        <w:pStyle w:val="138"/>
        <w:snapToGrid w:val="0"/>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在日常养护过程中，经查实作业人员、作业设备未达到投标文件约定的，人员每少1%或设备每少1台的应扣除总合同价的1%；作业遍次未达到要求的，每次扣0.5万元     </w:t>
      </w:r>
    </w:p>
    <w:p>
      <w:pPr>
        <w:pStyle w:val="138"/>
        <w:snapToGrid w:val="0"/>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1.8.5、清退机制</w:t>
      </w:r>
    </w:p>
    <w:p>
      <w:pPr>
        <w:pStyle w:val="138"/>
        <w:snapToGrid w:val="0"/>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建立清退机制，对挂靠、串标、分包等扰乱市场、影响管养水平的严重违规行为，从合同源头纳入清退标准，营造良性的竞争市场。本年度内“洁化、绿化、市政”同一标段“黑榜”连续3次或累计6次，区城市管理领导小组办公室以“城市管理建议函”的形式，函告镇街本年度合同结束后建议在同一标段不再使用同一企业。</w:t>
      </w:r>
    </w:p>
    <w:p>
      <w:pPr>
        <w:spacing w:line="560" w:lineRule="exact"/>
        <w:ind w:firstLine="482" w:firstLineChars="200"/>
        <w:outlineLvl w:val="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1.9违约责任</w:t>
      </w:r>
      <w:bookmarkEnd w:id="57"/>
      <w:bookmarkEnd w:id="58"/>
      <w:bookmarkEnd w:id="59"/>
      <w:bookmarkEnd w:id="60"/>
      <w:bookmarkEnd w:id="61"/>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highlight w:val="none"/>
          <w:u w:val="single"/>
        </w:rPr>
        <w:t xml:space="preserve">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pPr>
        <w:pStyle w:val="4"/>
        <w:ind w:left="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1.9.2服务中涉及的货物，除不可抗力外，如果乙方没有按照本合同约定的期限、地点和方式交付货物，那么甲方可要求乙方支付违约金，违约金按每迟延交付货物一日的应交付而未交付货物价格的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w:t>
      </w:r>
      <w:r>
        <w:rPr>
          <w:rFonts w:hint="eastAsia" w:ascii="宋体" w:hAnsi="宋体" w:eastAsia="宋体" w:cs="宋体"/>
          <w:color w:val="auto"/>
          <w:kern w:val="0"/>
          <w:sz w:val="24"/>
          <w:highlight w:val="none"/>
          <w:u w:val="single"/>
        </w:rPr>
        <w:t>（可根据情况修改）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宋体" w:hAnsi="宋体" w:eastAsia="宋体" w:cs="宋体"/>
          <w:color w:val="auto"/>
          <w:sz w:val="24"/>
          <w:highlight w:val="none"/>
        </w:rPr>
      </w:pPr>
      <w:bookmarkStart w:id="62" w:name="_Toc9497"/>
      <w:bookmarkStart w:id="63" w:name="_Toc30329"/>
      <w:bookmarkStart w:id="64" w:name="_Toc18683"/>
      <w:bookmarkStart w:id="65" w:name="_Toc32454"/>
      <w:bookmarkStart w:id="66" w:name="_Toc26807"/>
      <w:r>
        <w:rPr>
          <w:rFonts w:hint="eastAsia" w:ascii="宋体" w:hAnsi="宋体" w:eastAsia="宋体" w:cs="宋体"/>
          <w:color w:val="auto"/>
          <w:sz w:val="24"/>
          <w:highlight w:val="none"/>
        </w:rPr>
        <w:t>1.9.4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1.9.7违约责任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bookmarkEnd w:id="62"/>
    <w:bookmarkEnd w:id="63"/>
    <w:bookmarkEnd w:id="64"/>
    <w:bookmarkEnd w:id="65"/>
    <w:bookmarkEnd w:id="66"/>
    <w:p>
      <w:pPr>
        <w:spacing w:line="560" w:lineRule="exact"/>
        <w:ind w:firstLine="482" w:firstLineChars="200"/>
        <w:outlineLvl w:val="0"/>
        <w:rPr>
          <w:rFonts w:hint="eastAsia" w:ascii="宋体" w:hAnsi="宋体" w:eastAsia="宋体" w:cs="宋体"/>
          <w:b/>
          <w:color w:val="auto"/>
          <w:sz w:val="24"/>
          <w:highlight w:val="none"/>
        </w:rPr>
      </w:pPr>
      <w:bookmarkStart w:id="67" w:name="_Toc28375"/>
      <w:bookmarkStart w:id="68" w:name="_Toc16021"/>
      <w:bookmarkStart w:id="69" w:name="_Toc15583"/>
      <w:r>
        <w:rPr>
          <w:rFonts w:hint="eastAsia" w:ascii="宋体" w:hAnsi="宋体" w:eastAsia="宋体" w:cs="宋体"/>
          <w:b/>
          <w:color w:val="auto"/>
          <w:sz w:val="24"/>
          <w:highlight w:val="none"/>
        </w:rPr>
        <w:t>2.0合同争议的解决</w:t>
      </w:r>
      <w:bookmarkEnd w:id="67"/>
      <w:bookmarkEnd w:id="68"/>
      <w:bookmarkEnd w:id="69"/>
    </w:p>
    <w:p>
      <w:pPr>
        <w:spacing w:line="560" w:lineRule="exact"/>
        <w:ind w:left="-61" w:leftChars="-29" w:right="-420" w:rightChars="-20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w:t>
      </w:r>
      <w:r>
        <w:rPr>
          <w:rFonts w:hint="eastAsia" w:ascii="宋体" w:hAnsi="宋体" w:eastAsia="宋体" w:cs="宋体"/>
          <w:color w:val="auto"/>
          <w:sz w:val="24"/>
          <w:highlight w:val="none"/>
        </w:rPr>
        <w:t>条款规定的方式解决：</w:t>
      </w:r>
    </w:p>
    <w:p>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2.01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2.02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pPr>
        <w:spacing w:line="560" w:lineRule="exact"/>
        <w:ind w:firstLine="482" w:firstLineChars="200"/>
        <w:outlineLvl w:val="0"/>
        <w:rPr>
          <w:rFonts w:hint="eastAsia" w:ascii="宋体" w:hAnsi="宋体" w:eastAsia="宋体" w:cs="宋体"/>
          <w:b/>
          <w:color w:val="auto"/>
          <w:sz w:val="24"/>
          <w:highlight w:val="none"/>
        </w:rPr>
      </w:pPr>
      <w:bookmarkStart w:id="70" w:name="_Toc11173"/>
      <w:bookmarkStart w:id="71" w:name="_Toc7245"/>
      <w:bookmarkStart w:id="72" w:name="_Toc15322"/>
      <w:r>
        <w:rPr>
          <w:rFonts w:hint="eastAsia" w:ascii="宋体" w:hAnsi="宋体" w:eastAsia="宋体" w:cs="宋体"/>
          <w:b/>
          <w:color w:val="auto"/>
          <w:sz w:val="24"/>
          <w:highlight w:val="none"/>
        </w:rPr>
        <w:t>2.1 合同生效</w:t>
      </w:r>
      <w:bookmarkEnd w:id="70"/>
      <w:bookmarkEnd w:id="71"/>
      <w:bookmarkEnd w:id="72"/>
    </w:p>
    <w:p>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本合同自双方当事人盖章签字时生效。</w:t>
      </w:r>
    </w:p>
    <w:p>
      <w:pPr>
        <w:autoSpaceDE w:val="0"/>
        <w:autoSpaceDN w:val="0"/>
        <w:spacing w:line="560" w:lineRule="exact"/>
        <w:rPr>
          <w:rFonts w:hint="eastAsia" w:ascii="宋体" w:hAnsi="宋体" w:eastAsia="宋体" w:cs="宋体"/>
          <w:color w:val="auto"/>
          <w:sz w:val="24"/>
          <w:highlight w:val="none"/>
          <w:lang w:val="zh-CN"/>
        </w:rPr>
      </w:pP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pPr>
        <w:autoSpaceDE w:val="0"/>
        <w:autoSpaceDN w:val="0"/>
        <w:spacing w:line="560" w:lineRule="exact"/>
        <w:rPr>
          <w:rFonts w:hint="eastAsia" w:ascii="宋体" w:hAnsi="宋体" w:eastAsia="宋体" w:cs="宋体"/>
          <w:color w:val="auto"/>
          <w:sz w:val="24"/>
          <w:highlight w:val="none"/>
          <w:lang w:val="zh-CN"/>
        </w:rPr>
      </w:pP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pPr>
        <w:widowControl/>
        <w:spacing w:line="560" w:lineRule="exact"/>
        <w:jc w:val="left"/>
        <w:rPr>
          <w:rFonts w:hint="eastAsia" w:ascii="宋体" w:hAnsi="宋体" w:eastAsia="宋体" w:cs="宋体"/>
          <w:b/>
          <w:color w:val="auto"/>
          <w:sz w:val="24"/>
          <w:highlight w:val="none"/>
        </w:rPr>
      </w:pPr>
    </w:p>
    <w:p>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highlight w:val="none"/>
        </w:rPr>
        <w:br w:type="page"/>
      </w:r>
    </w:p>
    <w:p>
      <w:pPr>
        <w:pStyle w:val="700"/>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pPr>
        <w:spacing w:line="560" w:lineRule="exact"/>
        <w:ind w:firstLine="482" w:firstLineChars="200"/>
        <w:outlineLvl w:val="0"/>
        <w:rPr>
          <w:rFonts w:hint="eastAsia" w:ascii="宋体" w:hAnsi="宋体" w:eastAsia="宋体" w:cs="宋体"/>
          <w:b/>
          <w:color w:val="auto"/>
          <w:sz w:val="24"/>
          <w:highlight w:val="none"/>
        </w:rPr>
      </w:pPr>
      <w:bookmarkStart w:id="73" w:name="_Toc14021"/>
      <w:bookmarkStart w:id="74" w:name="_Toc19680"/>
      <w:bookmarkStart w:id="75" w:name="_Toc5228"/>
      <w:bookmarkStart w:id="76" w:name="_Toc31297"/>
      <w:bookmarkStart w:id="77" w:name="_Toc25079"/>
      <w:r>
        <w:rPr>
          <w:rFonts w:hint="eastAsia" w:ascii="宋体" w:hAnsi="宋体" w:eastAsia="宋体" w:cs="宋体"/>
          <w:b/>
          <w:color w:val="auto"/>
          <w:sz w:val="24"/>
          <w:highlight w:val="none"/>
        </w:rPr>
        <w:t>2.1 定义</w:t>
      </w:r>
      <w:bookmarkEnd w:id="73"/>
      <w:bookmarkEnd w:id="74"/>
      <w:bookmarkEnd w:id="75"/>
      <w:bookmarkEnd w:id="76"/>
      <w:bookmarkEnd w:id="77"/>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“合同”系指采购人和中标或成交供应商签订的载明双方当事人所达成的协议，并包括所有的附件、附录和构成合同的其他文件。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“合同价”系指根据合同约定，中标或成交供应商在完全履行合同义务后，采购人应支付给中标或成交供应商的价格。</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pPr>
        <w:spacing w:line="560" w:lineRule="exact"/>
        <w:ind w:firstLine="482" w:firstLineChars="200"/>
        <w:outlineLvl w:val="0"/>
        <w:rPr>
          <w:rFonts w:hint="eastAsia" w:ascii="宋体" w:hAnsi="宋体" w:eastAsia="宋体" w:cs="宋体"/>
          <w:b/>
          <w:color w:val="auto"/>
          <w:sz w:val="24"/>
          <w:highlight w:val="none"/>
        </w:rPr>
      </w:pPr>
      <w:bookmarkStart w:id="78" w:name="_Toc23289"/>
      <w:bookmarkStart w:id="79" w:name="_Toc16752"/>
      <w:bookmarkStart w:id="80" w:name="_Toc19539"/>
      <w:bookmarkStart w:id="81" w:name="_Toc31402"/>
      <w:bookmarkStart w:id="82" w:name="_Toc3769"/>
      <w:r>
        <w:rPr>
          <w:rFonts w:hint="eastAsia" w:ascii="宋体" w:hAnsi="宋体" w:eastAsia="宋体" w:cs="宋体"/>
          <w:b/>
          <w:color w:val="auto"/>
          <w:sz w:val="24"/>
          <w:highlight w:val="none"/>
        </w:rPr>
        <w:t>2.2 技术规范</w:t>
      </w:r>
      <w:bookmarkEnd w:id="78"/>
      <w:bookmarkEnd w:id="79"/>
      <w:bookmarkEnd w:id="80"/>
      <w:bookmarkEnd w:id="81"/>
      <w:bookmarkEnd w:id="82"/>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宋体" w:hAnsi="宋体" w:eastAsia="宋体" w:cs="宋体"/>
          <w:b/>
          <w:color w:val="auto"/>
          <w:sz w:val="24"/>
          <w:highlight w:val="none"/>
        </w:rPr>
      </w:pPr>
      <w:bookmarkStart w:id="83" w:name="_Toc9161"/>
      <w:bookmarkStart w:id="84" w:name="_Toc13673"/>
      <w:bookmarkStart w:id="85" w:name="_Toc4133"/>
      <w:bookmarkStart w:id="86" w:name="_Toc12412"/>
      <w:bookmarkStart w:id="87" w:name="_Toc27945"/>
      <w:r>
        <w:rPr>
          <w:rFonts w:hint="eastAsia" w:ascii="宋体" w:hAnsi="宋体" w:eastAsia="宋体" w:cs="宋体"/>
          <w:b/>
          <w:color w:val="auto"/>
          <w:sz w:val="24"/>
          <w:highlight w:val="none"/>
        </w:rPr>
        <w:t>2.3 知识产权</w:t>
      </w:r>
      <w:bookmarkEnd w:id="83"/>
      <w:bookmarkEnd w:id="84"/>
      <w:bookmarkEnd w:id="85"/>
      <w:bookmarkEnd w:id="86"/>
      <w:bookmarkEnd w:id="87"/>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宋体" w:hAnsi="宋体" w:eastAsia="宋体" w:cs="宋体"/>
          <w:b/>
          <w:color w:val="auto"/>
          <w:sz w:val="24"/>
          <w:highlight w:val="none"/>
        </w:rPr>
      </w:pPr>
      <w:bookmarkStart w:id="88" w:name="_Toc32670"/>
      <w:bookmarkStart w:id="89" w:name="_Toc22011"/>
      <w:bookmarkStart w:id="90" w:name="_Toc26555"/>
      <w:bookmarkStart w:id="91" w:name="_Toc31233"/>
      <w:bookmarkStart w:id="92" w:name="_Toc15447"/>
      <w:r>
        <w:rPr>
          <w:rFonts w:hint="eastAsia" w:ascii="宋体" w:hAnsi="宋体" w:eastAsia="宋体" w:cs="宋体"/>
          <w:b/>
          <w:color w:val="auto"/>
          <w:sz w:val="24"/>
          <w:highlight w:val="none"/>
        </w:rPr>
        <w:t>2.5 结算方式和付款条件</w:t>
      </w:r>
      <w:bookmarkEnd w:id="88"/>
      <w:bookmarkEnd w:id="89"/>
      <w:bookmarkEnd w:id="90"/>
      <w:bookmarkEnd w:id="91"/>
      <w:bookmarkEnd w:id="92"/>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bookmarkStart w:id="93" w:name="_Toc30507"/>
      <w:bookmarkStart w:id="94" w:name="_Toc18990"/>
      <w:bookmarkStart w:id="95" w:name="_Toc16163"/>
      <w:bookmarkStart w:id="96" w:name="_Toc13154"/>
      <w:bookmarkStart w:id="97" w:name="_Toc13467"/>
      <w:r>
        <w:rPr>
          <w:rFonts w:hint="eastAsia" w:ascii="宋体" w:hAnsi="宋体" w:eastAsia="宋体" w:cs="宋体"/>
          <w:b/>
          <w:color w:val="auto"/>
          <w:sz w:val="24"/>
          <w:highlight w:val="none"/>
        </w:rPr>
        <w:t>2.6 技术资料和保密义务</w:t>
      </w:r>
      <w:bookmarkEnd w:id="93"/>
      <w:bookmarkEnd w:id="94"/>
      <w:bookmarkEnd w:id="95"/>
      <w:bookmarkEnd w:id="96"/>
      <w:bookmarkEnd w:id="97"/>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宋体" w:hAnsi="宋体" w:eastAsia="宋体" w:cs="宋体"/>
          <w:b/>
          <w:color w:val="auto"/>
          <w:sz w:val="24"/>
          <w:highlight w:val="none"/>
        </w:rPr>
      </w:pPr>
      <w:bookmarkStart w:id="98" w:name="_Toc19069"/>
      <w:r>
        <w:rPr>
          <w:rFonts w:hint="eastAsia" w:ascii="宋体" w:hAnsi="宋体" w:eastAsia="宋体" w:cs="宋体"/>
          <w:b/>
          <w:color w:val="auto"/>
          <w:sz w:val="24"/>
          <w:highlight w:val="none"/>
        </w:rPr>
        <w:t>2.7 质量保证</w:t>
      </w:r>
      <w:bookmarkEnd w:id="98"/>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宋体" w:hAnsi="宋体" w:eastAsia="宋体" w:cs="宋体"/>
          <w:b/>
          <w:color w:val="auto"/>
          <w:sz w:val="24"/>
          <w:highlight w:val="none"/>
        </w:rPr>
      </w:pPr>
      <w:bookmarkStart w:id="99" w:name="_Toc22267"/>
      <w:r>
        <w:rPr>
          <w:rFonts w:hint="eastAsia" w:ascii="宋体" w:hAnsi="宋体" w:eastAsia="宋体" w:cs="宋体"/>
          <w:b/>
          <w:color w:val="auto"/>
          <w:sz w:val="24"/>
          <w:highlight w:val="none"/>
        </w:rPr>
        <w:t>2.8 延迟履行</w:t>
      </w:r>
      <w:bookmarkEnd w:id="99"/>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宋体" w:hAnsi="宋体" w:eastAsia="宋体" w:cs="宋体"/>
          <w:b/>
          <w:color w:val="auto"/>
          <w:sz w:val="24"/>
          <w:highlight w:val="none"/>
        </w:rPr>
      </w:pPr>
      <w:bookmarkStart w:id="100" w:name="_Toc10611"/>
      <w:r>
        <w:rPr>
          <w:rFonts w:hint="eastAsia" w:ascii="宋体" w:hAnsi="宋体" w:eastAsia="宋体" w:cs="宋体"/>
          <w:b/>
          <w:color w:val="auto"/>
          <w:sz w:val="24"/>
          <w:highlight w:val="none"/>
        </w:rPr>
        <w:t>2.9 合同变更</w:t>
      </w:r>
      <w:bookmarkEnd w:id="10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宋体" w:hAnsi="宋体" w:eastAsia="宋体" w:cs="宋体"/>
          <w:b/>
          <w:color w:val="auto"/>
          <w:sz w:val="24"/>
          <w:highlight w:val="none"/>
        </w:rPr>
      </w:pPr>
      <w:bookmarkStart w:id="101" w:name="_Toc21830"/>
      <w:bookmarkStart w:id="102" w:name="_Toc42"/>
      <w:bookmarkStart w:id="103" w:name="_Toc10663"/>
      <w:bookmarkStart w:id="104" w:name="_Toc26689"/>
      <w:bookmarkStart w:id="105" w:name="_Toc23368"/>
      <w:r>
        <w:rPr>
          <w:rFonts w:hint="eastAsia" w:ascii="宋体" w:hAnsi="宋体" w:eastAsia="宋体" w:cs="宋体"/>
          <w:b/>
          <w:color w:val="auto"/>
          <w:sz w:val="24"/>
          <w:highlight w:val="none"/>
        </w:rPr>
        <w:t>2.10 合同转让和分包</w:t>
      </w:r>
      <w:bookmarkEnd w:id="101"/>
      <w:bookmarkEnd w:id="102"/>
      <w:bookmarkEnd w:id="103"/>
      <w:bookmarkEnd w:id="104"/>
      <w:bookmarkEnd w:id="105"/>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宋体" w:hAnsi="宋体" w:eastAsia="宋体" w:cs="宋体"/>
          <w:b/>
          <w:color w:val="auto"/>
          <w:sz w:val="24"/>
          <w:highlight w:val="none"/>
        </w:rPr>
      </w:pPr>
      <w:bookmarkStart w:id="106" w:name="_Toc14371"/>
      <w:bookmarkStart w:id="107" w:name="_Toc32494"/>
      <w:bookmarkStart w:id="108" w:name="_Toc26633"/>
      <w:bookmarkStart w:id="109" w:name="_Toc25571"/>
      <w:bookmarkStart w:id="110" w:name="_Toc4720"/>
      <w:r>
        <w:rPr>
          <w:rFonts w:hint="eastAsia" w:ascii="宋体" w:hAnsi="宋体" w:eastAsia="宋体" w:cs="宋体"/>
          <w:b/>
          <w:color w:val="auto"/>
          <w:sz w:val="24"/>
          <w:highlight w:val="none"/>
        </w:rPr>
        <w:t>2.11 不可抗力</w:t>
      </w:r>
      <w:bookmarkEnd w:id="106"/>
      <w:bookmarkEnd w:id="107"/>
      <w:bookmarkEnd w:id="108"/>
      <w:bookmarkEnd w:id="109"/>
      <w:bookmarkEnd w:id="11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pPr>
        <w:spacing w:line="560" w:lineRule="exact"/>
        <w:ind w:firstLine="482" w:firstLineChars="200"/>
        <w:outlineLvl w:val="0"/>
        <w:rPr>
          <w:rFonts w:hint="eastAsia" w:ascii="宋体" w:hAnsi="宋体" w:eastAsia="宋体" w:cs="宋体"/>
          <w:b/>
          <w:color w:val="auto"/>
          <w:sz w:val="24"/>
          <w:highlight w:val="none"/>
        </w:rPr>
      </w:pPr>
      <w:bookmarkStart w:id="111" w:name="_Toc14115"/>
      <w:bookmarkStart w:id="112" w:name="_Toc23854"/>
      <w:bookmarkStart w:id="113" w:name="_Toc25783"/>
      <w:bookmarkStart w:id="114" w:name="_Toc3638"/>
      <w:bookmarkStart w:id="115" w:name="_Toc24465"/>
      <w:r>
        <w:rPr>
          <w:rFonts w:hint="eastAsia" w:ascii="宋体" w:hAnsi="宋体" w:eastAsia="宋体" w:cs="宋体"/>
          <w:b/>
          <w:color w:val="auto"/>
          <w:sz w:val="24"/>
          <w:highlight w:val="none"/>
        </w:rPr>
        <w:t>2.12 税费</w:t>
      </w:r>
      <w:bookmarkEnd w:id="111"/>
      <w:bookmarkEnd w:id="112"/>
      <w:bookmarkEnd w:id="113"/>
      <w:bookmarkEnd w:id="114"/>
      <w:bookmarkEnd w:id="115"/>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pPr>
        <w:spacing w:line="560" w:lineRule="exact"/>
        <w:ind w:firstLine="482" w:firstLineChars="200"/>
        <w:outlineLvl w:val="0"/>
        <w:rPr>
          <w:rFonts w:hint="eastAsia" w:ascii="宋体" w:hAnsi="宋体" w:eastAsia="宋体" w:cs="宋体"/>
          <w:b/>
          <w:color w:val="auto"/>
          <w:sz w:val="24"/>
          <w:highlight w:val="none"/>
        </w:rPr>
      </w:pPr>
      <w:bookmarkStart w:id="116" w:name="_Toc26883"/>
      <w:bookmarkStart w:id="117" w:name="_Toc7315"/>
      <w:bookmarkStart w:id="118" w:name="_Toc25525"/>
      <w:bookmarkStart w:id="119" w:name="_Toc14814"/>
      <w:bookmarkStart w:id="120" w:name="_Toc30105"/>
      <w:r>
        <w:rPr>
          <w:rFonts w:hint="eastAsia" w:ascii="宋体" w:hAnsi="宋体" w:eastAsia="宋体" w:cs="宋体"/>
          <w:b/>
          <w:color w:val="auto"/>
          <w:sz w:val="24"/>
          <w:highlight w:val="none"/>
        </w:rPr>
        <w:t>2.13 乙方破产</w:t>
      </w:r>
      <w:bookmarkEnd w:id="116"/>
      <w:bookmarkEnd w:id="117"/>
      <w:bookmarkEnd w:id="118"/>
      <w:bookmarkEnd w:id="119"/>
      <w:bookmarkEnd w:id="12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宋体" w:hAnsi="宋体" w:eastAsia="宋体" w:cs="宋体"/>
          <w:b/>
          <w:color w:val="auto"/>
          <w:sz w:val="24"/>
          <w:highlight w:val="none"/>
        </w:rPr>
      </w:pPr>
      <w:bookmarkStart w:id="121" w:name="_Toc23323"/>
      <w:bookmarkStart w:id="122" w:name="_Toc2016"/>
      <w:bookmarkStart w:id="123" w:name="_Toc1123"/>
      <w:r>
        <w:rPr>
          <w:rFonts w:hint="eastAsia" w:ascii="宋体" w:hAnsi="宋体" w:eastAsia="宋体" w:cs="宋体"/>
          <w:b/>
          <w:color w:val="auto"/>
          <w:sz w:val="24"/>
          <w:highlight w:val="none"/>
        </w:rPr>
        <w:t>2.14 合同中止、终止</w:t>
      </w:r>
      <w:bookmarkEnd w:id="121"/>
      <w:bookmarkEnd w:id="122"/>
      <w:bookmarkEnd w:id="123"/>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宋体" w:hAnsi="宋体" w:eastAsia="宋体" w:cs="宋体"/>
          <w:b/>
          <w:color w:val="auto"/>
          <w:sz w:val="24"/>
          <w:highlight w:val="none"/>
        </w:rPr>
      </w:pPr>
      <w:bookmarkStart w:id="124" w:name="_Toc17363"/>
      <w:bookmarkStart w:id="125" w:name="_Toc14525"/>
      <w:bookmarkStart w:id="126" w:name="_Toc1969"/>
      <w:r>
        <w:rPr>
          <w:rFonts w:hint="eastAsia" w:ascii="宋体" w:hAnsi="宋体" w:eastAsia="宋体" w:cs="宋体"/>
          <w:b/>
          <w:color w:val="auto"/>
          <w:sz w:val="24"/>
          <w:highlight w:val="none"/>
        </w:rPr>
        <w:t>2.15 检验和验收</w:t>
      </w:r>
      <w:bookmarkEnd w:id="124"/>
      <w:bookmarkEnd w:id="125"/>
      <w:bookmarkEnd w:id="126"/>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bookmarkStart w:id="127" w:name="_Toc31892"/>
      <w:bookmarkStart w:id="128" w:name="_Toc12666"/>
      <w:bookmarkStart w:id="129" w:name="_Toc9808"/>
      <w:bookmarkStart w:id="130" w:name="_Toc2308"/>
      <w:bookmarkStart w:id="131" w:name="_Toc25198"/>
      <w:r>
        <w:rPr>
          <w:rFonts w:hint="eastAsia" w:ascii="宋体" w:hAnsi="宋体" w:eastAsia="宋体" w:cs="宋体"/>
          <w:b/>
          <w:color w:val="auto"/>
          <w:sz w:val="24"/>
          <w:highlight w:val="none"/>
        </w:rPr>
        <w:t>2.16 通知和送达</w:t>
      </w:r>
      <w:bookmarkEnd w:id="127"/>
      <w:bookmarkEnd w:id="128"/>
      <w:bookmarkEnd w:id="129"/>
      <w:bookmarkEnd w:id="130"/>
      <w:bookmarkEnd w:id="131"/>
    </w:p>
    <w:p>
      <w:pPr>
        <w:spacing w:line="560" w:lineRule="exact"/>
        <w:ind w:firstLine="480" w:firstLineChars="200"/>
        <w:rPr>
          <w:rFonts w:hint="eastAsia" w:ascii="宋体" w:hAnsi="宋体" w:eastAsia="宋体" w:cs="宋体"/>
          <w:color w:val="auto"/>
          <w:sz w:val="24"/>
          <w:highlight w:val="none"/>
        </w:rPr>
      </w:pPr>
      <w:bookmarkStart w:id="132" w:name="_Toc27674"/>
      <w:bookmarkStart w:id="133" w:name="_Toc18401"/>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32"/>
      <w:bookmarkEnd w:id="133"/>
    </w:p>
    <w:p>
      <w:pPr>
        <w:spacing w:line="560" w:lineRule="exact"/>
        <w:ind w:firstLine="482" w:firstLineChars="200"/>
        <w:outlineLvl w:val="0"/>
        <w:rPr>
          <w:rFonts w:hint="eastAsia" w:ascii="宋体" w:hAnsi="宋体" w:eastAsia="宋体" w:cs="宋体"/>
          <w:b/>
          <w:color w:val="auto"/>
          <w:sz w:val="24"/>
          <w:highlight w:val="none"/>
        </w:rPr>
      </w:pPr>
      <w:bookmarkStart w:id="134" w:name="_Toc27644"/>
      <w:bookmarkStart w:id="135" w:name="_Toc28906"/>
      <w:bookmarkStart w:id="136" w:name="_Toc5063"/>
      <w:bookmarkStart w:id="137" w:name="_Toc20808"/>
      <w:bookmarkStart w:id="138" w:name="_Toc12254"/>
      <w:r>
        <w:rPr>
          <w:rFonts w:hint="eastAsia" w:ascii="宋体" w:hAnsi="宋体" w:eastAsia="宋体" w:cs="宋体"/>
          <w:b/>
          <w:color w:val="auto"/>
          <w:sz w:val="24"/>
          <w:highlight w:val="none"/>
        </w:rPr>
        <w:t>2.17 合同使用的文字和适用的法律</w:t>
      </w:r>
      <w:bookmarkEnd w:id="134"/>
      <w:bookmarkEnd w:id="135"/>
      <w:bookmarkEnd w:id="136"/>
      <w:bookmarkEnd w:id="137"/>
      <w:bookmarkEnd w:id="138"/>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pPr>
        <w:spacing w:line="560" w:lineRule="exact"/>
        <w:ind w:firstLine="482" w:firstLineChars="200"/>
        <w:outlineLvl w:val="0"/>
        <w:rPr>
          <w:rFonts w:hint="eastAsia" w:ascii="宋体" w:hAnsi="宋体" w:eastAsia="宋体" w:cs="宋体"/>
          <w:b/>
          <w:color w:val="auto"/>
          <w:sz w:val="24"/>
          <w:highlight w:val="none"/>
        </w:rPr>
      </w:pPr>
      <w:bookmarkStart w:id="139" w:name="_Toc18540"/>
      <w:bookmarkStart w:id="140" w:name="_Toc4355"/>
      <w:bookmarkStart w:id="141" w:name="_Toc30599"/>
      <w:r>
        <w:rPr>
          <w:rFonts w:hint="eastAsia" w:ascii="宋体" w:hAnsi="宋体" w:eastAsia="宋体" w:cs="宋体"/>
          <w:b/>
          <w:color w:val="auto"/>
          <w:sz w:val="24"/>
          <w:highlight w:val="none"/>
        </w:rPr>
        <w:t>2.18 计量单位</w:t>
      </w:r>
      <w:bookmarkEnd w:id="139"/>
      <w:bookmarkEnd w:id="140"/>
      <w:bookmarkEnd w:id="141"/>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2.19合同份数</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pP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color w:val="auto"/>
          <w:kern w:val="0"/>
          <w:highlight w:val="none"/>
        </w:rPr>
        <w:br w:type="page"/>
      </w:r>
      <w:bookmarkStart w:id="142" w:name="_Toc331685784"/>
      <w:r>
        <w:rPr>
          <w:rFonts w:hint="eastAsia" w:ascii="宋体" w:hAnsi="宋体" w:eastAsia="宋体" w:cs="宋体"/>
          <w:b/>
          <w:color w:val="auto"/>
          <w:sz w:val="24"/>
          <w:highlight w:val="none"/>
        </w:rPr>
        <w:t xml:space="preserve"> </w:t>
      </w:r>
      <w:bookmarkEnd w:id="142"/>
      <w:r>
        <w:rPr>
          <w:rFonts w:hint="eastAsia" w:ascii="宋体" w:hAnsi="宋体" w:eastAsia="宋体" w:cs="宋体"/>
          <w:b/>
          <w:color w:val="auto"/>
          <w:sz w:val="24"/>
          <w:highlight w:val="none"/>
        </w:rPr>
        <w:t>第三部分  合同专用条款</w:t>
      </w:r>
    </w:p>
    <w:p>
      <w:pPr>
        <w:spacing w:line="560" w:lineRule="exact"/>
        <w:ind w:left="-420" w:leftChars="-200"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4464" w:type="pct"/>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1.5.1 </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1.5.3 </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1.6.2</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1.7.1</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1.7.3</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1.7.4.1</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1.7.4.2</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1.7.4.3</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1.8.7</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4464" w:type="pct"/>
            <w:vAlign w:val="center"/>
          </w:tcPr>
          <w:p>
            <w:pPr>
              <w:spacing w:line="360" w:lineRule="auto"/>
              <w:ind w:left="-420" w:leftChars="-200" w:right="-420" w:rightChars="-200" w:firstLine="480" w:firstLineChars="200"/>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4464" w:type="pct"/>
            <w:vAlign w:val="center"/>
          </w:tcPr>
          <w:p>
            <w:pPr>
              <w:spacing w:line="360" w:lineRule="auto"/>
              <w:ind w:left="-420" w:leftChars="-200" w:right="-420" w:rightChars="-200" w:firstLine="480" w:firstLineChars="200"/>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2.11.4 </w:t>
            </w:r>
          </w:p>
        </w:tc>
        <w:tc>
          <w:tcPr>
            <w:tcW w:w="4464" w:type="pct"/>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4464" w:type="pct"/>
            <w:vAlign w:val="center"/>
          </w:tcPr>
          <w:p>
            <w:pPr>
              <w:spacing w:line="360" w:lineRule="auto"/>
              <w:rPr>
                <w:rFonts w:hint="eastAsia" w:ascii="宋体" w:hAnsi="宋体" w:eastAsia="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2.19</w:t>
            </w:r>
          </w:p>
        </w:tc>
        <w:tc>
          <w:tcPr>
            <w:tcW w:w="4464" w:type="pct"/>
          </w:tcPr>
          <w:p>
            <w:pPr>
              <w:spacing w:line="360" w:lineRule="auto"/>
              <w:rPr>
                <w:rFonts w:hint="eastAsia" w:ascii="宋体" w:hAnsi="宋体" w:eastAsia="宋体" w:cs="宋体"/>
                <w:color w:val="auto"/>
                <w:sz w:val="24"/>
                <w:highlight w:val="none"/>
              </w:rPr>
            </w:pPr>
          </w:p>
        </w:tc>
      </w:tr>
    </w:tbl>
    <w:p>
      <w:pPr>
        <w:spacing w:line="360" w:lineRule="auto"/>
        <w:ind w:left="-420" w:leftChars="-200" w:right="-420" w:rightChars="-200" w:firstLine="480" w:firstLineChars="200"/>
        <w:rPr>
          <w:rFonts w:hint="eastAsia" w:ascii="宋体" w:hAnsi="宋体" w:eastAsia="宋体" w:cs="宋体"/>
          <w:color w:val="auto"/>
          <w:sz w:val="24"/>
          <w:highlight w:val="none"/>
        </w:rPr>
      </w:pPr>
    </w:p>
    <w:p>
      <w:pPr>
        <w:spacing w:line="360" w:lineRule="auto"/>
        <w:ind w:left="-420" w:leftChars="-200" w:right="-420" w:rightChars="-200" w:firstLine="480" w:firstLineChars="200"/>
        <w:jc w:val="center"/>
        <w:outlineLvl w:val="0"/>
        <w:rPr>
          <w:rFonts w:hint="eastAsia" w:ascii="宋体" w:hAnsi="宋体" w:eastAsia="宋体" w:cs="宋体"/>
          <w:color w:val="auto"/>
          <w:sz w:val="24"/>
          <w:highlight w:val="none"/>
        </w:rPr>
      </w:pPr>
    </w:p>
    <w:p>
      <w:pPr>
        <w:widowControl/>
        <w:adjustRightInd/>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 应提交的有关格式范例</w:t>
      </w: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pPr>
        <w:snapToGrid w:val="0"/>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lang w:eastAsia="zh-CN"/>
        </w:rPr>
        <w:t>古镇景区保洁绿化养护服务</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ZJZFCG-YS2023-018</w:t>
      </w:r>
      <w:r>
        <w:rPr>
          <w:rFonts w:hint="eastAsia" w:ascii="宋体" w:hAnsi="宋体" w:eastAsia="宋体" w:cs="宋体"/>
          <w:color w:val="auto"/>
          <w:sz w:val="24"/>
          <w:highlight w:val="none"/>
        </w:rPr>
        <w:t>】政府采购活动，郑重承诺：</w:t>
      </w:r>
    </w:p>
    <w:p>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pPr>
        <w:widowControl/>
        <w:spacing w:line="360" w:lineRule="auto"/>
        <w:ind w:firstLine="480"/>
        <w:jc w:val="left"/>
        <w:rPr>
          <w:rFonts w:hint="eastAsia" w:ascii="宋体" w:hAnsi="宋体" w:eastAsia="宋体" w:cs="宋体"/>
          <w:color w:val="auto"/>
          <w:sz w:val="24"/>
          <w:highlight w:val="none"/>
        </w:rPr>
      </w:pPr>
    </w:p>
    <w:p>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pPr>
        <w:widowControl/>
        <w:spacing w:line="360" w:lineRule="auto"/>
        <w:ind w:left="150"/>
        <w:jc w:val="center"/>
        <w:rPr>
          <w:rFonts w:hint="eastAsia" w:ascii="宋体" w:hAnsi="宋体" w:eastAsia="宋体" w:cs="宋体"/>
          <w:b/>
          <w:color w:val="auto"/>
          <w:kern w:val="0"/>
          <w:sz w:val="32"/>
          <w:szCs w:val="32"/>
          <w:highlight w:val="none"/>
        </w:rPr>
      </w:pPr>
    </w:p>
    <w:p>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widowControl/>
        <w:adjustRightInd/>
        <w:jc w:val="left"/>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pPr>
        <w:spacing w:line="360" w:lineRule="auto"/>
        <w:jc w:val="center"/>
        <w:outlineLvl w:val="0"/>
        <w:rPr>
          <w:rFonts w:hint="eastAsia" w:ascii="宋体" w:hAnsi="宋体" w:eastAsia="宋体" w:cs="宋体"/>
          <w:b/>
          <w:color w:val="auto"/>
          <w:kern w:val="0"/>
          <w:sz w:val="24"/>
          <w:highlight w:val="none"/>
        </w:rPr>
      </w:pPr>
    </w:p>
    <w:p>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rPr>
          <w:rFonts w:hint="eastAsia" w:ascii="宋体" w:hAnsi="宋体" w:eastAsia="宋体" w:cs="宋体"/>
          <w:b/>
          <w:color w:val="auto"/>
          <w:kern w:val="0"/>
          <w:sz w:val="32"/>
          <w:szCs w:val="32"/>
          <w:highlight w:val="none"/>
          <w:lang w:val="zh-CN"/>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lang w:eastAsia="zh-CN"/>
        </w:rPr>
        <w:t>古镇景区保洁绿化养护服务</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ZJZFCG-YS2023-018</w:t>
      </w:r>
      <w:r>
        <w:rPr>
          <w:rFonts w:hint="eastAsia" w:ascii="宋体" w:hAnsi="宋体" w:eastAsia="宋体" w:cs="宋体"/>
          <w:color w:val="auto"/>
          <w:sz w:val="24"/>
          <w:highlight w:val="none"/>
        </w:rPr>
        <w:t>】招标的有关活动，并对此项目进行投标。为此：</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143" w:name="_Hlk101257010"/>
      <w:r>
        <w:rPr>
          <w:rFonts w:hint="eastAsia" w:ascii="宋体" w:hAnsi="宋体" w:eastAsia="宋体" w:cs="宋体"/>
          <w:color w:val="auto"/>
          <w:sz w:val="24"/>
          <w:highlight w:val="none"/>
        </w:rPr>
        <w:t>（如果有)</w:t>
      </w:r>
      <w:bookmarkEnd w:id="143"/>
      <w:r>
        <w:rPr>
          <w:rFonts w:hint="eastAsia" w:ascii="宋体" w:hAnsi="宋体" w:eastAsia="宋体" w:cs="宋体"/>
          <w:snapToGrid w:val="0"/>
          <w:color w:val="auto"/>
          <w:kern w:val="28"/>
          <w:sz w:val="24"/>
          <w:szCs w:val="20"/>
          <w:highlight w:val="none"/>
        </w:rPr>
        <w:t>；</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napToGrid w:val="0"/>
        <w:spacing w:line="360" w:lineRule="auto"/>
        <w:jc w:val="center"/>
        <w:rPr>
          <w:rFonts w:hint="eastAsia" w:ascii="宋体" w:hAnsi="宋体" w:eastAsia="宋体" w:cs="宋体"/>
          <w:b/>
          <w:color w:val="auto"/>
          <w:kern w:val="0"/>
          <w:sz w:val="32"/>
          <w:szCs w:val="32"/>
          <w:highlight w:val="none"/>
        </w:rPr>
      </w:pP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pStyle w:val="4"/>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lang w:eastAsia="zh-CN"/>
        </w:rPr>
        <w:t>古镇景区保洁绿化养护服务</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ZJZFCG-YS2023-018</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lang w:eastAsia="zh-CN"/>
        </w:rPr>
        <w:t>古镇景区保洁绿化养护服务</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ZJZFCG-YS2023-018</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pPr>
        <w:jc w:val="center"/>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autoSpaceDE w:val="0"/>
        <w:autoSpaceDN w:val="0"/>
        <w:spacing w:line="360" w:lineRule="auto"/>
        <w:jc w:val="center"/>
        <w:rPr>
          <w:rFonts w:hint="eastAsia" w:ascii="宋体" w:hAnsi="宋体" w:eastAsia="宋体" w:cs="宋体"/>
          <w:b/>
          <w:color w:val="auto"/>
          <w:kern w:val="0"/>
          <w:sz w:val="32"/>
          <w:szCs w:val="32"/>
          <w:highlight w:val="none"/>
          <w:lang w:val="zh-CN"/>
        </w:rPr>
      </w:pPr>
    </w:p>
    <w:p>
      <w:pPr>
        <w:autoSpaceDE w:val="0"/>
        <w:autoSpaceDN w:val="0"/>
        <w:spacing w:line="360" w:lineRule="auto"/>
        <w:jc w:val="center"/>
        <w:rPr>
          <w:rFonts w:hint="eastAsia" w:ascii="宋体" w:hAnsi="宋体" w:eastAsia="宋体" w:cs="宋体"/>
          <w:b/>
          <w:color w:val="auto"/>
          <w:kern w:val="0"/>
          <w:sz w:val="32"/>
          <w:szCs w:val="32"/>
          <w:highlight w:val="none"/>
          <w:lang w:val="zh-CN"/>
        </w:rPr>
      </w:pPr>
    </w:p>
    <w:p>
      <w:pPr>
        <w:autoSpaceDE w:val="0"/>
        <w:autoSpaceDN w:val="0"/>
        <w:spacing w:line="360" w:lineRule="auto"/>
        <w:jc w:val="center"/>
        <w:rPr>
          <w:rFonts w:hint="eastAsia" w:ascii="宋体" w:hAnsi="宋体" w:eastAsia="宋体" w:cs="宋体"/>
          <w:b/>
          <w:color w:val="auto"/>
          <w:kern w:val="0"/>
          <w:sz w:val="32"/>
          <w:szCs w:val="32"/>
          <w:highlight w:val="none"/>
          <w:lang w:val="zh-CN"/>
        </w:rPr>
      </w:pPr>
    </w:p>
    <w:p>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pPr>
        <w:pStyle w:val="147"/>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47"/>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pPr>
              <w:pStyle w:val="147"/>
              <w:adjustRightInd w:val="0"/>
              <w:spacing w:line="360" w:lineRule="auto"/>
              <w:rPr>
                <w:rFonts w:hint="eastAsia" w:ascii="宋体" w:hAnsi="宋体" w:eastAsia="宋体" w:cs="宋体"/>
                <w:bCs/>
                <w:color w:val="auto"/>
                <w:sz w:val="24"/>
                <w:highlight w:val="none"/>
              </w:rPr>
            </w:pPr>
          </w:p>
        </w:tc>
      </w:tr>
    </w:tbl>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snapToGrid w:val="0"/>
        <w:spacing w:line="360" w:lineRule="auto"/>
        <w:ind w:right="480"/>
        <w:rPr>
          <w:rFonts w:hint="eastAsia" w:ascii="宋体" w:hAnsi="宋体" w:eastAsia="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color w:val="auto"/>
          <w:kern w:val="0"/>
          <w:sz w:val="24"/>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pPr>
        <w:jc w:val="center"/>
        <w:rPr>
          <w:rFonts w:hint="eastAsia" w:ascii="宋体" w:hAnsi="宋体" w:eastAsia="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tcPr>
          <w:p>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tcPr>
          <w:p>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Pr>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1260"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775"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930"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1526" w:type="dxa"/>
            <w:vAlign w:val="center"/>
          </w:tcPr>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pPr>
              <w:spacing w:line="360" w:lineRule="auto"/>
              <w:jc w:val="center"/>
              <w:rPr>
                <w:rFonts w:hint="eastAsia" w:ascii="宋体" w:hAnsi="宋体" w:eastAsia="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vAlign w:val="center"/>
          </w:tcPr>
          <w:p>
            <w:pPr>
              <w:snapToGrid w:val="0"/>
              <w:spacing w:line="360" w:lineRule="auto"/>
              <w:jc w:val="center"/>
              <w:rPr>
                <w:rFonts w:hint="eastAsia" w:ascii="宋体" w:hAnsi="宋体" w:eastAsia="宋体" w:cs="宋体"/>
                <w:color w:val="auto"/>
                <w:sz w:val="24"/>
                <w:highlight w:val="none"/>
              </w:rPr>
            </w:pPr>
          </w:p>
        </w:tc>
        <w:tc>
          <w:tcPr>
            <w:tcW w:w="1114" w:type="dxa"/>
            <w:vAlign w:val="center"/>
          </w:tcPr>
          <w:p>
            <w:pPr>
              <w:snapToGrid w:val="0"/>
              <w:spacing w:line="360" w:lineRule="auto"/>
              <w:jc w:val="center"/>
              <w:rPr>
                <w:rFonts w:hint="eastAsia" w:ascii="宋体" w:hAnsi="宋体" w:eastAsia="宋体" w:cs="宋体"/>
                <w:color w:val="auto"/>
                <w:sz w:val="24"/>
                <w:highlight w:val="none"/>
              </w:rPr>
            </w:pPr>
          </w:p>
        </w:tc>
        <w:tc>
          <w:tcPr>
            <w:tcW w:w="1260" w:type="dxa"/>
            <w:vAlign w:val="center"/>
          </w:tcPr>
          <w:p>
            <w:pPr>
              <w:snapToGrid w:val="0"/>
              <w:spacing w:line="360" w:lineRule="auto"/>
              <w:jc w:val="center"/>
              <w:rPr>
                <w:rFonts w:hint="eastAsia" w:ascii="宋体" w:hAnsi="宋体" w:eastAsia="宋体" w:cs="宋体"/>
                <w:color w:val="auto"/>
                <w:sz w:val="24"/>
                <w:highlight w:val="none"/>
              </w:rPr>
            </w:pPr>
          </w:p>
        </w:tc>
        <w:tc>
          <w:tcPr>
            <w:tcW w:w="2775" w:type="dxa"/>
            <w:vAlign w:val="center"/>
          </w:tcPr>
          <w:p>
            <w:pPr>
              <w:spacing w:line="360" w:lineRule="auto"/>
              <w:jc w:val="center"/>
              <w:rPr>
                <w:rFonts w:hint="eastAsia" w:ascii="宋体" w:hAnsi="宋体" w:eastAsia="宋体" w:cs="宋体"/>
                <w:color w:val="auto"/>
                <w:sz w:val="24"/>
                <w:highlight w:val="none"/>
              </w:rPr>
            </w:pPr>
          </w:p>
        </w:tc>
        <w:tc>
          <w:tcPr>
            <w:tcW w:w="930" w:type="dxa"/>
            <w:vAlign w:val="center"/>
          </w:tcPr>
          <w:p>
            <w:pPr>
              <w:spacing w:line="360" w:lineRule="auto"/>
              <w:jc w:val="center"/>
              <w:rPr>
                <w:rFonts w:hint="eastAsia" w:ascii="宋体" w:hAnsi="宋体" w:eastAsia="宋体" w:cs="宋体"/>
                <w:color w:val="auto"/>
                <w:sz w:val="24"/>
                <w:highlight w:val="none"/>
              </w:rPr>
            </w:pPr>
          </w:p>
        </w:tc>
        <w:tc>
          <w:tcPr>
            <w:tcW w:w="1526"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vAlign w:val="center"/>
          </w:tcPr>
          <w:p>
            <w:pPr>
              <w:snapToGrid w:val="0"/>
              <w:spacing w:line="360" w:lineRule="auto"/>
              <w:jc w:val="center"/>
              <w:rPr>
                <w:rFonts w:hint="eastAsia" w:ascii="宋体" w:hAnsi="宋体" w:eastAsia="宋体" w:cs="宋体"/>
                <w:color w:val="auto"/>
                <w:sz w:val="24"/>
                <w:highlight w:val="none"/>
              </w:rPr>
            </w:pPr>
          </w:p>
        </w:tc>
        <w:tc>
          <w:tcPr>
            <w:tcW w:w="1114" w:type="dxa"/>
            <w:vAlign w:val="center"/>
          </w:tcPr>
          <w:p>
            <w:pPr>
              <w:snapToGrid w:val="0"/>
              <w:spacing w:line="360" w:lineRule="auto"/>
              <w:jc w:val="center"/>
              <w:rPr>
                <w:rFonts w:hint="eastAsia" w:ascii="宋体" w:hAnsi="宋体" w:eastAsia="宋体" w:cs="宋体"/>
                <w:color w:val="auto"/>
                <w:sz w:val="24"/>
                <w:highlight w:val="none"/>
              </w:rPr>
            </w:pPr>
          </w:p>
        </w:tc>
        <w:tc>
          <w:tcPr>
            <w:tcW w:w="1260" w:type="dxa"/>
            <w:vAlign w:val="center"/>
          </w:tcPr>
          <w:p>
            <w:pPr>
              <w:snapToGrid w:val="0"/>
              <w:spacing w:line="360" w:lineRule="auto"/>
              <w:jc w:val="center"/>
              <w:rPr>
                <w:rFonts w:hint="eastAsia" w:ascii="宋体" w:hAnsi="宋体" w:eastAsia="宋体" w:cs="宋体"/>
                <w:color w:val="auto"/>
                <w:sz w:val="24"/>
                <w:highlight w:val="none"/>
              </w:rPr>
            </w:pPr>
          </w:p>
        </w:tc>
        <w:tc>
          <w:tcPr>
            <w:tcW w:w="2775" w:type="dxa"/>
            <w:vAlign w:val="center"/>
          </w:tcPr>
          <w:p>
            <w:pPr>
              <w:spacing w:line="360" w:lineRule="auto"/>
              <w:jc w:val="center"/>
              <w:rPr>
                <w:rFonts w:hint="eastAsia" w:ascii="宋体" w:hAnsi="宋体" w:eastAsia="宋体" w:cs="宋体"/>
                <w:color w:val="auto"/>
                <w:sz w:val="24"/>
                <w:highlight w:val="none"/>
              </w:rPr>
            </w:pPr>
          </w:p>
        </w:tc>
        <w:tc>
          <w:tcPr>
            <w:tcW w:w="930" w:type="dxa"/>
            <w:vAlign w:val="center"/>
          </w:tcPr>
          <w:p>
            <w:pPr>
              <w:spacing w:line="360" w:lineRule="auto"/>
              <w:jc w:val="center"/>
              <w:rPr>
                <w:rFonts w:hint="eastAsia" w:ascii="宋体" w:hAnsi="宋体" w:eastAsia="宋体" w:cs="宋体"/>
                <w:color w:val="auto"/>
                <w:sz w:val="24"/>
                <w:highlight w:val="none"/>
              </w:rPr>
            </w:pPr>
          </w:p>
        </w:tc>
        <w:tc>
          <w:tcPr>
            <w:tcW w:w="1526"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vAlign w:val="center"/>
          </w:tcPr>
          <w:p>
            <w:pPr>
              <w:snapToGrid w:val="0"/>
              <w:spacing w:line="360" w:lineRule="auto"/>
              <w:jc w:val="center"/>
              <w:rPr>
                <w:rFonts w:hint="eastAsia" w:ascii="宋体" w:hAnsi="宋体" w:eastAsia="宋体" w:cs="宋体"/>
                <w:color w:val="auto"/>
                <w:sz w:val="24"/>
                <w:highlight w:val="none"/>
              </w:rPr>
            </w:pPr>
          </w:p>
        </w:tc>
        <w:tc>
          <w:tcPr>
            <w:tcW w:w="1114" w:type="dxa"/>
            <w:vAlign w:val="center"/>
          </w:tcPr>
          <w:p>
            <w:pPr>
              <w:snapToGrid w:val="0"/>
              <w:spacing w:line="360" w:lineRule="auto"/>
              <w:jc w:val="center"/>
              <w:rPr>
                <w:rFonts w:hint="eastAsia" w:ascii="宋体" w:hAnsi="宋体" w:eastAsia="宋体" w:cs="宋体"/>
                <w:color w:val="auto"/>
                <w:sz w:val="24"/>
                <w:highlight w:val="none"/>
              </w:rPr>
            </w:pPr>
          </w:p>
        </w:tc>
        <w:tc>
          <w:tcPr>
            <w:tcW w:w="1260" w:type="dxa"/>
            <w:vAlign w:val="center"/>
          </w:tcPr>
          <w:p>
            <w:pPr>
              <w:snapToGrid w:val="0"/>
              <w:spacing w:line="360" w:lineRule="auto"/>
              <w:jc w:val="center"/>
              <w:rPr>
                <w:rFonts w:hint="eastAsia" w:ascii="宋体" w:hAnsi="宋体" w:eastAsia="宋体" w:cs="宋体"/>
                <w:color w:val="auto"/>
                <w:sz w:val="24"/>
                <w:highlight w:val="none"/>
              </w:rPr>
            </w:pPr>
          </w:p>
        </w:tc>
        <w:tc>
          <w:tcPr>
            <w:tcW w:w="2775" w:type="dxa"/>
            <w:vAlign w:val="center"/>
          </w:tcPr>
          <w:p>
            <w:pPr>
              <w:spacing w:line="360" w:lineRule="auto"/>
              <w:jc w:val="center"/>
              <w:rPr>
                <w:rFonts w:hint="eastAsia" w:ascii="宋体" w:hAnsi="宋体" w:eastAsia="宋体" w:cs="宋体"/>
                <w:color w:val="auto"/>
                <w:sz w:val="24"/>
                <w:highlight w:val="none"/>
              </w:rPr>
            </w:pPr>
          </w:p>
        </w:tc>
        <w:tc>
          <w:tcPr>
            <w:tcW w:w="930" w:type="dxa"/>
            <w:vAlign w:val="center"/>
          </w:tcPr>
          <w:p>
            <w:pPr>
              <w:spacing w:line="360" w:lineRule="auto"/>
              <w:jc w:val="center"/>
              <w:rPr>
                <w:rFonts w:hint="eastAsia" w:ascii="宋体" w:hAnsi="宋体" w:eastAsia="宋体" w:cs="宋体"/>
                <w:color w:val="auto"/>
                <w:sz w:val="24"/>
                <w:highlight w:val="none"/>
              </w:rPr>
            </w:pPr>
          </w:p>
        </w:tc>
        <w:tc>
          <w:tcPr>
            <w:tcW w:w="1526" w:type="dxa"/>
            <w:vAlign w:val="center"/>
          </w:tcPr>
          <w:p>
            <w:pPr>
              <w:spacing w:line="360" w:lineRule="auto"/>
              <w:jc w:val="center"/>
              <w:rPr>
                <w:rFonts w:hint="eastAsia" w:ascii="宋体" w:hAnsi="宋体" w:eastAsia="宋体" w:cs="宋体"/>
                <w:color w:val="auto"/>
                <w:sz w:val="24"/>
                <w:highlight w:val="none"/>
              </w:rPr>
            </w:pP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bl>
    <w:p>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pPr>
        <w:jc w:val="center"/>
        <w:rPr>
          <w:rFonts w:hint="eastAsia" w:ascii="宋体" w:hAnsi="宋体" w:eastAsia="宋体" w:cs="宋体"/>
          <w:b/>
          <w:color w:val="auto"/>
          <w:kern w:val="0"/>
          <w:sz w:val="32"/>
          <w:szCs w:val="32"/>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bCs/>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pacing w:line="360" w:lineRule="auto"/>
        <w:jc w:val="center"/>
        <w:rPr>
          <w:rFonts w:hint="eastAsia" w:ascii="宋体" w:hAnsi="宋体" w:eastAsia="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（2）报价明细清单…………………………………………………………………（页码）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（3）中小企业声明函………………………………………………………………（页码）</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（采购编号）】(标项)的实施</w:t>
      </w: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543"/>
        <w:gridCol w:w="1067"/>
        <w:gridCol w:w="1359"/>
        <w:gridCol w:w="1559"/>
        <w:gridCol w:w="1701"/>
        <w:gridCol w:w="1843"/>
        <w:gridCol w:w="2480"/>
        <w:gridCol w:w="24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543" w:type="dxa"/>
            <w:vAlign w:val="center"/>
          </w:tcPr>
          <w:p>
            <w:pPr>
              <w:widowControl/>
              <w:spacing w:line="288" w:lineRule="auto"/>
              <w:jc w:val="center"/>
              <w:rPr>
                <w:rFonts w:hint="eastAsia" w:ascii="宋体" w:hAnsi="宋体" w:eastAsia="宋体" w:cs="宋体"/>
                <w:b/>
                <w:bCs/>
                <w:color w:val="auto"/>
                <w:kern w:val="0"/>
                <w:sz w:val="22"/>
                <w:szCs w:val="22"/>
                <w:highlight w:val="none"/>
                <w:lang w:eastAsia="zh-CN"/>
              </w:rPr>
            </w:pPr>
            <w:r>
              <w:rPr>
                <w:rFonts w:hint="eastAsia" w:ascii="宋体" w:hAnsi="宋体" w:cs="宋体"/>
                <w:b/>
                <w:bCs/>
                <w:color w:val="auto"/>
                <w:kern w:val="0"/>
                <w:sz w:val="22"/>
                <w:szCs w:val="22"/>
                <w:highlight w:val="none"/>
                <w:lang w:eastAsia="zh-CN"/>
              </w:rPr>
              <w:t>名</w:t>
            </w:r>
            <w:r>
              <w:rPr>
                <w:rFonts w:hint="eastAsia" w:ascii="宋体" w:hAnsi="宋体" w:cs="宋体"/>
                <w:b/>
                <w:bCs/>
                <w:color w:val="auto"/>
                <w:kern w:val="0"/>
                <w:sz w:val="22"/>
                <w:szCs w:val="22"/>
                <w:highlight w:val="none"/>
                <w:lang w:val="en-US" w:eastAsia="zh-CN"/>
              </w:rPr>
              <w:t xml:space="preserve">  </w:t>
            </w:r>
            <w:r>
              <w:rPr>
                <w:rFonts w:hint="eastAsia" w:ascii="宋体" w:hAnsi="宋体" w:cs="宋体"/>
                <w:b/>
                <w:bCs/>
                <w:color w:val="auto"/>
                <w:kern w:val="0"/>
                <w:sz w:val="22"/>
                <w:szCs w:val="22"/>
                <w:highlight w:val="none"/>
                <w:lang w:eastAsia="zh-CN"/>
              </w:rPr>
              <w:t>称</w:t>
            </w:r>
          </w:p>
        </w:tc>
        <w:tc>
          <w:tcPr>
            <w:tcW w:w="1067" w:type="dxa"/>
            <w:vAlign w:val="center"/>
          </w:tcPr>
          <w:p>
            <w:pPr>
              <w:widowControl/>
              <w:spacing w:line="288"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起迄地址</w:t>
            </w:r>
          </w:p>
        </w:tc>
        <w:tc>
          <w:tcPr>
            <w:tcW w:w="1359" w:type="dxa"/>
            <w:vAlign w:val="center"/>
          </w:tcPr>
          <w:p>
            <w:pPr>
              <w:widowControl/>
              <w:spacing w:line="288"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类别</w:t>
            </w:r>
          </w:p>
        </w:tc>
        <w:tc>
          <w:tcPr>
            <w:tcW w:w="1559" w:type="dxa"/>
            <w:vAlign w:val="center"/>
          </w:tcPr>
          <w:p>
            <w:pPr>
              <w:widowControl/>
              <w:spacing w:line="288" w:lineRule="auto"/>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长度</w:t>
            </w:r>
            <w:r>
              <w:rPr>
                <w:rFonts w:hint="eastAsia" w:ascii="宋体" w:hAnsi="宋体" w:eastAsia="宋体" w:cs="宋体"/>
                <w:b/>
                <w:bCs/>
                <w:color w:val="auto"/>
                <w:kern w:val="0"/>
                <w:sz w:val="22"/>
                <w:szCs w:val="22"/>
                <w:highlight w:val="none"/>
              </w:rPr>
              <w:t>m</w:t>
            </w:r>
          </w:p>
        </w:tc>
        <w:tc>
          <w:tcPr>
            <w:tcW w:w="1701" w:type="dxa"/>
            <w:vAlign w:val="center"/>
          </w:tcPr>
          <w:p>
            <w:pPr>
              <w:widowControl/>
              <w:spacing w:line="288"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宽度m</w:t>
            </w:r>
          </w:p>
        </w:tc>
        <w:tc>
          <w:tcPr>
            <w:tcW w:w="1843" w:type="dxa"/>
            <w:vAlign w:val="center"/>
          </w:tcPr>
          <w:p>
            <w:pPr>
              <w:widowControl/>
              <w:spacing w:line="288"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面积㎡</w:t>
            </w:r>
          </w:p>
        </w:tc>
        <w:tc>
          <w:tcPr>
            <w:tcW w:w="2480" w:type="dxa"/>
            <w:vAlign w:val="center"/>
          </w:tcPr>
          <w:p>
            <w:pPr>
              <w:spacing w:line="360" w:lineRule="auto"/>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 xml:space="preserve"> 综合单价</w:t>
            </w: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bCs/>
                <w:color w:val="auto"/>
                <w:kern w:val="0"/>
                <w:sz w:val="22"/>
                <w:szCs w:val="22"/>
                <w:highlight w:val="none"/>
              </w:rPr>
              <w:t>（元/平方米·年）</w:t>
            </w:r>
          </w:p>
        </w:tc>
        <w:tc>
          <w:tcPr>
            <w:tcW w:w="2481"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2年合计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543" w:type="dxa"/>
            <w:vAlign w:val="center"/>
          </w:tcPr>
          <w:p>
            <w:pPr>
              <w:widowControl/>
              <w:spacing w:line="288" w:lineRule="auto"/>
              <w:jc w:val="center"/>
              <w:rPr>
                <w:rFonts w:hint="eastAsia" w:ascii="宋体" w:hAnsi="宋体" w:eastAsia="宋体" w:cs="宋体"/>
                <w:b/>
                <w:bCs/>
                <w:color w:val="auto"/>
                <w:kern w:val="0"/>
                <w:sz w:val="22"/>
                <w:szCs w:val="22"/>
                <w:highlight w:val="none"/>
                <w:lang w:val="zh-CN" w:eastAsia="zh-CN"/>
              </w:rPr>
            </w:pPr>
            <w:r>
              <w:rPr>
                <w:rFonts w:hint="eastAsia" w:ascii="宋体" w:hAnsi="宋体" w:eastAsia="宋体" w:cs="宋体"/>
                <w:b/>
                <w:bCs/>
                <w:color w:val="auto"/>
                <w:kern w:val="0"/>
                <w:sz w:val="22"/>
                <w:szCs w:val="22"/>
                <w:highlight w:val="none"/>
                <w:lang w:val="zh-CN" w:eastAsia="zh-CN"/>
              </w:rPr>
              <w:t>古镇景区11.9万方</w:t>
            </w:r>
          </w:p>
        </w:tc>
        <w:tc>
          <w:tcPr>
            <w:tcW w:w="1067" w:type="dxa"/>
            <w:vAlign w:val="center"/>
          </w:tcPr>
          <w:p>
            <w:pPr>
              <w:snapToGrid w:val="0"/>
              <w:spacing w:line="360" w:lineRule="auto"/>
              <w:jc w:val="center"/>
              <w:rPr>
                <w:rFonts w:hint="default" w:ascii="宋体" w:hAnsi="宋体" w:eastAsia="宋体" w:cs="宋体"/>
                <w:b/>
                <w:bCs/>
                <w:color w:val="auto"/>
                <w:kern w:val="0"/>
                <w:sz w:val="24"/>
                <w:szCs w:val="24"/>
                <w:highlight w:val="none"/>
                <w:lang w:val="en-US" w:eastAsia="zh-CN" w:bidi="ar-SA"/>
              </w:rPr>
            </w:pPr>
            <w:r>
              <w:rPr>
                <w:rFonts w:hint="eastAsia" w:ascii="宋体" w:hAnsi="宋体" w:cs="宋体"/>
                <w:b/>
                <w:bCs/>
                <w:color w:val="auto"/>
                <w:kern w:val="0"/>
                <w:sz w:val="24"/>
                <w:szCs w:val="24"/>
                <w:highlight w:val="none"/>
                <w:lang w:val="en-US" w:eastAsia="zh-CN" w:bidi="ar-SA"/>
              </w:rPr>
              <w:t>/</w:t>
            </w:r>
          </w:p>
        </w:tc>
        <w:tc>
          <w:tcPr>
            <w:tcW w:w="1359" w:type="dxa"/>
            <w:vAlign w:val="center"/>
          </w:tcPr>
          <w:p>
            <w:pPr>
              <w:snapToGrid w:val="0"/>
              <w:spacing w:line="360" w:lineRule="auto"/>
              <w:jc w:val="center"/>
              <w:rPr>
                <w:rFonts w:hint="eastAsia" w:ascii="宋体" w:hAnsi="宋体" w:eastAsia="宋体" w:cs="宋体"/>
                <w:b/>
                <w:bCs/>
                <w:color w:val="auto"/>
                <w:kern w:val="0"/>
                <w:sz w:val="24"/>
                <w:szCs w:val="24"/>
                <w:highlight w:val="none"/>
                <w:lang w:val="zh-CN" w:eastAsia="zh-CN" w:bidi="ar-SA"/>
              </w:rPr>
            </w:pPr>
            <w:r>
              <w:rPr>
                <w:rFonts w:hint="eastAsia" w:ascii="宋体" w:hAnsi="宋体" w:eastAsia="宋体" w:cs="宋体"/>
                <w:b/>
                <w:bCs/>
                <w:color w:val="auto"/>
                <w:kern w:val="0"/>
                <w:sz w:val="24"/>
                <w:szCs w:val="24"/>
                <w:highlight w:val="none"/>
                <w:lang w:val="zh-CN" w:eastAsia="zh-CN" w:bidi="ar-SA"/>
              </w:rPr>
              <w:t>一类</w:t>
            </w:r>
          </w:p>
        </w:tc>
        <w:tc>
          <w:tcPr>
            <w:tcW w:w="1559" w:type="dxa"/>
            <w:vAlign w:val="center"/>
          </w:tcPr>
          <w:p>
            <w:pPr>
              <w:snapToGrid w:val="0"/>
              <w:spacing w:line="360" w:lineRule="auto"/>
              <w:jc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w:t>
            </w:r>
          </w:p>
        </w:tc>
        <w:tc>
          <w:tcPr>
            <w:tcW w:w="1701" w:type="dxa"/>
            <w:vAlign w:val="center"/>
          </w:tcPr>
          <w:p>
            <w:pPr>
              <w:snapToGrid w:val="0"/>
              <w:spacing w:line="360" w:lineRule="auto"/>
              <w:jc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w:t>
            </w:r>
          </w:p>
        </w:tc>
        <w:tc>
          <w:tcPr>
            <w:tcW w:w="1843" w:type="dxa"/>
            <w:vAlign w:val="center"/>
          </w:tcPr>
          <w:p>
            <w:pPr>
              <w:snapToGrid w:val="0"/>
              <w:spacing w:line="360" w:lineRule="auto"/>
              <w:jc w:val="center"/>
              <w:rPr>
                <w:rFonts w:hint="default"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119000</w:t>
            </w:r>
          </w:p>
        </w:tc>
        <w:tc>
          <w:tcPr>
            <w:tcW w:w="2480" w:type="dxa"/>
            <w:vAlign w:val="center"/>
          </w:tcPr>
          <w:p>
            <w:pPr>
              <w:spacing w:line="360" w:lineRule="auto"/>
              <w:jc w:val="center"/>
              <w:rPr>
                <w:rFonts w:hint="eastAsia" w:ascii="宋体" w:hAnsi="宋体" w:eastAsia="宋体" w:cs="宋体"/>
                <w:color w:val="auto"/>
                <w:sz w:val="24"/>
                <w:highlight w:val="none"/>
              </w:rPr>
            </w:pPr>
          </w:p>
        </w:tc>
        <w:tc>
          <w:tcPr>
            <w:tcW w:w="2481"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543" w:type="dxa"/>
            <w:vAlign w:val="center"/>
          </w:tcPr>
          <w:p>
            <w:pPr>
              <w:widowControl/>
              <w:spacing w:line="288" w:lineRule="auto"/>
              <w:jc w:val="center"/>
              <w:rPr>
                <w:rFonts w:hint="eastAsia"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lang w:val="zh-CN" w:eastAsia="zh-CN"/>
              </w:rPr>
              <w:t>古镇景区绿化服务</w:t>
            </w:r>
          </w:p>
        </w:tc>
        <w:tc>
          <w:tcPr>
            <w:tcW w:w="1067" w:type="dxa"/>
            <w:vAlign w:val="center"/>
          </w:tcPr>
          <w:p>
            <w:pPr>
              <w:snapToGrid w:val="0"/>
              <w:spacing w:line="360" w:lineRule="auto"/>
              <w:jc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w:t>
            </w:r>
          </w:p>
        </w:tc>
        <w:tc>
          <w:tcPr>
            <w:tcW w:w="1359" w:type="dxa"/>
            <w:vAlign w:val="center"/>
          </w:tcPr>
          <w:p>
            <w:pPr>
              <w:snapToGrid w:val="0"/>
              <w:spacing w:line="360" w:lineRule="auto"/>
              <w:jc w:val="center"/>
              <w:rPr>
                <w:rFonts w:hint="eastAsia" w:ascii="宋体" w:hAnsi="宋体" w:eastAsia="宋体" w:cs="宋体"/>
                <w:b/>
                <w:bCs/>
                <w:color w:val="auto"/>
                <w:kern w:val="0"/>
                <w:sz w:val="24"/>
                <w:szCs w:val="24"/>
                <w:highlight w:val="none"/>
                <w:lang w:val="en-US" w:eastAsia="zh-CN" w:bidi="ar-SA"/>
              </w:rPr>
            </w:pPr>
          </w:p>
        </w:tc>
        <w:tc>
          <w:tcPr>
            <w:tcW w:w="1559" w:type="dxa"/>
            <w:vAlign w:val="center"/>
          </w:tcPr>
          <w:p>
            <w:pPr>
              <w:snapToGrid w:val="0"/>
              <w:spacing w:line="360" w:lineRule="auto"/>
              <w:jc w:val="center"/>
              <w:rPr>
                <w:rFonts w:hint="eastAsia" w:ascii="宋体" w:hAnsi="宋体" w:eastAsia="宋体" w:cs="宋体"/>
                <w:b/>
                <w:bCs/>
                <w:color w:val="auto"/>
                <w:kern w:val="0"/>
                <w:sz w:val="24"/>
                <w:szCs w:val="24"/>
                <w:highlight w:val="none"/>
                <w:lang w:val="en-US" w:eastAsia="zh-CN" w:bidi="ar-SA"/>
              </w:rPr>
            </w:pPr>
          </w:p>
        </w:tc>
        <w:tc>
          <w:tcPr>
            <w:tcW w:w="1701" w:type="dxa"/>
            <w:vAlign w:val="center"/>
          </w:tcPr>
          <w:p>
            <w:pPr>
              <w:snapToGrid w:val="0"/>
              <w:spacing w:line="360" w:lineRule="auto"/>
              <w:jc w:val="center"/>
              <w:rPr>
                <w:rFonts w:hint="eastAsia" w:ascii="宋体" w:hAnsi="宋体" w:eastAsia="宋体" w:cs="宋体"/>
                <w:b/>
                <w:bCs/>
                <w:color w:val="auto"/>
                <w:kern w:val="0"/>
                <w:sz w:val="24"/>
                <w:szCs w:val="24"/>
                <w:highlight w:val="none"/>
                <w:lang w:val="en-US" w:eastAsia="zh-CN" w:bidi="ar-SA"/>
              </w:rPr>
            </w:pPr>
          </w:p>
        </w:tc>
        <w:tc>
          <w:tcPr>
            <w:tcW w:w="1843" w:type="dxa"/>
            <w:vAlign w:val="center"/>
          </w:tcPr>
          <w:p>
            <w:pPr>
              <w:snapToGrid w:val="0"/>
              <w:spacing w:line="360" w:lineRule="auto"/>
              <w:jc w:val="center"/>
              <w:rPr>
                <w:rFonts w:hint="default"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65000</w:t>
            </w:r>
          </w:p>
        </w:tc>
        <w:tc>
          <w:tcPr>
            <w:tcW w:w="2480" w:type="dxa"/>
            <w:vAlign w:val="center"/>
          </w:tcPr>
          <w:p>
            <w:pPr>
              <w:spacing w:line="360" w:lineRule="auto"/>
              <w:jc w:val="center"/>
              <w:rPr>
                <w:rFonts w:hint="eastAsia" w:ascii="宋体" w:hAnsi="宋体" w:eastAsia="宋体" w:cs="宋体"/>
                <w:color w:val="auto"/>
                <w:sz w:val="24"/>
                <w:highlight w:val="none"/>
              </w:rPr>
            </w:pPr>
          </w:p>
        </w:tc>
        <w:tc>
          <w:tcPr>
            <w:tcW w:w="2481"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color w:val="auto"/>
                <w:sz w:val="24"/>
                <w:highlight w:val="none"/>
              </w:rPr>
            </w:pPr>
          </w:p>
        </w:tc>
        <w:tc>
          <w:tcPr>
            <w:tcW w:w="1543" w:type="dxa"/>
            <w:vAlign w:val="center"/>
          </w:tcPr>
          <w:p>
            <w:pPr>
              <w:snapToGrid w:val="0"/>
              <w:spacing w:line="360" w:lineRule="auto"/>
              <w:jc w:val="center"/>
              <w:rPr>
                <w:rFonts w:hint="eastAsia" w:ascii="宋体" w:hAnsi="宋体" w:eastAsia="宋体" w:cs="宋体"/>
                <w:color w:val="auto"/>
                <w:sz w:val="24"/>
                <w:highlight w:val="none"/>
              </w:rPr>
            </w:pPr>
          </w:p>
        </w:tc>
        <w:tc>
          <w:tcPr>
            <w:tcW w:w="1067" w:type="dxa"/>
            <w:vAlign w:val="center"/>
          </w:tcPr>
          <w:p>
            <w:pPr>
              <w:snapToGrid w:val="0"/>
              <w:spacing w:line="360" w:lineRule="auto"/>
              <w:jc w:val="center"/>
              <w:rPr>
                <w:rFonts w:hint="eastAsia" w:ascii="宋体" w:hAnsi="宋体" w:eastAsia="宋体" w:cs="宋体"/>
                <w:color w:val="auto"/>
                <w:sz w:val="24"/>
                <w:highlight w:val="none"/>
              </w:rPr>
            </w:pPr>
          </w:p>
        </w:tc>
        <w:tc>
          <w:tcPr>
            <w:tcW w:w="1359" w:type="dxa"/>
            <w:vAlign w:val="center"/>
          </w:tcPr>
          <w:p>
            <w:pPr>
              <w:snapToGrid w:val="0"/>
              <w:spacing w:line="360" w:lineRule="auto"/>
              <w:jc w:val="center"/>
              <w:rPr>
                <w:rFonts w:hint="eastAsia" w:ascii="宋体" w:hAnsi="宋体" w:eastAsia="宋体" w:cs="宋体"/>
                <w:color w:val="auto"/>
                <w:sz w:val="24"/>
                <w:highlight w:val="none"/>
              </w:rPr>
            </w:pPr>
          </w:p>
        </w:tc>
        <w:tc>
          <w:tcPr>
            <w:tcW w:w="1559" w:type="dxa"/>
            <w:vAlign w:val="center"/>
          </w:tcPr>
          <w:p>
            <w:pPr>
              <w:snapToGrid w:val="0"/>
              <w:spacing w:line="360" w:lineRule="auto"/>
              <w:jc w:val="center"/>
              <w:rPr>
                <w:rFonts w:hint="eastAsia" w:ascii="宋体" w:hAnsi="宋体" w:eastAsia="宋体" w:cs="宋体"/>
                <w:color w:val="auto"/>
                <w:sz w:val="24"/>
                <w:highlight w:val="none"/>
              </w:rPr>
            </w:pPr>
          </w:p>
        </w:tc>
        <w:tc>
          <w:tcPr>
            <w:tcW w:w="1701" w:type="dxa"/>
            <w:vAlign w:val="center"/>
          </w:tcPr>
          <w:p>
            <w:pPr>
              <w:spacing w:line="360" w:lineRule="auto"/>
              <w:jc w:val="center"/>
              <w:rPr>
                <w:rFonts w:hint="eastAsia" w:ascii="宋体" w:hAnsi="宋体" w:eastAsia="宋体" w:cs="宋体"/>
                <w:color w:val="auto"/>
                <w:sz w:val="24"/>
                <w:highlight w:val="none"/>
              </w:rPr>
            </w:pPr>
          </w:p>
        </w:tc>
        <w:tc>
          <w:tcPr>
            <w:tcW w:w="1843" w:type="dxa"/>
            <w:vAlign w:val="center"/>
          </w:tcPr>
          <w:p>
            <w:pPr>
              <w:spacing w:line="360" w:lineRule="auto"/>
              <w:jc w:val="center"/>
              <w:rPr>
                <w:rFonts w:hint="eastAsia" w:ascii="宋体" w:hAnsi="宋体" w:eastAsia="宋体" w:cs="宋体"/>
                <w:color w:val="auto"/>
                <w:sz w:val="24"/>
                <w:highlight w:val="none"/>
              </w:rPr>
            </w:pPr>
          </w:p>
        </w:tc>
        <w:tc>
          <w:tcPr>
            <w:tcW w:w="2480" w:type="dxa"/>
            <w:vAlign w:val="center"/>
          </w:tcPr>
          <w:p>
            <w:pPr>
              <w:spacing w:line="360" w:lineRule="auto"/>
              <w:jc w:val="center"/>
              <w:rPr>
                <w:rFonts w:hint="eastAsia" w:ascii="宋体" w:hAnsi="宋体" w:eastAsia="宋体" w:cs="宋体"/>
                <w:color w:val="auto"/>
                <w:sz w:val="24"/>
                <w:highlight w:val="none"/>
              </w:rPr>
            </w:pPr>
          </w:p>
        </w:tc>
        <w:tc>
          <w:tcPr>
            <w:tcW w:w="2481"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color w:val="auto"/>
                <w:sz w:val="24"/>
                <w:highlight w:val="none"/>
              </w:rPr>
            </w:pPr>
          </w:p>
        </w:tc>
        <w:tc>
          <w:tcPr>
            <w:tcW w:w="1543" w:type="dxa"/>
            <w:vAlign w:val="center"/>
          </w:tcPr>
          <w:p>
            <w:pPr>
              <w:snapToGrid w:val="0"/>
              <w:spacing w:line="360" w:lineRule="auto"/>
              <w:jc w:val="center"/>
              <w:rPr>
                <w:rFonts w:hint="eastAsia" w:ascii="宋体" w:hAnsi="宋体" w:eastAsia="宋体" w:cs="宋体"/>
                <w:color w:val="auto"/>
                <w:sz w:val="24"/>
                <w:highlight w:val="none"/>
              </w:rPr>
            </w:pPr>
          </w:p>
        </w:tc>
        <w:tc>
          <w:tcPr>
            <w:tcW w:w="1067" w:type="dxa"/>
            <w:vAlign w:val="center"/>
          </w:tcPr>
          <w:p>
            <w:pPr>
              <w:snapToGrid w:val="0"/>
              <w:spacing w:line="360" w:lineRule="auto"/>
              <w:jc w:val="center"/>
              <w:rPr>
                <w:rFonts w:hint="eastAsia" w:ascii="宋体" w:hAnsi="宋体" w:eastAsia="宋体" w:cs="宋体"/>
                <w:color w:val="auto"/>
                <w:sz w:val="24"/>
                <w:highlight w:val="none"/>
              </w:rPr>
            </w:pPr>
          </w:p>
        </w:tc>
        <w:tc>
          <w:tcPr>
            <w:tcW w:w="1359" w:type="dxa"/>
            <w:vAlign w:val="center"/>
          </w:tcPr>
          <w:p>
            <w:pPr>
              <w:snapToGrid w:val="0"/>
              <w:spacing w:line="360" w:lineRule="auto"/>
              <w:jc w:val="center"/>
              <w:rPr>
                <w:rFonts w:hint="eastAsia" w:ascii="宋体" w:hAnsi="宋体" w:eastAsia="宋体" w:cs="宋体"/>
                <w:color w:val="auto"/>
                <w:sz w:val="24"/>
                <w:highlight w:val="none"/>
              </w:rPr>
            </w:pPr>
          </w:p>
        </w:tc>
        <w:tc>
          <w:tcPr>
            <w:tcW w:w="1559" w:type="dxa"/>
            <w:vAlign w:val="center"/>
          </w:tcPr>
          <w:p>
            <w:pPr>
              <w:snapToGrid w:val="0"/>
              <w:spacing w:line="360" w:lineRule="auto"/>
              <w:jc w:val="center"/>
              <w:rPr>
                <w:rFonts w:hint="eastAsia" w:ascii="宋体" w:hAnsi="宋体" w:eastAsia="宋体" w:cs="宋体"/>
                <w:color w:val="auto"/>
                <w:sz w:val="24"/>
                <w:highlight w:val="none"/>
              </w:rPr>
            </w:pPr>
          </w:p>
        </w:tc>
        <w:tc>
          <w:tcPr>
            <w:tcW w:w="1701" w:type="dxa"/>
            <w:vAlign w:val="center"/>
          </w:tcPr>
          <w:p>
            <w:pPr>
              <w:spacing w:line="360" w:lineRule="auto"/>
              <w:jc w:val="center"/>
              <w:rPr>
                <w:rFonts w:hint="eastAsia" w:ascii="宋体" w:hAnsi="宋体" w:eastAsia="宋体" w:cs="宋体"/>
                <w:color w:val="auto"/>
                <w:sz w:val="24"/>
                <w:highlight w:val="none"/>
              </w:rPr>
            </w:pPr>
          </w:p>
        </w:tc>
        <w:tc>
          <w:tcPr>
            <w:tcW w:w="1843" w:type="dxa"/>
            <w:vAlign w:val="center"/>
          </w:tcPr>
          <w:p>
            <w:pPr>
              <w:spacing w:line="360" w:lineRule="auto"/>
              <w:jc w:val="center"/>
              <w:rPr>
                <w:rFonts w:hint="eastAsia" w:ascii="宋体" w:hAnsi="宋体" w:eastAsia="宋体" w:cs="宋体"/>
                <w:color w:val="auto"/>
                <w:sz w:val="24"/>
                <w:highlight w:val="none"/>
              </w:rPr>
            </w:pPr>
          </w:p>
        </w:tc>
        <w:tc>
          <w:tcPr>
            <w:tcW w:w="2480" w:type="dxa"/>
            <w:vAlign w:val="center"/>
          </w:tcPr>
          <w:p>
            <w:pPr>
              <w:spacing w:line="360" w:lineRule="auto"/>
              <w:jc w:val="center"/>
              <w:rPr>
                <w:rFonts w:hint="eastAsia" w:ascii="宋体" w:hAnsi="宋体" w:eastAsia="宋体" w:cs="宋体"/>
                <w:color w:val="auto"/>
                <w:sz w:val="24"/>
                <w:highlight w:val="none"/>
              </w:rPr>
            </w:pPr>
          </w:p>
        </w:tc>
        <w:tc>
          <w:tcPr>
            <w:tcW w:w="2481"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4503" w:type="dxa"/>
            <w:gridSpan w:val="4"/>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二年总计投标报价（小写）</w:t>
            </w:r>
          </w:p>
        </w:tc>
        <w:tc>
          <w:tcPr>
            <w:tcW w:w="10064" w:type="dxa"/>
            <w:gridSpan w:val="5"/>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503" w:type="dxa"/>
            <w:gridSpan w:val="4"/>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二年总计投标报价（大写）</w:t>
            </w:r>
          </w:p>
        </w:tc>
        <w:tc>
          <w:tcPr>
            <w:tcW w:w="10064" w:type="dxa"/>
            <w:gridSpan w:val="5"/>
            <w:vAlign w:val="center"/>
          </w:tcPr>
          <w:p>
            <w:pPr>
              <w:spacing w:line="360" w:lineRule="auto"/>
              <w:jc w:val="center"/>
              <w:rPr>
                <w:rFonts w:hint="eastAsia" w:ascii="宋体" w:hAnsi="宋体" w:eastAsia="宋体" w:cs="宋体"/>
                <w:color w:val="auto"/>
                <w:sz w:val="24"/>
                <w:highlight w:val="none"/>
              </w:rPr>
            </w:pPr>
          </w:p>
        </w:tc>
      </w:tr>
    </w:tbl>
    <w:p>
      <w:pPr>
        <w:snapToGrid w:val="0"/>
        <w:spacing w:line="460" w:lineRule="exact"/>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pPr>
        <w:spacing w:line="460" w:lineRule="exact"/>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1、投标人需按本表格式填写，不得自行更改。</w:t>
      </w:r>
    </w:p>
    <w:p>
      <w:pPr>
        <w:spacing w:line="460" w:lineRule="exact"/>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投标文件含有采购人不能接受的附加条件的，投标无效</w:t>
      </w:r>
      <w:r>
        <w:rPr>
          <w:rFonts w:hint="eastAsia" w:ascii="宋体" w:hAnsi="宋体" w:eastAsia="宋体" w:cs="宋体"/>
          <w:b/>
          <w:color w:val="auto"/>
          <w:kern w:val="0"/>
          <w:sz w:val="24"/>
          <w:highlight w:val="none"/>
          <w:lang w:val="zh-CN"/>
        </w:rPr>
        <w:t>。</w:t>
      </w:r>
    </w:p>
    <w:p>
      <w:pPr>
        <w:snapToGrid w:val="0"/>
        <w:spacing w:line="460" w:lineRule="exact"/>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3、以上表格要求细分项目及报价，在“规格型号（或具体服务）”一栏中，货物类项目填写规格型号，服务类项目填写具体服务。</w:t>
      </w:r>
    </w:p>
    <w:p>
      <w:pPr>
        <w:snapToGrid w:val="0"/>
        <w:spacing w:line="460" w:lineRule="exact"/>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4、特别提示：采购机构将对项目名称和项目编号，中标供应商名称、地址和中标金额，主要中标标的的名称、规格型号、数量、单价、服务要求等予以公示。</w:t>
      </w:r>
    </w:p>
    <w:p>
      <w:pPr>
        <w:snapToGrid w:val="0"/>
        <w:spacing w:line="460" w:lineRule="exact"/>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2"/>
          <w:highlight w:val="none"/>
          <w:lang w:val="zh-CN"/>
        </w:rPr>
        <w:t>5、</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4"/>
        <w:spacing w:line="460" w:lineRule="exact"/>
        <w:rPr>
          <w:rFonts w:hint="eastAsia" w:ascii="宋体" w:hAnsi="宋体" w:eastAsia="宋体" w:cs="宋体"/>
          <w:color w:val="auto"/>
          <w:highlight w:val="none"/>
        </w:rPr>
      </w:pPr>
    </w:p>
    <w:p>
      <w:pPr>
        <w:snapToGrid w:val="0"/>
        <w:spacing w:line="46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独立投标：投标人名称(电子签名)：</w:t>
      </w:r>
    </w:p>
    <w:p>
      <w:pPr>
        <w:snapToGrid w:val="0"/>
        <w:spacing w:line="46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或</w:t>
      </w:r>
    </w:p>
    <w:p>
      <w:pPr>
        <w:snapToGrid w:val="0"/>
        <w:spacing w:line="46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采用联合体投标：联合体牵头人名称(电子签名/盖章)：</w:t>
      </w:r>
    </w:p>
    <w:p>
      <w:pPr>
        <w:snapToGrid w:val="0"/>
        <w:spacing w:line="460" w:lineRule="exact"/>
        <w:ind w:left="420" w:leftChars="200" w:firstLine="4200" w:firstLineChars="1750"/>
        <w:jc w:val="right"/>
        <w:rPr>
          <w:rFonts w:hint="eastAsia" w:ascii="宋体" w:hAnsi="宋体" w:eastAsia="宋体" w:cs="宋体"/>
          <w:color w:val="auto"/>
          <w:kern w:val="0"/>
          <w:sz w:val="24"/>
          <w:highlight w:val="none"/>
          <w:u w:val="single"/>
          <w:lang w:val="zh-CN"/>
        </w:rPr>
      </w:pPr>
      <w:r>
        <w:rPr>
          <w:rFonts w:hint="eastAsia" w:ascii="宋体" w:hAnsi="宋体" w:eastAsia="宋体" w:cs="宋体"/>
          <w:color w:val="auto"/>
          <w:sz w:val="24"/>
          <w:highlight w:val="none"/>
        </w:rPr>
        <w:t xml:space="preserve">   日期：  年   月   日</w:t>
      </w:r>
    </w:p>
    <w:p>
      <w:pPr>
        <w:rPr>
          <w:rFonts w:hint="eastAsia" w:ascii="宋体" w:hAnsi="宋体" w:eastAsia="宋体" w:cs="宋体"/>
          <w:color w:val="auto"/>
          <w:highlight w:val="none"/>
          <w:lang w:val="zh-CN"/>
        </w:rPr>
      </w:pPr>
    </w:p>
    <w:p>
      <w:pPr>
        <w:rPr>
          <w:rFonts w:hint="eastAsia" w:ascii="宋体" w:hAnsi="宋体" w:eastAsia="宋体" w:cs="宋体"/>
          <w:color w:val="auto"/>
          <w:highlight w:val="none"/>
          <w:lang w:val="zh-CN"/>
        </w:rPr>
      </w:pPr>
    </w:p>
    <w:p>
      <w:pPr>
        <w:snapToGrid w:val="0"/>
        <w:spacing w:line="500" w:lineRule="exact"/>
        <w:jc w:val="center"/>
        <w:rPr>
          <w:rFonts w:hint="eastAsia" w:ascii="宋体" w:hAnsi="宋体" w:eastAsia="宋体" w:cs="宋体"/>
          <w:b/>
          <w:color w:val="auto"/>
          <w:sz w:val="28"/>
          <w:szCs w:val="28"/>
          <w:highlight w:val="none"/>
        </w:rPr>
      </w:pPr>
    </w:p>
    <w:p>
      <w:pPr>
        <w:snapToGrid w:val="0"/>
        <w:spacing w:line="440" w:lineRule="exact"/>
        <w:jc w:val="center"/>
        <w:rPr>
          <w:rFonts w:hint="eastAsia" w:ascii="宋体" w:hAnsi="宋体" w:eastAsia="宋体" w:cs="宋体"/>
          <w:b/>
          <w:color w:val="auto"/>
          <w:sz w:val="28"/>
          <w:szCs w:val="28"/>
          <w:highlight w:val="none"/>
        </w:rPr>
      </w:pPr>
    </w:p>
    <w:p>
      <w:pPr>
        <w:snapToGrid w:val="0"/>
        <w:spacing w:line="440" w:lineRule="exact"/>
        <w:jc w:val="center"/>
        <w:rPr>
          <w:rFonts w:hint="eastAsia" w:ascii="宋体" w:hAnsi="宋体" w:eastAsia="宋体" w:cs="宋体"/>
          <w:b/>
          <w:color w:val="auto"/>
          <w:sz w:val="28"/>
          <w:szCs w:val="28"/>
          <w:highlight w:val="none"/>
        </w:rPr>
      </w:pPr>
    </w:p>
    <w:p>
      <w:pPr>
        <w:snapToGrid w:val="0"/>
        <w:spacing w:line="440" w:lineRule="exact"/>
        <w:jc w:val="center"/>
        <w:rPr>
          <w:rFonts w:hint="eastAsia" w:ascii="宋体" w:hAnsi="宋体" w:eastAsia="宋体" w:cs="宋体"/>
          <w:b/>
          <w:color w:val="auto"/>
          <w:sz w:val="28"/>
          <w:szCs w:val="28"/>
          <w:highlight w:val="none"/>
        </w:rPr>
      </w:pPr>
    </w:p>
    <w:p>
      <w:pPr>
        <w:snapToGrid w:val="0"/>
        <w:spacing w:line="440" w:lineRule="exact"/>
        <w:jc w:val="center"/>
        <w:rPr>
          <w:rFonts w:hint="eastAsia" w:ascii="宋体" w:hAnsi="宋体" w:eastAsia="宋体" w:cs="宋体"/>
          <w:b/>
          <w:color w:val="auto"/>
          <w:sz w:val="28"/>
          <w:szCs w:val="28"/>
          <w:highlight w:val="none"/>
        </w:rPr>
      </w:pPr>
    </w:p>
    <w:p>
      <w:pPr>
        <w:snapToGrid w:val="0"/>
        <w:spacing w:line="44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二、报价明细清单(标项)</w:t>
      </w:r>
    </w:p>
    <w:tbl>
      <w:tblPr>
        <w:tblStyle w:val="63"/>
        <w:tblW w:w="13924" w:type="dxa"/>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113" w:type="dxa"/>
          <w:bottom w:w="0" w:type="dxa"/>
          <w:right w:w="113" w:type="dxa"/>
        </w:tblCellMar>
      </w:tblPr>
      <w:tblGrid>
        <w:gridCol w:w="1060"/>
        <w:gridCol w:w="731"/>
        <w:gridCol w:w="2056"/>
        <w:gridCol w:w="2787"/>
        <w:gridCol w:w="1598"/>
        <w:gridCol w:w="1000"/>
        <w:gridCol w:w="1150"/>
        <w:gridCol w:w="1071"/>
        <w:gridCol w:w="2471"/>
      </w:tblGrid>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701" w:hRule="atLeast"/>
        </w:trPr>
        <w:tc>
          <w:tcPr>
            <w:tcW w:w="106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5574" w:type="dxa"/>
            <w:gridSpan w:val="3"/>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名称</w:t>
            </w:r>
          </w:p>
        </w:tc>
        <w:tc>
          <w:tcPr>
            <w:tcW w:w="1598"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单价</w:t>
            </w:r>
          </w:p>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（元/年•人）</w:t>
            </w:r>
          </w:p>
        </w:tc>
        <w:tc>
          <w:tcPr>
            <w:tcW w:w="100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人数</w:t>
            </w:r>
          </w:p>
        </w:tc>
        <w:tc>
          <w:tcPr>
            <w:tcW w:w="1150" w:type="dxa"/>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1年合计</w:t>
            </w:r>
          </w:p>
        </w:tc>
        <w:tc>
          <w:tcPr>
            <w:tcW w:w="1071" w:type="dxa"/>
            <w:tcBorders>
              <w:lef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rPr>
              <w:t>年合计</w:t>
            </w:r>
          </w:p>
        </w:tc>
        <w:tc>
          <w:tcPr>
            <w:tcW w:w="2471"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669" w:hRule="atLeast"/>
        </w:trPr>
        <w:tc>
          <w:tcPr>
            <w:tcW w:w="1060" w:type="dxa"/>
            <w:vMerge w:val="restart"/>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2787" w:type="dxa"/>
            <w:gridSpan w:val="2"/>
            <w:vMerge w:val="restart"/>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人工费用</w:t>
            </w:r>
          </w:p>
        </w:tc>
        <w:tc>
          <w:tcPr>
            <w:tcW w:w="2787"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项目负责人费用</w:t>
            </w:r>
          </w:p>
        </w:tc>
        <w:tc>
          <w:tcPr>
            <w:tcW w:w="1598"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00" w:type="dxa"/>
            <w:vAlign w:val="center"/>
          </w:tcPr>
          <w:p>
            <w:pPr>
              <w:shd w:val="clear" w:color="auto" w:fill="FFFFFF"/>
              <w:snapToGrid w:val="0"/>
              <w:spacing w:line="440" w:lineRule="exact"/>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w:t>
            </w:r>
          </w:p>
        </w:tc>
        <w:tc>
          <w:tcPr>
            <w:tcW w:w="1150" w:type="dxa"/>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71" w:type="dxa"/>
            <w:tcBorders>
              <w:lef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471" w:type="dxa"/>
            <w:vMerge w:val="restart"/>
            <w:vAlign w:val="center"/>
          </w:tcPr>
          <w:p>
            <w:pPr>
              <w:shd w:val="clear" w:color="auto" w:fill="FFFFFF"/>
              <w:snapToGrid w:val="0"/>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含人员基础工资、环卫特殊岗位津贴、高温费、社会保险费、住房公积金、双休日及法定节假日加班费、医疗体检费。</w:t>
            </w: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780" w:hRule="atLeast"/>
        </w:trPr>
        <w:tc>
          <w:tcPr>
            <w:tcW w:w="1060" w:type="dxa"/>
            <w:vMerge w:val="continue"/>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787" w:type="dxa"/>
            <w:gridSpan w:val="2"/>
            <w:vMerge w:val="continue"/>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787"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专职道路保洁员费用</w:t>
            </w:r>
          </w:p>
        </w:tc>
        <w:tc>
          <w:tcPr>
            <w:tcW w:w="1598"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00" w:type="dxa"/>
            <w:vAlign w:val="center"/>
          </w:tcPr>
          <w:p>
            <w:pPr>
              <w:shd w:val="clear" w:color="auto" w:fill="FFFFFF"/>
              <w:snapToGrid w:val="0"/>
              <w:spacing w:line="44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48</w:t>
            </w:r>
          </w:p>
        </w:tc>
        <w:tc>
          <w:tcPr>
            <w:tcW w:w="1150" w:type="dxa"/>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71" w:type="dxa"/>
            <w:tcBorders>
              <w:lef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471" w:type="dxa"/>
            <w:vMerge w:val="continue"/>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529" w:hRule="atLeast"/>
        </w:trPr>
        <w:tc>
          <w:tcPr>
            <w:tcW w:w="106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787" w:type="dxa"/>
            <w:gridSpan w:val="2"/>
            <w:vMerge w:val="continue"/>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787"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景区内绿化养护人员费用</w:t>
            </w:r>
          </w:p>
        </w:tc>
        <w:tc>
          <w:tcPr>
            <w:tcW w:w="1598"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00" w:type="dxa"/>
            <w:vAlign w:val="center"/>
          </w:tcPr>
          <w:p>
            <w:pPr>
              <w:shd w:val="clear" w:color="auto" w:fill="FFFFFF"/>
              <w:snapToGrid w:val="0"/>
              <w:spacing w:line="44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13</w:t>
            </w:r>
          </w:p>
        </w:tc>
        <w:tc>
          <w:tcPr>
            <w:tcW w:w="1150" w:type="dxa"/>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71" w:type="dxa"/>
            <w:tcBorders>
              <w:lef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471" w:type="dxa"/>
            <w:vMerge w:val="continue"/>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106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5574" w:type="dxa"/>
            <w:gridSpan w:val="3"/>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机具费用</w:t>
            </w:r>
          </w:p>
        </w:tc>
        <w:tc>
          <w:tcPr>
            <w:tcW w:w="1598"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0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150" w:type="dxa"/>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71" w:type="dxa"/>
            <w:tcBorders>
              <w:lef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471"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106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5574" w:type="dxa"/>
            <w:gridSpan w:val="3"/>
            <w:vAlign w:val="center"/>
          </w:tcPr>
          <w:p>
            <w:pPr>
              <w:shd w:val="clear" w:color="auto" w:fill="FFFFFF"/>
              <w:snapToGrid w:val="0"/>
              <w:spacing w:line="44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其它费用</w:t>
            </w:r>
            <w:r>
              <w:rPr>
                <w:rFonts w:hint="eastAsia" w:ascii="宋体" w:hAnsi="宋体" w:eastAsia="宋体" w:cs="宋体"/>
                <w:color w:val="auto"/>
                <w:szCs w:val="21"/>
                <w:highlight w:val="none"/>
                <w:lang w:val="en-US" w:eastAsia="zh-CN"/>
              </w:rPr>
              <w:t xml:space="preserve"> </w:t>
            </w:r>
          </w:p>
        </w:tc>
        <w:tc>
          <w:tcPr>
            <w:tcW w:w="1598"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0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150" w:type="dxa"/>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71" w:type="dxa"/>
            <w:tcBorders>
              <w:lef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471"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106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5574" w:type="dxa"/>
            <w:gridSpan w:val="3"/>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管理费用等</w:t>
            </w:r>
          </w:p>
        </w:tc>
        <w:tc>
          <w:tcPr>
            <w:tcW w:w="1598"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0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150" w:type="dxa"/>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71" w:type="dxa"/>
            <w:tcBorders>
              <w:lef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471"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106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5574" w:type="dxa"/>
            <w:gridSpan w:val="3"/>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税费</w:t>
            </w:r>
          </w:p>
        </w:tc>
        <w:tc>
          <w:tcPr>
            <w:tcW w:w="1598"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00"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150" w:type="dxa"/>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1071" w:type="dxa"/>
            <w:tcBorders>
              <w:lef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c>
          <w:tcPr>
            <w:tcW w:w="2471" w:type="dxa"/>
            <w:vAlign w:val="center"/>
          </w:tcPr>
          <w:p>
            <w:pPr>
              <w:shd w:val="clear" w:color="auto" w:fill="FFFFFF"/>
              <w:snapToGrid w:val="0"/>
              <w:spacing w:line="440" w:lineRule="exact"/>
              <w:jc w:val="center"/>
              <w:rPr>
                <w:rFonts w:hint="eastAsia" w:ascii="宋体" w:hAnsi="宋体" w:eastAsia="宋体" w:cs="宋体"/>
                <w:color w:val="auto"/>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1791" w:type="dxa"/>
            <w:gridSpan w:val="2"/>
            <w:tcBorders>
              <w:right w:val="single" w:color="auto" w:sz="4" w:space="0"/>
            </w:tcBorders>
            <w:vAlign w:val="center"/>
          </w:tcPr>
          <w:p>
            <w:pPr>
              <w:shd w:val="clear" w:color="auto" w:fill="FFFFFF"/>
              <w:snapToGrid w:val="0"/>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两年总计（结转至开标一览表）</w:t>
            </w:r>
          </w:p>
        </w:tc>
        <w:tc>
          <w:tcPr>
            <w:tcW w:w="12133" w:type="dxa"/>
            <w:gridSpan w:val="7"/>
            <w:tcBorders>
              <w:left w:val="single" w:color="auto" w:sz="4" w:space="0"/>
              <w:right w:val="single" w:color="auto" w:sz="4" w:space="0"/>
            </w:tcBorders>
            <w:vAlign w:val="center"/>
          </w:tcPr>
          <w:p>
            <w:pPr>
              <w:shd w:val="clear" w:color="auto" w:fill="FFFFFF"/>
              <w:snapToGrid w:val="0"/>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大写：小写：</w:t>
            </w:r>
          </w:p>
        </w:tc>
      </w:tr>
    </w:tbl>
    <w:p>
      <w:pPr>
        <w:pStyle w:val="4"/>
        <w:spacing w:line="360" w:lineRule="exact"/>
        <w:rPr>
          <w:rFonts w:hint="eastAsia" w:ascii="宋体" w:hAnsi="宋体" w:eastAsia="宋体" w:cs="宋体"/>
          <w:b w:val="0"/>
          <w:bCs w:val="0"/>
          <w:color w:val="auto"/>
          <w:sz w:val="21"/>
          <w:szCs w:val="21"/>
          <w:highlight w:val="none"/>
          <w:lang w:val="en-US"/>
        </w:rPr>
      </w:pPr>
      <w:r>
        <w:rPr>
          <w:rFonts w:hint="eastAsia" w:ascii="宋体" w:hAnsi="宋体" w:eastAsia="宋体" w:cs="宋体"/>
          <w:b w:val="0"/>
          <w:bCs w:val="0"/>
          <w:color w:val="auto"/>
          <w:sz w:val="21"/>
          <w:szCs w:val="21"/>
          <w:highlight w:val="none"/>
          <w:lang w:val="en-US"/>
        </w:rPr>
        <w:t>注：1.此表可以自行扩展，但已有内容不可缺。合计费用须与开标一览表中投标总报价一致。</w:t>
      </w:r>
    </w:p>
    <w:p>
      <w:pPr>
        <w:pStyle w:val="4"/>
        <w:spacing w:line="360" w:lineRule="exact"/>
        <w:rPr>
          <w:rFonts w:hint="eastAsia" w:ascii="宋体" w:hAnsi="宋体" w:eastAsia="宋体" w:cs="宋体"/>
          <w:b w:val="0"/>
          <w:bCs w:val="0"/>
          <w:color w:val="auto"/>
          <w:sz w:val="21"/>
          <w:szCs w:val="21"/>
          <w:highlight w:val="none"/>
          <w:lang w:val="en-US"/>
        </w:rPr>
      </w:pPr>
      <w:r>
        <w:rPr>
          <w:rFonts w:hint="eastAsia" w:ascii="宋体" w:hAnsi="宋体" w:eastAsia="宋体" w:cs="宋体"/>
          <w:b w:val="0"/>
          <w:bCs w:val="0"/>
          <w:color w:val="auto"/>
          <w:sz w:val="21"/>
          <w:szCs w:val="21"/>
          <w:highlight w:val="none"/>
          <w:lang w:val="en-US"/>
        </w:rPr>
        <w:t>2.▲本次招标最低人员工资不得低于47986.92元/年•人。</w:t>
      </w:r>
    </w:p>
    <w:p>
      <w:pPr>
        <w:snapToGrid w:val="0"/>
        <w:spacing w:line="36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独立投标：投标人名称(电子签名)：</w:t>
      </w:r>
    </w:p>
    <w:p>
      <w:pPr>
        <w:snapToGrid w:val="0"/>
        <w:spacing w:line="36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或</w:t>
      </w:r>
    </w:p>
    <w:p>
      <w:pPr>
        <w:snapToGrid w:val="0"/>
        <w:spacing w:line="36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采用联合体投标：联合体牵头人名称(电子签名/盖章)：</w:t>
      </w:r>
    </w:p>
    <w:p>
      <w:pPr>
        <w:snapToGrid w:val="0"/>
        <w:spacing w:line="360" w:lineRule="exact"/>
        <w:ind w:left="420" w:leftChars="200" w:firstLine="4200" w:firstLineChars="1750"/>
        <w:jc w:val="right"/>
        <w:rPr>
          <w:rFonts w:hint="eastAsia" w:ascii="宋体" w:hAnsi="宋体" w:eastAsia="宋体" w:cs="宋体"/>
          <w:color w:val="auto"/>
          <w:kern w:val="0"/>
          <w:sz w:val="24"/>
          <w:highlight w:val="none"/>
          <w:u w:val="single"/>
          <w:lang w:val="zh-CN"/>
        </w:rPr>
      </w:pPr>
      <w:r>
        <w:rPr>
          <w:rFonts w:hint="eastAsia" w:ascii="宋体" w:hAnsi="宋体" w:eastAsia="宋体" w:cs="宋体"/>
          <w:color w:val="auto"/>
          <w:sz w:val="24"/>
          <w:highlight w:val="none"/>
        </w:rPr>
        <w:t xml:space="preserve">   日期：  年   月   日</w:t>
      </w: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三、</w:t>
      </w:r>
      <w:r>
        <w:rPr>
          <w:rFonts w:hint="eastAsia" w:ascii="宋体" w:hAnsi="宋体" w:eastAsia="宋体" w:cs="宋体"/>
          <w:color w:val="auto"/>
          <w:sz w:val="32"/>
          <w:szCs w:val="32"/>
          <w:highlight w:val="none"/>
        </w:rPr>
        <w:t>中小企业声明函</w:t>
      </w:r>
    </w:p>
    <w:p>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宋体" w:hAnsi="宋体" w:eastAsia="宋体" w:cs="宋体"/>
          <w:b/>
          <w:color w:val="auto"/>
          <w:sz w:val="24"/>
          <w:highlight w:val="none"/>
          <w:lang w:val="en-US" w:eastAsia="zh-CN"/>
        </w:rPr>
        <w:t>7</w:t>
      </w:r>
      <w:r>
        <w:rPr>
          <w:rFonts w:hint="eastAsia" w:ascii="宋体" w:hAnsi="宋体" w:eastAsia="宋体" w:cs="宋体"/>
          <w:b/>
          <w:color w:val="auto"/>
          <w:sz w:val="24"/>
          <w:highlight w:val="none"/>
        </w:rPr>
        <w:t>）。]</w:t>
      </w:r>
    </w:p>
    <w:p>
      <w:pPr>
        <w:pStyle w:val="691"/>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spacing w:line="360" w:lineRule="auto"/>
        <w:ind w:right="420" w:firstLine="3614" w:firstLineChars="1000"/>
        <w:rPr>
          <w:rFonts w:hint="eastAsia" w:ascii="宋体" w:hAnsi="宋体" w:eastAsia="宋体" w:cs="宋体"/>
          <w:b/>
          <w:color w:val="auto"/>
          <w:kern w:val="0"/>
          <w:sz w:val="36"/>
          <w:szCs w:val="36"/>
          <w:highlight w:val="none"/>
        </w:rPr>
      </w:pPr>
    </w:p>
    <w:p>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r>
        <w:rPr>
          <w:rFonts w:hint="eastAsia" w:ascii="宋体" w:hAnsi="宋体" w:eastAsia="宋体" w:cs="宋体"/>
          <w:color w:val="auto"/>
          <w:highlight w:val="none"/>
        </w:rPr>
        <w:t>附件</w:t>
      </w:r>
    </w:p>
    <w:p>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残疾人福利性单位声明函</w:t>
      </w:r>
    </w:p>
    <w:p>
      <w:pPr>
        <w:spacing w:line="360" w:lineRule="auto"/>
        <w:rPr>
          <w:rFonts w:hint="eastAsia" w:ascii="宋体" w:hAnsi="宋体" w:eastAsia="宋体" w:cs="宋体"/>
          <w:b/>
          <w:color w:val="auto"/>
          <w:spacing w:val="6"/>
          <w:sz w:val="30"/>
          <w:szCs w:val="30"/>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lang w:eastAsia="zh-CN"/>
        </w:rPr>
        <w:t>古镇景区保洁绿化养护服务</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pPr>
        <w:snapToGrid w:val="0"/>
        <w:spacing w:before="312"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jc w:val="center"/>
        <w:rPr>
          <w:rFonts w:hint="eastAsia" w:ascii="宋体" w:hAnsi="宋体" w:eastAsia="宋体" w:cs="宋体"/>
          <w:b/>
          <w:bCs/>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autoSpaceDE w:val="0"/>
        <w:autoSpaceDN w:val="0"/>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pPr>
        <w:spacing w:line="360" w:lineRule="auto"/>
        <w:rPr>
          <w:rFonts w:hint="eastAsia" w:ascii="宋体" w:hAnsi="宋体" w:eastAsia="宋体" w:cs="宋体"/>
          <w:color w:val="auto"/>
          <w:sz w:val="24"/>
          <w:highlight w:val="none"/>
          <w:u w:val="singl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eastAsia="宋体" w:cs="宋体"/>
          <w:color w:val="auto"/>
          <w:sz w:val="24"/>
          <w:highlight w:val="none"/>
          <w:lang w:eastAsia="zh-CN"/>
        </w:rPr>
        <w:t>古镇景区保洁绿化养护服务</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ZJZFCG-YS2023-018</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pPr>
        <w:spacing w:line="360" w:lineRule="auto"/>
        <w:ind w:firstLine="494"/>
        <w:rPr>
          <w:rFonts w:hint="eastAsia" w:ascii="宋体" w:hAnsi="宋体" w:eastAsia="宋体" w:cs="宋体"/>
          <w:color w:val="auto"/>
          <w:sz w:val="24"/>
          <w:highlight w:val="none"/>
        </w:rPr>
      </w:pPr>
    </w:p>
    <w:p>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pPr>
        <w:spacing w:line="360" w:lineRule="auto"/>
        <w:rPr>
          <w:rFonts w:hint="eastAsia" w:ascii="宋体" w:hAnsi="宋体" w:eastAsia="宋体" w:cs="宋体"/>
          <w:bCs/>
          <w:color w:val="auto"/>
          <w:sz w:val="24"/>
          <w:highlight w:val="none"/>
        </w:rPr>
      </w:pPr>
      <w:r>
        <w:rPr>
          <w:rFonts w:hint="eastAsia" w:ascii="宋体" w:hAnsi="宋体" w:eastAsia="宋体" w:cs="宋体"/>
          <w:color w:val="auto"/>
          <w:highlight w:val="none"/>
        </w:rPr>
        <w:pict>
          <v:rect id="_x0000_s1028" o:spid="_x0000_s1028"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XRFQWS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XRFQWSoCAAB0BAAADgAAAAAAAAABACAAAAAnAQAAZHJzL2Uyb0RvYy54bWxQSwUG&#10;AAAAAAYABgBZAQAAwwUAAAAA&#10;">
            <v:path/>
            <v:fill on="t" focussize="0,0"/>
            <v:stroke color="#000000" miterlimit="2" joinstyle="miter"/>
            <v:imagedata o:title=""/>
            <o:lock v:ext="edit" aspectratio="f"/>
          </v:rect>
        </w:pict>
      </w:r>
      <w:r>
        <w:rPr>
          <w:rFonts w:hint="eastAsia" w:ascii="宋体" w:hAnsi="宋体" w:eastAsia="宋体" w:cs="宋体"/>
          <w:color w:val="auto"/>
          <w:highlight w:val="none"/>
        </w:rPr>
        <w:pict>
          <v:rect id="_x0000_s1029" o:spid="_x0000_s1029"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Vjnj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VjnjCoCAAB0BAAADgAAAAAAAAABACAAAAAnAQAAZHJzL2Uyb0RvYy54bWxQSwUG&#10;AAAAAAYABgBZAQAAwwUAAAAA&#10;">
            <v:path/>
            <v:fill on="t" focussize="0,0"/>
            <v:stroke color="#000000" miterlimit="2" joinstyle="miter"/>
            <v:imagedata o:title=""/>
            <o:lock v:ext="edit" aspectratio="f"/>
          </v:rect>
        </w:pict>
      </w:r>
      <w:r>
        <w:rPr>
          <w:rFonts w:hint="eastAsia" w:ascii="宋体" w:hAnsi="宋体" w:eastAsia="宋体" w:cs="宋体"/>
          <w:color w:val="auto"/>
          <w:sz w:val="24"/>
          <w:highlight w:val="none"/>
        </w:rPr>
        <w:t>投标单位法定名称章（印模）                投标单位“XX专用章”（印模）</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kern w:val="0"/>
          <w:sz w:val="32"/>
          <w:szCs w:val="32"/>
          <w:highlight w:val="none"/>
          <w:lang w:val="zh-CN"/>
        </w:rPr>
        <w:t>联合协议</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lang w:eastAsia="zh-CN"/>
        </w:rPr>
        <w:t>古镇景区保洁绿化养护服务</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ZJZFCG-YS2023-018</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投标。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144" w:name="_Hlk101131882"/>
      <w:r>
        <w:rPr>
          <w:rFonts w:hint="eastAsia" w:ascii="宋体" w:hAnsi="宋体" w:eastAsia="宋体" w:cs="宋体"/>
          <w:color w:val="auto"/>
          <w:kern w:val="0"/>
          <w:sz w:val="24"/>
          <w:highlight w:val="none"/>
          <w:u w:val="single"/>
        </w:rPr>
        <w:t>联合体成员X,……</w:t>
      </w:r>
      <w:bookmarkEnd w:id="144"/>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145" w:name="_Hlk101133598"/>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145"/>
      <w:r>
        <w:rPr>
          <w:rFonts w:hint="eastAsia" w:ascii="宋体" w:hAnsi="宋体" w:eastAsia="宋体" w:cs="宋体"/>
          <w:b/>
          <w:color w:val="auto"/>
          <w:kern w:val="0"/>
          <w:sz w:val="24"/>
          <w:highlight w:val="none"/>
          <w:lang w:val="zh-CN"/>
        </w:rPr>
        <w:t>）</w:t>
      </w:r>
    </w:p>
    <w:p>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146"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146"/>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both"/>
        <w:rPr>
          <w:rFonts w:hint="eastAsia" w:ascii="宋体" w:hAnsi="宋体" w:eastAsia="宋体" w:cs="宋体"/>
          <w:b/>
          <w:color w:val="auto"/>
          <w:spacing w:val="6"/>
          <w:sz w:val="32"/>
          <w:szCs w:val="32"/>
          <w:highlight w:val="none"/>
        </w:rPr>
      </w:pPr>
    </w:p>
    <w:p>
      <w:pPr>
        <w:autoSpaceDE w:val="0"/>
        <w:autoSpaceDN w:val="0"/>
        <w:rPr>
          <w:rFonts w:hint="eastAsia" w:ascii="宋体" w:hAnsi="宋体" w:eastAsia="宋体" w:cs="宋体"/>
          <w:b/>
          <w:color w:val="auto"/>
          <w:spacing w:val="6"/>
          <w:sz w:val="32"/>
          <w:szCs w:val="32"/>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spacing w:val="6"/>
          <w:sz w:val="32"/>
          <w:szCs w:val="32"/>
          <w:highlight w:val="none"/>
        </w:rPr>
        <w:t>附件6：</w:t>
      </w:r>
      <w:r>
        <w:rPr>
          <w:rFonts w:hint="eastAsia" w:ascii="宋体" w:hAnsi="宋体" w:eastAsia="宋体" w:cs="宋体"/>
          <w:b/>
          <w:color w:val="auto"/>
          <w:kern w:val="0"/>
          <w:sz w:val="32"/>
          <w:szCs w:val="32"/>
          <w:highlight w:val="none"/>
        </w:rPr>
        <w:t>分包意向协议</w:t>
      </w:r>
    </w:p>
    <w:p>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lang w:eastAsia="zh-CN"/>
        </w:rPr>
        <w:t>古镇景区保洁绿化养护服务</w:t>
      </w:r>
      <w:r>
        <w:rPr>
          <w:rFonts w:hint="eastAsia" w:ascii="宋体" w:hAnsi="宋体" w:eastAsia="宋体" w:cs="宋体"/>
          <w:color w:val="auto"/>
          <w:sz w:val="24"/>
          <w:highlight w:val="none"/>
        </w:rPr>
        <w:t>【招标编号：</w:t>
      </w:r>
      <w:r>
        <w:rPr>
          <w:rFonts w:hint="eastAsia" w:ascii="宋体" w:hAnsi="宋体" w:eastAsia="宋体" w:cs="宋体"/>
          <w:color w:val="auto"/>
          <w:sz w:val="24"/>
          <w:highlight w:val="none"/>
          <w:lang w:eastAsia="zh-CN"/>
        </w:rPr>
        <w:t>ZJZFCG-YS2023-018</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pPr>
        <w:pStyle w:val="4"/>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pStyle w:val="25"/>
        <w:rPr>
          <w:rFonts w:hint="eastAsia" w:ascii="宋体" w:hAnsi="宋体" w:eastAsia="宋体" w:cs="宋体"/>
          <w:color w:val="auto"/>
          <w:highlight w:val="none"/>
        </w:rPr>
      </w:pPr>
    </w:p>
    <w:p>
      <w:pPr>
        <w:autoSpaceDE w:val="0"/>
        <w:autoSpaceDN w:val="0"/>
        <w:jc w:val="center"/>
        <w:rPr>
          <w:rFonts w:hint="eastAsia" w:ascii="宋体" w:hAnsi="宋体" w:eastAsia="宋体" w:cs="宋体"/>
          <w:b/>
          <w:color w:val="auto"/>
          <w:spacing w:val="6"/>
          <w:sz w:val="32"/>
          <w:szCs w:val="32"/>
          <w:highlight w:val="none"/>
        </w:rPr>
      </w:pPr>
    </w:p>
    <w:p>
      <w:pPr>
        <w:spacing w:line="360" w:lineRule="auto"/>
        <w:jc w:val="left"/>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附件7：中小企业声明函</w:t>
      </w:r>
    </w:p>
    <w:p>
      <w:pPr>
        <w:spacing w:line="360" w:lineRule="auto"/>
        <w:jc w:val="center"/>
        <w:rPr>
          <w:rFonts w:hint="eastAsia" w:ascii="宋体" w:hAnsi="宋体" w:eastAsia="宋体" w:cs="宋体"/>
          <w:color w:val="auto"/>
          <w:sz w:val="24"/>
          <w:highlight w:val="none"/>
          <w:u w:val="single"/>
        </w:rPr>
      </w:pP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古镇景区保洁绿化养护服务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 xml:space="preserve">（采购文件中明确的所属行业） </w:t>
      </w:r>
      <w:r>
        <w:rPr>
          <w:rFonts w:hint="eastAsia" w:ascii="宋体" w:hAnsi="宋体" w:eastAsia="宋体" w:cs="宋体"/>
          <w:color w:val="auto"/>
          <w:sz w:val="24"/>
          <w:highlight w:val="none"/>
        </w:rPr>
        <w:t xml:space="preserve">；承建（承接）企业为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pPr>
        <w:spacing w:line="360" w:lineRule="auto"/>
        <w:ind w:right="420"/>
        <w:rPr>
          <w:rFonts w:hint="eastAsia" w:ascii="宋体" w:hAnsi="宋体" w:eastAsia="宋体" w:cs="宋体"/>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p>
      <w:pPr>
        <w:rPr>
          <w:rFonts w:hint="eastAsia" w:ascii="宋体" w:hAnsi="宋体" w:eastAsia="宋体" w:cs="宋体"/>
          <w:color w:val="auto"/>
          <w:highlight w:val="none"/>
          <w:lang w:val="en-US"/>
        </w:rPr>
      </w:pPr>
    </w:p>
    <w:bookmarkEnd w:id="13"/>
    <w:p>
      <w:pPr>
        <w:keepNext w:val="0"/>
        <w:keepLines w:val="0"/>
        <w:pageBreakBefore w:val="0"/>
        <w:kinsoku/>
        <w:wordWrap/>
        <w:overflowPunct/>
        <w:topLinePunct w:val="0"/>
        <w:autoSpaceDE/>
        <w:autoSpaceDN/>
        <w:bidi w:val="0"/>
        <w:spacing w:line="570" w:lineRule="exact"/>
        <w:ind w:right="0" w:rightChars="0"/>
        <w:jc w:val="both"/>
        <w:outlineLvl w:val="9"/>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lang w:eastAsia="zh-CN"/>
        </w:rPr>
        <w:t>临平区洁</w:t>
      </w:r>
      <w:r>
        <w:rPr>
          <w:rFonts w:hint="eastAsia" w:ascii="宋体" w:hAnsi="宋体" w:eastAsia="宋体" w:cs="宋体"/>
          <w:color w:val="auto"/>
          <w:sz w:val="36"/>
          <w:szCs w:val="36"/>
          <w:highlight w:val="none"/>
          <w:lang w:val="en-US" w:eastAsia="zh-CN"/>
        </w:rPr>
        <w:t>化考核</w:t>
      </w:r>
      <w:r>
        <w:rPr>
          <w:rFonts w:hint="eastAsia" w:ascii="宋体" w:hAnsi="宋体" w:eastAsia="宋体" w:cs="宋体"/>
          <w:color w:val="auto"/>
          <w:sz w:val="36"/>
          <w:szCs w:val="36"/>
          <w:highlight w:val="none"/>
          <w:lang w:eastAsia="zh-CN"/>
        </w:rPr>
        <w:t>评分细则</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89"/>
        <w:gridCol w:w="789"/>
        <w:gridCol w:w="6111"/>
        <w:gridCol w:w="1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61" w:hRule="exact"/>
          <w:tblHeader/>
          <w:jc w:val="center"/>
        </w:trPr>
        <w:tc>
          <w:tcPr>
            <w:tcW w:w="8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b w:val="0"/>
                <w:bCs/>
                <w:color w:val="auto"/>
                <w:kern w:val="0"/>
                <w:sz w:val="24"/>
                <w:szCs w:val="24"/>
                <w:highlight w:val="none"/>
                <w:lang w:eastAsia="zh-CN"/>
              </w:rPr>
            </w:pPr>
            <w:r>
              <w:rPr>
                <w:rFonts w:hint="eastAsia" w:ascii="宋体" w:hAnsi="宋体" w:eastAsia="宋体" w:cs="宋体"/>
                <w:b w:val="0"/>
                <w:bCs/>
                <w:color w:val="auto"/>
                <w:kern w:val="0"/>
                <w:sz w:val="24"/>
                <w:szCs w:val="24"/>
                <w:highlight w:val="none"/>
                <w:lang w:eastAsia="zh-CN"/>
              </w:rPr>
              <w:t>项目</w:t>
            </w: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b w:val="0"/>
                <w:bCs/>
                <w:color w:val="auto"/>
                <w:kern w:val="0"/>
                <w:sz w:val="24"/>
                <w:szCs w:val="24"/>
                <w:highlight w:val="none"/>
                <w:lang w:eastAsia="zh-CN"/>
              </w:rPr>
            </w:pPr>
            <w:r>
              <w:rPr>
                <w:rFonts w:hint="eastAsia" w:ascii="宋体" w:hAnsi="宋体" w:eastAsia="宋体" w:cs="宋体"/>
                <w:b w:val="0"/>
                <w:bCs/>
                <w:color w:val="auto"/>
                <w:kern w:val="0"/>
                <w:sz w:val="24"/>
                <w:szCs w:val="24"/>
                <w:highlight w:val="none"/>
                <w:lang w:eastAsia="zh-CN"/>
              </w:rPr>
              <w:t>序号</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lang w:eastAsia="zh-CN"/>
              </w:rPr>
              <w:t>评分细则</w:t>
            </w:r>
          </w:p>
        </w:tc>
        <w:tc>
          <w:tcPr>
            <w:tcW w:w="1349" w:type="dxa"/>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outlineLvl w:val="9"/>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考核</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eastAsia="zh-CN"/>
              </w:rPr>
              <w:t>日常养护（</w:t>
            </w:r>
            <w:r>
              <w:rPr>
                <w:rFonts w:hint="eastAsia" w:ascii="宋体" w:hAnsi="宋体" w:eastAsia="宋体" w:cs="宋体"/>
                <w:color w:val="auto"/>
                <w:kern w:val="0"/>
                <w:sz w:val="21"/>
                <w:szCs w:val="21"/>
                <w:highlight w:val="none"/>
                <w:lang w:val="en-US" w:eastAsia="zh-CN"/>
              </w:rPr>
              <w:t>60)分</w:t>
            </w:r>
            <w:r>
              <w:rPr>
                <w:rFonts w:hint="eastAsia" w:ascii="宋体" w:hAnsi="宋体" w:eastAsia="宋体" w:cs="宋体"/>
                <w:color w:val="auto"/>
                <w:kern w:val="0"/>
                <w:sz w:val="21"/>
                <w:szCs w:val="21"/>
                <w:highlight w:val="none"/>
                <w:lang w:eastAsia="zh-CN"/>
              </w:rPr>
              <w:t>）</w:t>
            </w: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spacing w:val="-11"/>
                <w:sz w:val="21"/>
                <w:szCs w:val="21"/>
                <w:highlight w:val="none"/>
              </w:rPr>
            </w:pPr>
            <w:r>
              <w:rPr>
                <w:rFonts w:hint="eastAsia" w:ascii="宋体" w:hAnsi="宋体" w:eastAsia="宋体" w:cs="宋体"/>
                <w:color w:val="auto"/>
                <w:kern w:val="0"/>
                <w:sz w:val="21"/>
                <w:szCs w:val="21"/>
                <w:highlight w:val="none"/>
              </w:rPr>
              <w:t>路面</w:t>
            </w:r>
            <w:r>
              <w:rPr>
                <w:rFonts w:hint="eastAsia" w:ascii="宋体" w:hAnsi="宋体" w:eastAsia="宋体" w:cs="宋体"/>
                <w:color w:val="auto"/>
                <w:kern w:val="0"/>
                <w:sz w:val="21"/>
                <w:szCs w:val="21"/>
                <w:highlight w:val="none"/>
                <w:lang w:eastAsia="zh-CN"/>
              </w:rPr>
              <w:t>（绿化带）零星</w:t>
            </w:r>
            <w:r>
              <w:rPr>
                <w:rFonts w:hint="eastAsia" w:ascii="宋体" w:hAnsi="宋体" w:eastAsia="宋体" w:cs="宋体"/>
                <w:color w:val="auto"/>
                <w:kern w:val="0"/>
                <w:sz w:val="21"/>
                <w:szCs w:val="21"/>
                <w:highlight w:val="none"/>
              </w:rPr>
              <w:t>垃圾</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杂物</w:t>
            </w:r>
            <w:r>
              <w:rPr>
                <w:rFonts w:hint="eastAsia" w:ascii="宋体" w:hAnsi="宋体" w:eastAsia="宋体" w:cs="宋体"/>
                <w:color w:val="auto"/>
                <w:kern w:val="0"/>
                <w:sz w:val="21"/>
                <w:szCs w:val="21"/>
                <w:highlight w:val="none"/>
                <w:lang w:eastAsia="zh-CN"/>
              </w:rPr>
              <w:t>、烟蒂，每</w:t>
            </w:r>
            <w:r>
              <w:rPr>
                <w:rFonts w:hint="eastAsia" w:ascii="宋体" w:hAnsi="宋体" w:eastAsia="宋体" w:cs="宋体"/>
                <w:color w:val="auto"/>
                <w:kern w:val="0"/>
                <w:sz w:val="21"/>
                <w:szCs w:val="21"/>
                <w:highlight w:val="none"/>
              </w:rPr>
              <w:t>个</w:t>
            </w:r>
            <w:r>
              <w:rPr>
                <w:rFonts w:hint="eastAsia" w:ascii="宋体" w:hAnsi="宋体" w:eastAsia="宋体" w:cs="宋体"/>
                <w:color w:val="auto"/>
                <w:kern w:val="0"/>
                <w:sz w:val="21"/>
                <w:szCs w:val="21"/>
                <w:highlight w:val="none"/>
                <w:lang w:eastAsia="zh-CN"/>
              </w:rPr>
              <w:t>扣</w:t>
            </w:r>
            <w:r>
              <w:rPr>
                <w:rFonts w:hint="eastAsia" w:ascii="宋体" w:hAnsi="宋体" w:eastAsia="宋体" w:cs="宋体"/>
                <w:color w:val="auto"/>
                <w:kern w:val="0"/>
                <w:sz w:val="21"/>
                <w:szCs w:val="21"/>
                <w:highlight w:val="none"/>
                <w:lang w:val="en-US" w:eastAsia="zh-CN"/>
              </w:rPr>
              <w:t>0.2分。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rPr>
              <w:t>有暴露垃圾</w:t>
            </w:r>
            <w:r>
              <w:rPr>
                <w:rFonts w:hint="eastAsia" w:ascii="宋体" w:hAnsi="宋体" w:eastAsia="宋体" w:cs="宋体"/>
                <w:color w:val="auto"/>
                <w:kern w:val="0"/>
                <w:sz w:val="21"/>
                <w:szCs w:val="21"/>
                <w:highlight w:val="none"/>
                <w:lang w:eastAsia="zh-CN"/>
              </w:rPr>
              <w:t>、卫生死角</w:t>
            </w:r>
            <w:r>
              <w:rPr>
                <w:rFonts w:hint="eastAsia" w:ascii="宋体" w:hAnsi="宋体" w:eastAsia="宋体" w:cs="宋体"/>
                <w:color w:val="auto"/>
                <w:kern w:val="0"/>
                <w:sz w:val="21"/>
                <w:szCs w:val="21"/>
                <w:highlight w:val="none"/>
              </w:rPr>
              <w:t>（面积≥0.5㎡），</w:t>
            </w:r>
            <w:r>
              <w:rPr>
                <w:rFonts w:hint="eastAsia" w:ascii="宋体" w:hAnsi="宋体" w:eastAsia="宋体" w:cs="宋体"/>
                <w:color w:val="auto"/>
                <w:kern w:val="0"/>
                <w:sz w:val="21"/>
                <w:szCs w:val="21"/>
                <w:highlight w:val="none"/>
                <w:lang w:eastAsia="zh-CN"/>
              </w:rPr>
              <w:t>每处</w:t>
            </w:r>
            <w:r>
              <w:rPr>
                <w:rFonts w:hint="eastAsia" w:ascii="宋体" w:hAnsi="宋体" w:eastAsia="宋体" w:cs="宋体"/>
                <w:color w:val="auto"/>
                <w:kern w:val="0"/>
                <w:sz w:val="21"/>
                <w:szCs w:val="21"/>
                <w:highlight w:val="none"/>
              </w:rPr>
              <w:t>扣</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0"/>
                <w:sz w:val="21"/>
                <w:szCs w:val="21"/>
                <w:highlight w:val="none"/>
                <w:lang w:eastAsia="zh-CN"/>
              </w:rPr>
              <w:t>。</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eastAsia="zh-CN"/>
              </w:rPr>
              <w:t>车行道</w:t>
            </w:r>
            <w:r>
              <w:rPr>
                <w:rFonts w:hint="eastAsia" w:ascii="宋体" w:hAnsi="宋体" w:eastAsia="宋体" w:cs="宋体"/>
                <w:color w:val="auto"/>
                <w:kern w:val="0"/>
                <w:sz w:val="21"/>
                <w:szCs w:val="21"/>
                <w:highlight w:val="none"/>
              </w:rPr>
              <w:t>、人行道路面油污</w:t>
            </w:r>
            <w:r>
              <w:rPr>
                <w:rFonts w:hint="eastAsia" w:ascii="宋体" w:hAnsi="宋体" w:eastAsia="宋体" w:cs="宋体"/>
                <w:color w:val="auto"/>
                <w:kern w:val="0"/>
                <w:sz w:val="21"/>
                <w:szCs w:val="21"/>
                <w:highlight w:val="none"/>
                <w:lang w:eastAsia="zh-CN"/>
              </w:rPr>
              <w:t>未及时冲洗，每处</w:t>
            </w:r>
            <w:r>
              <w:rPr>
                <w:rFonts w:hint="eastAsia" w:ascii="宋体" w:hAnsi="宋体" w:eastAsia="宋体" w:cs="宋体"/>
                <w:color w:val="auto"/>
                <w:kern w:val="0"/>
                <w:sz w:val="21"/>
                <w:szCs w:val="21"/>
                <w:highlight w:val="none"/>
              </w:rPr>
              <w:t>扣</w:t>
            </w: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1"/>
                <w:szCs w:val="21"/>
                <w:highlight w:val="none"/>
              </w:rPr>
              <w:t>5分</w:t>
            </w:r>
            <w:r>
              <w:rPr>
                <w:rFonts w:hint="eastAsia" w:ascii="宋体" w:hAnsi="宋体" w:eastAsia="宋体" w:cs="宋体"/>
                <w:color w:val="auto"/>
                <w:kern w:val="0"/>
                <w:sz w:val="21"/>
                <w:szCs w:val="21"/>
                <w:highlight w:val="none"/>
                <w:lang w:val="en-US" w:eastAsia="zh-CN"/>
              </w:rPr>
              <w:t>。</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sz w:val="21"/>
                <w:szCs w:val="21"/>
                <w:highlight w:val="none"/>
                <w:lang w:eastAsia="zh-CN"/>
              </w:rPr>
              <w:t>城市家具、护栏不洁、积灰，每处扣</w:t>
            </w:r>
            <w:r>
              <w:rPr>
                <w:rFonts w:hint="eastAsia" w:ascii="宋体" w:hAnsi="宋体" w:eastAsia="宋体" w:cs="宋体"/>
                <w:color w:val="auto"/>
                <w:sz w:val="21"/>
                <w:szCs w:val="21"/>
                <w:highlight w:val="none"/>
                <w:lang w:val="en-US" w:eastAsia="zh-CN"/>
              </w:rPr>
              <w:t>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城市家具、沿街外墙牛皮鲜（小广告）未及时清除，每处扣</w:t>
            </w:r>
            <w:r>
              <w:rPr>
                <w:rFonts w:hint="eastAsia" w:ascii="宋体" w:hAnsi="宋体" w:eastAsia="宋体" w:cs="宋体"/>
                <w:color w:val="auto"/>
                <w:sz w:val="21"/>
                <w:szCs w:val="21"/>
                <w:highlight w:val="none"/>
                <w:lang w:val="en-US" w:eastAsia="zh-CN"/>
              </w:rPr>
              <w:t>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6</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晴天路面积水，每处扣</w:t>
            </w:r>
            <w:r>
              <w:rPr>
                <w:rFonts w:hint="eastAsia" w:ascii="宋体" w:hAnsi="宋体" w:eastAsia="宋体" w:cs="宋体"/>
                <w:color w:val="auto"/>
                <w:sz w:val="21"/>
                <w:szCs w:val="21"/>
                <w:highlight w:val="none"/>
                <w:lang w:val="en-US" w:eastAsia="zh-CN"/>
              </w:rPr>
              <w:t>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7</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雨水井沟眼积泥（嵌石），</w:t>
            </w:r>
            <w:r>
              <w:rPr>
                <w:rFonts w:hint="eastAsia" w:ascii="宋体" w:hAnsi="宋体" w:eastAsia="宋体" w:cs="宋体"/>
                <w:color w:val="auto"/>
                <w:kern w:val="0"/>
                <w:sz w:val="21"/>
                <w:szCs w:val="21"/>
                <w:highlight w:val="none"/>
                <w:lang w:eastAsia="zh-CN"/>
              </w:rPr>
              <w:t>每处</w:t>
            </w:r>
            <w:r>
              <w:rPr>
                <w:rFonts w:hint="eastAsia" w:ascii="宋体" w:hAnsi="宋体" w:eastAsia="宋体" w:cs="宋体"/>
                <w:color w:val="auto"/>
                <w:kern w:val="0"/>
                <w:sz w:val="21"/>
                <w:szCs w:val="21"/>
                <w:highlight w:val="none"/>
              </w:rPr>
              <w:t>扣</w:t>
            </w:r>
            <w:r>
              <w:rPr>
                <w:rFonts w:hint="eastAsia" w:ascii="宋体" w:hAnsi="宋体" w:eastAsia="宋体" w:cs="宋体"/>
                <w:color w:val="auto"/>
                <w:kern w:val="0"/>
                <w:sz w:val="21"/>
                <w:szCs w:val="21"/>
                <w:highlight w:val="none"/>
                <w:lang w:val="en-US" w:eastAsia="zh-CN"/>
              </w:rPr>
              <w:t>0.5</w:t>
            </w:r>
            <w:r>
              <w:rPr>
                <w:rFonts w:hint="eastAsia" w:ascii="宋体" w:hAnsi="宋体" w:eastAsia="宋体" w:cs="宋体"/>
                <w:color w:val="auto"/>
                <w:kern w:val="0"/>
                <w:sz w:val="21"/>
                <w:szCs w:val="21"/>
                <w:highlight w:val="none"/>
              </w:rPr>
              <w:t>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8"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8</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道路积泥（沙石）</w:t>
            </w:r>
            <w:r>
              <w:rPr>
                <w:rFonts w:hint="eastAsia" w:ascii="宋体" w:hAnsi="宋体" w:eastAsia="宋体" w:cs="宋体"/>
                <w:color w:val="auto"/>
                <w:kern w:val="0"/>
                <w:sz w:val="21"/>
                <w:szCs w:val="21"/>
                <w:highlight w:val="none"/>
                <w:lang w:eastAsia="zh-CN"/>
              </w:rPr>
              <w:t>，每处</w:t>
            </w:r>
            <w:r>
              <w:rPr>
                <w:rFonts w:hint="eastAsia" w:ascii="宋体" w:hAnsi="宋体" w:eastAsia="宋体" w:cs="宋体"/>
                <w:color w:val="auto"/>
                <w:kern w:val="0"/>
                <w:sz w:val="21"/>
                <w:szCs w:val="21"/>
                <w:highlight w:val="none"/>
              </w:rPr>
              <w:t>扣</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分/处。</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9</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清扫保洁时将垃圾扫入雨水井、河道、绿地，</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4"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10</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垃圾超出果壳箱、垃圾桶投放口平面，</w:t>
            </w:r>
            <w:r>
              <w:rPr>
                <w:rFonts w:hint="eastAsia" w:ascii="宋体" w:hAnsi="宋体" w:eastAsia="宋体" w:cs="宋体"/>
                <w:color w:val="auto"/>
                <w:kern w:val="0"/>
                <w:sz w:val="21"/>
                <w:szCs w:val="21"/>
                <w:highlight w:val="none"/>
                <w:lang w:eastAsia="zh-CN"/>
              </w:rPr>
              <w:t>每处</w:t>
            </w:r>
            <w:r>
              <w:rPr>
                <w:rFonts w:hint="eastAsia" w:ascii="宋体" w:hAnsi="宋体" w:eastAsia="宋体" w:cs="宋体"/>
                <w:color w:val="auto"/>
                <w:kern w:val="0"/>
                <w:sz w:val="21"/>
                <w:szCs w:val="21"/>
                <w:highlight w:val="none"/>
              </w:rPr>
              <w:t>扣</w:t>
            </w:r>
            <w:r>
              <w:rPr>
                <w:rFonts w:hint="eastAsia" w:ascii="宋体" w:hAnsi="宋体" w:eastAsia="宋体" w:cs="宋体"/>
                <w:color w:val="auto"/>
                <w:kern w:val="0"/>
                <w:sz w:val="21"/>
                <w:szCs w:val="21"/>
                <w:highlight w:val="none"/>
                <w:lang w:val="en-US" w:eastAsia="zh-CN"/>
              </w:rPr>
              <w:t>0.5</w:t>
            </w:r>
            <w:r>
              <w:rPr>
                <w:rFonts w:hint="eastAsia" w:ascii="宋体" w:hAnsi="宋体" w:eastAsia="宋体" w:cs="宋体"/>
                <w:color w:val="auto"/>
                <w:kern w:val="0"/>
                <w:sz w:val="21"/>
                <w:szCs w:val="21"/>
                <w:highlight w:val="none"/>
              </w:rPr>
              <w:t>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7"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11</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作业工具</w:t>
            </w:r>
            <w:r>
              <w:rPr>
                <w:rFonts w:hint="eastAsia" w:ascii="宋体" w:hAnsi="宋体" w:eastAsia="宋体" w:cs="宋体"/>
                <w:color w:val="auto"/>
                <w:kern w:val="0"/>
                <w:sz w:val="21"/>
                <w:szCs w:val="21"/>
                <w:highlight w:val="none"/>
                <w:lang w:eastAsia="zh-CN"/>
              </w:rPr>
              <w:t>随意</w:t>
            </w:r>
            <w:r>
              <w:rPr>
                <w:rFonts w:hint="eastAsia" w:ascii="宋体" w:hAnsi="宋体" w:eastAsia="宋体" w:cs="宋体"/>
                <w:color w:val="auto"/>
                <w:kern w:val="0"/>
                <w:sz w:val="21"/>
                <w:szCs w:val="21"/>
                <w:highlight w:val="none"/>
              </w:rPr>
              <w:t>堆</w:t>
            </w:r>
            <w:r>
              <w:rPr>
                <w:rFonts w:hint="eastAsia" w:ascii="宋体" w:hAnsi="宋体" w:eastAsia="宋体" w:cs="宋体"/>
                <w:color w:val="auto"/>
                <w:kern w:val="0"/>
                <w:sz w:val="21"/>
                <w:szCs w:val="21"/>
                <w:highlight w:val="none"/>
                <w:lang w:eastAsia="zh-CN"/>
              </w:rPr>
              <w:t>放在路面和</w:t>
            </w:r>
            <w:r>
              <w:rPr>
                <w:rFonts w:hint="eastAsia" w:ascii="宋体" w:hAnsi="宋体" w:eastAsia="宋体" w:cs="宋体"/>
                <w:color w:val="auto"/>
                <w:kern w:val="0"/>
                <w:sz w:val="21"/>
                <w:szCs w:val="21"/>
                <w:highlight w:val="none"/>
              </w:rPr>
              <w:t>绿化带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作业车辆违规停放阻碍通行</w:t>
            </w:r>
            <w:r>
              <w:rPr>
                <w:rFonts w:hint="eastAsia" w:ascii="宋体" w:hAnsi="宋体" w:eastAsia="宋体" w:cs="宋体"/>
                <w:color w:val="auto"/>
                <w:kern w:val="0"/>
                <w:sz w:val="21"/>
                <w:szCs w:val="21"/>
                <w:highlight w:val="none"/>
                <w:lang w:eastAsia="zh-CN"/>
              </w:rPr>
              <w:t>，每次扣</w:t>
            </w:r>
            <w:r>
              <w:rPr>
                <w:rFonts w:hint="eastAsia" w:ascii="宋体" w:hAnsi="宋体" w:eastAsia="宋体" w:cs="宋体"/>
                <w:color w:val="auto"/>
                <w:kern w:val="0"/>
                <w:sz w:val="21"/>
                <w:szCs w:val="21"/>
                <w:highlight w:val="none"/>
                <w:lang w:val="en-US" w:eastAsia="zh-CN"/>
              </w:rPr>
              <w:t>0.5分</w:t>
            </w:r>
            <w:r>
              <w:rPr>
                <w:rFonts w:hint="eastAsia" w:ascii="宋体" w:hAnsi="宋体" w:eastAsia="宋体" w:cs="宋体"/>
                <w:color w:val="auto"/>
                <w:kern w:val="0"/>
                <w:sz w:val="21"/>
                <w:szCs w:val="21"/>
                <w:highlight w:val="none"/>
                <w:lang w:eastAsia="zh-CN"/>
              </w:rPr>
              <w:t>。</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12</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落叶旺季（落叶景观道路除外）未及时清扫</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w:t>
            </w:r>
            <w:r>
              <w:rPr>
                <w:rFonts w:hint="eastAsia" w:ascii="宋体" w:hAnsi="宋体" w:eastAsia="宋体" w:cs="宋体"/>
                <w:color w:val="auto"/>
                <w:kern w:val="0"/>
                <w:sz w:val="21"/>
                <w:szCs w:val="21"/>
                <w:highlight w:val="none"/>
                <w:lang w:val="en-US" w:eastAsia="zh-CN"/>
              </w:rPr>
              <w:t>0.5</w:t>
            </w:r>
            <w:r>
              <w:rPr>
                <w:rFonts w:hint="eastAsia" w:ascii="宋体" w:hAnsi="宋体" w:eastAsia="宋体" w:cs="宋体"/>
                <w:color w:val="auto"/>
                <w:kern w:val="0"/>
                <w:sz w:val="21"/>
                <w:szCs w:val="21"/>
                <w:highlight w:val="none"/>
              </w:rPr>
              <w:t>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环卫工人未</w:t>
            </w:r>
            <w:r>
              <w:rPr>
                <w:rFonts w:hint="eastAsia" w:ascii="宋体" w:hAnsi="宋体" w:eastAsia="宋体" w:cs="宋体"/>
                <w:color w:val="auto"/>
                <w:kern w:val="0"/>
                <w:sz w:val="21"/>
                <w:szCs w:val="21"/>
                <w:highlight w:val="none"/>
                <w:lang w:eastAsia="zh-CN"/>
              </w:rPr>
              <w:t>按规定着装、疫情期间不佩戴口罩</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eastAsia="zh-CN"/>
              </w:rPr>
              <w:t>每次扣</w:t>
            </w:r>
            <w:r>
              <w:rPr>
                <w:rFonts w:hint="eastAsia" w:ascii="宋体" w:hAnsi="宋体" w:eastAsia="宋体" w:cs="宋体"/>
                <w:color w:val="auto"/>
                <w:kern w:val="0"/>
                <w:sz w:val="21"/>
                <w:szCs w:val="21"/>
                <w:highlight w:val="none"/>
                <w:lang w:val="en-US" w:eastAsia="zh-CN"/>
              </w:rPr>
              <w:t>0.5分</w:t>
            </w:r>
            <w:r>
              <w:rPr>
                <w:rFonts w:hint="eastAsia" w:ascii="宋体" w:hAnsi="宋体" w:eastAsia="宋体" w:cs="宋体"/>
                <w:color w:val="auto"/>
                <w:kern w:val="0"/>
                <w:sz w:val="21"/>
                <w:szCs w:val="21"/>
                <w:highlight w:val="none"/>
                <w:lang w:eastAsia="zh-CN"/>
              </w:rPr>
              <w:t>。</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14</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作业车辆逆行、保洁员无维护情况上快车道作业的，每次扣2分。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15</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pacing w:val="-11"/>
                <w:kern w:val="0"/>
                <w:sz w:val="21"/>
                <w:szCs w:val="21"/>
                <w:highlight w:val="none"/>
              </w:rPr>
              <w:t>环卫作业车辆</w:t>
            </w:r>
            <w:r>
              <w:rPr>
                <w:rFonts w:hint="eastAsia" w:ascii="宋体" w:hAnsi="宋体" w:eastAsia="宋体" w:cs="宋体"/>
                <w:color w:val="auto"/>
                <w:spacing w:val="-11"/>
                <w:kern w:val="0"/>
                <w:sz w:val="21"/>
                <w:szCs w:val="21"/>
                <w:highlight w:val="none"/>
                <w:lang w:eastAsia="zh-CN"/>
              </w:rPr>
              <w:t>未按要求统一</w:t>
            </w:r>
            <w:r>
              <w:rPr>
                <w:rFonts w:hint="eastAsia" w:ascii="宋体" w:hAnsi="宋体" w:eastAsia="宋体" w:cs="宋体"/>
                <w:color w:val="auto"/>
                <w:spacing w:val="-11"/>
                <w:kern w:val="0"/>
                <w:sz w:val="21"/>
                <w:szCs w:val="21"/>
                <w:highlight w:val="none"/>
              </w:rPr>
              <w:t>外观</w:t>
            </w:r>
            <w:r>
              <w:rPr>
                <w:rFonts w:hint="eastAsia" w:ascii="宋体" w:hAnsi="宋体" w:eastAsia="宋体" w:cs="宋体"/>
                <w:color w:val="auto"/>
                <w:spacing w:val="-11"/>
                <w:kern w:val="0"/>
                <w:sz w:val="21"/>
                <w:szCs w:val="21"/>
                <w:highlight w:val="none"/>
                <w:lang w:eastAsia="zh-CN"/>
              </w:rPr>
              <w:t>，车身</w:t>
            </w:r>
            <w:r>
              <w:rPr>
                <w:rFonts w:hint="eastAsia" w:ascii="宋体" w:hAnsi="宋体" w:eastAsia="宋体" w:cs="宋体"/>
                <w:color w:val="auto"/>
                <w:spacing w:val="-11"/>
                <w:kern w:val="0"/>
                <w:sz w:val="21"/>
                <w:szCs w:val="21"/>
                <w:highlight w:val="none"/>
              </w:rPr>
              <w:t>不洁、破损</w:t>
            </w:r>
            <w:r>
              <w:rPr>
                <w:rFonts w:hint="eastAsia" w:ascii="宋体" w:hAnsi="宋体" w:eastAsia="宋体" w:cs="宋体"/>
                <w:color w:val="auto"/>
                <w:spacing w:val="-11"/>
                <w:kern w:val="0"/>
                <w:sz w:val="21"/>
                <w:szCs w:val="21"/>
                <w:highlight w:val="none"/>
                <w:lang w:eastAsia="zh-CN"/>
              </w:rPr>
              <w:t>，每次扣</w:t>
            </w:r>
            <w:r>
              <w:rPr>
                <w:rFonts w:hint="eastAsia" w:ascii="宋体" w:hAnsi="宋体" w:eastAsia="宋体" w:cs="宋体"/>
                <w:color w:val="auto"/>
                <w:spacing w:val="-11"/>
                <w:kern w:val="0"/>
                <w:sz w:val="21"/>
                <w:szCs w:val="21"/>
                <w:highlight w:val="none"/>
                <w:lang w:val="en-US" w:eastAsia="zh-CN"/>
              </w:rPr>
              <w:t>1分。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69"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16</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属地卫生死角（保洁本底外有相应责任主体的），扣</w:t>
            </w:r>
            <w:r>
              <w:rPr>
                <w:rFonts w:hint="eastAsia" w:ascii="宋体" w:hAnsi="宋体" w:eastAsia="宋体" w:cs="宋体"/>
                <w:color w:val="auto"/>
                <w:kern w:val="0"/>
                <w:sz w:val="21"/>
                <w:szCs w:val="21"/>
                <w:highlight w:val="none"/>
                <w:lang w:eastAsia="zh-CN"/>
              </w:rPr>
              <w:t>属地</w:t>
            </w:r>
            <w:r>
              <w:rPr>
                <w:rFonts w:hint="eastAsia" w:ascii="宋体" w:hAnsi="宋体" w:eastAsia="宋体" w:cs="宋体"/>
                <w:color w:val="auto"/>
                <w:kern w:val="0"/>
                <w:sz w:val="21"/>
                <w:szCs w:val="21"/>
                <w:highlight w:val="none"/>
              </w:rPr>
              <w:t>环卫管理0.</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分/处。</w:t>
            </w:r>
          </w:p>
        </w:tc>
        <w:tc>
          <w:tcPr>
            <w:tcW w:w="134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直接扣分，不进行加权</w:t>
            </w:r>
            <w:r>
              <w:rPr>
                <w:rFonts w:hint="eastAsia" w:ascii="宋体" w:hAnsi="宋体" w:eastAsia="宋体" w:cs="宋体"/>
                <w:color w:val="auto"/>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35"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17</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沿街道路果壳箱破损未及时更新的，</w:t>
            </w:r>
            <w:r>
              <w:rPr>
                <w:rFonts w:hint="eastAsia" w:ascii="宋体" w:hAnsi="宋体" w:eastAsia="宋体" w:cs="宋体"/>
                <w:color w:val="auto"/>
                <w:kern w:val="0"/>
                <w:sz w:val="21"/>
                <w:szCs w:val="21"/>
                <w:highlight w:val="none"/>
              </w:rPr>
              <w:t>扣</w:t>
            </w:r>
            <w:r>
              <w:rPr>
                <w:rFonts w:hint="eastAsia" w:ascii="宋体" w:hAnsi="宋体" w:eastAsia="宋体" w:cs="宋体"/>
                <w:color w:val="auto"/>
                <w:kern w:val="0"/>
                <w:sz w:val="21"/>
                <w:szCs w:val="21"/>
                <w:highlight w:val="none"/>
                <w:lang w:eastAsia="zh-CN"/>
              </w:rPr>
              <w:t>属地</w:t>
            </w:r>
            <w:r>
              <w:rPr>
                <w:rFonts w:hint="eastAsia" w:ascii="宋体" w:hAnsi="宋体" w:eastAsia="宋体" w:cs="宋体"/>
                <w:color w:val="auto"/>
                <w:kern w:val="0"/>
                <w:sz w:val="21"/>
                <w:szCs w:val="21"/>
                <w:highlight w:val="none"/>
              </w:rPr>
              <w:t>环卫管理0.</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分/处。</w:t>
            </w:r>
          </w:p>
        </w:tc>
        <w:tc>
          <w:tcPr>
            <w:tcW w:w="134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直接扣分，不进行加权</w:t>
            </w:r>
            <w:r>
              <w:rPr>
                <w:rFonts w:hint="eastAsia" w:ascii="宋体" w:hAnsi="宋体" w:eastAsia="宋体" w:cs="宋体"/>
                <w:color w:val="auto"/>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3"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18</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未按要求设置公厕管理牌和质量监督牌、公厕指示牌缺失</w:t>
            </w:r>
            <w:r>
              <w:rPr>
                <w:rFonts w:hint="eastAsia" w:ascii="宋体" w:hAnsi="宋体" w:eastAsia="宋体" w:cs="宋体"/>
                <w:color w:val="auto"/>
                <w:kern w:val="0"/>
                <w:sz w:val="21"/>
                <w:szCs w:val="21"/>
                <w:highlight w:val="none"/>
                <w:lang w:eastAsia="zh-CN"/>
              </w:rPr>
              <w:t>、破损</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eastAsia="zh-CN"/>
              </w:rPr>
              <w:t>每处扣</w:t>
            </w:r>
            <w:r>
              <w:rPr>
                <w:rFonts w:hint="eastAsia" w:ascii="宋体" w:hAnsi="宋体" w:eastAsia="宋体" w:cs="宋体"/>
                <w:color w:val="auto"/>
                <w:kern w:val="0"/>
                <w:sz w:val="21"/>
                <w:szCs w:val="21"/>
                <w:highlight w:val="none"/>
                <w:lang w:val="en-US" w:eastAsia="zh-CN"/>
              </w:rPr>
              <w:t>1分。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7"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19</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标识标牌</w:t>
            </w:r>
            <w:r>
              <w:rPr>
                <w:rFonts w:hint="eastAsia" w:ascii="宋体" w:hAnsi="宋体" w:eastAsia="宋体" w:cs="宋体"/>
                <w:color w:val="auto"/>
                <w:kern w:val="0"/>
                <w:sz w:val="21"/>
                <w:szCs w:val="21"/>
                <w:highlight w:val="none"/>
                <w:lang w:eastAsia="zh-CN"/>
              </w:rPr>
              <w:t>缺失、</w:t>
            </w:r>
            <w:r>
              <w:rPr>
                <w:rFonts w:hint="eastAsia" w:ascii="宋体" w:hAnsi="宋体" w:eastAsia="宋体" w:cs="宋体"/>
                <w:color w:val="auto"/>
                <w:kern w:val="0"/>
                <w:sz w:val="21"/>
                <w:szCs w:val="21"/>
                <w:highlight w:val="none"/>
              </w:rPr>
              <w:t>设置不规范、破损、残缺、</w:t>
            </w:r>
            <w:r>
              <w:rPr>
                <w:rFonts w:hint="eastAsia" w:ascii="宋体" w:hAnsi="宋体" w:eastAsia="宋体" w:cs="宋体"/>
                <w:color w:val="auto"/>
                <w:kern w:val="0"/>
                <w:sz w:val="21"/>
                <w:szCs w:val="21"/>
                <w:highlight w:val="none"/>
                <w:lang w:eastAsia="zh-CN"/>
              </w:rPr>
              <w:t>每处</w:t>
            </w:r>
            <w:r>
              <w:rPr>
                <w:rFonts w:hint="eastAsia" w:ascii="宋体" w:hAnsi="宋体" w:eastAsia="宋体" w:cs="宋体"/>
                <w:color w:val="auto"/>
                <w:kern w:val="0"/>
                <w:sz w:val="21"/>
                <w:szCs w:val="21"/>
                <w:highlight w:val="none"/>
              </w:rPr>
              <w:t>扣0.</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32"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20</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地面</w:t>
            </w:r>
            <w:r>
              <w:rPr>
                <w:rFonts w:hint="eastAsia" w:ascii="宋体" w:hAnsi="宋体" w:eastAsia="宋体" w:cs="宋体"/>
                <w:color w:val="auto"/>
                <w:kern w:val="0"/>
                <w:sz w:val="21"/>
                <w:szCs w:val="21"/>
                <w:highlight w:val="none"/>
                <w:lang w:eastAsia="zh-CN"/>
              </w:rPr>
              <w:t>、台面</w:t>
            </w:r>
            <w:r>
              <w:rPr>
                <w:rFonts w:hint="eastAsia" w:ascii="宋体" w:hAnsi="宋体" w:eastAsia="宋体" w:cs="宋体"/>
                <w:color w:val="auto"/>
                <w:kern w:val="0"/>
                <w:sz w:val="21"/>
                <w:szCs w:val="21"/>
                <w:highlight w:val="none"/>
              </w:rPr>
              <w:t>积水，地面</w:t>
            </w:r>
            <w:r>
              <w:rPr>
                <w:rFonts w:hint="eastAsia" w:ascii="宋体" w:hAnsi="宋体" w:eastAsia="宋体" w:cs="宋体"/>
                <w:color w:val="auto"/>
                <w:kern w:val="0"/>
                <w:sz w:val="21"/>
                <w:szCs w:val="21"/>
                <w:highlight w:val="none"/>
                <w:lang w:eastAsia="zh-CN"/>
              </w:rPr>
              <w:t>、台面、</w:t>
            </w:r>
            <w:r>
              <w:rPr>
                <w:rFonts w:hint="eastAsia" w:ascii="宋体" w:hAnsi="宋体" w:eastAsia="宋体" w:cs="宋体"/>
                <w:color w:val="auto"/>
                <w:kern w:val="0"/>
                <w:sz w:val="21"/>
                <w:szCs w:val="21"/>
                <w:highlight w:val="none"/>
              </w:rPr>
              <w:t>厕位、墙面、</w:t>
            </w:r>
            <w:r>
              <w:rPr>
                <w:rFonts w:hint="eastAsia" w:ascii="宋体" w:hAnsi="宋体" w:eastAsia="宋体" w:cs="宋体"/>
                <w:color w:val="auto"/>
                <w:sz w:val="21"/>
                <w:szCs w:val="21"/>
                <w:highlight w:val="none"/>
              </w:rPr>
              <w:t>门窗、</w:t>
            </w:r>
            <w:r>
              <w:rPr>
                <w:rFonts w:hint="eastAsia" w:ascii="宋体" w:hAnsi="宋体" w:eastAsia="宋体" w:cs="宋体"/>
                <w:color w:val="auto"/>
                <w:kern w:val="0"/>
                <w:sz w:val="21"/>
                <w:szCs w:val="21"/>
                <w:highlight w:val="none"/>
              </w:rPr>
              <w:t>设施设备不洁</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9"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21</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未免费向公众提供洗手液和手纸服务，</w:t>
            </w:r>
            <w:r>
              <w:rPr>
                <w:rFonts w:hint="eastAsia" w:ascii="宋体" w:hAnsi="宋体" w:eastAsia="宋体" w:cs="宋体"/>
                <w:color w:val="auto"/>
                <w:sz w:val="21"/>
                <w:szCs w:val="21"/>
                <w:highlight w:val="none"/>
                <w:lang w:eastAsia="zh-CN"/>
              </w:rPr>
              <w:t>每次</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8"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22</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spacing w:val="-6"/>
                <w:kern w:val="2"/>
                <w:sz w:val="21"/>
                <w:szCs w:val="21"/>
                <w:highlight w:val="none"/>
                <w:lang w:val="en-US" w:eastAsia="zh-CN" w:bidi="ar-SA"/>
              </w:rPr>
            </w:pPr>
            <w:r>
              <w:rPr>
                <w:rFonts w:hint="eastAsia" w:ascii="宋体" w:hAnsi="宋体" w:eastAsia="宋体" w:cs="宋体"/>
                <w:color w:val="auto"/>
                <w:spacing w:val="-11"/>
                <w:kern w:val="0"/>
                <w:sz w:val="21"/>
                <w:szCs w:val="21"/>
                <w:highlight w:val="none"/>
                <w:lang w:eastAsia="zh-CN"/>
              </w:rPr>
              <w:t>公厕</w:t>
            </w:r>
            <w:r>
              <w:rPr>
                <w:rFonts w:hint="eastAsia" w:ascii="宋体" w:hAnsi="宋体" w:eastAsia="宋体" w:cs="宋体"/>
                <w:color w:val="auto"/>
                <w:spacing w:val="-11"/>
                <w:kern w:val="0"/>
                <w:sz w:val="21"/>
                <w:szCs w:val="21"/>
                <w:highlight w:val="none"/>
              </w:rPr>
              <w:t>有明显臭味，</w:t>
            </w:r>
            <w:r>
              <w:rPr>
                <w:rFonts w:hint="eastAsia" w:ascii="宋体" w:hAnsi="宋体" w:eastAsia="宋体" w:cs="宋体"/>
                <w:color w:val="auto"/>
                <w:spacing w:val="-11"/>
                <w:kern w:val="0"/>
                <w:sz w:val="21"/>
                <w:szCs w:val="21"/>
                <w:highlight w:val="none"/>
                <w:lang w:eastAsia="zh-CN"/>
              </w:rPr>
              <w:t>每次扣</w:t>
            </w:r>
            <w:r>
              <w:rPr>
                <w:rFonts w:hint="eastAsia" w:ascii="宋体" w:hAnsi="宋体" w:eastAsia="宋体" w:cs="宋体"/>
                <w:color w:val="auto"/>
                <w:spacing w:val="-11"/>
                <w:kern w:val="0"/>
                <w:sz w:val="21"/>
                <w:szCs w:val="21"/>
                <w:highlight w:val="none"/>
                <w:lang w:val="en-US" w:eastAsia="zh-CN"/>
              </w:rPr>
              <w:t>1</w:t>
            </w:r>
            <w:r>
              <w:rPr>
                <w:rFonts w:hint="eastAsia" w:ascii="宋体" w:hAnsi="宋体" w:eastAsia="宋体" w:cs="宋体"/>
                <w:color w:val="auto"/>
                <w:spacing w:val="-11"/>
                <w:kern w:val="0"/>
                <w:sz w:val="21"/>
                <w:szCs w:val="21"/>
                <w:highlight w:val="none"/>
              </w:rPr>
              <w:t>分</w:t>
            </w:r>
            <w:r>
              <w:rPr>
                <w:rFonts w:hint="eastAsia" w:ascii="宋体" w:hAnsi="宋体" w:eastAsia="宋体" w:cs="宋体"/>
                <w:color w:val="auto"/>
                <w:spacing w:val="-11"/>
                <w:kern w:val="0"/>
                <w:sz w:val="21"/>
                <w:szCs w:val="21"/>
                <w:highlight w:val="none"/>
                <w:lang w:eastAsia="zh-CN"/>
              </w:rPr>
              <w:t>；</w:t>
            </w:r>
            <w:r>
              <w:rPr>
                <w:rFonts w:hint="eastAsia" w:ascii="宋体" w:hAnsi="宋体" w:eastAsia="宋体" w:cs="宋体"/>
                <w:color w:val="auto"/>
                <w:spacing w:val="-11"/>
                <w:sz w:val="21"/>
                <w:szCs w:val="21"/>
                <w:highlight w:val="none"/>
              </w:rPr>
              <w:t>已设置除臭设备未开启</w:t>
            </w:r>
            <w:r>
              <w:rPr>
                <w:rFonts w:hint="eastAsia" w:ascii="宋体" w:hAnsi="宋体" w:eastAsia="宋体" w:cs="宋体"/>
                <w:color w:val="auto"/>
                <w:spacing w:val="-11"/>
                <w:sz w:val="21"/>
                <w:szCs w:val="21"/>
                <w:highlight w:val="none"/>
                <w:lang w:eastAsia="zh-CN"/>
              </w:rPr>
              <w:t>的每次扣</w:t>
            </w:r>
            <w:r>
              <w:rPr>
                <w:rFonts w:hint="eastAsia" w:ascii="宋体" w:hAnsi="宋体" w:eastAsia="宋体" w:cs="宋体"/>
                <w:color w:val="auto"/>
                <w:spacing w:val="-11"/>
                <w:sz w:val="21"/>
                <w:szCs w:val="21"/>
                <w:highlight w:val="none"/>
              </w:rPr>
              <w:t>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2"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23</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疫情期间，未按要求落实</w:t>
            </w:r>
            <w:r>
              <w:rPr>
                <w:rFonts w:hint="eastAsia" w:ascii="宋体" w:hAnsi="宋体" w:eastAsia="宋体" w:cs="宋体"/>
                <w:color w:val="auto"/>
                <w:kern w:val="0"/>
                <w:sz w:val="21"/>
                <w:szCs w:val="21"/>
                <w:highlight w:val="none"/>
                <w:lang w:eastAsia="zh-CN"/>
              </w:rPr>
              <w:t>每日</w:t>
            </w:r>
            <w:r>
              <w:rPr>
                <w:rFonts w:hint="eastAsia" w:ascii="宋体" w:hAnsi="宋体" w:eastAsia="宋体" w:cs="宋体"/>
                <w:color w:val="auto"/>
                <w:kern w:val="0"/>
                <w:sz w:val="21"/>
                <w:szCs w:val="21"/>
                <w:highlight w:val="none"/>
                <w:lang w:val="en-US" w:eastAsia="zh-CN"/>
              </w:rPr>
              <w:t>2次</w:t>
            </w:r>
            <w:r>
              <w:rPr>
                <w:rFonts w:hint="eastAsia" w:ascii="宋体" w:hAnsi="宋体" w:eastAsia="宋体" w:cs="宋体"/>
                <w:color w:val="auto"/>
                <w:kern w:val="0"/>
                <w:sz w:val="21"/>
                <w:szCs w:val="21"/>
                <w:highlight w:val="none"/>
              </w:rPr>
              <w:t>消杀的，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扣1分。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48"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24</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pacing w:val="-11"/>
                <w:kern w:val="0"/>
                <w:sz w:val="21"/>
                <w:szCs w:val="21"/>
                <w:highlight w:val="none"/>
                <w:lang w:eastAsia="zh-CN"/>
              </w:rPr>
              <w:t>公厕大厅未设置分类垃圾桶（其他垃圾、可回收物），垃圾桶或纸篓满溢（超过</w:t>
            </w:r>
            <w:r>
              <w:rPr>
                <w:rFonts w:hint="eastAsia" w:ascii="宋体" w:hAnsi="宋体" w:eastAsia="宋体" w:cs="宋体"/>
                <w:color w:val="auto"/>
                <w:spacing w:val="-11"/>
                <w:kern w:val="0"/>
                <w:sz w:val="21"/>
                <w:szCs w:val="21"/>
                <w:highlight w:val="none"/>
                <w:lang w:val="en-US" w:eastAsia="zh-CN"/>
              </w:rPr>
              <w:t>2/3</w:t>
            </w:r>
            <w:r>
              <w:rPr>
                <w:rFonts w:hint="eastAsia" w:ascii="宋体" w:hAnsi="宋体" w:eastAsia="宋体" w:cs="宋体"/>
                <w:color w:val="auto"/>
                <w:spacing w:val="-11"/>
                <w:kern w:val="0"/>
                <w:sz w:val="21"/>
                <w:szCs w:val="21"/>
                <w:highlight w:val="none"/>
                <w:lang w:eastAsia="zh-CN"/>
              </w:rPr>
              <w:t>），疫情期间未按要求落实一客一清，每次扣0.5分。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12"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25</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未设置“五彩工具间”</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sz w:val="21"/>
                <w:szCs w:val="21"/>
                <w:highlight w:val="none"/>
              </w:rPr>
              <w:t>保洁拖把、抹布等工具摆放无序</w:t>
            </w:r>
            <w:r>
              <w:rPr>
                <w:rFonts w:hint="eastAsia" w:ascii="宋体" w:hAnsi="宋体" w:eastAsia="宋体" w:cs="宋体"/>
                <w:color w:val="auto"/>
                <w:sz w:val="21"/>
                <w:szCs w:val="21"/>
                <w:highlight w:val="none"/>
                <w:lang w:eastAsia="zh-CN"/>
              </w:rPr>
              <w:t>，每次扣</w:t>
            </w:r>
            <w:r>
              <w:rPr>
                <w:rFonts w:hint="eastAsia" w:ascii="宋体" w:hAnsi="宋体" w:eastAsia="宋体" w:cs="宋体"/>
                <w:color w:val="auto"/>
                <w:sz w:val="21"/>
                <w:szCs w:val="21"/>
                <w:highlight w:val="none"/>
                <w:lang w:val="en-US" w:eastAsia="zh-CN"/>
              </w:rPr>
              <w:t>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0"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26</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私拉电线、乱接插头插座、裸露接线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电瓶车充电、使用1200W</w:t>
            </w:r>
            <w:r>
              <w:rPr>
                <w:rFonts w:hint="eastAsia" w:ascii="宋体" w:hAnsi="宋体" w:eastAsia="宋体" w:cs="宋体"/>
                <w:color w:val="auto"/>
                <w:sz w:val="21"/>
                <w:szCs w:val="21"/>
                <w:highlight w:val="none"/>
                <w:lang w:eastAsia="zh-CN"/>
              </w:rPr>
              <w:t>以上</w:t>
            </w:r>
            <w:r>
              <w:rPr>
                <w:rFonts w:hint="eastAsia" w:ascii="宋体" w:hAnsi="宋体" w:eastAsia="宋体" w:cs="宋体"/>
                <w:color w:val="auto"/>
                <w:sz w:val="21"/>
                <w:szCs w:val="21"/>
                <w:highlight w:val="none"/>
              </w:rPr>
              <w:t>的大功率电器（电热毯、电暖炉、热得快等）、存放汽油、酒精等易燃、易爆物品</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发现饮酒、打牌等行为的，</w:t>
            </w:r>
            <w:r>
              <w:rPr>
                <w:rFonts w:hint="eastAsia" w:ascii="宋体" w:hAnsi="宋体" w:eastAsia="宋体" w:cs="宋体"/>
                <w:color w:val="auto"/>
                <w:sz w:val="21"/>
                <w:szCs w:val="21"/>
                <w:highlight w:val="none"/>
                <w:lang w:eastAsia="zh-CN"/>
              </w:rPr>
              <w:t>每次</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45"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27</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pacing w:val="-6"/>
                <w:kern w:val="0"/>
                <w:sz w:val="21"/>
                <w:szCs w:val="21"/>
                <w:highlight w:val="none"/>
              </w:rPr>
              <w:t>按保洁作业时间落实保洁，未落实专职保洁员，</w:t>
            </w:r>
            <w:r>
              <w:rPr>
                <w:rFonts w:hint="eastAsia" w:ascii="宋体" w:hAnsi="宋体" w:eastAsia="宋体" w:cs="宋体"/>
                <w:color w:val="auto"/>
                <w:spacing w:val="-6"/>
                <w:kern w:val="0"/>
                <w:sz w:val="21"/>
                <w:szCs w:val="21"/>
                <w:highlight w:val="none"/>
                <w:lang w:eastAsia="zh-CN"/>
              </w:rPr>
              <w:t>高标准</w:t>
            </w:r>
            <w:r>
              <w:rPr>
                <w:rFonts w:hint="eastAsia" w:ascii="宋体" w:hAnsi="宋体" w:eastAsia="宋体" w:cs="宋体"/>
                <w:color w:val="auto"/>
                <w:spacing w:val="-6"/>
                <w:kern w:val="0"/>
                <w:sz w:val="21"/>
                <w:szCs w:val="21"/>
                <w:highlight w:val="none"/>
              </w:rPr>
              <w:t>公厕未实行男、女分设保洁管理；保洁员脱岗，扣2分/处。</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5"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28</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管理房摆放杂乱无序</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不整洁，</w:t>
            </w:r>
            <w:r>
              <w:rPr>
                <w:rFonts w:hint="eastAsia" w:ascii="宋体" w:hAnsi="宋体" w:eastAsia="宋体" w:cs="宋体"/>
                <w:color w:val="auto"/>
                <w:kern w:val="0"/>
                <w:sz w:val="21"/>
                <w:szCs w:val="21"/>
                <w:highlight w:val="none"/>
                <w:lang w:eastAsia="zh-CN"/>
              </w:rPr>
              <w:t>灭火器缺失过期的，</w:t>
            </w:r>
            <w:r>
              <w:rPr>
                <w:rFonts w:hint="eastAsia" w:ascii="宋体" w:hAnsi="宋体" w:eastAsia="宋体" w:cs="宋体"/>
                <w:color w:val="auto"/>
                <w:sz w:val="21"/>
                <w:szCs w:val="21"/>
                <w:highlight w:val="none"/>
                <w:lang w:eastAsia="zh-CN"/>
              </w:rPr>
              <w:t>每次</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57"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29</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eastAsia="zh-CN"/>
              </w:rPr>
              <w:t>公厕内</w:t>
            </w:r>
            <w:r>
              <w:rPr>
                <w:rFonts w:hint="eastAsia" w:ascii="宋体" w:hAnsi="宋体" w:eastAsia="宋体" w:cs="宋体"/>
                <w:color w:val="auto"/>
                <w:kern w:val="0"/>
                <w:sz w:val="21"/>
                <w:szCs w:val="21"/>
                <w:highlight w:val="none"/>
              </w:rPr>
              <w:t>设施缺失、破损，</w:t>
            </w:r>
            <w:r>
              <w:rPr>
                <w:rFonts w:hint="eastAsia" w:ascii="宋体" w:hAnsi="宋体" w:eastAsia="宋体" w:cs="宋体"/>
                <w:color w:val="auto"/>
                <w:kern w:val="0"/>
                <w:sz w:val="21"/>
                <w:szCs w:val="21"/>
                <w:highlight w:val="none"/>
                <w:lang w:eastAsia="zh-CN"/>
              </w:rPr>
              <w:t>每处</w:t>
            </w:r>
            <w:r>
              <w:rPr>
                <w:rFonts w:hint="eastAsia"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分/处。无障碍通道不能正常使用，</w:t>
            </w:r>
            <w:r>
              <w:rPr>
                <w:rFonts w:hint="eastAsia" w:ascii="宋体" w:hAnsi="宋体" w:eastAsia="宋体" w:cs="宋体"/>
                <w:color w:val="auto"/>
                <w:kern w:val="0"/>
                <w:sz w:val="21"/>
                <w:szCs w:val="21"/>
                <w:highlight w:val="none"/>
                <w:lang w:eastAsia="zh-CN"/>
              </w:rPr>
              <w:t>每处</w:t>
            </w:r>
            <w:r>
              <w:rPr>
                <w:rFonts w:hint="eastAsia" w:ascii="宋体" w:hAnsi="宋体" w:eastAsia="宋体" w:cs="宋体"/>
                <w:color w:val="auto"/>
                <w:kern w:val="0"/>
                <w:sz w:val="21"/>
                <w:szCs w:val="21"/>
                <w:highlight w:val="none"/>
              </w:rPr>
              <w:t>扣1分。</w:t>
            </w:r>
          </w:p>
        </w:tc>
        <w:tc>
          <w:tcPr>
            <w:tcW w:w="134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rPr>
              <w:t>设备破损需维修的，第一时间落实报备</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sz w:val="21"/>
                <w:szCs w:val="21"/>
                <w:highlight w:val="none"/>
              </w:rPr>
              <w:t>公示</w:t>
            </w:r>
            <w:r>
              <w:rPr>
                <w:rFonts w:hint="eastAsia" w:ascii="宋体" w:hAnsi="宋体" w:eastAsia="宋体" w:cs="宋体"/>
                <w:color w:val="auto"/>
                <w:sz w:val="21"/>
                <w:szCs w:val="21"/>
                <w:highlight w:val="none"/>
                <w:lang w:eastAsia="zh-CN"/>
              </w:rPr>
              <w:t>，一个工作日修复到</w:t>
            </w:r>
            <w:r>
              <w:rPr>
                <w:rFonts w:hint="eastAsia" w:ascii="宋体" w:hAnsi="宋体" w:eastAsia="宋体" w:cs="宋体"/>
                <w:color w:val="auto"/>
                <w:sz w:val="21"/>
                <w:szCs w:val="21"/>
                <w:highlight w:val="none"/>
              </w:rPr>
              <w:t>位免于扣分</w:t>
            </w:r>
            <w:r>
              <w:rPr>
                <w:rFonts w:hint="eastAsia" w:ascii="宋体" w:hAnsi="宋体" w:eastAsia="宋体" w:cs="宋体"/>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14"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30</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rPr>
              <w:t>未经审核同意，无故关闭公厕，</w:t>
            </w:r>
            <w:r>
              <w:rPr>
                <w:rFonts w:hint="eastAsia" w:ascii="宋体" w:hAnsi="宋体" w:eastAsia="宋体" w:cs="宋体"/>
                <w:color w:val="auto"/>
                <w:kern w:val="0"/>
                <w:sz w:val="21"/>
                <w:szCs w:val="21"/>
                <w:highlight w:val="none"/>
                <w:lang w:eastAsia="zh-CN"/>
              </w:rPr>
              <w:t>每次扣</w:t>
            </w:r>
            <w:r>
              <w:rPr>
                <w:rFonts w:hint="eastAsia" w:ascii="宋体" w:hAnsi="宋体" w:eastAsia="宋体" w:cs="宋体"/>
                <w:color w:val="auto"/>
                <w:kern w:val="0"/>
                <w:sz w:val="21"/>
                <w:szCs w:val="21"/>
                <w:highlight w:val="none"/>
                <w:lang w:val="en-US" w:eastAsia="zh-CN"/>
              </w:rPr>
              <w:t>3分；</w:t>
            </w:r>
            <w:r>
              <w:rPr>
                <w:rFonts w:hint="eastAsia" w:ascii="宋体" w:hAnsi="宋体" w:eastAsia="宋体" w:cs="宋体"/>
                <w:color w:val="auto"/>
                <w:sz w:val="21"/>
                <w:szCs w:val="21"/>
                <w:highlight w:val="none"/>
              </w:rPr>
              <w:t>无故关闭第三卫生间、无障碍间、男女厕位</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eastAsia="zh-CN"/>
              </w:rPr>
              <w:t>每次扣</w:t>
            </w:r>
            <w:r>
              <w:rPr>
                <w:rFonts w:hint="eastAsia" w:ascii="宋体" w:hAnsi="宋体" w:eastAsia="宋体" w:cs="宋体"/>
                <w:color w:val="auto"/>
                <w:kern w:val="0"/>
                <w:sz w:val="21"/>
                <w:szCs w:val="21"/>
                <w:highlight w:val="none"/>
                <w:lang w:val="en-US" w:eastAsia="zh-CN"/>
              </w:rPr>
              <w:t>1分</w:t>
            </w:r>
            <w:r>
              <w:rPr>
                <w:rFonts w:hint="eastAsia" w:ascii="宋体" w:hAnsi="宋体" w:eastAsia="宋体" w:cs="宋体"/>
                <w:color w:val="auto"/>
                <w:kern w:val="0"/>
                <w:sz w:val="21"/>
                <w:szCs w:val="21"/>
                <w:highlight w:val="none"/>
              </w:rPr>
              <w:t>。</w:t>
            </w:r>
          </w:p>
        </w:tc>
        <w:tc>
          <w:tcPr>
            <w:tcW w:w="134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4" w:hRule="exact"/>
          <w:jc w:val="center"/>
        </w:trPr>
        <w:tc>
          <w:tcPr>
            <w:tcW w:w="88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合同履约（</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31</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管理团队主要负责人到位情况与投标文件及合同约定不一致的，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扣1分；管理团队技术负责人等骨干人员到位情况与投标文件及合同约定不一致的，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扣0.</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0"/>
                <w:sz w:val="21"/>
                <w:szCs w:val="21"/>
                <w:highlight w:val="none"/>
                <w:lang w:eastAsia="zh-CN"/>
              </w:rPr>
              <w:t>。</w:t>
            </w:r>
          </w:p>
        </w:tc>
        <w:tc>
          <w:tcPr>
            <w:tcW w:w="134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13"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32</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实际作业人员投入到位人数缺口小于合同人数10%（含）的，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扣1分；人数缺口大于合同人数10%小于20%（含）的，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扣2分；人数缺口大于合同人数20%的，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扣3分</w:t>
            </w:r>
            <w:r>
              <w:rPr>
                <w:rFonts w:hint="eastAsia" w:ascii="宋体" w:hAnsi="宋体" w:eastAsia="宋体" w:cs="宋体"/>
                <w:color w:val="auto"/>
                <w:kern w:val="0"/>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rPr>
            </w:pP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23"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33</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超龄人员工资、加班费标准低于普通职工10%（含）的，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扣0.5分；大于10%小于20%（含）的，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扣1分；大于20%的，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扣2分。</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rPr>
            </w:pP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24"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34</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车辆</w:t>
            </w:r>
            <w:r>
              <w:rPr>
                <w:rFonts w:hint="eastAsia" w:ascii="宋体" w:hAnsi="宋体" w:eastAsia="宋体" w:cs="宋体"/>
                <w:color w:val="auto"/>
                <w:kern w:val="0"/>
                <w:sz w:val="21"/>
                <w:szCs w:val="21"/>
                <w:highlight w:val="none"/>
                <w:lang w:eastAsia="zh-CN"/>
              </w:rPr>
              <w:t>设备</w:t>
            </w:r>
            <w:r>
              <w:rPr>
                <w:rFonts w:hint="eastAsia" w:ascii="宋体" w:hAnsi="宋体" w:eastAsia="宋体" w:cs="宋体"/>
                <w:color w:val="auto"/>
                <w:kern w:val="0"/>
                <w:sz w:val="21"/>
                <w:szCs w:val="21"/>
                <w:highlight w:val="none"/>
              </w:rPr>
              <w:t>投入数量缺口小于10%（含）的，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扣1分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车辆数量缺口大于10%小于20%（含）的，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扣2分；车辆数量缺口大于20%的，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扣3分；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07"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35</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作业单位新能源或清洁能源车辆未达到车辆总数30%以上的情况下，新增更新车辆非新能源或清洁能源的，</w:t>
            </w:r>
            <w:r>
              <w:rPr>
                <w:rFonts w:hint="eastAsia" w:ascii="宋体" w:hAnsi="宋体" w:eastAsia="宋体" w:cs="宋体"/>
                <w:color w:val="auto"/>
                <w:kern w:val="0"/>
                <w:sz w:val="21"/>
                <w:szCs w:val="21"/>
                <w:highlight w:val="none"/>
                <w:lang w:eastAsia="zh-CN"/>
              </w:rPr>
              <w:t>每辆</w:t>
            </w:r>
            <w:r>
              <w:rPr>
                <w:rFonts w:hint="eastAsia" w:ascii="宋体" w:hAnsi="宋体" w:eastAsia="宋体" w:cs="宋体"/>
                <w:color w:val="auto"/>
                <w:kern w:val="0"/>
                <w:sz w:val="21"/>
                <w:szCs w:val="21"/>
                <w:highlight w:val="none"/>
              </w:rPr>
              <w:t>扣0.5分。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84"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36</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eastAsia="zh-CN"/>
              </w:rPr>
              <w:t>作业车辆未在合同约定时间内安装车辆定位系统，接入指定平台的每辆扣</w:t>
            </w:r>
            <w:r>
              <w:rPr>
                <w:rFonts w:hint="eastAsia" w:ascii="宋体" w:hAnsi="宋体" w:eastAsia="宋体" w:cs="宋体"/>
                <w:color w:val="auto"/>
                <w:kern w:val="0"/>
                <w:sz w:val="21"/>
                <w:szCs w:val="21"/>
                <w:highlight w:val="none"/>
                <w:lang w:val="en-US" w:eastAsia="zh-CN"/>
              </w:rPr>
              <w:t>1分。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0"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37</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未按投标文件及合同约定规范安排人员排班计划</w:t>
            </w:r>
            <w:r>
              <w:rPr>
                <w:rFonts w:hint="eastAsia" w:ascii="宋体" w:hAnsi="宋体" w:eastAsia="宋体" w:cs="宋体"/>
                <w:color w:val="auto"/>
                <w:kern w:val="0"/>
                <w:sz w:val="21"/>
                <w:szCs w:val="21"/>
                <w:highlight w:val="none"/>
                <w:lang w:eastAsia="zh-CN"/>
              </w:rPr>
              <w:t>和车辆作业计划</w:t>
            </w:r>
            <w:r>
              <w:rPr>
                <w:rFonts w:hint="eastAsia" w:ascii="宋体" w:hAnsi="宋体" w:eastAsia="宋体" w:cs="宋体"/>
                <w:color w:val="auto"/>
                <w:kern w:val="0"/>
                <w:sz w:val="21"/>
                <w:szCs w:val="21"/>
                <w:highlight w:val="none"/>
              </w:rPr>
              <w:t>，扣1分/次。</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4"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38</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未按投标文件及合同约定制定安全生产制度的，</w:t>
            </w:r>
            <w:r>
              <w:rPr>
                <w:rFonts w:hint="eastAsia" w:ascii="宋体" w:hAnsi="宋体" w:eastAsia="宋体" w:cs="宋体"/>
                <w:color w:val="auto"/>
                <w:kern w:val="0"/>
                <w:sz w:val="21"/>
                <w:szCs w:val="21"/>
                <w:highlight w:val="none"/>
                <w:lang w:eastAsia="zh-CN"/>
              </w:rPr>
              <w:t>每次</w:t>
            </w:r>
            <w:r>
              <w:rPr>
                <w:rFonts w:hint="eastAsia" w:ascii="宋体" w:hAnsi="宋体" w:eastAsia="宋体" w:cs="宋体"/>
                <w:color w:val="auto"/>
                <w:kern w:val="0"/>
                <w:sz w:val="21"/>
                <w:szCs w:val="21"/>
                <w:highlight w:val="none"/>
              </w:rPr>
              <w:t>扣1分；组织安全生产全员培训每</w:t>
            </w:r>
            <w:r>
              <w:rPr>
                <w:rFonts w:hint="eastAsia" w:ascii="宋体" w:hAnsi="宋体" w:eastAsia="宋体" w:cs="宋体"/>
                <w:color w:val="auto"/>
                <w:kern w:val="0"/>
                <w:sz w:val="21"/>
                <w:szCs w:val="21"/>
                <w:highlight w:val="none"/>
                <w:lang w:eastAsia="zh-CN"/>
              </w:rPr>
              <w:t>季</w:t>
            </w:r>
            <w:r>
              <w:rPr>
                <w:rFonts w:hint="eastAsia" w:ascii="宋体" w:hAnsi="宋体" w:eastAsia="宋体" w:cs="宋体"/>
                <w:color w:val="auto"/>
                <w:kern w:val="0"/>
                <w:sz w:val="21"/>
                <w:szCs w:val="21"/>
                <w:highlight w:val="none"/>
              </w:rPr>
              <w:t>少于</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次的，每次扣0.5分。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78" w:hRule="exact"/>
          <w:jc w:val="center"/>
        </w:trPr>
        <w:tc>
          <w:tcPr>
            <w:tcW w:w="88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应急响应（20）</w:t>
            </w: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39</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eastAsia="zh-CN"/>
              </w:rPr>
              <w:t>未按投标文件及合同约定制定城市保障（防汛抗台、抗雪防冻、突发事件等）应急预案的，扣2分；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34"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40</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eastAsia="zh-CN"/>
              </w:rPr>
              <w:t>未按投标文件及合同约定定期组织应急演练少于每年2次的，每少一次扣1分。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25"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41</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eastAsia="zh-CN"/>
              </w:rPr>
              <w:t>在防汛抗台、防冻抗雪、突发事件、重要活动等应急保障中，不响应的，每发生一次扣</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分；响应不到位的，每发生一次扣</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eastAsia="zh-CN"/>
              </w:rPr>
              <w:t>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98" w:hRule="exact"/>
          <w:jc w:val="center"/>
        </w:trPr>
        <w:tc>
          <w:tcPr>
            <w:tcW w:w="88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正负</w:t>
            </w:r>
            <w:r>
              <w:rPr>
                <w:rFonts w:hint="eastAsia" w:ascii="宋体" w:hAnsi="宋体" w:eastAsia="宋体" w:cs="宋体"/>
                <w:color w:val="auto"/>
                <w:sz w:val="21"/>
                <w:szCs w:val="21"/>
                <w:highlight w:val="none"/>
                <w:lang w:val="en-US" w:eastAsia="zh-CN"/>
              </w:rPr>
              <w:t>清单</w:t>
            </w: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42</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发生无人员死亡有责安全生产事故的，每起扣0.5分；发生1人（含）以下人员死亡有责安全生产事故的，每起扣1分；发生2人（含）以下人员死亡有责安全生产事故的，每起扣3分；</w:t>
            </w:r>
          </w:p>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sz w:val="21"/>
                <w:szCs w:val="21"/>
                <w:highlight w:val="none"/>
                <w:lang w:eastAsia="zh-CN"/>
              </w:rPr>
            </w:pP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4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43</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eastAsia="zh-CN"/>
              </w:rPr>
              <w:t>在杭州市范围内因员工薪酬及权益保障方面的投诉、群体性事件，被劳动保障部门处罚及被区级及以上环卫主管部门批评或通报的,因有责原因被市领导以上批评或者被媒体曝光造成不良社会影响的，每次扣</w:t>
            </w:r>
            <w:r>
              <w:rPr>
                <w:rFonts w:hint="eastAsia" w:ascii="宋体" w:hAnsi="宋体" w:eastAsia="宋体" w:cs="宋体"/>
                <w:color w:val="auto"/>
                <w:kern w:val="0"/>
                <w:sz w:val="21"/>
                <w:szCs w:val="21"/>
                <w:highlight w:val="none"/>
                <w:lang w:val="en-US" w:eastAsia="zh-CN"/>
              </w:rPr>
              <w:t>2分。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95"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44</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环卫工人有见义勇为、拾金不昧等先进事迹，经确认属实的，根据正能量程度每件次加0.1～0.5分。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宋体" w:hAnsi="宋体" w:eastAsia="宋体" w:cs="宋体"/>
                <w:color w:val="auto"/>
                <w:sz w:val="24"/>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16"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45</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积极提供环卫宣传报道素材（图片、文字等），经区环卫保障中心审核，被录用正面宣传报道的，区级媒体每件次加0.1分，市级媒体每件次加0.2分，省级媒体每件次加0.5分，国家级媒体每件次加1分，同一事项以最高加分项计。</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宋体" w:hAnsi="宋体" w:eastAsia="宋体" w:cs="宋体"/>
                <w:color w:val="auto"/>
                <w:sz w:val="24"/>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40"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46</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在投标承诺和合同约定项目以外，积极协助环卫部门举办重要活动或完成重要任务的，区级项目每个加0.3分，市级项目每个加0.5分，省级项目每个加0.7分，国家级项目每个加1分。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宋体" w:hAnsi="宋体" w:eastAsia="宋体" w:cs="宋体"/>
                <w:color w:val="auto"/>
                <w:sz w:val="24"/>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7" w:hRule="exact"/>
          <w:jc w:val="center"/>
        </w:trPr>
        <w:tc>
          <w:tcPr>
            <w:tcW w:w="8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sz w:val="21"/>
                <w:szCs w:val="21"/>
                <w:highlight w:val="none"/>
              </w:rPr>
            </w:pPr>
          </w:p>
        </w:tc>
        <w:tc>
          <w:tcPr>
            <w:tcW w:w="78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47</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spacing w:val="-8"/>
                <w:szCs w:val="21"/>
                <w:highlight w:val="none"/>
                <w:lang w:eastAsia="zh-CN"/>
              </w:rPr>
              <w:t>市级</w:t>
            </w:r>
            <w:r>
              <w:rPr>
                <w:rFonts w:hint="eastAsia" w:ascii="宋体" w:hAnsi="宋体" w:eastAsia="宋体" w:cs="宋体"/>
                <w:color w:val="auto"/>
                <w:spacing w:val="-8"/>
                <w:szCs w:val="21"/>
                <w:highlight w:val="none"/>
                <w:lang w:val="en-US" w:eastAsia="zh-CN"/>
              </w:rPr>
              <w:t>领导</w:t>
            </w:r>
            <w:r>
              <w:rPr>
                <w:rFonts w:hint="eastAsia" w:ascii="宋体" w:hAnsi="宋体" w:eastAsia="宋体" w:cs="宋体"/>
                <w:color w:val="auto"/>
                <w:spacing w:val="-8"/>
                <w:szCs w:val="21"/>
                <w:highlight w:val="none"/>
                <w:lang w:eastAsia="zh-CN"/>
              </w:rPr>
              <w:t>及以上批示表扬的每次加</w:t>
            </w:r>
            <w:r>
              <w:rPr>
                <w:rFonts w:hint="eastAsia" w:ascii="宋体" w:hAnsi="宋体" w:eastAsia="宋体" w:cs="宋体"/>
                <w:color w:val="auto"/>
                <w:spacing w:val="-8"/>
                <w:szCs w:val="21"/>
                <w:highlight w:val="none"/>
                <w:lang w:val="en-US" w:eastAsia="zh-CN"/>
              </w:rPr>
              <w:t>1分，批评的每次扣1分；</w:t>
            </w:r>
            <w:r>
              <w:rPr>
                <w:rFonts w:hint="eastAsia" w:ascii="宋体" w:hAnsi="宋体" w:eastAsia="宋体" w:cs="宋体"/>
                <w:color w:val="auto"/>
                <w:spacing w:val="-8"/>
                <w:szCs w:val="21"/>
                <w:highlight w:val="none"/>
                <w:lang w:eastAsia="zh-CN"/>
              </w:rPr>
              <w:t>区级</w:t>
            </w:r>
            <w:r>
              <w:rPr>
                <w:rFonts w:hint="eastAsia" w:ascii="宋体" w:hAnsi="宋体" w:eastAsia="宋体" w:cs="宋体"/>
                <w:color w:val="auto"/>
                <w:spacing w:val="-8"/>
                <w:szCs w:val="21"/>
                <w:highlight w:val="none"/>
                <w:lang w:val="en-US" w:eastAsia="zh-CN"/>
              </w:rPr>
              <w:t>主要领导</w:t>
            </w:r>
            <w:r>
              <w:rPr>
                <w:rFonts w:hint="eastAsia" w:ascii="宋体" w:hAnsi="宋体" w:eastAsia="宋体" w:cs="宋体"/>
                <w:color w:val="auto"/>
                <w:spacing w:val="-8"/>
                <w:szCs w:val="21"/>
                <w:highlight w:val="none"/>
                <w:lang w:eastAsia="zh-CN"/>
              </w:rPr>
              <w:t>批示表扬的每次加</w:t>
            </w:r>
            <w:r>
              <w:rPr>
                <w:rFonts w:hint="eastAsia" w:ascii="宋体" w:hAnsi="宋体" w:eastAsia="宋体" w:cs="宋体"/>
                <w:color w:val="auto"/>
                <w:spacing w:val="-8"/>
                <w:szCs w:val="21"/>
                <w:highlight w:val="none"/>
                <w:lang w:val="en-US" w:eastAsia="zh-CN"/>
              </w:rPr>
              <w:t>0.5分，批评的每次扣0.5分。</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宋体" w:hAnsi="宋体" w:eastAsia="宋体" w:cs="宋体"/>
                <w:color w:val="auto"/>
                <w:sz w:val="24"/>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7" w:hRule="exact"/>
          <w:jc w:val="center"/>
        </w:trPr>
        <w:tc>
          <w:tcPr>
            <w:tcW w:w="1678" w:type="dxa"/>
            <w:gridSpan w:val="2"/>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备注</w:t>
            </w:r>
          </w:p>
        </w:tc>
        <w:tc>
          <w:tcPr>
            <w:tcW w:w="611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正负面分数累计加减分分别不高于3分，超过按3分计入。</w:t>
            </w:r>
          </w:p>
        </w:tc>
        <w:tc>
          <w:tcPr>
            <w:tcW w:w="1349" w:type="dxa"/>
            <w:noWrap w:val="0"/>
            <w:vAlign w:val="center"/>
          </w:tcPr>
          <w:p>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宋体" w:hAnsi="宋体" w:eastAsia="宋体" w:cs="宋体"/>
                <w:color w:val="auto"/>
                <w:sz w:val="24"/>
                <w:szCs w:val="28"/>
                <w:highlight w:val="none"/>
              </w:rPr>
            </w:pPr>
          </w:p>
        </w:tc>
      </w:tr>
    </w:tbl>
    <w:p>
      <w:pPr>
        <w:spacing w:line="360" w:lineRule="auto"/>
        <w:ind w:firstLine="960" w:firstLineChars="300"/>
        <w:rPr>
          <w:rFonts w:hint="eastAsia" w:ascii="宋体" w:hAnsi="宋体" w:eastAsia="宋体" w:cs="宋体"/>
          <w:color w:val="auto"/>
          <w:sz w:val="32"/>
          <w:szCs w:val="32"/>
          <w:highlight w:val="none"/>
        </w:rPr>
      </w:pPr>
    </w:p>
    <w:p>
      <w:pPr>
        <w:spacing w:line="260" w:lineRule="exact"/>
        <w:rPr>
          <w:rFonts w:hint="eastAsia" w:ascii="宋体" w:hAnsi="宋体" w:eastAsia="宋体" w:cs="宋体"/>
          <w:color w:val="auto"/>
          <w:highlight w:val="none"/>
        </w:rPr>
      </w:pPr>
    </w:p>
    <w:p>
      <w:pPr>
        <w:spacing w:line="360" w:lineRule="auto"/>
        <w:rPr>
          <w:rFonts w:hint="eastAsia" w:ascii="宋体" w:hAnsi="宋体" w:eastAsia="宋体" w:cs="宋体"/>
          <w:bCs/>
          <w:color w:val="auto"/>
          <w:sz w:val="24"/>
          <w:highlight w:val="none"/>
        </w:rPr>
      </w:pPr>
    </w:p>
    <w:sectPr>
      <w:headerReference r:id="rId23" w:type="first"/>
      <w:footerReference r:id="rId25" w:type="first"/>
      <w:headerReference r:id="rId22" w:type="default"/>
      <w:footerReference r:id="rId24" w:type="default"/>
      <w:pgSz w:w="11906" w:h="16838"/>
      <w:pgMar w:top="1247" w:right="1418" w:bottom="1276" w:left="1418"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Futura Bk">
    <w:altName w:val="Segoe Print"/>
    <w:panose1 w:val="00000000000000000000"/>
    <w:charset w:val="00"/>
    <w:family w:val="swiss"/>
    <w:pitch w:val="default"/>
    <w:sig w:usb0="00000000" w:usb1="00000000" w:usb2="00000000" w:usb3="00000000" w:csb0="0000009F"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decorative"/>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09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16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96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sz w:val="18"/>
      </w:rPr>
    </w:pPr>
    <w:r>
      <w:rPr>
        <w:rStyle w:val="73"/>
        <w:sz w:val="18"/>
      </w:rPr>
      <w:fldChar w:fldCharType="begin"/>
    </w:r>
    <w:r>
      <w:rPr>
        <w:rStyle w:val="73"/>
        <w:sz w:val="18"/>
      </w:rPr>
      <w:instrText xml:space="preserve">PAGE  </w:instrText>
    </w:r>
    <w:r>
      <w:rPr>
        <w:rStyle w:val="73"/>
        <w:sz w:val="18"/>
      </w:rP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96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62</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96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96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77</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96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76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96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110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110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102</w:t>
    </w:r>
    <w:r>
      <w:rPr>
        <w:rFonts w:hint="eastAsia" w:ascii="仿宋_GB2312" w:eastAsia="仿宋_GB2312"/>
        <w:kern w:val="0"/>
        <w:szCs w:val="21"/>
      </w:rPr>
      <w:fldChar w:fldCharType="end"/>
    </w:r>
    <w:bookmarkStart w:id="147" w:name="_Toc131845147"/>
    <w:bookmarkStart w:id="148" w:name="_Toc91899912"/>
    <w:bookmarkStart w:id="149" w:name="_Toc164085800"/>
    <w:bookmarkStart w:id="150" w:name="_Toc36110187"/>
    <w:r>
      <w:rPr>
        <w:rFonts w:hint="eastAsia" w:ascii="仿宋_GB2312" w:eastAsia="仿宋_GB2312"/>
        <w:kern w:val="0"/>
        <w:szCs w:val="21"/>
      </w:rPr>
      <w:t xml:space="preserve"> 页</w:t>
    </w:r>
    <w:bookmarkEnd w:id="147"/>
    <w:bookmarkEnd w:id="148"/>
    <w:bookmarkEnd w:id="149"/>
    <w:bookmarkEnd w:id="15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 xml:space="preserve">             </w:t>
    </w:r>
    <w:r>
      <w:rPr>
        <w:rFonts w:hint="eastAsia"/>
      </w:rPr>
      <w:t>杭州市政府采购公开招标文件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杭州市政府采购公开招标文件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 xml:space="preserve">                                                               </w:t>
    </w:r>
    <w:r>
      <w:rPr>
        <w:rFonts w:hint="eastAsia"/>
      </w:rPr>
      <w:t>杭州市政府采购公开招标文件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 xml:space="preserve">         </w:t>
    </w:r>
  </w:p>
  <w:p>
    <w:pPr>
      <w:pStyle w:val="41"/>
    </w:pPr>
    <w:r>
      <w:t xml:space="preserve">                                                                  </w:t>
    </w:r>
    <w:r>
      <w:rPr>
        <w:rFonts w:hint="eastAsia"/>
      </w:rP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 xml:space="preserve">                                                  </w:t>
    </w:r>
    <w:r>
      <w:rPr>
        <w:rFonts w:hint="eastAsia"/>
      </w:rPr>
      <w:t>杭州市政府采购公开招标文件</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 xml:space="preserve">                                                          </w:t>
    </w:r>
    <w:r>
      <w:rPr>
        <w:rFonts w:hint="eastAsia"/>
      </w:rP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t>杭州市政府采购公开招标文件</w:t>
    </w:r>
  </w:p>
  <w:p>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5AF30A6"/>
    <w:multiLevelType w:val="multilevel"/>
    <w:tmpl w:val="35AF30A6"/>
    <w:lvl w:ilvl="0" w:tentative="0">
      <w:start w:val="1"/>
      <w:numFmt w:val="decimal"/>
      <w:lvlText w:val="%1."/>
      <w:lvlJc w:val="left"/>
      <w:pPr>
        <w:ind w:left="63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2"/>
  </w:compat>
  <w:docVars>
    <w:docVar w:name="commondata" w:val="eyJoZGlkIjoiNzY5ZGMwY2E1OTQwYzNlYTgwMjliNzA4ZGIzZTI1NTMifQ=="/>
  </w:docVars>
  <w:rsids>
    <w:rsidRoot w:val="00172A27"/>
    <w:rsid w:val="00000451"/>
    <w:rsid w:val="00000D84"/>
    <w:rsid w:val="0000108B"/>
    <w:rsid w:val="0000133D"/>
    <w:rsid w:val="00001509"/>
    <w:rsid w:val="00001D8C"/>
    <w:rsid w:val="000032B2"/>
    <w:rsid w:val="0000363B"/>
    <w:rsid w:val="0000587D"/>
    <w:rsid w:val="000058BD"/>
    <w:rsid w:val="00006109"/>
    <w:rsid w:val="00006150"/>
    <w:rsid w:val="000063E8"/>
    <w:rsid w:val="00006725"/>
    <w:rsid w:val="0000675E"/>
    <w:rsid w:val="00007CAA"/>
    <w:rsid w:val="000107AD"/>
    <w:rsid w:val="00010FE9"/>
    <w:rsid w:val="0001122F"/>
    <w:rsid w:val="00011A4B"/>
    <w:rsid w:val="00012251"/>
    <w:rsid w:val="0001337C"/>
    <w:rsid w:val="000138C4"/>
    <w:rsid w:val="00013C1F"/>
    <w:rsid w:val="00013F31"/>
    <w:rsid w:val="000140D8"/>
    <w:rsid w:val="00014530"/>
    <w:rsid w:val="00014A5D"/>
    <w:rsid w:val="00014BBC"/>
    <w:rsid w:val="000150EE"/>
    <w:rsid w:val="00015F5E"/>
    <w:rsid w:val="000168D8"/>
    <w:rsid w:val="000170C8"/>
    <w:rsid w:val="000173F4"/>
    <w:rsid w:val="00017684"/>
    <w:rsid w:val="00020287"/>
    <w:rsid w:val="000202FE"/>
    <w:rsid w:val="00020B5F"/>
    <w:rsid w:val="000211BC"/>
    <w:rsid w:val="0002207B"/>
    <w:rsid w:val="000232FD"/>
    <w:rsid w:val="00023323"/>
    <w:rsid w:val="000233E4"/>
    <w:rsid w:val="00023495"/>
    <w:rsid w:val="00023777"/>
    <w:rsid w:val="00024130"/>
    <w:rsid w:val="000241B9"/>
    <w:rsid w:val="00024584"/>
    <w:rsid w:val="00024962"/>
    <w:rsid w:val="000249AA"/>
    <w:rsid w:val="00025350"/>
    <w:rsid w:val="000253E5"/>
    <w:rsid w:val="00025776"/>
    <w:rsid w:val="00026EAC"/>
    <w:rsid w:val="000270F2"/>
    <w:rsid w:val="00027540"/>
    <w:rsid w:val="00030572"/>
    <w:rsid w:val="00030A97"/>
    <w:rsid w:val="00030CB3"/>
    <w:rsid w:val="00031300"/>
    <w:rsid w:val="0003206A"/>
    <w:rsid w:val="000326A7"/>
    <w:rsid w:val="00032EA0"/>
    <w:rsid w:val="000331B0"/>
    <w:rsid w:val="000336D4"/>
    <w:rsid w:val="00034595"/>
    <w:rsid w:val="00034FA7"/>
    <w:rsid w:val="00035245"/>
    <w:rsid w:val="0003533D"/>
    <w:rsid w:val="000357E4"/>
    <w:rsid w:val="00035ACA"/>
    <w:rsid w:val="000365A7"/>
    <w:rsid w:val="00040447"/>
    <w:rsid w:val="00040494"/>
    <w:rsid w:val="00040B70"/>
    <w:rsid w:val="00041551"/>
    <w:rsid w:val="00042441"/>
    <w:rsid w:val="00042533"/>
    <w:rsid w:val="00042DBB"/>
    <w:rsid w:val="00042E65"/>
    <w:rsid w:val="0004347C"/>
    <w:rsid w:val="00043907"/>
    <w:rsid w:val="00044F48"/>
    <w:rsid w:val="00047074"/>
    <w:rsid w:val="00047354"/>
    <w:rsid w:val="00050503"/>
    <w:rsid w:val="00050656"/>
    <w:rsid w:val="00050A19"/>
    <w:rsid w:val="000511B6"/>
    <w:rsid w:val="00051955"/>
    <w:rsid w:val="00051B00"/>
    <w:rsid w:val="00051C72"/>
    <w:rsid w:val="00052192"/>
    <w:rsid w:val="0005238F"/>
    <w:rsid w:val="00052787"/>
    <w:rsid w:val="00052BB8"/>
    <w:rsid w:val="000531D9"/>
    <w:rsid w:val="0005417A"/>
    <w:rsid w:val="00054D39"/>
    <w:rsid w:val="0005501B"/>
    <w:rsid w:val="000550F5"/>
    <w:rsid w:val="00055337"/>
    <w:rsid w:val="000554C7"/>
    <w:rsid w:val="00055A0C"/>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74C"/>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6822"/>
    <w:rsid w:val="00076B60"/>
    <w:rsid w:val="00077577"/>
    <w:rsid w:val="00077607"/>
    <w:rsid w:val="00077756"/>
    <w:rsid w:val="00077B7F"/>
    <w:rsid w:val="000808C1"/>
    <w:rsid w:val="00080970"/>
    <w:rsid w:val="00081671"/>
    <w:rsid w:val="00082AD4"/>
    <w:rsid w:val="00083E07"/>
    <w:rsid w:val="00084D1B"/>
    <w:rsid w:val="00084D27"/>
    <w:rsid w:val="00084ED6"/>
    <w:rsid w:val="0008580E"/>
    <w:rsid w:val="00085A0E"/>
    <w:rsid w:val="00085C4F"/>
    <w:rsid w:val="00086EFD"/>
    <w:rsid w:val="00086F8A"/>
    <w:rsid w:val="00087031"/>
    <w:rsid w:val="0008710F"/>
    <w:rsid w:val="00090243"/>
    <w:rsid w:val="000904F6"/>
    <w:rsid w:val="00090918"/>
    <w:rsid w:val="00090ED8"/>
    <w:rsid w:val="00090F9F"/>
    <w:rsid w:val="0009145F"/>
    <w:rsid w:val="00091662"/>
    <w:rsid w:val="0009184E"/>
    <w:rsid w:val="00091B4E"/>
    <w:rsid w:val="00092467"/>
    <w:rsid w:val="00092FE9"/>
    <w:rsid w:val="000936BF"/>
    <w:rsid w:val="0009382F"/>
    <w:rsid w:val="00093A30"/>
    <w:rsid w:val="00094342"/>
    <w:rsid w:val="000945BA"/>
    <w:rsid w:val="00094A5D"/>
    <w:rsid w:val="00095954"/>
    <w:rsid w:val="00095DE7"/>
    <w:rsid w:val="000960BA"/>
    <w:rsid w:val="0009662A"/>
    <w:rsid w:val="0009690D"/>
    <w:rsid w:val="000969ED"/>
    <w:rsid w:val="00096DFF"/>
    <w:rsid w:val="000976B6"/>
    <w:rsid w:val="000A00C5"/>
    <w:rsid w:val="000A0729"/>
    <w:rsid w:val="000A0E69"/>
    <w:rsid w:val="000A1A52"/>
    <w:rsid w:val="000A1F98"/>
    <w:rsid w:val="000A2215"/>
    <w:rsid w:val="000A3D58"/>
    <w:rsid w:val="000A3FE3"/>
    <w:rsid w:val="000A47B0"/>
    <w:rsid w:val="000A4851"/>
    <w:rsid w:val="000A49BB"/>
    <w:rsid w:val="000A4F22"/>
    <w:rsid w:val="000A5674"/>
    <w:rsid w:val="000A5A46"/>
    <w:rsid w:val="000A7299"/>
    <w:rsid w:val="000A752E"/>
    <w:rsid w:val="000B0E04"/>
    <w:rsid w:val="000B1BD5"/>
    <w:rsid w:val="000B268D"/>
    <w:rsid w:val="000B291B"/>
    <w:rsid w:val="000B432C"/>
    <w:rsid w:val="000B456C"/>
    <w:rsid w:val="000B45B9"/>
    <w:rsid w:val="000B47CE"/>
    <w:rsid w:val="000B4B56"/>
    <w:rsid w:val="000B4C62"/>
    <w:rsid w:val="000B541D"/>
    <w:rsid w:val="000B54C1"/>
    <w:rsid w:val="000B5553"/>
    <w:rsid w:val="000B5FE8"/>
    <w:rsid w:val="000B666E"/>
    <w:rsid w:val="000B7F0B"/>
    <w:rsid w:val="000C0A43"/>
    <w:rsid w:val="000C0CB1"/>
    <w:rsid w:val="000C1411"/>
    <w:rsid w:val="000C1ADE"/>
    <w:rsid w:val="000C1C38"/>
    <w:rsid w:val="000C1EB6"/>
    <w:rsid w:val="000C1FFC"/>
    <w:rsid w:val="000C21DC"/>
    <w:rsid w:val="000C2264"/>
    <w:rsid w:val="000C256B"/>
    <w:rsid w:val="000C2686"/>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2BA"/>
    <w:rsid w:val="000D6C9F"/>
    <w:rsid w:val="000D6E3B"/>
    <w:rsid w:val="000D6F30"/>
    <w:rsid w:val="000D74E4"/>
    <w:rsid w:val="000D7C9D"/>
    <w:rsid w:val="000D7CE0"/>
    <w:rsid w:val="000E0E57"/>
    <w:rsid w:val="000E2785"/>
    <w:rsid w:val="000E27BB"/>
    <w:rsid w:val="000E3153"/>
    <w:rsid w:val="000E3484"/>
    <w:rsid w:val="000E386F"/>
    <w:rsid w:val="000E4051"/>
    <w:rsid w:val="000E4139"/>
    <w:rsid w:val="000E4765"/>
    <w:rsid w:val="000E5B7E"/>
    <w:rsid w:val="000E5EFF"/>
    <w:rsid w:val="000E5FF9"/>
    <w:rsid w:val="000E6AE1"/>
    <w:rsid w:val="000E7142"/>
    <w:rsid w:val="000E7632"/>
    <w:rsid w:val="000E7737"/>
    <w:rsid w:val="000E7739"/>
    <w:rsid w:val="000E77EE"/>
    <w:rsid w:val="000F09EB"/>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8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329"/>
    <w:rsid w:val="00123F7C"/>
    <w:rsid w:val="0012419E"/>
    <w:rsid w:val="0012456D"/>
    <w:rsid w:val="001248EF"/>
    <w:rsid w:val="00124AC0"/>
    <w:rsid w:val="00124FC4"/>
    <w:rsid w:val="001253AB"/>
    <w:rsid w:val="0012574C"/>
    <w:rsid w:val="00125974"/>
    <w:rsid w:val="001259B8"/>
    <w:rsid w:val="001264B9"/>
    <w:rsid w:val="0012693E"/>
    <w:rsid w:val="00126A3A"/>
    <w:rsid w:val="00126B9B"/>
    <w:rsid w:val="00126E20"/>
    <w:rsid w:val="00127060"/>
    <w:rsid w:val="00127B83"/>
    <w:rsid w:val="00131C2D"/>
    <w:rsid w:val="0013202C"/>
    <w:rsid w:val="00132704"/>
    <w:rsid w:val="00132907"/>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B4E"/>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A92"/>
    <w:rsid w:val="00151820"/>
    <w:rsid w:val="00151B2F"/>
    <w:rsid w:val="001524DC"/>
    <w:rsid w:val="001525E5"/>
    <w:rsid w:val="00153859"/>
    <w:rsid w:val="00153915"/>
    <w:rsid w:val="001539F0"/>
    <w:rsid w:val="00154BBA"/>
    <w:rsid w:val="00155B95"/>
    <w:rsid w:val="001560BB"/>
    <w:rsid w:val="00156853"/>
    <w:rsid w:val="00156B20"/>
    <w:rsid w:val="00157432"/>
    <w:rsid w:val="001609DC"/>
    <w:rsid w:val="00160AF6"/>
    <w:rsid w:val="00161185"/>
    <w:rsid w:val="001620BA"/>
    <w:rsid w:val="001623AC"/>
    <w:rsid w:val="00162BAA"/>
    <w:rsid w:val="00163C40"/>
    <w:rsid w:val="0016488B"/>
    <w:rsid w:val="00165758"/>
    <w:rsid w:val="00165A65"/>
    <w:rsid w:val="00166317"/>
    <w:rsid w:val="001672CF"/>
    <w:rsid w:val="00167478"/>
    <w:rsid w:val="00167594"/>
    <w:rsid w:val="001679A3"/>
    <w:rsid w:val="00167E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C9D"/>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923"/>
    <w:rsid w:val="00187C29"/>
    <w:rsid w:val="001903CD"/>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5BCC"/>
    <w:rsid w:val="0019602C"/>
    <w:rsid w:val="001969F2"/>
    <w:rsid w:val="00196CD6"/>
    <w:rsid w:val="0019756A"/>
    <w:rsid w:val="001A06B5"/>
    <w:rsid w:val="001A07F8"/>
    <w:rsid w:val="001A0A23"/>
    <w:rsid w:val="001A0C98"/>
    <w:rsid w:val="001A128B"/>
    <w:rsid w:val="001A1475"/>
    <w:rsid w:val="001A1F0E"/>
    <w:rsid w:val="001A289B"/>
    <w:rsid w:val="001A3335"/>
    <w:rsid w:val="001A46E9"/>
    <w:rsid w:val="001A473A"/>
    <w:rsid w:val="001A4ED9"/>
    <w:rsid w:val="001A5785"/>
    <w:rsid w:val="001A5CA2"/>
    <w:rsid w:val="001A5FD7"/>
    <w:rsid w:val="001A66A6"/>
    <w:rsid w:val="001A6BAF"/>
    <w:rsid w:val="001A6BBB"/>
    <w:rsid w:val="001A79A2"/>
    <w:rsid w:val="001A7AA9"/>
    <w:rsid w:val="001B06A6"/>
    <w:rsid w:val="001B13BF"/>
    <w:rsid w:val="001B16F5"/>
    <w:rsid w:val="001B1C1F"/>
    <w:rsid w:val="001B219B"/>
    <w:rsid w:val="001B2703"/>
    <w:rsid w:val="001B3700"/>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0C23"/>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6A67"/>
    <w:rsid w:val="001D7213"/>
    <w:rsid w:val="001E17E3"/>
    <w:rsid w:val="001E2052"/>
    <w:rsid w:val="001E2492"/>
    <w:rsid w:val="001E257C"/>
    <w:rsid w:val="001E286C"/>
    <w:rsid w:val="001E2E2C"/>
    <w:rsid w:val="001E2F34"/>
    <w:rsid w:val="001E35EE"/>
    <w:rsid w:val="001E4B2C"/>
    <w:rsid w:val="001E507F"/>
    <w:rsid w:val="001E53A2"/>
    <w:rsid w:val="001E56C2"/>
    <w:rsid w:val="001E59FB"/>
    <w:rsid w:val="001E5CEA"/>
    <w:rsid w:val="001E7F81"/>
    <w:rsid w:val="001F092E"/>
    <w:rsid w:val="001F0FD1"/>
    <w:rsid w:val="001F1526"/>
    <w:rsid w:val="001F19D1"/>
    <w:rsid w:val="001F1CB9"/>
    <w:rsid w:val="001F1F18"/>
    <w:rsid w:val="001F2F92"/>
    <w:rsid w:val="001F5DA1"/>
    <w:rsid w:val="001F612E"/>
    <w:rsid w:val="001F6A92"/>
    <w:rsid w:val="001F77E8"/>
    <w:rsid w:val="00201120"/>
    <w:rsid w:val="00201A0C"/>
    <w:rsid w:val="00201B0F"/>
    <w:rsid w:val="0020255A"/>
    <w:rsid w:val="00202800"/>
    <w:rsid w:val="00202C96"/>
    <w:rsid w:val="00202D33"/>
    <w:rsid w:val="00202E58"/>
    <w:rsid w:val="00202F99"/>
    <w:rsid w:val="00203C85"/>
    <w:rsid w:val="0020449A"/>
    <w:rsid w:val="00204E9B"/>
    <w:rsid w:val="00205298"/>
    <w:rsid w:val="002055C0"/>
    <w:rsid w:val="0020569E"/>
    <w:rsid w:val="00206698"/>
    <w:rsid w:val="00206736"/>
    <w:rsid w:val="00206C88"/>
    <w:rsid w:val="002102AE"/>
    <w:rsid w:val="002105CD"/>
    <w:rsid w:val="00210B9C"/>
    <w:rsid w:val="00211185"/>
    <w:rsid w:val="00211A94"/>
    <w:rsid w:val="00211CDA"/>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1F29"/>
    <w:rsid w:val="00222494"/>
    <w:rsid w:val="00222775"/>
    <w:rsid w:val="00222A31"/>
    <w:rsid w:val="00222CF6"/>
    <w:rsid w:val="00223B66"/>
    <w:rsid w:val="00224037"/>
    <w:rsid w:val="002244E4"/>
    <w:rsid w:val="00224D2A"/>
    <w:rsid w:val="00224D8D"/>
    <w:rsid w:val="0022555A"/>
    <w:rsid w:val="00226127"/>
    <w:rsid w:val="00227214"/>
    <w:rsid w:val="00227DDC"/>
    <w:rsid w:val="0023079F"/>
    <w:rsid w:val="00231135"/>
    <w:rsid w:val="00231B0B"/>
    <w:rsid w:val="00232555"/>
    <w:rsid w:val="00233538"/>
    <w:rsid w:val="00234248"/>
    <w:rsid w:val="0023449F"/>
    <w:rsid w:val="002344F5"/>
    <w:rsid w:val="0023454D"/>
    <w:rsid w:val="00234679"/>
    <w:rsid w:val="0023507B"/>
    <w:rsid w:val="002359FC"/>
    <w:rsid w:val="002361C8"/>
    <w:rsid w:val="002361CD"/>
    <w:rsid w:val="00236690"/>
    <w:rsid w:val="0023669D"/>
    <w:rsid w:val="00237EAE"/>
    <w:rsid w:val="00237FA2"/>
    <w:rsid w:val="002403D5"/>
    <w:rsid w:val="00240C1F"/>
    <w:rsid w:val="00240F55"/>
    <w:rsid w:val="00240F67"/>
    <w:rsid w:val="00241144"/>
    <w:rsid w:val="00242510"/>
    <w:rsid w:val="002425D7"/>
    <w:rsid w:val="00242823"/>
    <w:rsid w:val="00242F79"/>
    <w:rsid w:val="0024415B"/>
    <w:rsid w:val="00244E22"/>
    <w:rsid w:val="00245565"/>
    <w:rsid w:val="002458C1"/>
    <w:rsid w:val="00245E62"/>
    <w:rsid w:val="002460D0"/>
    <w:rsid w:val="00246357"/>
    <w:rsid w:val="00246A64"/>
    <w:rsid w:val="00247422"/>
    <w:rsid w:val="00247BA2"/>
    <w:rsid w:val="00250870"/>
    <w:rsid w:val="0025151C"/>
    <w:rsid w:val="0025184F"/>
    <w:rsid w:val="00251967"/>
    <w:rsid w:val="002527CC"/>
    <w:rsid w:val="00252F48"/>
    <w:rsid w:val="002530C0"/>
    <w:rsid w:val="0025355A"/>
    <w:rsid w:val="00253586"/>
    <w:rsid w:val="002537FC"/>
    <w:rsid w:val="00253B5E"/>
    <w:rsid w:val="002542CF"/>
    <w:rsid w:val="002542F8"/>
    <w:rsid w:val="002543EF"/>
    <w:rsid w:val="00254F2A"/>
    <w:rsid w:val="00255784"/>
    <w:rsid w:val="00255A29"/>
    <w:rsid w:val="0025631F"/>
    <w:rsid w:val="00256986"/>
    <w:rsid w:val="00256B83"/>
    <w:rsid w:val="00256D61"/>
    <w:rsid w:val="00256E23"/>
    <w:rsid w:val="00257246"/>
    <w:rsid w:val="00257438"/>
    <w:rsid w:val="0026119C"/>
    <w:rsid w:val="00261AFE"/>
    <w:rsid w:val="0026212A"/>
    <w:rsid w:val="002621D7"/>
    <w:rsid w:val="00262996"/>
    <w:rsid w:val="00263044"/>
    <w:rsid w:val="0026328A"/>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441"/>
    <w:rsid w:val="002866EC"/>
    <w:rsid w:val="0028744E"/>
    <w:rsid w:val="002876D2"/>
    <w:rsid w:val="00287936"/>
    <w:rsid w:val="00287A72"/>
    <w:rsid w:val="00287BB7"/>
    <w:rsid w:val="002903C5"/>
    <w:rsid w:val="0029041B"/>
    <w:rsid w:val="00290A99"/>
    <w:rsid w:val="00290EAF"/>
    <w:rsid w:val="002912E8"/>
    <w:rsid w:val="0029159A"/>
    <w:rsid w:val="00291A15"/>
    <w:rsid w:val="00291CF1"/>
    <w:rsid w:val="00292AA1"/>
    <w:rsid w:val="002932A5"/>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69D"/>
    <w:rsid w:val="002A4060"/>
    <w:rsid w:val="002A46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476"/>
    <w:rsid w:val="002B1881"/>
    <w:rsid w:val="002B1F61"/>
    <w:rsid w:val="002B2070"/>
    <w:rsid w:val="002B2906"/>
    <w:rsid w:val="002B2BE7"/>
    <w:rsid w:val="002B2C66"/>
    <w:rsid w:val="002B34E3"/>
    <w:rsid w:val="002B51B6"/>
    <w:rsid w:val="002B5AEE"/>
    <w:rsid w:val="002B6177"/>
    <w:rsid w:val="002B650C"/>
    <w:rsid w:val="002B68E6"/>
    <w:rsid w:val="002B6985"/>
    <w:rsid w:val="002B6CCA"/>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878"/>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6A1F"/>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0F"/>
    <w:rsid w:val="002E6853"/>
    <w:rsid w:val="002E740D"/>
    <w:rsid w:val="002E7EC1"/>
    <w:rsid w:val="002E7EE5"/>
    <w:rsid w:val="002F0323"/>
    <w:rsid w:val="002F0DFB"/>
    <w:rsid w:val="002F134F"/>
    <w:rsid w:val="002F1421"/>
    <w:rsid w:val="002F1D0B"/>
    <w:rsid w:val="002F1E1D"/>
    <w:rsid w:val="002F1F02"/>
    <w:rsid w:val="002F27E5"/>
    <w:rsid w:val="002F2932"/>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6B99"/>
    <w:rsid w:val="003077F4"/>
    <w:rsid w:val="00307DC7"/>
    <w:rsid w:val="00307FF2"/>
    <w:rsid w:val="00310EDB"/>
    <w:rsid w:val="003116C8"/>
    <w:rsid w:val="00311C51"/>
    <w:rsid w:val="00311D56"/>
    <w:rsid w:val="00312016"/>
    <w:rsid w:val="00312340"/>
    <w:rsid w:val="00312DFC"/>
    <w:rsid w:val="0031318C"/>
    <w:rsid w:val="00313C9D"/>
    <w:rsid w:val="0031430C"/>
    <w:rsid w:val="00314529"/>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617"/>
    <w:rsid w:val="003235E6"/>
    <w:rsid w:val="00324038"/>
    <w:rsid w:val="00324951"/>
    <w:rsid w:val="003249F6"/>
    <w:rsid w:val="00324B2F"/>
    <w:rsid w:val="00325FCC"/>
    <w:rsid w:val="00326106"/>
    <w:rsid w:val="00326805"/>
    <w:rsid w:val="003269B7"/>
    <w:rsid w:val="00326C0E"/>
    <w:rsid w:val="003272A3"/>
    <w:rsid w:val="003272E4"/>
    <w:rsid w:val="00327B71"/>
    <w:rsid w:val="00330D18"/>
    <w:rsid w:val="00330D44"/>
    <w:rsid w:val="00331461"/>
    <w:rsid w:val="003316A8"/>
    <w:rsid w:val="00331C80"/>
    <w:rsid w:val="00331CC9"/>
    <w:rsid w:val="003320D7"/>
    <w:rsid w:val="00332265"/>
    <w:rsid w:val="00332862"/>
    <w:rsid w:val="00332D52"/>
    <w:rsid w:val="00333337"/>
    <w:rsid w:val="00333A28"/>
    <w:rsid w:val="00333B6C"/>
    <w:rsid w:val="00334927"/>
    <w:rsid w:val="00335324"/>
    <w:rsid w:val="003360AD"/>
    <w:rsid w:val="0033631D"/>
    <w:rsid w:val="003369C7"/>
    <w:rsid w:val="003373A6"/>
    <w:rsid w:val="00337409"/>
    <w:rsid w:val="00337E18"/>
    <w:rsid w:val="003405AF"/>
    <w:rsid w:val="0034088F"/>
    <w:rsid w:val="00340B3E"/>
    <w:rsid w:val="003413D2"/>
    <w:rsid w:val="00341525"/>
    <w:rsid w:val="003418C7"/>
    <w:rsid w:val="0034257E"/>
    <w:rsid w:val="003429A1"/>
    <w:rsid w:val="003429FC"/>
    <w:rsid w:val="00343079"/>
    <w:rsid w:val="00343127"/>
    <w:rsid w:val="00343320"/>
    <w:rsid w:val="00344066"/>
    <w:rsid w:val="00344BBF"/>
    <w:rsid w:val="00344C10"/>
    <w:rsid w:val="0034509B"/>
    <w:rsid w:val="003451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FC4"/>
    <w:rsid w:val="0035451F"/>
    <w:rsid w:val="0035455F"/>
    <w:rsid w:val="00355069"/>
    <w:rsid w:val="00355D75"/>
    <w:rsid w:val="00355D8F"/>
    <w:rsid w:val="00356422"/>
    <w:rsid w:val="00356A73"/>
    <w:rsid w:val="00356FF0"/>
    <w:rsid w:val="003577EF"/>
    <w:rsid w:val="00357A60"/>
    <w:rsid w:val="00360304"/>
    <w:rsid w:val="00360A78"/>
    <w:rsid w:val="00361380"/>
    <w:rsid w:val="00361750"/>
    <w:rsid w:val="00361B7F"/>
    <w:rsid w:val="00363894"/>
    <w:rsid w:val="00363B2A"/>
    <w:rsid w:val="00363BF1"/>
    <w:rsid w:val="003643D6"/>
    <w:rsid w:val="00366779"/>
    <w:rsid w:val="003668E5"/>
    <w:rsid w:val="003669C8"/>
    <w:rsid w:val="00366CEB"/>
    <w:rsid w:val="003672B3"/>
    <w:rsid w:val="003676DF"/>
    <w:rsid w:val="00367783"/>
    <w:rsid w:val="00367898"/>
    <w:rsid w:val="003679D3"/>
    <w:rsid w:val="00367A87"/>
    <w:rsid w:val="00367EE7"/>
    <w:rsid w:val="003703BB"/>
    <w:rsid w:val="003705EA"/>
    <w:rsid w:val="0037084C"/>
    <w:rsid w:val="00370A56"/>
    <w:rsid w:val="00371213"/>
    <w:rsid w:val="0037263C"/>
    <w:rsid w:val="00372842"/>
    <w:rsid w:val="003729A5"/>
    <w:rsid w:val="00372C89"/>
    <w:rsid w:val="00372E9A"/>
    <w:rsid w:val="003735B9"/>
    <w:rsid w:val="00373634"/>
    <w:rsid w:val="00374677"/>
    <w:rsid w:val="0037510C"/>
    <w:rsid w:val="00375850"/>
    <w:rsid w:val="0037632F"/>
    <w:rsid w:val="0037754F"/>
    <w:rsid w:val="00377B26"/>
    <w:rsid w:val="00381014"/>
    <w:rsid w:val="00381604"/>
    <w:rsid w:val="003816D0"/>
    <w:rsid w:val="00381C68"/>
    <w:rsid w:val="00381F60"/>
    <w:rsid w:val="00383204"/>
    <w:rsid w:val="00383AB0"/>
    <w:rsid w:val="00383CFE"/>
    <w:rsid w:val="003847BB"/>
    <w:rsid w:val="00384814"/>
    <w:rsid w:val="00384AB8"/>
    <w:rsid w:val="00384C0A"/>
    <w:rsid w:val="00385B16"/>
    <w:rsid w:val="00385B96"/>
    <w:rsid w:val="0038637D"/>
    <w:rsid w:val="003868F6"/>
    <w:rsid w:val="003869DC"/>
    <w:rsid w:val="00386C07"/>
    <w:rsid w:val="00386F58"/>
    <w:rsid w:val="0038700D"/>
    <w:rsid w:val="0038791F"/>
    <w:rsid w:val="003879CE"/>
    <w:rsid w:val="00387B88"/>
    <w:rsid w:val="00390B8F"/>
    <w:rsid w:val="00390C0D"/>
    <w:rsid w:val="00391129"/>
    <w:rsid w:val="00391447"/>
    <w:rsid w:val="003914E6"/>
    <w:rsid w:val="003919D9"/>
    <w:rsid w:val="00391BDD"/>
    <w:rsid w:val="003922DE"/>
    <w:rsid w:val="00392E35"/>
    <w:rsid w:val="00393247"/>
    <w:rsid w:val="00393551"/>
    <w:rsid w:val="003935AD"/>
    <w:rsid w:val="00393816"/>
    <w:rsid w:val="00393FCD"/>
    <w:rsid w:val="003943E7"/>
    <w:rsid w:val="003944EA"/>
    <w:rsid w:val="00394639"/>
    <w:rsid w:val="00394DF6"/>
    <w:rsid w:val="00394EC6"/>
    <w:rsid w:val="00395A02"/>
    <w:rsid w:val="00395CD9"/>
    <w:rsid w:val="003962E6"/>
    <w:rsid w:val="00396831"/>
    <w:rsid w:val="003971A1"/>
    <w:rsid w:val="003A01C4"/>
    <w:rsid w:val="003A0F6B"/>
    <w:rsid w:val="003A12B6"/>
    <w:rsid w:val="003A1C44"/>
    <w:rsid w:val="003A20D5"/>
    <w:rsid w:val="003A24CC"/>
    <w:rsid w:val="003A2512"/>
    <w:rsid w:val="003A2A53"/>
    <w:rsid w:val="003A2EE8"/>
    <w:rsid w:val="003A3189"/>
    <w:rsid w:val="003A373C"/>
    <w:rsid w:val="003A5378"/>
    <w:rsid w:val="003A553C"/>
    <w:rsid w:val="003A56D5"/>
    <w:rsid w:val="003A56DF"/>
    <w:rsid w:val="003A6008"/>
    <w:rsid w:val="003A703F"/>
    <w:rsid w:val="003A7E2B"/>
    <w:rsid w:val="003A7E40"/>
    <w:rsid w:val="003B0336"/>
    <w:rsid w:val="003B0A3A"/>
    <w:rsid w:val="003B0D79"/>
    <w:rsid w:val="003B112F"/>
    <w:rsid w:val="003B2930"/>
    <w:rsid w:val="003B2E8C"/>
    <w:rsid w:val="003B31A7"/>
    <w:rsid w:val="003B4587"/>
    <w:rsid w:val="003B4B51"/>
    <w:rsid w:val="003B4FE1"/>
    <w:rsid w:val="003B514E"/>
    <w:rsid w:val="003B5173"/>
    <w:rsid w:val="003B5531"/>
    <w:rsid w:val="003B636A"/>
    <w:rsid w:val="003B69CE"/>
    <w:rsid w:val="003B7403"/>
    <w:rsid w:val="003C011C"/>
    <w:rsid w:val="003C0E32"/>
    <w:rsid w:val="003C11D7"/>
    <w:rsid w:val="003C16CB"/>
    <w:rsid w:val="003C1B47"/>
    <w:rsid w:val="003C1B97"/>
    <w:rsid w:val="003C247B"/>
    <w:rsid w:val="003C3292"/>
    <w:rsid w:val="003C3C1E"/>
    <w:rsid w:val="003C3D79"/>
    <w:rsid w:val="003C3D88"/>
    <w:rsid w:val="003C4134"/>
    <w:rsid w:val="003C435B"/>
    <w:rsid w:val="003C4EBE"/>
    <w:rsid w:val="003C62EC"/>
    <w:rsid w:val="003C6512"/>
    <w:rsid w:val="003C685A"/>
    <w:rsid w:val="003C6CA3"/>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9EF"/>
    <w:rsid w:val="003E0E96"/>
    <w:rsid w:val="003E20F7"/>
    <w:rsid w:val="003E336A"/>
    <w:rsid w:val="003E3E2F"/>
    <w:rsid w:val="003E4048"/>
    <w:rsid w:val="003E4CE5"/>
    <w:rsid w:val="003E4F63"/>
    <w:rsid w:val="003E604C"/>
    <w:rsid w:val="003E60DA"/>
    <w:rsid w:val="003E6497"/>
    <w:rsid w:val="003E6E00"/>
    <w:rsid w:val="003E7111"/>
    <w:rsid w:val="003E7940"/>
    <w:rsid w:val="003F01BD"/>
    <w:rsid w:val="003F0486"/>
    <w:rsid w:val="003F048E"/>
    <w:rsid w:val="003F09FA"/>
    <w:rsid w:val="003F0AFF"/>
    <w:rsid w:val="003F1AA2"/>
    <w:rsid w:val="003F26DC"/>
    <w:rsid w:val="003F42FF"/>
    <w:rsid w:val="003F49E7"/>
    <w:rsid w:val="003F4B48"/>
    <w:rsid w:val="003F4DDC"/>
    <w:rsid w:val="003F56B8"/>
    <w:rsid w:val="003F5F1A"/>
    <w:rsid w:val="003F6327"/>
    <w:rsid w:val="003F7425"/>
    <w:rsid w:val="003F765B"/>
    <w:rsid w:val="003F7BBE"/>
    <w:rsid w:val="003F7CB8"/>
    <w:rsid w:val="00400CB4"/>
    <w:rsid w:val="00401386"/>
    <w:rsid w:val="004013E6"/>
    <w:rsid w:val="00401E31"/>
    <w:rsid w:val="00402BBA"/>
    <w:rsid w:val="004035D0"/>
    <w:rsid w:val="0040361D"/>
    <w:rsid w:val="00403706"/>
    <w:rsid w:val="00403795"/>
    <w:rsid w:val="004041FB"/>
    <w:rsid w:val="0040443E"/>
    <w:rsid w:val="004056B6"/>
    <w:rsid w:val="00405764"/>
    <w:rsid w:val="0040602D"/>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C28"/>
    <w:rsid w:val="00421D4B"/>
    <w:rsid w:val="00421ED8"/>
    <w:rsid w:val="00422475"/>
    <w:rsid w:val="00422907"/>
    <w:rsid w:val="00423125"/>
    <w:rsid w:val="00423309"/>
    <w:rsid w:val="004233AD"/>
    <w:rsid w:val="00424446"/>
    <w:rsid w:val="00424867"/>
    <w:rsid w:val="00425341"/>
    <w:rsid w:val="004255FE"/>
    <w:rsid w:val="00425674"/>
    <w:rsid w:val="00425A82"/>
    <w:rsid w:val="00425C60"/>
    <w:rsid w:val="00426431"/>
    <w:rsid w:val="00426B2C"/>
    <w:rsid w:val="00427FA8"/>
    <w:rsid w:val="0043009D"/>
    <w:rsid w:val="0043026B"/>
    <w:rsid w:val="00430299"/>
    <w:rsid w:val="004306D4"/>
    <w:rsid w:val="00431A2A"/>
    <w:rsid w:val="00431B2F"/>
    <w:rsid w:val="004320BE"/>
    <w:rsid w:val="004327A4"/>
    <w:rsid w:val="00432ECA"/>
    <w:rsid w:val="0043554E"/>
    <w:rsid w:val="004355D4"/>
    <w:rsid w:val="004357B1"/>
    <w:rsid w:val="00435821"/>
    <w:rsid w:val="0043583E"/>
    <w:rsid w:val="00435845"/>
    <w:rsid w:val="00436CCE"/>
    <w:rsid w:val="00436EAD"/>
    <w:rsid w:val="004375E1"/>
    <w:rsid w:val="00437781"/>
    <w:rsid w:val="00437A2F"/>
    <w:rsid w:val="00440262"/>
    <w:rsid w:val="004406BF"/>
    <w:rsid w:val="00440814"/>
    <w:rsid w:val="0044105D"/>
    <w:rsid w:val="00441424"/>
    <w:rsid w:val="00442731"/>
    <w:rsid w:val="00442C12"/>
    <w:rsid w:val="00442EAD"/>
    <w:rsid w:val="004434DF"/>
    <w:rsid w:val="0044354B"/>
    <w:rsid w:val="0044493E"/>
    <w:rsid w:val="00444A1F"/>
    <w:rsid w:val="00444FC6"/>
    <w:rsid w:val="00445874"/>
    <w:rsid w:val="00445C38"/>
    <w:rsid w:val="00446630"/>
    <w:rsid w:val="0044686B"/>
    <w:rsid w:val="0044729A"/>
    <w:rsid w:val="004475F7"/>
    <w:rsid w:val="00450519"/>
    <w:rsid w:val="0045057B"/>
    <w:rsid w:val="0045069B"/>
    <w:rsid w:val="00450B22"/>
    <w:rsid w:val="00451709"/>
    <w:rsid w:val="004518FA"/>
    <w:rsid w:val="00451A02"/>
    <w:rsid w:val="0045277C"/>
    <w:rsid w:val="00452A14"/>
    <w:rsid w:val="00453507"/>
    <w:rsid w:val="00453592"/>
    <w:rsid w:val="004543AB"/>
    <w:rsid w:val="004545EC"/>
    <w:rsid w:val="00455967"/>
    <w:rsid w:val="00455C7E"/>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56F"/>
    <w:rsid w:val="0046775D"/>
    <w:rsid w:val="00467823"/>
    <w:rsid w:val="004705FA"/>
    <w:rsid w:val="004708AC"/>
    <w:rsid w:val="00471387"/>
    <w:rsid w:val="0047146C"/>
    <w:rsid w:val="0047149F"/>
    <w:rsid w:val="00471963"/>
    <w:rsid w:val="004724B8"/>
    <w:rsid w:val="004728FB"/>
    <w:rsid w:val="004729AD"/>
    <w:rsid w:val="00472CA7"/>
    <w:rsid w:val="00472CEC"/>
    <w:rsid w:val="00473039"/>
    <w:rsid w:val="00473308"/>
    <w:rsid w:val="0047377C"/>
    <w:rsid w:val="00473952"/>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AAC"/>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517E"/>
    <w:rsid w:val="004A6110"/>
    <w:rsid w:val="004A61B8"/>
    <w:rsid w:val="004A6415"/>
    <w:rsid w:val="004A64F9"/>
    <w:rsid w:val="004A65F4"/>
    <w:rsid w:val="004A6D2C"/>
    <w:rsid w:val="004B026C"/>
    <w:rsid w:val="004B0271"/>
    <w:rsid w:val="004B0BE8"/>
    <w:rsid w:val="004B0E4A"/>
    <w:rsid w:val="004B120E"/>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74"/>
    <w:rsid w:val="004B728F"/>
    <w:rsid w:val="004B7317"/>
    <w:rsid w:val="004B75B2"/>
    <w:rsid w:val="004B75C6"/>
    <w:rsid w:val="004C02C5"/>
    <w:rsid w:val="004C0635"/>
    <w:rsid w:val="004C0856"/>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E89"/>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1FF"/>
    <w:rsid w:val="004F7922"/>
    <w:rsid w:val="004F7A1F"/>
    <w:rsid w:val="004F7B47"/>
    <w:rsid w:val="005001AA"/>
    <w:rsid w:val="00500486"/>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61E3"/>
    <w:rsid w:val="00517AC8"/>
    <w:rsid w:val="00517C3E"/>
    <w:rsid w:val="005207D8"/>
    <w:rsid w:val="0052091D"/>
    <w:rsid w:val="005212F4"/>
    <w:rsid w:val="00521908"/>
    <w:rsid w:val="00521B85"/>
    <w:rsid w:val="005224BC"/>
    <w:rsid w:val="00522928"/>
    <w:rsid w:val="00522FF1"/>
    <w:rsid w:val="00523946"/>
    <w:rsid w:val="0052397A"/>
    <w:rsid w:val="005245CD"/>
    <w:rsid w:val="005256D6"/>
    <w:rsid w:val="00525AD8"/>
    <w:rsid w:val="00526429"/>
    <w:rsid w:val="005266C1"/>
    <w:rsid w:val="005267F4"/>
    <w:rsid w:val="005269D3"/>
    <w:rsid w:val="00526E22"/>
    <w:rsid w:val="00527317"/>
    <w:rsid w:val="00527ED6"/>
    <w:rsid w:val="0053024F"/>
    <w:rsid w:val="00530B32"/>
    <w:rsid w:val="00531064"/>
    <w:rsid w:val="005312CB"/>
    <w:rsid w:val="005313B2"/>
    <w:rsid w:val="00531911"/>
    <w:rsid w:val="00531E92"/>
    <w:rsid w:val="00532288"/>
    <w:rsid w:val="005324D7"/>
    <w:rsid w:val="005326F0"/>
    <w:rsid w:val="00532764"/>
    <w:rsid w:val="00532AA5"/>
    <w:rsid w:val="00532BFF"/>
    <w:rsid w:val="00532C5F"/>
    <w:rsid w:val="005330D7"/>
    <w:rsid w:val="00533233"/>
    <w:rsid w:val="005335A2"/>
    <w:rsid w:val="00533D13"/>
    <w:rsid w:val="00533DEC"/>
    <w:rsid w:val="00534026"/>
    <w:rsid w:val="00534D55"/>
    <w:rsid w:val="005357D5"/>
    <w:rsid w:val="00535B53"/>
    <w:rsid w:val="00536B03"/>
    <w:rsid w:val="00537456"/>
    <w:rsid w:val="0053790C"/>
    <w:rsid w:val="00537B3D"/>
    <w:rsid w:val="00540347"/>
    <w:rsid w:val="00540401"/>
    <w:rsid w:val="005405B2"/>
    <w:rsid w:val="0054076A"/>
    <w:rsid w:val="00540D47"/>
    <w:rsid w:val="00540EE7"/>
    <w:rsid w:val="00541A22"/>
    <w:rsid w:val="00541EAD"/>
    <w:rsid w:val="005424C2"/>
    <w:rsid w:val="005426B2"/>
    <w:rsid w:val="00543519"/>
    <w:rsid w:val="00543640"/>
    <w:rsid w:val="005436BB"/>
    <w:rsid w:val="00543BDC"/>
    <w:rsid w:val="00543C81"/>
    <w:rsid w:val="00544019"/>
    <w:rsid w:val="005444C6"/>
    <w:rsid w:val="005446AC"/>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EDB"/>
    <w:rsid w:val="00553F91"/>
    <w:rsid w:val="00554007"/>
    <w:rsid w:val="00554C03"/>
    <w:rsid w:val="00554C58"/>
    <w:rsid w:val="00554D5D"/>
    <w:rsid w:val="005550F9"/>
    <w:rsid w:val="005553B0"/>
    <w:rsid w:val="005559D2"/>
    <w:rsid w:val="00556338"/>
    <w:rsid w:val="00556441"/>
    <w:rsid w:val="0055688D"/>
    <w:rsid w:val="00557031"/>
    <w:rsid w:val="00557F87"/>
    <w:rsid w:val="005604A5"/>
    <w:rsid w:val="00560FCB"/>
    <w:rsid w:val="00561001"/>
    <w:rsid w:val="0056111C"/>
    <w:rsid w:val="00561140"/>
    <w:rsid w:val="00561412"/>
    <w:rsid w:val="00561903"/>
    <w:rsid w:val="00561A9B"/>
    <w:rsid w:val="00561E54"/>
    <w:rsid w:val="00561F73"/>
    <w:rsid w:val="005621F7"/>
    <w:rsid w:val="0056278F"/>
    <w:rsid w:val="00562FB1"/>
    <w:rsid w:val="00563068"/>
    <w:rsid w:val="00563259"/>
    <w:rsid w:val="0056376A"/>
    <w:rsid w:val="00563B3C"/>
    <w:rsid w:val="0056419C"/>
    <w:rsid w:val="00564DA7"/>
    <w:rsid w:val="00565204"/>
    <w:rsid w:val="00565473"/>
    <w:rsid w:val="00565DAC"/>
    <w:rsid w:val="00565F0D"/>
    <w:rsid w:val="005662DC"/>
    <w:rsid w:val="00566329"/>
    <w:rsid w:val="005668B9"/>
    <w:rsid w:val="00566E39"/>
    <w:rsid w:val="0056704E"/>
    <w:rsid w:val="0056731E"/>
    <w:rsid w:val="00567623"/>
    <w:rsid w:val="005701C2"/>
    <w:rsid w:val="00570763"/>
    <w:rsid w:val="0057200B"/>
    <w:rsid w:val="00572297"/>
    <w:rsid w:val="0057345D"/>
    <w:rsid w:val="0057347D"/>
    <w:rsid w:val="00573560"/>
    <w:rsid w:val="00574E7B"/>
    <w:rsid w:val="00574F36"/>
    <w:rsid w:val="00576B5C"/>
    <w:rsid w:val="005770CC"/>
    <w:rsid w:val="005802F9"/>
    <w:rsid w:val="005804C8"/>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0F40"/>
    <w:rsid w:val="005A14F0"/>
    <w:rsid w:val="005A1861"/>
    <w:rsid w:val="005A1A31"/>
    <w:rsid w:val="005A361D"/>
    <w:rsid w:val="005A36C2"/>
    <w:rsid w:val="005A3719"/>
    <w:rsid w:val="005A3BE7"/>
    <w:rsid w:val="005A3DD7"/>
    <w:rsid w:val="005A40BB"/>
    <w:rsid w:val="005A40FA"/>
    <w:rsid w:val="005A4C20"/>
    <w:rsid w:val="005A4F48"/>
    <w:rsid w:val="005A54F1"/>
    <w:rsid w:val="005A57B8"/>
    <w:rsid w:val="005A5DDE"/>
    <w:rsid w:val="005A6368"/>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508"/>
    <w:rsid w:val="005C194E"/>
    <w:rsid w:val="005C1C83"/>
    <w:rsid w:val="005C1DB1"/>
    <w:rsid w:val="005C2246"/>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653"/>
    <w:rsid w:val="005D6D84"/>
    <w:rsid w:val="005D70A1"/>
    <w:rsid w:val="005D760C"/>
    <w:rsid w:val="005D79F2"/>
    <w:rsid w:val="005D7CB1"/>
    <w:rsid w:val="005D7F57"/>
    <w:rsid w:val="005E0067"/>
    <w:rsid w:val="005E0141"/>
    <w:rsid w:val="005E09CA"/>
    <w:rsid w:val="005E18A5"/>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193C"/>
    <w:rsid w:val="005F1E7B"/>
    <w:rsid w:val="005F2807"/>
    <w:rsid w:val="005F2CD5"/>
    <w:rsid w:val="005F3382"/>
    <w:rsid w:val="005F3720"/>
    <w:rsid w:val="005F5506"/>
    <w:rsid w:val="005F5A0D"/>
    <w:rsid w:val="005F5A4E"/>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7F4"/>
    <w:rsid w:val="00614906"/>
    <w:rsid w:val="0061517F"/>
    <w:rsid w:val="00615276"/>
    <w:rsid w:val="006155F1"/>
    <w:rsid w:val="00615846"/>
    <w:rsid w:val="00615888"/>
    <w:rsid w:val="006160F0"/>
    <w:rsid w:val="0061618F"/>
    <w:rsid w:val="0061624B"/>
    <w:rsid w:val="006166AD"/>
    <w:rsid w:val="00616C1E"/>
    <w:rsid w:val="00617959"/>
    <w:rsid w:val="00617EFC"/>
    <w:rsid w:val="00620055"/>
    <w:rsid w:val="00620336"/>
    <w:rsid w:val="006204B3"/>
    <w:rsid w:val="006204C2"/>
    <w:rsid w:val="006212D3"/>
    <w:rsid w:val="00621639"/>
    <w:rsid w:val="00622B22"/>
    <w:rsid w:val="00622F67"/>
    <w:rsid w:val="00623571"/>
    <w:rsid w:val="00623A5E"/>
    <w:rsid w:val="00623FF9"/>
    <w:rsid w:val="00625008"/>
    <w:rsid w:val="0062548B"/>
    <w:rsid w:val="00625A15"/>
    <w:rsid w:val="006262CE"/>
    <w:rsid w:val="00626710"/>
    <w:rsid w:val="00626930"/>
    <w:rsid w:val="00626AD3"/>
    <w:rsid w:val="00626BAC"/>
    <w:rsid w:val="006271C3"/>
    <w:rsid w:val="0062731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54"/>
    <w:rsid w:val="00635B73"/>
    <w:rsid w:val="00635BB7"/>
    <w:rsid w:val="00636CC7"/>
    <w:rsid w:val="00637F27"/>
    <w:rsid w:val="006405EC"/>
    <w:rsid w:val="00640A4D"/>
    <w:rsid w:val="006418F2"/>
    <w:rsid w:val="00641A84"/>
    <w:rsid w:val="00641B05"/>
    <w:rsid w:val="00641DA1"/>
    <w:rsid w:val="00641E5B"/>
    <w:rsid w:val="00642754"/>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1B7C"/>
    <w:rsid w:val="00652CF5"/>
    <w:rsid w:val="0065343E"/>
    <w:rsid w:val="006536BB"/>
    <w:rsid w:val="0065398F"/>
    <w:rsid w:val="00653C7C"/>
    <w:rsid w:val="00654252"/>
    <w:rsid w:val="006543B7"/>
    <w:rsid w:val="00654EA5"/>
    <w:rsid w:val="0065587E"/>
    <w:rsid w:val="006558CD"/>
    <w:rsid w:val="00655C26"/>
    <w:rsid w:val="00655C83"/>
    <w:rsid w:val="0065637A"/>
    <w:rsid w:val="00656998"/>
    <w:rsid w:val="00656E4D"/>
    <w:rsid w:val="006576BA"/>
    <w:rsid w:val="006600BF"/>
    <w:rsid w:val="00660AF7"/>
    <w:rsid w:val="00660D3E"/>
    <w:rsid w:val="00661691"/>
    <w:rsid w:val="00662D3D"/>
    <w:rsid w:val="00662F1F"/>
    <w:rsid w:val="00663CBC"/>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109"/>
    <w:rsid w:val="006753AC"/>
    <w:rsid w:val="00675430"/>
    <w:rsid w:val="006755F0"/>
    <w:rsid w:val="00675749"/>
    <w:rsid w:val="006759FE"/>
    <w:rsid w:val="00675CB1"/>
    <w:rsid w:val="00677382"/>
    <w:rsid w:val="0067772D"/>
    <w:rsid w:val="00677991"/>
    <w:rsid w:val="00677AD2"/>
    <w:rsid w:val="00680326"/>
    <w:rsid w:val="00680714"/>
    <w:rsid w:val="0068071D"/>
    <w:rsid w:val="00680C6B"/>
    <w:rsid w:val="006811F3"/>
    <w:rsid w:val="00681240"/>
    <w:rsid w:val="00683068"/>
    <w:rsid w:val="00683DAD"/>
    <w:rsid w:val="00684406"/>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9DA"/>
    <w:rsid w:val="00692AFF"/>
    <w:rsid w:val="00692D2D"/>
    <w:rsid w:val="0069328C"/>
    <w:rsid w:val="00693B73"/>
    <w:rsid w:val="006945A1"/>
    <w:rsid w:val="00694A53"/>
    <w:rsid w:val="006952DE"/>
    <w:rsid w:val="00695985"/>
    <w:rsid w:val="00695C78"/>
    <w:rsid w:val="00695E6C"/>
    <w:rsid w:val="00695EAC"/>
    <w:rsid w:val="00696C79"/>
    <w:rsid w:val="00697068"/>
    <w:rsid w:val="006977DE"/>
    <w:rsid w:val="00697A56"/>
    <w:rsid w:val="00697D5F"/>
    <w:rsid w:val="006A035B"/>
    <w:rsid w:val="006A0582"/>
    <w:rsid w:val="006A060C"/>
    <w:rsid w:val="006A06F8"/>
    <w:rsid w:val="006A071C"/>
    <w:rsid w:val="006A0789"/>
    <w:rsid w:val="006A0808"/>
    <w:rsid w:val="006A0DC7"/>
    <w:rsid w:val="006A150D"/>
    <w:rsid w:val="006A1627"/>
    <w:rsid w:val="006A1B00"/>
    <w:rsid w:val="006A2766"/>
    <w:rsid w:val="006A39D0"/>
    <w:rsid w:val="006A3AB2"/>
    <w:rsid w:val="006A3E91"/>
    <w:rsid w:val="006A4321"/>
    <w:rsid w:val="006A4E20"/>
    <w:rsid w:val="006A4F11"/>
    <w:rsid w:val="006A563C"/>
    <w:rsid w:val="006A5A6F"/>
    <w:rsid w:val="006A5F7E"/>
    <w:rsid w:val="006A64E5"/>
    <w:rsid w:val="006A6786"/>
    <w:rsid w:val="006A6F2B"/>
    <w:rsid w:val="006A799A"/>
    <w:rsid w:val="006A7C29"/>
    <w:rsid w:val="006B0580"/>
    <w:rsid w:val="006B0DA2"/>
    <w:rsid w:val="006B0F70"/>
    <w:rsid w:val="006B1486"/>
    <w:rsid w:val="006B169F"/>
    <w:rsid w:val="006B1BEB"/>
    <w:rsid w:val="006B1D06"/>
    <w:rsid w:val="006B2823"/>
    <w:rsid w:val="006B29DC"/>
    <w:rsid w:val="006B2EC6"/>
    <w:rsid w:val="006B2F60"/>
    <w:rsid w:val="006B33DB"/>
    <w:rsid w:val="006B3669"/>
    <w:rsid w:val="006B36E5"/>
    <w:rsid w:val="006B3D00"/>
    <w:rsid w:val="006B4CF8"/>
    <w:rsid w:val="006B506B"/>
    <w:rsid w:val="006B54E8"/>
    <w:rsid w:val="006B5CB2"/>
    <w:rsid w:val="006B5FBC"/>
    <w:rsid w:val="006B6ED2"/>
    <w:rsid w:val="006B7F74"/>
    <w:rsid w:val="006C00E9"/>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230"/>
    <w:rsid w:val="006E4667"/>
    <w:rsid w:val="006E46B7"/>
    <w:rsid w:val="006E475A"/>
    <w:rsid w:val="006E486D"/>
    <w:rsid w:val="006E4880"/>
    <w:rsid w:val="006E48BB"/>
    <w:rsid w:val="006E4AA3"/>
    <w:rsid w:val="006E727B"/>
    <w:rsid w:val="006E76C8"/>
    <w:rsid w:val="006E7A92"/>
    <w:rsid w:val="006F01FF"/>
    <w:rsid w:val="006F0CB2"/>
    <w:rsid w:val="006F1DE9"/>
    <w:rsid w:val="006F2046"/>
    <w:rsid w:val="006F2F59"/>
    <w:rsid w:val="006F311E"/>
    <w:rsid w:val="006F3442"/>
    <w:rsid w:val="006F36A5"/>
    <w:rsid w:val="006F412F"/>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6BA"/>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3EE2"/>
    <w:rsid w:val="00723F63"/>
    <w:rsid w:val="0072454E"/>
    <w:rsid w:val="007249D1"/>
    <w:rsid w:val="00724FE4"/>
    <w:rsid w:val="00725829"/>
    <w:rsid w:val="007258AE"/>
    <w:rsid w:val="00725D6A"/>
    <w:rsid w:val="007263A2"/>
    <w:rsid w:val="007266B9"/>
    <w:rsid w:val="00727351"/>
    <w:rsid w:val="00727AC5"/>
    <w:rsid w:val="00727C65"/>
    <w:rsid w:val="007300F0"/>
    <w:rsid w:val="00730904"/>
    <w:rsid w:val="00731EDE"/>
    <w:rsid w:val="0073245C"/>
    <w:rsid w:val="00732493"/>
    <w:rsid w:val="00732D1A"/>
    <w:rsid w:val="00732FE9"/>
    <w:rsid w:val="00733772"/>
    <w:rsid w:val="00733A43"/>
    <w:rsid w:val="00733AE4"/>
    <w:rsid w:val="00733D5F"/>
    <w:rsid w:val="00734932"/>
    <w:rsid w:val="0073524F"/>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7C5"/>
    <w:rsid w:val="00756C5F"/>
    <w:rsid w:val="00756D69"/>
    <w:rsid w:val="00757029"/>
    <w:rsid w:val="007571FD"/>
    <w:rsid w:val="0075723D"/>
    <w:rsid w:val="007602D4"/>
    <w:rsid w:val="00760D96"/>
    <w:rsid w:val="00760F67"/>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E92"/>
    <w:rsid w:val="007660EC"/>
    <w:rsid w:val="007662C7"/>
    <w:rsid w:val="00766862"/>
    <w:rsid w:val="007675DD"/>
    <w:rsid w:val="00767966"/>
    <w:rsid w:val="007702BF"/>
    <w:rsid w:val="007705F0"/>
    <w:rsid w:val="00771CAC"/>
    <w:rsid w:val="00772036"/>
    <w:rsid w:val="00773098"/>
    <w:rsid w:val="0077334A"/>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883"/>
    <w:rsid w:val="00796BA2"/>
    <w:rsid w:val="007972D5"/>
    <w:rsid w:val="0079778D"/>
    <w:rsid w:val="00797D73"/>
    <w:rsid w:val="007A006C"/>
    <w:rsid w:val="007A023F"/>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7EE"/>
    <w:rsid w:val="007A6D91"/>
    <w:rsid w:val="007A7618"/>
    <w:rsid w:val="007A7EF1"/>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1D57"/>
    <w:rsid w:val="007D23E4"/>
    <w:rsid w:val="007D2882"/>
    <w:rsid w:val="007D296C"/>
    <w:rsid w:val="007D2C31"/>
    <w:rsid w:val="007D2E50"/>
    <w:rsid w:val="007D3A20"/>
    <w:rsid w:val="007D3D74"/>
    <w:rsid w:val="007D445F"/>
    <w:rsid w:val="007D4DED"/>
    <w:rsid w:val="007D5BA2"/>
    <w:rsid w:val="007D5ED3"/>
    <w:rsid w:val="007D682F"/>
    <w:rsid w:val="007D6FB9"/>
    <w:rsid w:val="007D7211"/>
    <w:rsid w:val="007E0595"/>
    <w:rsid w:val="007E0A63"/>
    <w:rsid w:val="007E0C63"/>
    <w:rsid w:val="007E0E05"/>
    <w:rsid w:val="007E0F5D"/>
    <w:rsid w:val="007E12BD"/>
    <w:rsid w:val="007E23A1"/>
    <w:rsid w:val="007E259F"/>
    <w:rsid w:val="007E347E"/>
    <w:rsid w:val="007E41A4"/>
    <w:rsid w:val="007E43E3"/>
    <w:rsid w:val="007E49D5"/>
    <w:rsid w:val="007E4D56"/>
    <w:rsid w:val="007E54B8"/>
    <w:rsid w:val="007E5D12"/>
    <w:rsid w:val="007E6420"/>
    <w:rsid w:val="007E6675"/>
    <w:rsid w:val="007E677F"/>
    <w:rsid w:val="007E6886"/>
    <w:rsid w:val="007E6B25"/>
    <w:rsid w:val="007E6E06"/>
    <w:rsid w:val="007E6F4A"/>
    <w:rsid w:val="007E79CC"/>
    <w:rsid w:val="007F09D1"/>
    <w:rsid w:val="007F1124"/>
    <w:rsid w:val="007F141C"/>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574B"/>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5E6E"/>
    <w:rsid w:val="00826584"/>
    <w:rsid w:val="00826855"/>
    <w:rsid w:val="00826F5F"/>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15F"/>
    <w:rsid w:val="0084181B"/>
    <w:rsid w:val="00841F29"/>
    <w:rsid w:val="00842328"/>
    <w:rsid w:val="008425CC"/>
    <w:rsid w:val="00842DC2"/>
    <w:rsid w:val="0084357B"/>
    <w:rsid w:val="008465B4"/>
    <w:rsid w:val="00846D25"/>
    <w:rsid w:val="00850013"/>
    <w:rsid w:val="008500DD"/>
    <w:rsid w:val="00850A0A"/>
    <w:rsid w:val="00850A94"/>
    <w:rsid w:val="00851E96"/>
    <w:rsid w:val="00851F1C"/>
    <w:rsid w:val="00852FA5"/>
    <w:rsid w:val="00853F7D"/>
    <w:rsid w:val="00854C9A"/>
    <w:rsid w:val="0085517F"/>
    <w:rsid w:val="0085562D"/>
    <w:rsid w:val="00855A78"/>
    <w:rsid w:val="00856154"/>
    <w:rsid w:val="00856286"/>
    <w:rsid w:val="0085657E"/>
    <w:rsid w:val="00856F0E"/>
    <w:rsid w:val="008573AF"/>
    <w:rsid w:val="008576B0"/>
    <w:rsid w:val="00857D27"/>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52B"/>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295"/>
    <w:rsid w:val="00875542"/>
    <w:rsid w:val="00875E14"/>
    <w:rsid w:val="0087677E"/>
    <w:rsid w:val="0087712C"/>
    <w:rsid w:val="008776E7"/>
    <w:rsid w:val="00877746"/>
    <w:rsid w:val="00877C5D"/>
    <w:rsid w:val="00880051"/>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69B2"/>
    <w:rsid w:val="008872B3"/>
    <w:rsid w:val="00887392"/>
    <w:rsid w:val="00890A64"/>
    <w:rsid w:val="00890C40"/>
    <w:rsid w:val="0089122E"/>
    <w:rsid w:val="008912A7"/>
    <w:rsid w:val="0089183A"/>
    <w:rsid w:val="008920B4"/>
    <w:rsid w:val="008925EB"/>
    <w:rsid w:val="0089275E"/>
    <w:rsid w:val="00892B43"/>
    <w:rsid w:val="00893432"/>
    <w:rsid w:val="008937DC"/>
    <w:rsid w:val="00893936"/>
    <w:rsid w:val="00893CE2"/>
    <w:rsid w:val="00893F41"/>
    <w:rsid w:val="00895144"/>
    <w:rsid w:val="00895963"/>
    <w:rsid w:val="00896C41"/>
    <w:rsid w:val="008972B6"/>
    <w:rsid w:val="00897339"/>
    <w:rsid w:val="00897697"/>
    <w:rsid w:val="008977E1"/>
    <w:rsid w:val="00897BFA"/>
    <w:rsid w:val="00897D19"/>
    <w:rsid w:val="008A0044"/>
    <w:rsid w:val="008A0AC5"/>
    <w:rsid w:val="008A0BFE"/>
    <w:rsid w:val="008A1932"/>
    <w:rsid w:val="008A21D9"/>
    <w:rsid w:val="008A232D"/>
    <w:rsid w:val="008A3182"/>
    <w:rsid w:val="008A3C76"/>
    <w:rsid w:val="008A3D54"/>
    <w:rsid w:val="008A3E10"/>
    <w:rsid w:val="008A411C"/>
    <w:rsid w:val="008A4630"/>
    <w:rsid w:val="008A47CE"/>
    <w:rsid w:val="008A4DFA"/>
    <w:rsid w:val="008A545D"/>
    <w:rsid w:val="008A5F2F"/>
    <w:rsid w:val="008A6BAE"/>
    <w:rsid w:val="008A7350"/>
    <w:rsid w:val="008A7A72"/>
    <w:rsid w:val="008B09F3"/>
    <w:rsid w:val="008B111A"/>
    <w:rsid w:val="008B16E6"/>
    <w:rsid w:val="008B1AB2"/>
    <w:rsid w:val="008B1D9B"/>
    <w:rsid w:val="008B2042"/>
    <w:rsid w:val="008B2554"/>
    <w:rsid w:val="008B25F1"/>
    <w:rsid w:val="008B3567"/>
    <w:rsid w:val="008B36D0"/>
    <w:rsid w:val="008B38AF"/>
    <w:rsid w:val="008B3D7F"/>
    <w:rsid w:val="008B3E1B"/>
    <w:rsid w:val="008B3F4B"/>
    <w:rsid w:val="008B48EC"/>
    <w:rsid w:val="008B4AF0"/>
    <w:rsid w:val="008B518E"/>
    <w:rsid w:val="008B527B"/>
    <w:rsid w:val="008B5AB9"/>
    <w:rsid w:val="008B5C6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13"/>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5CC0"/>
    <w:rsid w:val="008E6109"/>
    <w:rsid w:val="008E6A39"/>
    <w:rsid w:val="008E76BB"/>
    <w:rsid w:val="008E7E3B"/>
    <w:rsid w:val="008F0C9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E23"/>
    <w:rsid w:val="00901F0E"/>
    <w:rsid w:val="00902A26"/>
    <w:rsid w:val="00902A57"/>
    <w:rsid w:val="00902B29"/>
    <w:rsid w:val="00903406"/>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ABA"/>
    <w:rsid w:val="00911D61"/>
    <w:rsid w:val="00912049"/>
    <w:rsid w:val="009124D6"/>
    <w:rsid w:val="00912850"/>
    <w:rsid w:val="009128B8"/>
    <w:rsid w:val="0091472C"/>
    <w:rsid w:val="00914DC9"/>
    <w:rsid w:val="00915351"/>
    <w:rsid w:val="00915679"/>
    <w:rsid w:val="009159C2"/>
    <w:rsid w:val="0091627F"/>
    <w:rsid w:val="00916E45"/>
    <w:rsid w:val="0092077A"/>
    <w:rsid w:val="00920DC0"/>
    <w:rsid w:val="009219F3"/>
    <w:rsid w:val="009221CB"/>
    <w:rsid w:val="009221E2"/>
    <w:rsid w:val="00922320"/>
    <w:rsid w:val="00923643"/>
    <w:rsid w:val="00923DE0"/>
    <w:rsid w:val="00923E1A"/>
    <w:rsid w:val="009245CC"/>
    <w:rsid w:val="0092490A"/>
    <w:rsid w:val="00925A3E"/>
    <w:rsid w:val="009261DB"/>
    <w:rsid w:val="0092625B"/>
    <w:rsid w:val="00926939"/>
    <w:rsid w:val="00926F4C"/>
    <w:rsid w:val="00927330"/>
    <w:rsid w:val="00927421"/>
    <w:rsid w:val="00927710"/>
    <w:rsid w:val="009307CA"/>
    <w:rsid w:val="009312F9"/>
    <w:rsid w:val="00931445"/>
    <w:rsid w:val="0093150C"/>
    <w:rsid w:val="00931622"/>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5DE6"/>
    <w:rsid w:val="00946128"/>
    <w:rsid w:val="0094633F"/>
    <w:rsid w:val="00947312"/>
    <w:rsid w:val="00947BA5"/>
    <w:rsid w:val="00950805"/>
    <w:rsid w:val="00950B9B"/>
    <w:rsid w:val="009517E4"/>
    <w:rsid w:val="009518D4"/>
    <w:rsid w:val="00951D63"/>
    <w:rsid w:val="009520BC"/>
    <w:rsid w:val="009521D2"/>
    <w:rsid w:val="00952377"/>
    <w:rsid w:val="00952403"/>
    <w:rsid w:val="00952589"/>
    <w:rsid w:val="00952BD8"/>
    <w:rsid w:val="00953541"/>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1EB4"/>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00AA"/>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6EC2"/>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5BE"/>
    <w:rsid w:val="00991B8C"/>
    <w:rsid w:val="00991BFB"/>
    <w:rsid w:val="00992141"/>
    <w:rsid w:val="009921DB"/>
    <w:rsid w:val="00992C67"/>
    <w:rsid w:val="00992D5B"/>
    <w:rsid w:val="00993135"/>
    <w:rsid w:val="00993AC7"/>
    <w:rsid w:val="00993BAD"/>
    <w:rsid w:val="00993E49"/>
    <w:rsid w:val="00994120"/>
    <w:rsid w:val="009942F5"/>
    <w:rsid w:val="00994568"/>
    <w:rsid w:val="00994602"/>
    <w:rsid w:val="00994E69"/>
    <w:rsid w:val="0099540B"/>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020"/>
    <w:rsid w:val="009B2731"/>
    <w:rsid w:val="009B2DCF"/>
    <w:rsid w:val="009B39D8"/>
    <w:rsid w:val="009B3D38"/>
    <w:rsid w:val="009B41B8"/>
    <w:rsid w:val="009B4368"/>
    <w:rsid w:val="009B4D4C"/>
    <w:rsid w:val="009B66F5"/>
    <w:rsid w:val="009B7505"/>
    <w:rsid w:val="009C0020"/>
    <w:rsid w:val="009C03F7"/>
    <w:rsid w:val="009C0D98"/>
    <w:rsid w:val="009C10DA"/>
    <w:rsid w:val="009C19FC"/>
    <w:rsid w:val="009C2390"/>
    <w:rsid w:val="009C27F7"/>
    <w:rsid w:val="009C3BC4"/>
    <w:rsid w:val="009C3C93"/>
    <w:rsid w:val="009C3E97"/>
    <w:rsid w:val="009C4017"/>
    <w:rsid w:val="009C424E"/>
    <w:rsid w:val="009C4708"/>
    <w:rsid w:val="009C4870"/>
    <w:rsid w:val="009C4C4E"/>
    <w:rsid w:val="009C4D37"/>
    <w:rsid w:val="009C574C"/>
    <w:rsid w:val="009C5753"/>
    <w:rsid w:val="009C59BA"/>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3FFA"/>
    <w:rsid w:val="009E439A"/>
    <w:rsid w:val="009E514A"/>
    <w:rsid w:val="009E5177"/>
    <w:rsid w:val="009E5701"/>
    <w:rsid w:val="009E5711"/>
    <w:rsid w:val="009E6D08"/>
    <w:rsid w:val="009E758E"/>
    <w:rsid w:val="009E7BFB"/>
    <w:rsid w:val="009E7D6B"/>
    <w:rsid w:val="009E7E81"/>
    <w:rsid w:val="009F020A"/>
    <w:rsid w:val="009F04C9"/>
    <w:rsid w:val="009F05AD"/>
    <w:rsid w:val="009F0659"/>
    <w:rsid w:val="009F1109"/>
    <w:rsid w:val="009F143E"/>
    <w:rsid w:val="009F1DE8"/>
    <w:rsid w:val="009F2186"/>
    <w:rsid w:val="009F2200"/>
    <w:rsid w:val="009F227C"/>
    <w:rsid w:val="009F28DC"/>
    <w:rsid w:val="009F2EDB"/>
    <w:rsid w:val="009F33DC"/>
    <w:rsid w:val="009F4550"/>
    <w:rsid w:val="009F56C0"/>
    <w:rsid w:val="009F5C76"/>
    <w:rsid w:val="00A000C5"/>
    <w:rsid w:val="00A007B4"/>
    <w:rsid w:val="00A00930"/>
    <w:rsid w:val="00A00CA0"/>
    <w:rsid w:val="00A00D50"/>
    <w:rsid w:val="00A00E00"/>
    <w:rsid w:val="00A01221"/>
    <w:rsid w:val="00A012A8"/>
    <w:rsid w:val="00A012F1"/>
    <w:rsid w:val="00A016FF"/>
    <w:rsid w:val="00A01886"/>
    <w:rsid w:val="00A0207F"/>
    <w:rsid w:val="00A021AF"/>
    <w:rsid w:val="00A027B1"/>
    <w:rsid w:val="00A0307A"/>
    <w:rsid w:val="00A03A7C"/>
    <w:rsid w:val="00A03D11"/>
    <w:rsid w:val="00A044AA"/>
    <w:rsid w:val="00A047F8"/>
    <w:rsid w:val="00A0700C"/>
    <w:rsid w:val="00A102F8"/>
    <w:rsid w:val="00A10A20"/>
    <w:rsid w:val="00A117D5"/>
    <w:rsid w:val="00A11C11"/>
    <w:rsid w:val="00A12720"/>
    <w:rsid w:val="00A12ED1"/>
    <w:rsid w:val="00A13121"/>
    <w:rsid w:val="00A131F5"/>
    <w:rsid w:val="00A133C1"/>
    <w:rsid w:val="00A13414"/>
    <w:rsid w:val="00A13675"/>
    <w:rsid w:val="00A13748"/>
    <w:rsid w:val="00A138B7"/>
    <w:rsid w:val="00A13F2D"/>
    <w:rsid w:val="00A148A0"/>
    <w:rsid w:val="00A14AA0"/>
    <w:rsid w:val="00A14AA8"/>
    <w:rsid w:val="00A14F81"/>
    <w:rsid w:val="00A1535F"/>
    <w:rsid w:val="00A15CB1"/>
    <w:rsid w:val="00A15DCC"/>
    <w:rsid w:val="00A15E7D"/>
    <w:rsid w:val="00A15E84"/>
    <w:rsid w:val="00A16021"/>
    <w:rsid w:val="00A16961"/>
    <w:rsid w:val="00A176DD"/>
    <w:rsid w:val="00A21838"/>
    <w:rsid w:val="00A21F93"/>
    <w:rsid w:val="00A22C3E"/>
    <w:rsid w:val="00A22C4D"/>
    <w:rsid w:val="00A2334E"/>
    <w:rsid w:val="00A23442"/>
    <w:rsid w:val="00A249D2"/>
    <w:rsid w:val="00A254AB"/>
    <w:rsid w:val="00A256B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9E4"/>
    <w:rsid w:val="00A35AA9"/>
    <w:rsid w:val="00A35F3C"/>
    <w:rsid w:val="00A36CF6"/>
    <w:rsid w:val="00A37222"/>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F23"/>
    <w:rsid w:val="00A526CE"/>
    <w:rsid w:val="00A53359"/>
    <w:rsid w:val="00A53863"/>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229"/>
    <w:rsid w:val="00A66E28"/>
    <w:rsid w:val="00A67429"/>
    <w:rsid w:val="00A677E7"/>
    <w:rsid w:val="00A67CE9"/>
    <w:rsid w:val="00A70590"/>
    <w:rsid w:val="00A7062E"/>
    <w:rsid w:val="00A70834"/>
    <w:rsid w:val="00A71025"/>
    <w:rsid w:val="00A71542"/>
    <w:rsid w:val="00A7171F"/>
    <w:rsid w:val="00A71FA0"/>
    <w:rsid w:val="00A71FBD"/>
    <w:rsid w:val="00A72727"/>
    <w:rsid w:val="00A727D8"/>
    <w:rsid w:val="00A72C1A"/>
    <w:rsid w:val="00A72D40"/>
    <w:rsid w:val="00A732FB"/>
    <w:rsid w:val="00A7463E"/>
    <w:rsid w:val="00A74B11"/>
    <w:rsid w:val="00A758E2"/>
    <w:rsid w:val="00A765B1"/>
    <w:rsid w:val="00A772F2"/>
    <w:rsid w:val="00A773FC"/>
    <w:rsid w:val="00A7766E"/>
    <w:rsid w:val="00A77828"/>
    <w:rsid w:val="00A77BAA"/>
    <w:rsid w:val="00A800F9"/>
    <w:rsid w:val="00A803A6"/>
    <w:rsid w:val="00A8073D"/>
    <w:rsid w:val="00A80D02"/>
    <w:rsid w:val="00A815FB"/>
    <w:rsid w:val="00A8161F"/>
    <w:rsid w:val="00A81AEB"/>
    <w:rsid w:val="00A82D32"/>
    <w:rsid w:val="00A82EAE"/>
    <w:rsid w:val="00A82FC7"/>
    <w:rsid w:val="00A847F9"/>
    <w:rsid w:val="00A84A8E"/>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084"/>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E67"/>
    <w:rsid w:val="00AA6F6C"/>
    <w:rsid w:val="00AA721D"/>
    <w:rsid w:val="00AA7519"/>
    <w:rsid w:val="00AA790A"/>
    <w:rsid w:val="00AB02EA"/>
    <w:rsid w:val="00AB09E7"/>
    <w:rsid w:val="00AB110C"/>
    <w:rsid w:val="00AB227A"/>
    <w:rsid w:val="00AB22BF"/>
    <w:rsid w:val="00AB256E"/>
    <w:rsid w:val="00AB3466"/>
    <w:rsid w:val="00AB38B2"/>
    <w:rsid w:val="00AB3BBB"/>
    <w:rsid w:val="00AB408C"/>
    <w:rsid w:val="00AB43AF"/>
    <w:rsid w:val="00AB4D1A"/>
    <w:rsid w:val="00AB4E41"/>
    <w:rsid w:val="00AB5EB1"/>
    <w:rsid w:val="00AB6003"/>
    <w:rsid w:val="00AB759A"/>
    <w:rsid w:val="00AB7B06"/>
    <w:rsid w:val="00AB7EAA"/>
    <w:rsid w:val="00AC0432"/>
    <w:rsid w:val="00AC0770"/>
    <w:rsid w:val="00AC1683"/>
    <w:rsid w:val="00AC1D82"/>
    <w:rsid w:val="00AC2D5F"/>
    <w:rsid w:val="00AC4094"/>
    <w:rsid w:val="00AC422C"/>
    <w:rsid w:val="00AC42B6"/>
    <w:rsid w:val="00AC4AB7"/>
    <w:rsid w:val="00AC51E0"/>
    <w:rsid w:val="00AC635A"/>
    <w:rsid w:val="00AC6D24"/>
    <w:rsid w:val="00AC6E18"/>
    <w:rsid w:val="00AC7F64"/>
    <w:rsid w:val="00AD1065"/>
    <w:rsid w:val="00AD159E"/>
    <w:rsid w:val="00AD2AB1"/>
    <w:rsid w:val="00AD3132"/>
    <w:rsid w:val="00AD3D47"/>
    <w:rsid w:val="00AD3DA6"/>
    <w:rsid w:val="00AD3E6A"/>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1D60"/>
    <w:rsid w:val="00AE315E"/>
    <w:rsid w:val="00AE319F"/>
    <w:rsid w:val="00AE31D9"/>
    <w:rsid w:val="00AE3CF0"/>
    <w:rsid w:val="00AE3E1F"/>
    <w:rsid w:val="00AE4546"/>
    <w:rsid w:val="00AE62C9"/>
    <w:rsid w:val="00AE6575"/>
    <w:rsid w:val="00AE71EE"/>
    <w:rsid w:val="00AF03CF"/>
    <w:rsid w:val="00AF0A0A"/>
    <w:rsid w:val="00AF14FC"/>
    <w:rsid w:val="00AF1ED2"/>
    <w:rsid w:val="00AF1F4E"/>
    <w:rsid w:val="00AF2302"/>
    <w:rsid w:val="00AF262A"/>
    <w:rsid w:val="00AF3557"/>
    <w:rsid w:val="00AF3B36"/>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5F92"/>
    <w:rsid w:val="00B260BE"/>
    <w:rsid w:val="00B26677"/>
    <w:rsid w:val="00B26A96"/>
    <w:rsid w:val="00B274E3"/>
    <w:rsid w:val="00B2765C"/>
    <w:rsid w:val="00B27BD2"/>
    <w:rsid w:val="00B27C4B"/>
    <w:rsid w:val="00B30563"/>
    <w:rsid w:val="00B3069E"/>
    <w:rsid w:val="00B30A76"/>
    <w:rsid w:val="00B31246"/>
    <w:rsid w:val="00B32295"/>
    <w:rsid w:val="00B33AB5"/>
    <w:rsid w:val="00B3412E"/>
    <w:rsid w:val="00B343E0"/>
    <w:rsid w:val="00B35B6D"/>
    <w:rsid w:val="00B35C3C"/>
    <w:rsid w:val="00B35D53"/>
    <w:rsid w:val="00B367C4"/>
    <w:rsid w:val="00B36D3E"/>
    <w:rsid w:val="00B37B8E"/>
    <w:rsid w:val="00B40222"/>
    <w:rsid w:val="00B404C3"/>
    <w:rsid w:val="00B41A04"/>
    <w:rsid w:val="00B41F2F"/>
    <w:rsid w:val="00B42743"/>
    <w:rsid w:val="00B430E9"/>
    <w:rsid w:val="00B4311F"/>
    <w:rsid w:val="00B431AE"/>
    <w:rsid w:val="00B435D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06AD"/>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2BB"/>
    <w:rsid w:val="00B61AEC"/>
    <w:rsid w:val="00B6244C"/>
    <w:rsid w:val="00B62A2F"/>
    <w:rsid w:val="00B62B7B"/>
    <w:rsid w:val="00B62F0A"/>
    <w:rsid w:val="00B633EF"/>
    <w:rsid w:val="00B63484"/>
    <w:rsid w:val="00B634B7"/>
    <w:rsid w:val="00B634F1"/>
    <w:rsid w:val="00B637EF"/>
    <w:rsid w:val="00B63EF6"/>
    <w:rsid w:val="00B6440A"/>
    <w:rsid w:val="00B648BF"/>
    <w:rsid w:val="00B65788"/>
    <w:rsid w:val="00B65844"/>
    <w:rsid w:val="00B66054"/>
    <w:rsid w:val="00B661E6"/>
    <w:rsid w:val="00B6677F"/>
    <w:rsid w:val="00B66C7A"/>
    <w:rsid w:val="00B6715E"/>
    <w:rsid w:val="00B672EA"/>
    <w:rsid w:val="00B6747B"/>
    <w:rsid w:val="00B70200"/>
    <w:rsid w:val="00B702D7"/>
    <w:rsid w:val="00B70389"/>
    <w:rsid w:val="00B708D6"/>
    <w:rsid w:val="00B70E01"/>
    <w:rsid w:val="00B72CF0"/>
    <w:rsid w:val="00B7380E"/>
    <w:rsid w:val="00B740F6"/>
    <w:rsid w:val="00B74615"/>
    <w:rsid w:val="00B74789"/>
    <w:rsid w:val="00B75107"/>
    <w:rsid w:val="00B755B6"/>
    <w:rsid w:val="00B75977"/>
    <w:rsid w:val="00B75A48"/>
    <w:rsid w:val="00B75CC0"/>
    <w:rsid w:val="00B76021"/>
    <w:rsid w:val="00B76FCD"/>
    <w:rsid w:val="00B7764D"/>
    <w:rsid w:val="00B804F8"/>
    <w:rsid w:val="00B8054E"/>
    <w:rsid w:val="00B8095A"/>
    <w:rsid w:val="00B81274"/>
    <w:rsid w:val="00B815D3"/>
    <w:rsid w:val="00B81742"/>
    <w:rsid w:val="00B817B5"/>
    <w:rsid w:val="00B823A6"/>
    <w:rsid w:val="00B82CC4"/>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2B73"/>
    <w:rsid w:val="00B936E9"/>
    <w:rsid w:val="00B93849"/>
    <w:rsid w:val="00B938BD"/>
    <w:rsid w:val="00B93CF3"/>
    <w:rsid w:val="00B9407F"/>
    <w:rsid w:val="00B944E9"/>
    <w:rsid w:val="00B945D7"/>
    <w:rsid w:val="00B94896"/>
    <w:rsid w:val="00B94CDD"/>
    <w:rsid w:val="00B94DA7"/>
    <w:rsid w:val="00B95163"/>
    <w:rsid w:val="00B954D0"/>
    <w:rsid w:val="00B96C91"/>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4ADB"/>
    <w:rsid w:val="00BA5039"/>
    <w:rsid w:val="00BA583B"/>
    <w:rsid w:val="00BA5DF2"/>
    <w:rsid w:val="00BA5EC7"/>
    <w:rsid w:val="00BA6319"/>
    <w:rsid w:val="00BA63CE"/>
    <w:rsid w:val="00BA676E"/>
    <w:rsid w:val="00BA6980"/>
    <w:rsid w:val="00BA6DC1"/>
    <w:rsid w:val="00BA6EF2"/>
    <w:rsid w:val="00BA7227"/>
    <w:rsid w:val="00BA763C"/>
    <w:rsid w:val="00BA784D"/>
    <w:rsid w:val="00BA7CD7"/>
    <w:rsid w:val="00BB00E5"/>
    <w:rsid w:val="00BB15DB"/>
    <w:rsid w:val="00BB1688"/>
    <w:rsid w:val="00BB1EFB"/>
    <w:rsid w:val="00BB2454"/>
    <w:rsid w:val="00BB269F"/>
    <w:rsid w:val="00BB27CC"/>
    <w:rsid w:val="00BB2ACE"/>
    <w:rsid w:val="00BB2E4E"/>
    <w:rsid w:val="00BB2E62"/>
    <w:rsid w:val="00BB36C9"/>
    <w:rsid w:val="00BB3A66"/>
    <w:rsid w:val="00BB40D1"/>
    <w:rsid w:val="00BB777D"/>
    <w:rsid w:val="00BB7B27"/>
    <w:rsid w:val="00BB7EC0"/>
    <w:rsid w:val="00BB7F88"/>
    <w:rsid w:val="00BC0207"/>
    <w:rsid w:val="00BC089F"/>
    <w:rsid w:val="00BC0A0C"/>
    <w:rsid w:val="00BC0A5A"/>
    <w:rsid w:val="00BC0E64"/>
    <w:rsid w:val="00BC18D4"/>
    <w:rsid w:val="00BC25D1"/>
    <w:rsid w:val="00BC2DBD"/>
    <w:rsid w:val="00BC3BCB"/>
    <w:rsid w:val="00BC3CF1"/>
    <w:rsid w:val="00BC428A"/>
    <w:rsid w:val="00BC4C40"/>
    <w:rsid w:val="00BC5A29"/>
    <w:rsid w:val="00BC5AE3"/>
    <w:rsid w:val="00BC5BAD"/>
    <w:rsid w:val="00BC692A"/>
    <w:rsid w:val="00BC76C5"/>
    <w:rsid w:val="00BC7A05"/>
    <w:rsid w:val="00BC7A82"/>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75B"/>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63F4"/>
    <w:rsid w:val="00BE7928"/>
    <w:rsid w:val="00BE7F4D"/>
    <w:rsid w:val="00BF03C0"/>
    <w:rsid w:val="00BF0EBF"/>
    <w:rsid w:val="00BF1534"/>
    <w:rsid w:val="00BF2021"/>
    <w:rsid w:val="00BF21D4"/>
    <w:rsid w:val="00BF2DDC"/>
    <w:rsid w:val="00BF320A"/>
    <w:rsid w:val="00BF32DE"/>
    <w:rsid w:val="00BF4A15"/>
    <w:rsid w:val="00BF4D76"/>
    <w:rsid w:val="00BF4E0E"/>
    <w:rsid w:val="00BF4E27"/>
    <w:rsid w:val="00BF4F7C"/>
    <w:rsid w:val="00BF537B"/>
    <w:rsid w:val="00BF5901"/>
    <w:rsid w:val="00BF626A"/>
    <w:rsid w:val="00BF6495"/>
    <w:rsid w:val="00BF688E"/>
    <w:rsid w:val="00BF6D77"/>
    <w:rsid w:val="00BF739A"/>
    <w:rsid w:val="00BF7EF5"/>
    <w:rsid w:val="00C00BF6"/>
    <w:rsid w:val="00C0234A"/>
    <w:rsid w:val="00C0247B"/>
    <w:rsid w:val="00C0378E"/>
    <w:rsid w:val="00C04061"/>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1A"/>
    <w:rsid w:val="00C12ECB"/>
    <w:rsid w:val="00C148B2"/>
    <w:rsid w:val="00C14A51"/>
    <w:rsid w:val="00C14ABD"/>
    <w:rsid w:val="00C151E0"/>
    <w:rsid w:val="00C155A8"/>
    <w:rsid w:val="00C159FD"/>
    <w:rsid w:val="00C15B31"/>
    <w:rsid w:val="00C15F1A"/>
    <w:rsid w:val="00C15F66"/>
    <w:rsid w:val="00C1604F"/>
    <w:rsid w:val="00C166D4"/>
    <w:rsid w:val="00C168E5"/>
    <w:rsid w:val="00C1696D"/>
    <w:rsid w:val="00C16C90"/>
    <w:rsid w:val="00C17AB5"/>
    <w:rsid w:val="00C17B09"/>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7D2"/>
    <w:rsid w:val="00C30B0B"/>
    <w:rsid w:val="00C31320"/>
    <w:rsid w:val="00C316B4"/>
    <w:rsid w:val="00C332D4"/>
    <w:rsid w:val="00C33A66"/>
    <w:rsid w:val="00C33E51"/>
    <w:rsid w:val="00C343F5"/>
    <w:rsid w:val="00C34C45"/>
    <w:rsid w:val="00C34C47"/>
    <w:rsid w:val="00C34FCE"/>
    <w:rsid w:val="00C35411"/>
    <w:rsid w:val="00C35EED"/>
    <w:rsid w:val="00C36B2C"/>
    <w:rsid w:val="00C3701A"/>
    <w:rsid w:val="00C379EF"/>
    <w:rsid w:val="00C405C8"/>
    <w:rsid w:val="00C40BF0"/>
    <w:rsid w:val="00C40C2F"/>
    <w:rsid w:val="00C415AC"/>
    <w:rsid w:val="00C4297A"/>
    <w:rsid w:val="00C42A4D"/>
    <w:rsid w:val="00C4360C"/>
    <w:rsid w:val="00C439B8"/>
    <w:rsid w:val="00C43A0B"/>
    <w:rsid w:val="00C43EDA"/>
    <w:rsid w:val="00C43FEC"/>
    <w:rsid w:val="00C4414C"/>
    <w:rsid w:val="00C44424"/>
    <w:rsid w:val="00C45512"/>
    <w:rsid w:val="00C4602B"/>
    <w:rsid w:val="00C46564"/>
    <w:rsid w:val="00C46BFA"/>
    <w:rsid w:val="00C46DDF"/>
    <w:rsid w:val="00C500A1"/>
    <w:rsid w:val="00C50A02"/>
    <w:rsid w:val="00C51149"/>
    <w:rsid w:val="00C5117E"/>
    <w:rsid w:val="00C512D1"/>
    <w:rsid w:val="00C51856"/>
    <w:rsid w:val="00C51B04"/>
    <w:rsid w:val="00C51DB5"/>
    <w:rsid w:val="00C53052"/>
    <w:rsid w:val="00C53CE9"/>
    <w:rsid w:val="00C5531B"/>
    <w:rsid w:val="00C55375"/>
    <w:rsid w:val="00C5570F"/>
    <w:rsid w:val="00C56C98"/>
    <w:rsid w:val="00C56DE1"/>
    <w:rsid w:val="00C56DEE"/>
    <w:rsid w:val="00C57120"/>
    <w:rsid w:val="00C571D5"/>
    <w:rsid w:val="00C575D4"/>
    <w:rsid w:val="00C57CDF"/>
    <w:rsid w:val="00C61223"/>
    <w:rsid w:val="00C61246"/>
    <w:rsid w:val="00C618A8"/>
    <w:rsid w:val="00C61A78"/>
    <w:rsid w:val="00C629F3"/>
    <w:rsid w:val="00C62B88"/>
    <w:rsid w:val="00C62CD3"/>
    <w:rsid w:val="00C634F9"/>
    <w:rsid w:val="00C63CDE"/>
    <w:rsid w:val="00C643ED"/>
    <w:rsid w:val="00C64534"/>
    <w:rsid w:val="00C646D8"/>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38"/>
    <w:rsid w:val="00C84085"/>
    <w:rsid w:val="00C84CDA"/>
    <w:rsid w:val="00C84E09"/>
    <w:rsid w:val="00C852DC"/>
    <w:rsid w:val="00C854A8"/>
    <w:rsid w:val="00C85677"/>
    <w:rsid w:val="00C85E17"/>
    <w:rsid w:val="00C866EB"/>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7A0"/>
    <w:rsid w:val="00CA0A04"/>
    <w:rsid w:val="00CA2528"/>
    <w:rsid w:val="00CA3CAB"/>
    <w:rsid w:val="00CA3FC0"/>
    <w:rsid w:val="00CA5685"/>
    <w:rsid w:val="00CA6A2E"/>
    <w:rsid w:val="00CA6B56"/>
    <w:rsid w:val="00CA7D3E"/>
    <w:rsid w:val="00CB0317"/>
    <w:rsid w:val="00CB0662"/>
    <w:rsid w:val="00CB067F"/>
    <w:rsid w:val="00CB0A82"/>
    <w:rsid w:val="00CB0D04"/>
    <w:rsid w:val="00CB0F2F"/>
    <w:rsid w:val="00CB1556"/>
    <w:rsid w:val="00CB195F"/>
    <w:rsid w:val="00CB2913"/>
    <w:rsid w:val="00CB3970"/>
    <w:rsid w:val="00CB42B9"/>
    <w:rsid w:val="00CB4550"/>
    <w:rsid w:val="00CB4F39"/>
    <w:rsid w:val="00CB52A4"/>
    <w:rsid w:val="00CB537C"/>
    <w:rsid w:val="00CB5A26"/>
    <w:rsid w:val="00CB5D2D"/>
    <w:rsid w:val="00CB645B"/>
    <w:rsid w:val="00CB6A93"/>
    <w:rsid w:val="00CB6C79"/>
    <w:rsid w:val="00CB707F"/>
    <w:rsid w:val="00CB77C3"/>
    <w:rsid w:val="00CB7E9C"/>
    <w:rsid w:val="00CC0072"/>
    <w:rsid w:val="00CC027A"/>
    <w:rsid w:val="00CC0915"/>
    <w:rsid w:val="00CC1398"/>
    <w:rsid w:val="00CC1AF5"/>
    <w:rsid w:val="00CC1B74"/>
    <w:rsid w:val="00CC291E"/>
    <w:rsid w:val="00CC2D03"/>
    <w:rsid w:val="00CC2EB0"/>
    <w:rsid w:val="00CC3838"/>
    <w:rsid w:val="00CC4701"/>
    <w:rsid w:val="00CC56B4"/>
    <w:rsid w:val="00CC5F95"/>
    <w:rsid w:val="00CC642A"/>
    <w:rsid w:val="00CC6AC7"/>
    <w:rsid w:val="00CC733D"/>
    <w:rsid w:val="00CC7617"/>
    <w:rsid w:val="00CC7DCE"/>
    <w:rsid w:val="00CC7E0D"/>
    <w:rsid w:val="00CC7E97"/>
    <w:rsid w:val="00CD00EB"/>
    <w:rsid w:val="00CD1255"/>
    <w:rsid w:val="00CD1484"/>
    <w:rsid w:val="00CD1892"/>
    <w:rsid w:val="00CD1C01"/>
    <w:rsid w:val="00CD1D00"/>
    <w:rsid w:val="00CD2009"/>
    <w:rsid w:val="00CD24BE"/>
    <w:rsid w:val="00CD27AC"/>
    <w:rsid w:val="00CD2A82"/>
    <w:rsid w:val="00CD36CC"/>
    <w:rsid w:val="00CD3CAB"/>
    <w:rsid w:val="00CD3E5F"/>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1BAD"/>
    <w:rsid w:val="00CE2E2E"/>
    <w:rsid w:val="00CE3A51"/>
    <w:rsid w:val="00CE41F9"/>
    <w:rsid w:val="00CE59F6"/>
    <w:rsid w:val="00CE66CD"/>
    <w:rsid w:val="00CE6BA9"/>
    <w:rsid w:val="00CE71C3"/>
    <w:rsid w:val="00CE727A"/>
    <w:rsid w:val="00CF029C"/>
    <w:rsid w:val="00CF085F"/>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EB"/>
    <w:rsid w:val="00CF7DF5"/>
    <w:rsid w:val="00D001D2"/>
    <w:rsid w:val="00D02A80"/>
    <w:rsid w:val="00D0352D"/>
    <w:rsid w:val="00D04F01"/>
    <w:rsid w:val="00D04F8B"/>
    <w:rsid w:val="00D054EF"/>
    <w:rsid w:val="00D05637"/>
    <w:rsid w:val="00D05BA9"/>
    <w:rsid w:val="00D05EB1"/>
    <w:rsid w:val="00D0650B"/>
    <w:rsid w:val="00D0654C"/>
    <w:rsid w:val="00D068AA"/>
    <w:rsid w:val="00D06E71"/>
    <w:rsid w:val="00D06E9C"/>
    <w:rsid w:val="00D0714B"/>
    <w:rsid w:val="00D0764E"/>
    <w:rsid w:val="00D07D82"/>
    <w:rsid w:val="00D10327"/>
    <w:rsid w:val="00D103C9"/>
    <w:rsid w:val="00D10B5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D77"/>
    <w:rsid w:val="00D20FD1"/>
    <w:rsid w:val="00D214D4"/>
    <w:rsid w:val="00D21AAA"/>
    <w:rsid w:val="00D21E6F"/>
    <w:rsid w:val="00D2218A"/>
    <w:rsid w:val="00D22B13"/>
    <w:rsid w:val="00D2371E"/>
    <w:rsid w:val="00D237E0"/>
    <w:rsid w:val="00D23A17"/>
    <w:rsid w:val="00D2411C"/>
    <w:rsid w:val="00D25676"/>
    <w:rsid w:val="00D2579F"/>
    <w:rsid w:val="00D2580E"/>
    <w:rsid w:val="00D265A7"/>
    <w:rsid w:val="00D2690C"/>
    <w:rsid w:val="00D27129"/>
    <w:rsid w:val="00D279E7"/>
    <w:rsid w:val="00D27F75"/>
    <w:rsid w:val="00D27FCD"/>
    <w:rsid w:val="00D3046D"/>
    <w:rsid w:val="00D30497"/>
    <w:rsid w:val="00D30C4D"/>
    <w:rsid w:val="00D30F5F"/>
    <w:rsid w:val="00D31243"/>
    <w:rsid w:val="00D316D9"/>
    <w:rsid w:val="00D31B07"/>
    <w:rsid w:val="00D31B9D"/>
    <w:rsid w:val="00D3272E"/>
    <w:rsid w:val="00D32FA0"/>
    <w:rsid w:val="00D33112"/>
    <w:rsid w:val="00D331CB"/>
    <w:rsid w:val="00D33F8A"/>
    <w:rsid w:val="00D3497A"/>
    <w:rsid w:val="00D35F2F"/>
    <w:rsid w:val="00D35FC6"/>
    <w:rsid w:val="00D36BB8"/>
    <w:rsid w:val="00D377D4"/>
    <w:rsid w:val="00D401A1"/>
    <w:rsid w:val="00D40217"/>
    <w:rsid w:val="00D40385"/>
    <w:rsid w:val="00D404CE"/>
    <w:rsid w:val="00D40E8F"/>
    <w:rsid w:val="00D412BF"/>
    <w:rsid w:val="00D417C6"/>
    <w:rsid w:val="00D417D0"/>
    <w:rsid w:val="00D42168"/>
    <w:rsid w:val="00D42B0C"/>
    <w:rsid w:val="00D42D6E"/>
    <w:rsid w:val="00D43DEF"/>
    <w:rsid w:val="00D44259"/>
    <w:rsid w:val="00D4498E"/>
    <w:rsid w:val="00D45C61"/>
    <w:rsid w:val="00D45DDC"/>
    <w:rsid w:val="00D5064C"/>
    <w:rsid w:val="00D50C94"/>
    <w:rsid w:val="00D511E7"/>
    <w:rsid w:val="00D517ED"/>
    <w:rsid w:val="00D5251C"/>
    <w:rsid w:val="00D52F56"/>
    <w:rsid w:val="00D539DA"/>
    <w:rsid w:val="00D54A50"/>
    <w:rsid w:val="00D54EF9"/>
    <w:rsid w:val="00D54FFD"/>
    <w:rsid w:val="00D5552C"/>
    <w:rsid w:val="00D5556D"/>
    <w:rsid w:val="00D5572A"/>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330A"/>
    <w:rsid w:val="00D64F1C"/>
    <w:rsid w:val="00D651E8"/>
    <w:rsid w:val="00D6570C"/>
    <w:rsid w:val="00D659EA"/>
    <w:rsid w:val="00D65A89"/>
    <w:rsid w:val="00D65E85"/>
    <w:rsid w:val="00D6611C"/>
    <w:rsid w:val="00D671C7"/>
    <w:rsid w:val="00D675B0"/>
    <w:rsid w:val="00D675DE"/>
    <w:rsid w:val="00D678BB"/>
    <w:rsid w:val="00D67D81"/>
    <w:rsid w:val="00D70170"/>
    <w:rsid w:val="00D702E8"/>
    <w:rsid w:val="00D70552"/>
    <w:rsid w:val="00D7092D"/>
    <w:rsid w:val="00D70D42"/>
    <w:rsid w:val="00D71285"/>
    <w:rsid w:val="00D71A80"/>
    <w:rsid w:val="00D71ABC"/>
    <w:rsid w:val="00D721C5"/>
    <w:rsid w:val="00D72454"/>
    <w:rsid w:val="00D729A7"/>
    <w:rsid w:val="00D72A5B"/>
    <w:rsid w:val="00D73991"/>
    <w:rsid w:val="00D73CD4"/>
    <w:rsid w:val="00D73F06"/>
    <w:rsid w:val="00D740B2"/>
    <w:rsid w:val="00D74247"/>
    <w:rsid w:val="00D743F1"/>
    <w:rsid w:val="00D744CF"/>
    <w:rsid w:val="00D7456E"/>
    <w:rsid w:val="00D750CA"/>
    <w:rsid w:val="00D753A9"/>
    <w:rsid w:val="00D755F7"/>
    <w:rsid w:val="00D75952"/>
    <w:rsid w:val="00D75DDB"/>
    <w:rsid w:val="00D75E4B"/>
    <w:rsid w:val="00D76A3A"/>
    <w:rsid w:val="00D774F4"/>
    <w:rsid w:val="00D77687"/>
    <w:rsid w:val="00D77AF6"/>
    <w:rsid w:val="00D804C5"/>
    <w:rsid w:val="00D815E6"/>
    <w:rsid w:val="00D81A28"/>
    <w:rsid w:val="00D81BDE"/>
    <w:rsid w:val="00D81C08"/>
    <w:rsid w:val="00D8201D"/>
    <w:rsid w:val="00D82B00"/>
    <w:rsid w:val="00D82B04"/>
    <w:rsid w:val="00D82BE4"/>
    <w:rsid w:val="00D82E05"/>
    <w:rsid w:val="00D83C0D"/>
    <w:rsid w:val="00D83C80"/>
    <w:rsid w:val="00D83F5B"/>
    <w:rsid w:val="00D85FDE"/>
    <w:rsid w:val="00D8665E"/>
    <w:rsid w:val="00D869C1"/>
    <w:rsid w:val="00D86EC6"/>
    <w:rsid w:val="00D870C6"/>
    <w:rsid w:val="00D87418"/>
    <w:rsid w:val="00D87A39"/>
    <w:rsid w:val="00D87FE6"/>
    <w:rsid w:val="00D90BC3"/>
    <w:rsid w:val="00D90C93"/>
    <w:rsid w:val="00D90DB9"/>
    <w:rsid w:val="00D91001"/>
    <w:rsid w:val="00D910FF"/>
    <w:rsid w:val="00D91108"/>
    <w:rsid w:val="00D91337"/>
    <w:rsid w:val="00D915C9"/>
    <w:rsid w:val="00D918DA"/>
    <w:rsid w:val="00D9198F"/>
    <w:rsid w:val="00D92078"/>
    <w:rsid w:val="00D926F0"/>
    <w:rsid w:val="00D92A87"/>
    <w:rsid w:val="00D931DD"/>
    <w:rsid w:val="00D9384E"/>
    <w:rsid w:val="00D93AEE"/>
    <w:rsid w:val="00D9413E"/>
    <w:rsid w:val="00D94C8D"/>
    <w:rsid w:val="00D95F88"/>
    <w:rsid w:val="00D96698"/>
    <w:rsid w:val="00D96876"/>
    <w:rsid w:val="00D96940"/>
    <w:rsid w:val="00D96B12"/>
    <w:rsid w:val="00D96F59"/>
    <w:rsid w:val="00DA0175"/>
    <w:rsid w:val="00DA099C"/>
    <w:rsid w:val="00DA0F18"/>
    <w:rsid w:val="00DA2020"/>
    <w:rsid w:val="00DA2125"/>
    <w:rsid w:val="00DA21EC"/>
    <w:rsid w:val="00DA24DE"/>
    <w:rsid w:val="00DA270C"/>
    <w:rsid w:val="00DA281F"/>
    <w:rsid w:val="00DA3012"/>
    <w:rsid w:val="00DA3C5B"/>
    <w:rsid w:val="00DA3D23"/>
    <w:rsid w:val="00DA4A61"/>
    <w:rsid w:val="00DA5AFE"/>
    <w:rsid w:val="00DA61AB"/>
    <w:rsid w:val="00DA61CD"/>
    <w:rsid w:val="00DA69A9"/>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D83"/>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785"/>
    <w:rsid w:val="00DC7807"/>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53A"/>
    <w:rsid w:val="00DE1A9D"/>
    <w:rsid w:val="00DE1CB1"/>
    <w:rsid w:val="00DE2073"/>
    <w:rsid w:val="00DE30AC"/>
    <w:rsid w:val="00DE38D1"/>
    <w:rsid w:val="00DE4106"/>
    <w:rsid w:val="00DE466B"/>
    <w:rsid w:val="00DE48F4"/>
    <w:rsid w:val="00DE5563"/>
    <w:rsid w:val="00DE5C19"/>
    <w:rsid w:val="00DE5D48"/>
    <w:rsid w:val="00DE626F"/>
    <w:rsid w:val="00DE6E4D"/>
    <w:rsid w:val="00DE7498"/>
    <w:rsid w:val="00DE75EF"/>
    <w:rsid w:val="00DE7611"/>
    <w:rsid w:val="00DE7D19"/>
    <w:rsid w:val="00DF05A0"/>
    <w:rsid w:val="00DF09D5"/>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8F0"/>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B6"/>
    <w:rsid w:val="00E10DD1"/>
    <w:rsid w:val="00E1224C"/>
    <w:rsid w:val="00E1254C"/>
    <w:rsid w:val="00E12BDF"/>
    <w:rsid w:val="00E13269"/>
    <w:rsid w:val="00E13326"/>
    <w:rsid w:val="00E13D07"/>
    <w:rsid w:val="00E14356"/>
    <w:rsid w:val="00E14961"/>
    <w:rsid w:val="00E14D76"/>
    <w:rsid w:val="00E15183"/>
    <w:rsid w:val="00E15D6C"/>
    <w:rsid w:val="00E1720B"/>
    <w:rsid w:val="00E203DE"/>
    <w:rsid w:val="00E20CE7"/>
    <w:rsid w:val="00E217B1"/>
    <w:rsid w:val="00E222FA"/>
    <w:rsid w:val="00E22441"/>
    <w:rsid w:val="00E229CE"/>
    <w:rsid w:val="00E22B4A"/>
    <w:rsid w:val="00E24388"/>
    <w:rsid w:val="00E2449B"/>
    <w:rsid w:val="00E24A62"/>
    <w:rsid w:val="00E24F52"/>
    <w:rsid w:val="00E255CC"/>
    <w:rsid w:val="00E25636"/>
    <w:rsid w:val="00E25755"/>
    <w:rsid w:val="00E25F90"/>
    <w:rsid w:val="00E266DD"/>
    <w:rsid w:val="00E26D2E"/>
    <w:rsid w:val="00E279B2"/>
    <w:rsid w:val="00E303C0"/>
    <w:rsid w:val="00E3055B"/>
    <w:rsid w:val="00E30F86"/>
    <w:rsid w:val="00E315ED"/>
    <w:rsid w:val="00E31687"/>
    <w:rsid w:val="00E31699"/>
    <w:rsid w:val="00E31761"/>
    <w:rsid w:val="00E31812"/>
    <w:rsid w:val="00E31889"/>
    <w:rsid w:val="00E31CE7"/>
    <w:rsid w:val="00E333D5"/>
    <w:rsid w:val="00E3394F"/>
    <w:rsid w:val="00E33A0B"/>
    <w:rsid w:val="00E3484C"/>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3E3"/>
    <w:rsid w:val="00E55521"/>
    <w:rsid w:val="00E558E5"/>
    <w:rsid w:val="00E55B3C"/>
    <w:rsid w:val="00E56795"/>
    <w:rsid w:val="00E5783A"/>
    <w:rsid w:val="00E57932"/>
    <w:rsid w:val="00E606C4"/>
    <w:rsid w:val="00E60811"/>
    <w:rsid w:val="00E60AB8"/>
    <w:rsid w:val="00E6103E"/>
    <w:rsid w:val="00E6185F"/>
    <w:rsid w:val="00E61D32"/>
    <w:rsid w:val="00E63C60"/>
    <w:rsid w:val="00E63EAD"/>
    <w:rsid w:val="00E64050"/>
    <w:rsid w:val="00E649F6"/>
    <w:rsid w:val="00E64B7B"/>
    <w:rsid w:val="00E6501F"/>
    <w:rsid w:val="00E6514D"/>
    <w:rsid w:val="00E65161"/>
    <w:rsid w:val="00E652C9"/>
    <w:rsid w:val="00E6593B"/>
    <w:rsid w:val="00E65D74"/>
    <w:rsid w:val="00E66E11"/>
    <w:rsid w:val="00E672C6"/>
    <w:rsid w:val="00E70192"/>
    <w:rsid w:val="00E70C55"/>
    <w:rsid w:val="00E70E34"/>
    <w:rsid w:val="00E71809"/>
    <w:rsid w:val="00E71D1E"/>
    <w:rsid w:val="00E726AA"/>
    <w:rsid w:val="00E726F2"/>
    <w:rsid w:val="00E728E2"/>
    <w:rsid w:val="00E738FA"/>
    <w:rsid w:val="00E739B6"/>
    <w:rsid w:val="00E74A2B"/>
    <w:rsid w:val="00E75667"/>
    <w:rsid w:val="00E756D3"/>
    <w:rsid w:val="00E75A5A"/>
    <w:rsid w:val="00E76004"/>
    <w:rsid w:val="00E7608F"/>
    <w:rsid w:val="00E760D7"/>
    <w:rsid w:val="00E7616D"/>
    <w:rsid w:val="00E769CC"/>
    <w:rsid w:val="00E77124"/>
    <w:rsid w:val="00E77341"/>
    <w:rsid w:val="00E7783E"/>
    <w:rsid w:val="00E778B8"/>
    <w:rsid w:val="00E801C7"/>
    <w:rsid w:val="00E80AF8"/>
    <w:rsid w:val="00E80BED"/>
    <w:rsid w:val="00E816E8"/>
    <w:rsid w:val="00E81E54"/>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6C1"/>
    <w:rsid w:val="00E87A37"/>
    <w:rsid w:val="00E87CF7"/>
    <w:rsid w:val="00E9036E"/>
    <w:rsid w:val="00E9078A"/>
    <w:rsid w:val="00E912FD"/>
    <w:rsid w:val="00E91B26"/>
    <w:rsid w:val="00E91D48"/>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A7D8F"/>
    <w:rsid w:val="00EA7FDA"/>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5953"/>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539"/>
    <w:rsid w:val="00ED4A77"/>
    <w:rsid w:val="00ED4B6E"/>
    <w:rsid w:val="00ED5981"/>
    <w:rsid w:val="00ED613A"/>
    <w:rsid w:val="00ED6514"/>
    <w:rsid w:val="00ED66B2"/>
    <w:rsid w:val="00ED71BA"/>
    <w:rsid w:val="00ED728F"/>
    <w:rsid w:val="00ED73A1"/>
    <w:rsid w:val="00ED7CA2"/>
    <w:rsid w:val="00EE04F9"/>
    <w:rsid w:val="00EE05E0"/>
    <w:rsid w:val="00EE067D"/>
    <w:rsid w:val="00EE13DA"/>
    <w:rsid w:val="00EE1595"/>
    <w:rsid w:val="00EE1E71"/>
    <w:rsid w:val="00EE2087"/>
    <w:rsid w:val="00EE20C2"/>
    <w:rsid w:val="00EE2A9D"/>
    <w:rsid w:val="00EE2FA6"/>
    <w:rsid w:val="00EE3384"/>
    <w:rsid w:val="00EE499F"/>
    <w:rsid w:val="00EE5481"/>
    <w:rsid w:val="00EE56E2"/>
    <w:rsid w:val="00EE5FCD"/>
    <w:rsid w:val="00EE63BF"/>
    <w:rsid w:val="00EE6D45"/>
    <w:rsid w:val="00EE6E89"/>
    <w:rsid w:val="00EE7509"/>
    <w:rsid w:val="00EF0D4B"/>
    <w:rsid w:val="00EF0FE6"/>
    <w:rsid w:val="00EF1130"/>
    <w:rsid w:val="00EF1432"/>
    <w:rsid w:val="00EF1511"/>
    <w:rsid w:val="00EF1F01"/>
    <w:rsid w:val="00EF2C39"/>
    <w:rsid w:val="00EF2C5F"/>
    <w:rsid w:val="00EF3811"/>
    <w:rsid w:val="00EF3AC4"/>
    <w:rsid w:val="00EF3FF9"/>
    <w:rsid w:val="00EF419B"/>
    <w:rsid w:val="00EF41AF"/>
    <w:rsid w:val="00EF4DB4"/>
    <w:rsid w:val="00EF5234"/>
    <w:rsid w:val="00EF55E9"/>
    <w:rsid w:val="00EF5B41"/>
    <w:rsid w:val="00EF611C"/>
    <w:rsid w:val="00EF6181"/>
    <w:rsid w:val="00EF625F"/>
    <w:rsid w:val="00EF62C0"/>
    <w:rsid w:val="00EF6D5A"/>
    <w:rsid w:val="00EF7148"/>
    <w:rsid w:val="00EF71E6"/>
    <w:rsid w:val="00F000D1"/>
    <w:rsid w:val="00F0058A"/>
    <w:rsid w:val="00F00630"/>
    <w:rsid w:val="00F00922"/>
    <w:rsid w:val="00F00924"/>
    <w:rsid w:val="00F0187E"/>
    <w:rsid w:val="00F0193F"/>
    <w:rsid w:val="00F01BE6"/>
    <w:rsid w:val="00F01F75"/>
    <w:rsid w:val="00F0217A"/>
    <w:rsid w:val="00F02612"/>
    <w:rsid w:val="00F026D3"/>
    <w:rsid w:val="00F027E8"/>
    <w:rsid w:val="00F0328D"/>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5D1"/>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72B"/>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DA2"/>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87A"/>
    <w:rsid w:val="00F51A82"/>
    <w:rsid w:val="00F51B78"/>
    <w:rsid w:val="00F51BDD"/>
    <w:rsid w:val="00F52065"/>
    <w:rsid w:val="00F521CE"/>
    <w:rsid w:val="00F5253E"/>
    <w:rsid w:val="00F5254B"/>
    <w:rsid w:val="00F52CB7"/>
    <w:rsid w:val="00F53A44"/>
    <w:rsid w:val="00F5460C"/>
    <w:rsid w:val="00F54E5E"/>
    <w:rsid w:val="00F551DB"/>
    <w:rsid w:val="00F55810"/>
    <w:rsid w:val="00F559BE"/>
    <w:rsid w:val="00F56F7E"/>
    <w:rsid w:val="00F56FEF"/>
    <w:rsid w:val="00F57521"/>
    <w:rsid w:val="00F60636"/>
    <w:rsid w:val="00F60938"/>
    <w:rsid w:val="00F60C7E"/>
    <w:rsid w:val="00F60E0A"/>
    <w:rsid w:val="00F61606"/>
    <w:rsid w:val="00F61918"/>
    <w:rsid w:val="00F62151"/>
    <w:rsid w:val="00F62CA8"/>
    <w:rsid w:val="00F62F92"/>
    <w:rsid w:val="00F630B4"/>
    <w:rsid w:val="00F635EF"/>
    <w:rsid w:val="00F63810"/>
    <w:rsid w:val="00F63BF4"/>
    <w:rsid w:val="00F63C55"/>
    <w:rsid w:val="00F63C60"/>
    <w:rsid w:val="00F63D6E"/>
    <w:rsid w:val="00F64991"/>
    <w:rsid w:val="00F65BA9"/>
    <w:rsid w:val="00F65BC8"/>
    <w:rsid w:val="00F65EEA"/>
    <w:rsid w:val="00F66205"/>
    <w:rsid w:val="00F6630F"/>
    <w:rsid w:val="00F66419"/>
    <w:rsid w:val="00F67079"/>
    <w:rsid w:val="00F67827"/>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8A9"/>
    <w:rsid w:val="00F77CCD"/>
    <w:rsid w:val="00F8056E"/>
    <w:rsid w:val="00F805B7"/>
    <w:rsid w:val="00F810C1"/>
    <w:rsid w:val="00F81623"/>
    <w:rsid w:val="00F81D25"/>
    <w:rsid w:val="00F8245C"/>
    <w:rsid w:val="00F82928"/>
    <w:rsid w:val="00F829B9"/>
    <w:rsid w:val="00F83045"/>
    <w:rsid w:val="00F83615"/>
    <w:rsid w:val="00F837A7"/>
    <w:rsid w:val="00F83EC7"/>
    <w:rsid w:val="00F8421D"/>
    <w:rsid w:val="00F84DFF"/>
    <w:rsid w:val="00F85329"/>
    <w:rsid w:val="00F85683"/>
    <w:rsid w:val="00F85841"/>
    <w:rsid w:val="00F86079"/>
    <w:rsid w:val="00F8610A"/>
    <w:rsid w:val="00F87282"/>
    <w:rsid w:val="00F878CD"/>
    <w:rsid w:val="00F87905"/>
    <w:rsid w:val="00F87A66"/>
    <w:rsid w:val="00F90C1F"/>
    <w:rsid w:val="00F912D9"/>
    <w:rsid w:val="00F91A44"/>
    <w:rsid w:val="00F91BFA"/>
    <w:rsid w:val="00F91F58"/>
    <w:rsid w:val="00F91F8F"/>
    <w:rsid w:val="00F9217B"/>
    <w:rsid w:val="00F945C5"/>
    <w:rsid w:val="00F97A34"/>
    <w:rsid w:val="00F97E4A"/>
    <w:rsid w:val="00F97EA1"/>
    <w:rsid w:val="00FA003A"/>
    <w:rsid w:val="00FA05C8"/>
    <w:rsid w:val="00FA0678"/>
    <w:rsid w:val="00FA0DB6"/>
    <w:rsid w:val="00FA23F7"/>
    <w:rsid w:val="00FA27EB"/>
    <w:rsid w:val="00FA35B6"/>
    <w:rsid w:val="00FA3E85"/>
    <w:rsid w:val="00FA3EBC"/>
    <w:rsid w:val="00FA423C"/>
    <w:rsid w:val="00FA44D0"/>
    <w:rsid w:val="00FA4590"/>
    <w:rsid w:val="00FA55A2"/>
    <w:rsid w:val="00FA672F"/>
    <w:rsid w:val="00FA76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686D"/>
    <w:rsid w:val="00FB7823"/>
    <w:rsid w:val="00FC05B2"/>
    <w:rsid w:val="00FC08B3"/>
    <w:rsid w:val="00FC09D7"/>
    <w:rsid w:val="00FC0ABE"/>
    <w:rsid w:val="00FC116A"/>
    <w:rsid w:val="00FC1269"/>
    <w:rsid w:val="00FC22D0"/>
    <w:rsid w:val="00FC38D4"/>
    <w:rsid w:val="00FC391E"/>
    <w:rsid w:val="00FC39B3"/>
    <w:rsid w:val="00FC3BB7"/>
    <w:rsid w:val="00FC4025"/>
    <w:rsid w:val="00FC4345"/>
    <w:rsid w:val="00FC444A"/>
    <w:rsid w:val="00FC453D"/>
    <w:rsid w:val="00FC45DE"/>
    <w:rsid w:val="00FC4A89"/>
    <w:rsid w:val="00FC619B"/>
    <w:rsid w:val="00FC665F"/>
    <w:rsid w:val="00FC6C35"/>
    <w:rsid w:val="00FC6D59"/>
    <w:rsid w:val="00FC741F"/>
    <w:rsid w:val="00FC7561"/>
    <w:rsid w:val="00FC78F5"/>
    <w:rsid w:val="00FC7ACA"/>
    <w:rsid w:val="00FC7AD2"/>
    <w:rsid w:val="00FD10B3"/>
    <w:rsid w:val="00FD11C3"/>
    <w:rsid w:val="00FD154E"/>
    <w:rsid w:val="00FD24D7"/>
    <w:rsid w:val="00FD284B"/>
    <w:rsid w:val="00FD29CE"/>
    <w:rsid w:val="00FD31C4"/>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815"/>
    <w:rsid w:val="00FE3C31"/>
    <w:rsid w:val="00FE4015"/>
    <w:rsid w:val="00FE44F5"/>
    <w:rsid w:val="00FE4633"/>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6BE0DD1"/>
    <w:rsid w:val="07245D42"/>
    <w:rsid w:val="07264C62"/>
    <w:rsid w:val="0779354C"/>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B0FEF"/>
    <w:rsid w:val="0A3E7710"/>
    <w:rsid w:val="0A5B7E63"/>
    <w:rsid w:val="0A604F22"/>
    <w:rsid w:val="0A7964DD"/>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73204E"/>
    <w:rsid w:val="0D827401"/>
    <w:rsid w:val="0D84094E"/>
    <w:rsid w:val="0D8A00E9"/>
    <w:rsid w:val="0D8D589E"/>
    <w:rsid w:val="0DA01C73"/>
    <w:rsid w:val="0DD63300"/>
    <w:rsid w:val="0DF50604"/>
    <w:rsid w:val="0DF702FE"/>
    <w:rsid w:val="0E060E51"/>
    <w:rsid w:val="0E4A12D8"/>
    <w:rsid w:val="0E5604B2"/>
    <w:rsid w:val="0E6D5D79"/>
    <w:rsid w:val="0E9D0089"/>
    <w:rsid w:val="0EB803EE"/>
    <w:rsid w:val="0EF94D4B"/>
    <w:rsid w:val="0F4958DC"/>
    <w:rsid w:val="0F515DF7"/>
    <w:rsid w:val="0F596BA8"/>
    <w:rsid w:val="0F6248D2"/>
    <w:rsid w:val="0F693536"/>
    <w:rsid w:val="0F7302CD"/>
    <w:rsid w:val="0F7B0511"/>
    <w:rsid w:val="0F7B76D9"/>
    <w:rsid w:val="0F816ACD"/>
    <w:rsid w:val="0F9832DB"/>
    <w:rsid w:val="0FBF3FD2"/>
    <w:rsid w:val="0FBF7FF3"/>
    <w:rsid w:val="10646583"/>
    <w:rsid w:val="10742420"/>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C70B4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5A1BFA"/>
    <w:rsid w:val="1D6A673C"/>
    <w:rsid w:val="1D9247AE"/>
    <w:rsid w:val="1DB567EC"/>
    <w:rsid w:val="1DF51A98"/>
    <w:rsid w:val="1E3635C1"/>
    <w:rsid w:val="1E3D060F"/>
    <w:rsid w:val="1E3F7D2E"/>
    <w:rsid w:val="1E4134E4"/>
    <w:rsid w:val="1E5062B3"/>
    <w:rsid w:val="1E523514"/>
    <w:rsid w:val="1E714A66"/>
    <w:rsid w:val="1E802593"/>
    <w:rsid w:val="1E87171B"/>
    <w:rsid w:val="1EA703CC"/>
    <w:rsid w:val="1EB7330C"/>
    <w:rsid w:val="1F0A0FF3"/>
    <w:rsid w:val="1F5771FF"/>
    <w:rsid w:val="1FE868A9"/>
    <w:rsid w:val="20034907"/>
    <w:rsid w:val="20173E4B"/>
    <w:rsid w:val="204E48BC"/>
    <w:rsid w:val="208921B3"/>
    <w:rsid w:val="209733E6"/>
    <w:rsid w:val="20973DEB"/>
    <w:rsid w:val="20B26522"/>
    <w:rsid w:val="20B44310"/>
    <w:rsid w:val="211116EB"/>
    <w:rsid w:val="216133FC"/>
    <w:rsid w:val="21D27CB9"/>
    <w:rsid w:val="21D56769"/>
    <w:rsid w:val="21E52EF3"/>
    <w:rsid w:val="21FB5D7B"/>
    <w:rsid w:val="220B1C3D"/>
    <w:rsid w:val="221D1D20"/>
    <w:rsid w:val="22334A87"/>
    <w:rsid w:val="22BE6801"/>
    <w:rsid w:val="22C87CCC"/>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778A8"/>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BF00EC"/>
    <w:rsid w:val="2BC37CFD"/>
    <w:rsid w:val="2BD5237F"/>
    <w:rsid w:val="2BE536CE"/>
    <w:rsid w:val="2BE758D9"/>
    <w:rsid w:val="2C032CD8"/>
    <w:rsid w:val="2C09049E"/>
    <w:rsid w:val="2C0A653C"/>
    <w:rsid w:val="2C191F85"/>
    <w:rsid w:val="2C913C9F"/>
    <w:rsid w:val="2CE82D6F"/>
    <w:rsid w:val="2D343236"/>
    <w:rsid w:val="2DD15014"/>
    <w:rsid w:val="2DF72DE4"/>
    <w:rsid w:val="2E0220AF"/>
    <w:rsid w:val="2E4166E3"/>
    <w:rsid w:val="2E4B082A"/>
    <w:rsid w:val="2E5D4E86"/>
    <w:rsid w:val="2E5D790B"/>
    <w:rsid w:val="2E9A3C18"/>
    <w:rsid w:val="2EBB0FEE"/>
    <w:rsid w:val="2EC63002"/>
    <w:rsid w:val="2F0A6B38"/>
    <w:rsid w:val="2F946CCB"/>
    <w:rsid w:val="2FD25781"/>
    <w:rsid w:val="2FFD7934"/>
    <w:rsid w:val="30733ACD"/>
    <w:rsid w:val="308C3862"/>
    <w:rsid w:val="309379D8"/>
    <w:rsid w:val="30A270F7"/>
    <w:rsid w:val="30DF1478"/>
    <w:rsid w:val="30EC586F"/>
    <w:rsid w:val="319C6071"/>
    <w:rsid w:val="31AC537E"/>
    <w:rsid w:val="31E3679B"/>
    <w:rsid w:val="31E732FD"/>
    <w:rsid w:val="32517576"/>
    <w:rsid w:val="32BE5C2C"/>
    <w:rsid w:val="32C55689"/>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8F3723D"/>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875B7"/>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DF05B5"/>
    <w:rsid w:val="4019356B"/>
    <w:rsid w:val="403B7680"/>
    <w:rsid w:val="40592157"/>
    <w:rsid w:val="406E1CAE"/>
    <w:rsid w:val="40A0133A"/>
    <w:rsid w:val="40C31A53"/>
    <w:rsid w:val="40FF545D"/>
    <w:rsid w:val="410067C8"/>
    <w:rsid w:val="418F0D2A"/>
    <w:rsid w:val="41D01505"/>
    <w:rsid w:val="41E417B1"/>
    <w:rsid w:val="41FA477B"/>
    <w:rsid w:val="42020E57"/>
    <w:rsid w:val="42474939"/>
    <w:rsid w:val="424C3C57"/>
    <w:rsid w:val="42613FF3"/>
    <w:rsid w:val="42660D96"/>
    <w:rsid w:val="42704319"/>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D10ED3"/>
    <w:rsid w:val="473D0A08"/>
    <w:rsid w:val="477B778F"/>
    <w:rsid w:val="478203EC"/>
    <w:rsid w:val="47B025FA"/>
    <w:rsid w:val="4809698F"/>
    <w:rsid w:val="4811697D"/>
    <w:rsid w:val="487A3E25"/>
    <w:rsid w:val="488B5503"/>
    <w:rsid w:val="48937E21"/>
    <w:rsid w:val="489A0361"/>
    <w:rsid w:val="48B94FF3"/>
    <w:rsid w:val="48E37AAB"/>
    <w:rsid w:val="48FD4B4C"/>
    <w:rsid w:val="490A68E0"/>
    <w:rsid w:val="491055FE"/>
    <w:rsid w:val="492B03C7"/>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1E67581"/>
    <w:rsid w:val="51EE6435"/>
    <w:rsid w:val="521A4097"/>
    <w:rsid w:val="522E4CC3"/>
    <w:rsid w:val="5244713B"/>
    <w:rsid w:val="52615633"/>
    <w:rsid w:val="52977FD4"/>
    <w:rsid w:val="52A25790"/>
    <w:rsid w:val="52A96B6F"/>
    <w:rsid w:val="52B45975"/>
    <w:rsid w:val="52D94AA4"/>
    <w:rsid w:val="52EA3A62"/>
    <w:rsid w:val="52F50BB8"/>
    <w:rsid w:val="53097272"/>
    <w:rsid w:val="534955AE"/>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292132"/>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F6554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CC5A26"/>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D90EB0"/>
    <w:rsid w:val="61F94C26"/>
    <w:rsid w:val="62000E56"/>
    <w:rsid w:val="624F3E49"/>
    <w:rsid w:val="62632286"/>
    <w:rsid w:val="62885958"/>
    <w:rsid w:val="62F40B65"/>
    <w:rsid w:val="62FC2CFE"/>
    <w:rsid w:val="63024505"/>
    <w:rsid w:val="635B1DB5"/>
    <w:rsid w:val="63711FED"/>
    <w:rsid w:val="63880DDC"/>
    <w:rsid w:val="638D750D"/>
    <w:rsid w:val="63AC6CC0"/>
    <w:rsid w:val="64055776"/>
    <w:rsid w:val="64240056"/>
    <w:rsid w:val="643E143A"/>
    <w:rsid w:val="645B6BE2"/>
    <w:rsid w:val="648B6EEF"/>
    <w:rsid w:val="64B06218"/>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8450E"/>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990F25"/>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DF05D83"/>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263"/>
    <w:qFormat/>
    <w:uiPriority w:val="0"/>
    <w:pPr>
      <w:spacing w:line="480" w:lineRule="exact"/>
      <w:ind w:firstLine="480" w:firstLineChars="200"/>
    </w:pPr>
    <w:rPr>
      <w:rFonts w:ascii="宋体" w:hAnsi="宋体"/>
      <w:sz w:val="24"/>
    </w:rPr>
  </w:style>
  <w:style w:type="paragraph" w:styleId="6">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link w:val="319"/>
    <w:qFormat/>
    <w:uiPriority w:val="0"/>
    <w:pPr>
      <w:ind w:firstLine="420"/>
    </w:pPr>
    <w:rPr>
      <w:rFonts w:hAnsi="Calibri" w:cs="Times New Roman"/>
      <w:snapToGrid/>
      <w:szCs w:val="20"/>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next w:val="54"/>
    <w:link w:val="373"/>
    <w:qFormat/>
    <w:uiPriority w:val="0"/>
    <w:pPr>
      <w:spacing w:line="360" w:lineRule="auto"/>
      <w:ind w:firstLine="420"/>
    </w:pPr>
    <w:rPr>
      <w:sz w:val="24"/>
      <w:szCs w:val="20"/>
    </w:rPr>
  </w:style>
  <w:style w:type="paragraph" w:customStyle="1" w:styleId="54">
    <w:name w:val="目录 92"/>
    <w:next w:val="1"/>
    <w:qFormat/>
    <w:uiPriority w:val="0"/>
    <w:pPr>
      <w:wordWrap w:val="0"/>
      <w:ind w:left="2975"/>
      <w:jc w:val="both"/>
    </w:pPr>
    <w:rPr>
      <w:rFonts w:ascii="Times New Roman" w:hAnsi="Times New Roman" w:eastAsia="宋体" w:cs="Times New Roman"/>
      <w:sz w:val="21"/>
      <w:lang w:val="en-US" w:eastAsia="zh-CN" w:bidi="ar-SA"/>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4"/>
    <w:qFormat/>
    <w:uiPriority w:val="0"/>
    <w:rPr>
      <w:b/>
      <w:bCs/>
    </w:rPr>
  </w:style>
  <w:style w:type="paragraph" w:styleId="62">
    <w:name w:val="Body Text First Indent 2"/>
    <w:basedOn w:val="2"/>
    <w:next w:val="1"/>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basedOn w:val="70"/>
    <w:qFormat/>
    <w:uiPriority w:val="0"/>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7"/>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0"/>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6"/>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0"/>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99"/>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5"/>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0"/>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next w:val="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纯文本3"/>
    <w:basedOn w:val="1"/>
    <w:qFormat/>
    <w:uiPriority w:val="0"/>
    <w:pPr>
      <w:adjustRightInd/>
      <w:snapToGrid w:val="0"/>
      <w:jc w:val="left"/>
    </w:pPr>
    <w:rPr>
      <w:rFonts w:ascii="Century Gothic" w:hAnsi="楷体_GB2312" w:eastAsia="Century Gothic"/>
      <w:szCs w:val="20"/>
    </w:rPr>
  </w:style>
  <w:style w:type="character" w:customStyle="1" w:styleId="963">
    <w:name w:val="NormalCharacter"/>
    <w:semiHidden/>
    <w:qFormat/>
    <w:uiPriority w:val="0"/>
  </w:style>
  <w:style w:type="paragraph" w:customStyle="1" w:styleId="964">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8"/>
    <customShpInfo spid="_x0000_s102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E5E1862-33BC-4F59-9925-1CBF7688FA8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43631</Words>
  <Characters>46111</Characters>
  <Lines>73</Lines>
  <Paragraphs>126</Paragraphs>
  <TotalTime>37</TotalTime>
  <ScaleCrop>false</ScaleCrop>
  <LinksUpToDate>false</LinksUpToDate>
  <CharactersWithSpaces>47326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2022-02-08T01:58:00Z</dcterms:created>
  <dc:creator>玥</dc:creator>
  <cp:lastModifiedBy>HD</cp:lastModifiedBy>
  <cp:lastPrinted>2023-09-25T03:02:00Z</cp:lastPrinted>
  <dcterms:modified xsi:type="dcterms:W3CDTF">2023-10-09T03:11:22Z</dcterms:modified>
  <dc:title>杭州市市民卡扩大发卡工程</dc:title>
  <cp:revision>418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