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color w:val="auto"/>
          <w:sz w:val="48"/>
          <w:szCs w:val="48"/>
        </w:rPr>
      </w:pPr>
      <w:bookmarkStart w:id="505" w:name="_GoBack"/>
      <w:bookmarkEnd w:id="505"/>
    </w:p>
    <w:p>
      <w:pPr>
        <w:adjustRightInd/>
        <w:spacing w:line="360" w:lineRule="auto"/>
        <w:jc w:val="center"/>
        <w:rPr>
          <w:rFonts w:hint="eastAsia" w:ascii="仿宋" w:hAnsi="仿宋" w:eastAsia="仿宋" w:cs="仿宋"/>
          <w:color w:val="auto"/>
          <w:sz w:val="48"/>
          <w:szCs w:val="48"/>
        </w:rPr>
      </w:pPr>
      <w:r>
        <w:rPr>
          <w:rFonts w:hint="eastAsia" w:ascii="仿宋" w:hAnsi="仿宋" w:eastAsia="仿宋" w:cs="仿宋"/>
          <w:color w:val="auto"/>
          <w:sz w:val="48"/>
          <w:szCs w:val="48"/>
          <w:lang w:eastAsia="zh-CN"/>
        </w:rPr>
        <w:t>崇贤街道保障重大活动和会议的安全服务项目</w:t>
      </w:r>
      <w:r>
        <w:rPr>
          <w:rFonts w:hint="eastAsia" w:ascii="仿宋" w:hAnsi="仿宋" w:eastAsia="仿宋" w:cs="仿宋"/>
          <w:color w:val="auto"/>
          <w:sz w:val="48"/>
          <w:szCs w:val="48"/>
        </w:rPr>
        <w:t>招标文件</w:t>
      </w:r>
    </w:p>
    <w:p>
      <w:pPr>
        <w:adjustRightInd/>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w:t>
      </w:r>
    </w:p>
    <w:p>
      <w:pPr>
        <w:adjustRightInd/>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（电子招投标）</w:t>
      </w:r>
    </w:p>
    <w:p>
      <w:pPr>
        <w:snapToGrid w:val="0"/>
        <w:spacing w:line="360" w:lineRule="auto"/>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rPr>
        <w:t>编号:</w:t>
      </w:r>
      <w:r>
        <w:rPr>
          <w:rFonts w:hint="eastAsia" w:ascii="仿宋" w:hAnsi="仿宋" w:eastAsia="仿宋" w:cs="仿宋"/>
          <w:color w:val="auto"/>
          <w:sz w:val="32"/>
          <w:szCs w:val="32"/>
          <w:lang w:val="en-US" w:eastAsia="zh-CN"/>
        </w:rPr>
        <w:t>YJZFCG2022-025</w:t>
      </w:r>
    </w:p>
    <w:p>
      <w:pPr>
        <w:adjustRightInd/>
        <w:spacing w:line="360" w:lineRule="auto"/>
        <w:rPr>
          <w:rFonts w:hint="eastAsia" w:ascii="仿宋" w:hAnsi="仿宋" w:eastAsia="仿宋" w:cs="仿宋"/>
          <w:color w:val="auto"/>
          <w:sz w:val="28"/>
          <w:szCs w:val="20"/>
        </w:rPr>
      </w:pPr>
    </w:p>
    <w:p>
      <w:pPr>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w:t>
      </w:r>
    </w:p>
    <w:p>
      <w:pPr>
        <w:spacing w:line="360" w:lineRule="auto"/>
        <w:jc w:val="center"/>
        <w:rPr>
          <w:rFonts w:hint="eastAsia" w:ascii="仿宋" w:hAnsi="仿宋" w:eastAsia="仿宋" w:cs="仿宋"/>
          <w:b/>
          <w:color w:val="auto"/>
          <w:sz w:val="44"/>
          <w:szCs w:val="44"/>
        </w:rPr>
      </w:pPr>
    </w:p>
    <w:p>
      <w:pPr>
        <w:spacing w:line="360" w:lineRule="auto"/>
        <w:jc w:val="center"/>
        <w:rPr>
          <w:rFonts w:hint="eastAsia" w:ascii="仿宋" w:hAnsi="仿宋" w:eastAsia="仿宋" w:cs="仿宋"/>
          <w:color w:val="auto"/>
          <w:sz w:val="24"/>
        </w:rPr>
      </w:pPr>
    </w:p>
    <w:p>
      <w:pPr>
        <w:spacing w:line="360" w:lineRule="auto"/>
        <w:jc w:val="center"/>
        <w:rPr>
          <w:rFonts w:hint="eastAsia" w:ascii="仿宋" w:hAnsi="仿宋" w:eastAsia="仿宋" w:cs="仿宋"/>
          <w:color w:val="auto"/>
          <w:sz w:val="24"/>
        </w:rPr>
      </w:pPr>
    </w:p>
    <w:p>
      <w:pPr>
        <w:spacing w:line="360" w:lineRule="auto"/>
        <w:rPr>
          <w:rFonts w:hint="eastAsia" w:ascii="仿宋" w:hAnsi="仿宋" w:eastAsia="仿宋" w:cs="仿宋"/>
          <w:color w:val="auto"/>
          <w:sz w:val="32"/>
          <w:szCs w:val="32"/>
        </w:rPr>
      </w:pPr>
    </w:p>
    <w:p>
      <w:pPr>
        <w:snapToGrid w:val="0"/>
        <w:spacing w:line="360" w:lineRule="auto"/>
        <w:jc w:val="center"/>
        <w:rPr>
          <w:rFonts w:hint="eastAsia" w:ascii="仿宋" w:hAnsi="仿宋" w:eastAsia="仿宋" w:cs="仿宋"/>
          <w:b/>
          <w:bCs/>
          <w:color w:val="auto"/>
          <w:sz w:val="32"/>
          <w:szCs w:val="32"/>
          <w:lang w:eastAsia="zh-CN"/>
        </w:rPr>
      </w:pPr>
    </w:p>
    <w:p>
      <w:pPr>
        <w:snapToGrid w:val="0"/>
        <w:spacing w:line="360" w:lineRule="auto"/>
        <w:jc w:val="center"/>
        <w:rPr>
          <w:rFonts w:hint="eastAsia" w:ascii="仿宋" w:hAnsi="仿宋" w:eastAsia="仿宋" w:cs="仿宋"/>
          <w:b/>
          <w:bCs/>
          <w:color w:val="auto"/>
          <w:sz w:val="32"/>
          <w:szCs w:val="32"/>
          <w:lang w:eastAsia="zh-CN"/>
        </w:rPr>
      </w:pPr>
    </w:p>
    <w:p>
      <w:pPr>
        <w:snapToGrid w:val="0"/>
        <w:spacing w:line="360" w:lineRule="auto"/>
        <w:jc w:val="center"/>
        <w:rPr>
          <w:rFonts w:hint="eastAsia" w:ascii="仿宋" w:hAnsi="仿宋" w:eastAsia="仿宋" w:cs="仿宋"/>
          <w:b/>
          <w:bCs/>
          <w:color w:val="auto"/>
          <w:sz w:val="32"/>
          <w:szCs w:val="32"/>
          <w:lang w:eastAsia="zh-CN"/>
        </w:rPr>
      </w:pPr>
    </w:p>
    <w:p>
      <w:pPr>
        <w:snapToGrid w:val="0"/>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采购人</w:t>
      </w:r>
      <w:r>
        <w:rPr>
          <w:rFonts w:hint="eastAsia" w:ascii="仿宋" w:hAnsi="仿宋" w:eastAsia="仿宋" w:cs="仿宋"/>
          <w:color w:val="auto"/>
          <w:sz w:val="32"/>
          <w:szCs w:val="32"/>
          <w:lang w:eastAsia="zh-CN"/>
        </w:rPr>
        <w:t>：杭州市临平区人民政府崇贤街道办事处</w:t>
      </w:r>
    </w:p>
    <w:p>
      <w:pPr>
        <w:snapToGrid w:val="0"/>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采购代理机构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杭州益嘉工程咨询代理有限公司</w:t>
      </w:r>
    </w:p>
    <w:p>
      <w:pPr>
        <w:snapToGrid w:val="0"/>
        <w:spacing w:line="360" w:lineRule="auto"/>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二〇二</w:t>
      </w:r>
      <w:r>
        <w:rPr>
          <w:rFonts w:hint="eastAsia" w:ascii="仿宋" w:hAnsi="仿宋" w:eastAsia="仿宋" w:cs="仿宋"/>
          <w:b w:val="0"/>
          <w:bCs w:val="0"/>
          <w:color w:val="auto"/>
          <w:sz w:val="32"/>
          <w:szCs w:val="32"/>
          <w:lang w:val="en-US" w:eastAsia="zh-CN"/>
        </w:rPr>
        <w:t>二</w:t>
      </w:r>
      <w:r>
        <w:rPr>
          <w:rFonts w:hint="eastAsia" w:ascii="仿宋" w:hAnsi="仿宋" w:eastAsia="仿宋" w:cs="仿宋"/>
          <w:b w:val="0"/>
          <w:bCs w:val="0"/>
          <w:color w:val="auto"/>
          <w:sz w:val="32"/>
          <w:szCs w:val="32"/>
        </w:rPr>
        <w:t>年</w:t>
      </w:r>
      <w:r>
        <w:rPr>
          <w:rFonts w:hint="eastAsia" w:ascii="仿宋" w:hAnsi="仿宋" w:eastAsia="仿宋" w:cs="仿宋"/>
          <w:b w:val="0"/>
          <w:bCs w:val="0"/>
          <w:color w:val="auto"/>
          <w:sz w:val="32"/>
          <w:szCs w:val="32"/>
          <w:lang w:val="en-US" w:eastAsia="zh-CN"/>
        </w:rPr>
        <w:t>三</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val="en-US" w:eastAsia="zh-CN"/>
        </w:rPr>
        <w:t>一</w:t>
      </w:r>
      <w:r>
        <w:rPr>
          <w:rFonts w:hint="eastAsia" w:ascii="仿宋" w:hAnsi="仿宋" w:eastAsia="仿宋" w:cs="仿宋"/>
          <w:b w:val="0"/>
          <w:bCs w:val="0"/>
          <w:color w:val="auto"/>
          <w:sz w:val="32"/>
          <w:szCs w:val="32"/>
        </w:rPr>
        <w:t>日</w:t>
      </w:r>
    </w:p>
    <w:p>
      <w:pPr>
        <w:spacing w:line="360" w:lineRule="auto"/>
        <w:jc w:val="center"/>
        <w:rPr>
          <w:rFonts w:hint="eastAsia" w:ascii="仿宋" w:hAnsi="仿宋" w:eastAsia="仿宋" w:cs="仿宋"/>
          <w:b/>
          <w:color w:val="auto"/>
          <w:sz w:val="48"/>
          <w:szCs w:val="48"/>
        </w:rPr>
      </w:pPr>
    </w:p>
    <w:p>
      <w:pPr>
        <w:spacing w:line="360" w:lineRule="auto"/>
        <w:jc w:val="center"/>
        <w:rPr>
          <w:rFonts w:hint="eastAsia" w:ascii="仿宋" w:hAnsi="仿宋" w:eastAsia="仿宋" w:cs="仿宋"/>
          <w:b/>
          <w:color w:val="auto"/>
          <w:sz w:val="48"/>
          <w:szCs w:val="48"/>
        </w:rPr>
      </w:pPr>
    </w:p>
    <w:p>
      <w:pPr>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pPr>
        <w:spacing w:line="360" w:lineRule="auto"/>
        <w:rPr>
          <w:rFonts w:hint="eastAsia" w:ascii="仿宋" w:hAnsi="仿宋" w:eastAsia="仿宋" w:cs="仿宋"/>
          <w:color w:val="auto"/>
          <w:sz w:val="32"/>
          <w:szCs w:val="32"/>
        </w:rPr>
      </w:pPr>
    </w:p>
    <w:p>
      <w:pPr>
        <w:spacing w:line="360" w:lineRule="auto"/>
        <w:rPr>
          <w:rFonts w:hint="eastAsia" w:ascii="仿宋" w:hAnsi="仿宋" w:eastAsia="仿宋" w:cs="仿宋"/>
          <w:color w:val="auto"/>
          <w:sz w:val="32"/>
          <w:szCs w:val="32"/>
        </w:rPr>
      </w:pP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第一部分      招标公告</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第二部分      投标人须知</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第三部分      采购需求</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第四部分      评标办法</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p>
    <w:p>
      <w:pPr>
        <w:spacing w:line="360" w:lineRule="auto"/>
        <w:ind w:firstLine="549" w:firstLineChars="229"/>
        <w:rPr>
          <w:rFonts w:hint="eastAsia" w:ascii="仿宋" w:hAnsi="仿宋" w:eastAsia="仿宋" w:cs="仿宋"/>
          <w:color w:val="auto"/>
          <w:sz w:val="24"/>
        </w:rPr>
      </w:pPr>
      <w:bookmarkStart w:id="0" w:name="_Hlt91233176"/>
      <w:bookmarkEnd w:id="0"/>
      <w:bookmarkStart w:id="1" w:name="_Toc91899869"/>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adjustRightInd/>
        <w:spacing w:line="360" w:lineRule="auto"/>
        <w:jc w:val="center"/>
        <w:outlineLvl w:val="0"/>
        <w:rPr>
          <w:rFonts w:hint="eastAsia" w:ascii="仿宋" w:hAnsi="仿宋" w:eastAsia="仿宋" w:cs="仿宋"/>
          <w:b/>
          <w:color w:val="auto"/>
          <w:sz w:val="36"/>
          <w:szCs w:val="20"/>
        </w:rPr>
      </w:pPr>
      <w:bookmarkStart w:id="2" w:name="第一部分"/>
      <w:r>
        <w:rPr>
          <w:rFonts w:hint="eastAsia" w:ascii="仿宋" w:hAnsi="仿宋" w:eastAsia="仿宋" w:cs="仿宋"/>
          <w:b/>
          <w:color w:val="auto"/>
          <w:sz w:val="36"/>
          <w:szCs w:val="36"/>
        </w:rPr>
        <w:br w:type="page"/>
      </w:r>
      <w:bookmarkEnd w:id="1"/>
      <w:bookmarkEnd w:id="2"/>
      <w:bookmarkStart w:id="3" w:name="_Hlt74728647"/>
      <w:bookmarkEnd w:id="3"/>
      <w:bookmarkStart w:id="4" w:name="_Hlt74707423"/>
      <w:bookmarkEnd w:id="4"/>
      <w:bookmarkStart w:id="5" w:name="_Hlt74729822"/>
      <w:bookmarkEnd w:id="5"/>
      <w:bookmarkStart w:id="6" w:name="_Hlt74649545"/>
      <w:bookmarkEnd w:id="6"/>
      <w:bookmarkStart w:id="7" w:name="第二部分"/>
      <w:bookmarkStart w:id="8" w:name="_Toc91899870"/>
      <w:bookmarkStart w:id="9" w:name="_Toc91899871"/>
      <w:r>
        <w:rPr>
          <w:rFonts w:hint="eastAsia" w:ascii="仿宋" w:hAnsi="仿宋" w:eastAsia="仿宋" w:cs="仿宋"/>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lang w:eastAsia="zh-CN"/>
        </w:rPr>
        <w:t>崇贤街道保障重大活动和会议的安全服务项目</w:t>
      </w:r>
      <w:r>
        <w:rPr>
          <w:rFonts w:hint="eastAsia" w:ascii="仿宋" w:hAnsi="仿宋" w:eastAsia="仿宋" w:cs="仿宋"/>
          <w:color w:val="auto"/>
          <w:sz w:val="24"/>
        </w:rPr>
        <w:t>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HYPERLINK "https://www.zcygov.cn/）获取（下载）招标文件，并于2021年" </w:instrText>
      </w:r>
      <w:r>
        <w:rPr>
          <w:rFonts w:hint="eastAsia" w:ascii="仿宋" w:hAnsi="仿宋" w:eastAsia="仿宋" w:cs="仿宋"/>
          <w:color w:val="auto"/>
        </w:rPr>
        <w:fldChar w:fldCharType="separate"/>
      </w:r>
      <w:r>
        <w:rPr>
          <w:rStyle w:val="77"/>
          <w:rFonts w:hint="eastAsia" w:ascii="仿宋" w:hAnsi="仿宋" w:eastAsia="仿宋" w:cs="仿宋"/>
          <w:color w:val="auto"/>
          <w:kern w:val="2"/>
          <w:sz w:val="24"/>
          <w:szCs w:val="24"/>
        </w:rPr>
        <w:t>https://www.zcygov.cn/）获取（下载）招标文件，并于</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23</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00秒</w:t>
      </w:r>
      <w:r>
        <w:rPr>
          <w:rFonts w:hint="eastAsia" w:ascii="仿宋" w:hAnsi="仿宋" w:eastAsia="仿宋" w:cs="仿宋"/>
          <w:color w:val="auto"/>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一、项目基本情况                                            </w:t>
      </w:r>
    </w:p>
    <w:p>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w:t>
      </w:r>
      <w:r>
        <w:rPr>
          <w:rFonts w:hint="eastAsia" w:ascii="仿宋" w:hAnsi="仿宋" w:eastAsia="仿宋" w:cs="仿宋"/>
          <w:b/>
          <w:color w:val="auto"/>
          <w:sz w:val="24"/>
        </w:rPr>
        <w:t>项目编号：</w:t>
      </w:r>
      <w:r>
        <w:rPr>
          <w:rFonts w:hint="eastAsia" w:ascii="仿宋" w:hAnsi="仿宋" w:eastAsia="仿宋" w:cs="仿宋"/>
          <w:b/>
          <w:color w:val="auto"/>
          <w:sz w:val="24"/>
          <w:lang w:eastAsia="zh-CN"/>
        </w:rPr>
        <w:t>YJZFCG2022-025</w:t>
      </w:r>
    </w:p>
    <w:p>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项目名称：</w:t>
      </w:r>
      <w:r>
        <w:rPr>
          <w:rFonts w:hint="eastAsia" w:ascii="仿宋" w:hAnsi="仿宋" w:eastAsia="仿宋" w:cs="仿宋"/>
          <w:b/>
          <w:color w:val="auto"/>
          <w:sz w:val="24"/>
          <w:lang w:eastAsia="zh-CN"/>
        </w:rPr>
        <w:t>崇贤街道保障重大活动和会议的安全服务项目</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预算金额（元）：15850000</w:t>
      </w:r>
      <w:r>
        <w:rPr>
          <w:rFonts w:hint="eastAsia" w:ascii="仿宋" w:hAnsi="仿宋" w:eastAsia="仿宋" w:cs="仿宋"/>
          <w:color w:val="auto"/>
          <w:sz w:val="24"/>
        </w:rPr>
        <w:t xml:space="preserve">  </w:t>
      </w:r>
    </w:p>
    <w:p>
      <w:pPr>
        <w:spacing w:line="360" w:lineRule="auto"/>
        <w:ind w:firstLine="480"/>
        <w:rPr>
          <w:rFonts w:hint="eastAsia" w:ascii="仿宋" w:hAnsi="仿宋" w:eastAsia="仿宋" w:cs="仿宋"/>
          <w:color w:val="auto"/>
          <w:sz w:val="24"/>
        </w:rPr>
      </w:pPr>
      <w:r>
        <w:rPr>
          <w:rFonts w:hint="eastAsia" w:ascii="仿宋" w:hAnsi="仿宋" w:eastAsia="仿宋" w:cs="仿宋"/>
          <w:b/>
          <w:color w:val="auto"/>
          <w:sz w:val="24"/>
        </w:rPr>
        <w:t>最高限价（元）：15850000</w:t>
      </w:r>
      <w:r>
        <w:rPr>
          <w:rFonts w:hint="eastAsia" w:ascii="仿宋" w:hAnsi="仿宋" w:eastAsia="仿宋" w:cs="仿宋"/>
          <w:color w:val="auto"/>
          <w:sz w:val="24"/>
        </w:rPr>
        <w:t xml:space="preserve">  </w:t>
      </w:r>
    </w:p>
    <w:p>
      <w:pPr>
        <w:spacing w:line="360" w:lineRule="auto"/>
        <w:ind w:firstLine="480"/>
        <w:rPr>
          <w:rFonts w:hint="eastAsia" w:ascii="仿宋" w:hAnsi="仿宋" w:eastAsia="仿宋" w:cs="仿宋"/>
          <w:bCs/>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
          <w:color w:val="auto"/>
          <w:sz w:val="24"/>
          <w:lang w:eastAsia="zh-CN"/>
        </w:rPr>
        <w:t>崇贤街道保障重大活动和会议的安全服务项目，</w:t>
      </w:r>
      <w:r>
        <w:rPr>
          <w:rFonts w:hint="eastAsia" w:ascii="仿宋" w:hAnsi="仿宋" w:eastAsia="仿宋" w:cs="仿宋"/>
          <w:bCs/>
          <w:color w:val="auto"/>
          <w:kern w:val="2"/>
          <w:sz w:val="24"/>
          <w:szCs w:val="24"/>
        </w:rPr>
        <w:t>主要内容： 主要为道路交通协管服务、社会治安协管服务、城市序化协管服务等。详见招标文件第三部分采购需求。</w:t>
      </w:r>
    </w:p>
    <w:p>
      <w:pPr>
        <w:spacing w:line="360" w:lineRule="auto"/>
        <w:ind w:firstLine="480"/>
        <w:rPr>
          <w:rFonts w:hint="eastAsia" w:ascii="仿宋" w:hAnsi="仿宋" w:eastAsia="仿宋" w:cs="仿宋"/>
          <w:b/>
          <w:bCs/>
          <w:color w:val="auto"/>
          <w:sz w:val="24"/>
        </w:rPr>
      </w:pPr>
      <w:r>
        <w:rPr>
          <w:rFonts w:hint="eastAsia" w:ascii="仿宋" w:hAnsi="仿宋" w:eastAsia="仿宋" w:cs="仿宋"/>
          <w:b/>
          <w:bCs/>
          <w:color w:val="auto"/>
          <w:sz w:val="24"/>
        </w:rPr>
        <w:t>标项一:</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标项名称: 社会治安协管（新城片区）项目</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数量: 1  </w:t>
      </w:r>
    </w:p>
    <w:p>
      <w:pPr>
        <w:spacing w:line="360" w:lineRule="auto"/>
        <w:ind w:firstLine="480"/>
        <w:rPr>
          <w:rFonts w:hint="default" w:ascii="仿宋" w:hAnsi="仿宋" w:eastAsia="仿宋" w:cs="仿宋"/>
          <w:color w:val="auto"/>
          <w:sz w:val="24"/>
          <w:lang w:val="en-US" w:eastAsia="zh-CN"/>
        </w:rPr>
      </w:pPr>
      <w:r>
        <w:rPr>
          <w:rFonts w:hint="eastAsia" w:ascii="仿宋" w:hAnsi="仿宋" w:eastAsia="仿宋" w:cs="仿宋"/>
          <w:color w:val="auto"/>
          <w:sz w:val="24"/>
        </w:rPr>
        <w:t>预算金额（元）:</w:t>
      </w:r>
      <w:r>
        <w:rPr>
          <w:rFonts w:hint="eastAsia" w:ascii="仿宋" w:hAnsi="仿宋" w:eastAsia="仿宋" w:cs="仿宋"/>
          <w:color w:val="auto"/>
          <w:sz w:val="24"/>
          <w:lang w:val="en-US" w:eastAsia="zh-CN"/>
        </w:rPr>
        <w:t>5450000</w:t>
      </w:r>
    </w:p>
    <w:p>
      <w:pPr>
        <w:spacing w:line="360" w:lineRule="auto"/>
        <w:ind w:firstLine="480"/>
        <w:rPr>
          <w:rFonts w:hint="eastAsia" w:ascii="仿宋" w:hAnsi="仿宋" w:eastAsia="仿宋" w:cs="仿宋"/>
          <w:b/>
          <w:bCs/>
          <w:color w:val="auto"/>
          <w:sz w:val="24"/>
        </w:rPr>
      </w:pPr>
      <w:r>
        <w:rPr>
          <w:rFonts w:hint="eastAsia" w:ascii="仿宋" w:hAnsi="仿宋" w:eastAsia="仿宋" w:cs="仿宋"/>
          <w:b/>
          <w:bCs/>
          <w:color w:val="auto"/>
          <w:sz w:val="24"/>
        </w:rPr>
        <w:t>标项二:</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标项名称: 社会治安协管（农村片）项目</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数量: 1  </w:t>
      </w:r>
    </w:p>
    <w:p>
      <w:pPr>
        <w:spacing w:line="360" w:lineRule="auto"/>
        <w:ind w:firstLine="480"/>
        <w:rPr>
          <w:rFonts w:hint="default" w:ascii="仿宋" w:hAnsi="仿宋" w:eastAsia="仿宋" w:cs="仿宋"/>
          <w:color w:val="auto"/>
          <w:sz w:val="24"/>
          <w:lang w:val="en-US" w:eastAsia="zh-CN"/>
        </w:rPr>
      </w:pPr>
      <w:r>
        <w:rPr>
          <w:rFonts w:hint="eastAsia" w:ascii="仿宋" w:hAnsi="仿宋" w:eastAsia="仿宋" w:cs="仿宋"/>
          <w:color w:val="auto"/>
          <w:sz w:val="24"/>
        </w:rPr>
        <w:t>预算金额（元）:</w:t>
      </w:r>
      <w:r>
        <w:rPr>
          <w:rFonts w:hint="eastAsia" w:ascii="仿宋" w:hAnsi="仿宋" w:eastAsia="仿宋" w:cs="仿宋"/>
          <w:color w:val="auto"/>
          <w:sz w:val="24"/>
          <w:lang w:val="en-US" w:eastAsia="zh-CN"/>
        </w:rPr>
        <w:t>4620000</w:t>
      </w:r>
    </w:p>
    <w:p>
      <w:pPr>
        <w:spacing w:line="360" w:lineRule="auto"/>
        <w:ind w:firstLine="480"/>
        <w:rPr>
          <w:rFonts w:hint="eastAsia" w:ascii="仿宋" w:hAnsi="仿宋" w:eastAsia="仿宋" w:cs="仿宋"/>
          <w:color w:val="auto"/>
          <w:sz w:val="24"/>
        </w:rPr>
      </w:pPr>
      <w:r>
        <w:rPr>
          <w:rFonts w:hint="eastAsia" w:ascii="仿宋" w:hAnsi="仿宋" w:eastAsia="仿宋" w:cs="仿宋"/>
          <w:b/>
          <w:bCs/>
          <w:color w:val="auto"/>
          <w:sz w:val="24"/>
        </w:rPr>
        <w:t>标项三:</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标项名称: 交通协管服务项目</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数量: 1  </w:t>
      </w:r>
    </w:p>
    <w:p>
      <w:pPr>
        <w:spacing w:line="360" w:lineRule="auto"/>
        <w:ind w:firstLine="480"/>
        <w:rPr>
          <w:rFonts w:hint="default" w:ascii="仿宋" w:hAnsi="仿宋" w:eastAsia="仿宋" w:cs="仿宋"/>
          <w:color w:val="auto"/>
          <w:sz w:val="24"/>
          <w:lang w:val="en-US" w:eastAsia="zh-CN"/>
        </w:rPr>
      </w:pPr>
      <w:r>
        <w:rPr>
          <w:rFonts w:hint="eastAsia" w:ascii="仿宋" w:hAnsi="仿宋" w:eastAsia="仿宋" w:cs="仿宋"/>
          <w:color w:val="auto"/>
          <w:sz w:val="24"/>
        </w:rPr>
        <w:t>预算金额（元）:</w:t>
      </w:r>
      <w:r>
        <w:rPr>
          <w:rFonts w:hint="eastAsia" w:ascii="仿宋" w:hAnsi="仿宋" w:eastAsia="仿宋" w:cs="仿宋"/>
          <w:color w:val="auto"/>
          <w:sz w:val="24"/>
          <w:lang w:val="en-US" w:eastAsia="zh-CN"/>
        </w:rPr>
        <w:t>3470000</w:t>
      </w:r>
    </w:p>
    <w:p>
      <w:pPr>
        <w:spacing w:line="360" w:lineRule="auto"/>
        <w:ind w:firstLine="480"/>
        <w:rPr>
          <w:rFonts w:hint="eastAsia" w:ascii="仿宋" w:hAnsi="仿宋" w:eastAsia="仿宋" w:cs="仿宋"/>
          <w:b/>
          <w:bCs/>
          <w:color w:val="auto"/>
          <w:sz w:val="24"/>
        </w:rPr>
      </w:pPr>
      <w:r>
        <w:rPr>
          <w:rFonts w:hint="eastAsia" w:ascii="仿宋" w:hAnsi="仿宋" w:eastAsia="仿宋" w:cs="仿宋"/>
          <w:b/>
          <w:bCs/>
          <w:color w:val="auto"/>
          <w:sz w:val="24"/>
        </w:rPr>
        <w:t>标项四:</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标项名称: 城市序化协管项目</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数量: 1  </w:t>
      </w:r>
    </w:p>
    <w:p>
      <w:pPr>
        <w:pStyle w:val="5"/>
        <w:spacing w:line="360" w:lineRule="auto"/>
        <w:ind w:firstLine="480"/>
        <w:rPr>
          <w:rFonts w:hint="default" w:ascii="仿宋" w:hAnsi="仿宋" w:eastAsia="仿宋" w:cs="仿宋"/>
          <w:bCs/>
          <w:color w:val="auto"/>
          <w:kern w:val="2"/>
          <w:sz w:val="24"/>
          <w:szCs w:val="24"/>
          <w:lang w:val="en-US" w:eastAsia="zh-CN"/>
        </w:rPr>
      </w:pPr>
      <w:r>
        <w:rPr>
          <w:rFonts w:hint="eastAsia" w:ascii="仿宋" w:hAnsi="仿宋" w:eastAsia="仿宋" w:cs="仿宋"/>
          <w:color w:val="auto"/>
          <w:sz w:val="24"/>
        </w:rPr>
        <w:t>预算金额（元）:</w:t>
      </w:r>
      <w:r>
        <w:rPr>
          <w:rFonts w:hint="eastAsia" w:ascii="仿宋" w:hAnsi="仿宋" w:eastAsia="仿宋" w:cs="仿宋"/>
          <w:color w:val="auto"/>
          <w:sz w:val="24"/>
          <w:lang w:val="en-US" w:eastAsia="zh-CN"/>
        </w:rPr>
        <w:t>2310000</w:t>
      </w:r>
    </w:p>
    <w:p>
      <w:pPr>
        <w:pStyle w:val="85"/>
        <w:ind w:firstLine="482"/>
        <w:outlineLvl w:val="2"/>
        <w:rPr>
          <w:rFonts w:hint="eastAsia" w:ascii="仿宋" w:hAnsi="仿宋" w:eastAsia="仿宋" w:cs="仿宋"/>
          <w:color w:val="auto"/>
          <w:lang w:val="en-US" w:eastAsia="zh-CN"/>
        </w:rPr>
      </w:pPr>
      <w:r>
        <w:rPr>
          <w:rFonts w:hint="eastAsia" w:ascii="仿宋" w:hAnsi="仿宋" w:eastAsia="仿宋" w:cs="仿宋"/>
          <w:b/>
          <w:color w:val="auto"/>
        </w:rPr>
        <w:t>合同履约期限：</w:t>
      </w:r>
      <w:r>
        <w:rPr>
          <w:rFonts w:hint="eastAsia" w:ascii="仿宋" w:hAnsi="仿宋" w:eastAsia="仿宋" w:cs="仿宋"/>
          <w:b/>
          <w:color w:val="auto"/>
          <w:lang w:val="en-US" w:eastAsia="zh-CN"/>
        </w:rPr>
        <w:t>壹年</w:t>
      </w:r>
    </w:p>
    <w:p>
      <w:pPr>
        <w:pStyle w:val="5"/>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sym w:font="Wingdings" w:char="00FE"/>
      </w:r>
      <w:r>
        <w:rPr>
          <w:rFonts w:hint="eastAsia" w:ascii="仿宋" w:hAnsi="仿宋" w:eastAsia="仿宋" w:cs="仿宋"/>
          <w:b/>
          <w:color w:val="auto"/>
          <w:sz w:val="24"/>
        </w:rPr>
        <w:t>是，</w:t>
      </w:r>
      <w:r>
        <w:rPr>
          <w:rFonts w:hint="eastAsia" w:ascii="仿宋" w:hAnsi="仿宋" w:eastAsia="仿宋" w:cs="仿宋"/>
          <w:color w:val="auto"/>
          <w:kern w:val="0"/>
          <w:sz w:val="24"/>
        </w:rPr>
        <w:sym w:font="Wingdings" w:char="00A8"/>
      </w:r>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pPr>
        <w:spacing w:line="360" w:lineRule="auto"/>
        <w:ind w:firstLine="48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 xml:space="preserve">    2.落实政府采购政策需满足的资格要求：</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sz w:val="24"/>
        </w:rPr>
        <w:t>无；</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360" w:lineRule="auto"/>
        <w:ind w:firstLine="897" w:firstLineChars="374"/>
        <w:rPr>
          <w:rFonts w:hint="eastAsia" w:ascii="仿宋" w:hAnsi="仿宋" w:eastAsia="仿宋" w:cs="仿宋"/>
          <w:color w:val="auto"/>
          <w:sz w:val="24"/>
          <w:u w:val="single"/>
        </w:rPr>
      </w:pPr>
      <w:r>
        <w:rPr>
          <w:rFonts w:hint="eastAsia" w:ascii="仿宋" w:hAnsi="仿宋" w:eastAsia="仿宋" w:cs="仿宋"/>
          <w:color w:val="auto"/>
          <w:kern w:val="0"/>
          <w:sz w:val="24"/>
        </w:rPr>
        <w:sym w:font="Wingdings" w:char="00A8"/>
      </w:r>
      <w:r>
        <w:rPr>
          <w:rFonts w:hint="eastAsia" w:ascii="仿宋" w:hAnsi="仿宋" w:eastAsia="仿宋" w:cs="仿宋"/>
          <w:color w:val="auto"/>
          <w:sz w:val="24"/>
        </w:rPr>
        <w:t>货物全部由符合政策要求的中小企业制造，提供中小企业声明函；</w:t>
      </w:r>
    </w:p>
    <w:p>
      <w:pPr>
        <w:spacing w:line="360" w:lineRule="auto"/>
        <w:ind w:firstLine="897" w:firstLineChars="374"/>
        <w:rPr>
          <w:rFonts w:hint="eastAsia" w:ascii="仿宋" w:hAnsi="仿宋" w:eastAsia="仿宋" w:cs="仿宋"/>
          <w:color w:val="auto"/>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sz w:val="24"/>
        </w:rPr>
        <w:t>货物全部由符合政策要求的小微企业制造，提供中小企业声明函；</w:t>
      </w:r>
    </w:p>
    <w:p>
      <w:pPr>
        <w:spacing w:line="360" w:lineRule="auto"/>
        <w:ind w:firstLine="897" w:firstLineChars="374"/>
        <w:rPr>
          <w:rFonts w:hint="eastAsia" w:ascii="仿宋" w:hAnsi="仿宋" w:eastAsia="仿宋" w:cs="仿宋"/>
          <w:color w:val="auto"/>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sz w:val="24"/>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sz w:val="24"/>
        </w:rPr>
        <w:t>服务全部由符合政策要求的小微企业承接，提供中小企业声明函；</w:t>
      </w:r>
    </w:p>
    <w:p>
      <w:pPr>
        <w:rPr>
          <w:rFonts w:hint="eastAsia" w:ascii="仿宋" w:hAnsi="仿宋" w:eastAsia="仿宋" w:cs="仿宋"/>
          <w:color w:val="auto"/>
        </w:rPr>
      </w:pP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sz w:val="24"/>
        </w:rPr>
        <w:t>要求合同分包，提供分包意向协议和中小企业声明函，分包意向协议中中小企业合同金额应当达到达到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w:t>
      </w:r>
      <w:r>
        <w:rPr>
          <w:rFonts w:hint="eastAsia" w:ascii="仿宋" w:hAnsi="仿宋" w:eastAsia="仿宋" w:cs="仿宋"/>
          <w:color w:val="auto"/>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本项目的特定资格要求：单位负责人为同一人或者存在直接控股、管理关系的不同供应商，不得参加同一合同项下的政府采购活动,供应商未被列入失信被执行人名单、重大税收违法案件当事人名单、政府采购严重违法失信行为记录名单，信用信息以信用中国网站（www.creditchina.gov.cn）、中国政府采购网（www.ccgp.gov.cn）公布为准,公益一类事业单位、使用事业编制且由财政拨款保障的群团组织，不作为政府购买服务的购买主体和承接主体</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23</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23</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23</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六、其他补充事宜</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pStyle w:val="62"/>
        <w:ind w:left="0" w:leftChars="0" w:firstLine="480" w:firstLineChars="200"/>
        <w:rPr>
          <w:rFonts w:hint="eastAsia" w:ascii="仿宋" w:hAnsi="仿宋" w:eastAsia="仿宋" w:cs="仿宋"/>
          <w:lang w:val="en-US" w:eastAsia="zh-CN"/>
        </w:rPr>
      </w:pPr>
      <w:r>
        <w:rPr>
          <w:rFonts w:hint="eastAsia" w:ascii="仿宋" w:hAnsi="仿宋" w:eastAsia="仿宋" w:cs="仿宋"/>
          <w:color w:val="auto"/>
          <w:sz w:val="24"/>
          <w:lang w:val="en-US" w:eastAsia="zh-CN"/>
        </w:rPr>
        <w:t>3、明确本项目采购文件公告期限与采购公告期限一致。</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1.采购人信息</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名    称：</w:t>
      </w:r>
      <w:r>
        <w:rPr>
          <w:rFonts w:hint="eastAsia" w:ascii="仿宋" w:hAnsi="仿宋" w:eastAsia="仿宋" w:cs="仿宋"/>
          <w:color w:val="auto"/>
          <w:sz w:val="24"/>
          <w:lang w:eastAsia="zh-CN"/>
        </w:rPr>
        <w:t>杭州市临平区人民政府崇贤街道办事处</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址：浙江省杭州市临平区府新街105号       </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传    真： /</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项目联系人（询问）：蔡海洲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项目联系方式（询问）：0571-86271809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质疑联系人：</w:t>
      </w:r>
      <w:r>
        <w:rPr>
          <w:rFonts w:hint="eastAsia" w:ascii="仿宋" w:hAnsi="仿宋" w:eastAsia="仿宋" w:cs="仿宋"/>
          <w:color w:val="auto"/>
          <w:sz w:val="24"/>
          <w:lang w:val="en-US" w:eastAsia="zh-CN"/>
        </w:rPr>
        <w:t>孙先生</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质疑联系方式：0571-86270988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2.采购代理机构信息            </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名    称：杭州益嘉工程咨询代理有限公司</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地    址：浙江省杭州市临平区</w:t>
      </w:r>
      <w:r>
        <w:rPr>
          <w:rFonts w:hint="eastAsia" w:ascii="仿宋" w:hAnsi="仿宋" w:eastAsia="仿宋" w:cs="仿宋"/>
          <w:color w:val="auto"/>
          <w:sz w:val="24"/>
          <w:lang w:val="en-US" w:eastAsia="zh-CN"/>
        </w:rPr>
        <w:t>东湖北路488-1号29幢3楼</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传    真：/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项目联系人（询问）： </w:t>
      </w:r>
      <w:r>
        <w:rPr>
          <w:rFonts w:hint="eastAsia" w:ascii="仿宋" w:hAnsi="仿宋" w:eastAsia="仿宋" w:cs="仿宋"/>
          <w:color w:val="auto"/>
          <w:sz w:val="24"/>
          <w:lang w:val="en-US" w:eastAsia="zh-CN"/>
        </w:rPr>
        <w:t>杨文波</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项目联系方式（询问）：</w:t>
      </w:r>
      <w:r>
        <w:rPr>
          <w:rFonts w:hint="eastAsia" w:ascii="仿宋" w:hAnsi="仿宋" w:eastAsia="仿宋" w:cs="仿宋"/>
          <w:color w:val="auto"/>
          <w:sz w:val="24"/>
          <w:lang w:val="en-US" w:eastAsia="zh-CN"/>
        </w:rPr>
        <w:t>15397053608</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质疑联系人：朱海强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质疑联系方式：0571-89020072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3.同级政府采购监督管理部门            </w:t>
      </w:r>
    </w:p>
    <w:p>
      <w:pPr>
        <w:spacing w:line="360" w:lineRule="auto"/>
        <w:rPr>
          <w:rFonts w:ascii="仿宋_GB2312" w:hAnsi="仿宋" w:eastAsia="仿宋_GB2312" w:cs="仿宋_GB2312"/>
          <w:sz w:val="24"/>
          <w:szCs w:val="24"/>
        </w:rPr>
      </w:pPr>
      <w:r>
        <w:rPr>
          <w:rFonts w:hint="eastAsia" w:ascii="仿宋" w:hAnsi="仿宋" w:eastAsia="仿宋" w:cs="仿宋"/>
          <w:color w:val="auto"/>
          <w:sz w:val="24"/>
        </w:rPr>
        <w:t xml:space="preserve">    </w:t>
      </w:r>
      <w:r>
        <w:rPr>
          <w:rFonts w:hint="eastAsia" w:ascii="仿宋_GB2312" w:hAnsi="仿宋" w:eastAsia="仿宋_GB2312" w:cs="仿宋_GB2312"/>
          <w:sz w:val="24"/>
          <w:szCs w:val="24"/>
        </w:rPr>
        <w:t>名</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称：杭州市临平区财政局</w:t>
      </w:r>
      <w:r>
        <w:rPr>
          <w:rFonts w:ascii="仿宋_GB2312" w:hAnsi="仿宋" w:eastAsia="仿宋_GB2312" w:cs="仿宋_GB2312"/>
          <w:sz w:val="24"/>
          <w:szCs w:val="24"/>
        </w:rPr>
        <w:t xml:space="preserve"> </w:t>
      </w:r>
    </w:p>
    <w:p>
      <w:pPr>
        <w:spacing w:line="360" w:lineRule="auto"/>
        <w:rPr>
          <w:rFonts w:ascii="仿宋_GB2312" w:hAnsi="仿宋" w:eastAsia="仿宋_GB2312" w:cs="仿宋_GB2312"/>
          <w:sz w:val="24"/>
          <w:szCs w:val="24"/>
        </w:rPr>
      </w:pP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地</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址：杭州市临平区临平东湖中路</w:t>
      </w:r>
      <w:r>
        <w:rPr>
          <w:rFonts w:ascii="仿宋_GB2312" w:hAnsi="仿宋" w:eastAsia="仿宋_GB2312" w:cs="仿宋_GB2312"/>
          <w:sz w:val="24"/>
          <w:szCs w:val="24"/>
        </w:rPr>
        <w:t>236</w:t>
      </w:r>
      <w:r>
        <w:rPr>
          <w:rFonts w:hint="eastAsia" w:ascii="仿宋_GB2312" w:hAnsi="仿宋" w:eastAsia="仿宋_GB2312" w:cs="仿宋_GB2312"/>
          <w:sz w:val="24"/>
          <w:szCs w:val="24"/>
        </w:rPr>
        <w:t>号临平财税大楼</w:t>
      </w:r>
      <w:r>
        <w:rPr>
          <w:rFonts w:ascii="仿宋_GB2312" w:hAnsi="仿宋" w:eastAsia="仿宋_GB2312" w:cs="仿宋_GB2312"/>
          <w:sz w:val="24"/>
          <w:szCs w:val="24"/>
        </w:rPr>
        <w:t xml:space="preserve"> </w:t>
      </w:r>
    </w:p>
    <w:p>
      <w:pPr>
        <w:spacing w:line="360" w:lineRule="auto"/>
        <w:ind w:firstLine="240" w:firstLineChars="100"/>
        <w:rPr>
          <w:rFonts w:ascii="仿宋_GB2312" w:hAnsi="仿宋" w:eastAsia="仿宋_GB2312" w:cs="仿宋_GB2312"/>
          <w:sz w:val="24"/>
          <w:szCs w:val="24"/>
        </w:rPr>
      </w:pP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传</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真：</w:t>
      </w:r>
      <w:r>
        <w:rPr>
          <w:rFonts w:ascii="仿宋_GB2312" w:hAnsi="仿宋" w:eastAsia="仿宋_GB2312" w:cs="仿宋_GB2312"/>
          <w:sz w:val="24"/>
          <w:szCs w:val="24"/>
        </w:rPr>
        <w:t xml:space="preserve"> /</w:t>
      </w:r>
    </w:p>
    <w:p>
      <w:pPr>
        <w:spacing w:line="360" w:lineRule="auto"/>
        <w:rPr>
          <w:rFonts w:ascii="仿宋_GB2312" w:hAnsi="仿宋" w:eastAsia="仿宋_GB2312" w:cs="仿宋_GB2312"/>
          <w:sz w:val="24"/>
          <w:szCs w:val="24"/>
        </w:rPr>
      </w:pP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联系人</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：俞征</w:t>
      </w:r>
      <w:r>
        <w:rPr>
          <w:rFonts w:ascii="仿宋_GB2312" w:hAnsi="仿宋" w:eastAsia="仿宋_GB2312"/>
          <w:sz w:val="24"/>
          <w:szCs w:val="24"/>
        </w:rPr>
        <w:t> </w:t>
      </w:r>
      <w:r>
        <w:rPr>
          <w:rFonts w:ascii="仿宋_GB2312" w:hAnsi="仿宋" w:eastAsia="仿宋_GB2312" w:cs="仿宋_GB2312"/>
          <w:sz w:val="24"/>
          <w:szCs w:val="24"/>
        </w:rPr>
        <w:t xml:space="preserve">   </w:t>
      </w:r>
    </w:p>
    <w:p>
      <w:pPr>
        <w:spacing w:line="360" w:lineRule="auto"/>
        <w:ind w:firstLine="480" w:firstLineChars="200"/>
        <w:rPr>
          <w:rFonts w:hint="eastAsia" w:ascii="仿宋" w:hAnsi="仿宋" w:eastAsia="仿宋" w:cs="仿宋"/>
          <w:color w:val="auto"/>
          <w:sz w:val="24"/>
        </w:rPr>
      </w:pPr>
      <w:r>
        <w:rPr>
          <w:rFonts w:hint="eastAsia" w:ascii="仿宋_GB2312" w:hAnsi="仿宋" w:eastAsia="仿宋_GB2312" w:cs="仿宋_GB2312"/>
          <w:sz w:val="24"/>
          <w:szCs w:val="24"/>
        </w:rPr>
        <w:t>监督投诉电话：</w:t>
      </w:r>
      <w:r>
        <w:rPr>
          <w:rFonts w:ascii="仿宋_GB2312" w:hAnsi="仿宋" w:eastAsia="仿宋_GB2312" w:cs="仿宋_GB2312"/>
          <w:sz w:val="24"/>
          <w:szCs w:val="24"/>
        </w:rPr>
        <w:t>0571-89185312</w:t>
      </w:r>
      <w:r>
        <w:rPr>
          <w:rFonts w:hint="eastAsia" w:ascii="仿宋" w:hAnsi="仿宋" w:eastAsia="仿宋" w:cs="仿宋"/>
          <w:color w:val="auto"/>
          <w:sz w:val="24"/>
        </w:rPr>
        <w:t xml:space="preserve">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rPr>
        <w:t xml:space="preserve">                              </w:t>
      </w:r>
    </w:p>
    <w:p>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r>
        <w:rPr>
          <w:rFonts w:hint="eastAsia" w:ascii="仿宋" w:hAnsi="仿宋" w:eastAsia="仿宋" w:cs="仿宋"/>
          <w:b/>
          <w:color w:val="auto"/>
          <w:sz w:val="36"/>
          <w:szCs w:val="20"/>
        </w:rPr>
        <w:t>第二部分</w:t>
      </w:r>
      <w:bookmarkEnd w:id="7"/>
      <w:r>
        <w:rPr>
          <w:rFonts w:hint="eastAsia" w:ascii="仿宋" w:hAnsi="仿宋" w:eastAsia="仿宋" w:cs="仿宋"/>
          <w:b/>
          <w:color w:val="auto"/>
          <w:sz w:val="36"/>
          <w:szCs w:val="20"/>
        </w:rPr>
        <w:t xml:space="preserve"> 投标人须知</w:t>
      </w:r>
      <w:bookmarkEnd w:id="8"/>
    </w:p>
    <w:p>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有关本项目实施所需的所有费用（含税费）均计入报价。</w:t>
            </w: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lang w:val="zh-CN"/>
              </w:rPr>
              <w:t>提醒：验收时检测费用由采购人承担，不包含在投标总价中。</w:t>
            </w:r>
          </w:p>
          <w:p>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pPr>
              <w:snapToGrid w:val="0"/>
              <w:spacing w:line="360" w:lineRule="auto"/>
              <w:ind w:firstLine="241" w:firstLineChars="100"/>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color w:val="auto"/>
                <w:kern w:val="0"/>
                <w:sz w:val="24"/>
                <w:lang w:val="zh-CN"/>
              </w:rPr>
            </w:pPr>
            <w:r>
              <w:rPr>
                <w:rFonts w:hint="eastAsia" w:ascii="仿宋" w:hAnsi="仿宋" w:eastAsia="仿宋" w:cs="仿宋"/>
                <w:b/>
                <w:color w:val="auto"/>
                <w:kern w:val="0"/>
                <w:sz w:val="24"/>
                <w:lang w:val="zh-CN"/>
              </w:rPr>
              <w:t>投标报价超过招标文件中规定的预算金额或者最高限价的;</w:t>
            </w:r>
          </w:p>
          <w:p>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pPr>
              <w:spacing w:line="360" w:lineRule="auto"/>
              <w:ind w:firstLine="241" w:firstLineChars="100"/>
              <w:rPr>
                <w:rFonts w:hint="eastAsia" w:ascii="仿宋" w:hAnsi="仿宋" w:eastAsia="仿宋" w:cs="仿宋"/>
                <w:color w:val="auto"/>
                <w:sz w:val="24"/>
              </w:rPr>
            </w:pPr>
            <w:r>
              <w:rPr>
                <w:rFonts w:hint="eastAsia" w:ascii="仿宋" w:hAnsi="仿宋" w:eastAsia="仿宋" w:cs="仿宋"/>
                <w:b/>
                <w:color w:val="auto"/>
                <w:kern w:val="0"/>
                <w:sz w:val="24"/>
              </w:rPr>
              <w:t>投标人对根据修正原则修正后的报价不确认的</w:t>
            </w:r>
            <w:r>
              <w:rPr>
                <w:rFonts w:hint="eastAsia" w:ascii="仿宋" w:hAnsi="仿宋" w:eastAsia="仿宋" w:cs="仿宋"/>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kern w:val="0"/>
                <w:sz w:val="24"/>
              </w:rPr>
              <w:t xml:space="preserve"> 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r>
              <w:rPr>
                <w:rFonts w:hint="eastAsia" w:ascii="仿宋" w:hAnsi="仿宋" w:eastAsia="仿宋" w:cs="仿宋"/>
                <w:color w:val="auto"/>
                <w:kern w:val="0"/>
                <w:sz w:val="24"/>
              </w:rPr>
              <w:sym w:font="Wingdings" w:char="F0FE"/>
            </w:r>
            <w:r>
              <w:rPr>
                <w:rFonts w:hint="eastAsia" w:ascii="仿宋" w:hAnsi="仿宋" w:eastAsia="仿宋" w:cs="仿宋"/>
                <w:color w:val="auto"/>
                <w:kern w:val="0"/>
                <w:sz w:val="24"/>
              </w:rPr>
              <w:t xml:space="preserve"> B</w:t>
            </w:r>
            <w:r>
              <w:rPr>
                <w:rFonts w:hint="eastAsia" w:ascii="仿宋" w:hAnsi="仿宋" w:eastAsia="仿宋" w:cs="仿宋"/>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pPr>
              <w:spacing w:line="36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rPr>
              <w:t>A</w:t>
            </w:r>
            <w:r>
              <w:rPr>
                <w:rFonts w:hint="eastAsia" w:ascii="仿宋" w:hAnsi="仿宋" w:eastAsia="仿宋" w:cs="仿宋"/>
                <w:color w:val="auto"/>
                <w:sz w:val="24"/>
              </w:rPr>
              <w:t>不组织。</w:t>
            </w:r>
          </w:p>
          <w:p>
            <w:pPr>
              <w:spacing w:line="360" w:lineRule="auto"/>
              <w:rPr>
                <w:rFonts w:hint="eastAsia" w:ascii="仿宋" w:hAnsi="仿宋" w:eastAsia="仿宋" w:cs="仿宋"/>
                <w:color w:val="auto"/>
                <w:sz w:val="24"/>
                <w:szCs w:val="20"/>
              </w:rPr>
            </w:pPr>
            <w:r>
              <w:rPr>
                <w:rFonts w:hint="eastAsia" w:ascii="仿宋" w:hAnsi="仿宋" w:eastAsia="仿宋" w:cs="仿宋"/>
                <w:color w:val="auto"/>
                <w:kern w:val="0"/>
                <w:sz w:val="24"/>
              </w:rPr>
              <w:sym w:font="Wingdings" w:char="00A8"/>
            </w:r>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rPr>
              <w:t>A</w:t>
            </w:r>
            <w:r>
              <w:rPr>
                <w:rFonts w:hint="eastAsia" w:ascii="仿宋" w:hAnsi="仿宋" w:eastAsia="仿宋" w:cs="仿宋"/>
                <w:color w:val="auto"/>
                <w:sz w:val="24"/>
              </w:rPr>
              <w:t>不要求提供。</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kern w:val="0"/>
                <w:sz w:val="24"/>
              </w:rPr>
              <w:t>B要求提供，</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snapToGrid w:val="0"/>
                <w:color w:val="auto"/>
                <w:kern w:val="28"/>
                <w:sz w:val="24"/>
              </w:rPr>
              <w:t>样品：</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（4）是否需要随样品提交检测报告：</w:t>
            </w:r>
            <w:r>
              <w:rPr>
                <w:rFonts w:hint="eastAsia" w:ascii="仿宋" w:hAnsi="仿宋" w:eastAsia="仿宋" w:cs="仿宋"/>
                <w:color w:val="auto"/>
                <w:kern w:val="0"/>
                <w:sz w:val="24"/>
              </w:rPr>
              <w:sym w:font="Wingdings" w:char="F0FE"/>
            </w:r>
            <w:r>
              <w:rPr>
                <w:rFonts w:hint="eastAsia" w:ascii="仿宋" w:hAnsi="仿宋" w:eastAsia="仿宋" w:cs="仿宋"/>
                <w:color w:val="auto"/>
                <w:kern w:val="0"/>
                <w:sz w:val="24"/>
              </w:rPr>
              <w:t>否；☐是，检测机构的要求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（5）提供样品的时间：</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；联系人</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 w:hAnsi="仿宋" w:eastAsia="仿宋" w:cs="仿宋"/>
                <w:b/>
                <w:color w:val="auto"/>
                <w:sz w:val="24"/>
              </w:rPr>
            </w:pPr>
            <w:r>
              <w:rPr>
                <w:rFonts w:hint="eastAsia" w:ascii="仿宋" w:hAnsi="仿宋" w:eastAsia="仿宋" w:cs="仿宋"/>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rPr>
              <w:t>A</w:t>
            </w:r>
            <w:r>
              <w:rPr>
                <w:rFonts w:hint="eastAsia" w:ascii="仿宋" w:hAnsi="仿宋" w:eastAsia="仿宋" w:cs="仿宋"/>
                <w:color w:val="auto"/>
                <w:sz w:val="24"/>
              </w:rPr>
              <w:t>不组织。</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kern w:val="0"/>
                <w:sz w:val="24"/>
              </w:rPr>
              <w:t>B组织。</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（2）方案讲解演示可选择以下其中一种方式：</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方式二：交易中心现场讲解演示。现场讲解地点为</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，讲解演示所用电脑等设备由投标人自备。现场讲解演示人员进场时提供讲解人员名单（加盖公章）及身份证明，否则不得讲解演示。</w:t>
            </w:r>
          </w:p>
          <w:p>
            <w:pPr>
              <w:snapToGrid w:val="0"/>
              <w:spacing w:line="360" w:lineRule="auto"/>
              <w:rPr>
                <w:rFonts w:hint="eastAsia" w:ascii="仿宋" w:hAnsi="仿宋" w:eastAsia="仿宋" w:cs="仿宋"/>
                <w:b/>
                <w:color w:val="auto"/>
                <w:kern w:val="0"/>
                <w:sz w:val="24"/>
                <w:lang w:val="zh-CN"/>
              </w:rPr>
            </w:pPr>
            <w:r>
              <w:rPr>
                <w:rFonts w:hint="eastAsia" w:ascii="仿宋" w:hAnsi="仿宋" w:eastAsia="仿宋" w:cs="仿宋"/>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sym w:font="Wingdings" w:char="F0FE"/>
            </w:r>
            <w:r>
              <w:rPr>
                <w:rFonts w:hint="eastAsia" w:ascii="仿宋" w:hAnsi="仿宋" w:eastAsia="仿宋" w:cs="仿宋"/>
                <w:color w:val="auto"/>
                <w:kern w:val="0"/>
                <w:sz w:val="24"/>
              </w:rPr>
              <w:t>本项目不允许采购进口产品。</w:t>
            </w:r>
          </w:p>
          <w:p>
            <w:pPr>
              <w:spacing w:line="360" w:lineRule="auto"/>
              <w:rPr>
                <w:rFonts w:hint="eastAsia" w:ascii="仿宋" w:hAnsi="仿宋" w:eastAsia="仿宋" w:cs="仿宋"/>
                <w:color w:val="auto"/>
              </w:rPr>
            </w:pPr>
            <w:r>
              <w:rPr>
                <w:rFonts w:hint="eastAsia" w:ascii="仿宋" w:hAnsi="仿宋" w:eastAsia="仿宋" w:cs="仿宋"/>
                <w:color w:val="auto"/>
                <w:kern w:val="0"/>
                <w:sz w:val="24"/>
              </w:rPr>
              <w:sym w:font="Wingdings" w:char="00A8"/>
            </w:r>
            <w:r>
              <w:rPr>
                <w:rFonts w:hint="eastAsia" w:ascii="仿宋" w:hAnsi="仿宋" w:eastAsia="仿宋"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60" w:lineRule="auto"/>
              <w:rPr>
                <w:rFonts w:hint="eastAsia"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rPr>
              <w:t>B</w:t>
            </w:r>
            <w:r>
              <w:rPr>
                <w:rFonts w:hint="eastAsia" w:ascii="仿宋" w:hAnsi="仿宋" w:eastAsia="仿宋" w:cs="仿宋"/>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lang w:val="en-US"/>
              </w:rPr>
            </w:pPr>
            <w:r>
              <w:rPr>
                <w:rFonts w:hint="eastAsia" w:ascii="仿宋" w:hAnsi="仿宋" w:eastAsia="仿宋" w:cs="仿宋"/>
                <w:color w:val="auto"/>
                <w:kern w:val="0"/>
                <w:sz w:val="24"/>
              </w:rPr>
              <w:t>（1）标的：人力资源服务，属于其他未列明行业；具体详见《中小企业划型标准规定》。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color w:val="auto"/>
                <w:sz w:val="24"/>
              </w:rPr>
            </w:pPr>
            <w:r>
              <w:rPr>
                <w:rFonts w:hint="eastAsia" w:ascii="仿宋" w:hAnsi="仿宋" w:eastAsia="仿宋" w:cs="仿宋"/>
                <w:snapToGrid w:val="0"/>
                <w:color w:val="auto"/>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rFonts w:hint="eastAsia" w:ascii="仿宋" w:hAnsi="仿宋" w:eastAsia="仿宋" w:cs="仿宋"/>
                <w:color w:val="auto"/>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仿宋" w:hAnsi="仿宋" w:eastAsia="仿宋" w:cs="仿宋"/>
                <w:color w:val="auto"/>
                <w:kern w:val="28"/>
                <w:sz w:val="24"/>
              </w:rPr>
            </w:pPr>
            <w:r>
              <w:rPr>
                <w:rFonts w:hint="eastAsia" w:ascii="仿宋" w:hAnsi="仿宋" w:eastAsia="仿宋" w:cs="仿宋"/>
                <w:color w:val="auto"/>
                <w:kern w:val="28"/>
                <w:sz w:val="24"/>
                <w:szCs w:val="24"/>
              </w:rPr>
              <w:t>备份投标文件送达地点：浙江省杭州市临平区南苑街道人民大道270号；备份投标文件签收人员联系电话：</w:t>
            </w:r>
            <w:r>
              <w:rPr>
                <w:rFonts w:hint="eastAsia" w:ascii="仿宋" w:hAnsi="仿宋" w:eastAsia="仿宋" w:cs="仿宋"/>
                <w:color w:val="auto"/>
                <w:sz w:val="24"/>
                <w:u w:val="single"/>
                <w:lang w:val="en-US" w:eastAsia="zh-CN"/>
              </w:rPr>
              <w:t>15397053608</w:t>
            </w:r>
            <w:r>
              <w:rPr>
                <w:rFonts w:hint="eastAsia" w:ascii="仿宋" w:hAnsi="仿宋" w:eastAsia="仿宋" w:cs="仿宋"/>
                <w:color w:val="auto"/>
                <w:sz w:val="24"/>
                <w:szCs w:val="24"/>
              </w:rPr>
              <w:t>。</w:t>
            </w:r>
            <w:r>
              <w:rPr>
                <w:rFonts w:hint="eastAsia" w:ascii="仿宋" w:hAnsi="仿宋" w:eastAsia="仿宋" w:cs="仿宋"/>
                <w:b/>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无</w:t>
            </w:r>
            <w:r>
              <w:rPr>
                <w:rFonts w:hint="eastAsia" w:ascii="仿宋" w:hAnsi="仿宋" w:eastAsia="仿宋" w:cs="仿宋"/>
                <w:b/>
                <w:color w:val="auto"/>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pStyle w:val="85"/>
              <w:snapToGrid w:val="0"/>
              <w:spacing w:line="360" w:lineRule="exact"/>
              <w:ind w:firstLine="0" w:firstLineChars="0"/>
              <w:rPr>
                <w:rFonts w:hint="eastAsia" w:ascii="仿宋" w:hAnsi="仿宋" w:eastAsia="仿宋" w:cs="仿宋"/>
                <w:color w:val="auto"/>
                <w:szCs w:val="24"/>
                <w:highlight w:val="none"/>
              </w:rPr>
            </w:pPr>
            <w:r>
              <w:rPr>
                <w:rFonts w:hint="eastAsia" w:ascii="仿宋" w:hAnsi="仿宋" w:eastAsia="仿宋" w:cs="仿宋"/>
                <w:b/>
                <w:bCs/>
                <w:color w:val="auto"/>
                <w:szCs w:val="24"/>
              </w:rPr>
              <w:t>招标服务费：</w:t>
            </w:r>
            <w:r>
              <w:rPr>
                <w:rFonts w:hint="eastAsia" w:ascii="仿宋" w:hAnsi="仿宋" w:eastAsia="仿宋" w:cs="仿宋"/>
                <w:color w:val="auto"/>
                <w:szCs w:val="24"/>
                <w:highlight w:val="none"/>
              </w:rPr>
              <w:t>中标人在领取中标通知书前需向招标代理机构支付招标代理服务费</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标项一招标代理服务费为：51625元，标项二招标代理服务费为：46560元，标项三招标代理服务费为：37360元标项四招标代理服务费为：28080元</w:t>
            </w:r>
            <w:r>
              <w:rPr>
                <w:rFonts w:hint="eastAsia" w:ascii="仿宋" w:hAnsi="仿宋" w:eastAsia="仿宋" w:cs="仿宋"/>
                <w:color w:val="auto"/>
                <w:szCs w:val="24"/>
                <w:highlight w:val="none"/>
              </w:rPr>
              <w:t>，费用包含在总报价中，不单独列项报价。</w:t>
            </w:r>
          </w:p>
          <w:p>
            <w:pPr>
              <w:pStyle w:val="85"/>
              <w:snapToGrid w:val="0"/>
              <w:spacing w:line="360" w:lineRule="exact"/>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中标服务费的交纳方式：以转帐或支票的形式支付，开户名：杭州益嘉工程咨询代理有限公司；开户行名称：杭州银行</w:t>
            </w:r>
            <w:r>
              <w:rPr>
                <w:rFonts w:hint="eastAsia" w:ascii="仿宋" w:hAnsi="仿宋" w:eastAsia="仿宋" w:cs="仿宋"/>
                <w:color w:val="auto"/>
                <w:szCs w:val="24"/>
                <w:highlight w:val="none"/>
                <w:lang w:val="en-US" w:eastAsia="zh-CN"/>
              </w:rPr>
              <w:t>临平</w:t>
            </w:r>
            <w:r>
              <w:rPr>
                <w:rFonts w:hint="eastAsia" w:ascii="仿宋" w:hAnsi="仿宋" w:eastAsia="仿宋" w:cs="仿宋"/>
                <w:color w:val="auto"/>
                <w:szCs w:val="24"/>
                <w:highlight w:val="none"/>
              </w:rPr>
              <w:t xml:space="preserve">支行 </w:t>
            </w:r>
          </w:p>
          <w:p>
            <w:pPr>
              <w:pStyle w:val="85"/>
              <w:snapToGrid w:val="0"/>
              <w:spacing w:line="360" w:lineRule="exact"/>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帐号：3301040160016011853</w:t>
            </w:r>
          </w:p>
          <w:p>
            <w:pPr>
              <w:spacing w:line="360" w:lineRule="auto"/>
              <w:rPr>
                <w:rFonts w:hint="eastAsia" w:ascii="仿宋" w:hAnsi="仿宋" w:eastAsia="仿宋" w:cs="仿宋"/>
                <w:snapToGrid w:val="0"/>
                <w:color w:val="auto"/>
                <w:kern w:val="28"/>
                <w:sz w:val="24"/>
              </w:rPr>
            </w:pPr>
            <w:r>
              <w:rPr>
                <w:rFonts w:hint="eastAsia" w:ascii="仿宋" w:hAnsi="仿宋" w:eastAsia="仿宋" w:cs="仿宋"/>
                <w:color w:val="auto"/>
                <w:szCs w:val="24"/>
                <w:highlight w:val="none"/>
              </w:rPr>
              <w:t>中标单位需在领取中标通知书时缴纳中标服务费，缴纳时注明招标编号。</w:t>
            </w:r>
          </w:p>
        </w:tc>
      </w:tr>
    </w:tbl>
    <w:p>
      <w:pPr>
        <w:snapToGrid w:val="0"/>
        <w:spacing w:line="360" w:lineRule="auto"/>
        <w:jc w:val="center"/>
        <w:rPr>
          <w:rFonts w:hint="eastAsia" w:ascii="仿宋" w:hAnsi="仿宋" w:eastAsia="仿宋" w:cs="仿宋"/>
          <w:b/>
          <w:color w:val="auto"/>
          <w:sz w:val="32"/>
          <w:szCs w:val="20"/>
        </w:rPr>
      </w:pPr>
    </w:p>
    <w:bookmarkEnd w:id="9"/>
    <w:p>
      <w:pPr>
        <w:adjustRightInd/>
        <w:spacing w:line="360" w:lineRule="auto"/>
        <w:ind w:firstLine="3845" w:firstLineChars="1197"/>
        <w:outlineLvl w:val="0"/>
        <w:rPr>
          <w:rFonts w:hint="eastAsia" w:ascii="仿宋" w:hAnsi="仿宋" w:eastAsia="仿宋" w:cs="仿宋"/>
          <w:b/>
          <w:color w:val="auto"/>
          <w:sz w:val="32"/>
          <w:szCs w:val="20"/>
        </w:rPr>
      </w:pPr>
      <w:bookmarkStart w:id="10" w:name="第三部分"/>
      <w:bookmarkStart w:id="11" w:name="_Toc164416483"/>
    </w:p>
    <w:p>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一、总则</w:t>
      </w:r>
    </w:p>
    <w:p>
      <w:pPr>
        <w:snapToGrid w:val="0"/>
        <w:spacing w:line="360" w:lineRule="auto"/>
        <w:ind w:firstLine="361" w:firstLineChars="150"/>
        <w:jc w:val="left"/>
        <w:outlineLvl w:val="1"/>
        <w:rPr>
          <w:rFonts w:hint="eastAsia" w:ascii="仿宋" w:hAnsi="仿宋" w:eastAsia="仿宋" w:cs="仿宋"/>
          <w:b/>
          <w:color w:val="auto"/>
          <w:sz w:val="24"/>
        </w:rPr>
      </w:pPr>
      <w:r>
        <w:rPr>
          <w:rFonts w:hint="eastAsia" w:ascii="仿宋" w:hAnsi="仿宋" w:eastAsia="仿宋" w:cs="仿宋"/>
          <w:b/>
          <w:color w:val="auto"/>
          <w:sz w:val="24"/>
        </w:rPr>
        <w:t>1. 适用范围</w:t>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 xml:space="preserve">   2.定义</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“采购机构”系指招标公告中载明的本项目的采购机构。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系指实质性要求条款，“★”系产品采购项目中单一产品或核心产品，“</w:t>
      </w:r>
      <w:r>
        <w:rPr>
          <w:rFonts w:hint="eastAsia" w:ascii="仿宋" w:hAnsi="仿宋" w:eastAsia="仿宋" w:cs="仿宋"/>
          <w:color w:val="auto"/>
          <w:kern w:val="0"/>
          <w:sz w:val="24"/>
        </w:rPr>
        <w:t></w:t>
      </w:r>
      <w:r>
        <w:rPr>
          <w:rFonts w:hint="eastAsia" w:ascii="仿宋" w:hAnsi="仿宋" w:eastAsia="仿宋" w:cs="仿宋"/>
          <w:color w:val="auto"/>
          <w:sz w:val="24"/>
        </w:rPr>
        <w:t>” 系指适用本项目的要求，“</w:t>
      </w:r>
      <w:r>
        <w:rPr>
          <w:rFonts w:hint="eastAsia" w:ascii="仿宋" w:hAnsi="仿宋" w:eastAsia="仿宋" w:cs="仿宋"/>
          <w:color w:val="auto"/>
          <w:kern w:val="0"/>
          <w:sz w:val="24"/>
        </w:rPr>
        <w:sym w:font="Wingdings" w:char="00A8"/>
      </w:r>
      <w:r>
        <w:rPr>
          <w:rFonts w:hint="eastAsia" w:ascii="仿宋" w:hAnsi="仿宋" w:eastAsia="仿宋" w:cs="仿宋"/>
          <w:color w:val="auto"/>
          <w:sz w:val="24"/>
        </w:rPr>
        <w:t>” 系指不适用本项目的要求。</w:t>
      </w:r>
    </w:p>
    <w:p>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3.2 支持绿色发展</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3.3支持中小企业发展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支持创新发展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auto"/>
          <w:sz w:val="24"/>
        </w:rPr>
      </w:pPr>
      <w:r>
        <w:rPr>
          <w:rFonts w:hint="eastAsia" w:ascii="仿宋" w:hAnsi="仿宋" w:eastAsia="仿宋" w:cs="仿宋"/>
          <w:color w:val="auto"/>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auto"/>
          <w:sz w:val="24"/>
        </w:rPr>
        <w:cr/>
      </w:r>
      <w:r>
        <w:rPr>
          <w:rFonts w:hint="eastAsia" w:ascii="仿宋" w:hAnsi="仿宋" w:eastAsia="仿宋" w:cs="仿宋"/>
          <w:b/>
          <w:color w:val="auto"/>
          <w:sz w:val="24"/>
        </w:rPr>
        <w:t>4. 询问、质疑、投诉</w:t>
      </w:r>
    </w:p>
    <w:p>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4.2供应商质疑</w:t>
      </w:r>
    </w:p>
    <w:p>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4.2.2.3对采购结果提出质疑的，质疑期限自采购结果公告期限届满之日起计算。</w:t>
      </w:r>
    </w:p>
    <w:p>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w:t>
      </w:r>
      <w:r>
        <w:rPr>
          <w:rFonts w:hint="eastAsia" w:ascii="仿宋" w:hAnsi="仿宋" w:eastAsia="仿宋" w:cs="仿宋"/>
          <w:color w:val="auto"/>
          <w:sz w:val="24"/>
        </w:rPr>
        <w:t>供应商提出质疑应当提交质疑函和必要的证明材料。质疑函应当包括下列内容：</w:t>
      </w:r>
    </w:p>
    <w:p>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4.2.3.1供应商的姓名或者名称、地址、邮编、联系人及联系电话；</w:t>
      </w:r>
    </w:p>
    <w:p>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4.2.3.2质疑项目的名称、编号；</w:t>
      </w:r>
    </w:p>
    <w:p>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4.2.3.3具体、明确的质疑事项和与质疑事项相关的请求；</w:t>
      </w:r>
    </w:p>
    <w:p>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4.2.3.4事实依据；</w:t>
      </w:r>
    </w:p>
    <w:p>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4.2.3.5必要的法律依据；</w:t>
      </w:r>
    </w:p>
    <w:p>
      <w:pPr>
        <w:pStyle w:val="33"/>
        <w:spacing w:line="360" w:lineRule="auto"/>
        <w:ind w:firstLine="960" w:firstLineChars="4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4.2.3.6提出质疑的日期。</w:t>
      </w:r>
    </w:p>
    <w:p>
      <w:pPr>
        <w:pStyle w:val="572"/>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质疑函范本及制作说明详见附件2。</w:t>
      </w:r>
    </w:p>
    <w:p>
      <w:pPr>
        <w:pStyle w:val="572"/>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4.2</w:t>
      </w:r>
      <w:r>
        <w:rPr>
          <w:rFonts w:hint="eastAsia" w:ascii="仿宋" w:hAnsi="仿宋" w:eastAsia="仿宋" w:cs="仿宋"/>
          <w:color w:val="auto"/>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2"/>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4.2</w:t>
      </w:r>
      <w:r>
        <w:rPr>
          <w:rFonts w:hint="eastAsia" w:ascii="仿宋" w:hAnsi="仿宋" w:eastAsia="仿宋" w:cs="仿宋"/>
          <w:color w:val="auto"/>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hint="eastAsia" w:ascii="仿宋" w:hAnsi="仿宋" w:eastAsia="仿宋" w:cs="仿宋"/>
          <w:color w:val="auto"/>
          <w:lang w:val="zh-CN"/>
        </w:rPr>
      </w:pPr>
      <w:r>
        <w:rPr>
          <w:rFonts w:hint="eastAsia" w:ascii="仿宋" w:hAnsi="仿宋" w:eastAsia="仿宋" w:cs="仿宋"/>
          <w:color w:val="auto"/>
          <w:lang w:val="zh-CN"/>
        </w:rPr>
        <w:t>4.3供应商投诉</w:t>
      </w:r>
    </w:p>
    <w:p>
      <w:pPr>
        <w:pStyle w:val="572"/>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4.3.1质疑供应商对采购人、采购机构的答复不满意或者采购人、采购机构未在规定的时间内作出答复的，可以在答复期满后十五个工作日内向同级政府采购监督管理部门提出投诉。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w:t>
      </w:r>
      <w:r>
        <w:rPr>
          <w:rFonts w:hint="eastAsia"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4.3.3供应商投诉应当有明确的请求和必要的证明材料。</w:t>
      </w:r>
    </w:p>
    <w:p>
      <w:pPr>
        <w:pStyle w:val="572"/>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4.3.5 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投诉书范本及制作说明详见附件3。</w:t>
      </w:r>
    </w:p>
    <w:p>
      <w:pPr>
        <w:pStyle w:val="85"/>
        <w:snapToGrid w:val="0"/>
        <w:spacing w:before="0"/>
        <w:ind w:firstLine="360"/>
        <w:rPr>
          <w:rFonts w:hint="eastAsia" w:ascii="仿宋" w:hAnsi="仿宋" w:eastAsia="仿宋" w:cs="仿宋"/>
          <w:color w:val="auto"/>
          <w:sz w:val="18"/>
          <w:szCs w:val="18"/>
        </w:rPr>
      </w:pPr>
    </w:p>
    <w:p>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 xml:space="preserve">      二、招标文件的构成、澄清、修改</w:t>
      </w:r>
    </w:p>
    <w:p>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5．招标文件的构成</w:t>
      </w:r>
    </w:p>
    <w:p>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 招标文件包括下列文件及附件：</w:t>
      </w:r>
    </w:p>
    <w:p>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5.1.1招标公告；</w:t>
      </w:r>
    </w:p>
    <w:p>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5.1.2投标人须知；</w:t>
      </w:r>
    </w:p>
    <w:p>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 招标文件的澄清、修改</w:t>
      </w:r>
    </w:p>
    <w:p>
      <w:pPr>
        <w:pStyle w:val="85"/>
        <w:snapToGrid w:val="0"/>
        <w:spacing w:before="0"/>
        <w:ind w:firstLine="480"/>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6.1已获取招标文件的潜在投标人，若有问题需要澄清，应于投标截止时间前，以书面形式向采购机构提出。</w:t>
      </w:r>
    </w:p>
    <w:p>
      <w:pPr>
        <w:pStyle w:val="85"/>
        <w:snapToGrid w:val="0"/>
        <w:spacing w:before="0"/>
        <w:ind w:firstLine="480"/>
        <w:rPr>
          <w:rFonts w:hint="eastAsia" w:ascii="仿宋" w:hAnsi="仿宋" w:eastAsia="仿宋" w:cs="仿宋"/>
          <w:color w:val="auto"/>
        </w:rPr>
      </w:pPr>
      <w:r>
        <w:rPr>
          <w:rFonts w:hint="eastAsia" w:ascii="仿宋" w:hAnsi="仿宋" w:eastAsia="仿宋" w:cs="仿宋"/>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仿宋" w:hAnsi="仿宋" w:eastAsia="仿宋" w:cs="仿宋"/>
          <w:color w:val="auto"/>
          <w:sz w:val="18"/>
          <w:szCs w:val="18"/>
          <w:lang w:val="en-US"/>
        </w:rPr>
      </w:pPr>
      <w:r>
        <w:rPr>
          <w:rFonts w:hint="eastAsia" w:ascii="仿宋" w:hAnsi="仿宋" w:eastAsia="仿宋" w:cs="仿宋"/>
          <w:color w:val="auto"/>
          <w:szCs w:val="24"/>
          <w:lang w:val="en-US"/>
        </w:rPr>
        <w:t xml:space="preserve">    </w:t>
      </w:r>
    </w:p>
    <w:p>
      <w:pPr>
        <w:adjustRightInd/>
        <w:spacing w:line="360" w:lineRule="auto"/>
        <w:jc w:val="center"/>
        <w:outlineLvl w:val="0"/>
        <w:rPr>
          <w:rFonts w:hint="eastAsia" w:ascii="仿宋" w:hAnsi="仿宋" w:eastAsia="仿宋" w:cs="仿宋"/>
          <w:b/>
          <w:color w:val="auto"/>
          <w:sz w:val="30"/>
          <w:szCs w:val="20"/>
        </w:rPr>
      </w:pPr>
      <w:r>
        <w:rPr>
          <w:rFonts w:hint="eastAsia" w:ascii="仿宋" w:hAnsi="仿宋" w:eastAsia="仿宋" w:cs="仿宋"/>
          <w:b/>
          <w:color w:val="auto"/>
          <w:sz w:val="30"/>
          <w:szCs w:val="20"/>
        </w:rPr>
        <w:t>三、投标</w:t>
      </w:r>
    </w:p>
    <w:p>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 招标文件的获取</w:t>
      </w:r>
    </w:p>
    <w:p>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8.开标前答疑会或现场考察</w:t>
      </w:r>
    </w:p>
    <w:p>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仿宋" w:hAnsi="仿宋" w:eastAsia="仿宋" w:cs="仿宋"/>
          <w:b/>
          <w:color w:val="auto"/>
          <w:szCs w:val="24"/>
        </w:rPr>
      </w:pPr>
      <w:r>
        <w:rPr>
          <w:rFonts w:hint="eastAsia" w:ascii="仿宋" w:hAnsi="仿宋" w:eastAsia="仿宋" w:cs="仿宋"/>
          <w:b/>
          <w:color w:val="auto"/>
          <w:kern w:val="28"/>
          <w:sz w:val="24"/>
          <w:szCs w:val="24"/>
        </w:rPr>
        <w:t>9.投标保证金</w:t>
      </w:r>
    </w:p>
    <w:p>
      <w:pPr>
        <w:pStyle w:val="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资格文件</w:t>
      </w:r>
      <w:r>
        <w:rPr>
          <w:rFonts w:hint="eastAsia" w:ascii="仿宋" w:hAnsi="仿宋" w:eastAsia="仿宋" w:cs="仿宋"/>
          <w:color w:val="auto"/>
          <w:sz w:val="24"/>
        </w:rPr>
        <w:t>：</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11.1.2落实政府采购政策需满足的资格要求；</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11.1.3本项目的特定资格要求。</w:t>
      </w:r>
    </w:p>
    <w:p>
      <w:pPr>
        <w:snapToGrid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11.2.1投标函；</w:t>
      </w:r>
      <w:r>
        <w:rPr>
          <w:rFonts w:hint="eastAsia" w:ascii="仿宋" w:hAnsi="仿宋" w:eastAsia="仿宋" w:cs="仿宋"/>
          <w:color w:val="auto"/>
          <w:sz w:val="24"/>
          <w:lang w:val="zh-CN"/>
        </w:rPr>
        <w:t xml:space="preserve"> </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11.2.3联合协议；</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11.2.4分包意向协议；</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11.2.5符合性审查资料；</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11.2.6评标标准相应的商务技术资料；</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11.2.7商务技术偏离表；</w:t>
      </w:r>
    </w:p>
    <w:p>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11.3.1开标一览表（报价表）；</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11.3.2中小企业声明函。</w:t>
      </w:r>
    </w:p>
    <w:p>
      <w:pPr>
        <w:spacing w:line="360" w:lineRule="auto"/>
        <w:ind w:firstLine="723" w:firstLineChars="300"/>
        <w:rPr>
          <w:rFonts w:hint="eastAsia" w:ascii="仿宋" w:hAnsi="仿宋" w:eastAsia="仿宋" w:cs="仿宋"/>
          <w:b/>
          <w:color w:val="auto"/>
          <w:sz w:val="24"/>
        </w:rPr>
      </w:pPr>
      <w:r>
        <w:rPr>
          <w:rFonts w:hint="eastAsia" w:ascii="仿宋" w:hAnsi="仿宋" w:eastAsia="仿宋" w:cs="仿宋"/>
          <w:b/>
          <w:color w:val="auto"/>
          <w:sz w:val="24"/>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rPr>
      </w:pPr>
      <w:r>
        <w:rPr>
          <w:rFonts w:hint="eastAsia" w:ascii="仿宋" w:hAnsi="仿宋" w:eastAsia="仿宋" w:cs="仿宋"/>
          <w:b/>
          <w:color w:val="auto"/>
          <w:sz w:val="24"/>
        </w:rPr>
        <w:t>投标人提供虚假材料投标的，投标无效。</w:t>
      </w:r>
    </w:p>
    <w:p>
      <w:pPr>
        <w:pStyle w:val="85"/>
        <w:snapToGrid w:val="0"/>
        <w:spacing w:before="0"/>
        <w:ind w:firstLine="0" w:firstLineChars="0"/>
        <w:outlineLvl w:val="0"/>
        <w:rPr>
          <w:rFonts w:hint="eastAsia"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 xml:space="preserve">. </w:t>
      </w:r>
      <w:r>
        <w:rPr>
          <w:rFonts w:hint="eastAsia" w:ascii="仿宋" w:hAnsi="仿宋" w:eastAsia="仿宋" w:cs="仿宋"/>
          <w:b/>
          <w:color w:val="auto"/>
          <w:szCs w:val="24"/>
        </w:rPr>
        <w:t>投标文件的编制</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13.投标文件的签署、盖章</w:t>
      </w:r>
    </w:p>
    <w:p>
      <w:pPr>
        <w:pStyle w:val="85"/>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pPr>
        <w:pStyle w:val="85"/>
        <w:snapToGrid w:val="0"/>
        <w:spacing w:before="0"/>
        <w:ind w:firstLine="480"/>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hint="eastAsia"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pPr>
        <w:pStyle w:val="85"/>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14. 投标文件的提交、补充、修改、撤回</w:t>
      </w:r>
    </w:p>
    <w:p>
      <w:pPr>
        <w:pStyle w:val="85"/>
        <w:ind w:firstLine="480"/>
        <w:rPr>
          <w:rFonts w:hint="eastAsia"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hint="eastAsia" w:ascii="仿宋" w:hAnsi="仿宋" w:eastAsia="仿宋" w:cs="仿宋"/>
          <w:color w:val="auto"/>
          <w:szCs w:val="24"/>
        </w:rPr>
      </w:pPr>
      <w:r>
        <w:rPr>
          <w:rFonts w:hint="eastAsia" w:ascii="仿宋" w:hAnsi="仿宋" w:eastAsia="仿宋" w:cs="仿宋"/>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15.备份投标文件</w:t>
      </w:r>
    </w:p>
    <w:p>
      <w:pPr>
        <w:pStyle w:val="33"/>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rPr>
        <w:t>但采购人、采购机构不强制或变相强制投标人提交备份投标文件。</w:t>
      </w:r>
    </w:p>
    <w:p>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rPr>
        <w:t>DVD光盘</w:t>
      </w:r>
      <w:r>
        <w:rPr>
          <w:rFonts w:hint="eastAsia" w:ascii="仿宋" w:hAnsi="仿宋" w:eastAsia="仿宋" w:cs="仿宋"/>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仿宋" w:hAnsi="仿宋" w:eastAsia="仿宋" w:cs="仿宋"/>
          <w:b/>
          <w:color w:val="auto"/>
          <w:sz w:val="24"/>
          <w:szCs w:val="24"/>
        </w:rPr>
      </w:pPr>
      <w:r>
        <w:rPr>
          <w:rFonts w:hint="eastAsia" w:ascii="仿宋" w:hAnsi="仿宋" w:eastAsia="仿宋" w:cs="仿宋"/>
          <w:b/>
          <w:color w:val="auto"/>
          <w:sz w:val="24"/>
          <w:szCs w:val="24"/>
        </w:rPr>
        <w:t>15.5投标人仅提交备份投标文件，没有在电子交易平台传输递交投标文件的，投标无效。</w:t>
      </w:r>
    </w:p>
    <w:p>
      <w:pPr>
        <w:pStyle w:val="85"/>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16.投标文件的无效处理</w:t>
      </w:r>
    </w:p>
    <w:p>
      <w:pPr>
        <w:pStyle w:val="24"/>
        <w:spacing w:line="36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有招标文件第四部分</w:t>
      </w:r>
      <w:r>
        <w:rPr>
          <w:rFonts w:hint="eastAsia" w:ascii="仿宋" w:hAnsi="仿宋" w:eastAsia="仿宋" w:cs="仿宋"/>
          <w:color w:val="auto"/>
        </w:rPr>
        <w:t>第13项规定</w:t>
      </w:r>
      <w:r>
        <w:rPr>
          <w:rFonts w:hint="eastAsia" w:ascii="仿宋" w:hAnsi="仿宋" w:eastAsia="仿宋" w:cs="仿宋"/>
          <w:color w:val="auto"/>
          <w:szCs w:val="21"/>
        </w:rPr>
        <w:t>的情形之一的，投标无效：</w:t>
      </w:r>
    </w:p>
    <w:p>
      <w:pPr>
        <w:pStyle w:val="85"/>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17.投标有效期</w:t>
      </w:r>
    </w:p>
    <w:p>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pPr>
        <w:pStyle w:val="85"/>
        <w:spacing w:before="0"/>
        <w:ind w:firstLine="480"/>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pPr>
        <w:pStyle w:val="85"/>
        <w:spacing w:before="0"/>
        <w:ind w:firstLine="480"/>
        <w:rPr>
          <w:rFonts w:hint="eastAsia" w:ascii="仿宋" w:hAnsi="仿宋" w:eastAsia="仿宋" w:cs="仿宋"/>
          <w:color w:val="auto"/>
        </w:rPr>
      </w:pPr>
      <w:r>
        <w:rPr>
          <w:rFonts w:hint="eastAsia" w:ascii="仿宋" w:hAnsi="仿宋" w:eastAsia="仿宋" w:cs="仿宋"/>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85"/>
        <w:spacing w:before="0"/>
        <w:ind w:firstLine="643"/>
        <w:rPr>
          <w:rFonts w:hint="eastAsia" w:ascii="仿宋" w:hAnsi="仿宋" w:eastAsia="仿宋" w:cs="仿宋"/>
          <w:b/>
          <w:color w:val="auto"/>
          <w:sz w:val="32"/>
        </w:rPr>
      </w:pPr>
    </w:p>
    <w:p>
      <w:pPr>
        <w:pStyle w:val="85"/>
        <w:spacing w:before="0"/>
        <w:ind w:firstLine="1928" w:firstLineChars="600"/>
        <w:rPr>
          <w:rFonts w:hint="eastAsia" w:ascii="仿宋" w:hAnsi="仿宋" w:eastAsia="仿宋" w:cs="仿宋"/>
          <w:b/>
          <w:color w:val="auto"/>
          <w:sz w:val="32"/>
        </w:rPr>
      </w:pPr>
      <w:r>
        <w:rPr>
          <w:rFonts w:hint="eastAsia" w:ascii="仿宋" w:hAnsi="仿宋" w:eastAsia="仿宋" w:cs="仿宋"/>
          <w:b/>
          <w:color w:val="auto"/>
          <w:sz w:val="32"/>
        </w:rPr>
        <w:t>四、开标、资格审查与信用信息查询</w:t>
      </w:r>
    </w:p>
    <w:p>
      <w:pPr>
        <w:pStyle w:val="240"/>
        <w:spacing w:before="0" w:line="360" w:lineRule="auto"/>
        <w:ind w:left="0" w:firstLine="241" w:firstLineChars="100"/>
        <w:contextualSpacing/>
        <w:rPr>
          <w:rFonts w:hint="eastAsia" w:ascii="仿宋" w:hAnsi="仿宋" w:eastAsia="仿宋" w:cs="仿宋"/>
          <w:color w:val="auto"/>
          <w:sz w:val="24"/>
        </w:rPr>
      </w:pPr>
      <w:r>
        <w:rPr>
          <w:rFonts w:hint="eastAsia" w:ascii="仿宋" w:hAnsi="仿宋" w:eastAsia="仿宋" w:cs="仿宋"/>
          <w:b/>
          <w:color w:val="auto"/>
          <w:sz w:val="24"/>
          <w:szCs w:val="24"/>
        </w:rPr>
        <w:t>18.开标</w:t>
      </w:r>
      <w:r>
        <w:rPr>
          <w:rFonts w:hint="eastAsia" w:ascii="仿宋" w:hAnsi="仿宋" w:eastAsia="仿宋" w:cs="仿宋"/>
          <w:color w:val="auto"/>
          <w:sz w:val="24"/>
        </w:rPr>
        <w:t xml:space="preserve"> </w:t>
      </w:r>
    </w:p>
    <w:p>
      <w:pPr>
        <w:pStyle w:val="240"/>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18.1采购机构按照招标文件规定的时间通过电子交易平台组织开标，所有投标人均应当准时在线参加。投标人不足3家的，不得开标。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hint="eastAsia" w:ascii="仿宋" w:hAnsi="仿宋" w:eastAsia="仿宋" w:cs="仿宋"/>
          <w:color w:val="auto"/>
          <w:sz w:val="24"/>
        </w:rPr>
      </w:pPr>
      <w:r>
        <w:rPr>
          <w:rFonts w:hint="eastAsia" w:ascii="仿宋" w:hAnsi="仿宋" w:eastAsia="仿宋" w:cs="仿宋"/>
          <w:color w:val="auto"/>
          <w:sz w:val="24"/>
        </w:rPr>
        <w:t>　18.2开标时，电子交易平台按开标时间自动提取所有投标文件。采购机构依托电子交易平台发起开始解密指令，投标人按照平台提示和招标文件的规定在半小时内完成在线解密。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hint="eastAsia" w:ascii="仿宋" w:hAnsi="仿宋" w:eastAsia="仿宋" w:cs="仿宋"/>
          <w:b/>
          <w:color w:val="auto"/>
          <w:sz w:val="24"/>
        </w:rPr>
      </w:pPr>
      <w:r>
        <w:rPr>
          <w:rFonts w:hint="eastAsia" w:ascii="仿宋" w:hAnsi="仿宋" w:eastAsia="仿宋" w:cs="仿宋"/>
          <w:color w:val="auto"/>
          <w:sz w:val="24"/>
        </w:rPr>
        <w:t>　18.3</w:t>
      </w:r>
      <w:r>
        <w:rPr>
          <w:rFonts w:hint="eastAsia" w:ascii="仿宋" w:hAnsi="仿宋" w:eastAsia="仿宋" w:cs="仿宋"/>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rPr>
      </w:pPr>
      <w:r>
        <w:rPr>
          <w:rFonts w:hint="eastAsia" w:ascii="仿宋" w:hAnsi="仿宋" w:eastAsia="仿宋" w:cs="仿宋"/>
          <w:b/>
          <w:color w:val="auto"/>
          <w:sz w:val="24"/>
          <w:szCs w:val="20"/>
        </w:rPr>
        <w:t>　19、资格审查</w:t>
      </w:r>
    </w:p>
    <w:p>
      <w:pPr>
        <w:pStyle w:val="85"/>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19.2</w:t>
      </w:r>
      <w:r>
        <w:rPr>
          <w:rFonts w:hint="eastAsia" w:ascii="仿宋" w:hAnsi="仿宋" w:eastAsia="仿宋" w:cs="仿宋"/>
          <w:color w:val="auto"/>
          <w:sz w:val="24"/>
        </w:rPr>
        <w:t>采购人或采购机构依据法律法规和招标文件的规定，对投标人的基本资格条件、特定资格条件进行审查。</w:t>
      </w:r>
    </w:p>
    <w:p>
      <w:pPr>
        <w:pStyle w:val="85"/>
        <w:spacing w:before="0"/>
        <w:ind w:firstLine="480"/>
        <w:rPr>
          <w:rFonts w:hint="eastAsia" w:ascii="仿宋" w:hAnsi="仿宋" w:eastAsia="仿宋" w:cs="仿宋"/>
          <w:color w:val="auto"/>
        </w:rPr>
      </w:pPr>
      <w:r>
        <w:rPr>
          <w:rFonts w:hint="eastAsia" w:ascii="仿宋" w:hAnsi="仿宋" w:eastAsia="仿宋" w:cs="仿宋"/>
          <w:color w:val="auto"/>
          <w:kern w:val="0"/>
          <w:szCs w:val="24"/>
        </w:rPr>
        <w:t>19.3投标人未按照招标文件要求提供与</w:t>
      </w:r>
      <w:r>
        <w:rPr>
          <w:rFonts w:hint="eastAsia" w:ascii="仿宋" w:hAnsi="仿宋" w:eastAsia="仿宋" w:cs="仿宋"/>
          <w:color w:val="auto"/>
        </w:rPr>
        <w:t>基本资格条件、特定资格条件相应的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pPr>
        <w:pStyle w:val="85"/>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4对未通过资格审查的投标人，采购人或采购机构告知其未通过的原因。</w:t>
      </w:r>
    </w:p>
    <w:p>
      <w:pPr>
        <w:pStyle w:val="85"/>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5合格投标人不足3家的，不再评标。</w:t>
      </w:r>
    </w:p>
    <w:p>
      <w:pPr>
        <w:pStyle w:val="85"/>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20、信用信息查询</w:t>
      </w:r>
    </w:p>
    <w:p>
      <w:pPr>
        <w:pStyle w:val="85"/>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20.1信用信息查询渠道及截止时间：采购机构将通过“信用中国”网站(www.creditchina.gov.cn)、中国政府采购网(www.ccgp.gov.cn)渠道查询投标人投标截止时间当天的信用记录。</w:t>
      </w:r>
    </w:p>
    <w:p>
      <w:pPr>
        <w:pStyle w:val="85"/>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pPr>
        <w:pStyle w:val="85"/>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hint="eastAsia"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pPr>
        <w:pStyle w:val="85"/>
        <w:spacing w:before="0"/>
        <w:ind w:firstLine="0" w:firstLineChars="0"/>
        <w:rPr>
          <w:rFonts w:hint="eastAsia" w:ascii="仿宋" w:hAnsi="仿宋" w:eastAsia="仿宋" w:cs="仿宋"/>
          <w:color w:val="auto"/>
          <w:kern w:val="0"/>
          <w:szCs w:val="24"/>
        </w:rPr>
      </w:pPr>
    </w:p>
    <w:p>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五、评标</w:t>
      </w:r>
    </w:p>
    <w:p>
      <w:pPr>
        <w:spacing w:line="360" w:lineRule="auto"/>
        <w:rPr>
          <w:rFonts w:hint="eastAsia" w:ascii="仿宋" w:hAnsi="仿宋" w:eastAsia="仿宋" w:cs="仿宋"/>
          <w:b/>
          <w:color w:val="auto"/>
          <w:sz w:val="24"/>
        </w:rPr>
      </w:pPr>
      <w:bookmarkStart w:id="12" w:name="_Toc91899903"/>
      <w:r>
        <w:rPr>
          <w:rFonts w:hint="eastAsia" w:ascii="仿宋" w:hAnsi="仿宋" w:eastAsia="仿宋" w:cs="仿宋"/>
          <w:b/>
          <w:color w:val="auto"/>
          <w:sz w:val="24"/>
        </w:rPr>
        <w:t>21.</w:t>
      </w:r>
      <w:r>
        <w:rPr>
          <w:rFonts w:hint="eastAsia" w:ascii="仿宋" w:hAnsi="仿宋" w:eastAsia="仿宋" w:cs="仿宋"/>
          <w:color w:val="auto"/>
        </w:rPr>
        <w:t xml:space="preserve"> </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rPr>
        <w:t>详见招标文件第四部分评标办法。</w:t>
      </w:r>
    </w:p>
    <w:p>
      <w:pPr>
        <w:spacing w:line="360" w:lineRule="auto"/>
        <w:rPr>
          <w:rFonts w:hint="eastAsia" w:ascii="仿宋" w:hAnsi="仿宋" w:eastAsia="仿宋" w:cs="仿宋"/>
          <w:b/>
          <w:color w:val="auto"/>
          <w:sz w:val="24"/>
        </w:rPr>
      </w:pPr>
    </w:p>
    <w:p>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六、定 标</w:t>
      </w:r>
    </w:p>
    <w:p>
      <w:pPr>
        <w:pStyle w:val="24"/>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22. 确定中标供应商</w:t>
      </w:r>
    </w:p>
    <w:p>
      <w:pPr>
        <w:pStyle w:val="85"/>
        <w:snapToGrid w:val="0"/>
        <w:spacing w:before="0"/>
        <w:ind w:firstLine="480"/>
        <w:rPr>
          <w:rFonts w:hint="eastAsia" w:ascii="仿宋" w:hAnsi="仿宋" w:eastAsia="仿宋" w:cs="仿宋"/>
          <w:b/>
          <w:color w:val="auto"/>
          <w:szCs w:val="24"/>
        </w:rPr>
      </w:pPr>
      <w:r>
        <w:rPr>
          <w:rFonts w:hint="eastAsia" w:ascii="仿宋" w:hAnsi="仿宋" w:eastAsia="仿宋" w:cs="仿宋"/>
          <w:color w:val="auto"/>
          <w:szCs w:val="24"/>
        </w:rPr>
        <w:t>采购人将自收到评审报告之日起5个工作日内通过电子交易平台在评审报告推荐的中标候选人中按顺序确定中标供应商。</w:t>
      </w:r>
    </w:p>
    <w:p>
      <w:pPr>
        <w:pStyle w:val="85"/>
        <w:snapToGrid w:val="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rPr>
      </w:pPr>
    </w:p>
    <w:p>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七、合同授予</w:t>
      </w:r>
    </w:p>
    <w:p>
      <w:pPr>
        <w:pStyle w:val="24"/>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 xml:space="preserve">24. </w:t>
      </w:r>
      <w:r>
        <w:rPr>
          <w:rFonts w:hint="eastAsia" w:ascii="仿宋" w:hAnsi="仿宋" w:eastAsia="仿宋" w:cs="仿宋"/>
          <w:color w:val="auto"/>
        </w:rPr>
        <w:t>合同主要条款详见第五部分拟签订的合同文本。</w:t>
      </w:r>
    </w:p>
    <w:p>
      <w:pPr>
        <w:pStyle w:val="24"/>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25. 合同的签订</w:t>
      </w:r>
    </w:p>
    <w:p>
      <w:pPr>
        <w:widowControl/>
        <w:shd w:val="clear" w:color="auto" w:fill="FFFFFF"/>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sz w:val="24"/>
        </w:rPr>
        <w:t>25.1</w:t>
      </w:r>
      <w:r>
        <w:rPr>
          <w:rFonts w:hint="eastAsia" w:ascii="仿宋" w:hAnsi="仿宋" w:eastAsia="仿宋" w:cs="仿宋"/>
          <w:color w:val="auto"/>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85"/>
        <w:snapToGrid w:val="0"/>
        <w:spacing w:before="0"/>
        <w:ind w:firstLine="480"/>
        <w:rPr>
          <w:rFonts w:hint="eastAsia" w:ascii="仿宋" w:hAnsi="仿宋" w:eastAsia="仿宋" w:cs="仿宋"/>
          <w:color w:val="auto"/>
          <w:kern w:val="0"/>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hint="eastAsia" w:ascii="仿宋" w:hAnsi="仿宋" w:eastAsia="仿宋" w:cs="仿宋"/>
          <w:color w:val="auto"/>
        </w:rPr>
      </w:pPr>
      <w:r>
        <w:rPr>
          <w:rFonts w:hint="eastAsia" w:ascii="仿宋" w:hAnsi="仿宋" w:eastAsia="仿宋" w:cs="仿宋"/>
          <w:color w:val="auto"/>
        </w:rPr>
        <w:t>25.3如签订合同并生效后，供应商无故拒绝或延期，除按照合同条款处理外，列入不良行为记录一次，并给予通报。</w:t>
      </w:r>
    </w:p>
    <w:p>
      <w:pPr>
        <w:pStyle w:val="85"/>
        <w:snapToGrid w:val="0"/>
        <w:spacing w:before="0"/>
        <w:ind w:firstLine="480"/>
        <w:rPr>
          <w:rFonts w:hint="eastAsia" w:ascii="仿宋" w:hAnsi="仿宋" w:eastAsia="仿宋" w:cs="仿宋"/>
          <w:color w:val="auto"/>
        </w:rPr>
      </w:pPr>
      <w:r>
        <w:rPr>
          <w:rFonts w:hint="eastAsia" w:ascii="仿宋" w:hAnsi="仿宋" w:eastAsia="仿宋" w:cs="仿宋"/>
          <w:color w:val="auto"/>
        </w:rPr>
        <w:t>25.4中标供应商拒绝与采购人签订合同的，采购人可以按照评审报告推荐的中标或者成交候选人名单排序，确定下一候选人为中标供应商，也可以重新开展政府采购活动。</w:t>
      </w:r>
    </w:p>
    <w:p>
      <w:pPr>
        <w:pStyle w:val="85"/>
        <w:snapToGrid w:val="0"/>
        <w:spacing w:before="0" w:after="120"/>
        <w:ind w:firstLine="480"/>
        <w:rPr>
          <w:rFonts w:hint="eastAsia" w:ascii="仿宋" w:hAnsi="仿宋" w:eastAsia="仿宋" w:cs="仿宋"/>
          <w:color w:val="auto"/>
        </w:rPr>
      </w:pPr>
      <w:r>
        <w:rPr>
          <w:rFonts w:hint="eastAsia" w:ascii="仿宋" w:hAnsi="仿宋" w:eastAsia="仿宋" w:cs="仿宋"/>
          <w:color w:val="auto"/>
        </w:rPr>
        <w:t>25.5采购合同由采购人与中标供应商根据招标文件、投标文件等内容通过政府采购电子交易平台在线签订，自动备案。</w:t>
      </w:r>
    </w:p>
    <w:p>
      <w:pPr>
        <w:pStyle w:val="24"/>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26. 履约保证金</w:t>
      </w:r>
    </w:p>
    <w:p>
      <w:pPr>
        <w:tabs>
          <w:tab w:val="left" w:pos="0"/>
        </w:tabs>
        <w:spacing w:line="360" w:lineRule="auto"/>
        <w:ind w:firstLine="482"/>
        <w:rPr>
          <w:rFonts w:hint="eastAsia" w:ascii="仿宋" w:hAnsi="仿宋" w:eastAsia="仿宋" w:cs="仿宋"/>
          <w:b/>
          <w:color w:val="auto"/>
          <w:sz w:val="24"/>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。履约保证金的数额不得超过政府采购合同金额的5%。鼓励和支持供应商以银行、保险公司出具的保函形式提供履约保证金。</w:t>
      </w:r>
      <w:r>
        <w:rPr>
          <w:rFonts w:hint="eastAsia" w:ascii="仿宋" w:hAnsi="仿宋" w:eastAsia="仿宋" w:cs="仿宋"/>
          <w:b/>
          <w:color w:val="auto"/>
          <w:sz w:val="24"/>
        </w:rPr>
        <w:t>采购人不得拒收履约保函。</w:t>
      </w:r>
    </w:p>
    <w:p>
      <w:pPr>
        <w:tabs>
          <w:tab w:val="left" w:pos="0"/>
        </w:tabs>
        <w:spacing w:line="360" w:lineRule="auto"/>
        <w:ind w:firstLine="482"/>
        <w:rPr>
          <w:rFonts w:hint="eastAsia" w:ascii="仿宋" w:hAnsi="仿宋" w:eastAsia="仿宋" w:cs="仿宋"/>
          <w:color w:val="auto"/>
          <w:sz w:val="24"/>
          <w:szCs w:val="20"/>
        </w:rPr>
      </w:pPr>
      <w:r>
        <w:rPr>
          <w:rFonts w:hint="eastAsia" w:ascii="仿宋" w:hAnsi="仿宋" w:eastAsia="仿宋" w:cs="仿宋"/>
          <w:color w:val="auto"/>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5%。</w:t>
      </w:r>
    </w:p>
    <w:p>
      <w:pPr>
        <w:pStyle w:val="2"/>
        <w:ind w:left="0" w:firstLine="480" w:firstLineChars="200"/>
        <w:rPr>
          <w:rFonts w:hint="eastAsia" w:ascii="仿宋" w:hAnsi="仿宋" w:eastAsia="仿宋" w:cs="仿宋"/>
          <w:color w:val="auto"/>
          <w:lang w:val="en-US"/>
        </w:rPr>
      </w:pPr>
      <w:r>
        <w:rPr>
          <w:rFonts w:hint="eastAsia" w:ascii="仿宋" w:hAnsi="仿宋" w:eastAsia="仿宋" w:cs="仿宋"/>
          <w:b w:val="0"/>
          <w:bCs w:val="0"/>
          <w:snapToGrid w:val="0"/>
          <w:color w:val="auto"/>
          <w:kern w:val="28"/>
          <w:sz w:val="24"/>
        </w:rPr>
        <w:t>供应商</w:t>
      </w:r>
      <w:r>
        <w:rPr>
          <w:rFonts w:hint="eastAsia" w:ascii="仿宋" w:hAnsi="仿宋" w:eastAsia="仿宋" w:cs="仿宋"/>
          <w:b w:val="0"/>
          <w:bCs w:val="0"/>
          <w:snapToGrid w:val="0"/>
          <w:color w:val="auto"/>
          <w:kern w:val="28"/>
          <w:sz w:val="24"/>
          <w:lang w:val="en-US"/>
        </w:rPr>
        <w:t>可</w:t>
      </w:r>
      <w:r>
        <w:rPr>
          <w:rFonts w:hint="eastAsia" w:ascii="仿宋" w:hAnsi="仿宋" w:eastAsia="仿宋" w:cs="仿宋"/>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32"/>
        </w:rPr>
      </w:pPr>
    </w:p>
    <w:p>
      <w:pPr>
        <w:snapToGrid w:val="0"/>
        <w:spacing w:line="360" w:lineRule="auto"/>
        <w:ind w:firstLine="3357" w:firstLineChars="1045"/>
        <w:rPr>
          <w:rFonts w:hint="eastAsia" w:ascii="仿宋" w:hAnsi="仿宋" w:eastAsia="仿宋" w:cs="仿宋"/>
          <w:b/>
          <w:color w:val="auto"/>
          <w:sz w:val="24"/>
        </w:rPr>
      </w:pPr>
      <w:r>
        <w:rPr>
          <w:rFonts w:hint="eastAsia" w:ascii="仿宋" w:hAnsi="仿宋" w:eastAsia="仿宋" w:cs="仿宋"/>
          <w:b/>
          <w:color w:val="auto"/>
          <w:sz w:val="32"/>
        </w:rPr>
        <w:t>八、电子交易活动的中止</w:t>
      </w:r>
    </w:p>
    <w:p>
      <w:pPr>
        <w:pStyle w:val="85"/>
        <w:snapToGrid w:val="0"/>
        <w:spacing w:before="0"/>
        <w:ind w:firstLine="0" w:firstLineChars="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b/>
          <w:color w:val="auto"/>
          <w:szCs w:val="24"/>
        </w:rPr>
        <w:t>7. 电子交易活动的中止。</w:t>
      </w:r>
      <w:r>
        <w:rPr>
          <w:rFonts w:hint="eastAsia" w:ascii="仿宋" w:hAnsi="仿宋" w:eastAsia="仿宋" w:cs="仿宋"/>
          <w:color w:val="auto"/>
        </w:rPr>
        <w:t>采购过程中出现以下情形，导致电子交易平台无法正常运行，或者无法保证电子交易的公平、公正和安全时，采购机构可中止电子交易活动：</w:t>
      </w:r>
    </w:p>
    <w:p>
      <w:pPr>
        <w:pStyle w:val="85"/>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27.1电子交易平台发生故障而无法登录访问的； </w:t>
      </w:r>
    </w:p>
    <w:p>
      <w:pPr>
        <w:pStyle w:val="85"/>
        <w:snapToGrid w:val="0"/>
        <w:spacing w:before="0"/>
        <w:ind w:firstLine="480"/>
        <w:rPr>
          <w:rFonts w:hint="eastAsia" w:ascii="仿宋" w:hAnsi="仿宋" w:eastAsia="仿宋" w:cs="仿宋"/>
          <w:color w:val="auto"/>
        </w:rPr>
      </w:pPr>
      <w:r>
        <w:rPr>
          <w:rFonts w:hint="eastAsia" w:ascii="仿宋" w:hAnsi="仿宋" w:eastAsia="仿宋" w:cs="仿宋"/>
          <w:color w:val="auto"/>
        </w:rPr>
        <w:t>27.2电子交易平台应用或数据库出现错误，不能进行正常操作的；</w:t>
      </w:r>
    </w:p>
    <w:p>
      <w:pPr>
        <w:pStyle w:val="85"/>
        <w:snapToGrid w:val="0"/>
        <w:spacing w:before="0"/>
        <w:ind w:firstLine="480"/>
        <w:rPr>
          <w:rFonts w:hint="eastAsia" w:ascii="仿宋" w:hAnsi="仿宋" w:eastAsia="仿宋" w:cs="仿宋"/>
          <w:color w:val="auto"/>
        </w:rPr>
      </w:pPr>
      <w:r>
        <w:rPr>
          <w:rFonts w:hint="eastAsia" w:ascii="仿宋" w:hAnsi="仿宋" w:eastAsia="仿宋" w:cs="仿宋"/>
          <w:color w:val="auto"/>
        </w:rPr>
        <w:t>27.3电子交易平台发现严重安全漏洞，有潜在泄密危险的；</w:t>
      </w:r>
    </w:p>
    <w:p>
      <w:pPr>
        <w:pStyle w:val="85"/>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27.4病毒发作导致不能进行正常操作的； </w:t>
      </w:r>
    </w:p>
    <w:p>
      <w:pPr>
        <w:pStyle w:val="85"/>
        <w:snapToGrid w:val="0"/>
        <w:spacing w:before="0"/>
        <w:ind w:firstLine="480"/>
        <w:rPr>
          <w:rFonts w:hint="eastAsia" w:ascii="仿宋" w:hAnsi="仿宋" w:eastAsia="仿宋" w:cs="仿宋"/>
          <w:color w:val="auto"/>
        </w:rPr>
      </w:pPr>
      <w:r>
        <w:rPr>
          <w:rFonts w:hint="eastAsia" w:ascii="仿宋" w:hAnsi="仿宋" w:eastAsia="仿宋" w:cs="仿宋"/>
          <w:color w:val="auto"/>
        </w:rPr>
        <w:t>27.5其他无法保证电子交易的公平、公正和安全的情况。</w:t>
      </w:r>
    </w:p>
    <w:p>
      <w:pPr>
        <w:pStyle w:val="85"/>
        <w:snapToGrid w:val="0"/>
        <w:spacing w:before="0"/>
        <w:ind w:firstLine="0" w:firstLineChars="0"/>
        <w:rPr>
          <w:rFonts w:hint="eastAsia" w:ascii="仿宋" w:hAnsi="仿宋" w:eastAsia="仿宋" w:cs="仿宋"/>
          <w:color w:val="auto"/>
        </w:rPr>
      </w:pPr>
      <w:r>
        <w:rPr>
          <w:rFonts w:hint="eastAsia" w:ascii="仿宋" w:hAnsi="仿宋" w:eastAsia="仿宋" w:cs="仿宋"/>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rPr>
      </w:pPr>
    </w:p>
    <w:p>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pPr>
        <w:pStyle w:val="24"/>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29.验收</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rPr>
      </w:pPr>
      <w:r>
        <w:rPr>
          <w:rFonts w:hint="eastAsia" w:ascii="仿宋" w:hAnsi="仿宋" w:eastAsia="仿宋" w:cs="仿宋"/>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仿宋" w:hAnsi="仿宋" w:eastAsia="仿宋" w:cs="仿宋"/>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Hlt75236290"/>
      <w:bookmarkEnd w:id="13"/>
      <w:bookmarkStart w:id="14" w:name="_Hlt75236011"/>
      <w:bookmarkEnd w:id="14"/>
      <w:bookmarkStart w:id="15" w:name="_Hlt74729768"/>
      <w:bookmarkEnd w:id="15"/>
      <w:bookmarkStart w:id="16" w:name="_Hlt68072990"/>
      <w:bookmarkEnd w:id="16"/>
      <w:bookmarkStart w:id="17" w:name="_Hlt68057669"/>
      <w:bookmarkEnd w:id="17"/>
      <w:bookmarkStart w:id="18" w:name="_Hlt74714665"/>
      <w:bookmarkEnd w:id="18"/>
      <w:bookmarkStart w:id="19" w:name="_Hlt68073093"/>
      <w:bookmarkEnd w:id="19"/>
      <w:bookmarkStart w:id="20" w:name="_Hlt75236101"/>
      <w:bookmarkEnd w:id="20"/>
      <w:bookmarkStart w:id="21" w:name="_Hlt74730295"/>
      <w:bookmarkEnd w:id="21"/>
      <w:bookmarkStart w:id="22" w:name="_Hlt68403820"/>
      <w:bookmarkEnd w:id="22"/>
      <w:bookmarkStart w:id="23" w:name="_Hlt74707468"/>
      <w:bookmarkEnd w:id="23"/>
      <w:bookmarkStart w:id="24" w:name="_Hlt68072998"/>
      <w:bookmarkEnd w:id="24"/>
    </w:p>
    <w:bookmarkEnd w:id="10"/>
    <w:bookmarkEnd w:id="11"/>
    <w:p>
      <w:pPr>
        <w:numPr>
          <w:ilvl w:val="0"/>
          <w:numId w:val="1"/>
        </w:numPr>
        <w:spacing w:line="360" w:lineRule="auto"/>
        <w:jc w:val="center"/>
        <w:outlineLvl w:val="0"/>
        <w:rPr>
          <w:rFonts w:hint="eastAsia" w:ascii="仿宋" w:hAnsi="仿宋" w:eastAsia="仿宋" w:cs="仿宋"/>
          <w:b/>
          <w:color w:val="auto"/>
          <w:sz w:val="36"/>
          <w:szCs w:val="36"/>
        </w:rPr>
      </w:pPr>
      <w:bookmarkStart w:id="25" w:name="第四部分"/>
      <w:r>
        <w:rPr>
          <w:rFonts w:hint="eastAsia" w:ascii="仿宋" w:hAnsi="仿宋" w:eastAsia="仿宋" w:cs="仿宋"/>
          <w:b/>
          <w:color w:val="auto"/>
          <w:sz w:val="36"/>
          <w:szCs w:val="36"/>
        </w:rPr>
        <w:t xml:space="preserve">  采购需求</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一、项目概述：</w:t>
      </w:r>
    </w:p>
    <w:p>
      <w:pPr>
        <w:numPr>
          <w:ilvl w:val="0"/>
          <w:numId w:val="0"/>
        </w:numPr>
        <w:spacing w:line="420" w:lineRule="auto"/>
        <w:ind w:firstLine="480" w:firstLineChars="200"/>
        <w:jc w:val="left"/>
        <w:rPr>
          <w:rFonts w:hint="eastAsia" w:ascii="仿宋" w:hAnsi="仿宋" w:eastAsia="仿宋" w:cs="仿宋"/>
          <w:sz w:val="24"/>
        </w:rPr>
      </w:pPr>
      <w:r>
        <w:rPr>
          <w:rFonts w:hint="eastAsia" w:ascii="仿宋" w:hAnsi="仿宋" w:eastAsia="仿宋" w:cs="仿宋"/>
          <w:sz w:val="24"/>
        </w:rPr>
        <w:t>本</w:t>
      </w:r>
      <w:r>
        <w:rPr>
          <w:rFonts w:hint="eastAsia" w:ascii="仿宋" w:hAnsi="仿宋" w:eastAsia="仿宋" w:cs="仿宋"/>
          <w:sz w:val="24"/>
          <w:lang w:eastAsia="zh-CN"/>
        </w:rPr>
        <w:t>活动</w:t>
      </w:r>
      <w:r>
        <w:rPr>
          <w:rFonts w:hint="eastAsia" w:ascii="仿宋" w:hAnsi="仿宋" w:eastAsia="仿宋" w:cs="仿宋"/>
          <w:sz w:val="24"/>
        </w:rPr>
        <w:t>为“交钥匙”项目，采购内容包括按提供符合采购人要求</w:t>
      </w:r>
      <w:r>
        <w:rPr>
          <w:rFonts w:hint="eastAsia" w:ascii="仿宋" w:hAnsi="仿宋" w:eastAsia="仿宋" w:cs="仿宋"/>
          <w:sz w:val="24"/>
          <w:szCs w:val="24"/>
        </w:rPr>
        <w:t>提供合格的公共安全服务</w:t>
      </w:r>
      <w:r>
        <w:rPr>
          <w:rFonts w:hint="eastAsia" w:ascii="仿宋" w:hAnsi="仿宋" w:eastAsia="仿宋" w:cs="仿宋"/>
          <w:sz w:val="24"/>
        </w:rPr>
        <w:t>。投标报价包括所有</w:t>
      </w:r>
      <w:r>
        <w:rPr>
          <w:rFonts w:hint="eastAsia" w:ascii="仿宋" w:hAnsi="仿宋" w:eastAsia="仿宋" w:cs="仿宋"/>
          <w:sz w:val="24"/>
          <w:lang w:eastAsia="zh-CN"/>
        </w:rPr>
        <w:t>队员</w:t>
      </w:r>
      <w:r>
        <w:rPr>
          <w:rFonts w:hint="eastAsia" w:ascii="仿宋" w:hAnsi="仿宋" w:eastAsia="仿宋" w:cs="仿宋"/>
          <w:sz w:val="24"/>
        </w:rPr>
        <w:t>的工资、社保、</w:t>
      </w:r>
      <w:r>
        <w:rPr>
          <w:rFonts w:hint="eastAsia" w:ascii="仿宋" w:hAnsi="仿宋" w:eastAsia="仿宋" w:cs="仿宋"/>
          <w:sz w:val="24"/>
          <w:lang w:eastAsia="zh-CN"/>
        </w:rPr>
        <w:t>公积金、超时补贴</w:t>
      </w:r>
      <w:r>
        <w:rPr>
          <w:rFonts w:hint="eastAsia" w:ascii="仿宋" w:hAnsi="仿宋" w:eastAsia="仿宋" w:cs="仿宋"/>
          <w:sz w:val="24"/>
        </w:rPr>
        <w:t>、</w:t>
      </w:r>
      <w:r>
        <w:rPr>
          <w:rFonts w:hint="eastAsia" w:ascii="仿宋" w:hAnsi="仿宋" w:eastAsia="仿宋" w:cs="仿宋"/>
          <w:sz w:val="24"/>
          <w:lang w:eastAsia="zh-CN"/>
        </w:rPr>
        <w:t>绩效考核经费、伙食费、日常巡逻车辆保障费、</w:t>
      </w:r>
      <w:r>
        <w:rPr>
          <w:rFonts w:hint="eastAsia" w:ascii="仿宋" w:hAnsi="仿宋" w:eastAsia="仿宋" w:cs="仿宋"/>
          <w:sz w:val="24"/>
        </w:rPr>
        <w:t>培训费、</w:t>
      </w:r>
      <w:r>
        <w:rPr>
          <w:rFonts w:hint="eastAsia" w:ascii="仿宋" w:hAnsi="仿宋" w:eastAsia="仿宋" w:cs="仿宋"/>
          <w:sz w:val="24"/>
          <w:lang w:eastAsia="zh-CN"/>
        </w:rPr>
        <w:t>管理费、</w:t>
      </w:r>
      <w:r>
        <w:rPr>
          <w:rFonts w:hint="eastAsia" w:ascii="仿宋" w:hAnsi="仿宋" w:eastAsia="仿宋" w:cs="仿宋"/>
          <w:sz w:val="24"/>
        </w:rPr>
        <w:t>通讯设备、低值易耗品、工具及相关</w:t>
      </w:r>
      <w:r>
        <w:rPr>
          <w:rFonts w:hint="eastAsia" w:ascii="仿宋" w:hAnsi="仿宋" w:eastAsia="仿宋" w:cs="仿宋"/>
          <w:sz w:val="24"/>
          <w:lang w:eastAsia="zh-CN"/>
        </w:rPr>
        <w:t>安保</w:t>
      </w:r>
      <w:r>
        <w:rPr>
          <w:rFonts w:hint="eastAsia" w:ascii="仿宋" w:hAnsi="仿宋" w:eastAsia="仿宋" w:cs="仿宋"/>
          <w:sz w:val="24"/>
        </w:rPr>
        <w:t>设备费、临时性杂项服务费、政策性文件规定及合同包含的所有风险、责任、税费、合理利润等各项全部费用</w:t>
      </w:r>
      <w:r>
        <w:rPr>
          <w:rFonts w:hint="eastAsia" w:ascii="仿宋" w:hAnsi="仿宋" w:eastAsia="仿宋" w:cs="仿宋"/>
          <w:sz w:val="24"/>
          <w:lang w:val="en-US" w:eastAsia="zh-CN"/>
        </w:rPr>
        <w:t>。</w:t>
      </w:r>
    </w:p>
    <w:p>
      <w:pPr>
        <w:numPr>
          <w:ilvl w:val="0"/>
          <w:numId w:val="2"/>
        </w:numPr>
        <w:adjustRightInd w:val="0"/>
        <w:snapToGrid w:val="0"/>
        <w:spacing w:line="360" w:lineRule="auto"/>
        <w:rPr>
          <w:rFonts w:hint="eastAsia" w:ascii="仿宋" w:hAnsi="仿宋" w:eastAsia="仿宋" w:cs="仿宋"/>
          <w:sz w:val="24"/>
        </w:rPr>
      </w:pPr>
      <w:r>
        <w:rPr>
          <w:rFonts w:hint="eastAsia" w:ascii="仿宋" w:hAnsi="仿宋" w:eastAsia="仿宋" w:cs="仿宋"/>
          <w:sz w:val="24"/>
        </w:rPr>
        <w:t>具体服务内容、要求等：</w:t>
      </w:r>
    </w:p>
    <w:p>
      <w:pPr>
        <w:adjustRightInd w:val="0"/>
        <w:snapToGrid w:val="0"/>
        <w:spacing w:line="360" w:lineRule="auto"/>
        <w:rPr>
          <w:rFonts w:hint="eastAsia" w:ascii="仿宋" w:hAnsi="仿宋" w:eastAsia="仿宋" w:cs="仿宋"/>
          <w:color w:val="auto"/>
        </w:rPr>
      </w:pPr>
      <w:r>
        <w:rPr>
          <w:rFonts w:hint="eastAsia" w:ascii="仿宋" w:hAnsi="仿宋" w:eastAsia="仿宋" w:cs="仿宋"/>
          <w:b/>
          <w:color w:val="auto"/>
          <w:sz w:val="24"/>
          <w:highlight w:val="none"/>
        </w:rPr>
        <w:t xml:space="preserve">  1.1保安人员数量配备要求：</w:t>
      </w:r>
    </w:p>
    <w:tbl>
      <w:tblPr>
        <w:tblStyle w:val="63"/>
        <w:tblW w:w="0" w:type="auto"/>
        <w:tblInd w:w="0" w:type="dxa"/>
        <w:tblLayout w:type="fixed"/>
        <w:tblCellMar>
          <w:top w:w="0" w:type="dxa"/>
          <w:left w:w="0" w:type="dxa"/>
          <w:bottom w:w="0" w:type="dxa"/>
          <w:right w:w="0" w:type="dxa"/>
        </w:tblCellMar>
      </w:tblPr>
      <w:tblGrid>
        <w:gridCol w:w="667"/>
        <w:gridCol w:w="2229"/>
        <w:gridCol w:w="2903"/>
        <w:gridCol w:w="2411"/>
      </w:tblGrid>
      <w:tr>
        <w:tblPrEx>
          <w:tblCellMar>
            <w:top w:w="0" w:type="dxa"/>
            <w:left w:w="0" w:type="dxa"/>
            <w:bottom w:w="0" w:type="dxa"/>
            <w:right w:w="0" w:type="dxa"/>
          </w:tblCellMar>
        </w:tblPrEx>
        <w:trPr>
          <w:trHeight w:val="560"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序号</w:t>
            </w:r>
          </w:p>
        </w:tc>
        <w:tc>
          <w:tcPr>
            <w:tcW w:w="2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岗位</w:t>
            </w:r>
          </w:p>
        </w:tc>
        <w:tc>
          <w:tcPr>
            <w:tcW w:w="2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要  求</w:t>
            </w:r>
          </w:p>
        </w:tc>
        <w:tc>
          <w:tcPr>
            <w:tcW w:w="2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备注</w:t>
            </w:r>
          </w:p>
        </w:tc>
      </w:tr>
      <w:tr>
        <w:tblPrEx>
          <w:tblCellMar>
            <w:top w:w="0" w:type="dxa"/>
            <w:left w:w="0" w:type="dxa"/>
            <w:bottom w:w="0" w:type="dxa"/>
            <w:right w:w="0" w:type="dxa"/>
          </w:tblCellMar>
        </w:tblPrEx>
        <w:trPr>
          <w:trHeight w:val="560"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w:t>
            </w:r>
          </w:p>
        </w:tc>
        <w:tc>
          <w:tcPr>
            <w:tcW w:w="2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协调岗</w:t>
            </w:r>
          </w:p>
        </w:tc>
        <w:tc>
          <w:tcPr>
            <w:tcW w:w="2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拥有协调沟通能力，保安员</w:t>
            </w:r>
            <w:r>
              <w:rPr>
                <w:rFonts w:hint="eastAsia" w:ascii="仿宋" w:hAnsi="仿宋" w:eastAsia="仿宋" w:cs="仿宋"/>
                <w:color w:val="auto"/>
                <w:kern w:val="0"/>
                <w:sz w:val="22"/>
                <w:szCs w:val="22"/>
                <w:highlight w:val="none"/>
                <w:lang w:eastAsia="zh-CN" w:bidi="ar"/>
              </w:rPr>
              <w:t>一</w:t>
            </w:r>
            <w:r>
              <w:rPr>
                <w:rFonts w:hint="eastAsia" w:ascii="仿宋" w:hAnsi="仿宋" w:eastAsia="仿宋" w:cs="仿宋"/>
                <w:color w:val="auto"/>
                <w:kern w:val="0"/>
                <w:sz w:val="22"/>
                <w:szCs w:val="22"/>
                <w:highlight w:val="none"/>
                <w:lang w:bidi="ar"/>
              </w:rPr>
              <w:t>级资质</w:t>
            </w:r>
          </w:p>
        </w:tc>
        <w:tc>
          <w:tcPr>
            <w:tcW w:w="2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24小时值班每班</w:t>
            </w:r>
            <w:r>
              <w:rPr>
                <w:rFonts w:hint="eastAsia" w:ascii="仿宋" w:hAnsi="仿宋" w:eastAsia="仿宋" w:cs="仿宋"/>
                <w:color w:val="auto"/>
                <w:kern w:val="0"/>
                <w:sz w:val="22"/>
                <w:szCs w:val="22"/>
                <w:highlight w:val="none"/>
                <w:lang w:val="en-US" w:eastAsia="zh-CN" w:bidi="ar"/>
              </w:rPr>
              <w:t>2</w:t>
            </w:r>
            <w:r>
              <w:rPr>
                <w:rFonts w:hint="eastAsia" w:ascii="仿宋" w:hAnsi="仿宋" w:eastAsia="仿宋" w:cs="仿宋"/>
                <w:color w:val="auto"/>
                <w:kern w:val="0"/>
                <w:sz w:val="22"/>
                <w:szCs w:val="22"/>
                <w:highlight w:val="none"/>
                <w:lang w:bidi="ar"/>
              </w:rPr>
              <w:t>名执勤</w:t>
            </w:r>
          </w:p>
        </w:tc>
      </w:tr>
      <w:tr>
        <w:tblPrEx>
          <w:tblCellMar>
            <w:top w:w="0" w:type="dxa"/>
            <w:left w:w="0" w:type="dxa"/>
            <w:bottom w:w="0" w:type="dxa"/>
            <w:right w:w="0" w:type="dxa"/>
          </w:tblCellMar>
        </w:tblPrEx>
        <w:trPr>
          <w:trHeight w:val="560"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w:t>
            </w:r>
          </w:p>
        </w:tc>
        <w:tc>
          <w:tcPr>
            <w:tcW w:w="2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保安队长</w:t>
            </w:r>
          </w:p>
        </w:tc>
        <w:tc>
          <w:tcPr>
            <w:tcW w:w="2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具有大学学历、保安员二级资质、退伍军人及各项荣誉。</w:t>
            </w:r>
          </w:p>
        </w:tc>
        <w:tc>
          <w:tcPr>
            <w:tcW w:w="2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长白班8小时双休</w:t>
            </w:r>
          </w:p>
        </w:tc>
      </w:tr>
      <w:tr>
        <w:tblPrEx>
          <w:tblCellMar>
            <w:top w:w="0" w:type="dxa"/>
            <w:left w:w="0" w:type="dxa"/>
            <w:bottom w:w="0" w:type="dxa"/>
            <w:right w:w="0" w:type="dxa"/>
          </w:tblCellMar>
        </w:tblPrEx>
        <w:trPr>
          <w:trHeight w:val="560"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w:t>
            </w:r>
          </w:p>
        </w:tc>
        <w:tc>
          <w:tcPr>
            <w:tcW w:w="2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保安主管</w:t>
            </w:r>
          </w:p>
        </w:tc>
        <w:tc>
          <w:tcPr>
            <w:tcW w:w="2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具有大专学历、建构筑物消防员证、保安员二级资质及相关荣誉。</w:t>
            </w:r>
          </w:p>
        </w:tc>
        <w:tc>
          <w:tcPr>
            <w:tcW w:w="2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bidi="ar"/>
              </w:rPr>
              <w:t>长白班8小时双休</w:t>
            </w:r>
          </w:p>
        </w:tc>
      </w:tr>
      <w:tr>
        <w:tblPrEx>
          <w:tblCellMar>
            <w:top w:w="0" w:type="dxa"/>
            <w:left w:w="0" w:type="dxa"/>
            <w:bottom w:w="0" w:type="dxa"/>
            <w:right w:w="0" w:type="dxa"/>
          </w:tblCellMar>
        </w:tblPrEx>
        <w:trPr>
          <w:trHeight w:val="560"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4</w:t>
            </w:r>
          </w:p>
        </w:tc>
        <w:tc>
          <w:tcPr>
            <w:tcW w:w="2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2"/>
                <w:szCs w:val="22"/>
                <w:highlight w:val="none"/>
                <w:lang w:eastAsia="zh-CN" w:bidi="ar"/>
              </w:rPr>
            </w:pPr>
            <w:r>
              <w:rPr>
                <w:rFonts w:hint="eastAsia" w:ascii="仿宋" w:hAnsi="仿宋" w:eastAsia="仿宋" w:cs="仿宋"/>
                <w:color w:val="auto"/>
                <w:kern w:val="0"/>
                <w:sz w:val="22"/>
                <w:szCs w:val="22"/>
                <w:highlight w:val="none"/>
                <w:lang w:eastAsia="zh-CN" w:bidi="ar"/>
              </w:rPr>
              <w:t>保安班长</w:t>
            </w:r>
          </w:p>
        </w:tc>
        <w:tc>
          <w:tcPr>
            <w:tcW w:w="2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2"/>
                <w:szCs w:val="22"/>
                <w:highlight w:val="none"/>
                <w:lang w:eastAsia="zh-CN" w:bidi="ar"/>
              </w:rPr>
            </w:pPr>
            <w:r>
              <w:rPr>
                <w:rFonts w:hint="eastAsia" w:ascii="仿宋" w:hAnsi="仿宋" w:eastAsia="仿宋" w:cs="仿宋"/>
                <w:color w:val="auto"/>
                <w:kern w:val="0"/>
                <w:sz w:val="22"/>
                <w:szCs w:val="22"/>
                <w:highlight w:val="none"/>
                <w:lang w:eastAsia="zh-CN" w:bidi="ar"/>
              </w:rPr>
              <w:t>具有大专学历、退伍军人、保安员二级资质、相关荣誉</w:t>
            </w:r>
          </w:p>
        </w:tc>
        <w:tc>
          <w:tcPr>
            <w:tcW w:w="2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长白班8小时双休</w:t>
            </w:r>
          </w:p>
        </w:tc>
      </w:tr>
      <w:tr>
        <w:tblPrEx>
          <w:tblCellMar>
            <w:top w:w="0" w:type="dxa"/>
            <w:left w:w="0" w:type="dxa"/>
            <w:bottom w:w="0" w:type="dxa"/>
            <w:right w:w="0" w:type="dxa"/>
          </w:tblCellMar>
        </w:tblPrEx>
        <w:trPr>
          <w:trHeight w:val="878"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kern w:val="0"/>
                <w:sz w:val="22"/>
                <w:szCs w:val="22"/>
                <w:highlight w:val="none"/>
                <w:lang w:val="en-US" w:eastAsia="zh-CN" w:bidi="ar"/>
              </w:rPr>
              <w:t>5</w:t>
            </w:r>
          </w:p>
        </w:tc>
        <w:tc>
          <w:tcPr>
            <w:tcW w:w="2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kern w:val="0"/>
                <w:sz w:val="22"/>
                <w:szCs w:val="22"/>
                <w:highlight w:val="none"/>
                <w:lang w:eastAsia="zh-CN" w:bidi="ar"/>
              </w:rPr>
              <w:t>巡查队员</w:t>
            </w:r>
          </w:p>
        </w:tc>
        <w:tc>
          <w:tcPr>
            <w:tcW w:w="2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拥有协调沟通能力，保安员二级资质</w:t>
            </w:r>
          </w:p>
        </w:tc>
        <w:tc>
          <w:tcPr>
            <w:tcW w:w="2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bidi="ar"/>
              </w:rPr>
              <w:t>24小时值班每班</w:t>
            </w:r>
            <w:r>
              <w:rPr>
                <w:rFonts w:hint="eastAsia" w:ascii="仿宋" w:hAnsi="仿宋" w:eastAsia="仿宋" w:cs="仿宋"/>
                <w:color w:val="auto"/>
                <w:kern w:val="0"/>
                <w:sz w:val="22"/>
                <w:szCs w:val="22"/>
                <w:highlight w:val="none"/>
                <w:lang w:val="en-US" w:eastAsia="zh-CN" w:bidi="ar"/>
              </w:rPr>
              <w:t>3</w:t>
            </w:r>
            <w:r>
              <w:rPr>
                <w:rFonts w:hint="eastAsia" w:ascii="仿宋" w:hAnsi="仿宋" w:eastAsia="仿宋" w:cs="仿宋"/>
                <w:color w:val="auto"/>
                <w:kern w:val="0"/>
                <w:sz w:val="22"/>
                <w:szCs w:val="22"/>
                <w:highlight w:val="none"/>
                <w:lang w:bidi="ar"/>
              </w:rPr>
              <w:t>名执勤</w:t>
            </w:r>
            <w:r>
              <w:rPr>
                <w:rFonts w:hint="eastAsia" w:ascii="仿宋" w:hAnsi="仿宋" w:eastAsia="仿宋" w:cs="仿宋"/>
                <w:color w:val="auto"/>
                <w:kern w:val="0"/>
                <w:sz w:val="22"/>
                <w:szCs w:val="22"/>
                <w:highlight w:val="none"/>
                <w:lang w:eastAsia="zh-CN" w:bidi="ar"/>
              </w:rPr>
              <w:t>，另一名长白班</w:t>
            </w:r>
            <w:r>
              <w:rPr>
                <w:rFonts w:hint="eastAsia" w:ascii="仿宋" w:hAnsi="仿宋" w:eastAsia="仿宋" w:cs="仿宋"/>
                <w:color w:val="auto"/>
                <w:kern w:val="0"/>
                <w:sz w:val="22"/>
                <w:szCs w:val="22"/>
                <w:highlight w:val="none"/>
                <w:lang w:val="en-US" w:eastAsia="zh-CN" w:bidi="ar"/>
              </w:rPr>
              <w:t>8小时。</w:t>
            </w:r>
          </w:p>
        </w:tc>
      </w:tr>
      <w:tr>
        <w:tblPrEx>
          <w:tblCellMar>
            <w:top w:w="0" w:type="dxa"/>
            <w:left w:w="0" w:type="dxa"/>
            <w:bottom w:w="0" w:type="dxa"/>
            <w:right w:w="0" w:type="dxa"/>
          </w:tblCellMar>
        </w:tblPrEx>
        <w:trPr>
          <w:trHeight w:val="560"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6</w:t>
            </w:r>
          </w:p>
        </w:tc>
        <w:tc>
          <w:tcPr>
            <w:tcW w:w="2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2"/>
                <w:szCs w:val="22"/>
                <w:highlight w:val="none"/>
                <w:lang w:eastAsia="zh-CN" w:bidi="ar"/>
              </w:rPr>
            </w:pPr>
            <w:r>
              <w:rPr>
                <w:rFonts w:hint="eastAsia" w:ascii="仿宋" w:hAnsi="仿宋" w:eastAsia="仿宋" w:cs="仿宋"/>
                <w:color w:val="auto"/>
                <w:kern w:val="0"/>
                <w:sz w:val="22"/>
                <w:szCs w:val="22"/>
                <w:highlight w:val="none"/>
                <w:lang w:eastAsia="zh-CN" w:bidi="ar"/>
              </w:rPr>
              <w:t>保安队员</w:t>
            </w:r>
          </w:p>
        </w:tc>
        <w:tc>
          <w:tcPr>
            <w:tcW w:w="2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2"/>
                <w:szCs w:val="22"/>
                <w:highlight w:val="none"/>
                <w:lang w:eastAsia="zh-CN" w:bidi="ar"/>
              </w:rPr>
            </w:pPr>
            <w:r>
              <w:rPr>
                <w:rFonts w:hint="eastAsia" w:ascii="仿宋" w:hAnsi="仿宋" w:eastAsia="仿宋" w:cs="仿宋"/>
                <w:color w:val="auto"/>
                <w:kern w:val="0"/>
                <w:sz w:val="22"/>
                <w:szCs w:val="22"/>
                <w:highlight w:val="none"/>
                <w:lang w:eastAsia="zh-CN" w:bidi="ar"/>
              </w:rPr>
              <w:t>拥有保安员资格证书</w:t>
            </w:r>
          </w:p>
        </w:tc>
        <w:tc>
          <w:tcPr>
            <w:tcW w:w="2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24小时执勤每班5名队员执勤</w:t>
            </w:r>
          </w:p>
        </w:tc>
      </w:tr>
    </w:tbl>
    <w:p>
      <w:pPr>
        <w:spacing w:line="360" w:lineRule="auto"/>
        <w:rPr>
          <w:rFonts w:hint="eastAsia" w:ascii="仿宋" w:hAnsi="仿宋" w:eastAsia="仿宋" w:cs="仿宋"/>
          <w:color w:val="auto"/>
          <w:sz w:val="24"/>
          <w:highlight w:val="none"/>
          <w:lang w:val="en-US" w:eastAsia="zh-CN"/>
        </w:rPr>
      </w:pPr>
    </w:p>
    <w:p>
      <w:pPr>
        <w:spacing w:line="360" w:lineRule="auto"/>
        <w:rPr>
          <w:rFonts w:hint="eastAsia" w:ascii="仿宋" w:hAnsi="仿宋" w:eastAsia="仿宋" w:cs="仿宋"/>
          <w:b/>
          <w:bCs/>
          <w:color w:val="000000"/>
          <w:sz w:val="24"/>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2、保安人员持证要求: 本项目的所有保安员上岗时必须持有公安机关颁发的《保安员证》，持证上岗，统一着装，进场服务前由采购人统一审核；</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color w:val="000000"/>
          <w:kern w:val="0"/>
          <w:sz w:val="24"/>
        </w:rPr>
      </w:pPr>
      <w:r>
        <w:rPr>
          <w:rFonts w:hint="eastAsia" w:ascii="仿宋" w:hAnsi="仿宋" w:eastAsia="仿宋" w:cs="仿宋"/>
          <w:b/>
          <w:color w:val="000000"/>
          <w:kern w:val="0"/>
          <w:sz w:val="24"/>
        </w:rPr>
        <w:t>（1）人员配备：</w:t>
      </w:r>
    </w:p>
    <w:tbl>
      <w:tblPr>
        <w:tblStyle w:val="63"/>
        <w:tblW w:w="81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7"/>
        <w:gridCol w:w="2165"/>
        <w:gridCol w:w="1455"/>
        <w:gridCol w:w="1455"/>
        <w:gridCol w:w="23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SA"/>
              </w:rPr>
              <w:t>序号</w:t>
            </w:r>
          </w:p>
        </w:tc>
        <w:tc>
          <w:tcPr>
            <w:tcW w:w="2165"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SA"/>
              </w:rPr>
              <w:t>服务类别</w:t>
            </w:r>
          </w:p>
        </w:tc>
        <w:tc>
          <w:tcPr>
            <w:tcW w:w="1455" w:type="dxa"/>
            <w:tcBorders>
              <w:top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top"/>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SA"/>
              </w:rPr>
              <w:t>预算（万元）</w:t>
            </w:r>
          </w:p>
        </w:tc>
        <w:tc>
          <w:tcPr>
            <w:tcW w:w="1455" w:type="dxa"/>
            <w:tcBorders>
              <w:top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top"/>
              <w:outlineLvl w:val="9"/>
              <w:rPr>
                <w:rFonts w:hint="eastAsia" w:ascii="仿宋" w:hAnsi="仿宋" w:eastAsia="仿宋" w:cs="仿宋"/>
                <w:i w:val="0"/>
                <w:color w:val="000000"/>
                <w:kern w:val="0"/>
                <w:sz w:val="21"/>
                <w:szCs w:val="21"/>
                <w:u w:val="none"/>
                <w:lang w:val="en-US" w:eastAsia="zh-CN" w:bidi="ar-SA"/>
              </w:rPr>
            </w:pPr>
            <w:r>
              <w:rPr>
                <w:rFonts w:hint="eastAsia" w:ascii="仿宋" w:hAnsi="仿宋" w:eastAsia="仿宋" w:cs="仿宋"/>
                <w:i w:val="0"/>
                <w:color w:val="000000"/>
                <w:kern w:val="0"/>
                <w:sz w:val="21"/>
                <w:szCs w:val="21"/>
                <w:u w:val="none"/>
                <w:lang w:val="en-US" w:eastAsia="zh-CN" w:bidi="ar-SA"/>
              </w:rPr>
              <w:t>标段</w:t>
            </w:r>
          </w:p>
        </w:tc>
        <w:tc>
          <w:tcPr>
            <w:tcW w:w="2339" w:type="dxa"/>
            <w:tcBorders>
              <w:top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top"/>
              <w:outlineLvl w:val="9"/>
              <w:rPr>
                <w:rFonts w:hint="eastAsia" w:ascii="仿宋" w:hAnsi="仿宋" w:eastAsia="仿宋" w:cs="仿宋"/>
                <w:i w:val="0"/>
                <w:color w:val="000000"/>
                <w:kern w:val="0"/>
                <w:sz w:val="21"/>
                <w:szCs w:val="21"/>
                <w:u w:val="none"/>
                <w:lang w:val="en-US" w:eastAsia="zh-CN" w:bidi="ar-SA"/>
              </w:rPr>
            </w:pPr>
            <w:r>
              <w:rPr>
                <w:rFonts w:hint="eastAsia" w:ascii="仿宋" w:hAnsi="仿宋" w:eastAsia="仿宋" w:cs="仿宋"/>
                <w:i w:val="0"/>
                <w:color w:val="000000"/>
                <w:kern w:val="0"/>
                <w:sz w:val="21"/>
                <w:szCs w:val="21"/>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exact"/>
          <w:jc w:val="center"/>
        </w:trPr>
        <w:tc>
          <w:tcPr>
            <w:tcW w:w="697"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SA"/>
              </w:rPr>
              <w:t>1</w:t>
            </w:r>
          </w:p>
        </w:tc>
        <w:tc>
          <w:tcPr>
            <w:tcW w:w="2165"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SA"/>
              </w:rPr>
              <w:t>社会治安协管（新城片区）</w:t>
            </w:r>
          </w:p>
        </w:tc>
        <w:tc>
          <w:tcPr>
            <w:tcW w:w="1455"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SA"/>
              </w:rPr>
              <w:t>545</w:t>
            </w:r>
          </w:p>
        </w:tc>
        <w:tc>
          <w:tcPr>
            <w:tcW w:w="1455"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SA"/>
              </w:rPr>
            </w:pPr>
            <w:r>
              <w:rPr>
                <w:rFonts w:hint="eastAsia" w:ascii="仿宋" w:hAnsi="仿宋" w:eastAsia="仿宋" w:cs="仿宋"/>
                <w:i w:val="0"/>
                <w:color w:val="000000"/>
                <w:kern w:val="0"/>
                <w:sz w:val="21"/>
                <w:szCs w:val="21"/>
                <w:u w:val="none"/>
                <w:lang w:val="en-US" w:eastAsia="zh-CN" w:bidi="ar-SA"/>
              </w:rPr>
              <w:t>一</w:t>
            </w:r>
          </w:p>
        </w:tc>
        <w:tc>
          <w:tcPr>
            <w:tcW w:w="2339" w:type="dxa"/>
            <w:vMerge w:val="restart"/>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SA"/>
              </w:rPr>
            </w:pPr>
            <w:r>
              <w:rPr>
                <w:rFonts w:hint="eastAsia" w:ascii="仿宋" w:hAnsi="仿宋" w:eastAsia="仿宋" w:cs="仿宋"/>
                <w:i w:val="0"/>
                <w:color w:val="000000"/>
                <w:kern w:val="0"/>
                <w:sz w:val="21"/>
                <w:szCs w:val="21"/>
                <w:u w:val="none"/>
                <w:lang w:val="en-US" w:eastAsia="zh-CN" w:bidi="ar-SA"/>
              </w:rPr>
              <w:t>中标单位不限标段数量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exact"/>
          <w:jc w:val="center"/>
        </w:trPr>
        <w:tc>
          <w:tcPr>
            <w:tcW w:w="697"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SA"/>
              </w:rPr>
              <w:t>2</w:t>
            </w:r>
          </w:p>
        </w:tc>
        <w:tc>
          <w:tcPr>
            <w:tcW w:w="2165"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SA"/>
              </w:rPr>
              <w:t>社会治安协管（农村片）</w:t>
            </w:r>
          </w:p>
        </w:tc>
        <w:tc>
          <w:tcPr>
            <w:tcW w:w="1455"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SA"/>
              </w:rPr>
              <w:t>462</w:t>
            </w:r>
          </w:p>
        </w:tc>
        <w:tc>
          <w:tcPr>
            <w:tcW w:w="1455"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SA"/>
              </w:rPr>
            </w:pPr>
            <w:r>
              <w:rPr>
                <w:rFonts w:hint="eastAsia" w:ascii="仿宋" w:hAnsi="仿宋" w:eastAsia="仿宋" w:cs="仿宋"/>
                <w:i w:val="0"/>
                <w:color w:val="000000"/>
                <w:kern w:val="0"/>
                <w:sz w:val="21"/>
                <w:szCs w:val="21"/>
                <w:u w:val="none"/>
                <w:lang w:val="en-US" w:eastAsia="zh-CN" w:bidi="ar-SA"/>
              </w:rPr>
              <w:t>二</w:t>
            </w:r>
          </w:p>
        </w:tc>
        <w:tc>
          <w:tcPr>
            <w:tcW w:w="2339" w:type="dxa"/>
            <w:vMerge w:val="continue"/>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exact"/>
          <w:jc w:val="center"/>
        </w:trPr>
        <w:tc>
          <w:tcPr>
            <w:tcW w:w="697"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SA"/>
              </w:rPr>
              <w:t>3</w:t>
            </w:r>
          </w:p>
        </w:tc>
        <w:tc>
          <w:tcPr>
            <w:tcW w:w="2165"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SA"/>
              </w:rPr>
              <w:t>交通协管服务</w:t>
            </w:r>
          </w:p>
        </w:tc>
        <w:tc>
          <w:tcPr>
            <w:tcW w:w="1455"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SA"/>
              </w:rPr>
              <w:t>347</w:t>
            </w:r>
          </w:p>
        </w:tc>
        <w:tc>
          <w:tcPr>
            <w:tcW w:w="1455"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SA"/>
              </w:rPr>
            </w:pPr>
            <w:r>
              <w:rPr>
                <w:rFonts w:hint="eastAsia" w:ascii="仿宋" w:hAnsi="仿宋" w:eastAsia="仿宋" w:cs="仿宋"/>
                <w:i w:val="0"/>
                <w:color w:val="000000"/>
                <w:kern w:val="0"/>
                <w:sz w:val="21"/>
                <w:szCs w:val="21"/>
                <w:u w:val="none"/>
                <w:lang w:val="en-US" w:eastAsia="zh-CN" w:bidi="ar-SA"/>
              </w:rPr>
              <w:t>三</w:t>
            </w:r>
          </w:p>
        </w:tc>
        <w:tc>
          <w:tcPr>
            <w:tcW w:w="2339" w:type="dxa"/>
            <w:vMerge w:val="continue"/>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exact"/>
          <w:jc w:val="center"/>
        </w:trPr>
        <w:tc>
          <w:tcPr>
            <w:tcW w:w="697"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SA"/>
              </w:rPr>
              <w:t>4</w:t>
            </w:r>
          </w:p>
        </w:tc>
        <w:tc>
          <w:tcPr>
            <w:tcW w:w="2165"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SA"/>
              </w:rPr>
              <w:t>城市序化协管</w:t>
            </w:r>
          </w:p>
        </w:tc>
        <w:tc>
          <w:tcPr>
            <w:tcW w:w="1455"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SA"/>
              </w:rPr>
              <w:t>231</w:t>
            </w:r>
          </w:p>
        </w:tc>
        <w:tc>
          <w:tcPr>
            <w:tcW w:w="1455"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SA"/>
              </w:rPr>
            </w:pPr>
            <w:r>
              <w:rPr>
                <w:rFonts w:hint="eastAsia" w:ascii="仿宋" w:hAnsi="仿宋" w:eastAsia="仿宋" w:cs="仿宋"/>
                <w:i w:val="0"/>
                <w:color w:val="000000"/>
                <w:kern w:val="0"/>
                <w:sz w:val="21"/>
                <w:szCs w:val="21"/>
                <w:u w:val="none"/>
                <w:lang w:val="en-US" w:eastAsia="zh-CN" w:bidi="ar-SA"/>
              </w:rPr>
              <w:t>四</w:t>
            </w:r>
          </w:p>
        </w:tc>
        <w:tc>
          <w:tcPr>
            <w:tcW w:w="2339" w:type="dxa"/>
            <w:vMerge w:val="continue"/>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exact"/>
          <w:jc w:val="center"/>
        </w:trPr>
        <w:tc>
          <w:tcPr>
            <w:tcW w:w="2862" w:type="dxa"/>
            <w:gridSpan w:val="2"/>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SA"/>
              </w:rPr>
              <w:t>合计</w:t>
            </w:r>
          </w:p>
        </w:tc>
        <w:tc>
          <w:tcPr>
            <w:tcW w:w="1455"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SA"/>
              </w:rPr>
              <w:t>1585</w:t>
            </w:r>
          </w:p>
        </w:tc>
        <w:tc>
          <w:tcPr>
            <w:tcW w:w="1455"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SA"/>
              </w:rPr>
            </w:pPr>
            <w:r>
              <w:rPr>
                <w:rFonts w:hint="eastAsia" w:ascii="仿宋" w:hAnsi="仿宋" w:eastAsia="仿宋" w:cs="仿宋"/>
                <w:i w:val="0"/>
                <w:color w:val="000000"/>
                <w:kern w:val="0"/>
                <w:sz w:val="21"/>
                <w:szCs w:val="21"/>
                <w:u w:val="none"/>
                <w:lang w:val="en-US" w:eastAsia="zh-CN" w:bidi="ar-SA"/>
              </w:rPr>
              <w:t>四</w:t>
            </w:r>
          </w:p>
        </w:tc>
        <w:tc>
          <w:tcPr>
            <w:tcW w:w="2339" w:type="dxa"/>
            <w:vMerge w:val="continue"/>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SA"/>
              </w:rPr>
            </w:pPr>
          </w:p>
        </w:tc>
      </w:tr>
    </w:tbl>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rPr>
        <w:t>1.1</w:t>
      </w:r>
      <w:r>
        <w:rPr>
          <w:rFonts w:hint="eastAsia" w:ascii="仿宋" w:hAnsi="仿宋" w:eastAsia="仿宋" w:cs="仿宋"/>
          <w:b/>
          <w:sz w:val="24"/>
          <w:lang w:eastAsia="zh-CN"/>
        </w:rPr>
        <w:t>队员</w:t>
      </w:r>
      <w:r>
        <w:rPr>
          <w:rFonts w:hint="eastAsia" w:ascii="仿宋" w:hAnsi="仿宋" w:eastAsia="仿宋" w:cs="仿宋"/>
          <w:b/>
          <w:sz w:val="24"/>
        </w:rPr>
        <w:t>配备要求</w:t>
      </w:r>
      <w:r>
        <w:rPr>
          <w:rFonts w:hint="eastAsia" w:ascii="仿宋" w:hAnsi="仿宋" w:eastAsia="仿宋" w:cs="仿宋"/>
          <w:b/>
          <w:sz w:val="24"/>
          <w:highlight w:val="none"/>
        </w:rPr>
        <w:t>：</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lang w:val="en-US" w:eastAsia="zh-CN"/>
        </w:rPr>
        <w:t>(1)</w:t>
      </w:r>
      <w:r>
        <w:rPr>
          <w:rFonts w:hint="eastAsia" w:ascii="仿宋" w:hAnsi="仿宋" w:eastAsia="仿宋" w:cs="仿宋"/>
          <w:sz w:val="24"/>
          <w:highlight w:val="none"/>
          <w:lang w:eastAsia="zh-CN"/>
        </w:rPr>
        <w:t>队员</w:t>
      </w:r>
      <w:r>
        <w:rPr>
          <w:rFonts w:hint="eastAsia" w:ascii="仿宋" w:hAnsi="仿宋" w:eastAsia="仿宋" w:cs="仿宋"/>
          <w:sz w:val="24"/>
          <w:highlight w:val="none"/>
        </w:rPr>
        <w:t>持证要求: 本项目的所有</w:t>
      </w:r>
      <w:r>
        <w:rPr>
          <w:rFonts w:hint="eastAsia" w:ascii="仿宋" w:hAnsi="仿宋" w:eastAsia="仿宋" w:cs="仿宋"/>
          <w:sz w:val="24"/>
          <w:highlight w:val="none"/>
          <w:lang w:eastAsia="zh-CN"/>
        </w:rPr>
        <w:t>队员</w:t>
      </w:r>
      <w:r>
        <w:rPr>
          <w:rFonts w:hint="eastAsia" w:ascii="仿宋" w:hAnsi="仿宋" w:eastAsia="仿宋" w:cs="仿宋"/>
          <w:sz w:val="24"/>
          <w:highlight w:val="none"/>
        </w:rPr>
        <w:t>上岗时必须持有公安机关颁发的《</w:t>
      </w:r>
      <w:r>
        <w:rPr>
          <w:rFonts w:hint="eastAsia" w:ascii="仿宋" w:hAnsi="仿宋" w:eastAsia="仿宋" w:cs="仿宋"/>
          <w:sz w:val="24"/>
          <w:highlight w:val="none"/>
          <w:lang w:eastAsia="zh-CN"/>
        </w:rPr>
        <w:t>保安</w:t>
      </w:r>
      <w:r>
        <w:rPr>
          <w:rFonts w:hint="eastAsia" w:ascii="仿宋" w:hAnsi="仿宋" w:eastAsia="仿宋" w:cs="仿宋"/>
          <w:sz w:val="24"/>
          <w:highlight w:val="none"/>
        </w:rPr>
        <w:t>员证》，持证上岗，统一着装，进场服务前由采购人统一审核；</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lang w:val="en-US" w:eastAsia="zh-CN"/>
        </w:rPr>
        <w:t>(2)</w:t>
      </w:r>
      <w:r>
        <w:rPr>
          <w:rFonts w:hint="eastAsia" w:ascii="仿宋" w:hAnsi="仿宋" w:eastAsia="仿宋" w:cs="仿宋"/>
          <w:sz w:val="24"/>
          <w:highlight w:val="none"/>
          <w:lang w:eastAsia="zh-CN"/>
        </w:rPr>
        <w:t>队员</w:t>
      </w:r>
      <w:r>
        <w:rPr>
          <w:rFonts w:hint="eastAsia" w:ascii="仿宋" w:hAnsi="仿宋" w:eastAsia="仿宋" w:cs="仿宋"/>
          <w:sz w:val="24"/>
          <w:highlight w:val="none"/>
        </w:rPr>
        <w:t>素质要求:</w:t>
      </w:r>
      <w:r>
        <w:rPr>
          <w:rFonts w:hint="eastAsia" w:ascii="仿宋" w:hAnsi="仿宋" w:eastAsia="仿宋" w:cs="仿宋"/>
          <w:sz w:val="24"/>
          <w:szCs w:val="24"/>
        </w:rPr>
        <w:t>队伍管理的各级管理人员，应具有较高的管理能力、应变能力、组织能力、年轻化、专业化，并具有高中及以上文化程度， 政治上合格，素质上过硬，无任何违法、违纪等不良记录。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lang w:eastAsia="zh-CN"/>
        </w:rPr>
        <w:t>队员</w:t>
      </w:r>
      <w:r>
        <w:rPr>
          <w:rFonts w:hint="eastAsia" w:ascii="仿宋" w:hAnsi="仿宋" w:eastAsia="仿宋" w:cs="仿宋"/>
          <w:sz w:val="24"/>
        </w:rPr>
        <w:t>的仪容仪表和执勤规范：</w:t>
      </w:r>
      <w:r>
        <w:rPr>
          <w:rFonts w:hint="eastAsia" w:ascii="仿宋" w:hAnsi="仿宋" w:eastAsia="仿宋" w:cs="仿宋"/>
          <w:sz w:val="24"/>
          <w:lang w:eastAsia="zh-CN"/>
        </w:rPr>
        <w:t>队员</w:t>
      </w:r>
      <w:r>
        <w:rPr>
          <w:rFonts w:hint="eastAsia" w:ascii="仿宋" w:hAnsi="仿宋" w:eastAsia="仿宋" w:cs="仿宋"/>
          <w:sz w:val="24"/>
        </w:rPr>
        <w:t>应衣冠整洁，胸佩工作卡，必须配备通信联络工具（耳麦）；坚守工作岗位，提高警惕，严防犯罪分子从事破坏活动，保证校内财产、人身安全；认真做好防火防盗工作，发现不安全因素立即查明原因，尽快排除险情并及时向采购人汇报；认真做好各类台账记录，严格履行交接班制度。</w:t>
      </w:r>
    </w:p>
    <w:p>
      <w:pPr>
        <w:numPr>
          <w:ilvl w:val="0"/>
          <w:numId w:val="3"/>
        </w:numPr>
        <w:spacing w:line="360" w:lineRule="auto"/>
        <w:ind w:firstLine="480" w:firstLineChars="200"/>
        <w:rPr>
          <w:rFonts w:hint="eastAsia" w:ascii="仿宋" w:hAnsi="仿宋" w:eastAsia="仿宋" w:cs="仿宋"/>
          <w:sz w:val="24"/>
        </w:rPr>
      </w:pPr>
      <w:r>
        <w:rPr>
          <w:rFonts w:hint="eastAsia" w:ascii="仿宋" w:hAnsi="仿宋" w:eastAsia="仿宋" w:cs="仿宋"/>
          <w:sz w:val="24"/>
        </w:rPr>
        <w:t>服务范围及工作要求：</w:t>
      </w:r>
    </w:p>
    <w:p>
      <w:pPr>
        <w:pStyle w:val="2"/>
        <w:numPr>
          <w:ilvl w:val="0"/>
          <w:numId w:val="0"/>
        </w:numPr>
        <w:tabs>
          <w:tab w:val="left" w:pos="706"/>
          <w:tab w:val="clear" w:pos="432"/>
        </w:tabs>
        <w:ind w:firstLine="720" w:firstLineChars="3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（1）协助甲方对服务区内的道路交通协管服务、社会治安协管服务、城市序化协管服务，有效维护秩序有序；</w:t>
      </w:r>
    </w:p>
    <w:p>
      <w:pPr>
        <w:adjustRightInd w:val="0"/>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val="en-US" w:eastAsia="zh-CN"/>
        </w:rPr>
        <w:t xml:space="preserve">   (2)</w:t>
      </w:r>
      <w:r>
        <w:rPr>
          <w:rFonts w:hint="eastAsia" w:ascii="仿宋" w:hAnsi="仿宋" w:eastAsia="仿宋" w:cs="仿宋"/>
          <w:sz w:val="24"/>
          <w:lang w:eastAsia="zh-CN"/>
        </w:rPr>
        <w:t>发现各类违法犯罪线索并及时汇报，制止；</w:t>
      </w:r>
    </w:p>
    <w:p>
      <w:pPr>
        <w:adjustRightInd w:val="0"/>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val="en-US" w:eastAsia="zh-CN"/>
        </w:rPr>
        <w:t xml:space="preserve">   (3)</w:t>
      </w:r>
      <w:r>
        <w:rPr>
          <w:rFonts w:hint="eastAsia" w:ascii="仿宋" w:hAnsi="仿宋" w:eastAsia="仿宋" w:cs="仿宋"/>
          <w:sz w:val="24"/>
          <w:lang w:eastAsia="zh-CN"/>
        </w:rPr>
        <w:t>完成甲方交办的其他各类任务。</w:t>
      </w:r>
    </w:p>
    <w:p>
      <w:pPr>
        <w:numPr>
          <w:ilvl w:val="0"/>
          <w:numId w:val="3"/>
        </w:num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其他相关费用说明：</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如遇特殊情况，</w:t>
      </w:r>
      <w:r>
        <w:rPr>
          <w:rFonts w:hint="eastAsia" w:ascii="仿宋" w:hAnsi="仿宋" w:eastAsia="仿宋" w:cs="仿宋"/>
          <w:sz w:val="24"/>
          <w:lang w:eastAsia="zh-CN"/>
        </w:rPr>
        <w:t>安保</w:t>
      </w:r>
      <w:r>
        <w:rPr>
          <w:rFonts w:hint="eastAsia" w:ascii="仿宋" w:hAnsi="仿宋" w:eastAsia="仿宋" w:cs="仿宋"/>
          <w:sz w:val="24"/>
        </w:rPr>
        <w:t>须按采购人需求进行加班，加班费在投标报价中自行考虑，中标后不作调整。</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其它临时性杂项服务极少，如采购人在日常工作时间搬运、看管物品，应急性地保障服务等，费用包含在中标价中。</w:t>
      </w:r>
    </w:p>
    <w:p>
      <w:pPr>
        <w:adjustRightInd w:val="0"/>
        <w:snapToGrid w:val="0"/>
        <w:spacing w:line="360" w:lineRule="auto"/>
        <w:rPr>
          <w:rFonts w:hint="eastAsia" w:ascii="仿宋" w:hAnsi="仿宋" w:eastAsia="仿宋" w:cs="仿宋"/>
          <w:sz w:val="24"/>
          <w:lang w:eastAsia="zh-CN"/>
        </w:rPr>
      </w:pPr>
      <w:r>
        <w:rPr>
          <w:rFonts w:hint="eastAsia" w:ascii="仿宋" w:hAnsi="仿宋" w:eastAsia="仿宋" w:cs="仿宋"/>
          <w:sz w:val="24"/>
        </w:rPr>
        <w:t xml:space="preserve">   </w:t>
      </w:r>
      <w:r>
        <w:rPr>
          <w:rFonts w:hint="eastAsia" w:ascii="仿宋" w:hAnsi="仿宋" w:eastAsia="仿宋" w:cs="仿宋"/>
          <w:sz w:val="24"/>
          <w:lang w:eastAsia="zh-CN"/>
        </w:rPr>
        <w:t>二</w:t>
      </w:r>
      <w:r>
        <w:rPr>
          <w:rFonts w:hint="eastAsia" w:ascii="仿宋" w:hAnsi="仿宋" w:eastAsia="仿宋" w:cs="仿宋"/>
          <w:sz w:val="24"/>
        </w:rPr>
        <w:t>、售后服务要求：</w:t>
      </w:r>
      <w:r>
        <w:rPr>
          <w:rFonts w:hint="eastAsia" w:ascii="仿宋" w:hAnsi="仿宋" w:eastAsia="仿宋" w:cs="仿宋"/>
          <w:sz w:val="24"/>
          <w:lang w:val="en-US" w:eastAsia="zh-CN"/>
        </w:rPr>
        <w:t>自合同签订之日起12个月</w:t>
      </w:r>
      <w:r>
        <w:rPr>
          <w:rFonts w:hint="eastAsia" w:ascii="仿宋" w:hAnsi="仿宋" w:eastAsia="仿宋" w:cs="仿宋"/>
          <w:sz w:val="24"/>
        </w:rPr>
        <w:t>。</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eastAsia="zh-CN"/>
        </w:rPr>
        <w:t>三</w:t>
      </w:r>
      <w:r>
        <w:rPr>
          <w:rFonts w:hint="eastAsia" w:ascii="仿宋" w:hAnsi="仿宋" w:eastAsia="仿宋" w:cs="仿宋"/>
          <w:sz w:val="24"/>
        </w:rPr>
        <w:t>、培训要求：</w:t>
      </w:r>
      <w:r>
        <w:rPr>
          <w:rFonts w:hint="eastAsia" w:ascii="仿宋" w:hAnsi="仿宋" w:eastAsia="仿宋" w:cs="仿宋"/>
          <w:sz w:val="24"/>
          <w:lang w:eastAsia="zh-CN"/>
        </w:rPr>
        <w:t>队员需</w:t>
      </w:r>
      <w:r>
        <w:rPr>
          <w:rFonts w:hint="eastAsia" w:ascii="仿宋" w:hAnsi="仿宋" w:eastAsia="仿宋" w:cs="仿宋"/>
          <w:sz w:val="24"/>
        </w:rPr>
        <w:t>进行完善的培训后方可上岗，有详细的培训计划、内容、方案、时间等。</w:t>
      </w:r>
    </w:p>
    <w:p>
      <w:pPr>
        <w:adjustRightInd w:val="0"/>
        <w:snapToGrid w:val="0"/>
        <w:spacing w:line="360" w:lineRule="auto"/>
        <w:rPr>
          <w:rFonts w:hint="eastAsia" w:ascii="仿宋" w:hAnsi="仿宋" w:eastAsia="仿宋" w:cs="仿宋"/>
          <w:b/>
          <w:sz w:val="24"/>
        </w:rPr>
      </w:pPr>
      <w:r>
        <w:rPr>
          <w:rFonts w:hint="eastAsia" w:ascii="仿宋" w:hAnsi="仿宋" w:eastAsia="仿宋" w:cs="仿宋"/>
          <w:sz w:val="24"/>
          <w:highlight w:val="none"/>
        </w:rPr>
        <w:t xml:space="preserve">   </w:t>
      </w:r>
      <w:r>
        <w:rPr>
          <w:rFonts w:hint="eastAsia" w:ascii="仿宋" w:hAnsi="仿宋" w:eastAsia="仿宋" w:cs="仿宋"/>
          <w:sz w:val="24"/>
          <w:highlight w:val="none"/>
          <w:lang w:eastAsia="zh-CN"/>
        </w:rPr>
        <w:t>四</w:t>
      </w:r>
      <w:r>
        <w:rPr>
          <w:rFonts w:hint="eastAsia" w:ascii="仿宋" w:hAnsi="仿宋" w:eastAsia="仿宋" w:cs="仿宋"/>
          <w:b/>
          <w:sz w:val="24"/>
        </w:rPr>
        <w:t>、费用支付：</w:t>
      </w:r>
    </w:p>
    <w:p>
      <w:pPr>
        <w:keepNext w:val="0"/>
        <w:keepLines w:val="0"/>
        <w:pageBreakBefore w:val="0"/>
        <w:kinsoku/>
        <w:wordWrap/>
        <w:overflowPunct/>
        <w:topLinePunct w:val="0"/>
        <w:autoSpaceDE/>
        <w:autoSpaceDN/>
        <w:bidi w:val="0"/>
        <w:adjustRightInd w:val="0"/>
        <w:snapToGrid w:val="0"/>
        <w:spacing w:line="500" w:lineRule="exact"/>
        <w:ind w:right="0" w:rightChars="0" w:firstLine="480" w:firstLineChars="200"/>
        <w:rPr>
          <w:rFonts w:hint="eastAsia" w:ascii="仿宋" w:hAnsi="仿宋" w:eastAsia="仿宋" w:cs="仿宋"/>
          <w:b/>
          <w:sz w:val="24"/>
          <w:lang w:val="en-US" w:eastAsia="zh-CN"/>
        </w:rPr>
      </w:pPr>
      <w:r>
        <w:rPr>
          <w:rFonts w:hint="eastAsia" w:ascii="仿宋" w:hAnsi="仿宋" w:eastAsia="仿宋" w:cs="仿宋"/>
          <w:sz w:val="24"/>
          <w:lang w:val="en-US" w:eastAsia="zh-CN"/>
        </w:rPr>
        <w:t>第一期合同签订后30日内支付30%；第二期合同履行一半经验收通过后支付40%；第三期合同结束经验收通过后支付30%，具体金额将扣除考核扣分款。采购人有权根据实际情况进行调整，中标单位需配合。</w:t>
      </w:r>
    </w:p>
    <w:p>
      <w:pPr>
        <w:pStyle w:val="19"/>
        <w:keepNext w:val="0"/>
        <w:keepLines w:val="0"/>
        <w:pageBreakBefore w:val="0"/>
        <w:kinsoku/>
        <w:wordWrap/>
        <w:overflowPunct/>
        <w:topLinePunct w:val="0"/>
        <w:autoSpaceDE/>
        <w:autoSpaceDN/>
        <w:bidi w:val="0"/>
        <w:spacing w:line="500" w:lineRule="exact"/>
        <w:ind w:right="0" w:rightChars="0" w:firstLine="482" w:firstLineChars="200"/>
        <w:textAlignment w:val="auto"/>
        <w:outlineLvl w:val="1"/>
        <w:rPr>
          <w:rFonts w:hint="eastAsia" w:ascii="仿宋" w:hAnsi="仿宋" w:eastAsia="仿宋" w:cs="仿宋"/>
          <w:b/>
          <w:bCs/>
          <w:sz w:val="24"/>
          <w:lang w:eastAsia="zh-CN"/>
        </w:rPr>
      </w:pPr>
      <w:r>
        <w:rPr>
          <w:rFonts w:hint="eastAsia" w:ascii="仿宋" w:hAnsi="仿宋" w:eastAsia="仿宋" w:cs="仿宋"/>
          <w:b/>
          <w:sz w:val="24"/>
          <w:lang w:val="en-US" w:eastAsia="zh-CN"/>
        </w:rPr>
        <w:t>五</w:t>
      </w:r>
      <w:r>
        <w:rPr>
          <w:rFonts w:hint="eastAsia" w:ascii="仿宋" w:hAnsi="仿宋" w:eastAsia="仿宋" w:cs="仿宋"/>
          <w:b/>
          <w:sz w:val="24"/>
          <w:lang w:eastAsia="zh-CN"/>
        </w:rPr>
        <w:t>、</w:t>
      </w:r>
      <w:r>
        <w:rPr>
          <w:rFonts w:hint="eastAsia" w:ascii="仿宋" w:hAnsi="仿宋" w:eastAsia="仿宋" w:cs="仿宋"/>
          <w:b/>
          <w:bCs/>
          <w:sz w:val="24"/>
        </w:rPr>
        <w:t>考核细则</w:t>
      </w:r>
      <w:bookmarkStart w:id="26" w:name="_Toc303256693"/>
    </w:p>
    <w:p>
      <w:pPr>
        <w:keepNext w:val="0"/>
        <w:keepLines w:val="0"/>
        <w:pageBreakBefore w:val="0"/>
        <w:kinsoku/>
        <w:wordWrap/>
        <w:overflowPunct/>
        <w:topLinePunct w:val="0"/>
        <w:autoSpaceDE/>
        <w:autoSpaceDN/>
        <w:bidi w:val="0"/>
        <w:adjustRightInd w:val="0"/>
        <w:snapToGrid w:val="0"/>
        <w:spacing w:line="500" w:lineRule="exact"/>
        <w:ind w:right="0" w:rightChars="0" w:firstLine="472" w:firstLineChars="196"/>
        <w:jc w:val="center"/>
        <w:outlineLvl w:val="1"/>
        <w:rPr>
          <w:rFonts w:hint="eastAsia" w:ascii="仿宋" w:hAnsi="仿宋" w:eastAsia="仿宋" w:cs="仿宋"/>
          <w:b/>
          <w:bCs/>
          <w:sz w:val="24"/>
        </w:rPr>
      </w:pPr>
      <w:r>
        <w:rPr>
          <w:rFonts w:hint="eastAsia" w:ascii="仿宋" w:hAnsi="仿宋" w:eastAsia="仿宋" w:cs="仿宋"/>
          <w:b/>
          <w:bCs/>
          <w:sz w:val="24"/>
          <w:lang w:eastAsia="zh-CN"/>
        </w:rPr>
        <w:t>人员</w:t>
      </w:r>
      <w:r>
        <w:rPr>
          <w:rFonts w:hint="eastAsia" w:ascii="仿宋" w:hAnsi="仿宋" w:eastAsia="仿宋" w:cs="仿宋"/>
          <w:b/>
          <w:bCs/>
          <w:sz w:val="24"/>
        </w:rPr>
        <w:t>日常管理督查考核细则</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15"/>
        <w:gridCol w:w="3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center"/>
              <w:rPr>
                <w:rFonts w:hint="eastAsia" w:ascii="仿宋" w:hAnsi="仿宋" w:eastAsia="仿宋" w:cs="仿宋"/>
                <w:b/>
                <w:szCs w:val="21"/>
              </w:rPr>
            </w:pPr>
            <w:r>
              <w:rPr>
                <w:rFonts w:hint="eastAsia" w:ascii="仿宋" w:hAnsi="仿宋" w:eastAsia="仿宋" w:cs="仿宋"/>
                <w:b/>
                <w:szCs w:val="21"/>
              </w:rPr>
              <w:t>序号</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center"/>
              <w:rPr>
                <w:rFonts w:hint="eastAsia" w:ascii="仿宋" w:hAnsi="仿宋" w:eastAsia="仿宋" w:cs="仿宋"/>
                <w:b/>
                <w:szCs w:val="21"/>
              </w:rPr>
            </w:pPr>
            <w:r>
              <w:rPr>
                <w:rFonts w:hint="eastAsia" w:ascii="仿宋" w:hAnsi="仿宋" w:eastAsia="仿宋" w:cs="仿宋"/>
                <w:b/>
                <w:szCs w:val="21"/>
              </w:rPr>
              <w:t>扣分内容</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center"/>
              <w:rPr>
                <w:rFonts w:hint="eastAsia" w:ascii="仿宋" w:hAnsi="仿宋" w:eastAsia="仿宋" w:cs="仿宋"/>
                <w:b/>
                <w:szCs w:val="21"/>
              </w:rPr>
            </w:pPr>
            <w:r>
              <w:rPr>
                <w:rFonts w:hint="eastAsia" w:ascii="仿宋" w:hAnsi="仿宋" w:eastAsia="仿宋" w:cs="仿宋"/>
                <w:b/>
                <w:szCs w:val="21"/>
              </w:rPr>
              <w:t>扣分分值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center"/>
              <w:rPr>
                <w:rFonts w:hint="eastAsia" w:ascii="仿宋" w:hAnsi="仿宋" w:eastAsia="仿宋" w:cs="仿宋"/>
                <w:szCs w:val="21"/>
              </w:rPr>
            </w:pPr>
            <w:r>
              <w:rPr>
                <w:rFonts w:hint="eastAsia" w:ascii="仿宋" w:hAnsi="仿宋" w:eastAsia="仿宋" w:cs="仿宋"/>
                <w:szCs w:val="21"/>
              </w:rPr>
              <w:t>1</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仿宋" w:hAnsi="仿宋" w:eastAsia="仿宋" w:cs="仿宋"/>
                <w:szCs w:val="21"/>
              </w:rPr>
            </w:pPr>
            <w:r>
              <w:rPr>
                <w:rFonts w:hint="eastAsia" w:ascii="仿宋" w:hAnsi="仿宋" w:eastAsia="仿宋" w:cs="仿宋"/>
                <w:szCs w:val="21"/>
              </w:rPr>
              <w:t>上班迟到、早退、擅自离岗</w:t>
            </w:r>
            <w:r>
              <w:rPr>
                <w:rFonts w:hint="eastAsia" w:ascii="仿宋" w:hAnsi="仿宋" w:eastAsia="仿宋" w:cs="仿宋"/>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仿宋" w:hAnsi="仿宋" w:eastAsia="仿宋" w:cs="仿宋"/>
                <w:szCs w:val="21"/>
              </w:rPr>
            </w:pPr>
            <w:r>
              <w:rPr>
                <w:rFonts w:hint="eastAsia" w:ascii="仿宋" w:hAnsi="仿宋" w:eastAsia="仿宋" w:cs="仿宋"/>
                <w:szCs w:val="21"/>
              </w:rPr>
              <w:t>每人每次扣2分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center"/>
              <w:rPr>
                <w:rFonts w:hint="eastAsia" w:ascii="仿宋" w:hAnsi="仿宋" w:eastAsia="仿宋" w:cs="仿宋"/>
                <w:szCs w:val="21"/>
              </w:rPr>
            </w:pPr>
            <w:r>
              <w:rPr>
                <w:rFonts w:hint="eastAsia" w:ascii="仿宋" w:hAnsi="仿宋" w:eastAsia="仿宋" w:cs="仿宋"/>
                <w:szCs w:val="21"/>
              </w:rPr>
              <w:t>2</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仿宋" w:hAnsi="仿宋" w:eastAsia="仿宋" w:cs="仿宋"/>
                <w:szCs w:val="21"/>
              </w:rPr>
            </w:pPr>
            <w:r>
              <w:rPr>
                <w:rFonts w:hint="eastAsia" w:ascii="仿宋" w:hAnsi="仿宋" w:eastAsia="仿宋" w:cs="仿宋"/>
                <w:szCs w:val="21"/>
                <w:lang w:eastAsia="zh-CN"/>
              </w:rPr>
              <w:t>无故</w:t>
            </w:r>
            <w:r>
              <w:rPr>
                <w:rFonts w:hint="eastAsia" w:ascii="仿宋" w:hAnsi="仿宋" w:eastAsia="仿宋" w:cs="仿宋"/>
                <w:szCs w:val="21"/>
              </w:rPr>
              <w:t>旷工</w:t>
            </w:r>
            <w:r>
              <w:rPr>
                <w:rFonts w:hint="eastAsia" w:ascii="仿宋" w:hAnsi="仿宋" w:eastAsia="仿宋" w:cs="仿宋"/>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仿宋" w:hAnsi="仿宋" w:eastAsia="仿宋" w:cs="仿宋"/>
                <w:szCs w:val="21"/>
              </w:rPr>
            </w:pPr>
            <w:r>
              <w:rPr>
                <w:rFonts w:hint="eastAsia" w:ascii="仿宋" w:hAnsi="仿宋" w:eastAsia="仿宋" w:cs="仿宋"/>
                <w:szCs w:val="21"/>
              </w:rPr>
              <w:t>旷工半天扣2分、1天扣3分（两次出现旷工由服务外包单位予以更换人员）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center"/>
              <w:rPr>
                <w:rFonts w:hint="eastAsia" w:ascii="仿宋" w:hAnsi="仿宋" w:eastAsia="仿宋" w:cs="仿宋"/>
                <w:szCs w:val="21"/>
              </w:rPr>
            </w:pPr>
            <w:r>
              <w:rPr>
                <w:rFonts w:hint="eastAsia" w:ascii="仿宋" w:hAnsi="仿宋" w:eastAsia="仿宋" w:cs="仿宋"/>
                <w:szCs w:val="21"/>
              </w:rPr>
              <w:t>3</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仿宋" w:hAnsi="仿宋" w:eastAsia="仿宋" w:cs="仿宋"/>
                <w:szCs w:val="21"/>
              </w:rPr>
            </w:pPr>
            <w:r>
              <w:rPr>
                <w:rFonts w:hint="eastAsia" w:ascii="仿宋" w:hAnsi="仿宋" w:eastAsia="仿宋" w:cs="仿宋"/>
                <w:szCs w:val="21"/>
              </w:rPr>
              <w:t>无故不参加会议、集中学习</w:t>
            </w:r>
            <w:r>
              <w:rPr>
                <w:rFonts w:hint="eastAsia" w:ascii="仿宋" w:hAnsi="仿宋" w:eastAsia="仿宋" w:cs="仿宋"/>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仿宋" w:hAnsi="仿宋" w:eastAsia="仿宋" w:cs="仿宋"/>
                <w:szCs w:val="21"/>
              </w:rPr>
            </w:pPr>
            <w:r>
              <w:rPr>
                <w:rFonts w:hint="eastAsia" w:ascii="仿宋" w:hAnsi="仿宋" w:eastAsia="仿宋" w:cs="仿宋"/>
                <w:szCs w:val="21"/>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center"/>
              <w:rPr>
                <w:rFonts w:hint="eastAsia" w:ascii="仿宋" w:hAnsi="仿宋" w:eastAsia="仿宋" w:cs="仿宋"/>
                <w:szCs w:val="21"/>
              </w:rPr>
            </w:pPr>
            <w:r>
              <w:rPr>
                <w:rFonts w:hint="eastAsia" w:ascii="仿宋" w:hAnsi="仿宋" w:eastAsia="仿宋" w:cs="仿宋"/>
                <w:szCs w:val="21"/>
              </w:rPr>
              <w:t>4</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仿宋" w:hAnsi="仿宋" w:eastAsia="仿宋" w:cs="仿宋"/>
                <w:szCs w:val="21"/>
              </w:rPr>
            </w:pPr>
            <w:r>
              <w:rPr>
                <w:rFonts w:hint="eastAsia" w:ascii="仿宋" w:hAnsi="仿宋" w:eastAsia="仿宋" w:cs="仿宋"/>
                <w:szCs w:val="21"/>
              </w:rPr>
              <w:t>上班期间着装不规范、不整洁</w:t>
            </w:r>
            <w:r>
              <w:rPr>
                <w:rFonts w:hint="eastAsia" w:ascii="仿宋" w:hAnsi="仿宋" w:eastAsia="仿宋" w:cs="仿宋"/>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仿宋" w:hAnsi="仿宋" w:eastAsia="仿宋" w:cs="仿宋"/>
                <w:szCs w:val="21"/>
              </w:rPr>
            </w:pPr>
            <w:r>
              <w:rPr>
                <w:rFonts w:hint="eastAsia" w:ascii="仿宋" w:hAnsi="仿宋" w:eastAsia="仿宋" w:cs="仿宋"/>
                <w:szCs w:val="21"/>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center"/>
              <w:rPr>
                <w:rFonts w:hint="eastAsia" w:ascii="仿宋" w:hAnsi="仿宋" w:eastAsia="仿宋" w:cs="仿宋"/>
                <w:szCs w:val="21"/>
              </w:rPr>
            </w:pPr>
            <w:r>
              <w:rPr>
                <w:rFonts w:hint="eastAsia" w:ascii="仿宋" w:hAnsi="仿宋" w:eastAsia="仿宋" w:cs="仿宋"/>
                <w:szCs w:val="21"/>
              </w:rPr>
              <w:t>5</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仿宋" w:hAnsi="仿宋" w:eastAsia="仿宋" w:cs="仿宋"/>
                <w:szCs w:val="21"/>
              </w:rPr>
            </w:pPr>
            <w:r>
              <w:rPr>
                <w:rFonts w:hint="eastAsia" w:ascii="仿宋" w:hAnsi="仿宋" w:eastAsia="仿宋" w:cs="仿宋"/>
                <w:szCs w:val="21"/>
              </w:rPr>
              <w:t>在管理区域、路段聚众聊天、看手机、或进入店家做与工作无关的事</w:t>
            </w:r>
            <w:r>
              <w:rPr>
                <w:rFonts w:hint="eastAsia" w:ascii="仿宋" w:hAnsi="仿宋" w:eastAsia="仿宋" w:cs="仿宋"/>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仿宋" w:hAnsi="仿宋" w:eastAsia="仿宋" w:cs="仿宋"/>
                <w:szCs w:val="21"/>
              </w:rPr>
            </w:pPr>
            <w:r>
              <w:rPr>
                <w:rFonts w:hint="eastAsia" w:ascii="仿宋" w:hAnsi="仿宋" w:eastAsia="仿宋" w:cs="仿宋"/>
                <w:szCs w:val="21"/>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center"/>
              <w:rPr>
                <w:rFonts w:hint="eastAsia" w:ascii="仿宋" w:hAnsi="仿宋" w:eastAsia="仿宋" w:cs="仿宋"/>
                <w:szCs w:val="21"/>
              </w:rPr>
            </w:pPr>
            <w:r>
              <w:rPr>
                <w:rFonts w:hint="eastAsia" w:ascii="仿宋" w:hAnsi="仿宋" w:eastAsia="仿宋" w:cs="仿宋"/>
                <w:szCs w:val="21"/>
              </w:rPr>
              <w:t>6</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仿宋" w:hAnsi="仿宋" w:eastAsia="仿宋" w:cs="仿宋"/>
                <w:szCs w:val="21"/>
              </w:rPr>
            </w:pPr>
            <w:r>
              <w:rPr>
                <w:rFonts w:hint="eastAsia" w:ascii="仿宋" w:hAnsi="仿宋" w:eastAsia="仿宋" w:cs="仿宋"/>
                <w:szCs w:val="21"/>
              </w:rPr>
              <w:t>违反请销假制度</w:t>
            </w:r>
            <w:r>
              <w:rPr>
                <w:rFonts w:hint="eastAsia" w:ascii="仿宋" w:hAnsi="仿宋" w:eastAsia="仿宋" w:cs="仿宋"/>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仿宋" w:hAnsi="仿宋" w:eastAsia="仿宋" w:cs="仿宋"/>
                <w:szCs w:val="21"/>
              </w:rPr>
            </w:pPr>
            <w:r>
              <w:rPr>
                <w:rFonts w:hint="eastAsia" w:ascii="仿宋" w:hAnsi="仿宋" w:eastAsia="仿宋" w:cs="仿宋"/>
                <w:szCs w:val="21"/>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center"/>
              <w:rPr>
                <w:rFonts w:hint="eastAsia" w:ascii="仿宋" w:hAnsi="仿宋" w:eastAsia="仿宋" w:cs="仿宋"/>
                <w:szCs w:val="21"/>
              </w:rPr>
            </w:pPr>
            <w:r>
              <w:rPr>
                <w:rFonts w:hint="eastAsia" w:ascii="仿宋" w:hAnsi="仿宋" w:eastAsia="仿宋" w:cs="仿宋"/>
                <w:szCs w:val="21"/>
              </w:rPr>
              <w:t>7</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仿宋" w:hAnsi="仿宋" w:eastAsia="仿宋" w:cs="仿宋"/>
                <w:szCs w:val="21"/>
              </w:rPr>
            </w:pPr>
            <w:r>
              <w:rPr>
                <w:rFonts w:hint="eastAsia" w:ascii="仿宋" w:hAnsi="仿宋" w:eastAsia="仿宋" w:cs="仿宋"/>
                <w:szCs w:val="21"/>
              </w:rPr>
              <w:t>将警用装备借于他人使用</w:t>
            </w:r>
            <w:r>
              <w:rPr>
                <w:rFonts w:hint="eastAsia" w:ascii="仿宋" w:hAnsi="仿宋" w:eastAsia="仿宋" w:cs="仿宋"/>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仿宋" w:hAnsi="仿宋" w:eastAsia="仿宋" w:cs="仿宋"/>
                <w:szCs w:val="21"/>
              </w:rPr>
            </w:pPr>
            <w:r>
              <w:rPr>
                <w:rFonts w:hint="eastAsia" w:ascii="仿宋" w:hAnsi="仿宋" w:eastAsia="仿宋" w:cs="仿宋"/>
                <w:szCs w:val="21"/>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center"/>
              <w:rPr>
                <w:rFonts w:hint="eastAsia" w:ascii="仿宋" w:hAnsi="仿宋" w:eastAsia="仿宋" w:cs="仿宋"/>
                <w:szCs w:val="21"/>
              </w:rPr>
            </w:pPr>
            <w:r>
              <w:rPr>
                <w:rFonts w:hint="eastAsia" w:ascii="仿宋" w:hAnsi="仿宋" w:eastAsia="仿宋" w:cs="仿宋"/>
                <w:szCs w:val="21"/>
              </w:rPr>
              <w:t>8</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仿宋" w:hAnsi="仿宋" w:eastAsia="仿宋" w:cs="仿宋"/>
                <w:szCs w:val="21"/>
              </w:rPr>
            </w:pPr>
            <w:r>
              <w:rPr>
                <w:rFonts w:hint="eastAsia" w:ascii="仿宋" w:hAnsi="仿宋" w:eastAsia="仿宋" w:cs="仿宋"/>
                <w:szCs w:val="21"/>
              </w:rPr>
              <w:t>不服从正常的工作调动</w:t>
            </w:r>
            <w:r>
              <w:rPr>
                <w:rFonts w:hint="eastAsia" w:ascii="仿宋" w:hAnsi="仿宋" w:eastAsia="仿宋" w:cs="仿宋"/>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仿宋" w:hAnsi="仿宋" w:eastAsia="仿宋" w:cs="仿宋"/>
                <w:szCs w:val="21"/>
              </w:rPr>
            </w:pPr>
            <w:r>
              <w:rPr>
                <w:rFonts w:hint="eastAsia" w:ascii="仿宋" w:hAnsi="仿宋" w:eastAsia="仿宋" w:cs="仿宋"/>
                <w:szCs w:val="21"/>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center"/>
              <w:rPr>
                <w:rFonts w:hint="eastAsia" w:ascii="仿宋" w:hAnsi="仿宋" w:eastAsia="仿宋" w:cs="仿宋"/>
                <w:szCs w:val="21"/>
              </w:rPr>
            </w:pPr>
            <w:r>
              <w:rPr>
                <w:rFonts w:hint="eastAsia" w:ascii="仿宋" w:hAnsi="仿宋" w:eastAsia="仿宋" w:cs="仿宋"/>
                <w:szCs w:val="21"/>
              </w:rPr>
              <w:t>9</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仿宋" w:hAnsi="仿宋" w:eastAsia="仿宋" w:cs="仿宋"/>
                <w:szCs w:val="21"/>
                <w:lang w:eastAsia="zh-CN"/>
              </w:rPr>
            </w:pPr>
            <w:r>
              <w:rPr>
                <w:rFonts w:hint="eastAsia" w:ascii="仿宋" w:hAnsi="仿宋" w:eastAsia="仿宋" w:cs="仿宋"/>
                <w:szCs w:val="21"/>
              </w:rPr>
              <w:t>队员对自己巡逻、管理区域、路段不熟悉，不了解消火栓地点并不能熟练使用消防器材</w:t>
            </w:r>
            <w:r>
              <w:rPr>
                <w:rFonts w:hint="eastAsia" w:ascii="仿宋" w:hAnsi="仿宋" w:eastAsia="仿宋" w:cs="仿宋"/>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仿宋" w:hAnsi="仿宋" w:eastAsia="仿宋" w:cs="仿宋"/>
                <w:szCs w:val="21"/>
              </w:rPr>
            </w:pPr>
            <w:r>
              <w:rPr>
                <w:rFonts w:hint="eastAsia" w:ascii="仿宋" w:hAnsi="仿宋" w:eastAsia="仿宋" w:cs="仿宋"/>
                <w:szCs w:val="21"/>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center"/>
              <w:rPr>
                <w:rFonts w:hint="eastAsia" w:ascii="仿宋" w:hAnsi="仿宋" w:eastAsia="仿宋" w:cs="仿宋"/>
                <w:szCs w:val="21"/>
              </w:rPr>
            </w:pPr>
            <w:r>
              <w:rPr>
                <w:rFonts w:hint="eastAsia" w:ascii="仿宋" w:hAnsi="仿宋" w:eastAsia="仿宋" w:cs="仿宋"/>
                <w:szCs w:val="21"/>
              </w:rPr>
              <w:t>10</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仿宋" w:hAnsi="仿宋" w:eastAsia="仿宋" w:cs="仿宋"/>
                <w:szCs w:val="21"/>
              </w:rPr>
            </w:pPr>
            <w:r>
              <w:rPr>
                <w:rFonts w:hint="eastAsia" w:ascii="仿宋" w:hAnsi="仿宋" w:eastAsia="仿宋" w:cs="仿宋"/>
                <w:szCs w:val="21"/>
              </w:rPr>
              <w:t>遇险情未及时上报，未采取措施制止灾害扩大</w:t>
            </w:r>
            <w:r>
              <w:rPr>
                <w:rFonts w:hint="eastAsia" w:ascii="仿宋" w:hAnsi="仿宋" w:eastAsia="仿宋" w:cs="仿宋"/>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仿宋" w:hAnsi="仿宋" w:eastAsia="仿宋" w:cs="仿宋"/>
                <w:szCs w:val="21"/>
              </w:rPr>
            </w:pPr>
            <w:r>
              <w:rPr>
                <w:rFonts w:hint="eastAsia" w:ascii="仿宋" w:hAnsi="仿宋" w:eastAsia="仿宋" w:cs="仿宋"/>
                <w:szCs w:val="21"/>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center"/>
              <w:rPr>
                <w:rFonts w:hint="eastAsia" w:ascii="仿宋" w:hAnsi="仿宋" w:eastAsia="仿宋" w:cs="仿宋"/>
                <w:szCs w:val="21"/>
                <w:highlight w:val="yellow"/>
              </w:rPr>
            </w:pPr>
            <w:r>
              <w:rPr>
                <w:rFonts w:hint="eastAsia" w:ascii="仿宋" w:hAnsi="仿宋" w:eastAsia="仿宋" w:cs="仿宋"/>
                <w:szCs w:val="21"/>
              </w:rPr>
              <w:t>11</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仿宋" w:hAnsi="仿宋" w:eastAsia="仿宋" w:cs="仿宋"/>
                <w:szCs w:val="21"/>
                <w:highlight w:val="yellow"/>
              </w:rPr>
            </w:pPr>
            <w:r>
              <w:rPr>
                <w:rFonts w:hint="eastAsia" w:ascii="仿宋" w:hAnsi="仿宋" w:eastAsia="仿宋" w:cs="仿宋"/>
                <w:szCs w:val="21"/>
              </w:rPr>
              <w:t>在巡逻过程中，遇有正在实施的不法侵害行为时，未迅速制止和报警</w:t>
            </w:r>
            <w:r>
              <w:rPr>
                <w:rFonts w:hint="eastAsia" w:ascii="仿宋" w:hAnsi="仿宋" w:eastAsia="仿宋" w:cs="仿宋"/>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仿宋" w:hAnsi="仿宋" w:eastAsia="仿宋" w:cs="仿宋"/>
                <w:szCs w:val="21"/>
                <w:highlight w:val="yellow"/>
              </w:rPr>
            </w:pPr>
            <w:r>
              <w:rPr>
                <w:rFonts w:hint="eastAsia" w:ascii="仿宋" w:hAnsi="仿宋" w:eastAsia="仿宋" w:cs="仿宋"/>
                <w:szCs w:val="21"/>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center"/>
              <w:rPr>
                <w:rFonts w:hint="eastAsia" w:ascii="仿宋" w:hAnsi="仿宋" w:eastAsia="仿宋" w:cs="仿宋"/>
                <w:szCs w:val="21"/>
              </w:rPr>
            </w:pPr>
            <w:r>
              <w:rPr>
                <w:rFonts w:hint="eastAsia" w:ascii="仿宋" w:hAnsi="仿宋" w:eastAsia="仿宋" w:cs="仿宋"/>
                <w:szCs w:val="21"/>
              </w:rPr>
              <w:t>12</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仿宋" w:hAnsi="仿宋" w:eastAsia="仿宋" w:cs="仿宋"/>
                <w:szCs w:val="21"/>
              </w:rPr>
            </w:pPr>
            <w:r>
              <w:rPr>
                <w:rFonts w:hint="eastAsia" w:ascii="仿宋" w:hAnsi="仿宋" w:eastAsia="仿宋" w:cs="仿宋"/>
                <w:szCs w:val="21"/>
              </w:rPr>
              <w:t>受到国家法律及治安条例处罚</w:t>
            </w:r>
            <w:r>
              <w:rPr>
                <w:rFonts w:hint="eastAsia" w:ascii="仿宋" w:hAnsi="仿宋" w:eastAsia="仿宋" w:cs="仿宋"/>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仿宋" w:hAnsi="仿宋" w:eastAsia="仿宋" w:cs="仿宋"/>
                <w:szCs w:val="21"/>
                <w:highlight w:val="yellow"/>
              </w:rPr>
            </w:pPr>
            <w:r>
              <w:rPr>
                <w:rFonts w:hint="eastAsia" w:ascii="仿宋" w:hAnsi="仿宋" w:eastAsia="仿宋" w:cs="仿宋"/>
                <w:szCs w:val="21"/>
              </w:rPr>
              <w:t>每人每次加扣2分（情节严重的予以更换人员）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center"/>
              <w:rPr>
                <w:rFonts w:hint="eastAsia" w:ascii="仿宋" w:hAnsi="仿宋" w:eastAsia="仿宋" w:cs="仿宋"/>
                <w:szCs w:val="21"/>
              </w:rPr>
            </w:pPr>
            <w:r>
              <w:rPr>
                <w:rFonts w:hint="eastAsia" w:ascii="仿宋" w:hAnsi="仿宋" w:eastAsia="仿宋" w:cs="仿宋"/>
                <w:szCs w:val="21"/>
              </w:rPr>
              <w:t>13</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仿宋" w:hAnsi="仿宋" w:eastAsia="仿宋" w:cs="仿宋"/>
                <w:szCs w:val="21"/>
              </w:rPr>
            </w:pPr>
            <w:r>
              <w:rPr>
                <w:rFonts w:hint="eastAsia" w:ascii="仿宋" w:hAnsi="仿宋" w:eastAsia="仿宋" w:cs="仿宋"/>
                <w:szCs w:val="21"/>
              </w:rPr>
              <w:t>对中队督查人员指出的问题不立即进行整改或还顶撞</w:t>
            </w:r>
            <w:r>
              <w:rPr>
                <w:rFonts w:hint="eastAsia" w:ascii="仿宋" w:hAnsi="仿宋" w:eastAsia="仿宋" w:cs="仿宋"/>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仿宋" w:hAnsi="仿宋" w:eastAsia="仿宋" w:cs="仿宋"/>
                <w:szCs w:val="21"/>
              </w:rPr>
            </w:pPr>
            <w:r>
              <w:rPr>
                <w:rFonts w:hint="eastAsia" w:ascii="仿宋" w:hAnsi="仿宋" w:eastAsia="仿宋" w:cs="仿宋"/>
                <w:szCs w:val="21"/>
              </w:rPr>
              <w:t>每人每次加扣2分（情节严重的予以更换人员）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center"/>
              <w:rPr>
                <w:rFonts w:hint="eastAsia" w:ascii="仿宋" w:hAnsi="仿宋" w:eastAsia="仿宋" w:cs="仿宋"/>
                <w:szCs w:val="21"/>
              </w:rPr>
            </w:pPr>
            <w:r>
              <w:rPr>
                <w:rFonts w:hint="eastAsia" w:ascii="仿宋" w:hAnsi="仿宋" w:eastAsia="仿宋" w:cs="仿宋"/>
                <w:szCs w:val="21"/>
              </w:rPr>
              <w:t>14</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仿宋" w:hAnsi="仿宋" w:eastAsia="仿宋" w:cs="仿宋"/>
                <w:szCs w:val="21"/>
              </w:rPr>
            </w:pPr>
            <w:r>
              <w:rPr>
                <w:rFonts w:hint="eastAsia" w:ascii="仿宋" w:hAnsi="仿宋" w:eastAsia="仿宋" w:cs="仿宋"/>
                <w:szCs w:val="21"/>
              </w:rPr>
              <w:t>对中队领导及街道领导发现、指出的问题，不立即进行整改或还顶撞</w:t>
            </w:r>
            <w:r>
              <w:rPr>
                <w:rFonts w:hint="eastAsia" w:ascii="仿宋" w:hAnsi="仿宋" w:eastAsia="仿宋" w:cs="仿宋"/>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仿宋" w:hAnsi="仿宋" w:eastAsia="仿宋" w:cs="仿宋"/>
                <w:szCs w:val="21"/>
              </w:rPr>
            </w:pPr>
            <w:r>
              <w:rPr>
                <w:rFonts w:hint="eastAsia" w:ascii="仿宋" w:hAnsi="仿宋" w:eastAsia="仿宋" w:cs="仿宋"/>
                <w:szCs w:val="21"/>
              </w:rPr>
              <w:t>每人每次扣10分（并由服务外包单位予以更换人员）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center"/>
              <w:rPr>
                <w:rFonts w:hint="eastAsia" w:ascii="仿宋" w:hAnsi="仿宋" w:eastAsia="仿宋" w:cs="仿宋"/>
                <w:szCs w:val="21"/>
              </w:rPr>
            </w:pPr>
            <w:r>
              <w:rPr>
                <w:rFonts w:hint="eastAsia" w:ascii="仿宋" w:hAnsi="仿宋" w:eastAsia="仿宋" w:cs="仿宋"/>
                <w:szCs w:val="21"/>
              </w:rPr>
              <w:t>15</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仿宋" w:hAnsi="仿宋" w:eastAsia="仿宋" w:cs="仿宋"/>
                <w:szCs w:val="21"/>
              </w:rPr>
            </w:pPr>
            <w:r>
              <w:rPr>
                <w:rFonts w:hint="eastAsia" w:ascii="仿宋" w:hAnsi="仿宋" w:eastAsia="仿宋" w:cs="仿宋"/>
                <w:szCs w:val="21"/>
              </w:rPr>
              <w:t>对不服从中队督查人员督查管理。</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仿宋" w:hAnsi="仿宋" w:eastAsia="仿宋" w:cs="仿宋"/>
                <w:szCs w:val="21"/>
              </w:rPr>
            </w:pPr>
            <w:r>
              <w:rPr>
                <w:rFonts w:hint="eastAsia" w:ascii="仿宋" w:hAnsi="仿宋" w:eastAsia="仿宋" w:cs="仿宋"/>
                <w:szCs w:val="21"/>
              </w:rPr>
              <w:t>每人每次扣10分（并由服务外包单位予以更换人员）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仿宋" w:hAnsi="仿宋" w:eastAsia="仿宋" w:cs="仿宋"/>
                <w:b/>
                <w:szCs w:val="21"/>
              </w:rPr>
            </w:pPr>
            <w:r>
              <w:rPr>
                <w:rFonts w:hint="eastAsia" w:ascii="仿宋" w:hAnsi="仿宋" w:eastAsia="仿宋" w:cs="仿宋"/>
                <w:b/>
                <w:szCs w:val="21"/>
              </w:rPr>
              <w:t>备注</w:t>
            </w:r>
          </w:p>
        </w:tc>
        <w:tc>
          <w:tcPr>
            <w:tcW w:w="80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500" w:lineRule="exact"/>
              <w:ind w:left="0" w:right="0" w:rightChars="0"/>
              <w:jc w:val="left"/>
              <w:rPr>
                <w:rFonts w:hint="eastAsia" w:ascii="仿宋" w:hAnsi="仿宋" w:eastAsia="仿宋" w:cs="仿宋"/>
                <w:szCs w:val="21"/>
              </w:rPr>
            </w:pPr>
            <w:r>
              <w:rPr>
                <w:rFonts w:hint="eastAsia" w:ascii="仿宋" w:hAnsi="仿宋" w:eastAsia="仿宋" w:cs="仿宋"/>
                <w:szCs w:val="21"/>
              </w:rPr>
              <w:t>此督查考核仅限于招标单位对中标单位提供的服务外包人员根据服务外包管理内容履职进行考核，根据考核扣分情况进行每月汇总。</w:t>
            </w:r>
          </w:p>
        </w:tc>
      </w:tr>
    </w:tbl>
    <w:p>
      <w:pPr>
        <w:keepNext w:val="0"/>
        <w:keepLines w:val="0"/>
        <w:pageBreakBefore w:val="0"/>
        <w:kinsoku/>
        <w:wordWrap/>
        <w:overflowPunct/>
        <w:topLinePunct w:val="0"/>
        <w:autoSpaceDE/>
        <w:autoSpaceDN/>
        <w:bidi w:val="0"/>
        <w:adjustRightInd w:val="0"/>
        <w:snapToGrid w:val="0"/>
        <w:spacing w:line="500" w:lineRule="exact"/>
        <w:ind w:right="0" w:rightChars="0" w:firstLine="630" w:firstLineChars="300"/>
        <w:rPr>
          <w:rFonts w:hint="eastAsia" w:ascii="仿宋" w:hAnsi="仿宋" w:eastAsia="仿宋" w:cs="仿宋"/>
          <w:szCs w:val="21"/>
          <w:lang w:eastAsia="zh-CN"/>
        </w:rPr>
      </w:pPr>
    </w:p>
    <w:p>
      <w:pPr>
        <w:keepNext w:val="0"/>
        <w:keepLines w:val="0"/>
        <w:pageBreakBefore w:val="0"/>
        <w:kinsoku/>
        <w:wordWrap/>
        <w:overflowPunct/>
        <w:topLinePunct w:val="0"/>
        <w:autoSpaceDE/>
        <w:autoSpaceDN/>
        <w:bidi w:val="0"/>
        <w:adjustRightInd w:val="0"/>
        <w:snapToGrid w:val="0"/>
        <w:spacing w:line="500" w:lineRule="exact"/>
        <w:ind w:right="0" w:rightChars="0" w:firstLine="630" w:firstLineChars="300"/>
        <w:rPr>
          <w:rFonts w:hint="eastAsia" w:ascii="仿宋" w:hAnsi="仿宋" w:eastAsia="仿宋" w:cs="仿宋"/>
          <w:szCs w:val="21"/>
        </w:rPr>
      </w:pPr>
      <w:r>
        <w:rPr>
          <w:rFonts w:hint="eastAsia" w:ascii="仿宋" w:hAnsi="仿宋" w:eastAsia="仿宋" w:cs="仿宋"/>
          <w:szCs w:val="21"/>
          <w:lang w:eastAsia="zh-CN"/>
        </w:rPr>
        <w:t>采购</w:t>
      </w:r>
      <w:r>
        <w:rPr>
          <w:rFonts w:hint="eastAsia" w:ascii="仿宋" w:hAnsi="仿宋" w:eastAsia="仿宋" w:cs="仿宋"/>
          <w:szCs w:val="21"/>
        </w:rPr>
        <w:t xml:space="preserve">方：     </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    检查人员签字：    </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 </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     部室负责人签字：      </w:t>
      </w:r>
    </w:p>
    <w:p>
      <w:pPr>
        <w:keepNext w:val="0"/>
        <w:keepLines w:val="0"/>
        <w:pageBreakBefore w:val="0"/>
        <w:kinsoku/>
        <w:wordWrap/>
        <w:overflowPunct/>
        <w:topLinePunct w:val="0"/>
        <w:autoSpaceDE/>
        <w:autoSpaceDN/>
        <w:bidi w:val="0"/>
        <w:adjustRightInd w:val="0"/>
        <w:snapToGrid w:val="0"/>
        <w:spacing w:line="500" w:lineRule="exact"/>
        <w:ind w:right="0" w:rightChars="0" w:firstLine="630" w:firstLineChars="300"/>
        <w:rPr>
          <w:rFonts w:hint="eastAsia" w:ascii="仿宋" w:hAnsi="仿宋" w:eastAsia="仿宋" w:cs="仿宋"/>
          <w:szCs w:val="21"/>
        </w:rPr>
      </w:pPr>
      <w:r>
        <w:rPr>
          <w:rFonts w:hint="eastAsia" w:ascii="仿宋" w:hAnsi="仿宋" w:eastAsia="仿宋" w:cs="仿宋"/>
          <w:szCs w:val="21"/>
          <w:lang w:eastAsia="zh-CN"/>
        </w:rPr>
        <w:t>中标方：</w:t>
      </w:r>
      <w:r>
        <w:rPr>
          <w:rFonts w:hint="eastAsia" w:ascii="仿宋" w:hAnsi="仿宋" w:eastAsia="仿宋" w:cs="仿宋"/>
          <w:szCs w:val="21"/>
          <w:lang w:val="en-US" w:eastAsia="zh-CN"/>
        </w:rPr>
        <w:t xml:space="preserve">           项目负责人签字：             总经理签字：</w:t>
      </w:r>
      <w:r>
        <w:rPr>
          <w:rFonts w:hint="eastAsia" w:ascii="仿宋" w:hAnsi="仿宋" w:eastAsia="仿宋" w:cs="仿宋"/>
          <w:szCs w:val="21"/>
        </w:rPr>
        <w:t xml:space="preserve">        </w:t>
      </w:r>
    </w:p>
    <w:p>
      <w:pPr>
        <w:keepNext w:val="0"/>
        <w:keepLines w:val="0"/>
        <w:pageBreakBefore w:val="0"/>
        <w:kinsoku/>
        <w:wordWrap/>
        <w:overflowPunct/>
        <w:topLinePunct w:val="0"/>
        <w:autoSpaceDE/>
        <w:autoSpaceDN/>
        <w:bidi w:val="0"/>
        <w:adjustRightInd w:val="0"/>
        <w:snapToGrid w:val="0"/>
        <w:spacing w:line="500" w:lineRule="exact"/>
        <w:ind w:right="0" w:rightChars="0" w:firstLine="420" w:firstLineChars="200"/>
        <w:rPr>
          <w:rFonts w:hint="eastAsia" w:ascii="仿宋" w:hAnsi="仿宋" w:eastAsia="仿宋" w:cs="仿宋"/>
          <w:szCs w:val="21"/>
        </w:rPr>
      </w:pPr>
    </w:p>
    <w:p>
      <w:pPr>
        <w:keepNext w:val="0"/>
        <w:keepLines w:val="0"/>
        <w:pageBreakBefore w:val="0"/>
        <w:kinsoku/>
        <w:wordWrap/>
        <w:overflowPunct/>
        <w:topLinePunct w:val="0"/>
        <w:autoSpaceDE/>
        <w:autoSpaceDN/>
        <w:bidi w:val="0"/>
        <w:adjustRightInd w:val="0"/>
        <w:snapToGrid w:val="0"/>
        <w:spacing w:line="500" w:lineRule="exact"/>
        <w:ind w:right="0" w:rightChars="0" w:firstLine="420" w:firstLineChars="200"/>
        <w:rPr>
          <w:rFonts w:hint="eastAsia" w:ascii="仿宋" w:hAnsi="仿宋" w:eastAsia="仿宋" w:cs="仿宋"/>
          <w:szCs w:val="21"/>
        </w:rPr>
      </w:pPr>
      <w:r>
        <w:rPr>
          <w:rFonts w:hint="eastAsia" w:ascii="仿宋" w:hAnsi="仿宋" w:eastAsia="仿宋" w:cs="仿宋"/>
          <w:szCs w:val="21"/>
        </w:rPr>
        <w:t>备注：每月抽查一次，根据检查情况进行扣分；</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right="0" w:rightChars="0" w:firstLine="420" w:firstLineChars="200"/>
        <w:rPr>
          <w:rFonts w:hint="eastAsia" w:ascii="仿宋" w:hAnsi="仿宋" w:eastAsia="仿宋" w:cs="仿宋"/>
          <w:szCs w:val="21"/>
        </w:rPr>
      </w:pPr>
      <w:r>
        <w:rPr>
          <w:rFonts w:hint="eastAsia" w:ascii="仿宋" w:hAnsi="仿宋" w:eastAsia="仿宋" w:cs="仿宋"/>
          <w:szCs w:val="21"/>
          <w:lang w:val="en-US" w:eastAsia="zh-CN"/>
        </w:rPr>
        <w:t>A、</w:t>
      </w:r>
      <w:r>
        <w:rPr>
          <w:rFonts w:hint="eastAsia" w:ascii="仿宋" w:hAnsi="仿宋" w:eastAsia="仿宋" w:cs="仿宋"/>
          <w:szCs w:val="21"/>
        </w:rPr>
        <w:t>若分值＜80分，</w:t>
      </w:r>
      <w:r>
        <w:rPr>
          <w:rFonts w:hint="eastAsia" w:ascii="仿宋" w:hAnsi="仿宋" w:eastAsia="仿宋" w:cs="仿宋"/>
          <w:szCs w:val="21"/>
          <w:lang w:eastAsia="zh-CN"/>
        </w:rPr>
        <w:t>视为考核不合格，并扣除本月巡逻安保服务经费</w:t>
      </w:r>
      <w:r>
        <w:rPr>
          <w:rFonts w:hint="eastAsia" w:ascii="仿宋" w:hAnsi="仿宋" w:eastAsia="仿宋" w:cs="仿宋"/>
          <w:szCs w:val="21"/>
          <w:lang w:val="en-US" w:eastAsia="zh-CN"/>
        </w:rPr>
        <w:t>2</w:t>
      </w:r>
      <w:r>
        <w:rPr>
          <w:rFonts w:hint="eastAsia" w:ascii="仿宋" w:hAnsi="仿宋" w:eastAsia="仿宋" w:cs="仿宋"/>
          <w:szCs w:val="21"/>
          <w:lang w:eastAsia="zh-CN"/>
        </w:rPr>
        <w:t>0%；</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right="0" w:rightChars="0" w:firstLine="420" w:firstLineChars="200"/>
        <w:rPr>
          <w:rFonts w:hint="eastAsia" w:ascii="仿宋" w:hAnsi="仿宋" w:eastAsia="仿宋" w:cs="仿宋"/>
          <w:szCs w:val="21"/>
        </w:rPr>
      </w:pPr>
      <w:r>
        <w:rPr>
          <w:rFonts w:hint="eastAsia" w:ascii="仿宋" w:hAnsi="仿宋" w:eastAsia="仿宋" w:cs="仿宋"/>
          <w:szCs w:val="21"/>
          <w:lang w:val="en-US" w:eastAsia="zh-CN"/>
        </w:rPr>
        <w:t>B</w:t>
      </w:r>
      <w:r>
        <w:rPr>
          <w:rFonts w:hint="eastAsia" w:ascii="仿宋" w:hAnsi="仿宋" w:eastAsia="仿宋" w:cs="仿宋"/>
          <w:szCs w:val="21"/>
        </w:rPr>
        <w:t>、若80分≤考核得分＜85分，扣除本月巡逻安保服务经费</w:t>
      </w:r>
      <w:r>
        <w:rPr>
          <w:rFonts w:hint="eastAsia" w:ascii="仿宋" w:hAnsi="仿宋" w:eastAsia="仿宋" w:cs="仿宋"/>
          <w:szCs w:val="21"/>
          <w:lang w:val="en-US" w:eastAsia="zh-CN"/>
        </w:rPr>
        <w:t>1</w:t>
      </w:r>
      <w:r>
        <w:rPr>
          <w:rFonts w:hint="eastAsia" w:ascii="仿宋" w:hAnsi="仿宋" w:eastAsia="仿宋" w:cs="仿宋"/>
          <w:szCs w:val="21"/>
        </w:rPr>
        <w:t>0%；</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right="0" w:rightChars="0" w:firstLine="420" w:firstLineChars="200"/>
        <w:rPr>
          <w:rFonts w:hint="eastAsia" w:ascii="仿宋" w:hAnsi="仿宋" w:eastAsia="仿宋" w:cs="仿宋"/>
          <w:szCs w:val="21"/>
        </w:rPr>
      </w:pPr>
      <w:r>
        <w:rPr>
          <w:rFonts w:hint="eastAsia" w:ascii="仿宋" w:hAnsi="仿宋" w:eastAsia="仿宋" w:cs="仿宋"/>
          <w:szCs w:val="21"/>
          <w:lang w:val="en-US" w:eastAsia="zh-CN"/>
        </w:rPr>
        <w:t>C</w:t>
      </w:r>
      <w:r>
        <w:rPr>
          <w:rFonts w:hint="eastAsia" w:ascii="仿宋" w:hAnsi="仿宋" w:eastAsia="仿宋" w:cs="仿宋"/>
          <w:szCs w:val="21"/>
        </w:rPr>
        <w:t>、考核得分≥85分，支付合同约定服务费用的100%；</w:t>
      </w:r>
      <w:bookmarkEnd w:id="26"/>
    </w:p>
    <w:p>
      <w:pPr>
        <w:pStyle w:val="62"/>
        <w:numPr>
          <w:ilvl w:val="0"/>
          <w:numId w:val="0"/>
        </w:numPr>
        <w:rPr>
          <w:rFonts w:hint="eastAsia" w:ascii="仿宋" w:hAnsi="仿宋" w:eastAsia="仿宋" w:cs="仿宋"/>
          <w:color w:val="auto"/>
        </w:rPr>
      </w:pPr>
      <w:r>
        <w:rPr>
          <w:rFonts w:hint="eastAsia" w:ascii="仿宋" w:hAnsi="仿宋" w:eastAsia="仿宋" w:cs="仿宋"/>
          <w:szCs w:val="21"/>
          <w:lang w:val="en-US" w:eastAsia="zh-CN"/>
        </w:rPr>
        <w:t>D、</w:t>
      </w:r>
      <w:r>
        <w:rPr>
          <w:rFonts w:hint="eastAsia" w:ascii="仿宋" w:hAnsi="仿宋" w:eastAsia="仿宋" w:cs="仿宋"/>
          <w:szCs w:val="21"/>
          <w:lang w:eastAsia="zh-CN"/>
        </w:rPr>
        <w:t>以下情况为强制性要求，一旦发生经查实，每次将扣除本月巡逻安保服务经费20%。</w:t>
      </w:r>
    </w:p>
    <w:p>
      <w:pPr>
        <w:spacing w:line="360" w:lineRule="auto"/>
        <w:ind w:firstLine="181" w:firstLineChars="50"/>
        <w:rPr>
          <w:rFonts w:hint="eastAsia" w:ascii="仿宋" w:hAnsi="仿宋" w:eastAsia="仿宋" w:cs="仿宋"/>
          <w:b/>
          <w:color w:val="auto"/>
          <w:sz w:val="36"/>
          <w:szCs w:val="36"/>
        </w:rPr>
      </w:pPr>
    </w:p>
    <w:p>
      <w:pPr>
        <w:spacing w:line="360" w:lineRule="auto"/>
        <w:rPr>
          <w:rFonts w:hint="eastAsia" w:ascii="仿宋" w:hAnsi="仿宋" w:eastAsia="仿宋" w:cs="仿宋"/>
          <w:color w:val="auto"/>
          <w:sz w:val="24"/>
        </w:rPr>
      </w:pPr>
    </w:p>
    <w:p>
      <w:pPr>
        <w:widowControl/>
        <w:ind w:firstLine="720" w:firstLineChars="300"/>
        <w:jc w:val="left"/>
        <w:rPr>
          <w:rFonts w:hint="eastAsia" w:ascii="仿宋" w:hAnsi="仿宋" w:eastAsia="仿宋" w:cs="仿宋"/>
          <w:bCs/>
          <w:color w:val="auto"/>
          <w:sz w:val="24"/>
        </w:rPr>
      </w:pPr>
    </w:p>
    <w:p>
      <w:pPr>
        <w:rPr>
          <w:rFonts w:hint="eastAsia" w:ascii="仿宋" w:hAnsi="仿宋" w:eastAsia="仿宋" w:cs="仿宋"/>
          <w:snapToGrid w:val="0"/>
          <w:color w:val="auto"/>
          <w:kern w:val="0"/>
          <w:sz w:val="24"/>
        </w:rPr>
      </w:pPr>
    </w:p>
    <w:p>
      <w:pPr>
        <w:snapToGrid w:val="0"/>
        <w:spacing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24"/>
        </w:rPr>
        <w:br w:type="page"/>
      </w:r>
      <w:r>
        <w:rPr>
          <w:rFonts w:hint="eastAsia" w:ascii="仿宋" w:hAnsi="仿宋" w:eastAsia="仿宋" w:cs="仿宋"/>
          <w:b/>
          <w:color w:val="auto"/>
          <w:sz w:val="36"/>
          <w:szCs w:val="36"/>
        </w:rPr>
        <w:t xml:space="preserve">第四部分   </w:t>
      </w:r>
      <w:bookmarkStart w:id="27" w:name="_Toc184314454"/>
      <w:bookmarkEnd w:id="27"/>
      <w:bookmarkStart w:id="28" w:name="_Toc184310273"/>
      <w:bookmarkEnd w:id="28"/>
      <w:bookmarkStart w:id="29" w:name="_Toc184312081"/>
      <w:bookmarkEnd w:id="29"/>
      <w:bookmarkStart w:id="30" w:name="_Toc184312086"/>
      <w:bookmarkEnd w:id="30"/>
      <w:bookmarkStart w:id="31" w:name="_Toc184312071"/>
      <w:bookmarkEnd w:id="31"/>
      <w:bookmarkStart w:id="32" w:name="_Toc184313287"/>
      <w:bookmarkEnd w:id="32"/>
      <w:bookmarkStart w:id="33" w:name="_Toc184313291"/>
      <w:bookmarkEnd w:id="33"/>
      <w:bookmarkStart w:id="34" w:name="_Toc184312135"/>
      <w:bookmarkEnd w:id="34"/>
      <w:bookmarkStart w:id="35" w:name="_Toc184310311"/>
      <w:bookmarkEnd w:id="35"/>
      <w:bookmarkStart w:id="36" w:name="_Toc184312131"/>
      <w:bookmarkEnd w:id="36"/>
      <w:bookmarkStart w:id="37" w:name="_Toc184310279"/>
      <w:bookmarkEnd w:id="37"/>
      <w:bookmarkStart w:id="38" w:name="_Toc184313238"/>
      <w:bookmarkEnd w:id="38"/>
      <w:bookmarkStart w:id="39" w:name="_Toc184314440"/>
      <w:bookmarkEnd w:id="39"/>
      <w:bookmarkStart w:id="40" w:name="_Toc184310284"/>
      <w:bookmarkEnd w:id="40"/>
      <w:bookmarkStart w:id="41" w:name="_Toc184308038"/>
      <w:bookmarkEnd w:id="41"/>
      <w:bookmarkStart w:id="42" w:name="_Toc184313245"/>
      <w:bookmarkEnd w:id="42"/>
      <w:bookmarkStart w:id="43" w:name="_Toc184312075"/>
      <w:bookmarkEnd w:id="43"/>
      <w:bookmarkStart w:id="44" w:name="_Toc184308053"/>
      <w:bookmarkEnd w:id="44"/>
      <w:bookmarkStart w:id="45" w:name="_Toc184313270"/>
      <w:bookmarkEnd w:id="45"/>
      <w:bookmarkStart w:id="46" w:name="_Toc184314453"/>
      <w:bookmarkEnd w:id="46"/>
      <w:bookmarkStart w:id="47" w:name="_Toc184310305"/>
      <w:bookmarkEnd w:id="47"/>
      <w:bookmarkStart w:id="48" w:name="_Toc184308057"/>
      <w:bookmarkEnd w:id="48"/>
      <w:bookmarkStart w:id="49" w:name="_Toc184308055"/>
      <w:bookmarkEnd w:id="49"/>
      <w:bookmarkStart w:id="50" w:name="_Toc184308083"/>
      <w:bookmarkEnd w:id="50"/>
      <w:bookmarkStart w:id="51" w:name="_Toc184312073"/>
      <w:bookmarkEnd w:id="51"/>
      <w:bookmarkStart w:id="52" w:name="_Toc184314432"/>
      <w:bookmarkEnd w:id="52"/>
      <w:bookmarkStart w:id="53" w:name="_Toc184308071"/>
      <w:bookmarkEnd w:id="53"/>
      <w:bookmarkStart w:id="54" w:name="_Toc184310313"/>
      <w:bookmarkEnd w:id="54"/>
      <w:bookmarkStart w:id="55" w:name="_Toc184314457"/>
      <w:bookmarkEnd w:id="55"/>
      <w:bookmarkStart w:id="56" w:name="_Toc184308070"/>
      <w:bookmarkEnd w:id="56"/>
      <w:bookmarkStart w:id="57" w:name="_Toc184310337"/>
      <w:bookmarkEnd w:id="57"/>
      <w:bookmarkStart w:id="58" w:name="_Toc184314463"/>
      <w:bookmarkEnd w:id="58"/>
      <w:bookmarkStart w:id="59" w:name="_Toc184310312"/>
      <w:bookmarkEnd w:id="59"/>
      <w:bookmarkStart w:id="60" w:name="_Toc184313308"/>
      <w:bookmarkEnd w:id="60"/>
      <w:bookmarkStart w:id="61" w:name="_Toc184312119"/>
      <w:bookmarkEnd w:id="61"/>
      <w:bookmarkStart w:id="62" w:name="_Toc184314445"/>
      <w:bookmarkEnd w:id="62"/>
      <w:bookmarkStart w:id="63" w:name="_Toc184308091"/>
      <w:bookmarkEnd w:id="63"/>
      <w:bookmarkStart w:id="64" w:name="_Toc184312098"/>
      <w:bookmarkEnd w:id="64"/>
      <w:bookmarkStart w:id="65" w:name="_Toc184312133"/>
      <w:bookmarkEnd w:id="65"/>
      <w:bookmarkStart w:id="66" w:name="_Toc184310303"/>
      <w:bookmarkEnd w:id="66"/>
      <w:bookmarkStart w:id="67" w:name="_Toc184314455"/>
      <w:bookmarkEnd w:id="67"/>
      <w:bookmarkStart w:id="68" w:name="_Toc184313258"/>
      <w:bookmarkEnd w:id="68"/>
      <w:bookmarkStart w:id="69" w:name="_Toc184310283"/>
      <w:bookmarkEnd w:id="69"/>
      <w:bookmarkStart w:id="70" w:name="_Toc184310322"/>
      <w:bookmarkEnd w:id="70"/>
      <w:bookmarkStart w:id="71" w:name="_Toc184308081"/>
      <w:bookmarkEnd w:id="71"/>
      <w:bookmarkStart w:id="72" w:name="_Toc184314459"/>
      <w:bookmarkEnd w:id="72"/>
      <w:bookmarkStart w:id="73" w:name="_Toc184312127"/>
      <w:bookmarkEnd w:id="73"/>
      <w:bookmarkStart w:id="74" w:name="_Toc184314411"/>
      <w:bookmarkEnd w:id="74"/>
      <w:bookmarkStart w:id="75" w:name="_Toc184314423"/>
      <w:bookmarkEnd w:id="75"/>
      <w:bookmarkStart w:id="76" w:name="_Toc184314410"/>
      <w:bookmarkEnd w:id="76"/>
      <w:bookmarkStart w:id="77" w:name="_Toc184312080"/>
      <w:bookmarkEnd w:id="77"/>
      <w:bookmarkStart w:id="78" w:name="_Toc184312137"/>
      <w:bookmarkEnd w:id="78"/>
      <w:bookmarkStart w:id="79" w:name="_Toc184313247"/>
      <w:bookmarkEnd w:id="79"/>
      <w:bookmarkStart w:id="80" w:name="_Toc184313283"/>
      <w:bookmarkEnd w:id="80"/>
      <w:bookmarkStart w:id="81" w:name="_Toc184308074"/>
      <w:bookmarkEnd w:id="81"/>
      <w:bookmarkStart w:id="82" w:name="_Toc184312068"/>
      <w:bookmarkEnd w:id="82"/>
      <w:bookmarkStart w:id="83" w:name="_Toc184314430"/>
      <w:bookmarkEnd w:id="83"/>
      <w:bookmarkStart w:id="84" w:name="_Toc184308088"/>
      <w:bookmarkEnd w:id="84"/>
      <w:bookmarkStart w:id="85" w:name="_Toc184312101"/>
      <w:bookmarkEnd w:id="85"/>
      <w:bookmarkStart w:id="86" w:name="_Toc184314417"/>
      <w:bookmarkEnd w:id="86"/>
      <w:bookmarkStart w:id="87" w:name="_Toc184310333"/>
      <w:bookmarkEnd w:id="87"/>
      <w:bookmarkStart w:id="88" w:name="_Toc184313264"/>
      <w:bookmarkEnd w:id="88"/>
      <w:bookmarkStart w:id="89" w:name="_Toc184312076"/>
      <w:bookmarkEnd w:id="89"/>
      <w:bookmarkStart w:id="90" w:name="_Toc184312114"/>
      <w:bookmarkEnd w:id="90"/>
      <w:bookmarkStart w:id="91" w:name="_Toc184308084"/>
      <w:bookmarkEnd w:id="91"/>
      <w:bookmarkStart w:id="92" w:name="_Toc184310343"/>
      <w:bookmarkEnd w:id="92"/>
      <w:bookmarkStart w:id="93" w:name="_Toc184310292"/>
      <w:bookmarkEnd w:id="93"/>
      <w:bookmarkStart w:id="94" w:name="_Toc184310286"/>
      <w:bookmarkEnd w:id="94"/>
      <w:bookmarkStart w:id="95" w:name="_Toc184310306"/>
      <w:bookmarkEnd w:id="95"/>
      <w:bookmarkStart w:id="96" w:name="_Toc184314447"/>
      <w:bookmarkEnd w:id="96"/>
      <w:bookmarkStart w:id="97" w:name="_Toc184308063"/>
      <w:bookmarkEnd w:id="97"/>
      <w:bookmarkStart w:id="98" w:name="_Toc184313239"/>
      <w:bookmarkEnd w:id="98"/>
      <w:bookmarkStart w:id="99" w:name="_Toc184312078"/>
      <w:bookmarkEnd w:id="99"/>
      <w:bookmarkStart w:id="100" w:name="_Toc184312108"/>
      <w:bookmarkEnd w:id="100"/>
      <w:bookmarkStart w:id="101" w:name="_Toc184313285"/>
      <w:bookmarkEnd w:id="101"/>
      <w:bookmarkStart w:id="102" w:name="_Toc184308046"/>
      <w:bookmarkEnd w:id="102"/>
      <w:bookmarkStart w:id="103" w:name="_Toc184314424"/>
      <w:bookmarkEnd w:id="103"/>
      <w:bookmarkStart w:id="104" w:name="_Toc184310281"/>
      <w:bookmarkEnd w:id="104"/>
      <w:bookmarkStart w:id="105" w:name="_Toc184313302"/>
      <w:bookmarkEnd w:id="105"/>
      <w:bookmarkStart w:id="106" w:name="_Toc184310338"/>
      <w:bookmarkEnd w:id="106"/>
      <w:bookmarkStart w:id="107" w:name="_Toc184313244"/>
      <w:bookmarkEnd w:id="107"/>
      <w:bookmarkStart w:id="108" w:name="_Toc184313272"/>
      <w:bookmarkEnd w:id="108"/>
      <w:bookmarkStart w:id="109" w:name="_Toc184313307"/>
      <w:bookmarkEnd w:id="109"/>
      <w:bookmarkStart w:id="110" w:name="_Toc184310308"/>
      <w:bookmarkEnd w:id="110"/>
      <w:bookmarkStart w:id="111" w:name="_Toc184313282"/>
      <w:bookmarkEnd w:id="111"/>
      <w:bookmarkStart w:id="112" w:name="_Toc184313279"/>
      <w:bookmarkEnd w:id="112"/>
      <w:bookmarkStart w:id="113" w:name="_Toc184314465"/>
      <w:bookmarkEnd w:id="113"/>
      <w:bookmarkStart w:id="114" w:name="_Toc184313240"/>
      <w:bookmarkEnd w:id="114"/>
      <w:bookmarkStart w:id="115" w:name="_Toc184314442"/>
      <w:bookmarkEnd w:id="115"/>
      <w:bookmarkStart w:id="116" w:name="_Toc184308082"/>
      <w:bookmarkEnd w:id="116"/>
      <w:bookmarkStart w:id="117" w:name="_Toc184314470"/>
      <w:bookmarkEnd w:id="117"/>
      <w:bookmarkStart w:id="118" w:name="_Toc184312093"/>
      <w:bookmarkEnd w:id="118"/>
      <w:bookmarkStart w:id="119" w:name="_Toc184308085"/>
      <w:bookmarkEnd w:id="119"/>
      <w:bookmarkStart w:id="120" w:name="_Toc184314422"/>
      <w:bookmarkEnd w:id="120"/>
      <w:bookmarkStart w:id="121" w:name="_Toc184314439"/>
      <w:bookmarkEnd w:id="121"/>
      <w:bookmarkStart w:id="122" w:name="_Toc184310285"/>
      <w:bookmarkEnd w:id="122"/>
      <w:bookmarkStart w:id="123" w:name="_Toc184308051"/>
      <w:bookmarkEnd w:id="123"/>
      <w:bookmarkStart w:id="124" w:name="_Toc184308072"/>
      <w:bookmarkEnd w:id="124"/>
      <w:bookmarkStart w:id="125" w:name="_Toc184313250"/>
      <w:bookmarkEnd w:id="125"/>
      <w:bookmarkStart w:id="126" w:name="_Toc184313268"/>
      <w:bookmarkEnd w:id="126"/>
      <w:bookmarkStart w:id="127" w:name="_Toc184314469"/>
      <w:bookmarkEnd w:id="127"/>
      <w:bookmarkStart w:id="128" w:name="_Toc184310325"/>
      <w:bookmarkEnd w:id="128"/>
      <w:bookmarkStart w:id="129" w:name="_Toc184310332"/>
      <w:bookmarkEnd w:id="129"/>
      <w:bookmarkStart w:id="130" w:name="_Toc184314456"/>
      <w:bookmarkEnd w:id="130"/>
      <w:bookmarkStart w:id="131" w:name="_Toc184308050"/>
      <w:bookmarkEnd w:id="131"/>
      <w:bookmarkStart w:id="132" w:name="_Toc184310330"/>
      <w:bookmarkEnd w:id="132"/>
      <w:bookmarkStart w:id="133" w:name="_Toc184312130"/>
      <w:bookmarkEnd w:id="133"/>
      <w:bookmarkStart w:id="134" w:name="_Toc184314462"/>
      <w:bookmarkEnd w:id="134"/>
      <w:bookmarkStart w:id="135" w:name="_Toc184308048"/>
      <w:bookmarkEnd w:id="135"/>
      <w:bookmarkStart w:id="136" w:name="_Toc184312121"/>
      <w:bookmarkEnd w:id="136"/>
      <w:bookmarkStart w:id="137" w:name="_Toc184313255"/>
      <w:bookmarkEnd w:id="137"/>
      <w:bookmarkStart w:id="138" w:name="_Toc184314478"/>
      <w:bookmarkEnd w:id="138"/>
      <w:bookmarkStart w:id="139" w:name="_Toc184313292"/>
      <w:bookmarkEnd w:id="139"/>
      <w:bookmarkStart w:id="140" w:name="_Toc184310307"/>
      <w:bookmarkEnd w:id="140"/>
      <w:bookmarkStart w:id="141" w:name="_Toc184310327"/>
      <w:bookmarkEnd w:id="141"/>
      <w:bookmarkStart w:id="142" w:name="_Toc184313242"/>
      <w:bookmarkEnd w:id="142"/>
      <w:bookmarkStart w:id="143" w:name="_Toc184308095"/>
      <w:bookmarkEnd w:id="143"/>
      <w:bookmarkStart w:id="144" w:name="_Toc184310278"/>
      <w:bookmarkEnd w:id="144"/>
      <w:bookmarkStart w:id="145" w:name="_Toc184308078"/>
      <w:bookmarkEnd w:id="145"/>
      <w:bookmarkStart w:id="146" w:name="_Toc184312139"/>
      <w:bookmarkEnd w:id="146"/>
      <w:bookmarkStart w:id="147" w:name="_Toc184314451"/>
      <w:bookmarkEnd w:id="147"/>
      <w:bookmarkStart w:id="148" w:name="_Toc184308090"/>
      <w:bookmarkEnd w:id="148"/>
      <w:bookmarkStart w:id="149" w:name="_Toc184314467"/>
      <w:bookmarkEnd w:id="149"/>
      <w:bookmarkStart w:id="150" w:name="_Toc184310339"/>
      <w:bookmarkEnd w:id="150"/>
      <w:bookmarkStart w:id="151" w:name="_Toc184312136"/>
      <w:bookmarkEnd w:id="151"/>
      <w:bookmarkStart w:id="152" w:name="_Toc184314464"/>
      <w:bookmarkEnd w:id="152"/>
      <w:bookmarkStart w:id="153" w:name="_Toc184313252"/>
      <w:bookmarkEnd w:id="153"/>
      <w:bookmarkStart w:id="154" w:name="_Toc184313301"/>
      <w:bookmarkEnd w:id="154"/>
      <w:bookmarkStart w:id="155" w:name="_Toc184312126"/>
      <w:bookmarkEnd w:id="155"/>
      <w:bookmarkStart w:id="156" w:name="_Toc184308068"/>
      <w:bookmarkEnd w:id="156"/>
      <w:bookmarkStart w:id="157" w:name="_Toc184313298"/>
      <w:bookmarkEnd w:id="157"/>
      <w:bookmarkStart w:id="158" w:name="_Toc184313274"/>
      <w:bookmarkEnd w:id="158"/>
      <w:bookmarkStart w:id="159" w:name="_Toc184308080"/>
      <w:bookmarkEnd w:id="159"/>
      <w:bookmarkStart w:id="160" w:name="_Toc184313309"/>
      <w:bookmarkEnd w:id="160"/>
      <w:bookmarkStart w:id="161" w:name="_Toc184314466"/>
      <w:bookmarkEnd w:id="161"/>
      <w:bookmarkStart w:id="162" w:name="_Toc184310320"/>
      <w:bookmarkEnd w:id="162"/>
      <w:bookmarkStart w:id="163" w:name="_Toc184313289"/>
      <w:bookmarkEnd w:id="163"/>
      <w:bookmarkStart w:id="164" w:name="_Toc184308097"/>
      <w:bookmarkEnd w:id="164"/>
      <w:bookmarkStart w:id="165" w:name="_Toc184310331"/>
      <w:bookmarkEnd w:id="165"/>
      <w:bookmarkStart w:id="166" w:name="_Toc184308094"/>
      <w:bookmarkEnd w:id="166"/>
      <w:bookmarkStart w:id="167" w:name="_Toc184314477"/>
      <w:bookmarkEnd w:id="167"/>
      <w:bookmarkStart w:id="168" w:name="_Toc184314436"/>
      <w:bookmarkEnd w:id="168"/>
      <w:bookmarkStart w:id="169" w:name="_Toc184313293"/>
      <w:bookmarkEnd w:id="169"/>
      <w:bookmarkStart w:id="170" w:name="_Toc184314460"/>
      <w:bookmarkEnd w:id="170"/>
      <w:bookmarkStart w:id="171" w:name="_Toc184314461"/>
      <w:bookmarkEnd w:id="171"/>
      <w:bookmarkStart w:id="172" w:name="_Toc184308087"/>
      <w:bookmarkEnd w:id="172"/>
      <w:bookmarkStart w:id="173" w:name="_Toc184310319"/>
      <w:bookmarkEnd w:id="173"/>
      <w:bookmarkStart w:id="174" w:name="_Toc184312104"/>
      <w:bookmarkEnd w:id="174"/>
      <w:bookmarkStart w:id="175" w:name="_Toc184310328"/>
      <w:bookmarkEnd w:id="175"/>
      <w:bookmarkStart w:id="176" w:name="_Toc184313248"/>
      <w:bookmarkEnd w:id="176"/>
      <w:bookmarkStart w:id="177" w:name="_Toc184313249"/>
      <w:bookmarkEnd w:id="177"/>
      <w:bookmarkStart w:id="178" w:name="_Toc184313261"/>
      <w:bookmarkEnd w:id="178"/>
      <w:bookmarkStart w:id="179" w:name="_Toc184312113"/>
      <w:bookmarkEnd w:id="179"/>
      <w:bookmarkStart w:id="180" w:name="_Toc184312123"/>
      <w:bookmarkEnd w:id="180"/>
      <w:bookmarkStart w:id="181" w:name="_Toc184308099"/>
      <w:bookmarkEnd w:id="181"/>
      <w:bookmarkStart w:id="182" w:name="_Toc184312099"/>
      <w:bookmarkEnd w:id="182"/>
      <w:bookmarkStart w:id="183" w:name="_Toc184313241"/>
      <w:bookmarkEnd w:id="183"/>
      <w:bookmarkStart w:id="184" w:name="_Toc184312079"/>
      <w:bookmarkEnd w:id="184"/>
      <w:bookmarkStart w:id="185" w:name="_Toc184310324"/>
      <w:bookmarkEnd w:id="185"/>
      <w:bookmarkStart w:id="186" w:name="_Toc184313310"/>
      <w:bookmarkEnd w:id="186"/>
      <w:bookmarkStart w:id="187" w:name="_Toc184310340"/>
      <w:bookmarkEnd w:id="187"/>
      <w:bookmarkStart w:id="188" w:name="_Toc184313294"/>
      <w:bookmarkEnd w:id="188"/>
      <w:bookmarkStart w:id="189" w:name="_Toc184308086"/>
      <w:bookmarkEnd w:id="189"/>
      <w:bookmarkStart w:id="190" w:name="_Toc184314427"/>
      <w:bookmarkEnd w:id="190"/>
      <w:bookmarkStart w:id="191" w:name="_Toc184310334"/>
      <w:bookmarkEnd w:id="191"/>
      <w:bookmarkStart w:id="192" w:name="_Toc184313300"/>
      <w:bookmarkEnd w:id="192"/>
      <w:bookmarkStart w:id="193" w:name="_Toc184314471"/>
      <w:bookmarkEnd w:id="193"/>
      <w:bookmarkStart w:id="194" w:name="_Toc184310329"/>
      <w:bookmarkEnd w:id="194"/>
      <w:bookmarkStart w:id="195" w:name="_Toc184308107"/>
      <w:bookmarkEnd w:id="195"/>
      <w:bookmarkStart w:id="196" w:name="_Toc184308077"/>
      <w:bookmarkEnd w:id="196"/>
      <w:bookmarkStart w:id="197" w:name="_Toc184313286"/>
      <w:bookmarkEnd w:id="197"/>
      <w:bookmarkStart w:id="198" w:name="_Toc184312102"/>
      <w:bookmarkEnd w:id="198"/>
      <w:bookmarkStart w:id="199" w:name="_Toc184314412"/>
      <w:bookmarkEnd w:id="199"/>
      <w:bookmarkStart w:id="200" w:name="_Toc184313243"/>
      <w:bookmarkEnd w:id="200"/>
      <w:bookmarkStart w:id="201" w:name="_Toc184312110"/>
      <w:bookmarkEnd w:id="201"/>
      <w:bookmarkStart w:id="202" w:name="_Toc184313296"/>
      <w:bookmarkEnd w:id="202"/>
      <w:bookmarkStart w:id="203" w:name="_Toc184314419"/>
      <w:bookmarkEnd w:id="203"/>
      <w:bookmarkStart w:id="204" w:name="_Toc184314418"/>
      <w:bookmarkEnd w:id="204"/>
      <w:bookmarkStart w:id="205" w:name="_Toc184308098"/>
      <w:bookmarkEnd w:id="205"/>
      <w:bookmarkStart w:id="206" w:name="_Toc184308036"/>
      <w:bookmarkEnd w:id="206"/>
      <w:bookmarkStart w:id="207" w:name="_Toc184313295"/>
      <w:bookmarkEnd w:id="207"/>
      <w:bookmarkStart w:id="208" w:name="_Toc184314421"/>
      <w:bookmarkEnd w:id="208"/>
      <w:bookmarkStart w:id="209" w:name="_Toc184314476"/>
      <w:bookmarkEnd w:id="209"/>
      <w:bookmarkStart w:id="210" w:name="_Toc184312096"/>
      <w:bookmarkEnd w:id="210"/>
      <w:bookmarkStart w:id="211" w:name="_Toc184312138"/>
      <w:bookmarkEnd w:id="211"/>
      <w:bookmarkStart w:id="212" w:name="_Toc184308100"/>
      <w:bookmarkEnd w:id="212"/>
      <w:bookmarkStart w:id="213" w:name="_Toc184308073"/>
      <w:bookmarkEnd w:id="213"/>
      <w:bookmarkStart w:id="214" w:name="_Toc184308089"/>
      <w:bookmarkEnd w:id="214"/>
      <w:bookmarkStart w:id="215" w:name="_Toc184310304"/>
      <w:bookmarkEnd w:id="215"/>
      <w:bookmarkStart w:id="216" w:name="_Toc184314420"/>
      <w:bookmarkEnd w:id="216"/>
      <w:bookmarkStart w:id="217" w:name="_Toc184308076"/>
      <w:bookmarkEnd w:id="217"/>
      <w:bookmarkStart w:id="218" w:name="_Toc184310321"/>
      <w:bookmarkEnd w:id="218"/>
      <w:bookmarkStart w:id="219" w:name="_Toc184308108"/>
      <w:bookmarkEnd w:id="219"/>
      <w:bookmarkStart w:id="220" w:name="_Toc184312105"/>
      <w:bookmarkEnd w:id="220"/>
      <w:bookmarkStart w:id="221" w:name="_Toc184314433"/>
      <w:bookmarkEnd w:id="221"/>
      <w:bookmarkStart w:id="222" w:name="_Toc184312134"/>
      <w:bookmarkEnd w:id="222"/>
      <w:bookmarkStart w:id="223" w:name="_Toc184308093"/>
      <w:bookmarkEnd w:id="223"/>
      <w:bookmarkStart w:id="224" w:name="_Toc184308044"/>
      <w:bookmarkEnd w:id="224"/>
      <w:bookmarkStart w:id="225" w:name="_Toc184314444"/>
      <w:bookmarkEnd w:id="225"/>
      <w:bookmarkStart w:id="226" w:name="_Toc184314480"/>
      <w:bookmarkEnd w:id="226"/>
      <w:bookmarkStart w:id="227" w:name="_Toc184312087"/>
      <w:bookmarkEnd w:id="227"/>
      <w:bookmarkStart w:id="228" w:name="_Toc184312092"/>
      <w:bookmarkEnd w:id="228"/>
      <w:bookmarkStart w:id="229" w:name="_Toc184313276"/>
      <w:bookmarkEnd w:id="229"/>
      <w:bookmarkStart w:id="230" w:name="_Toc184313306"/>
      <w:bookmarkEnd w:id="230"/>
      <w:bookmarkStart w:id="231" w:name="_Toc184314425"/>
      <w:bookmarkEnd w:id="231"/>
      <w:bookmarkStart w:id="232" w:name="_Toc184312089"/>
      <w:bookmarkEnd w:id="232"/>
      <w:bookmarkStart w:id="233" w:name="_Toc184310277"/>
      <w:bookmarkEnd w:id="233"/>
      <w:bookmarkStart w:id="234" w:name="_Toc184312072"/>
      <w:bookmarkEnd w:id="234"/>
      <w:bookmarkStart w:id="235" w:name="_Toc184308039"/>
      <w:bookmarkEnd w:id="235"/>
      <w:bookmarkStart w:id="236" w:name="_Toc184312077"/>
      <w:bookmarkEnd w:id="236"/>
      <w:bookmarkStart w:id="237" w:name="_Toc184308075"/>
      <w:bookmarkEnd w:id="237"/>
      <w:bookmarkStart w:id="238" w:name="_Toc184313305"/>
      <w:bookmarkEnd w:id="238"/>
      <w:bookmarkStart w:id="239" w:name="_Toc184312118"/>
      <w:bookmarkEnd w:id="239"/>
      <w:bookmarkStart w:id="240" w:name="_Toc184308105"/>
      <w:bookmarkEnd w:id="240"/>
      <w:bookmarkStart w:id="241" w:name="_Toc184308079"/>
      <w:bookmarkEnd w:id="241"/>
      <w:bookmarkStart w:id="242" w:name="_Toc184314479"/>
      <w:bookmarkEnd w:id="242"/>
      <w:bookmarkStart w:id="243" w:name="_Toc184312129"/>
      <w:bookmarkEnd w:id="243"/>
      <w:bookmarkStart w:id="244" w:name="_Toc184313297"/>
      <w:bookmarkEnd w:id="244"/>
      <w:bookmarkStart w:id="245" w:name="_Toc184312128"/>
      <w:bookmarkEnd w:id="245"/>
      <w:bookmarkStart w:id="246" w:name="_Toc184312091"/>
      <w:bookmarkEnd w:id="246"/>
      <w:bookmarkStart w:id="247" w:name="_Toc184314431"/>
      <w:bookmarkEnd w:id="247"/>
      <w:bookmarkStart w:id="248" w:name="_Toc184308106"/>
      <w:bookmarkEnd w:id="248"/>
      <w:bookmarkStart w:id="249" w:name="_Toc184314482"/>
      <w:bookmarkEnd w:id="249"/>
      <w:bookmarkStart w:id="250" w:name="_Toc184314416"/>
      <w:bookmarkEnd w:id="250"/>
      <w:bookmarkStart w:id="251" w:name="_Toc184310323"/>
      <w:bookmarkEnd w:id="251"/>
      <w:bookmarkStart w:id="252" w:name="_Toc184310309"/>
      <w:bookmarkEnd w:id="252"/>
      <w:bookmarkStart w:id="253" w:name="_Toc184313278"/>
      <w:bookmarkEnd w:id="253"/>
      <w:bookmarkStart w:id="254" w:name="_Toc184310342"/>
      <w:bookmarkEnd w:id="254"/>
      <w:bookmarkStart w:id="255" w:name="_Toc184314435"/>
      <w:bookmarkEnd w:id="255"/>
      <w:bookmarkStart w:id="256" w:name="_Toc184312082"/>
      <w:bookmarkEnd w:id="256"/>
      <w:bookmarkStart w:id="257" w:name="_Toc184313299"/>
      <w:bookmarkEnd w:id="257"/>
      <w:bookmarkStart w:id="258" w:name="_Toc184312125"/>
      <w:bookmarkEnd w:id="258"/>
      <w:bookmarkStart w:id="259" w:name="_Toc184312120"/>
      <w:bookmarkEnd w:id="259"/>
      <w:bookmarkStart w:id="260" w:name="_Toc184308042"/>
      <w:bookmarkEnd w:id="260"/>
      <w:bookmarkStart w:id="261" w:name="_Toc184310344"/>
      <w:bookmarkEnd w:id="261"/>
      <w:bookmarkStart w:id="262" w:name="_Toc184312124"/>
      <w:bookmarkEnd w:id="262"/>
      <w:bookmarkStart w:id="263" w:name="_Toc184313290"/>
      <w:bookmarkEnd w:id="263"/>
      <w:bookmarkStart w:id="264" w:name="_Toc184312074"/>
      <w:bookmarkEnd w:id="264"/>
      <w:bookmarkStart w:id="265" w:name="_Toc184314415"/>
      <w:bookmarkEnd w:id="265"/>
      <w:bookmarkStart w:id="266" w:name="_Toc184310310"/>
      <w:bookmarkEnd w:id="266"/>
      <w:bookmarkStart w:id="267" w:name="_Toc184314452"/>
      <w:bookmarkEnd w:id="267"/>
      <w:bookmarkStart w:id="268" w:name="_Toc184310335"/>
      <w:bookmarkEnd w:id="268"/>
      <w:bookmarkStart w:id="269" w:name="_Toc184313288"/>
      <w:bookmarkEnd w:id="269"/>
      <w:bookmarkStart w:id="270" w:name="_Toc184308062"/>
      <w:bookmarkEnd w:id="270"/>
      <w:bookmarkStart w:id="271" w:name="_Toc184310290"/>
      <w:bookmarkEnd w:id="271"/>
      <w:bookmarkStart w:id="272" w:name="_Toc184308043"/>
      <w:bookmarkEnd w:id="272"/>
      <w:bookmarkStart w:id="273" w:name="_Toc184314437"/>
      <w:bookmarkEnd w:id="273"/>
      <w:bookmarkStart w:id="274" w:name="_Toc184313262"/>
      <w:bookmarkEnd w:id="274"/>
      <w:bookmarkStart w:id="275" w:name="_Toc184314481"/>
      <w:bookmarkEnd w:id="275"/>
      <w:bookmarkStart w:id="276" w:name="_Toc184308045"/>
      <w:bookmarkEnd w:id="276"/>
      <w:bookmarkStart w:id="277" w:name="_Toc184310287"/>
      <w:bookmarkEnd w:id="277"/>
      <w:bookmarkStart w:id="278" w:name="_Toc184314474"/>
      <w:bookmarkEnd w:id="278"/>
      <w:bookmarkStart w:id="279" w:name="_Toc184310294"/>
      <w:bookmarkEnd w:id="279"/>
      <w:bookmarkStart w:id="280" w:name="_Toc184308092"/>
      <w:bookmarkEnd w:id="280"/>
      <w:bookmarkStart w:id="281" w:name="_Toc184310326"/>
      <w:bookmarkEnd w:id="281"/>
      <w:bookmarkStart w:id="282" w:name="_Toc184308102"/>
      <w:bookmarkEnd w:id="282"/>
      <w:bookmarkStart w:id="283" w:name="_Toc184308103"/>
      <w:bookmarkEnd w:id="283"/>
      <w:bookmarkStart w:id="284" w:name="_Toc184310301"/>
      <w:bookmarkEnd w:id="284"/>
      <w:bookmarkStart w:id="285" w:name="_Toc184308052"/>
      <w:bookmarkEnd w:id="285"/>
      <w:bookmarkStart w:id="286" w:name="_Toc184313275"/>
      <w:bookmarkEnd w:id="286"/>
      <w:bookmarkStart w:id="287" w:name="_Toc184312069"/>
      <w:bookmarkEnd w:id="287"/>
      <w:bookmarkStart w:id="288" w:name="_Toc184308060"/>
      <w:bookmarkEnd w:id="288"/>
      <w:bookmarkStart w:id="289" w:name="_Toc184314468"/>
      <w:bookmarkEnd w:id="289"/>
      <w:bookmarkStart w:id="290" w:name="_Toc184312097"/>
      <w:bookmarkEnd w:id="290"/>
      <w:bookmarkStart w:id="291" w:name="_Toc184310276"/>
      <w:bookmarkEnd w:id="291"/>
      <w:bookmarkStart w:id="292" w:name="_Toc184308104"/>
      <w:bookmarkEnd w:id="292"/>
      <w:bookmarkStart w:id="293" w:name="_Toc184312122"/>
      <w:bookmarkEnd w:id="293"/>
      <w:bookmarkStart w:id="294" w:name="_Toc184308040"/>
      <w:bookmarkEnd w:id="294"/>
      <w:bookmarkStart w:id="295" w:name="_Toc184312090"/>
      <w:bookmarkEnd w:id="295"/>
      <w:bookmarkStart w:id="296" w:name="_Toc184312085"/>
      <w:bookmarkEnd w:id="296"/>
      <w:bookmarkStart w:id="297" w:name="_Toc184314434"/>
      <w:bookmarkEnd w:id="297"/>
      <w:bookmarkStart w:id="298" w:name="_Toc184312095"/>
      <w:bookmarkEnd w:id="298"/>
      <w:bookmarkStart w:id="299" w:name="_Toc184310317"/>
      <w:bookmarkEnd w:id="299"/>
      <w:bookmarkStart w:id="300" w:name="_Toc184310288"/>
      <w:bookmarkEnd w:id="300"/>
      <w:bookmarkStart w:id="301" w:name="_Toc184310318"/>
      <w:bookmarkEnd w:id="301"/>
      <w:bookmarkStart w:id="302" w:name="_Toc184312132"/>
      <w:bookmarkEnd w:id="302"/>
      <w:bookmarkStart w:id="303" w:name="_Toc184313284"/>
      <w:bookmarkEnd w:id="303"/>
      <w:bookmarkStart w:id="304" w:name="_Toc184313265"/>
      <w:bookmarkEnd w:id="304"/>
      <w:bookmarkStart w:id="305" w:name="_Toc184308041"/>
      <w:bookmarkEnd w:id="305"/>
      <w:bookmarkStart w:id="306" w:name="_Toc184310274"/>
      <w:bookmarkEnd w:id="306"/>
      <w:bookmarkStart w:id="307" w:name="_Toc184313271"/>
      <w:bookmarkEnd w:id="307"/>
      <w:bookmarkStart w:id="308" w:name="_Toc184312083"/>
      <w:bookmarkEnd w:id="308"/>
      <w:bookmarkStart w:id="309" w:name="_Toc184312109"/>
      <w:bookmarkEnd w:id="309"/>
      <w:bookmarkStart w:id="310" w:name="_Toc184313304"/>
      <w:bookmarkEnd w:id="310"/>
      <w:bookmarkStart w:id="311" w:name="_Toc184310315"/>
      <w:bookmarkEnd w:id="311"/>
      <w:bookmarkStart w:id="312" w:name="_Toc184310280"/>
      <w:bookmarkEnd w:id="312"/>
      <w:bookmarkStart w:id="313" w:name="_Toc184310302"/>
      <w:bookmarkEnd w:id="313"/>
      <w:bookmarkStart w:id="314" w:name="_Toc184308064"/>
      <w:bookmarkEnd w:id="314"/>
      <w:bookmarkStart w:id="315" w:name="_Toc184310316"/>
      <w:bookmarkEnd w:id="315"/>
      <w:bookmarkStart w:id="316" w:name="_Toc184313263"/>
      <w:bookmarkEnd w:id="316"/>
      <w:bookmarkStart w:id="317" w:name="_Toc184308037"/>
      <w:bookmarkEnd w:id="317"/>
      <w:bookmarkStart w:id="318" w:name="_Toc184313277"/>
      <w:bookmarkEnd w:id="318"/>
      <w:bookmarkStart w:id="319" w:name="_Toc184308096"/>
      <w:bookmarkEnd w:id="319"/>
      <w:bookmarkStart w:id="320" w:name="_Toc184313273"/>
      <w:bookmarkEnd w:id="320"/>
      <w:bookmarkStart w:id="321" w:name="_Toc184312106"/>
      <w:bookmarkEnd w:id="321"/>
      <w:bookmarkStart w:id="322" w:name="_Toc184313251"/>
      <w:bookmarkEnd w:id="322"/>
      <w:bookmarkStart w:id="323" w:name="_Toc184313259"/>
      <w:bookmarkEnd w:id="323"/>
      <w:bookmarkStart w:id="324" w:name="_Toc184312103"/>
      <w:bookmarkEnd w:id="324"/>
      <w:bookmarkStart w:id="325" w:name="_Toc184312067"/>
      <w:bookmarkEnd w:id="325"/>
      <w:bookmarkStart w:id="326" w:name="_Toc184313253"/>
      <w:bookmarkEnd w:id="326"/>
      <w:bookmarkStart w:id="327" w:name="_Toc184312107"/>
      <w:bookmarkEnd w:id="327"/>
      <w:bookmarkStart w:id="328" w:name="_Toc184310293"/>
      <w:bookmarkEnd w:id="328"/>
      <w:bookmarkStart w:id="329" w:name="_Toc184312088"/>
      <w:bookmarkEnd w:id="329"/>
      <w:bookmarkStart w:id="330" w:name="_Toc184310296"/>
      <w:bookmarkEnd w:id="330"/>
      <w:bookmarkStart w:id="331" w:name="_Toc184313256"/>
      <w:bookmarkEnd w:id="331"/>
      <w:bookmarkStart w:id="332" w:name="_Toc184312111"/>
      <w:bookmarkEnd w:id="332"/>
      <w:bookmarkStart w:id="333" w:name="_Toc184308049"/>
      <w:bookmarkEnd w:id="333"/>
      <w:bookmarkStart w:id="334" w:name="_Toc184310299"/>
      <w:bookmarkEnd w:id="334"/>
      <w:bookmarkStart w:id="335" w:name="_Toc184314413"/>
      <w:bookmarkEnd w:id="335"/>
      <w:bookmarkStart w:id="336" w:name="_Toc184310291"/>
      <w:bookmarkEnd w:id="336"/>
      <w:bookmarkStart w:id="337" w:name="_Toc184313266"/>
      <w:bookmarkEnd w:id="337"/>
      <w:bookmarkStart w:id="338" w:name="_Toc184314475"/>
      <w:bookmarkEnd w:id="338"/>
      <w:bookmarkStart w:id="339" w:name="_Toc184313246"/>
      <w:bookmarkEnd w:id="339"/>
      <w:bookmarkStart w:id="340" w:name="_Toc184308054"/>
      <w:bookmarkEnd w:id="340"/>
      <w:bookmarkStart w:id="341" w:name="_Toc184310289"/>
      <w:bookmarkEnd w:id="341"/>
      <w:bookmarkStart w:id="342" w:name="_Toc184308058"/>
      <w:bookmarkEnd w:id="342"/>
      <w:bookmarkStart w:id="343" w:name="_Toc184313260"/>
      <w:bookmarkEnd w:id="343"/>
      <w:bookmarkStart w:id="344" w:name="_Toc184308056"/>
      <w:bookmarkEnd w:id="344"/>
      <w:bookmarkStart w:id="345" w:name="_Toc184312117"/>
      <w:bookmarkEnd w:id="345"/>
      <w:bookmarkStart w:id="346" w:name="_Toc184310272"/>
      <w:bookmarkEnd w:id="346"/>
      <w:bookmarkStart w:id="347" w:name="_Toc184308066"/>
      <w:bookmarkEnd w:id="347"/>
      <w:bookmarkStart w:id="348" w:name="_Toc184308059"/>
      <w:bookmarkEnd w:id="348"/>
      <w:bookmarkStart w:id="349" w:name="_Toc184310297"/>
      <w:bookmarkEnd w:id="349"/>
      <w:bookmarkStart w:id="350" w:name="_Toc184313303"/>
      <w:bookmarkEnd w:id="350"/>
      <w:bookmarkStart w:id="351" w:name="_Toc184314443"/>
      <w:bookmarkEnd w:id="351"/>
      <w:bookmarkStart w:id="352" w:name="_Toc184310282"/>
      <w:bookmarkEnd w:id="352"/>
      <w:bookmarkStart w:id="353" w:name="_Toc184313257"/>
      <w:bookmarkEnd w:id="353"/>
      <w:bookmarkStart w:id="354" w:name="_Toc184310336"/>
      <w:bookmarkEnd w:id="354"/>
      <w:bookmarkStart w:id="355" w:name="_Toc184308101"/>
      <w:bookmarkEnd w:id="355"/>
      <w:bookmarkStart w:id="356" w:name="_Toc184314472"/>
      <w:bookmarkEnd w:id="356"/>
      <w:bookmarkStart w:id="357" w:name="_Toc184314438"/>
      <w:bookmarkEnd w:id="357"/>
      <w:bookmarkStart w:id="358" w:name="_Toc184313281"/>
      <w:bookmarkEnd w:id="358"/>
      <w:bookmarkStart w:id="359" w:name="_Toc184314458"/>
      <w:bookmarkEnd w:id="359"/>
      <w:bookmarkStart w:id="360" w:name="_Toc184313269"/>
      <w:bookmarkEnd w:id="360"/>
      <w:bookmarkStart w:id="361" w:name="_Toc184313267"/>
      <w:bookmarkEnd w:id="361"/>
      <w:bookmarkStart w:id="362" w:name="_Toc184312094"/>
      <w:bookmarkEnd w:id="362"/>
      <w:bookmarkStart w:id="363" w:name="_Toc184312100"/>
      <w:bookmarkEnd w:id="363"/>
      <w:bookmarkStart w:id="364" w:name="_Toc184312084"/>
      <w:bookmarkEnd w:id="364"/>
      <w:bookmarkStart w:id="365" w:name="_Toc184310314"/>
      <w:bookmarkEnd w:id="365"/>
      <w:bookmarkStart w:id="366" w:name="_Toc184308061"/>
      <w:bookmarkEnd w:id="366"/>
      <w:bookmarkStart w:id="367" w:name="_Toc184308065"/>
      <w:bookmarkEnd w:id="367"/>
      <w:bookmarkStart w:id="368" w:name="_Toc184314450"/>
      <w:bookmarkEnd w:id="368"/>
      <w:bookmarkStart w:id="369" w:name="_Toc184310275"/>
      <w:bookmarkEnd w:id="369"/>
      <w:bookmarkStart w:id="370" w:name="_Toc184313254"/>
      <w:bookmarkEnd w:id="370"/>
      <w:bookmarkStart w:id="371" w:name="_Toc184308067"/>
      <w:bookmarkEnd w:id="371"/>
      <w:bookmarkStart w:id="372" w:name="_Toc184314449"/>
      <w:bookmarkEnd w:id="372"/>
      <w:bookmarkStart w:id="373" w:name="_Toc184312070"/>
      <w:bookmarkEnd w:id="373"/>
      <w:bookmarkStart w:id="374" w:name="_Toc184312112"/>
      <w:bookmarkEnd w:id="374"/>
      <w:bookmarkStart w:id="375" w:name="_Toc184310295"/>
      <w:bookmarkEnd w:id="375"/>
      <w:bookmarkStart w:id="376" w:name="_Toc184314428"/>
      <w:bookmarkEnd w:id="376"/>
      <w:bookmarkStart w:id="377" w:name="_Toc184312116"/>
      <w:bookmarkEnd w:id="377"/>
      <w:bookmarkStart w:id="378" w:name="_Toc184314414"/>
      <w:bookmarkEnd w:id="378"/>
      <w:bookmarkStart w:id="379" w:name="_Toc184314426"/>
      <w:bookmarkEnd w:id="379"/>
      <w:bookmarkStart w:id="380" w:name="_Toc184310298"/>
      <w:bookmarkEnd w:id="380"/>
      <w:bookmarkStart w:id="381" w:name="_Toc184308069"/>
      <w:bookmarkEnd w:id="381"/>
      <w:bookmarkStart w:id="382" w:name="_Toc184314429"/>
      <w:bookmarkEnd w:id="382"/>
      <w:bookmarkStart w:id="383" w:name="_Toc184314446"/>
      <w:bookmarkEnd w:id="383"/>
      <w:bookmarkStart w:id="384" w:name="_Toc184310300"/>
      <w:bookmarkEnd w:id="384"/>
      <w:bookmarkStart w:id="385" w:name="_Toc184312115"/>
      <w:bookmarkEnd w:id="385"/>
      <w:bookmarkStart w:id="386" w:name="_Toc184313280"/>
      <w:bookmarkEnd w:id="386"/>
      <w:bookmarkStart w:id="387" w:name="_Toc184314448"/>
      <w:bookmarkEnd w:id="387"/>
      <w:bookmarkStart w:id="388" w:name="_Toc184310341"/>
      <w:bookmarkEnd w:id="388"/>
      <w:bookmarkStart w:id="389" w:name="_Toc184314473"/>
      <w:bookmarkEnd w:id="389"/>
      <w:bookmarkStart w:id="390" w:name="_Toc184314441"/>
      <w:bookmarkEnd w:id="390"/>
      <w:bookmarkStart w:id="391" w:name="_Toc184308047"/>
      <w:bookmarkEnd w:id="391"/>
      <w:r>
        <w:rPr>
          <w:rFonts w:hint="eastAsia" w:ascii="仿宋" w:hAnsi="仿宋" w:eastAsia="仿宋" w:cs="仿宋"/>
          <w:b/>
          <w:color w:val="auto"/>
          <w:sz w:val="36"/>
          <w:szCs w:val="36"/>
        </w:rPr>
        <w:t>评标办法</w:t>
      </w:r>
    </w:p>
    <w:p>
      <w:pPr>
        <w:snapToGrid w:val="0"/>
        <w:spacing w:line="360" w:lineRule="auto"/>
        <w:jc w:val="center"/>
        <w:rPr>
          <w:rFonts w:hint="eastAsia" w:ascii="仿宋" w:hAnsi="仿宋" w:eastAsia="仿宋" w:cs="仿宋"/>
          <w:b/>
          <w:color w:val="auto"/>
          <w:sz w:val="32"/>
          <w:szCs w:val="20"/>
          <w:lang w:eastAsia="zh-CN"/>
        </w:rPr>
      </w:pPr>
      <w:r>
        <w:rPr>
          <w:rFonts w:hint="eastAsia" w:ascii="仿宋" w:hAnsi="仿宋" w:eastAsia="仿宋" w:cs="仿宋"/>
          <w:b/>
          <w:color w:val="auto"/>
          <w:sz w:val="32"/>
          <w:szCs w:val="20"/>
        </w:rPr>
        <w:t>评标办法前附表</w:t>
      </w:r>
      <w:r>
        <w:rPr>
          <w:rFonts w:hint="eastAsia" w:ascii="仿宋" w:hAnsi="仿宋" w:eastAsia="仿宋" w:cs="仿宋"/>
          <w:b/>
          <w:color w:val="auto"/>
          <w:sz w:val="32"/>
          <w:szCs w:val="20"/>
          <w:lang w:eastAsia="zh-CN"/>
        </w:rPr>
        <w:t>（</w:t>
      </w:r>
      <w:r>
        <w:rPr>
          <w:rFonts w:hint="eastAsia" w:ascii="仿宋" w:hAnsi="仿宋" w:eastAsia="仿宋" w:cs="仿宋"/>
          <w:b/>
          <w:color w:val="auto"/>
          <w:sz w:val="32"/>
          <w:szCs w:val="20"/>
          <w:lang w:val="en-US" w:eastAsia="zh-CN"/>
        </w:rPr>
        <w:t>标项一、二</w:t>
      </w:r>
      <w:r>
        <w:rPr>
          <w:rFonts w:hint="eastAsia" w:ascii="仿宋" w:hAnsi="仿宋" w:eastAsia="仿宋" w:cs="仿宋"/>
          <w:b/>
          <w:color w:val="auto"/>
          <w:sz w:val="32"/>
          <w:szCs w:val="20"/>
          <w:lang w:eastAsia="zh-CN"/>
        </w:rPr>
        <w:t>）</w:t>
      </w:r>
    </w:p>
    <w:tbl>
      <w:tblPr>
        <w:tblStyle w:val="63"/>
        <w:tblpPr w:leftFromText="180" w:rightFromText="180" w:vertAnchor="text" w:horzAnchor="page" w:tblpX="691" w:tblpY="126"/>
        <w:tblW w:w="10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442"/>
        <w:gridCol w:w="5688"/>
        <w:gridCol w:w="1143"/>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785" w:type="dxa"/>
            <w:vAlign w:val="center"/>
          </w:tcPr>
          <w:p>
            <w:pPr>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7130" w:type="dxa"/>
            <w:gridSpan w:val="2"/>
            <w:vAlign w:val="center"/>
          </w:tcPr>
          <w:p>
            <w:pPr>
              <w:spacing w:line="360" w:lineRule="auto"/>
              <w:ind w:firstLine="1560" w:firstLineChars="650"/>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评标标准</w:t>
            </w:r>
          </w:p>
        </w:tc>
        <w:tc>
          <w:tcPr>
            <w:tcW w:w="1143" w:type="dxa"/>
            <w:vAlign w:val="center"/>
          </w:tcPr>
          <w:p>
            <w:pPr>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权重</w:t>
            </w:r>
          </w:p>
        </w:tc>
        <w:tc>
          <w:tcPr>
            <w:tcW w:w="1753" w:type="dxa"/>
            <w:vAlign w:val="top"/>
          </w:tcPr>
          <w:p>
            <w:pPr>
              <w:spacing w:line="360" w:lineRule="auto"/>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投标文件中评标标准相应的商务技术资料目录</w:t>
            </w:r>
            <w:r>
              <w:rPr>
                <w:rFonts w:hint="eastAsia" w:ascii="仿宋" w:hAnsi="仿宋" w:eastAsia="仿宋" w:cs="仿宋"/>
                <w:color w:val="auto"/>
                <w:sz w:val="24"/>
                <w:szCs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785" w:type="dxa"/>
            <w:vAlign w:val="center"/>
          </w:tcPr>
          <w:p>
            <w:pPr>
              <w:spacing w:line="360" w:lineRule="auto"/>
              <w:ind w:firstLine="240" w:firstLineChars="1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42" w:type="dxa"/>
            <w:vAlign w:val="center"/>
          </w:tcPr>
          <w:p>
            <w:pPr>
              <w:spacing w:line="360" w:lineRule="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针对本项目的保安服务理念、定位、目标</w:t>
            </w:r>
          </w:p>
        </w:tc>
        <w:tc>
          <w:tcPr>
            <w:tcW w:w="5688"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①根据本项目的特点提出合理的理念、管理模式能够切合实际作出服务定位（0-5分）。</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②遵循安全可行，保密性、安全性、文明服务作出服务目标（0-5分）。</w:t>
            </w:r>
          </w:p>
        </w:tc>
        <w:tc>
          <w:tcPr>
            <w:tcW w:w="1143" w:type="dxa"/>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753" w:type="dxa"/>
            <w:vAlign w:val="center"/>
          </w:tcPr>
          <w:p>
            <w:pPr>
              <w:spacing w:line="360" w:lineRule="auto"/>
              <w:jc w:val="center"/>
              <w:outlineLvl w:val="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85" w:type="dxa"/>
            <w:vAlign w:val="center"/>
          </w:tcPr>
          <w:p>
            <w:pPr>
              <w:spacing w:line="360" w:lineRule="auto"/>
              <w:ind w:firstLine="240" w:firstLineChars="1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442" w:type="dxa"/>
            <w:vAlign w:val="center"/>
          </w:tcPr>
          <w:p>
            <w:pPr>
              <w:spacing w:line="360" w:lineRule="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针对本项目的组织架构、管理机制及质量标准措施</w:t>
            </w:r>
          </w:p>
        </w:tc>
        <w:tc>
          <w:tcPr>
            <w:tcW w:w="5688" w:type="dxa"/>
            <w:vAlign w:val="center"/>
          </w:tcPr>
          <w:p>
            <w:pPr>
              <w:spacing w:line="360" w:lineRule="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①具有较完善的组织架构，管理流程（0-</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p>
            <w:pPr>
              <w:spacing w:line="360" w:lineRule="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②对运作流程图、激励机制、监督机制、自我约束机制、信息反馈渠道及处理机制情况（0-</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p>
            <w:pPr>
              <w:spacing w:line="360" w:lineRule="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③根据采购人提出的保安服务质量标准提出相应的措施（0-2分）。</w:t>
            </w:r>
          </w:p>
        </w:tc>
        <w:tc>
          <w:tcPr>
            <w:tcW w:w="1143" w:type="dxa"/>
            <w:vAlign w:val="center"/>
          </w:tcPr>
          <w:p>
            <w:pPr>
              <w:jc w:val="center"/>
              <w:rPr>
                <w:rFonts w:hint="eastAsia" w:ascii="仿宋" w:hAnsi="仿宋" w:eastAsia="仿宋" w:cs="仿宋"/>
                <w:color w:val="auto"/>
                <w:sz w:val="24"/>
                <w:szCs w:val="24"/>
              </w:rPr>
            </w:pPr>
          </w:p>
          <w:p>
            <w:pPr>
              <w:spacing w:line="360" w:lineRule="auto"/>
              <w:jc w:val="center"/>
              <w:outlineLvl w:val="0"/>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10</w:t>
            </w:r>
          </w:p>
        </w:tc>
        <w:tc>
          <w:tcPr>
            <w:tcW w:w="1753" w:type="dxa"/>
            <w:vAlign w:val="top"/>
          </w:tcPr>
          <w:p>
            <w:pPr>
              <w:spacing w:line="360" w:lineRule="auto"/>
              <w:outlineLvl w:val="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85" w:type="dxa"/>
            <w:vAlign w:val="center"/>
          </w:tcPr>
          <w:p>
            <w:pPr>
              <w:spacing w:line="360" w:lineRule="auto"/>
              <w:ind w:firstLine="240" w:firstLineChars="1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442"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针对本项目的各项管理制度</w:t>
            </w:r>
          </w:p>
        </w:tc>
        <w:tc>
          <w:tcPr>
            <w:tcW w:w="5688"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①能清晰的列出安全制度（0-2分）。</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②岗位管理制度（0-2分）。</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③各岗位职责、考核制度（0-2分）。</w:t>
            </w:r>
          </w:p>
        </w:tc>
        <w:tc>
          <w:tcPr>
            <w:tcW w:w="1143" w:type="dxa"/>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753" w:type="dxa"/>
            <w:vAlign w:val="top"/>
          </w:tcPr>
          <w:p>
            <w:pPr>
              <w:spacing w:line="360" w:lineRule="auto"/>
              <w:outlineLvl w:val="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85" w:type="dxa"/>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1442"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保安管理与服务方案</w:t>
            </w:r>
          </w:p>
        </w:tc>
        <w:tc>
          <w:tcPr>
            <w:tcW w:w="5688"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保安管理与服务方案完整且可操作性进行打分0-5分</w:t>
            </w:r>
          </w:p>
        </w:tc>
        <w:tc>
          <w:tcPr>
            <w:tcW w:w="1143" w:type="dxa"/>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w:t>
            </w:r>
          </w:p>
        </w:tc>
        <w:tc>
          <w:tcPr>
            <w:tcW w:w="1753" w:type="dxa"/>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785" w:type="dxa"/>
            <w:vMerge w:val="restart"/>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442" w:type="dxa"/>
            <w:vMerge w:val="restart"/>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项</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目</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人</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员</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配</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置</w:t>
            </w:r>
          </w:p>
          <w:p>
            <w:pPr>
              <w:spacing w:line="360" w:lineRule="auto"/>
              <w:jc w:val="center"/>
              <w:rPr>
                <w:rFonts w:hint="eastAsia" w:ascii="仿宋" w:hAnsi="仿宋" w:eastAsia="仿宋" w:cs="仿宋"/>
                <w:color w:val="auto"/>
                <w:sz w:val="24"/>
                <w:szCs w:val="24"/>
              </w:rPr>
            </w:pPr>
          </w:p>
        </w:tc>
        <w:tc>
          <w:tcPr>
            <w:tcW w:w="5688" w:type="dxa"/>
            <w:vAlign w:val="center"/>
          </w:tcPr>
          <w:p>
            <w:pPr>
              <w:pStyle w:val="962"/>
              <w:adjustRightInd w:val="0"/>
              <w:snapToGrid w:val="0"/>
              <w:spacing w:line="228" w:lineRule="auto"/>
              <w:ind w:left="-105" w:leftChars="-50" w:right="-105" w:rightChars="-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①根据本项目实际情况进行机构设置（0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pPr>
              <w:pStyle w:val="962"/>
              <w:adjustRightInd w:val="0"/>
              <w:snapToGrid w:val="0"/>
              <w:spacing w:line="228" w:lineRule="auto"/>
              <w:ind w:left="-105" w:leftChars="-50" w:right="-105" w:rightChars="-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②根据人员配置年龄、力量、本地化进行</w:t>
            </w:r>
            <w:r>
              <w:rPr>
                <w:rFonts w:hint="eastAsia" w:ascii="仿宋" w:hAnsi="仿宋" w:eastAsia="仿宋" w:cs="仿宋"/>
                <w:color w:val="auto"/>
                <w:sz w:val="24"/>
                <w:szCs w:val="24"/>
                <w:highlight w:val="none"/>
                <w:lang w:val="en-US" w:eastAsia="zh-CN"/>
              </w:rPr>
              <w:t>打分</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pPr>
              <w:pStyle w:val="962"/>
              <w:adjustRightInd w:val="0"/>
              <w:snapToGrid w:val="0"/>
              <w:spacing w:line="228" w:lineRule="auto"/>
              <w:ind w:left="-105" w:leftChars="-50" w:right="-105" w:rightChars="-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w:t>
            </w:r>
            <w:r>
              <w:rPr>
                <w:rFonts w:hint="eastAsia" w:ascii="仿宋" w:hAnsi="仿宋" w:eastAsia="仿宋" w:cs="仿宋"/>
                <w:color w:val="auto"/>
                <w:sz w:val="24"/>
                <w:szCs w:val="24"/>
              </w:rPr>
              <w:t>具有高级保安管理师（一级保安员）证书，</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人得1分，本条满分</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p>
            <w:pPr>
              <w:pStyle w:val="962"/>
              <w:adjustRightInd w:val="0"/>
              <w:snapToGrid w:val="0"/>
              <w:spacing w:line="228" w:lineRule="auto"/>
              <w:ind w:left="-105" w:leftChars="-50" w:right="-105" w:rightChars="-5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w:t>
            </w:r>
            <w:r>
              <w:rPr>
                <w:rFonts w:hint="eastAsia" w:ascii="仿宋" w:hAnsi="仿宋" w:eastAsia="仿宋" w:cs="仿宋"/>
                <w:color w:val="auto"/>
                <w:sz w:val="24"/>
                <w:szCs w:val="24"/>
                <w:highlight w:val="none"/>
              </w:rPr>
              <w:t>具有保安管理师（保安员二级）证书的每</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人得1分，</w:t>
            </w:r>
            <w:r>
              <w:rPr>
                <w:rFonts w:hint="eastAsia" w:ascii="仿宋" w:hAnsi="仿宋" w:eastAsia="仿宋" w:cs="仿宋"/>
                <w:color w:val="auto"/>
                <w:sz w:val="24"/>
                <w:szCs w:val="24"/>
                <w:highlight w:val="none"/>
                <w:lang w:val="en-US" w:eastAsia="zh-CN"/>
              </w:rPr>
              <w:t>0-4</w:t>
            </w:r>
            <w:r>
              <w:rPr>
                <w:rFonts w:hint="eastAsia" w:ascii="仿宋" w:hAnsi="仿宋" w:eastAsia="仿宋" w:cs="仿宋"/>
                <w:color w:val="auto"/>
                <w:sz w:val="24"/>
                <w:szCs w:val="24"/>
                <w:highlight w:val="none"/>
              </w:rPr>
              <w:t>分。</w:t>
            </w:r>
          </w:p>
          <w:p>
            <w:pPr>
              <w:pStyle w:val="962"/>
              <w:adjustRightInd w:val="0"/>
              <w:snapToGrid w:val="0"/>
              <w:spacing w:line="228" w:lineRule="auto"/>
              <w:ind w:left="-105" w:leftChars="-50" w:right="-105" w:rightChars="-50"/>
              <w:jc w:val="left"/>
              <w:rPr>
                <w:rFonts w:hint="eastAsia" w:ascii="仿宋" w:hAnsi="仿宋" w:eastAsia="仿宋" w:cs="仿宋"/>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（提供</w:t>
            </w:r>
            <w:r>
              <w:rPr>
                <w:rFonts w:hint="eastAsia" w:ascii="仿宋" w:hAnsi="仿宋" w:eastAsia="仿宋" w:cs="仿宋"/>
                <w:b/>
                <w:bCs/>
                <w:color w:val="auto"/>
                <w:sz w:val="24"/>
                <w:szCs w:val="24"/>
                <w:highlight w:val="none"/>
              </w:rPr>
              <w:t>配置人员不少于</w:t>
            </w:r>
            <w:r>
              <w:rPr>
                <w:rFonts w:hint="eastAsia" w:ascii="仿宋" w:hAnsi="仿宋" w:eastAsia="仿宋" w:cs="仿宋"/>
                <w:b/>
                <w:bCs/>
                <w:color w:val="auto"/>
                <w:sz w:val="24"/>
                <w:szCs w:val="24"/>
                <w:highlight w:val="none"/>
                <w:lang w:val="en-US" w:eastAsia="zh-CN"/>
              </w:rPr>
              <w:t>137</w:t>
            </w:r>
            <w:r>
              <w:rPr>
                <w:rFonts w:hint="eastAsia" w:ascii="仿宋" w:hAnsi="仿宋" w:eastAsia="仿宋" w:cs="仿宋"/>
                <w:b/>
                <w:bCs/>
                <w:color w:val="auto"/>
                <w:sz w:val="24"/>
                <w:szCs w:val="24"/>
                <w:highlight w:val="none"/>
              </w:rPr>
              <w:t>人，否则不得分。须</w:t>
            </w:r>
            <w:r>
              <w:rPr>
                <w:rFonts w:hint="eastAsia" w:ascii="仿宋" w:hAnsi="仿宋" w:eastAsia="仿宋" w:cs="仿宋"/>
                <w:b/>
                <w:bCs/>
                <w:color w:val="auto"/>
                <w:sz w:val="24"/>
                <w:szCs w:val="24"/>
                <w:highlight w:val="none"/>
                <w:lang w:val="en-US" w:eastAsia="zh-CN"/>
              </w:rPr>
              <w:t>提供近</w:t>
            </w:r>
            <w:r>
              <w:rPr>
                <w:rFonts w:hint="eastAsia" w:ascii="仿宋" w:hAnsi="仿宋" w:eastAsia="仿宋" w:cs="仿宋"/>
                <w:b/>
                <w:bCs/>
                <w:color w:val="auto"/>
                <w:sz w:val="24"/>
                <w:szCs w:val="24"/>
                <w:highlight w:val="none"/>
              </w:rPr>
              <w:t>3个月及以上社保缴纳证明及保安员证</w:t>
            </w:r>
            <w:r>
              <w:rPr>
                <w:rFonts w:hint="eastAsia" w:ascii="仿宋" w:hAnsi="仿宋" w:eastAsia="仿宋" w:cs="仿宋"/>
                <w:b/>
                <w:bCs/>
                <w:color w:val="auto"/>
                <w:sz w:val="24"/>
                <w:szCs w:val="24"/>
                <w:highlight w:val="none"/>
                <w:lang w:val="en-US" w:eastAsia="zh-CN"/>
              </w:rPr>
              <w:t>复印件）</w:t>
            </w:r>
          </w:p>
        </w:tc>
        <w:tc>
          <w:tcPr>
            <w:tcW w:w="1143" w:type="dxa"/>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1753" w:type="dxa"/>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785" w:type="dxa"/>
            <w:vMerge w:val="continue"/>
            <w:vAlign w:val="center"/>
          </w:tcPr>
          <w:p>
            <w:pPr>
              <w:spacing w:line="360" w:lineRule="auto"/>
              <w:jc w:val="left"/>
              <w:rPr>
                <w:rFonts w:hint="eastAsia" w:ascii="仿宋" w:hAnsi="仿宋" w:eastAsia="仿宋" w:cs="仿宋"/>
              </w:rPr>
            </w:pPr>
          </w:p>
        </w:tc>
        <w:tc>
          <w:tcPr>
            <w:tcW w:w="1442" w:type="dxa"/>
            <w:vMerge w:val="continue"/>
            <w:vAlign w:val="center"/>
          </w:tcPr>
          <w:p>
            <w:pPr>
              <w:spacing w:line="360" w:lineRule="auto"/>
              <w:jc w:val="left"/>
              <w:rPr>
                <w:rFonts w:hint="eastAsia" w:ascii="仿宋" w:hAnsi="仿宋" w:eastAsia="仿宋" w:cs="仿宋"/>
              </w:rPr>
            </w:pPr>
          </w:p>
        </w:tc>
        <w:tc>
          <w:tcPr>
            <w:tcW w:w="5688" w:type="dxa"/>
            <w:vAlign w:val="center"/>
          </w:tcPr>
          <w:p>
            <w:pPr>
              <w:spacing w:line="240" w:lineRule="auto"/>
              <w:rPr>
                <w:rFonts w:hint="eastAsia" w:ascii="仿宋" w:hAnsi="仿宋" w:eastAsia="仿宋" w:cs="仿宋"/>
                <w:sz w:val="24"/>
              </w:rPr>
            </w:pPr>
            <w:r>
              <w:rPr>
                <w:rFonts w:hint="eastAsia" w:ascii="仿宋" w:hAnsi="仿宋" w:eastAsia="仿宋" w:cs="仿宋"/>
                <w:sz w:val="24"/>
              </w:rPr>
              <w:t>项目</w:t>
            </w:r>
            <w:r>
              <w:rPr>
                <w:rFonts w:hint="eastAsia" w:ascii="仿宋" w:hAnsi="仿宋" w:eastAsia="仿宋" w:cs="仿宋"/>
                <w:sz w:val="24"/>
                <w:lang w:val="en-US" w:eastAsia="zh-CN"/>
              </w:rPr>
              <w:t>负责人</w:t>
            </w:r>
            <w:r>
              <w:rPr>
                <w:rFonts w:hint="eastAsia" w:ascii="仿宋" w:hAnsi="仿宋" w:eastAsia="仿宋" w:cs="仿宋"/>
                <w:sz w:val="24"/>
              </w:rPr>
              <w:t>：</w:t>
            </w:r>
          </w:p>
          <w:p>
            <w:pPr>
              <w:spacing w:line="240" w:lineRule="auto"/>
              <w:rPr>
                <w:rFonts w:hint="eastAsia" w:ascii="仿宋" w:hAnsi="仿宋" w:eastAsia="仿宋" w:cs="仿宋"/>
                <w:sz w:val="24"/>
              </w:rPr>
            </w:pPr>
            <w:r>
              <w:rPr>
                <w:rFonts w:hint="eastAsia" w:ascii="仿宋" w:hAnsi="仿宋" w:eastAsia="仿宋" w:cs="仿宋"/>
                <w:sz w:val="24"/>
              </w:rPr>
              <w:t>①具有高级职称得3分，中级职称得2分，初级职称得1分，本条满分3分。</w:t>
            </w:r>
          </w:p>
          <w:p>
            <w:pPr>
              <w:spacing w:line="240" w:lineRule="auto"/>
              <w:rPr>
                <w:rFonts w:hint="eastAsia" w:ascii="仿宋" w:hAnsi="仿宋" w:eastAsia="仿宋" w:cs="仿宋"/>
                <w:sz w:val="24"/>
              </w:rPr>
            </w:pPr>
            <w:r>
              <w:rPr>
                <w:rFonts w:hint="eastAsia" w:ascii="仿宋" w:hAnsi="仿宋" w:eastAsia="仿宋" w:cs="仿宋"/>
                <w:sz w:val="24"/>
              </w:rPr>
              <w:t>②具有</w:t>
            </w:r>
            <w:r>
              <w:rPr>
                <w:rFonts w:hint="eastAsia" w:ascii="仿宋" w:hAnsi="仿宋" w:eastAsia="仿宋" w:cs="仿宋"/>
                <w:sz w:val="24"/>
                <w:lang w:val="en-US" w:eastAsia="zh-CN"/>
              </w:rPr>
              <w:t>高级</w:t>
            </w:r>
            <w:r>
              <w:rPr>
                <w:rFonts w:hint="eastAsia" w:ascii="仿宋" w:hAnsi="仿宋" w:eastAsia="仿宋" w:cs="仿宋"/>
                <w:sz w:val="24"/>
              </w:rPr>
              <w:t>保安管理师（</w:t>
            </w:r>
            <w:r>
              <w:rPr>
                <w:rFonts w:hint="eastAsia" w:ascii="仿宋" w:hAnsi="仿宋" w:eastAsia="仿宋" w:cs="仿宋"/>
                <w:sz w:val="24"/>
                <w:lang w:eastAsia="zh-CN"/>
              </w:rPr>
              <w:t>一</w:t>
            </w:r>
            <w:r>
              <w:rPr>
                <w:rFonts w:hint="eastAsia" w:ascii="仿宋" w:hAnsi="仿宋" w:eastAsia="仿宋" w:cs="仿宋"/>
                <w:sz w:val="24"/>
              </w:rPr>
              <w:t>级保安员）证书的得1分，本条满分1分。</w:t>
            </w:r>
          </w:p>
          <w:p>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b/>
                <w:bCs/>
                <w:color w:val="auto"/>
                <w:sz w:val="24"/>
                <w:szCs w:val="24"/>
                <w:highlight w:val="none"/>
              </w:rPr>
              <w:t>在投标文件中提供个人社保费用缴纳证明、相关证明资料的复印件或扫描打印件，否则不得分）</w:t>
            </w:r>
          </w:p>
        </w:tc>
        <w:tc>
          <w:tcPr>
            <w:tcW w:w="1143" w:type="dxa"/>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753" w:type="dxa"/>
            <w:vAlign w:val="top"/>
          </w:tcPr>
          <w:p>
            <w:pPr>
              <w:spacing w:line="360" w:lineRule="auto"/>
              <w:jc w:val="left"/>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3" w:hRule="atLeast"/>
        </w:trPr>
        <w:tc>
          <w:tcPr>
            <w:tcW w:w="785" w:type="dxa"/>
            <w:vMerge w:val="continue"/>
            <w:vAlign w:val="center"/>
          </w:tcPr>
          <w:p>
            <w:pPr>
              <w:spacing w:line="360" w:lineRule="auto"/>
              <w:jc w:val="left"/>
              <w:rPr>
                <w:rFonts w:hint="eastAsia" w:ascii="仿宋" w:hAnsi="仿宋" w:eastAsia="仿宋" w:cs="仿宋"/>
                <w:color w:val="auto"/>
                <w:sz w:val="24"/>
                <w:szCs w:val="24"/>
                <w:lang w:val="en-US" w:eastAsia="zh-CN"/>
              </w:rPr>
            </w:pPr>
          </w:p>
        </w:tc>
        <w:tc>
          <w:tcPr>
            <w:tcW w:w="1442" w:type="dxa"/>
            <w:vMerge w:val="continue"/>
            <w:vAlign w:val="center"/>
          </w:tcPr>
          <w:p>
            <w:pPr>
              <w:spacing w:line="360" w:lineRule="auto"/>
              <w:jc w:val="left"/>
              <w:rPr>
                <w:rFonts w:hint="eastAsia" w:ascii="仿宋" w:hAnsi="仿宋" w:eastAsia="仿宋" w:cs="仿宋"/>
                <w:color w:val="auto"/>
                <w:sz w:val="24"/>
                <w:szCs w:val="24"/>
                <w:lang w:val="en-US" w:eastAsia="zh-CN"/>
              </w:rPr>
            </w:pPr>
          </w:p>
        </w:tc>
        <w:tc>
          <w:tcPr>
            <w:tcW w:w="5688" w:type="dxa"/>
            <w:vAlign w:val="center"/>
          </w:tcPr>
          <w:p>
            <w:pPr>
              <w:pStyle w:val="962"/>
              <w:adjustRightInd w:val="0"/>
              <w:snapToGrid w:val="0"/>
              <w:spacing w:line="228" w:lineRule="auto"/>
              <w:ind w:left="-105" w:leftChars="-50" w:right="-105" w:right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保安队长：</w:t>
            </w:r>
          </w:p>
          <w:p>
            <w:pPr>
              <w:pStyle w:val="962"/>
              <w:adjustRightInd w:val="0"/>
              <w:snapToGrid w:val="0"/>
              <w:spacing w:line="228" w:lineRule="auto"/>
              <w:ind w:left="-105" w:leftChars="-50" w:right="-105" w:right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①具有大学本科学历及退伍军人的得1分，本条满分1分。</w:t>
            </w:r>
          </w:p>
          <w:p>
            <w:pPr>
              <w:pStyle w:val="962"/>
              <w:adjustRightInd w:val="0"/>
              <w:snapToGrid w:val="0"/>
              <w:spacing w:line="228" w:lineRule="auto"/>
              <w:ind w:left="-105" w:leftChars="-50" w:right="-105" w:right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②具有保安管理师（二级保安员）证书的得1分，本条满分1分。</w:t>
            </w:r>
          </w:p>
          <w:p>
            <w:pPr>
              <w:pStyle w:val="962"/>
              <w:adjustRightInd w:val="0"/>
              <w:snapToGrid w:val="0"/>
              <w:spacing w:line="228" w:lineRule="auto"/>
              <w:ind w:left="-105" w:leftChars="-50" w:right="-105" w:right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③具有政府部门颁发的市级及以上荣誉证书得1分，本条满分1分。</w:t>
            </w:r>
          </w:p>
          <w:p>
            <w:pPr>
              <w:pStyle w:val="962"/>
              <w:adjustRightInd w:val="0"/>
              <w:snapToGrid w:val="0"/>
              <w:spacing w:line="228" w:lineRule="auto"/>
              <w:ind w:left="-105" w:leftChars="-50" w:right="-105" w:right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④具有公安机关颁发的市级及以上荣誉证书得1分，本条满分1分。</w:t>
            </w:r>
          </w:p>
          <w:p>
            <w:pPr>
              <w:pStyle w:val="962"/>
              <w:adjustRightInd w:val="0"/>
              <w:snapToGrid w:val="0"/>
              <w:spacing w:line="228" w:lineRule="auto"/>
              <w:ind w:left="-105" w:leftChars="-50" w:right="-105" w:rightChars="-5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（在投标文件中提供个人社保费用缴纳证明、相关证明资料的复印件或扫描打印件，否则不得分）</w:t>
            </w:r>
          </w:p>
          <w:p>
            <w:pPr>
              <w:pStyle w:val="962"/>
              <w:adjustRightInd w:val="0"/>
              <w:snapToGrid w:val="0"/>
              <w:spacing w:line="228" w:lineRule="auto"/>
              <w:ind w:left="-105" w:leftChars="-50" w:right="-105" w:rightChars="-50"/>
              <w:rPr>
                <w:rFonts w:hint="eastAsia" w:ascii="仿宋" w:hAnsi="仿宋" w:eastAsia="仿宋" w:cs="仿宋"/>
                <w:color w:val="auto"/>
                <w:kern w:val="2"/>
                <w:sz w:val="24"/>
                <w:szCs w:val="24"/>
                <w:highlight w:val="none"/>
                <w:lang w:val="en-US" w:eastAsia="zh-CN" w:bidi="ar-SA"/>
              </w:rPr>
            </w:pPr>
          </w:p>
        </w:tc>
        <w:tc>
          <w:tcPr>
            <w:tcW w:w="1143" w:type="dxa"/>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753" w:type="dxa"/>
            <w:vAlign w:val="top"/>
          </w:tcPr>
          <w:p>
            <w:pPr>
              <w:spacing w:line="360" w:lineRule="auto"/>
              <w:jc w:val="left"/>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85" w:type="dxa"/>
            <w:vMerge w:val="continue"/>
            <w:vAlign w:val="center"/>
          </w:tcPr>
          <w:p>
            <w:pPr>
              <w:spacing w:line="360" w:lineRule="auto"/>
              <w:jc w:val="left"/>
              <w:rPr>
                <w:rFonts w:hint="eastAsia" w:ascii="仿宋" w:hAnsi="仿宋" w:eastAsia="仿宋" w:cs="仿宋"/>
                <w:color w:val="auto"/>
                <w:sz w:val="24"/>
                <w:szCs w:val="24"/>
                <w:lang w:val="en-US" w:eastAsia="zh-CN"/>
              </w:rPr>
            </w:pPr>
          </w:p>
        </w:tc>
        <w:tc>
          <w:tcPr>
            <w:tcW w:w="1442" w:type="dxa"/>
            <w:vMerge w:val="continue"/>
            <w:vAlign w:val="center"/>
          </w:tcPr>
          <w:p>
            <w:pPr>
              <w:spacing w:line="360" w:lineRule="auto"/>
              <w:jc w:val="left"/>
              <w:rPr>
                <w:rFonts w:hint="eastAsia" w:ascii="仿宋" w:hAnsi="仿宋" w:eastAsia="仿宋" w:cs="仿宋"/>
                <w:color w:val="auto"/>
                <w:sz w:val="24"/>
                <w:szCs w:val="24"/>
                <w:lang w:val="en-US" w:eastAsia="zh-CN"/>
              </w:rPr>
            </w:pPr>
          </w:p>
        </w:tc>
        <w:tc>
          <w:tcPr>
            <w:tcW w:w="5688" w:type="dxa"/>
            <w:vAlign w:val="center"/>
          </w:tcPr>
          <w:p>
            <w:pPr>
              <w:pStyle w:val="962"/>
              <w:adjustRightInd w:val="0"/>
              <w:snapToGrid w:val="0"/>
              <w:spacing w:line="228" w:lineRule="auto"/>
              <w:ind w:left="-105" w:leftChars="-50" w:right="-105" w:right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保安主管：</w:t>
            </w:r>
          </w:p>
          <w:p>
            <w:pPr>
              <w:pStyle w:val="962"/>
              <w:adjustRightInd w:val="0"/>
              <w:snapToGrid w:val="0"/>
              <w:spacing w:line="228" w:lineRule="auto"/>
              <w:ind w:left="-105" w:leftChars="-50" w:right="-105" w:right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①具有大专及以上学历并持有建构筑物消防员证得1分，本条满分1分。</w:t>
            </w:r>
          </w:p>
          <w:p>
            <w:pPr>
              <w:pStyle w:val="962"/>
              <w:adjustRightInd w:val="0"/>
              <w:snapToGrid w:val="0"/>
              <w:spacing w:line="228" w:lineRule="auto"/>
              <w:ind w:left="-105" w:leftChars="-50" w:right="-105" w:right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②具有公安机关颁发的荣誉证书每个得0.5分，本条满分2分。</w:t>
            </w:r>
          </w:p>
          <w:p>
            <w:pPr>
              <w:pStyle w:val="962"/>
              <w:adjustRightInd w:val="0"/>
              <w:snapToGrid w:val="0"/>
              <w:spacing w:line="228" w:lineRule="auto"/>
              <w:ind w:left="-105" w:leftChars="-50" w:right="-105" w:right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③具有保安管理师（二级保安员）证书的得1分，本条满分1分。</w:t>
            </w:r>
          </w:p>
          <w:p>
            <w:pPr>
              <w:pStyle w:val="962"/>
              <w:adjustRightInd w:val="0"/>
              <w:snapToGrid w:val="0"/>
              <w:spacing w:line="228" w:lineRule="auto"/>
              <w:ind w:left="-105" w:leftChars="-50" w:right="-105" w:rightChar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rPr>
              <w:t>（在投标文件中提供个人社保费用缴纳证明、相关证明资料的复印件或扫描打印件，否则不得分）</w:t>
            </w:r>
          </w:p>
        </w:tc>
        <w:tc>
          <w:tcPr>
            <w:tcW w:w="1143" w:type="dxa"/>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753" w:type="dxa"/>
            <w:vAlign w:val="top"/>
          </w:tcPr>
          <w:p>
            <w:pPr>
              <w:spacing w:line="360" w:lineRule="auto"/>
              <w:jc w:val="left"/>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85" w:type="dxa"/>
            <w:vMerge w:val="continue"/>
            <w:vAlign w:val="center"/>
          </w:tcPr>
          <w:p>
            <w:pPr>
              <w:spacing w:line="360" w:lineRule="auto"/>
              <w:jc w:val="left"/>
              <w:rPr>
                <w:rFonts w:hint="eastAsia" w:ascii="仿宋" w:hAnsi="仿宋" w:eastAsia="仿宋" w:cs="仿宋"/>
              </w:rPr>
            </w:pPr>
          </w:p>
        </w:tc>
        <w:tc>
          <w:tcPr>
            <w:tcW w:w="1442" w:type="dxa"/>
            <w:vMerge w:val="continue"/>
            <w:vAlign w:val="center"/>
          </w:tcPr>
          <w:p>
            <w:pPr>
              <w:spacing w:line="360" w:lineRule="auto"/>
              <w:jc w:val="left"/>
              <w:rPr>
                <w:rFonts w:hint="eastAsia" w:ascii="仿宋" w:hAnsi="仿宋" w:eastAsia="仿宋" w:cs="仿宋"/>
              </w:rPr>
            </w:pPr>
          </w:p>
        </w:tc>
        <w:tc>
          <w:tcPr>
            <w:tcW w:w="5688" w:type="dxa"/>
            <w:vAlign w:val="center"/>
          </w:tcPr>
          <w:p>
            <w:pPr>
              <w:pStyle w:val="962"/>
              <w:adjustRightInd w:val="0"/>
              <w:snapToGrid w:val="0"/>
              <w:spacing w:line="228" w:lineRule="auto"/>
              <w:ind w:left="-105" w:leftChars="-50" w:right="-105" w:right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保安</w:t>
            </w:r>
            <w:r>
              <w:rPr>
                <w:rFonts w:hint="eastAsia" w:ascii="仿宋" w:hAnsi="仿宋" w:eastAsia="仿宋" w:cs="仿宋"/>
                <w:color w:val="auto"/>
                <w:sz w:val="24"/>
                <w:szCs w:val="24"/>
                <w:highlight w:val="none"/>
                <w:lang w:eastAsia="zh-CN"/>
              </w:rPr>
              <w:t>班长</w:t>
            </w:r>
            <w:r>
              <w:rPr>
                <w:rFonts w:hint="eastAsia" w:ascii="仿宋" w:hAnsi="仿宋" w:eastAsia="仿宋" w:cs="仿宋"/>
                <w:color w:val="auto"/>
                <w:sz w:val="24"/>
                <w:szCs w:val="24"/>
                <w:highlight w:val="none"/>
              </w:rPr>
              <w:t>：</w:t>
            </w:r>
          </w:p>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①具有大专及以上学历并</w:t>
            </w:r>
            <w:r>
              <w:rPr>
                <w:rFonts w:hint="eastAsia" w:ascii="仿宋" w:hAnsi="仿宋" w:eastAsia="仿宋" w:cs="仿宋"/>
                <w:color w:val="auto"/>
                <w:sz w:val="24"/>
                <w:szCs w:val="24"/>
                <w:lang w:eastAsia="zh-CN"/>
              </w:rPr>
              <w:t>是退伍军人</w:t>
            </w:r>
            <w:r>
              <w:rPr>
                <w:rFonts w:hint="eastAsia" w:ascii="仿宋" w:hAnsi="仿宋" w:eastAsia="仿宋" w:cs="仿宋"/>
                <w:color w:val="auto"/>
                <w:sz w:val="24"/>
                <w:szCs w:val="24"/>
              </w:rPr>
              <w:t>得1分，本条满分1分。</w:t>
            </w:r>
          </w:p>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②具有公安机关颁发的荣誉证书</w:t>
            </w:r>
            <w:r>
              <w:rPr>
                <w:rFonts w:hint="eastAsia" w:ascii="仿宋" w:hAnsi="仿宋" w:eastAsia="仿宋" w:cs="仿宋"/>
                <w:color w:val="auto"/>
                <w:sz w:val="24"/>
                <w:szCs w:val="24"/>
                <w:lang w:eastAsia="zh-CN"/>
              </w:rPr>
              <w:t>：省级得</w:t>
            </w:r>
            <w:r>
              <w:rPr>
                <w:rFonts w:hint="eastAsia" w:ascii="仿宋" w:hAnsi="仿宋" w:eastAsia="仿宋" w:cs="仿宋"/>
                <w:color w:val="auto"/>
                <w:sz w:val="24"/>
                <w:szCs w:val="24"/>
                <w:lang w:val="en-US" w:eastAsia="zh-CN"/>
              </w:rPr>
              <w:t>2分，市级</w:t>
            </w:r>
            <w:r>
              <w:rPr>
                <w:rFonts w:hint="eastAsia" w:ascii="仿宋" w:hAnsi="仿宋" w:eastAsia="仿宋" w:cs="仿宋"/>
                <w:color w:val="auto"/>
                <w:sz w:val="24"/>
                <w:szCs w:val="24"/>
              </w:rPr>
              <w:t>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分，本条满分2分。</w:t>
            </w:r>
          </w:p>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③具有保安管理师（二级保安员）证书的得1分，本条满分1分。</w:t>
            </w:r>
          </w:p>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④、本项最高得4分。</w:t>
            </w:r>
          </w:p>
          <w:p>
            <w:pPr>
              <w:pStyle w:val="962"/>
              <w:adjustRightInd w:val="0"/>
              <w:snapToGrid w:val="0"/>
              <w:spacing w:line="228" w:lineRule="auto"/>
              <w:ind w:left="-105" w:leftChars="-50" w:right="-105" w:rightChar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须提供拟派人员在投标截止之日止3个月及以上个人社保缴纳证明、相关证明的扫描件，否则不得分</w:t>
            </w:r>
            <w:r>
              <w:rPr>
                <w:rFonts w:hint="eastAsia" w:ascii="仿宋" w:hAnsi="仿宋" w:eastAsia="仿宋" w:cs="仿宋"/>
                <w:b/>
                <w:bCs/>
                <w:color w:val="auto"/>
                <w:sz w:val="24"/>
                <w:szCs w:val="24"/>
                <w:highlight w:val="none"/>
                <w:lang w:val="en-US" w:eastAsia="zh-CN"/>
              </w:rPr>
              <w:t>)</w:t>
            </w:r>
          </w:p>
        </w:tc>
        <w:tc>
          <w:tcPr>
            <w:tcW w:w="1143" w:type="dxa"/>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753" w:type="dxa"/>
            <w:vAlign w:val="top"/>
          </w:tcPr>
          <w:p>
            <w:pPr>
              <w:spacing w:line="360" w:lineRule="auto"/>
              <w:jc w:val="left"/>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442" w:type="dxa"/>
            <w:vAlign w:val="center"/>
          </w:tcPr>
          <w:p>
            <w:pPr>
              <w:pStyle w:val="962"/>
              <w:adjustRightInd w:val="0"/>
              <w:snapToGrid w:val="0"/>
              <w:spacing w:line="228" w:lineRule="auto"/>
              <w:ind w:left="-105" w:leftChars="-50" w:right="-105" w:rightChars="-50"/>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rPr>
              <w:t>突发事件的应急措施、应急响应能力</w:t>
            </w:r>
          </w:p>
        </w:tc>
        <w:tc>
          <w:tcPr>
            <w:tcW w:w="5688" w:type="dxa"/>
            <w:vAlign w:val="center"/>
          </w:tcPr>
          <w:p>
            <w:pPr>
              <w:pStyle w:val="962"/>
              <w:adjustRightInd w:val="0"/>
              <w:snapToGrid w:val="0"/>
              <w:spacing w:line="228" w:lineRule="auto"/>
              <w:ind w:left="-105" w:leftChars="-50" w:right="-105" w:right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①提供处理突发事件的应急预案，合理可行</w:t>
            </w:r>
            <w:r>
              <w:rPr>
                <w:rFonts w:hint="eastAsia" w:ascii="仿宋" w:hAnsi="仿宋" w:eastAsia="仿宋" w:cs="仿宋"/>
                <w:color w:val="auto"/>
                <w:sz w:val="24"/>
                <w:szCs w:val="24"/>
                <w:highlight w:val="none"/>
                <w:lang w:val="en-US" w:eastAsia="zh-CN"/>
              </w:rPr>
              <w:t>0-3分</w:t>
            </w:r>
            <w:r>
              <w:rPr>
                <w:rFonts w:hint="eastAsia" w:ascii="仿宋" w:hAnsi="仿宋" w:eastAsia="仿宋" w:cs="仿宋"/>
                <w:color w:val="auto"/>
                <w:sz w:val="24"/>
                <w:szCs w:val="24"/>
                <w:highlight w:val="none"/>
              </w:rPr>
              <w:t>。</w:t>
            </w:r>
          </w:p>
          <w:p>
            <w:pPr>
              <w:pStyle w:val="962"/>
              <w:adjustRightInd w:val="0"/>
              <w:snapToGrid w:val="0"/>
              <w:spacing w:line="228" w:lineRule="auto"/>
              <w:ind w:left="-105" w:leftChars="-50" w:right="-105" w:rightChars="-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②具有专业的区域报警响应能力，响应时间</w:t>
            </w:r>
            <w:r>
              <w:rPr>
                <w:rFonts w:hint="eastAsia" w:ascii="仿宋" w:hAnsi="仿宋" w:eastAsia="仿宋" w:cs="仿宋"/>
                <w:color w:val="auto"/>
                <w:sz w:val="24"/>
                <w:szCs w:val="24"/>
                <w:highlight w:val="none"/>
                <w:lang w:val="en-US" w:eastAsia="zh-CN"/>
              </w:rPr>
              <w:t>的快慢情况根据服务网点进行打分0-4分</w:t>
            </w:r>
            <w:r>
              <w:rPr>
                <w:rFonts w:hint="eastAsia" w:ascii="仿宋" w:hAnsi="仿宋" w:eastAsia="仿宋" w:cs="仿宋"/>
                <w:color w:val="auto"/>
                <w:sz w:val="24"/>
                <w:szCs w:val="24"/>
                <w:highlight w:val="none"/>
                <w:lang w:eastAsia="zh-CN"/>
              </w:rPr>
              <w:t>。</w:t>
            </w:r>
          </w:p>
          <w:p>
            <w:pPr>
              <w:adjustRightInd w:val="0"/>
              <w:snapToGrid w:val="0"/>
              <w:spacing w:line="228" w:lineRule="auto"/>
              <w:ind w:right="-105" w:rightChars="-5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提供租房证明或房产证复印件并加盖公章。</w:t>
            </w:r>
          </w:p>
        </w:tc>
        <w:tc>
          <w:tcPr>
            <w:tcW w:w="1143" w:type="dxa"/>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753" w:type="dxa"/>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442" w:type="dxa"/>
            <w:vAlign w:val="center"/>
          </w:tcPr>
          <w:p>
            <w:pPr>
              <w:pStyle w:val="962"/>
              <w:adjustRightInd w:val="0"/>
              <w:snapToGrid w:val="0"/>
              <w:spacing w:line="228" w:lineRule="auto"/>
              <w:ind w:left="-105" w:leftChars="-50" w:right="-105" w:rightChars="-50"/>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rPr>
              <w:t>服务承诺和特殊服务情况</w:t>
            </w:r>
          </w:p>
        </w:tc>
        <w:tc>
          <w:tcPr>
            <w:tcW w:w="5688" w:type="dxa"/>
            <w:vAlign w:val="center"/>
          </w:tcPr>
          <w:p>
            <w:pPr>
              <w:pStyle w:val="962"/>
              <w:adjustRightInd w:val="0"/>
              <w:snapToGrid w:val="0"/>
              <w:spacing w:line="228" w:lineRule="auto"/>
              <w:ind w:left="-105" w:leftChars="-50" w:right="-105" w:right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①给出服务和承诺，程度如何；对后续服务等方面的服务承诺，</w:t>
            </w: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分。</w:t>
            </w:r>
          </w:p>
          <w:p>
            <w:pPr>
              <w:pStyle w:val="962"/>
              <w:adjustRightInd w:val="0"/>
              <w:snapToGrid w:val="0"/>
              <w:spacing w:line="228" w:lineRule="auto"/>
              <w:ind w:left="-105" w:leftChars="-50" w:right="-105" w:rightChars="-5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rPr>
              <w:t>②特色服务</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分。</w:t>
            </w:r>
          </w:p>
        </w:tc>
        <w:tc>
          <w:tcPr>
            <w:tcW w:w="1143" w:type="dxa"/>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753" w:type="dxa"/>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85" w:type="dxa"/>
            <w:vMerge w:val="restart"/>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1442" w:type="dxa"/>
            <w:vMerge w:val="restart"/>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企业综合实力</w:t>
            </w:r>
          </w:p>
        </w:tc>
        <w:tc>
          <w:tcPr>
            <w:tcW w:w="5688" w:type="dxa"/>
            <w:vAlign w:val="center"/>
          </w:tcPr>
          <w:p>
            <w:pPr>
              <w:adjustRightInd w:val="0"/>
              <w:snapToGrid w:val="0"/>
              <w:spacing w:line="228" w:lineRule="auto"/>
              <w:ind w:left="-105" w:leftChars="-50" w:right="-105" w:rightChar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投标人自201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年1月1日以来单独实施的类似项目，每提供一个得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分，最多得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b/>
                <w:bCs/>
                <w:color w:val="auto"/>
                <w:sz w:val="24"/>
                <w:szCs w:val="24"/>
                <w:highlight w:val="none"/>
              </w:rPr>
              <w:t>（在投标文件中提供</w:t>
            </w:r>
            <w:r>
              <w:rPr>
                <w:rFonts w:hint="eastAsia" w:ascii="仿宋" w:hAnsi="仿宋" w:eastAsia="仿宋" w:cs="仿宋"/>
                <w:b/>
                <w:bCs/>
                <w:color w:val="auto"/>
                <w:sz w:val="24"/>
                <w:szCs w:val="24"/>
                <w:highlight w:val="none"/>
                <w:lang w:eastAsia="zh-CN"/>
              </w:rPr>
              <w:t>合同、中标通知书</w:t>
            </w:r>
            <w:r>
              <w:rPr>
                <w:rFonts w:hint="eastAsia" w:ascii="仿宋" w:hAnsi="仿宋" w:eastAsia="仿宋" w:cs="仿宋"/>
                <w:b/>
                <w:bCs/>
                <w:color w:val="auto"/>
                <w:sz w:val="24"/>
                <w:szCs w:val="24"/>
                <w:highlight w:val="none"/>
              </w:rPr>
              <w:t>的复印件或扫描打印件，否则不得分）</w:t>
            </w:r>
          </w:p>
        </w:tc>
        <w:tc>
          <w:tcPr>
            <w:tcW w:w="1143" w:type="dxa"/>
            <w:vAlign w:val="center"/>
          </w:tcPr>
          <w:p>
            <w:pPr>
              <w:adjustRightInd w:val="0"/>
              <w:snapToGrid w:val="0"/>
              <w:spacing w:line="228" w:lineRule="auto"/>
              <w:ind w:left="-105" w:leftChars="-50" w:right="-105" w:rightChars="-5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1753" w:type="dxa"/>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85" w:type="dxa"/>
            <w:vMerge w:val="continue"/>
            <w:vAlign w:val="center"/>
          </w:tcPr>
          <w:p>
            <w:pPr>
              <w:spacing w:line="360" w:lineRule="auto"/>
              <w:jc w:val="left"/>
              <w:rPr>
                <w:rFonts w:hint="eastAsia" w:ascii="仿宋" w:hAnsi="仿宋" w:eastAsia="仿宋" w:cs="仿宋"/>
              </w:rPr>
            </w:pPr>
          </w:p>
        </w:tc>
        <w:tc>
          <w:tcPr>
            <w:tcW w:w="1442" w:type="dxa"/>
            <w:vMerge w:val="continue"/>
            <w:vAlign w:val="center"/>
          </w:tcPr>
          <w:p>
            <w:pPr>
              <w:spacing w:line="360" w:lineRule="auto"/>
              <w:jc w:val="left"/>
              <w:rPr>
                <w:rFonts w:hint="eastAsia" w:ascii="仿宋" w:hAnsi="仿宋" w:eastAsia="仿宋" w:cs="仿宋"/>
              </w:rPr>
            </w:pPr>
          </w:p>
        </w:tc>
        <w:tc>
          <w:tcPr>
            <w:tcW w:w="5688" w:type="dxa"/>
            <w:vAlign w:val="center"/>
          </w:tcPr>
          <w:p>
            <w:pPr>
              <w:pStyle w:val="962"/>
              <w:adjustRightInd w:val="0"/>
              <w:snapToGrid w:val="0"/>
              <w:spacing w:line="228" w:lineRule="auto"/>
              <w:ind w:left="-105" w:leftChars="-50" w:right="-105" w:rightChar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投标人具有通过质量管理体系认证证书、环境管理体系认证证书、职业健康安全管理体系认证证书且在有效期内的有1个得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分，本项最多得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w:t>
            </w:r>
            <w:r>
              <w:rPr>
                <w:rFonts w:hint="eastAsia" w:ascii="仿宋" w:hAnsi="仿宋" w:eastAsia="仿宋" w:cs="仿宋"/>
                <w:b/>
                <w:bCs/>
                <w:color w:val="auto"/>
                <w:sz w:val="24"/>
                <w:szCs w:val="24"/>
                <w:highlight w:val="none"/>
              </w:rPr>
              <w:t>（在投标文件中提供认证证书的复印件或扫描打印件，否则不得分）</w:t>
            </w:r>
          </w:p>
        </w:tc>
        <w:tc>
          <w:tcPr>
            <w:tcW w:w="1143" w:type="dxa"/>
            <w:vAlign w:val="center"/>
          </w:tcPr>
          <w:p>
            <w:pPr>
              <w:pStyle w:val="962"/>
              <w:adjustRightInd w:val="0"/>
              <w:snapToGrid w:val="0"/>
              <w:spacing w:line="228" w:lineRule="auto"/>
              <w:ind w:left="-105" w:leftChars="-50" w:right="-105" w:rightChars="-5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1753" w:type="dxa"/>
            <w:vAlign w:val="top"/>
          </w:tcPr>
          <w:p>
            <w:pPr>
              <w:spacing w:line="360" w:lineRule="auto"/>
              <w:jc w:val="left"/>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85" w:type="dxa"/>
            <w:vMerge w:val="continue"/>
            <w:vAlign w:val="center"/>
          </w:tcPr>
          <w:p>
            <w:pPr>
              <w:spacing w:line="360" w:lineRule="auto"/>
              <w:jc w:val="left"/>
              <w:rPr>
                <w:rFonts w:hint="eastAsia" w:ascii="仿宋" w:hAnsi="仿宋" w:eastAsia="仿宋" w:cs="仿宋"/>
                <w:color w:val="auto"/>
                <w:sz w:val="24"/>
                <w:szCs w:val="24"/>
                <w:lang w:val="en-US" w:eastAsia="zh-CN"/>
              </w:rPr>
            </w:pPr>
          </w:p>
        </w:tc>
        <w:tc>
          <w:tcPr>
            <w:tcW w:w="1442" w:type="dxa"/>
            <w:vMerge w:val="continue"/>
            <w:vAlign w:val="center"/>
          </w:tcPr>
          <w:p>
            <w:pPr>
              <w:spacing w:line="360" w:lineRule="auto"/>
              <w:jc w:val="left"/>
              <w:rPr>
                <w:rFonts w:hint="eastAsia" w:ascii="仿宋" w:hAnsi="仿宋" w:eastAsia="仿宋" w:cs="仿宋"/>
                <w:color w:val="auto"/>
                <w:sz w:val="24"/>
                <w:szCs w:val="24"/>
                <w:lang w:val="en-US" w:eastAsia="zh-CN"/>
              </w:rPr>
            </w:pPr>
          </w:p>
        </w:tc>
        <w:tc>
          <w:tcPr>
            <w:tcW w:w="5688" w:type="dxa"/>
            <w:vAlign w:val="top"/>
          </w:tcPr>
          <w:p>
            <w:pPr>
              <w:pStyle w:val="962"/>
              <w:adjustRightInd w:val="0"/>
              <w:snapToGrid w:val="0"/>
              <w:spacing w:line="228" w:lineRule="auto"/>
              <w:ind w:left="-105" w:leftChars="-50" w:right="-105" w:right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投标人获得的荣誉证书或获奖文件评分：</w:t>
            </w:r>
          </w:p>
          <w:p>
            <w:pPr>
              <w:pStyle w:val="962"/>
              <w:adjustRightInd w:val="0"/>
              <w:snapToGrid w:val="0"/>
              <w:spacing w:line="228" w:lineRule="auto"/>
              <w:ind w:left="-105" w:leftChars="-50" w:right="-105" w:rightChar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投标人获得区级及以上政府</w:t>
            </w:r>
            <w:r>
              <w:rPr>
                <w:rFonts w:hint="eastAsia" w:ascii="仿宋" w:hAnsi="仿宋" w:eastAsia="仿宋" w:cs="仿宋"/>
                <w:color w:val="auto"/>
                <w:sz w:val="24"/>
                <w:szCs w:val="24"/>
                <w:highlight w:val="none"/>
                <w:lang w:eastAsia="zh-CN"/>
              </w:rPr>
              <w:t>或机关服务中心</w:t>
            </w:r>
            <w:r>
              <w:rPr>
                <w:rFonts w:hint="eastAsia" w:ascii="仿宋" w:hAnsi="仿宋" w:eastAsia="仿宋" w:cs="仿宋"/>
                <w:color w:val="auto"/>
                <w:sz w:val="24"/>
                <w:szCs w:val="24"/>
                <w:highlight w:val="none"/>
              </w:rPr>
              <w:t>颁发的相关的先进荣誉或获奖证书，每个得1分，最多得5分，本条满分5分。</w:t>
            </w:r>
            <w:r>
              <w:rPr>
                <w:rFonts w:hint="eastAsia" w:ascii="仿宋" w:hAnsi="仿宋" w:eastAsia="仿宋" w:cs="仿宋"/>
                <w:b/>
                <w:bCs/>
                <w:color w:val="auto"/>
                <w:sz w:val="24"/>
                <w:szCs w:val="24"/>
                <w:highlight w:val="none"/>
              </w:rPr>
              <w:t>（在投标文件中提供荣誉证书或文件的复印件或扫描打印件，否则不得分）</w:t>
            </w:r>
          </w:p>
        </w:tc>
        <w:tc>
          <w:tcPr>
            <w:tcW w:w="1143" w:type="dxa"/>
            <w:vAlign w:val="center"/>
          </w:tcPr>
          <w:p>
            <w:pPr>
              <w:pStyle w:val="962"/>
              <w:adjustRightInd w:val="0"/>
              <w:snapToGrid w:val="0"/>
              <w:spacing w:line="228" w:lineRule="auto"/>
              <w:ind w:left="-105" w:leftChars="-50" w:right="-105" w:rightChars="-5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753" w:type="dxa"/>
            <w:vAlign w:val="top"/>
          </w:tcPr>
          <w:p>
            <w:pPr>
              <w:spacing w:line="360" w:lineRule="auto"/>
              <w:jc w:val="left"/>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85" w:type="dxa"/>
            <w:vMerge w:val="continue"/>
            <w:vAlign w:val="center"/>
          </w:tcPr>
          <w:p>
            <w:pPr>
              <w:spacing w:line="360" w:lineRule="auto"/>
              <w:jc w:val="left"/>
              <w:rPr>
                <w:rFonts w:hint="eastAsia" w:ascii="仿宋" w:hAnsi="仿宋" w:eastAsia="仿宋" w:cs="仿宋"/>
                <w:color w:val="auto"/>
                <w:sz w:val="24"/>
                <w:szCs w:val="24"/>
                <w:lang w:val="en-US" w:eastAsia="zh-CN"/>
              </w:rPr>
            </w:pPr>
          </w:p>
        </w:tc>
        <w:tc>
          <w:tcPr>
            <w:tcW w:w="1442" w:type="dxa"/>
            <w:vMerge w:val="continue"/>
            <w:vAlign w:val="center"/>
          </w:tcPr>
          <w:p>
            <w:pPr>
              <w:spacing w:line="360" w:lineRule="auto"/>
              <w:jc w:val="left"/>
              <w:rPr>
                <w:rFonts w:hint="eastAsia" w:ascii="仿宋" w:hAnsi="仿宋" w:eastAsia="仿宋" w:cs="仿宋"/>
                <w:color w:val="auto"/>
                <w:sz w:val="24"/>
                <w:szCs w:val="24"/>
                <w:lang w:val="en-US" w:eastAsia="zh-CN"/>
              </w:rPr>
            </w:pPr>
          </w:p>
        </w:tc>
        <w:tc>
          <w:tcPr>
            <w:tcW w:w="5688" w:type="dxa"/>
            <w:vAlign w:val="center"/>
          </w:tcPr>
          <w:p>
            <w:pPr>
              <w:pStyle w:val="962"/>
              <w:adjustRightInd w:val="0"/>
              <w:snapToGrid w:val="0"/>
              <w:spacing w:line="228" w:lineRule="auto"/>
              <w:ind w:left="-105" w:leftChars="-50" w:right="-105" w:rightChar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投标人人力防范等级一级的得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分，二级的得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分，三级的得1分，本条满分4分。</w:t>
            </w:r>
            <w:r>
              <w:rPr>
                <w:rFonts w:hint="eastAsia" w:ascii="仿宋" w:hAnsi="仿宋" w:eastAsia="仿宋" w:cs="仿宋"/>
                <w:b/>
                <w:bCs/>
                <w:color w:val="auto"/>
                <w:sz w:val="24"/>
                <w:szCs w:val="24"/>
                <w:highlight w:val="none"/>
              </w:rPr>
              <w:t>（在投标文件中提供资质证书的复印件或扫描件，否则不得分）</w:t>
            </w:r>
          </w:p>
        </w:tc>
        <w:tc>
          <w:tcPr>
            <w:tcW w:w="1143" w:type="dxa"/>
            <w:vAlign w:val="center"/>
          </w:tcPr>
          <w:p>
            <w:pPr>
              <w:pStyle w:val="962"/>
              <w:adjustRightInd w:val="0"/>
              <w:snapToGrid w:val="0"/>
              <w:spacing w:line="228" w:lineRule="auto"/>
              <w:ind w:left="-105" w:leftChars="-50" w:right="-105" w:rightChars="-5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1753" w:type="dxa"/>
            <w:vAlign w:val="top"/>
          </w:tcPr>
          <w:p>
            <w:pPr>
              <w:spacing w:line="360" w:lineRule="auto"/>
              <w:jc w:val="left"/>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85" w:type="dxa"/>
            <w:vMerge w:val="continue"/>
            <w:vAlign w:val="center"/>
          </w:tcPr>
          <w:p>
            <w:pPr>
              <w:spacing w:line="360" w:lineRule="auto"/>
              <w:jc w:val="left"/>
              <w:rPr>
                <w:rFonts w:hint="eastAsia" w:ascii="仿宋" w:hAnsi="仿宋" w:eastAsia="仿宋" w:cs="仿宋"/>
                <w:color w:val="auto"/>
                <w:sz w:val="24"/>
                <w:szCs w:val="24"/>
                <w:lang w:val="en-US" w:eastAsia="zh-CN"/>
              </w:rPr>
            </w:pPr>
          </w:p>
        </w:tc>
        <w:tc>
          <w:tcPr>
            <w:tcW w:w="1442" w:type="dxa"/>
            <w:vMerge w:val="continue"/>
            <w:vAlign w:val="center"/>
          </w:tcPr>
          <w:p>
            <w:pPr>
              <w:spacing w:line="360" w:lineRule="auto"/>
              <w:jc w:val="left"/>
              <w:rPr>
                <w:rFonts w:hint="eastAsia" w:ascii="仿宋" w:hAnsi="仿宋" w:eastAsia="仿宋" w:cs="仿宋"/>
                <w:color w:val="auto"/>
                <w:sz w:val="24"/>
                <w:szCs w:val="24"/>
                <w:lang w:val="en-US" w:eastAsia="zh-CN"/>
              </w:rPr>
            </w:pPr>
          </w:p>
        </w:tc>
        <w:tc>
          <w:tcPr>
            <w:tcW w:w="5688" w:type="dxa"/>
            <w:vAlign w:val="center"/>
          </w:tcPr>
          <w:p>
            <w:pPr>
              <w:spacing w:line="240" w:lineRule="auto"/>
              <w:rPr>
                <w:rFonts w:hint="eastAsia" w:ascii="仿宋" w:hAnsi="仿宋" w:eastAsia="仿宋" w:cs="仿宋"/>
                <w:sz w:val="24"/>
                <w:lang w:eastAsia="zh-CN"/>
              </w:rPr>
            </w:pPr>
            <w:r>
              <w:rPr>
                <w:rFonts w:hint="eastAsia" w:ascii="仿宋" w:hAnsi="仿宋" w:eastAsia="仿宋" w:cs="仿宋"/>
                <w:sz w:val="24"/>
              </w:rPr>
              <w:t>投标人</w:t>
            </w:r>
            <w:r>
              <w:rPr>
                <w:rFonts w:hint="eastAsia" w:ascii="仿宋" w:hAnsi="仿宋" w:eastAsia="仿宋" w:cs="仿宋"/>
                <w:sz w:val="24"/>
                <w:lang w:val="en-US" w:eastAsia="zh-CN"/>
              </w:rPr>
              <w:t>具有劳务派遣资质的得2分</w:t>
            </w:r>
            <w:r>
              <w:rPr>
                <w:rFonts w:hint="eastAsia" w:ascii="仿宋" w:hAnsi="仿宋" w:eastAsia="仿宋" w:cs="仿宋"/>
                <w:sz w:val="24"/>
              </w:rPr>
              <w:t>，本条满分</w:t>
            </w:r>
            <w:r>
              <w:rPr>
                <w:rFonts w:hint="eastAsia" w:ascii="仿宋" w:hAnsi="仿宋" w:eastAsia="仿宋" w:cs="仿宋"/>
                <w:sz w:val="24"/>
                <w:lang w:val="en-US" w:eastAsia="zh-CN"/>
              </w:rPr>
              <w:t>2</w:t>
            </w:r>
            <w:r>
              <w:rPr>
                <w:rFonts w:hint="eastAsia" w:ascii="仿宋" w:hAnsi="仿宋" w:eastAsia="仿宋" w:cs="仿宋"/>
                <w:sz w:val="24"/>
              </w:rPr>
              <w:t>分。</w:t>
            </w:r>
          </w:p>
          <w:p>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b/>
                <w:bCs/>
                <w:sz w:val="24"/>
              </w:rPr>
              <w:t>（须提供认证证书的扫描件</w:t>
            </w:r>
            <w:r>
              <w:rPr>
                <w:rFonts w:hint="eastAsia" w:ascii="仿宋" w:hAnsi="仿宋" w:eastAsia="仿宋" w:cs="仿宋"/>
                <w:b/>
                <w:bCs/>
                <w:sz w:val="24"/>
                <w:lang w:val="en-US" w:eastAsia="zh-CN"/>
              </w:rPr>
              <w:t>加盖公章</w:t>
            </w:r>
            <w:r>
              <w:rPr>
                <w:rFonts w:hint="eastAsia" w:ascii="仿宋" w:hAnsi="仿宋" w:eastAsia="仿宋" w:cs="仿宋"/>
                <w:b/>
                <w:bCs/>
                <w:sz w:val="24"/>
              </w:rPr>
              <w:t>，否则不得分）</w:t>
            </w:r>
          </w:p>
        </w:tc>
        <w:tc>
          <w:tcPr>
            <w:tcW w:w="1143" w:type="dxa"/>
            <w:vAlign w:val="center"/>
          </w:tcPr>
          <w:p>
            <w:pPr>
              <w:spacing w:line="600" w:lineRule="exact"/>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2</w:t>
            </w:r>
          </w:p>
        </w:tc>
        <w:tc>
          <w:tcPr>
            <w:tcW w:w="1753" w:type="dxa"/>
            <w:vAlign w:val="top"/>
          </w:tcPr>
          <w:p>
            <w:pPr>
              <w:spacing w:line="360" w:lineRule="auto"/>
              <w:jc w:val="left"/>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785" w:type="dxa"/>
            <w:vAlign w:val="center"/>
          </w:tcPr>
          <w:p>
            <w:pPr>
              <w:spacing w:line="360" w:lineRule="auto"/>
              <w:ind w:firstLine="240" w:firstLineChars="100"/>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c>
        <w:tc>
          <w:tcPr>
            <w:tcW w:w="7130" w:type="dxa"/>
            <w:gridSpan w:val="2"/>
            <w:vAlign w:val="top"/>
          </w:tcPr>
          <w:p>
            <w:pPr>
              <w:spacing w:line="360" w:lineRule="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有效投标报价的最低价作为评标基准价，其最低报价为满分；按［投标报价得分=（评标基准价/投标报价）*</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］的计算公式计算。</w:t>
            </w:r>
          </w:p>
          <w:p>
            <w:pPr>
              <w:widowControl/>
              <w:shd w:val="clear" w:color="auto" w:fill="FFFFFF"/>
              <w:adjustRightInd/>
              <w:spacing w:after="225" w:line="315" w:lineRule="atLeast"/>
              <w:ind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评标过程中，不得去掉报价中的最高报价和最低报价。</w:t>
            </w:r>
          </w:p>
          <w:p>
            <w:pPr>
              <w:widowControl/>
              <w:shd w:val="clear" w:color="auto" w:fill="FFFFFF"/>
              <w:adjustRightInd/>
              <w:spacing w:after="225" w:line="315" w:lineRule="atLeast"/>
              <w:ind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因落实政府采购政策需要进行价格调整的，以调整后的价格计算评标基准价和投标报价。</w:t>
            </w:r>
          </w:p>
        </w:tc>
        <w:tc>
          <w:tcPr>
            <w:tcW w:w="1143" w:type="dxa"/>
            <w:vAlign w:val="center"/>
          </w:tcPr>
          <w:p>
            <w:pPr>
              <w:spacing w:line="360" w:lineRule="auto"/>
              <w:ind w:firstLine="360" w:firstLineChars="150"/>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753" w:type="dxa"/>
            <w:vAlign w:val="center"/>
          </w:tcPr>
          <w:p>
            <w:pPr>
              <w:spacing w:line="36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w:t>
            </w:r>
          </w:p>
        </w:tc>
      </w:tr>
    </w:tbl>
    <w:p>
      <w:pPr>
        <w:snapToGrid w:val="0"/>
        <w:spacing w:line="360" w:lineRule="auto"/>
        <w:jc w:val="center"/>
        <w:rPr>
          <w:rFonts w:hint="eastAsia" w:ascii="仿宋" w:hAnsi="仿宋" w:eastAsia="仿宋" w:cs="仿宋"/>
          <w:b/>
          <w:color w:val="auto"/>
          <w:sz w:val="32"/>
          <w:szCs w:val="20"/>
        </w:rPr>
      </w:pPr>
    </w:p>
    <w:p>
      <w:pPr>
        <w:snapToGrid w:val="0"/>
        <w:spacing w:line="360" w:lineRule="auto"/>
        <w:jc w:val="center"/>
        <w:rPr>
          <w:rFonts w:hint="eastAsia" w:ascii="仿宋" w:hAnsi="仿宋" w:eastAsia="仿宋" w:cs="仿宋"/>
          <w:b/>
          <w:color w:val="auto"/>
          <w:sz w:val="32"/>
          <w:szCs w:val="20"/>
        </w:rPr>
      </w:pPr>
    </w:p>
    <w:p>
      <w:pPr>
        <w:snapToGrid w:val="0"/>
        <w:spacing w:line="360" w:lineRule="auto"/>
        <w:jc w:val="center"/>
        <w:rPr>
          <w:rFonts w:hint="eastAsia" w:ascii="仿宋" w:hAnsi="仿宋" w:eastAsia="仿宋" w:cs="仿宋"/>
          <w:b/>
          <w:color w:val="auto"/>
          <w:sz w:val="32"/>
          <w:szCs w:val="20"/>
        </w:rPr>
      </w:pPr>
    </w:p>
    <w:p>
      <w:pPr>
        <w:snapToGrid w:val="0"/>
        <w:spacing w:line="360" w:lineRule="auto"/>
        <w:jc w:val="center"/>
        <w:rPr>
          <w:rFonts w:hint="eastAsia" w:ascii="仿宋" w:hAnsi="仿宋" w:eastAsia="仿宋" w:cs="仿宋"/>
          <w:b/>
          <w:color w:val="auto"/>
          <w:sz w:val="32"/>
          <w:szCs w:val="20"/>
        </w:rPr>
      </w:pPr>
    </w:p>
    <w:p>
      <w:pPr>
        <w:snapToGrid w:val="0"/>
        <w:spacing w:line="360" w:lineRule="auto"/>
        <w:jc w:val="center"/>
        <w:rPr>
          <w:rFonts w:hint="eastAsia" w:ascii="仿宋" w:hAnsi="仿宋" w:eastAsia="仿宋" w:cs="仿宋"/>
          <w:b/>
          <w:color w:val="auto"/>
          <w:sz w:val="32"/>
          <w:szCs w:val="20"/>
        </w:rPr>
      </w:pPr>
    </w:p>
    <w:p>
      <w:pPr>
        <w:snapToGrid w:val="0"/>
        <w:spacing w:line="360" w:lineRule="auto"/>
        <w:jc w:val="center"/>
        <w:rPr>
          <w:rFonts w:hint="eastAsia" w:ascii="仿宋" w:hAnsi="仿宋" w:eastAsia="仿宋" w:cs="仿宋"/>
          <w:b/>
          <w:color w:val="auto"/>
          <w:sz w:val="32"/>
          <w:szCs w:val="20"/>
        </w:rPr>
      </w:pPr>
    </w:p>
    <w:p>
      <w:pPr>
        <w:snapToGrid w:val="0"/>
        <w:spacing w:line="360" w:lineRule="auto"/>
        <w:jc w:val="center"/>
        <w:rPr>
          <w:rFonts w:hint="eastAsia" w:ascii="仿宋" w:hAnsi="仿宋" w:eastAsia="仿宋" w:cs="仿宋"/>
          <w:b/>
          <w:color w:val="auto"/>
          <w:sz w:val="32"/>
          <w:szCs w:val="20"/>
        </w:rPr>
      </w:pPr>
    </w:p>
    <w:p>
      <w:pPr>
        <w:snapToGrid w:val="0"/>
        <w:spacing w:line="360" w:lineRule="auto"/>
        <w:jc w:val="center"/>
        <w:rPr>
          <w:rFonts w:hint="eastAsia" w:ascii="仿宋" w:hAnsi="仿宋" w:eastAsia="仿宋" w:cs="仿宋"/>
          <w:b/>
          <w:color w:val="auto"/>
          <w:sz w:val="32"/>
          <w:szCs w:val="20"/>
        </w:rPr>
      </w:pPr>
    </w:p>
    <w:p>
      <w:pPr>
        <w:snapToGrid w:val="0"/>
        <w:spacing w:line="360" w:lineRule="auto"/>
        <w:jc w:val="center"/>
        <w:rPr>
          <w:rFonts w:hint="eastAsia" w:ascii="仿宋" w:hAnsi="仿宋" w:eastAsia="仿宋" w:cs="仿宋"/>
          <w:b/>
          <w:color w:val="auto"/>
          <w:sz w:val="32"/>
          <w:szCs w:val="20"/>
        </w:rPr>
      </w:pPr>
    </w:p>
    <w:p>
      <w:pPr>
        <w:snapToGrid w:val="0"/>
        <w:spacing w:line="360" w:lineRule="auto"/>
        <w:jc w:val="center"/>
        <w:rPr>
          <w:rFonts w:hint="eastAsia" w:ascii="仿宋" w:hAnsi="仿宋" w:eastAsia="仿宋" w:cs="仿宋"/>
          <w:b/>
          <w:color w:val="auto"/>
          <w:sz w:val="32"/>
          <w:szCs w:val="20"/>
        </w:rPr>
      </w:pPr>
    </w:p>
    <w:p>
      <w:pPr>
        <w:snapToGrid w:val="0"/>
        <w:spacing w:line="360" w:lineRule="auto"/>
        <w:jc w:val="center"/>
        <w:rPr>
          <w:rFonts w:hint="eastAsia" w:ascii="仿宋" w:hAnsi="仿宋" w:eastAsia="仿宋" w:cs="仿宋"/>
          <w:b/>
          <w:color w:val="auto"/>
          <w:sz w:val="32"/>
          <w:szCs w:val="20"/>
        </w:rPr>
      </w:pPr>
    </w:p>
    <w:p>
      <w:pPr>
        <w:snapToGrid w:val="0"/>
        <w:spacing w:line="360" w:lineRule="auto"/>
        <w:jc w:val="center"/>
        <w:rPr>
          <w:rFonts w:hint="eastAsia" w:ascii="仿宋" w:hAnsi="仿宋" w:eastAsia="仿宋" w:cs="仿宋"/>
          <w:b/>
          <w:color w:val="auto"/>
          <w:sz w:val="32"/>
          <w:szCs w:val="20"/>
        </w:rPr>
      </w:pPr>
    </w:p>
    <w:p>
      <w:pPr>
        <w:snapToGrid w:val="0"/>
        <w:spacing w:line="360" w:lineRule="auto"/>
        <w:jc w:val="center"/>
        <w:rPr>
          <w:rFonts w:hint="eastAsia" w:ascii="仿宋" w:hAnsi="仿宋" w:eastAsia="仿宋" w:cs="仿宋"/>
          <w:b/>
          <w:color w:val="auto"/>
          <w:sz w:val="32"/>
          <w:szCs w:val="20"/>
        </w:rPr>
      </w:pPr>
    </w:p>
    <w:p>
      <w:pPr>
        <w:snapToGrid w:val="0"/>
        <w:spacing w:line="360" w:lineRule="auto"/>
        <w:jc w:val="center"/>
        <w:rPr>
          <w:rFonts w:hint="eastAsia" w:ascii="仿宋" w:hAnsi="仿宋" w:eastAsia="仿宋" w:cs="仿宋"/>
          <w:b/>
          <w:color w:val="auto"/>
          <w:sz w:val="32"/>
          <w:szCs w:val="20"/>
        </w:rPr>
      </w:pPr>
    </w:p>
    <w:p>
      <w:pPr>
        <w:snapToGrid w:val="0"/>
        <w:spacing w:line="360" w:lineRule="auto"/>
        <w:jc w:val="center"/>
        <w:rPr>
          <w:rFonts w:hint="eastAsia" w:ascii="仿宋" w:hAnsi="仿宋" w:eastAsia="仿宋" w:cs="仿宋"/>
          <w:b/>
          <w:color w:val="auto"/>
          <w:sz w:val="32"/>
          <w:szCs w:val="20"/>
          <w:lang w:eastAsia="zh-CN"/>
        </w:rPr>
      </w:pPr>
      <w:r>
        <w:rPr>
          <w:rFonts w:hint="eastAsia" w:ascii="仿宋" w:hAnsi="仿宋" w:eastAsia="仿宋" w:cs="仿宋"/>
          <w:b/>
          <w:color w:val="auto"/>
          <w:sz w:val="32"/>
          <w:szCs w:val="20"/>
        </w:rPr>
        <w:t>评标办法前附表</w:t>
      </w:r>
      <w:r>
        <w:rPr>
          <w:rFonts w:hint="eastAsia" w:ascii="仿宋" w:hAnsi="仿宋" w:eastAsia="仿宋" w:cs="仿宋"/>
          <w:b/>
          <w:color w:val="auto"/>
          <w:sz w:val="32"/>
          <w:szCs w:val="20"/>
          <w:lang w:eastAsia="zh-CN"/>
        </w:rPr>
        <w:t>（</w:t>
      </w:r>
      <w:r>
        <w:rPr>
          <w:rFonts w:hint="eastAsia" w:ascii="仿宋" w:hAnsi="仿宋" w:eastAsia="仿宋" w:cs="仿宋"/>
          <w:b/>
          <w:color w:val="auto"/>
          <w:sz w:val="32"/>
          <w:szCs w:val="20"/>
          <w:lang w:val="en-US" w:eastAsia="zh-CN"/>
        </w:rPr>
        <w:t>标项三</w:t>
      </w:r>
      <w:r>
        <w:rPr>
          <w:rFonts w:hint="eastAsia" w:ascii="仿宋" w:hAnsi="仿宋" w:eastAsia="仿宋" w:cs="仿宋"/>
          <w:b/>
          <w:color w:val="auto"/>
          <w:sz w:val="32"/>
          <w:szCs w:val="20"/>
          <w:lang w:eastAsia="zh-CN"/>
        </w:rPr>
        <w:t>）</w:t>
      </w:r>
    </w:p>
    <w:tbl>
      <w:tblPr>
        <w:tblStyle w:val="63"/>
        <w:tblpPr w:leftFromText="180" w:rightFromText="180" w:vertAnchor="text" w:horzAnchor="page" w:tblpX="691" w:tblpY="126"/>
        <w:tblW w:w="10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442"/>
        <w:gridCol w:w="5688"/>
        <w:gridCol w:w="1143"/>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785" w:type="dxa"/>
            <w:vAlign w:val="center"/>
          </w:tcPr>
          <w:p>
            <w:pPr>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7130" w:type="dxa"/>
            <w:gridSpan w:val="2"/>
            <w:vAlign w:val="center"/>
          </w:tcPr>
          <w:p>
            <w:pPr>
              <w:spacing w:line="360" w:lineRule="auto"/>
              <w:ind w:firstLine="1560" w:firstLineChars="650"/>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评标标准</w:t>
            </w:r>
          </w:p>
        </w:tc>
        <w:tc>
          <w:tcPr>
            <w:tcW w:w="1143" w:type="dxa"/>
            <w:vAlign w:val="center"/>
          </w:tcPr>
          <w:p>
            <w:pPr>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权重</w:t>
            </w:r>
          </w:p>
        </w:tc>
        <w:tc>
          <w:tcPr>
            <w:tcW w:w="1753" w:type="dxa"/>
            <w:vAlign w:val="top"/>
          </w:tcPr>
          <w:p>
            <w:pPr>
              <w:spacing w:line="360" w:lineRule="auto"/>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投标文件中评标标准相应的商务技术资料目录</w:t>
            </w:r>
            <w:r>
              <w:rPr>
                <w:rFonts w:hint="eastAsia" w:ascii="仿宋" w:hAnsi="仿宋" w:eastAsia="仿宋" w:cs="仿宋"/>
                <w:color w:val="auto"/>
                <w:sz w:val="24"/>
                <w:szCs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785" w:type="dxa"/>
            <w:vAlign w:val="center"/>
          </w:tcPr>
          <w:p>
            <w:pPr>
              <w:spacing w:line="360" w:lineRule="auto"/>
              <w:ind w:firstLine="240" w:firstLineChars="1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42" w:type="dxa"/>
            <w:vAlign w:val="center"/>
          </w:tcPr>
          <w:p>
            <w:pPr>
              <w:spacing w:line="360" w:lineRule="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针对本项目的保安服务理念、定位、目标</w:t>
            </w:r>
          </w:p>
        </w:tc>
        <w:tc>
          <w:tcPr>
            <w:tcW w:w="5688"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针对本项目的服务理念、定位、目标：根据本项目服务特点提出合理的管理服务理念，提出服务定位、目标，投标人的管理模式能够切合实际且可行（0-</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p>
        </w:tc>
        <w:tc>
          <w:tcPr>
            <w:tcW w:w="1143" w:type="dxa"/>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753" w:type="dxa"/>
            <w:vAlign w:val="center"/>
          </w:tcPr>
          <w:p>
            <w:pPr>
              <w:spacing w:line="360" w:lineRule="auto"/>
              <w:jc w:val="center"/>
              <w:outlineLvl w:val="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85" w:type="dxa"/>
            <w:vAlign w:val="center"/>
          </w:tcPr>
          <w:p>
            <w:pPr>
              <w:spacing w:line="360" w:lineRule="auto"/>
              <w:ind w:firstLine="240" w:firstLineChars="1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442" w:type="dxa"/>
            <w:vAlign w:val="center"/>
          </w:tcPr>
          <w:p>
            <w:pPr>
              <w:spacing w:line="360" w:lineRule="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针对本项目的组织架构、管理机制及质量标准措施</w:t>
            </w:r>
          </w:p>
        </w:tc>
        <w:tc>
          <w:tcPr>
            <w:tcW w:w="5688" w:type="dxa"/>
            <w:vAlign w:val="center"/>
          </w:tcPr>
          <w:p>
            <w:pPr>
              <w:spacing w:line="360" w:lineRule="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针对本项目的组织架构、管理机制：有比较完善的组织架构，清晰简练地列出主要管理流程，包括对运作流程图、激励机制、监督机制、自我约束机制、信息反馈渠道及处理机制（0-</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w:t>
            </w:r>
          </w:p>
        </w:tc>
        <w:tc>
          <w:tcPr>
            <w:tcW w:w="1143" w:type="dxa"/>
            <w:vAlign w:val="center"/>
          </w:tcPr>
          <w:p>
            <w:pPr>
              <w:jc w:val="center"/>
              <w:rPr>
                <w:rFonts w:hint="eastAsia" w:ascii="仿宋" w:hAnsi="仿宋" w:eastAsia="仿宋" w:cs="仿宋"/>
                <w:color w:val="auto"/>
                <w:sz w:val="24"/>
                <w:szCs w:val="24"/>
              </w:rPr>
            </w:pPr>
          </w:p>
          <w:p>
            <w:pPr>
              <w:spacing w:line="36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p>
        </w:tc>
        <w:tc>
          <w:tcPr>
            <w:tcW w:w="1753" w:type="dxa"/>
            <w:vAlign w:val="top"/>
          </w:tcPr>
          <w:p>
            <w:pPr>
              <w:spacing w:line="360" w:lineRule="auto"/>
              <w:outlineLvl w:val="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85" w:type="dxa"/>
            <w:vAlign w:val="center"/>
          </w:tcPr>
          <w:p>
            <w:pPr>
              <w:spacing w:line="360" w:lineRule="auto"/>
              <w:ind w:firstLine="240" w:firstLineChars="1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442"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针对本项目的各项管理制度</w:t>
            </w:r>
          </w:p>
        </w:tc>
        <w:tc>
          <w:tcPr>
            <w:tcW w:w="5688"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针对本项目的管理机构设置：根据机构设置情况的合理性等</w:t>
            </w:r>
            <w:r>
              <w:rPr>
                <w:rFonts w:hint="eastAsia" w:ascii="仿宋" w:hAnsi="仿宋" w:eastAsia="仿宋" w:cs="仿宋"/>
                <w:color w:val="auto"/>
                <w:sz w:val="24"/>
                <w:szCs w:val="24"/>
                <w:lang w:val="en-US" w:eastAsia="zh-CN"/>
              </w:rPr>
              <w:t>进行</w:t>
            </w:r>
            <w:r>
              <w:rPr>
                <w:rFonts w:hint="eastAsia" w:ascii="仿宋" w:hAnsi="仿宋" w:eastAsia="仿宋" w:cs="仿宋"/>
                <w:color w:val="auto"/>
                <w:sz w:val="24"/>
                <w:szCs w:val="24"/>
              </w:rPr>
              <w:t>打分（0</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tc>
        <w:tc>
          <w:tcPr>
            <w:tcW w:w="1143" w:type="dxa"/>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753" w:type="dxa"/>
            <w:vAlign w:val="top"/>
          </w:tcPr>
          <w:p>
            <w:pPr>
              <w:spacing w:line="360" w:lineRule="auto"/>
              <w:outlineLvl w:val="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8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442"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项目组人员情况</w:t>
            </w:r>
          </w:p>
        </w:tc>
        <w:tc>
          <w:tcPr>
            <w:tcW w:w="5688" w:type="dxa"/>
            <w:vAlign w:val="center"/>
          </w:tcPr>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项目组人员情况：</w:t>
            </w:r>
          </w:p>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项目负责人：项目负责人年龄在45周岁以下的得3分；本科及以上文化程度的得4分；具有国家职业资格保安员壹级证书的得5分；具有保卫师证书的得5分，没有不得分，证书应在有效期内；投标文件中同时提供身份证、毕业证书、国家职业资格保安员壹级证书、保卫师证书、省保安服务专家聘书等证书复印件，公司社保证明；（0-22分）</w:t>
            </w:r>
          </w:p>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拟投入人员配置：拟投入人员要求35周岁及以下、大专（含）以上文化的满足30人（含）以上的得基本分8分，其中退伍军人有4人的加1分、有8人的加2分、有12人的加4分，最多加4分；投标文件中同时提供身份证复印件、毕业证书复印件、退伍证复印件、公司3个月（含）以上的社保证明；（0-12分）</w:t>
            </w:r>
          </w:p>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3）投标人具有国家公安部消防局颁发的建（构）筑物消防员证书，每有1人得1分，最多得5分；投标文件中同时提供证书复印件、公司社保证明；（0-5分）</w:t>
            </w:r>
          </w:p>
        </w:tc>
        <w:tc>
          <w:tcPr>
            <w:tcW w:w="1143" w:type="dxa"/>
            <w:vAlign w:val="center"/>
          </w:tcPr>
          <w:p>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34</w:t>
            </w:r>
          </w:p>
        </w:tc>
        <w:tc>
          <w:tcPr>
            <w:tcW w:w="1753" w:type="dxa"/>
            <w:vAlign w:val="top"/>
          </w:tcPr>
          <w:p>
            <w:pPr>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442" w:type="dxa"/>
            <w:vAlign w:val="center"/>
          </w:tcPr>
          <w:p>
            <w:pPr>
              <w:pStyle w:val="962"/>
              <w:adjustRightInd w:val="0"/>
              <w:snapToGrid w:val="0"/>
              <w:spacing w:line="228" w:lineRule="auto"/>
              <w:ind w:left="-105" w:leftChars="-50" w:right="-105" w:rightChars="-5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管理组织实施方案</w:t>
            </w:r>
          </w:p>
        </w:tc>
        <w:tc>
          <w:tcPr>
            <w:tcW w:w="5688" w:type="dxa"/>
            <w:vAlign w:val="center"/>
          </w:tcPr>
          <w:p>
            <w:pPr>
              <w:adjustRightInd w:val="0"/>
              <w:snapToGrid w:val="0"/>
              <w:spacing w:line="228" w:lineRule="auto"/>
              <w:ind w:right="-105" w:rightChars="-5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1）员工招聘标准的合理性，员工培训计划的合理性（0—2分）；</w:t>
            </w:r>
          </w:p>
          <w:p>
            <w:pPr>
              <w:adjustRightInd w:val="0"/>
              <w:snapToGrid w:val="0"/>
              <w:spacing w:line="228" w:lineRule="auto"/>
              <w:ind w:right="-105" w:rightChars="-5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2）管理的制度的合理性、规范和标准的合理性（0—2分）；</w:t>
            </w:r>
          </w:p>
          <w:p>
            <w:pPr>
              <w:adjustRightInd w:val="0"/>
              <w:snapToGrid w:val="0"/>
              <w:spacing w:line="228" w:lineRule="auto"/>
              <w:ind w:right="-105" w:rightChars="-5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3）门岗、巡逻管理服务等具体实施方案的合理性、可行性（0—2分）；</w:t>
            </w:r>
          </w:p>
          <w:p>
            <w:pPr>
              <w:adjustRightInd w:val="0"/>
              <w:snapToGrid w:val="0"/>
              <w:spacing w:line="228" w:lineRule="auto"/>
              <w:ind w:right="-105" w:rightChars="-5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4）稳定员工队伍的措施的合理性、可行性（0—2分）；</w:t>
            </w:r>
          </w:p>
        </w:tc>
        <w:tc>
          <w:tcPr>
            <w:tcW w:w="1143" w:type="dxa"/>
            <w:vAlign w:val="center"/>
          </w:tcPr>
          <w:p>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1753" w:type="dxa"/>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442" w:type="dxa"/>
            <w:vAlign w:val="center"/>
          </w:tcPr>
          <w:p>
            <w:pPr>
              <w:pStyle w:val="962"/>
              <w:adjustRightInd w:val="0"/>
              <w:snapToGrid w:val="0"/>
              <w:spacing w:line="228" w:lineRule="auto"/>
              <w:ind w:left="-105" w:leftChars="-50" w:right="-105" w:rightChars="-5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应急预案</w:t>
            </w:r>
          </w:p>
        </w:tc>
        <w:tc>
          <w:tcPr>
            <w:tcW w:w="5688" w:type="dxa"/>
            <w:vAlign w:val="center"/>
          </w:tcPr>
          <w:p>
            <w:pPr>
              <w:pStyle w:val="962"/>
              <w:adjustRightInd w:val="0"/>
              <w:snapToGrid w:val="0"/>
              <w:spacing w:line="228" w:lineRule="auto"/>
              <w:ind w:left="-105" w:leftChars="-50" w:right="-105" w:rightChars="-5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提供处理突发事件的应急预案的合理性、可行性进行打分。</w:t>
            </w:r>
          </w:p>
        </w:tc>
        <w:tc>
          <w:tcPr>
            <w:tcW w:w="1143" w:type="dxa"/>
            <w:vAlign w:val="center"/>
          </w:tcPr>
          <w:p>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753" w:type="dxa"/>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8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442"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kern w:val="2"/>
                <w:sz w:val="24"/>
                <w:szCs w:val="24"/>
                <w:highlight w:val="none"/>
                <w:lang w:val="en-US" w:eastAsia="zh-CN" w:bidi="ar-SA"/>
              </w:rPr>
              <w:t>本地化服务</w:t>
            </w:r>
          </w:p>
        </w:tc>
        <w:tc>
          <w:tcPr>
            <w:tcW w:w="5688" w:type="dxa"/>
            <w:vAlign w:val="center"/>
          </w:tcPr>
          <w:p>
            <w:pPr>
              <w:adjustRightInd w:val="0"/>
              <w:snapToGrid w:val="0"/>
              <w:spacing w:line="228" w:lineRule="auto"/>
              <w:ind w:left="-105" w:leftChars="-50" w:right="-105" w:rightChar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根据服务网点的服务响应能力进行打分；投标文件中提供工商注册资料或公司办公用房证明（租房证明或房产证）</w:t>
            </w:r>
          </w:p>
        </w:tc>
        <w:tc>
          <w:tcPr>
            <w:tcW w:w="1143" w:type="dxa"/>
            <w:vAlign w:val="center"/>
          </w:tcPr>
          <w:p>
            <w:pPr>
              <w:adjustRightInd w:val="0"/>
              <w:snapToGrid w:val="0"/>
              <w:spacing w:line="228" w:lineRule="auto"/>
              <w:ind w:left="-105" w:leftChars="-50" w:right="-105" w:rightChars="-5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753" w:type="dxa"/>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85"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1442" w:type="dxa"/>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针对本项目的合理化、优化建议</w:t>
            </w:r>
          </w:p>
        </w:tc>
        <w:tc>
          <w:tcPr>
            <w:tcW w:w="5688" w:type="dxa"/>
            <w:vAlign w:val="center"/>
          </w:tcPr>
          <w:p>
            <w:pPr>
              <w:adjustRightInd w:val="0"/>
              <w:snapToGrid w:val="0"/>
              <w:spacing w:line="228" w:lineRule="auto"/>
              <w:ind w:left="-105" w:leftChars="-50" w:right="-105" w:rightChars="-5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投标人针对本项目提出合理化、优化建议，合理性、可行性进行打分</w:t>
            </w:r>
          </w:p>
        </w:tc>
        <w:tc>
          <w:tcPr>
            <w:tcW w:w="1143" w:type="dxa"/>
            <w:vAlign w:val="center"/>
          </w:tcPr>
          <w:p>
            <w:pPr>
              <w:adjustRightInd w:val="0"/>
              <w:snapToGrid w:val="0"/>
              <w:spacing w:line="228" w:lineRule="auto"/>
              <w:ind w:left="-105" w:leftChars="-50" w:right="-105" w:rightChars="-5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1753" w:type="dxa"/>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85"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1442" w:type="dxa"/>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服务承诺</w:t>
            </w:r>
          </w:p>
        </w:tc>
        <w:tc>
          <w:tcPr>
            <w:tcW w:w="5688" w:type="dxa"/>
            <w:vAlign w:val="center"/>
          </w:tcPr>
          <w:p>
            <w:pPr>
              <w:adjustRightInd w:val="0"/>
              <w:snapToGrid w:val="0"/>
              <w:spacing w:line="228" w:lineRule="auto"/>
              <w:ind w:left="-105" w:leftChars="-50" w:right="-105" w:rightChars="-5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包括服务内容及标准承诺、创建工作承诺等，合理性、可行性、可操作性进行打分</w:t>
            </w:r>
          </w:p>
        </w:tc>
        <w:tc>
          <w:tcPr>
            <w:tcW w:w="1143" w:type="dxa"/>
            <w:vAlign w:val="center"/>
          </w:tcPr>
          <w:p>
            <w:pPr>
              <w:adjustRightInd w:val="0"/>
              <w:snapToGrid w:val="0"/>
              <w:spacing w:line="228" w:lineRule="auto"/>
              <w:ind w:left="-105" w:leftChars="-50" w:right="-105" w:rightChars="-5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1753" w:type="dxa"/>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85"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442" w:type="dxa"/>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企业证书</w:t>
            </w:r>
          </w:p>
        </w:tc>
        <w:tc>
          <w:tcPr>
            <w:tcW w:w="5688" w:type="dxa"/>
            <w:vAlign w:val="center"/>
          </w:tcPr>
          <w:p>
            <w:pPr>
              <w:adjustRightInd w:val="0"/>
              <w:snapToGrid w:val="0"/>
              <w:spacing w:line="228" w:lineRule="auto"/>
              <w:ind w:left="-105" w:leftChars="-50" w:right="-105" w:rightChar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企业证书：</w:t>
            </w:r>
          </w:p>
          <w:p>
            <w:pPr>
              <w:adjustRightInd w:val="0"/>
              <w:snapToGrid w:val="0"/>
              <w:spacing w:line="228" w:lineRule="auto"/>
              <w:ind w:left="-105" w:leftChars="-50" w:right="-105" w:rightChar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1）投标人具有职业健康安全管理体系认证证书得3分；具有质量管理体系认证证书得3分，具有环境管理体系认证证书得3分；没有不得分，证书应在有效期内；</w:t>
            </w:r>
          </w:p>
          <w:p>
            <w:pPr>
              <w:adjustRightInd w:val="0"/>
              <w:snapToGrid w:val="0"/>
              <w:spacing w:line="228" w:lineRule="auto"/>
              <w:ind w:left="-105" w:leftChars="-50" w:right="-105" w:rightChar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2）投标人具有合法有效的保安服务许可证的得2分；</w:t>
            </w:r>
          </w:p>
          <w:p>
            <w:pPr>
              <w:adjustRightInd w:val="0"/>
              <w:snapToGrid w:val="0"/>
              <w:spacing w:line="228" w:lineRule="auto"/>
              <w:ind w:left="-105" w:leftChars="-50" w:right="-105" w:rightChar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3）投标人具有合法有效的“劳务派遣经营许可证”的得3分；</w:t>
            </w:r>
          </w:p>
          <w:p>
            <w:pPr>
              <w:adjustRightInd w:val="0"/>
              <w:snapToGrid w:val="0"/>
              <w:spacing w:line="228" w:lineRule="auto"/>
              <w:ind w:left="-105" w:leftChars="-50" w:right="-105" w:rightChar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4）投标人具有省级荣誉证书的得3分,具有市级荣誉证书的得2分，具有区级荣誉证书的得1分，本项最高得3分；</w:t>
            </w:r>
          </w:p>
          <w:p>
            <w:pPr>
              <w:adjustRightInd w:val="0"/>
              <w:snapToGrid w:val="0"/>
              <w:spacing w:line="228" w:lineRule="auto"/>
              <w:ind w:left="-105" w:leftChars="-50" w:right="-105" w:rightChar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rPr>
              <w:t>（在投标文件中提供</w:t>
            </w:r>
            <w:r>
              <w:rPr>
                <w:rFonts w:hint="eastAsia" w:ascii="仿宋" w:hAnsi="仿宋" w:eastAsia="仿宋" w:cs="仿宋"/>
                <w:b/>
                <w:bCs/>
                <w:color w:val="auto"/>
                <w:sz w:val="24"/>
                <w:szCs w:val="24"/>
                <w:highlight w:val="none"/>
                <w:lang w:val="en-US" w:eastAsia="zh-CN"/>
              </w:rPr>
              <w:t>企业证书</w:t>
            </w:r>
            <w:r>
              <w:rPr>
                <w:rFonts w:hint="eastAsia" w:ascii="仿宋" w:hAnsi="仿宋" w:eastAsia="仿宋" w:cs="仿宋"/>
                <w:b/>
                <w:bCs/>
                <w:color w:val="auto"/>
                <w:sz w:val="24"/>
                <w:szCs w:val="24"/>
                <w:highlight w:val="none"/>
              </w:rPr>
              <w:t>的复印件或扫描打印件，否则不得分</w:t>
            </w:r>
            <w:r>
              <w:rPr>
                <w:rFonts w:hint="eastAsia" w:ascii="仿宋" w:hAnsi="仿宋" w:eastAsia="仿宋" w:cs="仿宋"/>
                <w:b/>
                <w:bCs/>
                <w:color w:val="auto"/>
                <w:sz w:val="24"/>
                <w:szCs w:val="24"/>
                <w:highlight w:val="none"/>
                <w:lang w:eastAsia="zh-CN"/>
              </w:rPr>
              <w:t>）</w:t>
            </w:r>
          </w:p>
        </w:tc>
        <w:tc>
          <w:tcPr>
            <w:tcW w:w="1143" w:type="dxa"/>
            <w:vAlign w:val="center"/>
          </w:tcPr>
          <w:p>
            <w:pPr>
              <w:adjustRightInd w:val="0"/>
              <w:snapToGrid w:val="0"/>
              <w:spacing w:line="228" w:lineRule="auto"/>
              <w:ind w:left="-105" w:leftChars="-50" w:right="-105" w:rightChars="-5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17</w:t>
            </w:r>
          </w:p>
        </w:tc>
        <w:tc>
          <w:tcPr>
            <w:tcW w:w="1753" w:type="dxa"/>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85"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1442" w:type="dxa"/>
            <w:vAlign w:val="center"/>
          </w:tcPr>
          <w:p>
            <w:pP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类似业绩</w:t>
            </w:r>
          </w:p>
        </w:tc>
        <w:tc>
          <w:tcPr>
            <w:tcW w:w="5688" w:type="dxa"/>
            <w:vAlign w:val="center"/>
          </w:tcPr>
          <w:p>
            <w:pPr>
              <w:adjustRightInd w:val="0"/>
              <w:snapToGrid w:val="0"/>
              <w:spacing w:line="228" w:lineRule="auto"/>
              <w:ind w:left="-105" w:leftChars="-50" w:right="-105" w:rightChar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投标人自201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年1月1日以来单独实施的类似项目，每提供一个得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分，最多得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b/>
                <w:bCs/>
                <w:color w:val="auto"/>
                <w:sz w:val="24"/>
                <w:szCs w:val="24"/>
                <w:highlight w:val="none"/>
              </w:rPr>
              <w:t>（在投标文件中提供</w:t>
            </w:r>
            <w:r>
              <w:rPr>
                <w:rFonts w:hint="eastAsia" w:ascii="仿宋" w:hAnsi="仿宋" w:eastAsia="仿宋" w:cs="仿宋"/>
                <w:b/>
                <w:bCs/>
                <w:color w:val="auto"/>
                <w:sz w:val="24"/>
                <w:szCs w:val="24"/>
                <w:highlight w:val="none"/>
                <w:lang w:eastAsia="zh-CN"/>
              </w:rPr>
              <w:t>合同、中标通知书</w:t>
            </w:r>
            <w:r>
              <w:rPr>
                <w:rFonts w:hint="eastAsia" w:ascii="仿宋" w:hAnsi="仿宋" w:eastAsia="仿宋" w:cs="仿宋"/>
                <w:b/>
                <w:bCs/>
                <w:color w:val="auto"/>
                <w:sz w:val="24"/>
                <w:szCs w:val="24"/>
                <w:highlight w:val="none"/>
              </w:rPr>
              <w:t>的复印件或扫描打印件，否则不得分）</w:t>
            </w:r>
          </w:p>
        </w:tc>
        <w:tc>
          <w:tcPr>
            <w:tcW w:w="1143" w:type="dxa"/>
            <w:vAlign w:val="center"/>
          </w:tcPr>
          <w:p>
            <w:pPr>
              <w:adjustRightInd w:val="0"/>
              <w:snapToGrid w:val="0"/>
              <w:spacing w:line="228" w:lineRule="auto"/>
              <w:ind w:left="-105" w:leftChars="-50" w:right="-105" w:rightChars="-5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1753" w:type="dxa"/>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785" w:type="dxa"/>
            <w:vAlign w:val="center"/>
          </w:tcPr>
          <w:p>
            <w:pPr>
              <w:spacing w:line="360" w:lineRule="auto"/>
              <w:ind w:firstLine="240" w:firstLineChars="100"/>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c>
        <w:tc>
          <w:tcPr>
            <w:tcW w:w="7130" w:type="dxa"/>
            <w:gridSpan w:val="2"/>
            <w:vAlign w:val="top"/>
          </w:tcPr>
          <w:p>
            <w:pPr>
              <w:spacing w:line="360" w:lineRule="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有效投标报价的最低价作为评标基准价，其最低报价为满分；按［投标报价得分=（评标基准价/投标报价）*</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］的计算公式计算。</w:t>
            </w:r>
          </w:p>
          <w:p>
            <w:pPr>
              <w:widowControl/>
              <w:shd w:val="clear" w:color="auto" w:fill="FFFFFF"/>
              <w:adjustRightInd/>
              <w:spacing w:after="225" w:line="315" w:lineRule="atLeast"/>
              <w:ind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评标过程中，不得去掉报价中的最高报价和最低报价。</w:t>
            </w:r>
          </w:p>
          <w:p>
            <w:pPr>
              <w:widowControl/>
              <w:shd w:val="clear" w:color="auto" w:fill="FFFFFF"/>
              <w:adjustRightInd/>
              <w:spacing w:after="225" w:line="315" w:lineRule="atLeast"/>
              <w:ind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因落实政府采购政策需要进行价格调整的，以调整后的价格计算评标基准价和投标报价。</w:t>
            </w:r>
          </w:p>
        </w:tc>
        <w:tc>
          <w:tcPr>
            <w:tcW w:w="1143" w:type="dxa"/>
            <w:vAlign w:val="center"/>
          </w:tcPr>
          <w:p>
            <w:pPr>
              <w:spacing w:line="360" w:lineRule="auto"/>
              <w:ind w:firstLine="360" w:firstLineChars="150"/>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753" w:type="dxa"/>
            <w:vAlign w:val="center"/>
          </w:tcPr>
          <w:p>
            <w:pPr>
              <w:spacing w:line="36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w:t>
            </w:r>
          </w:p>
        </w:tc>
      </w:tr>
    </w:tbl>
    <w:p>
      <w:pPr>
        <w:snapToGrid w:val="0"/>
        <w:spacing w:line="360" w:lineRule="auto"/>
        <w:jc w:val="center"/>
        <w:rPr>
          <w:rFonts w:hint="eastAsia" w:ascii="仿宋" w:hAnsi="仿宋" w:eastAsia="仿宋" w:cs="仿宋"/>
          <w:b/>
          <w:color w:val="auto"/>
          <w:sz w:val="32"/>
          <w:szCs w:val="20"/>
        </w:rPr>
      </w:pPr>
    </w:p>
    <w:p>
      <w:pPr>
        <w:snapToGrid w:val="0"/>
        <w:spacing w:line="360" w:lineRule="auto"/>
        <w:jc w:val="center"/>
        <w:rPr>
          <w:rFonts w:hint="eastAsia" w:ascii="仿宋" w:hAnsi="仿宋" w:eastAsia="仿宋" w:cs="仿宋"/>
          <w:b/>
          <w:color w:val="auto"/>
          <w:sz w:val="32"/>
          <w:szCs w:val="20"/>
        </w:rPr>
      </w:pPr>
    </w:p>
    <w:p>
      <w:pPr>
        <w:snapToGrid w:val="0"/>
        <w:spacing w:line="360" w:lineRule="auto"/>
        <w:jc w:val="center"/>
        <w:rPr>
          <w:rFonts w:hint="eastAsia" w:ascii="仿宋" w:hAnsi="仿宋" w:eastAsia="仿宋" w:cs="仿宋"/>
          <w:b/>
          <w:color w:val="auto"/>
          <w:sz w:val="32"/>
          <w:szCs w:val="20"/>
          <w:lang w:eastAsia="zh-CN"/>
        </w:rPr>
      </w:pPr>
      <w:r>
        <w:rPr>
          <w:rFonts w:hint="eastAsia" w:ascii="仿宋" w:hAnsi="仿宋" w:eastAsia="仿宋" w:cs="仿宋"/>
          <w:b/>
          <w:color w:val="auto"/>
          <w:sz w:val="32"/>
          <w:szCs w:val="20"/>
        </w:rPr>
        <w:t>评标办法前附表</w:t>
      </w:r>
      <w:r>
        <w:rPr>
          <w:rFonts w:hint="eastAsia" w:ascii="仿宋" w:hAnsi="仿宋" w:eastAsia="仿宋" w:cs="仿宋"/>
          <w:b/>
          <w:color w:val="auto"/>
          <w:sz w:val="32"/>
          <w:szCs w:val="20"/>
          <w:lang w:eastAsia="zh-CN"/>
        </w:rPr>
        <w:t>（</w:t>
      </w:r>
      <w:r>
        <w:rPr>
          <w:rFonts w:hint="eastAsia" w:ascii="仿宋" w:hAnsi="仿宋" w:eastAsia="仿宋" w:cs="仿宋"/>
          <w:b/>
          <w:color w:val="auto"/>
          <w:sz w:val="32"/>
          <w:szCs w:val="20"/>
          <w:lang w:val="en-US" w:eastAsia="zh-CN"/>
        </w:rPr>
        <w:t>标项四</w:t>
      </w:r>
      <w:r>
        <w:rPr>
          <w:rFonts w:hint="eastAsia" w:ascii="仿宋" w:hAnsi="仿宋" w:eastAsia="仿宋" w:cs="仿宋"/>
          <w:b/>
          <w:color w:val="auto"/>
          <w:sz w:val="32"/>
          <w:szCs w:val="20"/>
          <w:lang w:eastAsia="zh-CN"/>
        </w:rPr>
        <w:t>）</w:t>
      </w:r>
    </w:p>
    <w:p>
      <w:pPr>
        <w:snapToGrid w:val="0"/>
        <w:spacing w:line="360" w:lineRule="auto"/>
        <w:rPr>
          <w:rFonts w:hint="eastAsia" w:ascii="仿宋" w:hAnsi="仿宋" w:eastAsia="仿宋" w:cs="仿宋"/>
          <w:color w:val="auto"/>
          <w:sz w:val="20"/>
          <w:szCs w:val="20"/>
          <w:shd w:val="clear" w:color="auto" w:fill="FFFFFF"/>
        </w:rPr>
      </w:pPr>
    </w:p>
    <w:tbl>
      <w:tblPr>
        <w:tblStyle w:val="63"/>
        <w:tblpPr w:leftFromText="180" w:rightFromText="180" w:vertAnchor="text" w:horzAnchor="page" w:tblpX="691" w:tblpY="126"/>
        <w:tblW w:w="10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442"/>
        <w:gridCol w:w="5688"/>
        <w:gridCol w:w="1143"/>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785" w:type="dxa"/>
            <w:vAlign w:val="center"/>
          </w:tcPr>
          <w:p>
            <w:pPr>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7130" w:type="dxa"/>
            <w:gridSpan w:val="2"/>
            <w:vAlign w:val="center"/>
          </w:tcPr>
          <w:p>
            <w:pPr>
              <w:spacing w:line="360" w:lineRule="auto"/>
              <w:ind w:firstLine="1560" w:firstLineChars="650"/>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评标标准</w:t>
            </w:r>
          </w:p>
        </w:tc>
        <w:tc>
          <w:tcPr>
            <w:tcW w:w="1143" w:type="dxa"/>
            <w:vAlign w:val="center"/>
          </w:tcPr>
          <w:p>
            <w:pPr>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权重</w:t>
            </w:r>
          </w:p>
        </w:tc>
        <w:tc>
          <w:tcPr>
            <w:tcW w:w="1753" w:type="dxa"/>
            <w:vAlign w:val="top"/>
          </w:tcPr>
          <w:p>
            <w:pPr>
              <w:spacing w:line="360" w:lineRule="auto"/>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投标文件中评标标准相应的商务技术资料目录</w:t>
            </w:r>
            <w:r>
              <w:rPr>
                <w:rFonts w:hint="eastAsia" w:ascii="仿宋" w:hAnsi="仿宋" w:eastAsia="仿宋" w:cs="仿宋"/>
                <w:color w:val="auto"/>
                <w:sz w:val="24"/>
                <w:szCs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785" w:type="dxa"/>
            <w:vAlign w:val="center"/>
          </w:tcPr>
          <w:p>
            <w:pPr>
              <w:spacing w:line="360" w:lineRule="auto"/>
              <w:ind w:firstLine="240" w:firstLineChars="1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42" w:type="dxa"/>
            <w:vAlign w:val="center"/>
          </w:tcPr>
          <w:p>
            <w:pPr>
              <w:spacing w:line="360" w:lineRule="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针对本项目的保安服务理念、定位、目标</w:t>
            </w:r>
          </w:p>
        </w:tc>
        <w:tc>
          <w:tcPr>
            <w:tcW w:w="5688"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①根据本项目的特点提出合理的理念、管理模式能够切合实际作出服务定位（0-5分）。</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②遵循安全可行，保密性、安全性、文明服务作出服务目标（0-5分）。</w:t>
            </w:r>
          </w:p>
        </w:tc>
        <w:tc>
          <w:tcPr>
            <w:tcW w:w="1143" w:type="dxa"/>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753" w:type="dxa"/>
            <w:vAlign w:val="center"/>
          </w:tcPr>
          <w:p>
            <w:pPr>
              <w:spacing w:line="360" w:lineRule="auto"/>
              <w:jc w:val="center"/>
              <w:outlineLvl w:val="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85" w:type="dxa"/>
            <w:vAlign w:val="center"/>
          </w:tcPr>
          <w:p>
            <w:pPr>
              <w:spacing w:line="360" w:lineRule="auto"/>
              <w:ind w:firstLine="240" w:firstLineChars="1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442" w:type="dxa"/>
            <w:vAlign w:val="center"/>
          </w:tcPr>
          <w:p>
            <w:pPr>
              <w:spacing w:line="360" w:lineRule="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针对本项目的组织架构、管理机制及质量标准措施</w:t>
            </w:r>
          </w:p>
        </w:tc>
        <w:tc>
          <w:tcPr>
            <w:tcW w:w="5688" w:type="dxa"/>
            <w:vAlign w:val="center"/>
          </w:tcPr>
          <w:p>
            <w:pPr>
              <w:spacing w:line="360" w:lineRule="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①具有较完善的组织架构，管理流程（0-</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p>
            <w:pPr>
              <w:spacing w:line="360" w:lineRule="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②对运作流程图、激励机制、监督机制、自我约束机制、信息反馈渠道及处理机制情况（0-</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p>
            <w:pPr>
              <w:spacing w:line="360" w:lineRule="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③根据采购人提出的保安服务质量标准提出相应的措施（0-</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tc>
        <w:tc>
          <w:tcPr>
            <w:tcW w:w="1143" w:type="dxa"/>
            <w:vAlign w:val="center"/>
          </w:tcPr>
          <w:p>
            <w:pPr>
              <w:jc w:val="center"/>
              <w:rPr>
                <w:rFonts w:hint="eastAsia" w:ascii="仿宋" w:hAnsi="仿宋" w:eastAsia="仿宋" w:cs="仿宋"/>
                <w:color w:val="auto"/>
                <w:sz w:val="24"/>
                <w:szCs w:val="24"/>
              </w:rPr>
            </w:pPr>
          </w:p>
          <w:p>
            <w:pPr>
              <w:spacing w:line="360" w:lineRule="auto"/>
              <w:jc w:val="center"/>
              <w:outlineLvl w:val="0"/>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11</w:t>
            </w:r>
          </w:p>
        </w:tc>
        <w:tc>
          <w:tcPr>
            <w:tcW w:w="1753" w:type="dxa"/>
            <w:vAlign w:val="top"/>
          </w:tcPr>
          <w:p>
            <w:pPr>
              <w:spacing w:line="360" w:lineRule="auto"/>
              <w:outlineLvl w:val="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85" w:type="dxa"/>
            <w:vAlign w:val="center"/>
          </w:tcPr>
          <w:p>
            <w:pPr>
              <w:spacing w:line="360" w:lineRule="auto"/>
              <w:ind w:firstLine="240" w:firstLineChars="1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442"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针对本项目的各项管理制度</w:t>
            </w:r>
          </w:p>
        </w:tc>
        <w:tc>
          <w:tcPr>
            <w:tcW w:w="5688"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①能清晰的列出安全制度（0-</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②岗位管理制度（0-</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③各岗位职责、考核制度（0-2分）。</w:t>
            </w:r>
          </w:p>
        </w:tc>
        <w:tc>
          <w:tcPr>
            <w:tcW w:w="1143" w:type="dxa"/>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1753" w:type="dxa"/>
            <w:vAlign w:val="top"/>
          </w:tcPr>
          <w:p>
            <w:pPr>
              <w:spacing w:line="360" w:lineRule="auto"/>
              <w:outlineLvl w:val="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85" w:type="dxa"/>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1442"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保安管理与服务方案</w:t>
            </w:r>
          </w:p>
        </w:tc>
        <w:tc>
          <w:tcPr>
            <w:tcW w:w="5688"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保安管理与服务方案完整且可操作性进行打分0-5分</w:t>
            </w:r>
          </w:p>
        </w:tc>
        <w:tc>
          <w:tcPr>
            <w:tcW w:w="1143" w:type="dxa"/>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w:t>
            </w:r>
          </w:p>
        </w:tc>
        <w:tc>
          <w:tcPr>
            <w:tcW w:w="1753" w:type="dxa"/>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785" w:type="dxa"/>
            <w:vMerge w:val="restart"/>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442" w:type="dxa"/>
            <w:vMerge w:val="restart"/>
            <w:vAlign w:val="center"/>
          </w:tcPr>
          <w:p>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项目人员配</w:t>
            </w:r>
          </w:p>
          <w:p>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置</w:t>
            </w:r>
          </w:p>
        </w:tc>
        <w:tc>
          <w:tcPr>
            <w:tcW w:w="5688" w:type="dxa"/>
            <w:vAlign w:val="center"/>
          </w:tcPr>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①根据本项目实际情况进行机构设置（0-4分）</w:t>
            </w:r>
          </w:p>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（提供配置人员不少于20人，否则不得分。）</w:t>
            </w:r>
          </w:p>
        </w:tc>
        <w:tc>
          <w:tcPr>
            <w:tcW w:w="1143" w:type="dxa"/>
            <w:vAlign w:val="center"/>
          </w:tcPr>
          <w:p>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753" w:type="dxa"/>
            <w:vAlign w:val="top"/>
          </w:tcPr>
          <w:p>
            <w:pPr>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trPr>
        <w:tc>
          <w:tcPr>
            <w:tcW w:w="785" w:type="dxa"/>
            <w:vMerge w:val="continue"/>
            <w:vAlign w:val="center"/>
          </w:tcPr>
          <w:p>
            <w:pPr>
              <w:spacing w:line="360" w:lineRule="auto"/>
              <w:jc w:val="left"/>
              <w:rPr>
                <w:rFonts w:hint="eastAsia" w:ascii="仿宋" w:hAnsi="仿宋" w:eastAsia="仿宋" w:cs="仿宋"/>
                <w:color w:val="auto"/>
              </w:rPr>
            </w:pPr>
          </w:p>
        </w:tc>
        <w:tc>
          <w:tcPr>
            <w:tcW w:w="1442" w:type="dxa"/>
            <w:vMerge w:val="continue"/>
            <w:vAlign w:val="center"/>
          </w:tcPr>
          <w:p>
            <w:pPr>
              <w:spacing w:line="360" w:lineRule="auto"/>
              <w:jc w:val="left"/>
              <w:rPr>
                <w:rFonts w:hint="eastAsia" w:ascii="仿宋" w:hAnsi="仿宋" w:eastAsia="仿宋" w:cs="仿宋"/>
                <w:color w:val="auto"/>
              </w:rPr>
            </w:pPr>
          </w:p>
        </w:tc>
        <w:tc>
          <w:tcPr>
            <w:tcW w:w="5688" w:type="dxa"/>
            <w:vAlign w:val="center"/>
          </w:tcPr>
          <w:p>
            <w:pPr>
              <w:spacing w:line="240" w:lineRule="auto"/>
              <w:rPr>
                <w:rFonts w:hint="eastAsia" w:ascii="仿宋" w:hAnsi="仿宋" w:eastAsia="仿宋" w:cs="仿宋"/>
                <w:color w:val="auto"/>
                <w:sz w:val="24"/>
              </w:rPr>
            </w:pPr>
            <w:r>
              <w:rPr>
                <w:rFonts w:hint="eastAsia" w:ascii="仿宋" w:hAnsi="仿宋" w:eastAsia="仿宋" w:cs="仿宋"/>
                <w:color w:val="auto"/>
                <w:sz w:val="24"/>
              </w:rPr>
              <w:t>项目</w:t>
            </w:r>
            <w:r>
              <w:rPr>
                <w:rFonts w:hint="eastAsia" w:ascii="仿宋" w:hAnsi="仿宋" w:eastAsia="仿宋" w:cs="仿宋"/>
                <w:color w:val="auto"/>
                <w:sz w:val="24"/>
                <w:lang w:val="en-US" w:eastAsia="zh-CN"/>
              </w:rPr>
              <w:t>负责人</w:t>
            </w:r>
            <w:r>
              <w:rPr>
                <w:rFonts w:hint="eastAsia" w:ascii="仿宋" w:hAnsi="仿宋" w:eastAsia="仿宋" w:cs="仿宋"/>
                <w:color w:val="auto"/>
                <w:sz w:val="24"/>
              </w:rPr>
              <w:t>：</w:t>
            </w:r>
          </w:p>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rPr>
              <w:t>①</w:t>
            </w:r>
            <w:r>
              <w:rPr>
                <w:rFonts w:hint="eastAsia" w:ascii="仿宋" w:hAnsi="仿宋" w:eastAsia="仿宋" w:cs="仿宋"/>
                <w:color w:val="auto"/>
                <w:sz w:val="24"/>
                <w:szCs w:val="24"/>
                <w:lang w:val="en-US" w:eastAsia="zh-CN"/>
              </w:rPr>
              <w:t>同时具有物业经理证书和保安师证</w:t>
            </w:r>
            <w:r>
              <w:rPr>
                <w:rFonts w:hint="eastAsia" w:ascii="仿宋" w:hAnsi="仿宋" w:eastAsia="仿宋" w:cs="仿宋"/>
                <w:color w:val="auto"/>
                <w:sz w:val="24"/>
              </w:rPr>
              <w:t>（</w:t>
            </w:r>
            <w:r>
              <w:rPr>
                <w:rFonts w:hint="eastAsia" w:ascii="仿宋" w:hAnsi="仿宋" w:eastAsia="仿宋" w:cs="仿宋"/>
                <w:color w:val="auto"/>
                <w:sz w:val="24"/>
                <w:lang w:eastAsia="zh-CN"/>
              </w:rPr>
              <w:t>二</w:t>
            </w:r>
            <w:r>
              <w:rPr>
                <w:rFonts w:hint="eastAsia" w:ascii="仿宋" w:hAnsi="仿宋" w:eastAsia="仿宋" w:cs="仿宋"/>
                <w:color w:val="auto"/>
                <w:sz w:val="24"/>
              </w:rPr>
              <w:t>级保安员）</w:t>
            </w:r>
            <w:r>
              <w:rPr>
                <w:rFonts w:hint="eastAsia" w:ascii="仿宋" w:hAnsi="仿宋" w:eastAsia="仿宋" w:cs="仿宋"/>
                <w:color w:val="auto"/>
                <w:sz w:val="24"/>
                <w:szCs w:val="24"/>
                <w:lang w:val="en-US" w:eastAsia="zh-CN"/>
              </w:rPr>
              <w:t>的每个得6分（0-6分）</w:t>
            </w:r>
          </w:p>
          <w:p>
            <w:pPr>
              <w:pStyle w:val="2"/>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②具有公安机关颁发的</w:t>
            </w:r>
            <w:r>
              <w:rPr>
                <w:rFonts w:hint="eastAsia" w:ascii="仿宋" w:eastAsia="仿宋" w:cs="仿宋"/>
                <w:b w:val="0"/>
                <w:bCs w:val="0"/>
                <w:color w:val="auto"/>
                <w:kern w:val="2"/>
                <w:sz w:val="24"/>
                <w:szCs w:val="24"/>
                <w:lang w:val="en-US" w:eastAsia="zh-CN" w:bidi="ar-SA"/>
              </w:rPr>
              <w:t>区</w:t>
            </w:r>
            <w:r>
              <w:rPr>
                <w:rFonts w:hint="eastAsia" w:ascii="仿宋" w:hAnsi="仿宋" w:eastAsia="仿宋" w:cs="仿宋"/>
                <w:b w:val="0"/>
                <w:bCs w:val="0"/>
                <w:color w:val="auto"/>
                <w:kern w:val="2"/>
                <w:sz w:val="24"/>
                <w:szCs w:val="24"/>
                <w:lang w:val="en-US" w:eastAsia="zh-CN" w:bidi="ar-SA"/>
              </w:rPr>
              <w:t>级及以上荣誉证书得</w:t>
            </w:r>
            <w:r>
              <w:rPr>
                <w:rFonts w:hint="eastAsia" w:ascii="仿宋" w:eastAsia="仿宋" w:cs="仿宋"/>
                <w:b w:val="0"/>
                <w:bCs w:val="0"/>
                <w:color w:val="auto"/>
                <w:kern w:val="2"/>
                <w:sz w:val="24"/>
                <w:szCs w:val="24"/>
                <w:lang w:val="en-US" w:eastAsia="zh-CN" w:bidi="ar-SA"/>
              </w:rPr>
              <w:t>2</w:t>
            </w:r>
            <w:r>
              <w:rPr>
                <w:rFonts w:hint="eastAsia" w:ascii="仿宋" w:hAnsi="仿宋" w:eastAsia="仿宋" w:cs="仿宋"/>
                <w:b w:val="0"/>
                <w:bCs w:val="0"/>
                <w:color w:val="auto"/>
                <w:kern w:val="2"/>
                <w:sz w:val="24"/>
                <w:szCs w:val="24"/>
                <w:lang w:val="en-US" w:eastAsia="zh-CN" w:bidi="ar-SA"/>
              </w:rPr>
              <w:t>分</w:t>
            </w:r>
          </w:p>
          <w:p>
            <w:pPr>
              <w:pStyle w:val="2"/>
              <w:ind w:left="0" w:leftChars="0" w:firstLine="0" w:firstLineChars="0"/>
              <w:rPr>
                <w:rFonts w:hint="eastAsia" w:ascii="仿宋" w:hAnsi="仿宋" w:eastAsia="仿宋" w:cs="仿宋"/>
                <w:b w:val="0"/>
                <w:bCs w:val="0"/>
                <w:color w:val="auto"/>
                <w:kern w:val="2"/>
                <w:sz w:val="24"/>
                <w:szCs w:val="24"/>
                <w:lang w:val="en-US" w:eastAsia="zh-CN" w:bidi="ar-SA"/>
              </w:rPr>
            </w:pPr>
            <w:r>
              <w:rPr>
                <w:rFonts w:hint="eastAsia" w:ascii="仿宋" w:eastAsia="仿宋" w:cs="仿宋"/>
                <w:b w:val="0"/>
                <w:bCs w:val="0"/>
                <w:color w:val="auto"/>
                <w:kern w:val="2"/>
                <w:sz w:val="24"/>
                <w:szCs w:val="24"/>
                <w:lang w:val="en-US" w:eastAsia="zh-CN" w:bidi="ar-SA"/>
              </w:rPr>
              <w:t>（0-2分）</w:t>
            </w:r>
            <w:r>
              <w:rPr>
                <w:rFonts w:hint="eastAsia" w:ascii="仿宋" w:hAnsi="仿宋" w:eastAsia="仿宋" w:cs="仿宋"/>
                <w:b w:val="0"/>
                <w:bCs w:val="0"/>
                <w:color w:val="auto"/>
                <w:kern w:val="2"/>
                <w:sz w:val="24"/>
                <w:szCs w:val="24"/>
                <w:lang w:val="en-US" w:eastAsia="zh-CN" w:bidi="ar-SA"/>
              </w:rPr>
              <w:t>。</w:t>
            </w:r>
          </w:p>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highlight w:val="none"/>
              </w:rPr>
              <w:t>在投标文件中提供个人社保费用缴纳证明、相关证明资料的复印件或扫描打印件，否则不得分）</w:t>
            </w:r>
          </w:p>
        </w:tc>
        <w:tc>
          <w:tcPr>
            <w:tcW w:w="1143" w:type="dxa"/>
            <w:vAlign w:val="center"/>
          </w:tcPr>
          <w:p>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1753" w:type="dxa"/>
            <w:vAlign w:val="top"/>
          </w:tcPr>
          <w:p>
            <w:pPr>
              <w:spacing w:line="360" w:lineRule="auto"/>
              <w:jc w:val="left"/>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785" w:type="dxa"/>
            <w:vMerge w:val="continue"/>
            <w:vAlign w:val="center"/>
          </w:tcPr>
          <w:p>
            <w:pPr>
              <w:spacing w:line="360" w:lineRule="auto"/>
              <w:jc w:val="left"/>
              <w:rPr>
                <w:rFonts w:hint="eastAsia" w:ascii="仿宋" w:hAnsi="仿宋" w:eastAsia="仿宋" w:cs="仿宋"/>
                <w:color w:val="auto"/>
                <w:sz w:val="24"/>
                <w:szCs w:val="24"/>
                <w:lang w:val="en-US" w:eastAsia="zh-CN"/>
              </w:rPr>
            </w:pPr>
          </w:p>
        </w:tc>
        <w:tc>
          <w:tcPr>
            <w:tcW w:w="1442" w:type="dxa"/>
            <w:vMerge w:val="continue"/>
            <w:vAlign w:val="center"/>
          </w:tcPr>
          <w:p>
            <w:pPr>
              <w:spacing w:line="360" w:lineRule="auto"/>
              <w:jc w:val="left"/>
              <w:rPr>
                <w:rFonts w:hint="eastAsia" w:ascii="仿宋" w:hAnsi="仿宋" w:eastAsia="仿宋" w:cs="仿宋"/>
                <w:color w:val="auto"/>
                <w:sz w:val="24"/>
                <w:szCs w:val="24"/>
                <w:lang w:val="en-US" w:eastAsia="zh-CN"/>
              </w:rPr>
            </w:pPr>
          </w:p>
        </w:tc>
        <w:tc>
          <w:tcPr>
            <w:tcW w:w="5688" w:type="dxa"/>
            <w:vAlign w:val="center"/>
          </w:tcPr>
          <w:p>
            <w:pPr>
              <w:pStyle w:val="962"/>
              <w:adjustRightInd w:val="0"/>
              <w:snapToGrid w:val="0"/>
              <w:spacing w:line="228" w:lineRule="auto"/>
              <w:ind w:left="-105" w:leftChars="-50" w:right="-105" w:right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保安主管：</w:t>
            </w:r>
          </w:p>
          <w:p>
            <w:pPr>
              <w:pStyle w:val="962"/>
              <w:adjustRightInd w:val="0"/>
              <w:snapToGrid w:val="0"/>
              <w:spacing w:line="228" w:lineRule="auto"/>
              <w:ind w:left="-105" w:leftChars="-50" w:right="-105" w:right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①具有大专及以上学历并持有</w:t>
            </w:r>
            <w:r>
              <w:rPr>
                <w:rFonts w:hint="eastAsia" w:ascii="仿宋" w:hAnsi="仿宋" w:eastAsia="仿宋" w:cs="仿宋"/>
                <w:color w:val="auto"/>
                <w:sz w:val="24"/>
                <w:szCs w:val="24"/>
                <w:highlight w:val="none"/>
                <w:lang w:eastAsia="zh-CN"/>
              </w:rPr>
              <w:t>物业项目经理证的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分，本条满分</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pPr>
              <w:pStyle w:val="962"/>
              <w:adjustRightInd w:val="0"/>
              <w:snapToGrid w:val="0"/>
              <w:spacing w:line="228" w:lineRule="auto"/>
              <w:ind w:left="-105" w:leftChars="-50" w:right="-105" w:right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②具有</w:t>
            </w:r>
            <w:r>
              <w:rPr>
                <w:rFonts w:hint="eastAsia" w:ascii="仿宋" w:hAnsi="仿宋" w:eastAsia="仿宋" w:cs="仿宋"/>
                <w:color w:val="auto"/>
                <w:sz w:val="24"/>
                <w:szCs w:val="24"/>
                <w:highlight w:val="none"/>
                <w:lang w:eastAsia="zh-CN"/>
              </w:rPr>
              <w:t>高级保安员</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级保安员）证书的得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分，本条满分</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pPr>
              <w:pStyle w:val="962"/>
              <w:adjustRightInd w:val="0"/>
              <w:snapToGrid w:val="0"/>
              <w:spacing w:line="228" w:lineRule="auto"/>
              <w:ind w:left="-105" w:leftChars="-50" w:right="-105" w:rightChar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rPr>
              <w:t>（在投标文件中提供个人社保费用缴纳证明、相关证明资料的复印件或扫描打印件，否则不得分）</w:t>
            </w:r>
          </w:p>
        </w:tc>
        <w:tc>
          <w:tcPr>
            <w:tcW w:w="1143" w:type="dxa"/>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753" w:type="dxa"/>
            <w:vAlign w:val="top"/>
          </w:tcPr>
          <w:p>
            <w:pPr>
              <w:spacing w:line="360" w:lineRule="auto"/>
              <w:jc w:val="left"/>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85" w:type="dxa"/>
            <w:vMerge w:val="continue"/>
            <w:vAlign w:val="center"/>
          </w:tcPr>
          <w:p>
            <w:pPr>
              <w:spacing w:line="360" w:lineRule="auto"/>
              <w:jc w:val="left"/>
              <w:rPr>
                <w:rFonts w:hint="eastAsia" w:ascii="仿宋" w:hAnsi="仿宋" w:eastAsia="仿宋" w:cs="仿宋"/>
                <w:color w:val="auto"/>
              </w:rPr>
            </w:pPr>
          </w:p>
        </w:tc>
        <w:tc>
          <w:tcPr>
            <w:tcW w:w="1442" w:type="dxa"/>
            <w:vMerge w:val="continue"/>
            <w:vAlign w:val="center"/>
          </w:tcPr>
          <w:p>
            <w:pPr>
              <w:spacing w:line="360" w:lineRule="auto"/>
              <w:jc w:val="left"/>
              <w:rPr>
                <w:rFonts w:hint="eastAsia" w:ascii="仿宋" w:hAnsi="仿宋" w:eastAsia="仿宋" w:cs="仿宋"/>
                <w:color w:val="auto"/>
              </w:rPr>
            </w:pPr>
          </w:p>
        </w:tc>
        <w:tc>
          <w:tcPr>
            <w:tcW w:w="5688" w:type="dxa"/>
            <w:vAlign w:val="center"/>
          </w:tcPr>
          <w:p>
            <w:pPr>
              <w:pStyle w:val="962"/>
              <w:adjustRightInd w:val="0"/>
              <w:snapToGrid w:val="0"/>
              <w:spacing w:line="228" w:lineRule="auto"/>
              <w:ind w:left="-105" w:leftChars="-50" w:right="-105" w:right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保安</w:t>
            </w:r>
            <w:r>
              <w:rPr>
                <w:rFonts w:hint="eastAsia" w:ascii="仿宋" w:hAnsi="仿宋" w:eastAsia="仿宋" w:cs="仿宋"/>
                <w:color w:val="auto"/>
                <w:sz w:val="24"/>
                <w:szCs w:val="24"/>
                <w:highlight w:val="none"/>
                <w:lang w:eastAsia="zh-CN"/>
              </w:rPr>
              <w:t>班长</w:t>
            </w:r>
            <w:r>
              <w:rPr>
                <w:rFonts w:hint="eastAsia" w:ascii="仿宋" w:hAnsi="仿宋" w:eastAsia="仿宋" w:cs="仿宋"/>
                <w:color w:val="auto"/>
                <w:sz w:val="24"/>
                <w:szCs w:val="24"/>
                <w:highlight w:val="none"/>
              </w:rPr>
              <w:t>：</w:t>
            </w:r>
          </w:p>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rPr>
              <w:t>具有</w:t>
            </w:r>
            <w:r>
              <w:rPr>
                <w:rFonts w:hint="eastAsia" w:ascii="仿宋" w:hAnsi="仿宋" w:eastAsia="仿宋" w:cs="仿宋"/>
                <w:color w:val="auto"/>
                <w:sz w:val="24"/>
                <w:szCs w:val="24"/>
                <w:highlight w:val="none"/>
                <w:lang w:eastAsia="zh-CN"/>
              </w:rPr>
              <w:t>高级保安员</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级保安员）</w:t>
            </w:r>
            <w:r>
              <w:rPr>
                <w:rFonts w:hint="eastAsia" w:ascii="仿宋" w:hAnsi="仿宋" w:eastAsia="仿宋" w:cs="仿宋"/>
                <w:color w:val="auto"/>
                <w:sz w:val="24"/>
                <w:szCs w:val="24"/>
                <w:highlight w:val="none"/>
                <w:lang w:eastAsia="zh-CN"/>
              </w:rPr>
              <w:t>证书</w:t>
            </w:r>
            <w:r>
              <w:rPr>
                <w:rFonts w:hint="eastAsia" w:ascii="仿宋" w:hAnsi="仿宋" w:eastAsia="仿宋" w:cs="仿宋"/>
                <w:color w:val="auto"/>
                <w:sz w:val="24"/>
                <w:szCs w:val="24"/>
              </w:rPr>
              <w:t>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分，本条满分</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p>
            <w:pPr>
              <w:pStyle w:val="962"/>
              <w:adjustRightInd w:val="0"/>
              <w:snapToGrid w:val="0"/>
              <w:spacing w:line="228" w:lineRule="auto"/>
              <w:ind w:left="-105" w:leftChars="-50" w:right="-105" w:rightChar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须提供拟派人员在投标截止之日止3个月及以上个人社保缴纳证明、相关证明的扫描件，否则不得分</w:t>
            </w:r>
            <w:r>
              <w:rPr>
                <w:rFonts w:hint="eastAsia" w:ascii="仿宋" w:hAnsi="仿宋" w:eastAsia="仿宋" w:cs="仿宋"/>
                <w:b/>
                <w:bCs/>
                <w:color w:val="auto"/>
                <w:sz w:val="24"/>
                <w:szCs w:val="24"/>
                <w:highlight w:val="none"/>
                <w:lang w:val="en-US" w:eastAsia="zh-CN"/>
              </w:rPr>
              <w:t>)</w:t>
            </w:r>
          </w:p>
        </w:tc>
        <w:tc>
          <w:tcPr>
            <w:tcW w:w="1143" w:type="dxa"/>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753" w:type="dxa"/>
            <w:vAlign w:val="top"/>
          </w:tcPr>
          <w:p>
            <w:pPr>
              <w:spacing w:line="360" w:lineRule="auto"/>
              <w:jc w:val="left"/>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442" w:type="dxa"/>
            <w:vAlign w:val="center"/>
          </w:tcPr>
          <w:p>
            <w:pPr>
              <w:pStyle w:val="962"/>
              <w:adjustRightInd w:val="0"/>
              <w:snapToGrid w:val="0"/>
              <w:spacing w:line="228" w:lineRule="auto"/>
              <w:ind w:left="-105" w:leftChars="-50" w:right="-105" w:rightChars="-50"/>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rPr>
              <w:t>突发事件的应急措施、应急响应能力</w:t>
            </w:r>
          </w:p>
        </w:tc>
        <w:tc>
          <w:tcPr>
            <w:tcW w:w="5688" w:type="dxa"/>
            <w:vAlign w:val="center"/>
          </w:tcPr>
          <w:p>
            <w:pPr>
              <w:pStyle w:val="962"/>
              <w:adjustRightInd w:val="0"/>
              <w:snapToGrid w:val="0"/>
              <w:spacing w:line="228" w:lineRule="auto"/>
              <w:ind w:left="-105" w:leftChars="-50" w:right="-105" w:right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①提供处理突发事件的应急预案，合理可行</w:t>
            </w:r>
            <w:r>
              <w:rPr>
                <w:rFonts w:hint="eastAsia" w:ascii="仿宋" w:hAnsi="仿宋" w:eastAsia="仿宋" w:cs="仿宋"/>
                <w:color w:val="auto"/>
                <w:sz w:val="24"/>
                <w:szCs w:val="24"/>
                <w:highlight w:val="none"/>
                <w:lang w:val="en-US" w:eastAsia="zh-CN"/>
              </w:rPr>
              <w:t>0-3分</w:t>
            </w:r>
            <w:r>
              <w:rPr>
                <w:rFonts w:hint="eastAsia" w:ascii="仿宋" w:hAnsi="仿宋" w:eastAsia="仿宋" w:cs="仿宋"/>
                <w:color w:val="auto"/>
                <w:sz w:val="24"/>
                <w:szCs w:val="24"/>
                <w:highlight w:val="none"/>
              </w:rPr>
              <w:t>。</w:t>
            </w:r>
          </w:p>
          <w:p>
            <w:pPr>
              <w:pStyle w:val="962"/>
              <w:adjustRightInd w:val="0"/>
              <w:snapToGrid w:val="0"/>
              <w:spacing w:line="228" w:lineRule="auto"/>
              <w:ind w:left="-105" w:leftChars="-50" w:right="-105" w:rightChars="-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②具有专业的区域报警响应能力，</w:t>
            </w:r>
            <w:r>
              <w:rPr>
                <w:rFonts w:hint="eastAsia" w:ascii="仿宋" w:hAnsi="仿宋" w:eastAsia="仿宋" w:cs="仿宋"/>
                <w:color w:val="auto"/>
                <w:sz w:val="24"/>
                <w:szCs w:val="24"/>
                <w:highlight w:val="none"/>
                <w:lang w:val="en-US" w:eastAsia="zh-CN"/>
              </w:rPr>
              <w:t>对服务网点进行打分</w:t>
            </w:r>
            <w:r>
              <w:rPr>
                <w:rFonts w:hint="eastAsia" w:ascii="仿宋" w:hAnsi="仿宋" w:eastAsia="仿宋" w:cs="仿宋"/>
                <w:color w:val="auto"/>
                <w:sz w:val="24"/>
                <w:szCs w:val="24"/>
                <w:highlight w:val="none"/>
                <w:lang w:eastAsia="zh-CN"/>
              </w:rPr>
              <w:t>。</w:t>
            </w:r>
          </w:p>
          <w:p>
            <w:pPr>
              <w:adjustRightInd w:val="0"/>
              <w:snapToGrid w:val="0"/>
              <w:spacing w:line="228" w:lineRule="auto"/>
              <w:ind w:right="-105" w:rightChars="-5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须提供租房证明或房产证复印件并加盖公章。</w:t>
            </w:r>
          </w:p>
        </w:tc>
        <w:tc>
          <w:tcPr>
            <w:tcW w:w="1143" w:type="dxa"/>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753" w:type="dxa"/>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442" w:type="dxa"/>
            <w:vAlign w:val="center"/>
          </w:tcPr>
          <w:p>
            <w:pPr>
              <w:pStyle w:val="962"/>
              <w:adjustRightInd w:val="0"/>
              <w:snapToGrid w:val="0"/>
              <w:spacing w:line="228" w:lineRule="auto"/>
              <w:ind w:left="-105" w:leftChars="-50" w:right="-105" w:rightChars="-50"/>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rPr>
              <w:t>服务承诺和特殊服务情况</w:t>
            </w:r>
          </w:p>
        </w:tc>
        <w:tc>
          <w:tcPr>
            <w:tcW w:w="5688" w:type="dxa"/>
            <w:vAlign w:val="center"/>
          </w:tcPr>
          <w:p>
            <w:pPr>
              <w:pStyle w:val="962"/>
              <w:adjustRightInd w:val="0"/>
              <w:snapToGrid w:val="0"/>
              <w:spacing w:line="228" w:lineRule="auto"/>
              <w:ind w:left="-105" w:leftChars="-50" w:right="-105" w:right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①给出服务和承诺，程度如何；对后续服务等方面的服务承诺，</w:t>
            </w: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分。</w:t>
            </w:r>
          </w:p>
          <w:p>
            <w:pPr>
              <w:pStyle w:val="962"/>
              <w:adjustRightInd w:val="0"/>
              <w:snapToGrid w:val="0"/>
              <w:spacing w:line="228" w:lineRule="auto"/>
              <w:ind w:left="-105" w:leftChars="-50" w:right="-105" w:rightChars="-5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rPr>
              <w:t>②特色服务</w:t>
            </w: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分。</w:t>
            </w:r>
          </w:p>
        </w:tc>
        <w:tc>
          <w:tcPr>
            <w:tcW w:w="1143" w:type="dxa"/>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753" w:type="dxa"/>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85" w:type="dxa"/>
            <w:vMerge w:val="restart"/>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1442" w:type="dxa"/>
            <w:vMerge w:val="restart"/>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企业综合实力</w:t>
            </w:r>
          </w:p>
        </w:tc>
        <w:tc>
          <w:tcPr>
            <w:tcW w:w="5688" w:type="dxa"/>
            <w:vAlign w:val="center"/>
          </w:tcPr>
          <w:p>
            <w:pPr>
              <w:adjustRightInd w:val="0"/>
              <w:snapToGrid w:val="0"/>
              <w:spacing w:line="228" w:lineRule="auto"/>
              <w:ind w:left="-105" w:leftChars="-50" w:right="-105" w:rightChar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投标人自201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年1月1日以来单独实施的类似项目，每提供一个得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分，最多得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b/>
                <w:bCs/>
                <w:color w:val="auto"/>
                <w:sz w:val="24"/>
                <w:szCs w:val="24"/>
                <w:highlight w:val="none"/>
              </w:rPr>
              <w:t>（在投标文件中提供</w:t>
            </w:r>
            <w:r>
              <w:rPr>
                <w:rFonts w:hint="eastAsia" w:ascii="仿宋" w:hAnsi="仿宋" w:eastAsia="仿宋" w:cs="仿宋"/>
                <w:b/>
                <w:bCs/>
                <w:color w:val="auto"/>
                <w:sz w:val="24"/>
                <w:szCs w:val="24"/>
                <w:highlight w:val="none"/>
                <w:lang w:eastAsia="zh-CN"/>
              </w:rPr>
              <w:t>合同、中标通知书</w:t>
            </w:r>
            <w:r>
              <w:rPr>
                <w:rFonts w:hint="eastAsia" w:ascii="仿宋" w:hAnsi="仿宋" w:eastAsia="仿宋" w:cs="仿宋"/>
                <w:b/>
                <w:bCs/>
                <w:color w:val="auto"/>
                <w:sz w:val="24"/>
                <w:szCs w:val="24"/>
                <w:highlight w:val="none"/>
              </w:rPr>
              <w:t>的复印件或扫描打印件，否则不得分）</w:t>
            </w:r>
          </w:p>
        </w:tc>
        <w:tc>
          <w:tcPr>
            <w:tcW w:w="1143" w:type="dxa"/>
            <w:vAlign w:val="center"/>
          </w:tcPr>
          <w:p>
            <w:pPr>
              <w:adjustRightInd w:val="0"/>
              <w:snapToGrid w:val="0"/>
              <w:spacing w:line="228" w:lineRule="auto"/>
              <w:ind w:left="-105" w:leftChars="-50" w:right="-105" w:rightChars="-5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1753" w:type="dxa"/>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85" w:type="dxa"/>
            <w:vMerge w:val="continue"/>
            <w:vAlign w:val="center"/>
          </w:tcPr>
          <w:p>
            <w:pPr>
              <w:spacing w:line="360" w:lineRule="auto"/>
              <w:jc w:val="left"/>
              <w:rPr>
                <w:rFonts w:hint="eastAsia" w:ascii="仿宋" w:hAnsi="仿宋" w:eastAsia="仿宋" w:cs="仿宋"/>
                <w:color w:val="auto"/>
              </w:rPr>
            </w:pPr>
          </w:p>
        </w:tc>
        <w:tc>
          <w:tcPr>
            <w:tcW w:w="1442" w:type="dxa"/>
            <w:vMerge w:val="continue"/>
            <w:vAlign w:val="center"/>
          </w:tcPr>
          <w:p>
            <w:pPr>
              <w:spacing w:line="360" w:lineRule="auto"/>
              <w:jc w:val="left"/>
              <w:rPr>
                <w:rFonts w:hint="eastAsia" w:ascii="仿宋" w:hAnsi="仿宋" w:eastAsia="仿宋" w:cs="仿宋"/>
                <w:color w:val="auto"/>
              </w:rPr>
            </w:pPr>
          </w:p>
        </w:tc>
        <w:tc>
          <w:tcPr>
            <w:tcW w:w="5688" w:type="dxa"/>
            <w:vAlign w:val="center"/>
          </w:tcPr>
          <w:p>
            <w:pPr>
              <w:pStyle w:val="962"/>
              <w:adjustRightInd w:val="0"/>
              <w:snapToGrid w:val="0"/>
              <w:spacing w:line="228" w:lineRule="auto"/>
              <w:ind w:left="-105" w:leftChars="-50" w:right="-105" w:rightChar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投标人具有通过质量管理体系认证证书、环境管理体系认证证书、职业健康安全管理体系认证证书且在有效期内的有1个得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分，本项最多得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w:t>
            </w:r>
            <w:r>
              <w:rPr>
                <w:rFonts w:hint="eastAsia" w:ascii="仿宋" w:hAnsi="仿宋" w:eastAsia="仿宋" w:cs="仿宋"/>
                <w:b/>
                <w:bCs/>
                <w:color w:val="auto"/>
                <w:sz w:val="24"/>
                <w:szCs w:val="24"/>
                <w:highlight w:val="none"/>
              </w:rPr>
              <w:t>（在投标文件中提供认证证书的复印件或扫描打印件，否则不得分）</w:t>
            </w:r>
          </w:p>
        </w:tc>
        <w:tc>
          <w:tcPr>
            <w:tcW w:w="1143" w:type="dxa"/>
            <w:vAlign w:val="center"/>
          </w:tcPr>
          <w:p>
            <w:pPr>
              <w:pStyle w:val="962"/>
              <w:adjustRightInd w:val="0"/>
              <w:snapToGrid w:val="0"/>
              <w:spacing w:line="228" w:lineRule="auto"/>
              <w:ind w:left="-105" w:leftChars="-50" w:right="-105" w:rightChars="-5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1753" w:type="dxa"/>
            <w:vAlign w:val="top"/>
          </w:tcPr>
          <w:p>
            <w:pPr>
              <w:spacing w:line="360" w:lineRule="auto"/>
              <w:jc w:val="left"/>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85" w:type="dxa"/>
            <w:vMerge w:val="continue"/>
            <w:vAlign w:val="center"/>
          </w:tcPr>
          <w:p>
            <w:pPr>
              <w:spacing w:line="360" w:lineRule="auto"/>
              <w:jc w:val="left"/>
              <w:rPr>
                <w:rFonts w:hint="eastAsia" w:ascii="仿宋" w:hAnsi="仿宋" w:eastAsia="仿宋" w:cs="仿宋"/>
                <w:color w:val="auto"/>
                <w:sz w:val="24"/>
                <w:szCs w:val="24"/>
                <w:lang w:val="en-US" w:eastAsia="zh-CN"/>
              </w:rPr>
            </w:pPr>
          </w:p>
        </w:tc>
        <w:tc>
          <w:tcPr>
            <w:tcW w:w="1442" w:type="dxa"/>
            <w:vMerge w:val="continue"/>
            <w:vAlign w:val="center"/>
          </w:tcPr>
          <w:p>
            <w:pPr>
              <w:spacing w:line="360" w:lineRule="auto"/>
              <w:jc w:val="left"/>
              <w:rPr>
                <w:rFonts w:hint="eastAsia" w:ascii="仿宋" w:hAnsi="仿宋" w:eastAsia="仿宋" w:cs="仿宋"/>
                <w:color w:val="auto"/>
                <w:sz w:val="24"/>
                <w:szCs w:val="24"/>
                <w:lang w:val="en-US" w:eastAsia="zh-CN"/>
              </w:rPr>
            </w:pPr>
          </w:p>
        </w:tc>
        <w:tc>
          <w:tcPr>
            <w:tcW w:w="5688" w:type="dxa"/>
            <w:vAlign w:val="top"/>
          </w:tcPr>
          <w:p>
            <w:pPr>
              <w:pStyle w:val="962"/>
              <w:adjustRightInd w:val="0"/>
              <w:snapToGrid w:val="0"/>
              <w:spacing w:line="228" w:lineRule="auto"/>
              <w:ind w:left="-105" w:leftChars="-50" w:right="-105" w:right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投标人获得的荣誉证书或获奖文件评分：</w:t>
            </w:r>
          </w:p>
          <w:p>
            <w:pPr>
              <w:pStyle w:val="962"/>
              <w:adjustRightInd w:val="0"/>
              <w:snapToGrid w:val="0"/>
              <w:spacing w:line="228" w:lineRule="auto"/>
              <w:ind w:left="-105" w:leftChars="-50" w:right="-105" w:right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①投标单位获得过政府部门颁发的荣誉，一个得3分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0-9分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pPr>
              <w:pStyle w:val="962"/>
              <w:adjustRightInd w:val="0"/>
              <w:snapToGrid w:val="0"/>
              <w:spacing w:line="228" w:lineRule="auto"/>
              <w:ind w:left="-105" w:leftChars="-50" w:right="-105" w:rightChars="-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（在投标文件中提供荣誉证书或文件的复印件或扫描打印件，否则不得分）</w:t>
            </w:r>
          </w:p>
        </w:tc>
        <w:tc>
          <w:tcPr>
            <w:tcW w:w="1143" w:type="dxa"/>
            <w:vAlign w:val="center"/>
          </w:tcPr>
          <w:p>
            <w:pPr>
              <w:pStyle w:val="962"/>
              <w:adjustRightInd w:val="0"/>
              <w:snapToGrid w:val="0"/>
              <w:spacing w:line="228" w:lineRule="auto"/>
              <w:ind w:left="-105" w:leftChars="-50" w:right="-105" w:rightChars="-50"/>
              <w:jc w:val="center"/>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1753" w:type="dxa"/>
            <w:vAlign w:val="top"/>
          </w:tcPr>
          <w:p>
            <w:pPr>
              <w:spacing w:line="360" w:lineRule="auto"/>
              <w:jc w:val="left"/>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85" w:type="dxa"/>
            <w:vMerge w:val="continue"/>
            <w:vAlign w:val="center"/>
          </w:tcPr>
          <w:p>
            <w:pPr>
              <w:spacing w:line="360" w:lineRule="auto"/>
              <w:jc w:val="left"/>
              <w:rPr>
                <w:rFonts w:hint="eastAsia" w:ascii="仿宋" w:hAnsi="仿宋" w:eastAsia="仿宋" w:cs="仿宋"/>
                <w:color w:val="auto"/>
                <w:sz w:val="24"/>
                <w:szCs w:val="24"/>
                <w:lang w:val="en-US" w:eastAsia="zh-CN"/>
              </w:rPr>
            </w:pPr>
          </w:p>
        </w:tc>
        <w:tc>
          <w:tcPr>
            <w:tcW w:w="1442" w:type="dxa"/>
            <w:vMerge w:val="continue"/>
            <w:vAlign w:val="center"/>
          </w:tcPr>
          <w:p>
            <w:pPr>
              <w:spacing w:line="360" w:lineRule="auto"/>
              <w:jc w:val="left"/>
              <w:rPr>
                <w:rFonts w:hint="eastAsia" w:ascii="仿宋" w:hAnsi="仿宋" w:eastAsia="仿宋" w:cs="仿宋"/>
                <w:color w:val="auto"/>
                <w:sz w:val="24"/>
                <w:szCs w:val="24"/>
                <w:lang w:val="en-US" w:eastAsia="zh-CN"/>
              </w:rPr>
            </w:pPr>
          </w:p>
        </w:tc>
        <w:tc>
          <w:tcPr>
            <w:tcW w:w="5688" w:type="dxa"/>
            <w:vAlign w:val="center"/>
          </w:tcPr>
          <w:p>
            <w:pPr>
              <w:spacing w:line="240" w:lineRule="auto"/>
              <w:rPr>
                <w:rFonts w:hint="eastAsia" w:ascii="仿宋" w:hAnsi="仿宋" w:eastAsia="仿宋" w:cs="仿宋"/>
                <w:color w:val="auto"/>
                <w:sz w:val="24"/>
                <w:lang w:eastAsia="zh-CN"/>
              </w:rPr>
            </w:pPr>
            <w:r>
              <w:rPr>
                <w:rFonts w:hint="eastAsia" w:ascii="仿宋" w:hAnsi="仿宋" w:eastAsia="仿宋" w:cs="仿宋"/>
                <w:color w:val="auto"/>
                <w:sz w:val="24"/>
              </w:rPr>
              <w:t>投标人</w:t>
            </w:r>
            <w:r>
              <w:rPr>
                <w:rFonts w:hint="eastAsia" w:ascii="仿宋" w:hAnsi="仿宋" w:eastAsia="仿宋" w:cs="仿宋"/>
                <w:color w:val="auto"/>
                <w:sz w:val="24"/>
                <w:lang w:val="en-US" w:eastAsia="zh-CN"/>
              </w:rPr>
              <w:t>具有劳务派遣资质的得4分</w:t>
            </w:r>
            <w:r>
              <w:rPr>
                <w:rFonts w:hint="eastAsia" w:ascii="仿宋" w:hAnsi="仿宋" w:eastAsia="仿宋" w:cs="仿宋"/>
                <w:color w:val="auto"/>
                <w:sz w:val="24"/>
              </w:rPr>
              <w:t>，本条满分</w:t>
            </w:r>
            <w:r>
              <w:rPr>
                <w:rFonts w:hint="eastAsia" w:ascii="仿宋" w:hAnsi="仿宋" w:eastAsia="仿宋" w:cs="仿宋"/>
                <w:color w:val="auto"/>
                <w:sz w:val="24"/>
                <w:lang w:val="en-US" w:eastAsia="zh-CN"/>
              </w:rPr>
              <w:t>4</w:t>
            </w:r>
            <w:r>
              <w:rPr>
                <w:rFonts w:hint="eastAsia" w:ascii="仿宋" w:hAnsi="仿宋" w:eastAsia="仿宋" w:cs="仿宋"/>
                <w:color w:val="auto"/>
                <w:sz w:val="24"/>
              </w:rPr>
              <w:t>分。</w:t>
            </w:r>
          </w:p>
          <w:p>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（须提供认证证书的扫描件</w:t>
            </w:r>
            <w:r>
              <w:rPr>
                <w:rFonts w:hint="eastAsia" w:ascii="仿宋" w:hAnsi="仿宋" w:eastAsia="仿宋" w:cs="仿宋"/>
                <w:color w:val="auto"/>
                <w:sz w:val="24"/>
                <w:lang w:val="en-US" w:eastAsia="zh-CN"/>
              </w:rPr>
              <w:t>加盖公章</w:t>
            </w:r>
            <w:r>
              <w:rPr>
                <w:rFonts w:hint="eastAsia" w:ascii="仿宋" w:hAnsi="仿宋" w:eastAsia="仿宋" w:cs="仿宋"/>
                <w:color w:val="auto"/>
                <w:sz w:val="24"/>
              </w:rPr>
              <w:t>，否则不得分）</w:t>
            </w:r>
          </w:p>
        </w:tc>
        <w:tc>
          <w:tcPr>
            <w:tcW w:w="1143" w:type="dxa"/>
            <w:vAlign w:val="center"/>
          </w:tcPr>
          <w:p>
            <w:pPr>
              <w:spacing w:line="60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1753" w:type="dxa"/>
            <w:vAlign w:val="top"/>
          </w:tcPr>
          <w:p>
            <w:pPr>
              <w:spacing w:line="360" w:lineRule="auto"/>
              <w:jc w:val="left"/>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785" w:type="dxa"/>
            <w:vAlign w:val="center"/>
          </w:tcPr>
          <w:p>
            <w:pPr>
              <w:spacing w:line="360" w:lineRule="auto"/>
              <w:ind w:firstLine="240" w:firstLineChars="100"/>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c>
        <w:tc>
          <w:tcPr>
            <w:tcW w:w="7130" w:type="dxa"/>
            <w:gridSpan w:val="2"/>
            <w:vAlign w:val="top"/>
          </w:tcPr>
          <w:p>
            <w:pPr>
              <w:spacing w:line="360" w:lineRule="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有效投标报价的最低价作为评标基准价，其最低报价为满分；按［投标报价得分=（评标基准价/投标报价）*</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］的计算公式计算。</w:t>
            </w:r>
          </w:p>
          <w:p>
            <w:pPr>
              <w:widowControl/>
              <w:shd w:val="clear" w:color="auto" w:fill="FFFFFF"/>
              <w:adjustRightInd/>
              <w:spacing w:after="225" w:line="315" w:lineRule="atLeast"/>
              <w:ind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评标过程中，不得去掉报价中的最高报价和最低报价。</w:t>
            </w:r>
          </w:p>
          <w:p>
            <w:pPr>
              <w:widowControl/>
              <w:shd w:val="clear" w:color="auto" w:fill="FFFFFF"/>
              <w:adjustRightInd/>
              <w:spacing w:after="225" w:line="315" w:lineRule="atLeast"/>
              <w:ind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因落实政府采购政策需要进行价格调整的，以调整后的价格计算评标基准价和投标报价。</w:t>
            </w:r>
          </w:p>
        </w:tc>
        <w:tc>
          <w:tcPr>
            <w:tcW w:w="1143" w:type="dxa"/>
            <w:vAlign w:val="center"/>
          </w:tcPr>
          <w:p>
            <w:pPr>
              <w:spacing w:line="360" w:lineRule="auto"/>
              <w:ind w:firstLine="360" w:firstLineChars="150"/>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753" w:type="dxa"/>
            <w:vAlign w:val="center"/>
          </w:tcPr>
          <w:p>
            <w:pPr>
              <w:spacing w:line="36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w:t>
            </w:r>
          </w:p>
        </w:tc>
      </w:tr>
    </w:tbl>
    <w:p>
      <w:pPr>
        <w:snapToGrid w:val="0"/>
        <w:spacing w:line="360" w:lineRule="auto"/>
        <w:rPr>
          <w:rFonts w:hint="eastAsia" w:ascii="仿宋" w:hAnsi="仿宋" w:eastAsia="仿宋" w:cs="仿宋"/>
          <w:color w:val="auto"/>
          <w:sz w:val="20"/>
          <w:szCs w:val="20"/>
          <w:shd w:val="clear" w:color="auto" w:fill="FFFFFF"/>
        </w:rPr>
      </w:pPr>
    </w:p>
    <w:p>
      <w:pPr>
        <w:snapToGrid w:val="0"/>
        <w:spacing w:line="360" w:lineRule="auto"/>
        <w:rPr>
          <w:rFonts w:hint="eastAsia" w:ascii="仿宋" w:hAnsi="仿宋" w:eastAsia="仿宋" w:cs="仿宋"/>
          <w:b/>
          <w:color w:val="auto"/>
          <w:sz w:val="24"/>
        </w:rPr>
      </w:pPr>
      <w:r>
        <w:rPr>
          <w:rFonts w:hint="eastAsia" w:ascii="仿宋" w:hAnsi="仿宋" w:eastAsia="仿宋" w:cs="仿宋"/>
          <w:color w:val="auto"/>
          <w:sz w:val="20"/>
          <w:szCs w:val="20"/>
          <w:shd w:val="clear" w:color="auto" w:fill="FFFFFF"/>
        </w:rPr>
        <w:t> *</w:t>
      </w:r>
      <w:r>
        <w:rPr>
          <w:rFonts w:hint="eastAsia" w:ascii="仿宋" w:hAnsi="仿宋" w:eastAsia="仿宋" w:cs="仿宋"/>
          <w:b/>
          <w:color w:val="auto"/>
          <w:sz w:val="24"/>
        </w:rPr>
        <w:t>备注：</w:t>
      </w:r>
      <w:r>
        <w:rPr>
          <w:rFonts w:hint="eastAsia" w:ascii="仿宋" w:hAnsi="仿宋" w:eastAsia="仿宋" w:cs="仿宋"/>
          <w:color w:val="auto"/>
          <w:sz w:val="24"/>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pPr>
        <w:adjustRightInd/>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pPr>
        <w:spacing w:line="360" w:lineRule="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三、评标程序</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pPr>
        <w:pStyle w:val="85"/>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pPr>
        <w:pStyle w:val="85"/>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pPr>
        <w:pStyle w:val="85"/>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pPr>
        <w:pStyle w:val="85"/>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pPr>
        <w:pStyle w:val="85"/>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pPr>
        <w:pStyle w:val="85"/>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pPr>
        <w:pStyle w:val="85"/>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5"/>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pPr>
        <w:pStyle w:val="85"/>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有下列情况之一的，投标无效：</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pPr>
        <w:spacing w:line="360" w:lineRule="auto"/>
        <w:ind w:firstLine="240" w:firstLineChars="100"/>
        <w:rPr>
          <w:rFonts w:hint="eastAsia" w:ascii="仿宋" w:hAnsi="仿宋" w:eastAsia="仿宋" w:cs="仿宋"/>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4.2.12投标人仅提交备份投标文件，没有在电子交易平台传输递交投标文件的，投标无效；</w:t>
      </w:r>
    </w:p>
    <w:p>
      <w:pPr>
        <w:pStyle w:val="2"/>
        <w:ind w:left="862" w:leftChars="205"/>
        <w:rPr>
          <w:rFonts w:hint="eastAsia" w:ascii="仿宋" w:hAnsi="仿宋" w:eastAsia="仿宋" w:cs="仿宋"/>
          <w:b w:val="0"/>
          <w:bCs w:val="0"/>
          <w:color w:val="auto"/>
          <w:kern w:val="0"/>
          <w:sz w:val="24"/>
          <w:szCs w:val="24"/>
          <w:lang w:val="en-US"/>
        </w:rPr>
      </w:pPr>
      <w:r>
        <w:rPr>
          <w:rFonts w:hint="eastAsia" w:ascii="仿宋" w:hAnsi="仿宋" w:eastAsia="仿宋" w:cs="仿宋"/>
          <w:b w:val="0"/>
          <w:bCs w:val="0"/>
          <w:color w:val="auto"/>
          <w:kern w:val="0"/>
          <w:sz w:val="24"/>
          <w:szCs w:val="24"/>
          <w:lang w:val="en-US"/>
        </w:rPr>
        <w:t>4.2.13 投标文件不满足招标文件的其它实质性要求的；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4.2.14法律、法规、规章（适用本市的）及省级以上规范性文件（适用本市的）规定的其他无效情形。</w:t>
      </w:r>
    </w:p>
    <w:p>
      <w:pPr>
        <w:pStyle w:val="24"/>
        <w:snapToGrid w:val="0"/>
        <w:spacing w:line="360" w:lineRule="auto"/>
        <w:ind w:firstLine="472" w:firstLineChars="196"/>
        <w:rPr>
          <w:rFonts w:hint="eastAsia"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5.2出现影响采购公正的违法、违规行为的；</w:t>
      </w:r>
    </w:p>
    <w:p>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5.3投标人的报价均超过了采购预算，采购人不能支付的；</w:t>
      </w:r>
    </w:p>
    <w:p>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5.4因重大变故，采购任务取消的。</w:t>
      </w:r>
    </w:p>
    <w:p>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废标后，采购机构应当将废标理由通知所有投标人。</w:t>
      </w:r>
    </w:p>
    <w:p>
      <w:pPr>
        <w:pStyle w:val="24"/>
        <w:snapToGrid w:val="0"/>
        <w:spacing w:line="360" w:lineRule="auto"/>
        <w:ind w:firstLine="590" w:firstLineChars="245"/>
        <w:rPr>
          <w:rFonts w:hint="eastAsia" w:ascii="仿宋" w:hAnsi="仿宋" w:eastAsia="仿宋" w:cs="仿宋"/>
          <w:color w:val="auto"/>
        </w:rPr>
      </w:pPr>
      <w:r>
        <w:rPr>
          <w:rFonts w:hint="eastAsia"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590" w:firstLineChars="245"/>
        <w:rPr>
          <w:rFonts w:hint="eastAsia"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7.1未确定中标或者中标人的，终止本次政府采购活动，重新开展政府采购活动。</w:t>
      </w:r>
    </w:p>
    <w:p>
      <w:pPr>
        <w:pStyle w:val="24"/>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7.4政府采购合同已经履行，给采购人、供应商造成损失的，由责任人承担赔偿责任。</w:t>
      </w:r>
    </w:p>
    <w:p>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7.5政府采购当事人有其他违反政府采购法</w:t>
      </w:r>
      <w:r>
        <w:rPr>
          <w:rFonts w:hint="eastAsia" w:ascii="仿宋" w:hAnsi="仿宋" w:eastAsia="仿宋" w:cs="仿宋"/>
          <w:color w:val="auto"/>
          <w:kern w:val="0"/>
        </w:rPr>
        <w:t>或者政府采购法实施条例等法律法规规定</w:t>
      </w:r>
      <w:r>
        <w:rPr>
          <w:rFonts w:hint="eastAsia" w:ascii="仿宋" w:hAnsi="仿宋" w:eastAsia="仿宋" w:cs="仿宋"/>
          <w:color w:val="auto"/>
        </w:rPr>
        <w:t>的行为，经改正后仍然影响或者可能影响中标、成交结果或者依法被认定为中标、成交无效的，依照7.1-7.4规定处理。</w:t>
      </w:r>
    </w:p>
    <w:p>
      <w:pPr>
        <w:pStyle w:val="24"/>
        <w:snapToGrid w:val="0"/>
        <w:spacing w:line="360" w:lineRule="auto"/>
        <w:ind w:firstLine="0" w:firstLineChars="0"/>
        <w:rPr>
          <w:rFonts w:hint="eastAsia" w:ascii="仿宋" w:hAnsi="仿宋" w:eastAsia="仿宋" w:cs="仿宋"/>
          <w:color w:val="auto"/>
        </w:rPr>
      </w:pPr>
    </w:p>
    <w:bookmarkEnd w:id="25"/>
    <w:p>
      <w:pPr>
        <w:spacing w:line="360" w:lineRule="auto"/>
        <w:ind w:left="720" w:leftChars="343" w:firstLine="1084" w:firstLineChars="300"/>
        <w:outlineLvl w:val="0"/>
        <w:rPr>
          <w:rFonts w:hint="eastAsia" w:ascii="仿宋" w:hAnsi="仿宋" w:eastAsia="仿宋" w:cs="仿宋"/>
          <w:b/>
          <w:color w:val="auto"/>
          <w:sz w:val="36"/>
          <w:szCs w:val="36"/>
        </w:rPr>
      </w:pPr>
      <w:bookmarkStart w:id="392" w:name="第五部分"/>
      <w:bookmarkStart w:id="393" w:name="_Toc86217003"/>
    </w:p>
    <w:p>
      <w:pPr>
        <w:spacing w:line="360" w:lineRule="auto"/>
        <w:ind w:left="720" w:leftChars="343" w:firstLine="1084" w:firstLineChars="300"/>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    </w:t>
      </w: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第五部分 拟签订的合同文本</w:t>
      </w:r>
    </w:p>
    <w:p>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pPr>
        <w:spacing w:line="480" w:lineRule="auto"/>
        <w:jc w:val="center"/>
        <w:rPr>
          <w:rFonts w:hint="eastAsia" w:ascii="仿宋" w:hAnsi="仿宋" w:eastAsia="仿宋" w:cs="仿宋"/>
          <w:b/>
          <w:color w:val="auto"/>
          <w:sz w:val="28"/>
          <w:szCs w:val="28"/>
        </w:rPr>
      </w:pP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w:t>
      </w:r>
      <w:r>
        <w:rPr>
          <w:rFonts w:hint="eastAsia" w:ascii="仿宋" w:hAnsi="仿宋" w:eastAsia="仿宋" w:cs="仿宋"/>
          <w:b/>
          <w:color w:val="auto"/>
          <w:sz w:val="36"/>
          <w:szCs w:val="36"/>
          <w:lang w:val="en-US" w:eastAsia="zh-CN"/>
        </w:rPr>
        <w:t>服务</w:t>
      </w:r>
      <w:r>
        <w:rPr>
          <w:rFonts w:hint="eastAsia" w:ascii="仿宋" w:hAnsi="仿宋" w:eastAsia="仿宋" w:cs="仿宋"/>
          <w:b/>
          <w:color w:val="auto"/>
          <w:sz w:val="36"/>
          <w:szCs w:val="36"/>
        </w:rPr>
        <w:t>类）</w:t>
      </w:r>
    </w:p>
    <w:p>
      <w:pPr>
        <w:pStyle w:val="385"/>
        <w:rPr>
          <w:rFonts w:hint="eastAsia" w:ascii="仿宋" w:hAnsi="仿宋" w:eastAsia="仿宋" w:cs="仿宋"/>
          <w:color w:val="auto"/>
          <w:szCs w:val="24"/>
        </w:rPr>
      </w:pPr>
    </w:p>
    <w:p>
      <w:pPr>
        <w:spacing w:before="120" w:line="22" w:lineRule="atLeast"/>
        <w:ind w:firstLine="960" w:firstLineChars="400"/>
        <w:rPr>
          <w:rFonts w:hint="eastAsia" w:ascii="仿宋" w:hAnsi="仿宋" w:eastAsia="仿宋" w:cs="仿宋"/>
          <w:color w:val="auto"/>
          <w:sz w:val="24"/>
          <w:u w:val="single"/>
        </w:rPr>
      </w:pPr>
    </w:p>
    <w:p>
      <w:pPr>
        <w:widowControl/>
        <w:jc w:val="left"/>
        <w:rPr>
          <w:rFonts w:hint="eastAsia" w:ascii="仿宋" w:hAnsi="仿宋" w:eastAsia="仿宋" w:cs="仿宋"/>
          <w:color w:val="auto"/>
          <w:kern w:val="0"/>
          <w:sz w:val="24"/>
        </w:rPr>
        <w:sectPr>
          <w:pgSz w:w="11907" w:h="16840"/>
          <w:pgMar w:top="1474" w:right="1814" w:bottom="1474" w:left="1814" w:header="851" w:footer="851" w:gutter="0"/>
          <w:cols w:space="720" w:num="1"/>
        </w:sectPr>
      </w:pPr>
    </w:p>
    <w:p>
      <w:pPr>
        <w:pStyle w:val="385"/>
        <w:ind w:left="0" w:leftChars="0" w:firstLine="0" w:firstLineChars="0"/>
        <w:jc w:val="center"/>
        <w:rPr>
          <w:rFonts w:hint="eastAsia" w:ascii="仿宋" w:hAnsi="仿宋" w:eastAsia="仿宋" w:cs="仿宋"/>
          <w:b/>
          <w:szCs w:val="24"/>
        </w:rPr>
      </w:pPr>
      <w:r>
        <w:rPr>
          <w:rFonts w:hint="eastAsia" w:ascii="仿宋" w:hAnsi="仿宋" w:eastAsia="仿宋" w:cs="仿宋"/>
          <w:b/>
          <w:sz w:val="28"/>
          <w:szCs w:val="28"/>
        </w:rPr>
        <w:t>第一部分 合同书</w:t>
      </w:r>
    </w:p>
    <w:p>
      <w:pPr>
        <w:pStyle w:val="385"/>
        <w:ind w:left="0" w:leftChars="0" w:firstLine="0" w:firstLineChars="0"/>
        <w:rPr>
          <w:rFonts w:hint="eastAsia" w:ascii="仿宋" w:hAnsi="仿宋" w:eastAsia="仿宋" w:cs="仿宋"/>
          <w:szCs w:val="24"/>
        </w:rPr>
      </w:pP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282"/>
        <w:spacing w:before="120" w:line="22" w:lineRule="atLeast"/>
        <w:rPr>
          <w:rFonts w:hint="eastAsia" w:ascii="仿宋" w:hAnsi="仿宋" w:eastAsia="仿宋" w:cs="仿宋"/>
          <w:szCs w:val="24"/>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hint="eastAsia" w:ascii="仿宋" w:hAnsi="仿宋" w:eastAsia="仿宋" w:cs="仿宋"/>
          <w:kern w:val="0"/>
          <w:sz w:val="24"/>
        </w:rPr>
        <w:sectPr>
          <w:pgSz w:w="11905" w:h="16838"/>
          <w:pgMar w:top="1531" w:right="1304" w:bottom="1531" w:left="1361" w:header="851" w:footer="992" w:gutter="0"/>
          <w:cols w:space="720" w:num="1"/>
          <w:titlePg/>
          <w:rtlGutter w:val="0"/>
          <w:docGrid w:linePitch="1" w:charSpace="0"/>
        </w:sectPr>
      </w:pP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日</w:t>
      </w:r>
      <w:r>
        <w:rPr>
          <w:rFonts w:hint="eastAsia" w:ascii="仿宋" w:hAnsi="仿宋" w:eastAsia="仿宋" w:cs="仿宋"/>
          <w:sz w:val="24"/>
          <w:szCs w:val="24"/>
        </w:rPr>
        <w:t>，</w:t>
      </w:r>
      <w:r>
        <w:rPr>
          <w:rFonts w:hint="eastAsia" w:ascii="仿宋" w:hAnsi="仿宋" w:eastAsia="仿宋" w:cs="仿宋"/>
          <w:sz w:val="24"/>
          <w:szCs w:val="24"/>
          <w:u w:val="single"/>
        </w:rPr>
        <w:t xml:space="preserve">   （采购人）   </w:t>
      </w:r>
      <w:r>
        <w:rPr>
          <w:rFonts w:hint="eastAsia" w:ascii="仿宋" w:hAnsi="仿宋" w:eastAsia="仿宋" w:cs="仿宋"/>
          <w:sz w:val="24"/>
          <w:szCs w:val="24"/>
        </w:rPr>
        <w:t>以</w:t>
      </w:r>
      <w:r>
        <w:rPr>
          <w:rFonts w:hint="eastAsia" w:ascii="仿宋" w:hAnsi="仿宋" w:eastAsia="仿宋" w:cs="仿宋"/>
          <w:sz w:val="24"/>
          <w:szCs w:val="24"/>
          <w:u w:val="single"/>
        </w:rPr>
        <w:t xml:space="preserve">   （政府采购方式）  </w:t>
      </w:r>
      <w:r>
        <w:rPr>
          <w:rFonts w:hint="eastAsia" w:ascii="仿宋" w:hAnsi="仿宋" w:eastAsia="仿宋" w:cs="仿宋"/>
          <w:sz w:val="24"/>
          <w:szCs w:val="24"/>
        </w:rPr>
        <w:t>对</w:t>
      </w:r>
      <w:r>
        <w:rPr>
          <w:rFonts w:hint="eastAsia" w:ascii="仿宋" w:hAnsi="仿宋" w:eastAsia="仿宋" w:cs="仿宋"/>
          <w:sz w:val="24"/>
          <w:szCs w:val="24"/>
          <w:u w:val="single"/>
        </w:rPr>
        <w:t xml:space="preserve">   （同前页项目名称）   </w:t>
      </w:r>
      <w:r>
        <w:rPr>
          <w:rFonts w:hint="eastAsia" w:ascii="仿宋" w:hAnsi="仿宋" w:eastAsia="仿宋" w:cs="仿宋"/>
          <w:sz w:val="24"/>
          <w:szCs w:val="24"/>
        </w:rPr>
        <w:t>项目进行了采购。经</w:t>
      </w:r>
      <w:r>
        <w:rPr>
          <w:rFonts w:hint="eastAsia" w:ascii="仿宋" w:hAnsi="仿宋" w:eastAsia="仿宋" w:cs="仿宋"/>
          <w:sz w:val="24"/>
          <w:szCs w:val="24"/>
          <w:u w:val="single"/>
        </w:rPr>
        <w:t xml:space="preserve">   （相关评定主体名称）   </w:t>
      </w:r>
      <w:r>
        <w:rPr>
          <w:rFonts w:hint="eastAsia" w:ascii="仿宋" w:hAnsi="仿宋" w:eastAsia="仿宋" w:cs="仿宋"/>
          <w:sz w:val="24"/>
          <w:szCs w:val="24"/>
        </w:rPr>
        <w:t>评定，</w:t>
      </w:r>
      <w:r>
        <w:rPr>
          <w:rFonts w:hint="eastAsia" w:ascii="仿宋" w:hAnsi="仿宋" w:eastAsia="仿宋" w:cs="仿宋"/>
          <w:sz w:val="24"/>
          <w:szCs w:val="24"/>
          <w:u w:val="single"/>
        </w:rPr>
        <w:t xml:space="preserve">   （中标供应商名称）</w:t>
      </w:r>
      <w:r>
        <w:rPr>
          <w:rFonts w:hint="eastAsia" w:ascii="仿宋" w:hAnsi="仿宋" w:eastAsia="仿宋" w:cs="仿宋"/>
          <w:sz w:val="24"/>
          <w:szCs w:val="24"/>
        </w:rPr>
        <w:t>为该项目中标供应商。现于中标通知书发出之日起三十日内，按照采购文件确定的事项签订本合同。</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szCs w:val="24"/>
          <w:u w:val="single"/>
        </w:rPr>
        <w:t xml:space="preserve">   （采购人）   </w:t>
      </w:r>
      <w:r>
        <w:rPr>
          <w:rFonts w:hint="eastAsia" w:ascii="仿宋" w:hAnsi="仿宋" w:eastAsia="仿宋" w:cs="仿宋"/>
          <w:sz w:val="24"/>
          <w:szCs w:val="24"/>
          <w:lang w:val="zh-CN"/>
        </w:rPr>
        <w:t>(以下简称：甲方）和</w:t>
      </w:r>
      <w:r>
        <w:rPr>
          <w:rFonts w:hint="eastAsia" w:ascii="仿宋" w:hAnsi="仿宋" w:eastAsia="仿宋" w:cs="仿宋"/>
          <w:sz w:val="24"/>
          <w:szCs w:val="24"/>
          <w:u w:val="single"/>
        </w:rPr>
        <w:t xml:space="preserve">   （中标供应商名称）   </w:t>
      </w:r>
      <w:r>
        <w:rPr>
          <w:rFonts w:hint="eastAsia" w:ascii="仿宋" w:hAnsi="仿宋" w:eastAsia="仿宋" w:cs="仿宋"/>
          <w:sz w:val="24"/>
          <w:szCs w:val="24"/>
          <w:lang w:val="zh-CN"/>
        </w:rPr>
        <w:t>(以下简称：乙方）协商一致，约定以下合同</w:t>
      </w:r>
      <w:r>
        <w:rPr>
          <w:rFonts w:hint="eastAsia" w:ascii="仿宋" w:hAnsi="仿宋" w:eastAsia="仿宋" w:cs="仿宋"/>
          <w:sz w:val="24"/>
          <w:szCs w:val="24"/>
        </w:rPr>
        <w:t>条款，以兹共同遵守、全面履行。</w:t>
      </w:r>
    </w:p>
    <w:p>
      <w:pPr>
        <w:wordWrap/>
        <w:spacing w:line="600" w:lineRule="exact"/>
        <w:ind w:firstLine="482" w:firstLineChars="200"/>
        <w:textAlignment w:val="auto"/>
        <w:outlineLvl w:val="0"/>
        <w:rPr>
          <w:rFonts w:hint="eastAsia" w:ascii="仿宋" w:hAnsi="仿宋" w:eastAsia="仿宋" w:cs="仿宋"/>
          <w:b/>
          <w:sz w:val="24"/>
          <w:szCs w:val="24"/>
        </w:rPr>
      </w:pPr>
      <w:bookmarkStart w:id="394" w:name="_Toc2232"/>
      <w:bookmarkStart w:id="395" w:name="_Toc3029"/>
      <w:bookmarkStart w:id="396" w:name="_Toc24059"/>
      <w:r>
        <w:rPr>
          <w:rFonts w:hint="eastAsia" w:ascii="仿宋" w:hAnsi="仿宋" w:eastAsia="仿宋" w:cs="仿宋"/>
          <w:b/>
          <w:sz w:val="24"/>
          <w:szCs w:val="24"/>
        </w:rPr>
        <w:t>1.1 合同组成部分</w:t>
      </w:r>
      <w:bookmarkEnd w:id="394"/>
      <w:bookmarkEnd w:id="395"/>
      <w:bookmarkEnd w:id="396"/>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 本合同及其补充合同、变更协议；</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1.1.2 中标通知书；</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1.1.3 投标文件（含澄清或者说明文件）；</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1.1.4 招标文件（含澄清或者修改文件）；</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1.1.5 其他相关采购文件。</w:t>
      </w:r>
    </w:p>
    <w:p>
      <w:pPr>
        <w:wordWrap/>
        <w:spacing w:line="600" w:lineRule="exact"/>
        <w:ind w:firstLine="482" w:firstLineChars="200"/>
        <w:textAlignment w:val="auto"/>
        <w:outlineLvl w:val="0"/>
        <w:rPr>
          <w:rFonts w:hint="eastAsia" w:ascii="仿宋" w:hAnsi="仿宋" w:eastAsia="仿宋" w:cs="仿宋"/>
          <w:b/>
          <w:sz w:val="24"/>
          <w:szCs w:val="24"/>
        </w:rPr>
      </w:pPr>
      <w:bookmarkStart w:id="397" w:name="_Toc24300"/>
      <w:bookmarkStart w:id="398" w:name="_Toc21295"/>
      <w:bookmarkStart w:id="399" w:name="_Toc27126"/>
      <w:r>
        <w:rPr>
          <w:rFonts w:hint="eastAsia" w:ascii="仿宋" w:hAnsi="仿宋" w:eastAsia="仿宋" w:cs="仿宋"/>
          <w:b/>
          <w:sz w:val="24"/>
          <w:szCs w:val="24"/>
        </w:rPr>
        <w:t xml:space="preserve">1.2 </w:t>
      </w:r>
      <w:bookmarkEnd w:id="397"/>
      <w:bookmarkEnd w:id="398"/>
      <w:bookmarkEnd w:id="399"/>
      <w:r>
        <w:rPr>
          <w:rFonts w:hint="eastAsia" w:ascii="仿宋" w:hAnsi="仿宋" w:eastAsia="仿宋" w:cs="仿宋"/>
          <w:b/>
          <w:sz w:val="24"/>
          <w:szCs w:val="24"/>
          <w:lang w:eastAsia="zh-CN"/>
        </w:rPr>
        <w:t>服务</w:t>
      </w:r>
    </w:p>
    <w:p>
      <w:pPr>
        <w:wordWrap/>
        <w:spacing w:line="60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 xml:space="preserve">1.2.1 </w:t>
      </w:r>
      <w:r>
        <w:rPr>
          <w:rFonts w:hint="eastAsia" w:ascii="仿宋" w:hAnsi="仿宋" w:eastAsia="仿宋" w:cs="仿宋"/>
          <w:sz w:val="24"/>
          <w:szCs w:val="24"/>
          <w:lang w:eastAsia="zh-CN"/>
        </w:rPr>
        <w:t>服务</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ordWrap/>
        <w:spacing w:line="60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 xml:space="preserve">1.2.2 </w:t>
      </w:r>
      <w:r>
        <w:rPr>
          <w:rFonts w:hint="eastAsia" w:ascii="仿宋" w:hAnsi="仿宋" w:eastAsia="仿宋" w:cs="仿宋"/>
          <w:sz w:val="24"/>
          <w:szCs w:val="24"/>
          <w:lang w:eastAsia="zh-CN"/>
        </w:rPr>
        <w:t>服务</w:t>
      </w:r>
      <w:r>
        <w:rPr>
          <w:rFonts w:hint="eastAsia" w:ascii="仿宋" w:hAnsi="仿宋" w:eastAsia="仿宋" w:cs="仿宋"/>
          <w:sz w:val="24"/>
          <w:szCs w:val="24"/>
        </w:rPr>
        <w:t>数量：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服务</w:t>
      </w:r>
      <w:r>
        <w:rPr>
          <w:rFonts w:hint="eastAsia" w:ascii="仿宋" w:hAnsi="仿宋" w:eastAsia="仿宋" w:cs="仿宋"/>
          <w:sz w:val="24"/>
          <w:szCs w:val="24"/>
        </w:rPr>
        <w:t>质量：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ordWrap/>
        <w:spacing w:line="600" w:lineRule="exact"/>
        <w:ind w:firstLine="482" w:firstLineChars="200"/>
        <w:textAlignment w:val="auto"/>
        <w:outlineLvl w:val="0"/>
        <w:rPr>
          <w:rFonts w:hint="eastAsia" w:ascii="仿宋" w:hAnsi="仿宋" w:eastAsia="仿宋" w:cs="仿宋"/>
          <w:b/>
          <w:sz w:val="24"/>
          <w:szCs w:val="24"/>
        </w:rPr>
      </w:pPr>
      <w:bookmarkStart w:id="400" w:name="_Toc22618"/>
      <w:bookmarkStart w:id="401" w:name="_Toc10340"/>
      <w:bookmarkStart w:id="402" w:name="_Toc1814"/>
      <w:r>
        <w:rPr>
          <w:rFonts w:hint="eastAsia" w:ascii="仿宋" w:hAnsi="仿宋" w:eastAsia="仿宋" w:cs="仿宋"/>
          <w:b/>
          <w:sz w:val="24"/>
          <w:szCs w:val="24"/>
        </w:rPr>
        <w:t>1.</w:t>
      </w:r>
      <w:r>
        <w:rPr>
          <w:rFonts w:hint="eastAsia" w:ascii="仿宋" w:hAnsi="仿宋" w:eastAsia="仿宋" w:cs="仿宋"/>
          <w:b/>
          <w:sz w:val="24"/>
          <w:szCs w:val="24"/>
          <w:lang w:val="en-US" w:eastAsia="zh-CN"/>
        </w:rPr>
        <w:t>3</w:t>
      </w:r>
      <w:r>
        <w:rPr>
          <w:rFonts w:hint="eastAsia" w:ascii="仿宋" w:hAnsi="仿宋" w:eastAsia="仿宋" w:cs="仿宋"/>
          <w:b/>
          <w:sz w:val="24"/>
          <w:szCs w:val="24"/>
        </w:rPr>
        <w:t xml:space="preserve"> 付款</w:t>
      </w:r>
      <w:bookmarkEnd w:id="400"/>
      <w:bookmarkEnd w:id="401"/>
      <w:bookmarkEnd w:id="402"/>
      <w:r>
        <w:rPr>
          <w:rFonts w:hint="eastAsia" w:ascii="仿宋" w:hAnsi="仿宋" w:eastAsia="仿宋" w:cs="仿宋"/>
          <w:b/>
          <w:sz w:val="24"/>
          <w:szCs w:val="24"/>
        </w:rPr>
        <w:t>方式、时间和条件</w:t>
      </w:r>
    </w:p>
    <w:p>
      <w:pPr>
        <w:pStyle w:val="617"/>
        <w:wordWrap/>
        <w:spacing w:before="0" w:beforeAutospacing="0" w:after="0" w:afterAutospacing="0" w:line="600" w:lineRule="exact"/>
        <w:ind w:firstLine="48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.1</w:t>
      </w:r>
      <w:r>
        <w:rPr>
          <w:rFonts w:hint="eastAsia" w:ascii="仿宋" w:hAnsi="仿宋" w:eastAsia="仿宋" w:cs="仿宋"/>
          <w:kern w:val="2"/>
          <w:sz w:val="24"/>
          <w:szCs w:val="24"/>
          <w:lang w:val="en-US" w:eastAsia="zh-CN" w:bidi="ar-SA"/>
        </w:rPr>
        <w:t>对于满足合同约定支付条件的，甲方自收到发票后10个工作日内将资金支付到合同约定的乙方账户，有条件的甲方可以即时支付。甲方不得以机构变动、人员更替、政策调整、单位放假等为由延迟付款。</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1.3.2甲方在政府采购合同中约定预付款，预付款比例为合同金额的30％；项目分年安排预算的，每年预付款比例为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cs="仿宋"/>
          <w:sz w:val="24"/>
          <w:szCs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.3甲方迟延支付乙方款项的，向乙方支付逾期利息。双方可以在合同专用条款中约定逾期利率，约定利率不得低于合同订立时1年期贷款市场报价利率；未作约定的，按照每日利率万分之五支付逾期利息。</w:t>
      </w:r>
    </w:p>
    <w:p>
      <w:pPr>
        <w:wordWrap/>
        <w:spacing w:line="600" w:lineRule="exact"/>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.4资金支付的方式、时间和条件详见</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pPr>
        <w:wordWrap/>
        <w:spacing w:line="600" w:lineRule="exact"/>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.5乙方可以登录：http</w:t>
      </w:r>
      <w:r>
        <w:rPr>
          <w:rFonts w:hint="eastAsia" w:ascii="仿宋" w:hAnsi="仿宋" w:eastAsia="仿宋" w:cs="仿宋"/>
          <w:sz w:val="24"/>
          <w:szCs w:val="24"/>
          <w:lang w:eastAsia="zh-CN"/>
        </w:rPr>
        <w:t>：</w:t>
      </w:r>
      <w:r>
        <w:rPr>
          <w:rFonts w:hint="eastAsia" w:ascii="仿宋" w:hAnsi="仿宋" w:eastAsia="仿宋" w:cs="仿宋"/>
          <w:sz w:val="24"/>
          <w:szCs w:val="24"/>
        </w:rPr>
        <w:t>//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wordWrap/>
        <w:spacing w:line="600" w:lineRule="exact"/>
        <w:ind w:firstLine="482" w:firstLineChars="200"/>
        <w:textAlignment w:val="auto"/>
        <w:outlineLvl w:val="0"/>
        <w:rPr>
          <w:rFonts w:hint="eastAsia" w:ascii="仿宋" w:hAnsi="仿宋" w:eastAsia="仿宋" w:cs="仿宋"/>
          <w:b/>
          <w:sz w:val="24"/>
          <w:szCs w:val="24"/>
        </w:rPr>
      </w:pPr>
      <w:bookmarkStart w:id="403" w:name="_Toc32071"/>
      <w:bookmarkStart w:id="404" w:name="_Toc2846"/>
      <w:bookmarkStart w:id="405" w:name="_Toc19304"/>
      <w:r>
        <w:rPr>
          <w:rFonts w:hint="eastAsia" w:ascii="仿宋" w:hAnsi="仿宋" w:eastAsia="仿宋" w:cs="仿宋"/>
          <w:b/>
          <w:sz w:val="24"/>
          <w:szCs w:val="24"/>
        </w:rPr>
        <w:t>1.</w:t>
      </w:r>
      <w:r>
        <w:rPr>
          <w:rFonts w:hint="eastAsia" w:ascii="仿宋" w:hAnsi="仿宋" w:eastAsia="仿宋" w:cs="仿宋"/>
          <w:b/>
          <w:sz w:val="24"/>
          <w:szCs w:val="24"/>
          <w:lang w:val="en-US" w:eastAsia="zh-CN"/>
        </w:rPr>
        <w:t>4</w:t>
      </w:r>
      <w:r>
        <w:rPr>
          <w:rFonts w:hint="eastAsia" w:ascii="仿宋" w:hAnsi="仿宋" w:eastAsia="仿宋" w:cs="仿宋"/>
          <w:b/>
          <w:sz w:val="24"/>
          <w:szCs w:val="24"/>
        </w:rPr>
        <w:t xml:space="preserve"> 服务期限、地点和方式</w:t>
      </w:r>
      <w:bookmarkEnd w:id="403"/>
      <w:bookmarkEnd w:id="404"/>
      <w:bookmarkEnd w:id="405"/>
    </w:p>
    <w:p>
      <w:pPr>
        <w:wordWrap/>
        <w:spacing w:line="60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.1 </w:t>
      </w:r>
      <w:r>
        <w:rPr>
          <w:rFonts w:hint="eastAsia" w:ascii="仿宋" w:hAnsi="仿宋" w:eastAsia="仿宋" w:cs="仿宋"/>
          <w:sz w:val="24"/>
          <w:szCs w:val="24"/>
          <w:lang w:eastAsia="zh-CN"/>
        </w:rPr>
        <w:t>服务</w:t>
      </w:r>
      <w:r>
        <w:rPr>
          <w:rFonts w:hint="eastAsia" w:ascii="仿宋" w:hAnsi="仿宋" w:eastAsia="仿宋" w:cs="仿宋"/>
          <w:sz w:val="24"/>
          <w:szCs w:val="24"/>
        </w:rPr>
        <w:t>期限：详见</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.2 </w:t>
      </w:r>
      <w:r>
        <w:rPr>
          <w:rFonts w:hint="eastAsia" w:ascii="仿宋" w:hAnsi="仿宋" w:eastAsia="仿宋" w:cs="仿宋"/>
          <w:sz w:val="24"/>
          <w:szCs w:val="24"/>
          <w:lang w:eastAsia="zh-CN"/>
        </w:rPr>
        <w:t>服务</w:t>
      </w:r>
      <w:r>
        <w:rPr>
          <w:rFonts w:hint="eastAsia" w:ascii="仿宋" w:hAnsi="仿宋" w:eastAsia="仿宋" w:cs="仿宋"/>
          <w:sz w:val="24"/>
          <w:szCs w:val="24"/>
        </w:rPr>
        <w:t>地点：</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.3 </w:t>
      </w:r>
      <w:r>
        <w:rPr>
          <w:rFonts w:hint="eastAsia" w:ascii="仿宋" w:hAnsi="仿宋" w:eastAsia="仿宋" w:cs="仿宋"/>
          <w:sz w:val="24"/>
          <w:szCs w:val="24"/>
          <w:lang w:eastAsia="zh-CN"/>
        </w:rPr>
        <w:t>服务</w:t>
      </w:r>
      <w:r>
        <w:rPr>
          <w:rFonts w:hint="eastAsia" w:ascii="仿宋" w:hAnsi="仿宋" w:eastAsia="仿宋" w:cs="仿宋"/>
          <w:sz w:val="24"/>
          <w:szCs w:val="24"/>
        </w:rPr>
        <w:t>方式：</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pPr>
        <w:wordWrap/>
        <w:spacing w:line="600" w:lineRule="exact"/>
        <w:ind w:firstLine="482" w:firstLineChars="200"/>
        <w:textAlignment w:val="auto"/>
        <w:outlineLvl w:val="0"/>
        <w:rPr>
          <w:rFonts w:hint="eastAsia" w:ascii="仿宋" w:hAnsi="仿宋" w:eastAsia="仿宋" w:cs="仿宋"/>
          <w:b/>
          <w:sz w:val="24"/>
          <w:szCs w:val="24"/>
        </w:rPr>
      </w:pPr>
      <w:bookmarkStart w:id="406" w:name="_Toc19554"/>
      <w:bookmarkStart w:id="407" w:name="_Toc27250"/>
      <w:bookmarkStart w:id="408" w:name="_Toc21423"/>
      <w:r>
        <w:rPr>
          <w:rFonts w:hint="eastAsia" w:ascii="仿宋" w:hAnsi="仿宋" w:eastAsia="仿宋" w:cs="仿宋"/>
          <w:b/>
          <w:sz w:val="24"/>
          <w:szCs w:val="24"/>
        </w:rPr>
        <w:t>1.</w:t>
      </w:r>
      <w:r>
        <w:rPr>
          <w:rFonts w:hint="eastAsia" w:ascii="仿宋" w:hAnsi="仿宋" w:eastAsia="仿宋" w:cs="仿宋"/>
          <w:b/>
          <w:sz w:val="24"/>
          <w:szCs w:val="24"/>
          <w:lang w:val="en-US" w:eastAsia="zh-CN"/>
        </w:rPr>
        <w:t>5</w:t>
      </w:r>
      <w:r>
        <w:rPr>
          <w:rFonts w:hint="eastAsia" w:ascii="仿宋" w:hAnsi="仿宋" w:eastAsia="仿宋" w:cs="仿宋"/>
          <w:b/>
          <w:sz w:val="24"/>
          <w:szCs w:val="24"/>
        </w:rPr>
        <w:t xml:space="preserve"> 违约责任</w:t>
      </w:r>
      <w:bookmarkEnd w:id="406"/>
      <w:bookmarkEnd w:id="407"/>
      <w:bookmarkEnd w:id="408"/>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.1</w:t>
      </w:r>
      <w:bookmarkStart w:id="409" w:name="_Toc28375"/>
      <w:bookmarkStart w:id="410" w:name="_Toc15583"/>
      <w:bookmarkStart w:id="411" w:name="_Toc16021"/>
      <w:r>
        <w:rPr>
          <w:rFonts w:hint="eastAsia" w:ascii="仿宋" w:hAnsi="仿宋" w:eastAsia="仿宋" w:cs="仿宋"/>
          <w:sz w:val="24"/>
          <w:szCs w:val="24"/>
        </w:rPr>
        <w:t>甲方无正当理由拒收接受服务的，甲方向乙方偿付合同款项百分之五作为违约金。</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1.5.2</w:t>
      </w:r>
      <w:r>
        <w:rPr>
          <w:rFonts w:hint="eastAsia" w:ascii="仿宋" w:hAnsi="仿宋" w:eastAsia="仿宋" w:cs="仿宋"/>
          <w:sz w:val="24"/>
          <w:szCs w:val="24"/>
        </w:rPr>
        <w:t>甲方无故逾期验收和办理款项支付手续的，甲方应按逾期付款总额每日万分之五向乙方支付违约金。</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1.5.3</w:t>
      </w:r>
      <w:r>
        <w:rPr>
          <w:rFonts w:hint="eastAsia" w:ascii="仿宋" w:hAnsi="仿宋" w:eastAsia="仿宋" w:cs="仿宋"/>
          <w:sz w:val="24"/>
          <w:szCs w:val="24"/>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pPr>
        <w:wordWrap/>
        <w:spacing w:line="60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6</w:t>
      </w:r>
      <w:r>
        <w:rPr>
          <w:rFonts w:hint="eastAsia" w:ascii="仿宋" w:hAnsi="仿宋" w:eastAsia="仿宋" w:cs="仿宋"/>
          <w:b/>
          <w:sz w:val="24"/>
          <w:szCs w:val="24"/>
        </w:rPr>
        <w:t xml:space="preserve"> 合同争议的解决</w:t>
      </w:r>
      <w:bookmarkEnd w:id="409"/>
      <w:bookmarkEnd w:id="410"/>
      <w:bookmarkEnd w:id="411"/>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本合同履行过程中发生的任何争议，双方当事人均可通过和解或者调解解决；不愿和解、调解或者和解、调解不成的，可以选择以下第</w:t>
      </w:r>
      <w:r>
        <w:rPr>
          <w:rFonts w:hint="eastAsia" w:ascii="仿宋" w:hAnsi="仿宋" w:eastAsia="仿宋" w:cs="仿宋"/>
          <w:b/>
          <w:i/>
          <w:sz w:val="24"/>
          <w:szCs w:val="24"/>
          <w:u w:val="single"/>
        </w:rPr>
        <w:t xml:space="preserve"> 合同专用条款  </w:t>
      </w:r>
      <w:r>
        <w:rPr>
          <w:rFonts w:hint="eastAsia" w:ascii="仿宋" w:hAnsi="仿宋" w:eastAsia="仿宋" w:cs="仿宋"/>
          <w:sz w:val="24"/>
          <w:szCs w:val="24"/>
        </w:rPr>
        <w:t>条款规定的方式解决：</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.1 将争议提交</w:t>
      </w:r>
      <w:r>
        <w:rPr>
          <w:rFonts w:hint="eastAsia" w:ascii="仿宋" w:hAnsi="仿宋" w:eastAsia="仿宋" w:cs="仿宋"/>
          <w:b/>
          <w:i/>
          <w:sz w:val="24"/>
          <w:szCs w:val="24"/>
          <w:u w:val="single"/>
        </w:rPr>
        <w:t>合同专用条款</w:t>
      </w:r>
      <w:r>
        <w:rPr>
          <w:rFonts w:hint="eastAsia" w:ascii="仿宋" w:hAnsi="仿宋" w:eastAsia="仿宋" w:cs="仿宋"/>
          <w:sz w:val="24"/>
          <w:szCs w:val="24"/>
        </w:rPr>
        <w:t>仲裁委员会依申请仲裁时其现行有效的仲裁规则裁决；</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.2 向</w:t>
      </w:r>
      <w:r>
        <w:rPr>
          <w:rFonts w:hint="eastAsia" w:ascii="仿宋" w:hAnsi="仿宋" w:eastAsia="仿宋" w:cs="仿宋"/>
          <w:b/>
          <w:i/>
          <w:sz w:val="24"/>
          <w:szCs w:val="24"/>
          <w:u w:val="single"/>
        </w:rPr>
        <w:t>合同专用条款</w:t>
      </w:r>
      <w:r>
        <w:rPr>
          <w:rFonts w:hint="eastAsia" w:ascii="仿宋" w:hAnsi="仿宋" w:eastAsia="仿宋" w:cs="仿宋"/>
          <w:sz w:val="24"/>
          <w:szCs w:val="24"/>
        </w:rPr>
        <w:t>人民法院起诉。</w:t>
      </w:r>
      <w:bookmarkStart w:id="412" w:name="_Toc15322"/>
      <w:bookmarkStart w:id="413" w:name="_Toc11173"/>
      <w:bookmarkStart w:id="414" w:name="_Toc7245"/>
    </w:p>
    <w:p>
      <w:pPr>
        <w:wordWrap/>
        <w:spacing w:line="60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7</w:t>
      </w:r>
      <w:r>
        <w:rPr>
          <w:rFonts w:hint="eastAsia" w:ascii="仿宋" w:hAnsi="仿宋" w:eastAsia="仿宋" w:cs="仿宋"/>
          <w:b/>
          <w:sz w:val="24"/>
          <w:szCs w:val="24"/>
        </w:rPr>
        <w:t xml:space="preserve"> 合同生效</w:t>
      </w:r>
      <w:bookmarkEnd w:id="412"/>
      <w:bookmarkEnd w:id="413"/>
      <w:bookmarkEnd w:id="414"/>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本合同自双方当事人盖章或者签字时生效。</w:t>
      </w:r>
    </w:p>
    <w:p>
      <w:pPr>
        <w:wordWrap/>
        <w:autoSpaceDE w:val="0"/>
        <w:autoSpaceDN w:val="0"/>
        <w:spacing w:line="600" w:lineRule="exact"/>
        <w:textAlignment w:val="auto"/>
        <w:rPr>
          <w:rFonts w:hint="eastAsia" w:ascii="仿宋" w:hAnsi="仿宋" w:eastAsia="仿宋" w:cs="仿宋"/>
          <w:sz w:val="24"/>
          <w:szCs w:val="24"/>
          <w:lang w:val="zh-CN"/>
        </w:rPr>
      </w:pP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b/>
          <w:sz w:val="24"/>
          <w:szCs w:val="24"/>
          <w:lang w:val="zh-CN"/>
        </w:rPr>
        <w:t>甲方</w:t>
      </w:r>
      <w:r>
        <w:rPr>
          <w:rFonts w:hint="eastAsia" w:ascii="仿宋" w:hAnsi="仿宋" w:eastAsia="仿宋" w:cs="仿宋"/>
          <w:sz w:val="24"/>
          <w:szCs w:val="24"/>
          <w:lang w:val="zh-CN"/>
        </w:rPr>
        <w:t xml:space="preserve">：                             </w:t>
      </w:r>
      <w:r>
        <w:rPr>
          <w:rFonts w:hint="eastAsia" w:ascii="仿宋" w:hAnsi="仿宋" w:eastAsia="仿宋" w:cs="仿宋"/>
          <w:b/>
          <w:sz w:val="24"/>
          <w:szCs w:val="24"/>
          <w:lang w:val="zh-CN"/>
        </w:rPr>
        <w:t xml:space="preserve">      乙方</w:t>
      </w:r>
      <w:r>
        <w:rPr>
          <w:rFonts w:hint="eastAsia" w:ascii="仿宋" w:hAnsi="仿宋" w:eastAsia="仿宋" w:cs="仿宋"/>
          <w:sz w:val="24"/>
          <w:szCs w:val="24"/>
          <w:lang w:val="zh-CN"/>
        </w:rPr>
        <w:t>：</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统一社会信用代码：                        统一社会信用代码或身份证号码：</w:t>
      </w:r>
    </w:p>
    <w:p>
      <w:pPr>
        <w:wordWrap/>
        <w:autoSpaceDE w:val="0"/>
        <w:autoSpaceDN w:val="0"/>
        <w:spacing w:line="600" w:lineRule="exact"/>
        <w:textAlignment w:val="auto"/>
        <w:rPr>
          <w:rFonts w:hint="eastAsia" w:ascii="仿宋" w:hAnsi="仿宋" w:eastAsia="仿宋" w:cs="仿宋"/>
          <w:sz w:val="24"/>
          <w:szCs w:val="24"/>
          <w:lang w:val="zh-CN"/>
        </w:rPr>
      </w:pP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住所：                                   住所：</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法定代表人或                             法定代表人</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授权代表（签字）：                        或授权代表（签字）：</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联系人：                                 联系人：</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约定送达地址：                           约定送达地址：</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邮政编码：                               邮政编码：</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 xml:space="preserve">电话：                                    电话： </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传真：                                    传真：</w:t>
      </w:r>
    </w:p>
    <w:p>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lang w:val="zh-CN"/>
        </w:rPr>
        <w:t>电子邮箱：                               电子邮箱：</w:t>
      </w:r>
    </w:p>
    <w:p>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开户银行：                               开户银行： </w:t>
      </w:r>
    </w:p>
    <w:p>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开户名称：                               开户名称： </w:t>
      </w:r>
    </w:p>
    <w:p>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开户账号：</w:t>
      </w:r>
      <w:r>
        <w:rPr>
          <w:rFonts w:hint="eastAsia" w:ascii="仿宋" w:hAnsi="仿宋" w:eastAsia="仿宋" w:cs="仿宋"/>
          <w:sz w:val="24"/>
          <w:szCs w:val="24"/>
          <w:lang w:val="zh-CN"/>
        </w:rPr>
        <w:t xml:space="preserve">                               </w:t>
      </w:r>
      <w:r>
        <w:rPr>
          <w:rFonts w:hint="eastAsia" w:ascii="仿宋" w:hAnsi="仿宋" w:eastAsia="仿宋" w:cs="仿宋"/>
          <w:sz w:val="24"/>
          <w:szCs w:val="24"/>
        </w:rPr>
        <w:t>开户账号：</w:t>
      </w:r>
      <w:bookmarkStart w:id="415" w:name="_Toc331685783"/>
    </w:p>
    <w:p>
      <w:pPr>
        <w:pStyle w:val="385"/>
        <w:wordWrap/>
        <w:spacing w:after="0" w:line="600" w:lineRule="exact"/>
        <w:ind w:left="0" w:leftChars="0" w:firstLine="0" w:firstLineChars="0"/>
        <w:jc w:val="both"/>
        <w:textAlignment w:val="auto"/>
        <w:rPr>
          <w:rFonts w:hint="eastAsia" w:ascii="仿宋" w:hAnsi="仿宋" w:eastAsia="仿宋" w:cs="仿宋"/>
          <w:b/>
          <w:sz w:val="24"/>
          <w:szCs w:val="24"/>
        </w:rPr>
      </w:pPr>
    </w:p>
    <w:p>
      <w:pPr>
        <w:pStyle w:val="385"/>
        <w:wordWrap/>
        <w:spacing w:after="0" w:line="600" w:lineRule="exact"/>
        <w:ind w:left="0" w:leftChars="0"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第二部分 合同一般条款</w:t>
      </w:r>
      <w:bookmarkEnd w:id="415"/>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16" w:name="_Ref467379225"/>
      <w:bookmarkStart w:id="417" w:name="_Ref467379195"/>
      <w:bookmarkStart w:id="418" w:name="_Toc16917"/>
      <w:bookmarkStart w:id="419" w:name="_Ref467379109"/>
      <w:bookmarkStart w:id="420" w:name="_Ref467379094"/>
      <w:bookmarkStart w:id="421" w:name="_Toc279701240"/>
      <w:bookmarkStart w:id="422" w:name="_Ref467378404"/>
      <w:bookmarkStart w:id="423" w:name="_Ref467379101"/>
      <w:bookmarkStart w:id="424" w:name="_Toc28763"/>
      <w:bookmarkStart w:id="425" w:name="_Toc259093669"/>
      <w:bookmarkStart w:id="426" w:name="_Ref467379205"/>
      <w:bookmarkStart w:id="427" w:name="_Ref467378463"/>
      <w:bookmarkStart w:id="428" w:name="_Toc487900349"/>
      <w:bookmarkStart w:id="429" w:name="_Ref467379214"/>
      <w:bookmarkStart w:id="430" w:name="_Toc19614"/>
      <w:bookmarkStart w:id="431" w:name="_Ref467378499"/>
      <w:r>
        <w:rPr>
          <w:rFonts w:hint="eastAsia" w:ascii="仿宋" w:hAnsi="仿宋" w:eastAsia="仿宋" w:cs="仿宋"/>
          <w:b/>
          <w:sz w:val="24"/>
          <w:szCs w:val="24"/>
        </w:rPr>
        <w:t>2.1 定义</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本合同中的下列词语应按以下内容进行解释：</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2.1.1 “合同”系指采购人和中标供应商签订的载明双方当事人所达成的协议，并包括所有的附件、附录和构成合同的其他文件。</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2.1.2 “合同价”系指根据合同约定，中标供应商在完全履行合同义务后，采购人应支付给中标供应商的价格。</w:t>
      </w:r>
    </w:p>
    <w:p>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32" w:name="_Ref467378840"/>
      <w:r>
        <w:rPr>
          <w:rFonts w:hint="eastAsia" w:ascii="仿宋" w:hAnsi="仿宋" w:eastAsia="仿宋" w:cs="仿宋"/>
          <w:sz w:val="24"/>
          <w:szCs w:val="24"/>
        </w:rPr>
        <w:t>2.1.</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“甲方”系指与中标供应商签署合同的采购人</w:t>
      </w:r>
      <w:bookmarkEnd w:id="432"/>
      <w:r>
        <w:rPr>
          <w:rFonts w:hint="eastAsia" w:ascii="仿宋" w:hAnsi="仿宋" w:eastAsia="仿宋" w:cs="仿宋"/>
          <w:sz w:val="24"/>
          <w:szCs w:val="24"/>
        </w:rPr>
        <w:t>；采购人委托采购代理机构代表其与乙方签订合同的，采购人的授权委托书作为合同附件。</w:t>
      </w:r>
    </w:p>
    <w:p>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33" w:name="_Ref467379400"/>
      <w:r>
        <w:rPr>
          <w:rFonts w:hint="eastAsia" w:ascii="仿宋" w:hAnsi="仿宋" w:eastAsia="仿宋" w:cs="仿宋"/>
          <w:sz w:val="24"/>
          <w:szCs w:val="24"/>
        </w:rPr>
        <w:t>2.1.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“乙方”系指根据合同约定交付货物的中标供应商</w:t>
      </w:r>
      <w:bookmarkEnd w:id="433"/>
      <w:r>
        <w:rPr>
          <w:rFonts w:hint="eastAsia" w:ascii="仿宋" w:hAnsi="仿宋" w:eastAsia="仿宋" w:cs="仿宋"/>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34" w:name="_Ref467379436"/>
      <w:r>
        <w:rPr>
          <w:rFonts w:hint="eastAsia" w:ascii="仿宋" w:hAnsi="仿宋" w:eastAsia="仿宋" w:cs="仿宋"/>
          <w:sz w:val="24"/>
          <w:szCs w:val="24"/>
        </w:rPr>
        <w:t>2.1.</w:t>
      </w: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 “现场”系指合同约定</w:t>
      </w:r>
      <w:r>
        <w:rPr>
          <w:rFonts w:hint="eastAsia" w:ascii="仿宋" w:hAnsi="仿宋" w:eastAsia="仿宋" w:cs="仿宋"/>
          <w:sz w:val="24"/>
          <w:szCs w:val="24"/>
          <w:lang w:eastAsia="zh-CN"/>
        </w:rPr>
        <w:t>服务</w:t>
      </w:r>
      <w:r>
        <w:rPr>
          <w:rFonts w:hint="eastAsia" w:ascii="仿宋" w:hAnsi="仿宋" w:eastAsia="仿宋" w:cs="仿宋"/>
          <w:sz w:val="24"/>
          <w:szCs w:val="24"/>
        </w:rPr>
        <w:t>地点。</w:t>
      </w:r>
      <w:bookmarkEnd w:id="434"/>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35" w:name="_Toc27853"/>
      <w:bookmarkStart w:id="436" w:name="_Toc279701242"/>
      <w:bookmarkStart w:id="437" w:name="_Toc259093671"/>
      <w:bookmarkStart w:id="438" w:name="_Toc487900351"/>
      <w:bookmarkStart w:id="439" w:name="_Toc9829"/>
      <w:bookmarkStart w:id="440" w:name="_Toc31634"/>
      <w:r>
        <w:rPr>
          <w:rFonts w:hint="eastAsia" w:ascii="仿宋" w:hAnsi="仿宋" w:eastAsia="仿宋" w:cs="仿宋"/>
          <w:b/>
          <w:sz w:val="24"/>
          <w:szCs w:val="24"/>
        </w:rPr>
        <w:t>2.</w:t>
      </w:r>
      <w:r>
        <w:rPr>
          <w:rFonts w:hint="eastAsia" w:ascii="仿宋" w:hAnsi="仿宋" w:eastAsia="仿宋" w:cs="仿宋"/>
          <w:b/>
          <w:sz w:val="24"/>
          <w:szCs w:val="24"/>
          <w:lang w:val="en-US" w:eastAsia="zh-CN"/>
        </w:rPr>
        <w:t>2</w:t>
      </w:r>
      <w:r>
        <w:rPr>
          <w:rFonts w:hint="eastAsia" w:ascii="仿宋" w:hAnsi="仿宋" w:eastAsia="仿宋" w:cs="仿宋"/>
          <w:b/>
          <w:sz w:val="24"/>
          <w:szCs w:val="24"/>
        </w:rPr>
        <w:t xml:space="preserve"> 知识产权</w:t>
      </w:r>
      <w:bookmarkEnd w:id="435"/>
      <w:bookmarkEnd w:id="436"/>
      <w:bookmarkEnd w:id="437"/>
      <w:bookmarkEnd w:id="438"/>
      <w:bookmarkEnd w:id="439"/>
      <w:bookmarkEnd w:id="440"/>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sz w:val="24"/>
          <w:szCs w:val="24"/>
        </w:rPr>
        <w:t>.1 乙方应保证提供服务过程中不会侵犯任何第三方的知识产权。</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41" w:name="_Toc7502"/>
      <w:bookmarkStart w:id="442" w:name="_Toc279701254"/>
      <w:bookmarkStart w:id="443" w:name="_Toc259093683"/>
      <w:bookmarkStart w:id="444" w:name="_Toc487900364"/>
      <w:bookmarkStart w:id="445" w:name="_Ref467378121"/>
      <w:r>
        <w:rPr>
          <w:rFonts w:hint="eastAsia" w:ascii="仿宋" w:hAnsi="仿宋" w:eastAsia="仿宋" w:cs="仿宋"/>
          <w:b/>
          <w:sz w:val="24"/>
          <w:szCs w:val="24"/>
        </w:rPr>
        <w:t>2.</w:t>
      </w:r>
      <w:r>
        <w:rPr>
          <w:rFonts w:hint="eastAsia" w:ascii="仿宋" w:hAnsi="仿宋" w:eastAsia="仿宋" w:cs="仿宋"/>
          <w:b/>
          <w:sz w:val="24"/>
          <w:szCs w:val="24"/>
          <w:lang w:val="en-US" w:eastAsia="zh-CN"/>
        </w:rPr>
        <w:t>3</w:t>
      </w:r>
      <w:r>
        <w:rPr>
          <w:rFonts w:hint="eastAsia" w:ascii="仿宋" w:hAnsi="仿宋" w:eastAsia="仿宋" w:cs="仿宋"/>
          <w:b/>
          <w:sz w:val="24"/>
          <w:szCs w:val="24"/>
        </w:rPr>
        <w:t>合同变更</w:t>
      </w:r>
      <w:bookmarkEnd w:id="441"/>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合同继续履行将损害国家利益和社会公共利益的，双方当事人应当以书面形式变更合同。有过错的一方应当承担赔偿责任，双方当事人都有过错的，各自承担相应的责任。</w:t>
      </w:r>
      <w:bookmarkStart w:id="446" w:name="_Toc259093688"/>
      <w:bookmarkStart w:id="447" w:name="_Toc487900369"/>
      <w:bookmarkStart w:id="448" w:name="_Toc279701259"/>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49" w:name="_Toc22955"/>
      <w:bookmarkStart w:id="450" w:name="_Toc10366"/>
      <w:bookmarkStart w:id="451" w:name="_Toc15237"/>
      <w:r>
        <w:rPr>
          <w:rFonts w:hint="eastAsia" w:ascii="仿宋" w:hAnsi="仿宋" w:eastAsia="仿宋" w:cs="仿宋"/>
          <w:b/>
          <w:sz w:val="24"/>
          <w:szCs w:val="24"/>
        </w:rPr>
        <w:t>2.</w:t>
      </w:r>
      <w:r>
        <w:rPr>
          <w:rFonts w:hint="eastAsia" w:ascii="仿宋" w:hAnsi="仿宋" w:eastAsia="仿宋" w:cs="仿宋"/>
          <w:b/>
          <w:sz w:val="24"/>
          <w:szCs w:val="24"/>
          <w:lang w:val="en-US" w:eastAsia="zh-CN"/>
        </w:rPr>
        <w:t>4</w:t>
      </w:r>
      <w:r>
        <w:rPr>
          <w:rFonts w:hint="eastAsia" w:ascii="仿宋" w:hAnsi="仿宋" w:eastAsia="仿宋" w:cs="仿宋"/>
          <w:b/>
          <w:sz w:val="24"/>
          <w:szCs w:val="24"/>
        </w:rPr>
        <w:t xml:space="preserve"> 转让</w:t>
      </w:r>
      <w:bookmarkEnd w:id="446"/>
      <w:bookmarkEnd w:id="447"/>
      <w:bookmarkEnd w:id="448"/>
      <w:r>
        <w:rPr>
          <w:rFonts w:hint="eastAsia" w:ascii="仿宋" w:hAnsi="仿宋" w:eastAsia="仿宋" w:cs="仿宋"/>
          <w:b/>
          <w:sz w:val="24"/>
          <w:szCs w:val="24"/>
        </w:rPr>
        <w:t>和分包</w:t>
      </w:r>
      <w:bookmarkEnd w:id="449"/>
      <w:bookmarkEnd w:id="450"/>
      <w:bookmarkEnd w:id="451"/>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r>
        <w:rPr>
          <w:rFonts w:hint="eastAsia" w:ascii="仿宋" w:hAnsi="仿宋" w:eastAsia="仿宋" w:cs="仿宋"/>
          <w:sz w:val="24"/>
          <w:szCs w:val="24"/>
        </w:rPr>
        <w:t>.1本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52" w:name="_Toc13566"/>
      <w:bookmarkStart w:id="453" w:name="_Toc16508"/>
      <w:bookmarkStart w:id="454" w:name="_Toc14066"/>
      <w:r>
        <w:rPr>
          <w:rFonts w:hint="eastAsia" w:ascii="仿宋" w:hAnsi="仿宋" w:eastAsia="仿宋" w:cs="仿宋"/>
          <w:b/>
          <w:sz w:val="24"/>
          <w:szCs w:val="24"/>
        </w:rPr>
        <w:t>2.</w:t>
      </w:r>
      <w:r>
        <w:rPr>
          <w:rFonts w:hint="eastAsia" w:ascii="仿宋" w:hAnsi="仿宋" w:eastAsia="仿宋" w:cs="仿宋"/>
          <w:b/>
          <w:sz w:val="24"/>
          <w:szCs w:val="24"/>
          <w:lang w:val="en-US" w:eastAsia="zh-CN"/>
        </w:rPr>
        <w:t>5</w:t>
      </w:r>
      <w:r>
        <w:rPr>
          <w:rFonts w:hint="eastAsia" w:ascii="仿宋" w:hAnsi="仿宋" w:eastAsia="仿宋" w:cs="仿宋"/>
          <w:b/>
          <w:sz w:val="24"/>
          <w:szCs w:val="24"/>
        </w:rPr>
        <w:t>不可抗力</w:t>
      </w:r>
      <w:bookmarkEnd w:id="452"/>
      <w:bookmarkEnd w:id="453"/>
      <w:bookmarkEnd w:id="454"/>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.1如果任何一方遭遇法律规定的不可抗力，致使合同履行受阻时，履行合同的期限应予延长，延长的期限应相当于不可抗力所影响的时间；</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.2 因不可抗力致使不能实现合同目的的，当事人可以解除合同；</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.3 因不可抗力致使合同有变更必要的，双方当事人应在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约定时间内以书面形式变更合同；</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.4受不可抗力影响的一方在不可抗力发生后，应在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约定时间内以书面形式通知对方当事人，并在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约定时间内，将有关部门出具的证明文件送达对方当事人。</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55" w:name="_Toc279701255"/>
      <w:bookmarkStart w:id="456" w:name="_Toc259093684"/>
      <w:bookmarkStart w:id="457" w:name="_Toc487900365"/>
      <w:bookmarkStart w:id="458" w:name="_Toc6969"/>
      <w:bookmarkStart w:id="459" w:name="_Toc689"/>
      <w:bookmarkStart w:id="460" w:name="_Toc30676"/>
      <w:r>
        <w:rPr>
          <w:rFonts w:hint="eastAsia" w:ascii="仿宋" w:hAnsi="仿宋" w:eastAsia="仿宋" w:cs="仿宋"/>
          <w:b/>
          <w:sz w:val="24"/>
          <w:szCs w:val="24"/>
        </w:rPr>
        <w:t>2.</w:t>
      </w:r>
      <w:r>
        <w:rPr>
          <w:rFonts w:hint="eastAsia" w:ascii="仿宋" w:hAnsi="仿宋" w:eastAsia="仿宋" w:cs="仿宋"/>
          <w:b/>
          <w:sz w:val="24"/>
          <w:szCs w:val="24"/>
          <w:lang w:val="en-US" w:eastAsia="zh-CN"/>
        </w:rPr>
        <w:t>6</w:t>
      </w:r>
      <w:r>
        <w:rPr>
          <w:rFonts w:hint="eastAsia" w:ascii="仿宋" w:hAnsi="仿宋" w:eastAsia="仿宋" w:cs="仿宋"/>
          <w:b/>
          <w:sz w:val="24"/>
          <w:szCs w:val="24"/>
        </w:rPr>
        <w:t xml:space="preserve"> 税费</w:t>
      </w:r>
      <w:bookmarkEnd w:id="455"/>
      <w:bookmarkEnd w:id="456"/>
      <w:bookmarkEnd w:id="457"/>
      <w:bookmarkEnd w:id="458"/>
      <w:bookmarkEnd w:id="459"/>
      <w:bookmarkEnd w:id="460"/>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与合同有关的一切税费，均按照中华人民共和国法律的相关规定。</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61" w:name="_Toc487900368"/>
      <w:bookmarkStart w:id="462" w:name="_Toc16959"/>
      <w:bookmarkStart w:id="463" w:name="_Toc259093687"/>
      <w:bookmarkStart w:id="464" w:name="_Toc7102"/>
      <w:bookmarkStart w:id="465" w:name="_Toc279701258"/>
      <w:bookmarkStart w:id="466" w:name="_Toc8298"/>
      <w:r>
        <w:rPr>
          <w:rFonts w:hint="eastAsia" w:ascii="仿宋" w:hAnsi="仿宋" w:eastAsia="仿宋" w:cs="仿宋"/>
          <w:b/>
          <w:sz w:val="24"/>
          <w:szCs w:val="24"/>
        </w:rPr>
        <w:t>2.</w:t>
      </w:r>
      <w:r>
        <w:rPr>
          <w:rFonts w:hint="eastAsia" w:ascii="仿宋" w:hAnsi="仿宋" w:eastAsia="仿宋" w:cs="仿宋"/>
          <w:b/>
          <w:sz w:val="24"/>
          <w:szCs w:val="24"/>
          <w:lang w:val="en-US" w:eastAsia="zh-CN"/>
        </w:rPr>
        <w:t>7</w:t>
      </w:r>
      <w:r>
        <w:rPr>
          <w:rFonts w:hint="eastAsia" w:ascii="仿宋" w:hAnsi="仿宋" w:eastAsia="仿宋" w:cs="仿宋"/>
          <w:b/>
          <w:sz w:val="24"/>
          <w:szCs w:val="24"/>
        </w:rPr>
        <w:t>乙方破产</w:t>
      </w:r>
      <w:bookmarkEnd w:id="461"/>
      <w:bookmarkEnd w:id="462"/>
      <w:bookmarkEnd w:id="463"/>
      <w:bookmarkEnd w:id="464"/>
      <w:bookmarkEnd w:id="465"/>
      <w:bookmarkEnd w:id="466"/>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67" w:name="_Toc29333"/>
      <w:bookmarkStart w:id="468" w:name="_Toc15387"/>
      <w:bookmarkStart w:id="469" w:name="_Toc6134"/>
      <w:r>
        <w:rPr>
          <w:rFonts w:hint="eastAsia" w:ascii="仿宋" w:hAnsi="仿宋" w:eastAsia="仿宋" w:cs="仿宋"/>
          <w:b/>
          <w:sz w:val="24"/>
          <w:szCs w:val="24"/>
        </w:rPr>
        <w:t>2.</w:t>
      </w:r>
      <w:r>
        <w:rPr>
          <w:rFonts w:hint="eastAsia" w:ascii="仿宋" w:hAnsi="仿宋" w:eastAsia="仿宋" w:cs="仿宋"/>
          <w:b/>
          <w:sz w:val="24"/>
          <w:szCs w:val="24"/>
          <w:lang w:val="en-US" w:eastAsia="zh-CN"/>
        </w:rPr>
        <w:t>8</w:t>
      </w:r>
      <w:r>
        <w:rPr>
          <w:rFonts w:hint="eastAsia" w:ascii="仿宋" w:hAnsi="仿宋" w:eastAsia="仿宋" w:cs="仿宋"/>
          <w:b/>
          <w:sz w:val="24"/>
          <w:szCs w:val="24"/>
        </w:rPr>
        <w:t xml:space="preserve"> 合同中止、终止</w:t>
      </w:r>
      <w:bookmarkEnd w:id="467"/>
      <w:bookmarkEnd w:id="468"/>
      <w:bookmarkEnd w:id="469"/>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8</w:t>
      </w:r>
      <w:r>
        <w:rPr>
          <w:rFonts w:hint="eastAsia" w:ascii="仿宋" w:hAnsi="仿宋" w:eastAsia="仿宋" w:cs="仿宋"/>
          <w:sz w:val="24"/>
          <w:szCs w:val="24"/>
        </w:rPr>
        <w:t>.1 双方当事人不得擅自中止或者终止合同；</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8</w:t>
      </w:r>
      <w:r>
        <w:rPr>
          <w:rFonts w:hint="eastAsia" w:ascii="仿宋" w:hAnsi="仿宋" w:eastAsia="仿宋" w:cs="仿宋"/>
          <w:sz w:val="24"/>
          <w:szCs w:val="24"/>
        </w:rPr>
        <w:t>.2合同继续履行将损害国家利益和社会公共利益的，双方当事人应当中止或者终止合同。有过错的一方应当承担赔偿责任，双方当事人都有过错的，各自承担相应的责任。</w:t>
      </w:r>
    </w:p>
    <w:bookmarkEnd w:id="442"/>
    <w:bookmarkEnd w:id="443"/>
    <w:bookmarkEnd w:id="444"/>
    <w:bookmarkEnd w:id="445"/>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70" w:name="_Toc259093690"/>
      <w:bookmarkStart w:id="471" w:name="_Toc279701261"/>
      <w:bookmarkStart w:id="472" w:name="_Toc487900371"/>
      <w:bookmarkStart w:id="473" w:name="_Toc25182"/>
      <w:bookmarkStart w:id="474" w:name="_Toc11284"/>
      <w:bookmarkStart w:id="475" w:name="_Toc19604"/>
      <w:r>
        <w:rPr>
          <w:rFonts w:hint="eastAsia" w:ascii="仿宋" w:hAnsi="仿宋" w:eastAsia="仿宋" w:cs="仿宋"/>
          <w:b/>
          <w:sz w:val="24"/>
          <w:szCs w:val="24"/>
        </w:rPr>
        <w:t>2.</w:t>
      </w:r>
      <w:r>
        <w:rPr>
          <w:rFonts w:hint="eastAsia" w:ascii="仿宋" w:hAnsi="仿宋" w:eastAsia="仿宋" w:cs="仿宋"/>
          <w:b/>
          <w:sz w:val="24"/>
          <w:szCs w:val="24"/>
          <w:lang w:val="en-US" w:eastAsia="zh-CN"/>
        </w:rPr>
        <w:t>9</w:t>
      </w:r>
      <w:r>
        <w:rPr>
          <w:rFonts w:hint="eastAsia" w:ascii="仿宋" w:hAnsi="仿宋" w:eastAsia="仿宋" w:cs="仿宋"/>
          <w:b/>
          <w:sz w:val="24"/>
          <w:szCs w:val="24"/>
        </w:rPr>
        <w:t xml:space="preserve"> 通知</w:t>
      </w:r>
      <w:bookmarkEnd w:id="470"/>
      <w:bookmarkEnd w:id="471"/>
      <w:bookmarkEnd w:id="472"/>
      <w:r>
        <w:rPr>
          <w:rFonts w:hint="eastAsia" w:ascii="仿宋" w:hAnsi="仿宋" w:eastAsia="仿宋" w:cs="仿宋"/>
          <w:b/>
          <w:sz w:val="24"/>
          <w:szCs w:val="24"/>
        </w:rPr>
        <w:t>和送达</w:t>
      </w:r>
      <w:bookmarkEnd w:id="473"/>
      <w:bookmarkEnd w:id="474"/>
      <w:bookmarkEnd w:id="475"/>
    </w:p>
    <w:p>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76" w:name="_Toc6698"/>
      <w:bookmarkStart w:id="477" w:name="_Toc3135"/>
      <w:bookmarkStart w:id="478" w:name="_Toc259093691"/>
      <w:bookmarkStart w:id="479" w:name="_Toc487900372"/>
      <w:bookmarkStart w:id="480" w:name="_Toc279701262"/>
      <w:r>
        <w:rPr>
          <w:rFonts w:hint="eastAsia" w:ascii="仿宋" w:hAnsi="仿宋" w:eastAsia="仿宋" w:cs="仿宋"/>
          <w:sz w:val="24"/>
          <w:szCs w:val="24"/>
        </w:rPr>
        <w:t>2.</w:t>
      </w:r>
      <w:r>
        <w:rPr>
          <w:rFonts w:hint="eastAsia" w:ascii="仿宋" w:hAnsi="仿宋" w:eastAsia="仿宋" w:cs="仿宋"/>
          <w:sz w:val="24"/>
          <w:szCs w:val="24"/>
          <w:lang w:val="en-US" w:eastAsia="zh-CN"/>
        </w:rPr>
        <w:t>9</w:t>
      </w:r>
      <w:r>
        <w:rPr>
          <w:rFonts w:hint="eastAsia" w:ascii="仿宋" w:hAnsi="仿宋" w:eastAsia="仿宋" w:cs="仿宋"/>
          <w:sz w:val="24"/>
          <w:szCs w:val="24"/>
        </w:rPr>
        <w:t xml:space="preserve">.1任何一方因履行合同而以合同第一部分尾部所列明的传真或电子邮件 </w:t>
      </w:r>
      <w:r>
        <w:rPr>
          <w:rFonts w:hint="eastAsia" w:ascii="仿宋" w:hAnsi="仿宋" w:eastAsia="仿宋" w:cs="仿宋"/>
          <w:sz w:val="24"/>
          <w:szCs w:val="24"/>
          <w:u w:val="single"/>
        </w:rPr>
        <w:t xml:space="preserve">       </w:t>
      </w:r>
      <w:r>
        <w:rPr>
          <w:rFonts w:hint="eastAsia" w:ascii="仿宋" w:hAnsi="仿宋" w:eastAsia="仿宋" w:cs="仿宋"/>
          <w:sz w:val="24"/>
          <w:szCs w:val="24"/>
        </w:rPr>
        <w:t>发出的所有通知、文件、材料，均视为已向对方当事人送达；任何一方变更上述送达方式或者地址的，应于</w:t>
      </w:r>
      <w:r>
        <w:rPr>
          <w:rFonts w:hint="eastAsia" w:ascii="仿宋" w:hAnsi="仿宋" w:eastAsia="仿宋" w:cs="仿宋"/>
          <w:sz w:val="24"/>
          <w:szCs w:val="24"/>
          <w:u w:val="single"/>
        </w:rPr>
        <w:t>3</w:t>
      </w:r>
      <w:r>
        <w:rPr>
          <w:rFonts w:hint="eastAsia" w:ascii="仿宋" w:hAnsi="仿宋" w:eastAsia="仿宋" w:cs="仿宋"/>
          <w:sz w:val="24"/>
          <w:szCs w:val="24"/>
        </w:rPr>
        <w:t>个工作日内书面通知对方当事人，在对方当事人收到有关变更通知之前，变更前的约定送达方式或者地址仍视为有效。</w:t>
      </w:r>
      <w:bookmarkEnd w:id="476"/>
      <w:bookmarkEnd w:id="477"/>
    </w:p>
    <w:p>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81" w:name="_Toc23294"/>
      <w:bookmarkStart w:id="482" w:name="_Toc23128"/>
      <w:r>
        <w:rPr>
          <w:rFonts w:hint="eastAsia" w:ascii="仿宋" w:hAnsi="仿宋" w:eastAsia="仿宋" w:cs="仿宋"/>
          <w:sz w:val="24"/>
          <w:szCs w:val="24"/>
        </w:rPr>
        <w:t>2.</w:t>
      </w:r>
      <w:r>
        <w:rPr>
          <w:rFonts w:hint="eastAsia" w:ascii="仿宋" w:hAnsi="仿宋" w:eastAsia="仿宋" w:cs="仿宋"/>
          <w:sz w:val="24"/>
          <w:szCs w:val="24"/>
          <w:lang w:val="en-US" w:eastAsia="zh-CN"/>
        </w:rPr>
        <w:t>9</w:t>
      </w:r>
      <w:r>
        <w:rPr>
          <w:rFonts w:hint="eastAsia" w:ascii="仿宋" w:hAnsi="仿宋" w:eastAsia="仿宋" w:cs="仿宋"/>
          <w:sz w:val="24"/>
          <w:szCs w:val="24"/>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478"/>
      <w:bookmarkEnd w:id="479"/>
      <w:bookmarkEnd w:id="480"/>
      <w:bookmarkEnd w:id="481"/>
      <w:bookmarkEnd w:id="482"/>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83" w:name="_Toc487900373"/>
      <w:bookmarkStart w:id="484" w:name="_Toc259093692"/>
      <w:bookmarkStart w:id="485" w:name="_Toc12773"/>
      <w:bookmarkStart w:id="486" w:name="_Toc10330"/>
      <w:bookmarkStart w:id="487" w:name="_Toc18567"/>
      <w:bookmarkStart w:id="488" w:name="_Toc279701263"/>
      <w:r>
        <w:rPr>
          <w:rFonts w:hint="eastAsia" w:ascii="仿宋" w:hAnsi="仿宋" w:eastAsia="仿宋" w:cs="仿宋"/>
          <w:b/>
          <w:sz w:val="24"/>
          <w:szCs w:val="24"/>
        </w:rPr>
        <w:t>2.1</w:t>
      </w:r>
      <w:r>
        <w:rPr>
          <w:rFonts w:hint="eastAsia" w:ascii="仿宋" w:hAnsi="仿宋" w:eastAsia="仿宋" w:cs="仿宋"/>
          <w:b/>
          <w:sz w:val="24"/>
          <w:szCs w:val="24"/>
          <w:lang w:val="en-US" w:eastAsia="zh-CN"/>
        </w:rPr>
        <w:t>0</w:t>
      </w:r>
      <w:r>
        <w:rPr>
          <w:rFonts w:hint="eastAsia" w:ascii="仿宋" w:hAnsi="仿宋" w:eastAsia="仿宋" w:cs="仿宋"/>
          <w:b/>
          <w:sz w:val="24"/>
          <w:szCs w:val="24"/>
        </w:rPr>
        <w:t xml:space="preserve"> 合同使用的文字和适用的法律</w:t>
      </w:r>
      <w:bookmarkEnd w:id="483"/>
      <w:bookmarkEnd w:id="484"/>
      <w:bookmarkEnd w:id="485"/>
      <w:bookmarkEnd w:id="486"/>
      <w:bookmarkEnd w:id="487"/>
      <w:bookmarkEnd w:id="488"/>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w:t>
      </w:r>
      <w:r>
        <w:rPr>
          <w:rFonts w:hint="eastAsia" w:ascii="仿宋" w:hAnsi="仿宋" w:eastAsia="仿宋" w:cs="仿宋"/>
          <w:sz w:val="24"/>
          <w:szCs w:val="24"/>
          <w:lang w:val="en-US" w:eastAsia="zh-CN"/>
        </w:rPr>
        <w:t>0</w:t>
      </w:r>
      <w:r>
        <w:rPr>
          <w:rFonts w:hint="eastAsia" w:ascii="仿宋" w:hAnsi="仿宋" w:eastAsia="仿宋" w:cs="仿宋"/>
          <w:sz w:val="24"/>
          <w:szCs w:val="24"/>
        </w:rPr>
        <w:t>.1 合同使用汉语书就、变更和解释；</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w:t>
      </w:r>
      <w:r>
        <w:rPr>
          <w:rFonts w:hint="eastAsia" w:ascii="仿宋" w:hAnsi="仿宋" w:eastAsia="仿宋" w:cs="仿宋"/>
          <w:sz w:val="24"/>
          <w:szCs w:val="24"/>
          <w:lang w:val="en-US" w:eastAsia="zh-CN"/>
        </w:rPr>
        <w:t>0</w:t>
      </w:r>
      <w:r>
        <w:rPr>
          <w:rFonts w:hint="eastAsia" w:ascii="仿宋" w:hAnsi="仿宋" w:eastAsia="仿宋" w:cs="仿宋"/>
          <w:sz w:val="24"/>
          <w:szCs w:val="24"/>
        </w:rPr>
        <w:t>.2 合同适用中华人民共和国法律。</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89" w:name="_Toc3148"/>
      <w:bookmarkStart w:id="490" w:name="_Toc16673"/>
      <w:bookmarkStart w:id="491" w:name="_Toc12004"/>
      <w:bookmarkStart w:id="492" w:name="_Toc259093693"/>
      <w:bookmarkStart w:id="493" w:name="_Toc279701264"/>
      <w:bookmarkStart w:id="494" w:name="_Toc487900374"/>
      <w:r>
        <w:rPr>
          <w:rFonts w:hint="eastAsia" w:ascii="仿宋" w:hAnsi="仿宋" w:eastAsia="仿宋" w:cs="仿宋"/>
          <w:b/>
          <w:sz w:val="24"/>
          <w:szCs w:val="24"/>
        </w:rPr>
        <w:t>2.</w:t>
      </w:r>
      <w:r>
        <w:rPr>
          <w:rFonts w:hint="eastAsia" w:ascii="仿宋" w:hAnsi="仿宋" w:eastAsia="仿宋" w:cs="仿宋"/>
          <w:b/>
          <w:sz w:val="24"/>
          <w:szCs w:val="24"/>
          <w:lang w:val="en-US" w:eastAsia="zh-CN"/>
        </w:rPr>
        <w:t>11</w:t>
      </w:r>
      <w:r>
        <w:rPr>
          <w:rFonts w:hint="eastAsia" w:ascii="仿宋" w:hAnsi="仿宋" w:eastAsia="仿宋" w:cs="仿宋"/>
          <w:b/>
          <w:sz w:val="24"/>
          <w:szCs w:val="24"/>
        </w:rPr>
        <w:t xml:space="preserve"> 履约保证金</w:t>
      </w:r>
      <w:bookmarkEnd w:id="489"/>
      <w:bookmarkEnd w:id="490"/>
      <w:bookmarkEnd w:id="491"/>
      <w:bookmarkEnd w:id="492"/>
      <w:bookmarkEnd w:id="493"/>
    </w:p>
    <w:p>
      <w:pPr>
        <w:wordWrap/>
        <w:snapToGrid/>
        <w:spacing w:line="600" w:lineRule="exact"/>
        <w:ind w:left="0" w:leftChars="0" w:right="0" w:firstLine="480" w:firstLineChars="200"/>
        <w:textAlignment w:val="auto"/>
        <w:outlineLvl w:val="0"/>
        <w:rPr>
          <w:rFonts w:hint="eastAsia" w:ascii="仿宋" w:hAnsi="仿宋" w:eastAsia="仿宋" w:cs="仿宋"/>
          <w:color w:val="FF0000"/>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.1 采购文件要求乙方提交履约保证金的，乙方应按</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约定的方式，以支票、汇票、本票或者金融机构、担保机构出具的保函等非现金形式，提交不超过合同金额5%的履约保证金；鼓励和支持乙方以银行、保险公司出具的保函形式提供履约保证。</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.2  履约保证金在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约定期间内不予退还。</w:t>
      </w:r>
      <w:r>
        <w:rPr>
          <w:rFonts w:hint="eastAsia" w:ascii="仿宋" w:hAnsi="仿宋" w:eastAsia="仿宋" w:cs="仿宋"/>
          <w:color w:val="auto"/>
          <w:sz w:val="24"/>
          <w:szCs w:val="24"/>
        </w:rPr>
        <w:t>乙方在前述约定期间届满前能履行完合同约定义务事项的，甲方在前述约定期间届满之日起</w:t>
      </w:r>
      <w:r>
        <w:rPr>
          <w:rFonts w:hint="eastAsia" w:ascii="仿宋" w:hAnsi="仿宋" w:eastAsia="仿宋" w:cs="仿宋"/>
          <w:color w:val="auto"/>
          <w:sz w:val="24"/>
          <w:szCs w:val="24"/>
          <w:u w:val="single"/>
        </w:rPr>
        <w:t xml:space="preserve"> 5 </w:t>
      </w:r>
      <w:r>
        <w:rPr>
          <w:rFonts w:hint="eastAsia" w:ascii="仿宋" w:hAnsi="仿宋" w:eastAsia="仿宋" w:cs="仿宋"/>
          <w:color w:val="auto"/>
          <w:sz w:val="24"/>
          <w:szCs w:val="24"/>
        </w:rPr>
        <w:t>个工作日内，按</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约定的方式将履约保证金退还乙方，</w:t>
      </w:r>
      <w:r>
        <w:rPr>
          <w:rFonts w:hint="eastAsia" w:ascii="仿宋" w:hAnsi="仿宋" w:eastAsia="仿宋" w:cs="仿宋"/>
          <w:sz w:val="24"/>
          <w:szCs w:val="24"/>
        </w:rPr>
        <w:t>逾期退还的，乙方可要求甲方支付违约金，违约金按每迟延退还一日的应退还而未退还金额的</w:t>
      </w:r>
      <w:r>
        <w:rPr>
          <w:rFonts w:hint="eastAsia" w:ascii="仿宋" w:hAnsi="仿宋" w:eastAsia="仿宋" w:cs="仿宋"/>
          <w:sz w:val="24"/>
          <w:szCs w:val="24"/>
          <w:u w:val="single"/>
        </w:rPr>
        <w:t xml:space="preserve">  0.05  </w:t>
      </w:r>
      <w:r>
        <w:rPr>
          <w:rFonts w:hint="eastAsia" w:ascii="仿宋" w:hAnsi="仿宋" w:eastAsia="仿宋" w:cs="仿宋"/>
          <w:sz w:val="24"/>
          <w:szCs w:val="24"/>
        </w:rPr>
        <w:t>%计算，最高限额为本合同履约保证金的</w:t>
      </w:r>
      <w:r>
        <w:rPr>
          <w:rFonts w:hint="eastAsia" w:ascii="仿宋" w:hAnsi="仿宋" w:eastAsia="仿宋" w:cs="仿宋"/>
          <w:sz w:val="24"/>
          <w:szCs w:val="24"/>
          <w:u w:val="single"/>
        </w:rPr>
        <w:t xml:space="preserve">  20   </w:t>
      </w:r>
      <w:r>
        <w:rPr>
          <w:rFonts w:hint="eastAsia" w:ascii="仿宋" w:hAnsi="仿宋" w:eastAsia="仿宋" w:cs="仿宋"/>
          <w:sz w:val="24"/>
          <w:szCs w:val="24"/>
        </w:rPr>
        <w:t xml:space="preserve">%； </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5%。</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.5甲方在乙方履行完合同约定义务事项后及时退还，延迟退还的，应当按照合同约定和法律规定承担相应的赔偿责任。</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12</w:t>
      </w:r>
      <w:r>
        <w:rPr>
          <w:rFonts w:hint="eastAsia" w:ascii="仿宋" w:hAnsi="仿宋" w:eastAsia="仿宋" w:cs="仿宋"/>
          <w:sz w:val="24"/>
          <w:szCs w:val="24"/>
        </w:rPr>
        <w:t>对于因甲方原因导致变更、中止或者终止政府采购合同的，甲方应当依照合同约定对供应商受到的损失予以赔偿或者补偿。</w:t>
      </w:r>
    </w:p>
    <w:bookmarkEnd w:id="494"/>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95" w:name="_Toc19890"/>
      <w:bookmarkStart w:id="496" w:name="_Toc14001"/>
      <w:bookmarkStart w:id="497" w:name="_Toc6885"/>
      <w:r>
        <w:rPr>
          <w:rFonts w:hint="eastAsia" w:ascii="仿宋" w:hAnsi="仿宋" w:eastAsia="仿宋" w:cs="仿宋"/>
          <w:b/>
          <w:sz w:val="24"/>
          <w:szCs w:val="24"/>
        </w:rPr>
        <w:t>2.</w:t>
      </w:r>
      <w:r>
        <w:rPr>
          <w:rFonts w:hint="eastAsia" w:ascii="仿宋" w:hAnsi="仿宋" w:eastAsia="仿宋" w:cs="仿宋"/>
          <w:b/>
          <w:sz w:val="24"/>
          <w:szCs w:val="24"/>
          <w:lang w:val="en-US" w:eastAsia="zh-CN"/>
        </w:rPr>
        <w:t>13</w:t>
      </w:r>
      <w:r>
        <w:rPr>
          <w:rFonts w:hint="eastAsia" w:ascii="仿宋" w:hAnsi="仿宋" w:eastAsia="仿宋" w:cs="仿宋"/>
          <w:b/>
          <w:sz w:val="24"/>
          <w:szCs w:val="24"/>
        </w:rPr>
        <w:t>合同份数</w:t>
      </w:r>
      <w:bookmarkEnd w:id="495"/>
      <w:bookmarkEnd w:id="496"/>
      <w:bookmarkEnd w:id="497"/>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合同份数按</w:t>
      </w:r>
      <w:r>
        <w:rPr>
          <w:rFonts w:hint="eastAsia" w:ascii="仿宋" w:hAnsi="仿宋" w:eastAsia="仿宋" w:cs="仿宋"/>
          <w:b/>
          <w:i/>
          <w:sz w:val="24"/>
          <w:szCs w:val="24"/>
          <w:u w:val="single"/>
        </w:rPr>
        <w:t>合同专用条款</w:t>
      </w:r>
      <w:r>
        <w:rPr>
          <w:rFonts w:hint="eastAsia" w:ascii="仿宋" w:hAnsi="仿宋" w:eastAsia="仿宋" w:cs="仿宋"/>
          <w:sz w:val="24"/>
          <w:szCs w:val="24"/>
        </w:rPr>
        <w:t>规定，每份均具有同等法律效力。</w:t>
      </w:r>
    </w:p>
    <w:p>
      <w:pPr>
        <w:pStyle w:val="385"/>
        <w:wordWrap/>
        <w:spacing w:after="0" w:line="600" w:lineRule="exact"/>
        <w:jc w:val="center"/>
        <w:textAlignment w:val="auto"/>
        <w:rPr>
          <w:rFonts w:hint="eastAsia" w:ascii="仿宋" w:hAnsi="仿宋" w:eastAsia="仿宋" w:cs="仿宋"/>
          <w:b/>
          <w:sz w:val="28"/>
          <w:szCs w:val="28"/>
        </w:rPr>
      </w:pPr>
      <w:r>
        <w:rPr>
          <w:rFonts w:hint="eastAsia" w:ascii="仿宋" w:hAnsi="仿宋" w:eastAsia="仿宋" w:cs="仿宋"/>
          <w:kern w:val="0"/>
          <w:sz w:val="24"/>
          <w:szCs w:val="24"/>
        </w:rPr>
        <w:br w:type="page"/>
      </w:r>
      <w:r>
        <w:rPr>
          <w:rFonts w:hint="eastAsia" w:ascii="仿宋" w:hAnsi="仿宋" w:eastAsia="仿宋" w:cs="仿宋"/>
          <w:b/>
          <w:sz w:val="28"/>
          <w:szCs w:val="28"/>
        </w:rPr>
        <w:t>第三部分  合同专用条款</w:t>
      </w:r>
    </w:p>
    <w:p>
      <w:pPr>
        <w:wordWrap/>
        <w:spacing w:line="60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条款号</w:t>
            </w:r>
          </w:p>
        </w:tc>
        <w:tc>
          <w:tcPr>
            <w:tcW w:w="8275" w:type="dxa"/>
            <w:vAlign w:val="center"/>
          </w:tcPr>
          <w:p>
            <w:pPr>
              <w:wordWrap/>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1.4.4</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1.5.1</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1.5.2</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1.5.3</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1.6.7</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1.7.1</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1.7.2</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2.3.2</w:t>
            </w:r>
          </w:p>
        </w:tc>
        <w:tc>
          <w:tcPr>
            <w:tcW w:w="8275" w:type="dxa"/>
            <w:vAlign w:val="center"/>
          </w:tcPr>
          <w:p>
            <w:pPr>
              <w:wordWrap/>
              <w:spacing w:line="240" w:lineRule="auto"/>
              <w:ind w:left="-420" w:leftChars="-200" w:right="-420" w:rightChars="-200" w:firstLine="480" w:firstLineChars="200"/>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2.4.1</w:t>
            </w:r>
          </w:p>
        </w:tc>
        <w:tc>
          <w:tcPr>
            <w:tcW w:w="8275" w:type="dxa"/>
            <w:vAlign w:val="center"/>
          </w:tcPr>
          <w:p>
            <w:pPr>
              <w:wordWrap/>
              <w:spacing w:line="240" w:lineRule="auto"/>
              <w:ind w:left="-420" w:leftChars="-200" w:right="-420" w:rightChars="-200" w:firstLine="480" w:firstLineChars="200"/>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2.4.2</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2.8</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2.12.3</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2.12.4</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2.16.1</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2.16.3</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2.20.1</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2.20.2</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ind w:left="-420" w:leftChars="-200" w:right="-420" w:rightChars="-200" w:firstLine="480" w:firstLineChars="200"/>
              <w:jc w:val="both"/>
              <w:textAlignment w:val="auto"/>
              <w:outlineLvl w:val="0"/>
              <w:rPr>
                <w:rFonts w:hint="eastAsia" w:ascii="仿宋" w:hAnsi="仿宋" w:eastAsia="仿宋" w:cs="仿宋"/>
                <w:sz w:val="24"/>
                <w:szCs w:val="24"/>
              </w:rPr>
            </w:pPr>
            <w:r>
              <w:rPr>
                <w:rFonts w:hint="eastAsia" w:ascii="仿宋" w:hAnsi="仿宋" w:eastAsia="仿宋" w:cs="仿宋"/>
                <w:sz w:val="24"/>
                <w:szCs w:val="24"/>
              </w:rPr>
              <w:t>2.22</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bl>
    <w:p>
      <w:pPr>
        <w:spacing w:line="360" w:lineRule="auto"/>
        <w:ind w:left="-420" w:leftChars="-200" w:right="-420" w:rightChars="-200" w:firstLine="480" w:firstLineChars="200"/>
        <w:rPr>
          <w:rFonts w:hint="eastAsia" w:ascii="仿宋" w:hAnsi="仿宋" w:eastAsia="仿宋" w:cs="仿宋"/>
          <w:sz w:val="24"/>
        </w:rPr>
      </w:pPr>
    </w:p>
    <w:p>
      <w:pPr>
        <w:spacing w:line="360" w:lineRule="auto"/>
        <w:ind w:left="-420" w:leftChars="-200" w:right="-420" w:rightChars="-200"/>
        <w:rPr>
          <w:rFonts w:hint="eastAsia" w:ascii="仿宋" w:hAnsi="仿宋" w:eastAsia="仿宋" w:cs="仿宋"/>
          <w:sz w:val="24"/>
        </w:rPr>
      </w:pPr>
    </w:p>
    <w:p>
      <w:pPr>
        <w:spacing w:line="360" w:lineRule="auto"/>
        <w:ind w:left="-420" w:leftChars="-200" w:right="-420" w:rightChars="-200" w:firstLine="480" w:firstLineChars="200"/>
        <w:jc w:val="center"/>
        <w:outlineLvl w:val="0"/>
        <w:rPr>
          <w:rFonts w:hint="eastAsia" w:ascii="仿宋" w:hAnsi="仿宋" w:eastAsia="仿宋" w:cs="仿宋"/>
          <w:sz w:val="24"/>
        </w:rPr>
      </w:pPr>
    </w:p>
    <w:p>
      <w:pPr>
        <w:spacing w:line="360" w:lineRule="auto"/>
        <w:ind w:left="-420" w:leftChars="-200" w:right="-420" w:rightChars="-200" w:firstLine="480" w:firstLineChars="200"/>
        <w:jc w:val="center"/>
        <w:outlineLvl w:val="0"/>
        <w:rPr>
          <w:rFonts w:hint="eastAsia" w:ascii="仿宋" w:hAnsi="仿宋" w:eastAsia="仿宋" w:cs="仿宋"/>
          <w:sz w:val="24"/>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rPr>
      </w:pPr>
    </w:p>
    <w:p>
      <w:pPr>
        <w:spacing w:line="360" w:lineRule="auto"/>
        <w:ind w:left="720" w:firstLine="723" w:firstLineChars="200"/>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第六部分</w:t>
      </w:r>
      <w:bookmarkEnd w:id="392"/>
      <w:r>
        <w:rPr>
          <w:rFonts w:hint="eastAsia" w:ascii="仿宋" w:hAnsi="仿宋" w:eastAsia="仿宋" w:cs="仿宋"/>
          <w:b/>
          <w:color w:val="auto"/>
          <w:sz w:val="36"/>
          <w:szCs w:val="20"/>
        </w:rPr>
        <w:t xml:space="preserve"> </w:t>
      </w:r>
      <w:bookmarkEnd w:id="393"/>
      <w:r>
        <w:rPr>
          <w:rFonts w:hint="eastAsia" w:ascii="仿宋" w:hAnsi="仿宋" w:eastAsia="仿宋" w:cs="仿宋"/>
          <w:b/>
          <w:color w:val="auto"/>
          <w:sz w:val="36"/>
          <w:szCs w:val="20"/>
        </w:rPr>
        <w:t>应提交的有关格式范例</w:t>
      </w:r>
    </w:p>
    <w:p>
      <w:pPr>
        <w:spacing w:line="360" w:lineRule="auto"/>
        <w:jc w:val="center"/>
        <w:outlineLvl w:val="0"/>
        <w:rPr>
          <w:rFonts w:hint="eastAsia" w:ascii="仿宋" w:hAnsi="仿宋" w:eastAsia="仿宋" w:cs="仿宋"/>
          <w:b/>
          <w:color w:val="auto"/>
          <w:kern w:val="0"/>
          <w:sz w:val="36"/>
          <w:szCs w:val="36"/>
        </w:rPr>
      </w:pP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jc w:val="center"/>
        <w:outlineLvl w:val="0"/>
        <w:rPr>
          <w:rFonts w:hint="eastAsia" w:ascii="仿宋" w:hAnsi="仿宋" w:eastAsia="仿宋" w:cs="仿宋"/>
          <w:b/>
          <w:color w:val="auto"/>
          <w:kern w:val="0"/>
          <w:sz w:val="36"/>
          <w:szCs w:val="36"/>
        </w:rPr>
      </w:pP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（1）符合参加政府采购活动应当具备的一般条件的承诺函……………（页码）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（2）落实政府采购政策需满足的资格要求………………………………（页码）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（3）本项目的特定资格要求………………………………………………（页码）</w:t>
      </w:r>
    </w:p>
    <w:p>
      <w:pPr>
        <w:snapToGrid w:val="0"/>
        <w:spacing w:line="360" w:lineRule="auto"/>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p>
    <w:p>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rPr>
          <w:rFonts w:hint="eastAsia" w:ascii="仿宋" w:hAnsi="仿宋" w:eastAsia="仿宋" w:cs="仿宋"/>
          <w:color w:val="auto"/>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二、落实政府采购政策需满足的资格要求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auto"/>
          <w:sz w:val="24"/>
        </w:rPr>
      </w:pPr>
    </w:p>
    <w:p>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auto"/>
          <w:kern w:val="0"/>
          <w:sz w:val="32"/>
          <w:szCs w:val="32"/>
          <w:lang w:val="zh-CN"/>
        </w:rPr>
      </w:pPr>
      <w:r>
        <w:rPr>
          <w:rFonts w:hint="eastAsia" w:ascii="仿宋" w:hAnsi="仿宋" w:eastAsia="仿宋" w:cs="仿宋"/>
          <w:b/>
          <w:color w:val="auto"/>
          <w:sz w:val="24"/>
        </w:rPr>
        <w:t xml:space="preserve">    </w:t>
      </w:r>
      <w:r>
        <w:rPr>
          <w:rFonts w:hint="eastAsia" w:ascii="仿宋" w:hAnsi="仿宋" w:eastAsia="仿宋" w:cs="仿宋"/>
          <w:b/>
          <w:color w:val="auto"/>
          <w:kern w:val="0"/>
          <w:sz w:val="32"/>
          <w:szCs w:val="32"/>
          <w:lang w:val="zh-CN"/>
        </w:rPr>
        <w:t>联合协议</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w:t>
      </w: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pacing w:line="360" w:lineRule="auto"/>
        <w:ind w:firstLine="480" w:firstLineChars="200"/>
        <w:rPr>
          <w:rFonts w:hint="eastAsia" w:ascii="仿宋" w:hAnsi="仿宋" w:eastAsia="仿宋" w:cs="仿宋"/>
          <w:color w:val="auto"/>
          <w:sz w:val="24"/>
        </w:rPr>
      </w:pP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分包意向协议</w:t>
      </w:r>
    </w:p>
    <w:p>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pStyle w:val="2"/>
        <w:ind w:left="664" w:leftChars="316" w:firstLine="229" w:firstLineChars="95"/>
        <w:rPr>
          <w:rFonts w:hint="eastAsia" w:ascii="仿宋" w:hAnsi="仿宋" w:eastAsia="仿宋" w:cs="仿宋"/>
          <w:color w:val="auto"/>
        </w:rPr>
      </w:pPr>
      <w:r>
        <w:rPr>
          <w:rFonts w:hint="eastAsia" w:ascii="仿宋" w:hAnsi="仿宋" w:eastAsia="仿宋" w:cs="仿宋"/>
          <w:color w:val="auto"/>
          <w:kern w:val="0"/>
          <w:sz w:val="24"/>
          <w:szCs w:val="24"/>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二、分包工作履行期限、地点、方式</w:t>
      </w:r>
    </w:p>
    <w:p>
      <w:pPr>
        <w:snapToGrid w:val="0"/>
        <w:spacing w:line="360"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三、质量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四、价款或者报酬</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五、违约责任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六、争议解决的办法</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七、其他</w:t>
      </w:r>
    </w:p>
    <w:p>
      <w:pPr>
        <w:snapToGrid w:val="0"/>
        <w:spacing w:line="360" w:lineRule="auto"/>
        <w:ind w:left="5758" w:leftChars="342" w:hanging="5040" w:hangingChars="2100"/>
        <w:rPr>
          <w:rFonts w:hint="eastAsia"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                                           投标人名称(电子签名)：</w:t>
      </w:r>
    </w:p>
    <w:p>
      <w:pPr>
        <w:snapToGrid w:val="0"/>
        <w:spacing w:line="360" w:lineRule="auto"/>
        <w:ind w:firstLine="5640" w:firstLineChars="235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三、本项目的特定资格要求</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pPr>
        <w:rPr>
          <w:rFonts w:hint="eastAsia" w:ascii="仿宋" w:hAnsi="仿宋" w:eastAsia="仿宋" w:cs="仿宋"/>
          <w:color w:val="auto"/>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pacing w:line="360" w:lineRule="auto"/>
        <w:jc w:val="center"/>
        <w:outlineLvl w:val="0"/>
        <w:rPr>
          <w:rFonts w:hint="eastAsia" w:ascii="仿宋" w:hAnsi="仿宋" w:eastAsia="仿宋" w:cs="仿宋"/>
          <w:b/>
          <w:color w:val="auto"/>
          <w:kern w:val="0"/>
          <w:sz w:val="36"/>
          <w:szCs w:val="36"/>
        </w:rPr>
      </w:pPr>
    </w:p>
    <w:p>
      <w:pPr>
        <w:snapToGrid w:val="0"/>
        <w:spacing w:line="360" w:lineRule="auto"/>
        <w:ind w:right="480"/>
        <w:jc w:val="center"/>
        <w:rPr>
          <w:rFonts w:hint="eastAsia" w:ascii="仿宋" w:hAnsi="仿宋" w:eastAsia="仿宋" w:cs="仿宋"/>
          <w:b/>
          <w:color w:val="auto"/>
          <w:kern w:val="0"/>
          <w:sz w:val="32"/>
          <w:szCs w:val="32"/>
        </w:rPr>
      </w:pPr>
    </w:p>
    <w:p>
      <w:pPr>
        <w:spacing w:line="360" w:lineRule="auto"/>
        <w:jc w:val="center"/>
        <w:outlineLvl w:val="0"/>
        <w:rPr>
          <w:rFonts w:hint="eastAsia" w:ascii="仿宋" w:hAnsi="仿宋" w:eastAsia="仿宋" w:cs="仿宋"/>
          <w:b/>
          <w:color w:val="auto"/>
          <w:kern w:val="0"/>
          <w:sz w:val="36"/>
          <w:szCs w:val="36"/>
        </w:rPr>
      </w:pPr>
    </w:p>
    <w:p>
      <w:pPr>
        <w:snapToGrid w:val="0"/>
        <w:spacing w:line="360" w:lineRule="auto"/>
        <w:ind w:right="480"/>
        <w:jc w:val="center"/>
        <w:rPr>
          <w:rFonts w:hint="eastAsia" w:ascii="仿宋" w:hAnsi="仿宋" w:eastAsia="仿宋" w:cs="仿宋"/>
          <w:b/>
          <w:color w:val="auto"/>
          <w:kern w:val="0"/>
          <w:sz w:val="32"/>
          <w:szCs w:val="32"/>
        </w:rPr>
      </w:pPr>
    </w:p>
    <w:p>
      <w:pPr>
        <w:spacing w:line="360" w:lineRule="auto"/>
        <w:jc w:val="center"/>
        <w:outlineLvl w:val="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pPr>
        <w:spacing w:line="360" w:lineRule="auto"/>
        <w:jc w:val="center"/>
        <w:outlineLvl w:val="0"/>
        <w:rPr>
          <w:rFonts w:hint="eastAsia" w:ascii="仿宋" w:hAnsi="仿宋" w:eastAsia="仿宋" w:cs="仿宋"/>
          <w:b/>
          <w:color w:val="auto"/>
          <w:kern w:val="0"/>
          <w:sz w:val="24"/>
        </w:rPr>
      </w:pPr>
    </w:p>
    <w:p>
      <w:pPr>
        <w:spacing w:line="360"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（1）投标函</w:t>
      </w:r>
      <w:r>
        <w:rPr>
          <w:rFonts w:hint="eastAsia" w:ascii="仿宋" w:hAnsi="仿宋" w:eastAsia="仿宋" w:cs="仿宋"/>
          <w:color w:val="auto"/>
        </w:rPr>
        <w:t>…………………………………………………………………………………（页码）</w:t>
      </w: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（3）联合协议</w:t>
      </w:r>
      <w:r>
        <w:rPr>
          <w:rFonts w:hint="eastAsia" w:ascii="仿宋" w:hAnsi="仿宋" w:eastAsia="仿宋" w:cs="仿宋"/>
          <w:color w:val="auto"/>
        </w:rPr>
        <w:t>………………………………………………………………………………（页码）</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（4）分包意向协议</w:t>
      </w:r>
      <w:r>
        <w:rPr>
          <w:rFonts w:hint="eastAsia" w:ascii="仿宋" w:hAnsi="仿宋" w:eastAsia="仿宋" w:cs="仿宋"/>
          <w:color w:val="auto"/>
        </w:rPr>
        <w:t>…………………………………………………………………………（页码）</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（5）符合性审查资料</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（6）评标标准相应的商务技术资料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（7）商务技术偏离表</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rPr>
          <w:rFonts w:hint="eastAsia" w:ascii="仿宋" w:hAnsi="仿宋" w:eastAsia="仿宋" w:cs="仿宋"/>
          <w:color w:val="auto"/>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2.1.1承诺函；</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2.1.2落实政府采购政策需满足的资格要求（如果有）；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2.1.3本项目的特定资格要求（如果有）。</w:t>
      </w:r>
    </w:p>
    <w:p>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2.2.1投标函；</w:t>
      </w:r>
      <w:r>
        <w:rPr>
          <w:rFonts w:hint="eastAsia" w:ascii="仿宋" w:hAnsi="仿宋" w:eastAsia="仿宋" w:cs="仿宋"/>
          <w:color w:val="auto"/>
          <w:sz w:val="24"/>
          <w:lang w:val="zh-CN"/>
        </w:rPr>
        <w:t xml:space="preserve"> </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2.2.3联合协议（如果有）；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2.2.4分包意向协议（如果有）；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2.2.5符合性审查资料；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2.2.6评标标准相应的商务技术资料；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2.2.7商务技术偏离表；</w:t>
      </w:r>
    </w:p>
    <w:p>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4、如我方中标，我方承诺：</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5、其他补充说明: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60"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投标人名称（电子签名）：                          </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u w:val="single"/>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rPr>
          <w:rFonts w:hint="eastAsia" w:ascii="仿宋" w:hAnsi="仿宋" w:eastAsia="仿宋" w:cs="仿宋"/>
          <w:color w:val="auto"/>
          <w:sz w:val="24"/>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p>
    <w:p>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r>
        <w:rPr>
          <w:rFonts w:hint="eastAsia" w:ascii="仿宋" w:hAnsi="仿宋" w:eastAsia="仿宋" w:cs="仿宋"/>
          <w:color w:val="auto"/>
        </w:rPr>
        <w:t xml:space="preserve">                               </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投标人名称(电子签名)：</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pPr>
        <w:snapToGrid w:val="0"/>
        <w:spacing w:line="360" w:lineRule="auto"/>
        <w:rPr>
          <w:rFonts w:hint="eastAsia" w:ascii="仿宋" w:hAnsi="仿宋" w:eastAsia="仿宋" w:cs="仿宋"/>
          <w:color w:val="auto"/>
          <w:sz w:val="24"/>
        </w:rPr>
      </w:pPr>
    </w:p>
    <w:p>
      <w:pPr>
        <w:snapToGrid w:val="0"/>
        <w:spacing w:line="360" w:lineRule="auto"/>
        <w:rPr>
          <w:rFonts w:hint="eastAsia" w:ascii="仿宋" w:hAnsi="仿宋" w:eastAsia="仿宋" w:cs="仿宋"/>
          <w:color w:val="auto"/>
          <w:sz w:val="24"/>
        </w:rPr>
      </w:pPr>
    </w:p>
    <w:p>
      <w:pPr>
        <w:snapToGrid w:val="0"/>
        <w:spacing w:line="360" w:lineRule="auto"/>
        <w:rPr>
          <w:rFonts w:hint="eastAsia" w:ascii="仿宋" w:hAnsi="仿宋" w:eastAsia="仿宋" w:cs="仿宋"/>
          <w:color w:val="auto"/>
          <w:sz w:val="24"/>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 xml:space="preserve">      </w:t>
      </w:r>
      <w:r>
        <w:rPr>
          <w:rFonts w:hint="eastAsia" w:ascii="仿宋" w:hAnsi="仿宋" w:eastAsia="仿宋" w:cs="仿宋"/>
          <w:b/>
          <w:color w:val="auto"/>
          <w:kern w:val="0"/>
          <w:sz w:val="32"/>
          <w:szCs w:val="32"/>
        </w:rPr>
        <w:t xml:space="preserve"> </w:t>
      </w:r>
      <w:r>
        <w:rPr>
          <w:rFonts w:hint="eastAsia" w:ascii="仿宋" w:hAnsi="仿宋" w:eastAsia="仿宋" w:cs="仿宋"/>
          <w:b/>
          <w:color w:val="auto"/>
          <w:kern w:val="0"/>
          <w:sz w:val="32"/>
          <w:szCs w:val="32"/>
          <w:lang w:val="zh-CN"/>
        </w:rPr>
        <w:t>授权委托书（适用于联合体投标）</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rPr>
          <w:rFonts w:hint="eastAsia" w:ascii="仿宋" w:hAnsi="仿宋" w:eastAsia="仿宋" w:cs="仿宋"/>
          <w:color w:val="auto"/>
        </w:rPr>
      </w:pP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autoSpaceDE w:val="0"/>
        <w:autoSpaceDN w:val="0"/>
        <w:spacing w:line="360" w:lineRule="auto"/>
        <w:jc w:val="center"/>
        <w:rPr>
          <w:rFonts w:hint="eastAsia"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pPr>
        <w:pStyle w:val="87"/>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7"/>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pPr>
              <w:pStyle w:val="87"/>
              <w:adjustRightInd w:val="0"/>
              <w:spacing w:line="360" w:lineRule="auto"/>
              <w:rPr>
                <w:rFonts w:hint="eastAsia" w:ascii="仿宋" w:hAnsi="仿宋" w:eastAsia="仿宋" w:cs="仿宋"/>
                <w:bCs/>
                <w:color w:val="auto"/>
                <w:sz w:val="24"/>
              </w:rPr>
            </w:pPr>
          </w:p>
        </w:tc>
      </w:tr>
    </w:tbl>
    <w:p>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                              </w:t>
      </w:r>
    </w:p>
    <w:p>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rPr>
        <w:t>三、</w:t>
      </w:r>
      <w:r>
        <w:rPr>
          <w:rFonts w:hint="eastAsia" w:ascii="仿宋" w:hAnsi="仿宋" w:eastAsia="仿宋" w:cs="仿宋"/>
          <w:b/>
          <w:color w:val="auto"/>
          <w:kern w:val="0"/>
          <w:sz w:val="32"/>
          <w:szCs w:val="32"/>
          <w:lang w:val="zh-CN"/>
        </w:rPr>
        <w:t>联合协议</w:t>
      </w:r>
    </w:p>
    <w:p>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四、</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rPr>
        <w:t>提供的全部货物由小微企业制造，其合同份额占到合同总金额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napToGrid w:val="0"/>
        <w:spacing w:line="360" w:lineRule="auto"/>
        <w:ind w:right="480"/>
        <w:rPr>
          <w:rFonts w:hint="eastAsia" w:ascii="仿宋" w:hAnsi="仿宋" w:eastAsia="仿宋" w:cs="仿宋"/>
          <w:b/>
          <w:color w:val="auto"/>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四、分包意向协议</w:t>
      </w:r>
    </w:p>
    <w:p>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pStyle w:val="2"/>
        <w:ind w:left="664" w:leftChars="316" w:firstLine="229" w:firstLineChars="95"/>
        <w:rPr>
          <w:rFonts w:hint="eastAsia" w:ascii="仿宋" w:hAnsi="仿宋" w:eastAsia="仿宋" w:cs="仿宋"/>
          <w:color w:val="auto"/>
        </w:rPr>
      </w:pPr>
      <w:r>
        <w:rPr>
          <w:rFonts w:hint="eastAsia" w:ascii="仿宋" w:hAnsi="仿宋" w:eastAsia="仿宋" w:cs="仿宋"/>
          <w:color w:val="auto"/>
          <w:kern w:val="0"/>
          <w:sz w:val="24"/>
          <w:szCs w:val="24"/>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二、分包工作履行期限、地点、方式</w:t>
      </w:r>
    </w:p>
    <w:p>
      <w:pPr>
        <w:snapToGrid w:val="0"/>
        <w:spacing w:line="360"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三、质量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四、价款或者报酬</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五、违约责任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六、争议解决的办法</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七、其他</w:t>
      </w:r>
    </w:p>
    <w:p>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u w:val="single"/>
        </w:rPr>
        <w:t>（分包供应商名称）提供的货物全部由小微企业制造，</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五、符合性审查资料</w:t>
      </w:r>
    </w:p>
    <w:p>
      <w:pPr>
        <w:jc w:val="center"/>
        <w:rPr>
          <w:rFonts w:hint="eastAsia" w:ascii="仿宋" w:hAnsi="仿宋" w:eastAsia="仿宋" w:cs="仿宋"/>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4991"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实质性要求</w:t>
            </w:r>
          </w:p>
        </w:tc>
        <w:tc>
          <w:tcPr>
            <w:tcW w:w="2551"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投标文件中的</w:t>
            </w:r>
          </w:p>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rPr>
            </w:pPr>
            <w:r>
              <w:rPr>
                <w:rFonts w:hint="eastAsia" w:ascii="仿宋" w:hAnsi="仿宋" w:eastAsia="仿宋" w:cs="仿宋"/>
                <w:color w:val="auto"/>
                <w:sz w:val="24"/>
              </w:rPr>
              <w:t>1</w:t>
            </w:r>
          </w:p>
        </w:tc>
        <w:tc>
          <w:tcPr>
            <w:tcW w:w="49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vAlign w:val="top"/>
          </w:tcPr>
          <w:p>
            <w:pPr>
              <w:rPr>
                <w:rFonts w:hint="eastAsia" w:ascii="仿宋" w:hAnsi="仿宋" w:eastAsia="仿宋" w:cs="仿宋"/>
                <w:color w:val="auto"/>
                <w:sz w:val="24"/>
              </w:rPr>
            </w:pPr>
          </w:p>
          <w:p>
            <w:pPr>
              <w:rPr>
                <w:rFonts w:hint="eastAsia" w:ascii="仿宋" w:hAnsi="仿宋" w:eastAsia="仿宋" w:cs="仿宋"/>
                <w:color w:val="auto"/>
                <w:sz w:val="24"/>
              </w:rPr>
            </w:pPr>
            <w:r>
              <w:rPr>
                <w:rFonts w:hint="eastAsia" w:ascii="仿宋" w:hAnsi="仿宋" w:eastAsia="仿宋" w:cs="仿宋"/>
                <w:color w:val="auto"/>
                <w:sz w:val="24"/>
              </w:rPr>
              <w:t>见投标文件</w:t>
            </w:r>
          </w:p>
          <w:p>
            <w:pPr>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w:t>
            </w:r>
          </w:p>
        </w:tc>
        <w:tc>
          <w:tcPr>
            <w:tcW w:w="49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sz w:val="24"/>
              </w:rPr>
              <w:t>节能产品认证证书（本项目拟采购的产品不属于政府强制采购的节能产品品目清单范围的，无需提供）</w:t>
            </w:r>
          </w:p>
        </w:tc>
        <w:tc>
          <w:tcPr>
            <w:tcW w:w="1418" w:type="dxa"/>
            <w:vAlign w:val="top"/>
          </w:tcPr>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r>
              <w:rPr>
                <w:rFonts w:hint="eastAsia" w:ascii="仿宋" w:hAnsi="仿宋" w:eastAsia="仿宋" w:cs="仿宋"/>
                <w:color w:val="auto"/>
                <w:sz w:val="24"/>
              </w:rPr>
              <w:t>见投标文件</w:t>
            </w:r>
          </w:p>
          <w:p>
            <w:pPr>
              <w:pStyle w:val="2"/>
              <w:rPr>
                <w:rFonts w:hint="eastAsia" w:ascii="仿宋" w:hAnsi="仿宋" w:eastAsia="仿宋" w:cs="仿宋"/>
                <w:color w:val="auto"/>
                <w:lang w:val="en-US"/>
              </w:rPr>
            </w:pPr>
            <w:r>
              <w:rPr>
                <w:rFonts w:hint="eastAsia" w:ascii="仿宋" w:hAnsi="仿宋" w:eastAsia="仿宋" w:cs="仿宋"/>
                <w:b w:val="0"/>
                <w:bCs w:val="0"/>
                <w:color w:val="auto"/>
                <w:sz w:val="24"/>
                <w:szCs w:val="24"/>
                <w:lang w:val="en-US"/>
              </w:rPr>
              <w:t>第</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rPr>
            </w:pPr>
            <w:r>
              <w:rPr>
                <w:rFonts w:hint="eastAsia" w:ascii="仿宋" w:hAnsi="仿宋" w:eastAsia="仿宋" w:cs="仿宋"/>
                <w:color w:val="auto"/>
                <w:sz w:val="24"/>
              </w:rPr>
              <w:t>3</w:t>
            </w:r>
          </w:p>
        </w:tc>
        <w:tc>
          <w:tcPr>
            <w:tcW w:w="49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vAlign w:val="top"/>
          </w:tcPr>
          <w:p>
            <w:pP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rPr>
            </w:pPr>
            <w:r>
              <w:rPr>
                <w:rFonts w:hint="eastAsia" w:ascii="仿宋" w:hAnsi="仿宋" w:eastAsia="仿宋" w:cs="仿宋"/>
                <w:color w:val="auto"/>
                <w:sz w:val="24"/>
              </w:rPr>
              <w:t>4</w:t>
            </w:r>
          </w:p>
        </w:tc>
        <w:tc>
          <w:tcPr>
            <w:tcW w:w="49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 系指实质性要求条款，招标文件无其它实质性要求的，无需提供）</w:t>
            </w:r>
          </w:p>
        </w:tc>
        <w:tc>
          <w:tcPr>
            <w:tcW w:w="1418" w:type="dxa"/>
            <w:vAlign w:val="top"/>
          </w:tcPr>
          <w:p>
            <w:pP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 xml:space="preserve">            </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color w:val="auto"/>
        </w:rPr>
      </w:pPr>
      <w:r>
        <w:rPr>
          <w:rFonts w:hint="eastAsia" w:ascii="仿宋" w:hAnsi="仿宋" w:eastAsia="仿宋" w:cs="仿宋"/>
          <w:b/>
          <w:color w:val="auto"/>
          <w:kern w:val="0"/>
          <w:sz w:val="32"/>
          <w:szCs w:val="32"/>
        </w:rPr>
        <w:t>六、评标标准相应的商务技术资料</w:t>
      </w:r>
    </w:p>
    <w:p>
      <w:pPr>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vAlign w:val="top"/>
          </w:tcPr>
          <w:p>
            <w:pPr>
              <w:jc w:val="center"/>
              <w:rPr>
                <w:rFonts w:hint="eastAsia"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vAlign w:val="top"/>
          </w:tcPr>
          <w:p>
            <w:pPr>
              <w:jc w:val="center"/>
              <w:rPr>
                <w:rFonts w:hint="eastAsia"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276" w:type="dxa"/>
            <w:vAlign w:val="top"/>
          </w:tcPr>
          <w:p>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vAlign w:val="top"/>
          </w:tcPr>
          <w:p>
            <w:pPr>
              <w:jc w:val="center"/>
              <w:rPr>
                <w:rFonts w:hint="eastAsia" w:ascii="仿宋" w:hAnsi="仿宋" w:eastAsia="仿宋" w:cs="仿宋"/>
                <w:b/>
                <w:color w:val="auto"/>
                <w:kern w:val="0"/>
                <w:sz w:val="32"/>
                <w:szCs w:val="32"/>
              </w:rPr>
            </w:pPr>
          </w:p>
        </w:tc>
        <w:tc>
          <w:tcPr>
            <w:tcW w:w="3546" w:type="dxa"/>
            <w:vAlign w:val="top"/>
          </w:tcPr>
          <w:p>
            <w:pPr>
              <w:jc w:val="center"/>
              <w:rPr>
                <w:rFonts w:hint="eastAsia" w:ascii="仿宋" w:hAnsi="仿宋" w:eastAsia="仿宋" w:cs="仿宋"/>
                <w:b/>
                <w:color w:val="auto"/>
                <w:kern w:val="0"/>
                <w:sz w:val="32"/>
                <w:szCs w:val="32"/>
              </w:rPr>
            </w:pPr>
          </w:p>
        </w:tc>
        <w:tc>
          <w:tcPr>
            <w:tcW w:w="1276" w:type="dxa"/>
            <w:vAlign w:val="top"/>
          </w:tcPr>
          <w:p>
            <w:pPr>
              <w:jc w:val="center"/>
              <w:rPr>
                <w:rFonts w:hint="eastAsia"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vAlign w:val="top"/>
          </w:tcPr>
          <w:p>
            <w:pPr>
              <w:jc w:val="center"/>
              <w:rPr>
                <w:rFonts w:hint="eastAsia" w:ascii="仿宋" w:hAnsi="仿宋" w:eastAsia="仿宋" w:cs="仿宋"/>
                <w:b/>
                <w:color w:val="auto"/>
                <w:kern w:val="0"/>
                <w:sz w:val="32"/>
                <w:szCs w:val="32"/>
              </w:rPr>
            </w:pPr>
          </w:p>
        </w:tc>
        <w:tc>
          <w:tcPr>
            <w:tcW w:w="3546" w:type="dxa"/>
            <w:vAlign w:val="top"/>
          </w:tcPr>
          <w:p>
            <w:pPr>
              <w:jc w:val="center"/>
              <w:rPr>
                <w:rFonts w:hint="eastAsia" w:ascii="仿宋" w:hAnsi="仿宋" w:eastAsia="仿宋" w:cs="仿宋"/>
                <w:b/>
                <w:color w:val="auto"/>
                <w:kern w:val="0"/>
                <w:sz w:val="32"/>
                <w:szCs w:val="32"/>
              </w:rPr>
            </w:pPr>
          </w:p>
        </w:tc>
        <w:tc>
          <w:tcPr>
            <w:tcW w:w="1276" w:type="dxa"/>
            <w:vAlign w:val="top"/>
          </w:tcPr>
          <w:p>
            <w:pPr>
              <w:jc w:val="center"/>
              <w:rPr>
                <w:rFonts w:hint="eastAsia"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vAlign w:val="top"/>
          </w:tcPr>
          <w:p>
            <w:pPr>
              <w:jc w:val="center"/>
              <w:rPr>
                <w:rFonts w:hint="eastAsia" w:ascii="仿宋" w:hAnsi="仿宋" w:eastAsia="仿宋" w:cs="仿宋"/>
                <w:b/>
                <w:color w:val="auto"/>
                <w:kern w:val="0"/>
                <w:sz w:val="32"/>
                <w:szCs w:val="32"/>
              </w:rPr>
            </w:pPr>
          </w:p>
        </w:tc>
        <w:tc>
          <w:tcPr>
            <w:tcW w:w="3546" w:type="dxa"/>
            <w:vAlign w:val="top"/>
          </w:tcPr>
          <w:p>
            <w:pPr>
              <w:jc w:val="center"/>
              <w:rPr>
                <w:rFonts w:hint="eastAsia" w:ascii="仿宋" w:hAnsi="仿宋" w:eastAsia="仿宋" w:cs="仿宋"/>
                <w:b/>
                <w:color w:val="auto"/>
                <w:kern w:val="0"/>
                <w:sz w:val="32"/>
                <w:szCs w:val="32"/>
              </w:rPr>
            </w:pPr>
          </w:p>
        </w:tc>
        <w:tc>
          <w:tcPr>
            <w:tcW w:w="1276" w:type="dxa"/>
            <w:vAlign w:val="top"/>
          </w:tcPr>
          <w:p>
            <w:pPr>
              <w:jc w:val="center"/>
              <w:rPr>
                <w:rFonts w:hint="eastAsia" w:ascii="仿宋" w:hAnsi="仿宋" w:eastAsia="仿宋" w:cs="仿宋"/>
                <w:b/>
                <w:color w:val="auto"/>
                <w:kern w:val="0"/>
                <w:sz w:val="32"/>
                <w:szCs w:val="32"/>
              </w:rPr>
            </w:pPr>
          </w:p>
        </w:tc>
      </w:tr>
    </w:tbl>
    <w:p>
      <w:pPr>
        <w:jc w:val="left"/>
        <w:rPr>
          <w:rFonts w:hint="eastAsia" w:ascii="仿宋" w:hAnsi="仿宋" w:eastAsia="仿宋" w:cs="仿宋"/>
          <w:color w:val="auto"/>
          <w:kern w:val="0"/>
          <w:sz w:val="24"/>
        </w:rPr>
      </w:pPr>
      <w:r>
        <w:rPr>
          <w:rFonts w:hint="eastAsia" w:ascii="仿宋" w:hAnsi="仿宋" w:eastAsia="仿宋" w:cs="仿宋"/>
          <w:color w:val="auto"/>
          <w:kern w:val="0"/>
          <w:sz w:val="24"/>
        </w:rPr>
        <w:t>投标人保证：除商务技术偏离表列出的偏离外，投标人响应招标文件的全部要求</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ind w:firstLine="2891" w:firstLineChars="900"/>
        <w:rPr>
          <w:rFonts w:hint="eastAsia" w:ascii="仿宋" w:hAnsi="仿宋" w:eastAsia="仿宋" w:cs="仿宋"/>
          <w:b/>
          <w:bCs/>
          <w:color w:val="auto"/>
          <w:sz w:val="32"/>
          <w:szCs w:val="32"/>
        </w:rPr>
      </w:pPr>
    </w:p>
    <w:p>
      <w:pPr>
        <w:ind w:firstLine="2891" w:firstLineChars="900"/>
        <w:rPr>
          <w:rFonts w:hint="eastAsia" w:ascii="仿宋" w:hAnsi="仿宋" w:eastAsia="仿宋" w:cs="仿宋"/>
          <w:b/>
          <w:bCs/>
          <w:color w:val="auto"/>
          <w:sz w:val="32"/>
          <w:szCs w:val="32"/>
        </w:rPr>
      </w:pPr>
    </w:p>
    <w:p>
      <w:pPr>
        <w:ind w:firstLine="2891" w:firstLineChars="900"/>
        <w:rPr>
          <w:rFonts w:hint="eastAsia" w:ascii="仿宋" w:hAnsi="仿宋" w:eastAsia="仿宋" w:cs="仿宋"/>
          <w:b/>
          <w:bCs/>
          <w:color w:val="auto"/>
          <w:sz w:val="32"/>
          <w:szCs w:val="32"/>
        </w:rPr>
      </w:pPr>
    </w:p>
    <w:p>
      <w:pPr>
        <w:ind w:firstLine="2891" w:firstLineChars="900"/>
        <w:rPr>
          <w:rFonts w:hint="eastAsia" w:ascii="仿宋" w:hAnsi="仿宋" w:eastAsia="仿宋" w:cs="仿宋"/>
          <w:b/>
          <w:bCs/>
          <w:color w:val="auto"/>
          <w:sz w:val="32"/>
          <w:szCs w:val="32"/>
        </w:rPr>
      </w:pPr>
    </w:p>
    <w:p>
      <w:pPr>
        <w:ind w:firstLine="2891" w:firstLineChars="900"/>
        <w:rPr>
          <w:rFonts w:hint="eastAsia" w:ascii="仿宋" w:hAnsi="仿宋" w:eastAsia="仿宋" w:cs="仿宋"/>
          <w:b/>
          <w:bCs/>
          <w:color w:val="auto"/>
          <w:sz w:val="32"/>
          <w:szCs w:val="32"/>
        </w:rPr>
      </w:pPr>
    </w:p>
    <w:p>
      <w:pPr>
        <w:ind w:firstLine="2891" w:firstLineChars="900"/>
        <w:rPr>
          <w:rFonts w:hint="eastAsia" w:ascii="仿宋" w:hAnsi="仿宋" w:eastAsia="仿宋" w:cs="仿宋"/>
          <w:b/>
          <w:bCs/>
          <w:color w:val="auto"/>
          <w:sz w:val="32"/>
          <w:szCs w:val="32"/>
        </w:rPr>
      </w:pPr>
    </w:p>
    <w:p>
      <w:pPr>
        <w:ind w:firstLine="2891" w:firstLineChars="900"/>
        <w:rPr>
          <w:rFonts w:hint="eastAsia" w:ascii="仿宋" w:hAnsi="仿宋" w:eastAsia="仿宋" w:cs="仿宋"/>
          <w:b/>
          <w:color w:val="auto"/>
          <w:kern w:val="0"/>
          <w:sz w:val="32"/>
          <w:szCs w:val="32"/>
        </w:rPr>
      </w:pPr>
    </w:p>
    <w:p>
      <w:pPr>
        <w:ind w:firstLine="2891" w:firstLineChars="900"/>
        <w:rPr>
          <w:rFonts w:hint="eastAsia" w:ascii="仿宋" w:hAnsi="仿宋" w:eastAsia="仿宋" w:cs="仿宋"/>
          <w:b/>
          <w:color w:val="auto"/>
          <w:kern w:val="0"/>
          <w:sz w:val="32"/>
          <w:szCs w:val="32"/>
        </w:rPr>
      </w:pPr>
    </w:p>
    <w:p>
      <w:pPr>
        <w:ind w:firstLine="2891" w:firstLineChars="900"/>
        <w:rPr>
          <w:rFonts w:hint="eastAsia" w:ascii="仿宋" w:hAnsi="仿宋" w:eastAsia="仿宋" w:cs="仿宋"/>
          <w:b/>
          <w:color w:val="auto"/>
          <w:kern w:val="0"/>
          <w:sz w:val="32"/>
          <w:szCs w:val="32"/>
        </w:rPr>
      </w:pPr>
    </w:p>
    <w:p>
      <w:pPr>
        <w:ind w:firstLine="2891" w:firstLineChars="900"/>
        <w:rPr>
          <w:rFonts w:hint="eastAsia" w:ascii="仿宋" w:hAnsi="仿宋" w:eastAsia="仿宋" w:cs="仿宋"/>
          <w:b/>
          <w:color w:val="auto"/>
          <w:kern w:val="0"/>
          <w:sz w:val="32"/>
          <w:szCs w:val="32"/>
        </w:rPr>
      </w:pPr>
    </w:p>
    <w:p>
      <w:pPr>
        <w:ind w:firstLine="2891" w:firstLineChars="900"/>
        <w:rPr>
          <w:rFonts w:hint="eastAsia" w:ascii="仿宋" w:hAnsi="仿宋" w:eastAsia="仿宋" w:cs="仿宋"/>
          <w:b/>
          <w:color w:val="auto"/>
          <w:kern w:val="0"/>
          <w:sz w:val="32"/>
          <w:szCs w:val="32"/>
        </w:rPr>
      </w:pPr>
    </w:p>
    <w:p>
      <w:pPr>
        <w:ind w:firstLine="2891" w:firstLineChars="900"/>
        <w:rPr>
          <w:rFonts w:hint="eastAsia" w:ascii="仿宋" w:hAnsi="仿宋" w:eastAsia="仿宋" w:cs="仿宋"/>
          <w:b/>
          <w:color w:val="auto"/>
          <w:kern w:val="0"/>
          <w:sz w:val="32"/>
          <w:szCs w:val="32"/>
        </w:rPr>
      </w:pPr>
    </w:p>
    <w:p>
      <w:pPr>
        <w:ind w:firstLine="2891" w:firstLineChars="900"/>
        <w:rPr>
          <w:rFonts w:hint="eastAsia" w:ascii="仿宋" w:hAnsi="仿宋" w:eastAsia="仿宋" w:cs="仿宋"/>
          <w:b/>
          <w:color w:val="auto"/>
          <w:kern w:val="0"/>
          <w:sz w:val="32"/>
          <w:szCs w:val="32"/>
        </w:rPr>
      </w:pPr>
    </w:p>
    <w:p>
      <w:pPr>
        <w:ind w:firstLine="2891" w:firstLineChars="900"/>
        <w:rPr>
          <w:rFonts w:hint="eastAsia" w:ascii="仿宋" w:hAnsi="仿宋" w:eastAsia="仿宋" w:cs="仿宋"/>
          <w:b/>
          <w:color w:val="auto"/>
          <w:kern w:val="0"/>
          <w:sz w:val="32"/>
          <w:szCs w:val="32"/>
        </w:rPr>
      </w:pPr>
    </w:p>
    <w:p>
      <w:pPr>
        <w:ind w:firstLine="2891" w:firstLineChars="900"/>
        <w:rPr>
          <w:rFonts w:hint="eastAsia" w:ascii="仿宋" w:hAnsi="仿宋" w:eastAsia="仿宋" w:cs="仿宋"/>
          <w:b/>
          <w:color w:val="auto"/>
          <w:kern w:val="0"/>
          <w:sz w:val="32"/>
          <w:szCs w:val="32"/>
        </w:rPr>
      </w:pPr>
    </w:p>
    <w:p>
      <w:pPr>
        <w:ind w:firstLine="1911" w:firstLineChars="595"/>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八、</w:t>
      </w:r>
      <w:r>
        <w:rPr>
          <w:rFonts w:hint="eastAsia" w:ascii="仿宋" w:hAnsi="仿宋" w:eastAsia="仿宋" w:cs="仿宋"/>
          <w:b/>
          <w:color w:val="auto"/>
          <w:kern w:val="0"/>
          <w:sz w:val="32"/>
          <w:szCs w:val="32"/>
          <w:lang w:val="zh-CN"/>
        </w:rPr>
        <w:t>政府采购供应商廉洁自律承诺书</w:t>
      </w:r>
    </w:p>
    <w:p>
      <w:pPr>
        <w:snapToGrid w:val="0"/>
        <w:spacing w:line="360" w:lineRule="auto"/>
        <w:rPr>
          <w:rFonts w:hint="eastAsia" w:ascii="仿宋" w:hAnsi="仿宋" w:eastAsia="仿宋" w:cs="仿宋"/>
          <w:color w:val="auto"/>
          <w:sz w:val="24"/>
        </w:rPr>
      </w:pP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spacing w:line="360" w:lineRule="auto"/>
        <w:jc w:val="center"/>
        <w:rPr>
          <w:rFonts w:hint="eastAsia" w:ascii="仿宋" w:hAnsi="仿宋" w:eastAsia="仿宋" w:cs="仿宋"/>
          <w:b/>
          <w:bCs/>
          <w:color w:val="auto"/>
          <w:sz w:val="24"/>
        </w:rPr>
      </w:pPr>
    </w:p>
    <w:p>
      <w:pPr>
        <w:spacing w:line="360" w:lineRule="auto"/>
        <w:jc w:val="center"/>
        <w:rPr>
          <w:rFonts w:hint="eastAsia" w:ascii="仿宋" w:hAnsi="仿宋" w:eastAsia="仿宋" w:cs="仿宋"/>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jc w:val="center"/>
        <w:outlineLvl w:val="0"/>
        <w:rPr>
          <w:rFonts w:hint="eastAsia" w:ascii="仿宋" w:hAnsi="仿宋" w:eastAsia="仿宋" w:cs="仿宋"/>
          <w:b/>
          <w:color w:val="auto"/>
          <w:kern w:val="0"/>
          <w:sz w:val="36"/>
          <w:szCs w:val="36"/>
        </w:rPr>
      </w:pP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（1）开标一览表（报价表）………………………………………………………（页码）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（2）中小企业声明函………………………………………………………………（页码）</w:t>
      </w: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pStyle w:val="376"/>
        <w:tabs>
          <w:tab w:val="clear" w:pos="720"/>
        </w:tabs>
        <w:snapToGrid w:val="0"/>
        <w:spacing w:before="120" w:after="120"/>
        <w:ind w:firstLine="643"/>
        <w:outlineLvl w:val="9"/>
        <w:rPr>
          <w:rFonts w:hint="eastAsia" w:ascii="仿宋" w:hAnsi="仿宋" w:eastAsia="仿宋" w:cs="仿宋"/>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6"/>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rPr>
        <w:t>（项目名称）</w:t>
      </w:r>
      <w:r>
        <w:rPr>
          <w:rFonts w:hint="eastAsia" w:ascii="仿宋" w:hAnsi="仿宋" w:eastAsia="仿宋" w:cs="仿宋"/>
          <w:color w:val="auto"/>
          <w:kern w:val="0"/>
          <w:sz w:val="24"/>
          <w:lang w:val="zh-CN"/>
        </w:rPr>
        <w:t>【招标编号：</w:t>
      </w:r>
      <w:r>
        <w:rPr>
          <w:rFonts w:hint="eastAsia" w:ascii="仿宋" w:hAnsi="仿宋" w:eastAsia="仿宋" w:cs="仿宋"/>
          <w:color w:val="auto"/>
          <w:sz w:val="24"/>
        </w:rPr>
        <w:t>（采购编号）】的实施</w:t>
      </w:r>
      <w:r>
        <w:rPr>
          <w:rFonts w:hint="eastAsia" w:ascii="仿宋" w:hAnsi="仿宋" w:eastAsia="仿宋" w:cs="仿宋"/>
          <w:color w:val="auto"/>
          <w:kern w:val="0"/>
          <w:sz w:val="24"/>
          <w:lang w:val="zh-CN"/>
        </w:rPr>
        <w:t>。</w:t>
      </w:r>
    </w:p>
    <w:p>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417"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843" w:type="dxa"/>
            <w:vAlign w:val="top"/>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品牌（如果有）</w:t>
            </w:r>
          </w:p>
        </w:tc>
        <w:tc>
          <w:tcPr>
            <w:tcW w:w="3118"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规格型号（或具体服务）</w:t>
            </w:r>
          </w:p>
        </w:tc>
        <w:tc>
          <w:tcPr>
            <w:tcW w:w="993"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1559"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单价</w:t>
            </w:r>
          </w:p>
        </w:tc>
        <w:tc>
          <w:tcPr>
            <w:tcW w:w="1984"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总价</w:t>
            </w:r>
          </w:p>
        </w:tc>
        <w:tc>
          <w:tcPr>
            <w:tcW w:w="3119" w:type="dxa"/>
            <w:vAlign w:val="center"/>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服务要求（年限）</w:t>
            </w:r>
          </w:p>
          <w:p>
            <w:pPr>
              <w:spacing w:line="360" w:lineRule="auto"/>
              <w:jc w:val="center"/>
              <w:rPr>
                <w:rFonts w:hint="eastAsia"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417" w:type="dxa"/>
            <w:vAlign w:val="center"/>
          </w:tcPr>
          <w:p>
            <w:pPr>
              <w:snapToGrid w:val="0"/>
              <w:spacing w:line="360" w:lineRule="auto"/>
              <w:jc w:val="center"/>
              <w:rPr>
                <w:rFonts w:hint="eastAsia" w:ascii="仿宋" w:hAnsi="仿宋" w:eastAsia="仿宋" w:cs="仿宋"/>
                <w:color w:val="auto"/>
                <w:sz w:val="24"/>
              </w:rPr>
            </w:pPr>
          </w:p>
        </w:tc>
        <w:tc>
          <w:tcPr>
            <w:tcW w:w="1843" w:type="dxa"/>
            <w:vAlign w:val="center"/>
          </w:tcPr>
          <w:p>
            <w:pPr>
              <w:snapToGrid w:val="0"/>
              <w:spacing w:line="360" w:lineRule="auto"/>
              <w:jc w:val="center"/>
              <w:rPr>
                <w:rFonts w:hint="eastAsia" w:ascii="仿宋" w:hAnsi="仿宋" w:eastAsia="仿宋" w:cs="仿宋"/>
                <w:color w:val="auto"/>
                <w:sz w:val="24"/>
              </w:rPr>
            </w:pPr>
          </w:p>
        </w:tc>
        <w:tc>
          <w:tcPr>
            <w:tcW w:w="3118" w:type="dxa"/>
            <w:vAlign w:val="center"/>
          </w:tcPr>
          <w:p>
            <w:pPr>
              <w:snapToGrid w:val="0"/>
              <w:spacing w:line="360" w:lineRule="auto"/>
              <w:jc w:val="center"/>
              <w:rPr>
                <w:rFonts w:hint="eastAsia" w:ascii="仿宋" w:hAnsi="仿宋" w:eastAsia="仿宋" w:cs="仿宋"/>
                <w:color w:val="auto"/>
                <w:sz w:val="24"/>
              </w:rPr>
            </w:pPr>
          </w:p>
        </w:tc>
        <w:tc>
          <w:tcPr>
            <w:tcW w:w="993" w:type="dxa"/>
            <w:vAlign w:val="center"/>
          </w:tcPr>
          <w:p>
            <w:pPr>
              <w:snapToGrid w:val="0"/>
              <w:spacing w:line="360" w:lineRule="auto"/>
              <w:jc w:val="center"/>
              <w:rPr>
                <w:rFonts w:hint="eastAsia" w:ascii="仿宋" w:hAnsi="仿宋" w:eastAsia="仿宋" w:cs="仿宋"/>
                <w:color w:val="auto"/>
                <w:sz w:val="24"/>
              </w:rPr>
            </w:pPr>
          </w:p>
        </w:tc>
        <w:tc>
          <w:tcPr>
            <w:tcW w:w="1559" w:type="dxa"/>
            <w:vAlign w:val="center"/>
          </w:tcPr>
          <w:p>
            <w:pPr>
              <w:spacing w:line="360" w:lineRule="auto"/>
              <w:jc w:val="center"/>
              <w:rPr>
                <w:rFonts w:hint="eastAsia" w:ascii="仿宋" w:hAnsi="仿宋" w:eastAsia="仿宋" w:cs="仿宋"/>
                <w:color w:val="auto"/>
                <w:sz w:val="24"/>
              </w:rPr>
            </w:pPr>
          </w:p>
        </w:tc>
        <w:tc>
          <w:tcPr>
            <w:tcW w:w="1984" w:type="dxa"/>
            <w:vAlign w:val="center"/>
          </w:tcPr>
          <w:p>
            <w:pPr>
              <w:spacing w:line="360" w:lineRule="auto"/>
              <w:jc w:val="center"/>
              <w:rPr>
                <w:rFonts w:hint="eastAsia" w:ascii="仿宋" w:hAnsi="仿宋" w:eastAsia="仿宋" w:cs="仿宋"/>
                <w:color w:val="auto"/>
                <w:sz w:val="24"/>
              </w:rPr>
            </w:pPr>
          </w:p>
        </w:tc>
        <w:tc>
          <w:tcPr>
            <w:tcW w:w="3119"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417" w:type="dxa"/>
            <w:vAlign w:val="center"/>
          </w:tcPr>
          <w:p>
            <w:pPr>
              <w:snapToGrid w:val="0"/>
              <w:spacing w:line="360" w:lineRule="auto"/>
              <w:jc w:val="center"/>
              <w:rPr>
                <w:rFonts w:hint="eastAsia" w:ascii="仿宋" w:hAnsi="仿宋" w:eastAsia="仿宋" w:cs="仿宋"/>
                <w:color w:val="auto"/>
                <w:sz w:val="24"/>
              </w:rPr>
            </w:pPr>
          </w:p>
        </w:tc>
        <w:tc>
          <w:tcPr>
            <w:tcW w:w="1843" w:type="dxa"/>
            <w:vAlign w:val="center"/>
          </w:tcPr>
          <w:p>
            <w:pPr>
              <w:snapToGrid w:val="0"/>
              <w:spacing w:line="360" w:lineRule="auto"/>
              <w:jc w:val="center"/>
              <w:rPr>
                <w:rFonts w:hint="eastAsia" w:ascii="仿宋" w:hAnsi="仿宋" w:eastAsia="仿宋" w:cs="仿宋"/>
                <w:color w:val="auto"/>
                <w:sz w:val="24"/>
              </w:rPr>
            </w:pPr>
          </w:p>
        </w:tc>
        <w:tc>
          <w:tcPr>
            <w:tcW w:w="3118" w:type="dxa"/>
            <w:vAlign w:val="center"/>
          </w:tcPr>
          <w:p>
            <w:pPr>
              <w:snapToGrid w:val="0"/>
              <w:spacing w:line="360" w:lineRule="auto"/>
              <w:jc w:val="center"/>
              <w:rPr>
                <w:rFonts w:hint="eastAsia" w:ascii="仿宋" w:hAnsi="仿宋" w:eastAsia="仿宋" w:cs="仿宋"/>
                <w:color w:val="auto"/>
                <w:sz w:val="24"/>
              </w:rPr>
            </w:pPr>
          </w:p>
        </w:tc>
        <w:tc>
          <w:tcPr>
            <w:tcW w:w="993" w:type="dxa"/>
            <w:vAlign w:val="center"/>
          </w:tcPr>
          <w:p>
            <w:pPr>
              <w:snapToGrid w:val="0"/>
              <w:spacing w:line="360" w:lineRule="auto"/>
              <w:jc w:val="center"/>
              <w:rPr>
                <w:rFonts w:hint="eastAsia" w:ascii="仿宋" w:hAnsi="仿宋" w:eastAsia="仿宋" w:cs="仿宋"/>
                <w:color w:val="auto"/>
                <w:sz w:val="24"/>
              </w:rPr>
            </w:pPr>
          </w:p>
        </w:tc>
        <w:tc>
          <w:tcPr>
            <w:tcW w:w="1559" w:type="dxa"/>
            <w:vAlign w:val="center"/>
          </w:tcPr>
          <w:p>
            <w:pPr>
              <w:spacing w:line="360" w:lineRule="auto"/>
              <w:jc w:val="center"/>
              <w:rPr>
                <w:rFonts w:hint="eastAsia" w:ascii="仿宋" w:hAnsi="仿宋" w:eastAsia="仿宋" w:cs="仿宋"/>
                <w:color w:val="auto"/>
                <w:sz w:val="24"/>
              </w:rPr>
            </w:pPr>
          </w:p>
        </w:tc>
        <w:tc>
          <w:tcPr>
            <w:tcW w:w="1984" w:type="dxa"/>
            <w:vAlign w:val="center"/>
          </w:tcPr>
          <w:p>
            <w:pPr>
              <w:spacing w:line="360" w:lineRule="auto"/>
              <w:jc w:val="center"/>
              <w:rPr>
                <w:rFonts w:hint="eastAsia" w:ascii="仿宋" w:hAnsi="仿宋" w:eastAsia="仿宋" w:cs="仿宋"/>
                <w:color w:val="auto"/>
                <w:sz w:val="24"/>
              </w:rPr>
            </w:pPr>
          </w:p>
        </w:tc>
        <w:tc>
          <w:tcPr>
            <w:tcW w:w="3119"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417" w:type="dxa"/>
            <w:vAlign w:val="center"/>
          </w:tcPr>
          <w:p>
            <w:pPr>
              <w:snapToGrid w:val="0"/>
              <w:spacing w:line="360" w:lineRule="auto"/>
              <w:jc w:val="center"/>
              <w:rPr>
                <w:rFonts w:hint="eastAsia" w:ascii="仿宋" w:hAnsi="仿宋" w:eastAsia="仿宋" w:cs="仿宋"/>
                <w:color w:val="auto"/>
                <w:sz w:val="24"/>
              </w:rPr>
            </w:pPr>
          </w:p>
        </w:tc>
        <w:tc>
          <w:tcPr>
            <w:tcW w:w="1843" w:type="dxa"/>
            <w:vAlign w:val="center"/>
          </w:tcPr>
          <w:p>
            <w:pPr>
              <w:snapToGrid w:val="0"/>
              <w:spacing w:line="360" w:lineRule="auto"/>
              <w:jc w:val="center"/>
              <w:rPr>
                <w:rFonts w:hint="eastAsia" w:ascii="仿宋" w:hAnsi="仿宋" w:eastAsia="仿宋" w:cs="仿宋"/>
                <w:color w:val="auto"/>
                <w:sz w:val="24"/>
              </w:rPr>
            </w:pPr>
          </w:p>
        </w:tc>
        <w:tc>
          <w:tcPr>
            <w:tcW w:w="3118" w:type="dxa"/>
            <w:vAlign w:val="center"/>
          </w:tcPr>
          <w:p>
            <w:pPr>
              <w:snapToGrid w:val="0"/>
              <w:spacing w:line="360" w:lineRule="auto"/>
              <w:jc w:val="center"/>
              <w:rPr>
                <w:rFonts w:hint="eastAsia" w:ascii="仿宋" w:hAnsi="仿宋" w:eastAsia="仿宋" w:cs="仿宋"/>
                <w:color w:val="auto"/>
                <w:sz w:val="24"/>
              </w:rPr>
            </w:pPr>
          </w:p>
        </w:tc>
        <w:tc>
          <w:tcPr>
            <w:tcW w:w="993" w:type="dxa"/>
            <w:vAlign w:val="center"/>
          </w:tcPr>
          <w:p>
            <w:pPr>
              <w:snapToGrid w:val="0"/>
              <w:spacing w:line="360" w:lineRule="auto"/>
              <w:jc w:val="center"/>
              <w:rPr>
                <w:rFonts w:hint="eastAsia" w:ascii="仿宋" w:hAnsi="仿宋" w:eastAsia="仿宋" w:cs="仿宋"/>
                <w:color w:val="auto"/>
                <w:sz w:val="24"/>
              </w:rPr>
            </w:pPr>
          </w:p>
        </w:tc>
        <w:tc>
          <w:tcPr>
            <w:tcW w:w="1559" w:type="dxa"/>
            <w:vAlign w:val="center"/>
          </w:tcPr>
          <w:p>
            <w:pPr>
              <w:spacing w:line="360" w:lineRule="auto"/>
              <w:jc w:val="center"/>
              <w:rPr>
                <w:rFonts w:hint="eastAsia" w:ascii="仿宋" w:hAnsi="仿宋" w:eastAsia="仿宋" w:cs="仿宋"/>
                <w:color w:val="auto"/>
                <w:sz w:val="24"/>
              </w:rPr>
            </w:pPr>
          </w:p>
        </w:tc>
        <w:tc>
          <w:tcPr>
            <w:tcW w:w="1984" w:type="dxa"/>
            <w:vAlign w:val="center"/>
          </w:tcPr>
          <w:p>
            <w:pPr>
              <w:spacing w:line="360" w:lineRule="auto"/>
              <w:jc w:val="center"/>
              <w:rPr>
                <w:rFonts w:hint="eastAsia" w:ascii="仿宋" w:hAnsi="仿宋" w:eastAsia="仿宋" w:cs="仿宋"/>
                <w:color w:val="auto"/>
                <w:sz w:val="24"/>
              </w:rPr>
            </w:pPr>
          </w:p>
        </w:tc>
        <w:tc>
          <w:tcPr>
            <w:tcW w:w="3119"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rPr>
            </w:pPr>
          </w:p>
        </w:tc>
        <w:tc>
          <w:tcPr>
            <w:tcW w:w="1417" w:type="dxa"/>
            <w:vAlign w:val="center"/>
          </w:tcPr>
          <w:p>
            <w:pPr>
              <w:snapToGrid w:val="0"/>
              <w:spacing w:line="360" w:lineRule="auto"/>
              <w:jc w:val="center"/>
              <w:rPr>
                <w:rFonts w:hint="eastAsia" w:ascii="仿宋" w:hAnsi="仿宋" w:eastAsia="仿宋" w:cs="仿宋"/>
                <w:color w:val="auto"/>
                <w:sz w:val="24"/>
              </w:rPr>
            </w:pPr>
          </w:p>
        </w:tc>
        <w:tc>
          <w:tcPr>
            <w:tcW w:w="1843" w:type="dxa"/>
            <w:vAlign w:val="center"/>
          </w:tcPr>
          <w:p>
            <w:pPr>
              <w:snapToGrid w:val="0"/>
              <w:spacing w:line="360" w:lineRule="auto"/>
              <w:jc w:val="center"/>
              <w:rPr>
                <w:rFonts w:hint="eastAsia" w:ascii="仿宋" w:hAnsi="仿宋" w:eastAsia="仿宋" w:cs="仿宋"/>
                <w:color w:val="auto"/>
                <w:sz w:val="24"/>
              </w:rPr>
            </w:pPr>
          </w:p>
        </w:tc>
        <w:tc>
          <w:tcPr>
            <w:tcW w:w="3118" w:type="dxa"/>
            <w:vAlign w:val="center"/>
          </w:tcPr>
          <w:p>
            <w:pPr>
              <w:snapToGrid w:val="0"/>
              <w:spacing w:line="360" w:lineRule="auto"/>
              <w:jc w:val="center"/>
              <w:rPr>
                <w:rFonts w:hint="eastAsia" w:ascii="仿宋" w:hAnsi="仿宋" w:eastAsia="仿宋" w:cs="仿宋"/>
                <w:color w:val="auto"/>
                <w:sz w:val="24"/>
              </w:rPr>
            </w:pPr>
          </w:p>
        </w:tc>
        <w:tc>
          <w:tcPr>
            <w:tcW w:w="993" w:type="dxa"/>
            <w:vAlign w:val="center"/>
          </w:tcPr>
          <w:p>
            <w:pPr>
              <w:snapToGrid w:val="0"/>
              <w:spacing w:line="360" w:lineRule="auto"/>
              <w:jc w:val="center"/>
              <w:rPr>
                <w:rFonts w:hint="eastAsia" w:ascii="仿宋" w:hAnsi="仿宋" w:eastAsia="仿宋" w:cs="仿宋"/>
                <w:color w:val="auto"/>
                <w:sz w:val="24"/>
              </w:rPr>
            </w:pPr>
          </w:p>
        </w:tc>
        <w:tc>
          <w:tcPr>
            <w:tcW w:w="1559" w:type="dxa"/>
            <w:vAlign w:val="center"/>
          </w:tcPr>
          <w:p>
            <w:pPr>
              <w:spacing w:line="360" w:lineRule="auto"/>
              <w:jc w:val="center"/>
              <w:rPr>
                <w:rFonts w:hint="eastAsia" w:ascii="仿宋" w:hAnsi="仿宋" w:eastAsia="仿宋" w:cs="仿宋"/>
                <w:color w:val="auto"/>
                <w:sz w:val="24"/>
              </w:rPr>
            </w:pPr>
          </w:p>
        </w:tc>
        <w:tc>
          <w:tcPr>
            <w:tcW w:w="1984" w:type="dxa"/>
            <w:vAlign w:val="center"/>
          </w:tcPr>
          <w:p>
            <w:pPr>
              <w:spacing w:line="360" w:lineRule="auto"/>
              <w:jc w:val="center"/>
              <w:rPr>
                <w:rFonts w:hint="eastAsia" w:ascii="仿宋" w:hAnsi="仿宋" w:eastAsia="仿宋" w:cs="仿宋"/>
                <w:color w:val="auto"/>
                <w:sz w:val="24"/>
              </w:rPr>
            </w:pPr>
          </w:p>
        </w:tc>
        <w:tc>
          <w:tcPr>
            <w:tcW w:w="3119"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rPr>
            </w:pPr>
          </w:p>
        </w:tc>
        <w:tc>
          <w:tcPr>
            <w:tcW w:w="1417" w:type="dxa"/>
            <w:vAlign w:val="center"/>
          </w:tcPr>
          <w:p>
            <w:pPr>
              <w:snapToGrid w:val="0"/>
              <w:spacing w:line="360" w:lineRule="auto"/>
              <w:jc w:val="center"/>
              <w:rPr>
                <w:rFonts w:hint="eastAsia" w:ascii="仿宋" w:hAnsi="仿宋" w:eastAsia="仿宋" w:cs="仿宋"/>
                <w:color w:val="auto"/>
                <w:sz w:val="24"/>
              </w:rPr>
            </w:pPr>
          </w:p>
        </w:tc>
        <w:tc>
          <w:tcPr>
            <w:tcW w:w="1843" w:type="dxa"/>
            <w:vAlign w:val="center"/>
          </w:tcPr>
          <w:p>
            <w:pPr>
              <w:snapToGrid w:val="0"/>
              <w:spacing w:line="360" w:lineRule="auto"/>
              <w:jc w:val="center"/>
              <w:rPr>
                <w:rFonts w:hint="eastAsia" w:ascii="仿宋" w:hAnsi="仿宋" w:eastAsia="仿宋" w:cs="仿宋"/>
                <w:color w:val="auto"/>
                <w:sz w:val="24"/>
              </w:rPr>
            </w:pPr>
          </w:p>
        </w:tc>
        <w:tc>
          <w:tcPr>
            <w:tcW w:w="3118" w:type="dxa"/>
            <w:vAlign w:val="center"/>
          </w:tcPr>
          <w:p>
            <w:pPr>
              <w:snapToGrid w:val="0"/>
              <w:spacing w:line="360" w:lineRule="auto"/>
              <w:jc w:val="center"/>
              <w:rPr>
                <w:rFonts w:hint="eastAsia" w:ascii="仿宋" w:hAnsi="仿宋" w:eastAsia="仿宋" w:cs="仿宋"/>
                <w:color w:val="auto"/>
                <w:sz w:val="24"/>
              </w:rPr>
            </w:pPr>
          </w:p>
        </w:tc>
        <w:tc>
          <w:tcPr>
            <w:tcW w:w="993" w:type="dxa"/>
            <w:vAlign w:val="center"/>
          </w:tcPr>
          <w:p>
            <w:pPr>
              <w:snapToGrid w:val="0"/>
              <w:spacing w:line="360" w:lineRule="auto"/>
              <w:jc w:val="center"/>
              <w:rPr>
                <w:rFonts w:hint="eastAsia" w:ascii="仿宋" w:hAnsi="仿宋" w:eastAsia="仿宋" w:cs="仿宋"/>
                <w:color w:val="auto"/>
                <w:sz w:val="24"/>
              </w:rPr>
            </w:pPr>
          </w:p>
        </w:tc>
        <w:tc>
          <w:tcPr>
            <w:tcW w:w="1559" w:type="dxa"/>
            <w:vAlign w:val="center"/>
          </w:tcPr>
          <w:p>
            <w:pPr>
              <w:spacing w:line="360" w:lineRule="auto"/>
              <w:jc w:val="center"/>
              <w:rPr>
                <w:rFonts w:hint="eastAsia" w:ascii="仿宋" w:hAnsi="仿宋" w:eastAsia="仿宋" w:cs="仿宋"/>
                <w:color w:val="auto"/>
                <w:sz w:val="24"/>
              </w:rPr>
            </w:pPr>
          </w:p>
        </w:tc>
        <w:tc>
          <w:tcPr>
            <w:tcW w:w="1984" w:type="dxa"/>
            <w:vAlign w:val="center"/>
          </w:tcPr>
          <w:p>
            <w:pPr>
              <w:spacing w:line="360" w:lineRule="auto"/>
              <w:jc w:val="center"/>
              <w:rPr>
                <w:rFonts w:hint="eastAsia" w:ascii="仿宋" w:hAnsi="仿宋" w:eastAsia="仿宋" w:cs="仿宋"/>
                <w:color w:val="auto"/>
                <w:sz w:val="24"/>
              </w:rPr>
            </w:pPr>
          </w:p>
        </w:tc>
        <w:tc>
          <w:tcPr>
            <w:tcW w:w="3119"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投标报价（小写）</w:t>
            </w:r>
          </w:p>
        </w:tc>
        <w:tc>
          <w:tcPr>
            <w:tcW w:w="7655" w:type="dxa"/>
            <w:gridSpan w:val="4"/>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投标报价（大写）</w:t>
            </w:r>
          </w:p>
        </w:tc>
        <w:tc>
          <w:tcPr>
            <w:tcW w:w="7655" w:type="dxa"/>
            <w:gridSpan w:val="4"/>
            <w:vAlign w:val="center"/>
          </w:tcPr>
          <w:p>
            <w:pPr>
              <w:spacing w:line="360" w:lineRule="auto"/>
              <w:jc w:val="center"/>
              <w:rPr>
                <w:rFonts w:hint="eastAsia" w:ascii="仿宋" w:hAnsi="仿宋" w:eastAsia="仿宋" w:cs="仿宋"/>
                <w:color w:val="auto"/>
                <w:sz w:val="24"/>
              </w:rPr>
            </w:pPr>
          </w:p>
        </w:tc>
      </w:tr>
    </w:tbl>
    <w:p>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pPr>
        <w:spacing w:line="360" w:lineRule="auto"/>
        <w:ind w:left="-2"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1、投标人需按本表格式填写，不得自行更改。</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b/>
          <w:color w:val="auto"/>
          <w:kern w:val="0"/>
          <w:sz w:val="24"/>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投标文件含有采购人不能接受的附加条件的，投标无效</w:t>
      </w:r>
      <w:r>
        <w:rPr>
          <w:rFonts w:hint="eastAsia" w:ascii="仿宋" w:hAnsi="仿宋" w:eastAsia="仿宋" w:cs="仿宋"/>
          <w:b/>
          <w:color w:val="auto"/>
          <w:kern w:val="0"/>
          <w:sz w:val="24"/>
          <w:lang w:val="zh-CN"/>
        </w:rPr>
        <w:t>。</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szCs w:val="22"/>
          <w:lang w:val="zh-CN"/>
        </w:rPr>
        <w:t>5、</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76"/>
        <w:tabs>
          <w:tab w:val="clear" w:pos="720"/>
        </w:tabs>
        <w:snapToGrid w:val="0"/>
        <w:spacing w:before="120" w:after="120"/>
        <w:ind w:firstLine="643"/>
        <w:outlineLvl w:val="9"/>
        <w:rPr>
          <w:rFonts w:hint="eastAsia" w:ascii="仿宋" w:hAnsi="仿宋" w:eastAsia="仿宋" w:cs="仿宋"/>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376"/>
        <w:tabs>
          <w:tab w:val="clear" w:pos="720"/>
        </w:tabs>
        <w:snapToGrid w:val="0"/>
        <w:spacing w:before="120" w:after="120"/>
        <w:ind w:firstLine="643"/>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rPr>
        <w:t>二、</w:t>
      </w:r>
      <w:r>
        <w:rPr>
          <w:rFonts w:hint="eastAsia" w:ascii="仿宋" w:hAnsi="仿宋" w:eastAsia="仿宋" w:cs="仿宋"/>
          <w:color w:val="auto"/>
          <w:sz w:val="32"/>
          <w:szCs w:val="32"/>
        </w:rPr>
        <w:t>中小企业声明函</w:t>
      </w:r>
    </w:p>
    <w:p>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hint="eastAsia" w:ascii="仿宋" w:hAnsi="仿宋" w:eastAsia="仿宋" w:cs="仿宋"/>
          <w:b/>
          <w:color w:val="auto"/>
          <w:sz w:val="32"/>
          <w:szCs w:val="32"/>
        </w:rPr>
      </w:pPr>
      <w:r>
        <w:rPr>
          <w:rFonts w:hint="eastAsia" w:ascii="仿宋" w:hAnsi="仿宋" w:eastAsia="仿宋" w:cs="仿宋"/>
          <w:b/>
          <w:color w:val="auto"/>
          <w:sz w:val="32"/>
          <w:szCs w:val="32"/>
        </w:rPr>
        <w:t>政府采购支持中小企业信用融资相关事项通知</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一、适用对象</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二、相关信息获取方式</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三、　政府采购信用融资操作流程：</w:t>
      </w:r>
    </w:p>
    <w:p>
      <w:pPr>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（一）线上融资模式：</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1.供应商根据合作银行提供的方案，自行选择金融产品，并办理开户等手续；</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2.供应商中标后，可通过杭州市政府采购网或“浙里办”测算授信额度；</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4.审批通过后，在线办理放贷手续。</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（二）线下融资模式：</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4.审批通过后，合作银行应按照合作备忘录中约定的审批放款期限和优惠利率及时予以放款。</w:t>
      </w:r>
    </w:p>
    <w:p>
      <w:pPr>
        <w:pStyle w:val="2"/>
        <w:numPr>
          <w:ilvl w:val="0"/>
          <w:numId w:val="0"/>
        </w:numPr>
        <w:ind w:firstLine="960" w:firstLineChars="40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lang w:val="en-US"/>
        </w:rPr>
        <w:t>（三）杭州e融平台申请融资</w:t>
      </w:r>
    </w:p>
    <w:p>
      <w:pPr>
        <w:pStyle w:val="2"/>
        <w:numPr>
          <w:ilvl w:val="0"/>
          <w:numId w:val="0"/>
        </w:numPr>
        <w:ind w:firstLine="960" w:firstLineChars="40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四、注意事项</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auto"/>
          <w:kern w:val="0"/>
          <w:sz w:val="24"/>
        </w:rPr>
      </w:pPr>
    </w:p>
    <w:p>
      <w:pPr>
        <w:pStyle w:val="3"/>
        <w:pageBreakBefore/>
        <w:widowControl/>
        <w:spacing w:before="100" w:beforeAutospacing="1" w:after="100" w:afterAutospacing="1" w:line="360" w:lineRule="auto"/>
        <w:ind w:left="1290" w:firstLine="3092" w:firstLineChars="700"/>
        <w:rPr>
          <w:rFonts w:hint="eastAsia" w:ascii="仿宋" w:hAnsi="仿宋" w:eastAsia="仿宋" w:cs="仿宋"/>
          <w:color w:val="auto"/>
        </w:rPr>
      </w:pPr>
      <w:bookmarkStart w:id="498" w:name="_Toc465665161"/>
      <w:r>
        <w:rPr>
          <w:rFonts w:hint="eastAsia" w:ascii="仿宋" w:hAnsi="仿宋" w:eastAsia="仿宋" w:cs="仿宋"/>
          <w:color w:val="auto"/>
        </w:rPr>
        <w:t>附件</w:t>
      </w:r>
      <w:bookmarkEnd w:id="498"/>
    </w:p>
    <w:p>
      <w:pPr>
        <w:spacing w:line="360" w:lineRule="auto"/>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w:t>
      </w:r>
    </w:p>
    <w:p>
      <w:pPr>
        <w:spacing w:line="360" w:lineRule="auto"/>
        <w:jc w:val="center"/>
        <w:rPr>
          <w:rFonts w:hint="eastAsia" w:ascii="仿宋" w:hAnsi="仿宋" w:eastAsia="仿宋" w:cs="仿宋"/>
          <w:b/>
          <w:color w:val="auto"/>
          <w:spacing w:val="6"/>
          <w:sz w:val="32"/>
          <w:szCs w:val="32"/>
        </w:rPr>
      </w:pPr>
      <w:bookmarkStart w:id="499" w:name="OLE_LINK14"/>
      <w:bookmarkStart w:id="500" w:name="OLE_LINK13"/>
      <w:r>
        <w:rPr>
          <w:rFonts w:hint="eastAsia" w:ascii="仿宋" w:hAnsi="仿宋" w:eastAsia="仿宋" w:cs="仿宋"/>
          <w:b/>
          <w:color w:val="auto"/>
          <w:spacing w:val="6"/>
          <w:sz w:val="32"/>
          <w:szCs w:val="32"/>
        </w:rPr>
        <w:t>残疾人福利性单位声明函</w:t>
      </w:r>
    </w:p>
    <w:bookmarkEnd w:id="499"/>
    <w:bookmarkEnd w:id="500"/>
    <w:p>
      <w:pPr>
        <w:spacing w:line="360" w:lineRule="auto"/>
        <w:rPr>
          <w:rFonts w:hint="eastAsia" w:ascii="仿宋" w:hAnsi="仿宋" w:eastAsia="仿宋" w:cs="仿宋"/>
          <w:b/>
          <w:color w:val="auto"/>
          <w:spacing w:val="6"/>
          <w:sz w:val="30"/>
          <w:szCs w:val="30"/>
        </w:rPr>
      </w:pP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p>
    <w:p>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rPr>
        <w:t>：</w:t>
      </w:r>
    </w:p>
    <w:p>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日  期：</w:t>
      </w:r>
    </w:p>
    <w:p>
      <w:pPr>
        <w:spacing w:line="360" w:lineRule="auto"/>
        <w:ind w:firstLine="480" w:firstLineChars="200"/>
        <w:rPr>
          <w:rFonts w:hint="eastAsia" w:ascii="仿宋" w:hAnsi="仿宋" w:eastAsia="仿宋" w:cs="仿宋"/>
          <w:color w:val="auto"/>
          <w:sz w:val="24"/>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附件2：质疑函范本及制作说明</w:t>
      </w: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pPr>
        <w:snapToGrid w:val="0"/>
        <w:spacing w:before="240" w:beforeLines="100" w:line="360" w:lineRule="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质疑事项2</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jc w:val="center"/>
        <w:rPr>
          <w:rFonts w:hint="eastAsia" w:ascii="仿宋" w:hAnsi="仿宋" w:eastAsia="仿宋" w:cs="仿宋"/>
          <w:b/>
          <w:bCs/>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质疑函制作说明：</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left"/>
        <w:rPr>
          <w:rFonts w:hint="eastAsia" w:ascii="仿宋" w:hAnsi="仿宋" w:eastAsia="仿宋" w:cs="仿宋"/>
          <w:b/>
          <w:color w:val="auto"/>
          <w:spacing w:val="6"/>
          <w:sz w:val="32"/>
          <w:szCs w:val="32"/>
        </w:rPr>
      </w:pPr>
    </w:p>
    <w:p>
      <w:pPr>
        <w:spacing w:line="360" w:lineRule="auto"/>
        <w:jc w:val="left"/>
        <w:rPr>
          <w:rFonts w:hint="eastAsia" w:ascii="仿宋" w:hAnsi="仿宋" w:eastAsia="仿宋" w:cs="仿宋"/>
          <w:b/>
          <w:color w:val="auto"/>
          <w:spacing w:val="6"/>
          <w:sz w:val="32"/>
          <w:szCs w:val="32"/>
        </w:rPr>
      </w:pPr>
    </w:p>
    <w:p>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附件3：投诉书范本及制作说明</w:t>
      </w:r>
    </w:p>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tabs>
          <w:tab w:val="left" w:pos="6510"/>
        </w:tabs>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tabs>
          <w:tab w:val="left" w:pos="6510"/>
        </w:tabs>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被投诉人2</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二、投诉项目基本情况</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三、质疑基本情况</w:t>
      </w:r>
    </w:p>
    <w:p>
      <w:pPr>
        <w:spacing w:line="360" w:lineRule="auto"/>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四、投诉事项具体内容</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投诉事项2</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投诉书制作说明：</w:t>
      </w:r>
    </w:p>
    <w:p>
      <w:pPr>
        <w:widowControl/>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附件4：</w:t>
      </w:r>
      <w:r>
        <w:rPr>
          <w:rFonts w:hint="eastAsia" w:ascii="仿宋" w:hAnsi="仿宋" w:eastAsia="仿宋" w:cs="仿宋"/>
          <w:b/>
          <w:bCs/>
          <w:color w:val="auto"/>
          <w:sz w:val="32"/>
          <w:szCs w:val="32"/>
        </w:rPr>
        <w:t>业务专用章使用说明函</w:t>
      </w:r>
    </w:p>
    <w:p>
      <w:pPr>
        <w:spacing w:line="360" w:lineRule="auto"/>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你方组织的（项目名称）项目【招标编号：（采购编号）】</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right="480" w:firstLine="4080" w:firstLineChars="1700"/>
        <w:rPr>
          <w:rFonts w:hint="eastAsia" w:ascii="仿宋" w:hAnsi="仿宋" w:eastAsia="仿宋" w:cs="仿宋"/>
          <w:color w:val="auto"/>
          <w:sz w:val="24"/>
        </w:rPr>
      </w:pPr>
      <w:r>
        <w:rPr>
          <w:rFonts w:hint="eastAsia" w:ascii="仿宋" w:hAnsi="仿宋" w:eastAsia="仿宋" w:cs="仿宋"/>
          <w:color w:val="auto"/>
          <w:sz w:val="24"/>
        </w:rPr>
        <w:t>投标单位（法定名称章）：</w:t>
      </w:r>
    </w:p>
    <w:p>
      <w:pPr>
        <w:ind w:right="1440" w:firstLine="494"/>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pPr>
        <w:rPr>
          <w:rFonts w:hint="eastAsia" w:ascii="仿宋" w:hAnsi="仿宋" w:eastAsia="仿宋" w:cs="仿宋"/>
          <w:color w:val="auto"/>
          <w:sz w:val="24"/>
        </w:rPr>
      </w:pPr>
      <w:r>
        <w:rPr>
          <w:rFonts w:hint="eastAsia" w:ascii="仿宋" w:hAnsi="仿宋" w:eastAsia="仿宋" w:cs="仿宋"/>
          <w:b/>
          <w:bCs/>
          <w:color w:val="auto"/>
          <w:sz w:val="24"/>
        </w:rPr>
        <w:t>附：</w:t>
      </w:r>
    </w:p>
    <w:p>
      <w:pPr>
        <w:spacing w:line="360" w:lineRule="auto"/>
        <w:rPr>
          <w:rFonts w:hint="eastAsia" w:ascii="仿宋" w:hAnsi="仿宋" w:eastAsia="仿宋" w:cs="仿宋"/>
          <w:bCs/>
          <w:color w:val="auto"/>
          <w:sz w:val="24"/>
        </w:rPr>
      </w:pPr>
      <w:r>
        <w:rPr>
          <w:rFonts w:hint="eastAsia" w:ascii="仿宋" w:hAnsi="仿宋" w:eastAsia="仿宋" w:cs="仿宋"/>
          <w:b/>
          <w:bCs/>
          <w:color w:val="auto"/>
          <w:kern w:val="2"/>
          <w:sz w:val="24"/>
          <w:szCs w:val="24"/>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b/>
          <w:bCs/>
          <w:color w:val="auto"/>
          <w:kern w:val="2"/>
          <w:sz w:val="24"/>
          <w:szCs w:val="24"/>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color w:val="auto"/>
          <w:sz w:val="24"/>
        </w:rPr>
        <w:t>投标单位法定名称章（印模）                投标单位“XX专用章”（印模）</w:t>
      </w: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附件5：</w:t>
      </w:r>
      <w:r>
        <w:rPr>
          <w:rFonts w:hint="eastAsia" w:ascii="仿宋" w:hAnsi="仿宋" w:eastAsia="仿宋" w:cs="仿宋"/>
          <w:b/>
          <w:color w:val="auto"/>
          <w:sz w:val="32"/>
          <w:szCs w:val="32"/>
        </w:rPr>
        <w:t>中小企业声明函</w:t>
      </w:r>
    </w:p>
    <w:p>
      <w:pPr>
        <w:spacing w:line="360" w:lineRule="auto"/>
        <w:jc w:val="center"/>
        <w:rPr>
          <w:rFonts w:hint="eastAsia" w:ascii="仿宋" w:hAnsi="仿宋" w:eastAsia="仿宋" w:cs="仿宋"/>
          <w:color w:val="auto"/>
          <w:sz w:val="24"/>
          <w:u w:val="single"/>
        </w:rPr>
      </w:pPr>
    </w:p>
    <w:p>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中小企业声明函（货物）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spacing w:line="360" w:lineRule="auto"/>
        <w:jc w:val="left"/>
        <w:rPr>
          <w:rFonts w:hint="eastAsia" w:ascii="仿宋" w:hAnsi="仿宋" w:eastAsia="仿宋" w:cs="仿宋"/>
          <w:color w:val="auto"/>
          <w:sz w:val="18"/>
          <w:szCs w:val="18"/>
        </w:rPr>
      </w:pPr>
      <w:r>
        <w:rPr>
          <w:rFonts w:hint="eastAsia" w:ascii="仿宋" w:hAnsi="仿宋" w:eastAsia="仿宋" w:cs="仿宋"/>
          <w:color w:val="auto"/>
          <w:sz w:val="18"/>
          <w:szCs w:val="18"/>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rPr>
      </w:pPr>
      <w:r>
        <w:rPr>
          <w:rFonts w:hint="eastAsia" w:ascii="仿宋" w:hAnsi="仿宋" w:eastAsia="仿宋" w:cs="仿宋"/>
          <w:color w:val="auto"/>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中小企业声明函（工程、服务）</w:t>
      </w:r>
    </w:p>
    <w:p>
      <w:pPr>
        <w:spacing w:line="360" w:lineRule="auto"/>
        <w:rPr>
          <w:rFonts w:hint="eastAsia" w:ascii="仿宋" w:hAnsi="仿宋" w:eastAsia="仿宋" w:cs="仿宋"/>
          <w:color w:val="auto"/>
        </w:rPr>
      </w:pPr>
    </w:p>
    <w:p>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rPr>
      </w:pPr>
      <w:r>
        <w:rPr>
          <w:rFonts w:hint="eastAsia" w:ascii="仿宋" w:hAnsi="仿宋" w:eastAsia="仿宋" w:cs="仿宋"/>
          <w:color w:val="auto"/>
          <w:sz w:val="24"/>
        </w:rPr>
        <w:t>投标人名称（电子签名）：</w:t>
      </w:r>
    </w:p>
    <w:p>
      <w:pPr>
        <w:spacing w:line="360"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pPr>
        <w:spacing w:line="360" w:lineRule="auto"/>
        <w:ind w:firstLine="310" w:firstLineChars="147"/>
        <w:jc w:val="left"/>
        <w:rPr>
          <w:rFonts w:hint="eastAsia" w:ascii="仿宋" w:hAnsi="仿宋" w:eastAsia="仿宋" w:cs="仿宋"/>
          <w:b/>
          <w:color w:val="auto"/>
          <w:szCs w:val="21"/>
        </w:rPr>
      </w:pPr>
      <w:r>
        <w:rPr>
          <w:rFonts w:hint="eastAsia" w:ascii="仿宋" w:hAnsi="仿宋" w:eastAsia="仿宋" w:cs="仿宋"/>
          <w:b/>
          <w:color w:val="auto"/>
          <w:szCs w:val="21"/>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hint="eastAsia" w:ascii="仿宋" w:hAnsi="仿宋" w:eastAsia="仿宋" w:cs="仿宋"/>
          <w:color w:val="auto"/>
          <w:lang w:val="en-US"/>
        </w:rPr>
      </w:pPr>
    </w:p>
    <w:p>
      <w:pPr>
        <w:spacing w:line="360" w:lineRule="auto"/>
        <w:ind w:right="420"/>
        <w:rPr>
          <w:rFonts w:hint="eastAsia" w:ascii="仿宋" w:hAnsi="仿宋" w:eastAsia="仿宋" w:cs="仿宋"/>
          <w:color w:val="auto"/>
        </w:rPr>
      </w:pPr>
    </w:p>
    <w:p>
      <w:pPr>
        <w:spacing w:line="360" w:lineRule="auto"/>
        <w:rPr>
          <w:rFonts w:hint="eastAsia" w:ascii="仿宋" w:hAnsi="仿宋" w:eastAsia="仿宋" w:cs="仿宋"/>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01" w:name="_Toc164085800"/>
    <w:bookmarkStart w:id="502" w:name="_Toc36110187"/>
    <w:bookmarkStart w:id="503" w:name="_Toc131845147"/>
    <w:bookmarkStart w:id="504" w:name="_Toc91899912"/>
    <w:r>
      <w:rPr>
        <w:rFonts w:hint="eastAsia" w:ascii="仿宋_GB2312" w:eastAsia="仿宋_GB2312"/>
        <w:kern w:val="0"/>
        <w:szCs w:val="21"/>
      </w:rPr>
      <w:t xml:space="preserve"> 页</w:t>
    </w:r>
    <w:bookmarkEnd w:id="501"/>
    <w:bookmarkEnd w:id="502"/>
    <w:bookmarkEnd w:id="503"/>
    <w:bookmarkEnd w:id="5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78917"/>
    <w:multiLevelType w:val="singleLevel"/>
    <w:tmpl w:val="58C78917"/>
    <w:lvl w:ilvl="0" w:tentative="0">
      <w:start w:val="2"/>
      <w:numFmt w:val="chineseCounting"/>
      <w:suff w:val="nothing"/>
      <w:lvlText w:val="%1、"/>
      <w:lvlJc w:val="left"/>
    </w:lvl>
  </w:abstractNum>
  <w:abstractNum w:abstractNumId="1">
    <w:nsid w:val="58D8BCD3"/>
    <w:multiLevelType w:val="singleLevel"/>
    <w:tmpl w:val="58D8BCD3"/>
    <w:lvl w:ilvl="0" w:tentative="0">
      <w:start w:val="2"/>
      <w:numFmt w:val="decimal"/>
      <w:suff w:val="nothing"/>
      <w:lvlText w:val="%1、"/>
      <w:lvlJc w:val="left"/>
    </w:lvl>
  </w:abstractNum>
  <w:abstractNum w:abstractNumId="2">
    <w:nsid w:val="63F824D2"/>
    <w:multiLevelType w:val="singleLevel"/>
    <w:tmpl w:val="63F824D2"/>
    <w:lvl w:ilvl="0" w:tentative="0">
      <w:start w:val="3"/>
      <w:numFmt w:val="chineseCounting"/>
      <w:suff w:val="space"/>
      <w:lvlText w:val="第%1部分"/>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79A"/>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E36894"/>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642BB8"/>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A55E09"/>
    <w:rsid w:val="11C6522A"/>
    <w:rsid w:val="11E104CC"/>
    <w:rsid w:val="11E20309"/>
    <w:rsid w:val="121361A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E07A20"/>
    <w:rsid w:val="16A8729C"/>
    <w:rsid w:val="16B33777"/>
    <w:rsid w:val="16BC70A7"/>
    <w:rsid w:val="16C6339E"/>
    <w:rsid w:val="172F2D79"/>
    <w:rsid w:val="17557BEF"/>
    <w:rsid w:val="17BF5F86"/>
    <w:rsid w:val="17D349C1"/>
    <w:rsid w:val="1830729E"/>
    <w:rsid w:val="1870062C"/>
    <w:rsid w:val="18817102"/>
    <w:rsid w:val="18830A15"/>
    <w:rsid w:val="18852B28"/>
    <w:rsid w:val="188B5321"/>
    <w:rsid w:val="19932372"/>
    <w:rsid w:val="19A20DD5"/>
    <w:rsid w:val="19AE03F1"/>
    <w:rsid w:val="19CA465F"/>
    <w:rsid w:val="1A071A03"/>
    <w:rsid w:val="1A1F16AE"/>
    <w:rsid w:val="1A3B5C77"/>
    <w:rsid w:val="1A984BAD"/>
    <w:rsid w:val="1AB8220E"/>
    <w:rsid w:val="1ABF0FF7"/>
    <w:rsid w:val="1AE4166C"/>
    <w:rsid w:val="1AF06CFB"/>
    <w:rsid w:val="1AF11B8D"/>
    <w:rsid w:val="1B11359C"/>
    <w:rsid w:val="1B2A271F"/>
    <w:rsid w:val="1B530544"/>
    <w:rsid w:val="1B713184"/>
    <w:rsid w:val="1BA209CF"/>
    <w:rsid w:val="1BB4777D"/>
    <w:rsid w:val="1BD75AB8"/>
    <w:rsid w:val="1C0459C2"/>
    <w:rsid w:val="1C1B3B4A"/>
    <w:rsid w:val="1C3B0F3A"/>
    <w:rsid w:val="1C88086E"/>
    <w:rsid w:val="1D266CE1"/>
    <w:rsid w:val="1D3963AF"/>
    <w:rsid w:val="1D6A673C"/>
    <w:rsid w:val="1D9247AE"/>
    <w:rsid w:val="1DB567EC"/>
    <w:rsid w:val="1DB73B63"/>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1641D5"/>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5040CF"/>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AB6E04"/>
    <w:rsid w:val="33EB55CD"/>
    <w:rsid w:val="33EC4C02"/>
    <w:rsid w:val="340D2360"/>
    <w:rsid w:val="3410665D"/>
    <w:rsid w:val="34211214"/>
    <w:rsid w:val="342E63AB"/>
    <w:rsid w:val="346B15EE"/>
    <w:rsid w:val="34950E68"/>
    <w:rsid w:val="34986E94"/>
    <w:rsid w:val="34AF62C9"/>
    <w:rsid w:val="34C82942"/>
    <w:rsid w:val="34CB4388"/>
    <w:rsid w:val="34FA6E12"/>
    <w:rsid w:val="35016021"/>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D6D5C"/>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3B7257"/>
    <w:rsid w:val="4CB6685F"/>
    <w:rsid w:val="4CC367FE"/>
    <w:rsid w:val="4D077F3C"/>
    <w:rsid w:val="4D123355"/>
    <w:rsid w:val="4D260D93"/>
    <w:rsid w:val="4D2A3B31"/>
    <w:rsid w:val="4D312C52"/>
    <w:rsid w:val="4D905305"/>
    <w:rsid w:val="4D964A72"/>
    <w:rsid w:val="4D9C1254"/>
    <w:rsid w:val="4E793892"/>
    <w:rsid w:val="4E800872"/>
    <w:rsid w:val="4EC569ED"/>
    <w:rsid w:val="4ED50EA1"/>
    <w:rsid w:val="4EEC050C"/>
    <w:rsid w:val="4F104EC3"/>
    <w:rsid w:val="4F47354A"/>
    <w:rsid w:val="4F8B5601"/>
    <w:rsid w:val="4F911C54"/>
    <w:rsid w:val="4FE625E0"/>
    <w:rsid w:val="5021480F"/>
    <w:rsid w:val="50750E8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1617C8"/>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791137"/>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C92D10"/>
    <w:rsid w:val="5AD50114"/>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9383F"/>
    <w:rsid w:val="5FFE1E36"/>
    <w:rsid w:val="60232584"/>
    <w:rsid w:val="607330CE"/>
    <w:rsid w:val="60825176"/>
    <w:rsid w:val="609B1330"/>
    <w:rsid w:val="609F2AC4"/>
    <w:rsid w:val="60FA2EE8"/>
    <w:rsid w:val="61054A27"/>
    <w:rsid w:val="610A52BC"/>
    <w:rsid w:val="611D2366"/>
    <w:rsid w:val="61421856"/>
    <w:rsid w:val="615227C4"/>
    <w:rsid w:val="61654E3F"/>
    <w:rsid w:val="6182292A"/>
    <w:rsid w:val="619F7F92"/>
    <w:rsid w:val="61E51579"/>
    <w:rsid w:val="61F94C26"/>
    <w:rsid w:val="62000E56"/>
    <w:rsid w:val="620152D8"/>
    <w:rsid w:val="624F3E49"/>
    <w:rsid w:val="62632286"/>
    <w:rsid w:val="62885958"/>
    <w:rsid w:val="629256EB"/>
    <w:rsid w:val="62F40B65"/>
    <w:rsid w:val="62FC2CFE"/>
    <w:rsid w:val="63024505"/>
    <w:rsid w:val="63157C2B"/>
    <w:rsid w:val="635B1DB5"/>
    <w:rsid w:val="63711FED"/>
    <w:rsid w:val="63880DDC"/>
    <w:rsid w:val="638D750D"/>
    <w:rsid w:val="63AC6CC0"/>
    <w:rsid w:val="64055776"/>
    <w:rsid w:val="64240056"/>
    <w:rsid w:val="643E143A"/>
    <w:rsid w:val="648B6EEF"/>
    <w:rsid w:val="64C158BF"/>
    <w:rsid w:val="64CE2EAA"/>
    <w:rsid w:val="65377B9B"/>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A07E3D"/>
    <w:rsid w:val="69AA4F04"/>
    <w:rsid w:val="69CC2BFF"/>
    <w:rsid w:val="69FD55B8"/>
    <w:rsid w:val="6A0905B5"/>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535CB4"/>
    <w:rsid w:val="707723D0"/>
    <w:rsid w:val="70CA394F"/>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4A3380"/>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2D2E67"/>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1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5">
    <w:name w:val="Normal Indent"/>
    <w:basedOn w:val="1"/>
    <w:link w:val="71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4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4"/>
    <w:qFormat/>
    <w:uiPriority w:val="0"/>
    <w:pPr>
      <w:shd w:val="clear" w:color="auto" w:fill="000080"/>
    </w:pPr>
  </w:style>
  <w:style w:type="paragraph" w:styleId="19">
    <w:name w:val="annotation text"/>
    <w:basedOn w:val="1"/>
    <w:link w:val="852"/>
    <w:qFormat/>
    <w:uiPriority w:val="99"/>
    <w:pPr>
      <w:jc w:val="left"/>
    </w:pPr>
  </w:style>
  <w:style w:type="paragraph" w:styleId="20">
    <w:name w:val="Salutation"/>
    <w:basedOn w:val="1"/>
    <w:next w:val="1"/>
    <w:link w:val="812"/>
    <w:qFormat/>
    <w:uiPriority w:val="0"/>
    <w:rPr>
      <w:rFonts w:ascii="仿宋_GB2312" w:eastAsia="仿宋_GB2312"/>
      <w:sz w:val="28"/>
      <w:szCs w:val="20"/>
    </w:rPr>
  </w:style>
  <w:style w:type="paragraph" w:styleId="21">
    <w:name w:val="Body Text 3"/>
    <w:basedOn w:val="1"/>
    <w:link w:val="84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780"/>
    <w:qFormat/>
    <w:uiPriority w:val="0"/>
    <w:pPr>
      <w:spacing w:line="480" w:lineRule="exact"/>
      <w:ind w:firstLine="480" w:firstLineChars="200"/>
    </w:pPr>
    <w:rPr>
      <w:rFonts w:ascii="宋体" w:hAnsi="宋体"/>
      <w:sz w:val="24"/>
    </w:rPr>
  </w:style>
  <w:style w:type="paragraph" w:customStyle="1" w:styleId="25">
    <w:name w:val="正文文本首行缩进 2"/>
    <w:basedOn w:val="24"/>
    <w:qFormat/>
    <w:uiPriority w:val="99"/>
    <w:pPr>
      <w:spacing w:line="200" w:lineRule="atLeast"/>
      <w:ind w:firstLine="420"/>
    </w:pPr>
    <w:rPr>
      <w:rFonts w:ascii="宋体" w:hAnsi="Courier New"/>
      <w:spacing w:val="-4"/>
      <w:sz w:val="18"/>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5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06"/>
    <w:qFormat/>
    <w:uiPriority w:val="0"/>
    <w:pPr>
      <w:ind w:left="100" w:leftChars="2500"/>
    </w:pPr>
    <w:rPr>
      <w:rFonts w:ascii="宋体"/>
      <w:sz w:val="24"/>
      <w:szCs w:val="21"/>
      <w:lang w:val="zh-CN"/>
    </w:rPr>
  </w:style>
  <w:style w:type="paragraph" w:styleId="37">
    <w:name w:val="Body Text Indent 2"/>
    <w:basedOn w:val="1"/>
    <w:link w:val="820"/>
    <w:qFormat/>
    <w:uiPriority w:val="0"/>
    <w:pPr>
      <w:spacing w:line="360" w:lineRule="auto"/>
      <w:ind w:firstLine="601"/>
      <w:textAlignment w:val="baseline"/>
    </w:pPr>
    <w:rPr>
      <w:rFonts w:ascii="宋体"/>
      <w:kern w:val="0"/>
      <w:sz w:val="28"/>
      <w:szCs w:val="20"/>
    </w:rPr>
  </w:style>
  <w:style w:type="paragraph" w:styleId="38">
    <w:name w:val="endnote text"/>
    <w:basedOn w:val="1"/>
    <w:link w:val="937"/>
    <w:qFormat/>
    <w:uiPriority w:val="0"/>
    <w:rPr>
      <w:lang w:val="zh-CN"/>
    </w:rPr>
  </w:style>
  <w:style w:type="paragraph" w:styleId="39">
    <w:name w:val="Balloon Text"/>
    <w:basedOn w:val="1"/>
    <w:link w:val="713"/>
    <w:qFormat/>
    <w:uiPriority w:val="0"/>
    <w:rPr>
      <w:sz w:val="18"/>
      <w:szCs w:val="18"/>
    </w:rPr>
  </w:style>
  <w:style w:type="paragraph" w:styleId="40">
    <w:name w:val="footer"/>
    <w:basedOn w:val="1"/>
    <w:link w:val="888"/>
    <w:qFormat/>
    <w:uiPriority w:val="99"/>
    <w:pPr>
      <w:tabs>
        <w:tab w:val="center" w:pos="4153"/>
        <w:tab w:val="right" w:pos="8306"/>
      </w:tabs>
      <w:snapToGrid w:val="0"/>
      <w:jc w:val="left"/>
    </w:pPr>
    <w:rPr>
      <w:sz w:val="18"/>
      <w:szCs w:val="18"/>
    </w:rPr>
  </w:style>
  <w:style w:type="paragraph" w:styleId="41">
    <w:name w:val="header"/>
    <w:basedOn w:val="1"/>
    <w:link w:val="896"/>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6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822"/>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1"/>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16"/>
    <w:qFormat/>
    <w:uiPriority w:val="0"/>
    <w:pPr>
      <w:spacing w:after="120" w:line="480" w:lineRule="auto"/>
    </w:pPr>
  </w:style>
  <w:style w:type="paragraph" w:styleId="57">
    <w:name w:val="HTML Preformatted"/>
    <w:basedOn w:val="1"/>
    <w:link w:val="8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0"/>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29"/>
    <w:qFormat/>
    <w:uiPriority w:val="0"/>
    <w:rPr>
      <w:b/>
      <w:bCs/>
    </w:rPr>
  </w:style>
  <w:style w:type="paragraph" w:styleId="61">
    <w:name w:val="Body Text First Indent"/>
    <w:basedOn w:val="23"/>
    <w:link w:val="831"/>
    <w:qFormat/>
    <w:uiPriority w:val="0"/>
    <w:pPr>
      <w:ind w:firstLine="420"/>
    </w:pPr>
    <w:rPr>
      <w:rFonts w:hAnsi="Calibri" w:cs="Times New Roman"/>
      <w:szCs w:val="20"/>
    </w:rPr>
  </w:style>
  <w:style w:type="paragraph" w:styleId="62">
    <w:name w:val="Body Text First Indent 2"/>
    <w:basedOn w:val="24"/>
    <w:link w:val="65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非标题文字"/>
    <w:link w:val="61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19"/>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7"/>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1"/>
    <w:qFormat/>
    <w:uiPriority w:val="0"/>
    <w:pPr>
      <w:spacing w:before="156" w:line="360" w:lineRule="auto"/>
      <w:ind w:firstLine="510" w:firstLineChars="200"/>
    </w:pPr>
    <w:rPr>
      <w:sz w:val="24"/>
      <w:szCs w:val="20"/>
    </w:rPr>
  </w:style>
  <w:style w:type="paragraph" w:customStyle="1" w:styleId="86">
    <w:name w:val="无间隔1"/>
    <w:link w:val="669"/>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7"/>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7"/>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69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6"/>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2"/>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6"/>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4"/>
    <w:qFormat/>
    <w:uiPriority w:val="0"/>
    <w:pPr>
      <w:adjustRightInd/>
      <w:spacing w:line="360" w:lineRule="auto"/>
      <w:ind w:firstLine="480" w:firstLineChars="200"/>
    </w:pPr>
    <w:rPr>
      <w:kern w:val="0"/>
      <w:sz w:val="24"/>
    </w:rPr>
  </w:style>
  <w:style w:type="paragraph" w:customStyle="1" w:styleId="98">
    <w:name w:val="gf正文1"/>
    <w:basedOn w:val="1"/>
    <w:link w:val="7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5"/>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7"/>
    <w:qFormat/>
    <w:uiPriority w:val="0"/>
    <w:pPr>
      <w:tabs>
        <w:tab w:val="left" w:pos="2356"/>
      </w:tabs>
    </w:pPr>
  </w:style>
  <w:style w:type="paragraph" w:customStyle="1" w:styleId="103">
    <w:name w:val="样式 标题 4h4H4Fab-4T5Ref Heading 1rh1Heading sqlsect 1.2.3...."/>
    <w:basedOn w:val="6"/>
    <w:link w:val="9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0"/>
    <w:qFormat/>
    <w:uiPriority w:val="0"/>
    <w:pPr>
      <w:adjustRightInd/>
    </w:pPr>
    <w:rPr>
      <w:rFonts w:ascii="宋体" w:hAnsi="Courier New"/>
      <w:kern w:val="0"/>
      <w:sz w:val="20"/>
      <w:szCs w:val="20"/>
    </w:rPr>
  </w:style>
  <w:style w:type="paragraph" w:customStyle="1" w:styleId="106">
    <w:name w:val="正文说明"/>
    <w:basedOn w:val="1"/>
    <w:link w:val="842"/>
    <w:qFormat/>
    <w:uiPriority w:val="0"/>
    <w:pPr>
      <w:adjustRightInd/>
      <w:spacing w:line="360" w:lineRule="auto"/>
    </w:pPr>
    <w:rPr>
      <w:kern w:val="0"/>
      <w:sz w:val="24"/>
    </w:rPr>
  </w:style>
  <w:style w:type="paragraph" w:customStyle="1" w:styleId="107">
    <w:name w:val="Table Text"/>
    <w:basedOn w:val="1"/>
    <w:link w:val="848"/>
    <w:qFormat/>
    <w:uiPriority w:val="0"/>
    <w:pPr>
      <w:widowControl/>
      <w:spacing w:before="60" w:after="60"/>
      <w:jc w:val="left"/>
    </w:pPr>
    <w:rPr>
      <w:kern w:val="0"/>
      <w:sz w:val="24"/>
    </w:rPr>
  </w:style>
  <w:style w:type="paragraph" w:customStyle="1" w:styleId="108">
    <w:name w:val="公文正文"/>
    <w:basedOn w:val="1"/>
    <w:link w:val="860"/>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3"/>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0"/>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3"/>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09"/>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6"/>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2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38"/>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4"/>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7"/>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4"/>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6"/>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6"/>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3"/>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6"/>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7"/>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4"/>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3"/>
    <w:qFormat/>
    <w:uiPriority w:val="0"/>
    <w:pPr>
      <w:snapToGrid w:val="0"/>
      <w:ind w:firstLine="480" w:firstLineChars="200"/>
    </w:pPr>
    <w:rPr>
      <w:rFonts w:ascii="Times New Roman"/>
      <w:szCs w:val="24"/>
      <w:lang w:val="en-US"/>
    </w:rPr>
  </w:style>
  <w:style w:type="paragraph" w:customStyle="1" w:styleId="45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18"/>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7"/>
    <w:next w:val="1"/>
    <w:qFormat/>
    <w:uiPriority w:val="0"/>
    <w:pPr>
      <w:tabs>
        <w:tab w:val="left" w:pos="1080"/>
        <w:tab w:val="clear" w:pos="1008"/>
      </w:tabs>
      <w:ind w:left="1080" w:hanging="1080"/>
    </w:pPr>
  </w:style>
  <w:style w:type="paragraph" w:customStyle="1" w:styleId="580">
    <w:name w:val="数字标题1"/>
    <w:basedOn w:val="3"/>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39"/>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18">
    <w:name w:val="表格非标题文字 Char"/>
    <w:link w:val="80"/>
    <w:qFormat/>
    <w:uiPriority w:val="0"/>
    <w:rPr>
      <w:rFonts w:ascii="Futura Bk" w:hAnsi="Futura Bk"/>
      <w:kern w:val="2"/>
      <w:sz w:val="18"/>
      <w:szCs w:val="21"/>
      <w:lang w:val="en-US" w:eastAsia="zh-CN" w:bidi="ar-SA"/>
    </w:rPr>
  </w:style>
  <w:style w:type="character" w:customStyle="1" w:styleId="619">
    <w:name w:val="*正文 Char"/>
    <w:link w:val="81"/>
    <w:qFormat/>
    <w:locked/>
    <w:uiPriority w:val="0"/>
    <w:rPr>
      <w:rFonts w:ascii="宋体" w:hAnsi="宋体"/>
      <w:sz w:val="24"/>
    </w:rPr>
  </w:style>
  <w:style w:type="character" w:customStyle="1" w:styleId="620">
    <w:name w:val="Char Char71"/>
    <w:semiHidden/>
    <w:qFormat/>
    <w:uiPriority w:val="0"/>
    <w:rPr>
      <w:rFonts w:eastAsia="宋体"/>
      <w:kern w:val="2"/>
      <w:sz w:val="21"/>
      <w:szCs w:val="24"/>
      <w:lang w:val="en-US" w:eastAsia="zh-CN" w:bidi="ar-SA"/>
    </w:rPr>
  </w:style>
  <w:style w:type="character" w:customStyle="1" w:styleId="621">
    <w:name w:val="Char Char6"/>
    <w:qFormat/>
    <w:uiPriority w:val="0"/>
    <w:rPr>
      <w:rFonts w:eastAsia="宋体"/>
      <w:kern w:val="2"/>
      <w:sz w:val="21"/>
      <w:szCs w:val="24"/>
      <w:lang w:val="en-US" w:eastAsia="zh-CN" w:bidi="ar-SA"/>
    </w:rPr>
  </w:style>
  <w:style w:type="character" w:customStyle="1" w:styleId="622">
    <w:name w:val="正文缩进 Char"/>
    <w:qFormat/>
    <w:uiPriority w:val="0"/>
    <w:rPr>
      <w:rFonts w:eastAsia="宋体"/>
      <w:kern w:val="2"/>
      <w:sz w:val="21"/>
      <w:lang w:val="en-US" w:eastAsia="zh-CN"/>
    </w:rPr>
  </w:style>
  <w:style w:type="character" w:customStyle="1" w:styleId="623">
    <w:name w:val="正文首行缩进 Char1"/>
    <w:qFormat/>
    <w:uiPriority w:val="0"/>
    <w:rPr>
      <w:rFonts w:ascii="宋体" w:hAnsi="Times New Roman" w:eastAsia="宋体" w:cs="Times New Roman"/>
      <w:snapToGrid w:val="0"/>
      <w:kern w:val="2"/>
      <w:sz w:val="24"/>
      <w:szCs w:val="21"/>
      <w:lang w:val="zh-CN"/>
    </w:rPr>
  </w:style>
  <w:style w:type="character" w:customStyle="1" w:styleId="624">
    <w:name w:val="Char Char28"/>
    <w:qFormat/>
    <w:uiPriority w:val="6"/>
    <w:rPr>
      <w:rFonts w:ascii="仿宋_GB2312" w:hAnsi="仿宋_GB2312" w:eastAsia="仿宋_GB2312"/>
      <w:kern w:val="1"/>
      <w:sz w:val="28"/>
    </w:rPr>
  </w:style>
  <w:style w:type="character" w:customStyle="1" w:styleId="6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qFormat/>
    <w:uiPriority w:val="6"/>
    <w:rPr>
      <w:rFonts w:ascii="Times New Roman" w:hAnsi="Times New Roman" w:eastAsia="黑体" w:cs="Times New Roman"/>
      <w:b/>
      <w:kern w:val="0"/>
      <w:sz w:val="24"/>
      <w:szCs w:val="24"/>
    </w:rPr>
  </w:style>
  <w:style w:type="character" w:customStyle="1" w:styleId="627">
    <w:name w:val="U_正文 Char"/>
    <w:link w:val="82"/>
    <w:qFormat/>
    <w:uiPriority w:val="0"/>
    <w:rPr>
      <w:sz w:val="24"/>
      <w:szCs w:val="24"/>
    </w:rPr>
  </w:style>
  <w:style w:type="character" w:customStyle="1" w:styleId="628">
    <w:name w:val="HTML 地址 Char1"/>
    <w:qFormat/>
    <w:uiPriority w:val="0"/>
    <w:rPr>
      <w:rFonts w:ascii="Times New Roman" w:hAnsi="Times New Roman" w:eastAsia="宋体" w:cs="Times New Roman"/>
      <w:i/>
      <w:iCs/>
      <w:szCs w:val="24"/>
    </w:rPr>
  </w:style>
  <w:style w:type="character" w:customStyle="1" w:styleId="629">
    <w:name w:val="批注主题 Char1"/>
    <w:link w:val="60"/>
    <w:qFormat/>
    <w:uiPriority w:val="0"/>
    <w:rPr>
      <w:b/>
      <w:bCs/>
      <w:kern w:val="2"/>
      <w:sz w:val="21"/>
      <w:szCs w:val="24"/>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表正文 Char"/>
    <w:qFormat/>
    <w:uiPriority w:val="0"/>
    <w:rPr>
      <w:rFonts w:ascii="宋体" w:eastAsia="宋体"/>
      <w:snapToGrid w:val="0"/>
      <w:color w:val="000000"/>
      <w:kern w:val="28"/>
      <w:sz w:val="28"/>
      <w:lang w:val="en-US" w:eastAsia="zh-CN" w:bidi="ar-SA"/>
    </w:rPr>
  </w:style>
  <w:style w:type="character" w:customStyle="1" w:styleId="632">
    <w:name w:val="Char Char34"/>
    <w:qFormat/>
    <w:uiPriority w:val="6"/>
    <w:rPr>
      <w:b/>
      <w:kern w:val="1"/>
      <w:sz w:val="28"/>
      <w:szCs w:val="28"/>
    </w:rPr>
  </w:style>
  <w:style w:type="character" w:customStyle="1" w:styleId="6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3"/>
    <w:qFormat/>
    <w:uiPriority w:val="0"/>
    <w:rPr>
      <w:rFonts w:ascii="宋体" w:hAnsi="宋体" w:eastAsia="宋体"/>
      <w:kern w:val="2"/>
      <w:sz w:val="24"/>
      <w:lang w:bidi="ar-SA"/>
    </w:rPr>
  </w:style>
  <w:style w:type="character" w:customStyle="1" w:styleId="635">
    <w:name w:val="未处理的提及1"/>
    <w:qFormat/>
    <w:uiPriority w:val="0"/>
    <w:rPr>
      <w:color w:val="808080"/>
      <w:shd w:val="clear" w:color="auto" w:fill="E6E6E6"/>
    </w:rPr>
  </w:style>
  <w:style w:type="character" w:customStyle="1" w:styleId="636">
    <w:name w:val="txt"/>
    <w:qFormat/>
    <w:uiPriority w:val="0"/>
    <w:rPr>
      <w:rFonts w:ascii="仿宋_GB2312" w:eastAsia="微软雅黑"/>
      <w:b/>
      <w:kern w:val="2"/>
      <w:sz w:val="32"/>
      <w:szCs w:val="32"/>
      <w:lang w:val="en-US" w:eastAsia="zh-CN" w:bidi="ar-SA"/>
    </w:rPr>
  </w:style>
  <w:style w:type="character" w:customStyle="1" w:styleId="637">
    <w:name w:val="二级标题 Char Char"/>
    <w:qFormat/>
    <w:uiPriority w:val="0"/>
    <w:rPr>
      <w:rFonts w:ascii="宋体" w:hAnsi="宋体" w:eastAsia="宋体"/>
      <w:b/>
      <w:snapToGrid w:val="0"/>
      <w:kern w:val="2"/>
      <w:sz w:val="24"/>
      <w:szCs w:val="24"/>
      <w:lang w:val="en-US" w:eastAsia="zh-CN" w:bidi="ar-SA"/>
    </w:rPr>
  </w:style>
  <w:style w:type="character" w:customStyle="1" w:styleId="638">
    <w:name w:val="Char Char32"/>
    <w:qFormat/>
    <w:uiPriority w:val="6"/>
    <w:rPr>
      <w:b/>
      <w:kern w:val="1"/>
      <w:sz w:val="24"/>
      <w:szCs w:val="24"/>
    </w:rPr>
  </w:style>
  <w:style w:type="character" w:customStyle="1" w:styleId="639">
    <w:name w:val="PI Char1"/>
    <w:qFormat/>
    <w:uiPriority w:val="0"/>
    <w:rPr>
      <w:rFonts w:ascii="宋体" w:hAnsi="宋体"/>
      <w:kern w:val="2"/>
      <w:sz w:val="24"/>
      <w:szCs w:val="24"/>
    </w:rPr>
  </w:style>
  <w:style w:type="character" w:customStyle="1" w:styleId="640">
    <w:name w:val="tw4winTerm"/>
    <w:qFormat/>
    <w:uiPriority w:val="0"/>
    <w:rPr>
      <w:color w:val="0000FF"/>
    </w:rPr>
  </w:style>
  <w:style w:type="character" w:customStyle="1" w:styleId="641">
    <w:name w:val="Footer Char"/>
    <w:qFormat/>
    <w:locked/>
    <w:uiPriority w:val="0"/>
    <w:rPr>
      <w:rFonts w:eastAsia="宋体"/>
      <w:kern w:val="2"/>
      <w:sz w:val="18"/>
      <w:lang w:val="en-US" w:eastAsia="zh-CN" w:bidi="ar-SA"/>
    </w:rPr>
  </w:style>
  <w:style w:type="character" w:customStyle="1" w:styleId="642">
    <w:name w:val="普通文字 Char Char1"/>
    <w:qFormat/>
    <w:uiPriority w:val="0"/>
    <w:rPr>
      <w:rFonts w:ascii="宋体" w:hAnsi="Courier New"/>
      <w:kern w:val="2"/>
      <w:sz w:val="21"/>
    </w:rPr>
  </w:style>
  <w:style w:type="character" w:customStyle="1" w:styleId="643">
    <w:name w:val="Char Char101"/>
    <w:qFormat/>
    <w:uiPriority w:val="6"/>
    <w:rPr>
      <w:rFonts w:ascii="宋体" w:hAnsi="宋体"/>
      <w:kern w:val="2"/>
      <w:sz w:val="21"/>
      <w:szCs w:val="24"/>
      <w:lang w:val="en-US" w:eastAsia="zh-CN"/>
    </w:rPr>
  </w:style>
  <w:style w:type="character" w:customStyle="1" w:styleId="644">
    <w:name w:val="标题 4 Char"/>
    <w:qFormat/>
    <w:uiPriority w:val="0"/>
    <w:rPr>
      <w:rFonts w:ascii="Arial" w:hAnsi="Arial" w:eastAsia="黑体"/>
      <w:b/>
      <w:kern w:val="2"/>
      <w:sz w:val="28"/>
    </w:rPr>
  </w:style>
  <w:style w:type="character" w:customStyle="1" w:styleId="645">
    <w:name w:val="链接"/>
    <w:qFormat/>
    <w:uiPriority w:val="0"/>
    <w:rPr>
      <w:color w:val="0000FF"/>
      <w:sz w:val="21"/>
      <w:szCs w:val="21"/>
      <w:u w:val="single"/>
    </w:rPr>
  </w:style>
  <w:style w:type="character" w:customStyle="1" w:styleId="646">
    <w:name w:val="h4 Char"/>
    <w:qFormat/>
    <w:uiPriority w:val="0"/>
    <w:rPr>
      <w:rFonts w:ascii="Arial" w:hAnsi="Arial" w:eastAsia="黑体"/>
      <w:b/>
      <w:bCs/>
      <w:kern w:val="2"/>
      <w:sz w:val="28"/>
      <w:szCs w:val="28"/>
      <w:lang w:val="zh-CN" w:eastAsia="zh-CN" w:bidi="ar-SA"/>
    </w:rPr>
  </w:style>
  <w:style w:type="character" w:customStyle="1" w:styleId="647">
    <w:name w:val="5正文 Char"/>
    <w:link w:val="84"/>
    <w:qFormat/>
    <w:uiPriority w:val="0"/>
    <w:rPr>
      <w:rFonts w:ascii="仿宋_GB2312" w:hAnsi="微软雅黑" w:eastAsia="仿宋_GB2312"/>
      <w:sz w:val="28"/>
      <w:szCs w:val="21"/>
    </w:rPr>
  </w:style>
  <w:style w:type="character" w:customStyle="1" w:styleId="648">
    <w:name w:val="标题 3 字符"/>
    <w:qFormat/>
    <w:uiPriority w:val="9"/>
    <w:rPr>
      <w:b/>
      <w:bCs/>
      <w:kern w:val="2"/>
      <w:sz w:val="32"/>
      <w:szCs w:val="32"/>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首行缩进 2 Char"/>
    <w:link w:val="62"/>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70"/>
    <w:qFormat/>
    <w:uiPriority w:val="0"/>
    <w:rPr>
      <w:rFonts w:ascii="Arial" w:hAnsi="Arial" w:eastAsia="黑体" w:cs="Arial"/>
      <w:snapToGrid w:val="0"/>
      <w:kern w:val="0"/>
      <w:szCs w:val="21"/>
    </w:rPr>
  </w:style>
  <w:style w:type="character" w:customStyle="1" w:styleId="65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5"/>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Char"/>
    <w:link w:val="47"/>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6"/>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Char"/>
    <w:link w:val="8"/>
    <w:qFormat/>
    <w:uiPriority w:val="0"/>
    <w:rPr>
      <w:rFonts w:ascii="Arial" w:hAnsi="Arial" w:eastAsia="黑体"/>
      <w:b/>
      <w:bCs/>
      <w:kern w:val="2"/>
      <w:sz w:val="24"/>
      <w:szCs w:val="24"/>
    </w:rPr>
  </w:style>
  <w:style w:type="character" w:customStyle="1" w:styleId="677">
    <w:name w:val="纯文本 Char_0"/>
    <w:link w:val="87"/>
    <w:qFormat/>
    <w:uiPriority w:val="0"/>
    <w:rPr>
      <w:rFonts w:ascii="宋体" w:hAnsi="Courier New"/>
      <w:kern w:val="2"/>
      <w:sz w:val="21"/>
      <w:szCs w:val="21"/>
      <w:lang w:val="en-US" w:eastAsia="zh-CN"/>
    </w:rPr>
  </w:style>
  <w:style w:type="character" w:customStyle="1" w:styleId="678">
    <w:name w:val="Balloon Text Char"/>
    <w:qFormat/>
    <w:locked/>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89"/>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0"/>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locked/>
    <w:uiPriority w:val="0"/>
    <w:rPr>
      <w:rFonts w:ascii="宋体" w:hAnsi="宋体" w:eastAsia="宋体"/>
      <w:kern w:val="2"/>
      <w:sz w:val="24"/>
      <w:lang w:val="en-US" w:eastAsia="zh-CN" w:bidi="ar-SA"/>
    </w:rPr>
  </w:style>
  <w:style w:type="character" w:customStyle="1" w:styleId="692">
    <w:name w:val="标题 2 字符"/>
    <w:qFormat/>
    <w:uiPriority w:val="1"/>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90"/>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semiHidden/>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semiHidden/>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Char"/>
    <w:link w:val="36"/>
    <w:qFormat/>
    <w:uiPriority w:val="0"/>
    <w:rPr>
      <w:rFonts w:ascii="宋体"/>
      <w:kern w:val="2"/>
      <w:sz w:val="24"/>
      <w:szCs w:val="21"/>
      <w:lang w:val="zh-CN"/>
    </w:rPr>
  </w:style>
  <w:style w:type="character" w:customStyle="1" w:styleId="707">
    <w:name w:val="标题 9 Char"/>
    <w:link w:val="11"/>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99"/>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semiHidden/>
    <w:qFormat/>
    <w:uiPriority w:val="99"/>
    <w:rPr>
      <w:rFonts w:ascii="Times New Roman" w:hAnsi="Times New Roman" w:eastAsia="宋体" w:cs="Times New Roman"/>
      <w:szCs w:val="24"/>
    </w:rPr>
  </w:style>
  <w:style w:type="character" w:customStyle="1" w:styleId="713">
    <w:name w:val="批注框文本 Char"/>
    <w:link w:val="39"/>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1"/>
    <w:qFormat/>
    <w:locked/>
    <w:uiPriority w:val="0"/>
    <w:rPr>
      <w:rFonts w:ascii="Tahoma" w:hAnsi="Tahoma"/>
      <w:sz w:val="24"/>
      <w:szCs w:val="24"/>
    </w:rPr>
  </w:style>
  <w:style w:type="character" w:customStyle="1" w:styleId="717">
    <w:name w:val="正文缩进 Char2"/>
    <w:link w:val="5"/>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2"/>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Char1"/>
    <w:link w:val="18"/>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0"/>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70"/>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Char"/>
    <w:link w:val="30"/>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4"/>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5"/>
    <w:qFormat/>
    <w:uiPriority w:val="0"/>
    <w:rPr>
      <w:rFonts w:ascii="宋体" w:hAnsi="宋体"/>
      <w:color w:val="000000"/>
      <w:sz w:val="24"/>
      <w:szCs w:val="24"/>
    </w:rPr>
  </w:style>
  <w:style w:type="character" w:customStyle="1" w:styleId="747">
    <w:name w:val="Header Char"/>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Char"/>
    <w:link w:val="16"/>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96"/>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7"/>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98"/>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99"/>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Char3"/>
    <w:link w:val="24"/>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1"/>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Char"/>
    <w:link w:val="3"/>
    <w:qFormat/>
    <w:uiPriority w:val="9"/>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Char2"/>
    <w:link w:val="59"/>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Char"/>
    <w:link w:val="7"/>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Char"/>
    <w:link w:val="20"/>
    <w:qFormat/>
    <w:uiPriority w:val="0"/>
    <w:rPr>
      <w:rFonts w:ascii="仿宋_GB2312" w:eastAsia="仿宋_GB2312"/>
      <w:kern w:val="2"/>
      <w:sz w:val="28"/>
    </w:rPr>
  </w:style>
  <w:style w:type="character" w:customStyle="1" w:styleId="813">
    <w:name w:val="文本正文 Char Char"/>
    <w:qFormat/>
    <w:locked/>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Char"/>
    <w:link w:val="57"/>
    <w:qFormat/>
    <w:uiPriority w:val="0"/>
    <w:rPr>
      <w:rFonts w:ascii="黑体" w:hAnsi="Courier New" w:eastAsia="黑体"/>
    </w:rPr>
  </w:style>
  <w:style w:type="character" w:customStyle="1" w:styleId="816">
    <w:name w:val="正文文本 2 Char1"/>
    <w:link w:val="56"/>
    <w:qFormat/>
    <w:uiPriority w:val="0"/>
    <w:rPr>
      <w:kern w:val="2"/>
      <w:sz w:val="21"/>
      <w:szCs w:val="24"/>
    </w:rPr>
  </w:style>
  <w:style w:type="character" w:customStyle="1" w:styleId="817">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Char"/>
    <w:link w:val="9"/>
    <w:qFormat/>
    <w:uiPriority w:val="0"/>
    <w:rPr>
      <w:b/>
      <w:bCs/>
      <w:kern w:val="2"/>
      <w:sz w:val="24"/>
      <w:szCs w:val="24"/>
    </w:rPr>
  </w:style>
  <w:style w:type="character" w:customStyle="1" w:styleId="820">
    <w:name w:val="正文文本缩进 2 Char"/>
    <w:link w:val="37"/>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Char"/>
    <w:link w:val="50"/>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4"/>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5"/>
    <w:qFormat/>
    <w:uiPriority w:val="0"/>
    <w:rPr>
      <w:rFonts w:ascii="宋体" w:hAnsi="Courier New"/>
    </w:rPr>
  </w:style>
  <w:style w:type="character" w:customStyle="1" w:styleId="831">
    <w:name w:val="正文首行缩进 Char"/>
    <w:link w:val="61"/>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Char2"/>
    <w:link w:val="6"/>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Char"/>
    <w:link w:val="21"/>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6"/>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7"/>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Char1"/>
    <w:link w:val="19"/>
    <w:qFormat/>
    <w:uiPriority w:val="0"/>
    <w:rPr>
      <w:kern w:val="2"/>
      <w:sz w:val="21"/>
      <w:szCs w:val="24"/>
    </w:rPr>
  </w:style>
  <w:style w:type="character" w:customStyle="1" w:styleId="853">
    <w:name w:val="签名 Char"/>
    <w:link w:val="42"/>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semiHidden/>
    <w:qFormat/>
    <w:uiPriority w:val="99"/>
    <w:rPr>
      <w:rFonts w:ascii="Times New Roman" w:hAnsi="Times New Roman" w:eastAsia="宋体" w:cs="Times New Roman"/>
      <w:sz w:val="16"/>
      <w:szCs w:val="16"/>
    </w:rPr>
  </w:style>
  <w:style w:type="character" w:customStyle="1" w:styleId="860">
    <w:name w:val="公文正文 Char Char"/>
    <w:link w:val="108"/>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09"/>
    <w:qFormat/>
    <w:uiPriority w:val="0"/>
    <w:rPr>
      <w:rFonts w:ascii="宋体"/>
    </w:rPr>
  </w:style>
  <w:style w:type="character" w:customStyle="1" w:styleId="864">
    <w:name w:val="标题 8 Char"/>
    <w:link w:val="10"/>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Char"/>
    <w:link w:val="53"/>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10"/>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Char2"/>
    <w:link w:val="40"/>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1"/>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Char2"/>
    <w:link w:val="41"/>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2"/>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3"/>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4"/>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5"/>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70"/>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6"/>
    <w:qFormat/>
    <w:uiPriority w:val="0"/>
    <w:rPr>
      <w:rFonts w:cs="宋体"/>
      <w:kern w:val="2"/>
      <w:sz w:val="24"/>
    </w:rPr>
  </w:style>
  <w:style w:type="character" w:customStyle="1" w:styleId="9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0">
    <w:name w:val="gray6"/>
    <w:basedOn w:val="70"/>
    <w:qFormat/>
    <w:uiPriority w:val="0"/>
    <w:rPr>
      <w:rFonts w:ascii="Arial" w:hAnsi="Arial" w:eastAsia="黑体" w:cs="Arial"/>
      <w:snapToGrid w:val="0"/>
      <w:kern w:val="0"/>
      <w:szCs w:val="21"/>
    </w:rPr>
  </w:style>
  <w:style w:type="character" w:customStyle="1" w:styleId="931">
    <w:name w:val="hui"/>
    <w:basedOn w:val="70"/>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38"/>
    <w:qFormat/>
    <w:uiPriority w:val="0"/>
    <w:rPr>
      <w:kern w:val="2"/>
      <w:sz w:val="21"/>
      <w:szCs w:val="24"/>
      <w:lang w:val="zh-CN"/>
    </w:rPr>
  </w:style>
  <w:style w:type="character" w:customStyle="1" w:styleId="938">
    <w:name w:val="无间隔 Char"/>
    <w:link w:val="166"/>
    <w:qFormat/>
    <w:uiPriority w:val="99"/>
    <w:rPr>
      <w:kern w:val="2"/>
      <w:sz w:val="21"/>
      <w:szCs w:val="22"/>
    </w:rPr>
  </w:style>
  <w:style w:type="character" w:customStyle="1" w:styleId="939">
    <w:name w:val="标准文本 Char Char"/>
    <w:link w:val="605"/>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70"/>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table" w:customStyle="1" w:styleId="956">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2">
    <w:name w:val="No Spacing1"/>
    <w:qFormat/>
    <w:uiPriority w:val="0"/>
    <w:rPr>
      <w:rFonts w:ascii="Times New Roman" w:hAnsi="Times New Roman" w:eastAsia="??"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6061</Words>
  <Characters>34550</Characters>
  <Lines>287</Lines>
  <Paragraphs>81</Paragraphs>
  <TotalTime>26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过气魔王李相赫</cp:lastModifiedBy>
  <cp:lastPrinted>2021-12-27T03:06:00Z</cp:lastPrinted>
  <dcterms:modified xsi:type="dcterms:W3CDTF">2022-03-01T06:58:31Z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