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0"/>
          <w:tab w:val="left" w:pos="2140"/>
          <w:tab w:val="center" w:pos="4753"/>
        </w:tabs>
        <w:snapToGrid w:val="0"/>
        <w:spacing w:line="360" w:lineRule="auto"/>
        <w:rPr>
          <w:rFonts w:hint="eastAsia" w:ascii="宋体" w:hAnsi="宋体" w:cs="宋体"/>
          <w:b/>
          <w:bCs/>
          <w:color w:val="000000"/>
          <w:sz w:val="24"/>
        </w:rPr>
      </w:pPr>
      <w:bookmarkStart w:id="197" w:name="_GoBack"/>
      <w:bookmarkEnd w:id="197"/>
    </w:p>
    <w:p>
      <w:pPr>
        <w:pStyle w:val="215"/>
        <w:spacing w:line="360" w:lineRule="auto"/>
        <w:jc w:val="center"/>
        <w:rPr>
          <w:rFonts w:hint="eastAsia" w:eastAsia="宋体" w:cs="宋体"/>
          <w:sz w:val="48"/>
          <w:szCs w:val="48"/>
          <w:lang w:val="en-US" w:eastAsia="zh-CN"/>
        </w:rPr>
      </w:pPr>
      <w:r>
        <w:rPr>
          <w:rFonts w:hint="eastAsia" w:cs="宋体"/>
          <w:b/>
          <w:spacing w:val="40"/>
          <w:sz w:val="48"/>
          <w:szCs w:val="48"/>
          <w:lang w:eastAsia="zh-CN"/>
        </w:rPr>
        <w:t>良渚街道物流等人口聚集区块维保服务外包项目</w:t>
      </w:r>
    </w:p>
    <w:p>
      <w:pPr>
        <w:shd w:val="clear" w:color="auto" w:fill="FFFFFF"/>
        <w:tabs>
          <w:tab w:val="left" w:pos="4500"/>
        </w:tabs>
        <w:snapToGrid w:val="0"/>
        <w:spacing w:line="360" w:lineRule="auto"/>
        <w:jc w:val="center"/>
        <w:textAlignment w:val="bottom"/>
        <w:rPr>
          <w:rFonts w:hint="eastAsia" w:ascii="宋体" w:hAnsi="宋体" w:cs="宋体"/>
          <w:b/>
          <w:bCs/>
          <w:color w:val="000000"/>
          <w:spacing w:val="6"/>
          <w:sz w:val="48"/>
          <w:szCs w:val="48"/>
        </w:rPr>
      </w:pPr>
    </w:p>
    <w:p>
      <w:pPr>
        <w:shd w:val="clear" w:color="auto" w:fill="FFFFFF"/>
        <w:tabs>
          <w:tab w:val="left" w:pos="4500"/>
        </w:tabs>
        <w:snapToGrid w:val="0"/>
        <w:spacing w:line="360" w:lineRule="auto"/>
        <w:jc w:val="center"/>
        <w:textAlignment w:val="bottom"/>
        <w:rPr>
          <w:rFonts w:ascii="宋体" w:hAnsi="宋体" w:cs="宋体"/>
          <w:b/>
          <w:bCs/>
          <w:color w:val="000000"/>
          <w:sz w:val="52"/>
          <w:szCs w:val="52"/>
        </w:rPr>
      </w:pPr>
      <w:r>
        <w:rPr>
          <w:rFonts w:hint="eastAsia" w:ascii="宋体" w:hAnsi="宋体" w:cs="宋体"/>
          <w:b/>
          <w:bCs/>
          <w:color w:val="000000"/>
          <w:spacing w:val="6"/>
          <w:sz w:val="48"/>
          <w:szCs w:val="48"/>
        </w:rPr>
        <w:t xml:space="preserve"> </w:t>
      </w:r>
    </w:p>
    <w:p>
      <w:pPr>
        <w:shd w:val="clear" w:color="auto" w:fill="FFFFFF"/>
        <w:tabs>
          <w:tab w:val="left" w:pos="4500"/>
        </w:tabs>
        <w:snapToGrid w:val="0"/>
        <w:jc w:val="center"/>
        <w:textAlignment w:val="bottom"/>
        <w:rPr>
          <w:rFonts w:ascii="宋体" w:hAnsi="宋体" w:cs="宋体"/>
          <w:b/>
          <w:bCs/>
          <w:color w:val="000000"/>
          <w:sz w:val="72"/>
          <w:szCs w:val="72"/>
        </w:rPr>
      </w:pPr>
      <w:r>
        <w:rPr>
          <w:rFonts w:hint="eastAsia" w:ascii="宋体" w:hAnsi="宋体" w:cs="宋体"/>
          <w:b/>
          <w:bCs/>
          <w:color w:val="000000"/>
          <w:sz w:val="72"/>
          <w:szCs w:val="72"/>
        </w:rPr>
        <w:t>公 开 招 标 文 件</w:t>
      </w:r>
    </w:p>
    <w:p>
      <w:pPr>
        <w:widowControl/>
        <w:snapToGrid w:val="0"/>
        <w:jc w:val="center"/>
        <w:rPr>
          <w:rFonts w:hint="eastAsia" w:ascii="宋体" w:hAnsi="宋体"/>
          <w:color w:val="000000"/>
        </w:rPr>
      </w:pPr>
    </w:p>
    <w:p>
      <w:pPr>
        <w:widowControl/>
        <w:ind w:right="-2"/>
        <w:jc w:val="center"/>
        <w:rPr>
          <w:rFonts w:hint="eastAsia" w:ascii="宋体" w:hAnsi="宋体" w:cs="宋体"/>
          <w:b/>
          <w:bCs/>
          <w:color w:val="000000"/>
          <w:sz w:val="36"/>
          <w:szCs w:val="36"/>
        </w:rPr>
      </w:pPr>
    </w:p>
    <w:p>
      <w:pPr>
        <w:widowControl/>
        <w:ind w:right="-2"/>
        <w:jc w:val="center"/>
        <w:rPr>
          <w:rFonts w:hint="eastAsia" w:ascii="宋体" w:hAnsi="宋体" w:cs="宋体"/>
          <w:b/>
          <w:bCs/>
          <w:color w:val="000000"/>
          <w:sz w:val="36"/>
          <w:szCs w:val="36"/>
        </w:rPr>
      </w:pPr>
      <w:r>
        <w:rPr>
          <w:rFonts w:hint="eastAsia" w:ascii="宋体" w:hAnsi="宋体" w:cs="宋体"/>
          <w:b/>
          <w:bCs/>
          <w:color w:val="000000"/>
          <w:sz w:val="36"/>
          <w:szCs w:val="36"/>
        </w:rPr>
        <w:t xml:space="preserve">招标编号：YJDL2020-046 </w:t>
      </w:r>
    </w:p>
    <w:p>
      <w:pPr>
        <w:widowControl/>
        <w:ind w:right="-2"/>
        <w:jc w:val="center"/>
        <w:rPr>
          <w:rFonts w:hint="eastAsia" w:ascii="宋体" w:hAnsi="宋体"/>
          <w:b/>
          <w:color w:val="000000"/>
          <w:sz w:val="36"/>
        </w:rPr>
      </w:pPr>
      <w:r>
        <w:rPr>
          <w:rFonts w:hint="eastAsia" w:ascii="宋体" w:hAnsi="宋体"/>
          <w:b/>
          <w:color w:val="000000"/>
          <w:sz w:val="36"/>
        </w:rPr>
        <w:t>（线上电子招投标）</w:t>
      </w:r>
    </w:p>
    <w:p>
      <w:pPr>
        <w:shd w:val="clear" w:color="auto" w:fill="FFFFFF"/>
        <w:snapToGrid w:val="0"/>
        <w:spacing w:line="360" w:lineRule="auto"/>
        <w:jc w:val="center"/>
        <w:textAlignment w:val="bottom"/>
        <w:rPr>
          <w:rFonts w:hint="eastAsia" w:ascii="宋体" w:hAnsi="宋体" w:cs="宋体"/>
          <w:b/>
          <w:bCs/>
          <w:color w:val="000000"/>
          <w:sz w:val="48"/>
          <w:szCs w:val="48"/>
        </w:rPr>
      </w:pPr>
    </w:p>
    <w:p>
      <w:pPr>
        <w:shd w:val="clear" w:color="auto" w:fill="FFFFFF"/>
        <w:snapToGrid w:val="0"/>
        <w:spacing w:line="360" w:lineRule="auto"/>
        <w:textAlignment w:val="bottom"/>
        <w:rPr>
          <w:rFonts w:hint="eastAsia" w:ascii="宋体" w:hAnsi="宋体" w:cs="宋体"/>
          <w:b/>
          <w:bCs/>
          <w:color w:val="000000"/>
          <w:sz w:val="30"/>
          <w:szCs w:val="30"/>
        </w:rPr>
      </w:pPr>
      <w:r>
        <w:rPr>
          <w:rFonts w:hint="eastAsia" w:ascii="宋体" w:hAnsi="宋体" w:cs="宋体"/>
          <w:color w:val="000000"/>
          <w:sz w:val="48"/>
          <w:szCs w:val="48"/>
        </w:rPr>
        <mc:AlternateContent>
          <mc:Choice Requires="wps">
            <w:drawing>
              <wp:anchor distT="0" distB="0" distL="114300" distR="114300" simplePos="0" relativeHeight="251659264" behindDoc="0" locked="0" layoutInCell="0" allowOverlap="1">
                <wp:simplePos x="0" y="0"/>
                <wp:positionH relativeFrom="column">
                  <wp:posOffset>4191000</wp:posOffset>
                </wp:positionH>
                <wp:positionV relativeFrom="paragraph">
                  <wp:posOffset>73025</wp:posOffset>
                </wp:positionV>
                <wp:extent cx="635" cy="0"/>
                <wp:effectExtent l="0" t="4445" r="0" b="5080"/>
                <wp:wrapSquare wrapText="bothSides"/>
                <wp:docPr id="1" name="直线 2"/>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330pt;margin-top:5.75pt;height:0pt;width:0.05pt;mso-wrap-distance-bottom:0pt;mso-wrap-distance-left:9pt;mso-wrap-distance-right:9pt;mso-wrap-distance-top:0pt;z-index:251659264;mso-width-relative:page;mso-height-relative:page;" filled="f" stroked="t" coordsize="21600,21600" o:allowincell="f" o:gfxdata="UEsDBAoAAAAAAIdO4kAAAAAAAAAAAAAAAAAEAAAAZHJzL1BLAwQUAAAACACHTuJAMiZML9QAAAAJ AQAADwAAAGRycy9kb3ducmV2LnhtbE2PzU7DMBCE70i8g7VIXCpqp4gIpXF6AHLjQiniuo23SUS8 TmP3B56eRRzguDOj2W/K1dkP6khT7ANbyOYGFHETXM+thc1rfXMPKiZkh0NgsvBJEVbV5UWJhQsn fqHjOrVKSjgWaKFLaSy0jk1HHuM8jMTi7cLkMck5tdpNeJJyP+iFMbn22LN86HCkh46aj/XBW4j1 G+3rr1kzM++3baDF/vH5Ca29vsrMElSic/oLww++oEMlTNtwYBfVYCHPjWxJYmR3oCQgQgZq+yvo qtT/F1TfUEsDBBQAAAAIAIdO4kDx25H94gEAANcDAAAOAAAAZHJzL2Uyb0RvYy54bWytU0uOEzEQ 3SNxB8t70knQjKCVziwIwwbBSMMcoOJPtyX/5HLSyVm4Bis2HGeuQdmdycCwyYJeuMvl8qt6r8qr m4OzbK8SmuA7vpjNOVNeBGl83/GHb7dv3nGGGbwEG7zq+FEhv1m/frUaY6uWYQhWqsQIxGM7xo4P Oce2aVAMygHOQlSeDnVIDjJtU9/IBCOhO9ss5/PrZgxJxhSEQiTvZjrkJ8R0CWDQ2gi1CWLnlM8T alIWMlHCwUTk61qt1krkr1qjysx2nJjmulISsrdlbdYraPsEcTDiVAJcUsILTg6Mp6RnqA1kYLtk /oFyRqSAQeeZCK6ZiFRFiMVi/kKb+wGiqlxIaoxn0fH/wYov+7vEjKRJ4MyDo4Y/fv/x+PMXWxZt xogthdzHu3TaIZmF6EEnV/5EgR2qnseznuqQmSDn9dsrzsSTv3m+FBPmTyo4VoyOW+MLTWhh/xkz JaLQp5Ditp6NHX9/tSxwQDOnqddkukh1o+/rXQzWyFtjbbmBqd9+sIntofS9foUO4f4VVpJsAIcp rh5NEzEokB+9ZPkYSRFPD4GXEpySnFlF76ZYBAhtBmMviaTU1lMFRdFJw2JtgzyS/ruYTD+QEota ZTmhftd6T7NZBurPfUV6fo/r31BLAwQKAAAAAACHTuJAAAAAAAAAAAAAAAAABgAAAF9yZWxzL1BL AwQUAAAACACHTuJAihRmPNEAAACUAQAACwAAAF9yZWxzLy5yZWxzpZDBasMwDIbvg72D0X1xmsMY o04vo9Br6R7A2IpjGltGMtn69vMOg2X0tqN+oe8T//7wmRa1IkukbGDX9aAwO/IxBwPvl+PTCyip Nnu7UEYDNxQ4jI8P+zMutrYjmWMR1ShZDMy1lletxc2YrHRUMLfNRJxsbSMHXay72oB66Ptnzb8Z MG6Y6uQN8MkPoC630sx/2Ck6JqGpdo6SpmmK7h5VB7Zlju7INuEbuUazHLAa8CwaB2pZ134EfV+/ +6fe00c+47rVfoeM649Xb7ocvwBQSwMEFAAAAAgAh07iQH7m5SD3AAAA4QEAABMAAABbQ29udGVu dF9UeXBlc10ueG1slZFBTsMwEEX3SNzB8hYlTrtACCXpgrRLQKgcYGRPEotkbHlMaG+Pk7YbRJFY 2jP/vye73BzGQUwY2Dqq5CovpEDSzljqKvm+32UPUnAEMjA4wkoekeWmvr0p90ePLFKauJJ9jP5R KdY9jsC580hp0rowQkzH0CkP+gM6VOuiuFfaUUSKWZw7ZF022MLnEMX2kK5PJgEHluLptDizKgne D1ZDTKZqIvODkp0JeUouO9xbz3dJQ6pfCfPkOuCce0lPE6xB8QohPsOYNJQJrIz7ooBT/nfJbDly 5trWasybwE2KveF0sbrWjmvXOP3f8u2SunSr5YPqb1BLAQIUABQAAAAIAIdO4kB+5uUg9wAAAOEB AAATAAAAAAAAAAEAIAAAAE8EAABbQ29udGVudF9UeXBlc10ueG1sUEsBAhQACgAAAAAAh07iQAAA AAAAAAAAAAAAAAYAAAAAAAAAAAAQAAAAMQMAAF9yZWxzL1BLAQIUABQAAAAIAIdO4kCKFGY80QAA AJQBAAALAAAAAAAAAAEAIAAAAFUDAABfcmVscy8ucmVsc1BLAQIUAAoAAAAAAIdO4kAAAAAAAAAA AAAAAAAEAAAAAAAAAAAAEAAAAAAAAABkcnMvUEsBAhQAFAAAAAgAh07iQDImTC/UAAAACQEAAA8A AAAAAAAAAQAgAAAAIgAAAGRycy9kb3ducmV2LnhtbFBLAQIUABQAAAAIAIdO4kDx25H94gEAANcD AAAOAAAAAAAAAAEAIAAAACMBAABkcnMvZTJvRG9jLnhtbFBLBQYAAAAABgAGAFkBAAB3BQAAAAA= ">
                <v:fill on="f" focussize="0,0"/>
                <v:stroke color="#000000" joinstyle="round"/>
                <v:imagedata o:title=""/>
                <o:lock v:ext="edit" aspectratio="f"/>
                <w10:wrap type="square"/>
              </v:line>
            </w:pict>
          </mc:Fallback>
        </mc:AlternateContent>
      </w:r>
    </w:p>
    <w:p>
      <w:pPr>
        <w:pStyle w:val="77"/>
        <w:ind w:firstLine="602"/>
        <w:rPr>
          <w:rFonts w:hint="eastAsia" w:ascii="宋体" w:hAnsi="宋体" w:cs="宋体"/>
          <w:b/>
          <w:bCs/>
          <w:color w:val="000000"/>
          <w:sz w:val="30"/>
          <w:szCs w:val="30"/>
        </w:rPr>
      </w:pPr>
    </w:p>
    <w:p>
      <w:pPr>
        <w:pStyle w:val="77"/>
        <w:ind w:firstLine="602"/>
        <w:rPr>
          <w:rFonts w:hint="eastAsia" w:ascii="宋体" w:hAnsi="宋体" w:cs="宋体"/>
          <w:b/>
          <w:bCs/>
          <w:color w:val="000000"/>
          <w:sz w:val="30"/>
          <w:szCs w:val="30"/>
        </w:rPr>
      </w:pPr>
    </w:p>
    <w:p>
      <w:pPr>
        <w:pStyle w:val="77"/>
        <w:ind w:firstLine="602"/>
        <w:rPr>
          <w:rFonts w:hint="eastAsia" w:ascii="宋体" w:hAnsi="宋体" w:cs="宋体"/>
          <w:b/>
          <w:bCs/>
          <w:color w:val="000000"/>
          <w:sz w:val="30"/>
          <w:szCs w:val="30"/>
        </w:rPr>
      </w:pPr>
    </w:p>
    <w:p>
      <w:pPr>
        <w:pStyle w:val="77"/>
        <w:ind w:firstLine="602"/>
        <w:rPr>
          <w:rFonts w:hint="eastAsia" w:ascii="宋体" w:hAnsi="宋体" w:cs="宋体"/>
          <w:b/>
          <w:bCs/>
          <w:color w:val="000000"/>
          <w:sz w:val="30"/>
          <w:szCs w:val="30"/>
        </w:rPr>
      </w:pPr>
    </w:p>
    <w:p>
      <w:pPr>
        <w:pStyle w:val="77"/>
        <w:ind w:firstLine="602"/>
        <w:rPr>
          <w:rFonts w:hint="eastAsia" w:ascii="宋体" w:hAnsi="宋体" w:cs="宋体"/>
          <w:b/>
          <w:bCs/>
          <w:color w:val="000000"/>
          <w:sz w:val="30"/>
          <w:szCs w:val="30"/>
        </w:rPr>
      </w:pPr>
    </w:p>
    <w:p>
      <w:pPr>
        <w:shd w:val="clear" w:color="auto" w:fill="FFFFFF"/>
        <w:snapToGrid w:val="0"/>
        <w:spacing w:line="480" w:lineRule="auto"/>
        <w:ind w:firstLine="425"/>
        <w:jc w:val="center"/>
        <w:textAlignment w:val="bottom"/>
        <w:rPr>
          <w:rFonts w:ascii="宋体" w:hAnsi="宋体" w:cs="宋体"/>
          <w:b/>
          <w:bCs/>
          <w:color w:val="000000"/>
          <w:sz w:val="30"/>
          <w:szCs w:val="30"/>
        </w:rPr>
      </w:pPr>
      <w:r>
        <w:rPr>
          <w:rFonts w:hint="eastAsia" w:ascii="宋体" w:hAnsi="宋体" w:cs="宋体"/>
          <w:b/>
          <w:bCs/>
          <w:color w:val="000000"/>
          <w:sz w:val="30"/>
          <w:szCs w:val="30"/>
        </w:rPr>
        <w:t>招标人：杭州市余杭区人民政府良渚街道办事处</w:t>
      </w:r>
    </w:p>
    <w:p>
      <w:pPr>
        <w:shd w:val="clear" w:color="auto" w:fill="FFFFFF"/>
        <w:snapToGrid w:val="0"/>
        <w:spacing w:line="480" w:lineRule="auto"/>
        <w:jc w:val="center"/>
        <w:textAlignment w:val="bottom"/>
        <w:rPr>
          <w:rFonts w:hint="eastAsia" w:ascii="宋体" w:hAnsi="宋体" w:cs="宋体"/>
          <w:b/>
          <w:bCs/>
          <w:color w:val="000000"/>
          <w:sz w:val="30"/>
          <w:szCs w:val="30"/>
        </w:rPr>
      </w:pPr>
      <w:r>
        <w:rPr>
          <w:rFonts w:hint="eastAsia" w:ascii="宋体" w:hAnsi="宋体" w:cs="宋体"/>
          <w:b/>
          <w:bCs/>
          <w:color w:val="000000"/>
          <w:sz w:val="30"/>
          <w:szCs w:val="30"/>
        </w:rPr>
        <w:t xml:space="preserve">招标代理机构：杭州益嘉工程咨询代理有限公司 </w:t>
      </w:r>
    </w:p>
    <w:p>
      <w:pPr>
        <w:shd w:val="clear" w:color="auto" w:fill="FFFFFF"/>
        <w:snapToGrid w:val="0"/>
        <w:spacing w:line="480" w:lineRule="auto"/>
        <w:ind w:firstLine="425"/>
        <w:jc w:val="center"/>
        <w:textAlignment w:val="bottom"/>
        <w:rPr>
          <w:rFonts w:hint="eastAsia" w:ascii="宋体" w:hAnsi="宋体" w:cs="宋体"/>
          <w:b/>
          <w:bCs/>
          <w:color w:val="000000"/>
          <w:sz w:val="30"/>
          <w:szCs w:val="30"/>
        </w:rPr>
      </w:pPr>
      <w:r>
        <w:rPr>
          <w:rFonts w:hint="eastAsia" w:ascii="宋体" w:hAnsi="宋体" w:cs="宋体"/>
          <w:b/>
          <w:bCs/>
          <w:color w:val="000000"/>
          <w:sz w:val="30"/>
          <w:szCs w:val="30"/>
        </w:rPr>
        <w:t xml:space="preserve">日    期：二O二O 年 </w:t>
      </w:r>
      <w:r>
        <w:rPr>
          <w:rFonts w:hint="eastAsia" w:ascii="宋体" w:hAnsi="宋体" w:cs="宋体"/>
          <w:b/>
          <w:bCs/>
          <w:color w:val="000000"/>
          <w:sz w:val="30"/>
          <w:szCs w:val="30"/>
          <w:lang w:val="en-US" w:eastAsia="zh-CN"/>
        </w:rPr>
        <w:t>九</w:t>
      </w:r>
      <w:r>
        <w:rPr>
          <w:rFonts w:hint="eastAsia" w:ascii="宋体" w:hAnsi="宋体" w:cs="宋体"/>
          <w:b/>
          <w:bCs/>
          <w:color w:val="000000"/>
          <w:sz w:val="30"/>
          <w:szCs w:val="30"/>
        </w:rPr>
        <w:t xml:space="preserve"> 月</w:t>
      </w:r>
    </w:p>
    <w:p>
      <w:pPr>
        <w:pStyle w:val="76"/>
        <w:rPr>
          <w:rFonts w:hint="eastAsia"/>
        </w:rPr>
      </w:pPr>
    </w:p>
    <w:p>
      <w:pPr>
        <w:shd w:val="clear" w:color="auto" w:fill="FFFFFF"/>
        <w:snapToGrid w:val="0"/>
        <w:spacing w:line="480" w:lineRule="auto"/>
        <w:ind w:firstLine="425"/>
        <w:jc w:val="center"/>
        <w:textAlignment w:val="bottom"/>
        <w:rPr>
          <w:rFonts w:hint="eastAsia" w:ascii="宋体" w:hAnsi="宋体" w:cs="宋体"/>
          <w:b/>
          <w:bCs/>
          <w:color w:val="000000"/>
          <w:sz w:val="32"/>
          <w:szCs w:val="32"/>
        </w:rPr>
      </w:pPr>
      <w:r>
        <w:rPr>
          <w:rFonts w:hint="eastAsia" w:ascii="宋体" w:hAnsi="宋体" w:cs="宋体"/>
          <w:b/>
          <w:bCs/>
          <w:color w:val="000000"/>
          <w:sz w:val="32"/>
          <w:szCs w:val="32"/>
        </w:rPr>
        <w:t>目  录</w:t>
      </w:r>
    </w:p>
    <w:p>
      <w:pPr>
        <w:pStyle w:val="353"/>
        <w:tabs>
          <w:tab w:val="right" w:leader="dot" w:pos="8958"/>
        </w:tabs>
        <w:rPr>
          <w:b/>
          <w:sz w:val="28"/>
          <w:szCs w:val="28"/>
        </w:rPr>
      </w:pPr>
      <w:r>
        <w:rPr>
          <w:rFonts w:hint="eastAsia" w:ascii="宋体" w:hAnsi="宋体" w:cs="宋体"/>
          <w:b/>
          <w:caps/>
          <w:smallCaps/>
          <w:color w:val="000000"/>
          <w:sz w:val="24"/>
          <w:szCs w:val="24"/>
        </w:rPr>
        <w:fldChar w:fldCharType="begin"/>
      </w:r>
      <w:r>
        <w:rPr>
          <w:rFonts w:hint="eastAsia" w:ascii="宋体" w:hAnsi="宋体" w:cs="宋体"/>
          <w:b/>
          <w:caps/>
          <w:smallCaps/>
          <w:color w:val="000000"/>
          <w:sz w:val="24"/>
          <w:szCs w:val="24"/>
        </w:rPr>
        <w:instrText xml:space="preserve"> TOC \o "1-2" \h \z \u </w:instrText>
      </w:r>
      <w:r>
        <w:rPr>
          <w:rFonts w:hint="eastAsia" w:ascii="宋体" w:hAnsi="宋体" w:cs="宋体"/>
          <w:b/>
          <w:caps/>
          <w:smallCaps/>
          <w:color w:val="000000"/>
          <w:sz w:val="24"/>
          <w:szCs w:val="24"/>
        </w:rPr>
        <w:fldChar w:fldCharType="separate"/>
      </w:r>
      <w:r>
        <w:rPr>
          <w:rFonts w:hint="eastAsia"/>
          <w:b/>
          <w:sz w:val="28"/>
          <w:szCs w:val="28"/>
        </w:rPr>
        <w:fldChar w:fldCharType="begin"/>
      </w:r>
      <w:r>
        <w:rPr>
          <w:rFonts w:hint="eastAsia"/>
          <w:b/>
          <w:sz w:val="28"/>
          <w:szCs w:val="28"/>
        </w:rPr>
        <w:instrText xml:space="preserve"> HYPERLINK \l _Toc3481 </w:instrText>
      </w:r>
      <w:r>
        <w:rPr>
          <w:rFonts w:hint="eastAsia"/>
          <w:b/>
          <w:sz w:val="28"/>
          <w:szCs w:val="28"/>
        </w:rPr>
        <w:fldChar w:fldCharType="separate"/>
      </w:r>
      <w:r>
        <w:rPr>
          <w:rFonts w:hint="eastAsia" w:ascii="宋体" w:hAnsi="宋体" w:cs="宋体"/>
          <w:b/>
          <w:bCs/>
          <w:sz w:val="28"/>
          <w:szCs w:val="28"/>
        </w:rPr>
        <w:t>第一部分 招标公告</w:t>
      </w:r>
      <w:r>
        <w:rPr>
          <w:b/>
          <w:sz w:val="28"/>
          <w:szCs w:val="28"/>
        </w:rPr>
        <w:tab/>
      </w:r>
      <w:r>
        <w:rPr>
          <w:b/>
          <w:sz w:val="28"/>
          <w:szCs w:val="28"/>
        </w:rPr>
        <w:fldChar w:fldCharType="begin"/>
      </w:r>
      <w:r>
        <w:rPr>
          <w:b/>
          <w:sz w:val="28"/>
          <w:szCs w:val="28"/>
        </w:rPr>
        <w:instrText xml:space="preserve"> PAGEREF _Toc3481 </w:instrText>
      </w:r>
      <w:r>
        <w:rPr>
          <w:b/>
          <w:sz w:val="28"/>
          <w:szCs w:val="28"/>
        </w:rPr>
        <w:fldChar w:fldCharType="separate"/>
      </w:r>
      <w:r>
        <w:rPr>
          <w:b/>
          <w:sz w:val="28"/>
          <w:szCs w:val="28"/>
        </w:rPr>
        <w:t>4</w:t>
      </w:r>
      <w:r>
        <w:rPr>
          <w:b/>
          <w:sz w:val="28"/>
          <w:szCs w:val="28"/>
        </w:rPr>
        <w:fldChar w:fldCharType="end"/>
      </w:r>
      <w:r>
        <w:rPr>
          <w:rFonts w:hint="eastAsia"/>
          <w:b/>
          <w:sz w:val="28"/>
          <w:szCs w:val="28"/>
        </w:rPr>
        <w:fldChar w:fldCharType="end"/>
      </w:r>
    </w:p>
    <w:p>
      <w:pPr>
        <w:pStyle w:val="353"/>
        <w:tabs>
          <w:tab w:val="right" w:leader="dot" w:pos="8958"/>
        </w:tabs>
        <w:rPr>
          <w:b/>
          <w:sz w:val="28"/>
          <w:szCs w:val="28"/>
        </w:rPr>
      </w:pPr>
      <w:r>
        <w:rPr>
          <w:rFonts w:hint="eastAsia"/>
          <w:b/>
          <w:sz w:val="28"/>
          <w:szCs w:val="28"/>
        </w:rPr>
        <w:fldChar w:fldCharType="begin"/>
      </w:r>
      <w:r>
        <w:rPr>
          <w:rFonts w:hint="eastAsia"/>
          <w:b/>
          <w:sz w:val="28"/>
          <w:szCs w:val="28"/>
        </w:rPr>
        <w:instrText xml:space="preserve"> HYPERLINK \l _Toc32171 </w:instrText>
      </w:r>
      <w:r>
        <w:rPr>
          <w:rFonts w:hint="eastAsia"/>
          <w:b/>
          <w:sz w:val="28"/>
          <w:szCs w:val="28"/>
        </w:rPr>
        <w:fldChar w:fldCharType="separate"/>
      </w:r>
      <w:r>
        <w:rPr>
          <w:rFonts w:hint="eastAsia" w:ascii="宋体" w:hAnsi="宋体" w:cs="宋体"/>
          <w:b/>
          <w:bCs/>
          <w:sz w:val="28"/>
          <w:szCs w:val="28"/>
        </w:rPr>
        <w:t>第二部分 编制和提交投标文件须知</w:t>
      </w:r>
      <w:r>
        <w:rPr>
          <w:b/>
          <w:sz w:val="28"/>
          <w:szCs w:val="28"/>
        </w:rPr>
        <w:tab/>
      </w:r>
      <w:r>
        <w:rPr>
          <w:b/>
          <w:sz w:val="28"/>
          <w:szCs w:val="28"/>
        </w:rPr>
        <w:fldChar w:fldCharType="begin"/>
      </w:r>
      <w:r>
        <w:rPr>
          <w:b/>
          <w:sz w:val="28"/>
          <w:szCs w:val="28"/>
        </w:rPr>
        <w:instrText xml:space="preserve"> PAGEREF _Toc32171 </w:instrText>
      </w:r>
      <w:r>
        <w:rPr>
          <w:b/>
          <w:sz w:val="28"/>
          <w:szCs w:val="28"/>
        </w:rPr>
        <w:fldChar w:fldCharType="separate"/>
      </w:r>
      <w:r>
        <w:rPr>
          <w:b/>
          <w:sz w:val="28"/>
          <w:szCs w:val="28"/>
        </w:rPr>
        <w:t>8</w:t>
      </w:r>
      <w:r>
        <w:rPr>
          <w:b/>
          <w:sz w:val="28"/>
          <w:szCs w:val="28"/>
        </w:rPr>
        <w:fldChar w:fldCharType="end"/>
      </w:r>
      <w:r>
        <w:rPr>
          <w:rFonts w:hint="eastAsia"/>
          <w:b/>
          <w:sz w:val="28"/>
          <w:szCs w:val="28"/>
        </w:rPr>
        <w:fldChar w:fldCharType="end"/>
      </w:r>
    </w:p>
    <w:p>
      <w:pPr>
        <w:pStyle w:val="459"/>
        <w:tabs>
          <w:tab w:val="right" w:leader="dot" w:pos="8958"/>
        </w:tabs>
        <w:ind w:left="420"/>
        <w:rPr>
          <w:sz w:val="28"/>
          <w:szCs w:val="28"/>
        </w:rPr>
      </w:pPr>
      <w:r>
        <w:rPr>
          <w:rFonts w:hint="eastAsia"/>
          <w:sz w:val="28"/>
          <w:szCs w:val="28"/>
        </w:rPr>
        <w:fldChar w:fldCharType="begin"/>
      </w:r>
      <w:r>
        <w:rPr>
          <w:rFonts w:hint="eastAsia"/>
          <w:sz w:val="28"/>
          <w:szCs w:val="28"/>
        </w:rPr>
        <w:instrText xml:space="preserve"> HYPERLINK \l _Toc26693 </w:instrText>
      </w:r>
      <w:r>
        <w:rPr>
          <w:rFonts w:hint="eastAsia"/>
          <w:sz w:val="28"/>
          <w:szCs w:val="28"/>
        </w:rPr>
        <w:fldChar w:fldCharType="separate"/>
      </w:r>
      <w:r>
        <w:rPr>
          <w:rFonts w:hint="eastAsia" w:ascii="宋体" w:hAnsi="宋体" w:cs="宋体"/>
          <w:bCs/>
          <w:sz w:val="28"/>
          <w:szCs w:val="28"/>
        </w:rPr>
        <w:t>前 附 表</w:t>
      </w:r>
      <w:r>
        <w:rPr>
          <w:sz w:val="28"/>
          <w:szCs w:val="28"/>
        </w:rPr>
        <w:tab/>
      </w:r>
      <w:r>
        <w:rPr>
          <w:sz w:val="28"/>
          <w:szCs w:val="28"/>
        </w:rPr>
        <w:fldChar w:fldCharType="begin"/>
      </w:r>
      <w:r>
        <w:rPr>
          <w:sz w:val="28"/>
          <w:szCs w:val="28"/>
        </w:rPr>
        <w:instrText xml:space="preserve"> PAGEREF _Toc26693 </w:instrText>
      </w:r>
      <w:r>
        <w:rPr>
          <w:sz w:val="28"/>
          <w:szCs w:val="28"/>
        </w:rPr>
        <w:fldChar w:fldCharType="separate"/>
      </w:r>
      <w:r>
        <w:rPr>
          <w:sz w:val="28"/>
          <w:szCs w:val="28"/>
        </w:rPr>
        <w:t>8</w:t>
      </w:r>
      <w:r>
        <w:rPr>
          <w:sz w:val="28"/>
          <w:szCs w:val="28"/>
        </w:rPr>
        <w:fldChar w:fldCharType="end"/>
      </w:r>
      <w:r>
        <w:rPr>
          <w:rFonts w:hint="eastAsia"/>
          <w:sz w:val="28"/>
          <w:szCs w:val="28"/>
        </w:rPr>
        <w:fldChar w:fldCharType="end"/>
      </w:r>
    </w:p>
    <w:p>
      <w:pPr>
        <w:pStyle w:val="459"/>
        <w:tabs>
          <w:tab w:val="right" w:leader="dot" w:pos="8958"/>
        </w:tabs>
        <w:ind w:left="420"/>
        <w:rPr>
          <w:sz w:val="28"/>
          <w:szCs w:val="28"/>
        </w:rPr>
      </w:pPr>
      <w:r>
        <w:rPr>
          <w:rFonts w:hint="eastAsia"/>
          <w:sz w:val="28"/>
          <w:szCs w:val="28"/>
        </w:rPr>
        <w:fldChar w:fldCharType="begin"/>
      </w:r>
      <w:r>
        <w:rPr>
          <w:rFonts w:hint="eastAsia"/>
          <w:sz w:val="28"/>
          <w:szCs w:val="28"/>
        </w:rPr>
        <w:instrText xml:space="preserve"> HYPERLINK \l _Toc2995 </w:instrText>
      </w:r>
      <w:r>
        <w:rPr>
          <w:rFonts w:hint="eastAsia"/>
          <w:sz w:val="28"/>
          <w:szCs w:val="28"/>
        </w:rPr>
        <w:fldChar w:fldCharType="separate"/>
      </w:r>
      <w:r>
        <w:rPr>
          <w:rFonts w:hint="eastAsia" w:ascii="宋体" w:hAnsi="宋体" w:cs="宋体"/>
          <w:bCs/>
          <w:sz w:val="28"/>
          <w:szCs w:val="28"/>
        </w:rPr>
        <w:t>一、总 则</w:t>
      </w:r>
      <w:r>
        <w:rPr>
          <w:sz w:val="28"/>
          <w:szCs w:val="28"/>
        </w:rPr>
        <w:tab/>
      </w:r>
      <w:r>
        <w:rPr>
          <w:sz w:val="28"/>
          <w:szCs w:val="28"/>
        </w:rPr>
        <w:fldChar w:fldCharType="begin"/>
      </w:r>
      <w:r>
        <w:rPr>
          <w:sz w:val="28"/>
          <w:szCs w:val="28"/>
        </w:rPr>
        <w:instrText xml:space="preserve"> PAGEREF _Toc2995 </w:instrText>
      </w:r>
      <w:r>
        <w:rPr>
          <w:sz w:val="28"/>
          <w:szCs w:val="28"/>
        </w:rPr>
        <w:fldChar w:fldCharType="separate"/>
      </w:r>
      <w:r>
        <w:rPr>
          <w:sz w:val="28"/>
          <w:szCs w:val="28"/>
        </w:rPr>
        <w:t>12</w:t>
      </w:r>
      <w:r>
        <w:rPr>
          <w:sz w:val="28"/>
          <w:szCs w:val="28"/>
        </w:rPr>
        <w:fldChar w:fldCharType="end"/>
      </w:r>
      <w:r>
        <w:rPr>
          <w:rFonts w:hint="eastAsia"/>
          <w:sz w:val="28"/>
          <w:szCs w:val="28"/>
        </w:rPr>
        <w:fldChar w:fldCharType="end"/>
      </w:r>
    </w:p>
    <w:p>
      <w:pPr>
        <w:pStyle w:val="459"/>
        <w:tabs>
          <w:tab w:val="right" w:leader="dot" w:pos="8958"/>
        </w:tabs>
        <w:ind w:left="420"/>
        <w:rPr>
          <w:sz w:val="28"/>
          <w:szCs w:val="28"/>
        </w:rPr>
      </w:pPr>
      <w:r>
        <w:rPr>
          <w:rFonts w:hint="eastAsia"/>
          <w:sz w:val="28"/>
          <w:szCs w:val="28"/>
        </w:rPr>
        <w:fldChar w:fldCharType="begin"/>
      </w:r>
      <w:r>
        <w:rPr>
          <w:rFonts w:hint="eastAsia"/>
          <w:sz w:val="28"/>
          <w:szCs w:val="28"/>
        </w:rPr>
        <w:instrText xml:space="preserve"> HYPERLINK \l _Toc31909 </w:instrText>
      </w:r>
      <w:r>
        <w:rPr>
          <w:rFonts w:hint="eastAsia"/>
          <w:sz w:val="28"/>
          <w:szCs w:val="28"/>
        </w:rPr>
        <w:fldChar w:fldCharType="separate"/>
      </w:r>
      <w:r>
        <w:rPr>
          <w:rFonts w:hint="eastAsia" w:ascii="宋体" w:hAnsi="宋体" w:cs="宋体"/>
          <w:bCs/>
          <w:sz w:val="28"/>
          <w:szCs w:val="28"/>
        </w:rPr>
        <w:t>二、招标文件</w:t>
      </w:r>
      <w:r>
        <w:rPr>
          <w:sz w:val="28"/>
          <w:szCs w:val="28"/>
        </w:rPr>
        <w:tab/>
      </w:r>
      <w:r>
        <w:rPr>
          <w:sz w:val="28"/>
          <w:szCs w:val="28"/>
        </w:rPr>
        <w:fldChar w:fldCharType="begin"/>
      </w:r>
      <w:r>
        <w:rPr>
          <w:sz w:val="28"/>
          <w:szCs w:val="28"/>
        </w:rPr>
        <w:instrText xml:space="preserve"> PAGEREF _Toc31909 </w:instrText>
      </w:r>
      <w:r>
        <w:rPr>
          <w:sz w:val="28"/>
          <w:szCs w:val="28"/>
        </w:rPr>
        <w:fldChar w:fldCharType="separate"/>
      </w:r>
      <w:r>
        <w:rPr>
          <w:sz w:val="28"/>
          <w:szCs w:val="28"/>
        </w:rPr>
        <w:t>12</w:t>
      </w:r>
      <w:r>
        <w:rPr>
          <w:sz w:val="28"/>
          <w:szCs w:val="28"/>
        </w:rPr>
        <w:fldChar w:fldCharType="end"/>
      </w:r>
      <w:r>
        <w:rPr>
          <w:rFonts w:hint="eastAsia"/>
          <w:sz w:val="28"/>
          <w:szCs w:val="28"/>
        </w:rPr>
        <w:fldChar w:fldCharType="end"/>
      </w:r>
    </w:p>
    <w:p>
      <w:pPr>
        <w:pStyle w:val="459"/>
        <w:tabs>
          <w:tab w:val="right" w:leader="dot" w:pos="8958"/>
        </w:tabs>
        <w:ind w:left="420"/>
        <w:rPr>
          <w:sz w:val="28"/>
          <w:szCs w:val="28"/>
        </w:rPr>
      </w:pPr>
      <w:r>
        <w:rPr>
          <w:rFonts w:hint="eastAsia"/>
          <w:sz w:val="28"/>
          <w:szCs w:val="28"/>
        </w:rPr>
        <w:fldChar w:fldCharType="begin"/>
      </w:r>
      <w:r>
        <w:rPr>
          <w:rFonts w:hint="eastAsia"/>
          <w:sz w:val="28"/>
          <w:szCs w:val="28"/>
        </w:rPr>
        <w:instrText xml:space="preserve"> HYPERLINK \l _Toc18768 </w:instrText>
      </w:r>
      <w:r>
        <w:rPr>
          <w:rFonts w:hint="eastAsia"/>
          <w:sz w:val="28"/>
          <w:szCs w:val="28"/>
        </w:rPr>
        <w:fldChar w:fldCharType="separate"/>
      </w:r>
      <w:r>
        <w:rPr>
          <w:rFonts w:hint="eastAsia" w:ascii="宋体" w:hAnsi="宋体" w:cs="宋体"/>
          <w:bCs/>
          <w:sz w:val="28"/>
          <w:szCs w:val="28"/>
        </w:rPr>
        <w:t>三、投标文件</w:t>
      </w:r>
      <w:r>
        <w:rPr>
          <w:sz w:val="28"/>
          <w:szCs w:val="28"/>
        </w:rPr>
        <w:tab/>
      </w:r>
      <w:r>
        <w:rPr>
          <w:sz w:val="28"/>
          <w:szCs w:val="28"/>
        </w:rPr>
        <w:fldChar w:fldCharType="begin"/>
      </w:r>
      <w:r>
        <w:rPr>
          <w:sz w:val="28"/>
          <w:szCs w:val="28"/>
        </w:rPr>
        <w:instrText xml:space="preserve"> PAGEREF _Toc18768 </w:instrText>
      </w:r>
      <w:r>
        <w:rPr>
          <w:sz w:val="28"/>
          <w:szCs w:val="28"/>
        </w:rPr>
        <w:fldChar w:fldCharType="separate"/>
      </w:r>
      <w:r>
        <w:rPr>
          <w:sz w:val="28"/>
          <w:szCs w:val="28"/>
        </w:rPr>
        <w:t>14</w:t>
      </w:r>
      <w:r>
        <w:rPr>
          <w:sz w:val="28"/>
          <w:szCs w:val="28"/>
        </w:rPr>
        <w:fldChar w:fldCharType="end"/>
      </w:r>
      <w:r>
        <w:rPr>
          <w:rFonts w:hint="eastAsia"/>
          <w:sz w:val="28"/>
          <w:szCs w:val="28"/>
        </w:rPr>
        <w:fldChar w:fldCharType="end"/>
      </w:r>
    </w:p>
    <w:p>
      <w:pPr>
        <w:pStyle w:val="459"/>
        <w:tabs>
          <w:tab w:val="right" w:leader="dot" w:pos="8958"/>
        </w:tabs>
        <w:ind w:left="420"/>
        <w:rPr>
          <w:sz w:val="28"/>
          <w:szCs w:val="28"/>
        </w:rPr>
      </w:pPr>
      <w:r>
        <w:rPr>
          <w:rFonts w:hint="eastAsia"/>
          <w:sz w:val="28"/>
          <w:szCs w:val="28"/>
        </w:rPr>
        <w:fldChar w:fldCharType="begin"/>
      </w:r>
      <w:r>
        <w:rPr>
          <w:rFonts w:hint="eastAsia"/>
          <w:sz w:val="28"/>
          <w:szCs w:val="28"/>
        </w:rPr>
        <w:instrText xml:space="preserve"> HYPERLINK \l _Toc12606 </w:instrText>
      </w:r>
      <w:r>
        <w:rPr>
          <w:rFonts w:hint="eastAsia"/>
          <w:sz w:val="28"/>
          <w:szCs w:val="28"/>
        </w:rPr>
        <w:fldChar w:fldCharType="separate"/>
      </w:r>
      <w:r>
        <w:rPr>
          <w:rFonts w:hint="eastAsia" w:ascii="宋体" w:hAnsi="宋体" w:cs="宋体"/>
          <w:sz w:val="28"/>
          <w:szCs w:val="28"/>
        </w:rPr>
        <w:t>四、投标</w:t>
      </w:r>
      <w:r>
        <w:rPr>
          <w:sz w:val="28"/>
          <w:szCs w:val="28"/>
        </w:rPr>
        <w:tab/>
      </w:r>
      <w:r>
        <w:rPr>
          <w:sz w:val="28"/>
          <w:szCs w:val="28"/>
        </w:rPr>
        <w:fldChar w:fldCharType="begin"/>
      </w:r>
      <w:r>
        <w:rPr>
          <w:sz w:val="28"/>
          <w:szCs w:val="28"/>
        </w:rPr>
        <w:instrText xml:space="preserve"> PAGEREF _Toc12606 </w:instrText>
      </w:r>
      <w:r>
        <w:rPr>
          <w:sz w:val="28"/>
          <w:szCs w:val="28"/>
        </w:rPr>
        <w:fldChar w:fldCharType="separate"/>
      </w:r>
      <w:r>
        <w:rPr>
          <w:sz w:val="28"/>
          <w:szCs w:val="28"/>
        </w:rPr>
        <w:t>17</w:t>
      </w:r>
      <w:r>
        <w:rPr>
          <w:sz w:val="28"/>
          <w:szCs w:val="28"/>
        </w:rPr>
        <w:fldChar w:fldCharType="end"/>
      </w:r>
      <w:r>
        <w:rPr>
          <w:rFonts w:hint="eastAsia"/>
          <w:sz w:val="28"/>
          <w:szCs w:val="28"/>
        </w:rPr>
        <w:fldChar w:fldCharType="end"/>
      </w:r>
    </w:p>
    <w:p>
      <w:pPr>
        <w:pStyle w:val="459"/>
        <w:tabs>
          <w:tab w:val="right" w:leader="dot" w:pos="8958"/>
        </w:tabs>
        <w:ind w:left="420"/>
        <w:rPr>
          <w:sz w:val="28"/>
          <w:szCs w:val="28"/>
        </w:rPr>
      </w:pPr>
      <w:r>
        <w:rPr>
          <w:rFonts w:hint="eastAsia"/>
          <w:sz w:val="28"/>
          <w:szCs w:val="28"/>
        </w:rPr>
        <w:fldChar w:fldCharType="begin"/>
      </w:r>
      <w:r>
        <w:rPr>
          <w:rFonts w:hint="eastAsia"/>
          <w:sz w:val="28"/>
          <w:szCs w:val="28"/>
        </w:rPr>
        <w:instrText xml:space="preserve"> HYPERLINK \l _Toc19031 </w:instrText>
      </w:r>
      <w:r>
        <w:rPr>
          <w:rFonts w:hint="eastAsia"/>
          <w:sz w:val="28"/>
          <w:szCs w:val="28"/>
        </w:rPr>
        <w:fldChar w:fldCharType="separate"/>
      </w:r>
      <w:r>
        <w:rPr>
          <w:rFonts w:hint="eastAsia" w:ascii="宋体" w:hAnsi="宋体" w:cs="宋体"/>
          <w:sz w:val="28"/>
          <w:szCs w:val="28"/>
        </w:rPr>
        <w:t>五、开 标</w:t>
      </w:r>
      <w:r>
        <w:rPr>
          <w:sz w:val="28"/>
          <w:szCs w:val="28"/>
        </w:rPr>
        <w:tab/>
      </w:r>
      <w:r>
        <w:rPr>
          <w:sz w:val="28"/>
          <w:szCs w:val="28"/>
        </w:rPr>
        <w:fldChar w:fldCharType="begin"/>
      </w:r>
      <w:r>
        <w:rPr>
          <w:sz w:val="28"/>
          <w:szCs w:val="28"/>
        </w:rPr>
        <w:instrText xml:space="preserve"> PAGEREF _Toc19031 </w:instrText>
      </w:r>
      <w:r>
        <w:rPr>
          <w:sz w:val="28"/>
          <w:szCs w:val="28"/>
        </w:rPr>
        <w:fldChar w:fldCharType="separate"/>
      </w:r>
      <w:r>
        <w:rPr>
          <w:sz w:val="28"/>
          <w:szCs w:val="28"/>
        </w:rPr>
        <w:t>17</w:t>
      </w:r>
      <w:r>
        <w:rPr>
          <w:sz w:val="28"/>
          <w:szCs w:val="28"/>
        </w:rPr>
        <w:fldChar w:fldCharType="end"/>
      </w:r>
      <w:r>
        <w:rPr>
          <w:rFonts w:hint="eastAsia"/>
          <w:sz w:val="28"/>
          <w:szCs w:val="28"/>
        </w:rPr>
        <w:fldChar w:fldCharType="end"/>
      </w:r>
    </w:p>
    <w:p>
      <w:pPr>
        <w:pStyle w:val="459"/>
        <w:tabs>
          <w:tab w:val="right" w:leader="dot" w:pos="8958"/>
        </w:tabs>
        <w:ind w:left="420"/>
        <w:rPr>
          <w:sz w:val="28"/>
          <w:szCs w:val="28"/>
        </w:rPr>
      </w:pPr>
      <w:r>
        <w:rPr>
          <w:rFonts w:hint="eastAsia"/>
          <w:sz w:val="28"/>
          <w:szCs w:val="28"/>
        </w:rPr>
        <w:fldChar w:fldCharType="begin"/>
      </w:r>
      <w:r>
        <w:rPr>
          <w:rFonts w:hint="eastAsia"/>
          <w:sz w:val="28"/>
          <w:szCs w:val="28"/>
        </w:rPr>
        <w:instrText xml:space="preserve"> HYPERLINK \l _Toc24254 </w:instrText>
      </w:r>
      <w:r>
        <w:rPr>
          <w:rFonts w:hint="eastAsia"/>
          <w:sz w:val="28"/>
          <w:szCs w:val="28"/>
        </w:rPr>
        <w:fldChar w:fldCharType="separate"/>
      </w:r>
      <w:r>
        <w:rPr>
          <w:rFonts w:hint="eastAsia" w:ascii="宋体" w:hAnsi="宋体" w:cs="宋体"/>
          <w:sz w:val="28"/>
          <w:szCs w:val="28"/>
        </w:rPr>
        <w:t>六、评 标</w:t>
      </w:r>
      <w:r>
        <w:rPr>
          <w:sz w:val="28"/>
          <w:szCs w:val="28"/>
        </w:rPr>
        <w:tab/>
      </w:r>
      <w:r>
        <w:rPr>
          <w:sz w:val="28"/>
          <w:szCs w:val="28"/>
        </w:rPr>
        <w:fldChar w:fldCharType="begin"/>
      </w:r>
      <w:r>
        <w:rPr>
          <w:sz w:val="28"/>
          <w:szCs w:val="28"/>
        </w:rPr>
        <w:instrText xml:space="preserve"> PAGEREF _Toc24254 </w:instrText>
      </w:r>
      <w:r>
        <w:rPr>
          <w:sz w:val="28"/>
          <w:szCs w:val="28"/>
        </w:rPr>
        <w:fldChar w:fldCharType="separate"/>
      </w:r>
      <w:r>
        <w:rPr>
          <w:sz w:val="28"/>
          <w:szCs w:val="28"/>
        </w:rPr>
        <w:t>19</w:t>
      </w:r>
      <w:r>
        <w:rPr>
          <w:sz w:val="28"/>
          <w:szCs w:val="28"/>
        </w:rPr>
        <w:fldChar w:fldCharType="end"/>
      </w:r>
      <w:r>
        <w:rPr>
          <w:rFonts w:hint="eastAsia"/>
          <w:sz w:val="28"/>
          <w:szCs w:val="28"/>
        </w:rPr>
        <w:fldChar w:fldCharType="end"/>
      </w:r>
    </w:p>
    <w:p>
      <w:pPr>
        <w:pStyle w:val="459"/>
        <w:tabs>
          <w:tab w:val="right" w:leader="dot" w:pos="8958"/>
        </w:tabs>
        <w:ind w:left="420"/>
        <w:rPr>
          <w:sz w:val="28"/>
          <w:szCs w:val="28"/>
        </w:rPr>
      </w:pPr>
      <w:r>
        <w:rPr>
          <w:rFonts w:hint="eastAsia"/>
          <w:sz w:val="28"/>
          <w:szCs w:val="28"/>
        </w:rPr>
        <w:fldChar w:fldCharType="begin"/>
      </w:r>
      <w:r>
        <w:rPr>
          <w:rFonts w:hint="eastAsia"/>
          <w:sz w:val="28"/>
          <w:szCs w:val="28"/>
        </w:rPr>
        <w:instrText xml:space="preserve"> HYPERLINK \l _Toc31748 </w:instrText>
      </w:r>
      <w:r>
        <w:rPr>
          <w:rFonts w:hint="eastAsia"/>
          <w:sz w:val="28"/>
          <w:szCs w:val="28"/>
        </w:rPr>
        <w:fldChar w:fldCharType="separate"/>
      </w:r>
      <w:r>
        <w:rPr>
          <w:rFonts w:hint="eastAsia" w:ascii="宋体" w:hAnsi="宋体" w:cs="宋体"/>
          <w:bCs/>
          <w:sz w:val="28"/>
          <w:szCs w:val="28"/>
        </w:rPr>
        <w:t>七、合同签订及其他</w:t>
      </w:r>
      <w:r>
        <w:rPr>
          <w:sz w:val="28"/>
          <w:szCs w:val="28"/>
        </w:rPr>
        <w:tab/>
      </w:r>
      <w:r>
        <w:rPr>
          <w:sz w:val="28"/>
          <w:szCs w:val="28"/>
        </w:rPr>
        <w:fldChar w:fldCharType="begin"/>
      </w:r>
      <w:r>
        <w:rPr>
          <w:sz w:val="28"/>
          <w:szCs w:val="28"/>
        </w:rPr>
        <w:instrText xml:space="preserve"> PAGEREF _Toc31748 </w:instrText>
      </w:r>
      <w:r>
        <w:rPr>
          <w:sz w:val="28"/>
          <w:szCs w:val="28"/>
        </w:rPr>
        <w:fldChar w:fldCharType="separate"/>
      </w:r>
      <w:r>
        <w:rPr>
          <w:sz w:val="28"/>
          <w:szCs w:val="28"/>
        </w:rPr>
        <w:t>27</w:t>
      </w:r>
      <w:r>
        <w:rPr>
          <w:sz w:val="28"/>
          <w:szCs w:val="28"/>
        </w:rPr>
        <w:fldChar w:fldCharType="end"/>
      </w:r>
      <w:r>
        <w:rPr>
          <w:rFonts w:hint="eastAsia"/>
          <w:sz w:val="28"/>
          <w:szCs w:val="28"/>
        </w:rPr>
        <w:fldChar w:fldCharType="end"/>
      </w:r>
    </w:p>
    <w:p>
      <w:pPr>
        <w:pStyle w:val="353"/>
        <w:tabs>
          <w:tab w:val="right" w:leader="dot" w:pos="8958"/>
        </w:tabs>
        <w:rPr>
          <w:b/>
          <w:sz w:val="28"/>
          <w:szCs w:val="28"/>
        </w:rPr>
      </w:pPr>
      <w:r>
        <w:rPr>
          <w:rFonts w:hint="eastAsia"/>
          <w:b/>
          <w:sz w:val="28"/>
          <w:szCs w:val="28"/>
        </w:rPr>
        <w:fldChar w:fldCharType="begin"/>
      </w:r>
      <w:r>
        <w:rPr>
          <w:rFonts w:hint="eastAsia"/>
          <w:b/>
          <w:sz w:val="28"/>
          <w:szCs w:val="28"/>
        </w:rPr>
        <w:instrText xml:space="preserve"> HYPERLINK \l _Toc26111 </w:instrText>
      </w:r>
      <w:r>
        <w:rPr>
          <w:rFonts w:hint="eastAsia"/>
          <w:b/>
          <w:sz w:val="28"/>
          <w:szCs w:val="28"/>
        </w:rPr>
        <w:fldChar w:fldCharType="separate"/>
      </w:r>
      <w:r>
        <w:rPr>
          <w:rFonts w:hint="eastAsia" w:ascii="宋体" w:hAnsi="宋体"/>
          <w:b/>
          <w:bCs/>
          <w:sz w:val="28"/>
          <w:szCs w:val="28"/>
        </w:rPr>
        <w:t xml:space="preserve">第三部分 </w:t>
      </w:r>
      <w:r>
        <w:rPr>
          <w:rFonts w:hint="eastAsia" w:ascii="宋体" w:hAnsi="宋体" w:cs="宋体"/>
          <w:b/>
          <w:bCs/>
          <w:sz w:val="28"/>
          <w:szCs w:val="28"/>
        </w:rPr>
        <w:t>项目技术规范和服务要求</w:t>
      </w:r>
      <w:r>
        <w:rPr>
          <w:b/>
          <w:sz w:val="28"/>
          <w:szCs w:val="28"/>
        </w:rPr>
        <w:tab/>
      </w:r>
      <w:r>
        <w:rPr>
          <w:b/>
          <w:sz w:val="28"/>
          <w:szCs w:val="28"/>
        </w:rPr>
        <w:fldChar w:fldCharType="begin"/>
      </w:r>
      <w:r>
        <w:rPr>
          <w:b/>
          <w:sz w:val="28"/>
          <w:szCs w:val="28"/>
        </w:rPr>
        <w:instrText xml:space="preserve"> PAGEREF _Toc26111 </w:instrText>
      </w:r>
      <w:r>
        <w:rPr>
          <w:b/>
          <w:sz w:val="28"/>
          <w:szCs w:val="28"/>
        </w:rPr>
        <w:fldChar w:fldCharType="separate"/>
      </w:r>
      <w:r>
        <w:rPr>
          <w:b/>
          <w:sz w:val="28"/>
          <w:szCs w:val="28"/>
        </w:rPr>
        <w:t>30</w:t>
      </w:r>
      <w:r>
        <w:rPr>
          <w:b/>
          <w:sz w:val="28"/>
          <w:szCs w:val="28"/>
        </w:rPr>
        <w:fldChar w:fldCharType="end"/>
      </w:r>
      <w:r>
        <w:rPr>
          <w:rFonts w:hint="eastAsia"/>
          <w:b/>
          <w:sz w:val="28"/>
          <w:szCs w:val="28"/>
        </w:rPr>
        <w:fldChar w:fldCharType="end"/>
      </w:r>
    </w:p>
    <w:p>
      <w:pPr>
        <w:pStyle w:val="353"/>
        <w:tabs>
          <w:tab w:val="right" w:leader="dot" w:pos="8958"/>
        </w:tabs>
        <w:rPr>
          <w:b/>
          <w:sz w:val="28"/>
          <w:szCs w:val="28"/>
        </w:rPr>
      </w:pPr>
      <w:r>
        <w:rPr>
          <w:rFonts w:hint="eastAsia"/>
          <w:b/>
          <w:sz w:val="28"/>
          <w:szCs w:val="28"/>
        </w:rPr>
        <w:fldChar w:fldCharType="begin"/>
      </w:r>
      <w:r>
        <w:rPr>
          <w:rFonts w:hint="eastAsia"/>
          <w:b/>
          <w:sz w:val="28"/>
          <w:szCs w:val="28"/>
        </w:rPr>
        <w:instrText xml:space="preserve"> HYPERLINK \l _Toc8772 </w:instrText>
      </w:r>
      <w:r>
        <w:rPr>
          <w:rFonts w:hint="eastAsia"/>
          <w:b/>
          <w:sz w:val="28"/>
          <w:szCs w:val="28"/>
        </w:rPr>
        <w:fldChar w:fldCharType="separate"/>
      </w:r>
      <w:r>
        <w:rPr>
          <w:rFonts w:hint="eastAsia" w:ascii="宋体" w:hAnsi="宋体" w:cs="宋体"/>
          <w:b/>
          <w:bCs/>
          <w:sz w:val="28"/>
          <w:szCs w:val="28"/>
        </w:rPr>
        <w:t>第四部分 合同主要条款</w:t>
      </w:r>
      <w:r>
        <w:rPr>
          <w:b/>
          <w:sz w:val="28"/>
          <w:szCs w:val="28"/>
        </w:rPr>
        <w:tab/>
      </w:r>
      <w:r>
        <w:rPr>
          <w:b/>
          <w:sz w:val="28"/>
          <w:szCs w:val="28"/>
        </w:rPr>
        <w:fldChar w:fldCharType="begin"/>
      </w:r>
      <w:r>
        <w:rPr>
          <w:b/>
          <w:sz w:val="28"/>
          <w:szCs w:val="28"/>
        </w:rPr>
        <w:instrText xml:space="preserve"> PAGEREF _Toc8772 </w:instrText>
      </w:r>
      <w:r>
        <w:rPr>
          <w:b/>
          <w:sz w:val="28"/>
          <w:szCs w:val="28"/>
        </w:rPr>
        <w:fldChar w:fldCharType="separate"/>
      </w:r>
      <w:r>
        <w:rPr>
          <w:b/>
          <w:sz w:val="28"/>
          <w:szCs w:val="28"/>
        </w:rPr>
        <w:t>32</w:t>
      </w:r>
      <w:r>
        <w:rPr>
          <w:b/>
          <w:sz w:val="28"/>
          <w:szCs w:val="28"/>
        </w:rPr>
        <w:fldChar w:fldCharType="end"/>
      </w:r>
      <w:r>
        <w:rPr>
          <w:rFonts w:hint="eastAsia"/>
          <w:b/>
          <w:sz w:val="28"/>
          <w:szCs w:val="28"/>
        </w:rPr>
        <w:fldChar w:fldCharType="end"/>
      </w:r>
    </w:p>
    <w:p>
      <w:pPr>
        <w:pStyle w:val="353"/>
        <w:tabs>
          <w:tab w:val="right" w:leader="dot" w:pos="8958"/>
        </w:tabs>
        <w:rPr>
          <w:b/>
          <w:sz w:val="28"/>
          <w:szCs w:val="28"/>
        </w:rPr>
      </w:pPr>
      <w:r>
        <w:rPr>
          <w:rFonts w:hint="eastAsia"/>
          <w:b/>
          <w:sz w:val="28"/>
          <w:szCs w:val="28"/>
        </w:rPr>
        <w:fldChar w:fldCharType="begin"/>
      </w:r>
      <w:r>
        <w:rPr>
          <w:rFonts w:hint="eastAsia"/>
          <w:b/>
          <w:sz w:val="28"/>
          <w:szCs w:val="28"/>
        </w:rPr>
        <w:instrText xml:space="preserve"> HYPERLINK \l _Toc14272 </w:instrText>
      </w:r>
      <w:r>
        <w:rPr>
          <w:rFonts w:hint="eastAsia"/>
          <w:b/>
          <w:sz w:val="28"/>
          <w:szCs w:val="28"/>
        </w:rPr>
        <w:fldChar w:fldCharType="separate"/>
      </w:r>
      <w:r>
        <w:rPr>
          <w:rFonts w:hint="eastAsia" w:ascii="宋体" w:hAnsi="宋体" w:cs="宋体"/>
          <w:b/>
          <w:bCs/>
          <w:sz w:val="28"/>
          <w:szCs w:val="28"/>
        </w:rPr>
        <w:t>第五部分 应提交的有关格式范例</w:t>
      </w:r>
      <w:r>
        <w:rPr>
          <w:b/>
          <w:sz w:val="28"/>
          <w:szCs w:val="28"/>
        </w:rPr>
        <w:tab/>
      </w:r>
      <w:r>
        <w:rPr>
          <w:b/>
          <w:sz w:val="28"/>
          <w:szCs w:val="28"/>
        </w:rPr>
        <w:fldChar w:fldCharType="begin"/>
      </w:r>
      <w:r>
        <w:rPr>
          <w:b/>
          <w:sz w:val="28"/>
          <w:szCs w:val="28"/>
        </w:rPr>
        <w:instrText xml:space="preserve"> PAGEREF _Toc14272 </w:instrText>
      </w:r>
      <w:r>
        <w:rPr>
          <w:b/>
          <w:sz w:val="28"/>
          <w:szCs w:val="28"/>
        </w:rPr>
        <w:fldChar w:fldCharType="separate"/>
      </w:r>
      <w:r>
        <w:rPr>
          <w:b/>
          <w:sz w:val="28"/>
          <w:szCs w:val="28"/>
        </w:rPr>
        <w:t>35</w:t>
      </w:r>
      <w:r>
        <w:rPr>
          <w:b/>
          <w:sz w:val="28"/>
          <w:szCs w:val="28"/>
        </w:rPr>
        <w:fldChar w:fldCharType="end"/>
      </w:r>
      <w:r>
        <w:rPr>
          <w:rFonts w:hint="eastAsia"/>
          <w:b/>
          <w:sz w:val="28"/>
          <w:szCs w:val="28"/>
        </w:rPr>
        <w:fldChar w:fldCharType="end"/>
      </w:r>
    </w:p>
    <w:p>
      <w:pPr>
        <w:pStyle w:val="353"/>
        <w:tabs>
          <w:tab w:val="right" w:leader="dot" w:pos="8958"/>
        </w:tabs>
        <w:rPr>
          <w:sz w:val="28"/>
          <w:szCs w:val="28"/>
        </w:rPr>
      </w:pPr>
      <w:r>
        <w:rPr>
          <w:rFonts w:hint="eastAsia"/>
          <w:b/>
          <w:sz w:val="28"/>
          <w:szCs w:val="28"/>
        </w:rPr>
        <w:fldChar w:fldCharType="begin"/>
      </w:r>
      <w:r>
        <w:rPr>
          <w:rFonts w:hint="eastAsia"/>
          <w:b/>
          <w:sz w:val="28"/>
          <w:szCs w:val="28"/>
        </w:rPr>
        <w:instrText xml:space="preserve"> HYPERLINK \l _Toc11308 </w:instrText>
      </w:r>
      <w:r>
        <w:rPr>
          <w:rFonts w:hint="eastAsia"/>
          <w:b/>
          <w:sz w:val="28"/>
          <w:szCs w:val="28"/>
        </w:rPr>
        <w:fldChar w:fldCharType="separate"/>
      </w:r>
      <w:r>
        <w:rPr>
          <w:rFonts w:hint="eastAsia" w:ascii="宋体" w:hAnsi="宋体"/>
          <w:b/>
          <w:sz w:val="28"/>
          <w:szCs w:val="28"/>
        </w:rPr>
        <w:t>资 格 文 件</w:t>
      </w:r>
      <w:r>
        <w:rPr>
          <w:b/>
          <w:sz w:val="28"/>
          <w:szCs w:val="28"/>
        </w:rPr>
        <w:tab/>
      </w:r>
      <w:r>
        <w:rPr>
          <w:b/>
          <w:sz w:val="28"/>
          <w:szCs w:val="28"/>
        </w:rPr>
        <w:fldChar w:fldCharType="begin"/>
      </w:r>
      <w:r>
        <w:rPr>
          <w:b/>
          <w:sz w:val="28"/>
          <w:szCs w:val="28"/>
        </w:rPr>
        <w:instrText xml:space="preserve"> PAGEREF _Toc11308 </w:instrText>
      </w:r>
      <w:r>
        <w:rPr>
          <w:b/>
          <w:sz w:val="28"/>
          <w:szCs w:val="28"/>
        </w:rPr>
        <w:fldChar w:fldCharType="separate"/>
      </w:r>
      <w:r>
        <w:rPr>
          <w:b/>
          <w:sz w:val="28"/>
          <w:szCs w:val="28"/>
        </w:rPr>
        <w:t>37</w:t>
      </w:r>
      <w:r>
        <w:rPr>
          <w:b/>
          <w:sz w:val="28"/>
          <w:szCs w:val="28"/>
        </w:rPr>
        <w:fldChar w:fldCharType="end"/>
      </w:r>
      <w:r>
        <w:rPr>
          <w:rFonts w:hint="eastAsia"/>
          <w:b/>
          <w:sz w:val="28"/>
          <w:szCs w:val="28"/>
        </w:rPr>
        <w:fldChar w:fldCharType="end"/>
      </w:r>
    </w:p>
    <w:p>
      <w:pPr>
        <w:pStyle w:val="353"/>
        <w:tabs>
          <w:tab w:val="right" w:leader="dot" w:pos="8958"/>
        </w:tabs>
        <w:rPr>
          <w:rFonts w:hint="eastAsia"/>
          <w:b/>
          <w:sz w:val="28"/>
          <w:szCs w:val="28"/>
        </w:rPr>
      </w:pPr>
      <w:r>
        <w:rPr>
          <w:rFonts w:hint="eastAsia"/>
          <w:b/>
          <w:sz w:val="28"/>
          <w:szCs w:val="28"/>
        </w:rPr>
        <w:fldChar w:fldCharType="begin"/>
      </w:r>
      <w:r>
        <w:rPr>
          <w:rFonts w:hint="eastAsia"/>
          <w:b/>
          <w:sz w:val="28"/>
          <w:szCs w:val="28"/>
        </w:rPr>
        <w:instrText xml:space="preserve"> HYPERLINK \l _Toc30064 </w:instrText>
      </w:r>
      <w:r>
        <w:rPr>
          <w:rFonts w:hint="eastAsia"/>
          <w:b/>
          <w:sz w:val="28"/>
          <w:szCs w:val="28"/>
        </w:rPr>
        <w:fldChar w:fldCharType="separate"/>
      </w:r>
      <w:r>
        <w:rPr>
          <w:rFonts w:hint="eastAsia"/>
          <w:b/>
          <w:sz w:val="28"/>
          <w:szCs w:val="28"/>
        </w:rPr>
        <w:t>报 价 文 件</w:t>
      </w:r>
      <w:r>
        <w:rPr>
          <w:rFonts w:hint="eastAsia"/>
          <w:b/>
          <w:sz w:val="28"/>
          <w:szCs w:val="28"/>
        </w:rPr>
        <w:tab/>
      </w:r>
      <w:r>
        <w:rPr>
          <w:rFonts w:hint="eastAsia"/>
          <w:b/>
          <w:sz w:val="28"/>
          <w:szCs w:val="28"/>
        </w:rPr>
        <w:fldChar w:fldCharType="begin"/>
      </w:r>
      <w:r>
        <w:rPr>
          <w:rFonts w:hint="eastAsia"/>
          <w:b/>
          <w:sz w:val="28"/>
          <w:szCs w:val="28"/>
        </w:rPr>
        <w:instrText xml:space="preserve"> PAGEREF _Toc30064 </w:instrText>
      </w:r>
      <w:r>
        <w:rPr>
          <w:rFonts w:hint="eastAsia"/>
          <w:b/>
          <w:sz w:val="28"/>
          <w:szCs w:val="28"/>
        </w:rPr>
        <w:fldChar w:fldCharType="separate"/>
      </w:r>
      <w:r>
        <w:rPr>
          <w:rFonts w:hint="eastAsia"/>
          <w:b/>
          <w:sz w:val="28"/>
          <w:szCs w:val="28"/>
        </w:rPr>
        <w:t>43</w:t>
      </w:r>
      <w:r>
        <w:rPr>
          <w:rFonts w:hint="eastAsia"/>
          <w:b/>
          <w:sz w:val="28"/>
          <w:szCs w:val="28"/>
        </w:rPr>
        <w:fldChar w:fldCharType="end"/>
      </w:r>
      <w:r>
        <w:rPr>
          <w:rFonts w:hint="eastAsia"/>
          <w:b/>
          <w:sz w:val="28"/>
          <w:szCs w:val="28"/>
        </w:rPr>
        <w:fldChar w:fldCharType="end"/>
      </w:r>
    </w:p>
    <w:p>
      <w:pPr>
        <w:pStyle w:val="54"/>
        <w:tabs>
          <w:tab w:val="right" w:leader="dot" w:pos="8958"/>
        </w:tabs>
      </w:pPr>
      <w:r>
        <w:rPr>
          <w:rFonts w:hint="eastAsia"/>
          <w:sz w:val="28"/>
          <w:szCs w:val="28"/>
        </w:rPr>
        <w:fldChar w:fldCharType="begin"/>
      </w:r>
      <w:r>
        <w:rPr>
          <w:rFonts w:hint="eastAsia"/>
          <w:sz w:val="28"/>
          <w:szCs w:val="28"/>
        </w:rPr>
        <w:instrText xml:space="preserve"> HYPERLINK \l _Toc13104 </w:instrText>
      </w:r>
      <w:r>
        <w:rPr>
          <w:rFonts w:hint="eastAsia"/>
          <w:sz w:val="28"/>
          <w:szCs w:val="28"/>
        </w:rPr>
        <w:fldChar w:fldCharType="separate"/>
      </w:r>
      <w:r>
        <w:rPr>
          <w:rFonts w:hint="eastAsia" w:ascii="宋体" w:hAnsi="宋体"/>
          <w:sz w:val="28"/>
          <w:szCs w:val="28"/>
        </w:rPr>
        <w:t>商务技术文件</w:t>
      </w:r>
      <w:r>
        <w:rPr>
          <w:sz w:val="28"/>
          <w:szCs w:val="28"/>
        </w:rPr>
        <w:tab/>
      </w:r>
      <w:r>
        <w:rPr>
          <w:sz w:val="28"/>
          <w:szCs w:val="28"/>
        </w:rPr>
        <w:fldChar w:fldCharType="begin"/>
      </w:r>
      <w:r>
        <w:rPr>
          <w:sz w:val="28"/>
          <w:szCs w:val="28"/>
        </w:rPr>
        <w:instrText xml:space="preserve"> PAGEREF _Toc13104 </w:instrText>
      </w:r>
      <w:r>
        <w:rPr>
          <w:sz w:val="28"/>
          <w:szCs w:val="28"/>
        </w:rPr>
        <w:fldChar w:fldCharType="separate"/>
      </w:r>
      <w:r>
        <w:rPr>
          <w:sz w:val="28"/>
          <w:szCs w:val="28"/>
        </w:rPr>
        <w:t>52</w:t>
      </w:r>
      <w:r>
        <w:rPr>
          <w:sz w:val="28"/>
          <w:szCs w:val="28"/>
        </w:rPr>
        <w:fldChar w:fldCharType="end"/>
      </w:r>
      <w:r>
        <w:rPr>
          <w:rFonts w:hint="eastAsia"/>
          <w:sz w:val="28"/>
          <w:szCs w:val="28"/>
        </w:rPr>
        <w:fldChar w:fldCharType="end"/>
      </w:r>
    </w:p>
    <w:p>
      <w:pPr>
        <w:pStyle w:val="67"/>
        <w:tabs>
          <w:tab w:val="right" w:leader="dot" w:pos="8958"/>
        </w:tabs>
        <w:snapToGrid w:val="0"/>
        <w:spacing w:line="360" w:lineRule="auto"/>
        <w:rPr>
          <w:rFonts w:hint="eastAsia" w:ascii="宋体" w:hAnsi="宋体" w:cs="宋体"/>
          <w:bCs/>
          <w:color w:val="000000"/>
          <w:sz w:val="24"/>
          <w:szCs w:val="24"/>
        </w:rPr>
      </w:pPr>
      <w:r>
        <w:rPr>
          <w:rFonts w:hint="eastAsia" w:ascii="宋体" w:hAnsi="宋体" w:cs="宋体"/>
          <w:bCs/>
          <w:color w:val="000000"/>
          <w:szCs w:val="24"/>
        </w:rPr>
        <w:fldChar w:fldCharType="end"/>
      </w:r>
    </w:p>
    <w:p>
      <w:pPr>
        <w:shd w:val="clear" w:color="auto" w:fill="FFFFFF"/>
        <w:tabs>
          <w:tab w:val="right" w:leader="dot" w:pos="8296"/>
        </w:tabs>
        <w:snapToGrid w:val="0"/>
        <w:spacing w:line="360" w:lineRule="auto"/>
        <w:jc w:val="center"/>
        <w:rPr>
          <w:rFonts w:hint="eastAsia" w:ascii="宋体" w:hAnsi="宋体" w:cs="宋体"/>
          <w:color w:val="000000"/>
          <w:sz w:val="24"/>
        </w:rPr>
      </w:pPr>
    </w:p>
    <w:p>
      <w:pPr>
        <w:pageBreakBefore/>
        <w:numPr>
          <w:ilvl w:val="0"/>
          <w:numId w:val="8"/>
        </w:numPr>
        <w:shd w:val="clear" w:color="auto" w:fill="FFFFFF"/>
        <w:snapToGrid w:val="0"/>
        <w:spacing w:line="360" w:lineRule="auto"/>
        <w:jc w:val="center"/>
        <w:outlineLvl w:val="0"/>
        <w:rPr>
          <w:rFonts w:hint="eastAsia" w:ascii="宋体" w:hAnsi="宋体" w:cs="宋体"/>
          <w:b/>
          <w:bCs/>
          <w:color w:val="000000"/>
          <w:sz w:val="32"/>
          <w:szCs w:val="32"/>
        </w:rPr>
      </w:pPr>
      <w:bookmarkStart w:id="0" w:name="_Toc354996693"/>
      <w:r>
        <w:rPr>
          <w:rFonts w:hint="eastAsia" w:ascii="宋体" w:hAnsi="宋体" w:cs="宋体"/>
          <w:b/>
          <w:bCs/>
          <w:color w:val="000000"/>
          <w:sz w:val="32"/>
          <w:szCs w:val="32"/>
        </w:rPr>
        <w:t xml:space="preserve"> </w:t>
      </w:r>
      <w:bookmarkStart w:id="1" w:name="_Toc21097"/>
      <w:r>
        <w:rPr>
          <w:rFonts w:hint="eastAsia" w:ascii="宋体" w:hAnsi="宋体" w:cs="宋体"/>
          <w:b/>
          <w:bCs/>
          <w:color w:val="000000"/>
          <w:sz w:val="32"/>
          <w:szCs w:val="32"/>
        </w:rPr>
        <w:t>招标公告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lang w:eastAsia="zh-CN"/>
        </w:rPr>
        <w:t>良渚街道物流等人口聚集区块维保服务外包项目</w:t>
      </w:r>
      <w:r>
        <w:rPr>
          <w:rFonts w:hint="eastAsia" w:ascii="仿宋" w:hAnsi="仿宋" w:eastAsia="仿宋"/>
          <w:sz w:val="28"/>
          <w:szCs w:val="28"/>
        </w:rPr>
        <w:t>招标项目的潜在投标人应在政采云平台（http://zfcg.czt.zj.gov.cn）获取招标文件，并于</w:t>
      </w:r>
      <w:r>
        <w:rPr>
          <w:rFonts w:hint="eastAsia" w:ascii="仿宋" w:hAnsi="仿宋" w:eastAsia="仿宋"/>
          <w:sz w:val="28"/>
          <w:szCs w:val="28"/>
          <w:u w:val="single"/>
        </w:rPr>
        <w:t>2020</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0</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w:t>
      </w:r>
      <w:r>
        <w:rPr>
          <w:rFonts w:hint="eastAsia" w:ascii="仿宋" w:hAnsi="仿宋" w:eastAsia="仿宋"/>
          <w:bCs/>
          <w:sz w:val="28"/>
          <w:szCs w:val="28"/>
          <w:u w:val="single"/>
          <w:lang w:val="en-US" w:eastAsia="zh-CN"/>
        </w:rPr>
        <w:t>7</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0</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w:t>
      </w:r>
      <w:r>
        <w:rPr>
          <w:rFonts w:hint="eastAsia" w:ascii="仿宋" w:hAnsi="仿宋" w:eastAsia="仿宋"/>
          <w:bCs/>
          <w:sz w:val="28"/>
          <w:szCs w:val="28"/>
          <w:u w:val="single"/>
          <w:lang w:val="en-US" w:eastAsia="zh-CN"/>
        </w:rPr>
        <w:t>0</w:t>
      </w:r>
      <w:r>
        <w:rPr>
          <w:rFonts w:hint="eastAsia" w:ascii="仿宋" w:hAnsi="仿宋" w:eastAsia="仿宋"/>
          <w:bCs/>
          <w:sz w:val="28"/>
          <w:szCs w:val="28"/>
          <w:u w:val="single"/>
        </w:rPr>
        <w:t>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rPr>
          <w:sz w:val="28"/>
          <w:szCs w:val="28"/>
        </w:rPr>
      </w:pPr>
    </w:p>
    <w:p>
      <w:pPr>
        <w:pStyle w:val="5"/>
        <w:numPr>
          <w:ilvl w:val="0"/>
          <w:numId w:val="0"/>
        </w:numPr>
        <w:tabs>
          <w:tab w:val="left" w:pos="1110"/>
        </w:tabs>
        <w:ind w:left="560"/>
        <w:rPr>
          <w:rFonts w:ascii="黑体" w:hAnsi="黑体" w:cs="宋体"/>
          <w:b w:val="0"/>
          <w:sz w:val="28"/>
          <w:szCs w:val="28"/>
        </w:rPr>
      </w:pPr>
      <w:bookmarkStart w:id="2" w:name="_Toc28359002"/>
      <w:bookmarkStart w:id="3" w:name="_Toc28359079"/>
      <w:bookmarkStart w:id="4" w:name="_Toc35393621"/>
      <w:bookmarkStart w:id="5" w:name="_Toc35393790"/>
      <w:bookmarkStart w:id="6" w:name="_Hlk24379207"/>
      <w:r>
        <w:rPr>
          <w:rFonts w:hint="eastAsia" w:ascii="黑体" w:hAnsi="黑体" w:cs="宋体"/>
          <w:b w:val="0"/>
          <w:sz w:val="28"/>
          <w:szCs w:val="28"/>
        </w:rPr>
        <w:t>一、项目基本情况</w:t>
      </w:r>
      <w:bookmarkEnd w:id="2"/>
      <w:bookmarkEnd w:id="3"/>
      <w:bookmarkEnd w:id="4"/>
      <w:bookmarkEnd w:id="5"/>
    </w:p>
    <w:p>
      <w:pPr>
        <w:ind w:firstLine="560" w:firstLineChars="200"/>
        <w:rPr>
          <w:rFonts w:hint="eastAsia" w:ascii="仿宋" w:hAnsi="仿宋" w:eastAsia="仿宋"/>
          <w:color w:val="FF0000"/>
          <w:sz w:val="28"/>
          <w:szCs w:val="28"/>
        </w:rPr>
      </w:pPr>
      <w:r>
        <w:rPr>
          <w:rFonts w:hint="eastAsia" w:ascii="仿宋" w:hAnsi="仿宋" w:eastAsia="仿宋"/>
          <w:sz w:val="28"/>
          <w:szCs w:val="28"/>
        </w:rPr>
        <w:t>项目编号：YJDL2020-046</w:t>
      </w:r>
    </w:p>
    <w:p>
      <w:pPr>
        <w:ind w:firstLine="560" w:firstLineChars="200"/>
        <w:rPr>
          <w:rFonts w:hint="eastAsia"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lang w:eastAsia="zh-CN"/>
        </w:rPr>
        <w:t>良渚街道物流等人口聚集区块维保服务外包项目</w:t>
      </w:r>
    </w:p>
    <w:bookmarkEnd w:id="6"/>
    <w:p>
      <w:pPr>
        <w:ind w:firstLine="560" w:firstLineChars="200"/>
        <w:rPr>
          <w:rFonts w:ascii="仿宋" w:hAnsi="仿宋" w:eastAsia="仿宋"/>
          <w:sz w:val="28"/>
          <w:szCs w:val="28"/>
          <w:highlight w:val="none"/>
        </w:rPr>
      </w:pPr>
      <w:r>
        <w:rPr>
          <w:rFonts w:hint="eastAsia" w:ascii="仿宋" w:hAnsi="仿宋" w:eastAsia="仿宋"/>
          <w:sz w:val="28"/>
          <w:szCs w:val="28"/>
        </w:rPr>
        <w:t>预算金额：</w:t>
      </w:r>
      <w:r>
        <w:rPr>
          <w:rFonts w:hint="eastAsia" w:ascii="仿宋" w:hAnsi="仿宋" w:eastAsia="仿宋"/>
          <w:sz w:val="28"/>
          <w:szCs w:val="28"/>
          <w:highlight w:val="none"/>
        </w:rPr>
        <w:t>630万元</w:t>
      </w:r>
    </w:p>
    <w:p>
      <w:pPr>
        <w:ind w:firstLine="560" w:firstLineChars="200"/>
        <w:rPr>
          <w:rFonts w:ascii="仿宋" w:hAnsi="仿宋" w:eastAsia="仿宋"/>
          <w:sz w:val="28"/>
          <w:szCs w:val="28"/>
        </w:rPr>
      </w:pPr>
      <w:r>
        <w:rPr>
          <w:rFonts w:hint="eastAsia" w:ascii="仿宋" w:hAnsi="仿宋" w:eastAsia="仿宋"/>
          <w:sz w:val="28"/>
          <w:szCs w:val="28"/>
          <w:highlight w:val="none"/>
        </w:rPr>
        <w:t>最高限价：630万</w:t>
      </w:r>
      <w:r>
        <w:rPr>
          <w:rFonts w:hint="eastAsia" w:ascii="仿宋" w:hAnsi="仿宋" w:eastAsia="仿宋"/>
          <w:sz w:val="28"/>
          <w:szCs w:val="28"/>
        </w:rPr>
        <w:t>元</w:t>
      </w:r>
    </w:p>
    <w:p>
      <w:pPr>
        <w:ind w:firstLine="560" w:firstLineChars="200"/>
        <w:rPr>
          <w:rFonts w:ascii="仿宋" w:hAnsi="仿宋" w:eastAsia="仿宋"/>
          <w:sz w:val="28"/>
          <w:szCs w:val="28"/>
          <w:u w:val="single"/>
        </w:rPr>
      </w:pPr>
      <w:r>
        <w:rPr>
          <w:rFonts w:hint="eastAsia" w:ascii="仿宋" w:hAnsi="仿宋" w:eastAsia="仿宋"/>
          <w:sz w:val="28"/>
          <w:szCs w:val="28"/>
        </w:rPr>
        <w:t>采购需求：详见招标文件第三部分“项目技术规范和服务要求”</w:t>
      </w:r>
    </w:p>
    <w:p>
      <w:pPr>
        <w:ind w:firstLine="560" w:firstLineChars="200"/>
        <w:rPr>
          <w:rFonts w:ascii="仿宋" w:hAnsi="仿宋" w:eastAsia="仿宋"/>
          <w:sz w:val="28"/>
          <w:szCs w:val="28"/>
          <w:u w:val="single"/>
        </w:rPr>
      </w:pPr>
      <w:r>
        <w:rPr>
          <w:rFonts w:hint="eastAsia" w:ascii="仿宋" w:hAnsi="仿宋" w:eastAsia="仿宋"/>
          <w:sz w:val="28"/>
          <w:szCs w:val="28"/>
        </w:rPr>
        <w:t>合同履行期限：</w:t>
      </w:r>
      <w:r>
        <w:rPr>
          <w:rFonts w:hint="eastAsia" w:ascii="仿宋" w:hAnsi="仿宋" w:eastAsia="仿宋"/>
          <w:sz w:val="28"/>
          <w:szCs w:val="28"/>
          <w:highlight w:val="none"/>
          <w:lang w:val="en-US" w:eastAsia="zh-CN"/>
        </w:rPr>
        <w:t>1年</w:t>
      </w:r>
      <w:r>
        <w:rPr>
          <w:rFonts w:hint="eastAsia" w:ascii="仿宋" w:hAnsi="仿宋" w:eastAsia="仿宋"/>
          <w:sz w:val="28"/>
          <w:szCs w:val="28"/>
          <w:highlight w:val="none"/>
        </w:rPr>
        <w:t xml:space="preserve">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w:t>
      </w:r>
      <w:r>
        <w:rPr>
          <w:rFonts w:hint="eastAsia" w:ascii="仿宋" w:hAnsi="仿宋" w:eastAsia="仿宋" w:cs="仿宋"/>
          <w:sz w:val="28"/>
          <w:szCs w:val="28"/>
        </w:rPr>
        <w:t>项目（否）接受</w:t>
      </w:r>
      <w:r>
        <w:rPr>
          <w:rFonts w:hint="eastAsia" w:ascii="仿宋" w:hAnsi="仿宋" w:eastAsia="仿宋"/>
          <w:sz w:val="28"/>
          <w:szCs w:val="28"/>
        </w:rPr>
        <w:t>联合体投标。</w:t>
      </w:r>
    </w:p>
    <w:p>
      <w:pPr>
        <w:pStyle w:val="5"/>
        <w:numPr>
          <w:ilvl w:val="0"/>
          <w:numId w:val="0"/>
        </w:numPr>
        <w:tabs>
          <w:tab w:val="left" w:pos="1110"/>
        </w:tabs>
        <w:ind w:left="560"/>
        <w:rPr>
          <w:rFonts w:ascii="黑体" w:hAnsi="黑体" w:cs="宋体"/>
          <w:b w:val="0"/>
          <w:sz w:val="28"/>
          <w:szCs w:val="28"/>
        </w:rPr>
      </w:pPr>
      <w:bookmarkStart w:id="7" w:name="_Toc28359080"/>
      <w:bookmarkStart w:id="8" w:name="_Toc35393791"/>
      <w:bookmarkStart w:id="9" w:name="_Toc28359003"/>
      <w:bookmarkStart w:id="10" w:name="_Toc35393622"/>
      <w:r>
        <w:rPr>
          <w:rFonts w:hint="eastAsia" w:ascii="黑体" w:hAnsi="黑体" w:cs="宋体"/>
          <w:b w:val="0"/>
          <w:sz w:val="28"/>
          <w:szCs w:val="28"/>
        </w:rPr>
        <w:t>二、申请人的资格要求：</w:t>
      </w:r>
      <w:bookmarkEnd w:id="7"/>
      <w:bookmarkEnd w:id="8"/>
      <w:bookmarkEnd w:id="9"/>
      <w:bookmarkEnd w:id="10"/>
    </w:p>
    <w:p>
      <w:pPr>
        <w:pStyle w:val="5"/>
        <w:numPr>
          <w:ilvl w:val="0"/>
          <w:numId w:val="0"/>
        </w:numPr>
        <w:tabs>
          <w:tab w:val="left" w:pos="1110"/>
        </w:tabs>
        <w:ind w:left="560"/>
        <w:rPr>
          <w:rFonts w:hint="eastAsia" w:ascii="仿宋" w:hAnsi="仿宋" w:eastAsia="仿宋" w:cs="仿宋"/>
          <w:b w:val="0"/>
          <w:sz w:val="28"/>
          <w:szCs w:val="28"/>
        </w:rPr>
      </w:pPr>
      <w:bookmarkStart w:id="11" w:name="_Toc35393623"/>
      <w:bookmarkStart w:id="12" w:name="_Toc28359081"/>
      <w:bookmarkStart w:id="13" w:name="_Toc28359004"/>
      <w:bookmarkStart w:id="14" w:name="_Toc35393792"/>
      <w:r>
        <w:rPr>
          <w:rFonts w:hint="eastAsia" w:ascii="仿宋" w:hAnsi="仿宋" w:eastAsia="仿宋" w:cs="仿宋"/>
          <w:b w:val="0"/>
          <w:sz w:val="28"/>
          <w:szCs w:val="28"/>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5"/>
        <w:numPr>
          <w:ilvl w:val="0"/>
          <w:numId w:val="0"/>
        </w:numPr>
        <w:tabs>
          <w:tab w:val="left" w:pos="1110"/>
        </w:tabs>
        <w:ind w:left="560"/>
        <w:rPr>
          <w:rFonts w:hint="eastAsia" w:ascii="仿宋" w:hAnsi="仿宋" w:eastAsia="仿宋" w:cs="仿宋"/>
          <w:b w:val="0"/>
          <w:sz w:val="28"/>
          <w:szCs w:val="28"/>
        </w:rPr>
      </w:pPr>
      <w:r>
        <w:rPr>
          <w:rFonts w:hint="eastAsia" w:ascii="仿宋" w:hAnsi="仿宋" w:eastAsia="仿宋" w:cs="仿宋"/>
          <w:b w:val="0"/>
          <w:sz w:val="28"/>
          <w:szCs w:val="28"/>
        </w:rPr>
        <w:t xml:space="preserve">2.落实政府采购政策需满足的资格要求：无 </w:t>
      </w:r>
    </w:p>
    <w:p>
      <w:pPr>
        <w:pStyle w:val="5"/>
        <w:numPr>
          <w:ilvl w:val="0"/>
          <w:numId w:val="0"/>
        </w:numPr>
        <w:tabs>
          <w:tab w:val="left" w:pos="1110"/>
        </w:tabs>
        <w:ind w:left="560"/>
        <w:rPr>
          <w:rFonts w:hint="eastAsia" w:ascii="黑体" w:hAnsi="黑体" w:eastAsia="仿宋" w:cs="宋体"/>
          <w:b w:val="0"/>
          <w:sz w:val="28"/>
          <w:szCs w:val="28"/>
        </w:rPr>
      </w:pPr>
      <w:r>
        <w:rPr>
          <w:rFonts w:hint="eastAsia" w:ascii="仿宋" w:hAnsi="仿宋" w:eastAsia="仿宋" w:cs="仿宋"/>
          <w:b w:val="0"/>
          <w:sz w:val="28"/>
          <w:szCs w:val="28"/>
        </w:rPr>
        <w:t>3.本项目的特定资格要求：（1）单位负责人为同一人或者存在直接控股、管理关系的不同供应商，不得参加同一合同项下的政府采购活动承诺函；（2）投标供应商没有失信记录承诺函,（3）供应商未被列入失信被执行人名单、重大税收违法案件当事人名单、政府采购严重违法失信行为记录名单，信用信息以信用中国网站（www.creditchina.gov.cn）、中国政府采购网（www.ccgp.gov.cn）公布为准；(4)公益一类事业单位、使用事业编制且由财政拨款保障的群团组织，不作为政府购买服务的购买主体和承接主体。</w:t>
      </w:r>
    </w:p>
    <w:p>
      <w:pPr>
        <w:pStyle w:val="5"/>
        <w:numPr>
          <w:ilvl w:val="0"/>
          <w:numId w:val="0"/>
        </w:numPr>
        <w:tabs>
          <w:tab w:val="left" w:pos="1110"/>
        </w:tabs>
        <w:ind w:left="560"/>
        <w:rPr>
          <w:rFonts w:ascii="黑体" w:hAnsi="黑体" w:cs="宋体"/>
          <w:b w:val="0"/>
          <w:sz w:val="28"/>
          <w:szCs w:val="28"/>
        </w:rPr>
      </w:pPr>
      <w:r>
        <w:rPr>
          <w:rFonts w:hint="eastAsia" w:ascii="黑体" w:hAnsi="黑体" w:cs="宋体"/>
          <w:b w:val="0"/>
          <w:sz w:val="28"/>
          <w:szCs w:val="28"/>
        </w:rPr>
        <w:t>三、获取招标文件</w:t>
      </w:r>
      <w:bookmarkEnd w:id="11"/>
      <w:bookmarkEnd w:id="12"/>
      <w:bookmarkEnd w:id="13"/>
      <w:bookmarkEnd w:id="14"/>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highlight w:val="none"/>
          <w:u w:val="single"/>
        </w:rPr>
        <w:t>2020年</w:t>
      </w:r>
      <w:r>
        <w:rPr>
          <w:rFonts w:hint="eastAsia" w:ascii="仿宋" w:hAnsi="仿宋" w:eastAsia="仿宋" w:cs="宋体"/>
          <w:sz w:val="28"/>
          <w:szCs w:val="28"/>
          <w:highlight w:val="none"/>
          <w:u w:val="single"/>
          <w:lang w:val="en-US" w:eastAsia="zh-CN"/>
        </w:rPr>
        <w:t>9</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4</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rPr>
        <w:t>2020年</w:t>
      </w:r>
      <w:r>
        <w:rPr>
          <w:rFonts w:hint="eastAsia" w:ascii="仿宋" w:hAnsi="仿宋" w:eastAsia="仿宋" w:cs="宋体"/>
          <w:sz w:val="28"/>
          <w:szCs w:val="28"/>
          <w:highlight w:val="none"/>
          <w:u w:val="single"/>
          <w:lang w:val="en-US" w:eastAsia="zh-CN"/>
        </w:rPr>
        <w:t>9</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27</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w:t>
      </w:r>
      <w:r>
        <w:rPr>
          <w:rFonts w:hint="eastAsia" w:ascii="仿宋" w:hAnsi="仿宋" w:eastAsia="仿宋" w:cs="宋体"/>
          <w:sz w:val="28"/>
          <w:szCs w:val="28"/>
        </w:rPr>
        <w:t>每天上午</w:t>
      </w:r>
      <w:r>
        <w:rPr>
          <w:rFonts w:hint="eastAsia" w:ascii="仿宋" w:hAnsi="仿宋" w:eastAsia="仿宋" w:cs="宋体"/>
          <w:sz w:val="28"/>
          <w:szCs w:val="28"/>
          <w:u w:val="single"/>
        </w:rPr>
        <w:t>00:00</w:t>
      </w:r>
      <w:r>
        <w:rPr>
          <w:rFonts w:hint="eastAsia" w:ascii="仿宋" w:hAnsi="仿宋" w:eastAsia="仿宋" w:cs="宋体"/>
          <w:sz w:val="28"/>
          <w:szCs w:val="28"/>
        </w:rPr>
        <w:t>至</w:t>
      </w:r>
      <w:r>
        <w:rPr>
          <w:rFonts w:hint="eastAsia" w:ascii="仿宋" w:hAnsi="仿宋" w:eastAsia="仿宋" w:cs="宋体"/>
          <w:sz w:val="28"/>
          <w:szCs w:val="28"/>
          <w:u w:val="single"/>
        </w:rPr>
        <w:t>12:00</w:t>
      </w:r>
      <w:r>
        <w:rPr>
          <w:rFonts w:hint="eastAsia" w:ascii="仿宋" w:hAnsi="仿宋" w:eastAsia="仿宋" w:cs="宋体"/>
          <w:sz w:val="28"/>
          <w:szCs w:val="28"/>
        </w:rPr>
        <w:t>，下午</w:t>
      </w:r>
      <w:r>
        <w:rPr>
          <w:rFonts w:hint="eastAsia" w:ascii="仿宋" w:hAnsi="仿宋" w:eastAsia="仿宋" w:cs="宋体"/>
          <w:sz w:val="28"/>
          <w:szCs w:val="28"/>
          <w:u w:val="single"/>
        </w:rPr>
        <w:t>12:00</w:t>
      </w:r>
      <w:r>
        <w:rPr>
          <w:rFonts w:hint="eastAsia" w:ascii="仿宋" w:hAnsi="仿宋" w:eastAsia="仿宋" w:cs="宋体"/>
          <w:sz w:val="28"/>
          <w:szCs w:val="28"/>
        </w:rPr>
        <w:t>至</w:t>
      </w:r>
      <w:r>
        <w:rPr>
          <w:rFonts w:hint="eastAsia" w:ascii="仿宋" w:hAnsi="仿宋" w:eastAsia="仿宋" w:cs="宋体"/>
          <w:sz w:val="28"/>
          <w:szCs w:val="28"/>
          <w:u w:val="single"/>
        </w:rPr>
        <w:t>23:59</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地点：政采云平台（http://zfcg.czt.zj.gov.cn）</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方式：本项目招标文件实行“政府采购云平台”在线获取，不提供招标文件纸质版。供应商获取招标文件前应先完成“政府采购云平台”的账号注册。</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售价：0元</w:t>
      </w:r>
    </w:p>
    <w:p>
      <w:pPr>
        <w:pStyle w:val="5"/>
        <w:keepNext w:val="0"/>
        <w:keepLines w:val="0"/>
        <w:numPr>
          <w:ilvl w:val="0"/>
          <w:numId w:val="0"/>
        </w:numPr>
        <w:tabs>
          <w:tab w:val="left" w:pos="1110"/>
        </w:tabs>
        <w:spacing w:line="240" w:lineRule="auto"/>
        <w:ind w:left="560"/>
        <w:rPr>
          <w:rFonts w:ascii="黑体" w:hAnsi="黑体" w:cs="宋体"/>
          <w:b w:val="0"/>
          <w:sz w:val="28"/>
          <w:szCs w:val="28"/>
        </w:rPr>
      </w:pPr>
      <w:bookmarkStart w:id="15" w:name="_Toc28359005"/>
      <w:bookmarkStart w:id="16" w:name="_Toc28359082"/>
      <w:bookmarkStart w:id="17" w:name="_Toc35393793"/>
      <w:bookmarkStart w:id="18" w:name="_Toc35393624"/>
      <w:r>
        <w:rPr>
          <w:rFonts w:hint="eastAsia" w:ascii="黑体" w:hAnsi="黑体" w:cs="宋体"/>
          <w:b w:val="0"/>
          <w:sz w:val="28"/>
          <w:szCs w:val="28"/>
        </w:rPr>
        <w:t>四、提交投标文件</w:t>
      </w:r>
      <w:bookmarkEnd w:id="15"/>
      <w:bookmarkEnd w:id="16"/>
      <w:r>
        <w:rPr>
          <w:rFonts w:hint="eastAsia" w:ascii="黑体" w:hAnsi="黑体" w:cs="宋体"/>
          <w:b w:val="0"/>
          <w:sz w:val="28"/>
          <w:szCs w:val="28"/>
        </w:rPr>
        <w:t>截止时间、开标时间和地点</w:t>
      </w:r>
      <w:bookmarkEnd w:id="17"/>
      <w:bookmarkEnd w:id="18"/>
    </w:p>
    <w:p>
      <w:pPr>
        <w:ind w:firstLine="560" w:firstLineChars="200"/>
        <w:rPr>
          <w:rFonts w:hint="eastAsia" w:ascii="仿宋" w:hAnsi="仿宋" w:eastAsia="仿宋"/>
          <w:bCs/>
          <w:sz w:val="28"/>
          <w:szCs w:val="28"/>
          <w:u w:val="none"/>
        </w:rPr>
      </w:pPr>
      <w:r>
        <w:rPr>
          <w:rFonts w:hint="eastAsia" w:ascii="仿宋" w:hAnsi="仿宋" w:eastAsia="仿宋"/>
          <w:bCs/>
          <w:sz w:val="28"/>
          <w:szCs w:val="28"/>
          <w:u w:val="none"/>
        </w:rPr>
        <w:t>提交投标文件截止时间：2020年</w:t>
      </w:r>
      <w:r>
        <w:rPr>
          <w:rFonts w:hint="eastAsia" w:ascii="仿宋" w:hAnsi="仿宋" w:eastAsia="仿宋"/>
          <w:bCs/>
          <w:sz w:val="28"/>
          <w:szCs w:val="28"/>
          <w:u w:val="none"/>
          <w:lang w:val="en-US" w:eastAsia="zh-CN"/>
        </w:rPr>
        <w:t>09</w:t>
      </w:r>
      <w:r>
        <w:rPr>
          <w:rFonts w:hint="eastAsia" w:ascii="仿宋" w:hAnsi="仿宋" w:eastAsia="仿宋"/>
          <w:bCs/>
          <w:sz w:val="28"/>
          <w:szCs w:val="28"/>
          <w:u w:val="none"/>
        </w:rPr>
        <w:t>月</w:t>
      </w:r>
      <w:r>
        <w:rPr>
          <w:rFonts w:hint="eastAsia" w:ascii="仿宋" w:hAnsi="仿宋" w:eastAsia="仿宋"/>
          <w:bCs/>
          <w:sz w:val="28"/>
          <w:szCs w:val="28"/>
          <w:u w:val="none"/>
          <w:lang w:val="en-US" w:eastAsia="zh-CN"/>
        </w:rPr>
        <w:t>27</w:t>
      </w:r>
      <w:r>
        <w:rPr>
          <w:rFonts w:hint="eastAsia" w:ascii="仿宋" w:hAnsi="仿宋" w:eastAsia="仿宋"/>
          <w:bCs/>
          <w:sz w:val="28"/>
          <w:szCs w:val="28"/>
          <w:u w:val="none"/>
        </w:rPr>
        <w:t>日</w:t>
      </w:r>
      <w:r>
        <w:rPr>
          <w:rFonts w:hint="eastAsia" w:ascii="仿宋" w:hAnsi="仿宋" w:eastAsia="仿宋"/>
          <w:bCs/>
          <w:sz w:val="28"/>
          <w:szCs w:val="28"/>
          <w:u w:val="none"/>
          <w:lang w:val="en-US" w:eastAsia="zh-CN"/>
        </w:rPr>
        <w:t>09</w:t>
      </w:r>
      <w:r>
        <w:rPr>
          <w:rFonts w:hint="eastAsia" w:ascii="仿宋" w:hAnsi="仿宋" w:eastAsia="仿宋"/>
          <w:bCs/>
          <w:sz w:val="28"/>
          <w:szCs w:val="28"/>
          <w:u w:val="none"/>
        </w:rPr>
        <w:t>:</w:t>
      </w:r>
      <w:r>
        <w:rPr>
          <w:rFonts w:hint="eastAsia" w:ascii="仿宋" w:hAnsi="仿宋" w:eastAsia="仿宋"/>
          <w:bCs/>
          <w:sz w:val="28"/>
          <w:szCs w:val="28"/>
          <w:u w:val="none"/>
          <w:lang w:val="en-US" w:eastAsia="zh-CN"/>
        </w:rPr>
        <w:t>00</w:t>
      </w:r>
      <w:r>
        <w:rPr>
          <w:rFonts w:hint="eastAsia" w:ascii="仿宋" w:hAnsi="仿宋" w:eastAsia="仿宋"/>
          <w:bCs/>
          <w:sz w:val="28"/>
          <w:szCs w:val="28"/>
          <w:u w:val="none"/>
        </w:rPr>
        <w:t>（北京时间）</w:t>
      </w:r>
    </w:p>
    <w:p>
      <w:pPr>
        <w:rPr>
          <w:rFonts w:hint="eastAsia" w:ascii="仿宋" w:hAnsi="仿宋" w:eastAsia="仿宋"/>
          <w:bCs/>
          <w:sz w:val="28"/>
          <w:szCs w:val="28"/>
          <w:u w:val="none"/>
        </w:rPr>
      </w:pPr>
      <w:r>
        <w:rPr>
          <w:rFonts w:hint="eastAsia" w:ascii="仿宋" w:hAnsi="仿宋" w:eastAsia="仿宋"/>
          <w:bCs/>
          <w:sz w:val="28"/>
          <w:szCs w:val="28"/>
          <w:u w:val="none"/>
        </w:rPr>
        <w:t>投标地点（网址）：组织机构线下开标地点：杭州市公共资源交易中心余杭分中心</w:t>
      </w:r>
      <w:r>
        <w:rPr>
          <w:rFonts w:hint="eastAsia" w:ascii="仿宋" w:hAnsi="仿宋" w:eastAsia="仿宋"/>
          <w:bCs/>
          <w:sz w:val="28"/>
          <w:szCs w:val="28"/>
          <w:u w:val="none"/>
          <w:lang w:val="en-US" w:eastAsia="zh-CN"/>
        </w:rPr>
        <w:t>3</w:t>
      </w:r>
      <w:r>
        <w:rPr>
          <w:rFonts w:hint="eastAsia" w:ascii="仿宋" w:hAnsi="仿宋" w:eastAsia="仿宋"/>
          <w:bCs/>
          <w:sz w:val="28"/>
          <w:szCs w:val="28"/>
          <w:u w:val="none"/>
        </w:rPr>
        <w:t xml:space="preserve">号开标室（杭州市余杭区临平南大街265号市民之家三楼）。 </w:t>
      </w:r>
    </w:p>
    <w:p>
      <w:pPr>
        <w:rPr>
          <w:rFonts w:hint="eastAsia" w:ascii="仿宋" w:hAnsi="仿宋" w:eastAsia="仿宋"/>
          <w:bCs/>
          <w:sz w:val="28"/>
          <w:szCs w:val="28"/>
          <w:u w:val="none"/>
        </w:rPr>
      </w:pPr>
      <w:r>
        <w:rPr>
          <w:rFonts w:hint="eastAsia" w:ascii="仿宋" w:hAnsi="仿宋" w:eastAsia="仿宋"/>
          <w:bCs/>
          <w:sz w:val="28"/>
          <w:szCs w:val="28"/>
          <w:u w:val="none"/>
        </w:rPr>
        <w:t>供应商线上开标：“政府采购云平台（www.zcygov.cn）”本项目开标大厅。 </w:t>
      </w:r>
    </w:p>
    <w:p>
      <w:pPr>
        <w:rPr>
          <w:rFonts w:hint="eastAsia" w:ascii="仿宋" w:hAnsi="仿宋" w:eastAsia="仿宋"/>
          <w:bCs/>
          <w:sz w:val="28"/>
          <w:szCs w:val="28"/>
          <w:u w:val="none"/>
        </w:rPr>
      </w:pPr>
      <w:r>
        <w:rPr>
          <w:rFonts w:hint="eastAsia" w:ascii="仿宋" w:hAnsi="仿宋" w:eastAsia="仿宋"/>
          <w:bCs/>
          <w:sz w:val="28"/>
          <w:szCs w:val="28"/>
          <w:u w:val="none"/>
        </w:rPr>
        <w:t>    开标时间：2020年</w:t>
      </w:r>
      <w:r>
        <w:rPr>
          <w:rFonts w:hint="eastAsia" w:ascii="仿宋" w:hAnsi="仿宋" w:eastAsia="仿宋"/>
          <w:bCs/>
          <w:sz w:val="28"/>
          <w:szCs w:val="28"/>
          <w:u w:val="none"/>
          <w:lang w:val="en-US" w:eastAsia="zh-CN"/>
        </w:rPr>
        <w:t>09</w:t>
      </w:r>
      <w:r>
        <w:rPr>
          <w:rFonts w:hint="eastAsia" w:ascii="仿宋" w:hAnsi="仿宋" w:eastAsia="仿宋"/>
          <w:bCs/>
          <w:sz w:val="28"/>
          <w:szCs w:val="28"/>
          <w:u w:val="none"/>
        </w:rPr>
        <w:t>月</w:t>
      </w:r>
      <w:r>
        <w:rPr>
          <w:rFonts w:hint="eastAsia" w:ascii="仿宋" w:hAnsi="仿宋" w:eastAsia="仿宋"/>
          <w:bCs/>
          <w:sz w:val="28"/>
          <w:szCs w:val="28"/>
          <w:u w:val="none"/>
          <w:lang w:val="en-US" w:eastAsia="zh-CN"/>
        </w:rPr>
        <w:t>27</w:t>
      </w:r>
      <w:r>
        <w:rPr>
          <w:rFonts w:hint="eastAsia" w:ascii="仿宋" w:hAnsi="仿宋" w:eastAsia="仿宋"/>
          <w:bCs/>
          <w:sz w:val="28"/>
          <w:szCs w:val="28"/>
          <w:u w:val="none"/>
        </w:rPr>
        <w:t>日</w:t>
      </w:r>
      <w:r>
        <w:rPr>
          <w:rFonts w:hint="eastAsia" w:ascii="仿宋" w:hAnsi="仿宋" w:eastAsia="仿宋"/>
          <w:bCs/>
          <w:sz w:val="28"/>
          <w:szCs w:val="28"/>
          <w:u w:val="none"/>
          <w:lang w:val="en-US" w:eastAsia="zh-CN"/>
        </w:rPr>
        <w:t>09</w:t>
      </w:r>
      <w:r>
        <w:rPr>
          <w:rFonts w:hint="eastAsia" w:ascii="仿宋" w:hAnsi="仿宋" w:eastAsia="仿宋"/>
          <w:bCs/>
          <w:sz w:val="28"/>
          <w:szCs w:val="28"/>
          <w:u w:val="none"/>
        </w:rPr>
        <w:t>:</w:t>
      </w:r>
      <w:r>
        <w:rPr>
          <w:rFonts w:hint="eastAsia" w:ascii="仿宋" w:hAnsi="仿宋" w:eastAsia="仿宋"/>
          <w:bCs/>
          <w:sz w:val="28"/>
          <w:szCs w:val="28"/>
          <w:u w:val="none"/>
          <w:lang w:val="en-US" w:eastAsia="zh-CN"/>
        </w:rPr>
        <w:t xml:space="preserve">00  </w:t>
      </w:r>
      <w:r>
        <w:rPr>
          <w:rFonts w:hint="eastAsia" w:ascii="仿宋" w:hAnsi="仿宋" w:eastAsia="仿宋"/>
          <w:bCs/>
          <w:sz w:val="28"/>
          <w:szCs w:val="28"/>
          <w:u w:val="none"/>
        </w:rPr>
        <w:t> </w:t>
      </w:r>
    </w:p>
    <w:p>
      <w:pPr>
        <w:rPr>
          <w:rFonts w:ascii="仿宋" w:hAnsi="仿宋" w:eastAsia="仿宋"/>
          <w:bCs/>
          <w:sz w:val="28"/>
          <w:szCs w:val="28"/>
          <w:u w:val="single"/>
        </w:rPr>
      </w:pPr>
      <w:r>
        <w:rPr>
          <w:rFonts w:hint="eastAsia" w:ascii="仿宋" w:hAnsi="仿宋" w:eastAsia="仿宋"/>
          <w:bCs/>
          <w:sz w:val="28"/>
          <w:szCs w:val="28"/>
          <w:u w:val="none"/>
        </w:rPr>
        <w:t>    开标地点（网址）：登陆“政府采购云平台（www.zcygov.cn）”在线投标响应。</w:t>
      </w:r>
    </w:p>
    <w:p>
      <w:pPr>
        <w:pStyle w:val="5"/>
        <w:numPr>
          <w:ilvl w:val="0"/>
          <w:numId w:val="0"/>
        </w:numPr>
        <w:tabs>
          <w:tab w:val="left" w:pos="1110"/>
        </w:tabs>
        <w:ind w:left="560"/>
        <w:rPr>
          <w:rFonts w:ascii="黑体" w:hAnsi="黑体" w:cs="宋体"/>
          <w:b w:val="0"/>
          <w:sz w:val="28"/>
          <w:szCs w:val="28"/>
        </w:rPr>
      </w:pPr>
      <w:bookmarkStart w:id="19" w:name="_Toc28359084"/>
      <w:bookmarkStart w:id="20" w:name="_Toc35393625"/>
      <w:bookmarkStart w:id="21" w:name="_Toc35393794"/>
      <w:bookmarkStart w:id="22" w:name="_Toc28359007"/>
      <w:r>
        <w:rPr>
          <w:rFonts w:hint="eastAsia" w:ascii="黑体" w:hAnsi="黑体" w:cs="宋体"/>
          <w:b w:val="0"/>
          <w:sz w:val="28"/>
          <w:szCs w:val="28"/>
        </w:rPr>
        <w:t>五、公告期限</w:t>
      </w:r>
      <w:bookmarkEnd w:id="19"/>
      <w:bookmarkEnd w:id="20"/>
      <w:bookmarkEnd w:id="21"/>
      <w:bookmarkEnd w:id="22"/>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5"/>
        <w:numPr>
          <w:ilvl w:val="0"/>
          <w:numId w:val="9"/>
        </w:numPr>
        <w:tabs>
          <w:tab w:val="left" w:pos="1110"/>
          <w:tab w:val="clear" w:pos="706"/>
        </w:tabs>
        <w:rPr>
          <w:rFonts w:hint="eastAsia" w:ascii="黑体" w:hAnsi="黑体" w:cs="宋体"/>
          <w:b w:val="0"/>
          <w:sz w:val="28"/>
          <w:szCs w:val="28"/>
        </w:rPr>
      </w:pPr>
      <w:bookmarkStart w:id="23" w:name="_Toc35393795"/>
      <w:bookmarkStart w:id="24" w:name="_Toc35393626"/>
      <w:r>
        <w:rPr>
          <w:rFonts w:hint="eastAsia" w:ascii="黑体" w:hAnsi="黑体" w:cs="宋体"/>
          <w:b w:val="0"/>
          <w:sz w:val="28"/>
          <w:szCs w:val="28"/>
        </w:rPr>
        <w:t>其他补充事宜</w:t>
      </w:r>
      <w:bookmarkEnd w:id="23"/>
      <w:bookmarkEnd w:id="24"/>
    </w:p>
    <w:p>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 xml:space="preserve"> 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540"/>
      </w:pPr>
      <w:r>
        <w:rPr>
          <w:rFonts w:hint="eastAsia" w:ascii="仿宋" w:hAnsi="仿宋" w:eastAsia="仿宋" w:cs="宋体"/>
          <w:sz w:val="28"/>
          <w:szCs w:val="28"/>
        </w:rPr>
        <w:t xml:space="preserve">    2.其他事项：无</w:t>
      </w:r>
    </w:p>
    <w:p>
      <w:pPr>
        <w:pStyle w:val="5"/>
        <w:numPr>
          <w:ilvl w:val="0"/>
          <w:numId w:val="0"/>
        </w:numPr>
        <w:tabs>
          <w:tab w:val="left" w:pos="1110"/>
        </w:tabs>
        <w:ind w:left="560"/>
        <w:rPr>
          <w:rFonts w:ascii="黑体" w:hAnsi="黑体" w:cs="宋体"/>
          <w:b w:val="0"/>
          <w:sz w:val="28"/>
          <w:szCs w:val="28"/>
        </w:rPr>
      </w:pPr>
      <w:bookmarkStart w:id="25" w:name="_Toc35393796"/>
      <w:bookmarkStart w:id="26" w:name="_Toc28359085"/>
      <w:bookmarkStart w:id="27" w:name="_Toc28359008"/>
      <w:bookmarkStart w:id="28" w:name="_Toc35393627"/>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25"/>
      <w:bookmarkEnd w:id="26"/>
      <w:bookmarkEnd w:id="27"/>
      <w:bookmarkEnd w:id="28"/>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firstLine="840" w:firstLineChars="300"/>
        <w:rPr>
          <w:rFonts w:hint="eastAsia" w:ascii="仿宋" w:hAnsi="仿宋" w:eastAsia="仿宋" w:cs="宋体"/>
          <w:sz w:val="28"/>
          <w:szCs w:val="28"/>
        </w:rPr>
      </w:pPr>
      <w:r>
        <w:rPr>
          <w:rFonts w:hint="eastAsia" w:ascii="仿宋" w:hAnsi="仿宋" w:eastAsia="仿宋"/>
          <w:sz w:val="28"/>
          <w:szCs w:val="28"/>
        </w:rPr>
        <w:t>名 称</w:t>
      </w:r>
      <w:r>
        <w:rPr>
          <w:rFonts w:hint="eastAsia" w:ascii="仿宋" w:hAnsi="仿宋" w:eastAsia="仿宋" w:cs="宋体"/>
          <w:sz w:val="28"/>
          <w:szCs w:val="28"/>
        </w:rPr>
        <w:t>：杭州市余杭区人民政府良渚街道办事处</w:t>
      </w:r>
    </w:p>
    <w:p>
      <w:pPr>
        <w:spacing w:line="360" w:lineRule="auto"/>
        <w:ind w:firstLine="840" w:firstLineChars="300"/>
        <w:rPr>
          <w:rFonts w:ascii="仿宋" w:hAnsi="仿宋" w:eastAsia="仿宋" w:cs="宋体"/>
          <w:sz w:val="28"/>
          <w:szCs w:val="28"/>
        </w:rPr>
      </w:pPr>
      <w:r>
        <w:rPr>
          <w:rFonts w:hint="eastAsia" w:ascii="仿宋" w:hAnsi="仿宋" w:eastAsia="仿宋" w:cs="宋体"/>
          <w:sz w:val="28"/>
          <w:szCs w:val="28"/>
        </w:rPr>
        <w:t xml:space="preserve">地 址：杭州市余杭区良渚路166号 </w:t>
      </w:r>
    </w:p>
    <w:p>
      <w:pPr>
        <w:spacing w:line="360" w:lineRule="auto"/>
        <w:ind w:firstLine="840" w:firstLineChars="300"/>
        <w:jc w:val="left"/>
        <w:rPr>
          <w:rFonts w:hint="eastAsia" w:ascii="仿宋" w:hAnsi="仿宋" w:eastAsia="仿宋"/>
          <w:sz w:val="28"/>
          <w:szCs w:val="28"/>
        </w:rPr>
      </w:pPr>
      <w:r>
        <w:rPr>
          <w:rFonts w:hint="eastAsia" w:ascii="仿宋" w:hAnsi="仿宋" w:eastAsia="仿宋"/>
          <w:sz w:val="28"/>
          <w:szCs w:val="28"/>
        </w:rPr>
        <w:t>项目联系人：</w:t>
      </w:r>
      <w:bookmarkStart w:id="29" w:name="_Toc28359086"/>
      <w:bookmarkStart w:id="30" w:name="_Toc28359009"/>
      <w:r>
        <w:rPr>
          <w:rFonts w:hint="eastAsia" w:ascii="仿宋" w:hAnsi="仿宋" w:eastAsia="仿宋"/>
          <w:sz w:val="28"/>
          <w:szCs w:val="28"/>
        </w:rPr>
        <w:t xml:space="preserve"> 郁美丽</w:t>
      </w:r>
    </w:p>
    <w:p>
      <w:pPr>
        <w:spacing w:line="360" w:lineRule="auto"/>
        <w:ind w:firstLine="840" w:firstLineChars="300"/>
        <w:jc w:val="left"/>
        <w:rPr>
          <w:rFonts w:hint="eastAsia" w:ascii="仿宋" w:hAnsi="仿宋" w:eastAsia="仿宋"/>
          <w:sz w:val="28"/>
          <w:szCs w:val="28"/>
        </w:rPr>
      </w:pPr>
      <w:r>
        <w:rPr>
          <w:rFonts w:hint="eastAsia" w:ascii="仿宋" w:hAnsi="仿宋" w:eastAsia="仿宋"/>
          <w:sz w:val="28"/>
          <w:szCs w:val="28"/>
        </w:rPr>
        <w:t>联系电话： 13575773520</w:t>
      </w:r>
    </w:p>
    <w:p>
      <w:pPr>
        <w:spacing w:line="360" w:lineRule="auto"/>
        <w:ind w:firstLine="840" w:firstLineChars="300"/>
        <w:jc w:val="left"/>
        <w:rPr>
          <w:rFonts w:ascii="仿宋" w:hAnsi="仿宋" w:eastAsia="仿宋"/>
          <w:sz w:val="28"/>
          <w:szCs w:val="28"/>
        </w:rPr>
      </w:pPr>
      <w:r>
        <w:rPr>
          <w:rFonts w:ascii="仿宋" w:hAnsi="仿宋" w:eastAsia="仿宋"/>
          <w:sz w:val="28"/>
          <w:szCs w:val="28"/>
        </w:rPr>
        <w:t>质疑联系人：</w:t>
      </w:r>
      <w:r>
        <w:rPr>
          <w:rFonts w:hint="eastAsia" w:ascii="仿宋" w:hAnsi="仿宋" w:eastAsia="仿宋"/>
          <w:sz w:val="28"/>
          <w:szCs w:val="28"/>
        </w:rPr>
        <w:t>何洋</w:t>
      </w:r>
    </w:p>
    <w:p>
      <w:pPr>
        <w:spacing w:line="360" w:lineRule="auto"/>
        <w:ind w:firstLine="840" w:firstLineChars="300"/>
        <w:jc w:val="left"/>
        <w:rPr>
          <w:rFonts w:ascii="仿宋" w:hAnsi="仿宋" w:eastAsia="仿宋"/>
          <w:sz w:val="28"/>
          <w:szCs w:val="28"/>
        </w:rPr>
      </w:pPr>
      <w:r>
        <w:rPr>
          <w:rFonts w:ascii="仿宋" w:hAnsi="仿宋" w:eastAsia="仿宋"/>
          <w:sz w:val="28"/>
          <w:szCs w:val="28"/>
        </w:rPr>
        <w:t>质疑联系方式：</w:t>
      </w:r>
      <w:r>
        <w:rPr>
          <w:rFonts w:hint="eastAsia" w:ascii="仿宋" w:hAnsi="仿宋" w:eastAsia="仿宋"/>
          <w:sz w:val="28"/>
          <w:szCs w:val="28"/>
        </w:rPr>
        <w:t>18072929323</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w:t>
      </w:r>
      <w:bookmarkEnd w:id="29"/>
      <w:bookmarkEnd w:id="30"/>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称：杭州益嘉工程咨询代理有限公司</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址：杭州市余杭区南苑街道人民大道270号</w:t>
      </w:r>
    </w:p>
    <w:p>
      <w:pPr>
        <w:spacing w:line="360" w:lineRule="auto"/>
        <w:ind w:firstLine="840" w:firstLineChars="300"/>
        <w:rPr>
          <w:rFonts w:hint="eastAsia" w:ascii="仿宋" w:hAnsi="仿宋" w:eastAsia="仿宋"/>
          <w:sz w:val="28"/>
          <w:szCs w:val="28"/>
        </w:rPr>
      </w:pPr>
      <w:bookmarkStart w:id="31" w:name="_Toc28359087"/>
      <w:bookmarkStart w:id="32" w:name="_Toc28359010"/>
      <w:r>
        <w:rPr>
          <w:rFonts w:hint="eastAsia" w:ascii="仿宋" w:hAnsi="仿宋" w:eastAsia="仿宋"/>
          <w:sz w:val="28"/>
          <w:szCs w:val="28"/>
        </w:rPr>
        <w:t xml:space="preserve">项目联系人：朱海强              </w:t>
      </w:r>
    </w:p>
    <w:p>
      <w:pPr>
        <w:spacing w:line="360" w:lineRule="auto"/>
        <w:ind w:firstLine="840" w:firstLineChars="300"/>
        <w:rPr>
          <w:rFonts w:hint="eastAsia" w:ascii="仿宋" w:hAnsi="仿宋" w:eastAsia="仿宋"/>
          <w:sz w:val="28"/>
          <w:szCs w:val="28"/>
        </w:rPr>
      </w:pPr>
      <w:r>
        <w:rPr>
          <w:rFonts w:hint="eastAsia" w:ascii="仿宋" w:hAnsi="仿宋" w:eastAsia="仿宋"/>
          <w:sz w:val="28"/>
          <w:szCs w:val="28"/>
        </w:rPr>
        <w:t xml:space="preserve">项目联系方式：13735887310 </w:t>
      </w:r>
    </w:p>
    <w:p>
      <w:pPr>
        <w:spacing w:line="360" w:lineRule="auto"/>
        <w:ind w:firstLine="840" w:firstLineChars="300"/>
        <w:rPr>
          <w:rFonts w:hint="eastAsia" w:ascii="仿宋" w:hAnsi="仿宋" w:eastAsia="仿宋"/>
          <w:sz w:val="28"/>
          <w:szCs w:val="28"/>
        </w:rPr>
      </w:pPr>
      <w:r>
        <w:rPr>
          <w:rFonts w:hint="eastAsia" w:ascii="仿宋" w:hAnsi="仿宋" w:eastAsia="仿宋"/>
          <w:sz w:val="28"/>
          <w:szCs w:val="28"/>
        </w:rPr>
        <w:t xml:space="preserve">质疑联系人：杨文波             </w:t>
      </w:r>
    </w:p>
    <w:p>
      <w:pPr>
        <w:spacing w:line="360" w:lineRule="auto"/>
        <w:ind w:firstLine="840" w:firstLineChars="300"/>
        <w:rPr>
          <w:rFonts w:hint="eastAsia" w:ascii="仿宋" w:hAnsi="仿宋" w:eastAsia="仿宋"/>
          <w:sz w:val="28"/>
          <w:szCs w:val="28"/>
        </w:rPr>
      </w:pPr>
      <w:r>
        <w:rPr>
          <w:rFonts w:hint="eastAsia" w:ascii="仿宋" w:hAnsi="仿宋" w:eastAsia="仿宋"/>
          <w:sz w:val="28"/>
          <w:szCs w:val="28"/>
        </w:rPr>
        <w:t>质疑联系方式：15397053608</w:t>
      </w:r>
    </w:p>
    <w:bookmarkEnd w:id="31"/>
    <w:bookmarkEnd w:id="32"/>
    <w:p>
      <w:pPr>
        <w:pStyle w:val="40"/>
        <w:spacing w:line="360" w:lineRule="auto"/>
        <w:ind w:firstLine="840" w:firstLineChars="300"/>
        <w:rPr>
          <w:rFonts w:hint="eastAsia" w:ascii="仿宋" w:hAnsi="仿宋" w:eastAsia="仿宋"/>
          <w:sz w:val="28"/>
          <w:szCs w:val="28"/>
        </w:rPr>
      </w:pPr>
      <w:r>
        <w:rPr>
          <w:rFonts w:hint="eastAsia" w:ascii="仿宋" w:hAnsi="仿宋" w:eastAsia="仿宋"/>
          <w:sz w:val="28"/>
          <w:szCs w:val="28"/>
        </w:rPr>
        <w:t xml:space="preserve">3.同级政府采购监督管理部门            </w:t>
      </w:r>
    </w:p>
    <w:p>
      <w:pPr>
        <w:pStyle w:val="40"/>
        <w:spacing w:line="360" w:lineRule="auto"/>
        <w:ind w:firstLine="840" w:firstLineChars="300"/>
        <w:rPr>
          <w:rFonts w:hint="eastAsia" w:ascii="仿宋" w:hAnsi="仿宋" w:eastAsia="仿宋"/>
          <w:sz w:val="28"/>
          <w:szCs w:val="28"/>
        </w:rPr>
      </w:pPr>
      <w:r>
        <w:rPr>
          <w:rFonts w:hint="eastAsia" w:ascii="仿宋" w:hAnsi="仿宋" w:eastAsia="仿宋"/>
          <w:sz w:val="28"/>
          <w:szCs w:val="28"/>
        </w:rPr>
        <w:t xml:space="preserve">名 称：余杭区政府采购办公室             </w:t>
      </w:r>
    </w:p>
    <w:p>
      <w:pPr>
        <w:pStyle w:val="40"/>
        <w:spacing w:line="360" w:lineRule="auto"/>
        <w:ind w:firstLine="840" w:firstLineChars="300"/>
        <w:rPr>
          <w:rFonts w:hint="eastAsia" w:ascii="仿宋" w:hAnsi="仿宋" w:eastAsia="仿宋"/>
          <w:sz w:val="28"/>
          <w:szCs w:val="28"/>
        </w:rPr>
      </w:pPr>
      <w:r>
        <w:rPr>
          <w:rFonts w:hint="eastAsia" w:ascii="仿宋" w:hAnsi="仿宋" w:eastAsia="仿宋"/>
          <w:sz w:val="28"/>
          <w:szCs w:val="28"/>
        </w:rPr>
        <w:t xml:space="preserve">地 址：杭州市余杭区临平东湖中路236号余杭财税大楼             </w:t>
      </w:r>
    </w:p>
    <w:p>
      <w:pPr>
        <w:pStyle w:val="40"/>
        <w:spacing w:line="360" w:lineRule="auto"/>
        <w:ind w:firstLine="840" w:firstLineChars="300"/>
        <w:rPr>
          <w:rFonts w:hint="eastAsia" w:ascii="仿宋" w:hAnsi="仿宋" w:eastAsia="仿宋"/>
          <w:sz w:val="28"/>
          <w:szCs w:val="28"/>
        </w:rPr>
      </w:pPr>
      <w:r>
        <w:rPr>
          <w:rFonts w:hint="eastAsia" w:ascii="仿宋" w:hAnsi="仿宋" w:eastAsia="仿宋"/>
          <w:sz w:val="28"/>
          <w:szCs w:val="28"/>
        </w:rPr>
        <w:t xml:space="preserve">传 真：0571-89180113             </w:t>
      </w:r>
    </w:p>
    <w:p>
      <w:pPr>
        <w:pStyle w:val="40"/>
        <w:spacing w:line="360" w:lineRule="auto"/>
        <w:ind w:firstLine="840" w:firstLineChars="300"/>
        <w:rPr>
          <w:rFonts w:hint="eastAsia" w:ascii="仿宋" w:hAnsi="仿宋" w:eastAsia="仿宋"/>
          <w:sz w:val="28"/>
          <w:szCs w:val="28"/>
        </w:rPr>
      </w:pPr>
      <w:r>
        <w:rPr>
          <w:rFonts w:hint="eastAsia" w:ascii="仿宋" w:hAnsi="仿宋" w:eastAsia="仿宋"/>
          <w:sz w:val="28"/>
          <w:szCs w:val="28"/>
        </w:rPr>
        <w:t xml:space="preserve">联系人 ：杜国强             </w:t>
      </w:r>
    </w:p>
    <w:p>
      <w:pPr>
        <w:pStyle w:val="40"/>
        <w:spacing w:line="360" w:lineRule="auto"/>
        <w:ind w:firstLine="840" w:firstLineChars="300"/>
        <w:rPr>
          <w:rFonts w:hint="eastAsia" w:ascii="仿宋" w:hAnsi="仿宋" w:eastAsia="仿宋"/>
          <w:sz w:val="28"/>
          <w:szCs w:val="28"/>
        </w:rPr>
      </w:pPr>
      <w:r>
        <w:rPr>
          <w:rFonts w:hint="eastAsia" w:ascii="仿宋" w:hAnsi="仿宋" w:eastAsia="仿宋"/>
          <w:sz w:val="28"/>
          <w:szCs w:val="28"/>
        </w:rPr>
        <w:t>监督投诉电话：0571-89180113</w:t>
      </w:r>
    </w:p>
    <w:p>
      <w:pPr>
        <w:pStyle w:val="40"/>
        <w:spacing w:line="360" w:lineRule="auto"/>
        <w:ind w:firstLine="840" w:firstLineChars="300"/>
        <w:rPr>
          <w:rFonts w:hint="eastAsia" w:ascii="仿宋" w:hAnsi="仿宋" w:eastAsia="仿宋"/>
          <w:sz w:val="28"/>
          <w:szCs w:val="28"/>
        </w:rPr>
      </w:pPr>
    </w:p>
    <w:p>
      <w:pPr>
        <w:pStyle w:val="40"/>
        <w:spacing w:line="360" w:lineRule="auto"/>
        <w:ind w:firstLine="840" w:firstLineChars="300"/>
        <w:rPr>
          <w:rFonts w:hint="eastAsia" w:ascii="仿宋" w:hAnsi="仿宋" w:eastAsia="仿宋"/>
          <w:sz w:val="28"/>
          <w:szCs w:val="28"/>
        </w:rPr>
      </w:pPr>
    </w:p>
    <w:p>
      <w:pPr>
        <w:widowControl/>
        <w:shd w:val="clear" w:color="auto" w:fill="FFFFFF"/>
        <w:spacing w:before="120" w:line="315" w:lineRule="atLeast"/>
        <w:ind w:firstLine="420"/>
        <w:jc w:val="left"/>
        <w:rPr>
          <w:rFonts w:ascii="仿宋" w:hAnsi="仿宋" w:eastAsia="仿宋" w:cs="仿宋"/>
          <w:sz w:val="18"/>
          <w:szCs w:val="18"/>
        </w:rPr>
      </w:pPr>
      <w:r>
        <w:rPr>
          <w:rFonts w:hint="eastAsia" w:ascii="仿宋" w:hAnsi="仿宋" w:eastAsia="仿宋" w:cs="仿宋"/>
          <w:kern w:val="0"/>
          <w:sz w:val="18"/>
          <w:szCs w:val="18"/>
          <w:shd w:val="clear" w:color="auto" w:fill="FFFFFF"/>
          <w:lang w:bidi="ar"/>
        </w:rPr>
        <w:t>若对项目采购电子交易系统操作有疑问，可登录政采云（https://www.zcygov.cn/），点击右侧咨询小采，获取采小蜜智能服务管家帮助，或拨打政采云服务热线400-881-7190获取热线服务帮助。       </w:t>
      </w:r>
    </w:p>
    <w:p>
      <w:pPr>
        <w:pStyle w:val="215"/>
        <w:spacing w:line="360" w:lineRule="auto"/>
        <w:jc w:val="center"/>
        <w:rPr>
          <w:rFonts w:hint="eastAsia"/>
        </w:rPr>
      </w:pPr>
      <w:r>
        <w:rPr>
          <w:rFonts w:hint="eastAsia" w:ascii="仿宋" w:hAnsi="仿宋" w:eastAsia="仿宋" w:cs="仿宋"/>
          <w:sz w:val="18"/>
          <w:szCs w:val="18"/>
          <w:shd w:val="clear" w:color="auto" w:fill="FFFFFF"/>
          <w:lang w:val="en-US" w:bidi="ar"/>
        </w:rPr>
        <w:t>CA问题联系电话（人工）：汇信CA 400-888-4636；天谷CA 400-087-8198。</w:t>
      </w:r>
    </w:p>
    <w:p>
      <w:pPr>
        <w:pageBreakBefore/>
        <w:numPr>
          <w:ilvl w:val="0"/>
          <w:numId w:val="8"/>
        </w:numPr>
        <w:shd w:val="clear" w:color="auto" w:fill="FFFFFF"/>
        <w:snapToGrid w:val="0"/>
        <w:spacing w:line="360" w:lineRule="auto"/>
        <w:jc w:val="center"/>
        <w:outlineLvl w:val="0"/>
        <w:rPr>
          <w:rFonts w:hint="eastAsia" w:ascii="宋体" w:hAnsi="宋体" w:cs="宋体"/>
          <w:b/>
          <w:bCs/>
          <w:color w:val="000000"/>
          <w:sz w:val="32"/>
          <w:szCs w:val="32"/>
        </w:rPr>
      </w:pPr>
      <w:bookmarkStart w:id="33" w:name="_Hlt74649545"/>
      <w:bookmarkEnd w:id="33"/>
      <w:bookmarkStart w:id="34" w:name="_Hlt74728647"/>
      <w:bookmarkEnd w:id="34"/>
      <w:bookmarkStart w:id="35" w:name="_Hlt74729822"/>
      <w:bookmarkEnd w:id="35"/>
      <w:bookmarkStart w:id="36" w:name="_Hlt74707423"/>
      <w:bookmarkEnd w:id="36"/>
      <w:bookmarkStart w:id="37" w:name="_Toc354996694"/>
      <w:bookmarkStart w:id="38" w:name="_Toc225840107"/>
      <w:r>
        <w:rPr>
          <w:rFonts w:hint="eastAsia" w:ascii="宋体" w:hAnsi="宋体" w:cs="宋体"/>
          <w:b/>
          <w:bCs/>
          <w:color w:val="000000"/>
          <w:sz w:val="32"/>
          <w:szCs w:val="32"/>
        </w:rPr>
        <w:t xml:space="preserve">  </w:t>
      </w:r>
      <w:bookmarkStart w:id="39" w:name="_Toc11201"/>
      <w:r>
        <w:rPr>
          <w:rFonts w:hint="eastAsia" w:ascii="宋体" w:hAnsi="宋体" w:cs="宋体"/>
          <w:b/>
          <w:bCs/>
          <w:color w:val="000000"/>
          <w:sz w:val="32"/>
          <w:szCs w:val="32"/>
        </w:rPr>
        <w:t>编制和提交投标文件须知</w:t>
      </w:r>
      <w:bookmarkEnd w:id="37"/>
      <w:bookmarkEnd w:id="39"/>
    </w:p>
    <w:p>
      <w:pPr>
        <w:spacing w:before="157" w:beforeLines="50" w:after="157" w:afterLines="50"/>
        <w:jc w:val="center"/>
        <w:rPr>
          <w:rFonts w:hint="eastAsia" w:ascii="宋体" w:hAnsi="宋体" w:cs="宋体"/>
          <w:b/>
          <w:bCs/>
          <w:sz w:val="28"/>
          <w:szCs w:val="28"/>
        </w:rPr>
      </w:pPr>
      <w:bookmarkStart w:id="40" w:name="_Toc24979"/>
      <w:bookmarkStart w:id="41" w:name="_Toc31314"/>
      <w:bookmarkStart w:id="42" w:name="_Toc354996695"/>
      <w:bookmarkStart w:id="43" w:name="_Toc233618971"/>
      <w:bookmarkStart w:id="44" w:name="_Toc26693"/>
      <w:r>
        <w:rPr>
          <w:rFonts w:hint="eastAsia" w:ascii="宋体" w:hAnsi="宋体" w:cs="宋体"/>
          <w:b/>
          <w:bCs/>
          <w:color w:val="000000"/>
          <w:sz w:val="24"/>
        </w:rPr>
        <w:t>前 附 表</w:t>
      </w:r>
      <w:bookmarkEnd w:id="40"/>
      <w:bookmarkEnd w:id="41"/>
      <w:bookmarkEnd w:id="42"/>
      <w:bookmarkEnd w:id="43"/>
      <w:bookmarkEnd w:id="44"/>
    </w:p>
    <w:tbl>
      <w:tblPr>
        <w:tblStyle w:val="7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85" w:type="dxa"/>
          <w:bottom w:w="0" w:type="dxa"/>
          <w:right w:w="28" w:type="dxa"/>
        </w:tblCellMar>
      </w:tblPr>
      <w:tblGrid>
        <w:gridCol w:w="784"/>
        <w:gridCol w:w="1365"/>
        <w:gridCol w:w="73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tblHeader/>
          <w:jc w:val="center"/>
        </w:trPr>
        <w:tc>
          <w:tcPr>
            <w:tcW w:w="784" w:type="dxa"/>
            <w:tcBorders>
              <w:top w:val="single" w:color="000000" w:sz="8"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条款</w:t>
            </w:r>
          </w:p>
        </w:tc>
        <w:tc>
          <w:tcPr>
            <w:tcW w:w="8673" w:type="dxa"/>
            <w:gridSpan w:val="2"/>
            <w:tcBorders>
              <w:top w:val="single" w:color="000000" w:sz="8" w:space="0"/>
              <w:left w:val="single" w:color="000000" w:sz="2" w:space="0"/>
              <w:bottom w:val="single" w:color="000000" w:sz="2" w:space="0"/>
              <w:right w:val="single" w:color="000000" w:sz="8" w:space="0"/>
            </w:tcBorders>
            <w:noWrap w:val="0"/>
            <w:vAlign w:val="center"/>
          </w:tcPr>
          <w:p>
            <w:pPr>
              <w:jc w:val="center"/>
              <w:rPr>
                <w:rFonts w:hint="eastAsia" w:ascii="宋体" w:hAnsi="宋体" w:cs="宋体"/>
                <w:sz w:val="24"/>
              </w:rPr>
            </w:pPr>
            <w:r>
              <w:rPr>
                <w:rFonts w:hint="eastAsia" w:ascii="宋体" w:hAnsi="宋体" w:cs="宋体"/>
                <w:sz w:val="24"/>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center"/>
              <w:rPr>
                <w:rFonts w:hint="eastAsia" w:ascii="宋体" w:hAnsi="宋体" w:cs="宋体"/>
                <w:sz w:val="24"/>
              </w:rPr>
            </w:pPr>
            <w:r>
              <w:rPr>
                <w:rFonts w:hint="eastAsia" w:ascii="宋体" w:hAnsi="宋体" w:cs="宋体"/>
                <w:sz w:val="24"/>
              </w:rPr>
              <w:t>项目说明</w:t>
            </w:r>
          </w:p>
          <w:p>
            <w:pPr>
              <w:spacing w:line="600" w:lineRule="exact"/>
              <w:jc w:val="left"/>
              <w:rPr>
                <w:rFonts w:hint="eastAsia" w:ascii="宋体" w:hAnsi="宋体" w:cs="宋体"/>
                <w:sz w:val="24"/>
              </w:rPr>
            </w:pPr>
            <w:r>
              <w:rPr>
                <w:rFonts w:hint="eastAsia" w:ascii="宋体" w:hAnsi="宋体" w:cs="宋体"/>
                <w:sz w:val="24"/>
              </w:rPr>
              <w:t>一、项目名称：</w:t>
            </w:r>
            <w:r>
              <w:rPr>
                <w:rFonts w:hint="eastAsia" w:ascii="宋体" w:hAnsi="宋体" w:cs="宋体"/>
                <w:sz w:val="24"/>
                <w:lang w:eastAsia="zh-CN"/>
              </w:rPr>
              <w:t>良渚街道物流等人口聚集区块维保服务外包项目</w:t>
            </w:r>
            <w:r>
              <w:rPr>
                <w:rFonts w:hint="eastAsia" w:ascii="宋体" w:hAnsi="宋体" w:cs="宋体"/>
                <w:sz w:val="24"/>
              </w:rPr>
              <w:t>。</w:t>
            </w:r>
          </w:p>
          <w:p>
            <w:pPr>
              <w:spacing w:line="600" w:lineRule="exact"/>
              <w:jc w:val="left"/>
              <w:rPr>
                <w:rFonts w:hint="eastAsia" w:ascii="宋体" w:hAnsi="宋体" w:cs="宋体"/>
                <w:sz w:val="24"/>
              </w:rPr>
            </w:pPr>
            <w:bookmarkStart w:id="45" w:name="_Hlt75139851"/>
            <w:bookmarkEnd w:id="45"/>
            <w:r>
              <w:rPr>
                <w:rFonts w:hint="eastAsia" w:ascii="宋体" w:hAnsi="宋体" w:cs="宋体"/>
                <w:sz w:val="24"/>
              </w:rPr>
              <w:t>二、采购内容：物流巡逻安保。</w:t>
            </w:r>
          </w:p>
          <w:p>
            <w:pPr>
              <w:spacing w:line="600" w:lineRule="exact"/>
              <w:jc w:val="left"/>
              <w:rPr>
                <w:rFonts w:hint="eastAsia" w:ascii="宋体" w:hAnsi="宋体" w:cs="宋体"/>
                <w:sz w:val="24"/>
              </w:rPr>
            </w:pPr>
            <w:r>
              <w:rPr>
                <w:rFonts w:hint="eastAsia" w:ascii="宋体" w:hAnsi="宋体" w:cs="宋体"/>
                <w:sz w:val="24"/>
              </w:rPr>
              <w:t>三、项目实施地点：余杭区范围内采购人指定地点。</w:t>
            </w:r>
          </w:p>
          <w:p>
            <w:pPr>
              <w:spacing w:line="600" w:lineRule="exact"/>
              <w:jc w:val="left"/>
              <w:rPr>
                <w:rFonts w:hint="eastAsia" w:ascii="宋体" w:hAnsi="宋体" w:cs="宋体"/>
                <w:sz w:val="24"/>
              </w:rPr>
            </w:pPr>
            <w:r>
              <w:rPr>
                <w:rFonts w:hint="eastAsia" w:ascii="宋体" w:hAnsi="宋体" w:cs="宋体"/>
                <w:sz w:val="24"/>
              </w:rPr>
              <w:t>四、主要功能和性能要求：详见“第三部分——项目技术规范和服务要求”。</w:t>
            </w:r>
          </w:p>
          <w:p>
            <w:pPr>
              <w:spacing w:line="600" w:lineRule="exact"/>
              <w:jc w:val="left"/>
              <w:rPr>
                <w:rFonts w:hint="eastAsia" w:ascii="宋体" w:hAnsi="宋体" w:cs="宋体"/>
                <w:sz w:val="24"/>
              </w:rPr>
            </w:pPr>
            <w:r>
              <w:rPr>
                <w:rFonts w:hint="eastAsia" w:ascii="宋体" w:hAnsi="宋体" w:cs="宋体"/>
                <w:sz w:val="24"/>
              </w:rPr>
              <w:t>五、服务期：</w:t>
            </w:r>
            <w:r>
              <w:rPr>
                <w:rFonts w:hint="eastAsia" w:ascii="宋体" w:hAnsi="宋体" w:cs="宋体"/>
                <w:color w:val="000000"/>
                <w:sz w:val="24"/>
              </w:rPr>
              <w:t>详见“第三部分——项目技术规范和服务要求”。</w:t>
            </w:r>
          </w:p>
          <w:p>
            <w:pPr>
              <w:spacing w:line="600" w:lineRule="exact"/>
              <w:jc w:val="left"/>
              <w:rPr>
                <w:rFonts w:hint="eastAsia" w:ascii="宋体" w:hAnsi="宋体" w:cs="宋体"/>
                <w:sz w:val="24"/>
              </w:rPr>
            </w:pPr>
            <w:r>
              <w:rPr>
                <w:rFonts w:hint="eastAsia" w:ascii="宋体" w:hAnsi="宋体" w:cs="宋体"/>
                <w:sz w:val="24"/>
              </w:rPr>
              <w:t>六、</w:t>
            </w:r>
            <w:r>
              <w:rPr>
                <w:rFonts w:hint="eastAsia" w:ascii="宋体" w:hAnsi="宋体" w:cs="宋体"/>
                <w:sz w:val="24"/>
                <w:lang w:val="zh-CN"/>
              </w:rPr>
              <w:t>采购预算</w:t>
            </w:r>
            <w:r>
              <w:rPr>
                <w:rFonts w:hint="eastAsia" w:ascii="宋体" w:hAnsi="宋体" w:cs="宋体"/>
                <w:sz w:val="24"/>
                <w:highlight w:val="none"/>
                <w:lang w:val="zh-CN"/>
              </w:rPr>
              <w:t>：人民币</w:t>
            </w:r>
            <w:r>
              <w:rPr>
                <w:rFonts w:hint="eastAsia" w:ascii="宋体" w:hAnsi="宋体" w:cs="宋体"/>
                <w:sz w:val="24"/>
                <w:highlight w:val="none"/>
              </w:rPr>
              <w:t>630</w:t>
            </w:r>
            <w:r>
              <w:rPr>
                <w:rFonts w:hint="eastAsia" w:ascii="宋体" w:hAnsi="宋体" w:cs="宋体"/>
                <w:sz w:val="24"/>
                <w:highlight w:val="none"/>
                <w:lang w:val="zh-CN"/>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2</w:t>
            </w:r>
          </w:p>
        </w:tc>
        <w:tc>
          <w:tcPr>
            <w:tcW w:w="1365"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合同名称</w:t>
            </w:r>
          </w:p>
        </w:tc>
        <w:tc>
          <w:tcPr>
            <w:tcW w:w="7308" w:type="dxa"/>
            <w:tcBorders>
              <w:top w:val="single" w:color="000000" w:sz="2" w:space="0"/>
              <w:left w:val="single" w:color="000000" w:sz="2" w:space="0"/>
              <w:bottom w:val="single" w:color="000000" w:sz="2" w:space="0"/>
              <w:right w:val="single" w:color="000000" w:sz="8" w:space="0"/>
            </w:tcBorders>
            <w:noWrap w:val="0"/>
            <w:vAlign w:val="center"/>
          </w:tcPr>
          <w:p>
            <w:pPr>
              <w:spacing w:line="600" w:lineRule="exact"/>
              <w:rPr>
                <w:rFonts w:hint="eastAsia" w:ascii="宋体" w:hAnsi="宋体" w:cs="宋体"/>
                <w:sz w:val="24"/>
              </w:rPr>
            </w:pPr>
            <w:r>
              <w:rPr>
                <w:rFonts w:hint="eastAsia" w:ascii="宋体" w:hAnsi="宋体" w:cs="宋体"/>
                <w:sz w:val="24"/>
              </w:rPr>
              <w:t>《</w:t>
            </w:r>
            <w:r>
              <w:rPr>
                <w:rFonts w:hint="eastAsia" w:ascii="宋体" w:hAnsi="宋体" w:cs="宋体"/>
                <w:sz w:val="24"/>
                <w:lang w:eastAsia="zh-CN"/>
              </w:rPr>
              <w:t>良渚街道物流等人口聚集区块维保服务外包项目</w:t>
            </w:r>
            <w:r>
              <w:rPr>
                <w:rFonts w:hint="eastAsia" w:ascii="宋体" w:hAnsi="宋体" w:cs="宋体"/>
                <w:sz w:val="24"/>
              </w:rPr>
              <w:t>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3</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jc w:val="left"/>
              <w:rPr>
                <w:rFonts w:hint="eastAsia" w:ascii="宋体" w:hAnsi="宋体" w:cs="宋体"/>
                <w:sz w:val="24"/>
              </w:rPr>
            </w:pPr>
            <w:r>
              <w:rPr>
                <w:rFonts w:hint="eastAsia" w:ascii="宋体" w:hAnsi="宋体" w:cs="宋体"/>
                <w:sz w:val="24"/>
                <w:lang w:val="zh-CN"/>
              </w:rPr>
              <w:t>投标</w:t>
            </w:r>
            <w:r>
              <w:rPr>
                <w:rFonts w:hint="eastAsia" w:ascii="宋体" w:hAnsi="宋体" w:cs="宋体"/>
                <w:sz w:val="24"/>
              </w:rPr>
              <w:t>有效期：自投标截止日起90天。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4</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jc w:val="left"/>
              <w:rPr>
                <w:rFonts w:hint="eastAsia" w:ascii="宋体" w:hAnsi="宋体" w:cs="宋体"/>
                <w:sz w:val="24"/>
              </w:rPr>
            </w:pPr>
            <w:r>
              <w:rPr>
                <w:rFonts w:hint="eastAsia" w:ascii="宋体" w:hAnsi="宋体" w:cs="宋体"/>
                <w:sz w:val="24"/>
              </w:rPr>
              <w:t>投标保证金数额：无。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5</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color w:val="FF0000"/>
                <w:sz w:val="24"/>
              </w:rPr>
            </w:pPr>
            <w:r>
              <w:rPr>
                <w:rFonts w:hint="eastAsia" w:ascii="宋体" w:hAnsi="宋体" w:cs="宋体"/>
                <w:b/>
                <w:color w:val="FF0000"/>
                <w:sz w:val="24"/>
              </w:rPr>
              <w:t>本项目招标代理费由中标单位支付，中标单位在领取中标通知书前需向招标代理机构支付人民币</w:t>
            </w:r>
            <w:r>
              <w:rPr>
                <w:rFonts w:hint="eastAsia" w:ascii="宋体" w:hAnsi="宋体" w:cs="宋体"/>
                <w:b/>
                <w:color w:val="FF0000"/>
                <w:sz w:val="24"/>
                <w:lang w:val="en-US" w:eastAsia="zh-CN"/>
              </w:rPr>
              <w:t>5</w:t>
            </w:r>
            <w:r>
              <w:rPr>
                <w:rFonts w:hint="eastAsia" w:ascii="宋体" w:hAnsi="宋体" w:cs="宋体"/>
                <w:b/>
                <w:color w:val="FF0000"/>
                <w:sz w:val="24"/>
                <w:lang w:val="en-US" w:eastAsia="zh-CN"/>
              </w:rPr>
              <w:t>5850</w:t>
            </w:r>
            <w:r>
              <w:rPr>
                <w:rFonts w:hint="eastAsia" w:ascii="宋体" w:hAnsi="宋体" w:cs="宋体"/>
                <w:b/>
                <w:color w:val="FF0000"/>
                <w:sz w:val="24"/>
              </w:rPr>
              <w:t>元招标代理服务费。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6</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sz w:val="24"/>
              </w:rPr>
            </w:pPr>
            <w:r>
              <w:rPr>
                <w:rFonts w:hint="eastAsia" w:ascii="宋体" w:hAnsi="宋体" w:cs="宋体"/>
                <w:sz w:val="24"/>
              </w:rPr>
              <w:t>投标文件的组成：</w:t>
            </w:r>
            <w:r>
              <w:rPr>
                <w:rFonts w:hint="eastAsia" w:ascii="宋体" w:hAnsi="宋体" w:cs="宋体"/>
                <w:b/>
                <w:bCs/>
                <w:sz w:val="24"/>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7</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sz w:val="24"/>
              </w:rPr>
            </w:pPr>
            <w:r>
              <w:rPr>
                <w:rFonts w:hint="eastAsia" w:ascii="宋体" w:hAnsi="宋体" w:cs="宋体"/>
                <w:sz w:val="24"/>
              </w:rPr>
              <w:t>投标文件的编制：供应商应先安装“政采云电子交易客户端”，并按照本招标文件和“政府采购云平台”的要求，通过“政采云电子交易客户端”编制并加密投标文件。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8</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jc w:val="left"/>
              <w:rPr>
                <w:rFonts w:hint="eastAsia" w:ascii="宋体" w:hAnsi="宋体" w:cs="宋体"/>
                <w:sz w:val="24"/>
              </w:rPr>
            </w:pPr>
            <w:r>
              <w:rPr>
                <w:rFonts w:hint="eastAsia" w:ascii="宋体" w:hAnsi="宋体" w:cs="宋体"/>
                <w:sz w:val="24"/>
              </w:rPr>
              <w:t>投标文件的签章：电子签章。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9</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b/>
                <w:bCs/>
                <w:sz w:val="24"/>
              </w:rPr>
            </w:pPr>
            <w:r>
              <w:rPr>
                <w:rFonts w:hint="eastAsia" w:ascii="宋体" w:hAnsi="宋体" w:cs="宋体"/>
                <w:sz w:val="24"/>
              </w:rPr>
              <w:t>投标文件的形式：</w:t>
            </w:r>
            <w:r>
              <w:rPr>
                <w:rFonts w:hint="eastAsia" w:ascii="宋体" w:hAnsi="宋体" w:cs="宋体"/>
                <w:b/>
                <w:bCs/>
                <w:sz w:val="24"/>
              </w:rPr>
              <w:t>☑电子投标文件（包括“电子加密投标文件”和“备份投标文件”，在投标文件编制完成后同时生成）；</w:t>
            </w:r>
          </w:p>
          <w:p>
            <w:pPr>
              <w:spacing w:line="600" w:lineRule="exact"/>
              <w:jc w:val="left"/>
              <w:rPr>
                <w:rFonts w:hint="eastAsia" w:ascii="宋体" w:hAnsi="宋体" w:cs="宋体"/>
                <w:b/>
                <w:bCs/>
                <w:sz w:val="24"/>
              </w:rPr>
            </w:pPr>
            <w:r>
              <w:rPr>
                <w:rFonts w:hint="eastAsia" w:ascii="宋体" w:hAnsi="宋体" w:cs="宋体"/>
                <w:b/>
                <w:bCs/>
                <w:sz w:val="24"/>
              </w:rPr>
              <w:t>（1）“电子加密投标文件”是指通过“政采云电子交易客户端”完成投标文件编制后生成并加密的数据电文形式的投标文件。</w:t>
            </w:r>
          </w:p>
          <w:p>
            <w:pPr>
              <w:spacing w:line="600" w:lineRule="exact"/>
              <w:jc w:val="left"/>
              <w:rPr>
                <w:rFonts w:hint="eastAsia" w:ascii="宋体" w:hAnsi="宋体" w:cs="宋体"/>
                <w:sz w:val="24"/>
              </w:rPr>
            </w:pPr>
            <w:r>
              <w:rPr>
                <w:rFonts w:hint="eastAsia" w:ascii="宋体" w:hAnsi="宋体" w:cs="宋体"/>
                <w:b/>
                <w:bCs/>
                <w:sz w:val="24"/>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10</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sz w:val="24"/>
              </w:rPr>
            </w:pPr>
            <w:r>
              <w:rPr>
                <w:rFonts w:hint="eastAsia" w:ascii="宋体" w:hAnsi="宋体" w:cs="宋体"/>
                <w:sz w:val="24"/>
              </w:rPr>
              <w:t>投标文件份数：</w:t>
            </w:r>
            <w:r>
              <w:rPr>
                <w:rFonts w:hint="eastAsia" w:ascii="宋体" w:hAnsi="宋体" w:cs="宋体"/>
                <w:b/>
                <w:bCs/>
                <w:sz w:val="24"/>
              </w:rPr>
              <w:t>（1）“电子加密投标文件”：在线上传递交、一份。（2）“备份投标文件”：密封包装后（EMS邮寄形式）投标截止时间前递交、一份（邮寄地址：杭州市余杭区）。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11</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sz w:val="24"/>
              </w:rPr>
            </w:pPr>
            <w:r>
              <w:rPr>
                <w:rFonts w:hint="eastAsia" w:ascii="宋体" w:hAnsi="宋体" w:cs="宋体"/>
                <w:sz w:val="24"/>
              </w:rPr>
              <w:t>投标文件的上传和递交：</w:t>
            </w:r>
          </w:p>
          <w:p>
            <w:pPr>
              <w:spacing w:line="600" w:lineRule="exact"/>
              <w:jc w:val="left"/>
              <w:rPr>
                <w:rFonts w:hint="eastAsia" w:ascii="宋体" w:hAnsi="宋体" w:cs="宋体"/>
                <w:b/>
                <w:bCs/>
                <w:sz w:val="24"/>
              </w:rPr>
            </w:pPr>
            <w:r>
              <w:rPr>
                <w:rFonts w:hint="eastAsia" w:ascii="宋体" w:hAnsi="宋体" w:cs="宋体"/>
                <w:b/>
                <w:bCs/>
                <w:sz w:val="24"/>
              </w:rPr>
              <w:t>（1）“电子加密投标文件”的上传、递交：</w:t>
            </w:r>
          </w:p>
          <w:p>
            <w:pPr>
              <w:spacing w:line="600" w:lineRule="exact"/>
              <w:jc w:val="left"/>
              <w:rPr>
                <w:rFonts w:hint="eastAsia" w:ascii="宋体" w:hAnsi="宋体" w:cs="宋体"/>
                <w:b/>
                <w:bCs/>
                <w:sz w:val="24"/>
              </w:rPr>
            </w:pPr>
            <w:r>
              <w:rPr>
                <w:rFonts w:hint="eastAsia" w:ascii="宋体" w:hAnsi="宋体" w:cs="宋体"/>
                <w:b/>
                <w:bCs/>
                <w:sz w:val="24"/>
              </w:rPr>
              <w:t>a.投标供应商应在投标截止时间前将“电子加密投标文件”成功上传递交至“政府采购云平台”，否则投标无效。</w:t>
            </w:r>
          </w:p>
          <w:p>
            <w:pPr>
              <w:spacing w:line="600" w:lineRule="exact"/>
              <w:jc w:val="left"/>
              <w:rPr>
                <w:rFonts w:hint="eastAsia" w:ascii="宋体" w:hAnsi="宋体" w:cs="宋体"/>
                <w:b/>
                <w:bCs/>
                <w:sz w:val="24"/>
              </w:rPr>
            </w:pPr>
            <w:r>
              <w:rPr>
                <w:rFonts w:hint="eastAsia" w:ascii="宋体" w:hAnsi="宋体" w:cs="宋体"/>
                <w:b/>
                <w:bCs/>
                <w:sz w:val="24"/>
              </w:rPr>
              <w:t>b.“电子加密投标文件”成功上传递交后，供应商可自行打印投标文件接收回执。</w:t>
            </w:r>
          </w:p>
          <w:p>
            <w:pPr>
              <w:spacing w:line="600" w:lineRule="exact"/>
              <w:jc w:val="left"/>
              <w:rPr>
                <w:rFonts w:hint="eastAsia" w:ascii="宋体" w:hAnsi="宋体" w:cs="宋体"/>
                <w:b/>
                <w:bCs/>
                <w:sz w:val="24"/>
              </w:rPr>
            </w:pPr>
            <w:r>
              <w:rPr>
                <w:rFonts w:hint="eastAsia" w:ascii="宋体" w:hAnsi="宋体" w:cs="宋体"/>
                <w:b/>
                <w:bCs/>
                <w:sz w:val="24"/>
              </w:rPr>
              <w:t>（2）“备份投标文件”的密封包装、递交：</w:t>
            </w:r>
          </w:p>
          <w:p>
            <w:pPr>
              <w:spacing w:line="600" w:lineRule="exact"/>
              <w:jc w:val="left"/>
              <w:rPr>
                <w:rFonts w:hint="eastAsia" w:ascii="宋体" w:hAnsi="宋体" w:cs="宋体"/>
                <w:b/>
                <w:bCs/>
                <w:sz w:val="24"/>
              </w:rPr>
            </w:pPr>
            <w:r>
              <w:rPr>
                <w:rFonts w:hint="eastAsia" w:ascii="宋体" w:hAnsi="宋体" w:cs="宋体"/>
                <w:b/>
                <w:bCs/>
                <w:sz w:val="24"/>
              </w:rPr>
              <w:t>a.投标供应商在“政府采购云平台”完成“电子加密投标文件”的上传递交后，还可以（EMS邮寄形式）在投标截止时间前递交以介质（U盘）存储的 “备份投标文件”（一份）；</w:t>
            </w:r>
          </w:p>
          <w:p>
            <w:pPr>
              <w:spacing w:line="600" w:lineRule="exact"/>
              <w:jc w:val="left"/>
              <w:rPr>
                <w:rFonts w:hint="eastAsia" w:ascii="宋体" w:hAnsi="宋体" w:cs="宋体"/>
                <w:b/>
                <w:bCs/>
                <w:sz w:val="24"/>
              </w:rPr>
            </w:pPr>
            <w:r>
              <w:rPr>
                <w:rFonts w:hint="eastAsia" w:ascii="宋体" w:hAnsi="宋体" w:cs="宋体"/>
                <w:b/>
                <w:bCs/>
                <w:sz w:val="24"/>
              </w:rPr>
              <w:t>b.“备份投标文件”应当密封包装，并在包装上标注投标项目名称、投标单位名称并加盖公章。没有密封包装或者逾期邮寄送达至投标地点的“备份投标文件”将不予接收；</w:t>
            </w:r>
          </w:p>
          <w:p>
            <w:pPr>
              <w:spacing w:line="600" w:lineRule="exact"/>
              <w:jc w:val="left"/>
              <w:rPr>
                <w:rFonts w:hint="eastAsia" w:ascii="宋体" w:hAnsi="宋体" w:cs="宋体"/>
                <w:sz w:val="24"/>
              </w:rPr>
            </w:pPr>
            <w:r>
              <w:rPr>
                <w:rFonts w:hint="eastAsia" w:ascii="宋体" w:hAnsi="宋体" w:cs="宋体"/>
                <w:b/>
                <w:bCs/>
                <w:sz w:val="24"/>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12</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sz w:val="24"/>
              </w:rPr>
            </w:pPr>
            <w:r>
              <w:rPr>
                <w:rFonts w:hint="eastAsia" w:ascii="宋体" w:hAnsi="宋体" w:cs="宋体"/>
                <w:sz w:val="24"/>
              </w:rPr>
              <w:t>电子加密投标文件的解密和异常情况处理：</w:t>
            </w:r>
          </w:p>
          <w:p>
            <w:pPr>
              <w:spacing w:line="600" w:lineRule="exact"/>
              <w:jc w:val="left"/>
              <w:rPr>
                <w:rFonts w:hint="eastAsia" w:ascii="宋体" w:hAnsi="宋体" w:cs="宋体"/>
                <w:sz w:val="24"/>
              </w:rPr>
            </w:pPr>
            <w:r>
              <w:rPr>
                <w:rFonts w:hint="eastAsia" w:ascii="宋体" w:hAnsi="宋体" w:cs="宋体"/>
                <w:sz w:val="24"/>
              </w:rPr>
              <w:t>（1）开标后，采购组织机构将向各投标供应商发出“电子加密投标文件”的解密通知，各投标供应商代表应当在接到解密通知后45分钟内自行完成“电子加密投标文件”的在线解密。</w:t>
            </w:r>
          </w:p>
          <w:p>
            <w:pPr>
              <w:spacing w:line="600" w:lineRule="exact"/>
              <w:jc w:val="left"/>
              <w:rPr>
                <w:rFonts w:hint="eastAsia" w:ascii="宋体" w:hAnsi="宋体" w:cs="宋体"/>
                <w:sz w:val="24"/>
              </w:rPr>
            </w:pPr>
            <w:r>
              <w:rPr>
                <w:rFonts w:hint="eastAsia" w:ascii="宋体" w:hAnsi="宋体" w:cs="宋体"/>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600" w:lineRule="exact"/>
              <w:jc w:val="left"/>
              <w:rPr>
                <w:rFonts w:hint="eastAsia" w:ascii="宋体" w:hAnsi="宋体" w:cs="宋体"/>
                <w:sz w:val="24"/>
              </w:rPr>
            </w:pPr>
            <w:r>
              <w:rPr>
                <w:rFonts w:hint="eastAsia" w:ascii="宋体" w:hAnsi="宋体" w:cs="宋体"/>
                <w:sz w:val="24"/>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13</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rPr>
                <w:rFonts w:hint="eastAsia" w:ascii="宋体" w:hAnsi="宋体" w:cs="宋体"/>
                <w:color w:val="FF0000"/>
                <w:sz w:val="24"/>
              </w:rPr>
            </w:pPr>
            <w:r>
              <w:rPr>
                <w:rFonts w:hint="eastAsia" w:ascii="宋体" w:hAnsi="宋体" w:cs="宋体"/>
                <w:sz w:val="24"/>
              </w:rPr>
              <w:t>投标截止时间：详见公告。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14</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color w:val="FF0000"/>
                <w:sz w:val="24"/>
              </w:rPr>
            </w:pPr>
            <w:r>
              <w:rPr>
                <w:rFonts w:hint="eastAsia" w:ascii="宋体" w:hAnsi="宋体" w:cs="宋体"/>
                <w:sz w:val="24"/>
              </w:rPr>
              <w:t>投标地点：详见公告。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auto" w:sz="4"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15</w:t>
            </w:r>
          </w:p>
        </w:tc>
        <w:tc>
          <w:tcPr>
            <w:tcW w:w="8673" w:type="dxa"/>
            <w:gridSpan w:val="2"/>
            <w:tcBorders>
              <w:top w:val="single" w:color="000000" w:sz="2" w:space="0"/>
              <w:left w:val="single" w:color="000000" w:sz="2" w:space="0"/>
              <w:bottom w:val="single" w:color="auto" w:sz="4" w:space="0"/>
              <w:right w:val="single" w:color="000000" w:sz="8" w:space="0"/>
            </w:tcBorders>
            <w:noWrap w:val="0"/>
            <w:vAlign w:val="center"/>
          </w:tcPr>
          <w:p>
            <w:pPr>
              <w:jc w:val="left"/>
              <w:rPr>
                <w:rFonts w:hint="eastAsia" w:ascii="宋体" w:hAnsi="宋体" w:cs="宋体"/>
                <w:sz w:val="24"/>
              </w:rPr>
            </w:pPr>
            <w:r>
              <w:rPr>
                <w:rFonts w:hint="eastAsia" w:ascii="宋体" w:hAnsi="宋体" w:cs="宋体"/>
                <w:sz w:val="24"/>
              </w:rPr>
              <w:t>开标时间和地点：同投标截止时间与地点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auto" w:sz="4" w:space="0"/>
              <w:left w:val="single" w:color="000000" w:sz="8" w:space="0"/>
              <w:bottom w:val="single" w:color="auto" w:sz="4"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16</w:t>
            </w:r>
          </w:p>
        </w:tc>
        <w:tc>
          <w:tcPr>
            <w:tcW w:w="8673" w:type="dxa"/>
            <w:gridSpan w:val="2"/>
            <w:tcBorders>
              <w:top w:val="single" w:color="auto" w:sz="4" w:space="0"/>
              <w:left w:val="single" w:color="000000" w:sz="2" w:space="0"/>
              <w:bottom w:val="single" w:color="auto" w:sz="4" w:space="0"/>
              <w:right w:val="single" w:color="000000" w:sz="8" w:space="0"/>
            </w:tcBorders>
            <w:noWrap w:val="0"/>
            <w:vAlign w:val="center"/>
          </w:tcPr>
          <w:p>
            <w:pPr>
              <w:jc w:val="left"/>
              <w:rPr>
                <w:rFonts w:hint="eastAsia" w:ascii="宋体" w:hAnsi="宋体" w:cs="宋体"/>
                <w:sz w:val="24"/>
              </w:rPr>
            </w:pPr>
            <w:r>
              <w:rPr>
                <w:rFonts w:hint="eastAsia" w:ascii="宋体" w:hAnsi="宋体" w:cs="宋体"/>
                <w:sz w:val="24"/>
              </w:rPr>
              <w:t>带“▲”条款系指实质性要求条款。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auto" w:sz="4" w:space="0"/>
              <w:left w:val="single" w:color="000000" w:sz="8" w:space="0"/>
              <w:bottom w:val="single" w:color="auto" w:sz="4"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17</w:t>
            </w:r>
          </w:p>
        </w:tc>
        <w:tc>
          <w:tcPr>
            <w:tcW w:w="8673" w:type="dxa"/>
            <w:gridSpan w:val="2"/>
            <w:tcBorders>
              <w:top w:val="single" w:color="auto" w:sz="4" w:space="0"/>
              <w:left w:val="single" w:color="000000" w:sz="2" w:space="0"/>
              <w:bottom w:val="single" w:color="auto" w:sz="4" w:space="0"/>
              <w:right w:val="single" w:color="000000" w:sz="8" w:space="0"/>
            </w:tcBorders>
            <w:noWrap w:val="0"/>
            <w:vAlign w:val="center"/>
          </w:tcPr>
          <w:p>
            <w:pPr>
              <w:spacing w:line="600" w:lineRule="exact"/>
              <w:jc w:val="left"/>
              <w:rPr>
                <w:rFonts w:hint="eastAsia" w:ascii="宋体" w:hAnsi="宋体" w:cs="宋体"/>
                <w:sz w:val="24"/>
              </w:rPr>
            </w:pPr>
            <w:r>
              <w:rPr>
                <w:rFonts w:hint="eastAsia" w:ascii="宋体" w:hAnsi="宋体" w:cs="宋体"/>
                <w:sz w:val="24"/>
              </w:rPr>
              <w:t>1、投标截止后，在投标有效期内，投标人不能撤销投标文件。投标人强行撤销投标文件的，应按预算金额的2%赔偿对招标代理机构造成的损失。</w:t>
            </w:r>
          </w:p>
          <w:p>
            <w:pPr>
              <w:spacing w:line="600" w:lineRule="exact"/>
              <w:jc w:val="left"/>
              <w:rPr>
                <w:rFonts w:hint="eastAsia" w:ascii="宋体" w:hAnsi="宋体" w:cs="宋体"/>
                <w:sz w:val="24"/>
              </w:rPr>
            </w:pPr>
            <w:r>
              <w:rPr>
                <w:rFonts w:hint="eastAsia" w:ascii="宋体" w:hAnsi="宋体" w:cs="宋体"/>
                <w:sz w:val="24"/>
              </w:rPr>
              <w:t>2、中标后，投标人拒绝签订合同的，招标人可以按照评审报告推荐的中标候选人名单排序，确定下一候选人为中标供应商，也可以重新开展政府采购活动。投标人中标后拒绝签订合同的，应按预算金额的2%对招标人进行赔偿；赔偿金额不足以弥补招标人损失的，投标人应继续承担超过部分的损失。</w:t>
            </w:r>
          </w:p>
          <w:p>
            <w:pPr>
              <w:spacing w:line="600" w:lineRule="exact"/>
              <w:jc w:val="left"/>
              <w:rPr>
                <w:rFonts w:hint="eastAsia" w:ascii="宋体" w:hAnsi="宋体" w:cs="宋体"/>
                <w:sz w:val="24"/>
              </w:rPr>
            </w:pPr>
            <w:r>
              <w:rPr>
                <w:rFonts w:hint="eastAsia" w:ascii="宋体" w:hAnsi="宋体" w:cs="宋体"/>
                <w:sz w:val="24"/>
              </w:rPr>
              <w:t>3、存在下列行为的，招标代理机构将其失信行为上报政府采购主管部门，由主管部门按有关规定对其违法失信行为记录进行公开：</w:t>
            </w:r>
          </w:p>
          <w:p>
            <w:pPr>
              <w:spacing w:line="600" w:lineRule="exact"/>
              <w:jc w:val="left"/>
              <w:rPr>
                <w:rFonts w:hint="eastAsia" w:ascii="宋体" w:hAnsi="宋体" w:cs="宋体"/>
                <w:sz w:val="24"/>
              </w:rPr>
            </w:pPr>
            <w:r>
              <w:rPr>
                <w:rFonts w:hint="eastAsia" w:ascii="宋体" w:hAnsi="宋体" w:cs="宋体"/>
                <w:sz w:val="24"/>
              </w:rPr>
              <w:t>（1）中标或者成交后，拒绝签订政府采购合同的；</w:t>
            </w:r>
          </w:p>
          <w:p>
            <w:pPr>
              <w:spacing w:line="600" w:lineRule="exact"/>
              <w:jc w:val="left"/>
              <w:rPr>
                <w:rFonts w:hint="eastAsia" w:ascii="宋体" w:hAnsi="宋体" w:cs="宋体"/>
                <w:sz w:val="24"/>
              </w:rPr>
            </w:pPr>
            <w:r>
              <w:rPr>
                <w:rFonts w:hint="eastAsia" w:ascii="宋体" w:hAnsi="宋体" w:cs="宋体"/>
                <w:sz w:val="24"/>
              </w:rPr>
              <w:t>（2）投标有效期内撤销投标文件的。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auto" w:sz="4" w:space="0"/>
              <w:left w:val="single" w:color="000000" w:sz="8" w:space="0"/>
              <w:bottom w:val="single" w:color="auto" w:sz="4"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18</w:t>
            </w:r>
          </w:p>
        </w:tc>
        <w:tc>
          <w:tcPr>
            <w:tcW w:w="8673" w:type="dxa"/>
            <w:gridSpan w:val="2"/>
            <w:tcBorders>
              <w:top w:val="single" w:color="auto" w:sz="4" w:space="0"/>
              <w:left w:val="single" w:color="000000" w:sz="2" w:space="0"/>
              <w:bottom w:val="single" w:color="auto" w:sz="4" w:space="0"/>
              <w:right w:val="single" w:color="000000" w:sz="8" w:space="0"/>
            </w:tcBorders>
            <w:noWrap w:val="0"/>
            <w:vAlign w:val="center"/>
          </w:tcPr>
          <w:p>
            <w:pPr>
              <w:spacing w:line="600" w:lineRule="exact"/>
              <w:jc w:val="left"/>
              <w:rPr>
                <w:rFonts w:hint="eastAsia" w:ascii="宋体" w:hAnsi="宋体" w:cs="宋体"/>
                <w:sz w:val="24"/>
              </w:rPr>
            </w:pPr>
            <w:r>
              <w:rPr>
                <w:rFonts w:hint="eastAsia" w:ascii="宋体" w:hAnsi="宋体" w:cs="宋体"/>
                <w:sz w:val="24"/>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19</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sz w:val="24"/>
              </w:rPr>
            </w:pPr>
            <w:r>
              <w:rPr>
                <w:rFonts w:hint="eastAsia" w:ascii="宋体" w:hAnsi="宋体" w:cs="宋体"/>
                <w:sz w:val="24"/>
              </w:rPr>
              <w:t>潜在供应商需在浙江政府采购网</w:t>
            </w:r>
            <w:r>
              <w:rPr>
                <w:rFonts w:hint="eastAsia" w:ascii="宋体" w:hAnsi="宋体" w:cs="宋体"/>
                <w:sz w:val="24"/>
              </w:rPr>
              <w:drawing>
                <wp:inline distT="0" distB="0" distL="114300" distR="114300">
                  <wp:extent cx="189865" cy="142240"/>
                  <wp:effectExtent l="0" t="0" r="635" b="1016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9"/>
                          <a:stretch>
                            <a:fillRect/>
                          </a:stretch>
                        </pic:blipFill>
                        <pic:spPr>
                          <a:xfrm>
                            <a:off x="0" y="0"/>
                            <a:ext cx="189865" cy="142240"/>
                          </a:xfrm>
                          <a:prstGeom prst="rect">
                            <a:avLst/>
                          </a:prstGeom>
                          <a:noFill/>
                          <a:ln>
                            <a:noFill/>
                          </a:ln>
                        </pic:spPr>
                      </pic:pic>
                    </a:graphicData>
                  </a:graphic>
                </wp:inline>
              </w:drawing>
            </w:r>
            <w:r>
              <w:rPr>
                <w:rFonts w:hint="eastAsia" w:ascii="宋体" w:hAnsi="宋体" w:cs="宋体"/>
                <w:sz w:val="24"/>
              </w:rPr>
              <w:t>http://www.ccgp-zhejiang.gov.cn/进行免费注册，具体详见浙江政府采购网供应商注册要求。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20</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sz w:val="24"/>
              </w:rPr>
            </w:pPr>
            <w:r>
              <w:rPr>
                <w:rFonts w:hint="eastAsia" w:ascii="宋体" w:hAnsi="宋体" w:cs="宋体"/>
                <w:sz w:val="24"/>
              </w:rPr>
              <w:t>1、本项目对符合财政扶持政策的中小企业（小型、微型）、监狱企业、残疾人福利性单位给予价格优惠扶持，价格优惠扶持见《第三章 评分办法》。</w:t>
            </w:r>
          </w:p>
          <w:p>
            <w:pPr>
              <w:spacing w:line="600" w:lineRule="exact"/>
              <w:jc w:val="left"/>
              <w:rPr>
                <w:rFonts w:hint="eastAsia" w:ascii="宋体" w:hAnsi="宋体" w:cs="宋体"/>
                <w:sz w:val="24"/>
              </w:rPr>
            </w:pPr>
            <w:r>
              <w:rPr>
                <w:rFonts w:hint="eastAsia" w:ascii="宋体" w:hAnsi="宋体" w:cs="宋体"/>
                <w:sz w:val="24"/>
              </w:rPr>
              <w:t>2、满足转发财政部 工业和信息化部关于印发《政府采购促进中小企业发展暂行办法》的通知（浙财采监[2012]11号）的规定的中小企业可享受优惠扶持。</w:t>
            </w:r>
          </w:p>
          <w:p>
            <w:pPr>
              <w:spacing w:line="600" w:lineRule="exact"/>
              <w:jc w:val="left"/>
              <w:rPr>
                <w:rFonts w:hint="eastAsia" w:ascii="宋体" w:hAnsi="宋体" w:cs="宋体"/>
                <w:sz w:val="24"/>
              </w:rPr>
            </w:pPr>
            <w:r>
              <w:rPr>
                <w:rFonts w:hint="eastAsia" w:ascii="宋体" w:hAnsi="宋体" w:cs="宋体"/>
                <w:sz w:val="24"/>
              </w:rPr>
              <w:t>满足关于政府采购支持监狱企业发展有关问题的通知（财库[2014]68号）的规定的供应商可享受优惠扶持。</w:t>
            </w:r>
          </w:p>
          <w:p>
            <w:pPr>
              <w:spacing w:line="600" w:lineRule="exact"/>
              <w:jc w:val="left"/>
              <w:rPr>
                <w:rFonts w:hint="eastAsia" w:ascii="宋体" w:hAnsi="宋体" w:cs="宋体"/>
                <w:sz w:val="24"/>
              </w:rPr>
            </w:pPr>
            <w:r>
              <w:rPr>
                <w:rFonts w:hint="eastAsia" w:ascii="宋体" w:hAnsi="宋体" w:cs="宋体"/>
                <w:sz w:val="24"/>
              </w:rPr>
              <w:t>满足关于促进残疾人就业政府采购政策的通知（财库[2017]141号）的规定的供应商可享受优惠扶持。</w:t>
            </w:r>
          </w:p>
          <w:p>
            <w:pPr>
              <w:spacing w:line="600" w:lineRule="exact"/>
              <w:jc w:val="left"/>
              <w:rPr>
                <w:rFonts w:hint="eastAsia" w:ascii="宋体" w:hAnsi="宋体" w:cs="宋体"/>
                <w:sz w:val="24"/>
              </w:rPr>
            </w:pPr>
            <w:r>
              <w:rPr>
                <w:rFonts w:hint="eastAsia" w:ascii="宋体" w:hAnsi="宋体" w:cs="宋体"/>
                <w:sz w:val="24"/>
              </w:rPr>
              <w:t>3、节能产品、环境标志产品的强制采购政策</w:t>
            </w:r>
          </w:p>
          <w:p>
            <w:pPr>
              <w:spacing w:line="600" w:lineRule="exact"/>
              <w:jc w:val="left"/>
              <w:rPr>
                <w:rFonts w:hint="eastAsia" w:ascii="宋体" w:hAnsi="宋体" w:cs="宋体"/>
                <w:sz w:val="24"/>
              </w:rPr>
            </w:pPr>
            <w:r>
              <w:rPr>
                <w:rFonts w:hint="eastAsia" w:ascii="宋体" w:hAnsi="宋体" w:cs="宋体"/>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spacing w:line="600" w:lineRule="exact"/>
              <w:jc w:val="left"/>
              <w:rPr>
                <w:rFonts w:hint="eastAsia" w:ascii="宋体" w:hAnsi="宋体" w:cs="宋体"/>
                <w:sz w:val="24"/>
              </w:rPr>
            </w:pPr>
            <w:r>
              <w:rPr>
                <w:rFonts w:hint="eastAsia" w:ascii="宋体" w:hAnsi="宋体" w:cs="宋体"/>
                <w:sz w:val="24"/>
              </w:rPr>
              <w:t>4、节能产品、环境标志产品的优先采购政策</w:t>
            </w:r>
          </w:p>
          <w:p>
            <w:pPr>
              <w:spacing w:line="600" w:lineRule="exact"/>
              <w:jc w:val="left"/>
              <w:rPr>
                <w:rFonts w:hint="eastAsia" w:ascii="宋体" w:hAnsi="宋体" w:cs="宋体"/>
                <w:sz w:val="24"/>
              </w:rPr>
            </w:pPr>
            <w:r>
              <w:rPr>
                <w:rFonts w:hint="eastAsia" w:ascii="宋体" w:hAnsi="宋体" w:cs="宋体"/>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21</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sz w:val="24"/>
              </w:rPr>
            </w:pPr>
            <w:r>
              <w:rPr>
                <w:rFonts w:hint="eastAsia" w:ascii="宋体" w:hAnsi="宋体" w:cs="宋体"/>
                <w:sz w:val="24"/>
              </w:rPr>
              <w:t>根据《关于在政府采购活动中查询及使用信用记录有关问题的通知》财库[2016]125号的规定：</w:t>
            </w:r>
          </w:p>
          <w:p>
            <w:pPr>
              <w:spacing w:line="600" w:lineRule="exact"/>
              <w:jc w:val="left"/>
              <w:rPr>
                <w:rFonts w:hint="eastAsia" w:ascii="宋体" w:hAnsi="宋体" w:cs="宋体"/>
                <w:sz w:val="24"/>
              </w:rPr>
            </w:pPr>
            <w:r>
              <w:rPr>
                <w:rFonts w:hint="eastAsia" w:ascii="宋体" w:hAnsi="宋体" w:cs="宋体"/>
                <w:sz w:val="24"/>
              </w:rPr>
              <w:t>（1）采购人或采购代理机构将对本项目供应商的信用记录进行查询。查询渠道为信用中国网站（www.creditchina.gov.cn）、中国政府采购网（www.ccgp.gov.cn）；</w:t>
            </w:r>
          </w:p>
          <w:p>
            <w:pPr>
              <w:spacing w:line="600" w:lineRule="exact"/>
              <w:jc w:val="left"/>
              <w:rPr>
                <w:rFonts w:hint="eastAsia" w:ascii="宋体" w:hAnsi="宋体" w:cs="宋体"/>
                <w:sz w:val="24"/>
              </w:rPr>
            </w:pPr>
            <w:r>
              <w:rPr>
                <w:rFonts w:hint="eastAsia" w:ascii="宋体" w:hAnsi="宋体" w:cs="宋体"/>
                <w:sz w:val="24"/>
              </w:rPr>
              <w:t>（2）截止时点：提交投标文件（响应文件）截止时间前3年内；</w:t>
            </w:r>
          </w:p>
          <w:p>
            <w:pPr>
              <w:spacing w:line="600" w:lineRule="exact"/>
              <w:jc w:val="left"/>
              <w:rPr>
                <w:rFonts w:hint="eastAsia" w:ascii="宋体" w:hAnsi="宋体" w:cs="宋体"/>
                <w:sz w:val="24"/>
              </w:rPr>
            </w:pPr>
            <w:r>
              <w:rPr>
                <w:rFonts w:hint="eastAsia" w:ascii="宋体" w:hAnsi="宋体" w:cs="宋体"/>
                <w:sz w:val="24"/>
              </w:rPr>
              <w:t>（3）查询记录和证据的留存：信用信息查询记录和证据以网页截图等方式留存。</w:t>
            </w:r>
          </w:p>
          <w:p>
            <w:pPr>
              <w:spacing w:line="600" w:lineRule="exact"/>
              <w:jc w:val="left"/>
              <w:rPr>
                <w:rFonts w:hint="eastAsia" w:ascii="宋体" w:hAnsi="宋体" w:cs="宋体"/>
                <w:sz w:val="24"/>
              </w:rPr>
            </w:pPr>
            <w:r>
              <w:rPr>
                <w:rFonts w:hint="eastAsia" w:ascii="宋体" w:hAnsi="宋体" w:cs="宋体"/>
                <w:sz w:val="24"/>
              </w:rPr>
              <w:t>（4）使用规则：被列入失信被执行人、重大税收违法案件当事人名单、政府采购严重违法失信行为记录名单及其它不符合《中华人民共和国政府采购法》第二十二条规定条件的，其投标将被拒绝。</w:t>
            </w:r>
          </w:p>
          <w:p>
            <w:pPr>
              <w:spacing w:line="600" w:lineRule="exact"/>
              <w:jc w:val="left"/>
              <w:rPr>
                <w:rFonts w:hint="eastAsia" w:ascii="宋体" w:hAnsi="宋体" w:cs="宋体"/>
                <w:sz w:val="24"/>
              </w:rPr>
            </w:pPr>
            <w:r>
              <w:rPr>
                <w:rFonts w:hint="eastAsia" w:ascii="宋体" w:hAnsi="宋体" w:cs="宋体"/>
                <w:sz w:val="24"/>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22</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sz w:val="24"/>
              </w:rPr>
            </w:pPr>
            <w:r>
              <w:rPr>
                <w:rFonts w:hint="eastAsia" w:ascii="宋体" w:hAnsi="宋体" w:cs="宋体"/>
                <w:sz w:val="24"/>
              </w:rPr>
              <w:t>中标单位在中标公示结束后再递交与电子加密投标文件内容一致的书面投标文件（正本一份，副本四份）。</w:t>
            </w:r>
          </w:p>
        </w:tc>
      </w:tr>
    </w:tbl>
    <w:p>
      <w:pPr>
        <w:shd w:val="clear" w:color="auto" w:fill="FFFFFF"/>
        <w:snapToGrid w:val="0"/>
        <w:spacing w:line="360" w:lineRule="auto"/>
        <w:jc w:val="center"/>
        <w:outlineLvl w:val="1"/>
        <w:rPr>
          <w:rFonts w:hint="eastAsia" w:ascii="宋体" w:hAnsi="宋体" w:cs="宋体"/>
          <w:b/>
          <w:bCs/>
          <w:color w:val="000000"/>
          <w:sz w:val="24"/>
        </w:rPr>
      </w:pPr>
      <w:r>
        <w:rPr>
          <w:rFonts w:hint="eastAsia" w:ascii="宋体" w:hAnsi="宋体" w:cs="宋体"/>
          <w:color w:val="000000"/>
          <w:kern w:val="0"/>
          <w:sz w:val="24"/>
        </w:rPr>
        <w:br w:type="page"/>
      </w:r>
      <w:bookmarkEnd w:id="38"/>
      <w:bookmarkStart w:id="46" w:name="_Toc233618972"/>
      <w:bookmarkStart w:id="47" w:name="_Toc354996696"/>
      <w:bookmarkStart w:id="48" w:name="_Toc5313"/>
      <w:bookmarkStart w:id="49" w:name="_Toc225840109"/>
      <w:bookmarkStart w:id="50" w:name="_Toc226106516"/>
      <w:bookmarkStart w:id="51" w:name="_Toc226521904"/>
      <w:bookmarkStart w:id="52" w:name="_Toc226106467"/>
      <w:r>
        <w:rPr>
          <w:rFonts w:hint="eastAsia" w:ascii="宋体" w:hAnsi="宋体" w:cs="宋体"/>
          <w:b/>
          <w:bCs/>
          <w:color w:val="000000"/>
          <w:sz w:val="24"/>
        </w:rPr>
        <w:t>一、总 则</w:t>
      </w:r>
      <w:bookmarkEnd w:id="46"/>
      <w:bookmarkEnd w:id="47"/>
      <w:bookmarkEnd w:id="48"/>
    </w:p>
    <w:p>
      <w:pPr>
        <w:snapToGrid w:val="0"/>
        <w:spacing w:line="360" w:lineRule="auto"/>
        <w:rPr>
          <w:rFonts w:hint="eastAsia" w:ascii="宋体" w:hAnsi="宋体" w:cs="宋体"/>
          <w:b/>
          <w:color w:val="000000"/>
          <w:sz w:val="24"/>
        </w:rPr>
      </w:pPr>
      <w:bookmarkStart w:id="53" w:name="_Toc91899872"/>
      <w:bookmarkStart w:id="54" w:name="_Hlt74730208"/>
      <w:bookmarkStart w:id="55" w:name="_Hlt74730112"/>
      <w:bookmarkStart w:id="56" w:name="_Toc354996697"/>
      <w:bookmarkStart w:id="57" w:name="_Toc233618973"/>
      <w:r>
        <w:rPr>
          <w:rFonts w:hint="eastAsia" w:ascii="宋体" w:hAnsi="宋体" w:cs="宋体"/>
          <w:b/>
          <w:color w:val="000000"/>
          <w:sz w:val="24"/>
        </w:rPr>
        <w:t>（一）项目说明</w:t>
      </w:r>
      <w:bookmarkEnd w:id="53"/>
    </w:p>
    <w:p>
      <w:pPr>
        <w:pStyle w:val="282"/>
        <w:snapToGrid w:val="0"/>
        <w:ind w:firstLine="480"/>
        <w:rPr>
          <w:rFonts w:hint="eastAsia"/>
          <w:color w:val="000000"/>
        </w:rPr>
      </w:pPr>
      <w:r>
        <w:rPr>
          <w:rFonts w:hint="eastAsia"/>
          <w:color w:val="000000"/>
        </w:rPr>
        <w:t>1、项目说明见投标须知前附表(以下称“前附表”)第1项所述。</w:t>
      </w:r>
    </w:p>
    <w:p>
      <w:pPr>
        <w:pStyle w:val="282"/>
        <w:tabs>
          <w:tab w:val="left" w:pos="6510"/>
        </w:tabs>
        <w:snapToGrid w:val="0"/>
        <w:ind w:firstLine="480"/>
        <w:rPr>
          <w:rFonts w:hint="eastAsia"/>
          <w:color w:val="000000"/>
        </w:rPr>
      </w:pPr>
      <w:r>
        <w:rPr>
          <w:rFonts w:hint="eastAsia"/>
          <w:color w:val="000000"/>
        </w:rPr>
        <w:t>2、采购单位</w:t>
      </w:r>
      <w:r>
        <w:rPr>
          <w:rFonts w:hint="eastAsia"/>
          <w:b/>
          <w:bCs/>
          <w:u w:val="single"/>
        </w:rPr>
        <w:t>杭州市余杭区人民政府良渚街道办事处</w:t>
      </w:r>
      <w:r>
        <w:rPr>
          <w:rFonts w:hint="eastAsia"/>
          <w:color w:val="000000"/>
        </w:rPr>
        <w:t>为本项目的招标人（合同中的甲方），</w:t>
      </w:r>
      <w:r>
        <w:rPr>
          <w:rFonts w:hint="eastAsia"/>
          <w:b/>
          <w:bCs/>
          <w:color w:val="000000"/>
          <w:u w:val="single"/>
        </w:rPr>
        <w:t>杭州益嘉工程咨询代理有限公司</w:t>
      </w:r>
      <w:r>
        <w:rPr>
          <w:rFonts w:hint="eastAsia"/>
          <w:color w:val="000000"/>
        </w:rPr>
        <w:t>为招标代理机构，杭州市余杭区财政局为政府采购监督管理部门，自愿参加本次项目投标的法人、其他组织为投标人，经评审产生并经批准的投标人为中标人，签订合同后的中标人为供应商(合同中的乙方)。</w:t>
      </w:r>
    </w:p>
    <w:p>
      <w:pPr>
        <w:pStyle w:val="282"/>
        <w:snapToGrid w:val="0"/>
        <w:ind w:firstLine="480"/>
        <w:rPr>
          <w:rFonts w:hint="eastAsia"/>
          <w:color w:val="000000"/>
        </w:rPr>
      </w:pPr>
      <w:r>
        <w:rPr>
          <w:rFonts w:hint="eastAsia"/>
          <w:color w:val="000000"/>
        </w:rPr>
        <w:t>3、投标人一旦参与本次招标活动，即被视为接受了本招标文件的所有内容，如有任何异议，均已在答疑截止时间前提出。</w:t>
      </w:r>
    </w:p>
    <w:p>
      <w:pPr>
        <w:tabs>
          <w:tab w:val="left" w:pos="3780"/>
        </w:tabs>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投标人须对所投产品、方案、技术、服务等拥有合法的占有和处置权，并对涉及项目的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cs="宋体"/>
          <w:color w:val="000000"/>
          <w:kern w:val="0"/>
          <w:sz w:val="24"/>
          <w:lang w:val="zh-CN"/>
        </w:rPr>
        <w:t>供应商</w:t>
      </w:r>
      <w:r>
        <w:rPr>
          <w:rFonts w:hint="eastAsia" w:ascii="宋体" w:hAnsi="宋体" w:cs="宋体"/>
          <w:color w:val="000000"/>
          <w:sz w:val="24"/>
        </w:rPr>
        <w:t>应承担相应后果，</w:t>
      </w:r>
      <w:r>
        <w:rPr>
          <w:rFonts w:hint="eastAsia" w:ascii="宋体" w:hAnsi="宋体" w:cs="宋体"/>
          <w:color w:val="000000"/>
          <w:kern w:val="0"/>
          <w:sz w:val="24"/>
          <w:lang w:val="zh-CN"/>
        </w:rPr>
        <w:t>并负责赔偿。</w:t>
      </w:r>
      <w:r>
        <w:rPr>
          <w:rFonts w:hint="eastAsia" w:ascii="宋体" w:hAnsi="宋体" w:cs="宋体"/>
          <w:color w:val="000000"/>
          <w:sz w:val="24"/>
        </w:rPr>
        <w:t>供应商为执行本项目合同而提供的技术资料等归招标人所有。</w:t>
      </w:r>
      <w:bookmarkStart w:id="58" w:name="_Toc91899873"/>
    </w:p>
    <w:p>
      <w:pPr>
        <w:tabs>
          <w:tab w:val="left" w:pos="3780"/>
        </w:tabs>
        <w:snapToGrid w:val="0"/>
        <w:spacing w:line="360" w:lineRule="auto"/>
        <w:rPr>
          <w:rFonts w:hint="eastAsia" w:ascii="宋体" w:hAnsi="宋体" w:cs="宋体"/>
          <w:b/>
          <w:color w:val="000000"/>
          <w:sz w:val="24"/>
        </w:rPr>
      </w:pPr>
      <w:r>
        <w:rPr>
          <w:rFonts w:hint="eastAsia" w:ascii="宋体" w:hAnsi="宋体" w:cs="宋体"/>
          <w:b/>
          <w:color w:val="000000"/>
          <w:sz w:val="24"/>
        </w:rPr>
        <w:t>（二）采购方式</w:t>
      </w:r>
      <w:bookmarkEnd w:id="58"/>
    </w:p>
    <w:p>
      <w:pPr>
        <w:pStyle w:val="282"/>
        <w:snapToGrid w:val="0"/>
        <w:ind w:firstLine="480"/>
        <w:rPr>
          <w:rFonts w:hint="eastAsia"/>
          <w:color w:val="000000"/>
        </w:rPr>
      </w:pPr>
      <w:r>
        <w:rPr>
          <w:rFonts w:hint="eastAsia"/>
          <w:color w:val="000000"/>
        </w:rPr>
        <w:t>公开招标。</w:t>
      </w:r>
      <w:bookmarkEnd w:id="54"/>
      <w:bookmarkEnd w:id="55"/>
      <w:bookmarkStart w:id="59" w:name="_Hlt68516771"/>
      <w:bookmarkEnd w:id="59"/>
      <w:bookmarkStart w:id="60" w:name="_Hlt74388212"/>
      <w:bookmarkEnd w:id="60"/>
    </w:p>
    <w:p>
      <w:pPr>
        <w:snapToGrid w:val="0"/>
        <w:spacing w:line="360" w:lineRule="auto"/>
        <w:rPr>
          <w:rFonts w:hint="eastAsia" w:ascii="宋体" w:hAnsi="宋体" w:cs="宋体"/>
          <w:b/>
          <w:color w:val="000000"/>
          <w:sz w:val="24"/>
        </w:rPr>
      </w:pPr>
      <w:bookmarkStart w:id="61" w:name="_Toc91899877"/>
      <w:bookmarkStart w:id="62" w:name="_Hlt74730303"/>
      <w:r>
        <w:rPr>
          <w:rFonts w:hint="eastAsia" w:ascii="宋体" w:hAnsi="宋体" w:cs="宋体"/>
          <w:b/>
          <w:color w:val="000000"/>
          <w:sz w:val="24"/>
        </w:rPr>
        <w:t>（三）</w:t>
      </w:r>
      <w:r>
        <w:rPr>
          <w:rFonts w:hint="eastAsia" w:ascii="宋体" w:hAnsi="宋体" w:cs="宋体"/>
          <w:b/>
          <w:color w:val="000000"/>
          <w:kern w:val="0"/>
          <w:sz w:val="24"/>
          <w:lang w:val="zh-CN"/>
        </w:rPr>
        <w:t>定义</w:t>
      </w:r>
    </w:p>
    <w:p>
      <w:pPr>
        <w:snapToGrid w:val="0"/>
        <w:spacing w:line="360" w:lineRule="auto"/>
        <w:ind w:firstLine="481"/>
        <w:rPr>
          <w:rFonts w:hint="eastAsia" w:ascii="宋体" w:hAnsi="宋体" w:cs="宋体"/>
          <w:color w:val="000000"/>
          <w:kern w:val="0"/>
          <w:sz w:val="24"/>
          <w:lang w:val="zh-CN"/>
        </w:rPr>
      </w:pPr>
      <w:r>
        <w:rPr>
          <w:rFonts w:hint="eastAsia" w:ascii="宋体" w:hAnsi="宋体" w:cs="宋体"/>
          <w:b/>
          <w:color w:val="000000"/>
          <w:kern w:val="0"/>
          <w:sz w:val="24"/>
          <w:lang w:val="zh-CN"/>
        </w:rPr>
        <w:t>1、合格的投标人应具备的资格要求，</w:t>
      </w:r>
      <w:r>
        <w:rPr>
          <w:rFonts w:hint="eastAsia" w:ascii="宋体" w:hAnsi="宋体" w:cs="宋体"/>
          <w:color w:val="000000"/>
          <w:kern w:val="0"/>
          <w:sz w:val="24"/>
          <w:lang w:val="zh-CN"/>
        </w:rPr>
        <w:t>见招标文件第一部分“招标公告”。</w:t>
      </w:r>
    </w:p>
    <w:p>
      <w:pPr>
        <w:tabs>
          <w:tab w:val="left" w:pos="0"/>
        </w:tabs>
        <w:autoSpaceDE w:val="0"/>
        <w:autoSpaceDN w:val="0"/>
        <w:snapToGrid w:val="0"/>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2、内容</w:t>
      </w:r>
    </w:p>
    <w:p>
      <w:pPr>
        <w:spacing w:line="360" w:lineRule="auto"/>
        <w:ind w:firstLine="482" w:firstLineChars="200"/>
        <w:rPr>
          <w:rFonts w:hint="eastAsia" w:ascii="宋体" w:hAnsi="宋体" w:cs="宋体"/>
          <w:color w:val="000000"/>
          <w:sz w:val="24"/>
        </w:rPr>
      </w:pPr>
      <w:r>
        <w:rPr>
          <w:rFonts w:hint="eastAsia"/>
          <w:b/>
          <w:bCs/>
          <w:sz w:val="24"/>
          <w:u w:val="single"/>
        </w:rPr>
        <w:t>杭州市余杭区人民政府良渚街道办事处</w:t>
      </w:r>
      <w:r>
        <w:rPr>
          <w:rFonts w:hint="eastAsia" w:ascii="宋体" w:hAnsi="宋体" w:cs="宋体"/>
          <w:color w:val="000000"/>
          <w:sz w:val="24"/>
        </w:rPr>
        <w:t>的</w:t>
      </w:r>
      <w:r>
        <w:rPr>
          <w:rFonts w:hint="eastAsia" w:ascii="宋体" w:hAnsi="宋体" w:cs="宋体"/>
          <w:b/>
          <w:bCs/>
          <w:sz w:val="24"/>
          <w:u w:val="single"/>
          <w:lang w:eastAsia="zh-CN"/>
        </w:rPr>
        <w:t>良渚街道物流等人口聚集区块维保服务外包项目</w:t>
      </w:r>
      <w:r>
        <w:rPr>
          <w:rFonts w:hint="eastAsia" w:ascii="宋体" w:hAnsi="宋体" w:cs="宋体"/>
          <w:color w:val="000000"/>
          <w:sz w:val="24"/>
        </w:rPr>
        <w:t>，具体详见“第三部分——项目技术规范和服务要求”。</w:t>
      </w:r>
    </w:p>
    <w:p>
      <w:pPr>
        <w:pStyle w:val="40"/>
        <w:snapToGrid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（四）投标费用</w:t>
      </w:r>
    </w:p>
    <w:p>
      <w:pPr>
        <w:snapToGrid w:val="0"/>
        <w:spacing w:line="360" w:lineRule="auto"/>
        <w:ind w:firstLine="523" w:firstLineChars="218"/>
        <w:rPr>
          <w:rFonts w:hint="eastAsia" w:ascii="宋体" w:hAnsi="宋体" w:cs="宋体"/>
          <w:color w:val="000000"/>
          <w:sz w:val="24"/>
          <w:lang w:val="zh-CN"/>
        </w:rPr>
      </w:pPr>
      <w:r>
        <w:rPr>
          <w:rFonts w:hint="eastAsia" w:ascii="宋体" w:hAnsi="宋体" w:cs="宋体"/>
          <w:color w:val="000000"/>
          <w:sz w:val="24"/>
        </w:rPr>
        <w:t>投标人需自行承担涉及投标的一切税、费用</w:t>
      </w:r>
      <w:r>
        <w:rPr>
          <w:rFonts w:hint="eastAsia" w:ascii="宋体" w:hAnsi="宋体" w:cs="宋体"/>
          <w:color w:val="000000"/>
          <w:sz w:val="24"/>
          <w:lang w:val="zh-CN"/>
        </w:rPr>
        <w:t>。</w:t>
      </w:r>
      <w:bookmarkEnd w:id="61"/>
      <w:bookmarkEnd w:id="62"/>
    </w:p>
    <w:p>
      <w:pPr>
        <w:shd w:val="clear" w:color="auto" w:fill="FFFFFF"/>
        <w:snapToGrid w:val="0"/>
        <w:spacing w:line="360" w:lineRule="auto"/>
        <w:jc w:val="center"/>
        <w:outlineLvl w:val="1"/>
        <w:rPr>
          <w:rFonts w:hint="eastAsia" w:ascii="宋体" w:hAnsi="宋体" w:cs="宋体"/>
          <w:b/>
          <w:bCs/>
          <w:color w:val="000000"/>
          <w:sz w:val="24"/>
        </w:rPr>
      </w:pPr>
      <w:bookmarkStart w:id="63" w:name="_Toc22969"/>
      <w:bookmarkStart w:id="64" w:name="_Toc1199"/>
      <w:bookmarkStart w:id="65" w:name="_Toc31909"/>
      <w:r>
        <w:rPr>
          <w:rFonts w:hint="eastAsia" w:ascii="宋体" w:hAnsi="宋体" w:cs="宋体"/>
          <w:b/>
          <w:bCs/>
          <w:color w:val="000000"/>
          <w:sz w:val="24"/>
        </w:rPr>
        <w:t>二、招标文件</w:t>
      </w:r>
      <w:bookmarkEnd w:id="56"/>
      <w:bookmarkEnd w:id="57"/>
      <w:bookmarkEnd w:id="63"/>
      <w:bookmarkEnd w:id="64"/>
      <w:bookmarkEnd w:id="65"/>
    </w:p>
    <w:p>
      <w:pPr>
        <w:shd w:val="clear" w:color="auto" w:fill="FFFFFF"/>
        <w:snapToGrid w:val="0"/>
        <w:spacing w:line="360" w:lineRule="auto"/>
        <w:rPr>
          <w:rFonts w:hint="eastAsia" w:ascii="宋体" w:hAnsi="宋体" w:cs="宋体"/>
          <w:b/>
          <w:bCs/>
          <w:color w:val="000000"/>
          <w:sz w:val="24"/>
        </w:rPr>
      </w:pPr>
      <w:bookmarkStart w:id="66" w:name="_Toc91899880"/>
      <w:bookmarkStart w:id="67" w:name="_Hlt74730307"/>
      <w:r>
        <w:rPr>
          <w:rFonts w:hint="eastAsia" w:ascii="宋体" w:hAnsi="宋体" w:cs="宋体"/>
          <w:b/>
          <w:bCs/>
          <w:color w:val="000000"/>
          <w:sz w:val="24"/>
        </w:rPr>
        <w:t>（一）招标文件的构成</w:t>
      </w:r>
      <w:bookmarkEnd w:id="66"/>
    </w:p>
    <w:bookmarkEnd w:id="67"/>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、招标文件包括下列文件及附件</w:t>
      </w:r>
    </w:p>
    <w:p>
      <w:pPr>
        <w:shd w:val="clear" w:color="auto" w:fill="FFFFFF"/>
        <w:snapToGrid w:val="0"/>
        <w:spacing w:line="360" w:lineRule="auto"/>
        <w:ind w:left="480"/>
        <w:rPr>
          <w:rFonts w:hint="eastAsia" w:ascii="宋体" w:hAnsi="宋体" w:cs="宋体"/>
          <w:color w:val="000000"/>
          <w:sz w:val="24"/>
        </w:rPr>
      </w:pPr>
      <w:r>
        <w:rPr>
          <w:rFonts w:hint="eastAsia" w:ascii="宋体" w:hAnsi="宋体" w:cs="宋体"/>
          <w:color w:val="000000"/>
          <w:sz w:val="24"/>
        </w:rPr>
        <w:t>第一部分  招标公告</w:t>
      </w:r>
    </w:p>
    <w:p>
      <w:pPr>
        <w:shd w:val="clear" w:color="auto" w:fill="FFFFFF"/>
        <w:snapToGrid w:val="0"/>
        <w:spacing w:line="360" w:lineRule="auto"/>
        <w:ind w:left="480"/>
        <w:rPr>
          <w:rFonts w:hint="eastAsia" w:ascii="宋体" w:hAnsi="宋体" w:cs="宋体"/>
          <w:color w:val="000000"/>
          <w:sz w:val="24"/>
        </w:rPr>
      </w:pPr>
      <w:r>
        <w:rPr>
          <w:rFonts w:hint="eastAsia" w:ascii="宋体" w:hAnsi="宋体" w:cs="宋体"/>
          <w:color w:val="000000"/>
          <w:sz w:val="24"/>
        </w:rPr>
        <w:t>第二部分  编制和提交投标文件须知</w:t>
      </w:r>
    </w:p>
    <w:p>
      <w:pPr>
        <w:shd w:val="clear" w:color="auto" w:fill="FFFFFF"/>
        <w:snapToGrid w:val="0"/>
        <w:spacing w:line="360" w:lineRule="auto"/>
        <w:ind w:left="480"/>
        <w:rPr>
          <w:rFonts w:hint="eastAsia" w:ascii="宋体" w:hAnsi="宋体" w:cs="宋体"/>
          <w:color w:val="000000"/>
          <w:sz w:val="24"/>
        </w:rPr>
      </w:pPr>
      <w:r>
        <w:rPr>
          <w:rFonts w:hint="eastAsia" w:ascii="宋体" w:hAnsi="宋体" w:cs="宋体"/>
          <w:color w:val="000000"/>
          <w:sz w:val="24"/>
        </w:rPr>
        <w:t>第三部分  项目技术规范和服务要求</w:t>
      </w:r>
    </w:p>
    <w:p>
      <w:pPr>
        <w:shd w:val="clear" w:color="auto" w:fill="FFFFFF"/>
        <w:snapToGrid w:val="0"/>
        <w:spacing w:line="360" w:lineRule="auto"/>
        <w:ind w:left="480"/>
        <w:rPr>
          <w:rFonts w:hint="eastAsia" w:ascii="宋体" w:hAnsi="宋体" w:cs="宋体"/>
          <w:color w:val="000000"/>
          <w:sz w:val="24"/>
        </w:rPr>
      </w:pPr>
      <w:r>
        <w:rPr>
          <w:rFonts w:hint="eastAsia" w:ascii="宋体" w:hAnsi="宋体" w:cs="宋体"/>
          <w:color w:val="000000"/>
          <w:sz w:val="24"/>
        </w:rPr>
        <w:t>第四部分  合同主要条款</w:t>
      </w:r>
    </w:p>
    <w:p>
      <w:pPr>
        <w:shd w:val="clear" w:color="auto" w:fill="FFFFFF"/>
        <w:snapToGrid w:val="0"/>
        <w:spacing w:line="360" w:lineRule="auto"/>
        <w:ind w:left="480"/>
        <w:rPr>
          <w:rFonts w:hint="eastAsia" w:ascii="宋体" w:hAnsi="宋体" w:cs="宋体"/>
          <w:color w:val="000000"/>
          <w:sz w:val="24"/>
        </w:rPr>
      </w:pPr>
      <w:r>
        <w:rPr>
          <w:rFonts w:hint="eastAsia" w:ascii="宋体" w:hAnsi="宋体" w:cs="宋体"/>
          <w:color w:val="000000"/>
          <w:sz w:val="24"/>
        </w:rPr>
        <w:t>第五部分  应提交的有关格式范例</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投标人应认真审阅招标文件中所有的内容，包括编制和提交投标文件须知、项目技术规范和服务要求、采购合同主要条款、应提交的有关格式范例等。如果投标人编制的投标文件没有从实质上响应招标文件的要求，其投标文件将被拒绝。</w:t>
      </w:r>
    </w:p>
    <w:p>
      <w:pPr>
        <w:pStyle w:val="40"/>
        <w:snapToGrid w:val="0"/>
        <w:spacing w:line="360" w:lineRule="auto"/>
        <w:rPr>
          <w:rFonts w:hint="eastAsia" w:ascii="宋体" w:hAnsi="宋体" w:eastAsia="宋体" w:cs="宋体"/>
          <w:color w:val="000000"/>
          <w:sz w:val="24"/>
          <w:szCs w:val="24"/>
        </w:rPr>
      </w:pPr>
      <w:r>
        <w:rPr>
          <w:rFonts w:hint="eastAsia" w:ascii="宋体" w:hAnsi="宋体" w:eastAsia="宋体" w:cs="宋体"/>
          <w:b/>
          <w:color w:val="000000"/>
          <w:sz w:val="24"/>
          <w:szCs w:val="24"/>
        </w:rPr>
        <w:t>（二）招标文件的澄清</w:t>
      </w:r>
    </w:p>
    <w:p>
      <w:pPr>
        <w:tabs>
          <w:tab w:val="left" w:pos="3780"/>
        </w:tabs>
        <w:snapToGrid w:val="0"/>
        <w:spacing w:line="360" w:lineRule="auto"/>
        <w:ind w:firstLine="600" w:firstLineChars="25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投标人如认为招标文件使自身的合法权益受到损害的，应于自获取招标文件之日起七个工作日内（招标文件获取截止时间之后获取的，应于自招标文件获取截止时间之日起七个工作日内），且应当在投标响应截止时间之前以书面形式向采购代理机构提出，否则，采购代理机构可不予接受。</w:t>
      </w:r>
    </w:p>
    <w:p>
      <w:pPr>
        <w:tabs>
          <w:tab w:val="left" w:pos="3780"/>
        </w:tabs>
        <w:snapToGrid w:val="0"/>
        <w:spacing w:line="360" w:lineRule="auto"/>
        <w:ind w:firstLine="600" w:firstLineChars="25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、投标人一旦参与本次采购活动，即被视为接受了本招标文件的所有内容，如有任何异议，均已在答疑截止时间前提出。</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（三）招标文件的修改</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、招标文件澄清、答复、修改、补充的内容为招标文件的组成部分。当招标文件与招标文件的答复、澄清、修改、补充通知就同一内容的表述不一致时，以最后发出的文件为准。</w:t>
      </w:r>
    </w:p>
    <w:p>
      <w:pPr>
        <w:shd w:val="clear" w:color="auto" w:fill="FFFFFF"/>
        <w:snapToGrid w:val="0"/>
        <w:spacing w:line="360" w:lineRule="auto"/>
        <w:ind w:firstLine="480" w:firstLineChars="200"/>
        <w:rPr>
          <w:rFonts w:hint="eastAsia" w:ascii="宋体" w:hAnsi="宋体" w:cs="宋体"/>
          <w:color w:val="000000"/>
          <w:sz w:val="24"/>
          <w:lang w:val="zh-CN"/>
        </w:rPr>
      </w:pPr>
      <w:r>
        <w:rPr>
          <w:rFonts w:ascii="宋体" w:hAnsi="宋体" w:cs="宋体"/>
          <w:color w:val="000000"/>
          <w:sz w:val="24"/>
        </w:rPr>
        <w:t>2</w:t>
      </w:r>
      <w:r>
        <w:rPr>
          <w:rFonts w:hint="eastAsia" w:ascii="宋体" w:hAnsi="宋体" w:cs="宋体"/>
          <w:color w:val="000000"/>
          <w:sz w:val="24"/>
        </w:rPr>
        <w:t>、若有必要，招标代理机构将酌情延长递交投标文件的截止日期。</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（四）投标报价</w:t>
      </w:r>
    </w:p>
    <w:p>
      <w:pPr>
        <w:pStyle w:val="161"/>
        <w:snapToGrid w:val="0"/>
        <w:spacing w:before="0"/>
        <w:ind w:firstLine="480"/>
        <w:rPr>
          <w:rFonts w:ascii="宋体" w:hAnsi="宋体" w:eastAsia="宋体" w:cs="宋体"/>
          <w:color w:val="000000"/>
        </w:rPr>
      </w:pPr>
      <w:r>
        <w:rPr>
          <w:rFonts w:ascii="宋体" w:hAnsi="宋体" w:eastAsia="宋体" w:cs="宋体"/>
          <w:color w:val="000000"/>
        </w:rPr>
        <w:t>1</w:t>
      </w:r>
      <w:r>
        <w:rPr>
          <w:rFonts w:hint="eastAsia" w:ascii="宋体" w:hAnsi="宋体" w:eastAsia="宋体" w:cs="宋体"/>
          <w:color w:val="000000"/>
        </w:rPr>
        <w:t>、报价</w:t>
      </w:r>
    </w:p>
    <w:p>
      <w:pPr>
        <w:pStyle w:val="161"/>
        <w:snapToGrid w:val="0"/>
        <w:spacing w:before="0"/>
        <w:ind w:firstLine="480"/>
        <w:rPr>
          <w:rFonts w:hint="eastAsia" w:ascii="宋体" w:hAnsi="宋体" w:eastAsia="宋体" w:cs="宋体"/>
          <w:color w:val="000000"/>
        </w:rPr>
      </w:pPr>
      <w:r>
        <w:rPr>
          <w:rFonts w:hint="eastAsia" w:ascii="宋体" w:hAnsi="宋体" w:eastAsia="宋体" w:cs="宋体"/>
          <w:color w:val="000000"/>
        </w:rPr>
        <w:t>有关本项目所需的一切费用均计入报价。投标人应根据《开标一览表》填写相关内容。《开标一览表》是报价的唯一载体。</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、其它费用处理</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招标文件未列明，而投标人认为必需的费用也需列入报价。投标人在投标报价中应充分考虑所有可能发生的费用，否则招标人将视投标总价中已包括所有费用。</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3</w:t>
      </w:r>
      <w:r>
        <w:rPr>
          <w:rFonts w:hint="eastAsia" w:ascii="宋体" w:hAnsi="宋体" w:cs="宋体"/>
          <w:color w:val="000000"/>
          <w:sz w:val="24"/>
        </w:rPr>
        <w:t>、投标货币</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投标文件中价格全部采用人民币报价。报价应是唯一的，不接受有选择的报价。</w:t>
      </w:r>
    </w:p>
    <w:p>
      <w:pPr>
        <w:shd w:val="clear" w:color="auto" w:fill="FFFFFF"/>
        <w:snapToGrid w:val="0"/>
        <w:spacing w:line="360" w:lineRule="auto"/>
        <w:ind w:firstLine="480" w:firstLineChars="200"/>
        <w:textAlignment w:val="bottom"/>
        <w:rPr>
          <w:rFonts w:hint="eastAsia" w:ascii="宋体" w:hAnsi="宋体" w:cs="宋体"/>
          <w:color w:val="000000"/>
          <w:sz w:val="24"/>
        </w:rPr>
      </w:pPr>
      <w:r>
        <w:rPr>
          <w:rFonts w:ascii="宋体" w:hAnsi="宋体" w:cs="宋体"/>
          <w:color w:val="000000"/>
          <w:sz w:val="24"/>
        </w:rPr>
        <w:t>4</w:t>
      </w:r>
      <w:r>
        <w:rPr>
          <w:rFonts w:hint="eastAsia" w:ascii="宋体" w:hAnsi="宋体" w:cs="宋体"/>
          <w:color w:val="000000"/>
          <w:sz w:val="24"/>
        </w:rPr>
        <w:t>、投标人对在合同执行中，除上述费用及招标文件规定的由中标人负责的工作范围以外需要招标人协调或提供便利的工作应当在投标文件中说明。</w:t>
      </w:r>
    </w:p>
    <w:p>
      <w:pPr>
        <w:tabs>
          <w:tab w:val="left" w:pos="3780"/>
        </w:tabs>
        <w:snapToGrid w:val="0"/>
        <w:spacing w:line="360" w:lineRule="auto"/>
        <w:ind w:firstLine="480" w:firstLineChars="200"/>
        <w:rPr>
          <w:rFonts w:hint="eastAsia" w:ascii="宋体" w:hAnsi="宋体" w:cs="宋体"/>
          <w:color w:val="000000"/>
          <w:sz w:val="24"/>
        </w:rPr>
      </w:pPr>
      <w:r>
        <w:rPr>
          <w:rFonts w:ascii="宋体" w:hAnsi="宋体" w:cs="宋体"/>
          <w:color w:val="000000"/>
          <w:sz w:val="24"/>
        </w:rPr>
        <w:t>5</w:t>
      </w:r>
      <w:r>
        <w:rPr>
          <w:rFonts w:hint="eastAsia" w:ascii="宋体" w:hAnsi="宋体" w:cs="宋体"/>
          <w:color w:val="000000"/>
          <w:sz w:val="24"/>
        </w:rPr>
        <w:t>、其他注意事项：</w:t>
      </w:r>
      <w:r>
        <w:rPr>
          <w:rFonts w:hint="eastAsia" w:ascii="宋体" w:hAnsi="宋体" w:cs="宋体"/>
          <w:color w:val="000000"/>
          <w:sz w:val="24"/>
        </w:rPr>
        <w:br w:type="textWrapping"/>
      </w:r>
      <w:r>
        <w:rPr>
          <w:rFonts w:hint="eastAsia" w:ascii="宋体" w:hAnsi="宋体" w:cs="宋体"/>
          <w:color w:val="000000"/>
          <w:sz w:val="24"/>
        </w:rPr>
        <w:t xml:space="preserve">    投标人在投标活动中提供任何虚假材料，其投标无效，并上报监管部门。</w:t>
      </w:r>
    </w:p>
    <w:p>
      <w:pPr>
        <w:snapToGrid w:val="0"/>
        <w:spacing w:line="360" w:lineRule="auto"/>
        <w:rPr>
          <w:rFonts w:hint="eastAsia"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6</w:t>
      </w:r>
      <w:r>
        <w:rPr>
          <w:rFonts w:hint="eastAsia" w:ascii="宋体" w:hAnsi="宋体" w:cs="宋体"/>
          <w:color w:val="000000"/>
          <w:sz w:val="24"/>
        </w:rPr>
        <w:t>、中小企业（含中型、小型、微型）指符合中小企业划分标准（工信部联企业[2011]300号），在本项目政府采购活动中提供本企业提供的服务，或者提供其他中小企业提供的服务的企业。小型、微型企业提供中型企业提供的服务的，视同为中型企业。</w:t>
      </w:r>
    </w:p>
    <w:p>
      <w:pPr>
        <w:tabs>
          <w:tab w:val="left" w:pos="3780"/>
        </w:tabs>
        <w:snapToGrid w:val="0"/>
        <w:spacing w:line="360" w:lineRule="auto"/>
        <w:ind w:firstLine="532" w:firstLineChars="222"/>
        <w:rPr>
          <w:rFonts w:hint="eastAsia" w:ascii="宋体" w:hAnsi="宋体" w:cs="宋体"/>
          <w:color w:val="000000"/>
          <w:sz w:val="24"/>
        </w:rPr>
      </w:pPr>
      <w:r>
        <w:rPr>
          <w:rFonts w:hint="eastAsia" w:ascii="宋体" w:hAnsi="宋体" w:cs="宋体"/>
          <w:color w:val="000000"/>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tabs>
          <w:tab w:val="left" w:pos="3780"/>
        </w:tabs>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残疾人福利性单位：符合《财政部 民政部 中国残疾人联合会关于促进残疾人就业政府采购政策的通知》（财库（2017）141号）的规定单位。</w:t>
      </w:r>
    </w:p>
    <w:p>
      <w:pPr>
        <w:shd w:val="clear" w:color="auto" w:fill="FFFFFF"/>
        <w:snapToGrid w:val="0"/>
        <w:spacing w:line="360" w:lineRule="auto"/>
        <w:jc w:val="center"/>
        <w:outlineLvl w:val="1"/>
        <w:rPr>
          <w:rFonts w:hint="eastAsia" w:ascii="宋体" w:hAnsi="宋体" w:cs="宋体"/>
          <w:b/>
          <w:bCs/>
          <w:color w:val="000000"/>
          <w:sz w:val="24"/>
        </w:rPr>
      </w:pPr>
      <w:bookmarkStart w:id="68" w:name="_Toc18768"/>
      <w:bookmarkStart w:id="69" w:name="_Toc9251"/>
      <w:bookmarkStart w:id="70" w:name="_Toc10416"/>
      <w:r>
        <w:rPr>
          <w:rFonts w:hint="eastAsia" w:ascii="宋体" w:hAnsi="宋体" w:cs="宋体"/>
          <w:b/>
          <w:bCs/>
          <w:color w:val="000000"/>
          <w:sz w:val="24"/>
        </w:rPr>
        <w:t>三、</w:t>
      </w:r>
      <w:bookmarkStart w:id="71" w:name="_Hlt75236011"/>
      <w:bookmarkEnd w:id="71"/>
      <w:bookmarkStart w:id="72" w:name="_Toc354996698"/>
      <w:bookmarkStart w:id="73" w:name="_Toc233618974"/>
      <w:bookmarkStart w:id="74" w:name="_Toc91899884"/>
      <w:r>
        <w:rPr>
          <w:rFonts w:hint="eastAsia" w:ascii="宋体" w:hAnsi="宋体" w:cs="宋体"/>
          <w:b/>
          <w:bCs/>
          <w:color w:val="000000"/>
          <w:sz w:val="24"/>
        </w:rPr>
        <w:t>投标文件</w:t>
      </w:r>
      <w:bookmarkEnd w:id="68"/>
      <w:bookmarkEnd w:id="69"/>
      <w:bookmarkEnd w:id="70"/>
      <w:bookmarkEnd w:id="72"/>
      <w:bookmarkEnd w:id="73"/>
      <w:bookmarkEnd w:id="74"/>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（一）投标文件的语言</w:t>
      </w:r>
    </w:p>
    <w:p>
      <w:pPr>
        <w:shd w:val="clear" w:color="auto" w:fill="FFFFFF"/>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投标文件及投标人与采购有关的来往通知、函件和文件均应使用中文。</w:t>
      </w:r>
    </w:p>
    <w:p>
      <w:pPr>
        <w:pStyle w:val="6"/>
        <w:numPr>
          <w:ilvl w:val="2"/>
          <w:numId w:val="0"/>
        </w:numPr>
        <w:spacing w:before="0" w:after="0"/>
        <w:ind w:left="720" w:hanging="720"/>
        <w:jc w:val="both"/>
        <w:rPr>
          <w:rFonts w:hint="eastAsia" w:ascii="宋体" w:hAnsi="宋体" w:eastAsia="宋体" w:cs="宋体"/>
          <w:sz w:val="24"/>
          <w:szCs w:val="24"/>
        </w:rPr>
      </w:pPr>
      <w:bookmarkStart w:id="75" w:name="_Toc91899887"/>
      <w:r>
        <w:rPr>
          <w:rFonts w:hint="eastAsia" w:ascii="宋体" w:hAnsi="宋体" w:eastAsia="宋体" w:cs="宋体"/>
          <w:sz w:val="24"/>
          <w:szCs w:val="24"/>
        </w:rPr>
        <w:t>（二）投标文件的组成</w:t>
      </w:r>
    </w:p>
    <w:p>
      <w:pPr>
        <w:snapToGrid w:val="0"/>
        <w:spacing w:line="360" w:lineRule="auto"/>
        <w:ind w:firstLine="480" w:firstLineChars="200"/>
        <w:rPr>
          <w:rFonts w:hint="eastAsia" w:ascii="宋体" w:hAnsi="宋体" w:cs="宋体"/>
          <w:b/>
          <w:bCs/>
          <w:color w:val="000000"/>
          <w:kern w:val="0"/>
          <w:sz w:val="24"/>
          <w:lang w:val="zh-CN"/>
        </w:rPr>
      </w:pPr>
      <w:r>
        <w:rPr>
          <w:rFonts w:hint="eastAsia" w:ascii="宋体" w:hAnsi="宋体" w:cs="宋体"/>
          <w:color w:val="000000"/>
          <w:kern w:val="0"/>
          <w:sz w:val="24"/>
        </w:rPr>
        <w:t>投标</w:t>
      </w:r>
      <w:r>
        <w:rPr>
          <w:rFonts w:hint="eastAsia" w:ascii="宋体" w:hAnsi="宋体" w:cs="宋体"/>
          <w:color w:val="000000"/>
          <w:kern w:val="0"/>
          <w:sz w:val="24"/>
          <w:lang w:val="zh-CN"/>
        </w:rPr>
        <w:t>文件应当包括以下主要内容：</w:t>
      </w:r>
      <w:r>
        <w:rPr>
          <w:rFonts w:hint="eastAsia" w:ascii="宋体" w:hAnsi="宋体" w:cs="宋体"/>
          <w:b/>
          <w:bCs/>
          <w:color w:val="000000"/>
          <w:kern w:val="0"/>
          <w:sz w:val="24"/>
          <w:lang w:val="zh-CN"/>
        </w:rPr>
        <w:t>资格文件、报价文件、商务技术文件。</w:t>
      </w:r>
      <w:r>
        <w:rPr>
          <w:rFonts w:hint="eastAsia" w:ascii="宋体" w:hAnsi="宋体" w:cs="宋体"/>
          <w:b/>
          <w:bCs/>
          <w:color w:val="000000"/>
          <w:sz w:val="24"/>
          <w:szCs w:val="21"/>
        </w:rPr>
        <w:t>部分格式详见“第五部分 应提交的有关格式范例”，</w:t>
      </w:r>
      <w:r>
        <w:rPr>
          <w:rFonts w:hint="eastAsia" w:ascii="宋体" w:hAnsi="宋体" w:cs="宋体"/>
          <w:b/>
          <w:sz w:val="24"/>
        </w:rPr>
        <w:t>未提供参考格式的由投标人根据相关要求自行编制。</w:t>
      </w:r>
      <w:r>
        <w:rPr>
          <w:rFonts w:hint="eastAsia" w:ascii="宋体" w:hAnsi="宋体" w:cs="宋体"/>
          <w:b/>
          <w:bCs/>
          <w:color w:val="000000"/>
          <w:sz w:val="24"/>
          <w:szCs w:val="21"/>
        </w:rPr>
        <w:t>）</w:t>
      </w:r>
    </w:p>
    <w:p>
      <w:pPr>
        <w:snapToGrid w:val="0"/>
        <w:spacing w:line="360" w:lineRule="auto"/>
        <w:ind w:firstLine="480" w:firstLineChars="200"/>
        <w:rPr>
          <w:rFonts w:hint="eastAsia" w:ascii="宋体" w:hAnsi="宋体" w:cs="宋体"/>
          <w:color w:val="000000"/>
          <w:sz w:val="24"/>
        </w:rPr>
      </w:pPr>
      <w:r>
        <w:rPr>
          <w:rFonts w:ascii="宋体" w:hAnsi="宋体" w:cs="宋体"/>
          <w:color w:val="000000"/>
          <w:kern w:val="0"/>
          <w:sz w:val="24"/>
          <w:lang w:val="zh-CN"/>
        </w:rPr>
        <w:t>1</w:t>
      </w:r>
      <w:r>
        <w:rPr>
          <w:rFonts w:hint="eastAsia" w:ascii="宋体" w:hAnsi="宋体" w:cs="宋体"/>
          <w:color w:val="000000"/>
          <w:kern w:val="0"/>
          <w:sz w:val="24"/>
          <w:lang w:val="zh-CN"/>
        </w:rPr>
        <w:t>、投标人的</w:t>
      </w:r>
      <w:r>
        <w:rPr>
          <w:rFonts w:hint="eastAsia" w:ascii="宋体" w:hAnsi="宋体" w:cs="宋体"/>
          <w:b/>
          <w:bCs/>
          <w:color w:val="000000"/>
          <w:kern w:val="0"/>
          <w:sz w:val="24"/>
          <w:lang w:val="zh-CN"/>
        </w:rPr>
        <w:t>资格文件</w:t>
      </w:r>
      <w:r>
        <w:rPr>
          <w:rFonts w:hint="eastAsia" w:ascii="宋体" w:hAnsi="宋体" w:cs="宋体"/>
          <w:color w:val="000000"/>
          <w:sz w:val="24"/>
        </w:rPr>
        <w:t xml:space="preserve">至少应包括以下内容： </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基本资格条件审查材料：</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【即证明其符合《中华人民共和国政府采购法》规定的供应商基本条件的有关资格证明文件。】</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包括：</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（1）</w:t>
      </w:r>
      <w:r>
        <w:rPr>
          <w:rFonts w:hint="eastAsia" w:ascii="宋体" w:hAnsi="宋体" w:cs="宋体"/>
          <w:b/>
          <w:color w:val="000000"/>
          <w:sz w:val="24"/>
          <w:szCs w:val="21"/>
        </w:rPr>
        <w:t>营业执照</w:t>
      </w:r>
      <w:r>
        <w:rPr>
          <w:rFonts w:hint="eastAsia" w:ascii="宋体" w:hAnsi="宋体" w:cs="宋体"/>
          <w:color w:val="000000"/>
          <w:sz w:val="24"/>
          <w:szCs w:val="21"/>
        </w:rPr>
        <w:t xml:space="preserve">(或事业法人登记证书或其它工商等登记证明材料； </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left="105" w:leftChars="50" w:firstLine="480" w:firstLineChars="200"/>
        <w:rPr>
          <w:rFonts w:ascii="宋体" w:hAnsi="宋体"/>
          <w:color w:val="000000"/>
          <w:sz w:val="24"/>
        </w:rPr>
      </w:pPr>
      <w:r>
        <w:rPr>
          <w:rFonts w:hint="eastAsia" w:ascii="宋体" w:hAnsi="宋体"/>
          <w:color w:val="000000"/>
          <w:sz w:val="24"/>
        </w:rPr>
        <w:t>（2）最近一年财务报表(可提供审计报告或资产负责表及利润表，新成立的公司提供情况说明)；</w:t>
      </w:r>
    </w:p>
    <w:p>
      <w:pPr>
        <w:snapToGrid w:val="0"/>
        <w:spacing w:line="360" w:lineRule="auto"/>
        <w:ind w:left="105" w:leftChars="50" w:firstLine="480" w:firstLineChars="200"/>
        <w:rPr>
          <w:rFonts w:ascii="宋体" w:hAnsi="宋体" w:cs="宋体"/>
          <w:color w:val="000000"/>
          <w:sz w:val="24"/>
          <w:szCs w:val="21"/>
        </w:rPr>
      </w:pPr>
      <w:r>
        <w:rPr>
          <w:rFonts w:hint="eastAsia" w:ascii="宋体" w:hAnsi="宋体" w:cs="宋体"/>
          <w:color w:val="000000"/>
          <w:sz w:val="24"/>
          <w:szCs w:val="21"/>
        </w:rPr>
        <w:t>（3）具有履行合同所必需的设备和专业技术能力的承诺函；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（4）依法缴纳税收和社会保障资金的承诺函；</w:t>
      </w:r>
    </w:p>
    <w:p>
      <w:pPr>
        <w:snapToGrid w:val="0"/>
        <w:spacing w:line="360" w:lineRule="auto"/>
        <w:ind w:left="105" w:leftChars="50" w:firstLine="480" w:firstLineChars="200"/>
        <w:rPr>
          <w:rFonts w:ascii="宋体" w:hAnsi="宋体" w:cs="宋体"/>
          <w:color w:val="000000"/>
          <w:sz w:val="24"/>
          <w:szCs w:val="21"/>
        </w:rPr>
      </w:pPr>
      <w:r>
        <w:rPr>
          <w:rFonts w:hint="eastAsia" w:ascii="宋体" w:hAnsi="宋体" w:cs="宋体"/>
          <w:color w:val="000000"/>
          <w:sz w:val="24"/>
          <w:szCs w:val="21"/>
        </w:rPr>
        <w:t>（5）参加政府采购活动前3年内在经营活动中没有重大违法记录的声明函；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（6）单位负责人为同一人或者存在直接控股、管理关系的不同供应商，不得参加同一合同项下的政府采购活动承诺函；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（7）投标供应商没有失信记录承诺函；</w:t>
      </w:r>
    </w:p>
    <w:p>
      <w:pPr>
        <w:snapToGrid w:val="0"/>
        <w:spacing w:line="360" w:lineRule="auto"/>
        <w:ind w:left="105" w:leftChars="50" w:firstLine="480" w:firstLineChars="200"/>
        <w:rPr>
          <w:rFonts w:hint="eastAsia" w:ascii="宋体" w:hAnsi="宋体" w:cs="宋体"/>
          <w:b/>
          <w:bCs/>
          <w:color w:val="000000"/>
          <w:sz w:val="24"/>
          <w:szCs w:val="21"/>
        </w:rPr>
      </w:pPr>
      <w:r>
        <w:rPr>
          <w:rFonts w:hint="eastAsia" w:ascii="宋体" w:hAnsi="宋体" w:cs="宋体"/>
          <w:color w:val="000000"/>
          <w:sz w:val="24"/>
          <w:szCs w:val="21"/>
        </w:rPr>
        <w:t>（8）投标供应商不属于公益一类事业单位承诺函。</w:t>
      </w:r>
    </w:p>
    <w:p>
      <w:pPr>
        <w:snapToGrid w:val="0"/>
        <w:spacing w:line="360" w:lineRule="auto"/>
        <w:ind w:left="105" w:leftChars="50" w:firstLine="482" w:firstLineChars="200"/>
        <w:rPr>
          <w:rFonts w:hint="eastAsia" w:ascii="宋体" w:hAnsi="宋体" w:cs="宋体"/>
          <w:b/>
          <w:bCs/>
          <w:color w:val="000000"/>
          <w:sz w:val="24"/>
          <w:szCs w:val="21"/>
        </w:rPr>
      </w:pPr>
      <w:r>
        <w:rPr>
          <w:rFonts w:hint="eastAsia" w:ascii="宋体" w:hAnsi="宋体" w:cs="宋体"/>
          <w:b/>
          <w:bCs/>
          <w:color w:val="000000"/>
          <w:sz w:val="24"/>
          <w:szCs w:val="21"/>
        </w:rPr>
        <w:t>上述资格条件审查材料有一项不提供的，视为资格审查不通过。</w:t>
      </w:r>
    </w:p>
    <w:p>
      <w:pPr>
        <w:snapToGrid w:val="0"/>
        <w:spacing w:line="360" w:lineRule="auto"/>
        <w:ind w:firstLine="480" w:firstLineChars="200"/>
        <w:rPr>
          <w:rFonts w:hint="eastAsia" w:ascii="宋体" w:hAnsi="宋体" w:cs="宋体"/>
          <w:color w:val="000000"/>
          <w:sz w:val="24"/>
          <w:u w:val="single"/>
          <w:lang w:val="zh-CN"/>
        </w:rPr>
      </w:pPr>
      <w:bookmarkStart w:id="76" w:name="_Toc500208478"/>
      <w:r>
        <w:rPr>
          <w:rFonts w:ascii="宋体" w:hAnsi="宋体" w:cs="宋体"/>
          <w:color w:val="000000"/>
          <w:kern w:val="0"/>
          <w:sz w:val="24"/>
          <w:lang w:val="zh-CN"/>
        </w:rPr>
        <w:t>2</w:t>
      </w:r>
      <w:r>
        <w:rPr>
          <w:rFonts w:hint="eastAsia" w:ascii="宋体" w:hAnsi="宋体" w:cs="宋体"/>
          <w:color w:val="000000"/>
          <w:kern w:val="0"/>
          <w:sz w:val="24"/>
          <w:lang w:val="zh-CN"/>
        </w:rPr>
        <w:t>、</w:t>
      </w:r>
      <w:r>
        <w:rPr>
          <w:rFonts w:hint="eastAsia" w:ascii="宋体" w:hAnsi="宋体" w:cs="宋体"/>
          <w:color w:val="000000"/>
          <w:sz w:val="24"/>
        </w:rPr>
        <w:t>投标人的</w:t>
      </w:r>
      <w:r>
        <w:rPr>
          <w:rFonts w:hint="eastAsia" w:ascii="宋体" w:hAnsi="宋体" w:cs="宋体"/>
          <w:b/>
          <w:color w:val="000000"/>
          <w:sz w:val="24"/>
        </w:rPr>
        <w:t>报价文件</w:t>
      </w:r>
      <w:r>
        <w:rPr>
          <w:rFonts w:hint="eastAsia" w:ascii="宋体" w:hAnsi="宋体" w:cs="宋体"/>
          <w:color w:val="000000"/>
          <w:sz w:val="24"/>
        </w:rPr>
        <w:t xml:space="preserve">至少应包括以下内容： </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kern w:val="0"/>
          <w:sz w:val="24"/>
        </w:rPr>
        <w:t>投标响应函</w:t>
      </w:r>
      <w:r>
        <w:rPr>
          <w:rFonts w:hint="eastAsia" w:ascii="宋体" w:hAnsi="宋体" w:cs="宋体"/>
          <w:color w:val="000000"/>
          <w:sz w:val="24"/>
        </w:rPr>
        <w:t>；</w:t>
      </w:r>
    </w:p>
    <w:p>
      <w:pPr>
        <w:pStyle w:val="4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（2）开标一览表；</w:t>
      </w:r>
    </w:p>
    <w:p>
      <w:pPr>
        <w:pStyle w:val="40"/>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sz w:val="24"/>
          <w:szCs w:val="24"/>
        </w:rPr>
        <w:t>（3）报价明细清单；</w:t>
      </w:r>
    </w:p>
    <w:p>
      <w:pPr>
        <w:snapToGrid w:val="0"/>
        <w:spacing w:line="360" w:lineRule="auto"/>
        <w:ind w:firstLine="482" w:firstLineChars="200"/>
        <w:rPr>
          <w:rFonts w:hint="eastAsia" w:ascii="宋体" w:hAnsi="宋体" w:cs="宋体"/>
          <w:b/>
          <w:bCs/>
          <w:color w:val="000000"/>
          <w:kern w:val="0"/>
          <w:sz w:val="24"/>
        </w:rPr>
      </w:pPr>
      <w:r>
        <w:rPr>
          <w:rFonts w:hint="eastAsia" w:ascii="宋体" w:hAnsi="宋体" w:cs="宋体"/>
          <w:b/>
          <w:bCs/>
          <w:color w:val="000000"/>
          <w:kern w:val="0"/>
          <w:sz w:val="24"/>
        </w:rPr>
        <w:t>（4）中小企业声明函及相应的http://xwqy.gsxt.gov.cn/小微企业名录网页截图；</w:t>
      </w:r>
    </w:p>
    <w:p>
      <w:pPr>
        <w:snapToGrid w:val="0"/>
        <w:spacing w:line="360" w:lineRule="auto"/>
        <w:ind w:firstLine="482" w:firstLineChars="200"/>
        <w:rPr>
          <w:rFonts w:hint="eastAsia" w:ascii="宋体" w:hAnsi="宋体" w:cs="宋体"/>
          <w:b/>
          <w:bCs/>
          <w:color w:val="000000"/>
          <w:sz w:val="24"/>
        </w:rPr>
      </w:pPr>
      <w:r>
        <w:rPr>
          <w:rFonts w:hint="eastAsia" w:ascii="宋体" w:hAnsi="宋体" w:cs="宋体"/>
          <w:b/>
          <w:bCs/>
          <w:color w:val="000000"/>
          <w:kern w:val="0"/>
          <w:sz w:val="24"/>
        </w:rPr>
        <w:t>（5）监狱企业、残疾人福利性单位及其他相关的充分的证明材料。</w:t>
      </w:r>
      <w:r>
        <w:rPr>
          <w:rFonts w:hint="eastAsia" w:ascii="宋体" w:hAnsi="宋体" w:cs="宋体"/>
          <w:b/>
          <w:bCs/>
          <w:color w:val="000000"/>
          <w:sz w:val="24"/>
        </w:rPr>
        <w:t xml:space="preserve"> </w:t>
      </w:r>
    </w:p>
    <w:p>
      <w:pPr>
        <w:snapToGrid w:val="0"/>
        <w:spacing w:line="360" w:lineRule="auto"/>
        <w:ind w:firstLine="480" w:firstLineChars="200"/>
        <w:rPr>
          <w:rFonts w:hint="eastAsia" w:ascii="宋体" w:hAnsi="宋体" w:cs="宋体"/>
          <w:color w:val="000000"/>
          <w:kern w:val="0"/>
          <w:sz w:val="24"/>
          <w:lang w:val="zh-CN"/>
        </w:rPr>
      </w:pPr>
      <w:r>
        <w:rPr>
          <w:rFonts w:ascii="宋体" w:hAnsi="宋体" w:cs="宋体"/>
          <w:color w:val="000000"/>
          <w:kern w:val="0"/>
          <w:sz w:val="24"/>
          <w:lang w:val="zh-CN"/>
        </w:rPr>
        <w:t>3</w:t>
      </w:r>
      <w:r>
        <w:rPr>
          <w:rFonts w:hint="eastAsia" w:ascii="宋体" w:hAnsi="宋体" w:cs="宋体"/>
          <w:color w:val="000000"/>
          <w:kern w:val="0"/>
          <w:sz w:val="24"/>
          <w:lang w:val="zh-CN"/>
        </w:rPr>
        <w:t>、投标人的</w:t>
      </w:r>
      <w:r>
        <w:rPr>
          <w:rFonts w:hint="eastAsia" w:ascii="宋体" w:hAnsi="宋体" w:cs="宋体"/>
          <w:b/>
          <w:bCs/>
          <w:color w:val="000000"/>
          <w:kern w:val="0"/>
          <w:sz w:val="24"/>
          <w:lang w:val="zh-CN"/>
        </w:rPr>
        <w:t>商务技术文件</w:t>
      </w:r>
      <w:r>
        <w:rPr>
          <w:rFonts w:hint="eastAsia" w:ascii="宋体" w:hAnsi="宋体" w:cs="宋体"/>
          <w:color w:val="000000"/>
          <w:kern w:val="0"/>
          <w:sz w:val="24"/>
          <w:lang w:val="zh-CN"/>
        </w:rPr>
        <w:t xml:space="preserve">至少应包括以下内容： </w:t>
      </w:r>
    </w:p>
    <w:bookmarkEnd w:id="76"/>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（1）法定代表人授权委托书；</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（2）法定代表人及授权委托人的身份证(复印件加盖公章)；</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r>
        <w:rPr>
          <w:rFonts w:hint="eastAsia" w:ascii="宋体" w:hAnsi="宋体"/>
          <w:color w:val="000000"/>
          <w:sz w:val="24"/>
          <w:u w:val="none" w:color="000000"/>
        </w:rPr>
        <w:t>资质文件（如有）；</w:t>
      </w:r>
    </w:p>
    <w:p>
      <w:pPr>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（4）公司介绍及同类项目业绩经验案例</w:t>
      </w:r>
      <w:r>
        <w:rPr>
          <w:rFonts w:hint="eastAsia" w:ascii="宋体" w:hAnsi="宋体" w:cs="宋体"/>
          <w:color w:val="000000"/>
          <w:sz w:val="24"/>
          <w:lang w:val="zh-CN"/>
        </w:rPr>
        <w:t>（需提供合同复印件并加盖公章）；</w:t>
      </w:r>
    </w:p>
    <w:p>
      <w:pPr>
        <w:pStyle w:val="40"/>
        <w:snapToGrid w:val="0"/>
        <w:spacing w:line="360" w:lineRule="auto"/>
        <w:ind w:firstLine="480" w:firstLineChars="200"/>
        <w:jc w:val="left"/>
        <w:rPr>
          <w:rFonts w:hint="eastAsia" w:ascii="宋体" w:hAnsi="宋体" w:eastAsia="宋体" w:cs="宋体"/>
          <w:color w:val="000000"/>
          <w:kern w:val="0"/>
          <w:sz w:val="24"/>
          <w:lang w:bidi="ar"/>
        </w:rPr>
      </w:pPr>
      <w:r>
        <w:rPr>
          <w:rFonts w:hint="eastAsia" w:ascii="宋体" w:hAnsi="宋体" w:cs="宋体"/>
          <w:color w:val="000000"/>
          <w:sz w:val="24"/>
        </w:rPr>
        <w:t>（</w:t>
      </w:r>
      <w:r>
        <w:rPr>
          <w:rFonts w:hint="eastAsia" w:ascii="宋体" w:hAnsi="宋体" w:eastAsia="宋体" w:cs="宋体"/>
          <w:color w:val="000000"/>
          <w:sz w:val="24"/>
        </w:rPr>
        <w:t>5</w:t>
      </w:r>
      <w:r>
        <w:rPr>
          <w:rFonts w:hint="eastAsia" w:ascii="宋体" w:hAnsi="宋体" w:cs="宋体"/>
          <w:color w:val="000000"/>
          <w:sz w:val="24"/>
        </w:rPr>
        <w:t>）</w:t>
      </w:r>
      <w:r>
        <w:rPr>
          <w:rFonts w:hint="eastAsia" w:ascii="宋体" w:hAnsi="宋体" w:cs="宋体"/>
          <w:color w:val="000000"/>
          <w:kern w:val="0"/>
          <w:sz w:val="24"/>
          <w:lang w:bidi="ar"/>
        </w:rPr>
        <w:t>针对本项目详细服务实施计划</w:t>
      </w:r>
      <w:r>
        <w:rPr>
          <w:rFonts w:hint="eastAsia" w:ascii="宋体" w:hAnsi="宋体" w:eastAsia="宋体" w:cs="宋体"/>
          <w:color w:val="000000"/>
          <w:kern w:val="0"/>
          <w:sz w:val="24"/>
          <w:lang w:bidi="ar"/>
        </w:rPr>
        <w:t>方案等；</w:t>
      </w:r>
    </w:p>
    <w:p>
      <w:pPr>
        <w:pStyle w:val="4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（6）服务承诺；</w:t>
      </w:r>
    </w:p>
    <w:p>
      <w:pPr>
        <w:pStyle w:val="40"/>
        <w:snapToGrid w:val="0"/>
        <w:spacing w:line="360" w:lineRule="auto"/>
        <w:ind w:firstLine="480" w:firstLineChars="200"/>
        <w:jc w:val="left"/>
        <w:rPr>
          <w:rFonts w:hint="eastAsia" w:ascii="宋体" w:hAnsi="宋体" w:eastAsia="宋体" w:cs="宋体"/>
          <w:color w:val="000000"/>
          <w:kern w:val="0"/>
          <w:sz w:val="24"/>
          <w:lang w:bidi="ar"/>
        </w:rPr>
      </w:pPr>
      <w:r>
        <w:rPr>
          <w:rFonts w:hint="eastAsia" w:ascii="宋体" w:hAnsi="宋体" w:cs="宋体"/>
          <w:color w:val="000000"/>
          <w:sz w:val="24"/>
        </w:rPr>
        <w:t>（</w:t>
      </w:r>
      <w:r>
        <w:rPr>
          <w:rFonts w:hint="eastAsia" w:ascii="宋体" w:hAnsi="宋体" w:eastAsia="宋体" w:cs="宋体"/>
          <w:color w:val="000000"/>
          <w:sz w:val="24"/>
        </w:rPr>
        <w:t>7</w:t>
      </w:r>
      <w:r>
        <w:rPr>
          <w:rFonts w:hint="eastAsia" w:ascii="宋体" w:hAnsi="宋体" w:cs="宋体"/>
          <w:color w:val="000000"/>
          <w:sz w:val="24"/>
        </w:rPr>
        <w:t>）</w:t>
      </w:r>
      <w:r>
        <w:rPr>
          <w:rFonts w:hint="eastAsia" w:ascii="宋体" w:hAnsi="宋体" w:eastAsia="宋体" w:cs="宋体"/>
          <w:color w:val="000000"/>
          <w:kern w:val="0"/>
          <w:sz w:val="24"/>
          <w:lang w:bidi="ar"/>
        </w:rPr>
        <w:t>商务技术偏离表；</w:t>
      </w:r>
    </w:p>
    <w:p>
      <w:pPr>
        <w:pStyle w:val="4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（8）其他必要提供的资料；</w:t>
      </w:r>
    </w:p>
    <w:p>
      <w:pPr>
        <w:pStyle w:val="40"/>
        <w:snapToGrid w:val="0"/>
        <w:spacing w:line="360" w:lineRule="auto"/>
        <w:ind w:firstLine="480" w:firstLineChars="200"/>
        <w:rPr>
          <w:rFonts w:hint="eastAsia" w:hAnsi="宋体"/>
          <w:color w:val="000000"/>
          <w:sz w:val="24"/>
          <w:szCs w:val="24"/>
        </w:rPr>
      </w:pPr>
      <w:r>
        <w:rPr>
          <w:rFonts w:hint="eastAsia" w:ascii="宋体" w:hAnsi="宋体" w:eastAsia="宋体" w:cs="宋体"/>
          <w:color w:val="000000"/>
          <w:sz w:val="24"/>
          <w:szCs w:val="24"/>
        </w:rPr>
        <w:t>（9）</w:t>
      </w:r>
      <w:r>
        <w:rPr>
          <w:rFonts w:hint="eastAsia" w:hAnsi="宋体"/>
          <w:color w:val="000000"/>
          <w:sz w:val="24"/>
          <w:szCs w:val="24"/>
        </w:rPr>
        <w:t>关于对招标文件中有关条款的拒绝声明（如果有的话）；</w:t>
      </w:r>
    </w:p>
    <w:p>
      <w:pPr>
        <w:pStyle w:val="40"/>
        <w:snapToGrid w:val="0"/>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（10）对应商务技术评分细则提供相关证明资料；</w:t>
      </w:r>
    </w:p>
    <w:p>
      <w:pPr>
        <w:pStyle w:val="4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w:t>
      </w:r>
      <w:r>
        <w:rPr>
          <w:rFonts w:hint="eastAsia" w:ascii="宋体" w:hAnsi="宋体" w:eastAsia="宋体"/>
          <w:color w:val="000000"/>
          <w:sz w:val="24"/>
          <w:szCs w:val="24"/>
        </w:rPr>
        <w:t>1</w:t>
      </w:r>
      <w:r>
        <w:rPr>
          <w:rFonts w:hint="eastAsia" w:ascii="宋体" w:hAnsi="宋体"/>
          <w:color w:val="000000"/>
          <w:sz w:val="24"/>
          <w:szCs w:val="24"/>
        </w:rPr>
        <w:t>）</w:t>
      </w:r>
      <w:r>
        <w:rPr>
          <w:rFonts w:ascii="宋体" w:hAnsi="宋体"/>
          <w:color w:val="000000"/>
          <w:sz w:val="24"/>
          <w:szCs w:val="24"/>
        </w:rPr>
        <w:t>投标人</w:t>
      </w:r>
      <w:r>
        <w:rPr>
          <w:rFonts w:hint="eastAsia" w:ascii="宋体" w:hAnsi="宋体"/>
          <w:color w:val="000000"/>
          <w:sz w:val="24"/>
          <w:szCs w:val="24"/>
        </w:rPr>
        <w:t>认为</w:t>
      </w:r>
      <w:r>
        <w:rPr>
          <w:rFonts w:ascii="宋体" w:hAnsi="宋体"/>
          <w:color w:val="000000"/>
          <w:sz w:val="24"/>
          <w:szCs w:val="24"/>
        </w:rPr>
        <w:t>需要</w:t>
      </w:r>
      <w:r>
        <w:rPr>
          <w:rFonts w:hint="eastAsia" w:ascii="宋体" w:hAnsi="宋体"/>
          <w:color w:val="000000"/>
          <w:sz w:val="24"/>
          <w:szCs w:val="24"/>
        </w:rPr>
        <w:t>提供</w:t>
      </w:r>
      <w:r>
        <w:rPr>
          <w:rFonts w:ascii="宋体" w:hAnsi="宋体"/>
          <w:color w:val="000000"/>
          <w:sz w:val="24"/>
          <w:szCs w:val="24"/>
        </w:rPr>
        <w:t>的</w:t>
      </w:r>
      <w:r>
        <w:rPr>
          <w:rFonts w:hint="eastAsia" w:ascii="宋体" w:hAnsi="宋体"/>
          <w:color w:val="000000"/>
          <w:sz w:val="24"/>
          <w:szCs w:val="24"/>
        </w:rPr>
        <w:t>与本项目有关的</w:t>
      </w:r>
      <w:r>
        <w:rPr>
          <w:rFonts w:ascii="宋体" w:hAnsi="宋体"/>
          <w:color w:val="000000"/>
          <w:sz w:val="24"/>
          <w:szCs w:val="24"/>
        </w:rPr>
        <w:t>其他文件和说明。</w:t>
      </w:r>
    </w:p>
    <w:p>
      <w:pPr>
        <w:pStyle w:val="40"/>
        <w:snapToGri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投标文件中所需的各种证书、证件、证明资料如是复印件，须在复印件上加盖有效公章。</w:t>
      </w:r>
    </w:p>
    <w:p>
      <w:pPr>
        <w:pStyle w:val="40"/>
        <w:snapToGrid w:val="0"/>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lang w:val="zh-CN"/>
        </w:rPr>
        <w:t>投标人的</w:t>
      </w:r>
      <w:r>
        <w:rPr>
          <w:rFonts w:hint="eastAsia" w:ascii="宋体" w:hAnsi="宋体" w:eastAsia="宋体" w:cs="宋体"/>
          <w:b/>
          <w:color w:val="000000"/>
          <w:sz w:val="24"/>
          <w:szCs w:val="24"/>
        </w:rPr>
        <w:t>投标文件必须按照招标文件要求制作并响应投标</w:t>
      </w:r>
      <w:r>
        <w:rPr>
          <w:rFonts w:hint="eastAsia" w:ascii="宋体" w:hAnsi="宋体" w:eastAsia="宋体" w:cs="宋体"/>
          <w:b/>
          <w:bCs/>
          <w:color w:val="000000"/>
          <w:sz w:val="24"/>
          <w:szCs w:val="24"/>
        </w:rPr>
        <w:t>。</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（三）投标有效期</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、投标文件合格投递后，自投标截止日期起，至前附表所列的日期内有效。</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、在原定投标有效期之前，如果出现特殊情况，招标代理机构可以以书面形式通知投标人延长投标有效期。</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（四）投标保证金</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无。</w:t>
      </w:r>
    </w:p>
    <w:p>
      <w:pPr>
        <w:pStyle w:val="6"/>
        <w:numPr>
          <w:ilvl w:val="2"/>
          <w:numId w:val="0"/>
        </w:numPr>
        <w:spacing w:before="0" w:after="0"/>
        <w:ind w:left="720" w:hanging="720"/>
        <w:jc w:val="both"/>
        <w:rPr>
          <w:rFonts w:ascii="宋体" w:hAnsi="宋体" w:eastAsia="宋体" w:cs="宋体"/>
          <w:sz w:val="24"/>
          <w:szCs w:val="24"/>
        </w:rPr>
      </w:pPr>
      <w:r>
        <w:rPr>
          <w:rFonts w:hint="eastAsia" w:ascii="宋体" w:hAnsi="宋体" w:eastAsia="宋体" w:cs="宋体"/>
          <w:sz w:val="24"/>
          <w:szCs w:val="24"/>
        </w:rPr>
        <w:t>（五）</w:t>
      </w:r>
      <w:bookmarkEnd w:id="75"/>
      <w:bookmarkStart w:id="77" w:name="_Hlt68072998"/>
      <w:bookmarkEnd w:id="77"/>
      <w:bookmarkStart w:id="78" w:name="_Hlt68073093"/>
      <w:bookmarkEnd w:id="78"/>
      <w:bookmarkStart w:id="79" w:name="_Hlt68403820"/>
      <w:bookmarkEnd w:id="79"/>
      <w:bookmarkStart w:id="80" w:name="_Toc233618975"/>
      <w:bookmarkStart w:id="81" w:name="_Toc91899892"/>
      <w:bookmarkStart w:id="82" w:name="_Toc86216991"/>
      <w:r>
        <w:rPr>
          <w:rFonts w:hint="eastAsia" w:ascii="宋体" w:hAnsi="宋体" w:eastAsia="宋体" w:cs="宋体"/>
          <w:sz w:val="24"/>
          <w:szCs w:val="24"/>
        </w:rPr>
        <w:t>投标文件编制</w:t>
      </w:r>
    </w:p>
    <w:p>
      <w:pPr>
        <w:spacing w:line="360" w:lineRule="auto"/>
        <w:ind w:firstLine="482" w:firstLineChars="200"/>
        <w:rPr>
          <w:rFonts w:hint="eastAsia" w:ascii="宋体" w:hAnsi="宋体" w:cs="Arial"/>
          <w:b/>
          <w:color w:val="000000"/>
          <w:sz w:val="24"/>
        </w:rPr>
      </w:pPr>
      <w:r>
        <w:rPr>
          <w:rFonts w:ascii="宋体" w:hAnsi="宋体" w:cs="Arial"/>
          <w:b/>
          <w:color w:val="000000"/>
          <w:kern w:val="0"/>
          <w:sz w:val="24"/>
        </w:rPr>
        <w:t>5</w:t>
      </w:r>
      <w:r>
        <w:rPr>
          <w:rFonts w:hint="eastAsia" w:ascii="宋体" w:hAnsi="宋体" w:cs="Arial"/>
          <w:b/>
          <w:color w:val="000000"/>
          <w:kern w:val="0"/>
          <w:sz w:val="24"/>
        </w:rPr>
        <w:t>.1</w:t>
      </w:r>
      <w:r>
        <w:rPr>
          <w:rFonts w:hint="eastAsia" w:ascii="宋体" w:hAnsi="宋体" w:cs="Arial"/>
          <w:b/>
          <w:color w:val="000000"/>
          <w:sz w:val="24"/>
        </w:rPr>
        <w:t>本项目通过“政府采购云平台（</w:t>
      </w:r>
      <w:r>
        <w:rPr>
          <w:rFonts w:ascii="宋体" w:hAnsi="宋体" w:cs="Arial"/>
          <w:b/>
          <w:color w:val="000000"/>
          <w:sz w:val="24"/>
        </w:rPr>
        <w:t>www.</w:t>
      </w:r>
      <w:r>
        <w:rPr>
          <w:rFonts w:hint="eastAsia" w:ascii="宋体" w:hAnsi="宋体" w:cs="Arial"/>
          <w:b/>
          <w:color w:val="000000"/>
          <w:sz w:val="24"/>
        </w:rPr>
        <w:t>zcy</w:t>
      </w:r>
      <w:r>
        <w:rPr>
          <w:rFonts w:ascii="宋体" w:hAnsi="宋体" w:cs="Arial"/>
          <w:b/>
          <w:color w:val="000000"/>
          <w:sz w:val="24"/>
        </w:rPr>
        <w:t>gov.cn</w:t>
      </w:r>
      <w:r>
        <w:rPr>
          <w:rFonts w:hint="eastAsia" w:ascii="宋体" w:hAnsi="宋体" w:cs="Arial"/>
          <w:b/>
          <w:color w:val="000000"/>
          <w:sz w:val="24"/>
        </w:rPr>
        <w:t>）”实行在线投标响应（电子投标）。供应商应通过“政采云电子交易客户端”，并按照本招标文件和“政府采购云平台”的要求编制并加密投标文件。</w:t>
      </w:r>
    </w:p>
    <w:p>
      <w:pPr>
        <w:spacing w:line="360" w:lineRule="auto"/>
        <w:ind w:firstLine="422" w:firstLineChars="175"/>
        <w:rPr>
          <w:rFonts w:hint="eastAsia" w:ascii="宋体" w:hAnsi="宋体" w:cs="Arial"/>
          <w:b/>
          <w:color w:val="000000"/>
          <w:kern w:val="0"/>
          <w:sz w:val="24"/>
        </w:rPr>
      </w:pPr>
      <w:r>
        <w:rPr>
          <w:rFonts w:ascii="宋体" w:hAnsi="宋体" w:cs="Arial"/>
          <w:b/>
          <w:color w:val="000000"/>
          <w:kern w:val="0"/>
          <w:sz w:val="24"/>
        </w:rPr>
        <w:t>5</w:t>
      </w:r>
      <w:r>
        <w:rPr>
          <w:rFonts w:hint="eastAsia" w:ascii="宋体" w:hAnsi="宋体" w:cs="Arial"/>
          <w:b/>
          <w:color w:val="000000"/>
          <w:kern w:val="0"/>
          <w:sz w:val="24"/>
        </w:rPr>
        <w:t>.2投标供应商应当按照</w:t>
      </w:r>
      <w:r>
        <w:rPr>
          <w:rFonts w:ascii="宋体" w:hAnsi="宋体" w:cs="Arial"/>
          <w:b/>
          <w:color w:val="000000"/>
          <w:kern w:val="0"/>
          <w:sz w:val="24"/>
        </w:rPr>
        <w:t>本</w:t>
      </w:r>
      <w:r>
        <w:rPr>
          <w:rFonts w:hint="eastAsia" w:ascii="宋体" w:hAnsi="宋体" w:cs="Arial"/>
          <w:b/>
          <w:color w:val="000000"/>
          <w:kern w:val="0"/>
          <w:sz w:val="24"/>
        </w:rPr>
        <w:t>章节 “投标文件组成”规定的内容及顺序在“政采云电子交易客户端”编制投标文件。其中《资格文件》和《商务技术文件》中不得出现本项目投标报价，如因投标人原因提前泄露投标报价，是投标人的责任。</w:t>
      </w:r>
    </w:p>
    <w:p>
      <w:pPr>
        <w:spacing w:line="360" w:lineRule="auto"/>
        <w:ind w:firstLine="422" w:firstLineChars="175"/>
        <w:rPr>
          <w:rFonts w:hint="eastAsia" w:ascii="宋体" w:hAnsi="宋体"/>
          <w:b/>
          <w:color w:val="000000"/>
          <w:sz w:val="24"/>
        </w:rPr>
      </w:pPr>
      <w:r>
        <w:rPr>
          <w:rFonts w:ascii="宋体" w:hAnsi="宋体"/>
          <w:b/>
          <w:color w:val="000000"/>
          <w:sz w:val="24"/>
        </w:rPr>
        <w:t>5</w:t>
      </w:r>
      <w:r>
        <w:rPr>
          <w:rFonts w:hint="eastAsia" w:ascii="宋体" w:hAnsi="宋体"/>
          <w:b/>
          <w:color w:val="000000"/>
          <w:sz w:val="24"/>
        </w:rPr>
        <w:t>.3本文件《第五部分  应提交的有关格式范例》中有</w:t>
      </w:r>
      <w:r>
        <w:rPr>
          <w:rFonts w:ascii="宋体" w:hAnsi="宋体"/>
          <w:b/>
          <w:color w:val="000000"/>
          <w:sz w:val="24"/>
        </w:rPr>
        <w:t>提供格式的，投标</w:t>
      </w:r>
      <w:r>
        <w:rPr>
          <w:rFonts w:hint="eastAsia" w:ascii="宋体" w:hAnsi="宋体"/>
          <w:b/>
          <w:color w:val="000000"/>
          <w:sz w:val="24"/>
        </w:rPr>
        <w:t>供应商须参</w:t>
      </w:r>
      <w:r>
        <w:rPr>
          <w:rFonts w:ascii="宋体" w:hAnsi="宋体"/>
          <w:b/>
          <w:color w:val="000000"/>
          <w:sz w:val="24"/>
        </w:rPr>
        <w:t>照格式</w:t>
      </w:r>
      <w:r>
        <w:rPr>
          <w:rFonts w:hint="eastAsia" w:ascii="宋体" w:hAnsi="宋体"/>
          <w:b/>
          <w:color w:val="000000"/>
          <w:sz w:val="24"/>
        </w:rPr>
        <w:t>进行编制（格式中要求提供相关证明材料的还需后附相关证明材料），并按格式要求在指定位置根据要求进行签章，否则视为未提供；本文件《第五部分  应提交的有关格式范例》</w:t>
      </w:r>
      <w:r>
        <w:rPr>
          <w:rFonts w:ascii="宋体" w:hAnsi="宋体"/>
          <w:b/>
          <w:color w:val="000000"/>
          <w:sz w:val="24"/>
        </w:rPr>
        <w:t>未提供格式的，请各投标单位自行拟定格式</w:t>
      </w:r>
      <w:r>
        <w:rPr>
          <w:rFonts w:hint="eastAsia" w:ascii="宋体" w:hAnsi="宋体"/>
          <w:b/>
          <w:color w:val="000000"/>
          <w:sz w:val="24"/>
        </w:rPr>
        <w:t>，并加盖单位公章并由法定代表人或其授权代表签署（签字或盖章），否则视为未提供。</w:t>
      </w:r>
    </w:p>
    <w:p>
      <w:pPr>
        <w:spacing w:line="360" w:lineRule="auto"/>
        <w:ind w:firstLine="420" w:firstLineChars="175"/>
        <w:rPr>
          <w:rFonts w:hint="eastAsia" w:ascii="宋体" w:hAnsi="宋体" w:cs="Arial"/>
          <w:color w:val="000000"/>
          <w:kern w:val="0"/>
          <w:sz w:val="24"/>
        </w:rPr>
      </w:pPr>
      <w:r>
        <w:rPr>
          <w:rFonts w:ascii="宋体" w:hAnsi="宋体" w:cs="Arial"/>
          <w:color w:val="000000"/>
          <w:kern w:val="0"/>
          <w:sz w:val="24"/>
        </w:rPr>
        <w:t>5</w:t>
      </w:r>
      <w:r>
        <w:rPr>
          <w:rFonts w:hint="eastAsia" w:ascii="宋体" w:hAnsi="宋体" w:cs="Arial"/>
          <w:color w:val="000000"/>
          <w:kern w:val="0"/>
          <w:sz w:val="24"/>
        </w:rPr>
        <w:t>.</w:t>
      </w:r>
      <w:r>
        <w:rPr>
          <w:rFonts w:ascii="宋体" w:hAnsi="宋体" w:cs="Arial"/>
          <w:color w:val="000000"/>
          <w:kern w:val="0"/>
          <w:sz w:val="24"/>
        </w:rPr>
        <w:t>4《投标文件》内容不完整、编排混乱导致《投标文件》被误读、漏读或者查找不到相关内容的，是投标供应商的责任。</w:t>
      </w:r>
    </w:p>
    <w:p>
      <w:pPr>
        <w:spacing w:line="360" w:lineRule="auto"/>
        <w:ind w:firstLine="420" w:firstLineChars="175"/>
        <w:rPr>
          <w:rFonts w:hint="eastAsia" w:ascii="宋体" w:hAnsi="宋体" w:cs="Arial"/>
          <w:color w:val="000000"/>
          <w:kern w:val="0"/>
          <w:sz w:val="24"/>
        </w:rPr>
      </w:pPr>
      <w:r>
        <w:rPr>
          <w:rFonts w:ascii="宋体" w:hAnsi="宋体" w:cs="Arial"/>
          <w:color w:val="000000"/>
          <w:kern w:val="0"/>
          <w:sz w:val="24"/>
        </w:rPr>
        <w:t>5</w:t>
      </w:r>
      <w:r>
        <w:rPr>
          <w:rFonts w:hint="eastAsia" w:ascii="宋体" w:hAnsi="宋体" w:cs="Arial"/>
          <w:color w:val="000000"/>
          <w:kern w:val="0"/>
          <w:sz w:val="24"/>
        </w:rPr>
        <w:t>.</w:t>
      </w:r>
      <w:r>
        <w:rPr>
          <w:rFonts w:ascii="宋体" w:hAnsi="宋体" w:cs="Arial"/>
          <w:color w:val="000000"/>
          <w:kern w:val="0"/>
          <w:sz w:val="24"/>
        </w:rPr>
        <w:t>5</w:t>
      </w:r>
      <w:r>
        <w:rPr>
          <w:rFonts w:hint="eastAsia" w:ascii="宋体" w:hAnsi="宋体" w:cs="Arial"/>
          <w:color w:val="000000"/>
          <w:kern w:val="0"/>
          <w:sz w:val="24"/>
        </w:rPr>
        <w:t>《</w:t>
      </w:r>
      <w:r>
        <w:rPr>
          <w:rFonts w:ascii="宋体" w:hAnsi="宋体" w:cs="Arial"/>
          <w:color w:val="000000"/>
          <w:kern w:val="0"/>
          <w:sz w:val="24"/>
        </w:rPr>
        <w:t>投标文件</w:t>
      </w:r>
      <w:r>
        <w:rPr>
          <w:rFonts w:hint="eastAsia" w:ascii="宋体" w:hAnsi="宋体" w:cs="Arial"/>
          <w:color w:val="000000"/>
          <w:kern w:val="0"/>
          <w:sz w:val="24"/>
        </w:rPr>
        <w:t>》</w:t>
      </w:r>
      <w:r>
        <w:rPr>
          <w:rFonts w:ascii="宋体" w:hAnsi="宋体" w:cs="Arial"/>
          <w:color w:val="000000"/>
          <w:kern w:val="0"/>
          <w:sz w:val="24"/>
        </w:rPr>
        <w:t>因字迹潦草或表达不清所引起的后果由投标供应商负责。</w:t>
      </w:r>
    </w:p>
    <w:p>
      <w:pPr>
        <w:spacing w:line="360" w:lineRule="auto"/>
        <w:ind w:firstLine="420" w:firstLineChars="175"/>
        <w:rPr>
          <w:rFonts w:hint="eastAsia" w:ascii="宋体" w:hAnsi="宋体" w:cs="Arial"/>
          <w:color w:val="000000"/>
          <w:kern w:val="0"/>
          <w:sz w:val="24"/>
        </w:rPr>
      </w:pPr>
      <w:r>
        <w:rPr>
          <w:rFonts w:ascii="宋体" w:hAnsi="宋体" w:cs="Arial"/>
          <w:color w:val="000000"/>
          <w:kern w:val="0"/>
          <w:sz w:val="24"/>
        </w:rPr>
        <w:t>5</w:t>
      </w:r>
      <w:r>
        <w:rPr>
          <w:rFonts w:hint="eastAsia" w:ascii="宋体" w:hAnsi="宋体" w:cs="Arial"/>
          <w:color w:val="000000"/>
          <w:kern w:val="0"/>
          <w:sz w:val="24"/>
        </w:rPr>
        <w:t>.</w:t>
      </w:r>
      <w:r>
        <w:rPr>
          <w:rFonts w:ascii="宋体" w:hAnsi="宋体" w:cs="Arial"/>
          <w:color w:val="000000"/>
          <w:kern w:val="0"/>
          <w:sz w:val="24"/>
        </w:rPr>
        <w:t>6投标供应商没有按照本</w:t>
      </w:r>
      <w:r>
        <w:rPr>
          <w:rFonts w:hint="eastAsia" w:ascii="宋体" w:hAnsi="宋体" w:cs="Arial"/>
          <w:color w:val="000000"/>
          <w:kern w:val="0"/>
          <w:sz w:val="24"/>
        </w:rPr>
        <w:t>章节“投标文件组成”</w:t>
      </w:r>
      <w:r>
        <w:rPr>
          <w:rFonts w:ascii="宋体" w:hAnsi="宋体" w:cs="Arial"/>
          <w:color w:val="000000"/>
          <w:kern w:val="0"/>
          <w:sz w:val="24"/>
        </w:rPr>
        <w:t>要求提供全部资料，</w:t>
      </w:r>
      <w:r>
        <w:rPr>
          <w:rFonts w:hint="eastAsia" w:ascii="宋体" w:hAnsi="宋体" w:cs="Arial"/>
          <w:color w:val="000000"/>
          <w:kern w:val="0"/>
          <w:sz w:val="24"/>
        </w:rPr>
        <w:t>或者没有仔细阅读招标文件，</w:t>
      </w:r>
      <w:r>
        <w:rPr>
          <w:rFonts w:ascii="宋体" w:hAnsi="宋体" w:cs="Arial"/>
          <w:color w:val="000000"/>
          <w:kern w:val="0"/>
          <w:sz w:val="24"/>
        </w:rPr>
        <w:t>或者没有对招标文件在各方面的要求作出实质性响应是投标供应商的风险</w:t>
      </w:r>
      <w:r>
        <w:rPr>
          <w:rFonts w:hint="eastAsia" w:ascii="宋体" w:hAnsi="宋体" w:cs="Arial"/>
          <w:color w:val="000000"/>
          <w:kern w:val="0"/>
          <w:sz w:val="24"/>
        </w:rPr>
        <w:t>，由此造成的一切后果由投标供应商自行承担。</w:t>
      </w:r>
    </w:p>
    <w:p>
      <w:pPr>
        <w:pStyle w:val="416"/>
        <w:spacing w:line="360" w:lineRule="auto"/>
        <w:ind w:firstLine="482" w:firstLineChars="200"/>
        <w:rPr>
          <w:b/>
          <w:bCs/>
        </w:rPr>
      </w:pPr>
      <w:r>
        <w:rPr>
          <w:rFonts w:hint="eastAsia" w:ascii="宋体" w:hAnsi="宋体" w:cs="Arial"/>
          <w:b/>
          <w:bCs/>
          <w:color w:val="000000"/>
          <w:kern w:val="0"/>
          <w:sz w:val="24"/>
        </w:rPr>
        <w:t>5.7</w:t>
      </w:r>
      <w:r>
        <w:rPr>
          <w:rFonts w:hint="eastAsia" w:ascii="宋体" w:hAnsi="宋体" w:cs="宋体"/>
          <w:b/>
          <w:bCs/>
          <w:sz w:val="24"/>
          <w:szCs w:val="24"/>
        </w:rPr>
        <w:t>如采用联合体投标的，须提供联合体协议。联合体各方应当签订共同投标协议，明确约定各方拟承但的工作和责任，同时协议内须明确牵头单位，并将共同投标协议联同投标文件一并提交给招标人，联合体中标的，联合体各方应当共同与招标人签订合同，就中标项目向招标人承担连带责任。</w:t>
      </w:r>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（六）</w:t>
      </w:r>
      <w:r>
        <w:rPr>
          <w:rFonts w:hint="eastAsia" w:ascii="宋体" w:hAnsi="宋体" w:eastAsia="宋体"/>
          <w:sz w:val="24"/>
          <w:szCs w:val="24"/>
        </w:rPr>
        <w:t>投标文件的签章</w:t>
      </w:r>
    </w:p>
    <w:p>
      <w:pPr>
        <w:spacing w:line="360" w:lineRule="auto"/>
        <w:ind w:firstLine="463" w:firstLineChars="192"/>
        <w:rPr>
          <w:rFonts w:hint="eastAsia" w:ascii="宋体" w:hAnsi="宋体" w:cs="Arial"/>
          <w:b/>
          <w:color w:val="000000"/>
          <w:kern w:val="0"/>
          <w:sz w:val="24"/>
        </w:rPr>
      </w:pPr>
      <w:r>
        <w:rPr>
          <w:rFonts w:ascii="宋体" w:hAnsi="宋体" w:cs="Arial"/>
          <w:b/>
          <w:color w:val="000000"/>
          <w:kern w:val="0"/>
          <w:sz w:val="24"/>
        </w:rPr>
        <w:t>6</w:t>
      </w:r>
      <w:r>
        <w:rPr>
          <w:rFonts w:hint="eastAsia" w:ascii="宋体" w:hAnsi="宋体" w:cs="Arial"/>
          <w:b/>
          <w:color w:val="000000"/>
          <w:kern w:val="0"/>
          <w:sz w:val="24"/>
        </w:rPr>
        <w:t>.1《</w:t>
      </w:r>
      <w:r>
        <w:rPr>
          <w:rFonts w:ascii="宋体" w:hAnsi="宋体" w:cs="Arial"/>
          <w:b/>
          <w:color w:val="000000"/>
          <w:kern w:val="0"/>
          <w:sz w:val="24"/>
        </w:rPr>
        <w:t>投标文件</w:t>
      </w:r>
      <w:r>
        <w:rPr>
          <w:rFonts w:hint="eastAsia" w:ascii="宋体" w:hAnsi="宋体" w:cs="Arial"/>
          <w:b/>
          <w:color w:val="000000"/>
          <w:kern w:val="0"/>
          <w:sz w:val="24"/>
        </w:rPr>
        <w:t>》的签章：</w:t>
      </w:r>
      <w:r>
        <w:rPr>
          <w:rFonts w:hint="eastAsia" w:ascii="宋体" w:hAnsi="宋体"/>
          <w:b/>
          <w:color w:val="000000"/>
          <w:sz w:val="24"/>
        </w:rPr>
        <w:t>见《前附表》；</w:t>
      </w:r>
    </w:p>
    <w:p>
      <w:pPr>
        <w:spacing w:line="360" w:lineRule="auto"/>
        <w:ind w:firstLine="463" w:firstLineChars="192"/>
        <w:rPr>
          <w:rFonts w:hint="eastAsia" w:ascii="宋体" w:hAnsi="宋体" w:cs="Arial"/>
          <w:b/>
          <w:color w:val="000000"/>
          <w:kern w:val="0"/>
          <w:sz w:val="24"/>
        </w:rPr>
      </w:pPr>
      <w:r>
        <w:rPr>
          <w:rFonts w:ascii="宋体" w:hAnsi="宋体" w:cs="Arial"/>
          <w:b/>
          <w:color w:val="000000"/>
          <w:kern w:val="0"/>
          <w:sz w:val="24"/>
        </w:rPr>
        <w:t>6</w:t>
      </w:r>
      <w:r>
        <w:rPr>
          <w:rFonts w:hint="eastAsia" w:ascii="宋体" w:hAnsi="宋体" w:cs="Arial"/>
          <w:b/>
          <w:color w:val="000000"/>
          <w:kern w:val="0"/>
          <w:sz w:val="24"/>
        </w:rPr>
        <w:t>.2《</w:t>
      </w:r>
      <w:r>
        <w:rPr>
          <w:rFonts w:ascii="宋体" w:hAnsi="宋体" w:cs="Arial"/>
          <w:b/>
          <w:color w:val="000000"/>
          <w:kern w:val="0"/>
          <w:sz w:val="24"/>
        </w:rPr>
        <w:t>投标文件</w:t>
      </w:r>
      <w:r>
        <w:rPr>
          <w:rFonts w:hint="eastAsia" w:ascii="宋体" w:hAnsi="宋体" w:cs="Arial"/>
          <w:b/>
          <w:color w:val="000000"/>
          <w:kern w:val="0"/>
          <w:sz w:val="24"/>
        </w:rPr>
        <w:t>》应由投标供应商法定代表人或其授权代表签字（或盖章），并加盖投标供应商公章。</w:t>
      </w:r>
    </w:p>
    <w:p>
      <w:pPr>
        <w:spacing w:line="360" w:lineRule="auto"/>
        <w:ind w:firstLine="424" w:firstLineChars="176"/>
        <w:rPr>
          <w:rFonts w:ascii="宋体" w:hAnsi="宋体" w:cs="Arial"/>
          <w:color w:val="000000"/>
          <w:sz w:val="24"/>
        </w:rPr>
      </w:pPr>
      <w:r>
        <w:rPr>
          <w:rFonts w:ascii="宋体" w:hAnsi="宋体" w:cs="Arial"/>
          <w:b/>
          <w:color w:val="000000"/>
          <w:kern w:val="0"/>
          <w:sz w:val="24"/>
        </w:rPr>
        <w:t>6</w:t>
      </w:r>
      <w:r>
        <w:rPr>
          <w:rFonts w:hint="eastAsia" w:ascii="宋体" w:hAnsi="宋体" w:cs="Arial"/>
          <w:b/>
          <w:color w:val="000000"/>
          <w:kern w:val="0"/>
          <w:sz w:val="24"/>
        </w:rPr>
        <w:t>.</w:t>
      </w:r>
      <w:r>
        <w:rPr>
          <w:rFonts w:ascii="宋体" w:hAnsi="宋体" w:cs="Arial"/>
          <w:b/>
          <w:color w:val="000000"/>
          <w:kern w:val="0"/>
          <w:sz w:val="24"/>
        </w:rPr>
        <w:t>3</w:t>
      </w:r>
      <w:r>
        <w:rPr>
          <w:rFonts w:hint="eastAsia" w:ascii="宋体" w:hAnsi="宋体" w:cs="Arial"/>
          <w:b/>
          <w:color w:val="000000"/>
          <w:kern w:val="0"/>
          <w:sz w:val="24"/>
        </w:rPr>
        <w:t>电子签章操作指南详见政采云平台</w:t>
      </w:r>
      <w:r>
        <w:rPr>
          <w:rFonts w:hint="eastAsia" w:ascii="宋体" w:hAnsi="宋体" w:cs="Arial"/>
          <w:b/>
          <w:color w:val="000000"/>
          <w:sz w:val="24"/>
        </w:rPr>
        <w:t>《供应商项目采购-电子招投标操作指南》</w:t>
      </w:r>
      <w:r>
        <w:rPr>
          <w:rFonts w:hint="eastAsia" w:ascii="宋体" w:hAnsi="宋体" w:cs="Arial"/>
          <w:color w:val="000000"/>
          <w:sz w:val="24"/>
        </w:rPr>
        <w:t>。</w:t>
      </w:r>
    </w:p>
    <w:p>
      <w:pPr>
        <w:spacing w:line="360" w:lineRule="auto"/>
        <w:ind w:firstLine="424" w:firstLineChars="176"/>
        <w:rPr>
          <w:rFonts w:hint="eastAsia" w:ascii="宋体" w:hAnsi="宋体" w:cs="Arial"/>
          <w:color w:val="000000"/>
          <w:sz w:val="24"/>
        </w:rPr>
      </w:pPr>
      <w:r>
        <w:rPr>
          <w:rFonts w:ascii="宋体" w:hAnsi="宋体" w:cs="Arial"/>
          <w:b/>
          <w:color w:val="000000"/>
          <w:kern w:val="0"/>
          <w:sz w:val="24"/>
        </w:rPr>
        <w:t>6</w:t>
      </w:r>
      <w:r>
        <w:rPr>
          <w:rFonts w:hint="eastAsia" w:ascii="宋体" w:hAnsi="宋体" w:cs="Arial"/>
          <w:b/>
          <w:color w:val="000000"/>
          <w:kern w:val="0"/>
          <w:sz w:val="24"/>
        </w:rPr>
        <w:t>.4</w:t>
      </w:r>
      <w:r>
        <w:rPr>
          <w:rFonts w:hint="eastAsia" w:ascii="宋体" w:hAnsi="宋体" w:cs="宋体"/>
          <w:sz w:val="24"/>
        </w:rPr>
        <w:t>如采用联合体投标的，除投标文件中联合体各方的资格、资信、业绩等文件（如营业执照、荣誉证书、资质证书、人员证书、业绩等）由相应联合体成员加盖各自公章外，其余均由联合体牵头人及其法定代表人（或法定代表人的授权委托人）代表联合体各方签署投标文件。</w:t>
      </w:r>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（七）</w:t>
      </w:r>
      <w:r>
        <w:rPr>
          <w:rFonts w:hint="eastAsia" w:ascii="宋体" w:hAnsi="宋体" w:eastAsia="宋体"/>
          <w:sz w:val="24"/>
          <w:szCs w:val="24"/>
        </w:rPr>
        <w:t>投标文件的形式</w:t>
      </w:r>
    </w:p>
    <w:p>
      <w:pPr>
        <w:spacing w:line="360" w:lineRule="auto"/>
        <w:ind w:firstLine="424" w:firstLineChars="176"/>
        <w:rPr>
          <w:rFonts w:hint="eastAsia" w:ascii="宋体" w:hAnsi="宋体" w:cs="Arial"/>
          <w:color w:val="000000"/>
          <w:sz w:val="24"/>
        </w:rPr>
      </w:pPr>
      <w:r>
        <w:rPr>
          <w:rFonts w:ascii="宋体" w:hAnsi="宋体" w:cs="Arial"/>
          <w:b/>
          <w:color w:val="000000"/>
          <w:sz w:val="24"/>
        </w:rPr>
        <w:t>7</w:t>
      </w:r>
      <w:r>
        <w:rPr>
          <w:rFonts w:hint="eastAsia" w:ascii="宋体" w:hAnsi="宋体" w:cs="Arial"/>
          <w:b/>
          <w:color w:val="000000"/>
          <w:sz w:val="24"/>
        </w:rPr>
        <w:t>.1投标文件的形式：</w:t>
      </w:r>
      <w:r>
        <w:rPr>
          <w:rFonts w:hint="eastAsia" w:ascii="宋体" w:hAnsi="宋体"/>
          <w:b/>
          <w:color w:val="000000"/>
          <w:sz w:val="24"/>
        </w:rPr>
        <w:t>见《前附表》；</w:t>
      </w:r>
    </w:p>
    <w:p>
      <w:pPr>
        <w:spacing w:line="360" w:lineRule="auto"/>
        <w:ind w:firstLine="424" w:firstLineChars="176"/>
        <w:rPr>
          <w:rFonts w:hint="eastAsia" w:ascii="宋体" w:hAnsi="宋体" w:cs="Arial"/>
          <w:b/>
          <w:color w:val="000000"/>
          <w:sz w:val="24"/>
        </w:rPr>
      </w:pPr>
      <w:r>
        <w:rPr>
          <w:rFonts w:ascii="宋体" w:hAnsi="宋体" w:cs="Arial"/>
          <w:b/>
          <w:color w:val="000000"/>
          <w:sz w:val="24"/>
        </w:rPr>
        <w:t>7</w:t>
      </w:r>
      <w:r>
        <w:rPr>
          <w:rFonts w:hint="eastAsia" w:ascii="宋体" w:hAnsi="宋体" w:cs="Arial"/>
          <w:b/>
          <w:color w:val="000000"/>
          <w:sz w:val="24"/>
        </w:rPr>
        <w:t>.2“电子加密投标文件”：“电子加密投标文件”是指通过“政采云电子交易客户端”完成投标文件编制后生成并加密的数据电文形式的投标文件。</w:t>
      </w:r>
    </w:p>
    <w:p>
      <w:pPr>
        <w:spacing w:line="360" w:lineRule="auto"/>
        <w:ind w:firstLine="424" w:firstLineChars="176"/>
        <w:rPr>
          <w:rFonts w:hint="eastAsia" w:ascii="宋体" w:hAnsi="宋体" w:cs="Arial"/>
          <w:b/>
          <w:color w:val="000000"/>
          <w:sz w:val="24"/>
        </w:rPr>
      </w:pPr>
      <w:r>
        <w:rPr>
          <w:rFonts w:ascii="宋体" w:hAnsi="宋体" w:cs="Arial"/>
          <w:b/>
          <w:color w:val="000000"/>
          <w:sz w:val="24"/>
        </w:rPr>
        <w:t>7</w:t>
      </w:r>
      <w:r>
        <w:rPr>
          <w:rFonts w:hint="eastAsia" w:ascii="宋体" w:hAnsi="宋体" w:cs="Arial"/>
          <w:b/>
          <w:color w:val="000000"/>
          <w:sz w:val="24"/>
        </w:rPr>
        <w:t>.3“备份投标文件”：“备份投标文件”是指与“电子加密投标文件”同时生成的数据电文形式的电子文件（备份标书），其他方式编制的“备份投标文件”视为无效的“备份投标文件”。</w:t>
      </w:r>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（八）</w:t>
      </w:r>
      <w:r>
        <w:rPr>
          <w:rFonts w:hint="eastAsia" w:ascii="宋体" w:hAnsi="宋体" w:eastAsia="宋体"/>
          <w:sz w:val="24"/>
          <w:szCs w:val="24"/>
        </w:rPr>
        <w:t>投标文件的份数</w:t>
      </w:r>
    </w:p>
    <w:p>
      <w:pPr>
        <w:spacing w:line="360" w:lineRule="auto"/>
        <w:ind w:firstLine="424" w:firstLineChars="176"/>
        <w:rPr>
          <w:rFonts w:hint="eastAsia" w:ascii="宋体" w:hAnsi="宋体" w:cs="Arial"/>
          <w:b/>
          <w:color w:val="000000"/>
          <w:kern w:val="0"/>
          <w:sz w:val="24"/>
        </w:rPr>
      </w:pPr>
      <w:r>
        <w:rPr>
          <w:rFonts w:ascii="宋体" w:hAnsi="宋体" w:cs="Arial"/>
          <w:b/>
          <w:color w:val="000000"/>
          <w:sz w:val="24"/>
        </w:rPr>
        <w:t>8</w:t>
      </w:r>
      <w:r>
        <w:rPr>
          <w:rFonts w:hint="eastAsia" w:ascii="宋体" w:hAnsi="宋体" w:cs="Arial"/>
          <w:b/>
          <w:color w:val="000000"/>
          <w:sz w:val="24"/>
        </w:rPr>
        <w:t>.1投标文件的份数：</w:t>
      </w:r>
      <w:r>
        <w:rPr>
          <w:rFonts w:hint="eastAsia" w:ascii="宋体" w:hAnsi="宋体"/>
          <w:b/>
          <w:color w:val="000000"/>
          <w:sz w:val="24"/>
        </w:rPr>
        <w:t>见《前附表》</w:t>
      </w:r>
      <w:r>
        <w:rPr>
          <w:rFonts w:hint="eastAsia" w:ascii="宋体" w:hAnsi="宋体" w:cs="Arial"/>
          <w:b/>
          <w:color w:val="000000"/>
          <w:sz w:val="24"/>
        </w:rPr>
        <w:t>。</w:t>
      </w:r>
    </w:p>
    <w:p>
      <w:pPr>
        <w:snapToGrid w:val="0"/>
        <w:spacing w:line="360" w:lineRule="auto"/>
        <w:jc w:val="center"/>
        <w:outlineLvl w:val="1"/>
        <w:rPr>
          <w:rFonts w:hint="eastAsia" w:ascii="宋体" w:hAnsi="宋体" w:cs="宋体"/>
          <w:b/>
          <w:color w:val="000000"/>
          <w:sz w:val="24"/>
        </w:rPr>
      </w:pPr>
      <w:bookmarkStart w:id="83" w:name="_Toc4652"/>
      <w:bookmarkStart w:id="84" w:name="_Toc412730341"/>
      <w:bookmarkStart w:id="85" w:name="_Toc462229099"/>
      <w:bookmarkStart w:id="86" w:name="_Toc12606"/>
      <w:bookmarkStart w:id="87" w:name="_Toc5407"/>
      <w:bookmarkStart w:id="88" w:name="_Toc354996699"/>
      <w:r>
        <w:rPr>
          <w:rFonts w:hint="eastAsia" w:ascii="宋体" w:hAnsi="宋体" w:cs="宋体"/>
          <w:b/>
          <w:color w:val="000000"/>
          <w:sz w:val="24"/>
        </w:rPr>
        <w:t>四、投标</w:t>
      </w:r>
      <w:bookmarkEnd w:id="83"/>
      <w:bookmarkEnd w:id="84"/>
      <w:bookmarkEnd w:id="85"/>
      <w:bookmarkEnd w:id="86"/>
      <w:bookmarkEnd w:id="87"/>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（一）</w:t>
      </w:r>
      <w:r>
        <w:rPr>
          <w:rFonts w:hint="eastAsia" w:ascii="宋体" w:hAnsi="宋体" w:eastAsia="宋体"/>
          <w:sz w:val="24"/>
          <w:szCs w:val="24"/>
        </w:rPr>
        <w:t>投标文件的上传和递交</w:t>
      </w:r>
    </w:p>
    <w:p>
      <w:pPr>
        <w:spacing w:line="360" w:lineRule="auto"/>
        <w:ind w:firstLine="426" w:firstLineChars="177"/>
        <w:rPr>
          <w:rFonts w:hint="eastAsia" w:ascii="宋体" w:hAnsi="宋体"/>
          <w:b/>
          <w:color w:val="000000"/>
          <w:sz w:val="24"/>
        </w:rPr>
      </w:pPr>
      <w:r>
        <w:rPr>
          <w:rFonts w:ascii="宋体" w:hAnsi="宋体" w:cs="Arial"/>
          <w:b/>
          <w:color w:val="000000"/>
          <w:kern w:val="0"/>
          <w:sz w:val="24"/>
        </w:rPr>
        <w:t>1</w:t>
      </w:r>
      <w:r>
        <w:rPr>
          <w:rFonts w:hint="eastAsia" w:ascii="宋体" w:hAnsi="宋体" w:cs="Arial"/>
          <w:b/>
          <w:color w:val="000000"/>
          <w:kern w:val="0"/>
          <w:sz w:val="24"/>
        </w:rPr>
        <w:t>.1“投标文件”的上传、递交：</w:t>
      </w:r>
      <w:r>
        <w:rPr>
          <w:rFonts w:hint="eastAsia" w:ascii="宋体" w:hAnsi="宋体"/>
          <w:b/>
          <w:color w:val="000000"/>
          <w:sz w:val="24"/>
        </w:rPr>
        <w:t>见《前附表》。</w:t>
      </w:r>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（二）</w:t>
      </w:r>
      <w:r>
        <w:rPr>
          <w:rFonts w:hint="eastAsia" w:ascii="宋体" w:hAnsi="宋体" w:eastAsia="宋体"/>
          <w:sz w:val="24"/>
          <w:szCs w:val="24"/>
        </w:rPr>
        <w:t>“电子加密投标文件”解密和异常情况处理</w:t>
      </w:r>
    </w:p>
    <w:p>
      <w:pPr>
        <w:spacing w:line="360" w:lineRule="auto"/>
        <w:ind w:firstLine="426" w:firstLineChars="177"/>
        <w:rPr>
          <w:rFonts w:hint="eastAsia" w:ascii="宋体" w:hAnsi="宋体"/>
          <w:color w:val="000000"/>
          <w:sz w:val="24"/>
        </w:rPr>
      </w:pPr>
      <w:r>
        <w:rPr>
          <w:rFonts w:ascii="宋体" w:hAnsi="宋体" w:cs="Arial"/>
          <w:b/>
          <w:color w:val="000000"/>
          <w:kern w:val="0"/>
          <w:sz w:val="24"/>
        </w:rPr>
        <w:t>2</w:t>
      </w:r>
      <w:r>
        <w:rPr>
          <w:rFonts w:hint="eastAsia" w:ascii="宋体" w:hAnsi="宋体" w:cs="Arial"/>
          <w:b/>
          <w:color w:val="000000"/>
          <w:kern w:val="0"/>
          <w:sz w:val="24"/>
        </w:rPr>
        <w:t>.1“电子加密投标文件”解密：</w:t>
      </w:r>
      <w:r>
        <w:rPr>
          <w:rFonts w:hint="eastAsia" w:ascii="宋体" w:hAnsi="宋体"/>
          <w:b/>
          <w:color w:val="000000"/>
          <w:sz w:val="24"/>
        </w:rPr>
        <w:t>见《前附表》。</w:t>
      </w:r>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（三）</w:t>
      </w:r>
      <w:r>
        <w:rPr>
          <w:rFonts w:hint="eastAsia" w:ascii="宋体" w:hAnsi="宋体" w:eastAsia="宋体"/>
          <w:sz w:val="24"/>
          <w:szCs w:val="24"/>
        </w:rPr>
        <w:t>投标文件的补充、修改或撤回</w:t>
      </w:r>
    </w:p>
    <w:p>
      <w:pPr>
        <w:spacing w:line="360" w:lineRule="auto"/>
        <w:ind w:firstLine="426" w:firstLineChars="177"/>
        <w:rPr>
          <w:rFonts w:hint="eastAsia" w:ascii="宋体" w:hAnsi="宋体" w:cs="Arial"/>
          <w:color w:val="000000"/>
          <w:kern w:val="0"/>
          <w:sz w:val="24"/>
        </w:rPr>
      </w:pPr>
      <w:r>
        <w:rPr>
          <w:rFonts w:ascii="宋体" w:hAnsi="宋体" w:cs="Arial"/>
          <w:b/>
          <w:color w:val="000000"/>
          <w:kern w:val="0"/>
          <w:sz w:val="24"/>
        </w:rPr>
        <w:t>3</w:t>
      </w:r>
      <w:r>
        <w:rPr>
          <w:rFonts w:hint="eastAsia" w:ascii="宋体" w:hAnsi="宋体" w:cs="Arial"/>
          <w:b/>
          <w:color w:val="000000"/>
          <w:kern w:val="0"/>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360" w:lineRule="auto"/>
        <w:ind w:firstLine="426" w:firstLineChars="177"/>
        <w:rPr>
          <w:rFonts w:hint="eastAsia" w:ascii="宋体" w:hAnsi="宋体" w:cs="Arial"/>
          <w:b/>
          <w:color w:val="000000"/>
          <w:kern w:val="0"/>
          <w:sz w:val="24"/>
        </w:rPr>
      </w:pPr>
      <w:r>
        <w:rPr>
          <w:rFonts w:ascii="宋体" w:hAnsi="宋体" w:cs="Arial"/>
          <w:b/>
          <w:color w:val="000000"/>
          <w:kern w:val="0"/>
          <w:sz w:val="24"/>
        </w:rPr>
        <w:t>3</w:t>
      </w:r>
      <w:r>
        <w:rPr>
          <w:rFonts w:hint="eastAsia" w:ascii="宋体" w:hAnsi="宋体" w:cs="Arial"/>
          <w:b/>
          <w:color w:val="000000"/>
          <w:kern w:val="0"/>
          <w:sz w:val="24"/>
        </w:rPr>
        <w:t>.2</w:t>
      </w:r>
      <w:r>
        <w:rPr>
          <w:rFonts w:ascii="宋体" w:hAnsi="宋体" w:cs="Arial"/>
          <w:b/>
          <w:color w:val="000000"/>
          <w:kern w:val="0"/>
          <w:sz w:val="24"/>
        </w:rPr>
        <w:t>投标截止时间后，投标供应商不得撤回、修改《投标文件》</w:t>
      </w:r>
      <w:r>
        <w:rPr>
          <w:rFonts w:hint="eastAsia" w:ascii="宋体" w:hAnsi="宋体" w:cs="Arial"/>
          <w:b/>
          <w:color w:val="000000"/>
          <w:kern w:val="0"/>
          <w:sz w:val="24"/>
        </w:rPr>
        <w:t>。</w:t>
      </w:r>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（四）</w:t>
      </w:r>
      <w:r>
        <w:rPr>
          <w:rFonts w:hint="eastAsia" w:ascii="宋体" w:hAnsi="宋体" w:eastAsia="宋体"/>
          <w:sz w:val="24"/>
          <w:szCs w:val="24"/>
        </w:rPr>
        <w:t>投标文件的备选方案</w:t>
      </w:r>
    </w:p>
    <w:p>
      <w:pPr>
        <w:spacing w:line="360" w:lineRule="auto"/>
        <w:ind w:firstLine="426" w:firstLineChars="177"/>
        <w:rPr>
          <w:rFonts w:hint="eastAsia" w:ascii="宋体" w:hAnsi="宋体"/>
          <w:b/>
          <w:color w:val="000000"/>
          <w:sz w:val="24"/>
        </w:rPr>
      </w:pPr>
      <w:r>
        <w:rPr>
          <w:rFonts w:ascii="宋体" w:hAnsi="宋体"/>
          <w:b/>
          <w:color w:val="000000"/>
          <w:sz w:val="24"/>
        </w:rPr>
        <w:t>4.1</w:t>
      </w:r>
      <w:r>
        <w:rPr>
          <w:rFonts w:hint="eastAsia" w:ascii="宋体" w:hAnsi="宋体"/>
          <w:b/>
          <w:color w:val="000000"/>
          <w:sz w:val="24"/>
        </w:rPr>
        <w:t>投标供应商不得递交任何的</w:t>
      </w:r>
      <w:r>
        <w:rPr>
          <w:rFonts w:ascii="宋体" w:hAnsi="宋体" w:cs="Arial"/>
          <w:b/>
          <w:color w:val="000000"/>
          <w:kern w:val="0"/>
          <w:sz w:val="24"/>
        </w:rPr>
        <w:t>投标备选（替代）方案</w:t>
      </w:r>
      <w:r>
        <w:rPr>
          <w:rFonts w:hint="eastAsia" w:ascii="宋体" w:hAnsi="宋体"/>
          <w:b/>
          <w:color w:val="000000"/>
          <w:sz w:val="24"/>
        </w:rPr>
        <w:t>，否则其投标文件将作无效标处理。与“电子加密投标文件”同时生成的“备份投标文件”不是投标备选（替代）方案。</w:t>
      </w:r>
    </w:p>
    <w:p>
      <w:pPr>
        <w:snapToGrid w:val="0"/>
        <w:spacing w:line="360" w:lineRule="auto"/>
        <w:jc w:val="center"/>
        <w:outlineLvl w:val="1"/>
        <w:rPr>
          <w:rFonts w:hint="eastAsia" w:ascii="宋体" w:hAnsi="宋体" w:cs="宋体"/>
          <w:b/>
          <w:color w:val="000000"/>
          <w:sz w:val="24"/>
        </w:rPr>
      </w:pPr>
      <w:bookmarkStart w:id="89" w:name="_Toc462229100"/>
      <w:bookmarkStart w:id="90" w:name="_Toc6672"/>
      <w:bookmarkStart w:id="91" w:name="_Toc449"/>
      <w:bookmarkStart w:id="92" w:name="_Toc19031"/>
      <w:r>
        <w:rPr>
          <w:rFonts w:hint="eastAsia" w:ascii="宋体" w:hAnsi="宋体" w:cs="宋体"/>
          <w:b/>
          <w:color w:val="000000"/>
          <w:sz w:val="24"/>
        </w:rPr>
        <w:t>五、开 标</w:t>
      </w:r>
      <w:bookmarkEnd w:id="89"/>
      <w:bookmarkEnd w:id="90"/>
      <w:bookmarkEnd w:id="91"/>
      <w:bookmarkEnd w:id="92"/>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（一）</w:t>
      </w:r>
      <w:r>
        <w:rPr>
          <w:rFonts w:hint="eastAsia" w:ascii="宋体" w:hAnsi="宋体" w:eastAsia="宋体"/>
          <w:sz w:val="24"/>
          <w:szCs w:val="24"/>
        </w:rPr>
        <w:t>开标</w:t>
      </w:r>
      <w:r>
        <w:rPr>
          <w:rFonts w:hint="eastAsia" w:ascii="宋体" w:hAnsi="宋体" w:eastAsia="宋体" w:cs="宋体"/>
          <w:sz w:val="24"/>
          <w:szCs w:val="24"/>
        </w:rPr>
        <w:t>形式</w:t>
      </w:r>
    </w:p>
    <w:p>
      <w:pPr>
        <w:spacing w:line="360" w:lineRule="auto"/>
        <w:ind w:firstLine="426" w:firstLineChars="177"/>
        <w:rPr>
          <w:rFonts w:hint="eastAsia" w:ascii="宋体" w:hAnsi="宋体"/>
          <w:b/>
          <w:color w:val="000000"/>
          <w:sz w:val="24"/>
        </w:rPr>
      </w:pPr>
      <w:r>
        <w:rPr>
          <w:rFonts w:hint="eastAsia" w:ascii="宋体" w:hAnsi="宋体"/>
          <w:b/>
          <w:color w:val="000000"/>
          <w:sz w:val="24"/>
        </w:rPr>
        <w:t>1.1 采购组织机构将按照招标文件规定的时间通过“政府采购云平台”组织开标、开启投标文件，所有供应商均应当准时在线参加。</w:t>
      </w:r>
    </w:p>
    <w:p>
      <w:pPr>
        <w:pStyle w:val="6"/>
        <w:numPr>
          <w:ilvl w:val="2"/>
          <w:numId w:val="0"/>
        </w:numPr>
        <w:spacing w:before="0" w:after="0"/>
        <w:ind w:left="720" w:hanging="720"/>
        <w:jc w:val="both"/>
        <w:rPr>
          <w:rFonts w:ascii="宋体" w:hAnsi="宋体" w:eastAsia="宋体"/>
          <w:sz w:val="24"/>
          <w:szCs w:val="24"/>
        </w:rPr>
      </w:pPr>
      <w:r>
        <w:rPr>
          <w:rFonts w:hint="eastAsia" w:ascii="宋体" w:hAnsi="宋体" w:eastAsia="宋体" w:cs="宋体"/>
          <w:sz w:val="24"/>
          <w:szCs w:val="24"/>
        </w:rPr>
        <w:t>（二）</w:t>
      </w:r>
      <w:r>
        <w:rPr>
          <w:rFonts w:hint="eastAsia" w:ascii="宋体" w:hAnsi="宋体" w:eastAsia="宋体"/>
          <w:sz w:val="24"/>
          <w:szCs w:val="24"/>
        </w:rPr>
        <w:t xml:space="preserve"> </w:t>
      </w:r>
      <w:r>
        <w:rPr>
          <w:rFonts w:ascii="宋体" w:hAnsi="宋体" w:eastAsia="宋体"/>
          <w:sz w:val="24"/>
          <w:szCs w:val="24"/>
        </w:rPr>
        <w:t>开标准备</w:t>
      </w:r>
    </w:p>
    <w:p>
      <w:pPr>
        <w:spacing w:line="360" w:lineRule="auto"/>
        <w:ind w:firstLine="422" w:firstLineChars="176"/>
        <w:rPr>
          <w:rFonts w:hint="eastAsia" w:ascii="宋体" w:hAnsi="宋体" w:cs="Arial"/>
          <w:color w:val="000000"/>
          <w:kern w:val="0"/>
          <w:sz w:val="24"/>
        </w:rPr>
      </w:pPr>
      <w:r>
        <w:rPr>
          <w:rFonts w:ascii="宋体" w:hAnsi="宋体" w:cs="Arial"/>
          <w:color w:val="000000"/>
          <w:kern w:val="0"/>
          <w:sz w:val="24"/>
        </w:rPr>
        <w:t>2</w:t>
      </w:r>
      <w:r>
        <w:rPr>
          <w:rFonts w:hint="eastAsia" w:ascii="宋体" w:hAnsi="宋体" w:cs="Arial"/>
          <w:color w:val="000000"/>
          <w:kern w:val="0"/>
          <w:sz w:val="24"/>
        </w:rPr>
        <w:t>.1开标的准备工作由采购组织机构负责落实；</w:t>
      </w:r>
    </w:p>
    <w:p>
      <w:pPr>
        <w:spacing w:line="360" w:lineRule="auto"/>
        <w:ind w:firstLine="422" w:firstLineChars="176"/>
        <w:rPr>
          <w:rFonts w:hint="eastAsia" w:ascii="宋体" w:hAnsi="宋体" w:cs="Arial"/>
          <w:b/>
          <w:color w:val="000000"/>
          <w:kern w:val="0"/>
          <w:sz w:val="24"/>
        </w:rPr>
      </w:pPr>
      <w:r>
        <w:rPr>
          <w:rFonts w:ascii="宋体" w:hAnsi="宋体" w:cs="Arial"/>
          <w:color w:val="000000"/>
          <w:kern w:val="0"/>
          <w:sz w:val="24"/>
        </w:rPr>
        <w:t>2</w:t>
      </w:r>
      <w:r>
        <w:rPr>
          <w:rFonts w:hint="eastAsia" w:ascii="宋体" w:hAnsi="宋体" w:cs="Arial"/>
          <w:color w:val="000000"/>
          <w:kern w:val="0"/>
          <w:sz w:val="24"/>
        </w:rPr>
        <w:t>.2</w:t>
      </w:r>
      <w:r>
        <w:rPr>
          <w:rFonts w:hint="eastAsia" w:ascii="宋体" w:hAnsi="宋体"/>
          <w:b/>
          <w:color w:val="000000"/>
          <w:sz w:val="24"/>
        </w:rPr>
        <w:t>采购组织机构将按照招标文件规定的时间通过“政府采购云平台”组织开标、开启投标文件，所有供应商均应当准时在线参加。</w:t>
      </w:r>
      <w:r>
        <w:rPr>
          <w:rFonts w:hint="eastAsia" w:ascii="宋体" w:hAnsi="宋体" w:cs="Arial"/>
          <w:b/>
          <w:color w:val="000000"/>
          <w:kern w:val="0"/>
          <w:sz w:val="24"/>
        </w:rPr>
        <w:t>投标供应商</w:t>
      </w:r>
      <w:r>
        <w:rPr>
          <w:rFonts w:ascii="宋体" w:hAnsi="宋体" w:cs="Arial"/>
          <w:b/>
          <w:color w:val="000000"/>
          <w:kern w:val="0"/>
          <w:sz w:val="24"/>
        </w:rPr>
        <w:t>如不</w:t>
      </w:r>
      <w:r>
        <w:rPr>
          <w:rFonts w:hint="eastAsia" w:ascii="宋体" w:hAnsi="宋体" w:cs="Arial"/>
          <w:b/>
          <w:color w:val="000000"/>
          <w:kern w:val="0"/>
          <w:sz w:val="24"/>
        </w:rPr>
        <w:t>参加</w:t>
      </w:r>
      <w:r>
        <w:rPr>
          <w:rFonts w:ascii="宋体" w:hAnsi="宋体" w:cs="Arial"/>
          <w:b/>
          <w:color w:val="000000"/>
          <w:kern w:val="0"/>
          <w:sz w:val="24"/>
        </w:rPr>
        <w:t>开标大会的，</w:t>
      </w:r>
      <w:r>
        <w:rPr>
          <w:rFonts w:hint="eastAsia" w:ascii="宋体" w:hAnsi="宋体" w:cs="Arial"/>
          <w:b/>
          <w:color w:val="000000"/>
          <w:kern w:val="0"/>
          <w:sz w:val="24"/>
        </w:rPr>
        <w:t>视同认可开标结果，</w:t>
      </w:r>
      <w:r>
        <w:rPr>
          <w:rFonts w:ascii="宋体" w:hAnsi="宋体" w:cs="Arial"/>
          <w:b/>
          <w:color w:val="000000"/>
          <w:kern w:val="0"/>
          <w:sz w:val="24"/>
        </w:rPr>
        <w:t>事后不得对采购相关人员、开标过程和开标结果提出异议</w:t>
      </w:r>
      <w:r>
        <w:rPr>
          <w:rFonts w:hint="eastAsia" w:ascii="宋体" w:hAnsi="宋体" w:cs="Arial"/>
          <w:b/>
          <w:color w:val="000000"/>
          <w:kern w:val="0"/>
          <w:sz w:val="24"/>
        </w:rPr>
        <w:t>，同时投标供应商因未在线参加开标而导致投标文件无法按时解密等一切后果由供应商自己承担。</w:t>
      </w:r>
    </w:p>
    <w:p>
      <w:pPr>
        <w:spacing w:line="360" w:lineRule="auto"/>
        <w:ind w:firstLine="422" w:firstLineChars="176"/>
        <w:rPr>
          <w:rFonts w:hint="eastAsia" w:ascii="宋体" w:hAnsi="宋体" w:cs="Arial"/>
          <w:b/>
          <w:bCs/>
          <w:color w:val="000000"/>
          <w:kern w:val="0"/>
          <w:sz w:val="24"/>
        </w:rPr>
      </w:pPr>
      <w:r>
        <w:rPr>
          <w:rFonts w:hint="eastAsia" w:ascii="宋体" w:hAnsi="宋体" w:cs="Arial"/>
          <w:color w:val="000000"/>
          <w:kern w:val="0"/>
          <w:sz w:val="24"/>
        </w:rPr>
        <w:t>2.3</w:t>
      </w:r>
      <w:r>
        <w:rPr>
          <w:rFonts w:hint="eastAsia" w:ascii="宋体" w:hAnsi="宋体" w:cs="Arial"/>
          <w:b/>
          <w:bCs/>
          <w:color w:val="000000"/>
          <w:kern w:val="0"/>
          <w:sz w:val="24"/>
        </w:rPr>
        <w:t>开标期间，投标人等交易主体应使用数字证书(CA)在各自的电脑终端上登录不见面开标大厅，并进行相关操作。各电脑终端上的所有操作均被视为各交易主体的行为，并各自承担相应的法律责任。</w:t>
      </w:r>
    </w:p>
    <w:p>
      <w:pPr>
        <w:pStyle w:val="77"/>
        <w:spacing w:line="360" w:lineRule="auto"/>
        <w:ind w:left="0" w:leftChars="0" w:firstLine="480"/>
        <w:rPr>
          <w:rFonts w:hint="eastAsia"/>
        </w:rPr>
      </w:pPr>
      <w:r>
        <w:rPr>
          <w:rFonts w:hint="eastAsia" w:ascii="宋体" w:hAnsi="宋体" w:cs="Arial"/>
          <w:color w:val="000000"/>
          <w:kern w:val="0"/>
          <w:sz w:val="24"/>
        </w:rPr>
        <w:t>2.4</w:t>
      </w:r>
      <w:r>
        <w:rPr>
          <w:rFonts w:hint="eastAsia" w:ascii="宋体" w:hAnsi="宋体" w:cs="Arial"/>
          <w:b/>
          <w:bCs/>
          <w:color w:val="000000"/>
          <w:kern w:val="0"/>
          <w:sz w:val="24"/>
        </w:rPr>
        <w:t>投标人应在投标截止时间之前使用数字证书(CA)自行登录不见面开标大厅，在线等待开标，并在开标期间保持通讯畅通。</w:t>
      </w:r>
    </w:p>
    <w:p>
      <w:pPr>
        <w:pStyle w:val="6"/>
        <w:numPr>
          <w:ilvl w:val="2"/>
          <w:numId w:val="0"/>
        </w:numPr>
        <w:spacing w:before="0" w:after="0"/>
        <w:ind w:left="720" w:hanging="720"/>
        <w:jc w:val="both"/>
        <w:rPr>
          <w:rFonts w:ascii="宋体" w:hAnsi="宋体" w:eastAsia="宋体"/>
          <w:sz w:val="24"/>
          <w:szCs w:val="24"/>
        </w:rPr>
      </w:pPr>
      <w:r>
        <w:rPr>
          <w:rFonts w:hint="eastAsia" w:ascii="宋体" w:hAnsi="宋体" w:eastAsia="宋体" w:cs="宋体"/>
          <w:sz w:val="24"/>
          <w:szCs w:val="24"/>
        </w:rPr>
        <w:t>（三）</w:t>
      </w:r>
      <w:r>
        <w:rPr>
          <w:rFonts w:ascii="宋体" w:hAnsi="宋体" w:eastAsia="宋体"/>
          <w:sz w:val="24"/>
          <w:szCs w:val="24"/>
        </w:rPr>
        <w:t>开标</w:t>
      </w:r>
      <w:r>
        <w:rPr>
          <w:rFonts w:hint="eastAsia" w:ascii="宋体" w:hAnsi="宋体" w:eastAsia="宋体"/>
          <w:sz w:val="24"/>
          <w:szCs w:val="24"/>
        </w:rPr>
        <w:t>流程（两阶段）</w:t>
      </w:r>
    </w:p>
    <w:bookmarkEnd w:id="80"/>
    <w:bookmarkEnd w:id="81"/>
    <w:bookmarkEnd w:id="82"/>
    <w:bookmarkEnd w:id="88"/>
    <w:p>
      <w:pPr>
        <w:spacing w:line="360" w:lineRule="auto"/>
        <w:ind w:firstLine="426" w:firstLineChars="177"/>
        <w:jc w:val="left"/>
        <w:rPr>
          <w:rFonts w:ascii="宋体" w:hAnsi="宋体" w:cs="Arial"/>
          <w:b/>
          <w:bCs/>
          <w:color w:val="000000"/>
          <w:kern w:val="0"/>
          <w:sz w:val="24"/>
        </w:rPr>
      </w:pPr>
      <w:bookmarkStart w:id="93" w:name="_Toc462229101"/>
      <w:bookmarkStart w:id="94" w:name="_Toc412730343"/>
      <w:bookmarkStart w:id="95" w:name="_Toc233618978"/>
      <w:bookmarkStart w:id="96" w:name="_Toc86216994"/>
      <w:bookmarkStart w:id="97" w:name="_Toc354996702"/>
      <w:r>
        <w:rPr>
          <w:rFonts w:hint="eastAsia" w:ascii="宋体" w:hAnsi="宋体" w:cs="Arial"/>
          <w:b/>
          <w:bCs/>
          <w:color w:val="000000"/>
          <w:kern w:val="0"/>
          <w:sz w:val="24"/>
        </w:rPr>
        <w:t>3.1开标第一阶段</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1）由招标代理机构登陆“政府采购云平台”在线向各投标供应商发出电子加密投标文件【开始解密】通知，由投标人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（2）投标文件解密结束，</w:t>
      </w:r>
      <w:r>
        <w:rPr>
          <w:rFonts w:hint="eastAsia" w:ascii="宋体" w:hAnsi="宋体" w:cs="Arial"/>
          <w:b/>
          <w:bCs/>
          <w:color w:val="000000"/>
          <w:kern w:val="0"/>
          <w:sz w:val="24"/>
        </w:rPr>
        <w:t>通过邮件形式</w:t>
      </w:r>
      <w:r>
        <w:rPr>
          <w:rFonts w:hint="eastAsia" w:ascii="宋体" w:hAnsi="宋体" w:cs="Arial"/>
          <w:color w:val="000000"/>
          <w:kern w:val="0"/>
          <w:sz w:val="24"/>
        </w:rPr>
        <w:t>发送各投标人组织签署《政府采购活动现场确认声明书》；</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（3）开启投标文件，进入资格审查；</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（4）开启资格审查通过的投标供应商的商务技术文件进入符合性审查、商务技术评审；</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（5）第一阶段开标结束。</w:t>
      </w:r>
    </w:p>
    <w:p>
      <w:pPr>
        <w:spacing w:line="360" w:lineRule="auto"/>
        <w:ind w:firstLine="426" w:firstLineChars="177"/>
        <w:jc w:val="left"/>
        <w:rPr>
          <w:rFonts w:hint="eastAsia" w:ascii="宋体" w:hAnsi="宋体" w:cs="Arial"/>
          <w:b/>
          <w:bCs/>
          <w:color w:val="000000"/>
          <w:kern w:val="0"/>
          <w:sz w:val="24"/>
        </w:rPr>
      </w:pPr>
      <w:r>
        <w:rPr>
          <w:rFonts w:hint="eastAsia" w:ascii="宋体" w:hAnsi="宋体" w:cs="Arial"/>
          <w:b/>
          <w:bCs/>
          <w:color w:val="000000"/>
          <w:kern w:val="0"/>
          <w:sz w:val="24"/>
        </w:rPr>
        <w:t>备注：开标大会的第一阶段结束后，采购人或采购代理机构将对依法对投标供应商的资格进行审查，资格审查结束后进入符合性审查和商务技术的评审工作，具体见本章节“投标供应商资格审查”相关规定。</w:t>
      </w:r>
    </w:p>
    <w:p>
      <w:pPr>
        <w:spacing w:line="360" w:lineRule="auto"/>
        <w:ind w:firstLine="426" w:firstLineChars="177"/>
        <w:jc w:val="left"/>
        <w:rPr>
          <w:rFonts w:hint="eastAsia" w:ascii="宋体" w:hAnsi="宋体" w:cs="Arial"/>
          <w:b/>
          <w:bCs/>
          <w:color w:val="000000"/>
          <w:kern w:val="0"/>
          <w:sz w:val="24"/>
        </w:rPr>
      </w:pPr>
      <w:r>
        <w:rPr>
          <w:rFonts w:hint="eastAsia" w:ascii="宋体" w:hAnsi="宋体" w:cs="Arial"/>
          <w:b/>
          <w:bCs/>
          <w:color w:val="000000"/>
          <w:kern w:val="0"/>
          <w:sz w:val="24"/>
        </w:rPr>
        <w:t>3.2开标大会第二阶段</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（1）符合性审查、商务技术评审结束后，举行开标大会第二阶段会议。首先通过发送邮件形式公布符合性审查、商务技术评审无效供应商名称及理由（如有）；并在线</w:t>
      </w:r>
      <w:r>
        <w:rPr>
          <w:rFonts w:hint="eastAsia" w:ascii="宋体" w:hAnsi="宋体" w:cs="Arial"/>
          <w:b/>
          <w:bCs/>
          <w:kern w:val="0"/>
          <w:sz w:val="24"/>
        </w:rPr>
        <w:t>公布经商务技术评审后有效投标供应商的名单，同时通过</w:t>
      </w:r>
      <w:r>
        <w:rPr>
          <w:rFonts w:hint="eastAsia" w:ascii="宋体" w:hAnsi="宋体" w:cs="Arial"/>
          <w:b/>
          <w:bCs/>
          <w:color w:val="000000"/>
          <w:kern w:val="0"/>
          <w:sz w:val="24"/>
        </w:rPr>
        <w:t>“政府采购云平台”</w:t>
      </w:r>
      <w:r>
        <w:rPr>
          <w:rFonts w:hint="eastAsia" w:ascii="宋体" w:hAnsi="宋体" w:cs="Arial"/>
          <w:b/>
          <w:bCs/>
          <w:kern w:val="0"/>
          <w:sz w:val="24"/>
        </w:rPr>
        <w:t>在线公布其商务技术部分得分情况。</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（2）开启符合性审查、商务技术评审有效投标供应商的《报价文件》，</w:t>
      </w:r>
      <w:r>
        <w:rPr>
          <w:rFonts w:hint="eastAsia" w:ascii="宋体" w:hAnsi="宋体" w:cs="Arial"/>
          <w:color w:val="000000"/>
          <w:kern w:val="0"/>
          <w:sz w:val="24"/>
        </w:rPr>
        <w:t>由招标代理机构登陆“政府采购云平台”在线</w:t>
      </w:r>
      <w:r>
        <w:rPr>
          <w:rFonts w:hint="eastAsia" w:ascii="宋体" w:hAnsi="宋体" w:cs="Arial"/>
          <w:kern w:val="0"/>
          <w:sz w:val="24"/>
        </w:rPr>
        <w:t>公布开标一览表有关内容，同时制作开标记录表，发送各投标人在线开启签字确认（不予确认的应说明理由，否则视为无异议）。同时，由评标委员会对报价的合理性、准确性等进行审查核实。</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（3）评审结束后，</w:t>
      </w:r>
      <w:r>
        <w:rPr>
          <w:rFonts w:hint="eastAsia" w:ascii="宋体" w:hAnsi="宋体" w:cs="Arial"/>
          <w:b/>
          <w:bCs/>
          <w:kern w:val="0"/>
          <w:sz w:val="24"/>
        </w:rPr>
        <w:t>通过</w:t>
      </w:r>
      <w:r>
        <w:rPr>
          <w:rFonts w:hint="eastAsia" w:ascii="宋体" w:hAnsi="宋体" w:cs="Arial"/>
          <w:color w:val="000000"/>
          <w:kern w:val="0"/>
          <w:sz w:val="24"/>
        </w:rPr>
        <w:t>“政府采购云平台”</w:t>
      </w:r>
      <w:r>
        <w:rPr>
          <w:rFonts w:hint="eastAsia" w:ascii="宋体" w:hAnsi="宋体" w:cs="Arial"/>
          <w:kern w:val="0"/>
          <w:sz w:val="24"/>
        </w:rPr>
        <w:t>公布中标（成交）候选供应商名单，及采购人最终确定中标或成交供应商名单的时间和公告方式等。</w:t>
      </w:r>
    </w:p>
    <w:p>
      <w:pPr>
        <w:spacing w:line="360" w:lineRule="auto"/>
        <w:ind w:firstLine="426" w:firstLineChars="177"/>
        <w:jc w:val="left"/>
        <w:rPr>
          <w:rFonts w:hint="eastAsia" w:ascii="宋体" w:hAnsi="宋体" w:cs="Arial"/>
          <w:b/>
          <w:bCs/>
          <w:color w:val="000000"/>
          <w:kern w:val="0"/>
          <w:sz w:val="24"/>
        </w:rPr>
      </w:pPr>
      <w:r>
        <w:rPr>
          <w:rFonts w:hint="eastAsia" w:ascii="宋体" w:hAnsi="宋体" w:cs="Arial"/>
          <w:b/>
          <w:bCs/>
          <w:color w:val="000000"/>
          <w:kern w:val="0"/>
          <w:sz w:val="24"/>
        </w:rPr>
        <w:t>特别说明：如遇“政府采购云平台”电子化开标或评审程序调整的，按调整后程序执行。</w:t>
      </w:r>
    </w:p>
    <w:p>
      <w:pPr>
        <w:pStyle w:val="6"/>
        <w:numPr>
          <w:ilvl w:val="2"/>
          <w:numId w:val="0"/>
        </w:numPr>
        <w:spacing w:before="0" w:after="0"/>
        <w:ind w:left="720" w:hanging="720"/>
        <w:jc w:val="both"/>
        <w:rPr>
          <w:rFonts w:hint="eastAsia" w:ascii="宋体" w:hAnsi="宋体" w:eastAsia="宋体" w:cs="宋体"/>
          <w:sz w:val="24"/>
          <w:szCs w:val="24"/>
        </w:rPr>
      </w:pPr>
      <w:bookmarkStart w:id="98" w:name="_Toc29116"/>
      <w:bookmarkStart w:id="99" w:name="_Toc7250"/>
      <w:bookmarkStart w:id="100" w:name="_Toc18090"/>
      <w:bookmarkStart w:id="101" w:name="_Toc24917"/>
      <w:r>
        <w:rPr>
          <w:rFonts w:hint="eastAsia" w:ascii="宋体" w:hAnsi="宋体" w:eastAsia="宋体" w:cs="宋体"/>
          <w:sz w:val="24"/>
          <w:szCs w:val="24"/>
        </w:rPr>
        <w:t>（四）投标供应商资格审查</w:t>
      </w:r>
      <w:bookmarkEnd w:id="98"/>
      <w:bookmarkEnd w:id="99"/>
      <w:bookmarkEnd w:id="100"/>
      <w:bookmarkEnd w:id="101"/>
    </w:p>
    <w:p>
      <w:pPr>
        <w:spacing w:line="360" w:lineRule="auto"/>
        <w:ind w:firstLine="426" w:firstLineChars="177"/>
        <w:rPr>
          <w:rFonts w:hint="eastAsia" w:ascii="宋体" w:hAnsi="宋体"/>
          <w:color w:val="000000"/>
          <w:sz w:val="24"/>
        </w:rPr>
      </w:pPr>
      <w:r>
        <w:rPr>
          <w:rFonts w:hint="eastAsia" w:ascii="宋体" w:hAnsi="宋体"/>
          <w:b/>
          <w:bCs/>
          <w:color w:val="000000"/>
          <w:sz w:val="24"/>
        </w:rPr>
        <w:t>4.1开标大会第一阶段结束后，采购人或采购代理机构首先依法对各投标供应商的资格进行审查，审查各投标供应商的资格是否满足招标文件的要求。</w:t>
      </w:r>
      <w:r>
        <w:rPr>
          <w:rFonts w:hint="eastAsia" w:ascii="宋体" w:hAnsi="宋体"/>
          <w:color w:val="000000"/>
          <w:sz w:val="24"/>
        </w:rPr>
        <w:t>采购人或采购代理机构对投标供应商所提交的资格证明材料仅负审核的责任。如发现投标供应商所提交的资格证明材料不合法或与事实不符，采购人可取消其中标资格并追究投标供应商的法律责任。</w:t>
      </w:r>
    </w:p>
    <w:p>
      <w:pPr>
        <w:spacing w:line="360" w:lineRule="auto"/>
        <w:ind w:firstLine="426" w:firstLineChars="177"/>
        <w:rPr>
          <w:rFonts w:hint="eastAsia" w:ascii="宋体" w:hAnsi="宋体" w:cs="Arial"/>
          <w:b/>
          <w:bCs/>
          <w:color w:val="000000"/>
          <w:kern w:val="0"/>
          <w:sz w:val="24"/>
        </w:rPr>
      </w:pPr>
      <w:r>
        <w:rPr>
          <w:rFonts w:hint="eastAsia" w:ascii="宋体" w:hAnsi="宋体"/>
          <w:b/>
          <w:bCs/>
          <w:color w:val="000000"/>
          <w:sz w:val="24"/>
        </w:rPr>
        <w:t>4.2投标供应商提交的资格证明材料无法证明其符合招标文件规定的“投标供应商资格要求”的，采购人或采购代理机构</w:t>
      </w:r>
      <w:r>
        <w:rPr>
          <w:rFonts w:hint="eastAsia" w:ascii="宋体" w:hAnsi="宋体" w:cs="Arial"/>
          <w:b/>
          <w:bCs/>
          <w:color w:val="000000"/>
          <w:kern w:val="0"/>
          <w:sz w:val="24"/>
        </w:rPr>
        <w:t>将对其作资格审查不通过处理（无效投标），并不再将其投标提交评标委员会进行后续评审。</w:t>
      </w:r>
    </w:p>
    <w:p>
      <w:pPr>
        <w:spacing w:line="360" w:lineRule="auto"/>
        <w:ind w:firstLine="426" w:firstLineChars="177"/>
        <w:rPr>
          <w:rFonts w:hint="eastAsia" w:ascii="宋体" w:hAnsi="宋体" w:cs="Arial"/>
          <w:b/>
          <w:bCs/>
          <w:color w:val="000000"/>
          <w:kern w:val="0"/>
          <w:sz w:val="24"/>
        </w:rPr>
      </w:pPr>
      <w:r>
        <w:rPr>
          <w:rFonts w:hint="eastAsia" w:ascii="宋体" w:hAnsi="宋体"/>
          <w:b/>
          <w:bCs/>
          <w:color w:val="000000"/>
          <w:sz w:val="24"/>
        </w:rPr>
        <w:t>4</w:t>
      </w:r>
      <w:r>
        <w:rPr>
          <w:rFonts w:hint="eastAsia" w:ascii="宋体" w:hAnsi="宋体" w:cs="Arial"/>
          <w:b/>
          <w:bCs/>
          <w:color w:val="000000"/>
          <w:kern w:val="0"/>
          <w:sz w:val="24"/>
        </w:rPr>
        <w:t>.3单位负责人为同一人或者存在直接控股、管理关系的不同供应商参加同一合同项下的政府采购活动的，相关投标供应商均作资格无效处理。</w:t>
      </w:r>
    </w:p>
    <w:p>
      <w:pPr>
        <w:snapToGrid w:val="0"/>
        <w:spacing w:line="360" w:lineRule="auto"/>
        <w:jc w:val="center"/>
        <w:rPr>
          <w:rFonts w:ascii="宋体" w:hAnsi="宋体" w:cs="宋体"/>
          <w:b/>
          <w:color w:val="000000"/>
          <w:sz w:val="24"/>
        </w:rPr>
      </w:pPr>
    </w:p>
    <w:p>
      <w:pPr>
        <w:snapToGrid w:val="0"/>
        <w:spacing w:line="360" w:lineRule="auto"/>
        <w:jc w:val="center"/>
        <w:outlineLvl w:val="1"/>
        <w:rPr>
          <w:rFonts w:ascii="宋体" w:hAnsi="宋体" w:cs="宋体"/>
          <w:b/>
          <w:color w:val="000000"/>
          <w:sz w:val="24"/>
        </w:rPr>
      </w:pPr>
      <w:bookmarkStart w:id="102" w:name="_Toc24657"/>
      <w:bookmarkStart w:id="103" w:name="_Toc24254"/>
      <w:bookmarkStart w:id="104" w:name="_Toc11437"/>
      <w:r>
        <w:rPr>
          <w:rFonts w:hint="eastAsia" w:ascii="宋体" w:hAnsi="宋体" w:cs="宋体"/>
          <w:b/>
          <w:color w:val="000000"/>
          <w:sz w:val="24"/>
        </w:rPr>
        <w:t>六、评 标</w:t>
      </w:r>
      <w:bookmarkEnd w:id="93"/>
      <w:bookmarkEnd w:id="94"/>
      <w:bookmarkEnd w:id="102"/>
      <w:bookmarkEnd w:id="103"/>
      <w:bookmarkEnd w:id="104"/>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（一）</w:t>
      </w:r>
      <w:r>
        <w:rPr>
          <w:rFonts w:hint="eastAsia" w:ascii="宋体" w:hAnsi="宋体" w:eastAsia="宋体"/>
          <w:sz w:val="24"/>
          <w:szCs w:val="24"/>
        </w:rPr>
        <w:t>评审工作的组织</w:t>
      </w:r>
    </w:p>
    <w:p>
      <w:pPr>
        <w:pStyle w:val="72"/>
        <w:spacing w:line="360" w:lineRule="auto"/>
        <w:ind w:firstLine="480" w:firstLineChars="200"/>
        <w:jc w:val="both"/>
        <w:rPr>
          <w:rFonts w:hint="eastAsia" w:ascii="宋体" w:hAnsi="宋体"/>
          <w:b/>
          <w:color w:val="000000"/>
        </w:rPr>
      </w:pPr>
      <w:r>
        <w:rPr>
          <w:rFonts w:hint="eastAsia" w:ascii="宋体" w:hAnsi="宋体" w:cs="Arial"/>
          <w:color w:val="000000"/>
        </w:rPr>
        <w:t>1</w:t>
      </w:r>
      <w:r>
        <w:rPr>
          <w:rFonts w:ascii="宋体" w:hAnsi="宋体" w:cs="Arial"/>
          <w:color w:val="000000"/>
        </w:rPr>
        <w:t>.1</w:t>
      </w:r>
      <w:r>
        <w:rPr>
          <w:rFonts w:hint="eastAsia" w:ascii="宋体" w:hAnsi="宋体" w:cs="Arial"/>
          <w:color w:val="000000"/>
        </w:rPr>
        <w:t>采购人或采购代理机构负责组织本项目的评审工作，并依据《政府采购货物和服务招标投标管理办法（财政部第87号令）》第四十五条的相关规定履行职责。</w:t>
      </w:r>
      <w:r>
        <w:rPr>
          <w:rFonts w:hint="eastAsia" w:ascii="宋体" w:hAnsi="宋体"/>
          <w:b/>
          <w:color w:val="000000"/>
        </w:rPr>
        <w:t>根据财政部令第87号</w:t>
      </w:r>
      <w:r>
        <w:rPr>
          <w:rFonts w:hint="eastAsia" w:ascii="仿宋" w:hAnsi="仿宋" w:eastAsia="仿宋" w:cs="仿宋"/>
          <w:color w:val="000000"/>
          <w:sz w:val="22"/>
          <w:szCs w:val="22"/>
        </w:rPr>
        <w:t>　</w:t>
      </w:r>
      <w:r>
        <w:rPr>
          <w:rFonts w:hint="eastAsia" w:ascii="宋体" w:hAnsi="宋体"/>
          <w:b/>
          <w:color w:val="000000"/>
        </w:rPr>
        <w:t>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（二）</w:t>
      </w:r>
      <w:r>
        <w:rPr>
          <w:rFonts w:hint="eastAsia" w:ascii="宋体" w:hAnsi="宋体" w:eastAsia="宋体"/>
          <w:sz w:val="24"/>
          <w:szCs w:val="24"/>
        </w:rPr>
        <w:t>评标委员会的组建</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2.1评标委员会由采购人或采购代理机构依法组建，成员包括采购人代表和评审专家，成员人数</w:t>
      </w:r>
      <w:r>
        <w:rPr>
          <w:rFonts w:ascii="宋体" w:hAnsi="宋体" w:cs="Arial"/>
          <w:color w:val="000000"/>
          <w:kern w:val="0"/>
          <w:sz w:val="24"/>
        </w:rPr>
        <w:t>为</w:t>
      </w:r>
      <w:r>
        <w:rPr>
          <w:rFonts w:hint="eastAsia" w:ascii="宋体" w:hAnsi="宋体" w:cs="Arial"/>
          <w:color w:val="000000"/>
          <w:kern w:val="0"/>
          <w:sz w:val="24"/>
        </w:rPr>
        <w:t>五</w:t>
      </w:r>
      <w:r>
        <w:rPr>
          <w:rFonts w:ascii="宋体" w:hAnsi="宋体" w:cs="Arial"/>
          <w:color w:val="000000"/>
          <w:kern w:val="0"/>
          <w:sz w:val="24"/>
        </w:rPr>
        <w:t>人</w:t>
      </w:r>
      <w:r>
        <w:rPr>
          <w:rFonts w:hint="eastAsia" w:ascii="宋体" w:hAnsi="宋体" w:cs="Arial"/>
          <w:color w:val="000000"/>
          <w:kern w:val="0"/>
          <w:sz w:val="24"/>
        </w:rPr>
        <w:t>或以上单数，其中评审专家不少于成员总数的三分之二。</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2.2评标委员会成员名单在评审结果（采购结果）公告前保密。</w:t>
      </w:r>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（三）</w:t>
      </w:r>
      <w:r>
        <w:rPr>
          <w:rFonts w:hint="eastAsia" w:ascii="宋体" w:hAnsi="宋体" w:eastAsia="宋体"/>
          <w:sz w:val="24"/>
          <w:szCs w:val="24"/>
        </w:rPr>
        <w:t>评标委员会的职责</w:t>
      </w:r>
    </w:p>
    <w:p>
      <w:pPr>
        <w:spacing w:line="360" w:lineRule="auto"/>
        <w:ind w:firstLine="424" w:firstLineChars="176"/>
        <w:rPr>
          <w:rFonts w:hint="eastAsia" w:ascii="宋体" w:hAnsi="宋体" w:cs="Arial"/>
          <w:b/>
          <w:color w:val="000000"/>
          <w:kern w:val="0"/>
          <w:sz w:val="24"/>
        </w:rPr>
      </w:pPr>
      <w:r>
        <w:rPr>
          <w:rFonts w:hint="eastAsia" w:ascii="宋体" w:hAnsi="宋体" w:cs="Arial"/>
          <w:b/>
          <w:color w:val="000000"/>
          <w:kern w:val="0"/>
          <w:sz w:val="24"/>
        </w:rPr>
        <w:t>3.1评标委员会负责具体评审事务，并独立履行下列职责：</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（1）审查、评价投标文件是否符合招标文件的商务、技术等实质性要求；</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（2）要求投标人对投标文件有关事项作出澄清或者说明；</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（3）对投标文件进行比较和评价；</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（4）确定中标候选人名单，以及根据采购人委托直接确定中标人；</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（5）向采购人、采购代理机构或者有关部门报告评审中发现的违法行为。</w:t>
      </w:r>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（四）</w:t>
      </w:r>
      <w:r>
        <w:rPr>
          <w:rFonts w:hint="eastAsia" w:ascii="宋体" w:hAnsi="宋体" w:eastAsia="宋体"/>
          <w:sz w:val="24"/>
          <w:szCs w:val="24"/>
        </w:rPr>
        <w:t>评审原则</w:t>
      </w:r>
    </w:p>
    <w:p>
      <w:pPr>
        <w:spacing w:line="360" w:lineRule="auto"/>
        <w:ind w:firstLine="424" w:firstLineChars="177"/>
        <w:rPr>
          <w:rFonts w:hint="eastAsia" w:ascii="宋体" w:hAnsi="宋体" w:cs="Arial"/>
          <w:color w:val="000000"/>
          <w:sz w:val="24"/>
        </w:rPr>
      </w:pPr>
      <w:r>
        <w:rPr>
          <w:rFonts w:hint="eastAsia" w:ascii="宋体" w:hAnsi="宋体" w:cs="Arial"/>
          <w:color w:val="000000"/>
          <w:sz w:val="24"/>
        </w:rPr>
        <w:t>4.1评审原则：</w:t>
      </w:r>
      <w:r>
        <w:rPr>
          <w:rFonts w:hint="eastAsia" w:ascii="宋体" w:hAnsi="宋体" w:cs="Arial"/>
          <w:color w:val="000000"/>
          <w:kern w:val="0"/>
          <w:sz w:val="24"/>
        </w:rPr>
        <w:t>评标委员会</w:t>
      </w:r>
      <w:r>
        <w:rPr>
          <w:rFonts w:hint="eastAsia" w:ascii="宋体" w:hAnsi="宋体" w:cs="Arial"/>
          <w:color w:val="000000"/>
          <w:sz w:val="24"/>
        </w:rPr>
        <w:t>按照客观、公正、审慎、</w:t>
      </w:r>
      <w:r>
        <w:rPr>
          <w:rFonts w:ascii="宋体" w:hAnsi="宋体" w:cs="Arial"/>
          <w:color w:val="000000"/>
          <w:sz w:val="24"/>
        </w:rPr>
        <w:t>择优的</w:t>
      </w:r>
      <w:r>
        <w:rPr>
          <w:rFonts w:hint="eastAsia" w:ascii="宋体" w:hAnsi="宋体" w:cs="Arial"/>
          <w:color w:val="000000"/>
          <w:sz w:val="24"/>
        </w:rPr>
        <w:t>原则，根据招标文件规定的评审程序、评审方法和评审标准进行独立评审。</w:t>
      </w:r>
    </w:p>
    <w:p>
      <w:pPr>
        <w:spacing w:line="360" w:lineRule="auto"/>
        <w:ind w:firstLine="424" w:firstLineChars="177"/>
        <w:rPr>
          <w:rFonts w:hint="eastAsia" w:ascii="宋体" w:hAnsi="宋体" w:cs="Arial"/>
          <w:color w:val="000000"/>
          <w:sz w:val="24"/>
        </w:rPr>
      </w:pPr>
      <w:r>
        <w:rPr>
          <w:rFonts w:hint="eastAsia" w:ascii="宋体" w:hAnsi="宋体" w:cs="Arial"/>
          <w:color w:val="000000"/>
          <w:sz w:val="24"/>
        </w:rPr>
        <w:t>4.2评审工作将依据</w:t>
      </w:r>
      <w:r>
        <w:rPr>
          <w:rFonts w:ascii="宋体" w:hAnsi="宋体" w:cs="Arial"/>
          <w:color w:val="000000"/>
          <w:kern w:val="0"/>
          <w:sz w:val="24"/>
        </w:rPr>
        <w:t>招标文件</w:t>
      </w:r>
      <w:r>
        <w:rPr>
          <w:rFonts w:hint="eastAsia" w:ascii="宋体" w:hAnsi="宋体" w:cs="Arial"/>
          <w:color w:val="000000"/>
          <w:kern w:val="0"/>
          <w:sz w:val="24"/>
        </w:rPr>
        <w:t>、</w:t>
      </w:r>
      <w:r>
        <w:rPr>
          <w:rFonts w:ascii="宋体" w:hAnsi="宋体" w:cs="Arial"/>
          <w:color w:val="000000"/>
          <w:kern w:val="0"/>
          <w:sz w:val="24"/>
        </w:rPr>
        <w:t>投标文件</w:t>
      </w:r>
      <w:r>
        <w:rPr>
          <w:rFonts w:hint="eastAsia" w:ascii="宋体" w:hAnsi="宋体" w:cs="Arial"/>
          <w:color w:val="000000"/>
          <w:kern w:val="0"/>
          <w:sz w:val="24"/>
        </w:rPr>
        <w:t>及招标文件中事先已列明的内容进行（如现场方案讲解、演示等）。</w:t>
      </w:r>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（五）</w:t>
      </w:r>
      <w:r>
        <w:rPr>
          <w:rFonts w:hint="eastAsia" w:ascii="宋体" w:hAnsi="宋体" w:eastAsia="宋体"/>
          <w:sz w:val="24"/>
          <w:szCs w:val="24"/>
        </w:rPr>
        <w:t>评审意见的争议处理</w:t>
      </w:r>
    </w:p>
    <w:p>
      <w:pPr>
        <w:spacing w:line="360" w:lineRule="auto"/>
        <w:ind w:firstLine="424" w:firstLineChars="177"/>
        <w:rPr>
          <w:rFonts w:hint="eastAsia" w:ascii="宋体" w:hAnsi="宋体" w:cs="Arial"/>
          <w:bCs/>
          <w:color w:val="000000"/>
          <w:sz w:val="24"/>
        </w:rPr>
      </w:pPr>
      <w:r>
        <w:rPr>
          <w:rFonts w:ascii="宋体" w:hAnsi="宋体" w:cs="Arial"/>
          <w:bCs/>
          <w:color w:val="000000"/>
          <w:sz w:val="24"/>
        </w:rPr>
        <w:t>5.1</w:t>
      </w:r>
      <w:r>
        <w:rPr>
          <w:rFonts w:hint="eastAsia" w:ascii="宋体" w:hAnsi="宋体" w:cs="Arial"/>
          <w:bCs/>
          <w:color w:val="000000"/>
          <w:sz w:val="24"/>
        </w:rPr>
        <w:t>评标委员会</w:t>
      </w:r>
      <w:r>
        <w:rPr>
          <w:rFonts w:ascii="宋体" w:hAnsi="宋体" w:cs="Arial"/>
          <w:bCs/>
          <w:color w:val="000000"/>
          <w:sz w:val="24"/>
        </w:rPr>
        <w:t>成员对需要共同认定的事项存在争议的，按照少数服从多数的原则作出结论。持不同意见的</w:t>
      </w:r>
      <w:r>
        <w:rPr>
          <w:rFonts w:hint="eastAsia" w:ascii="宋体" w:hAnsi="宋体" w:cs="Arial"/>
          <w:bCs/>
          <w:color w:val="000000"/>
          <w:sz w:val="24"/>
        </w:rPr>
        <w:t>评标委员会</w:t>
      </w:r>
      <w:r>
        <w:rPr>
          <w:rFonts w:ascii="宋体" w:hAnsi="宋体" w:cs="Arial"/>
          <w:bCs/>
          <w:color w:val="000000"/>
          <w:sz w:val="24"/>
        </w:rPr>
        <w:t>成员应当在评</w:t>
      </w:r>
      <w:r>
        <w:rPr>
          <w:rFonts w:hint="eastAsia" w:ascii="宋体" w:hAnsi="宋体" w:cs="Arial"/>
          <w:bCs/>
          <w:color w:val="000000"/>
          <w:sz w:val="24"/>
        </w:rPr>
        <w:t>审</w:t>
      </w:r>
      <w:r>
        <w:rPr>
          <w:rFonts w:ascii="宋体" w:hAnsi="宋体" w:cs="Arial"/>
          <w:bCs/>
          <w:color w:val="000000"/>
          <w:sz w:val="24"/>
        </w:rPr>
        <w:t>报告上签署不同意见及理由，否则视为同意评</w:t>
      </w:r>
      <w:r>
        <w:rPr>
          <w:rFonts w:hint="eastAsia" w:ascii="宋体" w:hAnsi="宋体" w:cs="Arial"/>
          <w:bCs/>
          <w:color w:val="000000"/>
          <w:sz w:val="24"/>
        </w:rPr>
        <w:t>审</w:t>
      </w:r>
      <w:r>
        <w:rPr>
          <w:rFonts w:ascii="宋体" w:hAnsi="宋体" w:cs="Arial"/>
          <w:bCs/>
          <w:color w:val="000000"/>
          <w:sz w:val="24"/>
        </w:rPr>
        <w:t>报告。</w:t>
      </w:r>
    </w:p>
    <w:p>
      <w:pPr>
        <w:pStyle w:val="6"/>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（六）</w:t>
      </w:r>
      <w:r>
        <w:rPr>
          <w:rFonts w:hint="eastAsia" w:ascii="宋体" w:hAnsi="宋体" w:eastAsia="宋体"/>
          <w:sz w:val="24"/>
          <w:szCs w:val="24"/>
        </w:rPr>
        <w:t>评委纪律</w:t>
      </w:r>
    </w:p>
    <w:p>
      <w:pPr>
        <w:spacing w:line="360" w:lineRule="auto"/>
        <w:ind w:firstLine="424" w:firstLineChars="177"/>
        <w:rPr>
          <w:rFonts w:ascii="宋体" w:hAnsi="宋体" w:cs="Arial"/>
          <w:color w:val="000000"/>
          <w:kern w:val="0"/>
          <w:sz w:val="24"/>
        </w:rPr>
      </w:pPr>
      <w:r>
        <w:rPr>
          <w:rFonts w:ascii="宋体" w:hAnsi="宋体" w:cs="Arial"/>
          <w:color w:val="000000"/>
          <w:sz w:val="24"/>
        </w:rPr>
        <w:t>6.1</w:t>
      </w:r>
      <w:r>
        <w:rPr>
          <w:rFonts w:hint="eastAsia" w:ascii="宋体" w:hAnsi="宋体" w:cs="Arial"/>
          <w:color w:val="000000"/>
          <w:sz w:val="24"/>
        </w:rPr>
        <w:t>评标委员会成员</w:t>
      </w:r>
      <w:r>
        <w:rPr>
          <w:rFonts w:ascii="宋体" w:hAnsi="宋体" w:cs="Arial"/>
          <w:color w:val="000000"/>
          <w:sz w:val="24"/>
        </w:rPr>
        <w:t>必须严格遵守保密规定，不得泄露评</w:t>
      </w:r>
      <w:r>
        <w:rPr>
          <w:rFonts w:hint="eastAsia" w:ascii="宋体" w:hAnsi="宋体" w:cs="Arial"/>
          <w:color w:val="000000"/>
          <w:sz w:val="24"/>
        </w:rPr>
        <w:t>审</w:t>
      </w:r>
      <w:r>
        <w:rPr>
          <w:rFonts w:ascii="宋体" w:hAnsi="宋体" w:cs="Arial"/>
          <w:color w:val="000000"/>
          <w:sz w:val="24"/>
        </w:rPr>
        <w:t>的有关情况</w:t>
      </w:r>
      <w:r>
        <w:rPr>
          <w:rFonts w:hint="eastAsia" w:ascii="宋体" w:hAnsi="宋体" w:cs="Arial"/>
          <w:color w:val="000000"/>
          <w:kern w:val="0"/>
          <w:sz w:val="24"/>
        </w:rPr>
        <w:t>，</w:t>
      </w:r>
      <w:r>
        <w:rPr>
          <w:rFonts w:ascii="宋体" w:hAnsi="宋体" w:cs="Arial"/>
          <w:color w:val="000000"/>
          <w:kern w:val="0"/>
          <w:sz w:val="24"/>
        </w:rPr>
        <w:t>任何单位和个人不得干扰、影响评标的正常进行</w:t>
      </w:r>
      <w:r>
        <w:rPr>
          <w:rFonts w:hint="eastAsia" w:ascii="宋体" w:hAnsi="宋体" w:cs="Arial"/>
          <w:color w:val="000000"/>
          <w:kern w:val="0"/>
          <w:sz w:val="24"/>
        </w:rPr>
        <w:t>，</w:t>
      </w:r>
      <w:r>
        <w:rPr>
          <w:rFonts w:ascii="宋体" w:hAnsi="宋体" w:cs="Arial"/>
          <w:color w:val="000000"/>
          <w:kern w:val="0"/>
          <w:sz w:val="24"/>
        </w:rPr>
        <w:t>评标委员会</w:t>
      </w:r>
      <w:r>
        <w:rPr>
          <w:rFonts w:hint="eastAsia" w:ascii="宋体" w:hAnsi="宋体" w:cs="Arial"/>
          <w:color w:val="000000"/>
          <w:kern w:val="0"/>
          <w:sz w:val="24"/>
        </w:rPr>
        <w:t>成员</w:t>
      </w:r>
      <w:r>
        <w:rPr>
          <w:rFonts w:ascii="宋体" w:hAnsi="宋体" w:cs="Arial"/>
          <w:color w:val="000000"/>
          <w:kern w:val="0"/>
          <w:sz w:val="24"/>
        </w:rPr>
        <w:t>不得私下与投标供应商接触</w:t>
      </w:r>
      <w:r>
        <w:rPr>
          <w:rFonts w:hint="eastAsia" w:ascii="宋体" w:hAnsi="宋体" w:cs="Arial"/>
          <w:color w:val="000000"/>
          <w:kern w:val="0"/>
          <w:sz w:val="24"/>
        </w:rPr>
        <w:t>，不得出现浙江省政府采购活动现场组织管理办法中规定的其他禁止行为。</w:t>
      </w:r>
    </w:p>
    <w:p>
      <w:pPr>
        <w:pStyle w:val="6"/>
        <w:numPr>
          <w:ilvl w:val="2"/>
          <w:numId w:val="0"/>
        </w:numPr>
        <w:spacing w:before="0" w:after="0"/>
        <w:ind w:left="720" w:hanging="720"/>
        <w:jc w:val="both"/>
        <w:rPr>
          <w:rFonts w:hint="eastAsia" w:ascii="宋体" w:hAnsi="宋体" w:eastAsia="宋体" w:cs="宋体"/>
          <w:sz w:val="24"/>
          <w:szCs w:val="24"/>
        </w:rPr>
      </w:pPr>
      <w:bookmarkStart w:id="105" w:name="_Toc24550043"/>
      <w:bookmarkStart w:id="106" w:name="_Toc33194395"/>
      <w:bookmarkStart w:id="107" w:name="_Toc20515"/>
      <w:bookmarkStart w:id="108" w:name="_Toc9222"/>
      <w:bookmarkStart w:id="109" w:name="_Toc5549"/>
      <w:bookmarkStart w:id="110" w:name="_Toc32209"/>
      <w:r>
        <w:rPr>
          <w:rFonts w:hint="eastAsia" w:ascii="宋体" w:hAnsi="宋体" w:eastAsia="宋体" w:cs="宋体"/>
          <w:sz w:val="24"/>
          <w:szCs w:val="24"/>
        </w:rPr>
        <w:t>（七）</w:t>
      </w:r>
      <w:bookmarkEnd w:id="105"/>
      <w:bookmarkStart w:id="111" w:name="_Toc24550044"/>
      <w:r>
        <w:rPr>
          <w:rFonts w:hint="eastAsia" w:ascii="宋体" w:hAnsi="宋体" w:eastAsia="宋体" w:cs="宋体"/>
          <w:sz w:val="24"/>
          <w:szCs w:val="24"/>
        </w:rPr>
        <w:t>评审流程及内容</w:t>
      </w:r>
      <w:bookmarkEnd w:id="106"/>
      <w:bookmarkEnd w:id="107"/>
      <w:bookmarkEnd w:id="108"/>
      <w:bookmarkEnd w:id="109"/>
      <w:bookmarkEnd w:id="110"/>
      <w:bookmarkEnd w:id="111"/>
    </w:p>
    <w:p>
      <w:pPr>
        <w:spacing w:line="360" w:lineRule="auto"/>
        <w:ind w:firstLine="424" w:firstLineChars="176"/>
        <w:rPr>
          <w:rFonts w:hint="eastAsia" w:ascii="宋体" w:hAnsi="宋体"/>
          <w:color w:val="000000"/>
          <w:sz w:val="24"/>
        </w:rPr>
      </w:pPr>
      <w:r>
        <w:rPr>
          <w:rFonts w:hint="eastAsia" w:ascii="宋体" w:hAnsi="宋体" w:cs="Arial"/>
          <w:b/>
          <w:color w:val="000000"/>
          <w:kern w:val="0"/>
          <w:sz w:val="24"/>
        </w:rPr>
        <w:t>本项目具体的评审事务由评标委员会负责，评审流程及内容如下：</w:t>
      </w:r>
    </w:p>
    <w:p>
      <w:pPr>
        <w:pStyle w:val="7"/>
        <w:spacing w:line="360" w:lineRule="auto"/>
        <w:rPr>
          <w:rFonts w:hint="eastAsia" w:ascii="宋体" w:hAnsi="宋体" w:eastAsia="宋体"/>
          <w:sz w:val="24"/>
          <w:szCs w:val="24"/>
        </w:rPr>
      </w:pPr>
      <w:r>
        <w:rPr>
          <w:rFonts w:ascii="宋体" w:hAnsi="宋体" w:eastAsia="宋体"/>
          <w:sz w:val="24"/>
          <w:szCs w:val="24"/>
        </w:rPr>
        <w:t>7</w:t>
      </w:r>
      <w:r>
        <w:rPr>
          <w:rFonts w:hint="eastAsia" w:ascii="宋体" w:hAnsi="宋体" w:eastAsia="宋体"/>
          <w:sz w:val="24"/>
          <w:szCs w:val="24"/>
        </w:rPr>
        <w:t>.1 评审前准备</w:t>
      </w:r>
    </w:p>
    <w:p>
      <w:pPr>
        <w:spacing w:line="360" w:lineRule="auto"/>
        <w:ind w:firstLine="480" w:firstLineChars="200"/>
        <w:rPr>
          <w:rFonts w:hint="eastAsia" w:ascii="宋体" w:hAnsi="宋体" w:cs="Arial"/>
          <w:color w:val="000000"/>
          <w:kern w:val="0"/>
          <w:sz w:val="24"/>
        </w:rPr>
      </w:pPr>
      <w:r>
        <w:rPr>
          <w:rFonts w:ascii="宋体" w:hAnsi="宋体" w:cs="Arial"/>
          <w:color w:val="000000"/>
          <w:kern w:val="0"/>
          <w:sz w:val="24"/>
        </w:rPr>
        <w:t>7</w:t>
      </w:r>
      <w:r>
        <w:rPr>
          <w:rFonts w:hint="eastAsia" w:ascii="宋体" w:hAnsi="宋体" w:cs="Arial"/>
          <w:color w:val="000000"/>
          <w:kern w:val="0"/>
          <w:sz w:val="24"/>
        </w:rPr>
        <w:t>.1.1由评审专家推选评审小组组长，采购人代表不得担任评审小组组长。</w:t>
      </w:r>
    </w:p>
    <w:p>
      <w:pPr>
        <w:spacing w:line="360" w:lineRule="auto"/>
        <w:ind w:firstLine="424" w:firstLineChars="177"/>
        <w:rPr>
          <w:rFonts w:hint="eastAsia" w:ascii="宋体" w:hAnsi="宋体" w:cs="Arial"/>
          <w:b/>
          <w:color w:val="000000"/>
          <w:kern w:val="0"/>
          <w:sz w:val="24"/>
        </w:rPr>
      </w:pPr>
      <w:r>
        <w:rPr>
          <w:rFonts w:ascii="宋体" w:hAnsi="宋体" w:cs="Arial"/>
          <w:color w:val="000000"/>
          <w:kern w:val="0"/>
          <w:sz w:val="24"/>
        </w:rPr>
        <w:t>7</w:t>
      </w:r>
      <w:r>
        <w:rPr>
          <w:rFonts w:hint="eastAsia" w:ascii="宋体" w:hAnsi="宋体" w:cs="Arial"/>
          <w:color w:val="000000"/>
          <w:kern w:val="0"/>
          <w:sz w:val="24"/>
        </w:rPr>
        <w:t>.1.2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pPr>
        <w:pStyle w:val="7"/>
        <w:spacing w:line="360" w:lineRule="auto"/>
        <w:rPr>
          <w:rFonts w:ascii="宋体" w:hAnsi="宋体" w:eastAsia="宋体"/>
          <w:sz w:val="24"/>
          <w:szCs w:val="24"/>
        </w:rPr>
      </w:pPr>
      <w:r>
        <w:rPr>
          <w:rFonts w:hint="eastAsia" w:ascii="宋体" w:hAnsi="宋体" w:eastAsia="宋体" w:cs="宋体"/>
          <w:sz w:val="24"/>
          <w:szCs w:val="24"/>
        </w:rPr>
        <w:t>7</w:t>
      </w:r>
      <w:r>
        <w:rPr>
          <w:rFonts w:ascii="宋体" w:hAnsi="宋体" w:eastAsia="宋体" w:cs="宋体"/>
          <w:sz w:val="24"/>
          <w:szCs w:val="24"/>
        </w:rPr>
        <w:t>.2</w:t>
      </w:r>
      <w:r>
        <w:rPr>
          <w:rFonts w:hint="eastAsia" w:ascii="宋体" w:hAnsi="宋体" w:eastAsia="宋体"/>
          <w:sz w:val="24"/>
          <w:szCs w:val="24"/>
        </w:rPr>
        <w:t>投标文件的初步审查、符合性审查</w:t>
      </w:r>
    </w:p>
    <w:p>
      <w:pPr>
        <w:spacing w:line="360" w:lineRule="auto"/>
        <w:ind w:firstLine="426" w:firstLineChars="177"/>
        <w:rPr>
          <w:rFonts w:hint="eastAsia" w:ascii="宋体" w:hAnsi="宋体" w:cs="Arial"/>
          <w:b/>
          <w:color w:val="000000"/>
          <w:kern w:val="0"/>
          <w:sz w:val="24"/>
        </w:rPr>
      </w:pPr>
      <w:r>
        <w:rPr>
          <w:rFonts w:hint="eastAsia" w:ascii="宋体" w:hAnsi="宋体" w:cs="Arial"/>
          <w:b/>
          <w:color w:val="000000"/>
          <w:kern w:val="0"/>
          <w:sz w:val="24"/>
        </w:rPr>
        <w:t>对所有通过资格审查的投标供应商的投标文件进行初步审查，审查、评价投标文件是否符合招标文件的商务、技术、服务等实质性要求。</w:t>
      </w:r>
    </w:p>
    <w:p>
      <w:pPr>
        <w:spacing w:line="360" w:lineRule="auto"/>
        <w:ind w:firstLine="424" w:firstLineChars="177"/>
        <w:rPr>
          <w:rFonts w:hint="eastAsia" w:ascii="宋体" w:hAnsi="宋体"/>
          <w:color w:val="000000"/>
          <w:sz w:val="24"/>
        </w:rPr>
      </w:pPr>
      <w:r>
        <w:rPr>
          <w:rFonts w:ascii="宋体" w:hAnsi="宋体"/>
          <w:color w:val="000000"/>
          <w:sz w:val="24"/>
        </w:rPr>
        <w:t>7</w:t>
      </w:r>
      <w:r>
        <w:rPr>
          <w:rFonts w:hint="eastAsia" w:ascii="宋体" w:hAnsi="宋体"/>
          <w:color w:val="000000"/>
          <w:sz w:val="24"/>
        </w:rPr>
        <w:t>.2.1评标委员会</w:t>
      </w:r>
      <w:r>
        <w:rPr>
          <w:rFonts w:ascii="宋体" w:hAnsi="宋体"/>
          <w:color w:val="000000"/>
          <w:sz w:val="24"/>
        </w:rPr>
        <w:t>首先</w:t>
      </w:r>
      <w:r>
        <w:rPr>
          <w:rFonts w:hint="eastAsia" w:ascii="宋体" w:hAnsi="宋体"/>
          <w:color w:val="000000"/>
          <w:sz w:val="24"/>
        </w:rPr>
        <w:t>对所有通过资格审查的投标供应商的</w:t>
      </w:r>
      <w:r>
        <w:rPr>
          <w:rFonts w:ascii="宋体" w:hAnsi="宋体"/>
          <w:color w:val="000000"/>
          <w:sz w:val="24"/>
        </w:rPr>
        <w:t>投标文件</w:t>
      </w:r>
      <w:r>
        <w:rPr>
          <w:rFonts w:hint="eastAsia" w:ascii="宋体" w:hAnsi="宋体"/>
          <w:color w:val="000000"/>
          <w:sz w:val="24"/>
        </w:rPr>
        <w:t>进行符合性审查，审查每份投标文件</w:t>
      </w:r>
      <w:r>
        <w:rPr>
          <w:rFonts w:ascii="宋体" w:hAnsi="宋体"/>
          <w:color w:val="000000"/>
          <w:sz w:val="24"/>
        </w:rPr>
        <w:t>是否实质上响应了招标文件的要求</w:t>
      </w:r>
      <w:r>
        <w:rPr>
          <w:rFonts w:hint="eastAsia" w:ascii="宋体" w:hAnsi="宋体"/>
          <w:color w:val="000000"/>
          <w:sz w:val="24"/>
        </w:rPr>
        <w:t>（</w:t>
      </w:r>
      <w:r>
        <w:rPr>
          <w:rFonts w:ascii="宋体" w:hAnsi="宋体"/>
          <w:color w:val="000000"/>
          <w:sz w:val="24"/>
        </w:rPr>
        <w:t>实质性响应的投标文件是指投标文件符合招标文件规定的实质性内容、条件和规定</w:t>
      </w:r>
      <w:r>
        <w:rPr>
          <w:rFonts w:hint="eastAsia" w:ascii="宋体" w:hAnsi="宋体"/>
          <w:color w:val="000000"/>
          <w:sz w:val="24"/>
        </w:rPr>
        <w:t>）</w:t>
      </w:r>
      <w:r>
        <w:rPr>
          <w:rFonts w:ascii="宋体" w:hAnsi="宋体"/>
          <w:color w:val="000000"/>
          <w:sz w:val="24"/>
        </w:rPr>
        <w:t>。</w:t>
      </w:r>
    </w:p>
    <w:p>
      <w:pPr>
        <w:pStyle w:val="7"/>
        <w:spacing w:line="360" w:lineRule="auto"/>
        <w:rPr>
          <w:rFonts w:hint="eastAsia" w:ascii="宋体" w:hAnsi="宋体" w:eastAsia="宋体"/>
          <w:sz w:val="24"/>
          <w:szCs w:val="24"/>
        </w:rPr>
      </w:pPr>
      <w:r>
        <w:rPr>
          <w:rFonts w:ascii="宋体" w:hAnsi="宋体" w:eastAsia="宋体"/>
          <w:sz w:val="24"/>
          <w:szCs w:val="24"/>
        </w:rPr>
        <w:t>7</w:t>
      </w:r>
      <w:r>
        <w:rPr>
          <w:rFonts w:hint="eastAsia" w:ascii="宋体" w:hAnsi="宋体" w:eastAsia="宋体"/>
          <w:sz w:val="24"/>
          <w:szCs w:val="24"/>
        </w:rPr>
        <w:t>.3 投标文件的澄清、说明或补正</w:t>
      </w:r>
    </w:p>
    <w:p>
      <w:pPr>
        <w:spacing w:line="360" w:lineRule="auto"/>
        <w:ind w:firstLine="424" w:firstLineChars="177"/>
        <w:rPr>
          <w:rFonts w:hint="eastAsia" w:ascii="宋体" w:hAnsi="宋体" w:cs="Arial"/>
          <w:color w:val="000000"/>
          <w:kern w:val="0"/>
          <w:sz w:val="24"/>
        </w:rPr>
      </w:pPr>
      <w:r>
        <w:rPr>
          <w:rFonts w:ascii="宋体" w:hAnsi="宋体" w:cs="Arial"/>
          <w:color w:val="000000"/>
          <w:kern w:val="0"/>
          <w:sz w:val="24"/>
        </w:rPr>
        <w:t>7</w:t>
      </w:r>
      <w:r>
        <w:rPr>
          <w:rFonts w:hint="eastAsia" w:ascii="宋体" w:hAnsi="宋体" w:cs="Arial"/>
          <w:color w:val="000000"/>
          <w:kern w:val="0"/>
          <w:sz w:val="24"/>
        </w:rPr>
        <w:t>.3.1对于投标文件中含义不明确、同类问题表述不一致或者有明显文字和计算错误的内容，评标委员会将以书面形式</w:t>
      </w:r>
      <w:r>
        <w:rPr>
          <w:rFonts w:hint="eastAsia" w:ascii="宋体" w:hAnsi="宋体" w:cs="Arial"/>
          <w:b/>
          <w:bCs/>
          <w:color w:val="000000"/>
          <w:kern w:val="0"/>
          <w:sz w:val="24"/>
        </w:rPr>
        <w:t>（或通过“政府采购云平台”在线询标）</w:t>
      </w:r>
      <w:r>
        <w:rPr>
          <w:rFonts w:hint="eastAsia" w:ascii="宋体" w:hAnsi="宋体" w:cs="Arial"/>
          <w:color w:val="000000"/>
          <w:kern w:val="0"/>
          <w:sz w:val="24"/>
        </w:rPr>
        <w:t>的形式要求</w:t>
      </w:r>
      <w:r>
        <w:rPr>
          <w:rFonts w:ascii="宋体" w:hAnsi="宋体" w:cs="Arial"/>
          <w:color w:val="000000"/>
          <w:kern w:val="0"/>
          <w:sz w:val="24"/>
        </w:rPr>
        <w:t>投标供应商</w:t>
      </w:r>
      <w:r>
        <w:rPr>
          <w:rFonts w:hint="eastAsia" w:ascii="宋体" w:hAnsi="宋体" w:cs="Arial"/>
          <w:color w:val="000000"/>
          <w:kern w:val="0"/>
          <w:sz w:val="24"/>
        </w:rPr>
        <w:t>在规定的时间内作出必要的澄清、说明或者补正，投标供应商澄清、说明或补正时间为30分钟。</w:t>
      </w:r>
    </w:p>
    <w:p>
      <w:pPr>
        <w:spacing w:line="360" w:lineRule="auto"/>
        <w:ind w:firstLine="424" w:firstLineChars="177"/>
        <w:rPr>
          <w:rFonts w:hint="eastAsia" w:ascii="宋体" w:hAnsi="宋体" w:cs="Arial"/>
          <w:color w:val="000000"/>
          <w:kern w:val="0"/>
          <w:sz w:val="24"/>
        </w:rPr>
      </w:pPr>
      <w:r>
        <w:rPr>
          <w:rFonts w:ascii="宋体" w:hAnsi="宋体" w:cs="Arial"/>
          <w:color w:val="000000"/>
          <w:kern w:val="0"/>
          <w:sz w:val="24"/>
        </w:rPr>
        <w:t>7</w:t>
      </w:r>
      <w:r>
        <w:rPr>
          <w:rFonts w:hint="eastAsia" w:ascii="宋体" w:hAnsi="宋体" w:cs="Arial"/>
          <w:color w:val="000000"/>
          <w:kern w:val="0"/>
          <w:sz w:val="24"/>
        </w:rPr>
        <w:t>.3.2</w:t>
      </w:r>
      <w:r>
        <w:rPr>
          <w:rFonts w:ascii="宋体" w:hAnsi="宋体" w:cs="Arial"/>
          <w:color w:val="000000"/>
          <w:kern w:val="0"/>
          <w:sz w:val="24"/>
        </w:rPr>
        <w:t>投标供应商</w:t>
      </w:r>
      <w:r>
        <w:rPr>
          <w:rFonts w:hint="eastAsia" w:ascii="宋体" w:hAnsi="宋体" w:cs="Arial"/>
          <w:color w:val="000000"/>
          <w:kern w:val="0"/>
          <w:sz w:val="24"/>
        </w:rPr>
        <w:t>的澄清、说明或者补正应当采用书面（或通过“政府采购云平台”在线答复）形式提交，并加盖公章，或者由法定代表人或其授权的代表签字。</w:t>
      </w:r>
      <w:r>
        <w:rPr>
          <w:rFonts w:ascii="宋体" w:hAnsi="宋体" w:cs="Arial"/>
          <w:color w:val="000000"/>
          <w:kern w:val="0"/>
          <w:sz w:val="24"/>
        </w:rPr>
        <w:t>投标供应商</w:t>
      </w:r>
      <w:r>
        <w:rPr>
          <w:rFonts w:hint="eastAsia" w:ascii="宋体" w:hAnsi="宋体" w:cs="Arial"/>
          <w:color w:val="000000"/>
          <w:kern w:val="0"/>
          <w:sz w:val="24"/>
        </w:rPr>
        <w:t>的澄清、说明或者补正不得超出投标文件的范围或者改变投标文件的实质性内容。</w:t>
      </w:r>
    </w:p>
    <w:p>
      <w:pPr>
        <w:pStyle w:val="7"/>
        <w:spacing w:line="360" w:lineRule="auto"/>
        <w:rPr>
          <w:rFonts w:hint="eastAsia" w:ascii="宋体" w:hAnsi="宋体" w:eastAsia="宋体"/>
          <w:sz w:val="24"/>
          <w:szCs w:val="24"/>
        </w:rPr>
      </w:pPr>
      <w:r>
        <w:rPr>
          <w:rFonts w:ascii="宋体" w:hAnsi="宋体" w:eastAsia="宋体"/>
          <w:sz w:val="24"/>
          <w:szCs w:val="24"/>
        </w:rPr>
        <w:t>7</w:t>
      </w:r>
      <w:r>
        <w:rPr>
          <w:rFonts w:hint="eastAsia" w:ascii="宋体" w:hAnsi="宋体" w:eastAsia="宋体"/>
          <w:sz w:val="24"/>
          <w:szCs w:val="24"/>
        </w:rPr>
        <w:t>.4 投标文件的错误修正</w:t>
      </w:r>
    </w:p>
    <w:p>
      <w:pPr>
        <w:spacing w:line="360" w:lineRule="auto"/>
        <w:ind w:firstLine="422" w:firstLineChars="175"/>
        <w:rPr>
          <w:rFonts w:ascii="宋体" w:hAnsi="宋体" w:cs="Arial"/>
          <w:b/>
          <w:color w:val="000000"/>
          <w:kern w:val="0"/>
          <w:sz w:val="24"/>
        </w:rPr>
      </w:pPr>
      <w:r>
        <w:rPr>
          <w:rFonts w:ascii="宋体" w:hAnsi="宋体" w:cs="Arial"/>
          <w:b/>
          <w:color w:val="000000"/>
          <w:kern w:val="0"/>
          <w:sz w:val="24"/>
        </w:rPr>
        <w:t>7</w:t>
      </w:r>
      <w:r>
        <w:rPr>
          <w:rFonts w:hint="eastAsia" w:ascii="宋体" w:hAnsi="宋体" w:cs="Arial"/>
          <w:b/>
          <w:color w:val="000000"/>
          <w:kern w:val="0"/>
          <w:sz w:val="24"/>
        </w:rPr>
        <w:t>.4.1</w:t>
      </w:r>
      <w:r>
        <w:rPr>
          <w:rFonts w:ascii="宋体" w:hAnsi="宋体" w:cs="Arial"/>
          <w:b/>
          <w:color w:val="000000"/>
          <w:kern w:val="0"/>
          <w:sz w:val="24"/>
        </w:rPr>
        <w:t>《投标文件》如果出现计算或表达上的错误，修正错误的原则如下：</w:t>
      </w:r>
    </w:p>
    <w:p>
      <w:pPr>
        <w:spacing w:line="360" w:lineRule="auto"/>
        <w:ind w:firstLine="420" w:firstLineChars="175"/>
        <w:rPr>
          <w:rFonts w:ascii="宋体" w:hAnsi="宋体" w:cs="Arial"/>
          <w:color w:val="000000"/>
          <w:kern w:val="0"/>
          <w:sz w:val="24"/>
        </w:rPr>
      </w:pPr>
      <w:r>
        <w:rPr>
          <w:rFonts w:ascii="宋体" w:hAnsi="宋体" w:cs="Arial"/>
          <w:color w:val="000000"/>
          <w:kern w:val="0"/>
          <w:sz w:val="24"/>
        </w:rPr>
        <w:t>（1）</w:t>
      </w:r>
      <w:r>
        <w:rPr>
          <w:rFonts w:hint="eastAsia" w:ascii="宋体" w:hAnsi="宋体" w:cs="Arial"/>
          <w:color w:val="000000"/>
          <w:kern w:val="0"/>
          <w:sz w:val="24"/>
        </w:rPr>
        <w:t>投标文件中</w:t>
      </w:r>
      <w:r>
        <w:rPr>
          <w:rFonts w:ascii="宋体" w:hAnsi="宋体" w:cs="Arial"/>
          <w:color w:val="000000"/>
          <w:kern w:val="0"/>
          <w:sz w:val="24"/>
        </w:rPr>
        <w:t>开标一览表</w:t>
      </w:r>
      <w:r>
        <w:rPr>
          <w:rFonts w:hint="eastAsia" w:ascii="宋体" w:hAnsi="宋体" w:cs="Arial"/>
          <w:color w:val="000000"/>
          <w:kern w:val="0"/>
          <w:sz w:val="24"/>
        </w:rPr>
        <w:t>（报价表）内容</w:t>
      </w:r>
      <w:r>
        <w:rPr>
          <w:rFonts w:ascii="宋体" w:hAnsi="宋体" w:cs="Arial"/>
          <w:color w:val="000000"/>
          <w:kern w:val="0"/>
          <w:sz w:val="24"/>
        </w:rPr>
        <w:t>与</w:t>
      </w:r>
      <w:r>
        <w:rPr>
          <w:rFonts w:hint="eastAsia" w:ascii="宋体" w:hAnsi="宋体" w:cs="Arial"/>
          <w:color w:val="000000"/>
          <w:kern w:val="0"/>
          <w:sz w:val="24"/>
        </w:rPr>
        <w:t>投标文件中相应内容不一致的</w:t>
      </w:r>
      <w:r>
        <w:rPr>
          <w:rFonts w:ascii="宋体" w:hAnsi="宋体" w:cs="Arial"/>
          <w:color w:val="000000"/>
          <w:kern w:val="0"/>
          <w:sz w:val="24"/>
        </w:rPr>
        <w:t>，以开标一览表</w:t>
      </w:r>
      <w:r>
        <w:rPr>
          <w:rFonts w:hint="eastAsia" w:ascii="宋体" w:hAnsi="宋体" w:cs="Arial"/>
          <w:color w:val="000000"/>
          <w:kern w:val="0"/>
          <w:sz w:val="24"/>
        </w:rPr>
        <w:t>（报价表）</w:t>
      </w:r>
      <w:r>
        <w:rPr>
          <w:rFonts w:ascii="宋体" w:hAnsi="宋体" w:cs="Arial"/>
          <w:color w:val="000000"/>
          <w:kern w:val="0"/>
          <w:sz w:val="24"/>
        </w:rPr>
        <w:t>为准。</w:t>
      </w:r>
    </w:p>
    <w:p>
      <w:pPr>
        <w:spacing w:line="360" w:lineRule="auto"/>
        <w:ind w:firstLine="420" w:firstLineChars="175"/>
        <w:rPr>
          <w:rFonts w:hint="eastAsia" w:ascii="宋体" w:hAnsi="宋体" w:cs="Arial"/>
          <w:color w:val="000000"/>
          <w:kern w:val="0"/>
          <w:sz w:val="24"/>
        </w:rPr>
      </w:pPr>
      <w:r>
        <w:rPr>
          <w:rFonts w:ascii="宋体" w:hAnsi="宋体" w:cs="Arial"/>
          <w:color w:val="000000"/>
          <w:kern w:val="0"/>
          <w:sz w:val="24"/>
        </w:rPr>
        <w:t>（2）《投标文件》的大写金额和小写金额不一致的，以大写金额为准；</w:t>
      </w:r>
    </w:p>
    <w:p>
      <w:pPr>
        <w:spacing w:line="360" w:lineRule="auto"/>
        <w:ind w:firstLine="420" w:firstLineChars="175"/>
        <w:rPr>
          <w:rFonts w:ascii="宋体" w:hAnsi="宋体" w:cs="Arial"/>
          <w:color w:val="000000"/>
          <w:kern w:val="0"/>
          <w:sz w:val="24"/>
        </w:rPr>
      </w:pPr>
      <w:r>
        <w:rPr>
          <w:rFonts w:hint="eastAsia" w:ascii="宋体" w:hAnsi="宋体" w:cs="Arial"/>
          <w:color w:val="000000"/>
          <w:kern w:val="0"/>
          <w:sz w:val="24"/>
        </w:rPr>
        <w:t>（3）单价金额小数点或者百分比有明显错位的，应以</w:t>
      </w:r>
      <w:r>
        <w:rPr>
          <w:rFonts w:ascii="宋体" w:hAnsi="宋体" w:cs="Arial"/>
          <w:color w:val="000000"/>
          <w:kern w:val="0"/>
          <w:sz w:val="24"/>
        </w:rPr>
        <w:t>开标一览表</w:t>
      </w:r>
      <w:r>
        <w:rPr>
          <w:rFonts w:hint="eastAsia" w:ascii="宋体" w:hAnsi="宋体" w:cs="Arial"/>
          <w:color w:val="000000"/>
          <w:kern w:val="0"/>
          <w:sz w:val="24"/>
        </w:rPr>
        <w:t>（报价表）的总价为准，并修改单价；</w:t>
      </w:r>
    </w:p>
    <w:p>
      <w:pPr>
        <w:spacing w:line="360" w:lineRule="auto"/>
        <w:ind w:firstLine="420" w:firstLineChars="175"/>
        <w:rPr>
          <w:rFonts w:hint="eastAsia" w:ascii="宋体" w:hAnsi="宋体" w:cs="Arial"/>
          <w:color w:val="000000"/>
          <w:kern w:val="0"/>
          <w:sz w:val="24"/>
        </w:rPr>
      </w:pPr>
      <w:r>
        <w:rPr>
          <w:rFonts w:ascii="宋体" w:hAnsi="宋体" w:cs="Arial"/>
          <w:color w:val="000000"/>
          <w:kern w:val="0"/>
          <w:sz w:val="24"/>
        </w:rPr>
        <w:t>（</w:t>
      </w:r>
      <w:r>
        <w:rPr>
          <w:rFonts w:hint="eastAsia" w:ascii="宋体" w:hAnsi="宋体" w:cs="Arial"/>
          <w:color w:val="000000"/>
          <w:kern w:val="0"/>
          <w:sz w:val="24"/>
        </w:rPr>
        <w:t>4</w:t>
      </w:r>
      <w:r>
        <w:rPr>
          <w:rFonts w:ascii="宋体" w:hAnsi="宋体" w:cs="Arial"/>
          <w:color w:val="000000"/>
          <w:kern w:val="0"/>
          <w:sz w:val="24"/>
        </w:rPr>
        <w:t>）总价金额与按单价汇总金额不一致的，以单价金额计算结果为准</w:t>
      </w:r>
      <w:r>
        <w:rPr>
          <w:rFonts w:hint="eastAsia" w:ascii="宋体" w:hAnsi="宋体" w:cs="Arial"/>
          <w:color w:val="000000"/>
          <w:kern w:val="0"/>
          <w:sz w:val="24"/>
        </w:rPr>
        <w:t>。</w:t>
      </w:r>
    </w:p>
    <w:p>
      <w:pPr>
        <w:spacing w:line="360" w:lineRule="auto"/>
        <w:ind w:firstLine="420" w:firstLineChars="175"/>
      </w:pPr>
      <w:r>
        <w:rPr>
          <w:rFonts w:ascii="宋体" w:hAnsi="宋体" w:cs="Arial"/>
          <w:color w:val="000000"/>
          <w:kern w:val="0"/>
          <w:sz w:val="24"/>
        </w:rPr>
        <w:t>7</w:t>
      </w:r>
      <w:r>
        <w:rPr>
          <w:rFonts w:hint="eastAsia" w:ascii="宋体" w:hAnsi="宋体" w:cs="Arial"/>
          <w:color w:val="000000"/>
          <w:kern w:val="0"/>
          <w:sz w:val="24"/>
        </w:rPr>
        <w:t>.4.2</w:t>
      </w:r>
      <w:r>
        <w:rPr>
          <w:rFonts w:ascii="宋体" w:hAnsi="宋体" w:cs="Arial"/>
          <w:color w:val="000000"/>
          <w:kern w:val="0"/>
          <w:sz w:val="24"/>
        </w:rPr>
        <w:t>对不同文字文本《投标文件》的解释发生异议的，以中文文本为准。</w:t>
      </w:r>
    </w:p>
    <w:p>
      <w:pPr>
        <w:pStyle w:val="7"/>
        <w:spacing w:line="360" w:lineRule="auto"/>
        <w:rPr>
          <w:rFonts w:ascii="宋体" w:hAnsi="宋体" w:eastAsia="宋体"/>
          <w:sz w:val="24"/>
          <w:szCs w:val="24"/>
        </w:rPr>
      </w:pPr>
      <w:r>
        <w:rPr>
          <w:rFonts w:hint="eastAsia" w:ascii="宋体" w:hAnsi="宋体" w:eastAsia="宋体"/>
          <w:sz w:val="24"/>
          <w:szCs w:val="24"/>
        </w:rPr>
        <w:t>（八）投标文件有下列情况之一者将视为无效：</w:t>
      </w:r>
    </w:p>
    <w:p>
      <w:pPr>
        <w:spacing w:line="360" w:lineRule="auto"/>
        <w:ind w:firstLine="424" w:firstLineChars="176"/>
        <w:rPr>
          <w:rFonts w:hint="eastAsia" w:ascii="宋体" w:hAnsi="宋体" w:cs="Arial"/>
          <w:b/>
          <w:color w:val="000000"/>
          <w:kern w:val="0"/>
          <w:sz w:val="24"/>
        </w:rPr>
      </w:pPr>
      <w:bookmarkStart w:id="112" w:name="_Hlk33211013"/>
      <w:r>
        <w:rPr>
          <w:rFonts w:ascii="宋体" w:hAnsi="宋体" w:cs="Arial"/>
          <w:b/>
          <w:color w:val="000000"/>
          <w:kern w:val="0"/>
          <w:sz w:val="24"/>
        </w:rPr>
        <w:t>8</w:t>
      </w:r>
      <w:r>
        <w:rPr>
          <w:rFonts w:hint="eastAsia" w:ascii="宋体" w:hAnsi="宋体" w:cs="Arial"/>
          <w:b/>
          <w:color w:val="000000"/>
          <w:kern w:val="0"/>
          <w:sz w:val="24"/>
        </w:rPr>
        <w:t>.</w:t>
      </w:r>
      <w:r>
        <w:rPr>
          <w:rFonts w:ascii="宋体" w:hAnsi="宋体" w:cs="Arial"/>
          <w:b/>
          <w:color w:val="000000"/>
          <w:kern w:val="0"/>
          <w:sz w:val="24"/>
        </w:rPr>
        <w:t>1</w:t>
      </w:r>
      <w:r>
        <w:rPr>
          <w:rFonts w:hint="eastAsia" w:ascii="宋体" w:hAnsi="宋体" w:cs="Arial"/>
          <w:b/>
          <w:color w:val="000000"/>
          <w:kern w:val="0"/>
          <w:sz w:val="24"/>
        </w:rPr>
        <w:t>商务、技术文件符合性审查中，存在</w:t>
      </w:r>
      <w:r>
        <w:rPr>
          <w:rFonts w:ascii="宋体" w:hAnsi="宋体" w:cs="Arial"/>
          <w:b/>
          <w:color w:val="000000"/>
          <w:kern w:val="0"/>
          <w:sz w:val="24"/>
        </w:rPr>
        <w:t>下列情形之一的，</w:t>
      </w:r>
      <w:r>
        <w:rPr>
          <w:rFonts w:hint="eastAsia" w:ascii="宋体" w:hAnsi="宋体" w:cs="Arial"/>
          <w:b/>
          <w:color w:val="000000"/>
          <w:kern w:val="0"/>
          <w:sz w:val="24"/>
        </w:rPr>
        <w:t>经评标委员会认定后作无效标处理</w:t>
      </w:r>
      <w:r>
        <w:rPr>
          <w:rFonts w:ascii="宋体" w:hAnsi="宋体" w:cs="Arial"/>
          <w:b/>
          <w:color w:val="000000"/>
          <w:kern w:val="0"/>
          <w:sz w:val="24"/>
        </w:rPr>
        <w:t>：</w:t>
      </w:r>
      <w:bookmarkStart w:id="113" w:name="_Toc25773"/>
      <w:bookmarkStart w:id="114" w:name="_Toc10380"/>
      <w:bookmarkStart w:id="115" w:name="_Toc11810"/>
      <w:bookmarkStart w:id="116" w:name="_Toc33194396"/>
      <w:bookmarkStart w:id="117" w:name="_Toc32574"/>
    </w:p>
    <w:p>
      <w:pPr>
        <w:spacing w:line="360" w:lineRule="auto"/>
        <w:ind w:firstLine="424" w:firstLineChars="176"/>
        <w:rPr>
          <w:rFonts w:ascii="宋体" w:hAnsi="宋体"/>
          <w:b/>
          <w:sz w:val="24"/>
        </w:rPr>
      </w:pPr>
      <w:r>
        <w:rPr>
          <w:rFonts w:hint="eastAsia" w:ascii="宋体" w:hAnsi="宋体" w:cs="宋体"/>
          <w:b/>
          <w:color w:val="000000"/>
          <w:sz w:val="24"/>
        </w:rPr>
        <w:t>（1）投标文件未有效授权，法定代表人授权委托书等填写不完整或有涂改的；</w:t>
      </w:r>
      <w:bookmarkEnd w:id="113"/>
      <w:bookmarkEnd w:id="114"/>
      <w:bookmarkEnd w:id="115"/>
      <w:bookmarkEnd w:id="116"/>
      <w:bookmarkEnd w:id="117"/>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2</w:t>
      </w:r>
      <w:r>
        <w:rPr>
          <w:rFonts w:hint="eastAsia" w:ascii="宋体" w:hAnsi="宋体"/>
          <w:b/>
          <w:sz w:val="24"/>
        </w:rPr>
        <w:t>）投标文件没有对本招标文件作出实质性响应的，或不满足（不响应）本招标文件中标注“▲”的实质性要求条款的，或存在招标文件中明确规定的其他无效标情形的；</w:t>
      </w:r>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3</w:t>
      </w:r>
      <w:r>
        <w:rPr>
          <w:rFonts w:hint="eastAsia" w:ascii="宋体" w:hAnsi="宋体"/>
          <w:b/>
          <w:sz w:val="24"/>
        </w:rPr>
        <w:t>）投标文件存在一个或一个以上备选（替代）投标方案的；</w:t>
      </w:r>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4</w:t>
      </w:r>
      <w:r>
        <w:rPr>
          <w:rFonts w:hint="eastAsia" w:ascii="宋体" w:hAnsi="宋体"/>
          <w:b/>
          <w:sz w:val="24"/>
        </w:rPr>
        <w:t>）仅提交“备份投标文件”的；</w:t>
      </w:r>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5</w:t>
      </w:r>
      <w:r>
        <w:rPr>
          <w:rFonts w:hint="eastAsia" w:ascii="宋体" w:hAnsi="宋体"/>
          <w:b/>
          <w:sz w:val="24"/>
        </w:rPr>
        <w:t>）文件组成内容不齐全，本招标文件规定必须提供而未提供的（属于资格审查范围的除外）；</w:t>
      </w:r>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6</w:t>
      </w:r>
      <w:r>
        <w:rPr>
          <w:rFonts w:hint="eastAsia" w:ascii="宋体" w:hAnsi="宋体"/>
          <w:b/>
          <w:sz w:val="24"/>
        </w:rPr>
        <w:t>）投标文件标注的响应或偏离情况与事实不符，或提供了虚假材料的；</w:t>
      </w:r>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7</w:t>
      </w:r>
      <w:r>
        <w:rPr>
          <w:rFonts w:hint="eastAsia" w:ascii="宋体" w:hAnsi="宋体"/>
          <w:b/>
          <w:sz w:val="24"/>
        </w:rPr>
        <w:t>）不响应或擅自改变本招标文件要求或投标文件有采购人不能接受的附加条件的；</w:t>
      </w:r>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8</w:t>
      </w:r>
      <w:r>
        <w:rPr>
          <w:rFonts w:hint="eastAsia" w:ascii="宋体" w:hAnsi="宋体"/>
          <w:b/>
          <w:sz w:val="24"/>
        </w:rPr>
        <w:t>）参加同一合同项下政府采购活动的不同供应商之间存在利害关系并且存在影响政府采购公平竞争行为的；</w:t>
      </w:r>
      <w:bookmarkStart w:id="118" w:name="_Toc33194397"/>
    </w:p>
    <w:p>
      <w:pPr>
        <w:spacing w:line="360" w:lineRule="auto"/>
        <w:ind w:firstLine="426" w:firstLineChars="177"/>
        <w:rPr>
          <w:rFonts w:hint="eastAsia" w:ascii="宋体" w:hAnsi="宋体"/>
          <w:bCs/>
          <w:sz w:val="24"/>
        </w:rPr>
      </w:pPr>
      <w:r>
        <w:rPr>
          <w:rFonts w:hint="eastAsia" w:ascii="宋体" w:hAnsi="宋体" w:cs="宋体"/>
          <w:b/>
          <w:sz w:val="24"/>
        </w:rPr>
        <w:t>（9）</w:t>
      </w:r>
      <w:r>
        <w:rPr>
          <w:rFonts w:hint="eastAsia" w:ascii="宋体" w:hAnsi="宋体" w:cs="宋体"/>
          <w:b/>
          <w:color w:val="000000"/>
          <w:sz w:val="24"/>
        </w:rPr>
        <w:t>招标人拟采购的产品如属于品目清单范围内的强制采购品目的，投标人未</w:t>
      </w:r>
      <w:bookmarkEnd w:id="118"/>
      <w:bookmarkStart w:id="119" w:name="_Toc33194398"/>
      <w:bookmarkStart w:id="120" w:name="_Toc18324"/>
      <w:bookmarkStart w:id="121" w:name="_Toc7461"/>
      <w:bookmarkStart w:id="122" w:name="_Toc1556"/>
      <w:bookmarkStart w:id="123" w:name="_Toc27126"/>
      <w:r>
        <w:rPr>
          <w:rFonts w:hint="eastAsia" w:ascii="宋体" w:hAnsi="宋体" w:cs="宋体"/>
          <w:b/>
          <w:color w:val="000000"/>
          <w:sz w:val="24"/>
        </w:rPr>
        <w:t>能在响应文件中提供国家确定的认证机构出具的、处于有效期之内的该产品节能产品、环境标志产品认证证书；</w:t>
      </w:r>
      <w:bookmarkEnd w:id="119"/>
      <w:bookmarkEnd w:id="120"/>
      <w:bookmarkEnd w:id="121"/>
      <w:bookmarkEnd w:id="122"/>
      <w:bookmarkEnd w:id="123"/>
    </w:p>
    <w:p>
      <w:pPr>
        <w:spacing w:line="360" w:lineRule="auto"/>
        <w:ind w:firstLine="426" w:firstLineChars="177"/>
        <w:rPr>
          <w:rFonts w:hint="eastAsia" w:ascii="宋体" w:hAnsi="宋体"/>
          <w:b/>
          <w:sz w:val="24"/>
        </w:rPr>
      </w:pPr>
      <w:r>
        <w:rPr>
          <w:rFonts w:hint="eastAsia" w:ascii="宋体" w:hAnsi="宋体"/>
          <w:b/>
          <w:sz w:val="24"/>
        </w:rPr>
        <w:t>（1</w:t>
      </w:r>
      <w:r>
        <w:rPr>
          <w:rFonts w:ascii="宋体" w:hAnsi="宋体"/>
          <w:b/>
          <w:sz w:val="24"/>
        </w:rPr>
        <w:t>0</w:t>
      </w:r>
      <w:r>
        <w:rPr>
          <w:rFonts w:hint="eastAsia" w:ascii="宋体" w:hAnsi="宋体"/>
          <w:b/>
          <w:sz w:val="24"/>
        </w:rPr>
        <w:t>）违反国家或政府部门相关法律、法规、文件规定的。</w:t>
      </w:r>
    </w:p>
    <w:bookmarkEnd w:id="112"/>
    <w:p>
      <w:pPr>
        <w:spacing w:line="360" w:lineRule="auto"/>
        <w:ind w:firstLine="426" w:firstLineChars="177"/>
        <w:rPr>
          <w:rFonts w:hint="eastAsia" w:ascii="宋体" w:hAnsi="宋体" w:cs="Arial"/>
          <w:b/>
          <w:color w:val="000000"/>
          <w:kern w:val="0"/>
          <w:sz w:val="24"/>
        </w:rPr>
      </w:pPr>
      <w:r>
        <w:rPr>
          <w:rFonts w:ascii="宋体" w:hAnsi="宋体" w:cs="Arial"/>
          <w:b/>
          <w:color w:val="000000"/>
          <w:kern w:val="0"/>
          <w:sz w:val="24"/>
        </w:rPr>
        <w:t>8.2</w:t>
      </w:r>
      <w:r>
        <w:rPr>
          <w:rFonts w:hint="eastAsia" w:ascii="宋体" w:hAnsi="宋体" w:cs="Arial"/>
          <w:b/>
          <w:color w:val="000000"/>
          <w:kern w:val="0"/>
          <w:sz w:val="24"/>
        </w:rPr>
        <w:t>报价文件符合性审查中，存在</w:t>
      </w:r>
      <w:r>
        <w:rPr>
          <w:rFonts w:ascii="宋体" w:hAnsi="宋体" w:cs="Arial"/>
          <w:b/>
          <w:color w:val="000000"/>
          <w:kern w:val="0"/>
          <w:sz w:val="24"/>
        </w:rPr>
        <w:t>下列情形之一的，</w:t>
      </w:r>
      <w:r>
        <w:rPr>
          <w:rFonts w:hint="eastAsia" w:ascii="宋体" w:hAnsi="宋体" w:cs="Arial"/>
          <w:b/>
          <w:color w:val="000000"/>
          <w:kern w:val="0"/>
          <w:sz w:val="24"/>
        </w:rPr>
        <w:t>经评标委员会认定后作无效标处理</w:t>
      </w:r>
      <w:r>
        <w:rPr>
          <w:rFonts w:ascii="宋体" w:hAnsi="宋体" w:cs="Arial"/>
          <w:b/>
          <w:color w:val="000000"/>
          <w:kern w:val="0"/>
          <w:sz w:val="24"/>
        </w:rPr>
        <w:t>：</w:t>
      </w:r>
    </w:p>
    <w:p>
      <w:pPr>
        <w:spacing w:line="360" w:lineRule="auto"/>
        <w:ind w:firstLine="426" w:firstLineChars="177"/>
        <w:rPr>
          <w:rFonts w:hint="eastAsia" w:ascii="宋体" w:hAnsi="宋体"/>
          <w:b/>
          <w:sz w:val="24"/>
        </w:rPr>
      </w:pPr>
      <w:r>
        <w:rPr>
          <w:rFonts w:hint="eastAsia" w:ascii="宋体" w:hAnsi="宋体"/>
          <w:b/>
          <w:sz w:val="24"/>
        </w:rPr>
        <w:t>（1）投标文件没有对本招标文件作出实质性响应的，或不满足（不响应）本招标文件中标注“▲”的实质性要求条款的，或存在招标文件中明确规定的其他无效标情形的；</w:t>
      </w:r>
    </w:p>
    <w:p>
      <w:pPr>
        <w:spacing w:line="360" w:lineRule="auto"/>
        <w:ind w:firstLine="426" w:firstLineChars="177"/>
        <w:rPr>
          <w:rFonts w:hint="eastAsia" w:ascii="宋体" w:hAnsi="宋体"/>
          <w:b/>
          <w:sz w:val="24"/>
        </w:rPr>
      </w:pPr>
      <w:r>
        <w:rPr>
          <w:rFonts w:hint="eastAsia" w:ascii="宋体" w:hAnsi="宋体"/>
          <w:b/>
          <w:sz w:val="24"/>
        </w:rPr>
        <w:t>（2）投标文件存在一个或一个以上备选（替代）投标方案的；</w:t>
      </w:r>
    </w:p>
    <w:p>
      <w:pPr>
        <w:spacing w:line="360" w:lineRule="auto"/>
        <w:ind w:firstLine="426" w:firstLineChars="177"/>
        <w:rPr>
          <w:rFonts w:hint="eastAsia" w:ascii="宋体" w:hAnsi="宋体"/>
          <w:b/>
          <w:sz w:val="24"/>
        </w:rPr>
      </w:pPr>
      <w:r>
        <w:rPr>
          <w:rFonts w:hint="eastAsia" w:ascii="宋体" w:hAnsi="宋体"/>
          <w:b/>
          <w:sz w:val="24"/>
        </w:rPr>
        <w:t>（3）未按照招标文件标明的币种报价的，或者投标报价涵盖的内容不符合招标文件要求的；</w:t>
      </w:r>
    </w:p>
    <w:p>
      <w:pPr>
        <w:spacing w:line="360" w:lineRule="auto"/>
        <w:ind w:firstLine="426" w:firstLineChars="177"/>
        <w:rPr>
          <w:rFonts w:hint="eastAsia" w:ascii="宋体" w:hAnsi="宋体"/>
          <w:b/>
          <w:sz w:val="24"/>
        </w:rPr>
      </w:pPr>
      <w:r>
        <w:rPr>
          <w:rFonts w:hint="eastAsia" w:ascii="宋体" w:hAnsi="宋体"/>
          <w:b/>
          <w:sz w:val="24"/>
        </w:rPr>
        <w:t>（4）《开标一览表》内容与《投标报价明细表》内容不一致且拒不接受修正的；</w:t>
      </w:r>
    </w:p>
    <w:p>
      <w:pPr>
        <w:spacing w:line="360" w:lineRule="auto"/>
        <w:ind w:firstLine="426" w:firstLineChars="177"/>
        <w:rPr>
          <w:rFonts w:hint="eastAsia" w:ascii="宋体" w:hAnsi="宋体"/>
          <w:b/>
          <w:sz w:val="24"/>
        </w:rPr>
      </w:pPr>
      <w:r>
        <w:rPr>
          <w:rFonts w:hint="eastAsia" w:ascii="宋体" w:hAnsi="宋体"/>
          <w:b/>
          <w:sz w:val="24"/>
        </w:rPr>
        <w:t>（5）投标报价具有选择性，唱标价格与《投标文件》承诺的优惠（折扣）后价格不一致的；</w:t>
      </w:r>
    </w:p>
    <w:p>
      <w:pPr>
        <w:spacing w:line="360" w:lineRule="auto"/>
        <w:ind w:firstLine="426" w:firstLineChars="177"/>
        <w:rPr>
          <w:rFonts w:hint="eastAsia" w:ascii="宋体" w:hAnsi="宋体"/>
          <w:b/>
          <w:sz w:val="24"/>
        </w:rPr>
      </w:pPr>
      <w:r>
        <w:rPr>
          <w:rFonts w:hint="eastAsia" w:ascii="宋体" w:hAnsi="宋体"/>
          <w:b/>
          <w:sz w:val="24"/>
        </w:rPr>
        <w:t>（6）投标报价超过采购预算（或最高限价）的；</w:t>
      </w:r>
    </w:p>
    <w:p>
      <w:pPr>
        <w:spacing w:line="360" w:lineRule="auto"/>
        <w:ind w:firstLine="426" w:firstLineChars="177"/>
        <w:rPr>
          <w:rFonts w:hint="eastAsia" w:ascii="宋体" w:hAnsi="宋体"/>
          <w:b/>
          <w:sz w:val="24"/>
        </w:rPr>
      </w:pPr>
      <w:r>
        <w:rPr>
          <w:rFonts w:hint="eastAsia" w:ascii="宋体" w:hAnsi="宋体"/>
          <w:b/>
          <w:sz w:val="24"/>
        </w:rPr>
        <w:t>（7）仅提交“备份投标文件”的；</w:t>
      </w:r>
    </w:p>
    <w:p>
      <w:pPr>
        <w:spacing w:line="360" w:lineRule="auto"/>
        <w:ind w:firstLine="426" w:firstLineChars="177"/>
        <w:rPr>
          <w:rFonts w:hint="eastAsia" w:ascii="宋体" w:hAnsi="宋体"/>
          <w:b/>
          <w:sz w:val="24"/>
        </w:rPr>
      </w:pPr>
      <w:r>
        <w:rPr>
          <w:rFonts w:hint="eastAsia" w:ascii="宋体" w:hAnsi="宋体"/>
          <w:b/>
          <w:sz w:val="24"/>
        </w:rPr>
        <w:t>（8）投标文件组成内容不齐全，本招标文件规定必须提供而未提供的（属于资格审查范围的除外）；</w:t>
      </w:r>
    </w:p>
    <w:p>
      <w:pPr>
        <w:spacing w:line="360" w:lineRule="auto"/>
        <w:ind w:firstLine="426" w:firstLineChars="177"/>
        <w:rPr>
          <w:rFonts w:hint="eastAsia" w:ascii="宋体" w:hAnsi="宋体"/>
          <w:b/>
          <w:sz w:val="24"/>
        </w:rPr>
      </w:pPr>
      <w:r>
        <w:rPr>
          <w:rFonts w:hint="eastAsia" w:ascii="宋体" w:hAnsi="宋体"/>
          <w:b/>
          <w:sz w:val="24"/>
        </w:rPr>
        <w:t>（9）投标文件标注的响应或偏离情况与事实不符，或提供了虚假材料的；</w:t>
      </w:r>
    </w:p>
    <w:p>
      <w:pPr>
        <w:spacing w:line="360" w:lineRule="auto"/>
        <w:ind w:firstLine="426" w:firstLineChars="177"/>
        <w:rPr>
          <w:rFonts w:hint="eastAsia" w:ascii="宋体" w:hAnsi="宋体"/>
          <w:b/>
          <w:sz w:val="24"/>
        </w:rPr>
      </w:pPr>
      <w:r>
        <w:rPr>
          <w:rFonts w:hint="eastAsia" w:ascii="宋体" w:hAnsi="宋体"/>
          <w:b/>
          <w:sz w:val="24"/>
        </w:rPr>
        <w:t>（10）不响应或擅自改变本招标文件要求或投标文件有采购人不能接受的附加条件的；</w:t>
      </w:r>
    </w:p>
    <w:p>
      <w:pPr>
        <w:spacing w:line="360" w:lineRule="auto"/>
        <w:ind w:firstLine="426" w:firstLineChars="177"/>
        <w:rPr>
          <w:rFonts w:hint="eastAsia" w:ascii="宋体" w:hAnsi="宋体" w:cs="宋体"/>
          <w:b/>
          <w:color w:val="000000"/>
          <w:sz w:val="24"/>
        </w:rPr>
      </w:pPr>
      <w:r>
        <w:rPr>
          <w:rFonts w:hint="eastAsia" w:ascii="宋体" w:hAnsi="宋体" w:cs="宋体"/>
          <w:b/>
          <w:sz w:val="24"/>
        </w:rPr>
        <w:t>（1</w:t>
      </w:r>
      <w:r>
        <w:rPr>
          <w:rFonts w:ascii="宋体" w:hAnsi="宋体" w:cs="宋体"/>
          <w:b/>
          <w:sz w:val="24"/>
        </w:rPr>
        <w:t>1</w:t>
      </w:r>
      <w:r>
        <w:rPr>
          <w:rFonts w:hint="eastAsia" w:ascii="宋体" w:hAnsi="宋体" w:cs="宋体"/>
          <w:b/>
          <w:sz w:val="24"/>
        </w:rPr>
        <w:t>）</w:t>
      </w:r>
      <w:r>
        <w:rPr>
          <w:rFonts w:hint="eastAsia" w:ascii="宋体" w:hAnsi="宋体" w:cs="宋体"/>
          <w:b/>
          <w:color w:val="000000"/>
          <w:sz w:val="24"/>
        </w:rPr>
        <w:t>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pPr>
        <w:spacing w:line="360" w:lineRule="auto"/>
        <w:ind w:firstLine="426" w:firstLineChars="177"/>
        <w:rPr>
          <w:rFonts w:hint="eastAsia" w:ascii="宋体" w:hAnsi="宋体" w:cs="Arial"/>
          <w:b/>
          <w:color w:val="000000"/>
          <w:kern w:val="0"/>
          <w:sz w:val="24"/>
        </w:rPr>
      </w:pPr>
      <w:r>
        <w:rPr>
          <w:rFonts w:hint="eastAsia" w:ascii="宋体" w:hAnsi="宋体"/>
          <w:b/>
          <w:sz w:val="24"/>
        </w:rPr>
        <w:t>（1</w:t>
      </w:r>
      <w:r>
        <w:rPr>
          <w:rFonts w:ascii="宋体" w:hAnsi="宋体"/>
          <w:b/>
          <w:sz w:val="24"/>
        </w:rPr>
        <w:t>2</w:t>
      </w:r>
      <w:r>
        <w:rPr>
          <w:rFonts w:hint="eastAsia" w:ascii="宋体" w:hAnsi="宋体"/>
          <w:b/>
          <w:sz w:val="24"/>
        </w:rPr>
        <w:t>）违反国家或政府部门相关法律、法规、文件规定的。</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（八）投标文件的评估、比较、评分</w:t>
      </w:r>
    </w:p>
    <w:p>
      <w:pPr>
        <w:spacing w:line="360" w:lineRule="auto"/>
        <w:ind w:firstLine="424" w:firstLineChars="177"/>
        <w:rPr>
          <w:rFonts w:hint="eastAsia" w:ascii="宋体" w:hAnsi="宋体" w:cs="Arial"/>
          <w:color w:val="000000"/>
          <w:kern w:val="0"/>
          <w:sz w:val="24"/>
        </w:rPr>
      </w:pPr>
      <w:r>
        <w:rPr>
          <w:rFonts w:hint="eastAsia" w:ascii="宋体" w:hAnsi="宋体" w:cs="Arial"/>
          <w:color w:val="000000"/>
          <w:kern w:val="0"/>
          <w:sz w:val="24"/>
        </w:rPr>
        <w:t>8.1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本章第十三款。</w:t>
      </w:r>
    </w:p>
    <w:p>
      <w:pPr>
        <w:spacing w:line="360" w:lineRule="auto"/>
        <w:ind w:firstLine="424" w:firstLineChars="177"/>
        <w:rPr>
          <w:rFonts w:hint="eastAsia" w:ascii="宋体" w:hAnsi="宋体" w:cs="Arial"/>
          <w:color w:val="000000"/>
          <w:kern w:val="0"/>
          <w:sz w:val="24"/>
        </w:rPr>
      </w:pPr>
      <w:r>
        <w:rPr>
          <w:rFonts w:hint="eastAsia" w:ascii="宋体" w:hAnsi="宋体" w:cs="Arial"/>
          <w:color w:val="000000"/>
          <w:kern w:val="0"/>
          <w:sz w:val="24"/>
        </w:rPr>
        <w:t>8.2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（九）修改评审结果</w:t>
      </w:r>
    </w:p>
    <w:p>
      <w:pPr>
        <w:spacing w:line="360" w:lineRule="auto"/>
        <w:ind w:firstLine="487" w:firstLineChars="202"/>
        <w:rPr>
          <w:rFonts w:hint="eastAsia" w:ascii="宋体" w:hAnsi="宋体"/>
          <w:b/>
          <w:color w:val="000000"/>
          <w:sz w:val="24"/>
        </w:rPr>
      </w:pPr>
      <w:r>
        <w:rPr>
          <w:rFonts w:hint="eastAsia" w:ascii="宋体" w:hAnsi="宋体"/>
          <w:b/>
          <w:color w:val="000000"/>
          <w:sz w:val="24"/>
        </w:rPr>
        <w:t>9.1评标结果汇总完成后，除下列情形外，任何人不得修改评标结果：</w:t>
      </w:r>
    </w:p>
    <w:p>
      <w:pPr>
        <w:spacing w:line="360" w:lineRule="auto"/>
        <w:ind w:firstLine="484" w:firstLineChars="202"/>
        <w:rPr>
          <w:rFonts w:hint="eastAsia" w:ascii="宋体" w:hAnsi="宋体"/>
          <w:color w:val="000000"/>
          <w:sz w:val="24"/>
        </w:rPr>
      </w:pPr>
      <w:r>
        <w:rPr>
          <w:rFonts w:hint="eastAsia" w:ascii="宋体" w:hAnsi="宋体"/>
          <w:color w:val="000000"/>
          <w:sz w:val="24"/>
        </w:rPr>
        <w:t>（1）分值汇总计算错误的；</w:t>
      </w:r>
    </w:p>
    <w:p>
      <w:pPr>
        <w:spacing w:line="360" w:lineRule="auto"/>
        <w:ind w:firstLine="484" w:firstLineChars="202"/>
        <w:rPr>
          <w:rFonts w:hint="eastAsia" w:ascii="宋体" w:hAnsi="宋体"/>
          <w:color w:val="000000"/>
          <w:sz w:val="24"/>
        </w:rPr>
      </w:pPr>
      <w:r>
        <w:rPr>
          <w:rFonts w:hint="eastAsia" w:ascii="宋体" w:hAnsi="宋体"/>
          <w:color w:val="000000"/>
          <w:sz w:val="24"/>
        </w:rPr>
        <w:t>（2）分项评分超出评分标准范围的；</w:t>
      </w:r>
    </w:p>
    <w:p>
      <w:pPr>
        <w:spacing w:line="360" w:lineRule="auto"/>
        <w:ind w:firstLine="484" w:firstLineChars="202"/>
        <w:rPr>
          <w:rFonts w:hint="eastAsia" w:ascii="宋体" w:hAnsi="宋体"/>
          <w:color w:val="000000"/>
          <w:sz w:val="24"/>
        </w:rPr>
      </w:pPr>
      <w:r>
        <w:rPr>
          <w:rFonts w:hint="eastAsia" w:ascii="宋体" w:hAnsi="宋体"/>
          <w:color w:val="000000"/>
          <w:sz w:val="24"/>
        </w:rPr>
        <w:t>（3）评标委员会成员对客观评审因素评分不一致的；</w:t>
      </w:r>
    </w:p>
    <w:p>
      <w:pPr>
        <w:spacing w:line="360" w:lineRule="auto"/>
        <w:ind w:firstLine="484" w:firstLineChars="202"/>
        <w:rPr>
          <w:rFonts w:hint="eastAsia" w:ascii="宋体" w:hAnsi="宋体"/>
          <w:color w:val="000000"/>
          <w:sz w:val="24"/>
        </w:rPr>
      </w:pPr>
      <w:r>
        <w:rPr>
          <w:rFonts w:hint="eastAsia" w:ascii="宋体" w:hAnsi="宋体"/>
          <w:color w:val="000000"/>
          <w:sz w:val="24"/>
        </w:rPr>
        <w:t>（4）经评标委员会认定评分畸高、畸低的。</w:t>
      </w:r>
    </w:p>
    <w:p>
      <w:pPr>
        <w:spacing w:line="360" w:lineRule="auto"/>
        <w:ind w:firstLine="487" w:firstLineChars="202"/>
        <w:rPr>
          <w:rFonts w:hint="eastAsia" w:ascii="宋体" w:hAnsi="宋体"/>
          <w:b/>
          <w:color w:val="000000"/>
          <w:sz w:val="24"/>
        </w:rPr>
      </w:pPr>
      <w:r>
        <w:rPr>
          <w:rFonts w:hint="eastAsia" w:ascii="宋体" w:hAnsi="宋体"/>
          <w:b/>
          <w:color w:val="000000"/>
          <w:sz w:val="24"/>
        </w:rPr>
        <w:t>9.2评标报告签署前，经复核发现存在以上情形之一的，评标委员会将当场修改评标结果，并在评标报告中记载。</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（十）供应商排序及推荐中标（成交）候选供应商</w:t>
      </w:r>
    </w:p>
    <w:p>
      <w:pPr>
        <w:spacing w:line="360" w:lineRule="auto"/>
        <w:ind w:firstLine="426" w:firstLineChars="177"/>
        <w:rPr>
          <w:rFonts w:hint="eastAsia" w:ascii="宋体" w:hAnsi="宋体"/>
          <w:b/>
          <w:color w:val="000000"/>
          <w:sz w:val="24"/>
        </w:rPr>
      </w:pPr>
      <w:r>
        <w:rPr>
          <w:rFonts w:hint="eastAsia" w:ascii="宋体" w:hAnsi="宋体"/>
          <w:b/>
          <w:color w:val="000000"/>
          <w:sz w:val="24"/>
        </w:rPr>
        <w:t>评标委员会根据以下规定确定供应商排名并推荐中标（成交）候选供应商。</w:t>
      </w:r>
    </w:p>
    <w:p>
      <w:pPr>
        <w:spacing w:line="360" w:lineRule="auto"/>
        <w:ind w:firstLine="465" w:firstLineChars="193"/>
        <w:rPr>
          <w:rFonts w:hint="eastAsia" w:ascii="宋体" w:hAnsi="宋体" w:cs="Arial"/>
          <w:color w:val="000000"/>
          <w:kern w:val="0"/>
          <w:sz w:val="24"/>
        </w:rPr>
      </w:pPr>
      <w:r>
        <w:rPr>
          <w:rFonts w:ascii="宋体" w:hAnsi="宋体" w:cs="Arial"/>
          <w:b/>
          <w:color w:val="000000"/>
          <w:sz w:val="24"/>
        </w:rPr>
        <w:t>1</w:t>
      </w:r>
      <w:r>
        <w:rPr>
          <w:rFonts w:hint="eastAsia" w:ascii="宋体" w:hAnsi="宋体" w:cs="Arial"/>
          <w:b/>
          <w:color w:val="000000"/>
          <w:sz w:val="24"/>
        </w:rPr>
        <w:t>0.1评标委员会根据</w:t>
      </w:r>
      <w:r>
        <w:rPr>
          <w:rFonts w:ascii="宋体" w:hAnsi="宋体" w:cs="Arial"/>
          <w:b/>
          <w:color w:val="000000"/>
          <w:sz w:val="24"/>
        </w:rPr>
        <w:t>各投标供应商的</w:t>
      </w:r>
      <w:r>
        <w:rPr>
          <w:rFonts w:hint="eastAsia" w:ascii="宋体" w:hAnsi="宋体" w:cs="Arial"/>
          <w:b/>
          <w:color w:val="000000"/>
          <w:sz w:val="24"/>
        </w:rPr>
        <w:t>综合得分（商务技术分与报价得分之和）从高到低依次进行排名排序。特殊情形按以下原则处理：</w:t>
      </w:r>
    </w:p>
    <w:p>
      <w:pPr>
        <w:spacing w:line="360" w:lineRule="auto"/>
        <w:ind w:firstLine="463" w:firstLineChars="193"/>
        <w:rPr>
          <w:rFonts w:hint="eastAsia" w:ascii="宋体" w:hAnsi="宋体" w:cs="Arial"/>
          <w:color w:val="000000"/>
          <w:sz w:val="24"/>
        </w:rPr>
      </w:pPr>
      <w:r>
        <w:rPr>
          <w:rFonts w:hint="eastAsia" w:ascii="宋体" w:hAnsi="宋体" w:cs="Arial"/>
          <w:color w:val="000000"/>
          <w:sz w:val="24"/>
        </w:rPr>
        <w:t>（1）综合得分</w:t>
      </w:r>
      <w:r>
        <w:rPr>
          <w:rFonts w:ascii="宋体" w:hAnsi="宋体" w:cs="Arial"/>
          <w:color w:val="000000"/>
          <w:sz w:val="24"/>
        </w:rPr>
        <w:t>相同的，按投标报价</w:t>
      </w:r>
      <w:r>
        <w:rPr>
          <w:rFonts w:hint="eastAsia" w:ascii="宋体" w:hAnsi="宋体" w:cs="Arial"/>
          <w:color w:val="000000"/>
          <w:sz w:val="24"/>
        </w:rPr>
        <w:t>低的优先原则确定排名；</w:t>
      </w:r>
    </w:p>
    <w:p>
      <w:pPr>
        <w:spacing w:line="360" w:lineRule="auto"/>
        <w:ind w:firstLine="463" w:firstLineChars="193"/>
        <w:rPr>
          <w:rFonts w:hint="eastAsia" w:ascii="宋体" w:hAnsi="宋体" w:cs="Arial"/>
          <w:color w:val="000000"/>
          <w:sz w:val="24"/>
        </w:rPr>
      </w:pPr>
      <w:r>
        <w:rPr>
          <w:rFonts w:hint="eastAsia" w:ascii="宋体" w:hAnsi="宋体" w:cs="Arial"/>
          <w:color w:val="000000"/>
          <w:sz w:val="24"/>
        </w:rPr>
        <w:t>（2）综合得分和</w:t>
      </w:r>
      <w:r>
        <w:rPr>
          <w:rFonts w:ascii="宋体" w:hAnsi="宋体" w:cs="Arial"/>
          <w:color w:val="000000"/>
          <w:sz w:val="24"/>
        </w:rPr>
        <w:t>投标报价</w:t>
      </w:r>
      <w:r>
        <w:rPr>
          <w:rFonts w:hint="eastAsia" w:ascii="宋体" w:hAnsi="宋体" w:cs="Arial"/>
          <w:color w:val="000000"/>
          <w:sz w:val="24"/>
        </w:rPr>
        <w:t>均</w:t>
      </w:r>
      <w:r>
        <w:rPr>
          <w:rFonts w:ascii="宋体" w:hAnsi="宋体" w:cs="Arial"/>
          <w:color w:val="000000"/>
          <w:sz w:val="24"/>
        </w:rPr>
        <w:t>相同的，按</w:t>
      </w:r>
      <w:r>
        <w:rPr>
          <w:rFonts w:hint="eastAsia" w:ascii="宋体" w:hAnsi="宋体" w:cs="Arial"/>
          <w:color w:val="000000"/>
          <w:sz w:val="24"/>
        </w:rPr>
        <w:t>商务技术得分从高到低确定排名；</w:t>
      </w:r>
    </w:p>
    <w:p>
      <w:pPr>
        <w:spacing w:line="360" w:lineRule="auto"/>
        <w:ind w:firstLine="463" w:firstLineChars="193"/>
        <w:rPr>
          <w:rFonts w:hint="eastAsia" w:ascii="宋体" w:hAnsi="宋体" w:cs="Arial"/>
          <w:color w:val="000000"/>
          <w:sz w:val="24"/>
        </w:rPr>
      </w:pPr>
      <w:r>
        <w:rPr>
          <w:rFonts w:hint="eastAsia" w:ascii="宋体" w:hAnsi="宋体" w:cs="Arial"/>
          <w:color w:val="000000"/>
          <w:sz w:val="24"/>
        </w:rPr>
        <w:t>（3）综合得分、</w:t>
      </w:r>
      <w:r>
        <w:rPr>
          <w:rFonts w:ascii="宋体" w:hAnsi="宋体" w:cs="Arial"/>
          <w:color w:val="000000"/>
          <w:sz w:val="24"/>
        </w:rPr>
        <w:t>投标报价</w:t>
      </w:r>
      <w:r>
        <w:rPr>
          <w:rFonts w:hint="eastAsia" w:ascii="宋体" w:hAnsi="宋体" w:cs="Arial"/>
          <w:color w:val="000000"/>
          <w:sz w:val="24"/>
        </w:rPr>
        <w:t>和商务技术得分均</w:t>
      </w:r>
      <w:r>
        <w:rPr>
          <w:rFonts w:ascii="宋体" w:hAnsi="宋体" w:cs="Arial"/>
          <w:color w:val="000000"/>
          <w:sz w:val="24"/>
        </w:rPr>
        <w:t>相同的</w:t>
      </w:r>
      <w:r>
        <w:rPr>
          <w:rFonts w:hint="eastAsia" w:ascii="宋体" w:hAnsi="宋体" w:cs="Arial"/>
          <w:color w:val="000000"/>
          <w:sz w:val="24"/>
        </w:rPr>
        <w:t>由评标委员会全体成员记名投票按少数服从多数的原则确定排名。</w:t>
      </w:r>
    </w:p>
    <w:p>
      <w:pPr>
        <w:spacing w:line="360" w:lineRule="auto"/>
        <w:ind w:firstLine="426" w:firstLineChars="177"/>
        <w:rPr>
          <w:rFonts w:hint="eastAsia" w:ascii="宋体" w:hAnsi="宋体"/>
          <w:b/>
          <w:color w:val="000000"/>
          <w:sz w:val="24"/>
        </w:rPr>
      </w:pPr>
      <w:r>
        <w:rPr>
          <w:rFonts w:ascii="宋体" w:hAnsi="宋体" w:cs="Arial"/>
          <w:b/>
          <w:color w:val="000000"/>
          <w:sz w:val="24"/>
        </w:rPr>
        <w:t>1</w:t>
      </w:r>
      <w:r>
        <w:rPr>
          <w:rFonts w:hint="eastAsia" w:ascii="宋体" w:hAnsi="宋体" w:cs="Arial"/>
          <w:b/>
          <w:color w:val="000000"/>
          <w:sz w:val="24"/>
        </w:rPr>
        <w:t>0.2根据最终得分排序，通过书面评审报告的形式，向采购人推荐</w:t>
      </w:r>
      <w:r>
        <w:rPr>
          <w:rFonts w:ascii="宋体" w:hAnsi="宋体" w:cs="Arial"/>
          <w:b/>
          <w:color w:val="000000"/>
          <w:kern w:val="0"/>
          <w:sz w:val="24"/>
        </w:rPr>
        <w:t>排名第一的投标供应商为中标（成交）</w:t>
      </w:r>
      <w:r>
        <w:rPr>
          <w:rFonts w:hint="eastAsia" w:ascii="宋体" w:hAnsi="宋体" w:cs="Arial"/>
          <w:b/>
          <w:color w:val="000000"/>
          <w:kern w:val="0"/>
          <w:sz w:val="24"/>
        </w:rPr>
        <w:t>候选供应商</w:t>
      </w:r>
      <w:r>
        <w:rPr>
          <w:rFonts w:ascii="宋体" w:hAnsi="宋体" w:cs="Arial"/>
          <w:b/>
          <w:color w:val="000000"/>
          <w:sz w:val="24"/>
        </w:rPr>
        <w:t>。</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（十一）起草、签署评审报告</w:t>
      </w:r>
    </w:p>
    <w:p>
      <w:pPr>
        <w:spacing w:line="360" w:lineRule="auto"/>
        <w:ind w:firstLine="463" w:firstLineChars="193"/>
        <w:rPr>
          <w:rFonts w:hint="eastAsia" w:ascii="宋体" w:hAnsi="宋体"/>
          <w:color w:val="000000"/>
          <w:sz w:val="24"/>
        </w:rPr>
      </w:pPr>
      <w:r>
        <w:rPr>
          <w:rFonts w:hint="eastAsia" w:ascii="宋体" w:hAnsi="宋体" w:cs="Arial"/>
          <w:color w:val="000000"/>
          <w:sz w:val="24"/>
        </w:rPr>
        <w:t>评审结束后，评标委员会将通过“政府采购云平台”</w:t>
      </w:r>
      <w:r>
        <w:rPr>
          <w:rFonts w:ascii="宋体" w:hAnsi="宋体" w:cs="Arial"/>
          <w:color w:val="000000"/>
          <w:sz w:val="24"/>
        </w:rPr>
        <w:t>起草评审报告，</w:t>
      </w:r>
      <w:r>
        <w:rPr>
          <w:rFonts w:hint="eastAsia" w:ascii="宋体" w:hAnsi="宋体"/>
          <w:color w:val="000000"/>
          <w:sz w:val="24"/>
        </w:rPr>
        <w:t>评标委员会成员应当在评审报告上签字，对自己的评审意见承担法律责任。对评审报告有异议的，应当在评审报告上签署不同意见，并说明理由，否则视为同意评审报告。</w:t>
      </w:r>
    </w:p>
    <w:p>
      <w:pPr>
        <w:pStyle w:val="6"/>
        <w:numPr>
          <w:ilvl w:val="2"/>
          <w:numId w:val="0"/>
        </w:numPr>
        <w:spacing w:before="0" w:after="0"/>
        <w:ind w:left="720" w:hanging="720"/>
        <w:jc w:val="both"/>
        <w:rPr>
          <w:rFonts w:ascii="宋体" w:hAnsi="宋体" w:eastAsia="宋体" w:cs="宋体"/>
          <w:sz w:val="24"/>
          <w:szCs w:val="24"/>
        </w:rPr>
      </w:pPr>
      <w:bookmarkStart w:id="124" w:name="_Toc91899903"/>
      <w:r>
        <w:rPr>
          <w:rFonts w:hint="eastAsia" w:ascii="宋体" w:hAnsi="宋体" w:eastAsia="宋体" w:cs="宋体"/>
          <w:sz w:val="24"/>
          <w:szCs w:val="24"/>
        </w:rPr>
        <w:t>（十二）评标办法</w:t>
      </w:r>
    </w:p>
    <w:p>
      <w:pPr>
        <w:pStyle w:val="161"/>
        <w:spacing w:after="156" w:line="440" w:lineRule="exact"/>
        <w:ind w:firstLine="482"/>
        <w:rPr>
          <w:rFonts w:hint="eastAsia" w:ascii="宋体" w:hAnsi="宋体" w:eastAsia="宋体" w:cs="宋体"/>
        </w:rPr>
      </w:pPr>
      <w:r>
        <w:rPr>
          <w:rFonts w:hint="eastAsia" w:ascii="宋体" w:hAnsi="宋体" w:eastAsia="宋体" w:cs="宋体"/>
          <w:b/>
          <w:color w:val="000000"/>
        </w:rPr>
        <w:t>1、本项目采用综合评分法</w:t>
      </w:r>
      <w:r>
        <w:rPr>
          <w:rFonts w:hint="eastAsia" w:ascii="宋体" w:hAnsi="宋体" w:eastAsia="宋体" w:cs="宋体"/>
          <w:color w:val="000000"/>
        </w:rPr>
        <w:t>，总分为100分，其中商务技术90分，价格分10分。</w:t>
      </w:r>
      <w:r>
        <w:rPr>
          <w:rFonts w:hint="eastAsia" w:ascii="宋体" w:hAnsi="宋体" w:eastAsia="宋体" w:cs="宋体"/>
        </w:rPr>
        <w:t>将所有有效投标报价的最低投标价设为评标基准价，凡高于预算价评委会认定作无效标处理。</w:t>
      </w:r>
    </w:p>
    <w:p>
      <w:pPr>
        <w:adjustRightInd w:val="0"/>
        <w:snapToGrid w:val="0"/>
        <w:spacing w:line="400" w:lineRule="atLeast"/>
        <w:ind w:left="105" w:leftChars="50" w:firstLine="361" w:firstLineChars="150"/>
        <w:rPr>
          <w:rFonts w:hint="eastAsia" w:ascii="宋体" w:hAnsi="宋体" w:cs="宋体"/>
          <w:color w:val="000000"/>
          <w:sz w:val="24"/>
        </w:rPr>
      </w:pPr>
      <w:r>
        <w:rPr>
          <w:rFonts w:hint="eastAsia" w:ascii="宋体" w:hAnsi="宋体" w:cs="宋体"/>
          <w:b/>
          <w:color w:val="000000"/>
          <w:sz w:val="24"/>
        </w:rPr>
        <w:t>2、</w:t>
      </w:r>
      <w:r>
        <w:rPr>
          <w:rFonts w:hint="eastAsia" w:ascii="宋体" w:hAnsi="宋体" w:cs="宋体"/>
          <w:color w:val="000000"/>
          <w:sz w:val="24"/>
        </w:rPr>
        <w:t>商务技术评标细则（90分）</w:t>
      </w:r>
    </w:p>
    <w:p>
      <w:pPr>
        <w:spacing w:line="600" w:lineRule="exact"/>
        <w:ind w:firstLine="241" w:firstLineChars="100"/>
        <w:rPr>
          <w:rFonts w:ascii="宋体" w:hAnsi="宋体" w:cs="宋体"/>
          <w:b/>
          <w:bCs/>
          <w:sz w:val="24"/>
        </w:rPr>
      </w:pPr>
      <w:r>
        <w:rPr>
          <w:rFonts w:hint="eastAsia" w:ascii="宋体" w:hAnsi="宋体" w:cs="宋体"/>
          <w:b/>
          <w:bCs/>
          <w:sz w:val="24"/>
        </w:rPr>
        <w:t>技术分</w:t>
      </w:r>
      <w:r>
        <w:rPr>
          <w:rFonts w:hint="eastAsia" w:ascii="宋体" w:hAnsi="宋体" w:cs="宋体"/>
          <w:color w:val="000000"/>
          <w:sz w:val="24"/>
        </w:rPr>
        <w:t>（7</w:t>
      </w:r>
      <w:r>
        <w:rPr>
          <w:rFonts w:hint="eastAsia" w:ascii="宋体" w:hAnsi="宋体" w:cs="宋体"/>
          <w:color w:val="000000"/>
          <w:sz w:val="24"/>
          <w:lang w:val="en-US" w:eastAsia="zh-CN"/>
        </w:rPr>
        <w:t>4</w:t>
      </w:r>
      <w:r>
        <w:rPr>
          <w:rFonts w:hint="eastAsia" w:ascii="宋体" w:hAnsi="宋体" w:cs="宋体"/>
          <w:color w:val="000000"/>
          <w:sz w:val="24"/>
        </w:rPr>
        <w:t>分）</w:t>
      </w:r>
    </w:p>
    <w:tbl>
      <w:tblPr>
        <w:tblStyle w:val="78"/>
        <w:tblW w:w="0" w:type="auto"/>
        <w:tblInd w:w="19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8"/>
        <w:gridCol w:w="7432"/>
        <w:gridCol w:w="11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noWrap w:val="0"/>
            <w:vAlign w:val="center"/>
          </w:tcPr>
          <w:p>
            <w:pPr>
              <w:jc w:val="center"/>
              <w:rPr>
                <w:rFonts w:hint="eastAsia" w:ascii="宋体" w:hAnsi="宋体" w:cs="宋体"/>
                <w:sz w:val="24"/>
              </w:rPr>
            </w:pPr>
            <w:r>
              <w:rPr>
                <w:rFonts w:hint="eastAsia" w:ascii="宋体" w:hAnsi="宋体" w:cs="宋体"/>
                <w:sz w:val="24"/>
              </w:rPr>
              <w:t>序号</w:t>
            </w:r>
          </w:p>
        </w:tc>
        <w:tc>
          <w:tcPr>
            <w:tcW w:w="7432" w:type="dxa"/>
            <w:noWrap w:val="0"/>
            <w:vAlign w:val="center"/>
          </w:tcPr>
          <w:p>
            <w:pPr>
              <w:jc w:val="center"/>
              <w:rPr>
                <w:rFonts w:hint="eastAsia" w:ascii="宋体" w:hAnsi="宋体" w:cs="宋体"/>
                <w:sz w:val="24"/>
              </w:rPr>
            </w:pPr>
            <w:r>
              <w:rPr>
                <w:rFonts w:hint="eastAsia" w:ascii="宋体" w:hAnsi="宋体" w:cs="宋体"/>
                <w:sz w:val="24"/>
              </w:rPr>
              <w:t>评分内容</w:t>
            </w:r>
          </w:p>
        </w:tc>
        <w:tc>
          <w:tcPr>
            <w:tcW w:w="1188" w:type="dxa"/>
            <w:noWrap w:val="0"/>
            <w:vAlign w:val="center"/>
          </w:tcPr>
          <w:p>
            <w:pPr>
              <w:jc w:val="center"/>
              <w:rPr>
                <w:rFonts w:hint="eastAsia" w:ascii="宋体" w:hAnsi="宋体" w:cs="宋体"/>
                <w:sz w:val="24"/>
              </w:rPr>
            </w:pPr>
            <w:r>
              <w:rPr>
                <w:rFonts w:hint="eastAsia" w:ascii="宋体" w:hAnsi="宋体" w:cs="宋体"/>
                <w:sz w:val="24"/>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noWrap w:val="0"/>
            <w:vAlign w:val="center"/>
          </w:tcPr>
          <w:p>
            <w:pPr>
              <w:jc w:val="center"/>
              <w:rPr>
                <w:rFonts w:hint="eastAsia" w:ascii="宋体" w:hAnsi="宋体" w:cs="宋体"/>
                <w:sz w:val="24"/>
              </w:rPr>
            </w:pPr>
            <w:r>
              <w:rPr>
                <w:rFonts w:hint="eastAsia" w:ascii="宋体" w:hAnsi="宋体" w:cs="宋体"/>
                <w:sz w:val="24"/>
              </w:rPr>
              <w:t>1</w:t>
            </w:r>
          </w:p>
        </w:tc>
        <w:tc>
          <w:tcPr>
            <w:tcW w:w="7432" w:type="dxa"/>
            <w:noWrap w:val="0"/>
            <w:vAlign w:val="center"/>
          </w:tcPr>
          <w:p>
            <w:pPr>
              <w:spacing w:line="600" w:lineRule="exact"/>
              <w:rPr>
                <w:rFonts w:hint="eastAsia" w:ascii="宋体" w:hAnsi="宋体" w:cs="宋体"/>
                <w:sz w:val="24"/>
              </w:rPr>
            </w:pPr>
            <w:r>
              <w:rPr>
                <w:rFonts w:hint="eastAsia" w:ascii="宋体" w:hAnsi="宋体" w:cs="宋体"/>
                <w:sz w:val="24"/>
              </w:rPr>
              <w:t>针对本项目的服务理念、定位、目标：根据本项目服务特点提出合理的管理服务理念，提出服务定位、目标，投标人的管理模式能够切合实际，且安全可行。服务定位（0—1分）、服务目标（0—1分）、文明服务的计划（0—1分）、安全性（0—1分）；</w:t>
            </w:r>
          </w:p>
        </w:tc>
        <w:tc>
          <w:tcPr>
            <w:tcW w:w="1188" w:type="dxa"/>
            <w:noWrap w:val="0"/>
            <w:vAlign w:val="center"/>
          </w:tcPr>
          <w:p>
            <w:pPr>
              <w:jc w:val="center"/>
              <w:rPr>
                <w:rFonts w:hint="eastAsia" w:ascii="宋体" w:hAnsi="宋体" w:cs="宋体"/>
                <w:sz w:val="24"/>
              </w:rPr>
            </w:pPr>
            <w:r>
              <w:rPr>
                <w:rFonts w:hint="eastAsia" w:ascii="宋体" w:hAnsi="宋体" w:cs="宋体"/>
                <w:sz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noWrap w:val="0"/>
            <w:vAlign w:val="center"/>
          </w:tcPr>
          <w:p>
            <w:pPr>
              <w:jc w:val="center"/>
              <w:rPr>
                <w:rFonts w:hint="eastAsia" w:ascii="宋体" w:hAnsi="宋体" w:cs="宋体"/>
                <w:sz w:val="24"/>
              </w:rPr>
            </w:pPr>
            <w:r>
              <w:rPr>
                <w:rFonts w:hint="eastAsia" w:ascii="宋体" w:hAnsi="宋体" w:cs="宋体"/>
                <w:sz w:val="24"/>
              </w:rPr>
              <w:t>2</w:t>
            </w:r>
          </w:p>
        </w:tc>
        <w:tc>
          <w:tcPr>
            <w:tcW w:w="7432" w:type="dxa"/>
            <w:noWrap w:val="0"/>
            <w:vAlign w:val="center"/>
          </w:tcPr>
          <w:p>
            <w:pPr>
              <w:spacing w:line="600" w:lineRule="exact"/>
              <w:rPr>
                <w:rFonts w:hint="eastAsia" w:ascii="宋体" w:hAnsi="宋体" w:cs="宋体"/>
                <w:sz w:val="24"/>
              </w:rPr>
            </w:pPr>
            <w:r>
              <w:rPr>
                <w:rFonts w:hint="eastAsia" w:ascii="宋体" w:hAnsi="宋体" w:cs="宋体"/>
                <w:sz w:val="24"/>
              </w:rPr>
              <w:t>针对本项目的组织架构、管理机制：有比较完善的组织架构，清晰简练地列出主要管理流程，包括对运作流程图、激励机制、监督机制、自我约束机制、信息反馈渠道及处理机制。运作流程图（0—1分）、激励机制（0—1分）、监督机制（0—1分）、自我约束机制（0—1分）；信息反馈渠道及处理机制（0—1分）</w:t>
            </w:r>
          </w:p>
        </w:tc>
        <w:tc>
          <w:tcPr>
            <w:tcW w:w="1188" w:type="dxa"/>
            <w:noWrap w:val="0"/>
            <w:vAlign w:val="center"/>
          </w:tcPr>
          <w:p>
            <w:pPr>
              <w:jc w:val="center"/>
              <w:rPr>
                <w:rFonts w:ascii="宋体" w:hAnsi="宋体" w:cs="宋体"/>
                <w:sz w:val="24"/>
              </w:rPr>
            </w:pPr>
            <w:r>
              <w:rPr>
                <w:rFonts w:hint="eastAsia" w:ascii="宋体" w:hAnsi="宋体" w:cs="宋体"/>
                <w:sz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noWrap w:val="0"/>
            <w:vAlign w:val="center"/>
          </w:tcPr>
          <w:p>
            <w:pPr>
              <w:jc w:val="center"/>
              <w:rPr>
                <w:rFonts w:hint="eastAsia" w:ascii="宋体" w:hAnsi="宋体" w:cs="宋体"/>
                <w:sz w:val="24"/>
              </w:rPr>
            </w:pPr>
            <w:r>
              <w:rPr>
                <w:rFonts w:hint="eastAsia" w:ascii="宋体" w:hAnsi="宋体" w:cs="宋体"/>
                <w:sz w:val="24"/>
              </w:rPr>
              <w:t>3</w:t>
            </w:r>
          </w:p>
        </w:tc>
        <w:tc>
          <w:tcPr>
            <w:tcW w:w="7432" w:type="dxa"/>
            <w:noWrap w:val="0"/>
            <w:vAlign w:val="center"/>
          </w:tcPr>
          <w:p>
            <w:pPr>
              <w:rPr>
                <w:rFonts w:hint="eastAsia" w:ascii="宋体" w:hAnsi="宋体" w:cs="宋体"/>
                <w:sz w:val="24"/>
              </w:rPr>
            </w:pPr>
            <w:r>
              <w:rPr>
                <w:rFonts w:hint="eastAsia" w:ascii="宋体" w:hAnsi="宋体" w:cs="宋体"/>
                <w:sz w:val="24"/>
              </w:rPr>
              <w:t>针对本项目的管理机构设置：根据机构设置情况的合理性等比较打分，可行性（0—</w:t>
            </w:r>
            <w:r>
              <w:rPr>
                <w:rFonts w:hint="eastAsia" w:ascii="宋体" w:hAnsi="宋体" w:cs="宋体"/>
                <w:sz w:val="24"/>
                <w:lang w:val="en-US" w:eastAsia="zh-CN"/>
              </w:rPr>
              <w:t>2</w:t>
            </w:r>
            <w:r>
              <w:rPr>
                <w:rFonts w:hint="eastAsia" w:ascii="宋体" w:hAnsi="宋体" w:cs="宋体"/>
                <w:sz w:val="24"/>
              </w:rPr>
              <w:t>分）、合理性（0—</w:t>
            </w:r>
            <w:r>
              <w:rPr>
                <w:rFonts w:hint="eastAsia" w:ascii="宋体" w:hAnsi="宋体" w:cs="宋体"/>
                <w:sz w:val="24"/>
                <w:lang w:val="en-US" w:eastAsia="zh-CN"/>
              </w:rPr>
              <w:t>2</w:t>
            </w:r>
            <w:r>
              <w:rPr>
                <w:rFonts w:hint="eastAsia" w:ascii="宋体" w:hAnsi="宋体" w:cs="宋体"/>
                <w:sz w:val="24"/>
              </w:rPr>
              <w:t>分）、可操作性（0—</w:t>
            </w:r>
            <w:r>
              <w:rPr>
                <w:rFonts w:hint="eastAsia" w:ascii="宋体" w:hAnsi="宋体" w:cs="宋体"/>
                <w:sz w:val="24"/>
                <w:lang w:val="en-US" w:eastAsia="zh-CN"/>
              </w:rPr>
              <w:t>2</w:t>
            </w:r>
            <w:r>
              <w:rPr>
                <w:rFonts w:hint="eastAsia" w:ascii="宋体" w:hAnsi="宋体" w:cs="宋体"/>
                <w:sz w:val="24"/>
              </w:rPr>
              <w:t>分）；</w:t>
            </w:r>
          </w:p>
        </w:tc>
        <w:tc>
          <w:tcPr>
            <w:tcW w:w="1188" w:type="dxa"/>
            <w:noWrap w:val="0"/>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noWrap w:val="0"/>
            <w:vAlign w:val="center"/>
          </w:tcPr>
          <w:p>
            <w:pPr>
              <w:jc w:val="center"/>
              <w:rPr>
                <w:rFonts w:hint="eastAsia" w:ascii="宋体" w:hAnsi="宋体" w:cs="宋体"/>
                <w:sz w:val="24"/>
              </w:rPr>
            </w:pPr>
            <w:r>
              <w:rPr>
                <w:rFonts w:hint="eastAsia" w:ascii="宋体" w:hAnsi="宋体" w:cs="宋体"/>
                <w:sz w:val="24"/>
              </w:rPr>
              <w:t>4</w:t>
            </w:r>
          </w:p>
        </w:tc>
        <w:tc>
          <w:tcPr>
            <w:tcW w:w="7432" w:type="dxa"/>
            <w:noWrap w:val="0"/>
            <w:vAlign w:val="center"/>
          </w:tcPr>
          <w:p>
            <w:pPr>
              <w:spacing w:line="600" w:lineRule="exact"/>
              <w:jc w:val="left"/>
              <w:rPr>
                <w:rFonts w:hint="eastAsia" w:ascii="宋体" w:hAnsi="宋体" w:cs="宋体"/>
                <w:sz w:val="24"/>
              </w:rPr>
            </w:pPr>
            <w:r>
              <w:rPr>
                <w:rFonts w:hint="eastAsia" w:ascii="宋体" w:hAnsi="宋体" w:cs="宋体"/>
                <w:sz w:val="24"/>
              </w:rPr>
              <w:t>项目组人员情况：</w:t>
            </w:r>
          </w:p>
          <w:p>
            <w:pPr>
              <w:spacing w:line="600" w:lineRule="exact"/>
              <w:jc w:val="left"/>
              <w:rPr>
                <w:rFonts w:hint="eastAsia" w:ascii="宋体" w:hAnsi="宋体" w:cs="宋体"/>
                <w:sz w:val="24"/>
              </w:rPr>
            </w:pPr>
            <w:r>
              <w:rPr>
                <w:rFonts w:hint="eastAsia" w:ascii="宋体" w:hAnsi="宋体" w:cs="宋体"/>
                <w:sz w:val="24"/>
              </w:rPr>
              <w:t>1）项目总负责人：项目总负责人年龄在45周岁以下的得1分；大专及以上文化程度的得1分；具有国家职业资格保安员贰级及以上证书的得2分；具有警官转业证书的得2分；具有保卫师证书的得2分；没有不得分，证书应在有效期内；</w:t>
            </w:r>
            <w:r>
              <w:rPr>
                <w:rFonts w:hint="eastAsia" w:ascii="宋体" w:hAnsi="宋体" w:cs="宋体"/>
                <w:b/>
                <w:bCs/>
                <w:sz w:val="24"/>
              </w:rPr>
              <w:t>投标文件中同时提供身份证复印件加盖投标人公章、毕业证书复印件加盖投标人公章、警官转业证书复印件加盖投标人公章、国家职业资格保安员贰级及以上证书复印件加盖投标人公章、保卫师证书复印件加盖投标人公章；（0-8分）</w:t>
            </w:r>
          </w:p>
          <w:p>
            <w:pPr>
              <w:spacing w:line="600" w:lineRule="exact"/>
              <w:jc w:val="left"/>
              <w:rPr>
                <w:rFonts w:hint="eastAsia" w:ascii="宋体" w:hAnsi="宋体" w:cs="宋体"/>
                <w:sz w:val="24"/>
              </w:rPr>
            </w:pPr>
            <w:r>
              <w:rPr>
                <w:rFonts w:hint="eastAsia" w:ascii="宋体" w:hAnsi="宋体" w:cs="宋体"/>
                <w:sz w:val="24"/>
              </w:rPr>
              <w:t>2）拟投入人员中具有保安师二级及以上证书的，每有1人得2分，最多得10分；</w:t>
            </w:r>
            <w:r>
              <w:rPr>
                <w:rFonts w:hint="eastAsia" w:ascii="宋体" w:hAnsi="宋体" w:cs="宋体"/>
                <w:b/>
                <w:bCs/>
                <w:sz w:val="24"/>
              </w:rPr>
              <w:t>投标文件中同时提供证书复印件并加盖投标人公章及一年有效社保缴纳证明复印件并加盖投标人公章；（0-10分）</w:t>
            </w:r>
          </w:p>
          <w:p>
            <w:pPr>
              <w:spacing w:line="600" w:lineRule="exact"/>
              <w:rPr>
                <w:rFonts w:hint="eastAsia" w:ascii="宋体" w:hAnsi="宋体" w:cs="宋体"/>
                <w:sz w:val="24"/>
              </w:rPr>
            </w:pPr>
            <w:r>
              <w:rPr>
                <w:rFonts w:hint="eastAsia" w:ascii="宋体" w:hAnsi="宋体" w:cs="宋体"/>
                <w:sz w:val="24"/>
              </w:rPr>
              <w:t>3）拟投入人员配置比较：拟投入人员要求35周岁以下具有保安员证的满足40人（含40人）得基本分10分，每增加一人加0.3分，最多加12分；</w:t>
            </w:r>
            <w:r>
              <w:rPr>
                <w:rFonts w:hint="eastAsia" w:ascii="宋体" w:hAnsi="宋体" w:cs="宋体"/>
                <w:b/>
                <w:bCs/>
                <w:sz w:val="24"/>
              </w:rPr>
              <w:t>投标文件中同时提供身份证复印件加盖投标人公章、保安员证复印件加盖投标人公章及三个月有效社保缴纳证明复印件加盖投标人公章；（0-22分）</w:t>
            </w:r>
          </w:p>
        </w:tc>
        <w:tc>
          <w:tcPr>
            <w:tcW w:w="1188" w:type="dxa"/>
            <w:noWrap w:val="0"/>
            <w:vAlign w:val="center"/>
          </w:tcPr>
          <w:p>
            <w:pPr>
              <w:jc w:val="center"/>
              <w:rPr>
                <w:rFonts w:ascii="宋体" w:hAnsi="宋体" w:cs="宋体"/>
                <w:sz w:val="24"/>
              </w:rPr>
            </w:pPr>
            <w:r>
              <w:rPr>
                <w:rFonts w:hint="eastAsia" w:ascii="宋体" w:hAnsi="宋体" w:cs="宋体"/>
                <w:sz w:val="24"/>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noWrap w:val="0"/>
            <w:vAlign w:val="center"/>
          </w:tcPr>
          <w:p>
            <w:pPr>
              <w:jc w:val="center"/>
              <w:rPr>
                <w:rFonts w:hint="eastAsia" w:ascii="宋体" w:hAnsi="宋体" w:cs="宋体"/>
                <w:sz w:val="24"/>
              </w:rPr>
            </w:pPr>
            <w:r>
              <w:rPr>
                <w:rFonts w:hint="eastAsia" w:ascii="宋体" w:hAnsi="宋体" w:cs="宋体"/>
                <w:sz w:val="24"/>
              </w:rPr>
              <w:t>6</w:t>
            </w:r>
          </w:p>
        </w:tc>
        <w:tc>
          <w:tcPr>
            <w:tcW w:w="7432" w:type="dxa"/>
            <w:noWrap w:val="0"/>
            <w:vAlign w:val="center"/>
          </w:tcPr>
          <w:p>
            <w:pPr>
              <w:spacing w:line="600" w:lineRule="exact"/>
              <w:jc w:val="left"/>
              <w:rPr>
                <w:rFonts w:hint="eastAsia" w:ascii="宋体" w:hAnsi="宋体" w:cs="宋体"/>
                <w:sz w:val="24"/>
              </w:rPr>
            </w:pPr>
            <w:r>
              <w:rPr>
                <w:rFonts w:hint="eastAsia" w:ascii="宋体" w:hAnsi="宋体" w:cs="宋体"/>
                <w:sz w:val="24"/>
              </w:rPr>
              <w:t>管理组织实施方案：</w:t>
            </w:r>
          </w:p>
          <w:p>
            <w:pPr>
              <w:spacing w:line="600" w:lineRule="exact"/>
              <w:jc w:val="left"/>
              <w:rPr>
                <w:rFonts w:hint="eastAsia" w:ascii="宋体" w:hAnsi="宋体" w:cs="宋体"/>
                <w:sz w:val="24"/>
              </w:rPr>
            </w:pPr>
            <w:r>
              <w:rPr>
                <w:rFonts w:hint="eastAsia" w:ascii="宋体" w:hAnsi="宋体" w:cs="宋体"/>
                <w:sz w:val="24"/>
              </w:rPr>
              <w:t>1）员工招聘标准的合理性（0—1分），员工培训计划的合理性（0—1分）；</w:t>
            </w:r>
          </w:p>
          <w:p>
            <w:pPr>
              <w:spacing w:line="600" w:lineRule="exact"/>
              <w:jc w:val="left"/>
              <w:rPr>
                <w:rFonts w:hint="eastAsia" w:ascii="宋体" w:hAnsi="宋体" w:cs="宋体"/>
                <w:sz w:val="24"/>
              </w:rPr>
            </w:pPr>
            <w:r>
              <w:rPr>
                <w:rFonts w:hint="eastAsia" w:ascii="宋体" w:hAnsi="宋体" w:cs="宋体"/>
                <w:sz w:val="24"/>
              </w:rPr>
              <w:t>2）管理的制度的合理性（0—1分）、规范和标准的合理性（0—1分）；</w:t>
            </w:r>
          </w:p>
          <w:p>
            <w:pPr>
              <w:spacing w:line="600" w:lineRule="exact"/>
              <w:jc w:val="left"/>
              <w:rPr>
                <w:rFonts w:hint="eastAsia" w:ascii="宋体" w:hAnsi="宋体" w:cs="宋体"/>
                <w:sz w:val="24"/>
              </w:rPr>
            </w:pPr>
            <w:r>
              <w:rPr>
                <w:rFonts w:hint="eastAsia" w:ascii="宋体" w:hAnsi="宋体" w:cs="宋体"/>
                <w:sz w:val="24"/>
              </w:rPr>
              <w:t>3）门岗、巡逻管理服务等具体实施方案的合理性（0—1分）、可行性（0—1分）；</w:t>
            </w:r>
          </w:p>
          <w:p>
            <w:pPr>
              <w:spacing w:line="600" w:lineRule="exact"/>
              <w:rPr>
                <w:rFonts w:hint="eastAsia" w:ascii="宋体" w:hAnsi="宋体" w:cs="宋体"/>
                <w:color w:val="000000"/>
                <w:sz w:val="24"/>
              </w:rPr>
            </w:pPr>
            <w:r>
              <w:rPr>
                <w:rFonts w:hint="eastAsia" w:ascii="宋体" w:hAnsi="宋体" w:cs="宋体"/>
                <w:sz w:val="24"/>
              </w:rPr>
              <w:t>4）稳定员工队伍的措施的合理性（0—1分）、可行性（0—1分）；</w:t>
            </w:r>
          </w:p>
        </w:tc>
        <w:tc>
          <w:tcPr>
            <w:tcW w:w="1188" w:type="dxa"/>
            <w:noWrap w:val="0"/>
            <w:vAlign w:val="center"/>
          </w:tcPr>
          <w:p>
            <w:pPr>
              <w:jc w:val="center"/>
              <w:rPr>
                <w:rFonts w:hint="eastAsia" w:ascii="宋体" w:hAnsi="宋体" w:cs="宋体"/>
                <w:sz w:val="24"/>
              </w:rPr>
            </w:pPr>
            <w:r>
              <w:rPr>
                <w:rFonts w:hint="eastAsia" w:ascii="宋体" w:hAnsi="宋体" w:cs="宋体"/>
                <w:sz w:val="24"/>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noWrap w:val="0"/>
            <w:vAlign w:val="center"/>
          </w:tcPr>
          <w:p>
            <w:pPr>
              <w:jc w:val="center"/>
              <w:rPr>
                <w:rFonts w:hint="eastAsia" w:ascii="宋体" w:hAnsi="宋体" w:cs="宋体"/>
                <w:sz w:val="24"/>
              </w:rPr>
            </w:pPr>
            <w:r>
              <w:rPr>
                <w:rFonts w:hint="eastAsia" w:ascii="宋体" w:hAnsi="宋体" w:cs="宋体"/>
                <w:sz w:val="24"/>
              </w:rPr>
              <w:t>7</w:t>
            </w:r>
          </w:p>
        </w:tc>
        <w:tc>
          <w:tcPr>
            <w:tcW w:w="7432" w:type="dxa"/>
            <w:noWrap w:val="0"/>
            <w:vAlign w:val="center"/>
          </w:tcPr>
          <w:p>
            <w:pPr>
              <w:spacing w:line="600" w:lineRule="exact"/>
              <w:rPr>
                <w:rFonts w:ascii="宋体" w:hAnsi="宋体" w:cs="宋体"/>
                <w:color w:val="000000"/>
                <w:kern w:val="0"/>
                <w:sz w:val="24"/>
              </w:rPr>
            </w:pPr>
            <w:r>
              <w:rPr>
                <w:rFonts w:hint="eastAsia" w:ascii="宋体" w:hAnsi="宋体" w:cs="宋体"/>
                <w:sz w:val="24"/>
              </w:rPr>
              <w:t>应急预案：提供处理突发事件的应急预案的合理性（0—</w:t>
            </w:r>
            <w:r>
              <w:rPr>
                <w:rFonts w:hint="eastAsia" w:ascii="宋体" w:hAnsi="宋体" w:cs="宋体"/>
                <w:sz w:val="24"/>
                <w:lang w:val="en-US" w:eastAsia="zh-CN"/>
              </w:rPr>
              <w:t>2</w:t>
            </w:r>
            <w:r>
              <w:rPr>
                <w:rFonts w:hint="eastAsia" w:ascii="宋体" w:hAnsi="宋体" w:cs="宋体"/>
                <w:sz w:val="24"/>
              </w:rPr>
              <w:t>分）、可行性（0—</w:t>
            </w:r>
            <w:r>
              <w:rPr>
                <w:rFonts w:hint="eastAsia" w:ascii="宋体" w:hAnsi="宋体" w:cs="宋体"/>
                <w:sz w:val="24"/>
                <w:lang w:val="en-US" w:eastAsia="zh-CN"/>
              </w:rPr>
              <w:t>2</w:t>
            </w:r>
            <w:r>
              <w:rPr>
                <w:rFonts w:hint="eastAsia" w:ascii="宋体" w:hAnsi="宋体" w:cs="宋体"/>
                <w:sz w:val="24"/>
              </w:rPr>
              <w:t>分）；</w:t>
            </w:r>
          </w:p>
        </w:tc>
        <w:tc>
          <w:tcPr>
            <w:tcW w:w="1188" w:type="dxa"/>
            <w:noWrap w:val="0"/>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noWrap w:val="0"/>
            <w:vAlign w:val="center"/>
          </w:tcPr>
          <w:p>
            <w:pPr>
              <w:jc w:val="center"/>
              <w:rPr>
                <w:rFonts w:hint="eastAsia" w:ascii="宋体" w:hAnsi="宋体" w:cs="宋体"/>
                <w:sz w:val="24"/>
              </w:rPr>
            </w:pPr>
            <w:r>
              <w:rPr>
                <w:rFonts w:hint="eastAsia" w:ascii="宋体" w:hAnsi="宋体" w:cs="宋体"/>
                <w:sz w:val="24"/>
              </w:rPr>
              <w:t>8</w:t>
            </w:r>
          </w:p>
        </w:tc>
        <w:tc>
          <w:tcPr>
            <w:tcW w:w="7432" w:type="dxa"/>
            <w:noWrap w:val="0"/>
            <w:vAlign w:val="center"/>
          </w:tcPr>
          <w:p>
            <w:pPr>
              <w:spacing w:line="600" w:lineRule="exact"/>
              <w:rPr>
                <w:rFonts w:hint="eastAsia" w:ascii="宋体" w:hAnsi="宋体" w:cs="宋体"/>
                <w:color w:val="000000"/>
                <w:kern w:val="0"/>
                <w:sz w:val="24"/>
              </w:rPr>
            </w:pPr>
            <w:r>
              <w:rPr>
                <w:rFonts w:hint="eastAsia" w:ascii="宋体" w:hAnsi="宋体" w:cs="宋体"/>
                <w:color w:val="000000"/>
                <w:kern w:val="0"/>
                <w:sz w:val="24"/>
              </w:rPr>
              <w:t>响应能力：根据服务响应能力进行打分</w:t>
            </w:r>
            <w:r>
              <w:rPr>
                <w:rFonts w:hint="eastAsia" w:ascii="宋体" w:hAnsi="宋体" w:cs="宋体"/>
                <w:sz w:val="24"/>
              </w:rPr>
              <w:t>（0—</w:t>
            </w:r>
            <w:r>
              <w:rPr>
                <w:rFonts w:hint="eastAsia" w:ascii="宋体" w:hAnsi="宋体" w:cs="宋体"/>
                <w:sz w:val="24"/>
                <w:lang w:val="en-US" w:eastAsia="zh-CN"/>
              </w:rPr>
              <w:t>4</w:t>
            </w:r>
            <w:r>
              <w:rPr>
                <w:rFonts w:hint="eastAsia" w:ascii="宋体" w:hAnsi="宋体" w:cs="宋体"/>
                <w:sz w:val="24"/>
              </w:rPr>
              <w:t>分）</w:t>
            </w:r>
            <w:r>
              <w:rPr>
                <w:rFonts w:hint="eastAsia" w:ascii="宋体" w:hAnsi="宋体" w:cs="宋体"/>
                <w:color w:val="000000"/>
                <w:kern w:val="0"/>
                <w:sz w:val="24"/>
              </w:rPr>
              <w:t>；</w:t>
            </w:r>
          </w:p>
        </w:tc>
        <w:tc>
          <w:tcPr>
            <w:tcW w:w="1188" w:type="dxa"/>
            <w:noWrap w:val="0"/>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38" w:type="dxa"/>
            <w:noWrap w:val="0"/>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7432" w:type="dxa"/>
            <w:noWrap w:val="0"/>
            <w:vAlign w:val="center"/>
          </w:tcPr>
          <w:p>
            <w:pPr>
              <w:rPr>
                <w:rFonts w:hint="eastAsia" w:ascii="宋体" w:hAnsi="宋体" w:cs="宋体"/>
                <w:sz w:val="24"/>
              </w:rPr>
            </w:pPr>
            <w:r>
              <w:rPr>
                <w:rFonts w:hint="eastAsia" w:ascii="宋体" w:hAnsi="宋体" w:cs="宋体"/>
                <w:sz w:val="24"/>
              </w:rPr>
              <w:t>服务承诺：包括服务内容及标准承诺、创建工作承诺等，合理性（0—1分）、可行性（0—1分），可操作性（0—1分）；</w:t>
            </w:r>
          </w:p>
        </w:tc>
        <w:tc>
          <w:tcPr>
            <w:tcW w:w="1188" w:type="dxa"/>
            <w:noWrap w:val="0"/>
            <w:vAlign w:val="center"/>
          </w:tcPr>
          <w:p>
            <w:pPr>
              <w:jc w:val="center"/>
              <w:rPr>
                <w:rFonts w:hint="eastAsia" w:ascii="宋体" w:hAnsi="宋体" w:cs="宋体"/>
                <w:sz w:val="24"/>
              </w:rPr>
            </w:pPr>
            <w:r>
              <w:rPr>
                <w:rFonts w:hint="eastAsia" w:ascii="宋体" w:hAnsi="宋体" w:cs="宋体"/>
                <w:sz w:val="24"/>
              </w:rPr>
              <w:t>3</w:t>
            </w:r>
          </w:p>
        </w:tc>
      </w:tr>
    </w:tbl>
    <w:p>
      <w:pPr>
        <w:numPr>
          <w:ilvl w:val="0"/>
          <w:numId w:val="10"/>
        </w:numPr>
        <w:rPr>
          <w:rFonts w:hint="eastAsia" w:ascii="宋体" w:hAnsi="宋体" w:cs="宋体"/>
          <w:vanish/>
        </w:rPr>
      </w:pPr>
    </w:p>
    <w:p>
      <w:pPr>
        <w:spacing w:line="600" w:lineRule="exact"/>
        <w:rPr>
          <w:rFonts w:ascii="宋体" w:hAnsi="宋体" w:cs="宋体"/>
          <w:b/>
          <w:bCs/>
          <w:sz w:val="24"/>
        </w:rPr>
      </w:pPr>
      <w:r>
        <w:rPr>
          <w:rFonts w:hint="eastAsia" w:ascii="宋体" w:hAnsi="宋体" w:cs="宋体"/>
          <w:b/>
          <w:bCs/>
          <w:sz w:val="24"/>
        </w:rPr>
        <w:t>2、商务分1</w:t>
      </w:r>
      <w:r>
        <w:rPr>
          <w:rFonts w:hint="eastAsia" w:ascii="宋体" w:hAnsi="宋体" w:cs="宋体"/>
          <w:b/>
          <w:bCs/>
          <w:sz w:val="24"/>
          <w:lang w:val="en-US" w:eastAsia="zh-CN"/>
        </w:rPr>
        <w:t>6</w:t>
      </w:r>
      <w:r>
        <w:rPr>
          <w:rFonts w:hint="eastAsia" w:ascii="宋体" w:hAnsi="宋体" w:cs="宋体"/>
          <w:b/>
          <w:bCs/>
          <w:sz w:val="24"/>
        </w:rPr>
        <w:t>分</w:t>
      </w:r>
    </w:p>
    <w:tbl>
      <w:tblPr>
        <w:tblStyle w:val="78"/>
        <w:tblW w:w="0" w:type="auto"/>
        <w:tblInd w:w="19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6"/>
        <w:gridCol w:w="7429"/>
        <w:gridCol w:w="11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46" w:type="dxa"/>
            <w:noWrap w:val="0"/>
            <w:vAlign w:val="center"/>
          </w:tcPr>
          <w:p>
            <w:pPr>
              <w:jc w:val="center"/>
              <w:rPr>
                <w:rFonts w:hint="eastAsia" w:ascii="宋体" w:hAnsi="宋体" w:cs="宋体"/>
                <w:sz w:val="24"/>
              </w:rPr>
            </w:pPr>
            <w:r>
              <w:rPr>
                <w:rFonts w:hint="eastAsia" w:ascii="宋体" w:hAnsi="宋体" w:cs="宋体"/>
                <w:sz w:val="24"/>
              </w:rPr>
              <w:t>序号</w:t>
            </w:r>
          </w:p>
        </w:tc>
        <w:tc>
          <w:tcPr>
            <w:tcW w:w="7429" w:type="dxa"/>
            <w:noWrap w:val="0"/>
            <w:vAlign w:val="center"/>
          </w:tcPr>
          <w:p>
            <w:pPr>
              <w:jc w:val="center"/>
              <w:rPr>
                <w:rFonts w:hint="eastAsia" w:ascii="宋体" w:hAnsi="宋体" w:cs="宋体"/>
                <w:sz w:val="24"/>
              </w:rPr>
            </w:pPr>
            <w:r>
              <w:rPr>
                <w:rFonts w:hint="eastAsia" w:ascii="宋体" w:hAnsi="宋体" w:cs="宋体"/>
                <w:sz w:val="24"/>
              </w:rPr>
              <w:t>评分内容</w:t>
            </w:r>
          </w:p>
        </w:tc>
        <w:tc>
          <w:tcPr>
            <w:tcW w:w="1191" w:type="dxa"/>
            <w:noWrap w:val="0"/>
            <w:vAlign w:val="center"/>
          </w:tcPr>
          <w:p>
            <w:pPr>
              <w:jc w:val="center"/>
              <w:rPr>
                <w:rFonts w:hint="eastAsia" w:ascii="宋体" w:hAnsi="宋体" w:cs="宋体"/>
                <w:sz w:val="24"/>
              </w:rPr>
            </w:pPr>
            <w:r>
              <w:rPr>
                <w:rFonts w:hint="eastAsia" w:ascii="宋体" w:hAnsi="宋体" w:cs="宋体"/>
                <w:sz w:val="24"/>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46" w:type="dxa"/>
            <w:noWrap w:val="0"/>
            <w:vAlign w:val="center"/>
          </w:tcPr>
          <w:p>
            <w:pPr>
              <w:jc w:val="center"/>
              <w:rPr>
                <w:rFonts w:hint="eastAsia" w:ascii="宋体" w:hAnsi="宋体" w:cs="宋体"/>
                <w:sz w:val="24"/>
              </w:rPr>
            </w:pPr>
            <w:r>
              <w:rPr>
                <w:rFonts w:hint="eastAsia" w:ascii="宋体" w:hAnsi="宋体" w:cs="宋体"/>
                <w:sz w:val="24"/>
              </w:rPr>
              <w:t>1</w:t>
            </w:r>
          </w:p>
        </w:tc>
        <w:tc>
          <w:tcPr>
            <w:tcW w:w="7429" w:type="dxa"/>
            <w:noWrap w:val="0"/>
            <w:vAlign w:val="center"/>
          </w:tcPr>
          <w:p>
            <w:pPr>
              <w:spacing w:line="600" w:lineRule="exact"/>
              <w:jc w:val="left"/>
              <w:rPr>
                <w:rFonts w:hint="eastAsia" w:ascii="宋体" w:hAnsi="宋体" w:cs="宋体"/>
                <w:sz w:val="24"/>
                <w:szCs w:val="20"/>
              </w:rPr>
            </w:pPr>
            <w:r>
              <w:rPr>
                <w:rFonts w:hint="eastAsia" w:ascii="宋体" w:hAnsi="宋体" w:cs="宋体"/>
                <w:sz w:val="24"/>
                <w:szCs w:val="20"/>
              </w:rPr>
              <w:t>企业证书：</w:t>
            </w:r>
          </w:p>
          <w:p>
            <w:pPr>
              <w:numPr>
                <w:ilvl w:val="0"/>
                <w:numId w:val="11"/>
              </w:numPr>
              <w:spacing w:line="600" w:lineRule="exact"/>
              <w:jc w:val="left"/>
              <w:rPr>
                <w:rFonts w:hint="eastAsia" w:ascii="宋体" w:hAnsi="宋体" w:cs="宋体"/>
                <w:sz w:val="24"/>
                <w:szCs w:val="20"/>
              </w:rPr>
            </w:pPr>
            <w:r>
              <w:rPr>
                <w:rFonts w:hint="eastAsia" w:ascii="宋体" w:hAnsi="宋体" w:cs="宋体"/>
                <w:sz w:val="24"/>
                <w:szCs w:val="20"/>
              </w:rPr>
              <w:t>投标人具有职业健康安全管理体系认证证书得1分；具有质量管理体系认证证书得1分，具有环境管理体系认证证书得1分，最高得3分，没有不得分；</w:t>
            </w:r>
          </w:p>
          <w:p>
            <w:pPr>
              <w:spacing w:line="600" w:lineRule="exact"/>
              <w:jc w:val="left"/>
              <w:rPr>
                <w:rFonts w:hint="eastAsia" w:ascii="宋体" w:hAnsi="宋体" w:cs="宋体"/>
                <w:sz w:val="24"/>
              </w:rPr>
            </w:pPr>
            <w:r>
              <w:rPr>
                <w:rFonts w:hint="eastAsia" w:ascii="宋体" w:hAnsi="宋体" w:cs="宋体"/>
                <w:sz w:val="24"/>
              </w:rPr>
              <w:t>2）投标人具有“重质量守信用单位”的A级证书得1分；AA级证书得2分；AAA级证书得3分；没有不得分；证书应在有效期内；</w:t>
            </w:r>
            <w:r>
              <w:rPr>
                <w:rFonts w:hint="eastAsia" w:ascii="宋体" w:hAnsi="宋体" w:cs="宋体"/>
                <w:b/>
                <w:bCs/>
                <w:sz w:val="24"/>
              </w:rPr>
              <w:t>投标文件中提供证书复印件加盖投标人公章；</w:t>
            </w:r>
          </w:p>
          <w:p>
            <w:pPr>
              <w:spacing w:line="600" w:lineRule="exact"/>
              <w:jc w:val="left"/>
              <w:rPr>
                <w:rFonts w:hint="eastAsia" w:ascii="宋体" w:hAnsi="宋体" w:cs="宋体"/>
                <w:sz w:val="24"/>
                <w:szCs w:val="20"/>
              </w:rPr>
            </w:pPr>
            <w:r>
              <w:rPr>
                <w:rFonts w:hint="eastAsia" w:ascii="宋体" w:hAnsi="宋体" w:cs="宋体"/>
                <w:sz w:val="24"/>
                <w:szCs w:val="20"/>
                <w:lang w:val="en-US" w:eastAsia="zh-CN"/>
              </w:rPr>
              <w:t>3</w:t>
            </w:r>
            <w:r>
              <w:rPr>
                <w:rFonts w:hint="eastAsia" w:ascii="宋体" w:hAnsi="宋体" w:cs="宋体"/>
                <w:sz w:val="24"/>
                <w:szCs w:val="20"/>
              </w:rPr>
              <w:t>）投标人具有</w:t>
            </w:r>
            <w:r>
              <w:rPr>
                <w:rFonts w:hint="eastAsia" w:ascii="宋体" w:hAnsi="宋体" w:cs="宋体"/>
                <w:sz w:val="24"/>
                <w:lang w:val="en-US" w:eastAsia="zh-CN"/>
              </w:rPr>
              <w:t>国家认证认可管理委员会批准设立的第三方认证机构出具的</w:t>
            </w:r>
            <w:r>
              <w:rPr>
                <w:rFonts w:hint="eastAsia" w:ascii="宋体" w:hAnsi="宋体" w:cs="宋体"/>
                <w:sz w:val="24"/>
                <w:szCs w:val="20"/>
              </w:rPr>
              <w:t>有效的售后服务认证证书AAAAA的得5分,AAAA的得4分,AAA的得3分,AA的得2分,A的得1分。</w:t>
            </w:r>
          </w:p>
          <w:p>
            <w:pPr>
              <w:spacing w:line="600" w:lineRule="exact"/>
              <w:rPr>
                <w:rFonts w:hint="eastAsia" w:ascii="宋体" w:hAnsi="宋体" w:cs="宋体"/>
                <w:sz w:val="24"/>
                <w:szCs w:val="20"/>
              </w:rPr>
            </w:pPr>
            <w:r>
              <w:rPr>
                <w:rFonts w:hint="eastAsia" w:ascii="宋体" w:hAnsi="宋体" w:cs="宋体"/>
                <w:sz w:val="24"/>
              </w:rPr>
              <w:t>投标文件中提供相关证书扫描件并加盖公章，否则不得分</w:t>
            </w:r>
            <w:r>
              <w:rPr>
                <w:rFonts w:hint="eastAsia" w:ascii="宋体" w:hAnsi="宋体" w:cs="宋体"/>
                <w:b/>
                <w:bCs/>
                <w:sz w:val="24"/>
              </w:rPr>
              <w:t>。</w:t>
            </w:r>
          </w:p>
        </w:tc>
        <w:tc>
          <w:tcPr>
            <w:tcW w:w="1191" w:type="dxa"/>
            <w:noWrap w:val="0"/>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46" w:type="dxa"/>
            <w:noWrap w:val="0"/>
            <w:vAlign w:val="center"/>
          </w:tcPr>
          <w:p>
            <w:pPr>
              <w:jc w:val="center"/>
              <w:rPr>
                <w:rFonts w:hint="eastAsia" w:ascii="宋体" w:hAnsi="宋体" w:cs="宋体"/>
                <w:sz w:val="24"/>
              </w:rPr>
            </w:pPr>
            <w:r>
              <w:rPr>
                <w:rFonts w:hint="eastAsia" w:ascii="宋体" w:hAnsi="宋体" w:cs="宋体"/>
                <w:sz w:val="24"/>
              </w:rPr>
              <w:t>2</w:t>
            </w:r>
          </w:p>
        </w:tc>
        <w:tc>
          <w:tcPr>
            <w:tcW w:w="7429" w:type="dxa"/>
            <w:noWrap w:val="0"/>
            <w:vAlign w:val="center"/>
          </w:tcPr>
          <w:p>
            <w:pPr>
              <w:spacing w:line="600" w:lineRule="exact"/>
              <w:jc w:val="left"/>
              <w:rPr>
                <w:rFonts w:hint="eastAsia" w:ascii="宋体" w:hAnsi="宋体" w:cs="宋体"/>
                <w:sz w:val="24"/>
                <w:szCs w:val="20"/>
              </w:rPr>
            </w:pPr>
            <w:r>
              <w:rPr>
                <w:rFonts w:hint="eastAsia" w:ascii="宋体" w:hAnsi="宋体" w:cs="宋体"/>
                <w:sz w:val="24"/>
                <w:szCs w:val="20"/>
              </w:rPr>
              <w:t>类似项目实施业绩一览表：投标人</w:t>
            </w:r>
            <w:r>
              <w:rPr>
                <w:rFonts w:hint="eastAsia" w:ascii="宋体" w:hAnsi="宋体" w:cs="宋体"/>
                <w:sz w:val="24"/>
              </w:rPr>
              <w:t>（含分公司）</w:t>
            </w:r>
            <w:r>
              <w:rPr>
                <w:rFonts w:hint="eastAsia" w:ascii="宋体" w:hAnsi="宋体" w:cs="宋体"/>
                <w:sz w:val="24"/>
                <w:szCs w:val="20"/>
              </w:rPr>
              <w:t>自2016年1月1日以来（时间以合同签订时间为准）以完成的类似项目，每提供一个业绩得1分，最多得5分；</w:t>
            </w:r>
          </w:p>
          <w:p>
            <w:pPr>
              <w:spacing w:line="600" w:lineRule="exact"/>
              <w:rPr>
                <w:rFonts w:hint="eastAsia" w:ascii="宋体" w:hAnsi="宋体" w:cs="宋体"/>
                <w:b/>
                <w:sz w:val="24"/>
                <w:szCs w:val="20"/>
              </w:rPr>
            </w:pPr>
            <w:r>
              <w:rPr>
                <w:rFonts w:hint="eastAsia" w:ascii="宋体" w:hAnsi="宋体" w:cs="宋体"/>
                <w:sz w:val="24"/>
              </w:rPr>
              <w:t>投标文件中提供相关业绩证明材料扫描件并加盖公章，否则不得分</w:t>
            </w:r>
            <w:r>
              <w:rPr>
                <w:rFonts w:hint="eastAsia" w:ascii="宋体" w:hAnsi="宋体" w:cs="宋体"/>
                <w:b/>
                <w:bCs/>
                <w:sz w:val="24"/>
              </w:rPr>
              <w:t>。</w:t>
            </w:r>
          </w:p>
        </w:tc>
        <w:tc>
          <w:tcPr>
            <w:tcW w:w="1191" w:type="dxa"/>
            <w:noWrap w:val="0"/>
            <w:vAlign w:val="center"/>
          </w:tcPr>
          <w:p>
            <w:pPr>
              <w:jc w:val="center"/>
              <w:rPr>
                <w:rFonts w:ascii="宋体" w:hAnsi="宋体" w:cs="宋体"/>
                <w:sz w:val="24"/>
              </w:rPr>
            </w:pPr>
            <w:r>
              <w:rPr>
                <w:rFonts w:hint="eastAsia" w:ascii="宋体" w:hAnsi="宋体" w:cs="宋体"/>
                <w:sz w:val="24"/>
              </w:rPr>
              <w:t>5</w:t>
            </w:r>
          </w:p>
        </w:tc>
      </w:tr>
    </w:tbl>
    <w:p>
      <w:pPr>
        <w:pStyle w:val="161"/>
        <w:spacing w:before="0"/>
        <w:ind w:firstLine="0" w:firstLineChars="0"/>
        <w:rPr>
          <w:rFonts w:hint="eastAsia" w:ascii="宋体" w:hAnsi="宋体" w:cs="宋体"/>
          <w:color w:val="000000"/>
          <w:kern w:val="0"/>
          <w:szCs w:val="24"/>
        </w:rPr>
      </w:pPr>
      <w:r>
        <w:rPr>
          <w:rFonts w:hint="eastAsia" w:ascii="宋体" w:hAnsi="宋体" w:cs="宋体"/>
          <w:color w:val="000000"/>
          <w:kern w:val="0"/>
          <w:szCs w:val="24"/>
        </w:rPr>
        <w:t>注：以上评审内容制作进投标文件内，并按评审要求提供相关证明材料等。</w:t>
      </w:r>
    </w:p>
    <w:p>
      <w:pPr>
        <w:snapToGrid w:val="0"/>
        <w:spacing w:line="360" w:lineRule="auto"/>
        <w:ind w:firstLine="482" w:firstLineChars="200"/>
        <w:rPr>
          <w:rFonts w:hint="eastAsia" w:ascii="宋体" w:hAnsi="宋体" w:cs="宋体"/>
          <w:b/>
          <w:bCs/>
          <w:color w:val="000000"/>
          <w:sz w:val="24"/>
        </w:rPr>
      </w:pPr>
      <w:r>
        <w:rPr>
          <w:rFonts w:ascii="宋体" w:hAnsi="宋体" w:cs="宋体"/>
          <w:b/>
          <w:bCs/>
          <w:color w:val="000000"/>
          <w:sz w:val="24"/>
        </w:rPr>
        <w:t>3</w:t>
      </w:r>
      <w:r>
        <w:rPr>
          <w:rFonts w:hint="eastAsia" w:ascii="宋体" w:hAnsi="宋体" w:cs="宋体"/>
          <w:b/>
          <w:bCs/>
          <w:color w:val="000000"/>
          <w:sz w:val="24"/>
        </w:rPr>
        <w:t>、商务分+技术分=评标委员会所有成员评分合计数/评标委员会组成人员数（精确到小数点后二位）；</w:t>
      </w:r>
    </w:p>
    <w:p>
      <w:pPr>
        <w:snapToGrid w:val="0"/>
        <w:spacing w:line="360" w:lineRule="auto"/>
        <w:ind w:firstLine="482" w:firstLineChars="200"/>
        <w:rPr>
          <w:rFonts w:hint="eastAsia" w:ascii="宋体" w:hAnsi="宋体" w:cs="宋体"/>
          <w:color w:val="000000"/>
          <w:sz w:val="24"/>
        </w:rPr>
      </w:pPr>
      <w:r>
        <w:rPr>
          <w:rFonts w:ascii="宋体" w:hAnsi="宋体" w:cs="宋体"/>
          <w:b/>
          <w:bCs/>
          <w:color w:val="000000"/>
          <w:sz w:val="24"/>
        </w:rPr>
        <w:t>4</w:t>
      </w:r>
      <w:r>
        <w:rPr>
          <w:rFonts w:hint="eastAsia" w:ascii="宋体" w:hAnsi="宋体" w:cs="宋体"/>
          <w:b/>
          <w:bCs/>
          <w:color w:val="000000"/>
          <w:sz w:val="24"/>
        </w:rPr>
        <w:t>、价格分（10分）</w:t>
      </w:r>
      <w:r>
        <w:rPr>
          <w:rFonts w:hint="eastAsia" w:ascii="宋体" w:hAnsi="宋体" w:cs="宋体"/>
          <w:color w:val="000000"/>
          <w:sz w:val="24"/>
        </w:rPr>
        <w:t>采用低价优先法计算，即满足招标文件要求且投标价格最低的投标报价为评标基准价，其他投标人的价格分按照下列公式计算：</w:t>
      </w:r>
    </w:p>
    <w:p>
      <w:pPr>
        <w:snapToGrid w:val="0"/>
        <w:spacing w:line="360" w:lineRule="auto"/>
        <w:ind w:firstLine="482" w:firstLineChars="200"/>
        <w:rPr>
          <w:rFonts w:hint="eastAsia" w:ascii="宋体" w:hAnsi="宋体" w:cs="宋体"/>
          <w:b/>
          <w:bCs/>
          <w:color w:val="000000"/>
          <w:sz w:val="24"/>
        </w:rPr>
      </w:pPr>
      <w:r>
        <w:rPr>
          <w:rFonts w:hint="eastAsia" w:ascii="宋体" w:hAnsi="宋体"/>
          <w:b/>
          <w:bCs/>
          <w:color w:val="000000"/>
          <w:sz w:val="24"/>
        </w:rPr>
        <w:t>价格分=（评标基准价/投标报价）×10%×100</w:t>
      </w:r>
      <w:r>
        <w:rPr>
          <w:rFonts w:hint="eastAsia" w:ascii="宋体" w:hAnsi="宋体" w:cs="宋体"/>
          <w:b/>
          <w:bCs/>
          <w:color w:val="000000"/>
          <w:sz w:val="24"/>
        </w:rPr>
        <w:t>（精确到小数点后二位）</w:t>
      </w:r>
      <w:r>
        <w:rPr>
          <w:rFonts w:hint="eastAsia" w:ascii="宋体" w:hAnsi="宋体"/>
          <w:b/>
          <w:bCs/>
          <w:color w:val="000000"/>
          <w:sz w:val="24"/>
        </w:rPr>
        <w:t>；</w:t>
      </w:r>
    </w:p>
    <w:p>
      <w:pPr>
        <w:snapToGrid w:val="0"/>
        <w:spacing w:line="360" w:lineRule="auto"/>
        <w:ind w:firstLine="240" w:firstLineChars="100"/>
        <w:rPr>
          <w:rFonts w:ascii="宋体" w:hAnsi="宋体" w:cs="宋体"/>
          <w:color w:val="000000"/>
          <w:sz w:val="24"/>
        </w:rPr>
      </w:pPr>
      <w:r>
        <w:rPr>
          <w:rFonts w:hint="eastAsia" w:ascii="宋体" w:hAnsi="宋体" w:cs="宋体"/>
          <w:color w:val="000000"/>
          <w:sz w:val="24"/>
        </w:rPr>
        <w:t>因落实政府采购政策进行价格调整的，以调整后的价格计算评标基准价和投标报价。</w:t>
      </w:r>
    </w:p>
    <w:p>
      <w:pPr>
        <w:snapToGrid w:val="0"/>
        <w:spacing w:line="360" w:lineRule="auto"/>
        <w:ind w:firstLine="482" w:firstLineChars="200"/>
        <w:rPr>
          <w:rFonts w:hint="eastAsia" w:ascii="宋体" w:hAnsi="宋体" w:cs="宋体"/>
          <w:b/>
          <w:bCs/>
          <w:color w:val="000000"/>
          <w:sz w:val="24"/>
        </w:rPr>
      </w:pPr>
      <w:r>
        <w:rPr>
          <w:rFonts w:ascii="宋体" w:hAnsi="宋体" w:cs="宋体"/>
          <w:b/>
          <w:bCs/>
          <w:color w:val="000000"/>
          <w:sz w:val="24"/>
        </w:rPr>
        <w:t>5</w:t>
      </w:r>
      <w:r>
        <w:rPr>
          <w:rFonts w:hint="eastAsia" w:ascii="宋体" w:hAnsi="宋体" w:cs="宋体"/>
          <w:b/>
          <w:bCs/>
          <w:color w:val="000000"/>
          <w:sz w:val="24"/>
        </w:rPr>
        <w:t>、投标人评标综合得分=价格分+商务分+技术分（精确到小数点后二位）；</w:t>
      </w:r>
    </w:p>
    <w:p>
      <w:pPr>
        <w:pStyle w:val="282"/>
        <w:snapToGrid w:val="0"/>
        <w:ind w:left="480" w:firstLine="0" w:firstLineChars="0"/>
        <w:rPr>
          <w:b/>
          <w:color w:val="000000"/>
        </w:rPr>
      </w:pPr>
      <w:r>
        <w:rPr>
          <w:rFonts w:hint="eastAsia"/>
          <w:b/>
          <w:color w:val="000000"/>
        </w:rPr>
        <w:t>注：以上所涉及的证明材料，需提供扫描件制作进投标响应文件内，未提供的不得分。</w:t>
      </w:r>
    </w:p>
    <w:p>
      <w:pPr>
        <w:snapToGrid w:val="0"/>
        <w:spacing w:line="360" w:lineRule="auto"/>
        <w:ind w:firstLine="472" w:firstLineChars="196"/>
        <w:rPr>
          <w:rFonts w:ascii="宋体" w:hAnsi="宋体" w:cs="宋体"/>
          <w:b/>
          <w:color w:val="000000"/>
          <w:sz w:val="24"/>
        </w:rPr>
      </w:pPr>
      <w:r>
        <w:rPr>
          <w:rFonts w:hint="eastAsia" w:ascii="宋体" w:hAnsi="宋体" w:cs="宋体"/>
          <w:b/>
          <w:color w:val="000000"/>
          <w:sz w:val="24"/>
        </w:rPr>
        <w:t>报价是中标的一个重要因素，但最低报价不是中标的唯一依据。</w:t>
      </w:r>
    </w:p>
    <w:p>
      <w:pPr>
        <w:snapToGrid w:val="0"/>
        <w:spacing w:line="360" w:lineRule="auto"/>
        <w:ind w:left="105" w:leftChars="50" w:firstLine="480" w:firstLineChars="200"/>
        <w:rPr>
          <w:rFonts w:hint="eastAsia" w:ascii="宋体" w:hAnsi="宋体" w:cs="宋体"/>
          <w:color w:val="000000"/>
          <w:sz w:val="24"/>
        </w:rPr>
      </w:pPr>
      <w:r>
        <w:rPr>
          <w:rFonts w:hint="eastAsia" w:ascii="宋体" w:hAnsi="宋体" w:cs="宋体"/>
          <w:color w:val="000000"/>
          <w:sz w:val="24"/>
        </w:rPr>
        <w:t>注：根据浙江省财政厅、浙江省中小企业局转发财政部、工业和信息化部关于印发《政府采购促进中小企业发展暂行办法》的通知（浙财采监[2012]11号），</w:t>
      </w:r>
      <w:r>
        <w:rPr>
          <w:rFonts w:hint="eastAsia" w:ascii="宋体" w:hAnsi="宋体" w:cs="宋体"/>
          <w:b/>
          <w:bCs/>
          <w:color w:val="000000"/>
          <w:sz w:val="24"/>
        </w:rPr>
        <w:t>对小型或微型企业</w:t>
      </w:r>
      <w:r>
        <w:rPr>
          <w:rFonts w:hint="eastAsia" w:ascii="宋体" w:hAnsi="宋体" w:cs="宋体"/>
          <w:color w:val="000000"/>
          <w:sz w:val="24"/>
        </w:rPr>
        <w:t>的投标报价给予</w:t>
      </w:r>
      <w:r>
        <w:rPr>
          <w:rFonts w:hint="eastAsia" w:ascii="宋体" w:hAnsi="宋体" w:cs="宋体"/>
          <w:b/>
          <w:bCs/>
          <w:color w:val="000000"/>
          <w:sz w:val="24"/>
          <w:u w:val="single"/>
        </w:rPr>
        <w:t>6%</w:t>
      </w:r>
      <w:r>
        <w:rPr>
          <w:rFonts w:hint="eastAsia" w:ascii="宋体" w:hAnsi="宋体" w:cs="宋体"/>
          <w:color w:val="000000"/>
          <w:sz w:val="24"/>
        </w:rPr>
        <w:t>的扣除，并用扣除后的价格计算价格评分（（</w:t>
      </w:r>
      <w:r>
        <w:rPr>
          <w:rFonts w:hint="eastAsia" w:ascii="宋体" w:hAnsi="宋体" w:cs="宋体"/>
          <w:sz w:val="24"/>
        </w:rPr>
        <w:t>价格扣除只用于评审过程，如中标，中标价格仍按照其投标价格进行公示））</w:t>
      </w:r>
      <w:r>
        <w:rPr>
          <w:rFonts w:hint="eastAsia" w:ascii="宋体" w:hAnsi="宋体" w:cs="宋体"/>
          <w:color w:val="000000"/>
          <w:sz w:val="24"/>
        </w:rPr>
        <w:t>。</w:t>
      </w:r>
    </w:p>
    <w:p>
      <w:pPr>
        <w:snapToGrid w:val="0"/>
        <w:spacing w:line="360" w:lineRule="auto"/>
        <w:ind w:left="105" w:leftChars="50" w:firstLine="480" w:firstLineChars="200"/>
        <w:rPr>
          <w:rFonts w:ascii="宋体" w:hAnsi="宋体" w:cs="宋体"/>
          <w:color w:val="000000"/>
          <w:sz w:val="24"/>
        </w:rPr>
      </w:pPr>
      <w:r>
        <w:rPr>
          <w:rFonts w:hint="eastAsia" w:ascii="宋体" w:hAnsi="宋体" w:cs="宋体"/>
          <w:color w:val="000000"/>
          <w:sz w:val="24"/>
        </w:rPr>
        <w:t>同时符合以下所有要求的投标人被认定为小型、微型企业：</w:t>
      </w:r>
    </w:p>
    <w:p>
      <w:pPr>
        <w:snapToGrid w:val="0"/>
        <w:spacing w:line="360" w:lineRule="auto"/>
        <w:ind w:left="105" w:leftChars="50" w:firstLine="480" w:firstLineChars="200"/>
        <w:rPr>
          <w:rFonts w:ascii="宋体" w:hAnsi="宋体" w:cs="宋体"/>
          <w:color w:val="000000"/>
          <w:sz w:val="24"/>
        </w:rPr>
      </w:pPr>
      <w:r>
        <w:rPr>
          <w:rFonts w:hint="eastAsia" w:ascii="宋体" w:hAnsi="宋体" w:cs="宋体"/>
          <w:color w:val="000000"/>
          <w:sz w:val="24"/>
        </w:rPr>
        <w:t>（1）投标人按照《关于印发中小企业划型标准规定的通知》（工信部联企业〔2011〕300号）的所属行业规定为小型、微型企业【注：按《关于印发中小企业划型标准规定的通知》规定提供《中小企业声明函》】。</w:t>
      </w:r>
    </w:p>
    <w:p>
      <w:pPr>
        <w:snapToGrid w:val="0"/>
        <w:spacing w:line="360" w:lineRule="auto"/>
        <w:ind w:left="105" w:leftChars="50" w:firstLine="480" w:firstLineChars="200"/>
        <w:rPr>
          <w:rFonts w:ascii="宋体" w:hAnsi="宋体" w:cs="宋体"/>
          <w:color w:val="000000"/>
          <w:sz w:val="24"/>
        </w:rPr>
      </w:pPr>
      <w:r>
        <w:rPr>
          <w:rFonts w:hint="eastAsia" w:ascii="宋体" w:hAnsi="宋体" w:cs="宋体"/>
          <w:color w:val="000000"/>
          <w:sz w:val="24"/>
        </w:rPr>
        <w:t>（2）投标人所投标项内产品均为小型、微型企业提供的服务【注：按《关于印发中小企业划型标准规定的通知》中“工业行业”规定提供制造商出具的《中小企业声明函》】。</w:t>
      </w:r>
    </w:p>
    <w:p>
      <w:pPr>
        <w:snapToGrid w:val="0"/>
        <w:spacing w:line="360" w:lineRule="auto"/>
        <w:ind w:left="105" w:leftChars="50" w:firstLine="480" w:firstLineChars="200"/>
        <w:rPr>
          <w:rFonts w:ascii="宋体" w:hAnsi="宋体" w:cs="宋体"/>
          <w:color w:val="000000"/>
          <w:sz w:val="24"/>
        </w:rPr>
      </w:pPr>
      <w:r>
        <w:rPr>
          <w:rFonts w:hint="eastAsia" w:ascii="宋体" w:hAnsi="宋体" w:cs="宋体"/>
          <w:color w:val="000000"/>
          <w:sz w:val="24"/>
        </w:rPr>
        <w:t>（3）联合体参加投标的，联合协议中约定，小型、微型企业的协议合同金额占到联合体协议合同总金额30%以上的，投标报价给予</w:t>
      </w:r>
      <w:r>
        <w:rPr>
          <w:rFonts w:hint="eastAsia" w:ascii="宋体" w:hAnsi="宋体" w:cs="宋体"/>
          <w:color w:val="000000"/>
          <w:sz w:val="24"/>
          <w:u w:val="single"/>
        </w:rPr>
        <w:t xml:space="preserve">2% </w:t>
      </w:r>
      <w:r>
        <w:rPr>
          <w:rFonts w:hint="eastAsia" w:ascii="宋体" w:hAnsi="宋体" w:cs="宋体"/>
          <w:color w:val="000000"/>
          <w:sz w:val="24"/>
        </w:rPr>
        <w:t>的扣除，并用扣除后的价格计算价格评分；如联合体各方均为小型、微型企业的，提供本企业生产的产品或提供其他小型、微型企业的产品的，投标报价给予</w:t>
      </w:r>
      <w:r>
        <w:rPr>
          <w:rFonts w:hint="eastAsia" w:ascii="宋体" w:hAnsi="宋体" w:cs="宋体"/>
          <w:color w:val="000000"/>
          <w:sz w:val="24"/>
          <w:u w:val="single"/>
        </w:rPr>
        <w:t xml:space="preserve">6% </w:t>
      </w:r>
      <w:r>
        <w:rPr>
          <w:rFonts w:hint="eastAsia" w:ascii="宋体" w:hAnsi="宋体" w:cs="宋体"/>
          <w:color w:val="000000"/>
          <w:sz w:val="24"/>
        </w:rPr>
        <w:t>的扣除，并用扣除后的价格计算价格评分。组成联合体的大中型企业和其他自然人、法人或者其他组织，与小型、微型企业之间不得存在投资关系，否则不予价格扣除。</w:t>
      </w:r>
    </w:p>
    <w:p>
      <w:pPr>
        <w:snapToGrid w:val="0"/>
        <w:spacing w:line="360" w:lineRule="auto"/>
        <w:ind w:left="105" w:leftChars="50" w:firstLine="480" w:firstLineChars="200"/>
        <w:rPr>
          <w:rFonts w:ascii="宋体" w:hAnsi="宋体" w:cs="宋体"/>
          <w:color w:val="000000"/>
          <w:sz w:val="24"/>
        </w:rPr>
      </w:pPr>
      <w:r>
        <w:rPr>
          <w:rFonts w:hint="eastAsia" w:ascii="宋体" w:hAnsi="宋体" w:cs="宋体"/>
          <w:color w:val="000000"/>
          <w:sz w:val="24"/>
        </w:rPr>
        <w:t>监狱企业视同小微企业，参加本项目投标的，享受小微企业同等的价格扣除。【注：提供《监狱企业声明函》】。</w:t>
      </w:r>
    </w:p>
    <w:p>
      <w:pPr>
        <w:pStyle w:val="429"/>
        <w:spacing w:line="360" w:lineRule="auto"/>
        <w:ind w:left="360" w:firstLine="0" w:firstLineChars="0"/>
        <w:rPr>
          <w:rFonts w:ascii="宋体" w:hAnsi="宋体" w:eastAsia="宋体" w:cs="宋体"/>
          <w:color w:val="000000"/>
          <w:szCs w:val="24"/>
        </w:rPr>
      </w:pPr>
      <w:r>
        <w:rPr>
          <w:rFonts w:hint="eastAsia" w:ascii="宋体" w:hAnsi="宋体" w:eastAsia="宋体" w:cs="宋体"/>
          <w:color w:val="000000"/>
          <w:szCs w:val="24"/>
        </w:rPr>
        <w:t>（4）残疾人福利性单位参加投标【提供《残疾人福利性单位声明函》】，视为小</w:t>
      </w:r>
    </w:p>
    <w:p>
      <w:pPr>
        <w:pStyle w:val="429"/>
        <w:spacing w:line="360" w:lineRule="auto"/>
        <w:ind w:firstLine="141" w:firstLineChars="59"/>
        <w:rPr>
          <w:rFonts w:ascii="宋体" w:hAnsi="宋体" w:eastAsia="宋体" w:cs="宋体"/>
          <w:color w:val="000000"/>
          <w:szCs w:val="24"/>
        </w:rPr>
      </w:pPr>
      <w:r>
        <w:rPr>
          <w:rFonts w:hint="eastAsia" w:ascii="宋体" w:hAnsi="宋体" w:eastAsia="宋体" w:cs="宋体"/>
          <w:color w:val="000000"/>
          <w:szCs w:val="24"/>
        </w:rPr>
        <w:t>型、微型企业，享受小微企业政策扶持。</w:t>
      </w:r>
    </w:p>
    <w:p>
      <w:pPr>
        <w:pStyle w:val="6"/>
        <w:numPr>
          <w:ilvl w:val="2"/>
          <w:numId w:val="0"/>
        </w:numPr>
        <w:spacing w:before="0" w:after="0"/>
        <w:ind w:left="720" w:hanging="720"/>
        <w:jc w:val="both"/>
        <w:rPr>
          <w:rFonts w:ascii="宋体" w:hAnsi="宋体" w:eastAsia="宋体" w:cs="宋体"/>
          <w:sz w:val="24"/>
          <w:szCs w:val="24"/>
        </w:rPr>
      </w:pPr>
      <w:r>
        <w:rPr>
          <w:rFonts w:hint="eastAsia" w:ascii="宋体" w:hAnsi="宋体" w:eastAsia="宋体" w:cs="宋体"/>
          <w:sz w:val="24"/>
          <w:szCs w:val="24"/>
        </w:rPr>
        <w:t>（十三）评标内容的保密</w:t>
      </w:r>
    </w:p>
    <w:p>
      <w:pPr>
        <w:shd w:val="clear" w:color="auto" w:fill="FFFFFF"/>
        <w:snapToGrid w:val="0"/>
        <w:spacing w:line="360" w:lineRule="auto"/>
        <w:ind w:firstLine="480" w:firstLineChars="20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、公开开标后，直到宣布中标单位止，凡属于审查、澄清、评价和比较投标的所有资料，都不应向投标人或与评标无关的其他人泄露。</w:t>
      </w:r>
    </w:p>
    <w:p>
      <w:pPr>
        <w:shd w:val="clear" w:color="auto" w:fill="FFFFFF"/>
        <w:snapToGrid w:val="0"/>
        <w:spacing w:line="360" w:lineRule="auto"/>
        <w:ind w:firstLine="480" w:firstLineChars="200"/>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、在投标文件的审查、澄清、评价和比较以及确定中标人过程中，投标人对招标人、招标代理机构和评标委员会施加影响的任何行为，都将导致取消资格。</w:t>
      </w:r>
    </w:p>
    <w:bookmarkEnd w:id="124"/>
    <w:p>
      <w:pPr>
        <w:pStyle w:val="6"/>
        <w:numPr>
          <w:ilvl w:val="2"/>
          <w:numId w:val="0"/>
        </w:numPr>
        <w:spacing w:before="0" w:after="0"/>
        <w:ind w:left="720" w:hanging="720"/>
        <w:jc w:val="both"/>
        <w:rPr>
          <w:rFonts w:ascii="宋体" w:hAnsi="宋体" w:eastAsia="宋体" w:cs="宋体"/>
          <w:sz w:val="24"/>
          <w:szCs w:val="24"/>
        </w:rPr>
      </w:pPr>
      <w:r>
        <w:rPr>
          <w:rFonts w:hint="eastAsia" w:ascii="宋体" w:hAnsi="宋体" w:eastAsia="宋体" w:cs="宋体"/>
          <w:sz w:val="24"/>
          <w:szCs w:val="24"/>
        </w:rPr>
        <w:t>（十四）废标</w:t>
      </w:r>
    </w:p>
    <w:p>
      <w:pPr>
        <w:pStyle w:val="2"/>
        <w:snapToGrid w:val="0"/>
        <w:spacing w:line="360" w:lineRule="auto"/>
        <w:rPr>
          <w:rFonts w:ascii="宋体" w:hAnsi="宋体" w:eastAsia="宋体"/>
          <w:b/>
          <w:color w:val="000000"/>
          <w:sz w:val="24"/>
          <w:szCs w:val="24"/>
        </w:rPr>
      </w:pPr>
      <w:r>
        <w:rPr>
          <w:rFonts w:hint="eastAsia" w:ascii="宋体" w:hAnsi="宋体" w:eastAsia="宋体"/>
          <w:b/>
          <w:color w:val="000000"/>
          <w:sz w:val="24"/>
          <w:szCs w:val="24"/>
        </w:rPr>
        <w:t>在采购中，出现下列情形之一的，应予废标：</w:t>
      </w:r>
    </w:p>
    <w:p>
      <w:pPr>
        <w:pStyle w:val="2"/>
        <w:snapToGrid w:val="0"/>
        <w:spacing w:line="360" w:lineRule="auto"/>
        <w:ind w:firstLine="482"/>
        <w:rPr>
          <w:rFonts w:ascii="宋体" w:hAnsi="宋体" w:eastAsia="宋体"/>
          <w:b/>
          <w:color w:val="000000"/>
          <w:sz w:val="24"/>
          <w:szCs w:val="24"/>
        </w:rPr>
      </w:pPr>
      <w:r>
        <w:rPr>
          <w:rFonts w:hint="eastAsia" w:ascii="宋体" w:hAnsi="宋体" w:eastAsia="宋体"/>
          <w:b/>
          <w:color w:val="000000"/>
          <w:sz w:val="24"/>
          <w:szCs w:val="24"/>
        </w:rPr>
        <w:t>(1)符合专业条件的供应商或者对招标文件作实质响应的供应商不足3家的；</w:t>
      </w:r>
    </w:p>
    <w:p>
      <w:pPr>
        <w:pStyle w:val="2"/>
        <w:snapToGrid w:val="0"/>
        <w:spacing w:line="360" w:lineRule="auto"/>
        <w:ind w:firstLine="482"/>
        <w:rPr>
          <w:rFonts w:ascii="宋体" w:hAnsi="宋体" w:eastAsia="宋体"/>
          <w:b/>
          <w:color w:val="000000"/>
          <w:sz w:val="24"/>
          <w:szCs w:val="24"/>
        </w:rPr>
      </w:pPr>
      <w:r>
        <w:rPr>
          <w:rFonts w:hint="eastAsia" w:ascii="宋体" w:hAnsi="宋体" w:eastAsia="宋体"/>
          <w:b/>
          <w:color w:val="000000"/>
          <w:sz w:val="24"/>
          <w:szCs w:val="24"/>
        </w:rPr>
        <w:t>(2)出现影响采购公正的违法、违规行为的；</w:t>
      </w:r>
    </w:p>
    <w:p>
      <w:pPr>
        <w:pStyle w:val="2"/>
        <w:snapToGrid w:val="0"/>
        <w:spacing w:line="360" w:lineRule="auto"/>
        <w:ind w:firstLine="482"/>
        <w:rPr>
          <w:rFonts w:ascii="宋体" w:hAnsi="宋体" w:eastAsia="宋体"/>
          <w:b/>
          <w:color w:val="000000"/>
          <w:sz w:val="24"/>
          <w:szCs w:val="24"/>
        </w:rPr>
      </w:pPr>
      <w:r>
        <w:rPr>
          <w:rFonts w:hint="eastAsia" w:ascii="宋体" w:hAnsi="宋体" w:eastAsia="宋体"/>
          <w:b/>
          <w:color w:val="000000"/>
          <w:sz w:val="24"/>
          <w:szCs w:val="24"/>
        </w:rPr>
        <w:t>(3)报价均超过预算，不能支付的；</w:t>
      </w:r>
    </w:p>
    <w:p>
      <w:pPr>
        <w:shd w:val="clear" w:color="auto" w:fill="FFFFFF"/>
        <w:snapToGrid w:val="0"/>
        <w:spacing w:line="360" w:lineRule="auto"/>
        <w:rPr>
          <w:rFonts w:ascii="宋体" w:hAnsi="宋体" w:cs="宋体"/>
          <w:b/>
          <w:bCs/>
          <w:color w:val="000000"/>
          <w:sz w:val="24"/>
        </w:rPr>
      </w:pPr>
      <w:r>
        <w:rPr>
          <w:rFonts w:hint="eastAsia" w:ascii="宋体" w:hAnsi="宋体" w:cs="宋体"/>
          <w:b/>
          <w:color w:val="000000"/>
          <w:sz w:val="24"/>
        </w:rPr>
        <w:t xml:space="preserve">    (4)因重大变故，采购任务取消的。</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（十五）可中止电子交易活动的情形</w:t>
      </w:r>
    </w:p>
    <w:p>
      <w:pPr>
        <w:spacing w:line="360" w:lineRule="auto"/>
        <w:ind w:firstLine="424" w:firstLineChars="176"/>
        <w:rPr>
          <w:rFonts w:ascii="宋体" w:hAnsi="宋体"/>
          <w:color w:val="000000"/>
          <w:sz w:val="24"/>
        </w:rPr>
      </w:pPr>
      <w:r>
        <w:rPr>
          <w:rFonts w:hint="eastAsia" w:ascii="宋体" w:hAnsi="宋体"/>
          <w:b/>
          <w:color w:val="000000"/>
          <w:sz w:val="24"/>
        </w:rPr>
        <w:t>采购过程中出现以下情形，导致电子交易平台无法正常运行，或者无法保证电子交易的公平、公正和安全时，采购组织机构可中止电子交易活动：</w:t>
      </w:r>
    </w:p>
    <w:p>
      <w:pPr>
        <w:spacing w:line="360" w:lineRule="auto"/>
        <w:ind w:firstLine="422" w:firstLineChars="176"/>
        <w:rPr>
          <w:rFonts w:ascii="宋体" w:hAnsi="宋体"/>
          <w:color w:val="000000"/>
          <w:sz w:val="24"/>
        </w:rPr>
      </w:pPr>
      <w:r>
        <w:rPr>
          <w:rFonts w:hint="eastAsia" w:ascii="宋体" w:hAnsi="宋体"/>
          <w:color w:val="000000"/>
          <w:sz w:val="24"/>
        </w:rPr>
        <w:t>1、电子交易平台发生故障而无法登录访问的；</w:t>
      </w:r>
    </w:p>
    <w:p>
      <w:pPr>
        <w:spacing w:line="360" w:lineRule="auto"/>
        <w:ind w:firstLine="422" w:firstLineChars="176"/>
        <w:rPr>
          <w:rFonts w:ascii="宋体" w:hAnsi="宋体"/>
          <w:color w:val="000000"/>
          <w:sz w:val="24"/>
        </w:rPr>
      </w:pPr>
      <w:r>
        <w:rPr>
          <w:rFonts w:hint="eastAsia" w:ascii="宋体" w:hAnsi="宋体"/>
          <w:color w:val="000000"/>
          <w:sz w:val="24"/>
        </w:rPr>
        <w:t>2、电子交易平台应用或数据库出现错误，不能进行正常操作的；</w:t>
      </w:r>
    </w:p>
    <w:p>
      <w:pPr>
        <w:spacing w:line="360" w:lineRule="auto"/>
        <w:ind w:firstLine="422" w:firstLineChars="176"/>
        <w:rPr>
          <w:rFonts w:ascii="宋体" w:hAnsi="宋体"/>
          <w:color w:val="000000"/>
          <w:sz w:val="24"/>
        </w:rPr>
      </w:pPr>
      <w:r>
        <w:rPr>
          <w:rFonts w:hint="eastAsia" w:ascii="宋体" w:hAnsi="宋体"/>
          <w:color w:val="000000"/>
          <w:sz w:val="24"/>
        </w:rPr>
        <w:t>3、电子交易平台发现严重安全漏洞，有潜在泄密危险的；</w:t>
      </w:r>
    </w:p>
    <w:p>
      <w:pPr>
        <w:spacing w:line="360" w:lineRule="auto"/>
        <w:ind w:firstLine="422" w:firstLineChars="176"/>
        <w:rPr>
          <w:rFonts w:ascii="宋体" w:hAnsi="宋体"/>
          <w:color w:val="000000"/>
          <w:sz w:val="24"/>
        </w:rPr>
      </w:pPr>
      <w:r>
        <w:rPr>
          <w:rFonts w:hint="eastAsia" w:ascii="宋体" w:hAnsi="宋体"/>
          <w:color w:val="000000"/>
          <w:sz w:val="24"/>
        </w:rPr>
        <w:t>4、病毒发作导致不能进行正常操作的；</w:t>
      </w:r>
    </w:p>
    <w:p>
      <w:pPr>
        <w:spacing w:line="360" w:lineRule="auto"/>
        <w:ind w:firstLine="422" w:firstLineChars="176"/>
        <w:rPr>
          <w:rFonts w:ascii="宋体" w:hAnsi="宋体"/>
          <w:color w:val="000000"/>
          <w:sz w:val="24"/>
        </w:rPr>
      </w:pPr>
      <w:r>
        <w:rPr>
          <w:rFonts w:hint="eastAsia" w:ascii="宋体" w:hAnsi="宋体"/>
          <w:color w:val="000000"/>
          <w:sz w:val="24"/>
        </w:rPr>
        <w:t>5、其他无法保证电子交易的公平、公正和安全的情况。</w:t>
      </w:r>
    </w:p>
    <w:p>
      <w:pPr>
        <w:spacing w:line="360" w:lineRule="auto"/>
        <w:ind w:firstLine="424" w:firstLineChars="176"/>
        <w:rPr>
          <w:rFonts w:ascii="宋体" w:hAnsi="宋体"/>
          <w:color w:val="000000"/>
          <w:sz w:val="24"/>
        </w:rPr>
      </w:pPr>
      <w:r>
        <w:rPr>
          <w:rFonts w:hint="eastAsia" w:ascii="宋体" w:hAnsi="宋体"/>
          <w:b/>
          <w:color w:val="000000"/>
          <w:sz w:val="24"/>
        </w:rPr>
        <w:t>出现前款规定情形，不影响采购公平、公正性的，采购组织机构可以待上述情形消除后继续组织电子交易活动；影响或可能影响采购公平、公正性的，应当重新采购。</w:t>
      </w:r>
    </w:p>
    <w:p>
      <w:pPr>
        <w:rPr>
          <w:rFonts w:hint="eastAsia"/>
        </w:rPr>
      </w:pPr>
    </w:p>
    <w:bookmarkEnd w:id="95"/>
    <w:bookmarkEnd w:id="96"/>
    <w:bookmarkEnd w:id="97"/>
    <w:p>
      <w:pPr>
        <w:shd w:val="clear" w:color="auto" w:fill="FFFFFF"/>
        <w:snapToGrid w:val="0"/>
        <w:spacing w:line="360" w:lineRule="auto"/>
        <w:jc w:val="center"/>
        <w:outlineLvl w:val="1"/>
        <w:rPr>
          <w:rFonts w:hint="eastAsia" w:ascii="宋体" w:hAnsi="宋体" w:cs="宋体"/>
          <w:b/>
          <w:bCs/>
          <w:color w:val="000000"/>
          <w:sz w:val="24"/>
        </w:rPr>
      </w:pPr>
      <w:bookmarkStart w:id="125" w:name="_Toc86216995"/>
      <w:bookmarkStart w:id="126" w:name="_Toc233618979"/>
      <w:bookmarkStart w:id="127" w:name="_Toc9614"/>
      <w:bookmarkStart w:id="128" w:name="_Toc354996703"/>
      <w:bookmarkStart w:id="129" w:name="_Toc31748"/>
      <w:bookmarkStart w:id="130" w:name="_Toc31551"/>
      <w:bookmarkStart w:id="131" w:name="_Toc91899910"/>
      <w:r>
        <w:rPr>
          <w:rFonts w:hint="eastAsia" w:ascii="宋体" w:hAnsi="宋体" w:cs="宋体"/>
          <w:b/>
          <w:bCs/>
          <w:color w:val="000000"/>
          <w:sz w:val="24"/>
        </w:rPr>
        <w:t>七、</w:t>
      </w:r>
      <w:bookmarkEnd w:id="125"/>
      <w:r>
        <w:rPr>
          <w:rFonts w:hint="eastAsia" w:ascii="宋体" w:hAnsi="宋体" w:cs="宋体"/>
          <w:b/>
          <w:bCs/>
          <w:color w:val="000000"/>
          <w:sz w:val="24"/>
        </w:rPr>
        <w:t>合同签订及其他</w:t>
      </w:r>
      <w:bookmarkEnd w:id="126"/>
      <w:bookmarkEnd w:id="127"/>
      <w:bookmarkEnd w:id="128"/>
      <w:bookmarkEnd w:id="129"/>
      <w:bookmarkEnd w:id="130"/>
    </w:p>
    <w:bookmarkEnd w:id="131"/>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（一）中标通知书</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、确定中标人后，招标代理机构将在发布招标公告的网站上公布评标结果。</w:t>
      </w:r>
    </w:p>
    <w:p>
      <w:pPr>
        <w:shd w:val="clear" w:color="auto" w:fill="FFFFFF"/>
        <w:tabs>
          <w:tab w:val="left" w:pos="0"/>
        </w:tabs>
        <w:snapToGrid w:val="0"/>
        <w:spacing w:line="360" w:lineRule="auto"/>
        <w:ind w:firstLine="480" w:firstLineChars="20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如中标人拒绝承担中标的项目，或提出招标方不能接受的条件，致使合同无法签订，招标方将取消其中标资格，并根据评标委员会推荐的中标候选人先后顺序，将下一顺序的中标候选人作为预中标人进行公示，或由招标方组织评标委员会复议后提出重新组织采购等建议。</w:t>
      </w:r>
    </w:p>
    <w:p>
      <w:pPr>
        <w:shd w:val="clear" w:color="auto" w:fill="FFFFFF"/>
        <w:snapToGrid w:val="0"/>
        <w:spacing w:line="360" w:lineRule="auto"/>
        <w:ind w:firstLine="540"/>
        <w:rPr>
          <w:rFonts w:hint="eastAsia" w:ascii="宋体" w:hAnsi="宋体" w:cs="宋体"/>
          <w:color w:val="000000"/>
          <w:sz w:val="24"/>
        </w:rPr>
      </w:pPr>
      <w:r>
        <w:rPr>
          <w:rFonts w:hint="eastAsia" w:ascii="宋体" w:hAnsi="宋体" w:cs="宋体"/>
          <w:color w:val="000000"/>
          <w:sz w:val="24"/>
        </w:rPr>
        <w:t>3、如签订合同并生效后，供应商无故拒绝或延期，除按照合同条款处罚外，列入不良行为记录一次，并给予通报。</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（二）合同的签订</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中标人按规定的日期、时间、地点，由法定代表人或授权代表人与招标人代表签订合同。</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（三）履约保证金</w:t>
      </w:r>
    </w:p>
    <w:p>
      <w:pPr>
        <w:autoSpaceDE w:val="0"/>
        <w:autoSpaceDN w:val="0"/>
        <w:snapToGrid w:val="0"/>
        <w:spacing w:line="360" w:lineRule="auto"/>
        <w:ind w:firstLine="480" w:firstLineChars="200"/>
        <w:rPr>
          <w:rFonts w:hint="eastAsia" w:ascii="宋体" w:hAnsi="宋体" w:cs="仿宋_GB2312"/>
          <w:b/>
          <w:bCs/>
          <w:color w:val="000000"/>
          <w:sz w:val="24"/>
        </w:rPr>
      </w:pPr>
      <w:r>
        <w:rPr>
          <w:rFonts w:ascii="Times New Roman" w:hAnsi="Times New Roman"/>
          <w:color w:val="000000"/>
          <w:sz w:val="24"/>
        </w:rPr>
        <w:t>1、</w:t>
      </w:r>
      <w:r>
        <w:rPr>
          <w:rFonts w:hint="eastAsia" w:ascii="宋体" w:hAnsi="宋体" w:cs="宋体"/>
          <w:color w:val="000000"/>
          <w:sz w:val="24"/>
        </w:rPr>
        <w:t>详见“第三部分——项目技术规范和服务要求”。</w:t>
      </w:r>
      <w:r>
        <w:rPr>
          <w:rFonts w:hint="eastAsia" w:ascii="宋体" w:hAnsi="宋体" w:cs="仿宋_GB2312"/>
          <w:b/>
          <w:bCs/>
          <w:color w:val="000000"/>
          <w:sz w:val="24"/>
        </w:rPr>
        <w:t xml:space="preserve">  </w:t>
      </w:r>
    </w:p>
    <w:p>
      <w:pPr>
        <w:autoSpaceDE w:val="0"/>
        <w:autoSpaceDN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2、中标人应以支票、汇票、本票或者金融机构、担保机构出具的保函等非现金形式，提交履约保证金。</w:t>
      </w:r>
    </w:p>
    <w:p>
      <w:pPr>
        <w:autoSpaceDE w:val="0"/>
        <w:autoSpaceDN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3、履约保证金在合同专用条款约定期间内或者货物质量保证期内不予退还或者应完全有效，</w:t>
      </w:r>
      <w:r>
        <w:rPr>
          <w:rFonts w:hint="eastAsia" w:ascii="宋体" w:hAnsi="宋体"/>
          <w:color w:val="000000"/>
          <w:sz w:val="24"/>
        </w:rPr>
        <w:t>待服务期满后，无质量、服务问题，由招标人向中标人无息退还</w:t>
      </w:r>
      <w:r>
        <w:rPr>
          <w:rFonts w:hint="eastAsia" w:ascii="宋体" w:hAnsi="宋体" w:cs="仿宋_GB2312"/>
          <w:color w:val="000000"/>
          <w:sz w:val="24"/>
          <w:lang w:val="zh-CN"/>
        </w:rPr>
        <w:t>。</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4、中标人如未按时交纳履约保证金，招标代理机构有权撤销其中标资格，并根据评标委员会推荐的中标候选人先后顺序，将下一顺序单位作为预中标公示单位，或由评标委员会提出重新组织采购等建议。</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（四）付款结算方式</w:t>
      </w:r>
    </w:p>
    <w:p>
      <w:pPr>
        <w:shd w:val="clear" w:color="auto" w:fill="FFFFFF"/>
        <w:snapToGrid w:val="0"/>
        <w:spacing w:line="360" w:lineRule="auto"/>
        <w:ind w:firstLine="480" w:firstLineChars="200"/>
        <w:rPr>
          <w:rFonts w:hint="eastAsia" w:ascii="宋体" w:hAnsi="宋体" w:cs="宋体"/>
          <w:b/>
          <w:bCs/>
          <w:color w:val="000000"/>
          <w:sz w:val="24"/>
        </w:rPr>
      </w:pPr>
      <w:r>
        <w:rPr>
          <w:rFonts w:hint="eastAsia" w:ascii="宋体" w:hAnsi="宋体" w:cs="宋体"/>
          <w:color w:val="000000"/>
          <w:sz w:val="24"/>
        </w:rPr>
        <w:t>详见“第三部分——项目技术规范和服务要求”。</w:t>
      </w:r>
    </w:p>
    <w:p>
      <w:pPr>
        <w:numPr>
          <w:ilvl w:val="0"/>
          <w:numId w:val="12"/>
        </w:num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服务期限</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详见“第三部分——项目技术规范和服务要求”。</w:t>
      </w:r>
    </w:p>
    <w:p>
      <w:pPr>
        <w:shd w:val="clear" w:color="auto" w:fill="FFFFFF"/>
        <w:snapToGrid w:val="0"/>
        <w:spacing w:line="360" w:lineRule="auto"/>
        <w:rPr>
          <w:rFonts w:hint="eastAsia" w:ascii="宋体" w:hAnsi="宋体" w:cs="宋体"/>
          <w:color w:val="000000"/>
          <w:kern w:val="0"/>
          <w:sz w:val="24"/>
          <w:lang w:val="zh-CN"/>
        </w:rPr>
      </w:pPr>
      <w:r>
        <w:rPr>
          <w:rFonts w:hint="eastAsia" w:ascii="宋体" w:hAnsi="宋体" w:cs="宋体"/>
          <w:b/>
          <w:bCs/>
          <w:color w:val="000000"/>
          <w:sz w:val="24"/>
        </w:rPr>
        <w:t>（六）采购方式改变</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在符合资格的投标人不足规定数量或投标人提供的服务及其报价、服务承诺等不能满足采购人要求，以及招标过程中出现其他不正常情况时，经批准，招标代理机构</w:t>
      </w:r>
      <w:r>
        <w:rPr>
          <w:rFonts w:hint="eastAsia" w:ascii="宋体" w:hAnsi="宋体" w:cs="宋体"/>
          <w:color w:val="000000"/>
          <w:sz w:val="24"/>
          <w:lang w:val="zh-CN"/>
        </w:rPr>
        <w:t>将根据《政府采购货物和服务招标投标管理办法》(财政部第</w:t>
      </w:r>
      <w:r>
        <w:rPr>
          <w:rFonts w:hint="eastAsia" w:ascii="宋体" w:hAnsi="宋体" w:cs="宋体"/>
          <w:color w:val="000000"/>
          <w:sz w:val="24"/>
        </w:rPr>
        <w:t>87</w:t>
      </w:r>
      <w:r>
        <w:rPr>
          <w:rFonts w:hint="eastAsia" w:ascii="宋体" w:hAnsi="宋体" w:cs="宋体"/>
          <w:color w:val="000000"/>
          <w:sz w:val="24"/>
          <w:lang w:val="zh-CN"/>
        </w:rPr>
        <w:t>号令)，</w:t>
      </w:r>
      <w:r>
        <w:rPr>
          <w:rFonts w:hint="eastAsia" w:ascii="宋体" w:hAnsi="宋体" w:cs="宋体"/>
          <w:color w:val="000000"/>
          <w:sz w:val="24"/>
        </w:rPr>
        <w:t>重新选择合适的方式进行采购。</w:t>
      </w:r>
    </w:p>
    <w:p>
      <w:pPr>
        <w:shd w:val="clear" w:color="auto" w:fill="FFFFFF"/>
        <w:tabs>
          <w:tab w:val="left" w:pos="0"/>
        </w:tabs>
        <w:snapToGrid w:val="0"/>
        <w:spacing w:line="336" w:lineRule="auto"/>
        <w:rPr>
          <w:rFonts w:hint="eastAsia" w:ascii="宋体" w:hAnsi="宋体" w:cs="宋体"/>
          <w:b/>
          <w:bCs/>
          <w:color w:val="000000"/>
          <w:sz w:val="24"/>
        </w:rPr>
      </w:pPr>
      <w:r>
        <w:rPr>
          <w:rFonts w:hint="eastAsia" w:ascii="宋体" w:hAnsi="宋体" w:cs="宋体"/>
          <w:b/>
          <w:bCs/>
          <w:color w:val="000000"/>
          <w:sz w:val="24"/>
        </w:rPr>
        <w:t>（七）售后服务考核</w:t>
      </w:r>
    </w:p>
    <w:p>
      <w:pPr>
        <w:shd w:val="clear" w:color="auto" w:fill="FFFFFF"/>
        <w:snapToGrid w:val="0"/>
        <w:spacing w:line="336" w:lineRule="auto"/>
        <w:ind w:firstLine="480" w:firstLineChars="200"/>
        <w:rPr>
          <w:rFonts w:hint="eastAsia" w:ascii="宋体" w:hAnsi="宋体" w:cs="宋体"/>
          <w:color w:val="000000"/>
          <w:sz w:val="24"/>
        </w:rPr>
      </w:pPr>
      <w:r>
        <w:rPr>
          <w:rFonts w:hint="eastAsia" w:ascii="宋体" w:hAnsi="宋体" w:cs="宋体"/>
          <w:color w:val="000000"/>
          <w:sz w:val="24"/>
        </w:rPr>
        <w:t>将按照《</w:t>
      </w:r>
      <w:r>
        <w:rPr>
          <w:rFonts w:hint="eastAsia" w:ascii="宋体" w:hAnsi="宋体" w:cs="宋体"/>
          <w:color w:val="000000"/>
          <w:sz w:val="24"/>
          <w:lang w:val="zh-CN"/>
        </w:rPr>
        <w:t>政府采购货物和服务招标投标管理办法</w:t>
      </w:r>
      <w:r>
        <w:rPr>
          <w:rFonts w:hint="eastAsia" w:ascii="宋体" w:hAnsi="宋体" w:cs="宋体"/>
          <w:color w:val="000000"/>
          <w:sz w:val="24"/>
        </w:rPr>
        <w:t>》(中华人民共和国财政部第87号令)和《杭州市政府采购履约验收暂行办法》（杭财采监〔2019〕10号 ），对供应商进行考核，发现弄虚作假，偷工减料，以次充好，达不到国家、行业有关标准和技术文件规定的，一经查实，招标代理机构将视情况终止合同，并上报采购监督管理部门。</w:t>
      </w:r>
    </w:p>
    <w:p>
      <w:pPr>
        <w:snapToGrid w:val="0"/>
        <w:spacing w:line="336" w:lineRule="auto"/>
        <w:rPr>
          <w:rFonts w:hint="eastAsia" w:ascii="宋体" w:hAnsi="宋体" w:cs="宋体"/>
          <w:b/>
          <w:color w:val="000000"/>
          <w:sz w:val="24"/>
        </w:rPr>
      </w:pPr>
      <w:r>
        <w:rPr>
          <w:rFonts w:hint="eastAsia" w:ascii="宋体" w:hAnsi="宋体" w:cs="宋体"/>
          <w:b/>
          <w:color w:val="000000"/>
          <w:sz w:val="24"/>
        </w:rPr>
        <w:t>（八）质疑和投诉</w:t>
      </w:r>
    </w:p>
    <w:p>
      <w:pPr>
        <w:snapToGrid w:val="0"/>
        <w:spacing w:line="336"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 xml:space="preserve">1、根据《中华人民共和国政府采购法》和《政府采购质疑和投诉办法》(财政部令第94号)的规定，投标人对政府采购活动事项有疑问的，可以向招标人和招标代理机构提出询问，招标人和招标代理机构应当及时作出答复，但答复的内容不得涉及商业秘密。  </w:t>
      </w:r>
    </w:p>
    <w:p>
      <w:pPr>
        <w:snapToGrid w:val="0"/>
        <w:spacing w:line="336" w:lineRule="auto"/>
        <w:ind w:firstLine="480" w:firstLineChars="200"/>
        <w:jc w:val="left"/>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）、投标人如认为招标公告信息使自身的合法权益受到损害的，应于自招标公告发布之日起七个工作日内以书面形式向采购代理机构提出质疑。</w:t>
      </w:r>
    </w:p>
    <w:p>
      <w:pPr>
        <w:snapToGrid w:val="0"/>
        <w:spacing w:line="336" w:lineRule="auto"/>
        <w:ind w:firstLine="480" w:firstLineChars="200"/>
        <w:jc w:val="left"/>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投标人如认为招标文件使自身的合法权益受到损害的，应于自获取招标文件之日起七个工作日内（招标文件获取截止时间之后获取的，应于自招标文件获取截止时间之日起七个工作日内），且应当在投标响应截止时间之前以书面形式向采购代理机构提出，否则，采购代理机构可不予接受。</w:t>
      </w:r>
    </w:p>
    <w:p>
      <w:pPr>
        <w:snapToGrid w:val="0"/>
        <w:spacing w:line="336" w:lineRule="auto"/>
        <w:ind w:firstLine="480" w:firstLineChars="200"/>
        <w:jc w:val="left"/>
        <w:rPr>
          <w:rFonts w:ascii="宋体" w:cs="宋体"/>
          <w:color w:val="000000"/>
          <w:sz w:val="24"/>
        </w:rPr>
      </w:pPr>
      <w:r>
        <w:rPr>
          <w:rFonts w:hint="eastAsia" w:ascii="宋体" w:hAnsi="宋体" w:cs="宋体"/>
          <w:color w:val="000000"/>
          <w:sz w:val="24"/>
        </w:rPr>
        <w:t>（3）、投标人如认为采购过程使自身的合法权益受到损害的，应于自各采购程序环节结束之日起七个工作日内，以书面形式向采购代理机构提出质疑。</w:t>
      </w:r>
    </w:p>
    <w:p>
      <w:pPr>
        <w:snapToGrid w:val="0"/>
        <w:spacing w:line="336" w:lineRule="auto"/>
        <w:ind w:firstLine="480" w:firstLineChars="200"/>
        <w:jc w:val="left"/>
        <w:rPr>
          <w:rFonts w:ascii="宋体" w:cs="宋体"/>
          <w:color w:val="000000"/>
          <w:sz w:val="24"/>
        </w:rPr>
      </w:pPr>
      <w:r>
        <w:rPr>
          <w:rFonts w:hint="eastAsia" w:ascii="宋体" w:hAnsi="宋体" w:cs="宋体"/>
          <w:color w:val="000000"/>
          <w:sz w:val="24"/>
        </w:rPr>
        <w:t>（4）、投标人如认为中标结果使自身的合法权益受到损害的，应于自中标结果公告期限（公告期限为</w:t>
      </w:r>
      <w:r>
        <w:rPr>
          <w:rFonts w:ascii="宋体" w:hAnsi="宋体" w:cs="宋体"/>
          <w:color w:val="000000"/>
          <w:sz w:val="24"/>
        </w:rPr>
        <w:t>1</w:t>
      </w:r>
      <w:r>
        <w:rPr>
          <w:rFonts w:hint="eastAsia" w:ascii="宋体" w:hAnsi="宋体" w:cs="宋体"/>
          <w:color w:val="000000"/>
          <w:sz w:val="24"/>
        </w:rPr>
        <w:t>个工作日）届满之日起七个工作日内，以书面形式向采购代理机构提出质疑。</w:t>
      </w:r>
    </w:p>
    <w:p>
      <w:pPr>
        <w:adjustRightInd w:val="0"/>
        <w:snapToGrid w:val="0"/>
        <w:spacing w:line="336" w:lineRule="auto"/>
        <w:ind w:firstLine="480" w:firstLineChars="200"/>
        <w:rPr>
          <w:rFonts w:ascii="宋体" w:hAnsi="宋体" w:cs="宋体"/>
          <w:color w:val="000000"/>
          <w:sz w:val="24"/>
        </w:rPr>
      </w:pPr>
      <w:r>
        <w:rPr>
          <w:rFonts w:hint="eastAsia" w:ascii="宋体" w:hAnsi="宋体" w:cs="宋体"/>
          <w:color w:val="000000"/>
          <w:sz w:val="24"/>
        </w:rPr>
        <w:t>2、提出质疑的供应商应当是参与本项招标活动的投标人，在法定质疑期内应一次性提出针对同一采购程序环节的质疑。</w:t>
      </w:r>
    </w:p>
    <w:p>
      <w:pPr>
        <w:snapToGrid w:val="0"/>
        <w:spacing w:line="336"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3、采购人或者采购代理机构应当在3个工作日内对供应商依法提出的询问作出答复。</w:t>
      </w:r>
    </w:p>
    <w:p>
      <w:pPr>
        <w:snapToGrid w:val="0"/>
        <w:spacing w:line="336"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供应商提出的询问或者质疑超出采购人对采购代理机构委托授权范围的，采购代理机构应当告知供应商向采购人提出。</w:t>
      </w:r>
    </w:p>
    <w:p>
      <w:pPr>
        <w:snapToGrid w:val="0"/>
        <w:spacing w:line="336"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政府采购评审专家应当配合采购人或者采购代理机构答复供应商的询问和质疑。</w:t>
      </w:r>
    </w:p>
    <w:p>
      <w:pPr>
        <w:shd w:val="clear" w:color="auto" w:fill="FFFFFF"/>
        <w:snapToGrid w:val="0"/>
        <w:spacing w:line="336" w:lineRule="auto"/>
        <w:ind w:firstLine="480" w:firstLineChars="200"/>
        <w:rPr>
          <w:rFonts w:hint="eastAsia" w:ascii="宋体" w:hAnsi="宋体" w:cs="宋体"/>
          <w:color w:val="000000"/>
          <w:sz w:val="24"/>
        </w:rPr>
      </w:pPr>
      <w:r>
        <w:rPr>
          <w:rFonts w:hint="eastAsia" w:ascii="宋体" w:hAnsi="宋体" w:cs="宋体"/>
          <w:snapToGrid w:val="0"/>
          <w:color w:val="000000"/>
          <w:kern w:val="0"/>
          <w:sz w:val="24"/>
        </w:rPr>
        <w:t>4、</w:t>
      </w:r>
      <w:r>
        <w:rPr>
          <w:rFonts w:hint="eastAsia" w:ascii="宋体" w:hAnsi="宋体" w:cs="宋体"/>
          <w:color w:val="000000"/>
          <w:sz w:val="24"/>
        </w:rPr>
        <w:t>质疑供应商对采购人、采购代理机构的答复不满意或者采购人、采购代理机构未在规定时间内作出答复的，可以在答复期满后十五个工作日内向同级政府采购监管部门投诉。</w:t>
      </w:r>
    </w:p>
    <w:p>
      <w:pPr>
        <w:shd w:val="clear" w:color="auto" w:fill="FFFFFF"/>
        <w:snapToGrid w:val="0"/>
        <w:spacing w:line="336" w:lineRule="auto"/>
        <w:rPr>
          <w:rFonts w:hint="eastAsia" w:ascii="宋体" w:hAnsi="宋体" w:cs="宋体"/>
          <w:b/>
          <w:bCs/>
          <w:color w:val="000000"/>
          <w:sz w:val="24"/>
        </w:rPr>
      </w:pPr>
      <w:r>
        <w:rPr>
          <w:rFonts w:hint="eastAsia" w:ascii="宋体" w:hAnsi="宋体" w:cs="宋体"/>
          <w:b/>
          <w:bCs/>
          <w:color w:val="000000"/>
          <w:kern w:val="0"/>
          <w:sz w:val="24"/>
          <w:lang w:val="zh-CN"/>
        </w:rPr>
        <w:t>（九）</w:t>
      </w:r>
      <w:r>
        <w:rPr>
          <w:rFonts w:hint="eastAsia" w:ascii="宋体" w:hAnsi="宋体" w:cs="宋体"/>
          <w:b/>
          <w:bCs/>
          <w:color w:val="000000"/>
          <w:sz w:val="24"/>
        </w:rPr>
        <w:t>解释权</w:t>
      </w:r>
    </w:p>
    <w:p>
      <w:pPr>
        <w:shd w:val="clear" w:color="auto" w:fill="FFFFFF"/>
        <w:snapToGrid w:val="0"/>
        <w:spacing w:line="360" w:lineRule="auto"/>
        <w:ind w:firstLine="480" w:firstLineChars="200"/>
        <w:rPr>
          <w:rFonts w:hint="eastAsia" w:ascii="宋体" w:hAnsi="宋体" w:cs="宋体"/>
          <w:color w:val="000000"/>
          <w:spacing w:val="-11"/>
          <w:sz w:val="24"/>
        </w:rPr>
      </w:pPr>
      <w:r>
        <w:rPr>
          <w:rFonts w:hint="eastAsia" w:ascii="宋体" w:hAnsi="宋体" w:cs="宋体"/>
          <w:color w:val="000000"/>
          <w:sz w:val="24"/>
        </w:rPr>
        <w:t>招标文件的解释权均属于招标人和委托招标代理机构</w:t>
      </w:r>
      <w:r>
        <w:rPr>
          <w:rFonts w:hint="eastAsia" w:ascii="宋体" w:hAnsi="宋体" w:cs="宋体"/>
          <w:color w:val="000000"/>
          <w:spacing w:val="-11"/>
          <w:sz w:val="24"/>
        </w:rPr>
        <w:t>。</w:t>
      </w:r>
    </w:p>
    <w:p>
      <w:pPr>
        <w:pageBreakBefore/>
        <w:numPr>
          <w:ilvl w:val="0"/>
          <w:numId w:val="8"/>
        </w:numPr>
        <w:shd w:val="clear" w:color="auto" w:fill="FFFFFF"/>
        <w:snapToGrid w:val="0"/>
        <w:spacing w:line="360" w:lineRule="auto"/>
        <w:jc w:val="center"/>
        <w:outlineLvl w:val="0"/>
        <w:rPr>
          <w:rFonts w:hint="eastAsia" w:ascii="宋体" w:hAnsi="宋体" w:cs="宋体"/>
          <w:b/>
          <w:bCs/>
          <w:color w:val="000000"/>
          <w:sz w:val="32"/>
          <w:szCs w:val="32"/>
        </w:rPr>
      </w:pPr>
      <w:r>
        <w:rPr>
          <w:rFonts w:hint="eastAsia" w:ascii="宋体" w:hAnsi="宋体" w:cs="宋体"/>
          <w:b/>
          <w:bCs/>
          <w:color w:val="000000"/>
          <w:sz w:val="32"/>
          <w:szCs w:val="32"/>
        </w:rPr>
        <w:t xml:space="preserve"> </w:t>
      </w:r>
      <w:bookmarkStart w:id="132" w:name="_Toc20224"/>
      <w:r>
        <w:rPr>
          <w:rFonts w:hint="eastAsia" w:ascii="宋体" w:hAnsi="宋体" w:cs="宋体"/>
          <w:b/>
          <w:bCs/>
          <w:color w:val="000000"/>
          <w:sz w:val="32"/>
          <w:szCs w:val="32"/>
        </w:rPr>
        <w:t>项目技术规范和服务要求</w:t>
      </w:r>
      <w:bookmarkEnd w:id="132"/>
    </w:p>
    <w:p>
      <w:pPr>
        <w:numPr>
          <w:ilvl w:val="0"/>
          <w:numId w:val="13"/>
        </w:numPr>
        <w:adjustRightInd w:val="0"/>
        <w:snapToGrid w:val="0"/>
        <w:spacing w:line="360" w:lineRule="auto"/>
        <w:rPr>
          <w:rFonts w:hint="eastAsia" w:ascii="宋体" w:hAnsi="宋体" w:cs="宋体"/>
          <w:b/>
          <w:bCs/>
          <w:color w:val="000000"/>
          <w:sz w:val="24"/>
        </w:rPr>
      </w:pPr>
      <w:bookmarkStart w:id="133" w:name="_Toc86217003"/>
      <w:bookmarkStart w:id="134" w:name="_Toc233618986"/>
      <w:bookmarkStart w:id="135" w:name="_Toc354996706"/>
      <w:r>
        <w:rPr>
          <w:rFonts w:hint="eastAsia" w:ascii="宋体" w:hAnsi="宋体" w:cs="宋体"/>
          <w:b/>
          <w:bCs/>
          <w:color w:val="000000"/>
          <w:sz w:val="24"/>
        </w:rPr>
        <w:t>项目概述：</w:t>
      </w:r>
    </w:p>
    <w:p>
      <w:pPr>
        <w:spacing w:line="360" w:lineRule="auto"/>
        <w:ind w:firstLine="480" w:firstLineChars="200"/>
        <w:rPr>
          <w:rFonts w:hint="eastAsia" w:ascii="宋体" w:hAnsi="宋体" w:cs="宋体"/>
          <w:sz w:val="24"/>
        </w:rPr>
      </w:pPr>
      <w:r>
        <w:rPr>
          <w:rFonts w:hint="eastAsia" w:ascii="宋体" w:hAnsi="宋体" w:cs="宋体"/>
          <w:sz w:val="24"/>
        </w:rPr>
        <w:t>本项目为“购买服务”项目。</w:t>
      </w:r>
    </w:p>
    <w:p>
      <w:pPr>
        <w:adjustRightInd w:val="0"/>
        <w:snapToGrid w:val="0"/>
        <w:spacing w:line="360" w:lineRule="auto"/>
        <w:ind w:firstLine="480" w:firstLineChars="200"/>
        <w:rPr>
          <w:rFonts w:hint="eastAsia" w:ascii="宋体" w:hAnsi="宋体"/>
          <w:sz w:val="24"/>
        </w:rPr>
      </w:pPr>
      <w:r>
        <w:rPr>
          <w:rFonts w:hint="eastAsia" w:ascii="宋体" w:hAnsi="宋体"/>
          <w:sz w:val="24"/>
        </w:rPr>
        <w:t>本项目为</w:t>
      </w:r>
      <w:r>
        <w:rPr>
          <w:rFonts w:hint="eastAsia" w:ascii="宋体" w:hAnsi="宋体"/>
          <w:sz w:val="24"/>
          <w:lang w:eastAsia="zh-CN"/>
        </w:rPr>
        <w:t>良渚街道物流等人口聚集区块维保服务外包项目</w:t>
      </w:r>
      <w:r>
        <w:rPr>
          <w:rFonts w:hint="eastAsia" w:ascii="宋体" w:hAnsi="宋体"/>
          <w:sz w:val="24"/>
        </w:rPr>
        <w:t>，为进一步提升街道公共安全管理服务水平和效率，有效维护社会面秩序，做好公共场所和重大工程场所等安保巡防服务，提高群众安全感。</w:t>
      </w:r>
    </w:p>
    <w:p>
      <w:pPr>
        <w:adjustRightInd w:val="0"/>
        <w:snapToGrid w:val="0"/>
        <w:spacing w:line="360" w:lineRule="auto"/>
        <w:ind w:firstLine="480" w:firstLineChars="200"/>
        <w:rPr>
          <w:rFonts w:ascii="宋体" w:hAnsi="宋体"/>
          <w:sz w:val="24"/>
        </w:rPr>
      </w:pPr>
      <w:r>
        <w:rPr>
          <w:rFonts w:hint="eastAsia" w:ascii="宋体" w:hAnsi="宋体"/>
          <w:sz w:val="24"/>
        </w:rPr>
        <w:t>本项目采购内容包括提供符合采购人要求的公共场所和重大工程场所等安保巡防服务人员，在服务期内为采购人提供合格的日常管理协助与特殊时间段的管理协助服务。</w:t>
      </w:r>
    </w:p>
    <w:p>
      <w:pPr>
        <w:adjustRightInd w:val="0"/>
        <w:snapToGrid w:val="0"/>
        <w:spacing w:line="360" w:lineRule="auto"/>
        <w:ind w:firstLine="480" w:firstLineChars="200"/>
        <w:rPr>
          <w:rFonts w:hint="eastAsia" w:ascii="宋体" w:hAnsi="宋体" w:cs="宋体"/>
          <w:sz w:val="24"/>
        </w:rPr>
      </w:pPr>
      <w:r>
        <w:rPr>
          <w:rFonts w:hint="eastAsia" w:ascii="宋体" w:hAnsi="宋体"/>
          <w:sz w:val="24"/>
        </w:rPr>
        <w:t>投标报价包括所有外包人员的工资、社保、加班费、培训费、住宿、餐费、通讯设备、交通工具及维保费、统一服装费、低值易耗品、工具及相关设备费、临时性杂项服务费、政策性文件规定及合同包含的所有风险、责任、税费、合理利润等各项全部费用。</w:t>
      </w:r>
    </w:p>
    <w:p>
      <w:pPr>
        <w:numPr>
          <w:ilvl w:val="0"/>
          <w:numId w:val="14"/>
        </w:numPr>
        <w:adjustRightInd w:val="0"/>
        <w:snapToGrid w:val="0"/>
        <w:spacing w:line="360" w:lineRule="auto"/>
        <w:rPr>
          <w:rFonts w:hint="eastAsia" w:ascii="宋体" w:hAnsi="宋体" w:cs="宋体"/>
          <w:bCs/>
          <w:sz w:val="24"/>
        </w:rPr>
      </w:pPr>
      <w:r>
        <w:rPr>
          <w:rFonts w:hint="eastAsia" w:ascii="宋体" w:hAnsi="宋体" w:cs="宋体"/>
          <w:sz w:val="24"/>
        </w:rPr>
        <w:t>具体服务内容、要求等：</w:t>
      </w:r>
    </w:p>
    <w:p>
      <w:pPr>
        <w:spacing w:line="360" w:lineRule="auto"/>
        <w:ind w:firstLine="482" w:firstLineChars="200"/>
        <w:rPr>
          <w:rFonts w:hint="eastAsia" w:ascii="宋体" w:hAnsi="宋体" w:cs="宋体"/>
          <w:b/>
          <w:bCs/>
          <w:kern w:val="0"/>
          <w:sz w:val="24"/>
        </w:rPr>
      </w:pPr>
      <w:r>
        <w:rPr>
          <w:rFonts w:hint="eastAsia" w:ascii="宋体" w:hAnsi="宋体" w:cs="宋体"/>
          <w:b/>
          <w:bCs/>
          <w:kern w:val="0"/>
          <w:sz w:val="24"/>
        </w:rPr>
        <w:t>工作时间由招标单位具体制定，服务外包人员必须服从招标单位指挥、管理和安排，服务外包人员工作期间必须穿戴统一执勤衣帽，佩戴管理工作证，遵守招标单位制定的工作纪律，接受招标单位督查考核；中标单位必须确定专人负责对服务外包人员的管理和督查，定期对服务外包人员的业务培训，确保服务外包人员工作稳定性。每天工作管理不超过8小时（特殊节假日或重大事件时另行协调），具体由招标单位根据管理辖区情况统筹安排，节假日轮休。</w:t>
      </w:r>
    </w:p>
    <w:p>
      <w:pPr>
        <w:spacing w:line="360" w:lineRule="auto"/>
        <w:ind w:firstLine="480" w:firstLineChars="200"/>
        <w:rPr>
          <w:rFonts w:ascii="宋体" w:hAnsi="宋体"/>
          <w:sz w:val="24"/>
        </w:rPr>
      </w:pPr>
      <w:r>
        <w:rPr>
          <w:rFonts w:hint="eastAsia" w:ascii="宋体" w:hAnsi="宋体" w:cs="宋体"/>
          <w:sz w:val="24"/>
        </w:rPr>
        <w:t>1、具体服务人员要求：</w:t>
      </w:r>
      <w:r>
        <w:rPr>
          <w:rFonts w:hint="eastAsia" w:ascii="宋体" w:hAnsi="宋体" w:cs="宋体"/>
          <w:b/>
          <w:bCs/>
          <w:kern w:val="0"/>
          <w:sz w:val="24"/>
        </w:rPr>
        <w:t>人员要求</w:t>
      </w:r>
      <w:r>
        <w:rPr>
          <w:rFonts w:hint="eastAsia" w:ascii="宋体" w:hAnsi="宋体" w:cs="宋体"/>
          <w:b/>
          <w:bCs/>
          <w:kern w:val="0"/>
          <w:sz w:val="24"/>
          <w:u w:val="single"/>
        </w:rPr>
        <w:t>35</w:t>
      </w:r>
      <w:r>
        <w:rPr>
          <w:rFonts w:hint="eastAsia" w:ascii="宋体" w:hAnsi="宋体" w:cs="宋体"/>
          <w:b/>
          <w:bCs/>
          <w:kern w:val="0"/>
          <w:sz w:val="24"/>
        </w:rPr>
        <w:t>周岁及以下，</w:t>
      </w:r>
      <w:r>
        <w:rPr>
          <w:rFonts w:hint="eastAsia" w:ascii="宋体" w:hAnsi="宋体"/>
          <w:b/>
          <w:bCs/>
          <w:sz w:val="24"/>
        </w:rPr>
        <w:t>身高1</w:t>
      </w:r>
      <w:r>
        <w:rPr>
          <w:rFonts w:ascii="宋体" w:hAnsi="宋体"/>
          <w:b/>
          <w:bCs/>
          <w:sz w:val="24"/>
        </w:rPr>
        <w:t>70</w:t>
      </w:r>
      <w:r>
        <w:rPr>
          <w:rFonts w:hint="eastAsia" w:ascii="宋体" w:hAnsi="宋体"/>
          <w:b/>
          <w:bCs/>
          <w:sz w:val="24"/>
        </w:rPr>
        <w:t>cm以上，退伍军人优先。</w:t>
      </w:r>
      <w:r>
        <w:rPr>
          <w:rFonts w:ascii="宋体" w:hAnsi="宋体"/>
          <w:sz w:val="24"/>
        </w:rPr>
        <w:t>政治素质好、品行端正、责任心强、无违法犯罪记录、身体健康</w:t>
      </w:r>
      <w:r>
        <w:rPr>
          <w:rFonts w:hint="eastAsia" w:ascii="宋体" w:hAnsi="宋体" w:cs="宋体"/>
          <w:kern w:val="0"/>
          <w:sz w:val="24"/>
        </w:rPr>
        <w:t>，仪表端庄，精力充沛，无不良嗜好，工作认真负责并定期接受培训，具体要求如下:</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2、要求外包人员能辅助处理和应对采购人公共秩序维护工作，能正确使用各类消防器械和设备，能够熟悉、掌握各类刑事、治安案件和各类灾害事故的应急预案；</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3、上岗时佩戴统一标志，按需求穿戴统一制服（投标人自行配备，服装款式须征得招标人同意），装备佩戴规范，仪容仪表规范整齐，当值时坐姿挺直，站岗时不倚不靠、采用跨立站岗。</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4、文明执勤，训练有素，言语规范，认真负责；配备必备的安全护卫器械、通讯器材等设备由招标单位负责。</w:t>
      </w:r>
    </w:p>
    <w:p>
      <w:pPr>
        <w:adjustRightInd w:val="0"/>
        <w:snapToGrid w:val="0"/>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、人员按街道时间要求上下班，服从街道工作安排，包括值班、会议、加班等。</w:t>
      </w:r>
    </w:p>
    <w:p>
      <w:pPr>
        <w:pStyle w:val="31"/>
        <w:rPr>
          <w:rFonts w:hint="eastAsia"/>
        </w:rPr>
      </w:pPr>
    </w:p>
    <w:p>
      <w:pPr>
        <w:adjustRightInd w:val="0"/>
        <w:snapToGrid w:val="0"/>
        <w:spacing w:line="360" w:lineRule="auto"/>
        <w:rPr>
          <w:rFonts w:hint="eastAsia" w:ascii="宋体" w:hAnsi="宋体" w:cs="宋体"/>
          <w:b/>
          <w:sz w:val="24"/>
        </w:rPr>
      </w:pPr>
      <w:r>
        <w:rPr>
          <w:rFonts w:hint="eastAsia" w:ascii="宋体" w:hAnsi="宋体" w:cs="宋体"/>
          <w:b/>
          <w:bCs/>
          <w:sz w:val="24"/>
        </w:rPr>
        <w:t>三、岗位及职数、车辆要求</w:t>
      </w:r>
      <w:r>
        <w:rPr>
          <w:rFonts w:hint="eastAsia" w:ascii="宋体" w:hAnsi="宋体" w:cs="宋体"/>
          <w:b/>
          <w:sz w:val="24"/>
        </w:rPr>
        <w:t>：</w:t>
      </w:r>
    </w:p>
    <w:p>
      <w:pPr>
        <w:adjustRightInd w:val="0"/>
        <w:snapToGrid w:val="0"/>
        <w:spacing w:line="360" w:lineRule="auto"/>
        <w:ind w:left="841"/>
        <w:rPr>
          <w:rFonts w:ascii="宋体" w:hAnsi="宋体" w:cs="宋体"/>
          <w:sz w:val="24"/>
        </w:rPr>
      </w:pPr>
      <w:r>
        <w:rPr>
          <w:rFonts w:hint="eastAsia" w:ascii="宋体" w:hAnsi="宋体" w:cs="宋体"/>
          <w:b/>
          <w:kern w:val="0"/>
          <w:sz w:val="24"/>
        </w:rPr>
        <w:t>1、巡逻安保人员</w:t>
      </w:r>
      <w:r>
        <w:rPr>
          <w:rFonts w:hint="eastAsia" w:ascii="宋体" w:hAnsi="宋体" w:cs="宋体-18030"/>
          <w:b/>
          <w:bCs/>
          <w:kern w:val="0"/>
          <w:sz w:val="24"/>
        </w:rPr>
        <w:t>岗位</w:t>
      </w:r>
      <w:r>
        <w:rPr>
          <w:rFonts w:hint="eastAsia" w:ascii="宋体" w:hAnsi="宋体" w:cs="宋体"/>
          <w:b/>
          <w:kern w:val="0"/>
          <w:sz w:val="24"/>
        </w:rPr>
        <w:t>配备一览表；</w:t>
      </w:r>
    </w:p>
    <w:tbl>
      <w:tblPr>
        <w:tblStyle w:val="78"/>
        <w:tblW w:w="0" w:type="auto"/>
        <w:tblInd w:w="5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429"/>
        <w:gridCol w:w="210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69" w:type="dxa"/>
            <w:noWrap w:val="0"/>
            <w:vAlign w:val="top"/>
          </w:tcPr>
          <w:p>
            <w:pPr>
              <w:adjustRightInd w:val="0"/>
              <w:spacing w:line="360" w:lineRule="auto"/>
              <w:jc w:val="center"/>
              <w:rPr>
                <w:rFonts w:hint="eastAsia" w:ascii="宋体" w:hAnsi="宋体" w:cs="宋体-18030"/>
                <w:b/>
                <w:bCs/>
                <w:kern w:val="0"/>
                <w:sz w:val="24"/>
              </w:rPr>
            </w:pPr>
            <w:r>
              <w:rPr>
                <w:rFonts w:hint="eastAsia" w:ascii="宋体" w:hAnsi="宋体" w:cs="宋体-18030"/>
                <w:b/>
                <w:bCs/>
                <w:kern w:val="0"/>
                <w:sz w:val="24"/>
              </w:rPr>
              <w:t>序号</w:t>
            </w:r>
          </w:p>
        </w:tc>
        <w:tc>
          <w:tcPr>
            <w:tcW w:w="2429" w:type="dxa"/>
            <w:noWrap w:val="0"/>
            <w:vAlign w:val="top"/>
          </w:tcPr>
          <w:p>
            <w:pPr>
              <w:adjustRightInd w:val="0"/>
              <w:spacing w:line="360" w:lineRule="auto"/>
              <w:jc w:val="center"/>
              <w:rPr>
                <w:rFonts w:hint="eastAsia" w:ascii="宋体" w:hAnsi="宋体" w:cs="宋体-18030"/>
                <w:b/>
                <w:bCs/>
                <w:kern w:val="0"/>
                <w:sz w:val="24"/>
              </w:rPr>
            </w:pPr>
            <w:r>
              <w:rPr>
                <w:rFonts w:hint="eastAsia" w:ascii="宋体" w:hAnsi="宋体" w:cs="宋体-18030"/>
                <w:b/>
                <w:bCs/>
                <w:kern w:val="0"/>
                <w:sz w:val="24"/>
              </w:rPr>
              <w:t>岗位</w:t>
            </w:r>
          </w:p>
        </w:tc>
        <w:tc>
          <w:tcPr>
            <w:tcW w:w="2100" w:type="dxa"/>
            <w:noWrap w:val="0"/>
            <w:vAlign w:val="top"/>
          </w:tcPr>
          <w:p>
            <w:pPr>
              <w:adjustRightInd w:val="0"/>
              <w:spacing w:line="360" w:lineRule="auto"/>
              <w:jc w:val="center"/>
              <w:rPr>
                <w:rFonts w:hint="eastAsia" w:ascii="宋体" w:hAnsi="宋体" w:cs="宋体-18030"/>
                <w:b/>
                <w:bCs/>
                <w:kern w:val="0"/>
                <w:sz w:val="24"/>
              </w:rPr>
            </w:pPr>
            <w:r>
              <w:rPr>
                <w:rFonts w:hint="eastAsia" w:ascii="宋体" w:hAnsi="宋体" w:cs="宋体-18030"/>
                <w:b/>
                <w:bCs/>
                <w:kern w:val="0"/>
                <w:sz w:val="24"/>
              </w:rPr>
              <w:t>岗位</w:t>
            </w:r>
            <w:r>
              <w:rPr>
                <w:rFonts w:hint="eastAsia" w:ascii="宋体" w:hAnsi="宋体" w:cs="宋体"/>
                <w:b/>
                <w:bCs/>
                <w:sz w:val="24"/>
              </w:rPr>
              <w:t>职数</w:t>
            </w:r>
          </w:p>
        </w:tc>
        <w:tc>
          <w:tcPr>
            <w:tcW w:w="2925" w:type="dxa"/>
            <w:noWrap w:val="0"/>
            <w:vAlign w:val="top"/>
          </w:tcPr>
          <w:p>
            <w:pPr>
              <w:adjustRightInd w:val="0"/>
              <w:spacing w:line="360" w:lineRule="auto"/>
              <w:jc w:val="center"/>
              <w:rPr>
                <w:rFonts w:hint="eastAsia" w:ascii="宋体" w:hAnsi="宋体" w:cs="宋体-18030"/>
                <w:b/>
                <w:bCs/>
                <w:kern w:val="0"/>
                <w:sz w:val="24"/>
              </w:rPr>
            </w:pPr>
            <w:r>
              <w:rPr>
                <w:rFonts w:hint="eastAsia" w:ascii="宋体" w:hAnsi="宋体" w:cs="宋体-18030"/>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69" w:type="dxa"/>
            <w:noWrap w:val="0"/>
            <w:vAlign w:val="center"/>
          </w:tcPr>
          <w:p>
            <w:pPr>
              <w:adjustRightInd w:val="0"/>
              <w:spacing w:line="360" w:lineRule="auto"/>
              <w:jc w:val="center"/>
              <w:rPr>
                <w:rFonts w:hint="eastAsia" w:ascii="宋体" w:hAnsi="宋体" w:cs="宋体"/>
                <w:kern w:val="0"/>
                <w:sz w:val="24"/>
              </w:rPr>
            </w:pPr>
            <w:r>
              <w:rPr>
                <w:rFonts w:hint="eastAsia" w:ascii="宋体" w:hAnsi="宋体" w:cs="宋体"/>
                <w:kern w:val="0"/>
                <w:sz w:val="24"/>
              </w:rPr>
              <w:t>1</w:t>
            </w:r>
          </w:p>
        </w:tc>
        <w:tc>
          <w:tcPr>
            <w:tcW w:w="2429" w:type="dxa"/>
            <w:noWrap w:val="0"/>
            <w:vAlign w:val="center"/>
          </w:tcPr>
          <w:p>
            <w:pPr>
              <w:adjustRightInd w:val="0"/>
              <w:spacing w:line="360" w:lineRule="auto"/>
              <w:jc w:val="center"/>
              <w:rPr>
                <w:rFonts w:hint="eastAsia" w:ascii="宋体" w:hAnsi="宋体" w:cs="宋体-18030"/>
                <w:kern w:val="0"/>
                <w:sz w:val="24"/>
              </w:rPr>
            </w:pPr>
            <w:r>
              <w:rPr>
                <w:rFonts w:hint="eastAsia" w:ascii="宋体" w:hAnsi="宋体"/>
                <w:sz w:val="24"/>
              </w:rPr>
              <w:t>***巡逻、交警、城管服务</w:t>
            </w:r>
          </w:p>
        </w:tc>
        <w:tc>
          <w:tcPr>
            <w:tcW w:w="2100" w:type="dxa"/>
            <w:noWrap w:val="0"/>
            <w:vAlign w:val="center"/>
          </w:tcPr>
          <w:p>
            <w:pPr>
              <w:adjustRightInd w:val="0"/>
              <w:spacing w:line="360" w:lineRule="auto"/>
              <w:jc w:val="center"/>
              <w:rPr>
                <w:rFonts w:hint="eastAsia" w:ascii="宋体" w:hAnsi="宋体" w:cs="宋体-18030"/>
                <w:kern w:val="0"/>
                <w:sz w:val="24"/>
              </w:rPr>
            </w:pPr>
            <w:r>
              <w:rPr>
                <w:rFonts w:hint="eastAsia" w:ascii="宋体" w:hAnsi="宋体" w:cs="宋体-18030"/>
                <w:kern w:val="0"/>
                <w:sz w:val="24"/>
              </w:rPr>
              <w:t>72岗</w:t>
            </w:r>
          </w:p>
        </w:tc>
        <w:tc>
          <w:tcPr>
            <w:tcW w:w="2925" w:type="dxa"/>
            <w:vMerge w:val="restart"/>
            <w:noWrap w:val="0"/>
            <w:vAlign w:val="center"/>
          </w:tcPr>
          <w:p>
            <w:pPr>
              <w:adjustRightInd w:val="0"/>
              <w:spacing w:line="360" w:lineRule="auto"/>
              <w:jc w:val="left"/>
              <w:rPr>
                <w:rFonts w:ascii="宋体" w:hAnsi="宋体" w:cs="宋体-18030"/>
                <w:b/>
                <w:bCs/>
                <w:kern w:val="0"/>
                <w:sz w:val="24"/>
              </w:rPr>
            </w:pPr>
            <w:r>
              <w:rPr>
                <w:rFonts w:hint="eastAsia" w:ascii="宋体" w:hAnsi="宋体" w:cs="宋体"/>
                <w:b/>
                <w:bCs/>
                <w:kern w:val="0"/>
                <w:sz w:val="24"/>
              </w:rPr>
              <w:t>人员要求</w:t>
            </w:r>
            <w:r>
              <w:rPr>
                <w:rFonts w:hint="eastAsia" w:ascii="宋体" w:hAnsi="宋体" w:cs="宋体"/>
                <w:b/>
                <w:bCs/>
                <w:kern w:val="0"/>
                <w:sz w:val="24"/>
                <w:u w:val="single"/>
              </w:rPr>
              <w:t>35</w:t>
            </w:r>
            <w:r>
              <w:rPr>
                <w:rFonts w:hint="eastAsia" w:ascii="宋体" w:hAnsi="宋体" w:cs="宋体"/>
                <w:b/>
                <w:bCs/>
                <w:kern w:val="0"/>
                <w:sz w:val="24"/>
              </w:rPr>
              <w:t>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8" w:type="dxa"/>
            <w:gridSpan w:val="2"/>
            <w:noWrap w:val="0"/>
            <w:vAlign w:val="center"/>
          </w:tcPr>
          <w:p>
            <w:pPr>
              <w:adjustRightInd w:val="0"/>
              <w:spacing w:line="360" w:lineRule="auto"/>
              <w:jc w:val="center"/>
              <w:rPr>
                <w:rFonts w:hint="eastAsia" w:ascii="宋体" w:hAnsi="宋体" w:cs="宋体-18030"/>
                <w:kern w:val="0"/>
                <w:sz w:val="24"/>
              </w:rPr>
            </w:pPr>
            <w:r>
              <w:rPr>
                <w:rFonts w:hint="eastAsia" w:ascii="宋体" w:hAnsi="宋体" w:cs="宋体-18030"/>
                <w:kern w:val="0"/>
                <w:sz w:val="24"/>
              </w:rPr>
              <w:t>合计</w:t>
            </w:r>
          </w:p>
        </w:tc>
        <w:tc>
          <w:tcPr>
            <w:tcW w:w="2100" w:type="dxa"/>
            <w:noWrap w:val="0"/>
            <w:vAlign w:val="center"/>
          </w:tcPr>
          <w:p>
            <w:pPr>
              <w:adjustRightInd w:val="0"/>
              <w:spacing w:line="360" w:lineRule="auto"/>
              <w:jc w:val="center"/>
              <w:rPr>
                <w:rFonts w:ascii="宋体" w:hAnsi="宋体" w:cs="宋体-18030"/>
                <w:kern w:val="0"/>
                <w:sz w:val="24"/>
              </w:rPr>
            </w:pPr>
            <w:r>
              <w:rPr>
                <w:rFonts w:hint="eastAsia" w:ascii="宋体" w:hAnsi="宋体" w:cs="宋体-18030"/>
                <w:kern w:val="0"/>
                <w:sz w:val="24"/>
              </w:rPr>
              <w:t>72岗</w:t>
            </w:r>
          </w:p>
        </w:tc>
        <w:tc>
          <w:tcPr>
            <w:tcW w:w="2925" w:type="dxa"/>
            <w:vMerge w:val="continue"/>
            <w:noWrap w:val="0"/>
            <w:vAlign w:val="center"/>
          </w:tcPr>
          <w:p>
            <w:pPr>
              <w:adjustRightInd w:val="0"/>
              <w:spacing w:line="360" w:lineRule="auto"/>
              <w:jc w:val="left"/>
              <w:rPr>
                <w:rFonts w:hint="eastAsia" w:ascii="宋体" w:hAnsi="宋体" w:cs="宋体-18030"/>
                <w:b/>
                <w:bCs/>
                <w:kern w:val="0"/>
                <w:sz w:val="24"/>
              </w:rPr>
            </w:pPr>
          </w:p>
        </w:tc>
      </w:tr>
    </w:tbl>
    <w:p>
      <w:pPr>
        <w:adjustRightInd w:val="0"/>
        <w:snapToGrid w:val="0"/>
        <w:spacing w:line="360" w:lineRule="auto"/>
        <w:ind w:firstLine="482" w:firstLineChars="200"/>
        <w:rPr>
          <w:rFonts w:hint="eastAsia" w:ascii="宋体" w:hAnsi="宋体" w:cs="宋体"/>
          <w:sz w:val="24"/>
        </w:rPr>
      </w:pPr>
      <w:r>
        <w:rPr>
          <w:rFonts w:hint="eastAsia" w:ascii="宋体" w:hAnsi="宋体" w:cs="宋体"/>
          <w:b/>
          <w:sz w:val="24"/>
        </w:rPr>
        <w:t>●</w:t>
      </w:r>
      <w:r>
        <w:rPr>
          <w:rFonts w:hint="eastAsia" w:ascii="宋体" w:hAnsi="宋体" w:cs="宋体"/>
          <w:sz w:val="24"/>
        </w:rPr>
        <w:t>2、服务外包人员须在合同签订后十个工作日内完全到位，超出时间按照违约处理，解除合同，并保留追究中标供应商责任的权利。</w:t>
      </w:r>
    </w:p>
    <w:p>
      <w:pPr>
        <w:pStyle w:val="215"/>
        <w:ind w:firstLine="723" w:firstLineChars="300"/>
        <w:rPr>
          <w:rFonts w:hint="eastAsia"/>
        </w:rPr>
      </w:pPr>
      <w:r>
        <w:rPr>
          <w:rFonts w:hint="eastAsia" w:cs="宋体"/>
          <w:b/>
          <w:szCs w:val="24"/>
          <w:lang w:val="en-US"/>
        </w:rPr>
        <w:t>3、</w:t>
      </w:r>
      <w:r>
        <w:rPr>
          <w:rFonts w:hint="eastAsia" w:cs="宋体"/>
          <w:b/>
          <w:szCs w:val="24"/>
        </w:rPr>
        <w:t>巡逻人员职责</w:t>
      </w:r>
    </w:p>
    <w:p>
      <w:pPr>
        <w:pStyle w:val="232"/>
        <w:spacing w:line="360" w:lineRule="auto"/>
        <w:ind w:firstLine="720" w:firstLineChars="300"/>
        <w:rPr>
          <w:rFonts w:hint="eastAsia" w:ascii="宋体" w:hAnsi="宋体" w:cs="宋体"/>
          <w:bCs/>
          <w:sz w:val="24"/>
          <w:szCs w:val="24"/>
        </w:rPr>
      </w:pPr>
      <w:r>
        <w:rPr>
          <w:rFonts w:hint="eastAsia" w:ascii="宋体" w:hAnsi="宋体" w:cs="宋体"/>
          <w:bCs/>
          <w:sz w:val="24"/>
          <w:szCs w:val="24"/>
        </w:rPr>
        <w:t>3.1、在采购人的指导下，开展本巡区内的巡防工作，保护人民生命财产免受不法侵害；</w:t>
      </w:r>
    </w:p>
    <w:p>
      <w:pPr>
        <w:pStyle w:val="232"/>
        <w:spacing w:line="360" w:lineRule="auto"/>
        <w:ind w:firstLine="720" w:firstLineChars="300"/>
        <w:rPr>
          <w:rFonts w:hint="eastAsia" w:ascii="宋体" w:hAnsi="宋体" w:cs="宋体"/>
          <w:bCs/>
          <w:sz w:val="24"/>
          <w:szCs w:val="24"/>
        </w:rPr>
      </w:pPr>
      <w:r>
        <w:rPr>
          <w:rFonts w:hint="eastAsia" w:ascii="宋体" w:hAnsi="宋体" w:cs="宋体"/>
          <w:bCs/>
          <w:sz w:val="24"/>
          <w:szCs w:val="24"/>
        </w:rPr>
        <w:t>3.2、协助公安机关打击各种违法犯罪活动；</w:t>
      </w:r>
    </w:p>
    <w:p>
      <w:pPr>
        <w:pStyle w:val="232"/>
        <w:spacing w:line="360" w:lineRule="auto"/>
        <w:ind w:firstLine="720" w:firstLineChars="300"/>
        <w:rPr>
          <w:rFonts w:hint="eastAsia" w:ascii="宋体" w:hAnsi="宋体" w:cs="宋体"/>
          <w:bCs/>
          <w:sz w:val="24"/>
          <w:szCs w:val="24"/>
        </w:rPr>
      </w:pPr>
      <w:r>
        <w:rPr>
          <w:rFonts w:hint="eastAsia" w:ascii="宋体" w:hAnsi="宋体" w:cs="宋体"/>
          <w:bCs/>
          <w:sz w:val="24"/>
          <w:szCs w:val="24"/>
        </w:rPr>
        <w:t>3.3、在工作中要服从采购人的指挥，注意依法办事，遵守纪律；</w:t>
      </w:r>
    </w:p>
    <w:p>
      <w:pPr>
        <w:pStyle w:val="232"/>
        <w:spacing w:line="360" w:lineRule="auto"/>
        <w:ind w:firstLine="720" w:firstLineChars="300"/>
        <w:rPr>
          <w:rFonts w:hint="eastAsia" w:ascii="宋体" w:hAnsi="宋体" w:cs="宋体"/>
          <w:bCs/>
          <w:sz w:val="24"/>
          <w:szCs w:val="24"/>
        </w:rPr>
      </w:pPr>
      <w:r>
        <w:rPr>
          <w:rFonts w:hint="eastAsia" w:ascii="宋体" w:hAnsi="宋体" w:cs="宋体"/>
          <w:bCs/>
          <w:sz w:val="24"/>
          <w:szCs w:val="24"/>
        </w:rPr>
        <w:t>3.4、要巡防任务明确，效果显著，不得超越职责从事与巡防工作无关的事情；</w:t>
      </w:r>
    </w:p>
    <w:p>
      <w:pPr>
        <w:pStyle w:val="232"/>
        <w:spacing w:line="360" w:lineRule="auto"/>
        <w:ind w:firstLine="720" w:firstLineChars="300"/>
        <w:rPr>
          <w:rFonts w:hint="eastAsia" w:ascii="宋体" w:hAnsi="宋体" w:cs="宋体"/>
          <w:sz w:val="24"/>
          <w:szCs w:val="24"/>
        </w:rPr>
      </w:pPr>
      <w:r>
        <w:rPr>
          <w:rFonts w:hint="eastAsia" w:ascii="宋体" w:hAnsi="宋体" w:cs="宋体"/>
          <w:bCs/>
          <w:sz w:val="24"/>
          <w:szCs w:val="24"/>
        </w:rPr>
        <w:t>3.4、</w:t>
      </w:r>
      <w:r>
        <w:rPr>
          <w:rFonts w:hint="eastAsia" w:ascii="宋体" w:hAnsi="宋体" w:cs="宋体"/>
          <w:sz w:val="24"/>
          <w:szCs w:val="24"/>
        </w:rPr>
        <w:t>重点区域、重点部位的安全值守：</w:t>
      </w:r>
    </w:p>
    <w:p>
      <w:pPr>
        <w:pStyle w:val="232"/>
        <w:spacing w:line="360" w:lineRule="auto"/>
        <w:ind w:firstLine="720" w:firstLineChars="300"/>
        <w:rPr>
          <w:rFonts w:hint="eastAsia" w:ascii="宋体" w:hAnsi="宋体" w:cs="宋体"/>
          <w:sz w:val="24"/>
          <w:szCs w:val="24"/>
        </w:rPr>
      </w:pPr>
      <w:r>
        <w:rPr>
          <w:rFonts w:hint="eastAsia" w:ascii="宋体" w:hAnsi="宋体" w:cs="宋体"/>
          <w:sz w:val="24"/>
          <w:szCs w:val="24"/>
        </w:rPr>
        <w:t>3.5、协助城管做好管理区域内“门前三包”责任制的落实。发现运输车辆沿街（路）抛撒、遗漏、飞扬等行为的，及时制止并报城管部门；</w:t>
      </w:r>
    </w:p>
    <w:p>
      <w:pPr>
        <w:adjustRightInd w:val="0"/>
        <w:snapToGrid w:val="0"/>
        <w:spacing w:line="360" w:lineRule="auto"/>
        <w:ind w:firstLine="720" w:firstLineChars="300"/>
        <w:rPr>
          <w:rFonts w:hint="eastAsia" w:ascii="宋体" w:hAnsi="宋体" w:cs="宋体"/>
          <w:sz w:val="24"/>
        </w:rPr>
      </w:pPr>
      <w:r>
        <w:rPr>
          <w:rFonts w:hint="eastAsia" w:ascii="宋体" w:hAnsi="宋体" w:cs="宋体"/>
          <w:sz w:val="24"/>
        </w:rPr>
        <w:t>3.6、各类流动摊点管理：出店经营；占道设摊；沿街吊挂、晾晒；擅自占用、挖掘城市道路；</w:t>
      </w:r>
    </w:p>
    <w:p>
      <w:pPr>
        <w:adjustRightInd w:val="0"/>
        <w:snapToGrid w:val="0"/>
        <w:spacing w:line="360" w:lineRule="auto"/>
        <w:ind w:firstLine="720" w:firstLineChars="300"/>
        <w:rPr>
          <w:rFonts w:hint="eastAsia" w:ascii="宋体" w:hAnsi="宋体" w:cs="宋体"/>
          <w:sz w:val="24"/>
        </w:rPr>
      </w:pPr>
      <w:r>
        <w:rPr>
          <w:rFonts w:hint="eastAsia" w:ascii="宋体" w:hAnsi="宋体" w:cs="宋体"/>
          <w:sz w:val="24"/>
        </w:rPr>
        <w:t>3.7、停车管理：人行道违法停车（含小区外部消防通道）；在城市绿地内停放机动车；不按规定地点停放非机动车；</w:t>
      </w:r>
    </w:p>
    <w:p>
      <w:pPr>
        <w:pStyle w:val="232"/>
        <w:spacing w:line="360" w:lineRule="auto"/>
        <w:ind w:firstLine="720" w:firstLineChars="300"/>
        <w:rPr>
          <w:rFonts w:hint="eastAsia" w:ascii="宋体" w:hAnsi="宋体" w:cs="宋体"/>
          <w:sz w:val="24"/>
          <w:szCs w:val="24"/>
        </w:rPr>
      </w:pPr>
      <w:r>
        <w:rPr>
          <w:rFonts w:hint="eastAsia" w:ascii="宋体" w:hAnsi="宋体" w:cs="宋体"/>
          <w:sz w:val="24"/>
          <w:szCs w:val="24"/>
        </w:rPr>
        <w:t>3.8、户外广告管理：牛皮癣；在公共场所派发印刷品广告；擅自设置临时性广告（笃牌、墙面张贴、横幅、直幅、气球、气拱门等）；走字屏、电子显示屏管理；</w:t>
      </w:r>
    </w:p>
    <w:p>
      <w:pPr>
        <w:adjustRightInd w:val="0"/>
        <w:snapToGrid w:val="0"/>
        <w:spacing w:line="360" w:lineRule="auto"/>
        <w:ind w:firstLine="720" w:firstLineChars="300"/>
        <w:rPr>
          <w:rFonts w:hint="eastAsia" w:ascii="宋体" w:hAnsi="宋体" w:cs="宋体"/>
          <w:sz w:val="24"/>
        </w:rPr>
      </w:pPr>
      <w:r>
        <w:rPr>
          <w:rFonts w:hint="eastAsia" w:ascii="宋体" w:hAnsi="宋体" w:cs="宋体"/>
          <w:sz w:val="24"/>
        </w:rPr>
        <w:t>3.9、各类流动摊点管理：出店经营；占道设摊；沿街吊挂、晾晒；擅自占用、挖掘城市道路；</w:t>
      </w:r>
    </w:p>
    <w:p>
      <w:pPr>
        <w:adjustRightInd w:val="0"/>
        <w:snapToGrid w:val="0"/>
        <w:spacing w:line="360" w:lineRule="auto"/>
        <w:ind w:firstLine="720" w:firstLineChars="300"/>
        <w:rPr>
          <w:rFonts w:hint="eastAsia" w:ascii="宋体" w:hAnsi="宋体" w:cs="宋体"/>
          <w:sz w:val="24"/>
        </w:rPr>
      </w:pPr>
      <w:r>
        <w:rPr>
          <w:rFonts w:hint="eastAsia" w:ascii="宋体" w:hAnsi="宋体" w:cs="宋体"/>
          <w:sz w:val="24"/>
        </w:rPr>
        <w:t>3.10、洁化绿化类管理：沿街商铺乱倒垃圾、污水，倾倒、堆放建筑（装修）垃圾；沿街商铺、小区物业在城市道路上放置垃圾桶（箱）；</w:t>
      </w:r>
    </w:p>
    <w:p>
      <w:pPr>
        <w:pStyle w:val="215"/>
        <w:ind w:firstLine="720" w:firstLineChars="300"/>
        <w:rPr>
          <w:rFonts w:cs="宋体"/>
          <w:szCs w:val="24"/>
          <w:lang w:val="en-US"/>
        </w:rPr>
      </w:pPr>
      <w:r>
        <w:rPr>
          <w:rFonts w:hint="eastAsia" w:cs="宋体"/>
          <w:szCs w:val="24"/>
          <w:lang w:val="en-US"/>
        </w:rPr>
        <w:t>3.11、路面交通管理</w:t>
      </w:r>
    </w:p>
    <w:p>
      <w:pPr>
        <w:pStyle w:val="215"/>
        <w:ind w:firstLine="720" w:firstLineChars="300"/>
        <w:rPr>
          <w:lang w:val="en-US"/>
        </w:rPr>
      </w:pPr>
      <w:r>
        <w:rPr>
          <w:rFonts w:hint="eastAsia" w:cs="宋体"/>
          <w:bCs/>
          <w:szCs w:val="24"/>
          <w:lang w:val="en-US"/>
        </w:rPr>
        <w:t>3.12、</w:t>
      </w:r>
      <w:r>
        <w:rPr>
          <w:rFonts w:hint="eastAsia" w:cs="宋体"/>
          <w:bCs/>
          <w:szCs w:val="24"/>
        </w:rPr>
        <w:t>接受采购人所交办的其他工作任务</w:t>
      </w:r>
    </w:p>
    <w:p>
      <w:pPr>
        <w:adjustRightInd w:val="0"/>
        <w:snapToGrid w:val="0"/>
        <w:spacing w:line="360" w:lineRule="auto"/>
        <w:ind w:firstLine="241" w:firstLineChars="100"/>
        <w:rPr>
          <w:rFonts w:hint="eastAsia" w:ascii="宋体" w:hAnsi="宋体" w:cs="宋体"/>
          <w:b/>
          <w:bCs/>
          <w:sz w:val="24"/>
        </w:rPr>
      </w:pPr>
      <w:r>
        <w:rPr>
          <w:rFonts w:hint="eastAsia" w:ascii="宋体" w:hAnsi="宋体" w:cs="宋体"/>
          <w:b/>
          <w:bCs/>
          <w:sz w:val="24"/>
        </w:rPr>
        <w:t>四、其他相关服务要求：</w:t>
      </w:r>
    </w:p>
    <w:p>
      <w:pPr>
        <w:adjustRightInd w:val="0"/>
        <w:snapToGrid w:val="0"/>
        <w:spacing w:line="360" w:lineRule="auto"/>
        <w:ind w:firstLine="480"/>
        <w:rPr>
          <w:rFonts w:hint="eastAsia" w:ascii="宋体" w:hAnsi="宋体" w:cs="宋体"/>
          <w:sz w:val="24"/>
        </w:rPr>
      </w:pPr>
      <w:r>
        <w:rPr>
          <w:rFonts w:hint="eastAsia" w:ascii="宋体" w:hAnsi="宋体" w:cs="宋体"/>
          <w:sz w:val="24"/>
        </w:rPr>
        <w:t>1、服务外包人员出现问题响应要求：服务外包期内中标单位自身出现了问题，如缺岗、离岗、与招标人工作人员发生纠纷等影响</w:t>
      </w:r>
      <w:r>
        <w:rPr>
          <w:rStyle w:val="87"/>
          <w:rFonts w:hint="eastAsia" w:ascii="宋体" w:hAnsi="宋体" w:cs="宋体"/>
          <w:sz w:val="24"/>
        </w:rPr>
        <w:t>采购人及招标人</w:t>
      </w:r>
      <w:r>
        <w:rPr>
          <w:rFonts w:hint="eastAsia" w:ascii="宋体" w:hAnsi="宋体" w:cs="宋体"/>
          <w:sz w:val="24"/>
        </w:rPr>
        <w:t>声誉的所有事件，中标单位的主要负责人应立即响应，2小时内到达现场，3小时内解决问题，现场解决不了的应采取应急措施，应立即阻止事态的发展，确保无任何影响采购人的事件发生。</w:t>
      </w:r>
    </w:p>
    <w:p>
      <w:pPr>
        <w:pStyle w:val="31"/>
        <w:ind w:firstLine="480" w:firstLineChars="200"/>
        <w:rPr>
          <w:rFonts w:hint="eastAsia" w:ascii="宋体" w:hAnsi="宋体" w:cs="宋体"/>
        </w:rPr>
      </w:pPr>
      <w:r>
        <w:rPr>
          <w:rFonts w:hint="eastAsia" w:ascii="宋体" w:hAnsi="宋体" w:cs="宋体"/>
        </w:rPr>
        <w:t>2、乙方在公司运营中发生的劳资纠纷、工伤纠纷、人身意外伤亡等事件，由乙方自行承担，如因此造成甲方被第三方索赔，甲方有权向乙方进行追偿。</w:t>
      </w:r>
    </w:p>
    <w:p>
      <w:pPr>
        <w:pStyle w:val="31"/>
        <w:ind w:firstLine="480" w:firstLineChars="200"/>
        <w:rPr>
          <w:rFonts w:hint="eastAsia" w:ascii="宋体" w:hAnsi="宋体" w:cs="宋体"/>
          <w:color w:val="FF0000"/>
        </w:rPr>
      </w:pPr>
    </w:p>
    <w:p>
      <w:pPr>
        <w:adjustRightInd w:val="0"/>
        <w:snapToGrid w:val="0"/>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bCs/>
          <w:sz w:val="24"/>
        </w:rPr>
        <w:t xml:space="preserve"> 三、售后服务要求：</w:t>
      </w:r>
    </w:p>
    <w:p>
      <w:pPr>
        <w:adjustRightInd w:val="0"/>
        <w:snapToGrid w:val="0"/>
        <w:spacing w:line="360" w:lineRule="auto"/>
        <w:ind w:firstLine="472" w:firstLineChars="196"/>
        <w:rPr>
          <w:rFonts w:hint="eastAsia" w:ascii="宋体" w:hAnsi="宋体" w:cs="宋体"/>
          <w:b/>
          <w:sz w:val="24"/>
        </w:rPr>
      </w:pPr>
      <w:r>
        <w:rPr>
          <w:rFonts w:hint="eastAsia" w:ascii="宋体" w:hAnsi="宋体" w:cs="宋体"/>
          <w:b/>
          <w:sz w:val="24"/>
        </w:rPr>
        <w:t>●1、服务期限：壹年。</w:t>
      </w:r>
    </w:p>
    <w:p>
      <w:pPr>
        <w:adjustRightInd w:val="0"/>
        <w:snapToGrid w:val="0"/>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bCs/>
          <w:sz w:val="24"/>
        </w:rPr>
        <w:t>四、考核要求及制度：</w:t>
      </w:r>
    </w:p>
    <w:p>
      <w:pPr>
        <w:numPr>
          <w:ilvl w:val="0"/>
          <w:numId w:val="15"/>
        </w:numPr>
        <w:adjustRightInd w:val="0"/>
        <w:snapToGrid w:val="0"/>
        <w:spacing w:line="360" w:lineRule="auto"/>
        <w:rPr>
          <w:rStyle w:val="87"/>
          <w:rFonts w:hint="eastAsia" w:ascii="宋体" w:hAnsi="宋体" w:cs="宋体"/>
          <w:sz w:val="24"/>
        </w:rPr>
      </w:pPr>
      <w:r>
        <w:rPr>
          <w:rFonts w:hint="eastAsia" w:ascii="宋体" w:hAnsi="宋体" w:cs="宋体"/>
          <w:sz w:val="24"/>
        </w:rPr>
        <w:t>考核要求：服务外包人员持证上岗，政治素质好、工作积极、热爱保安工作。服务外包人员的年龄不得超过35周岁，原则上为男性队员</w:t>
      </w:r>
      <w:r>
        <w:rPr>
          <w:rStyle w:val="87"/>
          <w:rFonts w:hint="eastAsia" w:ascii="宋体" w:hAnsi="宋体" w:cs="宋体"/>
          <w:sz w:val="24"/>
        </w:rPr>
        <w:t>。</w:t>
      </w:r>
    </w:p>
    <w:p>
      <w:pPr>
        <w:pStyle w:val="3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2、甲方制定考核办法，对乙方进行考核（考核办法另行商定）</w:t>
      </w:r>
    </w:p>
    <w:p>
      <w:pPr>
        <w:adjustRightInd w:val="0"/>
        <w:snapToGrid w:val="0"/>
        <w:spacing w:line="360" w:lineRule="auto"/>
        <w:ind w:firstLine="480"/>
        <w:rPr>
          <w:rFonts w:hint="eastAsia" w:ascii="宋体" w:hAnsi="宋体" w:cs="宋体"/>
          <w:b/>
          <w:sz w:val="24"/>
        </w:rPr>
      </w:pPr>
      <w:r>
        <w:rPr>
          <w:rFonts w:hint="eastAsia" w:ascii="宋体" w:hAnsi="宋体" w:cs="宋体"/>
          <w:b/>
          <w:sz w:val="24"/>
        </w:rPr>
        <w:t>●五、费用支付：</w:t>
      </w:r>
    </w:p>
    <w:p>
      <w:pPr>
        <w:adjustRightInd w:val="0"/>
        <w:snapToGrid w:val="0"/>
        <w:spacing w:line="360" w:lineRule="auto"/>
        <w:ind w:firstLine="480"/>
        <w:rPr>
          <w:rFonts w:hint="eastAsia" w:ascii="宋体" w:hAnsi="宋体" w:cs="宋体"/>
          <w:b/>
          <w:sz w:val="24"/>
        </w:rPr>
      </w:pPr>
      <w:r>
        <w:rPr>
          <w:rFonts w:hint="eastAsia" w:ascii="宋体" w:hAnsi="宋体" w:cs="宋体"/>
          <w:b/>
          <w:sz w:val="24"/>
        </w:rPr>
        <w:t>服务外包费每季度结算一次，经采购人考核合格后于下季度10日前支付上季度的服务外包费和可能产生的超时补贴。</w:t>
      </w:r>
    </w:p>
    <w:p>
      <w:pPr>
        <w:adjustRightInd w:val="0"/>
        <w:snapToGrid w:val="0"/>
        <w:spacing w:line="360" w:lineRule="auto"/>
        <w:rPr>
          <w:rFonts w:hint="eastAsia" w:ascii="宋体" w:hAnsi="宋体" w:cs="宋体"/>
          <w:b/>
          <w:sz w:val="24"/>
        </w:rPr>
      </w:pPr>
      <w:r>
        <w:rPr>
          <w:rFonts w:hint="eastAsia" w:ascii="宋体" w:hAnsi="宋体" w:cs="宋体"/>
          <w:b/>
          <w:sz w:val="24"/>
        </w:rPr>
        <w:t xml:space="preserve">    六、采购人认为必须说明的其他内容：</w:t>
      </w:r>
    </w:p>
    <w:p>
      <w:pPr>
        <w:spacing w:line="360" w:lineRule="auto"/>
        <w:ind w:firstLine="723" w:firstLineChars="300"/>
        <w:rPr>
          <w:rFonts w:hint="eastAsia"/>
        </w:rPr>
      </w:pPr>
      <w:r>
        <w:rPr>
          <w:rFonts w:hint="eastAsia" w:ascii="宋体" w:hAnsi="宋体" w:cs="宋体"/>
          <w:b/>
          <w:sz w:val="24"/>
        </w:rPr>
        <w:t xml:space="preserve">  带“●”条款为实质性条款，投标人须提供《采购需求实质性内容响应表》（格式见第五部分 投标文件格式），如有任意一条未响应或不满足，将被视为无效。</w:t>
      </w:r>
    </w:p>
    <w:p>
      <w:pPr>
        <w:spacing w:line="360" w:lineRule="auto"/>
        <w:ind w:firstLine="420" w:firstLineChars="200"/>
        <w:jc w:val="center"/>
        <w:rPr>
          <w:rFonts w:hint="eastAsia" w:ascii="宋体" w:hAnsi="宋体"/>
          <w:b/>
          <w:color w:val="000000"/>
          <w:sz w:val="32"/>
          <w:szCs w:val="32"/>
        </w:rPr>
      </w:pPr>
      <w:r>
        <w:rPr>
          <w:rFonts w:hint="eastAsia" w:ascii="宋体" w:hAnsi="宋体"/>
        </w:rPr>
        <w:br w:type="page"/>
      </w:r>
      <w:r>
        <w:rPr>
          <w:rFonts w:hint="eastAsia" w:ascii="宋体" w:hAnsi="宋体"/>
          <w:b/>
          <w:color w:val="000000"/>
          <w:sz w:val="32"/>
          <w:szCs w:val="32"/>
        </w:rPr>
        <w:t>第四部分  合同主要条款</w:t>
      </w:r>
    </w:p>
    <w:p>
      <w:pPr>
        <w:snapToGrid w:val="0"/>
        <w:spacing w:line="360" w:lineRule="auto"/>
        <w:ind w:firstLine="2570" w:firstLineChars="800"/>
        <w:rPr>
          <w:rFonts w:hint="eastAsia" w:ascii="宋体" w:hAnsi="宋体"/>
          <w:b/>
          <w:color w:val="000000"/>
          <w:sz w:val="32"/>
          <w:szCs w:val="32"/>
        </w:rPr>
      </w:pPr>
      <w:r>
        <w:rPr>
          <w:rFonts w:hint="eastAsia" w:ascii="宋体" w:hAnsi="宋体"/>
          <w:b/>
          <w:color w:val="000000"/>
          <w:sz w:val="32"/>
          <w:szCs w:val="32"/>
        </w:rPr>
        <w:t>（供参考，以最终合同为准）</w:t>
      </w:r>
    </w:p>
    <w:p>
      <w:pPr>
        <w:pStyle w:val="40"/>
        <w:snapToGrid w:val="0"/>
        <w:spacing w:line="400" w:lineRule="atLeast"/>
        <w:jc w:val="right"/>
        <w:rPr>
          <w:rFonts w:ascii="Times New Roman" w:hAnsi="Times New Roman"/>
          <w:b/>
          <w:sz w:val="28"/>
          <w:szCs w:val="28"/>
        </w:rPr>
      </w:pPr>
      <w:r>
        <w:rPr>
          <w:rFonts w:ascii="Times New Roman" w:hAnsi="Times New Roman"/>
          <w:sz w:val="24"/>
          <w:szCs w:val="24"/>
        </w:rPr>
        <w:t xml:space="preserve">合同编号：            </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 xml:space="preserve">甲方（买方）： </w:t>
      </w:r>
    </w:p>
    <w:p>
      <w:pPr>
        <w:overflowPunct w:val="0"/>
        <w:autoSpaceDE w:val="0"/>
        <w:autoSpaceDN w:val="0"/>
        <w:adjustRightInd w:val="0"/>
        <w:snapToGrid w:val="0"/>
        <w:spacing w:line="600" w:lineRule="exact"/>
        <w:ind w:firstLine="480" w:firstLineChars="200"/>
        <w:jc w:val="left"/>
        <w:textAlignment w:val="baseline"/>
        <w:rPr>
          <w:rFonts w:ascii="宋体" w:hAnsi="宋体" w:cs="宋体"/>
          <w:kern w:val="0"/>
          <w:sz w:val="24"/>
        </w:rPr>
      </w:pPr>
      <w:r>
        <w:rPr>
          <w:rFonts w:hint="eastAsia" w:ascii="宋体" w:hAnsi="宋体" w:cs="宋体"/>
          <w:kern w:val="0"/>
          <w:sz w:val="24"/>
        </w:rPr>
        <w:t>乙方（卖方）：</w:t>
      </w:r>
    </w:p>
    <w:p>
      <w:pPr>
        <w:numPr>
          <w:ilvl w:val="0"/>
          <w:numId w:val="16"/>
        </w:numPr>
        <w:overflowPunct w:val="0"/>
        <w:autoSpaceDE w:val="0"/>
        <w:autoSpaceDN w:val="0"/>
        <w:adjustRightInd w:val="0"/>
        <w:snapToGrid w:val="0"/>
        <w:spacing w:line="600" w:lineRule="exact"/>
        <w:ind w:firstLine="480" w:firstLineChars="200"/>
        <w:jc w:val="left"/>
        <w:textAlignment w:val="baseline"/>
        <w:rPr>
          <w:rFonts w:ascii="Times New Roman" w:hAnsi="Times New Roman"/>
          <w:sz w:val="24"/>
        </w:rPr>
      </w:pPr>
      <w:r>
        <w:rPr>
          <w:rFonts w:ascii="Times New Roman" w:hAnsi="Times New Roman"/>
          <w:sz w:val="24"/>
        </w:rPr>
        <w:t>乙双方根据</w:t>
      </w:r>
      <w:r>
        <w:rPr>
          <w:rFonts w:ascii="Times New Roman" w:hAnsi="Times New Roman"/>
          <w:sz w:val="24"/>
          <w:u w:val="single"/>
        </w:rPr>
        <w:t xml:space="preserve">                  </w:t>
      </w:r>
      <w:r>
        <w:rPr>
          <w:rFonts w:ascii="Times New Roman" w:hAnsi="Times New Roman"/>
          <w:sz w:val="24"/>
        </w:rPr>
        <w:t>项目（项目编号：</w:t>
      </w:r>
      <w:r>
        <w:rPr>
          <w:rFonts w:ascii="Times New Roman" w:hAnsi="Times New Roman"/>
          <w:sz w:val="24"/>
          <w:u w:val="single"/>
        </w:rPr>
        <w:t xml:space="preserve">    </w:t>
      </w:r>
      <w:r>
        <w:rPr>
          <w:rFonts w:ascii="Times New Roman" w:hAnsi="Times New Roman"/>
          <w:sz w:val="24"/>
        </w:rPr>
        <w:t>）公开招标的结果，签署本合同。</w:t>
      </w:r>
    </w:p>
    <w:p>
      <w:pPr>
        <w:pStyle w:val="2"/>
        <w:ind w:firstLine="0"/>
        <w:rPr>
          <w:rFonts w:hint="eastAsia"/>
        </w:rPr>
      </w:pPr>
      <w:r>
        <w:rPr>
          <w:rFonts w:hint="eastAsia" w:ascii="宋体" w:hAnsi="宋体" w:eastAsia="宋体" w:cs="宋体"/>
          <w:b/>
          <w:sz w:val="24"/>
          <w:szCs w:val="24"/>
        </w:rPr>
        <w:t>一、货物名称、型号、规格、配置、技术参数、数量及合同价款</w:t>
      </w:r>
    </w:p>
    <w:tbl>
      <w:tblPr>
        <w:tblStyle w:val="78"/>
        <w:tblpPr w:leftFromText="180" w:rightFromText="180" w:vertAnchor="text" w:horzAnchor="page" w:tblpXSpec="center" w:tblpY="388"/>
        <w:tblOverlap w:val="never"/>
        <w:tblW w:w="0" w:type="auto"/>
        <w:jc w:val="center"/>
        <w:tblLayout w:type="fixed"/>
        <w:tblCellMar>
          <w:top w:w="0" w:type="dxa"/>
          <w:left w:w="108" w:type="dxa"/>
          <w:bottom w:w="0" w:type="dxa"/>
          <w:right w:w="108" w:type="dxa"/>
        </w:tblCellMar>
      </w:tblPr>
      <w:tblGrid>
        <w:gridCol w:w="764"/>
        <w:gridCol w:w="1596"/>
        <w:gridCol w:w="2377"/>
        <w:gridCol w:w="1131"/>
        <w:gridCol w:w="992"/>
        <w:gridCol w:w="1477"/>
        <w:gridCol w:w="1039"/>
      </w:tblGrid>
      <w:tr>
        <w:tblPrEx>
          <w:tblCellMar>
            <w:top w:w="0" w:type="dxa"/>
            <w:left w:w="108" w:type="dxa"/>
            <w:bottom w:w="0" w:type="dxa"/>
            <w:right w:w="108" w:type="dxa"/>
          </w:tblCellMar>
        </w:tblPrEx>
        <w:trPr>
          <w:trHeight w:val="738"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adjustRightInd w:val="0"/>
              <w:spacing w:line="600" w:lineRule="exact"/>
              <w:jc w:val="center"/>
              <w:textAlignment w:val="baseline"/>
              <w:rPr>
                <w:rFonts w:ascii="宋体" w:hAnsi="宋体"/>
                <w:kern w:val="0"/>
                <w:sz w:val="24"/>
              </w:rPr>
            </w:pPr>
            <w:r>
              <w:rPr>
                <w:rFonts w:hint="eastAsia" w:ascii="宋体" w:hAnsi="宋体"/>
                <w:kern w:val="0"/>
                <w:sz w:val="24"/>
              </w:rPr>
              <w:t>序号</w:t>
            </w:r>
          </w:p>
        </w:tc>
        <w:tc>
          <w:tcPr>
            <w:tcW w:w="1596" w:type="dxa"/>
            <w:tcBorders>
              <w:top w:val="single" w:color="auto" w:sz="4" w:space="0"/>
              <w:left w:val="nil"/>
              <w:bottom w:val="single" w:color="auto" w:sz="4" w:space="0"/>
              <w:right w:val="single" w:color="auto" w:sz="4" w:space="0"/>
            </w:tcBorders>
            <w:noWrap w:val="0"/>
            <w:vAlign w:val="center"/>
          </w:tcPr>
          <w:p>
            <w:pPr>
              <w:overflowPunct w:val="0"/>
              <w:autoSpaceDE w:val="0"/>
              <w:autoSpaceDN w:val="0"/>
              <w:adjustRightInd w:val="0"/>
              <w:spacing w:line="600" w:lineRule="exact"/>
              <w:jc w:val="center"/>
              <w:textAlignment w:val="baseline"/>
              <w:rPr>
                <w:rFonts w:ascii="宋体" w:hAnsi="宋体"/>
                <w:kern w:val="0"/>
                <w:sz w:val="24"/>
              </w:rPr>
            </w:pPr>
            <w:r>
              <w:rPr>
                <w:rFonts w:hint="eastAsia" w:ascii="宋体" w:hAnsi="宋体"/>
                <w:kern w:val="0"/>
                <w:sz w:val="24"/>
              </w:rPr>
              <w:t>货物名称</w:t>
            </w:r>
          </w:p>
        </w:tc>
        <w:tc>
          <w:tcPr>
            <w:tcW w:w="2377" w:type="dxa"/>
            <w:tcBorders>
              <w:top w:val="single" w:color="auto" w:sz="4" w:space="0"/>
              <w:left w:val="nil"/>
              <w:bottom w:val="single" w:color="auto" w:sz="4" w:space="0"/>
              <w:right w:val="single" w:color="auto" w:sz="4" w:space="0"/>
            </w:tcBorders>
            <w:noWrap w:val="0"/>
            <w:vAlign w:val="center"/>
          </w:tcPr>
          <w:p>
            <w:pPr>
              <w:overflowPunct w:val="0"/>
              <w:autoSpaceDE w:val="0"/>
              <w:autoSpaceDN w:val="0"/>
              <w:adjustRightInd w:val="0"/>
              <w:spacing w:line="600" w:lineRule="exact"/>
              <w:jc w:val="center"/>
              <w:textAlignment w:val="baseline"/>
              <w:rPr>
                <w:rFonts w:ascii="宋体" w:hAnsi="宋体"/>
                <w:kern w:val="0"/>
                <w:sz w:val="24"/>
              </w:rPr>
            </w:pPr>
            <w:r>
              <w:rPr>
                <w:rFonts w:hint="eastAsia" w:ascii="宋体" w:hAnsi="宋体"/>
                <w:kern w:val="0"/>
                <w:sz w:val="24"/>
              </w:rPr>
              <w:t>型号规格配置</w:t>
            </w:r>
          </w:p>
          <w:p>
            <w:pPr>
              <w:overflowPunct w:val="0"/>
              <w:autoSpaceDE w:val="0"/>
              <w:autoSpaceDN w:val="0"/>
              <w:adjustRightInd w:val="0"/>
              <w:spacing w:line="600" w:lineRule="exact"/>
              <w:jc w:val="center"/>
              <w:textAlignment w:val="baseline"/>
              <w:rPr>
                <w:rFonts w:ascii="宋体" w:hAnsi="宋体"/>
                <w:kern w:val="0"/>
                <w:sz w:val="24"/>
              </w:rPr>
            </w:pPr>
            <w:r>
              <w:rPr>
                <w:rFonts w:hint="eastAsia" w:ascii="宋体" w:hAnsi="宋体"/>
                <w:kern w:val="0"/>
                <w:sz w:val="24"/>
              </w:rPr>
              <w:t>及技术参数</w:t>
            </w:r>
          </w:p>
        </w:tc>
        <w:tc>
          <w:tcPr>
            <w:tcW w:w="1131" w:type="dxa"/>
            <w:tcBorders>
              <w:top w:val="single" w:color="auto" w:sz="4" w:space="0"/>
              <w:left w:val="nil"/>
              <w:bottom w:val="single" w:color="auto" w:sz="4" w:space="0"/>
              <w:right w:val="single" w:color="auto" w:sz="4" w:space="0"/>
            </w:tcBorders>
            <w:noWrap w:val="0"/>
            <w:vAlign w:val="center"/>
          </w:tcPr>
          <w:p>
            <w:pPr>
              <w:overflowPunct w:val="0"/>
              <w:autoSpaceDE w:val="0"/>
              <w:autoSpaceDN w:val="0"/>
              <w:adjustRightInd w:val="0"/>
              <w:spacing w:line="600" w:lineRule="exact"/>
              <w:jc w:val="center"/>
              <w:textAlignment w:val="baseline"/>
              <w:rPr>
                <w:rFonts w:ascii="宋体" w:hAnsi="宋体"/>
                <w:kern w:val="0"/>
                <w:sz w:val="24"/>
              </w:rPr>
            </w:pPr>
            <w:r>
              <w:rPr>
                <w:rFonts w:hint="eastAsia" w:ascii="宋体" w:hAnsi="宋体"/>
                <w:kern w:val="0"/>
                <w:sz w:val="24"/>
              </w:rPr>
              <w:t>单价(元)</w:t>
            </w:r>
          </w:p>
        </w:tc>
        <w:tc>
          <w:tcPr>
            <w:tcW w:w="992" w:type="dxa"/>
            <w:tcBorders>
              <w:top w:val="single" w:color="auto" w:sz="4" w:space="0"/>
              <w:left w:val="nil"/>
              <w:bottom w:val="single" w:color="auto" w:sz="4" w:space="0"/>
              <w:right w:val="single" w:color="auto" w:sz="4" w:space="0"/>
            </w:tcBorders>
            <w:noWrap w:val="0"/>
            <w:vAlign w:val="center"/>
          </w:tcPr>
          <w:p>
            <w:pPr>
              <w:overflowPunct w:val="0"/>
              <w:autoSpaceDE w:val="0"/>
              <w:autoSpaceDN w:val="0"/>
              <w:adjustRightInd w:val="0"/>
              <w:spacing w:line="600" w:lineRule="exact"/>
              <w:jc w:val="center"/>
              <w:textAlignment w:val="baseline"/>
              <w:rPr>
                <w:rFonts w:ascii="宋体" w:hAnsi="宋体"/>
                <w:kern w:val="0"/>
                <w:sz w:val="24"/>
              </w:rPr>
            </w:pPr>
            <w:r>
              <w:rPr>
                <w:rFonts w:hint="eastAsia" w:ascii="宋体" w:hAnsi="宋体"/>
                <w:kern w:val="0"/>
                <w:sz w:val="24"/>
              </w:rPr>
              <w:t>数量（批）</w:t>
            </w:r>
          </w:p>
        </w:tc>
        <w:tc>
          <w:tcPr>
            <w:tcW w:w="1477" w:type="dxa"/>
            <w:tcBorders>
              <w:top w:val="single" w:color="auto" w:sz="4" w:space="0"/>
              <w:left w:val="nil"/>
              <w:bottom w:val="single" w:color="auto" w:sz="4" w:space="0"/>
              <w:right w:val="single" w:color="auto" w:sz="4" w:space="0"/>
            </w:tcBorders>
            <w:noWrap w:val="0"/>
            <w:vAlign w:val="center"/>
          </w:tcPr>
          <w:p>
            <w:pPr>
              <w:overflowPunct w:val="0"/>
              <w:autoSpaceDE w:val="0"/>
              <w:autoSpaceDN w:val="0"/>
              <w:adjustRightInd w:val="0"/>
              <w:spacing w:line="600" w:lineRule="exact"/>
              <w:jc w:val="center"/>
              <w:textAlignment w:val="baseline"/>
              <w:rPr>
                <w:rFonts w:ascii="宋体" w:hAnsi="宋体"/>
                <w:kern w:val="0"/>
                <w:sz w:val="24"/>
              </w:rPr>
            </w:pPr>
            <w:r>
              <w:rPr>
                <w:rFonts w:hint="eastAsia" w:ascii="宋体" w:hAnsi="宋体"/>
                <w:kern w:val="0"/>
                <w:sz w:val="24"/>
              </w:rPr>
              <w:t>合价(元)</w:t>
            </w:r>
          </w:p>
        </w:tc>
        <w:tc>
          <w:tcPr>
            <w:tcW w:w="1039" w:type="dxa"/>
            <w:tcBorders>
              <w:top w:val="single" w:color="auto" w:sz="4" w:space="0"/>
              <w:left w:val="nil"/>
              <w:bottom w:val="single" w:color="auto" w:sz="4" w:space="0"/>
              <w:right w:val="single" w:color="auto" w:sz="4" w:space="0"/>
            </w:tcBorders>
            <w:noWrap w:val="0"/>
            <w:vAlign w:val="center"/>
          </w:tcPr>
          <w:p>
            <w:pPr>
              <w:overflowPunct w:val="0"/>
              <w:autoSpaceDE w:val="0"/>
              <w:autoSpaceDN w:val="0"/>
              <w:adjustRightInd w:val="0"/>
              <w:spacing w:line="600" w:lineRule="exact"/>
              <w:jc w:val="center"/>
              <w:textAlignment w:val="baseline"/>
              <w:rPr>
                <w:rFonts w:ascii="宋体" w:hAnsi="宋体"/>
                <w:kern w:val="0"/>
                <w:sz w:val="24"/>
              </w:rPr>
            </w:pPr>
            <w:r>
              <w:rPr>
                <w:rFonts w:hint="eastAsia" w:ascii="宋体" w:hAnsi="宋体"/>
                <w:kern w:val="0"/>
                <w:sz w:val="24"/>
              </w:rPr>
              <w:t>备注</w:t>
            </w:r>
          </w:p>
        </w:tc>
      </w:tr>
      <w:tr>
        <w:tblPrEx>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sz w:val="24"/>
              </w:rPr>
            </w:pPr>
            <w:r>
              <w:rPr>
                <w:rFonts w:hint="eastAsia" w:ascii="宋体" w:hAnsi="宋体"/>
                <w:sz w:val="24"/>
              </w:rPr>
              <w:t>1</w:t>
            </w:r>
          </w:p>
        </w:tc>
        <w:tc>
          <w:tcPr>
            <w:tcW w:w="1596" w:type="dxa"/>
            <w:tcBorders>
              <w:top w:val="single" w:color="auto" w:sz="4" w:space="0"/>
              <w:left w:val="nil"/>
              <w:bottom w:val="single" w:color="auto" w:sz="4" w:space="0"/>
              <w:right w:val="single" w:color="auto" w:sz="4" w:space="0"/>
            </w:tcBorders>
            <w:noWrap w:val="0"/>
            <w:vAlign w:val="center"/>
          </w:tcPr>
          <w:p>
            <w:pPr>
              <w:overflowPunct w:val="0"/>
              <w:autoSpaceDE w:val="0"/>
              <w:autoSpaceDN w:val="0"/>
              <w:adjustRightInd w:val="0"/>
              <w:spacing w:line="600" w:lineRule="exact"/>
              <w:jc w:val="center"/>
              <w:textAlignment w:val="baseline"/>
              <w:rPr>
                <w:rFonts w:hint="eastAsia" w:ascii="宋体" w:hAnsi="宋体"/>
                <w:kern w:val="0"/>
                <w:sz w:val="24"/>
              </w:rPr>
            </w:pPr>
          </w:p>
        </w:tc>
        <w:tc>
          <w:tcPr>
            <w:tcW w:w="2377" w:type="dxa"/>
            <w:tcBorders>
              <w:top w:val="single" w:color="auto" w:sz="4" w:space="0"/>
              <w:left w:val="nil"/>
              <w:bottom w:val="single" w:color="auto" w:sz="4" w:space="0"/>
              <w:right w:val="single" w:color="auto" w:sz="4" w:space="0"/>
            </w:tcBorders>
            <w:noWrap w:val="0"/>
            <w:vAlign w:val="center"/>
          </w:tcPr>
          <w:p>
            <w:pPr>
              <w:overflowPunct w:val="0"/>
              <w:autoSpaceDE w:val="0"/>
              <w:autoSpaceDN w:val="0"/>
              <w:adjustRightInd w:val="0"/>
              <w:spacing w:line="600" w:lineRule="exact"/>
              <w:jc w:val="center"/>
              <w:textAlignment w:val="baseline"/>
              <w:rPr>
                <w:rFonts w:ascii="宋体" w:hAnsi="宋体"/>
                <w:kern w:val="0"/>
                <w:sz w:val="24"/>
              </w:rPr>
            </w:pPr>
          </w:p>
        </w:tc>
        <w:tc>
          <w:tcPr>
            <w:tcW w:w="1131" w:type="dxa"/>
            <w:tcBorders>
              <w:top w:val="single" w:color="auto" w:sz="4" w:space="0"/>
              <w:left w:val="nil"/>
              <w:bottom w:val="single" w:color="auto" w:sz="4" w:space="0"/>
              <w:right w:val="single" w:color="auto" w:sz="4" w:space="0"/>
            </w:tcBorders>
            <w:noWrap w:val="0"/>
            <w:vAlign w:val="center"/>
          </w:tcPr>
          <w:p>
            <w:pPr>
              <w:overflowPunct w:val="0"/>
              <w:autoSpaceDE w:val="0"/>
              <w:autoSpaceDN w:val="0"/>
              <w:adjustRightInd w:val="0"/>
              <w:spacing w:line="600" w:lineRule="exact"/>
              <w:textAlignment w:val="baseline"/>
              <w:rPr>
                <w:rFonts w:ascii="宋体" w:hAnsi="宋体"/>
                <w:kern w:val="0"/>
                <w:sz w:val="24"/>
              </w:rPr>
            </w:pPr>
          </w:p>
        </w:tc>
        <w:tc>
          <w:tcPr>
            <w:tcW w:w="992" w:type="dxa"/>
            <w:tcBorders>
              <w:top w:val="single" w:color="auto" w:sz="4" w:space="0"/>
              <w:left w:val="nil"/>
              <w:bottom w:val="single" w:color="auto" w:sz="4" w:space="0"/>
              <w:right w:val="single" w:color="auto" w:sz="4" w:space="0"/>
            </w:tcBorders>
            <w:noWrap w:val="0"/>
            <w:vAlign w:val="center"/>
          </w:tcPr>
          <w:p>
            <w:pPr>
              <w:overflowPunct w:val="0"/>
              <w:autoSpaceDE w:val="0"/>
              <w:autoSpaceDN w:val="0"/>
              <w:adjustRightInd w:val="0"/>
              <w:spacing w:line="600" w:lineRule="exact"/>
              <w:jc w:val="center"/>
              <w:textAlignment w:val="baseline"/>
              <w:rPr>
                <w:rFonts w:ascii="宋体" w:hAnsi="宋体"/>
                <w:kern w:val="0"/>
                <w:sz w:val="24"/>
              </w:rPr>
            </w:pPr>
          </w:p>
        </w:tc>
        <w:tc>
          <w:tcPr>
            <w:tcW w:w="1477" w:type="dxa"/>
            <w:tcBorders>
              <w:top w:val="single" w:color="auto" w:sz="4" w:space="0"/>
              <w:left w:val="nil"/>
              <w:bottom w:val="single" w:color="auto" w:sz="4" w:space="0"/>
              <w:right w:val="single" w:color="auto" w:sz="4" w:space="0"/>
            </w:tcBorders>
            <w:noWrap w:val="0"/>
            <w:vAlign w:val="center"/>
          </w:tcPr>
          <w:p>
            <w:pPr>
              <w:overflowPunct w:val="0"/>
              <w:autoSpaceDE w:val="0"/>
              <w:autoSpaceDN w:val="0"/>
              <w:adjustRightInd w:val="0"/>
              <w:spacing w:line="600" w:lineRule="exact"/>
              <w:jc w:val="center"/>
              <w:textAlignment w:val="baseline"/>
              <w:rPr>
                <w:rFonts w:ascii="宋体" w:hAnsi="宋体"/>
                <w:kern w:val="0"/>
                <w:sz w:val="24"/>
                <w:szCs w:val="22"/>
              </w:rPr>
            </w:pPr>
          </w:p>
        </w:tc>
        <w:tc>
          <w:tcPr>
            <w:tcW w:w="1039" w:type="dxa"/>
            <w:tcBorders>
              <w:top w:val="single" w:color="auto" w:sz="4" w:space="0"/>
              <w:left w:val="nil"/>
              <w:bottom w:val="single" w:color="auto" w:sz="4" w:space="0"/>
              <w:right w:val="single" w:color="auto" w:sz="4" w:space="0"/>
            </w:tcBorders>
            <w:noWrap w:val="0"/>
            <w:vAlign w:val="center"/>
          </w:tcPr>
          <w:p>
            <w:pPr>
              <w:overflowPunct w:val="0"/>
              <w:autoSpaceDE w:val="0"/>
              <w:autoSpaceDN w:val="0"/>
              <w:adjustRightInd w:val="0"/>
              <w:spacing w:line="600" w:lineRule="exact"/>
              <w:jc w:val="center"/>
              <w:textAlignment w:val="baseline"/>
              <w:rPr>
                <w:rFonts w:ascii="宋体" w:hAnsi="宋体"/>
                <w:kern w:val="0"/>
                <w:sz w:val="24"/>
              </w:rPr>
            </w:pPr>
          </w:p>
        </w:tc>
      </w:tr>
      <w:tr>
        <w:tblPrEx>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sz w:val="24"/>
              </w:rPr>
            </w:pPr>
            <w:r>
              <w:rPr>
                <w:rFonts w:hint="eastAsia" w:ascii="宋体" w:hAnsi="宋体"/>
                <w:sz w:val="24"/>
              </w:rPr>
              <w:t>2</w:t>
            </w:r>
          </w:p>
        </w:tc>
        <w:tc>
          <w:tcPr>
            <w:tcW w:w="1596" w:type="dxa"/>
            <w:tcBorders>
              <w:top w:val="single" w:color="auto" w:sz="4" w:space="0"/>
              <w:left w:val="nil"/>
              <w:bottom w:val="single" w:color="auto" w:sz="4" w:space="0"/>
              <w:right w:val="single" w:color="auto" w:sz="4" w:space="0"/>
            </w:tcBorders>
            <w:noWrap w:val="0"/>
            <w:vAlign w:val="center"/>
          </w:tcPr>
          <w:p>
            <w:pPr>
              <w:overflowPunct w:val="0"/>
              <w:autoSpaceDE w:val="0"/>
              <w:autoSpaceDN w:val="0"/>
              <w:adjustRightInd w:val="0"/>
              <w:spacing w:line="600" w:lineRule="exact"/>
              <w:jc w:val="center"/>
              <w:textAlignment w:val="baseline"/>
              <w:rPr>
                <w:rFonts w:ascii="宋体" w:hAnsi="宋体"/>
                <w:kern w:val="0"/>
                <w:sz w:val="24"/>
              </w:rPr>
            </w:pPr>
          </w:p>
        </w:tc>
        <w:tc>
          <w:tcPr>
            <w:tcW w:w="2377" w:type="dxa"/>
            <w:tcBorders>
              <w:top w:val="single" w:color="auto" w:sz="4" w:space="0"/>
              <w:left w:val="nil"/>
              <w:bottom w:val="single" w:color="auto" w:sz="4" w:space="0"/>
              <w:right w:val="single" w:color="auto" w:sz="4" w:space="0"/>
            </w:tcBorders>
            <w:noWrap w:val="0"/>
            <w:vAlign w:val="center"/>
          </w:tcPr>
          <w:p>
            <w:pPr>
              <w:overflowPunct w:val="0"/>
              <w:autoSpaceDE w:val="0"/>
              <w:autoSpaceDN w:val="0"/>
              <w:adjustRightInd w:val="0"/>
              <w:spacing w:line="600" w:lineRule="exact"/>
              <w:jc w:val="center"/>
              <w:textAlignment w:val="baseline"/>
              <w:rPr>
                <w:rFonts w:ascii="宋体" w:hAnsi="宋体"/>
                <w:kern w:val="0"/>
                <w:sz w:val="24"/>
              </w:rPr>
            </w:pPr>
          </w:p>
        </w:tc>
        <w:tc>
          <w:tcPr>
            <w:tcW w:w="1131" w:type="dxa"/>
            <w:tcBorders>
              <w:top w:val="single" w:color="auto" w:sz="4" w:space="0"/>
              <w:left w:val="nil"/>
              <w:bottom w:val="single" w:color="auto" w:sz="4" w:space="0"/>
              <w:right w:val="single" w:color="auto" w:sz="4" w:space="0"/>
            </w:tcBorders>
            <w:noWrap w:val="0"/>
            <w:vAlign w:val="center"/>
          </w:tcPr>
          <w:p>
            <w:pPr>
              <w:overflowPunct w:val="0"/>
              <w:autoSpaceDE w:val="0"/>
              <w:autoSpaceDN w:val="0"/>
              <w:adjustRightInd w:val="0"/>
              <w:spacing w:line="600" w:lineRule="exact"/>
              <w:textAlignment w:val="baseline"/>
              <w:rPr>
                <w:rFonts w:ascii="宋体" w:hAnsi="宋体"/>
                <w:kern w:val="0"/>
                <w:sz w:val="24"/>
              </w:rPr>
            </w:pPr>
          </w:p>
        </w:tc>
        <w:tc>
          <w:tcPr>
            <w:tcW w:w="992" w:type="dxa"/>
            <w:tcBorders>
              <w:top w:val="single" w:color="auto" w:sz="4" w:space="0"/>
              <w:left w:val="nil"/>
              <w:bottom w:val="single" w:color="auto" w:sz="4" w:space="0"/>
              <w:right w:val="single" w:color="auto" w:sz="4" w:space="0"/>
            </w:tcBorders>
            <w:noWrap w:val="0"/>
            <w:vAlign w:val="center"/>
          </w:tcPr>
          <w:p>
            <w:pPr>
              <w:overflowPunct w:val="0"/>
              <w:autoSpaceDE w:val="0"/>
              <w:autoSpaceDN w:val="0"/>
              <w:adjustRightInd w:val="0"/>
              <w:spacing w:line="600" w:lineRule="exact"/>
              <w:jc w:val="center"/>
              <w:textAlignment w:val="baseline"/>
              <w:rPr>
                <w:rFonts w:ascii="宋体" w:hAnsi="宋体"/>
                <w:kern w:val="0"/>
                <w:sz w:val="24"/>
              </w:rPr>
            </w:pPr>
          </w:p>
        </w:tc>
        <w:tc>
          <w:tcPr>
            <w:tcW w:w="1477" w:type="dxa"/>
            <w:tcBorders>
              <w:top w:val="single" w:color="auto" w:sz="4" w:space="0"/>
              <w:left w:val="nil"/>
              <w:bottom w:val="single" w:color="auto" w:sz="4" w:space="0"/>
              <w:right w:val="single" w:color="auto" w:sz="4" w:space="0"/>
            </w:tcBorders>
            <w:noWrap w:val="0"/>
            <w:vAlign w:val="center"/>
          </w:tcPr>
          <w:p>
            <w:pPr>
              <w:overflowPunct w:val="0"/>
              <w:autoSpaceDE w:val="0"/>
              <w:autoSpaceDN w:val="0"/>
              <w:adjustRightInd w:val="0"/>
              <w:spacing w:line="600" w:lineRule="exact"/>
              <w:jc w:val="center"/>
              <w:textAlignment w:val="baseline"/>
              <w:rPr>
                <w:rFonts w:ascii="宋体" w:hAnsi="宋体"/>
                <w:kern w:val="0"/>
                <w:sz w:val="24"/>
                <w:szCs w:val="22"/>
              </w:rPr>
            </w:pPr>
          </w:p>
        </w:tc>
        <w:tc>
          <w:tcPr>
            <w:tcW w:w="1039" w:type="dxa"/>
            <w:tcBorders>
              <w:top w:val="single" w:color="auto" w:sz="4" w:space="0"/>
              <w:left w:val="nil"/>
              <w:bottom w:val="single" w:color="auto" w:sz="4" w:space="0"/>
              <w:right w:val="single" w:color="auto" w:sz="4" w:space="0"/>
            </w:tcBorders>
            <w:noWrap w:val="0"/>
            <w:vAlign w:val="center"/>
          </w:tcPr>
          <w:p>
            <w:pPr>
              <w:overflowPunct w:val="0"/>
              <w:autoSpaceDE w:val="0"/>
              <w:autoSpaceDN w:val="0"/>
              <w:adjustRightInd w:val="0"/>
              <w:spacing w:line="600" w:lineRule="exact"/>
              <w:jc w:val="center"/>
              <w:textAlignment w:val="baseline"/>
              <w:rPr>
                <w:rFonts w:ascii="宋体" w:hAnsi="宋体"/>
                <w:kern w:val="0"/>
                <w:sz w:val="24"/>
              </w:rPr>
            </w:pPr>
          </w:p>
        </w:tc>
      </w:tr>
      <w:tr>
        <w:tblPrEx>
          <w:tblCellMar>
            <w:top w:w="0" w:type="dxa"/>
            <w:left w:w="108" w:type="dxa"/>
            <w:bottom w:w="0" w:type="dxa"/>
            <w:right w:w="108" w:type="dxa"/>
          </w:tblCellMar>
        </w:tblPrEx>
        <w:trPr>
          <w:jc w:val="center"/>
        </w:trPr>
        <w:tc>
          <w:tcPr>
            <w:tcW w:w="5868" w:type="dxa"/>
            <w:gridSpan w:val="4"/>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adjustRightInd w:val="0"/>
              <w:spacing w:line="600" w:lineRule="exact"/>
              <w:ind w:firstLine="600" w:firstLineChars="250"/>
              <w:jc w:val="center"/>
              <w:textAlignment w:val="baseline"/>
              <w:rPr>
                <w:rFonts w:ascii="宋体" w:hAnsi="宋体"/>
                <w:kern w:val="0"/>
                <w:sz w:val="24"/>
              </w:rPr>
            </w:pPr>
            <w:r>
              <w:rPr>
                <w:rFonts w:hint="eastAsia" w:ascii="宋体" w:hAnsi="宋体"/>
                <w:kern w:val="0"/>
                <w:sz w:val="24"/>
              </w:rPr>
              <w:t>合计</w:t>
            </w:r>
          </w:p>
        </w:tc>
        <w:tc>
          <w:tcPr>
            <w:tcW w:w="3508" w:type="dxa"/>
            <w:gridSpan w:val="3"/>
            <w:tcBorders>
              <w:top w:val="single" w:color="auto" w:sz="4" w:space="0"/>
              <w:left w:val="nil"/>
              <w:bottom w:val="single" w:color="auto" w:sz="4" w:space="0"/>
              <w:right w:val="single" w:color="auto" w:sz="4" w:space="0"/>
            </w:tcBorders>
            <w:noWrap w:val="0"/>
            <w:vAlign w:val="center"/>
          </w:tcPr>
          <w:p>
            <w:pPr>
              <w:overflowPunct w:val="0"/>
              <w:autoSpaceDE w:val="0"/>
              <w:autoSpaceDN w:val="0"/>
              <w:adjustRightInd w:val="0"/>
              <w:spacing w:line="600" w:lineRule="exact"/>
              <w:jc w:val="center"/>
              <w:textAlignment w:val="baseline"/>
              <w:rPr>
                <w:rFonts w:ascii="宋体" w:hAnsi="宋体"/>
                <w:kern w:val="0"/>
                <w:sz w:val="24"/>
              </w:rPr>
            </w:pPr>
            <w:r>
              <w:rPr>
                <w:rFonts w:hint="eastAsia" w:ascii="宋体" w:hAnsi="宋体"/>
                <w:kern w:val="0"/>
                <w:sz w:val="24"/>
              </w:rPr>
              <w:t xml:space="preserve"> </w:t>
            </w:r>
            <w:r>
              <w:rPr>
                <w:rFonts w:hint="eastAsia" w:ascii="宋体" w:hAnsi="宋体"/>
                <w:b/>
                <w:bCs/>
                <w:kern w:val="0"/>
                <w:sz w:val="24"/>
              </w:rPr>
              <w:t xml:space="preserve">   元</w:t>
            </w:r>
          </w:p>
        </w:tc>
      </w:tr>
      <w:tr>
        <w:tblPrEx>
          <w:tblCellMar>
            <w:top w:w="0" w:type="dxa"/>
            <w:left w:w="108" w:type="dxa"/>
            <w:bottom w:w="0" w:type="dxa"/>
            <w:right w:w="108" w:type="dxa"/>
          </w:tblCellMar>
        </w:tblPrEx>
        <w:trPr>
          <w:jc w:val="center"/>
        </w:trPr>
        <w:tc>
          <w:tcPr>
            <w:tcW w:w="9376" w:type="dxa"/>
            <w:gridSpan w:val="7"/>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adjustRightInd w:val="0"/>
              <w:spacing w:line="600" w:lineRule="exact"/>
              <w:textAlignment w:val="baseline"/>
              <w:rPr>
                <w:rFonts w:ascii="宋体" w:hAnsi="宋体"/>
                <w:kern w:val="0"/>
                <w:sz w:val="24"/>
              </w:rPr>
            </w:pPr>
            <w:r>
              <w:rPr>
                <w:rFonts w:hint="eastAsia" w:ascii="宋体" w:hAnsi="宋体"/>
                <w:kern w:val="0"/>
                <w:sz w:val="24"/>
              </w:rPr>
              <w:t xml:space="preserve">   合同价款大写：</w:t>
            </w:r>
          </w:p>
        </w:tc>
      </w:tr>
    </w:tbl>
    <w:p>
      <w:pPr>
        <w:overflowPunct w:val="0"/>
        <w:autoSpaceDE w:val="0"/>
        <w:autoSpaceDN w:val="0"/>
        <w:adjustRightInd w:val="0"/>
        <w:snapToGrid w:val="0"/>
        <w:spacing w:line="600" w:lineRule="exact"/>
        <w:jc w:val="left"/>
        <w:textAlignment w:val="baseline"/>
        <w:rPr>
          <w:rFonts w:hint="eastAsia" w:ascii="宋体" w:hAnsi="宋体" w:cs="宋体"/>
          <w:kern w:val="0"/>
          <w:sz w:val="24"/>
        </w:rPr>
      </w:pPr>
      <w:r>
        <w:rPr>
          <w:rFonts w:hint="eastAsia" w:ascii="宋体" w:hAnsi="宋体" w:cs="宋体"/>
          <w:kern w:val="0"/>
          <w:sz w:val="24"/>
        </w:rPr>
        <w:t xml:space="preserve">    说明：</w:t>
      </w:r>
    </w:p>
    <w:p>
      <w:pPr>
        <w:numPr>
          <w:ilvl w:val="0"/>
          <w:numId w:val="17"/>
        </w:numPr>
        <w:overflowPunct w:val="0"/>
        <w:autoSpaceDE w:val="0"/>
        <w:autoSpaceDN w:val="0"/>
        <w:adjustRightInd w:val="0"/>
        <w:snapToGrid w:val="0"/>
        <w:spacing w:line="600" w:lineRule="exact"/>
        <w:ind w:firstLine="480" w:firstLineChars="200"/>
        <w:textAlignment w:val="baseline"/>
        <w:rPr>
          <w:rFonts w:hint="eastAsia" w:ascii="宋体" w:hAnsi="宋体" w:cs="宋体"/>
          <w:kern w:val="0"/>
          <w:sz w:val="24"/>
        </w:rPr>
      </w:pPr>
      <w:r>
        <w:rPr>
          <w:rFonts w:hint="eastAsia" w:ascii="宋体" w:hAnsi="宋体" w:cs="宋体"/>
          <w:kern w:val="0"/>
          <w:sz w:val="24"/>
        </w:rPr>
        <w:t>货物名称、型号、规格、配置、技术参数、数量、品牌等具体以招标文件为准，若乙方“技术文件”以及“报价文件”之“分项报价表”的标准更严格的则按照更严格的标准执行。</w:t>
      </w:r>
    </w:p>
    <w:p>
      <w:pPr>
        <w:numPr>
          <w:ilvl w:val="0"/>
          <w:numId w:val="17"/>
        </w:numPr>
        <w:overflowPunct w:val="0"/>
        <w:autoSpaceDE w:val="0"/>
        <w:autoSpaceDN w:val="0"/>
        <w:adjustRightInd w:val="0"/>
        <w:snapToGrid w:val="0"/>
        <w:spacing w:line="600" w:lineRule="exact"/>
        <w:ind w:firstLine="480" w:firstLineChars="200"/>
        <w:textAlignment w:val="baseline"/>
        <w:rPr>
          <w:rFonts w:hint="eastAsia" w:ascii="宋体" w:hAnsi="宋体" w:cs="宋体"/>
          <w:kern w:val="0"/>
          <w:sz w:val="24"/>
        </w:rPr>
      </w:pPr>
      <w:r>
        <w:rPr>
          <w:rFonts w:hint="eastAsia" w:ascii="宋体" w:hAnsi="宋体" w:cs="宋体"/>
          <w:kern w:val="0"/>
          <w:sz w:val="24"/>
        </w:rPr>
        <w:t>本项目为“交钥匙”项目，采购清单中包括货物供货、安装调试、货物验收、培训、质保期内的售后服务等。投标报价应包括设备费、产品演示产生的费用、材料费、保管费、运费、安装调试费、培训、货物验收、税收、售后服务、采购需求中未提到但在实际采购和安装过程中需要配置的各种设备、材料及其他费用等须由乙方支付的所有费用，甲方不再支付乙方其他任何费用。</w:t>
      </w:r>
    </w:p>
    <w:p>
      <w:pPr>
        <w:overflowPunct w:val="0"/>
        <w:autoSpaceDE w:val="0"/>
        <w:autoSpaceDN w:val="0"/>
        <w:adjustRightInd w:val="0"/>
        <w:snapToGrid w:val="0"/>
        <w:spacing w:line="600" w:lineRule="exact"/>
        <w:textAlignment w:val="baseline"/>
        <w:rPr>
          <w:rFonts w:hint="eastAsia" w:ascii="宋体" w:hAnsi="宋体" w:cs="宋体"/>
          <w:b/>
          <w:bCs/>
          <w:kern w:val="0"/>
          <w:sz w:val="24"/>
        </w:rPr>
      </w:pPr>
      <w:r>
        <w:rPr>
          <w:rFonts w:hint="eastAsia" w:ascii="宋体" w:hAnsi="宋体" w:cs="宋体"/>
          <w:b/>
          <w:bCs/>
          <w:kern w:val="0"/>
          <w:sz w:val="24"/>
        </w:rPr>
        <w:t>二、技术资料</w:t>
      </w:r>
    </w:p>
    <w:p>
      <w:pPr>
        <w:overflowPunct w:val="0"/>
        <w:autoSpaceDE w:val="0"/>
        <w:autoSpaceDN w:val="0"/>
        <w:adjustRightInd w:val="0"/>
        <w:snapToGrid w:val="0"/>
        <w:spacing w:line="600" w:lineRule="exact"/>
        <w:ind w:firstLine="480" w:firstLineChars="200"/>
        <w:textAlignment w:val="baseline"/>
        <w:rPr>
          <w:rFonts w:hint="eastAsia" w:ascii="宋体" w:hAnsi="宋体" w:cs="宋体"/>
          <w:kern w:val="0"/>
          <w:sz w:val="24"/>
        </w:rPr>
      </w:pPr>
      <w:r>
        <w:rPr>
          <w:rFonts w:hint="eastAsia" w:ascii="宋体" w:hAnsi="宋体" w:cs="宋体"/>
          <w:kern w:val="0"/>
          <w:sz w:val="24"/>
        </w:rPr>
        <w:t xml:space="preserve"> 1.乙方应按招标文件规定的时间向甲方提供使用货物的有关技术资料。</w:t>
      </w:r>
    </w:p>
    <w:p>
      <w:pPr>
        <w:overflowPunct w:val="0"/>
        <w:autoSpaceDE w:val="0"/>
        <w:autoSpaceDN w:val="0"/>
        <w:adjustRightInd w:val="0"/>
        <w:snapToGrid w:val="0"/>
        <w:spacing w:line="600" w:lineRule="exact"/>
        <w:ind w:firstLine="480" w:firstLineChars="200"/>
        <w:textAlignment w:val="baseline"/>
        <w:rPr>
          <w:rFonts w:hint="eastAsia" w:ascii="宋体" w:hAnsi="宋体" w:cs="宋体"/>
          <w:kern w:val="0"/>
          <w:sz w:val="24"/>
        </w:rPr>
      </w:pPr>
      <w:r>
        <w:rPr>
          <w:rFonts w:hint="eastAsia" w:ascii="宋体" w:hAnsi="宋体" w:cs="宋体"/>
          <w:kern w:val="0"/>
          <w:sz w:val="24"/>
        </w:rPr>
        <w:t xml:space="preserve"> 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overflowPunct w:val="0"/>
        <w:autoSpaceDE w:val="0"/>
        <w:autoSpaceDN w:val="0"/>
        <w:adjustRightInd w:val="0"/>
        <w:snapToGrid w:val="0"/>
        <w:spacing w:line="600" w:lineRule="exact"/>
        <w:textAlignment w:val="baseline"/>
        <w:rPr>
          <w:rFonts w:hint="eastAsia" w:ascii="宋体" w:hAnsi="宋体" w:cs="宋体"/>
          <w:b/>
          <w:bCs/>
          <w:kern w:val="0"/>
          <w:sz w:val="24"/>
        </w:rPr>
      </w:pPr>
      <w:r>
        <w:rPr>
          <w:rFonts w:hint="eastAsia" w:ascii="宋体" w:hAnsi="宋体" w:cs="宋体"/>
          <w:b/>
          <w:bCs/>
          <w:kern w:val="0"/>
          <w:sz w:val="24"/>
        </w:rPr>
        <w:t>三、权利担保</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1.乙方应保证所提供的货物或其任何一部分均不会侵犯任何第三方的知识产权。</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2.乙方保证所交付的货物的所有权完全属于乙方且无任何抵押、查封等产权瑕疵。</w:t>
      </w:r>
    </w:p>
    <w:p>
      <w:pPr>
        <w:adjustRightInd w:val="0"/>
        <w:snapToGrid w:val="0"/>
        <w:spacing w:line="600" w:lineRule="exact"/>
        <w:ind w:firstLine="480" w:firstLineChars="200"/>
        <w:rPr>
          <w:rFonts w:hint="eastAsia" w:ascii="宋体" w:hAnsi="宋体" w:cs="宋体"/>
          <w:bCs/>
          <w:sz w:val="24"/>
        </w:rPr>
      </w:pPr>
      <w:r>
        <w:rPr>
          <w:rFonts w:hint="eastAsia" w:ascii="宋体" w:hAnsi="宋体" w:cs="宋体"/>
          <w:bCs/>
          <w:sz w:val="24"/>
        </w:rPr>
        <w:t>3.若违反以上约定，所有的责任与损失由乙方承担。</w:t>
      </w:r>
    </w:p>
    <w:p>
      <w:pPr>
        <w:adjustRightInd w:val="0"/>
        <w:snapToGrid w:val="0"/>
        <w:spacing w:line="600" w:lineRule="exact"/>
        <w:rPr>
          <w:rFonts w:hint="eastAsia" w:ascii="宋体" w:hAnsi="宋体" w:cs="宋体"/>
          <w:b/>
          <w:bCs/>
          <w:kern w:val="0"/>
          <w:sz w:val="24"/>
        </w:rPr>
      </w:pPr>
      <w:r>
        <w:rPr>
          <w:rFonts w:hint="eastAsia" w:ascii="宋体" w:hAnsi="宋体" w:cs="宋体"/>
          <w:b/>
          <w:bCs/>
          <w:kern w:val="0"/>
          <w:sz w:val="24"/>
        </w:rPr>
        <w:t>四、履约保证金</w:t>
      </w:r>
    </w:p>
    <w:p>
      <w:pPr>
        <w:spacing w:line="600" w:lineRule="exact"/>
        <w:ind w:firstLine="480" w:firstLineChars="200"/>
        <w:rPr>
          <w:rFonts w:hint="eastAsia" w:ascii="宋体" w:hAnsi="宋体"/>
          <w:sz w:val="24"/>
        </w:rPr>
      </w:pPr>
      <w:r>
        <w:rPr>
          <w:rFonts w:hint="eastAsia" w:ascii="宋体" w:hAnsi="宋体"/>
          <w:sz w:val="24"/>
        </w:rPr>
        <w:t xml:space="preserve"> </w:t>
      </w:r>
    </w:p>
    <w:p>
      <w:pPr>
        <w:overflowPunct w:val="0"/>
        <w:autoSpaceDE w:val="0"/>
        <w:autoSpaceDN w:val="0"/>
        <w:adjustRightInd w:val="0"/>
        <w:snapToGrid w:val="0"/>
        <w:spacing w:line="600" w:lineRule="exact"/>
        <w:jc w:val="left"/>
        <w:textAlignment w:val="baseline"/>
        <w:rPr>
          <w:rFonts w:hint="eastAsia" w:ascii="宋体" w:hAnsi="宋体" w:cs="宋体"/>
          <w:b/>
          <w:bCs/>
          <w:kern w:val="0"/>
          <w:sz w:val="24"/>
        </w:rPr>
      </w:pPr>
      <w:r>
        <w:rPr>
          <w:rFonts w:hint="eastAsia" w:ascii="宋体" w:hAnsi="宋体" w:cs="宋体"/>
          <w:b/>
          <w:bCs/>
          <w:kern w:val="0"/>
          <w:sz w:val="24"/>
        </w:rPr>
        <w:t>五、转包或分包</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 xml:space="preserve"> 1.本合同范围的货物，应由乙方直接供应，不得转让他人供应。</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 xml:space="preserve"> 2.除非得到甲方的书面同意，乙方不得将本合同范围的货物全部或部分分包给他人供应。</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 xml:space="preserve"> 3.如有转让和未经甲方同意的分包行为，甲方有权解除合同，没收履约保证金并追究乙方的违约责任。</w:t>
      </w:r>
    </w:p>
    <w:p>
      <w:pPr>
        <w:overflowPunct w:val="0"/>
        <w:autoSpaceDE w:val="0"/>
        <w:autoSpaceDN w:val="0"/>
        <w:adjustRightInd w:val="0"/>
        <w:snapToGrid w:val="0"/>
        <w:spacing w:line="600" w:lineRule="exact"/>
        <w:jc w:val="left"/>
        <w:textAlignment w:val="baseline"/>
        <w:rPr>
          <w:rFonts w:hint="eastAsia" w:ascii="宋体" w:hAnsi="宋体" w:cs="宋体"/>
          <w:kern w:val="0"/>
          <w:sz w:val="24"/>
        </w:rPr>
      </w:pPr>
      <w:r>
        <w:rPr>
          <w:rFonts w:hint="eastAsia" w:ascii="宋体" w:hAnsi="宋体" w:cs="宋体"/>
          <w:b/>
          <w:bCs/>
          <w:kern w:val="0"/>
          <w:sz w:val="24"/>
        </w:rPr>
        <w:t>六、质保期和质保金</w:t>
      </w:r>
    </w:p>
    <w:p>
      <w:pPr>
        <w:pStyle w:val="2"/>
        <w:spacing w:line="600" w:lineRule="exact"/>
        <w:ind w:firstLine="560" w:firstLineChars="200"/>
        <w:rPr>
          <w:rFonts w:hint="eastAsia"/>
        </w:rPr>
      </w:pPr>
      <w:r>
        <w:rPr>
          <w:rFonts w:hint="eastAsia"/>
        </w:rPr>
        <w:t xml:space="preserve"> </w:t>
      </w:r>
    </w:p>
    <w:p>
      <w:pPr>
        <w:overflowPunct w:val="0"/>
        <w:autoSpaceDE w:val="0"/>
        <w:autoSpaceDN w:val="0"/>
        <w:adjustRightInd w:val="0"/>
        <w:snapToGrid w:val="0"/>
        <w:spacing w:line="600" w:lineRule="exact"/>
        <w:textAlignment w:val="baseline"/>
        <w:rPr>
          <w:rFonts w:hint="eastAsia" w:ascii="宋体" w:hAnsi="宋体" w:cs="宋体"/>
          <w:b/>
          <w:bCs/>
          <w:kern w:val="0"/>
          <w:sz w:val="24"/>
        </w:rPr>
      </w:pPr>
      <w:r>
        <w:rPr>
          <w:rFonts w:hint="eastAsia" w:ascii="宋体" w:hAnsi="宋体" w:cs="宋体"/>
          <w:b/>
          <w:bCs/>
          <w:kern w:val="0"/>
          <w:sz w:val="24"/>
        </w:rPr>
        <w:t>七、交货期、交货方式、交货地点及供货要求</w:t>
      </w:r>
    </w:p>
    <w:p>
      <w:pPr>
        <w:autoSpaceDE w:val="0"/>
        <w:spacing w:line="600" w:lineRule="exact"/>
        <w:ind w:firstLine="480" w:firstLineChars="200"/>
        <w:rPr>
          <w:rFonts w:hint="eastAsia" w:ascii="宋体" w:hAnsi="宋体"/>
          <w:sz w:val="24"/>
        </w:rPr>
      </w:pPr>
      <w:r>
        <w:rPr>
          <w:rFonts w:hint="eastAsia" w:ascii="宋体" w:hAnsi="宋体" w:cs="宋体"/>
          <w:kern w:val="0"/>
          <w:sz w:val="24"/>
        </w:rPr>
        <w:t xml:space="preserve"> </w:t>
      </w:r>
    </w:p>
    <w:p>
      <w:pPr>
        <w:overflowPunct w:val="0"/>
        <w:autoSpaceDE w:val="0"/>
        <w:autoSpaceDN w:val="0"/>
        <w:adjustRightInd w:val="0"/>
        <w:snapToGrid w:val="0"/>
        <w:spacing w:line="600" w:lineRule="exact"/>
        <w:jc w:val="left"/>
        <w:textAlignment w:val="baseline"/>
        <w:rPr>
          <w:rFonts w:hint="eastAsia" w:ascii="宋体" w:hAnsi="宋体" w:cs="宋体"/>
          <w:b/>
          <w:bCs/>
          <w:kern w:val="0"/>
          <w:sz w:val="24"/>
        </w:rPr>
      </w:pPr>
      <w:r>
        <w:rPr>
          <w:rFonts w:hint="eastAsia" w:ascii="宋体" w:hAnsi="宋体" w:cs="宋体"/>
          <w:b/>
          <w:bCs/>
          <w:kern w:val="0"/>
          <w:sz w:val="24"/>
        </w:rPr>
        <w:t>八、货款支付</w:t>
      </w:r>
    </w:p>
    <w:p>
      <w:pPr>
        <w:autoSpaceDE w:val="0"/>
        <w:spacing w:line="600" w:lineRule="exact"/>
        <w:ind w:firstLine="480" w:firstLineChars="200"/>
        <w:rPr>
          <w:rFonts w:hint="eastAsia" w:ascii="宋体" w:hAnsi="宋体"/>
          <w:sz w:val="24"/>
        </w:rPr>
      </w:pPr>
      <w:r>
        <w:rPr>
          <w:rFonts w:hint="eastAsia" w:ascii="宋体" w:hAnsi="宋体"/>
          <w:sz w:val="24"/>
        </w:rPr>
        <w:t xml:space="preserve"> </w:t>
      </w:r>
    </w:p>
    <w:p>
      <w:pPr>
        <w:autoSpaceDE w:val="0"/>
        <w:spacing w:line="600" w:lineRule="exact"/>
        <w:rPr>
          <w:rFonts w:hint="eastAsia" w:ascii="宋体" w:hAnsi="宋体"/>
          <w:b/>
          <w:bCs/>
          <w:sz w:val="24"/>
        </w:rPr>
      </w:pPr>
      <w:r>
        <w:rPr>
          <w:rFonts w:hint="eastAsia" w:ascii="宋体" w:hAnsi="宋体"/>
          <w:b/>
          <w:bCs/>
          <w:sz w:val="24"/>
        </w:rPr>
        <w:t>九、税费</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本合同执行中相关的一切税费均由乙方负担。</w:t>
      </w:r>
    </w:p>
    <w:p>
      <w:pPr>
        <w:overflowPunct w:val="0"/>
        <w:autoSpaceDE w:val="0"/>
        <w:autoSpaceDN w:val="0"/>
        <w:adjustRightInd w:val="0"/>
        <w:snapToGrid w:val="0"/>
        <w:spacing w:line="600" w:lineRule="exact"/>
        <w:jc w:val="left"/>
        <w:textAlignment w:val="baseline"/>
        <w:rPr>
          <w:rFonts w:hint="eastAsia" w:ascii="宋体" w:hAnsi="宋体" w:cs="宋体"/>
          <w:kern w:val="0"/>
          <w:sz w:val="24"/>
        </w:rPr>
      </w:pPr>
      <w:r>
        <w:rPr>
          <w:rFonts w:hint="eastAsia" w:ascii="宋体" w:hAnsi="宋体" w:cs="宋体"/>
          <w:b/>
          <w:bCs/>
          <w:kern w:val="0"/>
          <w:sz w:val="24"/>
        </w:rPr>
        <w:t>十、质量保证及售后服务</w:t>
      </w:r>
    </w:p>
    <w:p>
      <w:pPr>
        <w:widowControl/>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1.乙方应按招标文件规定的货物性能、技术要求、质量标准向甲方提供未经使用的全新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2.乙方提供的货物在质保期内因货物本身的质量问题发生故障，乙方应按甲方要求予以处理，具体处理方式如下：</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⑴更换：由乙方承担所发生的全部费用。</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⑵贬值处理：由甲乙双方合议定价。</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⑶退货处理：乙方应退还甲方支付的合同款，同时应承担该货物的直接费用（运输、保险、检验、货款利息及银行手续费等）。</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3.如在质保期内发生质量问题，乙方在接到甲方通知后1小时响应，2小时内达到甲方现场，1小时内解决问题；对于现场解决不了的故障，乙方应立即提供采购人同型号、同规格的或不低于原设备性能的备用设备使用，直至故障设备修复。对无法使用的产品进行免费更换。</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4.在质保期内，乙方应兑现“投标文件”中“售后服务”的诸项相关承诺，并应对货物出现的质量及安全问题负责处理解决并承担一切费用。在质保期内乙方不得以任何理由影响用户的正常使用，乙方必须对所供产品实行终身维修。</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5.在质保期内乙方必须不得以任何理由影响用户的正常使用。乙方必须对所供产品实行终身维修，配件按市场价格收取。</w:t>
      </w:r>
    </w:p>
    <w:p>
      <w:pPr>
        <w:overflowPunct w:val="0"/>
        <w:autoSpaceDE w:val="0"/>
        <w:autoSpaceDN w:val="0"/>
        <w:adjustRightInd w:val="0"/>
        <w:snapToGrid w:val="0"/>
        <w:spacing w:line="600" w:lineRule="exact"/>
        <w:jc w:val="left"/>
        <w:textAlignment w:val="baseline"/>
        <w:rPr>
          <w:rFonts w:hint="eastAsia" w:ascii="宋体" w:hAnsi="宋体" w:cs="宋体"/>
          <w:b/>
          <w:bCs/>
          <w:kern w:val="0"/>
          <w:sz w:val="24"/>
        </w:rPr>
      </w:pPr>
      <w:r>
        <w:rPr>
          <w:rFonts w:hint="eastAsia" w:ascii="宋体" w:hAnsi="宋体" w:cs="宋体"/>
          <w:b/>
          <w:bCs/>
          <w:kern w:val="0"/>
          <w:sz w:val="24"/>
        </w:rPr>
        <w:t>十一、货物包装、发运及运输</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 xml:space="preserve"> 1.乙方应在货物发运前对其进行满足运输距离、防潮、防震、防锈和防破损装卸等要求包装，以保证货物安全运达甲方指定地点。</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 xml:space="preserve"> 2.使用说明书、质量检验证明书、随配附件和工具以及清单一并附于货物内，未提供的按乙方逾期交货处理。</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 xml:space="preserve"> 3.乙方在货物发运手续办理完毕后24小时内或货到甲方48小时前通知甲方，以准备接货。</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 xml:space="preserve"> 4.货物在交付甲方验收合格前发生的风险均由乙方负责。</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 xml:space="preserve"> 5.货物在规定的交付期限内由乙方送达甲方指定的地点安装调试，空气检测合格并经最终验收合格后视为交付，乙方同时需通知甲方货物已送达。安装调试过程中发生的事故导致人员伤亡或财物损失的责任皆由乙方承担。</w:t>
      </w:r>
    </w:p>
    <w:p>
      <w:pPr>
        <w:overflowPunct w:val="0"/>
        <w:autoSpaceDE w:val="0"/>
        <w:autoSpaceDN w:val="0"/>
        <w:adjustRightInd w:val="0"/>
        <w:snapToGrid w:val="0"/>
        <w:spacing w:line="600" w:lineRule="exact"/>
        <w:textAlignment w:val="baseline"/>
        <w:rPr>
          <w:rFonts w:hint="eastAsia" w:ascii="宋体" w:hAnsi="宋体" w:cs="宋体"/>
          <w:b/>
          <w:bCs/>
          <w:kern w:val="0"/>
          <w:sz w:val="24"/>
        </w:rPr>
      </w:pPr>
      <w:r>
        <w:rPr>
          <w:rFonts w:hint="eastAsia" w:ascii="宋体" w:hAnsi="宋体" w:cs="宋体"/>
          <w:b/>
          <w:bCs/>
          <w:kern w:val="0"/>
          <w:sz w:val="24"/>
        </w:rPr>
        <w:t>十二、调试和验收</w:t>
      </w:r>
    </w:p>
    <w:p>
      <w:pPr>
        <w:overflowPunct w:val="0"/>
        <w:autoSpaceDE w:val="0"/>
        <w:autoSpaceDN w:val="0"/>
        <w:adjustRightInd w:val="0"/>
        <w:snapToGrid w:val="0"/>
        <w:spacing w:line="600" w:lineRule="exact"/>
        <w:ind w:firstLine="482" w:firstLineChars="200"/>
        <w:textAlignment w:val="baseline"/>
        <w:rPr>
          <w:rFonts w:hint="eastAsia" w:ascii="宋体" w:hAnsi="宋体" w:cs="宋体"/>
          <w:b/>
          <w:bCs/>
          <w:kern w:val="0"/>
          <w:sz w:val="24"/>
        </w:rPr>
      </w:pPr>
      <w:r>
        <w:rPr>
          <w:rFonts w:hint="eastAsia" w:ascii="宋体" w:hAnsi="宋体" w:cs="宋体"/>
          <w:b/>
          <w:bCs/>
          <w:kern w:val="0"/>
          <w:sz w:val="24"/>
        </w:rPr>
        <w:t xml:space="preserve"> 甲方委托质检余杭分局监测中心进行验收：</w:t>
      </w:r>
    </w:p>
    <w:p>
      <w:pPr>
        <w:spacing w:line="600" w:lineRule="exact"/>
        <w:ind w:right="60" w:firstLine="480" w:firstLineChars="200"/>
        <w:rPr>
          <w:rFonts w:hint="eastAsia" w:ascii="宋体" w:hAnsi="宋体"/>
          <w:sz w:val="24"/>
        </w:rPr>
      </w:pPr>
      <w:r>
        <w:rPr>
          <w:rFonts w:hint="eastAsia" w:ascii="宋体" w:hAnsi="宋体"/>
          <w:sz w:val="24"/>
        </w:rPr>
        <w:t>1.根据余财采〔2018〕5号《关于进一步加强政府采购验收工作的意见》的通知，对于单次采购金额在三十万元以上的货物类采购项目（除国家规定应由专业机构强制检测或已聘请专业监理公司监理的采购项目），委托余杭区质量计量监测中心政府采购验收办公室进行验收。质检余杭分局监测中心对乙方提交的货物将依据招标文件、投标文件及其补充变更文件上的技术规格要求和国家有关质量标准进行验收。</w:t>
      </w:r>
    </w:p>
    <w:p>
      <w:pPr>
        <w:spacing w:line="600" w:lineRule="exact"/>
        <w:ind w:left="60" w:right="60" w:firstLine="480" w:firstLineChars="200"/>
        <w:rPr>
          <w:rFonts w:hint="eastAsia" w:ascii="宋体" w:hAnsi="宋体"/>
          <w:sz w:val="24"/>
        </w:rPr>
      </w:pPr>
      <w:r>
        <w:rPr>
          <w:rFonts w:hint="eastAsia" w:ascii="宋体" w:hAnsi="宋体"/>
          <w:sz w:val="24"/>
        </w:rPr>
        <w:t>2.经验收不合格且无法整改的，不付款不退货，所产生的所有损失由乙方承担。</w:t>
      </w:r>
    </w:p>
    <w:p>
      <w:pPr>
        <w:spacing w:line="600" w:lineRule="exact"/>
        <w:ind w:left="60" w:right="60" w:firstLine="480" w:firstLineChars="200"/>
        <w:rPr>
          <w:rFonts w:hint="eastAsia" w:ascii="宋体" w:hAnsi="宋体"/>
          <w:sz w:val="24"/>
        </w:rPr>
      </w:pPr>
      <w:r>
        <w:rPr>
          <w:rFonts w:hint="eastAsia" w:ascii="宋体" w:hAnsi="宋体"/>
          <w:sz w:val="24"/>
        </w:rPr>
        <w:t>3.货物质量验收以质检余杭分局监测中心为最终验收。</w:t>
      </w:r>
    </w:p>
    <w:p>
      <w:pPr>
        <w:overflowPunct w:val="0"/>
        <w:autoSpaceDE w:val="0"/>
        <w:autoSpaceDN w:val="0"/>
        <w:adjustRightInd w:val="0"/>
        <w:snapToGrid w:val="0"/>
        <w:spacing w:line="600" w:lineRule="exact"/>
        <w:jc w:val="left"/>
        <w:textAlignment w:val="baseline"/>
        <w:rPr>
          <w:rFonts w:hint="eastAsia" w:ascii="宋体" w:hAnsi="宋体" w:cs="宋体"/>
          <w:b/>
          <w:bCs/>
          <w:kern w:val="0"/>
          <w:sz w:val="24"/>
        </w:rPr>
      </w:pPr>
      <w:r>
        <w:rPr>
          <w:rFonts w:hint="eastAsia" w:ascii="宋体" w:hAnsi="宋体" w:cs="宋体"/>
          <w:b/>
          <w:bCs/>
          <w:kern w:val="0"/>
          <w:sz w:val="24"/>
        </w:rPr>
        <w:t>十三、违约责任</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1.甲方因自身原因无故拒收，经乙方书面通知后仍拒收货物的，每逾期一日，应按拒收货物价款银行同期贷款利息支付违约金。</w:t>
      </w:r>
    </w:p>
    <w:p>
      <w:pPr>
        <w:widowControl/>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2.乙方逾期交付货物的，乙方应按逾期交货总额每日千分之一向甲方支付违约金，违约金由甲方从待付货款中扣除。逾期超过约定日期10日不能交货的，甲方可解除本合同，并提请有关部门列入供应商黑名单；如甲方选择继续履行合同的，乙方应按本条约定支付违约金至货到指定地点且最终验收合格之日止。</w:t>
      </w:r>
    </w:p>
    <w:p>
      <w:pPr>
        <w:widowControl/>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3.乙方所交的货物品种、型号、规格、技术参数、质量不符合合同规定及招标文件规定标准的，甲方有权拒收该货物，乙方愿意更换货物但逾期交货的，按乙方逾期交货处理，由此增加的费用由乙方自行承担。乙方拒绝更换货物的，甲方可单方面解除合同，并提请有关部门列入供应商黑名单。</w:t>
      </w:r>
    </w:p>
    <w:p>
      <w:pPr>
        <w:widowControl/>
        <w:adjustRightInd w:val="0"/>
        <w:snapToGrid w:val="0"/>
        <w:spacing w:line="600" w:lineRule="exact"/>
        <w:ind w:firstLine="480" w:firstLineChars="200"/>
        <w:jc w:val="left"/>
        <w:rPr>
          <w:rFonts w:hint="eastAsia" w:ascii="宋体" w:hAnsi="宋体" w:cs="宋体"/>
          <w:kern w:val="0"/>
          <w:sz w:val="24"/>
        </w:rPr>
      </w:pPr>
      <w:r>
        <w:rPr>
          <w:rFonts w:hint="eastAsia" w:ascii="宋体" w:hAnsi="宋体" w:cs="宋体"/>
          <w:kern w:val="0"/>
          <w:sz w:val="24"/>
        </w:rPr>
        <w:t>4.甲方在使用过程中发现货物存在质量问题，乙方拒绝或逾期退换货的，乙方应按前述货物购置价四倍向甲方支付违约金，情节严重的，甲方有权提前有关部门列入供应商黑名单。</w:t>
      </w:r>
    </w:p>
    <w:p>
      <w:pPr>
        <w:widowControl/>
        <w:overflowPunct w:val="0"/>
        <w:autoSpaceDE w:val="0"/>
        <w:autoSpaceDN w:val="0"/>
        <w:adjustRightInd w:val="0"/>
        <w:snapToGrid w:val="0"/>
        <w:spacing w:line="600" w:lineRule="exact"/>
        <w:ind w:firstLine="480" w:firstLineChars="200"/>
        <w:jc w:val="left"/>
        <w:textAlignment w:val="baseline"/>
        <w:rPr>
          <w:rFonts w:ascii="宋体" w:hAnsi="宋体" w:cs="宋体"/>
          <w:kern w:val="0"/>
          <w:sz w:val="24"/>
        </w:rPr>
      </w:pPr>
      <w:r>
        <w:rPr>
          <w:rFonts w:hint="eastAsia" w:ascii="宋体" w:hAnsi="宋体" w:cs="宋体"/>
          <w:kern w:val="0"/>
          <w:sz w:val="24"/>
        </w:rPr>
        <w:t>5.乙方违反本合同和招投标文件约定的有关质量保证及售后服务等的，每发生一次，乙方应向甲方支付   元违约金。同时，甲方有权委托第三方进行维修，所产生的费用由乙方承担，且乙方不得以此为由拒绝履行后期保修义务。若因货物缺陷或乙方服务质量等问题造成甲方或任何人员人身、财产损害的，乙方应承担有关责任并作出相应赔偿。</w:t>
      </w:r>
    </w:p>
    <w:p>
      <w:pPr>
        <w:widowControl/>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6.</w:t>
      </w:r>
      <w:r>
        <w:rPr>
          <w:rFonts w:hint="eastAsia" w:ascii="宋体" w:hAnsi="宋体" w:cs="宋体"/>
          <w:bCs/>
          <w:sz w:val="24"/>
        </w:rPr>
        <w:t>货物经验收不合格、空气检测不合格或者安装成果不符合本合同及招标文件要求的，甲方有权拒绝付款及退货，要求乙方采取更换货物等整改措施，乙方应无条件进行整改，所产生的所有损失由乙方承担。乙方无法整改的，甲方有权解除合同。</w:t>
      </w:r>
    </w:p>
    <w:p>
      <w:pPr>
        <w:widowControl/>
        <w:overflowPunct w:val="0"/>
        <w:autoSpaceDE w:val="0"/>
        <w:autoSpaceDN w:val="0"/>
        <w:adjustRightInd w:val="0"/>
        <w:snapToGrid w:val="0"/>
        <w:spacing w:line="600" w:lineRule="exact"/>
        <w:ind w:firstLine="480" w:firstLineChars="200"/>
        <w:jc w:val="left"/>
        <w:textAlignment w:val="baseline"/>
        <w:rPr>
          <w:rFonts w:hint="eastAsia" w:ascii="宋体" w:hAnsi="宋体" w:cs="宋体"/>
          <w:b/>
          <w:bCs/>
          <w:kern w:val="0"/>
          <w:sz w:val="24"/>
        </w:rPr>
      </w:pPr>
      <w:r>
        <w:rPr>
          <w:rFonts w:hint="eastAsia" w:ascii="宋体" w:hAnsi="宋体" w:cs="宋体"/>
          <w:kern w:val="0"/>
          <w:sz w:val="24"/>
        </w:rPr>
        <w:t xml:space="preserve">7.乙方提前解除本合同或因乙方原因导致甲方解除合同的，没收履约保证金，乙方应向甲方支付合同总值20%的违约金，如造成甲方损失超过违约金的，超出部分由乙方继续承担赔偿责任，甲方为实现权利所支出的诉讼费、律师费等各项费用由乙方承担。 </w:t>
      </w:r>
    </w:p>
    <w:p>
      <w:pPr>
        <w:widowControl/>
        <w:overflowPunct w:val="0"/>
        <w:autoSpaceDE w:val="0"/>
        <w:autoSpaceDN w:val="0"/>
        <w:adjustRightInd w:val="0"/>
        <w:snapToGrid w:val="0"/>
        <w:spacing w:line="600" w:lineRule="exact"/>
        <w:jc w:val="left"/>
        <w:textAlignment w:val="baseline"/>
        <w:rPr>
          <w:rFonts w:hint="eastAsia" w:ascii="宋体" w:hAnsi="宋体" w:cs="宋体"/>
          <w:b/>
          <w:bCs/>
          <w:kern w:val="0"/>
          <w:sz w:val="24"/>
        </w:rPr>
      </w:pPr>
      <w:r>
        <w:rPr>
          <w:rFonts w:hint="eastAsia" w:ascii="宋体" w:hAnsi="宋体" w:cs="宋体"/>
          <w:b/>
          <w:bCs/>
          <w:kern w:val="0"/>
          <w:sz w:val="24"/>
        </w:rPr>
        <w:t>十四、不可抗力事件处理</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1.在合同有效期内，任何一方因不可抗力事件导致不能履行合同，则合同履行期可延长，其延长期与不可抗力影响期相同。</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2.不可抗力事件发生后，应立即通知对方，并寄送有关权威机构出具的证明。</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3.不可抗力事件延续120天以上，双方应通过友好协商，确定是否继续履行合同。</w:t>
      </w:r>
    </w:p>
    <w:p>
      <w:pPr>
        <w:overflowPunct w:val="0"/>
        <w:autoSpaceDE w:val="0"/>
        <w:autoSpaceDN w:val="0"/>
        <w:adjustRightInd w:val="0"/>
        <w:snapToGrid w:val="0"/>
        <w:spacing w:line="600" w:lineRule="exact"/>
        <w:jc w:val="left"/>
        <w:textAlignment w:val="baseline"/>
        <w:rPr>
          <w:rFonts w:hint="eastAsia" w:ascii="宋体" w:hAnsi="宋体" w:cs="宋体"/>
          <w:b/>
          <w:bCs/>
          <w:kern w:val="0"/>
          <w:sz w:val="24"/>
        </w:rPr>
      </w:pPr>
      <w:r>
        <w:rPr>
          <w:rFonts w:hint="eastAsia" w:ascii="宋体" w:hAnsi="宋体" w:cs="宋体"/>
          <w:b/>
          <w:bCs/>
          <w:kern w:val="0"/>
          <w:sz w:val="24"/>
        </w:rPr>
        <w:t>十五、诉讼</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双方在执行合同中所发生的一切争议，应通过协商解决。如协商不成，可向甲方所在地法院起诉。</w:t>
      </w:r>
    </w:p>
    <w:p>
      <w:pPr>
        <w:overflowPunct w:val="0"/>
        <w:autoSpaceDE w:val="0"/>
        <w:autoSpaceDN w:val="0"/>
        <w:adjustRightInd w:val="0"/>
        <w:snapToGrid w:val="0"/>
        <w:spacing w:line="600" w:lineRule="exact"/>
        <w:jc w:val="left"/>
        <w:textAlignment w:val="baseline"/>
        <w:rPr>
          <w:rFonts w:hint="eastAsia" w:ascii="宋体" w:hAnsi="宋体" w:cs="宋体"/>
          <w:b/>
          <w:bCs/>
          <w:kern w:val="0"/>
          <w:sz w:val="24"/>
        </w:rPr>
      </w:pPr>
      <w:r>
        <w:rPr>
          <w:rFonts w:hint="eastAsia" w:ascii="宋体" w:hAnsi="宋体" w:cs="宋体"/>
          <w:b/>
          <w:bCs/>
          <w:kern w:val="0"/>
          <w:sz w:val="24"/>
        </w:rPr>
        <w:t>十六、合同生效及其它</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1.招标文件、投标文件、更正公告、中标通知书、承诺函等均作为本合同组成部分，具有同等效力。</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2.合同经双方法定代表人或其授权代表签字并加盖单位公章后方可生效。</w:t>
      </w:r>
    </w:p>
    <w:p>
      <w:pPr>
        <w:widowControl/>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3.合同执行中涉及采购资金和采购内容修改或补充的，须经财政部门审批，并签书面补充协议报政府采购监督管理部门备案，作为主合同不可分割的一部分。</w:t>
      </w:r>
    </w:p>
    <w:p>
      <w:pPr>
        <w:widowControl/>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4.本合同未尽事宜，遵照《合同法》有关条文执行。</w:t>
      </w:r>
    </w:p>
    <w:p>
      <w:pPr>
        <w:widowControl/>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5.本合同一式柒份，具有同等法律效力，甲乙双方各执贰份，余杭区财政局采购监管科、验收单位各执壹份，招标代理</w:t>
      </w:r>
      <w:r>
        <w:rPr>
          <w:rFonts w:hint="eastAsia" w:hAnsi="宋体" w:cs="宋体"/>
          <w:sz w:val="24"/>
        </w:rPr>
        <w:t>公司备案壹份。</w:t>
      </w:r>
      <w:r>
        <w:rPr>
          <w:rFonts w:hint="eastAsia" w:ascii="宋体" w:hAnsi="宋体" w:cs="宋体"/>
          <w:kern w:val="0"/>
          <w:sz w:val="24"/>
        </w:rPr>
        <w:t xml:space="preserve"> </w:t>
      </w:r>
    </w:p>
    <w:p>
      <w:pPr>
        <w:spacing w:line="600" w:lineRule="exact"/>
        <w:ind w:left="-420" w:leftChars="-200" w:right="-420" w:rightChars="-200" w:firstLine="480" w:firstLineChars="200"/>
        <w:jc w:val="left"/>
        <w:rPr>
          <w:rFonts w:ascii="宋体" w:hAnsi="宋体"/>
          <w:sz w:val="24"/>
        </w:rPr>
      </w:pPr>
      <w:r>
        <w:rPr>
          <w:rFonts w:hint="eastAsia" w:ascii="宋体" w:hAnsi="宋体"/>
          <w:sz w:val="24"/>
        </w:rPr>
        <w:t xml:space="preserve">   （以下无正文）</w:t>
      </w:r>
    </w:p>
    <w:p>
      <w:pPr>
        <w:spacing w:line="312" w:lineRule="auto"/>
        <w:ind w:right="-420" w:rightChars="-200"/>
        <w:jc w:val="left"/>
        <w:rPr>
          <w:rFonts w:hint="eastAsia" w:ascii="宋体" w:hAnsi="宋体"/>
          <w:szCs w:val="21"/>
        </w:rPr>
      </w:pPr>
      <w:r>
        <w:rPr>
          <w:rFonts w:hint="eastAsia" w:ascii="宋体" w:hAnsi="宋体"/>
          <w:sz w:val="24"/>
        </w:rPr>
        <w:t xml:space="preserve">甲方（盖章）：                     </w:t>
      </w:r>
      <w:r>
        <w:rPr>
          <w:rFonts w:hint="eastAsia" w:ascii="宋体" w:hAnsi="宋体"/>
          <w:szCs w:val="21"/>
        </w:rPr>
        <w:t xml:space="preserve">      </w:t>
      </w:r>
      <w:r>
        <w:rPr>
          <w:rFonts w:hint="eastAsia" w:ascii="宋体" w:hAnsi="宋体"/>
          <w:sz w:val="24"/>
        </w:rPr>
        <w:t>乙方（盖章）：</w:t>
      </w:r>
    </w:p>
    <w:p>
      <w:pPr>
        <w:spacing w:line="312" w:lineRule="auto"/>
        <w:ind w:left="-420" w:leftChars="-200" w:right="-420" w:rightChars="-200" w:firstLine="480" w:firstLineChars="200"/>
        <w:rPr>
          <w:rFonts w:hint="eastAsia" w:ascii="宋体" w:hAnsi="宋体"/>
          <w:sz w:val="24"/>
        </w:rPr>
      </w:pPr>
      <w:r>
        <w:rPr>
          <w:rFonts w:hint="eastAsia" w:ascii="宋体" w:hAnsi="宋体"/>
          <w:sz w:val="24"/>
        </w:rPr>
        <w:t>法定代表人：                            法定代表人：</w:t>
      </w:r>
    </w:p>
    <w:p>
      <w:pPr>
        <w:spacing w:line="312" w:lineRule="auto"/>
        <w:ind w:left="-420" w:leftChars="-200" w:right="-420" w:rightChars="-200" w:firstLine="480" w:firstLineChars="200"/>
        <w:jc w:val="left"/>
        <w:rPr>
          <w:rFonts w:hint="eastAsia" w:ascii="宋体" w:hAnsi="宋体"/>
          <w:sz w:val="24"/>
        </w:rPr>
      </w:pPr>
      <w:r>
        <w:rPr>
          <w:rFonts w:hint="eastAsia" w:ascii="宋体" w:hAnsi="宋体"/>
          <w:sz w:val="24"/>
        </w:rPr>
        <w:t>或授权代表（签字）：                    或授权代表（签字）：</w:t>
      </w:r>
    </w:p>
    <w:p>
      <w:pPr>
        <w:spacing w:line="312" w:lineRule="auto"/>
        <w:ind w:left="-420" w:leftChars="-200" w:right="-420" w:rightChars="-200" w:firstLine="480" w:firstLineChars="200"/>
        <w:jc w:val="left"/>
        <w:rPr>
          <w:rFonts w:hint="eastAsia" w:ascii="宋体" w:hAnsi="宋体"/>
          <w:sz w:val="24"/>
        </w:rPr>
      </w:pPr>
      <w:r>
        <w:rPr>
          <w:rFonts w:hint="eastAsia" w:ascii="宋体" w:hAnsi="宋体"/>
          <w:sz w:val="24"/>
        </w:rPr>
        <w:t>地址：                                  地址：</w:t>
      </w:r>
    </w:p>
    <w:p>
      <w:pPr>
        <w:spacing w:line="312" w:lineRule="auto"/>
        <w:ind w:left="-420" w:leftChars="-200" w:right="-420" w:rightChars="-200" w:firstLine="480" w:firstLineChars="200"/>
        <w:jc w:val="left"/>
        <w:rPr>
          <w:rFonts w:hint="eastAsia" w:ascii="宋体" w:hAnsi="宋体"/>
          <w:sz w:val="24"/>
        </w:rPr>
      </w:pPr>
      <w:r>
        <w:rPr>
          <w:rFonts w:hint="eastAsia" w:ascii="宋体" w:hAnsi="宋体"/>
          <w:sz w:val="24"/>
        </w:rPr>
        <w:t>电话：                                  电话：</w:t>
      </w:r>
    </w:p>
    <w:p>
      <w:pPr>
        <w:spacing w:line="312" w:lineRule="auto"/>
        <w:ind w:left="-420" w:leftChars="-200" w:right="-420" w:rightChars="-200" w:firstLine="480" w:firstLineChars="200"/>
        <w:jc w:val="left"/>
        <w:rPr>
          <w:rFonts w:hint="eastAsia" w:ascii="宋体" w:hAnsi="宋体"/>
          <w:sz w:val="24"/>
        </w:rPr>
      </w:pPr>
      <w:r>
        <w:rPr>
          <w:rFonts w:hint="eastAsia" w:ascii="宋体" w:hAnsi="宋体"/>
          <w:sz w:val="24"/>
        </w:rPr>
        <w:t>传真：                                  传真：</w:t>
      </w:r>
    </w:p>
    <w:p>
      <w:pPr>
        <w:spacing w:line="312" w:lineRule="auto"/>
        <w:ind w:left="-420" w:leftChars="-200" w:right="-420" w:rightChars="-200" w:firstLine="480" w:firstLineChars="200"/>
        <w:jc w:val="left"/>
        <w:rPr>
          <w:rFonts w:hint="eastAsia" w:ascii="宋体" w:hAnsi="宋体"/>
          <w:sz w:val="24"/>
        </w:rPr>
      </w:pPr>
      <w:r>
        <w:rPr>
          <w:rFonts w:hint="eastAsia" w:ascii="宋体" w:hAnsi="宋体"/>
          <w:sz w:val="24"/>
        </w:rPr>
        <w:t>开户银行：                              开户银行：</w:t>
      </w:r>
    </w:p>
    <w:p>
      <w:pPr>
        <w:spacing w:line="312" w:lineRule="auto"/>
        <w:ind w:left="-420" w:leftChars="-200" w:right="-420" w:rightChars="-200" w:firstLine="480" w:firstLineChars="200"/>
        <w:jc w:val="left"/>
        <w:rPr>
          <w:rFonts w:hint="eastAsia" w:ascii="宋体" w:hAnsi="宋体"/>
          <w:szCs w:val="21"/>
        </w:rPr>
      </w:pPr>
      <w:r>
        <w:rPr>
          <w:rFonts w:hint="eastAsia" w:ascii="宋体" w:hAnsi="宋体"/>
          <w:sz w:val="24"/>
        </w:rPr>
        <w:t>帐号：                                  帐号：</w:t>
      </w:r>
    </w:p>
    <w:p>
      <w:pPr>
        <w:spacing w:line="312" w:lineRule="auto"/>
        <w:ind w:right="120" w:firstLine="480" w:firstLineChars="200"/>
        <w:rPr>
          <w:rFonts w:hint="eastAsia" w:ascii="宋体" w:hAnsi="宋体"/>
          <w:sz w:val="24"/>
        </w:rPr>
      </w:pPr>
      <w:r>
        <w:rPr>
          <w:rFonts w:hint="eastAsia" w:ascii="宋体" w:hAnsi="宋体" w:cs="宋体"/>
          <w:kern w:val="0"/>
          <w:sz w:val="24"/>
        </w:rPr>
        <w:t xml:space="preserve"> </w:t>
      </w:r>
      <w:r>
        <w:rPr>
          <w:rFonts w:hint="eastAsia" w:ascii="宋体" w:hAnsi="宋体"/>
          <w:sz w:val="24"/>
        </w:rPr>
        <w:t xml:space="preserve">                                   签约时间： 2020年   月   日</w:t>
      </w:r>
    </w:p>
    <w:p>
      <w:pPr>
        <w:spacing w:line="312" w:lineRule="auto"/>
        <w:ind w:firstLine="480" w:firstLineChars="200"/>
        <w:jc w:val="center"/>
        <w:rPr>
          <w:rFonts w:ascii="Times New Roman" w:hAnsi="Times New Roman"/>
          <w:sz w:val="24"/>
        </w:rPr>
      </w:pPr>
      <w:r>
        <w:rPr>
          <w:rFonts w:hint="eastAsia" w:ascii="宋体" w:hAnsi="宋体"/>
          <w:sz w:val="24"/>
        </w:rPr>
        <w:t xml:space="preserve">           签约地点：     </w:t>
      </w:r>
      <w:r>
        <w:rPr>
          <w:rFonts w:ascii="Times New Roman" w:hAnsi="Times New Roman"/>
          <w:sz w:val="24"/>
        </w:rPr>
        <w:t xml:space="preserve">                 </w:t>
      </w:r>
    </w:p>
    <w:p>
      <w:pPr>
        <w:numPr>
          <w:ilvl w:val="0"/>
          <w:numId w:val="18"/>
        </w:numPr>
        <w:spacing w:line="312" w:lineRule="auto"/>
        <w:jc w:val="center"/>
        <w:rPr>
          <w:rFonts w:hint="eastAsia" w:ascii="Times New Roman" w:hAnsi="Times New Roman"/>
          <w:sz w:val="24"/>
        </w:rPr>
      </w:pPr>
      <w:bookmarkStart w:id="136" w:name="_Toc350327365"/>
      <w:bookmarkStart w:id="137" w:name="_Toc326765771"/>
      <w:bookmarkStart w:id="138" w:name="_Toc328381300"/>
      <w:bookmarkStart w:id="139" w:name="_Toc339872468"/>
      <w:bookmarkStart w:id="140" w:name="_Toc349721554"/>
      <w:r>
        <w:rPr>
          <w:rFonts w:ascii="Times New Roman" w:hAnsi="Times New Roman"/>
          <w:sz w:val="24"/>
        </w:rPr>
        <w:t>此仅为合同书样本，中标单位需根据实际情况和采购人签订相应的合同！</w:t>
      </w:r>
      <w:bookmarkEnd w:id="136"/>
      <w:bookmarkEnd w:id="137"/>
      <w:bookmarkEnd w:id="138"/>
      <w:bookmarkEnd w:id="139"/>
      <w:bookmarkEnd w:id="140"/>
    </w:p>
    <w:p>
      <w:pPr>
        <w:spacing w:line="312" w:lineRule="auto"/>
        <w:rPr>
          <w:rFonts w:hint="eastAsia" w:ascii="Times New Roman" w:hAnsi="Times New Roman"/>
          <w:sz w:val="24"/>
        </w:rPr>
      </w:pPr>
    </w:p>
    <w:p>
      <w:pPr>
        <w:spacing w:line="312" w:lineRule="auto"/>
        <w:rPr>
          <w:rFonts w:hint="eastAsia" w:ascii="Times New Roman" w:hAnsi="Times New Roman"/>
          <w:sz w:val="24"/>
        </w:rPr>
      </w:pPr>
    </w:p>
    <w:p>
      <w:pPr>
        <w:spacing w:line="312" w:lineRule="auto"/>
        <w:rPr>
          <w:rFonts w:hint="eastAsia" w:ascii="Times New Roman" w:hAnsi="Times New Roman"/>
          <w:sz w:val="24"/>
        </w:rPr>
      </w:pPr>
    </w:p>
    <w:p>
      <w:pPr>
        <w:snapToGrid w:val="0"/>
        <w:spacing w:line="600" w:lineRule="exact"/>
        <w:jc w:val="center"/>
        <w:rPr>
          <w:rFonts w:hint="eastAsia" w:ascii="宋体" w:hAnsi="宋体" w:cs="宋体"/>
          <w:b/>
          <w:bCs/>
          <w:color w:val="000000"/>
          <w:sz w:val="28"/>
          <w:szCs w:val="28"/>
        </w:rPr>
      </w:pPr>
    </w:p>
    <w:p>
      <w:pPr>
        <w:snapToGrid w:val="0"/>
        <w:spacing w:line="600" w:lineRule="exact"/>
        <w:jc w:val="center"/>
        <w:rPr>
          <w:rFonts w:hint="eastAsia" w:ascii="宋体" w:hAnsi="宋体" w:cs="宋体"/>
          <w:b/>
          <w:bCs/>
          <w:color w:val="000000"/>
          <w:sz w:val="28"/>
          <w:szCs w:val="28"/>
        </w:rPr>
      </w:pPr>
      <w:r>
        <w:rPr>
          <w:rFonts w:hint="eastAsia" w:ascii="宋体" w:hAnsi="宋体" w:cs="宋体"/>
          <w:b/>
          <w:bCs/>
          <w:color w:val="000000"/>
          <w:sz w:val="28"/>
          <w:szCs w:val="28"/>
        </w:rPr>
        <w:t>第五部分  应提交的有关格式范例</w:t>
      </w:r>
    </w:p>
    <w:p>
      <w:pPr>
        <w:pStyle w:val="2"/>
        <w:rPr>
          <w:rFonts w:hint="eastAsia"/>
        </w:rPr>
      </w:pPr>
    </w:p>
    <w:p>
      <w:pPr>
        <w:shd w:val="clear" w:color="auto" w:fill="FFFFFF"/>
        <w:snapToGrid w:val="0"/>
        <w:spacing w:line="600" w:lineRule="exact"/>
        <w:rPr>
          <w:rFonts w:hint="eastAsia" w:ascii="宋体" w:hAnsi="宋体" w:cs="宋体"/>
          <w:b/>
          <w:color w:val="000000"/>
          <w:sz w:val="24"/>
        </w:rPr>
      </w:pPr>
      <w:r>
        <w:rPr>
          <w:rFonts w:hint="eastAsia" w:ascii="宋体" w:hAnsi="宋体" w:cs="宋体"/>
          <w:b/>
          <w:bCs/>
          <w:color w:val="000000"/>
          <w:sz w:val="24"/>
        </w:rPr>
        <w:t> </w:t>
      </w:r>
      <w:r>
        <w:rPr>
          <w:rFonts w:hint="eastAsia" w:ascii="宋体" w:hAnsi="宋体" w:cs="宋体"/>
          <w:b/>
          <w:color w:val="000000"/>
          <w:sz w:val="24"/>
        </w:rPr>
        <w:t>一、投标人提交投标文件须知：</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2、所附表格中要求回答的全部问题和/或信息都必须正面回答。</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3、本声明书的签字人应保证全部声明和问题的回答是真实的和准确的。</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4、评标委员会将应用投标人提交的资料作出自己的判断。</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5、投标人提交的材料将在一定期限内被保密保存，但不退还。</w:t>
      </w:r>
    </w:p>
    <w:p>
      <w:pPr>
        <w:snapToGrid w:val="0"/>
        <w:spacing w:line="600" w:lineRule="exact"/>
        <w:ind w:firstLine="480" w:firstLineChars="200"/>
        <w:rPr>
          <w:rFonts w:hint="eastAsia" w:ascii="宋体" w:hAnsi="宋体" w:cs="宋体"/>
          <w:color w:val="000000"/>
          <w:sz w:val="24"/>
          <w:lang w:val="zh-CN"/>
        </w:rPr>
      </w:pPr>
      <w:r>
        <w:rPr>
          <w:rFonts w:hint="eastAsia" w:ascii="宋体" w:hAnsi="宋体" w:cs="宋体"/>
          <w:color w:val="000000"/>
          <w:sz w:val="24"/>
        </w:rPr>
        <w:t>6、全部文件应按投标人须知中规定的语言和份数提交。投标文件组成漏项或未按规定的格式编制，内容不全或内容字迹模糊辨认不清的情况，</w:t>
      </w:r>
      <w:r>
        <w:rPr>
          <w:rFonts w:hint="eastAsia" w:ascii="宋体" w:hAnsi="宋体" w:cs="宋体"/>
          <w:b/>
          <w:color w:val="000000"/>
          <w:sz w:val="24"/>
        </w:rPr>
        <w:t>将有可能被评标委员会认定为投标无效。</w:t>
      </w: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rPr>
          <w:rFonts w:hint="eastAsia" w:ascii="宋体" w:hAnsi="宋体" w:cs="宋体"/>
          <w:color w:val="000000"/>
          <w:sz w:val="24"/>
        </w:rPr>
      </w:pPr>
    </w:p>
    <w:p>
      <w:pPr>
        <w:snapToGrid w:val="0"/>
        <w:spacing w:line="600" w:lineRule="exact"/>
        <w:jc w:val="center"/>
        <w:rPr>
          <w:rFonts w:hint="eastAsia" w:ascii="宋体" w:hAnsi="宋体" w:cs="宋体"/>
          <w:b/>
          <w:bCs/>
          <w:color w:val="000000"/>
          <w:sz w:val="28"/>
          <w:szCs w:val="28"/>
        </w:rPr>
      </w:pPr>
      <w:r>
        <w:rPr>
          <w:rFonts w:hint="eastAsia" w:ascii="宋体" w:hAnsi="宋体" w:cs="宋体"/>
          <w:b/>
          <w:bCs/>
          <w:color w:val="000000"/>
          <w:sz w:val="28"/>
          <w:szCs w:val="28"/>
        </w:rPr>
        <w:t>资格文件</w:t>
      </w:r>
    </w:p>
    <w:p>
      <w:pPr>
        <w:shd w:val="clear" w:color="auto" w:fill="FFFFFF"/>
        <w:snapToGrid w:val="0"/>
        <w:spacing w:line="600" w:lineRule="exact"/>
        <w:jc w:val="center"/>
        <w:rPr>
          <w:rFonts w:hint="eastAsia" w:ascii="宋体" w:hAnsi="宋体" w:cs="宋体"/>
          <w:b/>
          <w:bCs/>
          <w:color w:val="000000"/>
          <w:kern w:val="0"/>
          <w:sz w:val="24"/>
        </w:rPr>
      </w:pPr>
      <w:r>
        <w:rPr>
          <w:rFonts w:hint="eastAsia" w:ascii="宋体" w:hAnsi="宋体" w:cs="宋体"/>
          <w:b/>
          <w:bCs/>
          <w:color w:val="000000"/>
          <w:kern w:val="0"/>
          <w:sz w:val="24"/>
        </w:rPr>
        <w:t>目录</w:t>
      </w:r>
    </w:p>
    <w:p>
      <w:pPr>
        <w:shd w:val="clear" w:color="auto" w:fill="FFFFFF"/>
        <w:snapToGrid w:val="0"/>
        <w:spacing w:line="600" w:lineRule="exact"/>
        <w:rPr>
          <w:rFonts w:hint="eastAsia" w:ascii="宋体" w:hAnsi="宋体" w:cs="宋体"/>
          <w:color w:val="000000"/>
          <w:kern w:val="0"/>
          <w:sz w:val="24"/>
        </w:rPr>
      </w:pPr>
      <w:bookmarkStart w:id="141" w:name="_Hlk33176655"/>
      <w:r>
        <w:rPr>
          <w:rFonts w:hint="eastAsia" w:ascii="宋体" w:hAnsi="宋体" w:cs="宋体"/>
          <w:color w:val="000000"/>
          <w:kern w:val="0"/>
          <w:sz w:val="24"/>
        </w:rPr>
        <w:t>（1）营业执照…………………………………………………………………………（页码）</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rPr>
        <w:t>（2）最近一年度财务报表……………………………………………………………（页码）</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rPr>
        <w:t>（3）具有履行合同所必需的场地、设备和专业技术能力的承诺函………………（页码）</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rPr>
        <w:t>（4）依法缴纳税收和社会保障资金的承诺函………………………………………（页码）</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rPr>
        <w:t>（5）参加政府采购活动前3年内在经营活动中没有重大违法记录的声明函……（页码）</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rPr>
        <w:t>（6）单位负责人为同一人或者存在直接控股、管理关系的不同供应商，不得参加同一合同项下的政府采购活动承诺函……………………………………………………（页码）</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rPr>
        <w:t>（7）投标供应商没有失信记录承诺函………………………………………………（页码）</w:t>
      </w:r>
    </w:p>
    <w:bookmarkEnd w:id="141"/>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napToGrid w:val="0"/>
        <w:spacing w:line="600" w:lineRule="exact"/>
        <w:jc w:val="center"/>
        <w:rPr>
          <w:rFonts w:hint="eastAsia" w:ascii="宋体" w:hAnsi="宋体" w:cs="宋体"/>
          <w:b/>
          <w:bCs/>
          <w:color w:val="000000"/>
          <w:sz w:val="28"/>
          <w:szCs w:val="28"/>
        </w:rPr>
        <w:sectPr>
          <w:headerReference r:id="rId3" w:type="default"/>
          <w:footerReference r:id="rId4" w:type="default"/>
          <w:pgSz w:w="11906" w:h="16838"/>
          <w:pgMar w:top="993" w:right="1474" w:bottom="1134" w:left="1474" w:header="851" w:footer="641" w:gutter="0"/>
          <w:cols w:space="720" w:num="1"/>
          <w:docGrid w:type="lines" w:linePitch="315" w:charSpace="0"/>
        </w:sectPr>
      </w:pPr>
      <w:bookmarkStart w:id="142" w:name="_Toc27119252"/>
      <w:bookmarkStart w:id="143" w:name="_Toc27479"/>
      <w:bookmarkStart w:id="144" w:name="_Toc21301"/>
      <w:bookmarkStart w:id="145" w:name="_Toc26100"/>
      <w:bookmarkStart w:id="146" w:name="_Toc5464"/>
      <w:bookmarkStart w:id="147" w:name="_Toc20141"/>
      <w:bookmarkStart w:id="148" w:name="_Toc20581"/>
      <w:bookmarkStart w:id="149" w:name="_Toc5698"/>
      <w:bookmarkStart w:id="150" w:name="_Toc14043"/>
      <w:bookmarkStart w:id="151" w:name="_Toc6616"/>
      <w:bookmarkStart w:id="152" w:name="_Toc14356"/>
      <w:bookmarkStart w:id="153" w:name="_Toc33194404"/>
    </w:p>
    <w:p>
      <w:pPr>
        <w:snapToGrid w:val="0"/>
        <w:spacing w:line="600" w:lineRule="exact"/>
        <w:jc w:val="center"/>
        <w:rPr>
          <w:rFonts w:hint="eastAsia" w:ascii="宋体" w:hAnsi="宋体" w:cs="宋体"/>
          <w:b/>
          <w:bCs/>
          <w:color w:val="000000"/>
          <w:sz w:val="28"/>
          <w:szCs w:val="28"/>
        </w:rPr>
      </w:pPr>
      <w:r>
        <w:rPr>
          <w:rFonts w:hint="eastAsia" w:ascii="宋体" w:hAnsi="宋体" w:cs="宋体"/>
          <w:b/>
          <w:bCs/>
          <w:color w:val="000000"/>
          <w:sz w:val="28"/>
          <w:szCs w:val="28"/>
        </w:rPr>
        <w:t>一、营业执照</w:t>
      </w:r>
      <w:bookmarkEnd w:id="142"/>
      <w:bookmarkEnd w:id="143"/>
      <w:bookmarkEnd w:id="144"/>
      <w:bookmarkEnd w:id="145"/>
      <w:bookmarkEnd w:id="146"/>
      <w:bookmarkEnd w:id="147"/>
      <w:bookmarkEnd w:id="148"/>
      <w:bookmarkEnd w:id="149"/>
      <w:bookmarkEnd w:id="150"/>
      <w:bookmarkEnd w:id="151"/>
      <w:bookmarkEnd w:id="152"/>
      <w:r>
        <w:rPr>
          <w:rFonts w:hint="eastAsia" w:ascii="宋体" w:hAnsi="宋体" w:cs="宋体"/>
          <w:b/>
          <w:bCs/>
          <w:color w:val="000000"/>
          <w:sz w:val="28"/>
          <w:szCs w:val="28"/>
        </w:rPr>
        <w:t>（复印件）</w:t>
      </w:r>
      <w:bookmarkEnd w:id="153"/>
    </w:p>
    <w:p>
      <w:pPr>
        <w:snapToGrid w:val="0"/>
        <w:spacing w:line="600" w:lineRule="exact"/>
        <w:jc w:val="center"/>
        <w:rPr>
          <w:rFonts w:hint="eastAsia" w:ascii="宋体" w:hAnsi="宋体" w:cs="宋体"/>
          <w:b/>
          <w:bCs/>
          <w:color w:val="000000"/>
          <w:sz w:val="28"/>
          <w:szCs w:val="28"/>
        </w:rPr>
      </w:pPr>
    </w:p>
    <w:p>
      <w:pPr>
        <w:snapToGrid w:val="0"/>
        <w:spacing w:line="600" w:lineRule="exact"/>
        <w:jc w:val="center"/>
        <w:rPr>
          <w:rFonts w:hint="eastAsia" w:ascii="宋体" w:hAnsi="宋体" w:cs="宋体"/>
          <w:b/>
          <w:bCs/>
          <w:color w:val="000000"/>
          <w:sz w:val="28"/>
          <w:szCs w:val="28"/>
        </w:rPr>
      </w:pPr>
    </w:p>
    <w:p>
      <w:pPr>
        <w:snapToGrid w:val="0"/>
        <w:spacing w:line="600" w:lineRule="exact"/>
        <w:jc w:val="center"/>
        <w:rPr>
          <w:rFonts w:hint="eastAsia" w:ascii="宋体" w:hAnsi="宋体" w:cs="宋体"/>
          <w:b/>
          <w:bCs/>
          <w:color w:val="000000"/>
          <w:sz w:val="28"/>
          <w:szCs w:val="28"/>
        </w:rPr>
      </w:pPr>
      <w:r>
        <w:rPr>
          <w:rFonts w:hint="eastAsia" w:ascii="宋体" w:hAnsi="宋体" w:cs="宋体"/>
          <w:b/>
          <w:bCs/>
          <w:color w:val="000000"/>
          <w:sz w:val="28"/>
          <w:szCs w:val="28"/>
        </w:rPr>
        <w:t>二、最近一年度财务报表（复印件，新成立的公司提供相关说明）</w:t>
      </w:r>
    </w:p>
    <w:p>
      <w:pPr>
        <w:snapToGrid w:val="0"/>
        <w:spacing w:line="600" w:lineRule="exact"/>
        <w:jc w:val="center"/>
        <w:rPr>
          <w:rFonts w:hint="eastAsia" w:ascii="宋体" w:hAnsi="宋体" w:cs="宋体"/>
          <w:b/>
          <w:bCs/>
          <w:color w:val="000000"/>
          <w:sz w:val="28"/>
          <w:szCs w:val="28"/>
        </w:rPr>
      </w:pPr>
    </w:p>
    <w:p>
      <w:pPr>
        <w:snapToGrid w:val="0"/>
        <w:spacing w:line="600" w:lineRule="exact"/>
        <w:jc w:val="center"/>
        <w:rPr>
          <w:rFonts w:hint="eastAsia" w:ascii="宋体" w:hAnsi="宋体" w:cs="宋体"/>
          <w:b/>
          <w:bCs/>
          <w:color w:val="000000"/>
          <w:sz w:val="28"/>
          <w:szCs w:val="28"/>
        </w:rPr>
      </w:pPr>
    </w:p>
    <w:p>
      <w:pPr>
        <w:snapToGrid w:val="0"/>
        <w:spacing w:line="600" w:lineRule="exact"/>
        <w:jc w:val="center"/>
        <w:rPr>
          <w:rFonts w:hint="eastAsia" w:ascii="宋体" w:hAnsi="宋体" w:cs="宋体"/>
          <w:b/>
          <w:bCs/>
          <w:color w:val="000000"/>
          <w:sz w:val="28"/>
          <w:szCs w:val="28"/>
        </w:rPr>
      </w:pPr>
    </w:p>
    <w:p>
      <w:pPr>
        <w:snapToGrid w:val="0"/>
        <w:spacing w:line="600" w:lineRule="exact"/>
        <w:jc w:val="center"/>
        <w:rPr>
          <w:rFonts w:hint="eastAsia" w:ascii="宋体" w:hAnsi="宋体" w:cs="宋体"/>
          <w:b/>
          <w:bCs/>
          <w:color w:val="000000"/>
          <w:sz w:val="28"/>
          <w:szCs w:val="28"/>
        </w:rPr>
      </w:pPr>
      <w:bookmarkStart w:id="154" w:name="_Toc33194405"/>
      <w:bookmarkStart w:id="155" w:name="_Toc27119254"/>
      <w:r>
        <w:rPr>
          <w:rFonts w:hint="eastAsia" w:ascii="宋体" w:hAnsi="宋体" w:cs="宋体"/>
          <w:b/>
          <w:bCs/>
          <w:color w:val="000000"/>
          <w:sz w:val="28"/>
          <w:szCs w:val="28"/>
        </w:rPr>
        <w:t>三、具有履行合同所必需的场地、设备和专业技术能力的承诺函</w:t>
      </w:r>
      <w:bookmarkEnd w:id="154"/>
      <w:bookmarkEnd w:id="155"/>
    </w:p>
    <w:p>
      <w:pPr>
        <w:snapToGrid w:val="0"/>
        <w:spacing w:line="600" w:lineRule="exact"/>
        <w:jc w:val="center"/>
        <w:rPr>
          <w:rFonts w:hint="eastAsia" w:ascii="宋体" w:hAnsi="宋体" w:cs="宋体"/>
          <w:color w:val="000000"/>
          <w:sz w:val="24"/>
        </w:rPr>
      </w:pPr>
    </w:p>
    <w:p>
      <w:pPr>
        <w:snapToGrid w:val="0"/>
        <w:spacing w:line="600" w:lineRule="exact"/>
        <w:rPr>
          <w:rFonts w:hint="eastAsia" w:ascii="宋体" w:hAnsi="宋体" w:cs="宋体"/>
          <w:color w:val="000000"/>
          <w:sz w:val="24"/>
        </w:rPr>
      </w:pPr>
    </w:p>
    <w:p>
      <w:pPr>
        <w:shd w:val="clear" w:color="auto" w:fill="FFFFFF"/>
        <w:snapToGrid w:val="0"/>
        <w:spacing w:line="600" w:lineRule="exact"/>
        <w:rPr>
          <w:rFonts w:hint="eastAsia" w:ascii="宋体" w:hAnsi="宋体" w:cs="宋体"/>
          <w:color w:val="000000"/>
          <w:sz w:val="24"/>
        </w:rPr>
      </w:pPr>
      <w:r>
        <w:rPr>
          <w:rFonts w:hint="eastAsia" w:ascii="宋体" w:hAnsi="宋体" w:cs="宋体"/>
          <w:color w:val="000000"/>
          <w:sz w:val="24"/>
        </w:rPr>
        <w:t xml:space="preserve"> 杭州市余杭区人民政府良渚街道办事处、杭州益嘉工程咨询代理有限公司 </w:t>
      </w:r>
      <w:r>
        <w:rPr>
          <w:rFonts w:hint="eastAsia" w:ascii="宋体" w:hAnsi="宋体" w:cs="宋体"/>
          <w:color w:val="000000"/>
          <w:kern w:val="0"/>
          <w:sz w:val="24"/>
        </w:rPr>
        <w:t>：</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我方</w:t>
      </w:r>
      <w:r>
        <w:rPr>
          <w:rFonts w:hint="eastAsia" w:ascii="宋体" w:hAnsi="宋体" w:cs="宋体"/>
          <w:color w:val="000000"/>
          <w:kern w:val="0"/>
          <w:sz w:val="24"/>
          <w:u w:val="single"/>
        </w:rPr>
        <w:t xml:space="preserve"> （供应商）</w:t>
      </w:r>
      <w:r>
        <w:rPr>
          <w:rFonts w:hint="eastAsia" w:ascii="宋体" w:hAnsi="宋体" w:cs="宋体"/>
          <w:color w:val="000000"/>
          <w:kern w:val="0"/>
          <w:sz w:val="24"/>
        </w:rPr>
        <w:t>承诺具有履行合同所必需的场地、设备和专业技术能力。如有虚假，采购人可取消我方任何资格（投标/中标/签订合同），我方对此无任何异议。</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p>
    <w:p>
      <w:pPr>
        <w:snapToGrid w:val="0"/>
        <w:spacing w:line="600" w:lineRule="exact"/>
        <w:jc w:val="center"/>
        <w:rPr>
          <w:rFonts w:hint="eastAsia" w:ascii="宋体" w:hAnsi="宋体" w:cs="宋体"/>
          <w:b/>
          <w:bCs/>
          <w:color w:val="000000"/>
          <w:sz w:val="28"/>
          <w:szCs w:val="28"/>
        </w:rPr>
        <w:sectPr>
          <w:pgSz w:w="11906" w:h="16838"/>
          <w:pgMar w:top="993" w:right="1474" w:bottom="1134" w:left="1474" w:header="851" w:footer="641" w:gutter="0"/>
          <w:cols w:space="720" w:num="1"/>
          <w:docGrid w:type="lines" w:linePitch="315" w:charSpace="0"/>
        </w:sectPr>
      </w:pPr>
    </w:p>
    <w:p>
      <w:pPr>
        <w:snapToGrid w:val="0"/>
        <w:spacing w:line="600" w:lineRule="exact"/>
        <w:jc w:val="center"/>
        <w:rPr>
          <w:rFonts w:hint="eastAsia" w:ascii="宋体" w:hAnsi="宋体" w:cs="宋体"/>
          <w:b/>
          <w:bCs/>
          <w:color w:val="000000"/>
          <w:sz w:val="28"/>
          <w:szCs w:val="28"/>
        </w:rPr>
      </w:pPr>
      <w:r>
        <w:rPr>
          <w:rFonts w:hint="eastAsia" w:ascii="宋体" w:hAnsi="宋体" w:cs="宋体"/>
          <w:b/>
          <w:bCs/>
          <w:color w:val="000000"/>
          <w:sz w:val="28"/>
          <w:szCs w:val="28"/>
        </w:rPr>
        <w:t>四、依法缴纳税收和社会保障资金的承诺函</w:t>
      </w:r>
    </w:p>
    <w:p>
      <w:pPr>
        <w:spacing w:line="600" w:lineRule="exact"/>
        <w:rPr>
          <w:rFonts w:hint="eastAsia" w:ascii="宋体" w:hAnsi="宋体" w:cs="宋体"/>
          <w:b/>
          <w:color w:val="000000"/>
          <w:kern w:val="0"/>
          <w:sz w:val="24"/>
          <w:u w:val="single"/>
        </w:rPr>
      </w:pPr>
    </w:p>
    <w:p>
      <w:pPr>
        <w:shd w:val="clear" w:color="auto" w:fill="FFFFFF"/>
        <w:snapToGrid w:val="0"/>
        <w:spacing w:line="600" w:lineRule="exact"/>
        <w:rPr>
          <w:rFonts w:hint="eastAsia" w:ascii="宋体" w:hAnsi="宋体" w:cs="宋体"/>
          <w:color w:val="000000"/>
          <w:sz w:val="24"/>
        </w:rPr>
      </w:pPr>
      <w:r>
        <w:rPr>
          <w:rFonts w:hint="eastAsia" w:ascii="宋体" w:hAnsi="宋体" w:cs="宋体"/>
          <w:color w:val="000000"/>
          <w:sz w:val="24"/>
        </w:rPr>
        <w:t xml:space="preserve"> 杭州市余杭区人民政府良渚街道办事处、杭州益嘉工程咨询代理有限公司 </w:t>
      </w:r>
      <w:r>
        <w:rPr>
          <w:rFonts w:hint="eastAsia" w:ascii="宋体" w:hAnsi="宋体" w:cs="宋体"/>
          <w:color w:val="000000"/>
          <w:kern w:val="0"/>
          <w:sz w:val="24"/>
        </w:rPr>
        <w:t>：</w:t>
      </w:r>
    </w:p>
    <w:p>
      <w:pPr>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我公司郑重声明，我公司严格依法缴纳税收和社会保障资金，本文件中所提供的相关材料均真实有效，不存在虚假、造假行为。如有违反，愿承担一切责任。</w:t>
      </w:r>
    </w:p>
    <w:p>
      <w:pPr>
        <w:spacing w:line="600" w:lineRule="exact"/>
        <w:ind w:firstLine="480" w:firstLineChars="200"/>
        <w:rPr>
          <w:rFonts w:hint="eastAsia" w:ascii="宋体" w:hAnsi="宋体" w:cs="宋体"/>
          <w:color w:val="000000"/>
          <w:kern w:val="0"/>
          <w:sz w:val="24"/>
        </w:rPr>
      </w:pPr>
    </w:p>
    <w:p>
      <w:pPr>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pStyle w:val="4"/>
        <w:snapToGrid w:val="0"/>
        <w:spacing w:line="600" w:lineRule="exact"/>
        <w:rPr>
          <w:rFonts w:hint="eastAsia" w:ascii="宋体" w:hAnsi="宋体" w:eastAsia="宋体"/>
          <w:bCs/>
          <w:color w:val="000000"/>
          <w:kern w:val="2"/>
          <w:sz w:val="28"/>
        </w:rPr>
        <w:sectPr>
          <w:pgSz w:w="11906" w:h="16838"/>
          <w:pgMar w:top="993" w:right="1474" w:bottom="1134" w:left="1474" w:header="851" w:footer="641" w:gutter="0"/>
          <w:cols w:space="720" w:num="1"/>
          <w:docGrid w:type="lines" w:linePitch="315" w:charSpace="0"/>
        </w:sectPr>
      </w:pPr>
      <w:bookmarkStart w:id="156" w:name="_Toc14589"/>
      <w:bookmarkStart w:id="157" w:name="_Toc14988"/>
      <w:bookmarkStart w:id="158" w:name="_Toc33194406"/>
      <w:bookmarkStart w:id="159" w:name="_Toc28957"/>
      <w:bookmarkStart w:id="160" w:name="_Toc27119255"/>
      <w:bookmarkStart w:id="161" w:name="_Toc18304"/>
      <w:bookmarkStart w:id="162" w:name="_Toc11360"/>
      <w:bookmarkStart w:id="163" w:name="_Toc31544"/>
      <w:bookmarkStart w:id="164" w:name="_Toc10630"/>
      <w:bookmarkStart w:id="165" w:name="_Toc6606"/>
      <w:bookmarkStart w:id="166" w:name="_Toc31784"/>
      <w:bookmarkStart w:id="167" w:name="_Toc13669"/>
    </w:p>
    <w:p>
      <w:pPr>
        <w:pStyle w:val="4"/>
        <w:snapToGrid w:val="0"/>
        <w:spacing w:line="600" w:lineRule="exact"/>
        <w:rPr>
          <w:rFonts w:hint="eastAsia" w:ascii="宋体" w:hAnsi="宋体" w:eastAsia="宋体"/>
          <w:bCs/>
          <w:color w:val="000000"/>
          <w:kern w:val="2"/>
          <w:sz w:val="28"/>
        </w:rPr>
      </w:pPr>
      <w:bookmarkStart w:id="168" w:name="_Toc20490"/>
      <w:r>
        <w:rPr>
          <w:rFonts w:hint="eastAsia" w:ascii="宋体" w:hAnsi="宋体" w:eastAsia="宋体"/>
          <w:bCs/>
          <w:color w:val="000000"/>
          <w:kern w:val="2"/>
          <w:sz w:val="28"/>
        </w:rPr>
        <w:t>五、参加政府采购活动前3年内在经营活动中没有重大违法记录的声明函</w:t>
      </w:r>
      <w:bookmarkEnd w:id="156"/>
      <w:bookmarkEnd w:id="157"/>
      <w:bookmarkEnd w:id="158"/>
      <w:bookmarkEnd w:id="159"/>
      <w:bookmarkEnd w:id="160"/>
      <w:bookmarkEnd w:id="161"/>
      <w:bookmarkEnd w:id="162"/>
      <w:bookmarkEnd w:id="163"/>
      <w:bookmarkEnd w:id="164"/>
      <w:bookmarkEnd w:id="165"/>
      <w:bookmarkEnd w:id="166"/>
      <w:bookmarkEnd w:id="167"/>
      <w:bookmarkEnd w:id="168"/>
    </w:p>
    <w:p>
      <w:pPr>
        <w:shd w:val="clear" w:color="auto" w:fill="FFFFFF"/>
        <w:snapToGrid w:val="0"/>
        <w:spacing w:line="600" w:lineRule="exact"/>
        <w:rPr>
          <w:rFonts w:hint="eastAsia" w:ascii="宋体" w:hAnsi="宋体" w:cs="宋体"/>
          <w:color w:val="000000"/>
          <w:sz w:val="24"/>
        </w:rPr>
      </w:pPr>
      <w:r>
        <w:rPr>
          <w:rFonts w:hint="eastAsia" w:ascii="宋体" w:hAnsi="宋体" w:cs="宋体"/>
          <w:color w:val="000000"/>
          <w:sz w:val="24"/>
        </w:rPr>
        <w:t xml:space="preserve"> 杭州市余杭区人民政府良渚街道办事处、杭州益嘉工程咨询代理有限公司 </w:t>
      </w:r>
      <w:r>
        <w:rPr>
          <w:rFonts w:hint="eastAsia" w:ascii="宋体" w:hAnsi="宋体" w:cs="宋体"/>
          <w:color w:val="000000"/>
          <w:kern w:val="0"/>
          <w:sz w:val="24"/>
        </w:rPr>
        <w:t>：</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我方</w:t>
      </w:r>
      <w:r>
        <w:rPr>
          <w:rFonts w:hint="eastAsia" w:ascii="宋体" w:hAnsi="宋体" w:cs="宋体"/>
          <w:color w:val="000000"/>
          <w:kern w:val="0"/>
          <w:sz w:val="24"/>
          <w:u w:val="single"/>
        </w:rPr>
        <w:t xml:space="preserve"> （供应商）</w:t>
      </w:r>
      <w:r>
        <w:rPr>
          <w:rFonts w:hint="eastAsia" w:ascii="宋体" w:hAnsi="宋体" w:cs="宋体"/>
          <w:color w:val="000000"/>
          <w:kern w:val="0"/>
          <w:sz w:val="24"/>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pStyle w:val="5"/>
        <w:numPr>
          <w:ilvl w:val="0"/>
          <w:numId w:val="0"/>
        </w:numPr>
        <w:tabs>
          <w:tab w:val="left" w:pos="1110"/>
        </w:tabs>
        <w:spacing w:line="600" w:lineRule="exact"/>
        <w:ind w:left="106" w:firstLine="454"/>
        <w:rPr>
          <w:rFonts w:hint="eastAsia" w:ascii="宋体" w:hAnsi="宋体" w:eastAsia="宋体" w:cs="宋体"/>
          <w:sz w:val="24"/>
          <w:szCs w:val="24"/>
        </w:rPr>
      </w:pPr>
    </w:p>
    <w:p>
      <w:pPr>
        <w:pStyle w:val="4"/>
        <w:snapToGrid w:val="0"/>
        <w:spacing w:line="600" w:lineRule="exact"/>
        <w:rPr>
          <w:rFonts w:hint="eastAsia" w:ascii="宋体" w:hAnsi="宋体" w:eastAsia="宋体"/>
          <w:bCs/>
          <w:color w:val="000000"/>
          <w:kern w:val="2"/>
          <w:sz w:val="28"/>
        </w:rPr>
        <w:sectPr>
          <w:pgSz w:w="11906" w:h="16838"/>
          <w:pgMar w:top="993" w:right="1474" w:bottom="1134" w:left="1474" w:header="851" w:footer="641" w:gutter="0"/>
          <w:cols w:space="720" w:num="1"/>
          <w:docGrid w:type="lines" w:linePitch="315" w:charSpace="0"/>
        </w:sectPr>
      </w:pPr>
    </w:p>
    <w:p>
      <w:pPr>
        <w:pStyle w:val="4"/>
        <w:snapToGrid w:val="0"/>
        <w:spacing w:line="600" w:lineRule="exact"/>
        <w:rPr>
          <w:rFonts w:hint="eastAsia" w:ascii="宋体" w:hAnsi="宋体" w:eastAsia="宋体"/>
          <w:bCs/>
          <w:color w:val="000000"/>
          <w:kern w:val="2"/>
          <w:sz w:val="28"/>
        </w:rPr>
      </w:pPr>
      <w:bookmarkStart w:id="169" w:name="_Toc11375"/>
      <w:r>
        <w:rPr>
          <w:rFonts w:hint="eastAsia" w:ascii="宋体" w:hAnsi="宋体" w:eastAsia="宋体"/>
          <w:bCs/>
          <w:color w:val="000000"/>
          <w:kern w:val="2"/>
          <w:sz w:val="28"/>
        </w:rPr>
        <w:t>六、与参加本次项目同一合同项下政府采购活动的其他供应商不存在单位负责人为同一人或者直接控股、管理关系的承诺函</w:t>
      </w:r>
      <w:bookmarkEnd w:id="169"/>
    </w:p>
    <w:p>
      <w:pPr>
        <w:shd w:val="clear" w:color="auto" w:fill="FFFFFF"/>
        <w:snapToGrid w:val="0"/>
        <w:spacing w:line="600" w:lineRule="exact"/>
        <w:rPr>
          <w:rFonts w:hint="eastAsia" w:ascii="宋体" w:hAnsi="宋体" w:cs="宋体"/>
          <w:color w:val="000000"/>
          <w:sz w:val="24"/>
        </w:rPr>
      </w:pPr>
      <w:r>
        <w:rPr>
          <w:rFonts w:hint="eastAsia" w:ascii="宋体" w:hAnsi="宋体" w:cs="宋体"/>
          <w:color w:val="000000"/>
          <w:sz w:val="24"/>
        </w:rPr>
        <w:t xml:space="preserve"> 杭州市余杭区人民政府良渚街道办事处、杭州益嘉工程咨询代理有限公司 </w:t>
      </w:r>
      <w:r>
        <w:rPr>
          <w:rFonts w:hint="eastAsia" w:ascii="宋体" w:hAnsi="宋体" w:cs="宋体"/>
          <w:color w:val="000000"/>
          <w:kern w:val="0"/>
          <w:sz w:val="24"/>
        </w:rPr>
        <w:t>：</w:t>
      </w:r>
    </w:p>
    <w:p>
      <w:pPr>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我方郑重承诺，我方此次参加</w:t>
      </w:r>
      <w:r>
        <w:rPr>
          <w:rFonts w:hint="eastAsia" w:ascii="宋体" w:hAnsi="宋体" w:cs="宋体"/>
          <w:color w:val="000000"/>
          <w:kern w:val="0"/>
          <w:sz w:val="24"/>
          <w:lang w:eastAsia="zh-CN"/>
        </w:rPr>
        <w:t>良渚街道物流等人口聚集区块维保服务外包项目</w:t>
      </w:r>
      <w:r>
        <w:rPr>
          <w:rFonts w:hint="eastAsia" w:ascii="宋体" w:hAnsi="宋体" w:cs="宋体"/>
          <w:color w:val="000000"/>
          <w:kern w:val="0"/>
          <w:sz w:val="24"/>
        </w:rPr>
        <w:t>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600" w:lineRule="exact"/>
        <w:jc w:val="center"/>
        <w:rPr>
          <w:rFonts w:hint="eastAsia" w:ascii="宋体" w:hAnsi="宋体" w:cs="宋体"/>
          <w:b/>
          <w:color w:val="000000"/>
          <w:kern w:val="36"/>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adjustRightInd w:val="0"/>
        <w:snapToGrid w:val="0"/>
        <w:spacing w:line="600" w:lineRule="exact"/>
        <w:ind w:firstLine="480" w:firstLineChars="200"/>
        <w:jc w:val="left"/>
        <w:rPr>
          <w:rFonts w:hint="eastAsia" w:ascii="宋体" w:hAnsi="宋体" w:cs="宋体"/>
          <w:color w:val="000000"/>
          <w:kern w:val="0"/>
          <w:sz w:val="24"/>
        </w:rPr>
      </w:pPr>
    </w:p>
    <w:p>
      <w:pPr>
        <w:widowControl/>
        <w:adjustRightInd w:val="0"/>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shd w:val="clear" w:color="auto" w:fill="FFFFFF"/>
        <w:snapToGrid w:val="0"/>
        <w:spacing w:line="600" w:lineRule="exact"/>
        <w:rPr>
          <w:rFonts w:hint="eastAsia" w:ascii="宋体" w:hAnsi="宋体" w:cs="宋体"/>
          <w:color w:val="000000"/>
          <w:sz w:val="24"/>
        </w:rPr>
      </w:pPr>
    </w:p>
    <w:p>
      <w:pPr>
        <w:shd w:val="clear" w:color="auto" w:fill="FFFFFF"/>
        <w:snapToGrid w:val="0"/>
        <w:spacing w:line="600" w:lineRule="exact"/>
        <w:jc w:val="center"/>
        <w:rPr>
          <w:rFonts w:hint="eastAsia" w:ascii="宋体" w:hAnsi="宋体" w:cs="宋体"/>
          <w:color w:val="000000"/>
          <w:sz w:val="24"/>
        </w:rPr>
      </w:pPr>
    </w:p>
    <w:p>
      <w:pPr>
        <w:spacing w:line="600" w:lineRule="exact"/>
        <w:jc w:val="center"/>
        <w:rPr>
          <w:rFonts w:hint="eastAsia" w:ascii="宋体" w:hAnsi="宋体" w:cs="宋体"/>
          <w:b/>
          <w:color w:val="000000"/>
          <w:kern w:val="0"/>
          <w:sz w:val="24"/>
        </w:rPr>
        <w:sectPr>
          <w:pgSz w:w="11906" w:h="16838"/>
          <w:pgMar w:top="993" w:right="1474" w:bottom="1134" w:left="1474" w:header="851" w:footer="641" w:gutter="0"/>
          <w:cols w:space="720" w:num="1"/>
          <w:docGrid w:type="lines" w:linePitch="315" w:charSpace="0"/>
        </w:sectPr>
      </w:pPr>
    </w:p>
    <w:p>
      <w:pPr>
        <w:pStyle w:val="4"/>
        <w:snapToGrid w:val="0"/>
        <w:spacing w:line="600" w:lineRule="exact"/>
        <w:rPr>
          <w:rFonts w:hint="eastAsia" w:ascii="宋体" w:hAnsi="宋体" w:eastAsia="宋体"/>
          <w:bCs/>
          <w:color w:val="000000"/>
          <w:kern w:val="2"/>
          <w:sz w:val="28"/>
        </w:rPr>
      </w:pPr>
      <w:bookmarkStart w:id="170" w:name="_Toc4201"/>
      <w:r>
        <w:rPr>
          <w:rFonts w:hint="eastAsia" w:ascii="宋体" w:hAnsi="宋体" w:eastAsia="宋体"/>
          <w:bCs/>
          <w:color w:val="000000"/>
          <w:kern w:val="2"/>
          <w:sz w:val="28"/>
        </w:rPr>
        <w:t>七、投标供应商没有失信记录承诺函</w:t>
      </w:r>
      <w:bookmarkEnd w:id="170"/>
    </w:p>
    <w:p>
      <w:pPr>
        <w:shd w:val="clear" w:color="auto" w:fill="FFFFFF"/>
        <w:snapToGrid w:val="0"/>
        <w:spacing w:line="600" w:lineRule="exact"/>
        <w:rPr>
          <w:rFonts w:hint="eastAsia" w:ascii="宋体" w:hAnsi="宋体" w:cs="宋体"/>
          <w:color w:val="000000"/>
          <w:sz w:val="24"/>
        </w:rPr>
      </w:pPr>
      <w:r>
        <w:rPr>
          <w:rFonts w:hint="eastAsia" w:ascii="宋体" w:hAnsi="宋体" w:cs="宋体"/>
          <w:color w:val="000000"/>
          <w:sz w:val="24"/>
        </w:rPr>
        <w:t xml:space="preserve"> 杭州市余杭区人民政府良渚街道办事处、杭州益嘉工程咨询代理有限公司 </w:t>
      </w:r>
      <w:r>
        <w:rPr>
          <w:rFonts w:hint="eastAsia" w:ascii="宋体" w:hAnsi="宋体" w:cs="宋体"/>
          <w:color w:val="000000"/>
          <w:kern w:val="0"/>
          <w:sz w:val="24"/>
        </w:rPr>
        <w:t>：</w:t>
      </w:r>
    </w:p>
    <w:p>
      <w:pPr>
        <w:spacing w:line="600" w:lineRule="exact"/>
        <w:ind w:firstLine="484" w:firstLineChars="202"/>
        <w:jc w:val="left"/>
        <w:rPr>
          <w:rFonts w:hint="eastAsia" w:ascii="宋体" w:hAnsi="宋体" w:cs="宋体"/>
          <w:color w:val="000000"/>
          <w:kern w:val="0"/>
          <w:sz w:val="24"/>
        </w:rPr>
      </w:pPr>
      <w:r>
        <w:rPr>
          <w:rFonts w:hint="eastAsia" w:ascii="宋体" w:hAnsi="宋体" w:cs="宋体"/>
          <w:color w:val="000000"/>
          <w:kern w:val="0"/>
          <w:sz w:val="24"/>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pPr>
        <w:shd w:val="clear" w:color="auto" w:fill="FFFFFF"/>
        <w:snapToGrid w:val="0"/>
        <w:spacing w:line="600" w:lineRule="exact"/>
        <w:rPr>
          <w:rFonts w:hint="eastAsia" w:ascii="宋体" w:hAnsi="宋体" w:cs="宋体"/>
          <w:color w:val="00000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adjustRightInd w:val="0"/>
        <w:snapToGrid w:val="0"/>
        <w:spacing w:line="600" w:lineRule="exact"/>
        <w:ind w:firstLine="480" w:firstLineChars="200"/>
        <w:jc w:val="left"/>
        <w:rPr>
          <w:rFonts w:hint="eastAsia" w:ascii="宋体" w:hAnsi="宋体" w:cs="宋体"/>
          <w:color w:val="000000"/>
          <w:kern w:val="0"/>
          <w:sz w:val="24"/>
        </w:rPr>
      </w:pPr>
    </w:p>
    <w:p>
      <w:pPr>
        <w:widowControl/>
        <w:adjustRightInd w:val="0"/>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pStyle w:val="5"/>
        <w:numPr>
          <w:ilvl w:val="0"/>
          <w:numId w:val="0"/>
        </w:numPr>
        <w:tabs>
          <w:tab w:val="left" w:pos="1110"/>
        </w:tabs>
        <w:spacing w:line="600" w:lineRule="exact"/>
        <w:rPr>
          <w:rFonts w:hint="eastAsia" w:ascii="宋体" w:hAnsi="宋体" w:eastAsia="宋体" w:cs="宋体"/>
          <w:sz w:val="24"/>
          <w:szCs w:val="24"/>
        </w:rPr>
      </w:pPr>
    </w:p>
    <w:p>
      <w:pPr>
        <w:pStyle w:val="5"/>
        <w:numPr>
          <w:ilvl w:val="0"/>
          <w:numId w:val="0"/>
        </w:numPr>
        <w:tabs>
          <w:tab w:val="left" w:pos="1110"/>
        </w:tabs>
        <w:spacing w:line="600" w:lineRule="exact"/>
        <w:ind w:left="560"/>
        <w:rPr>
          <w:rFonts w:hint="eastAsia" w:ascii="宋体" w:hAnsi="宋体" w:eastAsia="宋体" w:cs="宋体"/>
          <w:sz w:val="24"/>
          <w:szCs w:val="24"/>
        </w:rPr>
      </w:pPr>
    </w:p>
    <w:p>
      <w:pPr>
        <w:shd w:val="clear" w:color="auto" w:fill="FFFFFF"/>
        <w:snapToGrid w:val="0"/>
        <w:spacing w:line="600" w:lineRule="exact"/>
        <w:jc w:val="center"/>
        <w:rPr>
          <w:rFonts w:hint="eastAsia" w:ascii="宋体" w:hAnsi="宋体" w:cs="宋体"/>
          <w:b/>
          <w:color w:val="000000"/>
          <w:kern w:val="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pStyle w:val="4"/>
        <w:snapToGrid w:val="0"/>
        <w:spacing w:line="600" w:lineRule="exact"/>
        <w:rPr>
          <w:rFonts w:hint="eastAsia" w:ascii="宋体" w:hAnsi="宋体" w:eastAsia="宋体"/>
          <w:bCs/>
          <w:color w:val="000000"/>
          <w:kern w:val="2"/>
          <w:sz w:val="28"/>
        </w:rPr>
        <w:sectPr>
          <w:pgSz w:w="11906" w:h="16838"/>
          <w:pgMar w:top="993" w:right="1474" w:bottom="1134" w:left="1474" w:header="851" w:footer="641" w:gutter="0"/>
          <w:cols w:space="720" w:num="1"/>
          <w:docGrid w:type="lines" w:linePitch="315" w:charSpace="0"/>
        </w:sectPr>
      </w:pPr>
      <w:bookmarkStart w:id="171" w:name="_Toc354996707"/>
      <w:bookmarkStart w:id="172" w:name="_Toc233618989"/>
    </w:p>
    <w:p>
      <w:pPr>
        <w:pStyle w:val="4"/>
        <w:snapToGrid w:val="0"/>
        <w:spacing w:line="600" w:lineRule="exact"/>
        <w:rPr>
          <w:rFonts w:hint="eastAsia" w:ascii="宋体" w:hAnsi="宋体" w:eastAsia="宋体"/>
          <w:bCs/>
          <w:color w:val="000000"/>
          <w:kern w:val="2"/>
          <w:sz w:val="28"/>
        </w:rPr>
      </w:pPr>
      <w:bookmarkStart w:id="173" w:name="_Toc29164"/>
      <w:r>
        <w:rPr>
          <w:rFonts w:hint="eastAsia" w:ascii="宋体" w:hAnsi="宋体" w:eastAsia="宋体"/>
          <w:bCs/>
          <w:color w:val="000000"/>
          <w:kern w:val="2"/>
          <w:sz w:val="28"/>
        </w:rPr>
        <w:t>报价文件</w:t>
      </w:r>
      <w:bookmarkEnd w:id="171"/>
      <w:bookmarkEnd w:id="173"/>
    </w:p>
    <w:p>
      <w:pPr>
        <w:shd w:val="clear" w:color="auto" w:fill="FFFFFF"/>
        <w:snapToGrid w:val="0"/>
        <w:spacing w:line="600" w:lineRule="exact"/>
        <w:jc w:val="center"/>
        <w:rPr>
          <w:rFonts w:hint="eastAsia" w:ascii="宋体" w:hAnsi="宋体" w:cs="宋体"/>
          <w:b/>
          <w:bCs/>
          <w:color w:val="000000"/>
          <w:kern w:val="0"/>
          <w:sz w:val="24"/>
        </w:rPr>
      </w:pPr>
      <w:r>
        <w:rPr>
          <w:rFonts w:hint="eastAsia" w:ascii="宋体" w:hAnsi="宋体" w:cs="宋体"/>
          <w:b/>
          <w:bCs/>
          <w:color w:val="000000"/>
          <w:kern w:val="0"/>
          <w:sz w:val="24"/>
        </w:rPr>
        <w:t> </w:t>
      </w:r>
    </w:p>
    <w:p>
      <w:pPr>
        <w:shd w:val="clear" w:color="auto" w:fill="FFFFFF"/>
        <w:snapToGrid w:val="0"/>
        <w:spacing w:line="600" w:lineRule="exact"/>
        <w:jc w:val="center"/>
        <w:rPr>
          <w:rFonts w:hint="eastAsia" w:ascii="宋体" w:hAnsi="宋体" w:cs="宋体"/>
          <w:b/>
          <w:bCs/>
          <w:color w:val="000000"/>
          <w:kern w:val="0"/>
          <w:sz w:val="24"/>
        </w:rPr>
      </w:pPr>
      <w:r>
        <w:rPr>
          <w:rFonts w:hint="eastAsia" w:ascii="宋体" w:hAnsi="宋体" w:cs="宋体"/>
          <w:b/>
          <w:bCs/>
          <w:color w:val="000000"/>
          <w:kern w:val="0"/>
          <w:sz w:val="24"/>
        </w:rPr>
        <w:t>目录</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rPr>
        <w:t>（1）投标响应函…………………………………………………………………（页码）</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rPr>
        <w:t>（2）开标一览表…………………………………………………………………（页码）</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b/>
          <w:bCs/>
          <w:color w:val="000000"/>
          <w:sz w:val="24"/>
        </w:rPr>
        <w:t>（</w:t>
      </w:r>
      <w:r>
        <w:rPr>
          <w:rFonts w:hint="eastAsia" w:ascii="宋体" w:hAnsi="宋体" w:cs="宋体"/>
          <w:color w:val="000000"/>
          <w:kern w:val="0"/>
          <w:sz w:val="24"/>
        </w:rPr>
        <w:t>3）报价明细清单………………………………………………………………（页码）</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rPr>
        <w:t>（4）中小企业声明函、监狱企业、残疾人福利性单位及其他相关的充分的证明材料…………………………………………………………………………………（页码）</w:t>
      </w:r>
    </w:p>
    <w:p>
      <w:pPr>
        <w:pStyle w:val="4"/>
        <w:snapToGrid w:val="0"/>
        <w:spacing w:line="600" w:lineRule="exact"/>
        <w:rPr>
          <w:rFonts w:hint="eastAsia" w:ascii="宋体" w:hAnsi="宋体" w:eastAsia="宋体"/>
          <w:bCs/>
          <w:color w:val="000000"/>
          <w:kern w:val="2"/>
          <w:sz w:val="28"/>
        </w:rPr>
        <w:sectPr>
          <w:pgSz w:w="11906" w:h="16838"/>
          <w:pgMar w:top="993" w:right="1474" w:bottom="1134" w:left="1474" w:header="851" w:footer="641" w:gutter="0"/>
          <w:cols w:space="720" w:num="1"/>
          <w:docGrid w:type="lines" w:linePitch="315" w:charSpace="0"/>
        </w:sectPr>
      </w:pPr>
      <w:bookmarkStart w:id="174" w:name="_Toc233618990"/>
    </w:p>
    <w:p>
      <w:pPr>
        <w:pStyle w:val="4"/>
        <w:snapToGrid w:val="0"/>
        <w:spacing w:line="600" w:lineRule="exact"/>
        <w:rPr>
          <w:rFonts w:hint="eastAsia" w:ascii="宋体" w:hAnsi="宋体" w:eastAsia="宋体"/>
          <w:bCs/>
          <w:color w:val="000000"/>
          <w:kern w:val="2"/>
          <w:sz w:val="28"/>
        </w:rPr>
      </w:pPr>
      <w:bookmarkStart w:id="175" w:name="_Toc31288"/>
      <w:r>
        <w:rPr>
          <w:rFonts w:hint="eastAsia" w:ascii="宋体" w:hAnsi="宋体" w:eastAsia="宋体"/>
          <w:bCs/>
          <w:color w:val="000000"/>
          <w:kern w:val="2"/>
          <w:sz w:val="28"/>
        </w:rPr>
        <w:t>一、投标响应函</w:t>
      </w:r>
      <w:bookmarkEnd w:id="174"/>
      <w:bookmarkEnd w:id="175"/>
    </w:p>
    <w:p>
      <w:pPr>
        <w:shd w:val="clear" w:color="auto" w:fill="FFFFFF"/>
        <w:snapToGrid w:val="0"/>
        <w:spacing w:line="600" w:lineRule="exact"/>
        <w:rPr>
          <w:rFonts w:hint="eastAsia" w:ascii="宋体" w:hAnsi="宋体" w:cs="宋体"/>
          <w:color w:val="000000"/>
          <w:sz w:val="24"/>
        </w:rPr>
      </w:pPr>
      <w:r>
        <w:rPr>
          <w:rFonts w:hint="eastAsia" w:ascii="宋体" w:hAnsi="宋体" w:cs="宋体"/>
          <w:color w:val="000000"/>
          <w:sz w:val="24"/>
        </w:rPr>
        <w:t xml:space="preserve"> 杭州市余杭区人民政府良渚街道办事处 ：</w:t>
      </w:r>
    </w:p>
    <w:p>
      <w:pPr>
        <w:shd w:val="clear" w:color="auto" w:fill="FFFFFF"/>
        <w:snapToGrid w:val="0"/>
        <w:spacing w:line="600" w:lineRule="exact"/>
        <w:rPr>
          <w:rFonts w:hint="eastAsia" w:ascii="宋体" w:hAnsi="宋体" w:cs="宋体"/>
          <w:color w:val="000000"/>
          <w:sz w:val="24"/>
        </w:rPr>
      </w:pPr>
      <w:r>
        <w:rPr>
          <w:rFonts w:hint="eastAsia" w:ascii="宋体" w:hAnsi="宋体" w:cs="宋体"/>
          <w:color w:val="000000"/>
          <w:kern w:val="0"/>
          <w:sz w:val="24"/>
          <w:lang w:val="zh-CN"/>
        </w:rPr>
        <w:t xml:space="preserve">    </w:t>
      </w:r>
      <w:r>
        <w:rPr>
          <w:rFonts w:hint="eastAsia" w:ascii="宋体" w:hAnsi="宋体" w:cs="宋体"/>
          <w:color w:val="000000"/>
          <w:kern w:val="0"/>
          <w:sz w:val="24"/>
          <w:u w:val="single"/>
          <w:lang w:val="zh-CN"/>
        </w:rPr>
        <w:t xml:space="preserve">                                   </w:t>
      </w:r>
      <w:r>
        <w:rPr>
          <w:rFonts w:hint="eastAsia" w:ascii="宋体" w:hAnsi="宋体" w:cs="宋体"/>
          <w:color w:val="000000"/>
          <w:sz w:val="24"/>
        </w:rPr>
        <w:t>(投标人全称)授权</w:t>
      </w:r>
      <w:r>
        <w:rPr>
          <w:rFonts w:hint="eastAsia" w:ascii="宋体" w:hAnsi="宋体" w:cs="宋体"/>
          <w:color w:val="000000"/>
          <w:kern w:val="0"/>
          <w:sz w:val="24"/>
          <w:u w:val="single"/>
          <w:lang w:val="zh-CN"/>
        </w:rPr>
        <w:t xml:space="preserve">          </w:t>
      </w:r>
      <w:r>
        <w:rPr>
          <w:rFonts w:hint="eastAsia" w:ascii="宋体" w:hAnsi="宋体" w:cs="宋体"/>
          <w:color w:val="000000"/>
          <w:sz w:val="24"/>
        </w:rPr>
        <w:t>(全权代表姓名)</w:t>
      </w:r>
      <w:r>
        <w:rPr>
          <w:rFonts w:hint="eastAsia" w:ascii="宋体" w:hAnsi="宋体" w:cs="宋体"/>
          <w:color w:val="000000"/>
          <w:kern w:val="0"/>
          <w:sz w:val="24"/>
          <w:u w:val="single"/>
          <w:lang w:val="zh-CN"/>
        </w:rPr>
        <w:t xml:space="preserve">              </w:t>
      </w:r>
      <w:r>
        <w:rPr>
          <w:rFonts w:hint="eastAsia" w:ascii="宋体" w:hAnsi="宋体" w:cs="宋体"/>
          <w:color w:val="000000"/>
          <w:sz w:val="24"/>
        </w:rPr>
        <w:t>(职务、职称)为全权代表，参加贵方组织的</w:t>
      </w:r>
      <w:r>
        <w:rPr>
          <w:rFonts w:hint="eastAsia" w:ascii="宋体" w:hAnsi="宋体" w:cs="宋体"/>
          <w:color w:val="000000"/>
          <w:sz w:val="24"/>
          <w:u w:val="single"/>
          <w:lang w:eastAsia="zh-CN"/>
        </w:rPr>
        <w:t>良渚街道物流等人口聚集区块维保服务外包项目</w:t>
      </w:r>
      <w:r>
        <w:rPr>
          <w:rFonts w:hint="eastAsia" w:ascii="宋体" w:hAnsi="宋体" w:cs="宋体"/>
          <w:color w:val="000000"/>
          <w:sz w:val="24"/>
        </w:rPr>
        <w:t xml:space="preserve">(招标编号：        </w:t>
      </w:r>
      <w:r>
        <w:rPr>
          <w:rFonts w:hint="eastAsia" w:ascii="宋体" w:hAnsi="宋体" w:cs="宋体"/>
          <w:color w:val="000000"/>
          <w:kern w:val="0"/>
          <w:sz w:val="24"/>
          <w:lang w:val="zh-CN"/>
        </w:rPr>
        <w:t>)</w:t>
      </w:r>
      <w:r>
        <w:rPr>
          <w:rFonts w:hint="eastAsia" w:ascii="宋体" w:hAnsi="宋体" w:cs="宋体"/>
          <w:color w:val="000000"/>
          <w:sz w:val="24"/>
        </w:rPr>
        <w:t>招标的有关活动，并对此项目进行投标。为此：</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1、我方同意在投标人</w:t>
      </w:r>
      <w:r>
        <w:rPr>
          <w:rFonts w:hint="eastAsia" w:ascii="宋体" w:hAnsi="宋体" w:cs="宋体"/>
          <w:color w:val="000000"/>
          <w:kern w:val="44"/>
          <w:sz w:val="24"/>
        </w:rPr>
        <w:t>编制和提交投标文件须知</w:t>
      </w:r>
      <w:r>
        <w:rPr>
          <w:rFonts w:hint="eastAsia" w:ascii="宋体" w:hAnsi="宋体" w:cs="宋体"/>
          <w:color w:val="000000"/>
          <w:sz w:val="24"/>
        </w:rPr>
        <w:t>规定的开标日期起遵守本投标书中的承诺且在投标有效期满之前均具有约束力。</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2、我方承诺已经具备《中华人民共和国政府采购法》中规定的参加政府采购活动的供应商应当具备的条件：</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(1)具有独立承担民事责任的能力；</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(2)遵守国家法律、行政法规，具有良好的信誉和商业道德；</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(3)具有履行合同的能力和良好的履行合同记录；</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(4)良好的资金、财务状况；</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(5)提供的产品和服务符合中国政府规定的相应标准和环保标准；</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(6)没有违反政府采购法规、政策的记录；</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(7)没有发生重大经济纠纷和走私犯罪记录。</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3、提供</w:t>
      </w:r>
      <w:r>
        <w:rPr>
          <w:rFonts w:hint="eastAsia" w:ascii="宋体" w:hAnsi="宋体" w:cs="宋体"/>
          <w:color w:val="000000"/>
          <w:kern w:val="44"/>
          <w:sz w:val="24"/>
        </w:rPr>
        <w:t>编制和提交投标文件须知</w:t>
      </w:r>
      <w:r>
        <w:rPr>
          <w:rFonts w:hint="eastAsia" w:ascii="宋体" w:hAnsi="宋体" w:cs="宋体"/>
          <w:color w:val="000000"/>
          <w:sz w:val="24"/>
        </w:rPr>
        <w:t>规定的全部投标文件，包括资格文件、报价文件、商务技术文件。具体内容为：</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(1)资格文件</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(2)报价文件；</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val="zh-CN"/>
        </w:rPr>
        <w:t>商务</w:t>
      </w:r>
      <w:r>
        <w:rPr>
          <w:rFonts w:hint="eastAsia" w:ascii="宋体" w:hAnsi="宋体" w:cs="宋体"/>
          <w:color w:val="000000"/>
          <w:kern w:val="0"/>
          <w:sz w:val="24"/>
          <w:lang w:val="zh-CN"/>
        </w:rPr>
        <w:t>技术文件</w:t>
      </w:r>
      <w:r>
        <w:rPr>
          <w:rFonts w:hint="eastAsia" w:ascii="宋体" w:hAnsi="宋体" w:cs="宋体"/>
          <w:color w:val="000000"/>
          <w:sz w:val="24"/>
        </w:rPr>
        <w:t>；</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(4)</w:t>
      </w:r>
      <w:r>
        <w:rPr>
          <w:rFonts w:hint="eastAsia" w:ascii="宋体" w:hAnsi="宋体" w:cs="宋体"/>
          <w:color w:val="000000"/>
          <w:kern w:val="44"/>
          <w:sz w:val="24"/>
        </w:rPr>
        <w:t>编制和提交投标文件须知</w:t>
      </w:r>
      <w:r>
        <w:rPr>
          <w:rFonts w:hint="eastAsia" w:ascii="宋体" w:hAnsi="宋体" w:cs="宋体"/>
          <w:color w:val="000000"/>
          <w:sz w:val="24"/>
        </w:rPr>
        <w:t>要求投标人提交的全部文件；</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(5)按招标文件要求提供和交付的货物和服务的投标报价详见开标一览表；</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(6)保证忠实地执行双方所签订的合同，并承担合同规定的责任和义务；</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(7)保证遵守招标文件中的其他有关规定。</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4、投标有效期内不撤销投标文件；强行撤销的，承诺按本项目预算金额的2%赔偿对招标代理机构造成的损失。</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5、我方完全理解贵方不一定要接受最低价的投标。</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7、如中标，按招标文件规定的招标代理服务费标准，承诺在签订合同前向招标代理机构支付招标代理服务费。</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8、我方愿意向贵方提供任何与该项投标有关的数据、情况和服务资料。若贵方需要，我方愿意提供我方作出的一切承诺的证明材料。</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(1)提供虚假材料谋取中标、成交的；</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(2)采取不正当手段诋毁、排挤其他供应商的；</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(3)与采购人、其它供应商或者招标代理机构恶意串通的；</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(4)向采购人、招标代理机构行贿或者提供其他不正当利益的；</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(5)在招标采购过程中与采购人进行协商谈判的；</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(6)拒绝有关部门监督检查或提供虚假情况的。</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供应商有前款第(1)至(5)项情形之一的，中标、成交无效。</w:t>
      </w:r>
    </w:p>
    <w:p>
      <w:pPr>
        <w:shd w:val="clear" w:color="auto" w:fill="FFFFFF"/>
        <w:snapToGrid w:val="0"/>
        <w:spacing w:line="600" w:lineRule="exact"/>
        <w:rPr>
          <w:rFonts w:hint="eastAsia" w:ascii="宋体" w:hAnsi="宋体" w:cs="宋体"/>
          <w:color w:val="000000"/>
          <w:kern w:val="0"/>
          <w:sz w:val="24"/>
          <w:lang w:val="zh-CN"/>
        </w:rPr>
      </w:pPr>
    </w:p>
    <w:p>
      <w:pPr>
        <w:shd w:val="clear" w:color="auto" w:fill="FFFFFF"/>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法定（授权）代表人（签字）：</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rPr>
        <w:tab/>
      </w:r>
    </w:p>
    <w:p>
      <w:pPr>
        <w:shd w:val="clear" w:color="auto" w:fill="FFFFFF"/>
        <w:snapToGrid w:val="0"/>
        <w:spacing w:line="600" w:lineRule="exact"/>
        <w:ind w:firstLine="480" w:firstLineChars="200"/>
        <w:rPr>
          <w:rFonts w:hint="eastAsia" w:ascii="宋体" w:hAnsi="宋体" w:cs="宋体"/>
          <w:color w:val="000000"/>
          <w:kern w:val="0"/>
          <w:sz w:val="24"/>
          <w:u w:val="single"/>
          <w:lang w:val="zh-CN"/>
        </w:rPr>
      </w:pPr>
      <w:r>
        <w:rPr>
          <w:rFonts w:hint="eastAsia" w:ascii="宋体" w:hAnsi="宋体" w:cs="宋体"/>
          <w:color w:val="000000"/>
          <w:kern w:val="0"/>
          <w:sz w:val="24"/>
          <w:lang w:val="zh-CN"/>
        </w:rPr>
        <w:t>投标人盖 章：</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rPr>
        <w:tab/>
      </w:r>
      <w:r>
        <w:rPr>
          <w:rFonts w:hint="eastAsia" w:ascii="宋体" w:hAnsi="宋体" w:cs="宋体"/>
          <w:color w:val="000000"/>
          <w:kern w:val="0"/>
          <w:sz w:val="24"/>
          <w:u w:val="single"/>
          <w:lang w:val="zh-CN"/>
        </w:rPr>
        <w:t xml:space="preserve">                      </w:t>
      </w:r>
    </w:p>
    <w:p>
      <w:pPr>
        <w:shd w:val="clear" w:color="auto" w:fill="FFFFFF"/>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 xml:space="preserve">联系电话： </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传真：  </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电子邮件：  </w:t>
      </w:r>
      <w:r>
        <w:rPr>
          <w:rFonts w:hint="eastAsia" w:ascii="宋体" w:hAnsi="宋体" w:cs="宋体"/>
          <w:color w:val="000000"/>
          <w:kern w:val="0"/>
          <w:sz w:val="24"/>
          <w:u w:val="single"/>
          <w:lang w:val="zh-CN"/>
        </w:rPr>
        <w:t xml:space="preserve">              </w:t>
      </w:r>
    </w:p>
    <w:p>
      <w:pPr>
        <w:shd w:val="clear" w:color="auto" w:fill="FFFFFF"/>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联系地址：</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rPr>
        <w:tab/>
      </w:r>
      <w:r>
        <w:rPr>
          <w:rFonts w:hint="eastAsia" w:ascii="宋体" w:hAnsi="宋体" w:cs="宋体"/>
          <w:color w:val="000000"/>
          <w:kern w:val="0"/>
          <w:sz w:val="24"/>
          <w:u w:val="single"/>
          <w:lang w:val="zh-CN"/>
        </w:rPr>
        <w:t xml:space="preserve">                                                    </w:t>
      </w:r>
    </w:p>
    <w:p>
      <w:pPr>
        <w:shd w:val="clear" w:color="auto" w:fill="FFFFFF"/>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邮政编码：</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传真号码：</w:t>
      </w:r>
      <w:r>
        <w:rPr>
          <w:rFonts w:hint="eastAsia" w:ascii="宋体" w:hAnsi="宋体" w:cs="宋体"/>
          <w:color w:val="000000"/>
          <w:kern w:val="0"/>
          <w:sz w:val="24"/>
          <w:u w:val="single"/>
          <w:lang w:val="zh-CN"/>
        </w:rPr>
        <w:t xml:space="preserve">                     </w:t>
      </w:r>
    </w:p>
    <w:p>
      <w:pPr>
        <w:shd w:val="clear" w:color="auto" w:fill="FFFFFF"/>
        <w:snapToGrid w:val="0"/>
        <w:spacing w:line="600" w:lineRule="exact"/>
        <w:ind w:firstLine="480" w:firstLineChars="200"/>
        <w:rPr>
          <w:rFonts w:hint="eastAsia" w:ascii="宋体" w:hAnsi="宋体" w:cs="宋体"/>
          <w:color w:val="000000"/>
          <w:kern w:val="0"/>
          <w:sz w:val="24"/>
          <w:u w:val="single"/>
        </w:rPr>
      </w:pPr>
      <w:r>
        <w:rPr>
          <w:rFonts w:hint="eastAsia" w:ascii="宋体" w:hAnsi="宋体" w:cs="宋体"/>
          <w:color w:val="000000"/>
          <w:kern w:val="0"/>
          <w:sz w:val="24"/>
          <w:lang w:val="zh-CN"/>
        </w:rPr>
        <w:t>日</w:t>
      </w:r>
      <w:r>
        <w:rPr>
          <w:rFonts w:hint="eastAsia" w:ascii="宋体" w:hAnsi="宋体" w:cs="宋体"/>
          <w:color w:val="000000"/>
          <w:kern w:val="0"/>
          <w:sz w:val="24"/>
        </w:rPr>
        <w:t xml:space="preserve">    </w:t>
      </w:r>
      <w:r>
        <w:rPr>
          <w:rFonts w:hint="eastAsia" w:ascii="宋体" w:hAnsi="宋体" w:cs="宋体"/>
          <w:color w:val="000000"/>
          <w:kern w:val="0"/>
          <w:sz w:val="24"/>
          <w:lang w:val="zh-CN"/>
        </w:rPr>
        <w:t>期</w:t>
      </w:r>
      <w:r>
        <w:rPr>
          <w:rFonts w:hint="eastAsia" w:ascii="宋体" w:hAnsi="宋体" w:cs="宋体"/>
          <w:color w:val="000000"/>
          <w:kern w:val="0"/>
          <w:sz w:val="24"/>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lang w:val="zh-CN"/>
        </w:rPr>
        <w:t>年</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rPr>
        <w:tab/>
      </w:r>
      <w:r>
        <w:rPr>
          <w:rFonts w:hint="eastAsia" w:ascii="宋体" w:hAnsi="宋体" w:cs="宋体"/>
          <w:color w:val="000000"/>
          <w:kern w:val="0"/>
          <w:sz w:val="24"/>
          <w:lang w:val="zh-CN"/>
        </w:rPr>
        <w:t>月</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日</w:t>
      </w:r>
    </w:p>
    <w:p>
      <w:pPr>
        <w:shd w:val="clear" w:color="auto" w:fill="FFFFFF"/>
        <w:snapToGrid w:val="0"/>
        <w:spacing w:line="600" w:lineRule="exact"/>
        <w:rPr>
          <w:rFonts w:hint="eastAsia" w:ascii="宋体" w:hAnsi="宋体" w:cs="宋体"/>
          <w:b/>
          <w:bCs/>
          <w:color w:val="000000"/>
          <w:kern w:val="0"/>
          <w:sz w:val="24"/>
          <w:lang w:val="zh-CN"/>
        </w:rPr>
      </w:pPr>
      <w:r>
        <w:rPr>
          <w:rFonts w:hint="eastAsia" w:ascii="宋体" w:hAnsi="宋体" w:cs="宋体"/>
          <w:b/>
          <w:bCs/>
          <w:color w:val="000000"/>
          <w:kern w:val="0"/>
          <w:sz w:val="24"/>
          <w:lang w:val="zh-CN"/>
        </w:rPr>
        <w:t>注：未按照本投标响应函要求填报的将被视为非实质性响应，从而可能导致该投标文件被拒绝。</w:t>
      </w:r>
    </w:p>
    <w:p>
      <w:pPr>
        <w:pageBreakBefore/>
        <w:shd w:val="clear" w:color="auto" w:fill="FFFFFF"/>
        <w:snapToGrid w:val="0"/>
        <w:spacing w:line="600" w:lineRule="exact"/>
        <w:ind w:firstLine="562" w:firstLineChars="200"/>
        <w:jc w:val="center"/>
        <w:outlineLvl w:val="2"/>
        <w:rPr>
          <w:rFonts w:hint="eastAsia" w:ascii="宋体" w:hAnsi="宋体" w:cs="宋体"/>
          <w:b/>
          <w:bCs/>
          <w:color w:val="000000"/>
          <w:sz w:val="24"/>
        </w:rPr>
      </w:pPr>
      <w:bookmarkStart w:id="176" w:name="_Toc354859475"/>
      <w:bookmarkStart w:id="177" w:name="_Toc233618991"/>
      <w:bookmarkStart w:id="178" w:name="_Toc354859551"/>
      <w:bookmarkStart w:id="179" w:name="_Toc354859632"/>
      <w:r>
        <w:rPr>
          <w:rFonts w:hint="eastAsia" w:ascii="宋体" w:hAnsi="宋体" w:cs="宋体"/>
          <w:b/>
          <w:bCs/>
          <w:color w:val="000000"/>
          <w:sz w:val="28"/>
          <w:szCs w:val="28"/>
        </w:rPr>
        <w:t>二、开标一览表</w:t>
      </w:r>
      <w:bookmarkEnd w:id="176"/>
      <w:bookmarkEnd w:id="177"/>
      <w:bookmarkEnd w:id="178"/>
      <w:bookmarkEnd w:id="179"/>
    </w:p>
    <w:p>
      <w:pPr>
        <w:shd w:val="clear" w:color="auto" w:fill="FFFFFF"/>
        <w:snapToGrid w:val="0"/>
        <w:spacing w:line="600" w:lineRule="exact"/>
        <w:rPr>
          <w:rFonts w:hint="eastAsia" w:ascii="宋体" w:hAnsi="宋体" w:cs="宋体"/>
          <w:color w:val="000000"/>
          <w:sz w:val="24"/>
        </w:rPr>
      </w:pPr>
      <w:r>
        <w:rPr>
          <w:rFonts w:hint="eastAsia" w:ascii="宋体" w:hAnsi="宋体" w:cs="宋体"/>
          <w:color w:val="000000"/>
          <w:sz w:val="24"/>
        </w:rPr>
        <w:t xml:space="preserve"> 杭州市余杭区人民政府良渚街道办事处 ：</w:t>
      </w:r>
    </w:p>
    <w:p>
      <w:pPr>
        <w:shd w:val="clear" w:color="auto" w:fill="FFFFFF"/>
        <w:snapToGrid w:val="0"/>
        <w:spacing w:line="60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按你方招标文件要求，我们，本投标文件签字方，谨此向你方发出要约如下：如你方接受本投标文件，我方承诺按照如下开标一览表的价格完成编号为</w:t>
      </w:r>
      <w:r>
        <w:rPr>
          <w:rFonts w:hint="eastAsia" w:ascii="宋体" w:hAnsi="宋体" w:cs="宋体"/>
          <w:color w:val="000000"/>
          <w:sz w:val="24"/>
          <w:u w:val="single"/>
        </w:rPr>
        <w:t xml:space="preserve">     </w:t>
      </w:r>
      <w:r>
        <w:rPr>
          <w:rFonts w:hint="eastAsia" w:ascii="宋体" w:hAnsi="宋体" w:cs="宋体"/>
          <w:color w:val="000000"/>
          <w:kern w:val="0"/>
          <w:sz w:val="24"/>
          <w:lang w:val="zh-CN"/>
        </w:rPr>
        <w:t>的招标文件[项目名称：</w:t>
      </w:r>
      <w:r>
        <w:rPr>
          <w:rFonts w:hint="eastAsia" w:ascii="宋体" w:hAnsi="宋体" w:cs="宋体"/>
          <w:color w:val="000000"/>
          <w:sz w:val="24"/>
          <w:u w:val="single"/>
        </w:rPr>
        <w:t xml:space="preserve">                         </w:t>
      </w:r>
      <w:r>
        <w:rPr>
          <w:rFonts w:hint="eastAsia" w:ascii="宋体" w:hAnsi="宋体" w:cs="宋体"/>
          <w:color w:val="000000"/>
          <w:sz w:val="24"/>
        </w:rPr>
        <w:t>采购项目</w:t>
      </w:r>
      <w:r>
        <w:rPr>
          <w:rFonts w:hint="eastAsia" w:ascii="宋体" w:hAnsi="宋体" w:cs="宋体"/>
          <w:color w:val="000000"/>
          <w:kern w:val="0"/>
          <w:sz w:val="24"/>
          <w:lang w:val="zh-CN"/>
        </w:rPr>
        <w:t>]实施。</w:t>
      </w:r>
    </w:p>
    <w:p>
      <w:pPr>
        <w:shd w:val="clear" w:color="auto" w:fill="FFFFFF"/>
        <w:snapToGrid w:val="0"/>
        <w:spacing w:line="600" w:lineRule="exact"/>
        <w:ind w:firstLine="3990" w:firstLineChars="1656"/>
        <w:rPr>
          <w:rFonts w:hint="eastAsia" w:ascii="宋体" w:hAnsi="宋体" w:cs="宋体"/>
          <w:b/>
          <w:bCs/>
          <w:color w:val="000000"/>
          <w:kern w:val="0"/>
          <w:sz w:val="24"/>
          <w:lang w:val="zh-CN"/>
        </w:rPr>
      </w:pPr>
      <w:r>
        <w:rPr>
          <w:rFonts w:hint="eastAsia" w:ascii="宋体" w:hAnsi="宋体" w:cs="宋体"/>
          <w:b/>
          <w:bCs/>
          <w:color w:val="000000"/>
          <w:kern w:val="0"/>
          <w:sz w:val="24"/>
          <w:lang w:val="zh-CN"/>
        </w:rPr>
        <w:t>开标一览表</w:t>
      </w:r>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98"/>
        <w:gridCol w:w="2366"/>
        <w:gridCol w:w="23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4398" w:type="dxa"/>
            <w:tcBorders>
              <w:right w:val="single" w:color="auto" w:sz="4" w:space="0"/>
            </w:tcBorders>
            <w:noWrap w:val="0"/>
            <w:vAlign w:val="center"/>
          </w:tcPr>
          <w:p>
            <w:pPr>
              <w:spacing w:line="600" w:lineRule="exact"/>
              <w:jc w:val="center"/>
              <w:rPr>
                <w:rFonts w:hint="eastAsia" w:ascii="宋体" w:hAnsi="宋体" w:cs="宋体"/>
                <w:color w:val="000000"/>
                <w:sz w:val="24"/>
                <w:lang w:val="en-GB"/>
              </w:rPr>
            </w:pPr>
            <w:r>
              <w:rPr>
                <w:rFonts w:hint="eastAsia" w:ascii="宋体" w:hAnsi="宋体" w:cs="宋体"/>
                <w:color w:val="000000"/>
                <w:sz w:val="24"/>
                <w:lang w:val="en-GB"/>
              </w:rPr>
              <w:t>项目名称</w:t>
            </w:r>
          </w:p>
        </w:tc>
        <w:tc>
          <w:tcPr>
            <w:tcW w:w="2366" w:type="dxa"/>
            <w:tcBorders>
              <w:left w:val="single" w:color="auto" w:sz="4" w:space="0"/>
              <w:right w:val="single" w:color="auto" w:sz="4" w:space="0"/>
            </w:tcBorders>
            <w:noWrap w:val="0"/>
            <w:vAlign w:val="center"/>
          </w:tcPr>
          <w:p>
            <w:pPr>
              <w:spacing w:line="600" w:lineRule="exact"/>
              <w:jc w:val="center"/>
              <w:rPr>
                <w:rFonts w:hint="eastAsia" w:ascii="宋体" w:hAnsi="宋体" w:cs="宋体"/>
                <w:color w:val="000000"/>
                <w:sz w:val="24"/>
              </w:rPr>
            </w:pPr>
            <w:r>
              <w:rPr>
                <w:rFonts w:hint="eastAsia" w:ascii="宋体" w:hAnsi="宋体" w:cs="宋体"/>
                <w:color w:val="000000"/>
                <w:sz w:val="24"/>
              </w:rPr>
              <w:t>工期</w:t>
            </w:r>
          </w:p>
        </w:tc>
        <w:tc>
          <w:tcPr>
            <w:tcW w:w="2366" w:type="dxa"/>
            <w:tcBorders>
              <w:left w:val="single" w:color="auto" w:sz="4" w:space="0"/>
              <w:right w:val="single" w:color="auto" w:sz="4" w:space="0"/>
            </w:tcBorders>
            <w:noWrap w:val="0"/>
            <w:vAlign w:val="center"/>
          </w:tcPr>
          <w:p>
            <w:pPr>
              <w:spacing w:line="600" w:lineRule="exact"/>
              <w:jc w:val="center"/>
              <w:rPr>
                <w:rFonts w:hint="eastAsia" w:ascii="宋体" w:hAnsi="宋体" w:cs="宋体"/>
                <w:color w:val="000000"/>
                <w:sz w:val="24"/>
                <w:lang w:val="en-GB"/>
              </w:rPr>
            </w:pPr>
            <w:r>
              <w:rPr>
                <w:rFonts w:hint="eastAsia" w:ascii="宋体" w:hAnsi="宋体" w:cs="宋体"/>
                <w:color w:val="000000"/>
                <w:sz w:val="24"/>
                <w:lang w:val="en-GB"/>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4398" w:type="dxa"/>
            <w:tcBorders>
              <w:right w:val="single" w:color="auto" w:sz="4" w:space="0"/>
            </w:tcBorders>
            <w:noWrap w:val="0"/>
            <w:vAlign w:val="center"/>
          </w:tcPr>
          <w:p>
            <w:pPr>
              <w:spacing w:line="600" w:lineRule="exact"/>
              <w:jc w:val="center"/>
              <w:rPr>
                <w:rFonts w:hint="eastAsia" w:ascii="宋体" w:hAnsi="宋体" w:cs="宋体"/>
                <w:color w:val="000000"/>
                <w:sz w:val="24"/>
                <w:lang w:val="en-GB"/>
              </w:rPr>
            </w:pPr>
          </w:p>
        </w:tc>
        <w:tc>
          <w:tcPr>
            <w:tcW w:w="2366" w:type="dxa"/>
            <w:tcBorders>
              <w:left w:val="single" w:color="auto" w:sz="4" w:space="0"/>
              <w:right w:val="single" w:color="auto" w:sz="4" w:space="0"/>
            </w:tcBorders>
            <w:noWrap w:val="0"/>
            <w:vAlign w:val="center"/>
          </w:tcPr>
          <w:p>
            <w:pPr>
              <w:spacing w:line="600" w:lineRule="exact"/>
              <w:jc w:val="center"/>
              <w:rPr>
                <w:rFonts w:hint="eastAsia" w:ascii="宋体" w:hAnsi="宋体" w:cs="宋体"/>
                <w:color w:val="000000"/>
                <w:sz w:val="24"/>
              </w:rPr>
            </w:pPr>
            <w:r>
              <w:rPr>
                <w:rFonts w:hint="eastAsia" w:ascii="宋体" w:hAnsi="宋体" w:cs="宋体"/>
                <w:color w:val="000000"/>
                <w:sz w:val="24"/>
              </w:rPr>
              <w:t>响应招标文件要求</w:t>
            </w:r>
          </w:p>
        </w:tc>
        <w:tc>
          <w:tcPr>
            <w:tcW w:w="2366" w:type="dxa"/>
            <w:tcBorders>
              <w:left w:val="single" w:color="auto" w:sz="4" w:space="0"/>
              <w:right w:val="single" w:color="auto" w:sz="4" w:space="0"/>
            </w:tcBorders>
            <w:noWrap w:val="0"/>
            <w:vAlign w:val="center"/>
          </w:tcPr>
          <w:p>
            <w:pPr>
              <w:spacing w:line="600" w:lineRule="exact"/>
              <w:jc w:val="center"/>
              <w:rPr>
                <w:rFonts w:hint="eastAsia" w:ascii="宋体" w:hAnsi="宋体" w:cs="宋体"/>
                <w:color w:val="000000"/>
                <w:sz w:val="24"/>
              </w:rPr>
            </w:pPr>
            <w:r>
              <w:rPr>
                <w:rFonts w:hint="eastAsia" w:ascii="宋体" w:hAnsi="宋体" w:cs="宋体"/>
                <w:color w:val="000000"/>
                <w:sz w:val="24"/>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1" w:hRule="atLeast"/>
          <w:jc w:val="center"/>
        </w:trPr>
        <w:tc>
          <w:tcPr>
            <w:tcW w:w="4398" w:type="dxa"/>
            <w:tcBorders>
              <w:right w:val="single" w:color="auto" w:sz="4" w:space="0"/>
            </w:tcBorders>
            <w:noWrap w:val="0"/>
            <w:vAlign w:val="center"/>
          </w:tcPr>
          <w:p>
            <w:pPr>
              <w:spacing w:line="600" w:lineRule="exact"/>
              <w:jc w:val="center"/>
              <w:rPr>
                <w:rFonts w:hint="eastAsia" w:ascii="宋体" w:hAnsi="宋体" w:cs="宋体"/>
                <w:color w:val="000000"/>
                <w:sz w:val="24"/>
                <w:lang w:val="en-GB"/>
              </w:rPr>
            </w:pPr>
            <w:r>
              <w:rPr>
                <w:rFonts w:hint="eastAsia" w:ascii="宋体" w:hAnsi="宋体" w:cs="宋体"/>
                <w:color w:val="000000"/>
                <w:sz w:val="24"/>
                <w:lang w:val="en-GB"/>
              </w:rPr>
              <w:t>总价</w:t>
            </w:r>
          </w:p>
        </w:tc>
        <w:tc>
          <w:tcPr>
            <w:tcW w:w="4732" w:type="dxa"/>
            <w:gridSpan w:val="2"/>
            <w:tcBorders>
              <w:left w:val="single" w:color="auto" w:sz="4" w:space="0"/>
            </w:tcBorders>
            <w:noWrap w:val="0"/>
            <w:vAlign w:val="center"/>
          </w:tcPr>
          <w:p>
            <w:pPr>
              <w:spacing w:line="600" w:lineRule="exact"/>
              <w:jc w:val="center"/>
              <w:rPr>
                <w:rFonts w:hint="eastAsia" w:ascii="宋体" w:hAnsi="宋体" w:cs="宋体"/>
                <w:color w:val="000000"/>
                <w:sz w:val="24"/>
              </w:rPr>
            </w:pPr>
            <w:r>
              <w:rPr>
                <w:rFonts w:hint="eastAsia" w:ascii="宋体" w:hAnsi="宋体" w:cs="宋体"/>
                <w:color w:val="000000"/>
                <w:sz w:val="24"/>
              </w:rPr>
              <w:t>（大写）</w:t>
            </w:r>
          </w:p>
        </w:tc>
      </w:tr>
    </w:tbl>
    <w:p>
      <w:pPr>
        <w:shd w:val="clear" w:color="auto" w:fill="FFFFFF"/>
        <w:snapToGrid w:val="0"/>
        <w:spacing w:line="600" w:lineRule="exact"/>
        <w:ind w:firstLine="480"/>
        <w:rPr>
          <w:rFonts w:hint="eastAsia" w:ascii="宋体" w:hAnsi="宋体" w:cs="宋体"/>
          <w:color w:val="000000"/>
          <w:kern w:val="0"/>
          <w:sz w:val="24"/>
          <w:lang w:val="zh-CN"/>
        </w:rPr>
      </w:pPr>
      <w:r>
        <w:rPr>
          <w:rFonts w:hint="eastAsia" w:ascii="宋体" w:hAnsi="宋体" w:cs="宋体"/>
          <w:color w:val="000000"/>
          <w:kern w:val="0"/>
          <w:sz w:val="24"/>
        </w:rPr>
        <w:t>1</w:t>
      </w:r>
      <w:r>
        <w:rPr>
          <w:rFonts w:hint="eastAsia" w:ascii="宋体" w:hAnsi="宋体" w:cs="宋体"/>
          <w:color w:val="000000"/>
          <w:kern w:val="0"/>
          <w:sz w:val="24"/>
          <w:lang w:val="zh-CN"/>
        </w:rPr>
        <w:t>、本投标文件及其所附文件涵盖了我方要约的全部内容。</w:t>
      </w:r>
    </w:p>
    <w:p>
      <w:pPr>
        <w:shd w:val="clear" w:color="auto" w:fill="FFFFFF"/>
        <w:snapToGrid w:val="0"/>
        <w:spacing w:line="600" w:lineRule="exact"/>
        <w:ind w:firstLine="480"/>
        <w:rPr>
          <w:rFonts w:hint="eastAsia" w:ascii="宋体" w:hAnsi="宋体" w:cs="宋体"/>
          <w:color w:val="000000"/>
          <w:kern w:val="0"/>
          <w:sz w:val="24"/>
        </w:rPr>
      </w:pPr>
      <w:r>
        <w:rPr>
          <w:rFonts w:hint="eastAsia" w:ascii="宋体" w:hAnsi="宋体" w:cs="宋体"/>
          <w:color w:val="000000"/>
          <w:kern w:val="0"/>
          <w:sz w:val="24"/>
          <w:lang w:val="zh-CN"/>
        </w:rPr>
        <w:t>(1)我方要约有效期为自投标截止；日起</w:t>
      </w:r>
      <w:r>
        <w:rPr>
          <w:rFonts w:hint="eastAsia" w:ascii="宋体" w:hAnsi="宋体" w:cs="宋体"/>
          <w:color w:val="000000"/>
          <w:kern w:val="0"/>
          <w:sz w:val="24"/>
        </w:rPr>
        <w:t>9</w:t>
      </w:r>
      <w:r>
        <w:rPr>
          <w:rFonts w:hint="eastAsia" w:ascii="宋体" w:hAnsi="宋体" w:cs="宋体"/>
          <w:color w:val="000000"/>
          <w:kern w:val="0"/>
          <w:sz w:val="24"/>
          <w:lang w:val="zh-CN"/>
        </w:rPr>
        <w:t>0天；</w:t>
      </w:r>
    </w:p>
    <w:p>
      <w:pPr>
        <w:shd w:val="clear" w:color="auto" w:fill="FFFFFF"/>
        <w:snapToGrid w:val="0"/>
        <w:spacing w:line="600" w:lineRule="exact"/>
        <w:ind w:firstLine="480"/>
        <w:rPr>
          <w:rFonts w:hint="eastAsia" w:ascii="宋体" w:hAnsi="宋体" w:cs="宋体"/>
          <w:color w:val="000000"/>
          <w:kern w:val="0"/>
          <w:sz w:val="24"/>
          <w:lang w:val="zh-CN"/>
        </w:rPr>
      </w:pPr>
      <w:r>
        <w:rPr>
          <w:rFonts w:hint="eastAsia" w:ascii="宋体" w:hAnsi="宋体" w:cs="宋体"/>
          <w:color w:val="000000"/>
          <w:kern w:val="0"/>
          <w:sz w:val="24"/>
          <w:lang w:val="zh-CN"/>
        </w:rPr>
        <w:t>(2)在投标有效标期内，我方受投标文件之价目表上我方要约金额的约束。</w:t>
      </w:r>
    </w:p>
    <w:p>
      <w:pPr>
        <w:shd w:val="clear" w:color="auto" w:fill="FFFFFF"/>
        <w:snapToGrid w:val="0"/>
        <w:spacing w:line="600" w:lineRule="exact"/>
        <w:ind w:firstLine="480"/>
        <w:rPr>
          <w:rFonts w:hint="eastAsia" w:ascii="宋体" w:hAnsi="宋体" w:cs="宋体"/>
          <w:color w:val="000000"/>
          <w:kern w:val="0"/>
          <w:sz w:val="24"/>
          <w:lang w:val="zh-CN"/>
        </w:rPr>
      </w:pPr>
    </w:p>
    <w:p>
      <w:pPr>
        <w:shd w:val="clear" w:color="auto" w:fill="FFFFFF"/>
        <w:snapToGrid w:val="0"/>
        <w:spacing w:line="600" w:lineRule="exact"/>
        <w:ind w:firstLine="360" w:firstLineChars="150"/>
        <w:rPr>
          <w:rFonts w:hint="eastAsia" w:ascii="宋体" w:hAnsi="宋体" w:cs="宋体"/>
          <w:color w:val="000000"/>
          <w:kern w:val="0"/>
          <w:sz w:val="24"/>
          <w:u w:val="single"/>
          <w:lang w:val="zh-CN"/>
        </w:rPr>
      </w:pPr>
      <w:r>
        <w:rPr>
          <w:rFonts w:hint="eastAsia" w:ascii="宋体" w:hAnsi="宋体" w:cs="宋体"/>
          <w:color w:val="000000"/>
          <w:kern w:val="0"/>
          <w:sz w:val="24"/>
          <w:lang w:val="zh-CN"/>
        </w:rPr>
        <w:t>法定（授权）代表人（签字）：</w:t>
      </w:r>
      <w:r>
        <w:rPr>
          <w:rFonts w:hint="eastAsia" w:ascii="宋体" w:hAnsi="宋体" w:cs="宋体"/>
          <w:color w:val="000000"/>
          <w:kern w:val="0"/>
          <w:sz w:val="24"/>
          <w:u w:val="single"/>
          <w:lang w:val="zh-CN"/>
        </w:rPr>
        <w:t xml:space="preserve">                </w:t>
      </w:r>
    </w:p>
    <w:p>
      <w:pPr>
        <w:shd w:val="clear" w:color="auto" w:fill="FFFFFF"/>
        <w:snapToGrid w:val="0"/>
        <w:spacing w:line="600" w:lineRule="exact"/>
        <w:ind w:firstLine="360" w:firstLineChars="150"/>
        <w:rPr>
          <w:rFonts w:hint="eastAsia" w:ascii="宋体" w:hAnsi="宋体" w:cs="宋体"/>
          <w:color w:val="000000"/>
          <w:kern w:val="0"/>
          <w:sz w:val="24"/>
        </w:rPr>
      </w:pPr>
      <w:r>
        <w:rPr>
          <w:rFonts w:hint="eastAsia" w:ascii="宋体" w:hAnsi="宋体" w:cs="宋体"/>
          <w:color w:val="000000"/>
          <w:kern w:val="0"/>
          <w:sz w:val="24"/>
        </w:rPr>
        <w:t>投标人名称（公章）:</w:t>
      </w:r>
      <w:r>
        <w:rPr>
          <w:rFonts w:hint="eastAsia" w:ascii="宋体" w:hAnsi="宋体" w:cs="宋体"/>
          <w:color w:val="000000"/>
          <w:kern w:val="0"/>
          <w:sz w:val="24"/>
          <w:u w:val="single"/>
          <w:lang w:val="zh-CN"/>
        </w:rPr>
        <w:t xml:space="preserve">                </w:t>
      </w:r>
    </w:p>
    <w:p>
      <w:pPr>
        <w:shd w:val="clear" w:color="auto" w:fill="FFFFFF"/>
        <w:snapToGrid w:val="0"/>
        <w:spacing w:line="600" w:lineRule="exact"/>
        <w:ind w:firstLine="360" w:firstLineChars="150"/>
        <w:rPr>
          <w:rFonts w:hint="eastAsia" w:ascii="宋体" w:hAnsi="宋体" w:cs="宋体"/>
          <w:color w:val="000000"/>
          <w:kern w:val="0"/>
          <w:sz w:val="24"/>
          <w:lang w:val="zh-CN"/>
        </w:rPr>
      </w:pPr>
      <w:r>
        <w:rPr>
          <w:rFonts w:hint="eastAsia" w:ascii="宋体" w:hAnsi="宋体" w:cs="宋体"/>
          <w:color w:val="000000"/>
          <w:kern w:val="0"/>
          <w:sz w:val="24"/>
          <w:lang w:val="zh-CN"/>
        </w:rPr>
        <w:t>日期：</w:t>
      </w:r>
      <w:r>
        <w:rPr>
          <w:rFonts w:hint="eastAsia" w:ascii="宋体" w:hAnsi="宋体" w:cs="宋体"/>
          <w:color w:val="000000"/>
          <w:kern w:val="0"/>
          <w:sz w:val="24"/>
          <w:u w:val="single"/>
          <w:lang w:val="zh-CN"/>
        </w:rPr>
        <w:t xml:space="preserve">                </w:t>
      </w:r>
    </w:p>
    <w:p>
      <w:pPr>
        <w:shd w:val="clear" w:color="auto" w:fill="FFFFFF"/>
        <w:snapToGrid w:val="0"/>
        <w:spacing w:line="600" w:lineRule="exact"/>
        <w:rPr>
          <w:rFonts w:hint="eastAsia" w:ascii="宋体" w:hAnsi="宋体" w:cs="宋体"/>
          <w:color w:val="000000"/>
          <w:sz w:val="24"/>
        </w:rPr>
      </w:pPr>
    </w:p>
    <w:p>
      <w:pPr>
        <w:shd w:val="clear" w:color="auto" w:fill="FFFFFF"/>
        <w:snapToGrid w:val="0"/>
        <w:spacing w:line="600" w:lineRule="exact"/>
        <w:rPr>
          <w:rFonts w:hint="eastAsia" w:ascii="宋体" w:hAnsi="宋体" w:cs="宋体"/>
          <w:color w:val="000000"/>
          <w:sz w:val="24"/>
        </w:rPr>
      </w:pPr>
    </w:p>
    <w:p>
      <w:pPr>
        <w:shd w:val="clear" w:color="auto" w:fill="FFFFFF"/>
        <w:snapToGrid w:val="0"/>
        <w:spacing w:line="600" w:lineRule="exact"/>
        <w:rPr>
          <w:rFonts w:hint="eastAsia" w:ascii="宋体" w:hAnsi="宋体" w:cs="宋体"/>
          <w:color w:val="000000"/>
          <w:sz w:val="24"/>
        </w:rPr>
      </w:pPr>
    </w:p>
    <w:p>
      <w:pPr>
        <w:spacing w:line="600" w:lineRule="exact"/>
        <w:rPr>
          <w:rFonts w:hint="eastAsia" w:ascii="宋体" w:hAnsi="宋体" w:cs="宋体"/>
          <w:color w:val="000000"/>
          <w:sz w:val="24"/>
        </w:rPr>
      </w:pPr>
    </w:p>
    <w:p>
      <w:pPr>
        <w:pageBreakBefore/>
        <w:shd w:val="clear" w:color="auto" w:fill="FFFFFF"/>
        <w:snapToGrid w:val="0"/>
        <w:spacing w:line="600" w:lineRule="exact"/>
        <w:ind w:firstLine="562" w:firstLineChars="200"/>
        <w:jc w:val="center"/>
        <w:outlineLvl w:val="2"/>
        <w:rPr>
          <w:rFonts w:hint="eastAsia" w:ascii="宋体" w:hAnsi="宋体" w:cs="宋体"/>
          <w:b/>
          <w:color w:val="000000"/>
          <w:sz w:val="24"/>
        </w:rPr>
      </w:pPr>
      <w:bookmarkStart w:id="180" w:name="_Toc233618992"/>
      <w:r>
        <w:rPr>
          <w:rFonts w:hint="eastAsia" w:ascii="宋体" w:hAnsi="宋体" w:cs="宋体"/>
          <w:b/>
          <w:bCs/>
          <w:color w:val="000000"/>
          <w:sz w:val="28"/>
          <w:szCs w:val="28"/>
        </w:rPr>
        <w:t>三、报价明细清单</w:t>
      </w:r>
      <w:bookmarkEnd w:id="180"/>
    </w:p>
    <w:p>
      <w:pPr>
        <w:snapToGrid w:val="0"/>
        <w:spacing w:line="600" w:lineRule="exact"/>
        <w:rPr>
          <w:rFonts w:hint="eastAsia" w:ascii="宋体" w:hAnsi="宋体" w:cs="宋体"/>
          <w:color w:val="000000"/>
          <w:sz w:val="24"/>
        </w:rPr>
      </w:pPr>
    </w:p>
    <w:tbl>
      <w:tblPr>
        <w:tblStyle w:val="78"/>
        <w:tblW w:w="0" w:type="auto"/>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902"/>
        <w:gridCol w:w="815"/>
        <w:gridCol w:w="1077"/>
        <w:gridCol w:w="359"/>
        <w:gridCol w:w="1450"/>
        <w:gridCol w:w="720"/>
        <w:gridCol w:w="720"/>
        <w:gridCol w:w="722"/>
        <w:gridCol w:w="1319"/>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jc w:val="center"/>
        </w:trPr>
        <w:tc>
          <w:tcPr>
            <w:tcW w:w="902" w:type="dxa"/>
            <w:tcBorders>
              <w:top w:val="single" w:color="auto" w:sz="8" w:space="0"/>
              <w:left w:val="single" w:color="auto" w:sz="8" w:space="0"/>
              <w:bottom w:val="single" w:color="auto" w:sz="2" w:space="0"/>
              <w:right w:val="single" w:color="auto" w:sz="2" w:space="0"/>
            </w:tcBorders>
            <w:noWrap w:val="0"/>
            <w:vAlign w:val="center"/>
          </w:tcPr>
          <w:p>
            <w:pPr>
              <w:snapToGrid w:val="0"/>
              <w:spacing w:line="600" w:lineRule="exact"/>
              <w:jc w:val="center"/>
              <w:rPr>
                <w:rFonts w:hint="eastAsia" w:ascii="宋体" w:hAnsi="宋体" w:cs="宋体"/>
                <w:color w:val="000000"/>
                <w:szCs w:val="21"/>
              </w:rPr>
            </w:pPr>
            <w:r>
              <w:rPr>
                <w:rFonts w:hint="eastAsia" w:ascii="宋体" w:hAnsi="宋体" w:cs="宋体"/>
                <w:color w:val="000000"/>
                <w:szCs w:val="21"/>
              </w:rPr>
              <w:t>序号</w:t>
            </w:r>
          </w:p>
        </w:tc>
        <w:tc>
          <w:tcPr>
            <w:tcW w:w="815" w:type="dxa"/>
            <w:tcBorders>
              <w:top w:val="single" w:color="auto" w:sz="8" w:space="0"/>
              <w:left w:val="single" w:color="auto" w:sz="2" w:space="0"/>
              <w:bottom w:val="single" w:color="auto" w:sz="2" w:space="0"/>
              <w:right w:val="single" w:color="auto"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名称</w:t>
            </w:r>
          </w:p>
        </w:tc>
        <w:tc>
          <w:tcPr>
            <w:tcW w:w="1077" w:type="dxa"/>
            <w:tcBorders>
              <w:top w:val="single" w:color="auto" w:sz="8" w:space="0"/>
              <w:left w:val="single" w:color="auto" w:sz="4" w:space="0"/>
              <w:bottom w:val="single" w:color="auto" w:sz="2" w:space="0"/>
              <w:right w:val="single" w:color="auto" w:sz="2"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规格型号</w:t>
            </w:r>
          </w:p>
        </w:tc>
        <w:tc>
          <w:tcPr>
            <w:tcW w:w="1809" w:type="dxa"/>
            <w:gridSpan w:val="2"/>
            <w:tcBorders>
              <w:top w:val="single" w:color="auto" w:sz="8" w:space="0"/>
              <w:left w:val="single" w:color="auto" w:sz="4" w:space="0"/>
              <w:bottom w:val="single" w:color="auto" w:sz="2" w:space="0"/>
              <w:right w:val="single" w:color="auto" w:sz="2"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产地品牌、材料配置及技术参数</w:t>
            </w:r>
          </w:p>
        </w:tc>
        <w:tc>
          <w:tcPr>
            <w:tcW w:w="720" w:type="dxa"/>
            <w:tcBorders>
              <w:top w:val="single" w:color="auto" w:sz="8" w:space="0"/>
              <w:left w:val="single" w:color="auto" w:sz="4" w:space="0"/>
              <w:bottom w:val="single" w:color="auto" w:sz="2" w:space="0"/>
              <w:right w:val="single" w:color="auto" w:sz="2"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单位</w:t>
            </w:r>
          </w:p>
        </w:tc>
        <w:tc>
          <w:tcPr>
            <w:tcW w:w="720" w:type="dxa"/>
            <w:tcBorders>
              <w:top w:val="single" w:color="auto" w:sz="8" w:space="0"/>
              <w:left w:val="single" w:color="auto" w:sz="2" w:space="0"/>
              <w:bottom w:val="single" w:color="auto" w:sz="2" w:space="0"/>
              <w:right w:val="single" w:color="auto"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数量</w:t>
            </w:r>
          </w:p>
        </w:tc>
        <w:tc>
          <w:tcPr>
            <w:tcW w:w="722" w:type="dxa"/>
            <w:tcBorders>
              <w:top w:val="single" w:color="auto" w:sz="8" w:space="0"/>
              <w:left w:val="single" w:color="auto" w:sz="4" w:space="0"/>
              <w:bottom w:val="single" w:color="auto" w:sz="2" w:space="0"/>
              <w:right w:val="single" w:color="auto" w:sz="4" w:space="0"/>
            </w:tcBorders>
            <w:noWrap w:val="0"/>
            <w:vAlign w:val="center"/>
          </w:tcPr>
          <w:p>
            <w:pPr>
              <w:snapToGrid w:val="0"/>
              <w:spacing w:line="600" w:lineRule="exact"/>
              <w:jc w:val="center"/>
              <w:rPr>
                <w:rFonts w:hint="eastAsia" w:ascii="宋体" w:hAnsi="宋体" w:cs="宋体"/>
                <w:color w:val="000000"/>
                <w:szCs w:val="21"/>
              </w:rPr>
            </w:pPr>
            <w:r>
              <w:rPr>
                <w:rFonts w:hint="eastAsia" w:ascii="宋体" w:hAnsi="宋体" w:cs="宋体"/>
                <w:color w:val="000000"/>
                <w:szCs w:val="21"/>
              </w:rPr>
              <w:t>单价</w:t>
            </w:r>
          </w:p>
        </w:tc>
        <w:tc>
          <w:tcPr>
            <w:tcW w:w="1319" w:type="dxa"/>
            <w:tcBorders>
              <w:top w:val="single" w:color="auto" w:sz="8" w:space="0"/>
              <w:left w:val="single" w:color="auto" w:sz="4" w:space="0"/>
              <w:bottom w:val="single" w:color="auto" w:sz="2" w:space="0"/>
              <w:right w:val="single" w:color="auto" w:sz="8" w:space="0"/>
            </w:tcBorders>
            <w:noWrap w:val="0"/>
            <w:vAlign w:val="center"/>
          </w:tcPr>
          <w:p>
            <w:pPr>
              <w:snapToGrid w:val="0"/>
              <w:spacing w:line="600" w:lineRule="exact"/>
              <w:jc w:val="center"/>
              <w:rPr>
                <w:rFonts w:hint="eastAsia" w:ascii="宋体" w:hAnsi="宋体" w:cs="宋体"/>
                <w:color w:val="000000"/>
                <w:szCs w:val="21"/>
              </w:rPr>
            </w:pPr>
            <w:r>
              <w:rPr>
                <w:rFonts w:hint="eastAsia" w:ascii="宋体" w:hAnsi="宋体" w:cs="宋体"/>
                <w:color w:val="000000"/>
                <w:szCs w:val="21"/>
              </w:rPr>
              <w:t>小计</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315" w:hRule="atLeast"/>
          <w:jc w:val="center"/>
        </w:trPr>
        <w:tc>
          <w:tcPr>
            <w:tcW w:w="902" w:type="dxa"/>
            <w:tcBorders>
              <w:top w:val="single" w:color="auto" w:sz="2" w:space="0"/>
              <w:left w:val="single" w:color="auto" w:sz="8" w:space="0"/>
              <w:bottom w:val="single" w:color="auto" w:sz="4" w:space="0"/>
              <w:right w:val="single" w:color="auto" w:sz="2" w:space="0"/>
            </w:tcBorders>
            <w:noWrap w:val="0"/>
            <w:vAlign w:val="center"/>
          </w:tcPr>
          <w:p>
            <w:pPr>
              <w:snapToGrid w:val="0"/>
              <w:spacing w:line="600" w:lineRule="exact"/>
              <w:jc w:val="center"/>
              <w:rPr>
                <w:rFonts w:hint="eastAsia" w:ascii="宋体" w:hAnsi="宋体" w:cs="宋体"/>
                <w:color w:val="000000"/>
                <w:sz w:val="24"/>
              </w:rPr>
            </w:pPr>
            <w:r>
              <w:rPr>
                <w:rFonts w:hint="eastAsia" w:ascii="宋体" w:hAnsi="宋体" w:cs="宋体"/>
                <w:color w:val="000000"/>
                <w:sz w:val="24"/>
              </w:rPr>
              <w:t>1</w:t>
            </w:r>
          </w:p>
        </w:tc>
        <w:tc>
          <w:tcPr>
            <w:tcW w:w="815" w:type="dxa"/>
            <w:tcBorders>
              <w:top w:val="single" w:color="auto" w:sz="2" w:space="0"/>
              <w:left w:val="single" w:color="auto" w:sz="2" w:space="0"/>
              <w:bottom w:val="single" w:color="auto" w:sz="4" w:space="0"/>
              <w:right w:val="single" w:color="auto" w:sz="4" w:space="0"/>
            </w:tcBorders>
            <w:noWrap w:val="0"/>
            <w:vAlign w:val="top"/>
          </w:tcPr>
          <w:p>
            <w:pPr>
              <w:snapToGrid w:val="0"/>
              <w:spacing w:line="600" w:lineRule="exact"/>
              <w:rPr>
                <w:rFonts w:hint="eastAsia" w:ascii="宋体" w:hAnsi="宋体" w:cs="宋体"/>
                <w:b/>
                <w:color w:val="000000"/>
                <w:sz w:val="24"/>
              </w:rPr>
            </w:pPr>
          </w:p>
        </w:tc>
        <w:tc>
          <w:tcPr>
            <w:tcW w:w="1077" w:type="dxa"/>
            <w:tcBorders>
              <w:top w:val="single" w:color="auto" w:sz="2" w:space="0"/>
              <w:left w:val="single" w:color="auto" w:sz="4" w:space="0"/>
              <w:bottom w:val="single" w:color="auto" w:sz="4" w:space="0"/>
              <w:right w:val="single" w:color="auto" w:sz="2" w:space="0"/>
            </w:tcBorders>
            <w:noWrap w:val="0"/>
            <w:vAlign w:val="top"/>
          </w:tcPr>
          <w:p>
            <w:pPr>
              <w:snapToGrid w:val="0"/>
              <w:spacing w:line="600" w:lineRule="exact"/>
              <w:rPr>
                <w:rFonts w:hint="eastAsia" w:ascii="宋体" w:hAnsi="宋体" w:cs="宋体"/>
                <w:b/>
                <w:color w:val="000000"/>
                <w:sz w:val="24"/>
              </w:rPr>
            </w:pPr>
          </w:p>
        </w:tc>
        <w:tc>
          <w:tcPr>
            <w:tcW w:w="1809" w:type="dxa"/>
            <w:gridSpan w:val="2"/>
            <w:tcBorders>
              <w:top w:val="single" w:color="auto" w:sz="2" w:space="0"/>
              <w:left w:val="single" w:color="auto" w:sz="4" w:space="0"/>
              <w:bottom w:val="single" w:color="auto" w:sz="4" w:space="0"/>
              <w:right w:val="single" w:color="auto" w:sz="2" w:space="0"/>
            </w:tcBorders>
            <w:noWrap w:val="0"/>
            <w:vAlign w:val="top"/>
          </w:tcPr>
          <w:p>
            <w:pPr>
              <w:snapToGrid w:val="0"/>
              <w:spacing w:line="600" w:lineRule="exact"/>
              <w:rPr>
                <w:rFonts w:hint="eastAsia" w:ascii="宋体" w:hAnsi="宋体" w:cs="宋体"/>
                <w:b/>
                <w:color w:val="000000"/>
                <w:sz w:val="24"/>
              </w:rPr>
            </w:pPr>
          </w:p>
        </w:tc>
        <w:tc>
          <w:tcPr>
            <w:tcW w:w="720" w:type="dxa"/>
            <w:tcBorders>
              <w:top w:val="single" w:color="auto" w:sz="2" w:space="0"/>
              <w:left w:val="single" w:color="auto" w:sz="4" w:space="0"/>
              <w:bottom w:val="single" w:color="auto" w:sz="4" w:space="0"/>
              <w:right w:val="single" w:color="auto" w:sz="2" w:space="0"/>
            </w:tcBorders>
            <w:noWrap w:val="0"/>
            <w:vAlign w:val="top"/>
          </w:tcPr>
          <w:p>
            <w:pPr>
              <w:snapToGrid w:val="0"/>
              <w:spacing w:line="600" w:lineRule="exact"/>
              <w:rPr>
                <w:rFonts w:hint="eastAsia" w:ascii="宋体" w:hAnsi="宋体" w:cs="宋体"/>
                <w:b/>
                <w:color w:val="000000"/>
                <w:sz w:val="24"/>
              </w:rPr>
            </w:pPr>
          </w:p>
        </w:tc>
        <w:tc>
          <w:tcPr>
            <w:tcW w:w="720" w:type="dxa"/>
            <w:tcBorders>
              <w:top w:val="single" w:color="auto" w:sz="2" w:space="0"/>
              <w:left w:val="single" w:color="auto" w:sz="2" w:space="0"/>
              <w:bottom w:val="single" w:color="auto" w:sz="4" w:space="0"/>
              <w:right w:val="single" w:color="auto" w:sz="4" w:space="0"/>
            </w:tcBorders>
            <w:noWrap w:val="0"/>
            <w:vAlign w:val="center"/>
          </w:tcPr>
          <w:p>
            <w:pPr>
              <w:snapToGrid w:val="0"/>
              <w:spacing w:line="600" w:lineRule="exact"/>
              <w:jc w:val="center"/>
              <w:rPr>
                <w:rFonts w:hint="eastAsia" w:ascii="宋体" w:hAnsi="宋体" w:cs="宋体"/>
                <w:color w:val="000000"/>
                <w:sz w:val="24"/>
              </w:rPr>
            </w:pPr>
          </w:p>
        </w:tc>
        <w:tc>
          <w:tcPr>
            <w:tcW w:w="722" w:type="dxa"/>
            <w:tcBorders>
              <w:top w:val="single" w:color="auto" w:sz="2" w:space="0"/>
              <w:left w:val="single" w:color="auto" w:sz="4" w:space="0"/>
              <w:bottom w:val="single" w:color="auto" w:sz="4" w:space="0"/>
              <w:right w:val="single" w:color="auto" w:sz="4" w:space="0"/>
            </w:tcBorders>
            <w:noWrap w:val="0"/>
            <w:vAlign w:val="center"/>
          </w:tcPr>
          <w:p>
            <w:pPr>
              <w:snapToGrid w:val="0"/>
              <w:spacing w:line="600" w:lineRule="exact"/>
              <w:jc w:val="center"/>
              <w:rPr>
                <w:rFonts w:hint="eastAsia" w:ascii="宋体" w:hAnsi="宋体" w:cs="宋体"/>
                <w:color w:val="000000"/>
                <w:sz w:val="24"/>
              </w:rPr>
            </w:pPr>
          </w:p>
        </w:tc>
        <w:tc>
          <w:tcPr>
            <w:tcW w:w="1319" w:type="dxa"/>
            <w:tcBorders>
              <w:top w:val="single" w:color="auto" w:sz="2" w:space="0"/>
              <w:left w:val="single" w:color="auto" w:sz="4" w:space="0"/>
              <w:bottom w:val="single" w:color="auto" w:sz="4" w:space="0"/>
              <w:right w:val="single" w:color="auto" w:sz="8" w:space="0"/>
            </w:tcBorders>
            <w:noWrap w:val="0"/>
            <w:vAlign w:val="center"/>
          </w:tcPr>
          <w:p>
            <w:pPr>
              <w:snapToGrid w:val="0"/>
              <w:spacing w:line="600" w:lineRule="exact"/>
              <w:jc w:val="center"/>
              <w:rPr>
                <w:rFonts w:hint="eastAsia" w:ascii="宋体" w:hAnsi="宋体" w:cs="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27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600" w:lineRule="exact"/>
              <w:jc w:val="center"/>
              <w:rPr>
                <w:rFonts w:hint="eastAsia" w:ascii="宋体" w:hAnsi="宋体" w:cs="宋体"/>
                <w:color w:val="000000"/>
                <w:sz w:val="24"/>
              </w:rPr>
            </w:pPr>
            <w:r>
              <w:rPr>
                <w:rFonts w:hint="eastAsia" w:ascii="宋体" w:hAnsi="宋体" w:cs="宋体"/>
                <w:color w:val="000000"/>
                <w:sz w:val="24"/>
              </w:rPr>
              <w:t>2</w:t>
            </w:r>
          </w:p>
        </w:tc>
        <w:tc>
          <w:tcPr>
            <w:tcW w:w="815" w:type="dxa"/>
            <w:tcBorders>
              <w:top w:val="single" w:color="auto" w:sz="4" w:space="0"/>
              <w:left w:val="single" w:color="auto" w:sz="2" w:space="0"/>
              <w:bottom w:val="single" w:color="auto" w:sz="4" w:space="0"/>
              <w:right w:val="single" w:color="auto" w:sz="4" w:space="0"/>
            </w:tcBorders>
            <w:noWrap w:val="0"/>
            <w:vAlign w:val="top"/>
          </w:tcPr>
          <w:p>
            <w:pPr>
              <w:snapToGrid w:val="0"/>
              <w:spacing w:line="600" w:lineRule="exact"/>
              <w:rPr>
                <w:rFonts w:hint="eastAsia" w:ascii="宋体" w:hAnsi="宋体" w:cs="宋体"/>
                <w:color w:val="000000"/>
                <w:sz w:val="24"/>
              </w:rPr>
            </w:pPr>
          </w:p>
        </w:tc>
        <w:tc>
          <w:tcPr>
            <w:tcW w:w="1077" w:type="dxa"/>
            <w:tcBorders>
              <w:top w:val="single" w:color="auto" w:sz="4" w:space="0"/>
              <w:left w:val="single" w:color="auto" w:sz="4" w:space="0"/>
              <w:bottom w:val="single" w:color="auto" w:sz="4" w:space="0"/>
              <w:right w:val="single" w:color="auto" w:sz="2" w:space="0"/>
            </w:tcBorders>
            <w:noWrap w:val="0"/>
            <w:vAlign w:val="top"/>
          </w:tcPr>
          <w:p>
            <w:pPr>
              <w:snapToGrid w:val="0"/>
              <w:spacing w:line="600" w:lineRule="exact"/>
              <w:rPr>
                <w:rFonts w:hint="eastAsia" w:ascii="宋体" w:hAnsi="宋体" w:cs="宋体"/>
                <w:color w:val="000000"/>
                <w:sz w:val="24"/>
              </w:rPr>
            </w:pPr>
          </w:p>
        </w:tc>
        <w:tc>
          <w:tcPr>
            <w:tcW w:w="1809"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line="600" w:lineRule="exact"/>
              <w:rPr>
                <w:rFonts w:hint="eastAsia" w:ascii="宋体" w:hAnsi="宋体" w:cs="宋体"/>
                <w:color w:val="000000"/>
                <w:sz w:val="24"/>
              </w:rPr>
            </w:pPr>
          </w:p>
        </w:tc>
        <w:tc>
          <w:tcPr>
            <w:tcW w:w="720" w:type="dxa"/>
            <w:tcBorders>
              <w:top w:val="single" w:color="auto" w:sz="4" w:space="0"/>
              <w:left w:val="single" w:color="auto" w:sz="4" w:space="0"/>
              <w:bottom w:val="single" w:color="auto" w:sz="4" w:space="0"/>
              <w:right w:val="single" w:color="auto" w:sz="2" w:space="0"/>
            </w:tcBorders>
            <w:noWrap w:val="0"/>
            <w:vAlign w:val="top"/>
          </w:tcPr>
          <w:p>
            <w:pPr>
              <w:snapToGrid w:val="0"/>
              <w:spacing w:line="600" w:lineRule="exact"/>
              <w:rPr>
                <w:rFonts w:hint="eastAsia" w:ascii="宋体" w:hAnsi="宋体" w:cs="宋体"/>
                <w:color w:val="000000"/>
                <w:sz w:val="24"/>
              </w:rPr>
            </w:pPr>
          </w:p>
        </w:tc>
        <w:tc>
          <w:tcPr>
            <w:tcW w:w="720" w:type="dxa"/>
            <w:tcBorders>
              <w:top w:val="single" w:color="auto" w:sz="4" w:space="0"/>
              <w:left w:val="single" w:color="auto" w:sz="2" w:space="0"/>
              <w:bottom w:val="single" w:color="auto" w:sz="4" w:space="0"/>
              <w:right w:val="single" w:color="auto" w:sz="4" w:space="0"/>
            </w:tcBorders>
            <w:noWrap w:val="0"/>
            <w:vAlign w:val="center"/>
          </w:tcPr>
          <w:p>
            <w:pPr>
              <w:snapToGrid w:val="0"/>
              <w:spacing w:line="600" w:lineRule="exact"/>
              <w:jc w:val="center"/>
              <w:rPr>
                <w:rFonts w:hint="eastAsia" w:ascii="宋体" w:hAnsi="宋体" w:cs="宋体"/>
                <w:color w:val="000000"/>
                <w:sz w:val="24"/>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center"/>
              <w:rPr>
                <w:rFonts w:hint="eastAsia" w:ascii="宋体" w:hAnsi="宋体" w:cs="宋体"/>
                <w:color w:val="000000"/>
                <w:sz w:val="24"/>
              </w:rPr>
            </w:pPr>
          </w:p>
        </w:tc>
        <w:tc>
          <w:tcPr>
            <w:tcW w:w="1319" w:type="dxa"/>
            <w:tcBorders>
              <w:top w:val="single" w:color="auto" w:sz="4" w:space="0"/>
              <w:left w:val="single" w:color="auto" w:sz="4" w:space="0"/>
              <w:bottom w:val="single" w:color="auto" w:sz="4" w:space="0"/>
              <w:right w:val="single" w:color="auto" w:sz="8" w:space="0"/>
            </w:tcBorders>
            <w:noWrap w:val="0"/>
            <w:vAlign w:val="center"/>
          </w:tcPr>
          <w:p>
            <w:pPr>
              <w:snapToGrid w:val="0"/>
              <w:spacing w:line="600" w:lineRule="exact"/>
              <w:jc w:val="center"/>
              <w:rPr>
                <w:rFonts w:hint="eastAsia" w:ascii="宋体" w:hAnsi="宋体" w:cs="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1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600" w:lineRule="exact"/>
              <w:jc w:val="center"/>
              <w:rPr>
                <w:rFonts w:hint="eastAsia" w:ascii="宋体" w:hAnsi="宋体" w:cs="宋体"/>
                <w:color w:val="000000"/>
                <w:sz w:val="24"/>
              </w:rPr>
            </w:pPr>
            <w:r>
              <w:rPr>
                <w:rFonts w:hint="eastAsia" w:ascii="宋体" w:hAnsi="宋体" w:cs="宋体"/>
                <w:color w:val="000000"/>
                <w:sz w:val="24"/>
              </w:rPr>
              <w:t>3</w:t>
            </w:r>
          </w:p>
        </w:tc>
        <w:tc>
          <w:tcPr>
            <w:tcW w:w="815" w:type="dxa"/>
            <w:tcBorders>
              <w:top w:val="single" w:color="auto" w:sz="4" w:space="0"/>
              <w:left w:val="single" w:color="auto" w:sz="2" w:space="0"/>
              <w:bottom w:val="single" w:color="auto" w:sz="4" w:space="0"/>
              <w:right w:val="single" w:color="auto" w:sz="4" w:space="0"/>
            </w:tcBorders>
            <w:noWrap w:val="0"/>
            <w:vAlign w:val="top"/>
          </w:tcPr>
          <w:p>
            <w:pPr>
              <w:snapToGrid w:val="0"/>
              <w:spacing w:line="600" w:lineRule="exact"/>
              <w:rPr>
                <w:rFonts w:hint="eastAsia" w:ascii="宋体" w:hAnsi="宋体" w:cs="宋体"/>
                <w:color w:val="000000"/>
                <w:sz w:val="24"/>
              </w:rPr>
            </w:pPr>
          </w:p>
        </w:tc>
        <w:tc>
          <w:tcPr>
            <w:tcW w:w="1077" w:type="dxa"/>
            <w:tcBorders>
              <w:top w:val="single" w:color="auto" w:sz="4" w:space="0"/>
              <w:left w:val="single" w:color="auto" w:sz="4" w:space="0"/>
              <w:bottom w:val="single" w:color="auto" w:sz="4" w:space="0"/>
              <w:right w:val="single" w:color="auto" w:sz="2" w:space="0"/>
            </w:tcBorders>
            <w:noWrap w:val="0"/>
            <w:vAlign w:val="top"/>
          </w:tcPr>
          <w:p>
            <w:pPr>
              <w:snapToGrid w:val="0"/>
              <w:spacing w:line="600" w:lineRule="exact"/>
              <w:rPr>
                <w:rFonts w:hint="eastAsia" w:ascii="宋体" w:hAnsi="宋体" w:cs="宋体"/>
                <w:color w:val="000000"/>
                <w:sz w:val="24"/>
              </w:rPr>
            </w:pPr>
          </w:p>
        </w:tc>
        <w:tc>
          <w:tcPr>
            <w:tcW w:w="1809"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line="600" w:lineRule="exact"/>
              <w:rPr>
                <w:rFonts w:hint="eastAsia" w:ascii="宋体" w:hAnsi="宋体" w:cs="宋体"/>
                <w:color w:val="000000"/>
                <w:sz w:val="24"/>
              </w:rPr>
            </w:pPr>
          </w:p>
        </w:tc>
        <w:tc>
          <w:tcPr>
            <w:tcW w:w="720" w:type="dxa"/>
            <w:tcBorders>
              <w:top w:val="single" w:color="auto" w:sz="4" w:space="0"/>
              <w:left w:val="single" w:color="auto" w:sz="4" w:space="0"/>
              <w:bottom w:val="single" w:color="auto" w:sz="4" w:space="0"/>
              <w:right w:val="single" w:color="auto" w:sz="2" w:space="0"/>
            </w:tcBorders>
            <w:noWrap w:val="0"/>
            <w:vAlign w:val="top"/>
          </w:tcPr>
          <w:p>
            <w:pPr>
              <w:snapToGrid w:val="0"/>
              <w:spacing w:line="600" w:lineRule="exact"/>
              <w:rPr>
                <w:rFonts w:hint="eastAsia" w:ascii="宋体" w:hAnsi="宋体" w:cs="宋体"/>
                <w:color w:val="000000"/>
                <w:sz w:val="24"/>
              </w:rPr>
            </w:pPr>
          </w:p>
        </w:tc>
        <w:tc>
          <w:tcPr>
            <w:tcW w:w="720" w:type="dxa"/>
            <w:tcBorders>
              <w:top w:val="single" w:color="auto" w:sz="4" w:space="0"/>
              <w:left w:val="single" w:color="auto" w:sz="2" w:space="0"/>
              <w:bottom w:val="single" w:color="auto" w:sz="4" w:space="0"/>
              <w:right w:val="single" w:color="auto" w:sz="4" w:space="0"/>
            </w:tcBorders>
            <w:noWrap w:val="0"/>
            <w:vAlign w:val="center"/>
          </w:tcPr>
          <w:p>
            <w:pPr>
              <w:snapToGrid w:val="0"/>
              <w:spacing w:line="600" w:lineRule="exact"/>
              <w:jc w:val="center"/>
              <w:rPr>
                <w:rFonts w:hint="eastAsia" w:ascii="宋体" w:hAnsi="宋体" w:cs="宋体"/>
                <w:color w:val="000000"/>
                <w:sz w:val="24"/>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center"/>
              <w:rPr>
                <w:rFonts w:hint="eastAsia" w:ascii="宋体" w:hAnsi="宋体" w:cs="宋体"/>
                <w:color w:val="000000"/>
                <w:sz w:val="24"/>
              </w:rPr>
            </w:pPr>
          </w:p>
        </w:tc>
        <w:tc>
          <w:tcPr>
            <w:tcW w:w="1319" w:type="dxa"/>
            <w:tcBorders>
              <w:top w:val="single" w:color="auto" w:sz="4" w:space="0"/>
              <w:left w:val="single" w:color="auto" w:sz="4" w:space="0"/>
              <w:bottom w:val="single" w:color="auto" w:sz="4" w:space="0"/>
              <w:right w:val="single" w:color="auto" w:sz="8" w:space="0"/>
            </w:tcBorders>
            <w:noWrap w:val="0"/>
            <w:vAlign w:val="center"/>
          </w:tcPr>
          <w:p>
            <w:pPr>
              <w:snapToGrid w:val="0"/>
              <w:spacing w:line="600" w:lineRule="exact"/>
              <w:jc w:val="center"/>
              <w:rPr>
                <w:rFonts w:hint="eastAsia" w:ascii="宋体" w:hAnsi="宋体" w:cs="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1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600" w:lineRule="exact"/>
              <w:jc w:val="center"/>
              <w:rPr>
                <w:rFonts w:hint="eastAsia" w:ascii="宋体" w:hAnsi="宋体" w:cs="宋体"/>
                <w:color w:val="000000"/>
                <w:sz w:val="24"/>
              </w:rPr>
            </w:pPr>
            <w:r>
              <w:rPr>
                <w:rFonts w:hint="eastAsia" w:ascii="宋体" w:hAnsi="宋体" w:cs="宋体"/>
                <w:color w:val="000000"/>
                <w:sz w:val="24"/>
              </w:rPr>
              <w:t>4</w:t>
            </w:r>
          </w:p>
        </w:tc>
        <w:tc>
          <w:tcPr>
            <w:tcW w:w="815" w:type="dxa"/>
            <w:tcBorders>
              <w:top w:val="single" w:color="auto" w:sz="4" w:space="0"/>
              <w:left w:val="single" w:color="auto" w:sz="2" w:space="0"/>
              <w:bottom w:val="single" w:color="auto" w:sz="4" w:space="0"/>
              <w:right w:val="single" w:color="auto" w:sz="4" w:space="0"/>
            </w:tcBorders>
            <w:noWrap w:val="0"/>
            <w:vAlign w:val="top"/>
          </w:tcPr>
          <w:p>
            <w:pPr>
              <w:snapToGrid w:val="0"/>
              <w:spacing w:line="600" w:lineRule="exact"/>
              <w:rPr>
                <w:rFonts w:hint="eastAsia" w:ascii="宋体" w:hAnsi="宋体" w:cs="宋体"/>
                <w:color w:val="000000"/>
                <w:sz w:val="24"/>
              </w:rPr>
            </w:pPr>
          </w:p>
        </w:tc>
        <w:tc>
          <w:tcPr>
            <w:tcW w:w="1077" w:type="dxa"/>
            <w:tcBorders>
              <w:top w:val="single" w:color="auto" w:sz="4" w:space="0"/>
              <w:left w:val="single" w:color="auto" w:sz="4" w:space="0"/>
              <w:bottom w:val="single" w:color="auto" w:sz="4" w:space="0"/>
              <w:right w:val="single" w:color="auto" w:sz="2" w:space="0"/>
            </w:tcBorders>
            <w:noWrap w:val="0"/>
            <w:vAlign w:val="top"/>
          </w:tcPr>
          <w:p>
            <w:pPr>
              <w:snapToGrid w:val="0"/>
              <w:spacing w:line="600" w:lineRule="exact"/>
              <w:rPr>
                <w:rFonts w:hint="eastAsia" w:ascii="宋体" w:hAnsi="宋体" w:cs="宋体"/>
                <w:color w:val="000000"/>
                <w:sz w:val="24"/>
              </w:rPr>
            </w:pPr>
          </w:p>
        </w:tc>
        <w:tc>
          <w:tcPr>
            <w:tcW w:w="1809"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line="600" w:lineRule="exact"/>
              <w:rPr>
                <w:rFonts w:hint="eastAsia" w:ascii="宋体" w:hAnsi="宋体" w:cs="宋体"/>
                <w:color w:val="000000"/>
                <w:sz w:val="24"/>
              </w:rPr>
            </w:pPr>
          </w:p>
        </w:tc>
        <w:tc>
          <w:tcPr>
            <w:tcW w:w="720" w:type="dxa"/>
            <w:tcBorders>
              <w:top w:val="single" w:color="auto" w:sz="4" w:space="0"/>
              <w:left w:val="single" w:color="auto" w:sz="4" w:space="0"/>
              <w:bottom w:val="single" w:color="auto" w:sz="4" w:space="0"/>
              <w:right w:val="single" w:color="auto" w:sz="2" w:space="0"/>
            </w:tcBorders>
            <w:noWrap w:val="0"/>
            <w:vAlign w:val="top"/>
          </w:tcPr>
          <w:p>
            <w:pPr>
              <w:snapToGrid w:val="0"/>
              <w:spacing w:line="600" w:lineRule="exact"/>
              <w:rPr>
                <w:rFonts w:hint="eastAsia" w:ascii="宋体" w:hAnsi="宋体" w:cs="宋体"/>
                <w:color w:val="000000"/>
                <w:sz w:val="24"/>
              </w:rPr>
            </w:pPr>
          </w:p>
        </w:tc>
        <w:tc>
          <w:tcPr>
            <w:tcW w:w="720" w:type="dxa"/>
            <w:tcBorders>
              <w:top w:val="single" w:color="auto" w:sz="4" w:space="0"/>
              <w:left w:val="single" w:color="auto" w:sz="2" w:space="0"/>
              <w:bottom w:val="single" w:color="auto" w:sz="4" w:space="0"/>
              <w:right w:val="single" w:color="auto" w:sz="4" w:space="0"/>
            </w:tcBorders>
            <w:noWrap w:val="0"/>
            <w:vAlign w:val="center"/>
          </w:tcPr>
          <w:p>
            <w:pPr>
              <w:snapToGrid w:val="0"/>
              <w:spacing w:line="600" w:lineRule="exact"/>
              <w:jc w:val="center"/>
              <w:rPr>
                <w:rFonts w:hint="eastAsia" w:ascii="宋体" w:hAnsi="宋体" w:cs="宋体"/>
                <w:color w:val="000000"/>
                <w:sz w:val="24"/>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center"/>
              <w:rPr>
                <w:rFonts w:hint="eastAsia" w:ascii="宋体" w:hAnsi="宋体" w:cs="宋体"/>
                <w:color w:val="000000"/>
                <w:sz w:val="24"/>
              </w:rPr>
            </w:pPr>
          </w:p>
        </w:tc>
        <w:tc>
          <w:tcPr>
            <w:tcW w:w="1319" w:type="dxa"/>
            <w:tcBorders>
              <w:top w:val="single" w:color="auto" w:sz="4" w:space="0"/>
              <w:left w:val="single" w:color="auto" w:sz="4" w:space="0"/>
              <w:bottom w:val="single" w:color="auto" w:sz="4" w:space="0"/>
              <w:right w:val="single" w:color="auto" w:sz="8" w:space="0"/>
            </w:tcBorders>
            <w:noWrap w:val="0"/>
            <w:vAlign w:val="center"/>
          </w:tcPr>
          <w:p>
            <w:pPr>
              <w:snapToGrid w:val="0"/>
              <w:spacing w:line="600" w:lineRule="exact"/>
              <w:jc w:val="center"/>
              <w:rPr>
                <w:rFonts w:hint="eastAsia" w:ascii="宋体" w:hAnsi="宋体" w:cs="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1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600" w:lineRule="exact"/>
              <w:jc w:val="center"/>
              <w:rPr>
                <w:rFonts w:hint="eastAsia" w:ascii="宋体" w:hAnsi="宋体" w:cs="宋体"/>
                <w:color w:val="000000"/>
                <w:sz w:val="24"/>
              </w:rPr>
            </w:pPr>
            <w:r>
              <w:rPr>
                <w:rFonts w:hint="eastAsia" w:ascii="宋体" w:hAnsi="宋体" w:cs="宋体"/>
                <w:color w:val="000000"/>
                <w:sz w:val="24"/>
              </w:rPr>
              <w:t>5</w:t>
            </w:r>
          </w:p>
        </w:tc>
        <w:tc>
          <w:tcPr>
            <w:tcW w:w="815" w:type="dxa"/>
            <w:tcBorders>
              <w:top w:val="single" w:color="auto" w:sz="4" w:space="0"/>
              <w:left w:val="single" w:color="auto" w:sz="2" w:space="0"/>
              <w:bottom w:val="single" w:color="auto" w:sz="4" w:space="0"/>
              <w:right w:val="single" w:color="auto" w:sz="4" w:space="0"/>
            </w:tcBorders>
            <w:noWrap w:val="0"/>
            <w:vAlign w:val="top"/>
          </w:tcPr>
          <w:p>
            <w:pPr>
              <w:snapToGrid w:val="0"/>
              <w:spacing w:line="600" w:lineRule="exact"/>
              <w:rPr>
                <w:rFonts w:hint="eastAsia" w:ascii="宋体" w:hAnsi="宋体" w:cs="宋体"/>
                <w:color w:val="000000"/>
                <w:sz w:val="24"/>
              </w:rPr>
            </w:pPr>
          </w:p>
        </w:tc>
        <w:tc>
          <w:tcPr>
            <w:tcW w:w="1077" w:type="dxa"/>
            <w:tcBorders>
              <w:top w:val="single" w:color="auto" w:sz="4" w:space="0"/>
              <w:left w:val="single" w:color="auto" w:sz="4" w:space="0"/>
              <w:bottom w:val="single" w:color="auto" w:sz="4" w:space="0"/>
              <w:right w:val="single" w:color="auto" w:sz="2" w:space="0"/>
            </w:tcBorders>
            <w:noWrap w:val="0"/>
            <w:vAlign w:val="top"/>
          </w:tcPr>
          <w:p>
            <w:pPr>
              <w:snapToGrid w:val="0"/>
              <w:spacing w:line="600" w:lineRule="exact"/>
              <w:rPr>
                <w:rFonts w:hint="eastAsia" w:ascii="宋体" w:hAnsi="宋体" w:cs="宋体"/>
                <w:color w:val="000000"/>
                <w:sz w:val="24"/>
              </w:rPr>
            </w:pPr>
          </w:p>
        </w:tc>
        <w:tc>
          <w:tcPr>
            <w:tcW w:w="1809"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line="600" w:lineRule="exact"/>
              <w:rPr>
                <w:rFonts w:hint="eastAsia" w:ascii="宋体" w:hAnsi="宋体" w:cs="宋体"/>
                <w:color w:val="000000"/>
                <w:sz w:val="24"/>
              </w:rPr>
            </w:pPr>
          </w:p>
        </w:tc>
        <w:tc>
          <w:tcPr>
            <w:tcW w:w="720" w:type="dxa"/>
            <w:tcBorders>
              <w:top w:val="single" w:color="auto" w:sz="4" w:space="0"/>
              <w:left w:val="single" w:color="auto" w:sz="4" w:space="0"/>
              <w:bottom w:val="single" w:color="auto" w:sz="4" w:space="0"/>
              <w:right w:val="single" w:color="auto" w:sz="2" w:space="0"/>
            </w:tcBorders>
            <w:noWrap w:val="0"/>
            <w:vAlign w:val="top"/>
          </w:tcPr>
          <w:p>
            <w:pPr>
              <w:snapToGrid w:val="0"/>
              <w:spacing w:line="600" w:lineRule="exact"/>
              <w:rPr>
                <w:rFonts w:hint="eastAsia" w:ascii="宋体" w:hAnsi="宋体" w:cs="宋体"/>
                <w:color w:val="000000"/>
                <w:sz w:val="24"/>
              </w:rPr>
            </w:pPr>
          </w:p>
        </w:tc>
        <w:tc>
          <w:tcPr>
            <w:tcW w:w="720" w:type="dxa"/>
            <w:tcBorders>
              <w:top w:val="single" w:color="auto" w:sz="4" w:space="0"/>
              <w:left w:val="single" w:color="auto" w:sz="2" w:space="0"/>
              <w:bottom w:val="single" w:color="auto" w:sz="4" w:space="0"/>
              <w:right w:val="single" w:color="auto" w:sz="4" w:space="0"/>
            </w:tcBorders>
            <w:noWrap w:val="0"/>
            <w:vAlign w:val="center"/>
          </w:tcPr>
          <w:p>
            <w:pPr>
              <w:snapToGrid w:val="0"/>
              <w:spacing w:line="600" w:lineRule="exact"/>
              <w:jc w:val="center"/>
              <w:rPr>
                <w:rFonts w:hint="eastAsia" w:ascii="宋体" w:hAnsi="宋体" w:cs="宋体"/>
                <w:color w:val="000000"/>
                <w:sz w:val="24"/>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center"/>
              <w:rPr>
                <w:rFonts w:hint="eastAsia" w:ascii="宋体" w:hAnsi="宋体" w:cs="宋体"/>
                <w:color w:val="000000"/>
                <w:sz w:val="24"/>
              </w:rPr>
            </w:pPr>
          </w:p>
        </w:tc>
        <w:tc>
          <w:tcPr>
            <w:tcW w:w="1319" w:type="dxa"/>
            <w:tcBorders>
              <w:top w:val="single" w:color="auto" w:sz="4" w:space="0"/>
              <w:left w:val="single" w:color="auto" w:sz="4" w:space="0"/>
              <w:bottom w:val="single" w:color="auto" w:sz="4" w:space="0"/>
              <w:right w:val="single" w:color="auto" w:sz="8" w:space="0"/>
            </w:tcBorders>
            <w:noWrap w:val="0"/>
            <w:vAlign w:val="center"/>
          </w:tcPr>
          <w:p>
            <w:pPr>
              <w:snapToGrid w:val="0"/>
              <w:spacing w:line="600" w:lineRule="exact"/>
              <w:jc w:val="center"/>
              <w:rPr>
                <w:rFonts w:hint="eastAsia" w:ascii="宋体" w:hAnsi="宋体" w:cs="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180" w:hRule="atLeast"/>
          <w:jc w:val="center"/>
        </w:trPr>
        <w:tc>
          <w:tcPr>
            <w:tcW w:w="902" w:type="dxa"/>
            <w:tcBorders>
              <w:top w:val="single" w:color="auto" w:sz="4" w:space="0"/>
              <w:left w:val="single" w:color="auto" w:sz="8" w:space="0"/>
              <w:right w:val="single" w:color="auto" w:sz="2" w:space="0"/>
            </w:tcBorders>
            <w:noWrap w:val="0"/>
            <w:vAlign w:val="center"/>
          </w:tcPr>
          <w:p>
            <w:pPr>
              <w:snapToGrid w:val="0"/>
              <w:spacing w:line="600" w:lineRule="exact"/>
              <w:jc w:val="center"/>
              <w:rPr>
                <w:rFonts w:hint="eastAsia" w:ascii="宋体" w:hAnsi="宋体" w:cs="宋体"/>
                <w:color w:val="000000"/>
                <w:sz w:val="24"/>
              </w:rPr>
            </w:pPr>
          </w:p>
        </w:tc>
        <w:tc>
          <w:tcPr>
            <w:tcW w:w="815" w:type="dxa"/>
            <w:tcBorders>
              <w:top w:val="single" w:color="auto" w:sz="4" w:space="0"/>
              <w:left w:val="single" w:color="auto" w:sz="2" w:space="0"/>
              <w:bottom w:val="single" w:color="auto" w:sz="4" w:space="0"/>
              <w:right w:val="single" w:color="auto" w:sz="4" w:space="0"/>
            </w:tcBorders>
            <w:noWrap w:val="0"/>
            <w:vAlign w:val="center"/>
          </w:tcPr>
          <w:p>
            <w:pPr>
              <w:tabs>
                <w:tab w:val="left" w:pos="6135"/>
              </w:tabs>
              <w:snapToGrid w:val="0"/>
              <w:spacing w:line="600" w:lineRule="exact"/>
              <w:jc w:val="left"/>
              <w:rPr>
                <w:rFonts w:hint="eastAsia" w:ascii="宋体" w:hAnsi="宋体" w:cs="宋体"/>
                <w:color w:val="000000"/>
                <w:sz w:val="24"/>
              </w:rPr>
            </w:pPr>
            <w:r>
              <w:rPr>
                <w:rFonts w:hint="eastAsia" w:ascii="宋体" w:hAnsi="宋体" w:cs="宋体"/>
                <w:color w:val="000000"/>
                <w:sz w:val="24"/>
              </w:rPr>
              <w:t>……</w:t>
            </w:r>
          </w:p>
        </w:tc>
        <w:tc>
          <w:tcPr>
            <w:tcW w:w="1077" w:type="dxa"/>
            <w:tcBorders>
              <w:top w:val="single" w:color="auto" w:sz="4" w:space="0"/>
              <w:left w:val="single" w:color="auto" w:sz="4" w:space="0"/>
              <w:bottom w:val="single" w:color="auto" w:sz="4" w:space="0"/>
              <w:right w:val="single" w:color="auto" w:sz="2" w:space="0"/>
            </w:tcBorders>
            <w:noWrap w:val="0"/>
            <w:vAlign w:val="center"/>
          </w:tcPr>
          <w:p>
            <w:pPr>
              <w:tabs>
                <w:tab w:val="left" w:pos="6135"/>
              </w:tabs>
              <w:snapToGrid w:val="0"/>
              <w:spacing w:line="600" w:lineRule="exact"/>
              <w:jc w:val="left"/>
              <w:rPr>
                <w:rFonts w:hint="eastAsia" w:ascii="宋体" w:hAnsi="宋体" w:cs="宋体"/>
                <w:color w:val="000000"/>
                <w:sz w:val="24"/>
              </w:rPr>
            </w:pPr>
          </w:p>
        </w:tc>
        <w:tc>
          <w:tcPr>
            <w:tcW w:w="1809" w:type="dxa"/>
            <w:gridSpan w:val="2"/>
            <w:tcBorders>
              <w:top w:val="single" w:color="auto" w:sz="4" w:space="0"/>
              <w:left w:val="single" w:color="auto" w:sz="4" w:space="0"/>
              <w:bottom w:val="single" w:color="auto" w:sz="4" w:space="0"/>
              <w:right w:val="single" w:color="auto" w:sz="2" w:space="0"/>
            </w:tcBorders>
            <w:noWrap w:val="0"/>
            <w:vAlign w:val="center"/>
          </w:tcPr>
          <w:p>
            <w:pPr>
              <w:tabs>
                <w:tab w:val="left" w:pos="6135"/>
              </w:tabs>
              <w:snapToGrid w:val="0"/>
              <w:spacing w:line="600" w:lineRule="exact"/>
              <w:jc w:val="left"/>
              <w:rPr>
                <w:rFonts w:hint="eastAsia" w:ascii="宋体" w:hAnsi="宋体" w:cs="宋体"/>
                <w:color w:val="000000"/>
                <w:sz w:val="24"/>
              </w:rPr>
            </w:pPr>
          </w:p>
        </w:tc>
        <w:tc>
          <w:tcPr>
            <w:tcW w:w="720" w:type="dxa"/>
            <w:tcBorders>
              <w:top w:val="single" w:color="auto" w:sz="4" w:space="0"/>
              <w:left w:val="single" w:color="auto" w:sz="4" w:space="0"/>
              <w:bottom w:val="single" w:color="auto" w:sz="4" w:space="0"/>
              <w:right w:val="single" w:color="auto" w:sz="2" w:space="0"/>
            </w:tcBorders>
            <w:noWrap w:val="0"/>
            <w:vAlign w:val="center"/>
          </w:tcPr>
          <w:p>
            <w:pPr>
              <w:tabs>
                <w:tab w:val="left" w:pos="6135"/>
              </w:tabs>
              <w:snapToGrid w:val="0"/>
              <w:spacing w:line="600" w:lineRule="exact"/>
              <w:jc w:val="left"/>
              <w:rPr>
                <w:rFonts w:hint="eastAsia" w:ascii="宋体" w:hAnsi="宋体" w:cs="宋体"/>
                <w:color w:val="000000"/>
                <w:sz w:val="24"/>
              </w:rPr>
            </w:pPr>
          </w:p>
        </w:tc>
        <w:tc>
          <w:tcPr>
            <w:tcW w:w="720" w:type="dxa"/>
            <w:tcBorders>
              <w:top w:val="single" w:color="auto" w:sz="4" w:space="0"/>
              <w:left w:val="single" w:color="auto" w:sz="2" w:space="0"/>
              <w:bottom w:val="single" w:color="auto" w:sz="4" w:space="0"/>
              <w:right w:val="single" w:color="auto" w:sz="4" w:space="0"/>
            </w:tcBorders>
            <w:noWrap w:val="0"/>
            <w:vAlign w:val="center"/>
          </w:tcPr>
          <w:p>
            <w:pPr>
              <w:snapToGrid w:val="0"/>
              <w:spacing w:line="600" w:lineRule="exact"/>
              <w:jc w:val="center"/>
              <w:rPr>
                <w:rFonts w:hint="eastAsia" w:ascii="宋体" w:hAnsi="宋体" w:cs="宋体"/>
                <w:color w:val="000000"/>
                <w:sz w:val="24"/>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center"/>
              <w:rPr>
                <w:rFonts w:hint="eastAsia" w:ascii="宋体" w:hAnsi="宋体" w:cs="宋体"/>
                <w:color w:val="000000"/>
                <w:sz w:val="24"/>
              </w:rPr>
            </w:pPr>
          </w:p>
        </w:tc>
        <w:tc>
          <w:tcPr>
            <w:tcW w:w="1319" w:type="dxa"/>
            <w:tcBorders>
              <w:top w:val="single" w:color="auto" w:sz="4" w:space="0"/>
              <w:left w:val="single" w:color="auto" w:sz="4" w:space="0"/>
              <w:bottom w:val="single" w:color="auto" w:sz="4" w:space="0"/>
              <w:right w:val="single" w:color="auto" w:sz="8" w:space="0"/>
            </w:tcBorders>
            <w:noWrap w:val="0"/>
            <w:vAlign w:val="center"/>
          </w:tcPr>
          <w:p>
            <w:pPr>
              <w:snapToGrid w:val="0"/>
              <w:spacing w:line="600" w:lineRule="exact"/>
              <w:jc w:val="center"/>
              <w:rPr>
                <w:rFonts w:hint="eastAsia" w:ascii="宋体" w:hAnsi="宋体" w:cs="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jc w:val="center"/>
        </w:trPr>
        <w:tc>
          <w:tcPr>
            <w:tcW w:w="1717" w:type="dxa"/>
            <w:gridSpan w:val="2"/>
            <w:vMerge w:val="restart"/>
            <w:tcBorders>
              <w:top w:val="single" w:color="auto" w:sz="2" w:space="0"/>
              <w:left w:val="single" w:color="auto" w:sz="8" w:space="0"/>
              <w:bottom w:val="single" w:color="auto" w:sz="8" w:space="0"/>
              <w:right w:val="single" w:color="auto" w:sz="4" w:space="0"/>
            </w:tcBorders>
            <w:noWrap w:val="0"/>
            <w:vAlign w:val="center"/>
          </w:tcPr>
          <w:p>
            <w:pPr>
              <w:snapToGrid w:val="0"/>
              <w:spacing w:line="600" w:lineRule="exact"/>
              <w:jc w:val="center"/>
              <w:rPr>
                <w:rFonts w:hint="eastAsia" w:ascii="宋体" w:hAnsi="宋体" w:cs="宋体"/>
                <w:color w:val="000000"/>
                <w:sz w:val="24"/>
              </w:rPr>
            </w:pPr>
            <w:r>
              <w:rPr>
                <w:rFonts w:hint="eastAsia" w:ascii="宋体" w:hAnsi="宋体" w:cs="宋体"/>
                <w:color w:val="000000"/>
                <w:sz w:val="24"/>
              </w:rPr>
              <w:t>总计</w:t>
            </w:r>
          </w:p>
        </w:tc>
        <w:tc>
          <w:tcPr>
            <w:tcW w:w="1436" w:type="dxa"/>
            <w:gridSpan w:val="2"/>
            <w:tcBorders>
              <w:top w:val="single" w:color="auto" w:sz="2" w:space="0"/>
              <w:left w:val="single" w:color="auto" w:sz="4" w:space="0"/>
              <w:bottom w:val="single" w:color="auto" w:sz="2" w:space="0"/>
              <w:right w:val="single" w:color="auto" w:sz="2" w:space="0"/>
            </w:tcBorders>
            <w:noWrap w:val="0"/>
            <w:vAlign w:val="center"/>
          </w:tcPr>
          <w:p>
            <w:pPr>
              <w:snapToGrid w:val="0"/>
              <w:spacing w:line="600" w:lineRule="exact"/>
              <w:jc w:val="center"/>
              <w:rPr>
                <w:rFonts w:hint="eastAsia" w:ascii="宋体" w:hAnsi="宋体" w:cs="宋体"/>
                <w:color w:val="000000"/>
                <w:sz w:val="24"/>
              </w:rPr>
            </w:pPr>
            <w:r>
              <w:rPr>
                <w:rFonts w:hint="eastAsia" w:ascii="宋体" w:hAnsi="宋体" w:cs="宋体"/>
                <w:color w:val="000000"/>
                <w:sz w:val="24"/>
              </w:rPr>
              <w:t>大写</w:t>
            </w:r>
          </w:p>
        </w:tc>
        <w:tc>
          <w:tcPr>
            <w:tcW w:w="4931" w:type="dxa"/>
            <w:gridSpan w:val="5"/>
            <w:tcBorders>
              <w:top w:val="single" w:color="auto" w:sz="2" w:space="0"/>
              <w:left w:val="single" w:color="auto" w:sz="4" w:space="0"/>
              <w:bottom w:val="single" w:color="auto" w:sz="2" w:space="0"/>
              <w:right w:val="single" w:color="auto" w:sz="8" w:space="0"/>
            </w:tcBorders>
            <w:noWrap w:val="0"/>
            <w:vAlign w:val="center"/>
          </w:tcPr>
          <w:p>
            <w:pPr>
              <w:snapToGrid w:val="0"/>
              <w:spacing w:line="600" w:lineRule="exact"/>
              <w:jc w:val="center"/>
              <w:rPr>
                <w:rFonts w:hint="eastAsia" w:ascii="宋体" w:hAnsi="宋体" w:cs="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jc w:val="center"/>
        </w:trPr>
        <w:tc>
          <w:tcPr>
            <w:tcW w:w="1717" w:type="dxa"/>
            <w:gridSpan w:val="2"/>
            <w:vMerge w:val="continue"/>
            <w:tcBorders>
              <w:top w:val="single" w:color="auto" w:sz="2" w:space="0"/>
              <w:left w:val="single" w:color="auto" w:sz="8" w:space="0"/>
              <w:bottom w:val="single" w:color="auto" w:sz="8" w:space="0"/>
              <w:right w:val="single" w:color="auto" w:sz="4" w:space="0"/>
            </w:tcBorders>
            <w:noWrap w:val="0"/>
            <w:vAlign w:val="center"/>
          </w:tcPr>
          <w:p>
            <w:pPr>
              <w:widowControl/>
              <w:snapToGrid w:val="0"/>
              <w:spacing w:line="600" w:lineRule="exact"/>
              <w:jc w:val="center"/>
              <w:rPr>
                <w:rFonts w:hint="eastAsia" w:ascii="宋体" w:hAnsi="宋体" w:cs="宋体"/>
                <w:color w:val="000000"/>
                <w:sz w:val="24"/>
              </w:rPr>
            </w:pPr>
          </w:p>
        </w:tc>
        <w:tc>
          <w:tcPr>
            <w:tcW w:w="1436" w:type="dxa"/>
            <w:gridSpan w:val="2"/>
            <w:tcBorders>
              <w:top w:val="single" w:color="auto" w:sz="2" w:space="0"/>
              <w:left w:val="single" w:color="auto" w:sz="4" w:space="0"/>
              <w:bottom w:val="single" w:color="auto" w:sz="8" w:space="0"/>
              <w:right w:val="single" w:color="auto" w:sz="2" w:space="0"/>
            </w:tcBorders>
            <w:noWrap w:val="0"/>
            <w:vAlign w:val="center"/>
          </w:tcPr>
          <w:p>
            <w:pPr>
              <w:snapToGrid w:val="0"/>
              <w:spacing w:line="600" w:lineRule="exact"/>
              <w:jc w:val="center"/>
              <w:rPr>
                <w:rFonts w:hint="eastAsia" w:ascii="宋体" w:hAnsi="宋体" w:cs="宋体"/>
                <w:color w:val="000000"/>
                <w:sz w:val="24"/>
              </w:rPr>
            </w:pPr>
            <w:r>
              <w:rPr>
                <w:rFonts w:hint="eastAsia" w:ascii="宋体" w:hAnsi="宋体" w:cs="宋体"/>
                <w:color w:val="000000"/>
                <w:sz w:val="24"/>
              </w:rPr>
              <w:t>小写</w:t>
            </w:r>
          </w:p>
        </w:tc>
        <w:tc>
          <w:tcPr>
            <w:tcW w:w="4931" w:type="dxa"/>
            <w:gridSpan w:val="5"/>
            <w:tcBorders>
              <w:top w:val="single" w:color="auto" w:sz="2" w:space="0"/>
              <w:left w:val="single" w:color="auto" w:sz="4" w:space="0"/>
              <w:bottom w:val="single" w:color="auto" w:sz="8" w:space="0"/>
              <w:right w:val="single" w:color="auto" w:sz="8" w:space="0"/>
            </w:tcBorders>
            <w:noWrap w:val="0"/>
            <w:vAlign w:val="center"/>
          </w:tcPr>
          <w:p>
            <w:pPr>
              <w:snapToGrid w:val="0"/>
              <w:spacing w:line="600" w:lineRule="exact"/>
              <w:jc w:val="center"/>
              <w:rPr>
                <w:rFonts w:hint="eastAsia" w:ascii="宋体" w:hAnsi="宋体" w:cs="宋体"/>
                <w:color w:val="000000"/>
                <w:sz w:val="24"/>
              </w:rPr>
            </w:pPr>
          </w:p>
        </w:tc>
      </w:tr>
    </w:tbl>
    <w:p>
      <w:pPr>
        <w:pStyle w:val="4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lang w:val="zh-CN"/>
        </w:rPr>
        <w:t>注：</w:t>
      </w:r>
      <w:r>
        <w:rPr>
          <w:rFonts w:hint="eastAsia" w:ascii="宋体" w:hAnsi="宋体" w:eastAsia="宋体" w:cs="宋体"/>
          <w:color w:val="000000"/>
          <w:sz w:val="24"/>
          <w:szCs w:val="24"/>
        </w:rPr>
        <w:t>可根据具体情况调整报价明细清单格式，但应包括项目涉及的一切相关税、费等费用。</w:t>
      </w:r>
    </w:p>
    <w:p>
      <w:pPr>
        <w:pStyle w:val="40"/>
        <w:snapToGrid w:val="0"/>
        <w:spacing w:line="600" w:lineRule="exact"/>
        <w:rPr>
          <w:rFonts w:hint="eastAsia" w:ascii="宋体" w:hAnsi="宋体" w:eastAsia="宋体" w:cs="宋体"/>
          <w:color w:val="000000"/>
          <w:sz w:val="24"/>
          <w:szCs w:val="24"/>
        </w:rPr>
      </w:pPr>
    </w:p>
    <w:p>
      <w:pPr>
        <w:pStyle w:val="40"/>
        <w:snapToGrid w:val="0"/>
        <w:spacing w:line="600" w:lineRule="exact"/>
        <w:ind w:firstLine="600" w:firstLineChars="250"/>
        <w:rPr>
          <w:rFonts w:hint="eastAsia" w:ascii="宋体" w:hAnsi="宋体" w:eastAsia="宋体" w:cs="宋体"/>
          <w:color w:val="000000"/>
          <w:sz w:val="24"/>
          <w:szCs w:val="24"/>
        </w:rPr>
      </w:pPr>
    </w:p>
    <w:p>
      <w:pPr>
        <w:pStyle w:val="40"/>
        <w:snapToGrid w:val="0"/>
        <w:spacing w:line="600" w:lineRule="exact"/>
        <w:ind w:firstLine="600" w:firstLineChars="250"/>
        <w:rPr>
          <w:rFonts w:hint="eastAsia" w:ascii="宋体" w:hAnsi="宋体" w:eastAsia="宋体" w:cs="宋体"/>
          <w:color w:val="000000"/>
          <w:sz w:val="24"/>
          <w:szCs w:val="24"/>
        </w:rPr>
      </w:pP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投标人名称(公章)：</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授权代表人(签字)：</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日期：    年  月   日</w:t>
      </w:r>
    </w:p>
    <w:p>
      <w:pPr>
        <w:pageBreakBefore/>
        <w:shd w:val="clear" w:color="auto" w:fill="FFFFFF"/>
        <w:snapToGrid w:val="0"/>
        <w:spacing w:line="600" w:lineRule="exact"/>
        <w:jc w:val="center"/>
        <w:outlineLvl w:val="2"/>
        <w:rPr>
          <w:rFonts w:hint="eastAsia" w:ascii="宋体" w:hAnsi="宋体" w:cs="宋体"/>
          <w:b/>
          <w:color w:val="000000"/>
          <w:kern w:val="0"/>
          <w:sz w:val="24"/>
        </w:rPr>
      </w:pPr>
      <w:r>
        <w:rPr>
          <w:rFonts w:hint="eastAsia" w:ascii="宋体" w:hAnsi="宋体" w:cs="宋体"/>
          <w:b/>
          <w:bCs/>
          <w:color w:val="000000"/>
          <w:sz w:val="28"/>
          <w:szCs w:val="28"/>
        </w:rPr>
        <w:t>四、中小企业声明函、监狱企业、残疾人福利性单位及其他相关的充分的证明材料中小企业声明函及其相关的充分的证明材料</w:t>
      </w:r>
    </w:p>
    <w:p>
      <w:pPr>
        <w:jc w:val="center"/>
        <w:rPr>
          <w:rFonts w:hint="eastAsia"/>
          <w:b/>
          <w:bCs/>
          <w:sz w:val="28"/>
          <w:szCs w:val="28"/>
        </w:rPr>
      </w:pPr>
    </w:p>
    <w:p>
      <w:pPr>
        <w:jc w:val="center"/>
        <w:rPr>
          <w:rFonts w:hint="eastAsia"/>
        </w:rPr>
      </w:pPr>
      <w:r>
        <w:rPr>
          <w:rFonts w:hint="eastAsia"/>
          <w:b/>
          <w:bCs/>
          <w:sz w:val="28"/>
          <w:szCs w:val="28"/>
        </w:rPr>
        <w:t>中小企业声明函</w:t>
      </w:r>
    </w:p>
    <w:p>
      <w:pPr>
        <w:widowControl/>
        <w:snapToGrid w:val="0"/>
        <w:spacing w:line="600" w:lineRule="exact"/>
        <w:ind w:firstLine="480" w:firstLineChars="200"/>
        <w:jc w:val="center"/>
        <w:rPr>
          <w:rFonts w:hint="eastAsia" w:ascii="宋体" w:hAnsi="宋体" w:cs="宋体"/>
          <w:color w:val="000000"/>
          <w:kern w:val="0"/>
          <w:sz w:val="24"/>
        </w:rPr>
      </w:pPr>
      <w:r>
        <w:rPr>
          <w:rFonts w:hint="eastAsia" w:ascii="宋体" w:hAnsi="宋体" w:cs="宋体"/>
          <w:color w:val="000000"/>
          <w:kern w:val="0"/>
          <w:sz w:val="24"/>
        </w:rPr>
        <w:t>【不属于中小企业的无需填写、递交】</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本公司郑重声明，根据《政府采购促进中小企业发展暂行办法》（财库[2011]181 号）的规定，本公司为的______（请填写：中型、小型、微型）企业。即，本公司同时满足以下条件：</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1、根据《工业和信息化部、国家统计局、国家发展和改革委员会、财政部关于印发中小企业划型标准规定的通知》（工信部联企业[2011]300号）规定的划分标准，本公司为</w:t>
      </w:r>
      <w:r>
        <w:rPr>
          <w:rFonts w:hint="eastAsia" w:ascii="宋体" w:hAnsi="宋体" w:cs="宋体"/>
          <w:color w:val="000000"/>
          <w:kern w:val="0"/>
          <w:sz w:val="24"/>
          <w:u w:val="single"/>
        </w:rPr>
        <w:t>______</w:t>
      </w:r>
      <w:r>
        <w:rPr>
          <w:rFonts w:hint="eastAsia" w:ascii="宋体" w:hAnsi="宋体" w:cs="宋体"/>
          <w:color w:val="000000"/>
          <w:kern w:val="0"/>
          <w:sz w:val="24"/>
        </w:rPr>
        <w:t>（请填写：中型、小型、微型）企业。</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本公司参加______（采购人）的______（项目名称）______（标项名称）采购活动提供本企业提供服务，或者提供其他______（请填写：中型、小型、微型）企业提供服务（制造商的中小企业声明函另附）。本条所称货物不包括使用大型企业注册商标的货物。</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本公司对上述声明的真实性负责。如有虚假，将依法承担相应责任。</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投标人名称（盖章）：</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widowControl/>
        <w:pBdr>
          <w:bottom w:val="single" w:color="auto" w:sz="6" w:space="1"/>
        </w:pBdr>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填写说明：</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1）投标人为中型、小型、微型企业的提供此函；</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2）中型企业不享受价格扣除，小型、微型企业的行业类别由评审专家结合投标人出具的证明材料认定；经认定不符合小型、微型企业标准的，不享受价格扣除；</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3）所投标项内的产品如由多个企业制造的，在填写企业类型时，按产品生产企业中规模最大的企业类型填写；</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4）投标产品制造商投标，提供投标人出具的《中小企业声明函》及其相关的充分的证明材料；代理商投标，提供投标人及产品制造商出具的《中小企业声明函》及其相关的充分的证明材料； </w:t>
      </w:r>
    </w:p>
    <w:p>
      <w:pPr>
        <w:widowControl/>
        <w:snapToGrid w:val="0"/>
        <w:spacing w:line="600" w:lineRule="exact"/>
        <w:ind w:firstLine="480" w:firstLineChars="200"/>
        <w:jc w:val="left"/>
        <w:rPr>
          <w:rFonts w:hint="eastAsia" w:ascii="宋体" w:hAnsi="宋体" w:cs="宋体"/>
          <w:b/>
          <w:color w:val="000000"/>
          <w:kern w:val="0"/>
          <w:sz w:val="24"/>
        </w:rPr>
      </w:pPr>
      <w:r>
        <w:rPr>
          <w:rFonts w:hint="eastAsia" w:ascii="宋体" w:hAnsi="宋体" w:cs="宋体"/>
          <w:color w:val="000000"/>
          <w:kern w:val="0"/>
          <w:sz w:val="24"/>
        </w:rPr>
        <w:t>5）注：小型、微型企业参加政府采购活动时，应提供：a）《中小企业声明函》；上述证明材料提供不齐全的，不能享受价格扣除。</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2" w:firstLineChars="200"/>
        <w:jc w:val="left"/>
        <w:rPr>
          <w:rFonts w:hint="eastAsia" w:ascii="宋体" w:hAnsi="宋体" w:cs="宋体"/>
          <w:b/>
          <w:bCs/>
          <w:color w:val="000000"/>
          <w:kern w:val="0"/>
          <w:sz w:val="24"/>
        </w:rPr>
      </w:pPr>
      <w:r>
        <w:rPr>
          <w:rFonts w:hint="eastAsia" w:ascii="宋体" w:hAnsi="宋体" w:cs="宋体"/>
          <w:b/>
          <w:bCs/>
          <w:color w:val="000000"/>
          <w:kern w:val="0"/>
          <w:sz w:val="24"/>
        </w:rPr>
        <w:t>▲投标人提供的中小企业声明函与实际情况不符的，视为投标人提供虚假材料投标的，投标无效。</w:t>
      </w:r>
    </w:p>
    <w:p>
      <w:pPr>
        <w:widowControl/>
        <w:snapToGrid w:val="0"/>
        <w:spacing w:line="600" w:lineRule="exact"/>
        <w:jc w:val="center"/>
        <w:rPr>
          <w:rFonts w:hint="eastAsia" w:ascii="宋体" w:hAnsi="宋体" w:cs="宋体"/>
          <w:b/>
          <w:color w:val="000000"/>
          <w:kern w:val="0"/>
          <w:sz w:val="24"/>
        </w:rPr>
        <w:sectPr>
          <w:pgSz w:w="11906" w:h="16838"/>
          <w:pgMar w:top="993" w:right="1474" w:bottom="1134" w:left="1474" w:header="851" w:footer="641" w:gutter="0"/>
          <w:cols w:space="720" w:num="1"/>
          <w:docGrid w:type="lines" w:linePitch="315" w:charSpace="0"/>
        </w:sectPr>
      </w:pPr>
    </w:p>
    <w:p>
      <w:pPr>
        <w:widowControl/>
        <w:snapToGrid w:val="0"/>
        <w:spacing w:line="600" w:lineRule="exact"/>
        <w:jc w:val="center"/>
        <w:rPr>
          <w:rFonts w:hint="eastAsia" w:ascii="宋体" w:hAnsi="宋体" w:cs="宋体"/>
          <w:b/>
          <w:color w:val="000000"/>
          <w:kern w:val="0"/>
          <w:sz w:val="24"/>
        </w:rPr>
      </w:pPr>
      <w:r>
        <w:rPr>
          <w:rFonts w:hint="eastAsia"/>
          <w:b/>
          <w:bCs/>
          <w:sz w:val="28"/>
          <w:szCs w:val="28"/>
        </w:rPr>
        <w:t>监狱企业声明函</w:t>
      </w:r>
    </w:p>
    <w:p>
      <w:pPr>
        <w:widowControl/>
        <w:snapToGrid w:val="0"/>
        <w:spacing w:line="600" w:lineRule="exact"/>
        <w:ind w:firstLine="480" w:firstLineChars="200"/>
        <w:jc w:val="center"/>
        <w:rPr>
          <w:rFonts w:hint="eastAsia" w:ascii="宋体" w:hAnsi="宋体" w:cs="宋体"/>
          <w:color w:val="000000"/>
          <w:kern w:val="0"/>
          <w:sz w:val="24"/>
        </w:rPr>
      </w:pPr>
      <w:r>
        <w:rPr>
          <w:rFonts w:hint="eastAsia" w:ascii="宋体" w:hAnsi="宋体" w:cs="宋体"/>
          <w:color w:val="000000"/>
          <w:kern w:val="0"/>
          <w:sz w:val="24"/>
        </w:rPr>
        <w:t>【不属于监狱企业的无需填写、递交】</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本公司郑重声明，根据《关于政府采购支持监狱企业发展有关问题的通知》 （财库[2014]68 号）的规定，本公司为</w:t>
      </w:r>
      <w:r>
        <w:rPr>
          <w:rFonts w:hint="eastAsia" w:ascii="宋体" w:hAnsi="宋体" w:cs="宋体"/>
          <w:color w:val="000000"/>
          <w:kern w:val="0"/>
          <w:sz w:val="24"/>
          <w:u w:val="single"/>
        </w:rPr>
        <w:t>监狱企业</w:t>
      </w:r>
      <w:r>
        <w:rPr>
          <w:rFonts w:hint="eastAsia" w:ascii="宋体" w:hAnsi="宋体" w:cs="宋体"/>
          <w:color w:val="000000"/>
          <w:kern w:val="0"/>
          <w:sz w:val="24"/>
        </w:rPr>
        <w:t>。</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根据上述标准，我公司属于监狱企业的理由为：</w:t>
      </w:r>
      <w:r>
        <w:rPr>
          <w:rFonts w:hint="eastAsia" w:ascii="宋体" w:hAnsi="宋体" w:cs="宋体"/>
          <w:color w:val="000000"/>
          <w:kern w:val="0"/>
          <w:sz w:val="24"/>
          <w:u w:val="single"/>
        </w:rPr>
        <w:t xml:space="preserve">         </w:t>
      </w:r>
      <w:r>
        <w:rPr>
          <w:rFonts w:hint="eastAsia" w:ascii="宋体" w:hAnsi="宋体" w:cs="宋体"/>
          <w:color w:val="000000"/>
          <w:kern w:val="0"/>
          <w:sz w:val="24"/>
        </w:rPr>
        <w:t>。</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本公司为参加（</w:t>
      </w:r>
      <w:r>
        <w:rPr>
          <w:rFonts w:hint="eastAsia" w:ascii="宋体" w:hAnsi="宋体" w:cs="宋体"/>
          <w:color w:val="000000"/>
          <w:kern w:val="0"/>
          <w:sz w:val="24"/>
          <w:u w:val="single"/>
        </w:rPr>
        <w:t xml:space="preserve">    项目名称    </w:t>
      </w:r>
      <w:r>
        <w:rPr>
          <w:rFonts w:hint="eastAsia" w:ascii="宋体" w:hAnsi="宋体" w:cs="宋体"/>
          <w:color w:val="000000"/>
          <w:kern w:val="0"/>
          <w:sz w:val="24"/>
        </w:rPr>
        <w:t>） （项目编号：</w:t>
      </w:r>
      <w:r>
        <w:rPr>
          <w:rFonts w:hint="eastAsia" w:ascii="宋体" w:hAnsi="宋体" w:cs="宋体"/>
          <w:color w:val="000000"/>
          <w:kern w:val="0"/>
          <w:sz w:val="24"/>
          <w:u w:val="single"/>
        </w:rPr>
        <w:t xml:space="preserve">      </w:t>
      </w:r>
      <w:r>
        <w:rPr>
          <w:rFonts w:hint="eastAsia" w:ascii="宋体" w:hAnsi="宋体" w:cs="宋体"/>
          <w:color w:val="000000"/>
          <w:kern w:val="0"/>
          <w:sz w:val="24"/>
        </w:rPr>
        <w:t>）采购活动提供本企业提供服务。</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本公司对上述声明的真实性负责。如有虚假，将依法承担相应责任。</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投标人名称（盖章）：</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snapToGrid w:val="0"/>
        <w:spacing w:line="600" w:lineRule="exact"/>
        <w:rPr>
          <w:rFonts w:hint="eastAsia" w:ascii="宋体" w:hAnsi="宋体" w:cs="宋体"/>
          <w:b/>
          <w:color w:val="000000"/>
          <w:spacing w:val="6"/>
          <w:sz w:val="24"/>
        </w:rPr>
      </w:pPr>
      <w:bookmarkStart w:id="181" w:name="OLE_LINK14"/>
      <w:bookmarkStart w:id="182" w:name="OLE_LINK13"/>
    </w:p>
    <w:p>
      <w:pPr>
        <w:snapToGrid w:val="0"/>
        <w:spacing w:line="600" w:lineRule="exact"/>
        <w:rPr>
          <w:rFonts w:hint="eastAsia" w:ascii="宋体" w:hAnsi="宋体" w:cs="宋体"/>
          <w:b/>
          <w:color w:val="000000"/>
          <w:spacing w:val="6"/>
          <w:sz w:val="24"/>
        </w:rPr>
      </w:pPr>
    </w:p>
    <w:p>
      <w:pPr>
        <w:snapToGrid w:val="0"/>
        <w:spacing w:line="600" w:lineRule="exact"/>
        <w:rPr>
          <w:rFonts w:hint="eastAsia" w:ascii="宋体" w:hAnsi="宋体" w:cs="宋体"/>
          <w:b/>
          <w:color w:val="000000"/>
          <w:spacing w:val="6"/>
          <w:sz w:val="24"/>
        </w:rPr>
      </w:pPr>
    </w:p>
    <w:p>
      <w:pPr>
        <w:pageBreakBefore/>
        <w:snapToGrid w:val="0"/>
        <w:spacing w:line="600" w:lineRule="exact"/>
        <w:jc w:val="center"/>
        <w:rPr>
          <w:rFonts w:hint="eastAsia" w:ascii="宋体" w:hAnsi="宋体" w:cs="宋体"/>
          <w:b/>
          <w:color w:val="000000"/>
          <w:spacing w:val="6"/>
          <w:sz w:val="24"/>
        </w:rPr>
      </w:pPr>
      <w:r>
        <w:rPr>
          <w:rFonts w:hint="eastAsia"/>
          <w:b/>
          <w:bCs/>
          <w:sz w:val="28"/>
          <w:szCs w:val="28"/>
        </w:rPr>
        <w:t>残疾人福利性单位声明函</w:t>
      </w:r>
      <w:bookmarkEnd w:id="181"/>
      <w:bookmarkEnd w:id="182"/>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本单位对上述声明的真实性负责。如有虚假，将依法承担相应责任。</w:t>
      </w:r>
    </w:p>
    <w:p>
      <w:pPr>
        <w:snapToGrid w:val="0"/>
        <w:spacing w:line="600" w:lineRule="exact"/>
        <w:ind w:firstLine="480" w:firstLineChars="200"/>
        <w:rPr>
          <w:rFonts w:hint="eastAsia" w:ascii="宋体" w:hAnsi="宋体" w:cs="宋体"/>
          <w:color w:val="000000"/>
          <w:sz w:val="24"/>
        </w:rPr>
      </w:pPr>
    </w:p>
    <w:p>
      <w:pPr>
        <w:snapToGrid w:val="0"/>
        <w:spacing w:line="600" w:lineRule="exact"/>
        <w:ind w:firstLine="480" w:firstLineChars="200"/>
        <w:rPr>
          <w:rFonts w:hint="eastAsia" w:ascii="宋体" w:hAnsi="宋体" w:cs="宋体"/>
          <w:color w:val="000000"/>
          <w:sz w:val="24"/>
        </w:rPr>
      </w:pPr>
    </w:p>
    <w:p>
      <w:pPr>
        <w:tabs>
          <w:tab w:val="left" w:pos="4860"/>
        </w:tabs>
        <w:snapToGrid w:val="0"/>
        <w:spacing w:line="600" w:lineRule="exact"/>
        <w:ind w:right="1560" w:firstLine="480" w:firstLineChars="200"/>
        <w:jc w:val="left"/>
        <w:rPr>
          <w:rFonts w:hint="eastAsia" w:ascii="宋体" w:hAnsi="宋体" w:cs="宋体"/>
          <w:color w:val="000000"/>
          <w:sz w:val="24"/>
        </w:rPr>
      </w:pPr>
      <w:r>
        <w:rPr>
          <w:rFonts w:hint="eastAsia" w:ascii="宋体" w:hAnsi="宋体" w:cs="宋体"/>
          <w:color w:val="000000"/>
          <w:sz w:val="24"/>
        </w:rPr>
        <w:t xml:space="preserve">       单位名称（盖章）：</w:t>
      </w:r>
    </w:p>
    <w:p>
      <w:pPr>
        <w:tabs>
          <w:tab w:val="left" w:pos="4860"/>
        </w:tabs>
        <w:snapToGrid w:val="0"/>
        <w:spacing w:line="600" w:lineRule="exact"/>
        <w:ind w:right="1560" w:firstLine="480" w:firstLineChars="200"/>
        <w:jc w:val="left"/>
        <w:rPr>
          <w:rFonts w:hint="eastAsia" w:ascii="宋体" w:hAnsi="宋体" w:cs="宋体"/>
          <w:color w:val="000000"/>
          <w:sz w:val="24"/>
        </w:rPr>
      </w:pPr>
      <w:r>
        <w:rPr>
          <w:rFonts w:hint="eastAsia" w:ascii="宋体" w:hAnsi="宋体" w:cs="宋体"/>
          <w:color w:val="000000"/>
          <w:sz w:val="24"/>
        </w:rPr>
        <w:t xml:space="preserve">       日  期：</w:t>
      </w:r>
    </w:p>
    <w:p>
      <w:pPr>
        <w:pStyle w:val="232"/>
        <w:snapToGrid w:val="0"/>
        <w:spacing w:line="600" w:lineRule="exact"/>
        <w:ind w:left="360" w:firstLine="0" w:firstLineChars="0"/>
        <w:rPr>
          <w:rFonts w:hint="eastAsia" w:ascii="宋体" w:hAnsi="宋体" w:cs="宋体"/>
          <w:color w:val="000000"/>
          <w:sz w:val="24"/>
          <w:szCs w:val="24"/>
        </w:rPr>
      </w:pPr>
      <w:r>
        <w:rPr>
          <w:rFonts w:hint="eastAsia" w:ascii="宋体" w:hAnsi="宋体" w:cs="宋体"/>
          <w:color w:val="000000"/>
          <w:sz w:val="24"/>
          <w:szCs w:val="24"/>
        </w:rPr>
        <w:t>扶持政策说明：</w:t>
      </w:r>
    </w:p>
    <w:p>
      <w:pPr>
        <w:pStyle w:val="232"/>
        <w:snapToGrid w:val="0"/>
        <w:spacing w:line="600" w:lineRule="exact"/>
        <w:ind w:firstLine="480"/>
        <w:rPr>
          <w:rFonts w:hint="eastAsia" w:ascii="宋体" w:hAnsi="宋体" w:cs="宋体"/>
          <w:color w:val="000000"/>
          <w:sz w:val="24"/>
          <w:szCs w:val="24"/>
        </w:rPr>
      </w:pPr>
      <w:r>
        <w:rPr>
          <w:rFonts w:hint="eastAsia" w:ascii="宋体" w:hAnsi="宋体" w:cs="宋体"/>
          <w:color w:val="000000"/>
          <w:sz w:val="24"/>
          <w:szCs w:val="24"/>
        </w:rPr>
        <w:t>1、根据财政部、工业和信息化部制定的《政府采购促进中小企业发展暂行办法》和转发财政部工业和信息化部关于印发《政府采购促进中小企业发展暂行办法》的通知（浙财采监[2012]11号），对小型或微型企业的投标报价给予</w:t>
      </w:r>
      <w:r>
        <w:rPr>
          <w:rFonts w:hint="eastAsia" w:ascii="宋体" w:hAnsi="宋体" w:cs="宋体"/>
          <w:color w:val="000000"/>
          <w:sz w:val="24"/>
          <w:szCs w:val="24"/>
          <w:u w:val="single"/>
        </w:rPr>
        <w:t>6%</w:t>
      </w:r>
      <w:r>
        <w:rPr>
          <w:rFonts w:hint="eastAsia" w:ascii="宋体" w:hAnsi="宋体" w:cs="宋体"/>
          <w:color w:val="000000"/>
          <w:sz w:val="24"/>
          <w:szCs w:val="24"/>
        </w:rPr>
        <w:t>的扣除，并用扣除后的价格计算价格评分。</w:t>
      </w:r>
    </w:p>
    <w:p>
      <w:pPr>
        <w:snapToGrid w:val="0"/>
        <w:spacing w:line="600" w:lineRule="exact"/>
        <w:ind w:firstLine="240" w:firstLineChars="100"/>
        <w:rPr>
          <w:rFonts w:hint="eastAsia" w:ascii="宋体" w:hAnsi="宋体" w:cs="宋体"/>
          <w:color w:val="000000"/>
          <w:sz w:val="24"/>
        </w:rPr>
      </w:pPr>
      <w:r>
        <w:rPr>
          <w:rFonts w:hint="eastAsia" w:ascii="宋体" w:hAnsi="宋体" w:cs="宋体"/>
          <w:color w:val="000000"/>
          <w:sz w:val="24"/>
        </w:rPr>
        <w:t>2、监狱企业视同小微企业，参加本项目投标的，享受小微企业同等的价格扣除。【注：提供《监狱企业声明函》及其相关的充分的证明材料】。</w:t>
      </w:r>
    </w:p>
    <w:p>
      <w:pPr>
        <w:pStyle w:val="232"/>
        <w:snapToGrid w:val="0"/>
        <w:spacing w:line="600" w:lineRule="exact"/>
        <w:ind w:firstLine="240" w:firstLineChars="100"/>
        <w:jc w:val="left"/>
        <w:rPr>
          <w:rFonts w:hint="eastAsia" w:ascii="宋体" w:hAnsi="宋体" w:cs="宋体"/>
          <w:color w:val="000000"/>
          <w:sz w:val="24"/>
          <w:szCs w:val="24"/>
        </w:rPr>
      </w:pPr>
      <w:r>
        <w:rPr>
          <w:rFonts w:hint="eastAsia" w:ascii="宋体" w:hAnsi="宋体" w:cs="宋体"/>
          <w:color w:val="000000"/>
          <w:sz w:val="24"/>
          <w:szCs w:val="24"/>
        </w:rPr>
        <w:t>3、残疾人福利性单位参加投标【提供《残疾人福利性单位声明函》】，视为小型、微型企业，享受小微企业政策扶持。</w:t>
      </w:r>
    </w:p>
    <w:p>
      <w:pPr>
        <w:pStyle w:val="232"/>
        <w:snapToGrid w:val="0"/>
        <w:spacing w:line="600" w:lineRule="exact"/>
        <w:ind w:left="360" w:firstLine="240" w:firstLineChars="100"/>
        <w:jc w:val="center"/>
        <w:rPr>
          <w:rFonts w:hint="eastAsia" w:ascii="宋体" w:hAnsi="宋体" w:cs="宋体"/>
          <w:color w:val="000000"/>
          <w:sz w:val="24"/>
          <w:szCs w:val="24"/>
        </w:rPr>
      </w:pPr>
    </w:p>
    <w:p>
      <w:pPr>
        <w:pStyle w:val="4"/>
        <w:snapToGrid w:val="0"/>
        <w:spacing w:line="600" w:lineRule="exact"/>
        <w:rPr>
          <w:rFonts w:hint="eastAsia" w:ascii="宋体" w:hAnsi="宋体" w:eastAsia="宋体"/>
          <w:color w:val="000000"/>
          <w:sz w:val="24"/>
          <w:szCs w:val="24"/>
        </w:rPr>
      </w:pPr>
      <w:r>
        <w:rPr>
          <w:rFonts w:hint="eastAsia" w:ascii="宋体" w:hAnsi="宋体" w:eastAsia="宋体"/>
          <w:color w:val="000000"/>
          <w:kern w:val="0"/>
          <w:sz w:val="24"/>
          <w:szCs w:val="24"/>
        </w:rPr>
        <w:br w:type="page"/>
      </w:r>
      <w:bookmarkStart w:id="183" w:name="_Toc354996708"/>
      <w:bookmarkStart w:id="184" w:name="_Toc6980"/>
      <w:r>
        <w:rPr>
          <w:rFonts w:hint="eastAsia" w:ascii="宋体" w:hAnsi="宋体" w:eastAsia="宋体"/>
          <w:color w:val="000000"/>
          <w:sz w:val="24"/>
          <w:szCs w:val="24"/>
        </w:rPr>
        <w:t>商务</w:t>
      </w:r>
      <w:bookmarkEnd w:id="183"/>
      <w:bookmarkStart w:id="185" w:name="_Toc354996709"/>
      <w:r>
        <w:rPr>
          <w:rFonts w:hint="eastAsia" w:ascii="宋体" w:hAnsi="宋体" w:eastAsia="宋体"/>
          <w:color w:val="000000"/>
          <w:sz w:val="24"/>
          <w:szCs w:val="24"/>
        </w:rPr>
        <w:t>技术文件</w:t>
      </w:r>
      <w:bookmarkEnd w:id="184"/>
    </w:p>
    <w:p>
      <w:pPr>
        <w:shd w:val="clear" w:color="auto" w:fill="FFFFFF"/>
        <w:snapToGrid w:val="0"/>
        <w:spacing w:line="600" w:lineRule="exact"/>
        <w:jc w:val="center"/>
        <w:rPr>
          <w:rFonts w:hint="eastAsia" w:ascii="宋体" w:hAnsi="宋体" w:cs="宋体"/>
          <w:b/>
          <w:color w:val="000000"/>
          <w:kern w:val="0"/>
          <w:sz w:val="24"/>
        </w:rPr>
      </w:pPr>
      <w:bookmarkStart w:id="186" w:name="_Toc3604"/>
      <w:bookmarkStart w:id="187" w:name="_Toc13349"/>
      <w:bookmarkStart w:id="188" w:name="_Toc25554"/>
      <w:bookmarkStart w:id="189" w:name="_Toc20721"/>
      <w:bookmarkStart w:id="190" w:name="_Toc7049"/>
      <w:bookmarkStart w:id="191" w:name="_Toc27129"/>
      <w:bookmarkStart w:id="192" w:name="_Toc31837"/>
      <w:bookmarkStart w:id="193" w:name="_Toc13194"/>
      <w:bookmarkStart w:id="194" w:name="_Toc10347"/>
      <w:bookmarkStart w:id="195" w:name="_Toc7803"/>
      <w:bookmarkStart w:id="196" w:name="_Toc20650"/>
      <w:r>
        <w:rPr>
          <w:rFonts w:hint="eastAsia" w:ascii="宋体" w:hAnsi="宋体" w:cs="宋体"/>
          <w:b/>
          <w:color w:val="000000"/>
          <w:kern w:val="0"/>
          <w:sz w:val="24"/>
        </w:rPr>
        <w:t>目录</w:t>
      </w:r>
      <w:bookmarkEnd w:id="186"/>
      <w:bookmarkEnd w:id="187"/>
      <w:bookmarkEnd w:id="188"/>
      <w:bookmarkEnd w:id="189"/>
      <w:bookmarkEnd w:id="190"/>
      <w:bookmarkEnd w:id="191"/>
      <w:bookmarkEnd w:id="192"/>
      <w:bookmarkEnd w:id="193"/>
      <w:bookmarkEnd w:id="194"/>
      <w:bookmarkEnd w:id="195"/>
      <w:bookmarkEnd w:id="196"/>
    </w:p>
    <w:p>
      <w:pPr>
        <w:shd w:val="clear" w:color="auto" w:fill="FFFFFF"/>
        <w:snapToGrid w:val="0"/>
        <w:spacing w:line="600" w:lineRule="exact"/>
        <w:jc w:val="left"/>
        <w:rPr>
          <w:rFonts w:hint="eastAsia" w:ascii="宋体" w:hAnsi="宋体" w:cs="宋体"/>
          <w:color w:val="000000"/>
          <w:kern w:val="0"/>
          <w:sz w:val="24"/>
        </w:rPr>
      </w:pPr>
      <w:r>
        <w:rPr>
          <w:rFonts w:hint="eastAsia" w:ascii="宋体" w:hAnsi="宋体" w:cs="宋体"/>
          <w:color w:val="000000"/>
          <w:kern w:val="0"/>
          <w:sz w:val="24"/>
        </w:rPr>
        <w:t>（1）法定代表人授权委托书…………………………………………………………（页码）</w:t>
      </w:r>
    </w:p>
    <w:p>
      <w:pPr>
        <w:shd w:val="clear" w:color="auto" w:fill="FFFFFF"/>
        <w:snapToGrid w:val="0"/>
        <w:spacing w:line="600" w:lineRule="exact"/>
        <w:jc w:val="left"/>
        <w:rPr>
          <w:rFonts w:hint="eastAsia" w:ascii="宋体" w:hAnsi="宋体" w:cs="宋体"/>
          <w:color w:val="000000"/>
          <w:kern w:val="0"/>
          <w:sz w:val="24"/>
        </w:rPr>
      </w:pPr>
      <w:r>
        <w:rPr>
          <w:rFonts w:hint="eastAsia" w:ascii="宋体" w:hAnsi="宋体" w:cs="宋体"/>
          <w:color w:val="000000"/>
          <w:kern w:val="0"/>
          <w:sz w:val="24"/>
        </w:rPr>
        <w:t>（2）法定代表人及授权代表人的身份证……………………………………………（页码）</w:t>
      </w:r>
    </w:p>
    <w:p>
      <w:pPr>
        <w:shd w:val="clear" w:color="auto" w:fill="FFFFFF"/>
        <w:snapToGrid w:val="0"/>
        <w:spacing w:line="600" w:lineRule="exact"/>
        <w:jc w:val="left"/>
        <w:rPr>
          <w:rFonts w:hint="eastAsia" w:ascii="宋体" w:hAnsi="宋体" w:cs="宋体"/>
          <w:color w:val="000000"/>
          <w:kern w:val="0"/>
          <w:sz w:val="24"/>
        </w:rPr>
      </w:pPr>
      <w:r>
        <w:rPr>
          <w:rFonts w:hint="eastAsia" w:ascii="宋体" w:hAnsi="宋体" w:cs="宋体"/>
          <w:color w:val="000000"/>
          <w:kern w:val="0"/>
          <w:sz w:val="24"/>
        </w:rPr>
        <w:t>（3）技术偏离表………………………………………………………………………（页码）</w:t>
      </w:r>
    </w:p>
    <w:p>
      <w:pPr>
        <w:shd w:val="clear" w:color="auto" w:fill="FFFFFF"/>
        <w:snapToGrid w:val="0"/>
        <w:spacing w:line="600" w:lineRule="exact"/>
        <w:jc w:val="left"/>
        <w:rPr>
          <w:rFonts w:hint="eastAsia" w:ascii="宋体" w:hAnsi="宋体" w:cs="宋体"/>
          <w:color w:val="000000"/>
          <w:sz w:val="24"/>
        </w:rPr>
      </w:pPr>
      <w:r>
        <w:rPr>
          <w:rFonts w:hint="eastAsia"/>
        </w:rPr>
        <w:t>（</w:t>
      </w:r>
      <w:r>
        <w:rPr>
          <w:rFonts w:hint="eastAsia" w:ascii="宋体" w:hAnsi="宋体" w:cs="宋体"/>
          <w:color w:val="000000"/>
          <w:kern w:val="0"/>
          <w:sz w:val="24"/>
        </w:rPr>
        <w:t>4）对于评分细则提供相关证明材料………………………………………………（页码）</w:t>
      </w:r>
      <w:r>
        <w:rPr>
          <w:rFonts w:hint="eastAsia" w:ascii="宋体" w:hAnsi="宋体" w:cs="宋体"/>
          <w:color w:val="000000"/>
          <w:sz w:val="24"/>
        </w:rPr>
        <w:t>注：以上目录是编制投标技术文件的基本格式要求，各投标人可根据自身情况进一步细化。</w:t>
      </w:r>
    </w:p>
    <w:p>
      <w:pPr>
        <w:pStyle w:val="40"/>
        <w:snapToGrid w:val="0"/>
        <w:spacing w:line="600" w:lineRule="exact"/>
        <w:ind w:firstLine="480" w:firstLineChars="200"/>
        <w:jc w:val="center"/>
        <w:outlineLvl w:val="2"/>
        <w:rPr>
          <w:rFonts w:hint="eastAsia" w:ascii="宋体" w:hAnsi="宋体" w:eastAsia="宋体" w:cs="宋体"/>
          <w:b/>
          <w:color w:val="000000"/>
          <w:sz w:val="28"/>
          <w:szCs w:val="28"/>
          <w:lang w:val="zh-CN"/>
        </w:rPr>
      </w:pPr>
      <w:r>
        <w:rPr>
          <w:rFonts w:hint="eastAsia" w:ascii="宋体" w:hAnsi="宋体" w:eastAsia="宋体" w:cs="宋体"/>
          <w:color w:val="000000"/>
          <w:sz w:val="24"/>
          <w:szCs w:val="24"/>
        </w:rPr>
        <w:br w:type="page"/>
      </w:r>
      <w:bookmarkEnd w:id="185"/>
      <w:r>
        <w:rPr>
          <w:rFonts w:hint="eastAsia" w:ascii="宋体" w:hAnsi="宋体" w:eastAsia="宋体" w:cs="宋体"/>
          <w:b/>
          <w:color w:val="000000"/>
          <w:sz w:val="28"/>
          <w:szCs w:val="28"/>
          <w:lang w:val="zh-CN"/>
        </w:rPr>
        <w:t>一、法定代表人授权委托书</w:t>
      </w:r>
    </w:p>
    <w:p>
      <w:pPr>
        <w:shd w:val="clear" w:color="auto" w:fill="FFFFFF"/>
        <w:snapToGrid w:val="0"/>
        <w:spacing w:line="600" w:lineRule="exact"/>
        <w:rPr>
          <w:rFonts w:hint="eastAsia" w:ascii="宋体" w:hAnsi="宋体" w:cs="宋体"/>
          <w:color w:val="000000"/>
          <w:sz w:val="24"/>
        </w:rPr>
      </w:pPr>
      <w:r>
        <w:rPr>
          <w:rFonts w:hint="eastAsia" w:ascii="宋体" w:hAnsi="宋体" w:cs="宋体"/>
          <w:color w:val="000000"/>
          <w:sz w:val="24"/>
        </w:rPr>
        <w:t xml:space="preserve"> 杭州市余杭区人民政府良渚街道办事处：</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kern w:val="0"/>
          <w:sz w:val="24"/>
          <w:lang w:val="zh-CN"/>
        </w:rPr>
        <w:t>兹委派我公司</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先生/女士(其在本公司的职务是：</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，联系电话：</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手机：</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传真：</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)，代表我公司全权处理</w:t>
      </w:r>
      <w:r>
        <w:rPr>
          <w:rFonts w:hint="eastAsia" w:ascii="宋体" w:hAnsi="宋体" w:cs="宋体"/>
          <w:color w:val="000000"/>
          <w:sz w:val="24"/>
          <w:u w:val="single"/>
          <w:lang w:eastAsia="zh-CN"/>
        </w:rPr>
        <w:t>良渚街道物流等人口聚集区块维保服务外包项目</w:t>
      </w:r>
      <w:r>
        <w:rPr>
          <w:rFonts w:hint="eastAsia" w:ascii="宋体" w:hAnsi="宋体" w:cs="宋体"/>
          <w:color w:val="000000"/>
          <w:sz w:val="24"/>
        </w:rPr>
        <w:t>(编号：         )政府采购投标的一切事项，若中标则全权代表本公司签订相关合同，</w:t>
      </w:r>
      <w:r>
        <w:rPr>
          <w:rFonts w:hint="eastAsia" w:ascii="宋体" w:hAnsi="宋体" w:cs="宋体"/>
          <w:color w:val="000000"/>
          <w:kern w:val="0"/>
          <w:sz w:val="24"/>
          <w:lang w:val="zh-CN"/>
        </w:rPr>
        <w:t>并负责处理合同履行等事宜。</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lang w:val="zh-CN"/>
        </w:rPr>
        <w:t xml:space="preserve">    特此告知。</w:t>
      </w:r>
    </w:p>
    <w:p>
      <w:pPr>
        <w:shd w:val="clear" w:color="auto" w:fill="FFFFFF"/>
        <w:snapToGrid w:val="0"/>
        <w:spacing w:line="600" w:lineRule="exact"/>
        <w:rPr>
          <w:rFonts w:hint="eastAsia" w:ascii="宋体" w:hAnsi="宋体" w:cs="宋体"/>
          <w:color w:val="000000"/>
          <w:kern w:val="0"/>
          <w:sz w:val="24"/>
        </w:rPr>
      </w:pP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lang w:val="zh-CN"/>
        </w:rPr>
        <w:t xml:space="preserve">                                           投标人名称(公章)：</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lang w:val="zh-CN"/>
        </w:rPr>
        <w:t xml:space="preserve">                                           法定代表人(签字或盖章)：</w:t>
      </w:r>
    </w:p>
    <w:p>
      <w:pPr>
        <w:shd w:val="clear" w:color="auto" w:fill="FFFFFF"/>
        <w:snapToGrid w:val="0"/>
        <w:spacing w:line="600" w:lineRule="exact"/>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w:t>
      </w:r>
    </w:p>
    <w:p>
      <w:pPr>
        <w:shd w:val="clear" w:color="auto" w:fill="FFFFFF"/>
        <w:snapToGrid w:val="0"/>
        <w:spacing w:line="600" w:lineRule="exact"/>
        <w:ind w:right="480"/>
        <w:jc w:val="center"/>
        <w:rPr>
          <w:rFonts w:hint="eastAsia" w:ascii="宋体" w:hAnsi="宋体" w:cs="宋体"/>
          <w:b/>
          <w:bCs/>
          <w:color w:val="000000"/>
          <w:kern w:val="0"/>
          <w:sz w:val="24"/>
          <w:lang w:val="zh-CN"/>
        </w:rPr>
      </w:pPr>
    </w:p>
    <w:p>
      <w:pPr>
        <w:shd w:val="clear" w:color="auto" w:fill="FFFFFF"/>
        <w:snapToGrid w:val="0"/>
        <w:spacing w:line="600" w:lineRule="exact"/>
        <w:ind w:firstLine="482" w:firstLineChars="200"/>
        <w:rPr>
          <w:rFonts w:hint="eastAsia" w:ascii="宋体" w:hAnsi="宋体" w:cs="宋体"/>
          <w:b/>
          <w:bCs/>
          <w:color w:val="000000"/>
          <w:kern w:val="0"/>
          <w:sz w:val="24"/>
          <w:lang w:val="zh-CN"/>
        </w:rPr>
      </w:pPr>
    </w:p>
    <w:p>
      <w:pPr>
        <w:pStyle w:val="40"/>
        <w:snapToGrid w:val="0"/>
        <w:spacing w:line="600" w:lineRule="exact"/>
        <w:ind w:firstLine="482" w:firstLineChars="200"/>
        <w:jc w:val="center"/>
        <w:outlineLvl w:val="2"/>
        <w:rPr>
          <w:rFonts w:hint="eastAsia" w:ascii="宋体" w:hAnsi="宋体" w:eastAsia="宋体" w:cs="宋体"/>
          <w:b/>
          <w:color w:val="000000"/>
          <w:sz w:val="24"/>
          <w:szCs w:val="24"/>
          <w:lang w:val="zh-CN"/>
        </w:rPr>
        <w:sectPr>
          <w:pgSz w:w="11906" w:h="16838"/>
          <w:pgMar w:top="993" w:right="1474" w:bottom="1134" w:left="1474" w:header="851" w:footer="641" w:gutter="0"/>
          <w:cols w:space="720" w:num="1"/>
          <w:docGrid w:type="lines" w:linePitch="315" w:charSpace="0"/>
        </w:sectPr>
      </w:pPr>
    </w:p>
    <w:p>
      <w:pPr>
        <w:pStyle w:val="40"/>
        <w:snapToGrid w:val="0"/>
        <w:spacing w:line="600" w:lineRule="exact"/>
        <w:ind w:firstLine="562" w:firstLineChars="200"/>
        <w:jc w:val="center"/>
        <w:outlineLvl w:val="2"/>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二、法定代表人及授权代表人的身份证 (复印件加盖公章)</w:t>
      </w:r>
    </w:p>
    <w:p>
      <w:pPr>
        <w:shd w:val="clear" w:color="auto" w:fill="FFFFFF"/>
        <w:snapToGrid w:val="0"/>
        <w:spacing w:line="600" w:lineRule="exact"/>
        <w:ind w:right="480"/>
        <w:jc w:val="center"/>
        <w:rPr>
          <w:rFonts w:hint="eastAsia" w:ascii="宋体" w:hAnsi="宋体" w:cs="宋体"/>
          <w:b/>
          <w:bCs/>
          <w:color w:val="000000"/>
          <w:kern w:val="0"/>
          <w:sz w:val="24"/>
          <w:lang w:val="zh-CN"/>
        </w:rPr>
      </w:pPr>
    </w:p>
    <w:p>
      <w:pPr>
        <w:pStyle w:val="2"/>
        <w:snapToGrid w:val="0"/>
        <w:spacing w:line="600" w:lineRule="exact"/>
        <w:ind w:firstLine="480"/>
        <w:jc w:val="center"/>
        <w:rPr>
          <w:rFonts w:hint="eastAsia" w:ascii="宋体" w:hAnsi="宋体" w:eastAsia="宋体" w:cs="宋体"/>
          <w:color w:val="000000"/>
          <w:sz w:val="24"/>
          <w:szCs w:val="24"/>
        </w:rPr>
      </w:pPr>
    </w:p>
    <w:p>
      <w:pPr>
        <w:pStyle w:val="2"/>
        <w:snapToGrid w:val="0"/>
        <w:spacing w:line="600" w:lineRule="exact"/>
        <w:ind w:firstLine="480"/>
        <w:jc w:val="center"/>
        <w:rPr>
          <w:rFonts w:hint="eastAsia" w:ascii="宋体" w:hAnsi="宋体" w:eastAsia="宋体" w:cs="宋体"/>
          <w:color w:val="000000"/>
          <w:sz w:val="24"/>
          <w:szCs w:val="24"/>
        </w:rPr>
      </w:pPr>
    </w:p>
    <w:p>
      <w:pPr>
        <w:snapToGrid w:val="0"/>
        <w:spacing w:line="600" w:lineRule="exact"/>
        <w:jc w:val="center"/>
        <w:outlineLvl w:val="2"/>
        <w:rPr>
          <w:rFonts w:hint="eastAsia" w:ascii="宋体" w:hAnsi="宋体" w:cs="宋体"/>
          <w:b/>
          <w:color w:val="000000"/>
          <w:sz w:val="24"/>
        </w:rPr>
      </w:pPr>
    </w:p>
    <w:p>
      <w:pPr>
        <w:snapToGrid w:val="0"/>
        <w:spacing w:line="600" w:lineRule="exact"/>
        <w:jc w:val="center"/>
        <w:outlineLvl w:val="2"/>
        <w:rPr>
          <w:rFonts w:hint="eastAsia" w:ascii="宋体" w:hAnsi="宋体" w:cs="宋体"/>
          <w:b/>
          <w:color w:val="000000"/>
          <w:sz w:val="28"/>
          <w:szCs w:val="28"/>
          <w:lang w:val="zh-CN"/>
        </w:rPr>
      </w:pPr>
      <w:r>
        <w:rPr>
          <w:rFonts w:hint="eastAsia" w:ascii="宋体" w:hAnsi="宋体" w:cs="宋体"/>
          <w:b/>
          <w:color w:val="000000"/>
          <w:sz w:val="28"/>
          <w:szCs w:val="28"/>
        </w:rPr>
        <w:t>三、</w:t>
      </w:r>
      <w:r>
        <w:rPr>
          <w:rFonts w:hint="eastAsia" w:ascii="宋体" w:hAnsi="宋体" w:cs="宋体"/>
          <w:b/>
          <w:color w:val="000000"/>
          <w:sz w:val="28"/>
          <w:szCs w:val="28"/>
          <w:lang w:val="zh-CN"/>
        </w:rPr>
        <w:t>技术偏离表</w:t>
      </w:r>
    </w:p>
    <w:p>
      <w:pPr>
        <w:autoSpaceDE w:val="0"/>
        <w:autoSpaceDN w:val="0"/>
        <w:adjustRightInd w:val="0"/>
        <w:spacing w:line="440" w:lineRule="exact"/>
        <w:ind w:firstLine="361" w:firstLineChars="150"/>
        <w:rPr>
          <w:rFonts w:hint="eastAsia" w:ascii="宋体" w:hAnsi="宋体"/>
          <w:b/>
          <w:kern w:val="0"/>
          <w:sz w:val="24"/>
        </w:rPr>
      </w:pPr>
      <w:r>
        <w:rPr>
          <w:rFonts w:hint="eastAsia" w:ascii="宋体" w:hAnsi="宋体"/>
          <w:b/>
          <w:kern w:val="0"/>
          <w:sz w:val="24"/>
        </w:rPr>
        <w:t>项目编号：</w:t>
      </w:r>
      <w:r>
        <w:rPr>
          <w:rFonts w:hint="eastAsia" w:ascii="宋体" w:hAnsi="宋体" w:cs="宋体"/>
          <w:b/>
          <w:kern w:val="0"/>
          <w:sz w:val="24"/>
        </w:rPr>
        <w:t xml:space="preserve"> </w:t>
      </w:r>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noWrap w:val="0"/>
            <w:vAlign w:val="center"/>
          </w:tcPr>
          <w:p>
            <w:pPr>
              <w:jc w:val="center"/>
              <w:rPr>
                <w:rFonts w:hint="eastAsia" w:ascii="宋体" w:hAnsi="宋体"/>
                <w:b/>
                <w:sz w:val="24"/>
              </w:rPr>
            </w:pPr>
            <w:r>
              <w:rPr>
                <w:rFonts w:hint="eastAsia" w:ascii="宋体" w:hAnsi="宋体"/>
                <w:b/>
                <w:sz w:val="24"/>
              </w:rPr>
              <w:t>序号</w:t>
            </w:r>
          </w:p>
        </w:tc>
        <w:tc>
          <w:tcPr>
            <w:tcW w:w="1855" w:type="dxa"/>
            <w:tcBorders>
              <w:bottom w:val="single" w:color="auto" w:sz="4" w:space="0"/>
            </w:tcBorders>
            <w:noWrap w:val="0"/>
            <w:vAlign w:val="center"/>
          </w:tcPr>
          <w:p>
            <w:pPr>
              <w:jc w:val="center"/>
              <w:rPr>
                <w:rFonts w:hint="eastAsia" w:ascii="宋体" w:hAnsi="宋体"/>
                <w:b/>
                <w:sz w:val="24"/>
              </w:rPr>
            </w:pPr>
            <w:r>
              <w:rPr>
                <w:rFonts w:hint="eastAsia" w:ascii="宋体" w:hAnsi="宋体"/>
                <w:b/>
                <w:sz w:val="24"/>
              </w:rPr>
              <w:t>内  容</w:t>
            </w:r>
          </w:p>
        </w:tc>
        <w:tc>
          <w:tcPr>
            <w:tcW w:w="1957" w:type="dxa"/>
            <w:tcBorders>
              <w:bottom w:val="single" w:color="auto" w:sz="4" w:space="0"/>
            </w:tcBorders>
            <w:noWrap w:val="0"/>
            <w:vAlign w:val="center"/>
          </w:tcPr>
          <w:p>
            <w:pPr>
              <w:jc w:val="center"/>
              <w:rPr>
                <w:rFonts w:hint="eastAsia" w:ascii="宋体" w:hAnsi="宋体"/>
                <w:b/>
                <w:sz w:val="24"/>
              </w:rPr>
            </w:pPr>
            <w:r>
              <w:rPr>
                <w:rFonts w:hint="eastAsia" w:ascii="宋体" w:hAnsi="宋体"/>
                <w:b/>
                <w:sz w:val="24"/>
              </w:rPr>
              <w:t>招标文件</w:t>
            </w:r>
          </w:p>
          <w:p>
            <w:pPr>
              <w:jc w:val="center"/>
              <w:rPr>
                <w:rFonts w:hint="eastAsia" w:ascii="宋体" w:hAnsi="宋体"/>
                <w:b/>
                <w:sz w:val="24"/>
              </w:rPr>
            </w:pPr>
            <w:r>
              <w:rPr>
                <w:rFonts w:hint="eastAsia" w:ascii="宋体" w:hAnsi="宋体"/>
                <w:b/>
                <w:sz w:val="24"/>
              </w:rPr>
              <w:t>规范要求</w:t>
            </w:r>
          </w:p>
        </w:tc>
        <w:tc>
          <w:tcPr>
            <w:tcW w:w="1620" w:type="dxa"/>
            <w:tcBorders>
              <w:bottom w:val="single" w:color="auto" w:sz="4" w:space="0"/>
            </w:tcBorders>
            <w:noWrap w:val="0"/>
            <w:vAlign w:val="center"/>
          </w:tcPr>
          <w:p>
            <w:pPr>
              <w:jc w:val="center"/>
              <w:rPr>
                <w:rFonts w:hint="eastAsia" w:ascii="宋体" w:hAnsi="宋体"/>
                <w:b/>
                <w:sz w:val="24"/>
              </w:rPr>
            </w:pPr>
            <w:r>
              <w:rPr>
                <w:rFonts w:hint="eastAsia" w:ascii="宋体" w:hAnsi="宋体"/>
                <w:b/>
                <w:sz w:val="24"/>
              </w:rPr>
              <w:t>投标文件</w:t>
            </w:r>
          </w:p>
          <w:p>
            <w:pPr>
              <w:jc w:val="center"/>
              <w:rPr>
                <w:rFonts w:hint="eastAsia" w:ascii="宋体" w:hAnsi="宋体"/>
                <w:b/>
                <w:sz w:val="24"/>
              </w:rPr>
            </w:pPr>
            <w:r>
              <w:rPr>
                <w:rFonts w:hint="eastAsia" w:ascii="宋体" w:hAnsi="宋体"/>
                <w:b/>
                <w:sz w:val="24"/>
              </w:rPr>
              <w:t>对应规范</w:t>
            </w:r>
          </w:p>
        </w:tc>
        <w:tc>
          <w:tcPr>
            <w:tcW w:w="2524" w:type="dxa"/>
            <w:tcBorders>
              <w:bottom w:val="single" w:color="auto" w:sz="4" w:space="0"/>
            </w:tcBorders>
            <w:noWrap w:val="0"/>
            <w:vAlign w:val="center"/>
          </w:tcPr>
          <w:p>
            <w:pPr>
              <w:jc w:val="center"/>
              <w:rPr>
                <w:rFonts w:hint="eastAsia" w:ascii="宋体" w:hAnsi="宋体"/>
                <w:b/>
                <w:sz w:val="24"/>
              </w:rPr>
            </w:pPr>
            <w:r>
              <w:rPr>
                <w:rFonts w:hint="eastAsia" w:ascii="宋体" w:hAnsi="宋体"/>
                <w:b/>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pPr>
              <w:spacing w:line="360" w:lineRule="auto"/>
              <w:jc w:val="center"/>
              <w:rPr>
                <w:rFonts w:hint="eastAsia" w:ascii="宋体" w:hAnsi="宋体"/>
                <w:sz w:val="24"/>
              </w:rPr>
            </w:pPr>
          </w:p>
        </w:tc>
        <w:tc>
          <w:tcPr>
            <w:tcW w:w="1855" w:type="dxa"/>
            <w:noWrap w:val="0"/>
            <w:vAlign w:val="top"/>
          </w:tcPr>
          <w:p>
            <w:pPr>
              <w:spacing w:line="360" w:lineRule="auto"/>
              <w:rPr>
                <w:rFonts w:hint="eastAsia" w:ascii="宋体" w:hAnsi="宋体"/>
                <w:sz w:val="24"/>
              </w:rPr>
            </w:pPr>
          </w:p>
        </w:tc>
        <w:tc>
          <w:tcPr>
            <w:tcW w:w="1957" w:type="dxa"/>
            <w:noWrap w:val="0"/>
            <w:vAlign w:val="top"/>
          </w:tcPr>
          <w:p>
            <w:pPr>
              <w:spacing w:line="360" w:lineRule="auto"/>
              <w:rPr>
                <w:rFonts w:hint="eastAsia" w:ascii="宋体" w:hAnsi="宋体"/>
                <w:sz w:val="24"/>
              </w:rPr>
            </w:pPr>
          </w:p>
        </w:tc>
        <w:tc>
          <w:tcPr>
            <w:tcW w:w="1620" w:type="dxa"/>
            <w:noWrap w:val="0"/>
            <w:vAlign w:val="top"/>
          </w:tcPr>
          <w:p>
            <w:pPr>
              <w:spacing w:line="360" w:lineRule="auto"/>
              <w:rPr>
                <w:rFonts w:hint="eastAsia" w:ascii="宋体" w:hAnsi="宋体"/>
                <w:sz w:val="24"/>
              </w:rPr>
            </w:pPr>
          </w:p>
        </w:tc>
        <w:tc>
          <w:tcPr>
            <w:tcW w:w="2524"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pPr>
              <w:spacing w:line="360" w:lineRule="auto"/>
              <w:rPr>
                <w:rFonts w:hint="eastAsia" w:ascii="宋体" w:hAnsi="宋体"/>
                <w:sz w:val="24"/>
              </w:rPr>
            </w:pPr>
          </w:p>
        </w:tc>
        <w:tc>
          <w:tcPr>
            <w:tcW w:w="1855" w:type="dxa"/>
            <w:noWrap w:val="0"/>
            <w:vAlign w:val="top"/>
          </w:tcPr>
          <w:p>
            <w:pPr>
              <w:spacing w:line="360" w:lineRule="auto"/>
              <w:rPr>
                <w:rFonts w:hint="eastAsia" w:ascii="宋体" w:hAnsi="宋体"/>
                <w:sz w:val="24"/>
              </w:rPr>
            </w:pPr>
          </w:p>
        </w:tc>
        <w:tc>
          <w:tcPr>
            <w:tcW w:w="1957" w:type="dxa"/>
            <w:noWrap w:val="0"/>
            <w:vAlign w:val="top"/>
          </w:tcPr>
          <w:p>
            <w:pPr>
              <w:spacing w:line="360" w:lineRule="auto"/>
              <w:rPr>
                <w:rFonts w:hint="eastAsia" w:ascii="宋体" w:hAnsi="宋体"/>
                <w:sz w:val="24"/>
              </w:rPr>
            </w:pPr>
          </w:p>
        </w:tc>
        <w:tc>
          <w:tcPr>
            <w:tcW w:w="1620" w:type="dxa"/>
            <w:noWrap w:val="0"/>
            <w:vAlign w:val="top"/>
          </w:tcPr>
          <w:p>
            <w:pPr>
              <w:spacing w:line="360" w:lineRule="auto"/>
              <w:rPr>
                <w:rFonts w:hint="eastAsia" w:ascii="宋体" w:hAnsi="宋体"/>
                <w:sz w:val="24"/>
              </w:rPr>
            </w:pPr>
          </w:p>
        </w:tc>
        <w:tc>
          <w:tcPr>
            <w:tcW w:w="2524"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pPr>
              <w:spacing w:line="360" w:lineRule="auto"/>
              <w:rPr>
                <w:rFonts w:hint="eastAsia" w:ascii="宋体" w:hAnsi="宋体"/>
                <w:sz w:val="24"/>
              </w:rPr>
            </w:pPr>
          </w:p>
        </w:tc>
        <w:tc>
          <w:tcPr>
            <w:tcW w:w="1855" w:type="dxa"/>
            <w:noWrap w:val="0"/>
            <w:vAlign w:val="top"/>
          </w:tcPr>
          <w:p>
            <w:pPr>
              <w:spacing w:line="360" w:lineRule="auto"/>
              <w:rPr>
                <w:rFonts w:hint="eastAsia" w:ascii="宋体" w:hAnsi="宋体"/>
                <w:sz w:val="24"/>
              </w:rPr>
            </w:pPr>
          </w:p>
        </w:tc>
        <w:tc>
          <w:tcPr>
            <w:tcW w:w="1957" w:type="dxa"/>
            <w:noWrap w:val="0"/>
            <w:vAlign w:val="top"/>
          </w:tcPr>
          <w:p>
            <w:pPr>
              <w:spacing w:line="360" w:lineRule="auto"/>
              <w:rPr>
                <w:rFonts w:hint="eastAsia" w:ascii="宋体" w:hAnsi="宋体"/>
                <w:sz w:val="24"/>
              </w:rPr>
            </w:pPr>
          </w:p>
        </w:tc>
        <w:tc>
          <w:tcPr>
            <w:tcW w:w="1620" w:type="dxa"/>
            <w:noWrap w:val="0"/>
            <w:vAlign w:val="top"/>
          </w:tcPr>
          <w:p>
            <w:pPr>
              <w:spacing w:line="360" w:lineRule="auto"/>
              <w:rPr>
                <w:rFonts w:hint="eastAsia" w:ascii="宋体" w:hAnsi="宋体"/>
                <w:sz w:val="24"/>
              </w:rPr>
            </w:pPr>
          </w:p>
        </w:tc>
        <w:tc>
          <w:tcPr>
            <w:tcW w:w="2524"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noWrap w:val="0"/>
            <w:vAlign w:val="top"/>
          </w:tcPr>
          <w:p>
            <w:pPr>
              <w:spacing w:line="360" w:lineRule="auto"/>
              <w:rPr>
                <w:rFonts w:hint="eastAsia" w:ascii="宋体" w:hAnsi="宋体"/>
                <w:sz w:val="24"/>
              </w:rPr>
            </w:pPr>
          </w:p>
        </w:tc>
        <w:tc>
          <w:tcPr>
            <w:tcW w:w="1855" w:type="dxa"/>
            <w:noWrap w:val="0"/>
            <w:vAlign w:val="top"/>
          </w:tcPr>
          <w:p>
            <w:pPr>
              <w:spacing w:line="360" w:lineRule="auto"/>
              <w:rPr>
                <w:rFonts w:hint="eastAsia" w:ascii="宋体" w:hAnsi="宋体"/>
                <w:sz w:val="24"/>
              </w:rPr>
            </w:pPr>
          </w:p>
        </w:tc>
        <w:tc>
          <w:tcPr>
            <w:tcW w:w="1957" w:type="dxa"/>
            <w:noWrap w:val="0"/>
            <w:vAlign w:val="top"/>
          </w:tcPr>
          <w:p>
            <w:pPr>
              <w:spacing w:line="360" w:lineRule="auto"/>
              <w:rPr>
                <w:rFonts w:hint="eastAsia" w:ascii="宋体" w:hAnsi="宋体"/>
                <w:sz w:val="24"/>
              </w:rPr>
            </w:pPr>
          </w:p>
        </w:tc>
        <w:tc>
          <w:tcPr>
            <w:tcW w:w="1620" w:type="dxa"/>
            <w:noWrap w:val="0"/>
            <w:vAlign w:val="top"/>
          </w:tcPr>
          <w:p>
            <w:pPr>
              <w:spacing w:line="360" w:lineRule="auto"/>
              <w:rPr>
                <w:rFonts w:hint="eastAsia" w:ascii="宋体" w:hAnsi="宋体"/>
                <w:sz w:val="24"/>
              </w:rPr>
            </w:pPr>
          </w:p>
        </w:tc>
        <w:tc>
          <w:tcPr>
            <w:tcW w:w="2524" w:type="dxa"/>
            <w:noWrap w:val="0"/>
            <w:vAlign w:val="top"/>
          </w:tcPr>
          <w:p>
            <w:pPr>
              <w:spacing w:line="360" w:lineRule="auto"/>
              <w:rPr>
                <w:rFonts w:hint="eastAsia" w:ascii="宋体" w:hAnsi="宋体"/>
                <w:sz w:val="24"/>
              </w:rPr>
            </w:pPr>
          </w:p>
        </w:tc>
      </w:tr>
    </w:tbl>
    <w:p>
      <w:pPr>
        <w:autoSpaceDE w:val="0"/>
        <w:autoSpaceDN w:val="0"/>
        <w:adjustRightInd w:val="0"/>
        <w:spacing w:line="440" w:lineRule="exact"/>
        <w:rPr>
          <w:rFonts w:ascii="宋体" w:hAnsi="宋体"/>
          <w:kern w:val="0"/>
          <w:sz w:val="24"/>
        </w:rPr>
      </w:pPr>
      <w:r>
        <w:rPr>
          <w:rFonts w:hint="eastAsia" w:ascii="宋体" w:hAnsi="宋体"/>
          <w:kern w:val="0"/>
          <w:sz w:val="24"/>
        </w:rPr>
        <w:t>备注：投标人应根据投标设备的性能指标、对照招标文件要求在“偏离情况”栏注明“正偏离”、“负偏离”或“无偏离”。</w:t>
      </w:r>
    </w:p>
    <w:p>
      <w:pPr>
        <w:wordWrap w:val="0"/>
        <w:autoSpaceDE w:val="0"/>
        <w:autoSpaceDN w:val="0"/>
        <w:adjustRightInd w:val="0"/>
        <w:spacing w:line="440" w:lineRule="exact"/>
        <w:jc w:val="right"/>
        <w:rPr>
          <w:rFonts w:hint="eastAsia" w:ascii="宋体" w:hAnsi="宋体" w:cs="宋体"/>
          <w:color w:val="000000"/>
          <w:sz w:val="24"/>
        </w:rPr>
      </w:pPr>
      <w:r>
        <w:rPr>
          <w:rFonts w:hint="eastAsia" w:ascii="宋体" w:hAnsi="宋体" w:cs="仿宋_GB2312"/>
          <w:kern w:val="0"/>
          <w:sz w:val="24"/>
          <w:lang w:val="zh-CN"/>
        </w:rPr>
        <w:t xml:space="preserve">        </w:t>
      </w:r>
    </w:p>
    <w:p>
      <w:pPr>
        <w:snapToGrid w:val="0"/>
        <w:spacing w:line="600" w:lineRule="exact"/>
        <w:ind w:firstLine="240" w:firstLineChars="100"/>
        <w:rPr>
          <w:rFonts w:hint="eastAsia" w:ascii="宋体" w:hAnsi="宋体" w:cs="宋体"/>
          <w:color w:val="000000"/>
          <w:sz w:val="24"/>
        </w:rPr>
      </w:pPr>
    </w:p>
    <w:p>
      <w:pPr>
        <w:snapToGrid w:val="0"/>
        <w:spacing w:line="600" w:lineRule="exact"/>
        <w:ind w:firstLine="240" w:firstLineChars="100"/>
        <w:rPr>
          <w:rFonts w:hint="eastAsia" w:ascii="宋体" w:hAnsi="宋体" w:cs="宋体"/>
          <w:color w:val="000000"/>
          <w:sz w:val="24"/>
        </w:rPr>
      </w:pPr>
    </w:p>
    <w:p>
      <w:pPr>
        <w:snapToGrid w:val="0"/>
        <w:spacing w:line="600" w:lineRule="exact"/>
        <w:ind w:firstLine="240" w:firstLineChars="100"/>
        <w:rPr>
          <w:rFonts w:hint="eastAsia" w:ascii="宋体" w:hAnsi="宋体" w:cs="宋体"/>
          <w:color w:val="000000"/>
          <w:sz w:val="24"/>
        </w:rPr>
      </w:pPr>
    </w:p>
    <w:p>
      <w:pPr>
        <w:snapToGrid w:val="0"/>
        <w:spacing w:line="600" w:lineRule="exact"/>
        <w:ind w:firstLine="241" w:firstLineChars="100"/>
        <w:rPr>
          <w:rFonts w:hint="eastAsia" w:ascii="宋体" w:hAnsi="宋体" w:cs="宋体"/>
          <w:b/>
          <w:bCs/>
          <w:color w:val="000000"/>
          <w:sz w:val="24"/>
        </w:rPr>
      </w:pPr>
    </w:p>
    <w:p>
      <w:pPr>
        <w:autoSpaceDE w:val="0"/>
        <w:autoSpaceDN w:val="0"/>
        <w:snapToGrid w:val="0"/>
        <w:spacing w:line="600" w:lineRule="exact"/>
        <w:ind w:firstLine="5160" w:firstLineChars="2150"/>
        <w:rPr>
          <w:rFonts w:hint="eastAsia" w:ascii="宋体" w:hAnsi="宋体" w:cs="宋体"/>
          <w:color w:val="000000"/>
          <w:kern w:val="0"/>
          <w:sz w:val="24"/>
          <w:lang w:val="zh-CN"/>
        </w:rPr>
      </w:pPr>
    </w:p>
    <w:p>
      <w:pPr>
        <w:autoSpaceDE w:val="0"/>
        <w:autoSpaceDN w:val="0"/>
        <w:snapToGrid w:val="0"/>
        <w:spacing w:line="600" w:lineRule="exact"/>
        <w:ind w:firstLine="5160" w:firstLineChars="2150"/>
        <w:rPr>
          <w:rFonts w:hint="eastAsia" w:ascii="宋体" w:hAnsi="宋体" w:cs="宋体"/>
          <w:color w:val="000000"/>
          <w:kern w:val="0"/>
          <w:sz w:val="24"/>
        </w:rPr>
      </w:pPr>
      <w:r>
        <w:rPr>
          <w:rFonts w:hint="eastAsia" w:ascii="宋体" w:hAnsi="宋体" w:cs="宋体"/>
          <w:color w:val="000000"/>
          <w:kern w:val="0"/>
          <w:sz w:val="24"/>
          <w:lang w:val="zh-CN"/>
        </w:rPr>
        <w:t xml:space="preserve">投标人名称（公章）：      </w:t>
      </w:r>
    </w:p>
    <w:p>
      <w:pPr>
        <w:autoSpaceDE w:val="0"/>
        <w:autoSpaceDN w:val="0"/>
        <w:snapToGrid w:val="0"/>
        <w:spacing w:line="600" w:lineRule="exact"/>
        <w:rPr>
          <w:rFonts w:hint="eastAsia" w:ascii="宋体" w:hAnsi="宋体" w:cs="宋体"/>
          <w:color w:val="000000"/>
          <w:kern w:val="0"/>
          <w:sz w:val="24"/>
          <w:lang w:val="zh-CN"/>
        </w:rPr>
      </w:pPr>
      <w:r>
        <w:rPr>
          <w:rFonts w:hint="eastAsia" w:ascii="宋体" w:hAnsi="宋体" w:cs="宋体"/>
          <w:color w:val="000000"/>
          <w:kern w:val="0"/>
          <w:sz w:val="24"/>
          <w:lang w:val="zh-CN"/>
        </w:rPr>
        <w:t xml:space="preserve">                                           授权代表人（签字）：</w:t>
      </w:r>
    </w:p>
    <w:p>
      <w:pPr>
        <w:autoSpaceDE w:val="0"/>
        <w:autoSpaceDN w:val="0"/>
        <w:snapToGrid w:val="0"/>
        <w:spacing w:line="600" w:lineRule="exact"/>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   年  月   日</w:t>
      </w:r>
    </w:p>
    <w:p>
      <w:pPr>
        <w:autoSpaceDE w:val="0"/>
        <w:autoSpaceDN w:val="0"/>
        <w:snapToGrid w:val="0"/>
        <w:spacing w:line="600" w:lineRule="exact"/>
        <w:ind w:firstLine="5160" w:firstLineChars="2150"/>
        <w:rPr>
          <w:rFonts w:hint="eastAsia" w:ascii="宋体" w:hAnsi="宋体" w:cs="宋体"/>
          <w:color w:val="000000"/>
          <w:kern w:val="0"/>
          <w:sz w:val="24"/>
          <w:lang w:val="zh-CN"/>
        </w:rPr>
      </w:pPr>
    </w:p>
    <w:p>
      <w:pPr>
        <w:snapToGrid w:val="0"/>
        <w:spacing w:line="600" w:lineRule="exact"/>
        <w:ind w:firstLine="241" w:firstLineChars="100"/>
        <w:rPr>
          <w:rFonts w:hint="eastAsia" w:ascii="宋体" w:hAnsi="宋体" w:cs="宋体"/>
          <w:b/>
          <w:bCs/>
          <w:color w:val="000000"/>
          <w:sz w:val="24"/>
        </w:rPr>
      </w:pPr>
    </w:p>
    <w:p>
      <w:pPr>
        <w:pStyle w:val="40"/>
        <w:snapToGrid w:val="0"/>
        <w:spacing w:line="600" w:lineRule="exact"/>
        <w:ind w:firstLine="562" w:firstLineChars="200"/>
        <w:jc w:val="center"/>
        <w:outlineLvl w:val="2"/>
        <w:rPr>
          <w:rFonts w:hint="eastAsia" w:ascii="宋体" w:hAnsi="宋体" w:eastAsia="宋体" w:cs="宋体"/>
          <w:b/>
          <w:color w:val="000000"/>
          <w:sz w:val="28"/>
          <w:szCs w:val="28"/>
          <w:lang w:val="zh-CN"/>
        </w:rPr>
      </w:pPr>
    </w:p>
    <w:p>
      <w:pPr>
        <w:pStyle w:val="40"/>
        <w:snapToGrid w:val="0"/>
        <w:spacing w:line="600" w:lineRule="exact"/>
        <w:ind w:firstLine="562" w:firstLineChars="200"/>
        <w:jc w:val="center"/>
        <w:outlineLvl w:val="2"/>
        <w:rPr>
          <w:rFonts w:hint="eastAsia" w:ascii="宋体" w:hAnsi="宋体" w:eastAsia="宋体" w:cs="宋体"/>
          <w:b/>
          <w:color w:val="000000"/>
          <w:sz w:val="28"/>
          <w:szCs w:val="28"/>
          <w:lang w:val="zh-CN"/>
        </w:rPr>
      </w:pPr>
    </w:p>
    <w:p>
      <w:pPr>
        <w:pStyle w:val="40"/>
        <w:snapToGrid w:val="0"/>
        <w:spacing w:line="600" w:lineRule="exact"/>
        <w:ind w:firstLine="562" w:firstLineChars="200"/>
        <w:jc w:val="center"/>
        <w:outlineLvl w:val="2"/>
        <w:rPr>
          <w:rFonts w:hint="eastAsia" w:ascii="宋体" w:hAnsi="宋体" w:eastAsia="宋体" w:cs="宋体"/>
          <w:b/>
          <w:color w:val="000000"/>
          <w:sz w:val="24"/>
          <w:szCs w:val="24"/>
          <w:lang w:val="zh-CN"/>
        </w:rPr>
      </w:pPr>
      <w:r>
        <w:rPr>
          <w:rFonts w:hint="eastAsia" w:ascii="宋体" w:hAnsi="宋体" w:eastAsia="宋体" w:cs="宋体"/>
          <w:b/>
          <w:color w:val="000000"/>
          <w:sz w:val="28"/>
          <w:szCs w:val="28"/>
          <w:lang w:val="zh-CN"/>
        </w:rPr>
        <w:t>四、对于评分细则提供相关证明材料</w:t>
      </w:r>
    </w:p>
    <w:p>
      <w:pPr>
        <w:shd w:val="clear" w:color="auto" w:fill="FFFFFF"/>
        <w:snapToGrid w:val="0"/>
        <w:spacing w:line="600" w:lineRule="exact"/>
        <w:jc w:val="center"/>
        <w:rPr>
          <w:rFonts w:hint="eastAsia" w:ascii="宋体" w:hAnsi="宋体" w:cs="宋体"/>
          <w:b/>
          <w:bCs/>
          <w:color w:val="000000"/>
          <w:sz w:val="24"/>
        </w:rPr>
      </w:pPr>
    </w:p>
    <w:p>
      <w:pPr>
        <w:shd w:val="clear" w:color="auto" w:fill="FFFFFF"/>
        <w:snapToGrid w:val="0"/>
        <w:spacing w:line="600" w:lineRule="exact"/>
        <w:ind w:firstLine="5160" w:firstLineChars="2150"/>
        <w:rPr>
          <w:rFonts w:hint="eastAsia" w:ascii="宋体" w:hAnsi="宋体" w:cs="宋体"/>
          <w:color w:val="000000"/>
          <w:kern w:val="0"/>
          <w:sz w:val="24"/>
        </w:rPr>
      </w:pPr>
      <w:r>
        <w:rPr>
          <w:rFonts w:hint="eastAsia" w:ascii="宋体" w:hAnsi="宋体" w:cs="宋体"/>
          <w:color w:val="000000"/>
          <w:kern w:val="0"/>
          <w:sz w:val="24"/>
          <w:lang w:val="zh-CN"/>
        </w:rPr>
        <w:t xml:space="preserve">投标人名称（公章）：      </w:t>
      </w:r>
    </w:p>
    <w:p>
      <w:pPr>
        <w:shd w:val="clear" w:color="auto" w:fill="FFFFFF"/>
        <w:snapToGrid w:val="0"/>
        <w:spacing w:line="600" w:lineRule="exact"/>
        <w:rPr>
          <w:rFonts w:hint="eastAsia" w:ascii="宋体" w:hAnsi="宋体" w:cs="宋体"/>
          <w:color w:val="000000"/>
          <w:kern w:val="0"/>
          <w:sz w:val="24"/>
          <w:lang w:val="zh-CN"/>
        </w:rPr>
      </w:pPr>
      <w:r>
        <w:rPr>
          <w:rFonts w:hint="eastAsia" w:ascii="宋体" w:hAnsi="宋体" w:cs="宋体"/>
          <w:color w:val="000000"/>
          <w:kern w:val="0"/>
          <w:sz w:val="24"/>
          <w:lang w:val="zh-CN"/>
        </w:rPr>
        <w:t xml:space="preserve">                                           授权代表人（签字）：</w:t>
      </w:r>
    </w:p>
    <w:p>
      <w:pPr>
        <w:shd w:val="clear" w:color="auto" w:fill="FFFFFF"/>
        <w:snapToGrid w:val="0"/>
        <w:spacing w:line="600" w:lineRule="exact"/>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   年  月   日</w:t>
      </w:r>
    </w:p>
    <w:p>
      <w:pPr>
        <w:pStyle w:val="215"/>
        <w:rPr>
          <w:rFonts w:hint="eastAsia" w:cs="宋体"/>
          <w:color w:val="000000"/>
        </w:rPr>
      </w:pPr>
    </w:p>
    <w:p>
      <w:pPr>
        <w:pStyle w:val="215"/>
        <w:rPr>
          <w:rFonts w:hint="eastAsia" w:cs="宋体"/>
          <w:color w:val="000000"/>
        </w:rPr>
      </w:pPr>
    </w:p>
    <w:p>
      <w:pPr>
        <w:pStyle w:val="215"/>
        <w:rPr>
          <w:rFonts w:hint="eastAsia" w:cs="宋体"/>
          <w:color w:val="000000"/>
        </w:rPr>
      </w:pPr>
    </w:p>
    <w:p>
      <w:pPr>
        <w:pStyle w:val="215"/>
        <w:rPr>
          <w:rFonts w:hint="eastAsia" w:cs="宋体"/>
          <w:color w:val="000000"/>
        </w:rPr>
      </w:pPr>
    </w:p>
    <w:p>
      <w:pPr>
        <w:pStyle w:val="215"/>
        <w:rPr>
          <w:rFonts w:hint="eastAsia" w:cs="宋体"/>
          <w:color w:val="000000"/>
        </w:rPr>
      </w:pPr>
    </w:p>
    <w:p>
      <w:pPr>
        <w:pStyle w:val="215"/>
        <w:rPr>
          <w:rFonts w:hint="eastAsia" w:cs="宋体"/>
          <w:color w:val="000000"/>
        </w:rPr>
      </w:pPr>
    </w:p>
    <w:p>
      <w:pPr>
        <w:pStyle w:val="215"/>
        <w:rPr>
          <w:rFonts w:hint="eastAsia" w:cs="宋体"/>
          <w:color w:val="000000"/>
        </w:rPr>
      </w:pPr>
    </w:p>
    <w:p>
      <w:pPr>
        <w:pStyle w:val="215"/>
        <w:rPr>
          <w:rFonts w:hint="eastAsia" w:cs="宋体"/>
          <w:color w:val="000000"/>
        </w:rPr>
      </w:pPr>
    </w:p>
    <w:p>
      <w:pPr>
        <w:pStyle w:val="215"/>
        <w:rPr>
          <w:rFonts w:hint="eastAsia" w:cs="宋体"/>
          <w:color w:val="000000"/>
        </w:rPr>
      </w:pPr>
    </w:p>
    <w:p>
      <w:pPr>
        <w:pStyle w:val="215"/>
        <w:rPr>
          <w:rFonts w:hint="eastAsia" w:cs="宋体"/>
          <w:color w:val="000000"/>
        </w:rPr>
      </w:pPr>
    </w:p>
    <w:p>
      <w:pPr>
        <w:pStyle w:val="215"/>
        <w:rPr>
          <w:rFonts w:hint="eastAsia" w:cs="宋体"/>
          <w:color w:val="000000"/>
        </w:rPr>
      </w:pPr>
    </w:p>
    <w:p>
      <w:pPr>
        <w:pStyle w:val="215"/>
        <w:rPr>
          <w:rFonts w:hint="eastAsia" w:cs="宋体"/>
          <w:color w:val="000000"/>
        </w:rPr>
      </w:pPr>
    </w:p>
    <w:p>
      <w:pPr>
        <w:pStyle w:val="215"/>
        <w:rPr>
          <w:rFonts w:hint="eastAsia" w:cs="宋体"/>
          <w:color w:val="000000"/>
        </w:rPr>
      </w:pPr>
    </w:p>
    <w:p>
      <w:pPr>
        <w:pStyle w:val="215"/>
        <w:rPr>
          <w:rFonts w:hint="eastAsia" w:cs="宋体"/>
          <w:color w:val="000000"/>
        </w:rPr>
      </w:pPr>
    </w:p>
    <w:p>
      <w:pPr>
        <w:pStyle w:val="215"/>
        <w:rPr>
          <w:rFonts w:hint="eastAsia" w:cs="宋体"/>
          <w:color w:val="000000"/>
        </w:rPr>
      </w:pPr>
    </w:p>
    <w:p>
      <w:pPr>
        <w:pStyle w:val="215"/>
        <w:rPr>
          <w:rFonts w:hint="eastAsia" w:cs="宋体"/>
          <w:color w:val="000000"/>
        </w:rPr>
      </w:pPr>
    </w:p>
    <w:p>
      <w:pPr>
        <w:pStyle w:val="215"/>
        <w:rPr>
          <w:rFonts w:hint="eastAsia" w:cs="宋体"/>
          <w:color w:val="000000"/>
        </w:rPr>
      </w:pPr>
    </w:p>
    <w:p>
      <w:pPr>
        <w:pStyle w:val="215"/>
        <w:rPr>
          <w:rFonts w:hint="eastAsia" w:cs="宋体"/>
          <w:color w:val="000000"/>
        </w:rPr>
      </w:pPr>
    </w:p>
    <w:p>
      <w:pPr>
        <w:pStyle w:val="215"/>
        <w:rPr>
          <w:rFonts w:hint="eastAsia" w:cs="宋体"/>
          <w:color w:val="000000"/>
        </w:rPr>
      </w:pPr>
    </w:p>
    <w:p>
      <w:pPr>
        <w:pStyle w:val="215"/>
        <w:rPr>
          <w:rFonts w:hint="eastAsia" w:cs="宋体"/>
          <w:color w:val="000000"/>
        </w:rPr>
      </w:pPr>
    </w:p>
    <w:p>
      <w:pPr>
        <w:pStyle w:val="215"/>
        <w:rPr>
          <w:rFonts w:hint="eastAsia" w:cs="宋体"/>
          <w:color w:val="000000"/>
        </w:rPr>
      </w:pPr>
    </w:p>
    <w:p>
      <w:pPr>
        <w:pStyle w:val="215"/>
        <w:rPr>
          <w:rFonts w:hint="eastAsia" w:cs="宋体"/>
          <w:color w:val="000000"/>
        </w:rPr>
      </w:pPr>
    </w:p>
    <w:p>
      <w:pPr>
        <w:pStyle w:val="215"/>
        <w:rPr>
          <w:rFonts w:hint="eastAsia" w:cs="宋体"/>
          <w:color w:val="000000"/>
        </w:rPr>
      </w:pPr>
    </w:p>
    <w:p>
      <w:pPr>
        <w:pStyle w:val="215"/>
        <w:rPr>
          <w:rFonts w:hint="eastAsia" w:cs="宋体"/>
          <w:color w:val="000000"/>
        </w:rPr>
      </w:pPr>
    </w:p>
    <w:p>
      <w:pPr>
        <w:pStyle w:val="215"/>
        <w:rPr>
          <w:rFonts w:hint="eastAsia" w:cs="宋体"/>
          <w:color w:val="000000"/>
        </w:rPr>
      </w:pPr>
    </w:p>
    <w:p>
      <w:pPr>
        <w:pStyle w:val="215"/>
        <w:rPr>
          <w:rFonts w:hint="eastAsia" w:cs="宋体"/>
          <w:color w:val="000000"/>
        </w:rPr>
      </w:pPr>
    </w:p>
    <w:p>
      <w:pPr>
        <w:pStyle w:val="215"/>
        <w:rPr>
          <w:rFonts w:hint="eastAsia" w:cs="宋体"/>
          <w:color w:val="000000"/>
        </w:rPr>
      </w:pPr>
    </w:p>
    <w:p>
      <w:pPr>
        <w:pStyle w:val="40"/>
        <w:snapToGrid w:val="0"/>
        <w:spacing w:line="600" w:lineRule="exact"/>
        <w:ind w:firstLine="562" w:firstLineChars="200"/>
        <w:jc w:val="center"/>
        <w:outlineLvl w:val="2"/>
        <w:rPr>
          <w:rFonts w:hint="eastAsia" w:ascii="宋体" w:hAnsi="宋体" w:eastAsia="宋体" w:cs="宋体"/>
          <w:b/>
          <w:color w:val="000000"/>
          <w:sz w:val="28"/>
          <w:szCs w:val="28"/>
          <w:lang w:val="zh-CN"/>
        </w:rPr>
      </w:pPr>
    </w:p>
    <w:p>
      <w:pPr>
        <w:pStyle w:val="40"/>
        <w:snapToGrid w:val="0"/>
        <w:spacing w:line="600" w:lineRule="exact"/>
        <w:ind w:firstLine="562" w:firstLineChars="200"/>
        <w:jc w:val="center"/>
        <w:outlineLvl w:val="2"/>
        <w:rPr>
          <w:rFonts w:hint="eastAsia" w:ascii="宋体" w:hAnsi="宋体" w:eastAsia="宋体" w:cs="宋体"/>
          <w:b/>
          <w:color w:val="000000"/>
          <w:sz w:val="28"/>
          <w:szCs w:val="28"/>
          <w:lang w:val="zh-CN"/>
        </w:rPr>
      </w:pPr>
    </w:p>
    <w:p>
      <w:pPr>
        <w:pStyle w:val="40"/>
        <w:snapToGrid w:val="0"/>
        <w:spacing w:line="600" w:lineRule="exact"/>
        <w:ind w:firstLine="562" w:firstLineChars="200"/>
        <w:jc w:val="center"/>
        <w:outlineLvl w:val="2"/>
        <w:rPr>
          <w:rFonts w:hint="eastAsia" w:ascii="宋体" w:hAnsi="宋体" w:eastAsia="宋体" w:cs="宋体"/>
          <w:b/>
          <w:color w:val="000000"/>
          <w:sz w:val="28"/>
          <w:szCs w:val="28"/>
          <w:lang w:val="zh-CN"/>
        </w:rPr>
      </w:pPr>
    </w:p>
    <w:p>
      <w:pPr>
        <w:pStyle w:val="40"/>
        <w:snapToGrid w:val="0"/>
        <w:spacing w:line="600" w:lineRule="exact"/>
        <w:ind w:firstLine="562" w:firstLineChars="200"/>
        <w:jc w:val="center"/>
        <w:outlineLvl w:val="2"/>
        <w:rPr>
          <w:rFonts w:hint="eastAsia" w:ascii="宋体" w:hAnsi="宋体" w:eastAsia="宋体" w:cs="宋体"/>
          <w:b/>
          <w:color w:val="000000"/>
          <w:sz w:val="28"/>
          <w:szCs w:val="28"/>
          <w:lang w:val="zh-CN"/>
        </w:rPr>
      </w:pPr>
    </w:p>
    <w:p>
      <w:pPr>
        <w:autoSpaceDE w:val="0"/>
        <w:autoSpaceDN w:val="0"/>
        <w:adjustRightInd w:val="0"/>
        <w:spacing w:line="400" w:lineRule="atLeast"/>
        <w:jc w:val="center"/>
        <w:rPr>
          <w:rFonts w:ascii="宋体" w:cs="宋体"/>
          <w:b/>
          <w:color w:val="000000"/>
          <w:kern w:val="0"/>
          <w:sz w:val="32"/>
          <w:szCs w:val="32"/>
        </w:rPr>
      </w:pPr>
      <w:r>
        <w:rPr>
          <w:rFonts w:hint="eastAsia" w:ascii="宋体" w:hAnsi="宋体" w:cs="宋体"/>
          <w:b/>
          <w:color w:val="000000"/>
          <w:kern w:val="0"/>
          <w:sz w:val="32"/>
          <w:szCs w:val="32"/>
        </w:rPr>
        <w:t>五</w:t>
      </w:r>
      <w:r>
        <w:rPr>
          <w:rFonts w:hint="eastAsia" w:ascii="宋体" w:hAnsi="宋体" w:cs="宋体"/>
          <w:b/>
          <w:color w:val="000000"/>
          <w:kern w:val="0"/>
          <w:sz w:val="32"/>
          <w:szCs w:val="32"/>
          <w:lang w:val="zh-CN"/>
        </w:rPr>
        <w:t>、</w:t>
      </w:r>
      <w:r>
        <w:rPr>
          <w:rFonts w:hint="eastAsia" w:ascii="宋体" w:hAnsi="宋体" w:cs="宋体"/>
          <w:b/>
          <w:color w:val="000000"/>
          <w:kern w:val="0"/>
          <w:sz w:val="32"/>
          <w:szCs w:val="32"/>
        </w:rPr>
        <w:t>采购需求实质性内容响应表</w:t>
      </w:r>
    </w:p>
    <w:p>
      <w:pPr>
        <w:autoSpaceDE w:val="0"/>
        <w:autoSpaceDN w:val="0"/>
        <w:adjustRightInd w:val="0"/>
        <w:spacing w:line="360" w:lineRule="auto"/>
        <w:jc w:val="center"/>
        <w:rPr>
          <w:rFonts w:ascii="宋体"/>
          <w:b/>
          <w:color w:val="000000"/>
          <w:kern w:val="0"/>
          <w:sz w:val="32"/>
          <w:szCs w:val="32"/>
        </w:rPr>
      </w:pPr>
    </w:p>
    <w:p>
      <w:pPr>
        <w:autoSpaceDE w:val="0"/>
        <w:autoSpaceDN w:val="0"/>
        <w:adjustRightInd w:val="0"/>
        <w:spacing w:line="360" w:lineRule="auto"/>
        <w:ind w:firstLine="360" w:firstLineChars="150"/>
        <w:rPr>
          <w:rFonts w:ascii="宋体"/>
          <w:color w:val="000000"/>
          <w:kern w:val="0"/>
          <w:sz w:val="24"/>
        </w:rPr>
      </w:pPr>
      <w:r>
        <w:rPr>
          <w:rFonts w:hint="eastAsia" w:ascii="宋体" w:hAnsi="宋体"/>
          <w:color w:val="000000"/>
          <w:kern w:val="0"/>
          <w:sz w:val="24"/>
        </w:rPr>
        <w:t>项目名称：</w:t>
      </w:r>
      <w:r>
        <w:rPr>
          <w:rFonts w:hint="eastAsia" w:ascii="宋体"/>
          <w:color w:val="000000"/>
          <w:kern w:val="0"/>
          <w:sz w:val="24"/>
        </w:rPr>
        <w:t xml:space="preserve">                                   </w:t>
      </w:r>
      <w:r>
        <w:rPr>
          <w:rFonts w:hint="eastAsia" w:ascii="宋体" w:hAnsi="宋体"/>
          <w:color w:val="000000"/>
          <w:kern w:val="0"/>
          <w:sz w:val="24"/>
        </w:rPr>
        <w:t xml:space="preserve">项目编号： </w:t>
      </w:r>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292"/>
        <w:gridCol w:w="1843"/>
        <w:gridCol w:w="2091"/>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noWrap w:val="0"/>
            <w:vAlign w:val="center"/>
          </w:tcPr>
          <w:p>
            <w:pPr>
              <w:spacing w:line="360" w:lineRule="auto"/>
              <w:jc w:val="center"/>
              <w:rPr>
                <w:rFonts w:ascii="宋体"/>
                <w:b/>
                <w:color w:val="000000"/>
                <w:sz w:val="24"/>
              </w:rPr>
            </w:pPr>
            <w:r>
              <w:rPr>
                <w:rFonts w:hint="eastAsia" w:ascii="宋体" w:hAnsi="宋体"/>
                <w:b/>
                <w:color w:val="000000"/>
                <w:sz w:val="24"/>
              </w:rPr>
              <w:t>序号</w:t>
            </w:r>
          </w:p>
        </w:tc>
        <w:tc>
          <w:tcPr>
            <w:tcW w:w="2292" w:type="dxa"/>
            <w:noWrap w:val="0"/>
            <w:vAlign w:val="center"/>
          </w:tcPr>
          <w:p>
            <w:pPr>
              <w:spacing w:line="360" w:lineRule="auto"/>
              <w:jc w:val="center"/>
              <w:rPr>
                <w:rFonts w:ascii="宋体"/>
                <w:b/>
                <w:color w:val="000000"/>
                <w:sz w:val="24"/>
              </w:rPr>
            </w:pPr>
            <w:r>
              <w:rPr>
                <w:rFonts w:hint="eastAsia" w:ascii="宋体" w:hAnsi="宋体"/>
                <w:b/>
                <w:color w:val="000000"/>
                <w:sz w:val="24"/>
              </w:rPr>
              <w:t>实质性条款</w:t>
            </w:r>
          </w:p>
        </w:tc>
        <w:tc>
          <w:tcPr>
            <w:tcW w:w="1843" w:type="dxa"/>
            <w:noWrap w:val="0"/>
            <w:vAlign w:val="center"/>
          </w:tcPr>
          <w:p>
            <w:pPr>
              <w:spacing w:line="360" w:lineRule="auto"/>
              <w:jc w:val="center"/>
              <w:rPr>
                <w:rFonts w:ascii="宋体"/>
                <w:b/>
                <w:color w:val="000000"/>
                <w:sz w:val="24"/>
              </w:rPr>
            </w:pPr>
            <w:r>
              <w:rPr>
                <w:rFonts w:hint="eastAsia" w:ascii="宋体" w:hAnsi="宋体"/>
                <w:b/>
                <w:color w:val="000000"/>
                <w:sz w:val="24"/>
              </w:rPr>
              <w:t>招标文件要求</w:t>
            </w:r>
          </w:p>
        </w:tc>
        <w:tc>
          <w:tcPr>
            <w:tcW w:w="2091" w:type="dxa"/>
            <w:noWrap w:val="0"/>
            <w:vAlign w:val="center"/>
          </w:tcPr>
          <w:p>
            <w:pPr>
              <w:spacing w:line="360" w:lineRule="auto"/>
              <w:rPr>
                <w:rFonts w:ascii="宋体"/>
                <w:b/>
                <w:color w:val="000000"/>
                <w:sz w:val="24"/>
              </w:rPr>
            </w:pPr>
            <w:r>
              <w:rPr>
                <w:rFonts w:hint="eastAsia" w:ascii="宋体" w:hAnsi="宋体"/>
                <w:b/>
                <w:color w:val="000000"/>
                <w:sz w:val="24"/>
              </w:rPr>
              <w:t>投标承诺或说明</w:t>
            </w:r>
          </w:p>
        </w:tc>
        <w:tc>
          <w:tcPr>
            <w:tcW w:w="1730" w:type="dxa"/>
            <w:noWrap w:val="0"/>
            <w:vAlign w:val="center"/>
          </w:tcPr>
          <w:p>
            <w:pPr>
              <w:spacing w:line="360" w:lineRule="auto"/>
              <w:jc w:val="center"/>
              <w:rPr>
                <w:rFonts w:ascii="宋体"/>
                <w:b/>
                <w:color w:val="000000"/>
                <w:sz w:val="24"/>
              </w:rPr>
            </w:pPr>
            <w:r>
              <w:rPr>
                <w:rFonts w:hint="eastAsia" w:ascii="宋体" w:hAnsi="宋体"/>
                <w:b/>
                <w:color w:val="000000"/>
                <w:sz w:val="24"/>
              </w:rPr>
              <w:t>满足情况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center"/>
          </w:tcPr>
          <w:p>
            <w:pPr>
              <w:spacing w:line="360" w:lineRule="auto"/>
              <w:jc w:val="center"/>
              <w:rPr>
                <w:rFonts w:ascii="宋体"/>
                <w:color w:val="000000"/>
                <w:sz w:val="24"/>
              </w:rPr>
            </w:pPr>
            <w:r>
              <w:rPr>
                <w:rFonts w:ascii="宋体" w:hAnsi="宋体"/>
                <w:color w:val="000000"/>
                <w:sz w:val="24"/>
              </w:rPr>
              <w:t>1</w:t>
            </w:r>
          </w:p>
        </w:tc>
        <w:tc>
          <w:tcPr>
            <w:tcW w:w="2292" w:type="dxa"/>
            <w:noWrap w:val="0"/>
            <w:vAlign w:val="top"/>
          </w:tcPr>
          <w:p>
            <w:pPr>
              <w:adjustRightInd w:val="0"/>
              <w:snapToGrid w:val="0"/>
              <w:spacing w:line="360" w:lineRule="auto"/>
              <w:rPr>
                <w:rFonts w:hint="eastAsia" w:ascii="宋体" w:hAnsi="宋体" w:cs="宋体"/>
                <w:b/>
                <w:bCs/>
                <w:sz w:val="24"/>
              </w:rPr>
            </w:pPr>
          </w:p>
        </w:tc>
        <w:tc>
          <w:tcPr>
            <w:tcW w:w="1843" w:type="dxa"/>
            <w:noWrap w:val="0"/>
            <w:vAlign w:val="top"/>
          </w:tcPr>
          <w:p>
            <w:pPr>
              <w:spacing w:line="360" w:lineRule="auto"/>
              <w:rPr>
                <w:rFonts w:ascii="宋体"/>
                <w:color w:val="000000"/>
                <w:sz w:val="24"/>
              </w:rPr>
            </w:pPr>
          </w:p>
        </w:tc>
        <w:tc>
          <w:tcPr>
            <w:tcW w:w="2091" w:type="dxa"/>
            <w:noWrap w:val="0"/>
            <w:vAlign w:val="top"/>
          </w:tcPr>
          <w:p>
            <w:pPr>
              <w:spacing w:line="360" w:lineRule="auto"/>
              <w:rPr>
                <w:rFonts w:ascii="宋体"/>
                <w:color w:val="000000"/>
                <w:sz w:val="24"/>
              </w:rPr>
            </w:pPr>
          </w:p>
        </w:tc>
        <w:tc>
          <w:tcPr>
            <w:tcW w:w="1730" w:type="dxa"/>
            <w:noWrap w:val="0"/>
            <w:vAlign w:val="top"/>
          </w:tcPr>
          <w:p>
            <w:pPr>
              <w:spacing w:line="360" w:lineRule="auto"/>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center"/>
          </w:tcPr>
          <w:p>
            <w:pPr>
              <w:spacing w:line="360" w:lineRule="auto"/>
              <w:jc w:val="center"/>
              <w:rPr>
                <w:rFonts w:ascii="宋体"/>
                <w:color w:val="000000"/>
                <w:sz w:val="24"/>
              </w:rPr>
            </w:pPr>
            <w:r>
              <w:rPr>
                <w:rFonts w:ascii="宋体" w:hAnsi="宋体"/>
                <w:color w:val="000000"/>
                <w:sz w:val="24"/>
              </w:rPr>
              <w:t>2</w:t>
            </w:r>
          </w:p>
        </w:tc>
        <w:tc>
          <w:tcPr>
            <w:tcW w:w="2292" w:type="dxa"/>
            <w:noWrap w:val="0"/>
            <w:vAlign w:val="top"/>
          </w:tcPr>
          <w:p>
            <w:pPr>
              <w:spacing w:line="360" w:lineRule="auto"/>
              <w:rPr>
                <w:rFonts w:hint="eastAsia" w:ascii="宋体" w:hAnsi="宋体"/>
                <w:b/>
                <w:bCs/>
                <w:sz w:val="24"/>
                <w:highlight w:val="yellow"/>
              </w:rPr>
            </w:pPr>
          </w:p>
        </w:tc>
        <w:tc>
          <w:tcPr>
            <w:tcW w:w="1843" w:type="dxa"/>
            <w:noWrap w:val="0"/>
            <w:vAlign w:val="top"/>
          </w:tcPr>
          <w:p>
            <w:pPr>
              <w:spacing w:line="360" w:lineRule="auto"/>
              <w:rPr>
                <w:rFonts w:ascii="宋体"/>
                <w:color w:val="000000"/>
                <w:sz w:val="24"/>
              </w:rPr>
            </w:pPr>
          </w:p>
        </w:tc>
        <w:tc>
          <w:tcPr>
            <w:tcW w:w="2091" w:type="dxa"/>
            <w:noWrap w:val="0"/>
            <w:vAlign w:val="top"/>
          </w:tcPr>
          <w:p>
            <w:pPr>
              <w:spacing w:line="360" w:lineRule="auto"/>
              <w:rPr>
                <w:rFonts w:ascii="宋体"/>
                <w:color w:val="000000"/>
                <w:sz w:val="24"/>
              </w:rPr>
            </w:pPr>
          </w:p>
        </w:tc>
        <w:tc>
          <w:tcPr>
            <w:tcW w:w="1730" w:type="dxa"/>
            <w:noWrap w:val="0"/>
            <w:vAlign w:val="top"/>
          </w:tcPr>
          <w:p>
            <w:pPr>
              <w:spacing w:line="360" w:lineRule="auto"/>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center"/>
          </w:tcPr>
          <w:p>
            <w:pPr>
              <w:spacing w:line="360" w:lineRule="auto"/>
              <w:jc w:val="center"/>
              <w:rPr>
                <w:rFonts w:ascii="宋体"/>
                <w:color w:val="000000"/>
                <w:sz w:val="24"/>
              </w:rPr>
            </w:pPr>
            <w:r>
              <w:rPr>
                <w:rFonts w:ascii="宋体" w:hAnsi="宋体"/>
                <w:color w:val="000000"/>
                <w:sz w:val="24"/>
              </w:rPr>
              <w:t>3</w:t>
            </w:r>
          </w:p>
        </w:tc>
        <w:tc>
          <w:tcPr>
            <w:tcW w:w="2292" w:type="dxa"/>
            <w:noWrap w:val="0"/>
            <w:vAlign w:val="top"/>
          </w:tcPr>
          <w:p>
            <w:pPr>
              <w:spacing w:line="360" w:lineRule="auto"/>
              <w:rPr>
                <w:rFonts w:hint="eastAsia" w:hAnsi="宋体"/>
                <w:b/>
                <w:sz w:val="24"/>
              </w:rPr>
            </w:pPr>
          </w:p>
        </w:tc>
        <w:tc>
          <w:tcPr>
            <w:tcW w:w="1843" w:type="dxa"/>
            <w:noWrap w:val="0"/>
            <w:vAlign w:val="top"/>
          </w:tcPr>
          <w:p>
            <w:pPr>
              <w:spacing w:line="360" w:lineRule="auto"/>
              <w:rPr>
                <w:rFonts w:ascii="宋体"/>
                <w:color w:val="000000"/>
                <w:sz w:val="24"/>
              </w:rPr>
            </w:pPr>
          </w:p>
        </w:tc>
        <w:tc>
          <w:tcPr>
            <w:tcW w:w="2091" w:type="dxa"/>
            <w:noWrap w:val="0"/>
            <w:vAlign w:val="top"/>
          </w:tcPr>
          <w:p>
            <w:pPr>
              <w:spacing w:line="360" w:lineRule="auto"/>
              <w:rPr>
                <w:rFonts w:ascii="宋体"/>
                <w:color w:val="000000"/>
                <w:sz w:val="24"/>
              </w:rPr>
            </w:pPr>
          </w:p>
        </w:tc>
        <w:tc>
          <w:tcPr>
            <w:tcW w:w="1730" w:type="dxa"/>
            <w:noWrap w:val="0"/>
            <w:vAlign w:val="top"/>
          </w:tcPr>
          <w:p>
            <w:pPr>
              <w:spacing w:line="360" w:lineRule="auto"/>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noWrap w:val="0"/>
            <w:vAlign w:val="center"/>
          </w:tcPr>
          <w:p>
            <w:pPr>
              <w:spacing w:line="360" w:lineRule="auto"/>
              <w:jc w:val="center"/>
              <w:rPr>
                <w:rFonts w:ascii="宋体"/>
                <w:color w:val="000000"/>
                <w:sz w:val="24"/>
              </w:rPr>
            </w:pPr>
            <w:r>
              <w:rPr>
                <w:rFonts w:ascii="宋体" w:hAnsi="宋体"/>
                <w:color w:val="000000"/>
                <w:sz w:val="24"/>
              </w:rPr>
              <w:t>4</w:t>
            </w:r>
          </w:p>
        </w:tc>
        <w:tc>
          <w:tcPr>
            <w:tcW w:w="2292" w:type="dxa"/>
            <w:noWrap w:val="0"/>
            <w:vAlign w:val="top"/>
          </w:tcPr>
          <w:p>
            <w:pPr>
              <w:pStyle w:val="40"/>
              <w:snapToGrid w:val="0"/>
              <w:spacing w:line="360" w:lineRule="auto"/>
              <w:rPr>
                <w:rFonts w:hint="eastAsia" w:hAnsi="宋体"/>
                <w:b/>
                <w:snapToGrid w:val="0"/>
                <w:sz w:val="24"/>
                <w:szCs w:val="24"/>
              </w:rPr>
            </w:pPr>
          </w:p>
        </w:tc>
        <w:tc>
          <w:tcPr>
            <w:tcW w:w="1843" w:type="dxa"/>
            <w:noWrap w:val="0"/>
            <w:vAlign w:val="top"/>
          </w:tcPr>
          <w:p>
            <w:pPr>
              <w:spacing w:line="360" w:lineRule="auto"/>
              <w:rPr>
                <w:rFonts w:ascii="宋体"/>
                <w:color w:val="000000"/>
                <w:sz w:val="24"/>
              </w:rPr>
            </w:pPr>
          </w:p>
        </w:tc>
        <w:tc>
          <w:tcPr>
            <w:tcW w:w="2091" w:type="dxa"/>
            <w:noWrap w:val="0"/>
            <w:vAlign w:val="top"/>
          </w:tcPr>
          <w:p>
            <w:pPr>
              <w:spacing w:line="360" w:lineRule="auto"/>
              <w:rPr>
                <w:rFonts w:ascii="宋体"/>
                <w:color w:val="000000"/>
                <w:sz w:val="24"/>
              </w:rPr>
            </w:pPr>
          </w:p>
        </w:tc>
        <w:tc>
          <w:tcPr>
            <w:tcW w:w="1730" w:type="dxa"/>
            <w:noWrap w:val="0"/>
            <w:vAlign w:val="top"/>
          </w:tcPr>
          <w:p>
            <w:pPr>
              <w:spacing w:line="360" w:lineRule="auto"/>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noWrap w:val="0"/>
            <w:vAlign w:val="center"/>
          </w:tcPr>
          <w:p>
            <w:pPr>
              <w:spacing w:line="360" w:lineRule="auto"/>
              <w:jc w:val="center"/>
              <w:rPr>
                <w:rFonts w:ascii="宋体"/>
                <w:color w:val="000000"/>
                <w:sz w:val="24"/>
              </w:rPr>
            </w:pPr>
            <w:r>
              <w:rPr>
                <w:rFonts w:ascii="宋体" w:hAnsi="宋体"/>
                <w:color w:val="000000"/>
                <w:sz w:val="24"/>
              </w:rPr>
              <w:t>5</w:t>
            </w:r>
          </w:p>
        </w:tc>
        <w:tc>
          <w:tcPr>
            <w:tcW w:w="2292" w:type="dxa"/>
            <w:noWrap w:val="0"/>
            <w:vAlign w:val="top"/>
          </w:tcPr>
          <w:p>
            <w:pPr>
              <w:adjustRightInd w:val="0"/>
              <w:snapToGrid w:val="0"/>
              <w:spacing w:line="360" w:lineRule="auto"/>
              <w:rPr>
                <w:rFonts w:hint="eastAsia"/>
                <w:sz w:val="24"/>
                <w:highlight w:val="yellow"/>
              </w:rPr>
            </w:pPr>
          </w:p>
        </w:tc>
        <w:tc>
          <w:tcPr>
            <w:tcW w:w="1843" w:type="dxa"/>
            <w:noWrap w:val="0"/>
            <w:vAlign w:val="top"/>
          </w:tcPr>
          <w:p>
            <w:pPr>
              <w:spacing w:line="360" w:lineRule="auto"/>
              <w:rPr>
                <w:rFonts w:ascii="宋体"/>
                <w:color w:val="000000"/>
                <w:sz w:val="24"/>
              </w:rPr>
            </w:pPr>
          </w:p>
        </w:tc>
        <w:tc>
          <w:tcPr>
            <w:tcW w:w="2091" w:type="dxa"/>
            <w:noWrap w:val="0"/>
            <w:vAlign w:val="top"/>
          </w:tcPr>
          <w:p>
            <w:pPr>
              <w:spacing w:line="360" w:lineRule="auto"/>
              <w:rPr>
                <w:rFonts w:ascii="宋体"/>
                <w:color w:val="000000"/>
                <w:sz w:val="24"/>
              </w:rPr>
            </w:pPr>
          </w:p>
        </w:tc>
        <w:tc>
          <w:tcPr>
            <w:tcW w:w="1730" w:type="dxa"/>
            <w:noWrap w:val="0"/>
            <w:vAlign w:val="top"/>
          </w:tcPr>
          <w:p>
            <w:pPr>
              <w:spacing w:line="360" w:lineRule="auto"/>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noWrap w:val="0"/>
            <w:vAlign w:val="top"/>
          </w:tcPr>
          <w:p>
            <w:pPr>
              <w:spacing w:line="360" w:lineRule="auto"/>
              <w:rPr>
                <w:rFonts w:ascii="宋体"/>
                <w:color w:val="000000"/>
                <w:sz w:val="24"/>
              </w:rPr>
            </w:pPr>
          </w:p>
        </w:tc>
        <w:tc>
          <w:tcPr>
            <w:tcW w:w="2292" w:type="dxa"/>
            <w:noWrap w:val="0"/>
            <w:vAlign w:val="top"/>
          </w:tcPr>
          <w:p>
            <w:pPr>
              <w:spacing w:line="360" w:lineRule="auto"/>
              <w:rPr>
                <w:rFonts w:ascii="宋体"/>
                <w:color w:val="000000"/>
              </w:rPr>
            </w:pPr>
            <w:r>
              <w:rPr>
                <w:rFonts w:hint="eastAsia" w:ascii="宋体" w:hAnsi="宋体"/>
                <w:color w:val="000000"/>
                <w:sz w:val="24"/>
              </w:rPr>
              <w:t>……</w:t>
            </w:r>
          </w:p>
        </w:tc>
        <w:tc>
          <w:tcPr>
            <w:tcW w:w="1843" w:type="dxa"/>
            <w:noWrap w:val="0"/>
            <w:vAlign w:val="top"/>
          </w:tcPr>
          <w:p>
            <w:pPr>
              <w:spacing w:line="360" w:lineRule="auto"/>
              <w:rPr>
                <w:rFonts w:ascii="宋体"/>
                <w:color w:val="000000"/>
                <w:sz w:val="24"/>
              </w:rPr>
            </w:pPr>
          </w:p>
        </w:tc>
        <w:tc>
          <w:tcPr>
            <w:tcW w:w="2091" w:type="dxa"/>
            <w:noWrap w:val="0"/>
            <w:vAlign w:val="top"/>
          </w:tcPr>
          <w:p>
            <w:pPr>
              <w:spacing w:line="360" w:lineRule="auto"/>
              <w:rPr>
                <w:rFonts w:ascii="宋体"/>
                <w:color w:val="000000"/>
                <w:sz w:val="24"/>
              </w:rPr>
            </w:pPr>
          </w:p>
        </w:tc>
        <w:tc>
          <w:tcPr>
            <w:tcW w:w="1730" w:type="dxa"/>
            <w:noWrap w:val="0"/>
            <w:vAlign w:val="top"/>
          </w:tcPr>
          <w:p>
            <w:pPr>
              <w:spacing w:line="360" w:lineRule="auto"/>
              <w:rPr>
                <w:rFonts w:ascii="宋体"/>
                <w:color w:val="000000"/>
                <w:sz w:val="24"/>
              </w:rPr>
            </w:pPr>
          </w:p>
        </w:tc>
      </w:tr>
    </w:tbl>
    <w:p>
      <w:pPr>
        <w:adjustRightInd w:val="0"/>
        <w:snapToGrid w:val="0"/>
        <w:spacing w:line="400" w:lineRule="exact"/>
        <w:rPr>
          <w:rFonts w:ascii="宋体"/>
          <w:color w:val="000000"/>
          <w:kern w:val="0"/>
          <w:sz w:val="24"/>
        </w:rPr>
      </w:pPr>
      <w:r>
        <w:rPr>
          <w:rFonts w:hint="eastAsia" w:ascii="宋体" w:hAnsi="宋体"/>
          <w:color w:val="000000"/>
          <w:kern w:val="0"/>
          <w:sz w:val="24"/>
        </w:rPr>
        <w:t>填表说明：</w:t>
      </w:r>
    </w:p>
    <w:p>
      <w:pPr>
        <w:adjustRightInd w:val="0"/>
        <w:snapToGrid w:val="0"/>
        <w:spacing w:line="400" w:lineRule="exact"/>
        <w:ind w:firstLine="480" w:firstLineChars="200"/>
        <w:rPr>
          <w:rFonts w:ascii="宋体" w:cs="仿宋_GB2312"/>
          <w:color w:val="000000"/>
          <w:kern w:val="0"/>
          <w:sz w:val="24"/>
          <w:lang w:val="zh-CN"/>
        </w:rPr>
      </w:pPr>
      <w:r>
        <w:rPr>
          <w:rFonts w:ascii="宋体" w:hAnsi="宋体"/>
          <w:color w:val="000000"/>
          <w:kern w:val="0"/>
          <w:sz w:val="24"/>
        </w:rPr>
        <w:t>1</w:t>
      </w:r>
      <w:r>
        <w:rPr>
          <w:rFonts w:hint="eastAsia" w:ascii="宋体" w:hAnsi="宋体"/>
          <w:color w:val="000000"/>
          <w:kern w:val="0"/>
          <w:sz w:val="24"/>
        </w:rPr>
        <w:t>、</w:t>
      </w:r>
      <w:r>
        <w:rPr>
          <w:rFonts w:hint="eastAsia" w:ascii="宋体" w:hAnsi="宋体" w:cs="仿宋_GB2312"/>
          <w:color w:val="000000"/>
          <w:kern w:val="0"/>
          <w:sz w:val="24"/>
          <w:lang w:val="zh-CN"/>
        </w:rPr>
        <w:t>“实质性条款”详见“第三部分采购需求”中带“●”条款，本表中所列条款仅供参考；</w:t>
      </w:r>
    </w:p>
    <w:p>
      <w:pPr>
        <w:adjustRightInd w:val="0"/>
        <w:snapToGrid w:val="0"/>
        <w:spacing w:line="400" w:lineRule="exact"/>
        <w:ind w:firstLine="480" w:firstLineChars="200"/>
        <w:rPr>
          <w:rFonts w:ascii="宋体"/>
          <w:color w:val="000000"/>
          <w:kern w:val="0"/>
          <w:sz w:val="24"/>
        </w:rPr>
      </w:pPr>
      <w:r>
        <w:rPr>
          <w:rFonts w:ascii="宋体" w:hAnsi="宋体" w:cs="仿宋_GB2312"/>
          <w:color w:val="000000"/>
          <w:kern w:val="0"/>
          <w:sz w:val="24"/>
          <w:lang w:val="zh-CN"/>
        </w:rPr>
        <w:t>2</w:t>
      </w:r>
      <w:r>
        <w:rPr>
          <w:rFonts w:hint="eastAsia" w:ascii="宋体" w:hAnsi="宋体" w:cs="仿宋_GB2312"/>
          <w:color w:val="000000"/>
          <w:kern w:val="0"/>
          <w:sz w:val="24"/>
          <w:lang w:val="zh-CN"/>
        </w:rPr>
        <w:t>、</w:t>
      </w:r>
      <w:r>
        <w:rPr>
          <w:rFonts w:hint="eastAsia" w:ascii="宋体" w:hAnsi="宋体"/>
          <w:color w:val="000000"/>
          <w:kern w:val="0"/>
          <w:sz w:val="24"/>
        </w:rPr>
        <w:t>投标人应根据投标承诺或说明、对照招标文件要求在“满足情况”栏注明“满足”或“不满足”；</w:t>
      </w:r>
    </w:p>
    <w:p>
      <w:pPr>
        <w:adjustRightInd w:val="0"/>
        <w:snapToGrid w:val="0"/>
        <w:spacing w:line="400" w:lineRule="exact"/>
        <w:ind w:firstLine="480" w:firstLineChars="200"/>
        <w:rPr>
          <w:rFonts w:hint="eastAsia" w:ascii="宋体" w:cs="仿宋_GB2312"/>
          <w:color w:val="000000"/>
          <w:kern w:val="0"/>
          <w:sz w:val="24"/>
          <w:lang w:val="zh-CN"/>
        </w:rPr>
      </w:pPr>
      <w:r>
        <w:rPr>
          <w:rFonts w:ascii="宋体" w:hAnsi="宋体"/>
          <w:color w:val="000000"/>
          <w:kern w:val="0"/>
          <w:sz w:val="24"/>
        </w:rPr>
        <w:t>3</w:t>
      </w:r>
      <w:r>
        <w:rPr>
          <w:rFonts w:hint="eastAsia" w:ascii="宋体" w:hAnsi="宋体"/>
          <w:color w:val="000000"/>
          <w:kern w:val="0"/>
          <w:sz w:val="24"/>
        </w:rPr>
        <w:t>、</w:t>
      </w:r>
      <w:r>
        <w:rPr>
          <w:rFonts w:hint="eastAsia" w:ascii="宋体" w:hAnsi="宋体" w:cs="仿宋_GB2312"/>
          <w:color w:val="000000"/>
          <w:kern w:val="0"/>
          <w:sz w:val="24"/>
          <w:lang w:val="zh-CN"/>
        </w:rPr>
        <w:t>本项目“第三部分采购需求”中所有带“●”条款，投标人必须作出实质性响应，如有任意一条未响应或不满足，将被视为无效。</w:t>
      </w:r>
    </w:p>
    <w:p>
      <w:pPr>
        <w:autoSpaceDE w:val="0"/>
        <w:autoSpaceDN w:val="0"/>
        <w:adjustRightInd w:val="0"/>
        <w:spacing w:line="360" w:lineRule="auto"/>
        <w:ind w:right="480" w:firstLine="5880" w:firstLineChars="2450"/>
        <w:rPr>
          <w:rFonts w:hint="eastAsia" w:ascii="宋体" w:hAnsi="宋体" w:cs="仿宋_GB2312"/>
          <w:color w:val="000000"/>
          <w:kern w:val="0"/>
          <w:sz w:val="24"/>
          <w:lang w:val="zh-CN"/>
        </w:rPr>
      </w:pPr>
    </w:p>
    <w:p>
      <w:pPr>
        <w:autoSpaceDE w:val="0"/>
        <w:autoSpaceDN w:val="0"/>
        <w:adjustRightInd w:val="0"/>
        <w:spacing w:line="360" w:lineRule="auto"/>
        <w:ind w:right="480" w:firstLine="5880" w:firstLineChars="2450"/>
        <w:rPr>
          <w:rFonts w:ascii="宋体" w:cs="仿宋_GB2312"/>
          <w:color w:val="000000"/>
          <w:kern w:val="0"/>
          <w:sz w:val="24"/>
          <w:lang w:val="zh-CN"/>
        </w:rPr>
      </w:pPr>
      <w:r>
        <w:rPr>
          <w:rFonts w:hint="eastAsia" w:ascii="宋体" w:hAnsi="宋体" w:cs="仿宋_GB2312"/>
          <w:color w:val="000000"/>
          <w:kern w:val="0"/>
          <w:sz w:val="24"/>
          <w:lang w:val="zh-CN"/>
        </w:rPr>
        <w:t>投标人（公章）：</w:t>
      </w:r>
    </w:p>
    <w:p>
      <w:pPr>
        <w:autoSpaceDE w:val="0"/>
        <w:autoSpaceDN w:val="0"/>
        <w:adjustRightInd w:val="0"/>
        <w:spacing w:line="360" w:lineRule="auto"/>
        <w:jc w:val="right"/>
        <w:rPr>
          <w:rFonts w:ascii="宋体" w:cs="仿宋_GB2312"/>
          <w:color w:val="000000"/>
          <w:kern w:val="0"/>
          <w:sz w:val="24"/>
          <w:lang w:val="zh-CN"/>
        </w:rPr>
      </w:pPr>
      <w:r>
        <w:rPr>
          <w:rFonts w:hint="eastAsia" w:ascii="宋体" w:hAnsi="宋体" w:cs="仿宋_GB2312"/>
          <w:color w:val="000000"/>
          <w:kern w:val="0"/>
          <w:sz w:val="24"/>
          <w:lang w:val="zh-CN"/>
        </w:rPr>
        <w:t>法定代表人或负责人或授权代表（签字）：</w:t>
      </w:r>
    </w:p>
    <w:p>
      <w:pPr>
        <w:autoSpaceDE w:val="0"/>
        <w:autoSpaceDN w:val="0"/>
        <w:adjustRightInd w:val="0"/>
        <w:spacing w:line="360" w:lineRule="auto"/>
        <w:jc w:val="center"/>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日期：    年   月   日</w:t>
      </w:r>
    </w:p>
    <w:p>
      <w:pPr>
        <w:pStyle w:val="40"/>
        <w:snapToGrid w:val="0"/>
        <w:spacing w:line="600" w:lineRule="exact"/>
        <w:ind w:firstLine="562" w:firstLineChars="200"/>
        <w:jc w:val="center"/>
        <w:outlineLvl w:val="2"/>
        <w:rPr>
          <w:rFonts w:hint="eastAsia" w:ascii="宋体" w:hAnsi="宋体" w:eastAsia="宋体" w:cs="宋体"/>
          <w:b/>
          <w:color w:val="000000"/>
          <w:sz w:val="28"/>
          <w:szCs w:val="28"/>
          <w:lang w:val="zh-CN"/>
        </w:rPr>
      </w:pPr>
    </w:p>
    <w:p>
      <w:pPr>
        <w:rPr>
          <w:rFonts w:hint="eastAsia"/>
          <w:lang w:val="zh-CN"/>
        </w:rPr>
      </w:pPr>
    </w:p>
    <w:p>
      <w:pPr>
        <w:pageBreakBefore/>
        <w:shd w:val="clear" w:color="auto" w:fill="FFFFFF"/>
        <w:snapToGrid w:val="0"/>
        <w:spacing w:line="600" w:lineRule="exact"/>
        <w:jc w:val="center"/>
        <w:outlineLvl w:val="2"/>
        <w:rPr>
          <w:rFonts w:hint="eastAsia" w:ascii="宋体" w:hAnsi="宋体" w:cs="宋体"/>
          <w:b/>
          <w:bCs/>
          <w:color w:val="000000"/>
          <w:sz w:val="32"/>
          <w:szCs w:val="32"/>
        </w:rPr>
      </w:pPr>
      <w:r>
        <w:rPr>
          <w:rFonts w:hint="eastAsia" w:ascii="宋体" w:hAnsi="宋体" w:cs="宋体"/>
          <w:b/>
          <w:bCs/>
          <w:color w:val="000000"/>
          <w:sz w:val="32"/>
          <w:szCs w:val="32"/>
        </w:rPr>
        <w:t>投标文件封面</w:t>
      </w:r>
    </w:p>
    <w:p>
      <w:pPr>
        <w:shd w:val="clear" w:color="auto" w:fill="FFFFFF"/>
        <w:snapToGrid w:val="0"/>
        <w:spacing w:line="600" w:lineRule="exact"/>
        <w:jc w:val="center"/>
        <w:rPr>
          <w:rFonts w:hint="eastAsia" w:ascii="宋体" w:hAnsi="宋体" w:cs="宋体"/>
          <w:b/>
          <w:bCs/>
          <w:color w:val="000000"/>
          <w:spacing w:val="-17"/>
          <w:sz w:val="32"/>
          <w:szCs w:val="32"/>
        </w:rPr>
      </w:pPr>
    </w:p>
    <w:p>
      <w:pPr>
        <w:shd w:val="clear" w:color="auto" w:fill="FFFFFF"/>
        <w:snapToGrid w:val="0"/>
        <w:spacing w:line="480" w:lineRule="auto"/>
        <w:jc w:val="center"/>
        <w:rPr>
          <w:rFonts w:hint="eastAsia" w:ascii="宋体" w:hAnsi="宋体" w:eastAsia="宋体" w:cs="宋体"/>
          <w:b/>
          <w:bCs/>
          <w:color w:val="000000"/>
          <w:sz w:val="36"/>
          <w:szCs w:val="36"/>
          <w:lang w:eastAsia="zh-CN"/>
        </w:rPr>
      </w:pPr>
      <w:r>
        <w:rPr>
          <w:rFonts w:hint="eastAsia" w:ascii="宋体" w:hAnsi="宋体" w:cs="宋体"/>
          <w:b/>
          <w:bCs/>
          <w:color w:val="000000"/>
          <w:spacing w:val="-17"/>
          <w:sz w:val="36"/>
          <w:szCs w:val="36"/>
          <w:lang w:eastAsia="zh-CN"/>
        </w:rPr>
        <w:t>良渚街道物流等人口聚集区块维保服务外包项目</w:t>
      </w:r>
    </w:p>
    <w:p>
      <w:pPr>
        <w:shd w:val="clear" w:color="auto" w:fill="FFFFFF"/>
        <w:snapToGrid w:val="0"/>
        <w:spacing w:line="480" w:lineRule="auto"/>
        <w:jc w:val="center"/>
        <w:rPr>
          <w:rFonts w:hint="eastAsia" w:ascii="宋体" w:hAnsi="宋体" w:cs="宋体"/>
          <w:b/>
          <w:bCs/>
          <w:color w:val="000000"/>
          <w:sz w:val="36"/>
          <w:szCs w:val="36"/>
        </w:rPr>
      </w:pPr>
      <w:r>
        <w:rPr>
          <w:rFonts w:hint="eastAsia" w:ascii="宋体" w:hAnsi="宋体" w:cs="宋体"/>
          <w:b/>
          <w:bCs/>
          <w:color w:val="000000"/>
          <w:sz w:val="36"/>
          <w:szCs w:val="36"/>
        </w:rPr>
        <w:t xml:space="preserve"> （资格文件/报价文件/商务技术文件）</w:t>
      </w:r>
    </w:p>
    <w:p>
      <w:pPr>
        <w:pStyle w:val="2"/>
        <w:ind w:firstLine="482"/>
        <w:rPr>
          <w:rFonts w:hint="eastAsia" w:ascii="宋体" w:hAnsi="宋体" w:eastAsia="宋体" w:cs="宋体"/>
          <w:b/>
          <w:bCs/>
          <w:color w:val="000000"/>
          <w:sz w:val="24"/>
          <w:szCs w:val="24"/>
        </w:rPr>
      </w:pPr>
    </w:p>
    <w:p>
      <w:pPr>
        <w:pStyle w:val="2"/>
        <w:ind w:firstLine="482"/>
        <w:rPr>
          <w:rFonts w:hint="eastAsia" w:ascii="宋体" w:hAnsi="宋体" w:eastAsia="宋体" w:cs="宋体"/>
          <w:b/>
          <w:bCs/>
          <w:color w:val="000000"/>
          <w:sz w:val="24"/>
          <w:szCs w:val="24"/>
        </w:rPr>
      </w:pPr>
    </w:p>
    <w:p>
      <w:pPr>
        <w:shd w:val="clear" w:color="auto" w:fill="FFFFFF"/>
        <w:snapToGrid w:val="0"/>
        <w:spacing w:line="600" w:lineRule="exact"/>
        <w:ind w:firstLine="3614" w:firstLineChars="1000"/>
        <w:rPr>
          <w:rFonts w:hint="eastAsia" w:ascii="宋体" w:hAnsi="宋体" w:cs="宋体"/>
          <w:b/>
          <w:bCs/>
          <w:color w:val="000000"/>
          <w:sz w:val="36"/>
          <w:szCs w:val="36"/>
        </w:rPr>
      </w:pPr>
      <w:r>
        <w:rPr>
          <w:rFonts w:hint="eastAsia" w:ascii="宋体" w:hAnsi="宋体" w:cs="宋体"/>
          <w:b/>
          <w:bCs/>
          <w:color w:val="000000"/>
          <w:sz w:val="36"/>
          <w:szCs w:val="36"/>
        </w:rPr>
        <w:t>项目编号：</w:t>
      </w:r>
    </w:p>
    <w:p>
      <w:pPr>
        <w:pStyle w:val="2"/>
        <w:ind w:firstLine="482"/>
        <w:rPr>
          <w:rFonts w:hint="eastAsia" w:ascii="宋体" w:hAnsi="宋体" w:eastAsia="宋体" w:cs="宋体"/>
          <w:b/>
          <w:bCs/>
          <w:color w:val="000000"/>
          <w:sz w:val="24"/>
          <w:szCs w:val="24"/>
        </w:rPr>
      </w:pPr>
    </w:p>
    <w:p>
      <w:pPr>
        <w:pStyle w:val="2"/>
        <w:ind w:firstLine="0"/>
        <w:rPr>
          <w:rFonts w:hint="eastAsia" w:ascii="宋体" w:hAnsi="宋体" w:eastAsia="宋体" w:cs="宋体"/>
          <w:b/>
          <w:bCs/>
          <w:color w:val="000000"/>
          <w:sz w:val="24"/>
          <w:szCs w:val="24"/>
        </w:rPr>
      </w:pPr>
    </w:p>
    <w:p>
      <w:pPr>
        <w:pStyle w:val="2"/>
        <w:ind w:firstLine="883"/>
        <w:rPr>
          <w:rFonts w:hint="eastAsia" w:ascii="宋体" w:hAnsi="宋体" w:eastAsia="宋体" w:cs="宋体"/>
          <w:b/>
          <w:bCs/>
          <w:color w:val="000000"/>
          <w:sz w:val="44"/>
          <w:szCs w:val="44"/>
        </w:rPr>
      </w:pPr>
    </w:p>
    <w:bookmarkEnd w:id="172"/>
    <w:p>
      <w:pPr>
        <w:snapToGrid w:val="0"/>
        <w:spacing w:line="600" w:lineRule="exact"/>
        <w:jc w:val="center"/>
        <w:rPr>
          <w:rFonts w:hint="eastAsia" w:ascii="宋体" w:hAnsi="宋体" w:cs="宋体"/>
          <w:color w:val="000000"/>
          <w:sz w:val="44"/>
          <w:szCs w:val="44"/>
        </w:rPr>
      </w:pPr>
      <w:r>
        <w:rPr>
          <w:rFonts w:hint="eastAsia" w:ascii="宋体" w:hAnsi="宋体" w:cs="宋体"/>
          <w:color w:val="000000"/>
          <w:sz w:val="44"/>
          <w:szCs w:val="44"/>
        </w:rPr>
        <w:t>投</w:t>
      </w:r>
    </w:p>
    <w:p>
      <w:pPr>
        <w:pStyle w:val="2"/>
        <w:ind w:firstLine="480"/>
        <w:rPr>
          <w:rFonts w:hint="eastAsia"/>
        </w:rPr>
      </w:pPr>
    </w:p>
    <w:p>
      <w:pPr>
        <w:snapToGrid w:val="0"/>
        <w:spacing w:line="600" w:lineRule="exact"/>
        <w:jc w:val="center"/>
        <w:rPr>
          <w:rFonts w:hint="eastAsia" w:ascii="宋体" w:hAnsi="宋体" w:cs="宋体"/>
          <w:color w:val="000000"/>
          <w:sz w:val="44"/>
          <w:szCs w:val="44"/>
        </w:rPr>
      </w:pPr>
      <w:r>
        <w:rPr>
          <w:rFonts w:hint="eastAsia" w:ascii="宋体" w:hAnsi="宋体" w:cs="宋体"/>
          <w:color w:val="000000"/>
          <w:sz w:val="44"/>
          <w:szCs w:val="44"/>
        </w:rPr>
        <w:t>标</w:t>
      </w:r>
    </w:p>
    <w:p>
      <w:pPr>
        <w:pStyle w:val="2"/>
        <w:ind w:firstLine="480"/>
        <w:rPr>
          <w:rFonts w:hint="eastAsia"/>
        </w:rPr>
      </w:pPr>
    </w:p>
    <w:p>
      <w:pPr>
        <w:snapToGrid w:val="0"/>
        <w:spacing w:line="600" w:lineRule="exact"/>
        <w:jc w:val="center"/>
        <w:rPr>
          <w:rFonts w:hint="eastAsia" w:ascii="宋体" w:hAnsi="宋体" w:cs="宋体"/>
          <w:color w:val="000000"/>
          <w:sz w:val="44"/>
          <w:szCs w:val="44"/>
        </w:rPr>
      </w:pPr>
      <w:r>
        <w:rPr>
          <w:rFonts w:hint="eastAsia" w:ascii="宋体" w:hAnsi="宋体" w:cs="宋体"/>
          <w:color w:val="000000"/>
          <w:sz w:val="44"/>
          <w:szCs w:val="44"/>
        </w:rPr>
        <w:t>文</w:t>
      </w:r>
    </w:p>
    <w:p>
      <w:pPr>
        <w:pStyle w:val="2"/>
        <w:ind w:firstLine="0"/>
        <w:rPr>
          <w:rFonts w:hint="eastAsia" w:ascii="宋体" w:hAnsi="宋体" w:eastAsia="宋体" w:cs="宋体"/>
          <w:color w:val="000000"/>
          <w:sz w:val="44"/>
          <w:szCs w:val="44"/>
        </w:rPr>
      </w:pPr>
    </w:p>
    <w:p>
      <w:pPr>
        <w:snapToGrid w:val="0"/>
        <w:spacing w:line="600" w:lineRule="exact"/>
        <w:jc w:val="center"/>
        <w:rPr>
          <w:rFonts w:hint="eastAsia" w:ascii="宋体" w:hAnsi="宋体" w:cs="宋体"/>
          <w:color w:val="000000"/>
          <w:sz w:val="24"/>
        </w:rPr>
      </w:pPr>
      <w:r>
        <w:rPr>
          <w:rFonts w:hint="eastAsia" w:ascii="宋体" w:hAnsi="宋体" w:cs="宋体"/>
          <w:color w:val="000000"/>
          <w:sz w:val="44"/>
          <w:szCs w:val="44"/>
        </w:rPr>
        <w:t>件</w:t>
      </w:r>
    </w:p>
    <w:p>
      <w:pPr>
        <w:pStyle w:val="2"/>
        <w:ind w:firstLine="480"/>
        <w:rPr>
          <w:rFonts w:hint="eastAsia" w:ascii="宋体" w:hAnsi="宋体" w:eastAsia="宋体" w:cs="宋体"/>
          <w:color w:val="000000"/>
          <w:sz w:val="24"/>
          <w:szCs w:val="24"/>
        </w:rPr>
      </w:pPr>
    </w:p>
    <w:p>
      <w:pPr>
        <w:pStyle w:val="2"/>
        <w:ind w:firstLine="0"/>
        <w:rPr>
          <w:rFonts w:hint="eastAsia" w:ascii="宋体" w:hAnsi="宋体" w:eastAsia="宋体" w:cs="宋体"/>
          <w:color w:val="000000"/>
          <w:sz w:val="24"/>
          <w:szCs w:val="24"/>
        </w:rPr>
      </w:pPr>
    </w:p>
    <w:p>
      <w:pPr>
        <w:snapToGrid w:val="0"/>
        <w:spacing w:line="600" w:lineRule="exact"/>
        <w:jc w:val="center"/>
        <w:rPr>
          <w:rFonts w:hint="eastAsia" w:ascii="宋体" w:hAnsi="宋体" w:cs="宋体"/>
          <w:color w:val="000000"/>
          <w:sz w:val="30"/>
          <w:szCs w:val="30"/>
        </w:rPr>
      </w:pPr>
      <w:r>
        <w:rPr>
          <w:rFonts w:hint="eastAsia" w:ascii="宋体" w:hAnsi="宋体" w:cs="宋体"/>
          <w:color w:val="000000"/>
          <w:sz w:val="30"/>
          <w:szCs w:val="30"/>
        </w:rPr>
        <w:t>投标人全称：（加盖单位公章）</w:t>
      </w:r>
    </w:p>
    <w:p>
      <w:pPr>
        <w:pStyle w:val="2"/>
        <w:ind w:firstLine="480"/>
        <w:rPr>
          <w:rFonts w:hint="eastAsia"/>
        </w:rPr>
      </w:pPr>
    </w:p>
    <w:p>
      <w:pPr>
        <w:snapToGrid w:val="0"/>
        <w:spacing w:line="600" w:lineRule="exact"/>
        <w:jc w:val="center"/>
        <w:rPr>
          <w:rFonts w:hint="eastAsia" w:ascii="宋体" w:hAnsi="宋体" w:cs="宋体"/>
          <w:color w:val="000000"/>
          <w:sz w:val="30"/>
          <w:szCs w:val="30"/>
        </w:rPr>
      </w:pPr>
      <w:r>
        <w:rPr>
          <w:rFonts w:hint="eastAsia" w:ascii="宋体" w:hAnsi="宋体" w:cs="宋体"/>
          <w:color w:val="000000"/>
          <w:sz w:val="30"/>
          <w:szCs w:val="30"/>
        </w:rPr>
        <w:t>年   月   日</w:t>
      </w:r>
    </w:p>
    <w:p>
      <w:pPr>
        <w:spacing w:line="600" w:lineRule="exact"/>
        <w:rPr>
          <w:rFonts w:hint="eastAsia" w:ascii="宋体" w:hAnsi="宋体" w:cs="宋体"/>
          <w:color w:val="000000"/>
          <w:sz w:val="24"/>
        </w:rPr>
      </w:pPr>
    </w:p>
    <w:bookmarkEnd w:id="49"/>
    <w:bookmarkEnd w:id="50"/>
    <w:bookmarkEnd w:id="51"/>
    <w:bookmarkEnd w:id="52"/>
    <w:bookmarkEnd w:id="133"/>
    <w:bookmarkEnd w:id="134"/>
    <w:bookmarkEnd w:id="135"/>
    <w:p>
      <w:pPr>
        <w:pStyle w:val="2"/>
        <w:rPr>
          <w:rFonts w:hint="eastAsia"/>
        </w:rPr>
      </w:pPr>
    </w:p>
    <w:sectPr>
      <w:headerReference r:id="rId5" w:type="default"/>
      <w:footerReference r:id="rId6" w:type="default"/>
      <w:footerReference r:id="rId7" w:type="even"/>
      <w:pgSz w:w="11906" w:h="16838"/>
      <w:pgMar w:top="993" w:right="1474" w:bottom="1134" w:left="1474" w:header="851" w:footer="641"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3" w:usb1="00000000" w:usb2="00000000"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Georgia">
    <w:panose1 w:val="02040502050405020303"/>
    <w:charset w:val="00"/>
    <w:family w:val="roman"/>
    <w:pitch w:val="default"/>
    <w:sig w:usb0="00000287" w:usb1="00000000" w:usb2="00000000" w:usb3="00000000" w:csb0="2000009F" w:csb1="00000000"/>
  </w:font>
  <w:font w:name="仿宋_GB2312">
    <w:altName w:val="仿宋"/>
    <w:panose1 w:val="02010609030101010101"/>
    <w:charset w:val="86"/>
    <w:family w:val="modern"/>
    <w:pitch w:val="default"/>
    <w:sig w:usb0="00000001" w:usb1="080E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_GB2312">
    <w:altName w:val="Segoe Print"/>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Helvetica Neue">
    <w:altName w:val="微软雅黑"/>
    <w:panose1 w:val="00000000000000000000"/>
    <w:charset w:val="00"/>
    <w:family w:val="roman"/>
    <w:pitch w:val="default"/>
    <w:sig w:usb0="00000000" w:usb1="00000000" w:usb2="00000000" w:usb3="00000000" w:csb0="00040001" w:csb1="00000000"/>
  </w:font>
  <w:font w:name="Baskerville">
    <w:altName w:val="Cambria Math"/>
    <w:panose1 w:val="02020502070401020303"/>
    <w:charset w:val="00"/>
    <w:family w:val="roman"/>
    <w:pitch w:val="default"/>
    <w:sig w:usb0="00000001" w:usb1="02000000" w:usb2="00000000" w:usb3="00000000" w:csb0="0000019F" w:csb1="00000000"/>
  </w:font>
  <w:font w:name="Arial Unicode MS">
    <w:altName w:val="宋体"/>
    <w:panose1 w:val="020B0604020202020204"/>
    <w:charset w:val="86"/>
    <w:family w:val="roman"/>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100003" w:usb1="00000000" w:usb2="00000000" w:usb3="00000000" w:csb0="00000001" w:csb1="00000000"/>
  </w:font>
  <w:font w:name="Century">
    <w:panose1 w:val="02040604050505020304"/>
    <w:charset w:val="00"/>
    <w:family w:val="roman"/>
    <w:pitch w:val="default"/>
    <w:sig w:usb0="00000287" w:usb1="00000000" w:usb2="00000000" w:usb3="00000000" w:csb0="2000009F" w:csb1="DFD70000"/>
  </w:font>
  <w:font w:name="Book Antiqua">
    <w:panose1 w:val="0204060205030503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3"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宋体-18030">
    <w:altName w:val="宋体"/>
    <w:panose1 w:val="00000000000000000000"/>
    <w:charset w:val="7A"/>
    <w:family w:val="auto"/>
    <w:pitch w:val="default"/>
    <w:sig w:usb0="00000000" w:usb1="00000000" w:usb2="000A005E" w:usb3="00000000" w:csb0="00040001"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1"/>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29</w:t>
                          </w:r>
                          <w:r>
                            <w:rPr>
                              <w:rFonts w:hint="eastAsia"/>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1tUyEMkBAACZAwAADgAAAGRycy9lMm9Eb2MueG1srVPNjtMwEL4j8Q6W 79TZCq2qqOlqUbUICQHSwgO4jt1Y8p88bpO+ALwBJy7cea4+B2Mn6S7LZQ97ccYz42/m+2ayvhms IUcZQXvX0KtFRYl0wrfa7Rv67evdmxUlkLhrufFONvQkgd5sXr9a96GWS99508pIEMRB3YeGdimF mjEQnbQcFj5Ih0Hlo+UJr3HP2sh7RLeGLavqmvU+tiF6IQHQux2DdEKMzwH0Smkht14crHRpRI3S 8ISUoNMB6KZ0q5QU6bNSIBMxDUWmqZxYBO1dPtlmzet95KHTYmqBP6eFJ5ws1w6LXqC2PHFyiPo/ KKtF9OBVWghv2UikKIIsrqon2tx3PMjCBaWGcBEdXg5WfDp+iUS3DX1LieMWB37++eP868/593dy neXpA9SYdR8wLw3v/IBLM/sBnZn1oKLNX+RDMI7ini7iyiERkR+tlqtVhSGBsfmC+OzheYiQ3ktv STYaGnF6RVR+/AhpTJ1TcjXn77QxZYLG/eNAzOxhufexx2ylYTdMhHa+PSGfHgffUId7Ton54FDX vCOzEWdjNxuHEPW+K0uU60G4PSRsovSWK4ywU2GcWGE3bVdeicf3kvXwR23+A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W1TIQyQEAAJkDAAAOAAAAAAAAAAEAIAAAAB4BAABkcnMvZTJvRG9j LnhtbFBLBQYAAAAABgAGAFkBAABZBQAAAAA= ">
              <v:fill on="f" focussize="0,0"/>
              <v:stroke on="f"/>
              <v:imagedata o:title=""/>
              <o:lock v:ext="edit" aspectratio="f"/>
              <v:textbox inset="0mm,0mm,0mm,0mm" style="mso-fit-shape-to-text:t;">
                <w:txbxContent>
                  <w:p>
                    <w:pPr>
                      <w:pStyle w:val="51"/>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29</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rPr>
        <w:color w:val="0000FF"/>
        <w:u w:val="thick"/>
      </w:rPr>
    </w:pPr>
    <w:r>
      <w:rPr>
        <w:color w:val="0000FF"/>
        <w:u w:val="thick"/>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1"/>
                            <w:jc w:val="center"/>
                            <w:rPr>
                              <w:rStyle w:val="82"/>
                            </w:rPr>
                          </w:pPr>
                          <w:r>
                            <w:fldChar w:fldCharType="begin"/>
                          </w:r>
                          <w:r>
                            <w:rPr>
                              <w:rStyle w:val="82"/>
                            </w:rPr>
                            <w:instrText xml:space="preserve">PAGE  </w:instrText>
                          </w:r>
                          <w:r>
                            <w:fldChar w:fldCharType="separate"/>
                          </w:r>
                          <w:r>
                            <w:rPr>
                              <w:rStyle w:val="82"/>
                              <w:lang/>
                            </w:rPr>
                            <w:t>63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G+QoMkBAACZAwAADgAAAGRycy9lMm9Eb2MueG1srVPNjtMwEL4j8Q6W 79TZroSqqOlqUbUICQHSwgO4jt1Y8p88bpO+ALwBJy7cea4+B2Mn6S7LZQ97ccYz42/m+2ayvhms IUcZQXvX0KtFRYl0wrfa7Rv67evdmxUlkLhrufFONvQkgd5sXr9a96GWS99508pIEMRB3YeGdimF mjEQnbQcFj5Ih0Hlo+UJr3HP2sh7RLeGLavqLet9bEP0QgKgdzsG6YQYnwPoldJCbr04WOnSiBql 4QkpQacD0E3pVikp0melQCZiGopMUzmxCNq7fLLNmtf7yEOnxdQCf04LTzhZrh0WvUBteeLkEPV/ UFaL6MGrtBDespFIUQRZXFVPtLnveJCFC0oN4SI6vBys+HT8EoluG3pNieMWB37++eP868/593dy neXpA9SYdR8wLw3v/IBLM/sBnZn1oKLNX+RDMI7ini7iyiERkR+tlqtVhSGBsfmC+OzheYiQ3ktv STYaGnF6RVR+/AhpTJ1TcjXn77QxZYLG/eNAzOxhufexx2ylYTdMhHa+PSGfHgffUId7Ton54FDX vCOzEWdjNxuHEPW+K0uU60G4PSRsovSWK4ywU2GcWGE3bVdeicf3kvXwR23+A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Eb5CgyQEAAJkDAAAOAAAAAAAAAAEAIAAAAB4BAABkcnMvZTJvRG9j LnhtbFBLBQYAAAAABgAGAFkBAABZBQAAAAA= ">
              <v:fill on="f" focussize="0,0"/>
              <v:stroke on="f"/>
              <v:imagedata o:title=""/>
              <o:lock v:ext="edit" aspectratio="f"/>
              <v:textbox inset="0mm,0mm,0mm,0mm" style="mso-fit-shape-to-text:t;">
                <w:txbxContent>
                  <w:p>
                    <w:pPr>
                      <w:pStyle w:val="51"/>
                      <w:jc w:val="center"/>
                      <w:rPr>
                        <w:rStyle w:val="82"/>
                      </w:rPr>
                    </w:pPr>
                    <w:r>
                      <w:fldChar w:fldCharType="begin"/>
                    </w:r>
                    <w:r>
                      <w:rPr>
                        <w:rStyle w:val="82"/>
                      </w:rPr>
                      <w:instrText xml:space="preserve">PAGE  </w:instrText>
                    </w:r>
                    <w:r>
                      <w:fldChar w:fldCharType="separate"/>
                    </w:r>
                    <w:r>
                      <w:rPr>
                        <w:rStyle w:val="82"/>
                        <w:lang/>
                      </w:rPr>
                      <w:t>63</w:t>
                    </w:r>
                    <w:r>
                      <w:fldChar w:fldCharType="end"/>
                    </w:r>
                  </w:p>
                </w:txbxContent>
              </v:textbox>
            </v:shape>
          </w:pict>
        </mc:Fallback>
      </mc:AlternateContent>
    </w:r>
    <w:r>
      <w:rPr>
        <w:rFonts w:hint="eastAsia" w:eastAsia="宋体"/>
        <w:color w:val="0000FF"/>
      </w:rPr>
      <w:t xml:space="preserve">                      </w:t>
    </w:r>
    <w:r>
      <w:rPr>
        <w:rFonts w:hint="eastAsia" w:eastAsia="宋体"/>
        <w:color w:val="0000FF"/>
        <w:u w:val="thick"/>
      </w:rPr>
      <w:t xml:space="preserve">                                                                             </w:t>
    </w:r>
    <w:r>
      <w:rPr>
        <w:rFonts w:hint="eastAsia" w:eastAsia="宋体"/>
        <w:color w:val="0000FF"/>
      </w:rPr>
      <w:t xml:space="preserve">     </w:t>
    </w:r>
    <w:r>
      <w:rPr>
        <w:rFonts w:hint="eastAsia" w:eastAsia="宋体"/>
        <w:color w:val="0000FF"/>
        <w:u w:val="thick"/>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framePr w:wrap="around" w:vAnchor="text" w:hAnchor="margin" w:xAlign="center" w:y="1"/>
      <w:rPr>
        <w:rStyle w:val="82"/>
      </w:rPr>
    </w:pPr>
    <w:r>
      <w:fldChar w:fldCharType="begin"/>
    </w:r>
    <w:r>
      <w:rPr>
        <w:rStyle w:val="82"/>
      </w:rPr>
      <w:instrText xml:space="preserve">PAGE  </w:instrText>
    </w:r>
    <w:r>
      <w:fldChar w:fldCharType="end"/>
    </w:r>
  </w:p>
  <w:p>
    <w:pPr>
      <w:pStyle w:val="5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right"/>
    </w:pPr>
    <w:r>
      <w:rPr>
        <w:rFonts w:hint="eastAsia"/>
        <w:i/>
        <w:iCs/>
      </w:rPr>
      <w:t>杭州益嘉工程咨询代理有限公司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jc w:val="both"/>
      <w:rPr>
        <w:rFonts w:hint="eastAsia" w:eastAsia="宋体"/>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A0083"/>
    <w:multiLevelType w:val="singleLevel"/>
    <w:tmpl w:val="9C2A0083"/>
    <w:lvl w:ilvl="0" w:tentative="0">
      <w:start w:val="5"/>
      <w:numFmt w:val="chineseCounting"/>
      <w:suff w:val="nothing"/>
      <w:lvlText w:val="（%1）"/>
      <w:lvlJc w:val="left"/>
      <w:rPr>
        <w:rFonts w:hint="eastAsia"/>
      </w:rPr>
    </w:lvl>
  </w:abstractNum>
  <w:abstractNum w:abstractNumId="1">
    <w:nsid w:val="B3D01A72"/>
    <w:multiLevelType w:val="singleLevel"/>
    <w:tmpl w:val="B3D01A72"/>
    <w:lvl w:ilvl="0" w:tentative="0">
      <w:start w:val="1"/>
      <w:numFmt w:val="chineseCounting"/>
      <w:suff w:val="space"/>
      <w:lvlText w:val="第%1部分"/>
      <w:lvlJc w:val="left"/>
      <w:rPr>
        <w:rFonts w:hint="eastAsia"/>
      </w:rPr>
    </w:lvl>
  </w:abstractNum>
  <w:abstractNum w:abstractNumId="2">
    <w:nsid w:val="04E634CF"/>
    <w:multiLevelType w:val="singleLevel"/>
    <w:tmpl w:val="04E634CF"/>
    <w:lvl w:ilvl="0" w:tentative="0">
      <w:start w:val="1"/>
      <w:numFmt w:val="chineseCounting"/>
      <w:suff w:val="nothing"/>
      <w:lvlText w:val="%1、"/>
      <w:lvlJc w:val="left"/>
      <w:rPr>
        <w:rFonts w:hint="eastAsia"/>
      </w:rPr>
    </w:lvl>
  </w:abstractNum>
  <w:abstractNum w:abstractNumId="3">
    <w:nsid w:val="0D407D28"/>
    <w:multiLevelType w:val="multilevel"/>
    <w:tmpl w:val="0D407D28"/>
    <w:lvl w:ilvl="0" w:tentative="0">
      <w:start w:val="1"/>
      <w:numFmt w:val="bullet"/>
      <w:pStyle w:val="308"/>
      <w:lvlText w:val=""/>
      <w:lvlJc w:val="left"/>
      <w:pPr>
        <w:tabs>
          <w:tab w:val="left" w:pos="795"/>
        </w:tabs>
        <w:ind w:left="795" w:hanging="420"/>
      </w:pPr>
      <w:rPr>
        <w:rFonts w:hint="default" w:ascii="Wingdings" w:hAnsi="Wingdings"/>
        <w:lang w:eastAsia="zh-CN"/>
      </w:rPr>
    </w:lvl>
    <w:lvl w:ilvl="1" w:tentative="0">
      <w:start w:val="1"/>
      <w:numFmt w:val="bullet"/>
      <w:lvlText w:val=""/>
      <w:lvlJc w:val="left"/>
      <w:pPr>
        <w:tabs>
          <w:tab w:val="left" w:pos="1215"/>
        </w:tabs>
        <w:ind w:left="1215" w:hanging="420"/>
      </w:pPr>
      <w:rPr>
        <w:rFonts w:hint="default" w:ascii="Wingdings" w:hAnsi="Wingdings"/>
      </w:rPr>
    </w:lvl>
    <w:lvl w:ilvl="2" w:tentative="0">
      <w:start w:val="1"/>
      <w:numFmt w:val="bullet"/>
      <w:lvlText w:val=""/>
      <w:lvlJc w:val="left"/>
      <w:pPr>
        <w:tabs>
          <w:tab w:val="left" w:pos="1635"/>
        </w:tabs>
        <w:ind w:left="1635" w:hanging="420"/>
      </w:pPr>
      <w:rPr>
        <w:rFonts w:hint="default" w:ascii="Wingdings" w:hAnsi="Wingdings"/>
      </w:rPr>
    </w:lvl>
    <w:lvl w:ilvl="3" w:tentative="0">
      <w:start w:val="1"/>
      <w:numFmt w:val="bullet"/>
      <w:lvlText w:val=""/>
      <w:lvlJc w:val="left"/>
      <w:pPr>
        <w:tabs>
          <w:tab w:val="left" w:pos="2055"/>
        </w:tabs>
        <w:ind w:left="2055" w:hanging="420"/>
      </w:pPr>
      <w:rPr>
        <w:rFonts w:hint="default" w:ascii="Wingdings" w:hAnsi="Wingdings"/>
      </w:rPr>
    </w:lvl>
    <w:lvl w:ilvl="4" w:tentative="0">
      <w:start w:val="1"/>
      <w:numFmt w:val="bullet"/>
      <w:lvlText w:val=""/>
      <w:lvlJc w:val="left"/>
      <w:pPr>
        <w:tabs>
          <w:tab w:val="left" w:pos="2475"/>
        </w:tabs>
        <w:ind w:left="2475" w:hanging="420"/>
      </w:pPr>
      <w:rPr>
        <w:rFonts w:hint="default" w:ascii="Wingdings" w:hAnsi="Wingdings"/>
      </w:rPr>
    </w:lvl>
    <w:lvl w:ilvl="5" w:tentative="0">
      <w:start w:val="1"/>
      <w:numFmt w:val="bullet"/>
      <w:lvlText w:val=""/>
      <w:lvlJc w:val="left"/>
      <w:pPr>
        <w:tabs>
          <w:tab w:val="left" w:pos="2895"/>
        </w:tabs>
        <w:ind w:left="2895" w:hanging="420"/>
      </w:pPr>
      <w:rPr>
        <w:rFonts w:hint="default" w:ascii="Wingdings" w:hAnsi="Wingdings"/>
      </w:rPr>
    </w:lvl>
    <w:lvl w:ilvl="6" w:tentative="0">
      <w:start w:val="1"/>
      <w:numFmt w:val="bullet"/>
      <w:lvlText w:val=""/>
      <w:lvlJc w:val="left"/>
      <w:pPr>
        <w:tabs>
          <w:tab w:val="left" w:pos="3315"/>
        </w:tabs>
        <w:ind w:left="3315" w:hanging="420"/>
      </w:pPr>
      <w:rPr>
        <w:rFonts w:hint="default" w:ascii="Wingdings" w:hAnsi="Wingdings"/>
      </w:rPr>
    </w:lvl>
    <w:lvl w:ilvl="7" w:tentative="0">
      <w:start w:val="1"/>
      <w:numFmt w:val="bullet"/>
      <w:lvlText w:val=""/>
      <w:lvlJc w:val="left"/>
      <w:pPr>
        <w:tabs>
          <w:tab w:val="left" w:pos="3735"/>
        </w:tabs>
        <w:ind w:left="3735" w:hanging="420"/>
      </w:pPr>
      <w:rPr>
        <w:rFonts w:hint="default" w:ascii="Wingdings" w:hAnsi="Wingdings"/>
      </w:rPr>
    </w:lvl>
    <w:lvl w:ilvl="8" w:tentative="0">
      <w:start w:val="1"/>
      <w:numFmt w:val="bullet"/>
      <w:lvlText w:val=""/>
      <w:lvlJc w:val="left"/>
      <w:pPr>
        <w:tabs>
          <w:tab w:val="left" w:pos="4155"/>
        </w:tabs>
        <w:ind w:left="4155" w:hanging="420"/>
      </w:pPr>
      <w:rPr>
        <w:rFonts w:hint="default" w:ascii="Wingdings" w:hAnsi="Wingdings"/>
      </w:rPr>
    </w:lvl>
  </w:abstractNum>
  <w:abstractNum w:abstractNumId="4">
    <w:nsid w:val="0FB26183"/>
    <w:multiLevelType w:val="multilevel"/>
    <w:tmpl w:val="0FB26183"/>
    <w:lvl w:ilvl="0" w:tentative="0">
      <w:start w:val="1"/>
      <w:numFmt w:val="bullet"/>
      <w:pStyle w:val="1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1EE91127"/>
    <w:multiLevelType w:val="multilevel"/>
    <w:tmpl w:val="1EE9112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F3E07AE"/>
    <w:multiLevelType w:val="multilevel"/>
    <w:tmpl w:val="2F3E07A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4CC71D91"/>
    <w:multiLevelType w:val="singleLevel"/>
    <w:tmpl w:val="4CC71D91"/>
    <w:lvl w:ilvl="0" w:tentative="0">
      <w:start w:val="6"/>
      <w:numFmt w:val="chineseCounting"/>
      <w:suff w:val="nothing"/>
      <w:lvlText w:val="%1、"/>
      <w:lvlJc w:val="left"/>
      <w:rPr>
        <w:rFonts w:hint="eastAsia"/>
      </w:rPr>
    </w:lvl>
  </w:abstractNum>
  <w:abstractNum w:abstractNumId="8">
    <w:nsid w:val="58C784C6"/>
    <w:multiLevelType w:val="singleLevel"/>
    <w:tmpl w:val="58C784C6"/>
    <w:lvl w:ilvl="0" w:tentative="0">
      <w:start w:val="1"/>
      <w:numFmt w:val="decimal"/>
      <w:suff w:val="nothing"/>
      <w:lvlText w:val="%1、"/>
      <w:lvlJc w:val="left"/>
    </w:lvl>
  </w:abstractNum>
  <w:abstractNum w:abstractNumId="9">
    <w:nsid w:val="58C78917"/>
    <w:multiLevelType w:val="singleLevel"/>
    <w:tmpl w:val="58C78917"/>
    <w:lvl w:ilvl="0" w:tentative="0">
      <w:start w:val="2"/>
      <w:numFmt w:val="chineseCounting"/>
      <w:suff w:val="nothing"/>
      <w:lvlText w:val="%1、"/>
      <w:lvlJc w:val="left"/>
    </w:lvl>
  </w:abstractNum>
  <w:abstractNum w:abstractNumId="10">
    <w:nsid w:val="5BCF60D9"/>
    <w:multiLevelType w:val="singleLevel"/>
    <w:tmpl w:val="5BCF60D9"/>
    <w:lvl w:ilvl="0" w:tentative="0">
      <w:start w:val="1"/>
      <w:numFmt w:val="bullet"/>
      <w:pStyle w:val="281"/>
      <w:lvlText w:val=""/>
      <w:lvlJc w:val="left"/>
      <w:pPr>
        <w:tabs>
          <w:tab w:val="left" w:pos="425"/>
        </w:tabs>
        <w:ind w:left="425" w:hanging="425"/>
      </w:pPr>
      <w:rPr>
        <w:rFonts w:hint="default" w:ascii="Wingdings" w:hAnsi="Wingdings"/>
      </w:rPr>
    </w:lvl>
  </w:abstractNum>
  <w:abstractNum w:abstractNumId="11">
    <w:nsid w:val="60AE39CC"/>
    <w:multiLevelType w:val="multilevel"/>
    <w:tmpl w:val="60AE39CC"/>
    <w:lvl w:ilvl="0" w:tentative="0">
      <w:start w:val="1"/>
      <w:numFmt w:val="chineseCountingThousand"/>
      <w:pStyle w:val="155"/>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pStyle w:val="9"/>
      <w:lvlText w:val="           "/>
      <w:lvlJc w:val="left"/>
      <w:pPr>
        <w:tabs>
          <w:tab w:val="left" w:pos="1440"/>
        </w:tabs>
        <w:ind w:left="1152" w:hanging="1152"/>
      </w:pPr>
    </w:lvl>
    <w:lvl w:ilvl="6" w:tentative="0">
      <w:start w:val="1"/>
      <w:numFmt w:val="decimal"/>
      <w:pStyle w:val="10"/>
      <w:lvlText w:val="%1.%2.%3.%4.%5.%6.%7"/>
      <w:lvlJc w:val="left"/>
      <w:pPr>
        <w:tabs>
          <w:tab w:val="left" w:pos="2520"/>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12">
    <w:nsid w:val="621D3DF3"/>
    <w:multiLevelType w:val="multilevel"/>
    <w:tmpl w:val="621D3DF3"/>
    <w:lvl w:ilvl="0" w:tentative="0">
      <w:start w:val="1"/>
      <w:numFmt w:val="bullet"/>
      <w:pStyle w:val="412"/>
      <w:lvlText w:val=""/>
      <w:lvlJc w:val="left"/>
      <w:pPr>
        <w:tabs>
          <w:tab w:val="left" w:pos="720"/>
        </w:tabs>
        <w:ind w:left="7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272B1B2"/>
    <w:multiLevelType w:val="singleLevel"/>
    <w:tmpl w:val="6272B1B2"/>
    <w:lvl w:ilvl="0" w:tentative="0">
      <w:start w:val="1"/>
      <w:numFmt w:val="chineseCounting"/>
      <w:suff w:val="nothing"/>
      <w:lvlText w:val="%1、"/>
      <w:lvlJc w:val="left"/>
      <w:rPr>
        <w:rFonts w:hint="eastAsia"/>
      </w:rPr>
    </w:lvl>
  </w:abstractNum>
  <w:abstractNum w:abstractNumId="14">
    <w:nsid w:val="6D9CF307"/>
    <w:multiLevelType w:val="singleLevel"/>
    <w:tmpl w:val="6D9CF307"/>
    <w:lvl w:ilvl="0" w:tentative="0">
      <w:start w:val="1"/>
      <w:numFmt w:val="ideographTraditional"/>
      <w:suff w:val="nothing"/>
      <w:lvlText w:val="%1、"/>
      <w:lvlJc w:val="left"/>
      <w:rPr>
        <w:rFonts w:hint="eastAsia"/>
      </w:rPr>
    </w:lvl>
  </w:abstractNum>
  <w:abstractNum w:abstractNumId="15">
    <w:nsid w:val="762658F6"/>
    <w:multiLevelType w:val="multilevel"/>
    <w:tmpl w:val="762658F6"/>
    <w:lvl w:ilvl="0" w:tentative="0">
      <w:start w:val="5"/>
      <w:numFmt w:val="bullet"/>
      <w:lvlText w:val="★"/>
      <w:lvlJc w:val="left"/>
      <w:pPr>
        <w:tabs>
          <w:tab w:val="left" w:pos="360"/>
        </w:tabs>
        <w:ind w:left="360" w:hanging="360"/>
      </w:pPr>
      <w:rPr>
        <w:rFonts w:hint="eastAsia" w:ascii="宋体" w:hAnsi="宋体" w:eastAsia="宋体" w:cs="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765316F3"/>
    <w:multiLevelType w:val="multilevel"/>
    <w:tmpl w:val="765316F3"/>
    <w:lvl w:ilvl="0" w:tentative="0">
      <w:start w:val="1"/>
      <w:numFmt w:val="chineseCountingThousand"/>
      <w:pStyle w:val="5"/>
      <w:lvlText w:val="%1、"/>
      <w:lvlJc w:val="left"/>
      <w:pPr>
        <w:tabs>
          <w:tab w:val="left" w:pos="1110"/>
        </w:tabs>
        <w:ind w:left="106" w:firstLine="454"/>
      </w:pPr>
      <w:rPr>
        <w:rFonts w:hint="default" w:ascii="??" w:hAnsi="??" w:eastAsia="??"/>
        <w:b/>
        <w:i w:val="0"/>
        <w:iCs w:val="0"/>
        <w:caps w:val="0"/>
        <w:smallCaps w:val="0"/>
        <w:strike w:val="0"/>
        <w:dstrike w:val="0"/>
        <w:outline w:val="0"/>
        <w:shadow w:val="0"/>
        <w:emboss w:val="0"/>
        <w:imprint w:val="0"/>
        <w:vanish w:val="0"/>
        <w:spacing w:val="0"/>
        <w:position w:val="0"/>
        <w:sz w:val="21"/>
        <w:szCs w:val="21"/>
        <w:u w:val="none"/>
        <w:vertAlign w:val="baseli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17">
    <w:nsid w:val="79EB7B22"/>
    <w:multiLevelType w:val="multilevel"/>
    <w:tmpl w:val="79EB7B22"/>
    <w:lvl w:ilvl="0" w:tentative="0">
      <w:start w:val="1"/>
      <w:numFmt w:val="bullet"/>
      <w:pStyle w:val="311"/>
      <w:lvlText w:val=""/>
      <w:lvlJc w:val="left"/>
      <w:pPr>
        <w:tabs>
          <w:tab w:val="left" w:pos="700"/>
        </w:tabs>
        <w:ind w:left="700" w:hanging="420"/>
      </w:pPr>
      <w:rPr>
        <w:rFonts w:hint="default" w:ascii="Wingdings" w:hAnsi="Wingdings"/>
      </w:rPr>
    </w:lvl>
    <w:lvl w:ilvl="1" w:tentative="0">
      <w:start w:val="1"/>
      <w:numFmt w:val="bullet"/>
      <w:lvlText w:val=""/>
      <w:lvlJc w:val="left"/>
      <w:pPr>
        <w:tabs>
          <w:tab w:val="left" w:pos="1120"/>
        </w:tabs>
        <w:ind w:left="1120" w:hanging="420"/>
      </w:pPr>
      <w:rPr>
        <w:rFonts w:hint="default" w:ascii="Wingdings" w:hAnsi="Wingdings"/>
      </w:rPr>
    </w:lvl>
    <w:lvl w:ilvl="2" w:tentative="0">
      <w:start w:val="1"/>
      <w:numFmt w:val="bullet"/>
      <w:lvlText w:val=""/>
      <w:lvlJc w:val="left"/>
      <w:pPr>
        <w:tabs>
          <w:tab w:val="left" w:pos="1540"/>
        </w:tabs>
        <w:ind w:left="1540" w:hanging="420"/>
      </w:pPr>
      <w:rPr>
        <w:rFonts w:hint="default" w:ascii="Wingdings" w:hAnsi="Wingdings"/>
      </w:rPr>
    </w:lvl>
    <w:lvl w:ilvl="3" w:tentative="0">
      <w:start w:val="1"/>
      <w:numFmt w:val="bullet"/>
      <w:lvlText w:val=""/>
      <w:lvlJc w:val="left"/>
      <w:pPr>
        <w:tabs>
          <w:tab w:val="left" w:pos="1960"/>
        </w:tabs>
        <w:ind w:left="1960" w:hanging="420"/>
      </w:pPr>
      <w:rPr>
        <w:rFonts w:hint="default" w:ascii="Wingdings" w:hAnsi="Wingdings"/>
      </w:rPr>
    </w:lvl>
    <w:lvl w:ilvl="4" w:tentative="0">
      <w:start w:val="1"/>
      <w:numFmt w:val="bullet"/>
      <w:lvlText w:val=""/>
      <w:lvlJc w:val="left"/>
      <w:pPr>
        <w:tabs>
          <w:tab w:val="left" w:pos="2380"/>
        </w:tabs>
        <w:ind w:left="2380" w:hanging="420"/>
      </w:pPr>
      <w:rPr>
        <w:rFonts w:hint="default" w:ascii="Wingdings" w:hAnsi="Wingdings"/>
      </w:rPr>
    </w:lvl>
    <w:lvl w:ilvl="5" w:tentative="0">
      <w:start w:val="1"/>
      <w:numFmt w:val="bullet"/>
      <w:lvlText w:val=""/>
      <w:lvlJc w:val="left"/>
      <w:pPr>
        <w:tabs>
          <w:tab w:val="left" w:pos="2800"/>
        </w:tabs>
        <w:ind w:left="2800" w:hanging="420"/>
      </w:pPr>
      <w:rPr>
        <w:rFonts w:hint="default" w:ascii="Wingdings" w:hAnsi="Wingdings"/>
      </w:rPr>
    </w:lvl>
    <w:lvl w:ilvl="6" w:tentative="0">
      <w:start w:val="1"/>
      <w:numFmt w:val="bullet"/>
      <w:lvlText w:val=""/>
      <w:lvlJc w:val="left"/>
      <w:pPr>
        <w:tabs>
          <w:tab w:val="left" w:pos="3220"/>
        </w:tabs>
        <w:ind w:left="3220" w:hanging="420"/>
      </w:pPr>
      <w:rPr>
        <w:rFonts w:hint="default" w:ascii="Wingdings" w:hAnsi="Wingdings"/>
      </w:rPr>
    </w:lvl>
    <w:lvl w:ilvl="7" w:tentative="0">
      <w:start w:val="1"/>
      <w:numFmt w:val="bullet"/>
      <w:lvlText w:val=""/>
      <w:lvlJc w:val="left"/>
      <w:pPr>
        <w:tabs>
          <w:tab w:val="left" w:pos="3640"/>
        </w:tabs>
        <w:ind w:left="3640" w:hanging="420"/>
      </w:pPr>
      <w:rPr>
        <w:rFonts w:hint="default" w:ascii="Wingdings" w:hAnsi="Wingdings"/>
      </w:rPr>
    </w:lvl>
    <w:lvl w:ilvl="8" w:tentative="0">
      <w:start w:val="1"/>
      <w:numFmt w:val="bullet"/>
      <w:lvlText w:val=""/>
      <w:lvlJc w:val="left"/>
      <w:pPr>
        <w:tabs>
          <w:tab w:val="left" w:pos="4060"/>
        </w:tabs>
        <w:ind w:left="4060" w:hanging="420"/>
      </w:pPr>
      <w:rPr>
        <w:rFonts w:hint="default" w:ascii="Wingdings" w:hAnsi="Wingdings"/>
      </w:rPr>
    </w:lvl>
  </w:abstractNum>
  <w:num w:numId="1">
    <w:abstractNumId w:val="16"/>
  </w:num>
  <w:num w:numId="2">
    <w:abstractNumId w:val="11"/>
  </w:num>
  <w:num w:numId="3">
    <w:abstractNumId w:val="4"/>
  </w:num>
  <w:num w:numId="4">
    <w:abstractNumId w:val="10"/>
  </w:num>
  <w:num w:numId="5">
    <w:abstractNumId w:val="3"/>
  </w:num>
  <w:num w:numId="6">
    <w:abstractNumId w:val="17"/>
  </w:num>
  <w:num w:numId="7">
    <w:abstractNumId w:val="12"/>
  </w:num>
  <w:num w:numId="8">
    <w:abstractNumId w:val="1"/>
  </w:num>
  <w:num w:numId="9">
    <w:abstractNumId w:val="7"/>
  </w:num>
  <w:num w:numId="10">
    <w:abstractNumId w:val="13"/>
  </w:num>
  <w:num w:numId="11">
    <w:abstractNumId w:val="5"/>
  </w:num>
  <w:num w:numId="12">
    <w:abstractNumId w:val="0"/>
  </w:num>
  <w:num w:numId="13">
    <w:abstractNumId w:val="2"/>
  </w:num>
  <w:num w:numId="14">
    <w:abstractNumId w:val="9"/>
  </w:num>
  <w:num w:numId="15">
    <w:abstractNumId w:val="8"/>
  </w:num>
  <w:num w:numId="16">
    <w:abstractNumId w:val="14"/>
  </w:num>
  <w:num w:numId="17">
    <w:abstractNumId w:val="6"/>
    <w:lvlOverride w:ilvl="0">
      <w:startOverride w:val="1"/>
    </w:lvlOverride>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297"/>
    <w:rsid w:val="00002643"/>
    <w:rsid w:val="0000282A"/>
    <w:rsid w:val="00004E47"/>
    <w:rsid w:val="000107B1"/>
    <w:rsid w:val="00012442"/>
    <w:rsid w:val="00012D7C"/>
    <w:rsid w:val="00014366"/>
    <w:rsid w:val="00014AAD"/>
    <w:rsid w:val="000151AB"/>
    <w:rsid w:val="00016A50"/>
    <w:rsid w:val="00016EFE"/>
    <w:rsid w:val="000204DE"/>
    <w:rsid w:val="00021A6C"/>
    <w:rsid w:val="00021F8A"/>
    <w:rsid w:val="00027FE8"/>
    <w:rsid w:val="000309C5"/>
    <w:rsid w:val="0003345D"/>
    <w:rsid w:val="00035520"/>
    <w:rsid w:val="00035599"/>
    <w:rsid w:val="00035E30"/>
    <w:rsid w:val="00035F17"/>
    <w:rsid w:val="00037BD3"/>
    <w:rsid w:val="0004192E"/>
    <w:rsid w:val="000446F6"/>
    <w:rsid w:val="0004700C"/>
    <w:rsid w:val="00047C00"/>
    <w:rsid w:val="0005137E"/>
    <w:rsid w:val="00051C07"/>
    <w:rsid w:val="00052314"/>
    <w:rsid w:val="000530E1"/>
    <w:rsid w:val="00054058"/>
    <w:rsid w:val="00054724"/>
    <w:rsid w:val="0005617B"/>
    <w:rsid w:val="0005626E"/>
    <w:rsid w:val="00056DFC"/>
    <w:rsid w:val="00057D8F"/>
    <w:rsid w:val="000607F4"/>
    <w:rsid w:val="000618C3"/>
    <w:rsid w:val="00062A83"/>
    <w:rsid w:val="0006385B"/>
    <w:rsid w:val="000648A1"/>
    <w:rsid w:val="000660ED"/>
    <w:rsid w:val="00067CF5"/>
    <w:rsid w:val="00070FB5"/>
    <w:rsid w:val="00073C8D"/>
    <w:rsid w:val="00074029"/>
    <w:rsid w:val="00076141"/>
    <w:rsid w:val="00077434"/>
    <w:rsid w:val="00077570"/>
    <w:rsid w:val="00080A6A"/>
    <w:rsid w:val="000812E5"/>
    <w:rsid w:val="00082827"/>
    <w:rsid w:val="000844B5"/>
    <w:rsid w:val="000851F5"/>
    <w:rsid w:val="00092737"/>
    <w:rsid w:val="000935FD"/>
    <w:rsid w:val="000A5010"/>
    <w:rsid w:val="000B2120"/>
    <w:rsid w:val="000B2178"/>
    <w:rsid w:val="000B339B"/>
    <w:rsid w:val="000B4324"/>
    <w:rsid w:val="000B50E5"/>
    <w:rsid w:val="000B6B43"/>
    <w:rsid w:val="000C2E28"/>
    <w:rsid w:val="000C5C3D"/>
    <w:rsid w:val="000C62A5"/>
    <w:rsid w:val="000D0532"/>
    <w:rsid w:val="000D34BB"/>
    <w:rsid w:val="000D353A"/>
    <w:rsid w:val="000D3C9F"/>
    <w:rsid w:val="000E02E5"/>
    <w:rsid w:val="000E18EA"/>
    <w:rsid w:val="000E259E"/>
    <w:rsid w:val="000E2E75"/>
    <w:rsid w:val="000E3079"/>
    <w:rsid w:val="000E60D3"/>
    <w:rsid w:val="000E627E"/>
    <w:rsid w:val="000E678D"/>
    <w:rsid w:val="000E6894"/>
    <w:rsid w:val="000E72DD"/>
    <w:rsid w:val="000F0206"/>
    <w:rsid w:val="000F0337"/>
    <w:rsid w:val="000F06D0"/>
    <w:rsid w:val="000F15D4"/>
    <w:rsid w:val="000F21CE"/>
    <w:rsid w:val="000F28F9"/>
    <w:rsid w:val="000F6F52"/>
    <w:rsid w:val="000F72CE"/>
    <w:rsid w:val="000F78B3"/>
    <w:rsid w:val="000F78E2"/>
    <w:rsid w:val="0010081E"/>
    <w:rsid w:val="00100EFC"/>
    <w:rsid w:val="00102F93"/>
    <w:rsid w:val="0010472C"/>
    <w:rsid w:val="00107F09"/>
    <w:rsid w:val="00111535"/>
    <w:rsid w:val="001124F2"/>
    <w:rsid w:val="001125F4"/>
    <w:rsid w:val="001135A8"/>
    <w:rsid w:val="00114B5E"/>
    <w:rsid w:val="001219BA"/>
    <w:rsid w:val="00123EB7"/>
    <w:rsid w:val="00126CF3"/>
    <w:rsid w:val="00127579"/>
    <w:rsid w:val="001337E3"/>
    <w:rsid w:val="00135386"/>
    <w:rsid w:val="0013617B"/>
    <w:rsid w:val="00136BCA"/>
    <w:rsid w:val="00136BF9"/>
    <w:rsid w:val="001372F7"/>
    <w:rsid w:val="00140B75"/>
    <w:rsid w:val="00141C35"/>
    <w:rsid w:val="00143934"/>
    <w:rsid w:val="001470F3"/>
    <w:rsid w:val="0015111D"/>
    <w:rsid w:val="001526DB"/>
    <w:rsid w:val="001531D5"/>
    <w:rsid w:val="0015456E"/>
    <w:rsid w:val="00160D6E"/>
    <w:rsid w:val="00163965"/>
    <w:rsid w:val="00163FC5"/>
    <w:rsid w:val="00164596"/>
    <w:rsid w:val="00166B64"/>
    <w:rsid w:val="001675A1"/>
    <w:rsid w:val="00167A82"/>
    <w:rsid w:val="00172613"/>
    <w:rsid w:val="00174AD9"/>
    <w:rsid w:val="00182875"/>
    <w:rsid w:val="00184B37"/>
    <w:rsid w:val="00184F02"/>
    <w:rsid w:val="00184F2D"/>
    <w:rsid w:val="00185231"/>
    <w:rsid w:val="00185961"/>
    <w:rsid w:val="00187DB0"/>
    <w:rsid w:val="00191BE9"/>
    <w:rsid w:val="00194027"/>
    <w:rsid w:val="00196B08"/>
    <w:rsid w:val="00196C4E"/>
    <w:rsid w:val="00196E80"/>
    <w:rsid w:val="00197AA5"/>
    <w:rsid w:val="001A5043"/>
    <w:rsid w:val="001B5734"/>
    <w:rsid w:val="001B580D"/>
    <w:rsid w:val="001B59C3"/>
    <w:rsid w:val="001C3AFE"/>
    <w:rsid w:val="001C4F32"/>
    <w:rsid w:val="001D29AC"/>
    <w:rsid w:val="001D5213"/>
    <w:rsid w:val="001D79FC"/>
    <w:rsid w:val="001E1DAF"/>
    <w:rsid w:val="001E1E79"/>
    <w:rsid w:val="001E34A3"/>
    <w:rsid w:val="001E394A"/>
    <w:rsid w:val="001E4F1B"/>
    <w:rsid w:val="001F0A8E"/>
    <w:rsid w:val="001F2C53"/>
    <w:rsid w:val="001F31FE"/>
    <w:rsid w:val="001F38FB"/>
    <w:rsid w:val="001F3B2E"/>
    <w:rsid w:val="001F7650"/>
    <w:rsid w:val="00200AA3"/>
    <w:rsid w:val="00200ACD"/>
    <w:rsid w:val="00203490"/>
    <w:rsid w:val="00203701"/>
    <w:rsid w:val="00203B60"/>
    <w:rsid w:val="00203D36"/>
    <w:rsid w:val="00205A55"/>
    <w:rsid w:val="00205AD1"/>
    <w:rsid w:val="00206BB9"/>
    <w:rsid w:val="00206C60"/>
    <w:rsid w:val="0020701C"/>
    <w:rsid w:val="0020701D"/>
    <w:rsid w:val="002075BD"/>
    <w:rsid w:val="002116FD"/>
    <w:rsid w:val="00211ED7"/>
    <w:rsid w:val="00212738"/>
    <w:rsid w:val="002150E4"/>
    <w:rsid w:val="0021732D"/>
    <w:rsid w:val="00217C72"/>
    <w:rsid w:val="00220040"/>
    <w:rsid w:val="00220EB5"/>
    <w:rsid w:val="0022671F"/>
    <w:rsid w:val="00232A60"/>
    <w:rsid w:val="00234313"/>
    <w:rsid w:val="002348B5"/>
    <w:rsid w:val="0023705B"/>
    <w:rsid w:val="002373CC"/>
    <w:rsid w:val="00240508"/>
    <w:rsid w:val="002405EF"/>
    <w:rsid w:val="00240603"/>
    <w:rsid w:val="002417B5"/>
    <w:rsid w:val="00242D52"/>
    <w:rsid w:val="002465B1"/>
    <w:rsid w:val="00246C46"/>
    <w:rsid w:val="002519A6"/>
    <w:rsid w:val="00253A44"/>
    <w:rsid w:val="00253C6A"/>
    <w:rsid w:val="00256E7A"/>
    <w:rsid w:val="00261514"/>
    <w:rsid w:val="002616AC"/>
    <w:rsid w:val="00262035"/>
    <w:rsid w:val="00262292"/>
    <w:rsid w:val="00264B8C"/>
    <w:rsid w:val="00264B90"/>
    <w:rsid w:val="002652E2"/>
    <w:rsid w:val="00271E8C"/>
    <w:rsid w:val="00272DB1"/>
    <w:rsid w:val="00281B57"/>
    <w:rsid w:val="002833DF"/>
    <w:rsid w:val="00283722"/>
    <w:rsid w:val="002844EF"/>
    <w:rsid w:val="002859CC"/>
    <w:rsid w:val="00286E9C"/>
    <w:rsid w:val="002913BB"/>
    <w:rsid w:val="00292946"/>
    <w:rsid w:val="00292EA6"/>
    <w:rsid w:val="002931FE"/>
    <w:rsid w:val="00293F66"/>
    <w:rsid w:val="0029400F"/>
    <w:rsid w:val="00297024"/>
    <w:rsid w:val="00297DE5"/>
    <w:rsid w:val="002A2975"/>
    <w:rsid w:val="002A3134"/>
    <w:rsid w:val="002A3AA3"/>
    <w:rsid w:val="002A3E5D"/>
    <w:rsid w:val="002A45BB"/>
    <w:rsid w:val="002A4DA4"/>
    <w:rsid w:val="002A5B70"/>
    <w:rsid w:val="002A69C6"/>
    <w:rsid w:val="002A73C9"/>
    <w:rsid w:val="002A7BD8"/>
    <w:rsid w:val="002B0378"/>
    <w:rsid w:val="002B1D9D"/>
    <w:rsid w:val="002B2761"/>
    <w:rsid w:val="002B5B58"/>
    <w:rsid w:val="002B6A2B"/>
    <w:rsid w:val="002B6BED"/>
    <w:rsid w:val="002C1467"/>
    <w:rsid w:val="002C5E7F"/>
    <w:rsid w:val="002D1D0B"/>
    <w:rsid w:val="002D1EC8"/>
    <w:rsid w:val="002D36AD"/>
    <w:rsid w:val="002E1E56"/>
    <w:rsid w:val="002E271C"/>
    <w:rsid w:val="002E4BBB"/>
    <w:rsid w:val="002E62DC"/>
    <w:rsid w:val="002E7954"/>
    <w:rsid w:val="002E7CB4"/>
    <w:rsid w:val="002F07FE"/>
    <w:rsid w:val="002F132E"/>
    <w:rsid w:val="002F38B7"/>
    <w:rsid w:val="002F6BA9"/>
    <w:rsid w:val="003016CD"/>
    <w:rsid w:val="00304332"/>
    <w:rsid w:val="0030537F"/>
    <w:rsid w:val="00305C03"/>
    <w:rsid w:val="00307542"/>
    <w:rsid w:val="00307EC9"/>
    <w:rsid w:val="00310230"/>
    <w:rsid w:val="00311D86"/>
    <w:rsid w:val="003121A6"/>
    <w:rsid w:val="00313FA8"/>
    <w:rsid w:val="00315B4B"/>
    <w:rsid w:val="00316398"/>
    <w:rsid w:val="00317A11"/>
    <w:rsid w:val="00320953"/>
    <w:rsid w:val="00321E94"/>
    <w:rsid w:val="00323F0C"/>
    <w:rsid w:val="00326100"/>
    <w:rsid w:val="00326DB1"/>
    <w:rsid w:val="00331293"/>
    <w:rsid w:val="00332FAF"/>
    <w:rsid w:val="00334039"/>
    <w:rsid w:val="00334E12"/>
    <w:rsid w:val="00334EC2"/>
    <w:rsid w:val="0033597A"/>
    <w:rsid w:val="003366AF"/>
    <w:rsid w:val="003378D6"/>
    <w:rsid w:val="00337D84"/>
    <w:rsid w:val="00340B07"/>
    <w:rsid w:val="003425E2"/>
    <w:rsid w:val="00342926"/>
    <w:rsid w:val="0034428F"/>
    <w:rsid w:val="003453F2"/>
    <w:rsid w:val="00347607"/>
    <w:rsid w:val="00347995"/>
    <w:rsid w:val="0035022A"/>
    <w:rsid w:val="0035272E"/>
    <w:rsid w:val="003541B9"/>
    <w:rsid w:val="003547C4"/>
    <w:rsid w:val="00355517"/>
    <w:rsid w:val="003573AC"/>
    <w:rsid w:val="003574BA"/>
    <w:rsid w:val="00366F88"/>
    <w:rsid w:val="00370043"/>
    <w:rsid w:val="0037086E"/>
    <w:rsid w:val="00370AA5"/>
    <w:rsid w:val="00370CBD"/>
    <w:rsid w:val="0037155D"/>
    <w:rsid w:val="00371A94"/>
    <w:rsid w:val="00375563"/>
    <w:rsid w:val="00380B88"/>
    <w:rsid w:val="00380C50"/>
    <w:rsid w:val="003839D6"/>
    <w:rsid w:val="003841D6"/>
    <w:rsid w:val="003849D8"/>
    <w:rsid w:val="00384A4B"/>
    <w:rsid w:val="00385AC7"/>
    <w:rsid w:val="003873C1"/>
    <w:rsid w:val="00392496"/>
    <w:rsid w:val="00395D04"/>
    <w:rsid w:val="00395FA3"/>
    <w:rsid w:val="003963A5"/>
    <w:rsid w:val="00396B13"/>
    <w:rsid w:val="003A07BB"/>
    <w:rsid w:val="003A1A0F"/>
    <w:rsid w:val="003A2794"/>
    <w:rsid w:val="003A42BB"/>
    <w:rsid w:val="003A53F1"/>
    <w:rsid w:val="003A5CE7"/>
    <w:rsid w:val="003A6CEF"/>
    <w:rsid w:val="003A7270"/>
    <w:rsid w:val="003B00F7"/>
    <w:rsid w:val="003B1AF4"/>
    <w:rsid w:val="003B3061"/>
    <w:rsid w:val="003B3A0C"/>
    <w:rsid w:val="003B5DAF"/>
    <w:rsid w:val="003B7157"/>
    <w:rsid w:val="003C30DC"/>
    <w:rsid w:val="003C5FB2"/>
    <w:rsid w:val="003C676E"/>
    <w:rsid w:val="003C6C07"/>
    <w:rsid w:val="003D28E0"/>
    <w:rsid w:val="003D4927"/>
    <w:rsid w:val="003D6731"/>
    <w:rsid w:val="003D693C"/>
    <w:rsid w:val="003D7BDA"/>
    <w:rsid w:val="003E1519"/>
    <w:rsid w:val="003E1D3A"/>
    <w:rsid w:val="003E1EA6"/>
    <w:rsid w:val="003E27E3"/>
    <w:rsid w:val="003E439A"/>
    <w:rsid w:val="003E650B"/>
    <w:rsid w:val="003E6ADA"/>
    <w:rsid w:val="003F120E"/>
    <w:rsid w:val="003F1E86"/>
    <w:rsid w:val="003F2A4D"/>
    <w:rsid w:val="003F3381"/>
    <w:rsid w:val="003F34B5"/>
    <w:rsid w:val="003F7415"/>
    <w:rsid w:val="003F7AF2"/>
    <w:rsid w:val="00400A03"/>
    <w:rsid w:val="00402399"/>
    <w:rsid w:val="00402432"/>
    <w:rsid w:val="00403724"/>
    <w:rsid w:val="00403DEB"/>
    <w:rsid w:val="00404CF6"/>
    <w:rsid w:val="00405A49"/>
    <w:rsid w:val="0040715F"/>
    <w:rsid w:val="004072E8"/>
    <w:rsid w:val="0041255A"/>
    <w:rsid w:val="00412995"/>
    <w:rsid w:val="00413715"/>
    <w:rsid w:val="00413FE9"/>
    <w:rsid w:val="00415734"/>
    <w:rsid w:val="00415FDB"/>
    <w:rsid w:val="00416152"/>
    <w:rsid w:val="00417320"/>
    <w:rsid w:val="00417EA5"/>
    <w:rsid w:val="00420C8D"/>
    <w:rsid w:val="004239DA"/>
    <w:rsid w:val="00424AE5"/>
    <w:rsid w:val="004256C9"/>
    <w:rsid w:val="00426D86"/>
    <w:rsid w:val="00427393"/>
    <w:rsid w:val="004312E5"/>
    <w:rsid w:val="004342D5"/>
    <w:rsid w:val="004346C0"/>
    <w:rsid w:val="00444AF2"/>
    <w:rsid w:val="00445197"/>
    <w:rsid w:val="00447484"/>
    <w:rsid w:val="00450652"/>
    <w:rsid w:val="0045067D"/>
    <w:rsid w:val="0045098F"/>
    <w:rsid w:val="00450F4C"/>
    <w:rsid w:val="0045288E"/>
    <w:rsid w:val="004531DB"/>
    <w:rsid w:val="00453F3C"/>
    <w:rsid w:val="00455939"/>
    <w:rsid w:val="00461770"/>
    <w:rsid w:val="004619CE"/>
    <w:rsid w:val="004650FC"/>
    <w:rsid w:val="00465BFB"/>
    <w:rsid w:val="0046766B"/>
    <w:rsid w:val="0047101C"/>
    <w:rsid w:val="00473670"/>
    <w:rsid w:val="00475A2C"/>
    <w:rsid w:val="00476772"/>
    <w:rsid w:val="00476BD6"/>
    <w:rsid w:val="004776BF"/>
    <w:rsid w:val="00482B7C"/>
    <w:rsid w:val="00484B3F"/>
    <w:rsid w:val="004857F6"/>
    <w:rsid w:val="00487FE7"/>
    <w:rsid w:val="00491B8C"/>
    <w:rsid w:val="00491C05"/>
    <w:rsid w:val="00494150"/>
    <w:rsid w:val="00494F17"/>
    <w:rsid w:val="0049569F"/>
    <w:rsid w:val="004958DA"/>
    <w:rsid w:val="00497898"/>
    <w:rsid w:val="004A1CFB"/>
    <w:rsid w:val="004A59DA"/>
    <w:rsid w:val="004A59E9"/>
    <w:rsid w:val="004A6E3A"/>
    <w:rsid w:val="004A77B6"/>
    <w:rsid w:val="004B0E39"/>
    <w:rsid w:val="004B1024"/>
    <w:rsid w:val="004B1E59"/>
    <w:rsid w:val="004B2051"/>
    <w:rsid w:val="004B2541"/>
    <w:rsid w:val="004B2DC5"/>
    <w:rsid w:val="004B5A87"/>
    <w:rsid w:val="004B66ED"/>
    <w:rsid w:val="004B6718"/>
    <w:rsid w:val="004B6948"/>
    <w:rsid w:val="004B7209"/>
    <w:rsid w:val="004C3023"/>
    <w:rsid w:val="004C3661"/>
    <w:rsid w:val="004C37F5"/>
    <w:rsid w:val="004C400B"/>
    <w:rsid w:val="004C5B5B"/>
    <w:rsid w:val="004C7FE3"/>
    <w:rsid w:val="004D0F50"/>
    <w:rsid w:val="004D5B1A"/>
    <w:rsid w:val="004D63E2"/>
    <w:rsid w:val="004D7F69"/>
    <w:rsid w:val="004E047B"/>
    <w:rsid w:val="004E1BC7"/>
    <w:rsid w:val="004E1C17"/>
    <w:rsid w:val="004E3610"/>
    <w:rsid w:val="004E3FBF"/>
    <w:rsid w:val="004E4874"/>
    <w:rsid w:val="004F00B1"/>
    <w:rsid w:val="004F1B07"/>
    <w:rsid w:val="004F1FB8"/>
    <w:rsid w:val="004F2FE6"/>
    <w:rsid w:val="004F39DE"/>
    <w:rsid w:val="004F45D9"/>
    <w:rsid w:val="004F567A"/>
    <w:rsid w:val="004F6A19"/>
    <w:rsid w:val="004F769C"/>
    <w:rsid w:val="004F7752"/>
    <w:rsid w:val="00500AED"/>
    <w:rsid w:val="005012C2"/>
    <w:rsid w:val="005052A3"/>
    <w:rsid w:val="005129B8"/>
    <w:rsid w:val="005133AF"/>
    <w:rsid w:val="0051505F"/>
    <w:rsid w:val="0051558B"/>
    <w:rsid w:val="00516C3D"/>
    <w:rsid w:val="00516F5C"/>
    <w:rsid w:val="005173BD"/>
    <w:rsid w:val="00517C40"/>
    <w:rsid w:val="005230F0"/>
    <w:rsid w:val="0052320B"/>
    <w:rsid w:val="00523C3D"/>
    <w:rsid w:val="00525073"/>
    <w:rsid w:val="0052704D"/>
    <w:rsid w:val="00527B45"/>
    <w:rsid w:val="00531211"/>
    <w:rsid w:val="00531A93"/>
    <w:rsid w:val="00531B55"/>
    <w:rsid w:val="00532052"/>
    <w:rsid w:val="0053332C"/>
    <w:rsid w:val="00534DC1"/>
    <w:rsid w:val="005374DB"/>
    <w:rsid w:val="00537A3F"/>
    <w:rsid w:val="0054182B"/>
    <w:rsid w:val="00543218"/>
    <w:rsid w:val="005435BE"/>
    <w:rsid w:val="00545945"/>
    <w:rsid w:val="0054758F"/>
    <w:rsid w:val="00551F3D"/>
    <w:rsid w:val="0055321F"/>
    <w:rsid w:val="00553225"/>
    <w:rsid w:val="00553883"/>
    <w:rsid w:val="00553D3E"/>
    <w:rsid w:val="00554798"/>
    <w:rsid w:val="00557BD9"/>
    <w:rsid w:val="00557F2A"/>
    <w:rsid w:val="005634F0"/>
    <w:rsid w:val="005674DF"/>
    <w:rsid w:val="005677F5"/>
    <w:rsid w:val="0057047D"/>
    <w:rsid w:val="0057509C"/>
    <w:rsid w:val="00575376"/>
    <w:rsid w:val="00576885"/>
    <w:rsid w:val="005864B7"/>
    <w:rsid w:val="00587087"/>
    <w:rsid w:val="00587329"/>
    <w:rsid w:val="005921F0"/>
    <w:rsid w:val="00595B3D"/>
    <w:rsid w:val="0059607D"/>
    <w:rsid w:val="00596922"/>
    <w:rsid w:val="00597829"/>
    <w:rsid w:val="00597B7E"/>
    <w:rsid w:val="00597C6D"/>
    <w:rsid w:val="005A2271"/>
    <w:rsid w:val="005A4D77"/>
    <w:rsid w:val="005B1907"/>
    <w:rsid w:val="005B1E57"/>
    <w:rsid w:val="005B2DEE"/>
    <w:rsid w:val="005B3E8E"/>
    <w:rsid w:val="005B41AB"/>
    <w:rsid w:val="005B46D1"/>
    <w:rsid w:val="005B4DAE"/>
    <w:rsid w:val="005B59CB"/>
    <w:rsid w:val="005B65BC"/>
    <w:rsid w:val="005B7BDD"/>
    <w:rsid w:val="005C1638"/>
    <w:rsid w:val="005C1838"/>
    <w:rsid w:val="005C19BF"/>
    <w:rsid w:val="005C3200"/>
    <w:rsid w:val="005C428E"/>
    <w:rsid w:val="005C5FCC"/>
    <w:rsid w:val="005D11E5"/>
    <w:rsid w:val="005D5E19"/>
    <w:rsid w:val="005D7EFA"/>
    <w:rsid w:val="005D7FB5"/>
    <w:rsid w:val="005E0632"/>
    <w:rsid w:val="005E105C"/>
    <w:rsid w:val="005E1B8D"/>
    <w:rsid w:val="005E2267"/>
    <w:rsid w:val="005E37D8"/>
    <w:rsid w:val="005E3859"/>
    <w:rsid w:val="005E5B5A"/>
    <w:rsid w:val="005E5EFD"/>
    <w:rsid w:val="005E66EA"/>
    <w:rsid w:val="005E6904"/>
    <w:rsid w:val="005F0C79"/>
    <w:rsid w:val="005F0EFE"/>
    <w:rsid w:val="005F1764"/>
    <w:rsid w:val="005F7719"/>
    <w:rsid w:val="005F7D98"/>
    <w:rsid w:val="00603F3E"/>
    <w:rsid w:val="0060407C"/>
    <w:rsid w:val="006042D6"/>
    <w:rsid w:val="006048BF"/>
    <w:rsid w:val="00605223"/>
    <w:rsid w:val="00606E86"/>
    <w:rsid w:val="006146A5"/>
    <w:rsid w:val="00615AEA"/>
    <w:rsid w:val="00617E60"/>
    <w:rsid w:val="00620131"/>
    <w:rsid w:val="00621E44"/>
    <w:rsid w:val="00624240"/>
    <w:rsid w:val="00626FB9"/>
    <w:rsid w:val="0063085F"/>
    <w:rsid w:val="00634747"/>
    <w:rsid w:val="0063507E"/>
    <w:rsid w:val="00637B97"/>
    <w:rsid w:val="006461B6"/>
    <w:rsid w:val="00646950"/>
    <w:rsid w:val="00646D66"/>
    <w:rsid w:val="00647383"/>
    <w:rsid w:val="00650215"/>
    <w:rsid w:val="006510A8"/>
    <w:rsid w:val="006514FE"/>
    <w:rsid w:val="00651B33"/>
    <w:rsid w:val="006532CF"/>
    <w:rsid w:val="006536A1"/>
    <w:rsid w:val="00654829"/>
    <w:rsid w:val="00654AF9"/>
    <w:rsid w:val="006550E9"/>
    <w:rsid w:val="00657CE5"/>
    <w:rsid w:val="006627E3"/>
    <w:rsid w:val="006646C8"/>
    <w:rsid w:val="00664E2E"/>
    <w:rsid w:val="00666A8B"/>
    <w:rsid w:val="00667983"/>
    <w:rsid w:val="006719BA"/>
    <w:rsid w:val="00673542"/>
    <w:rsid w:val="006739B8"/>
    <w:rsid w:val="006744D9"/>
    <w:rsid w:val="0067458A"/>
    <w:rsid w:val="0067470E"/>
    <w:rsid w:val="0067485D"/>
    <w:rsid w:val="0068186D"/>
    <w:rsid w:val="006825A5"/>
    <w:rsid w:val="00684839"/>
    <w:rsid w:val="0068503C"/>
    <w:rsid w:val="00685488"/>
    <w:rsid w:val="00686276"/>
    <w:rsid w:val="00686EFC"/>
    <w:rsid w:val="0068716E"/>
    <w:rsid w:val="006900C3"/>
    <w:rsid w:val="00692B74"/>
    <w:rsid w:val="0069570E"/>
    <w:rsid w:val="00696FEF"/>
    <w:rsid w:val="006972CC"/>
    <w:rsid w:val="006A01FD"/>
    <w:rsid w:val="006A068F"/>
    <w:rsid w:val="006A13EE"/>
    <w:rsid w:val="006A218D"/>
    <w:rsid w:val="006A3843"/>
    <w:rsid w:val="006A7F64"/>
    <w:rsid w:val="006B5C65"/>
    <w:rsid w:val="006B61F3"/>
    <w:rsid w:val="006C1ECB"/>
    <w:rsid w:val="006C3C33"/>
    <w:rsid w:val="006C785B"/>
    <w:rsid w:val="006D092A"/>
    <w:rsid w:val="006D34C5"/>
    <w:rsid w:val="006D6827"/>
    <w:rsid w:val="006E1487"/>
    <w:rsid w:val="006E215D"/>
    <w:rsid w:val="006E23BC"/>
    <w:rsid w:val="006E5FB9"/>
    <w:rsid w:val="006E7CFA"/>
    <w:rsid w:val="006F0F00"/>
    <w:rsid w:val="006F2886"/>
    <w:rsid w:val="006F3DFA"/>
    <w:rsid w:val="006F76AB"/>
    <w:rsid w:val="00700308"/>
    <w:rsid w:val="00700C91"/>
    <w:rsid w:val="00704E0E"/>
    <w:rsid w:val="007053CF"/>
    <w:rsid w:val="00707C4E"/>
    <w:rsid w:val="007106C1"/>
    <w:rsid w:val="007106F3"/>
    <w:rsid w:val="0071088B"/>
    <w:rsid w:val="0071148F"/>
    <w:rsid w:val="00712E41"/>
    <w:rsid w:val="00714126"/>
    <w:rsid w:val="00722E6F"/>
    <w:rsid w:val="00723349"/>
    <w:rsid w:val="00724F3D"/>
    <w:rsid w:val="00725202"/>
    <w:rsid w:val="007273C5"/>
    <w:rsid w:val="00727632"/>
    <w:rsid w:val="00730D10"/>
    <w:rsid w:val="00730D14"/>
    <w:rsid w:val="007311F3"/>
    <w:rsid w:val="00731BB6"/>
    <w:rsid w:val="007326B0"/>
    <w:rsid w:val="00732A34"/>
    <w:rsid w:val="00732C44"/>
    <w:rsid w:val="00733B40"/>
    <w:rsid w:val="00733BE3"/>
    <w:rsid w:val="00735AB6"/>
    <w:rsid w:val="00735E1F"/>
    <w:rsid w:val="0074163D"/>
    <w:rsid w:val="00741C1F"/>
    <w:rsid w:val="007423EE"/>
    <w:rsid w:val="00742B33"/>
    <w:rsid w:val="007431F6"/>
    <w:rsid w:val="00743A0F"/>
    <w:rsid w:val="00743D87"/>
    <w:rsid w:val="00743F91"/>
    <w:rsid w:val="00745894"/>
    <w:rsid w:val="00745983"/>
    <w:rsid w:val="0074790A"/>
    <w:rsid w:val="00750183"/>
    <w:rsid w:val="0075092D"/>
    <w:rsid w:val="00751056"/>
    <w:rsid w:val="007520EC"/>
    <w:rsid w:val="0075280F"/>
    <w:rsid w:val="00752C92"/>
    <w:rsid w:val="0075311E"/>
    <w:rsid w:val="00754160"/>
    <w:rsid w:val="00757DCD"/>
    <w:rsid w:val="00763A64"/>
    <w:rsid w:val="00767CCD"/>
    <w:rsid w:val="0077036F"/>
    <w:rsid w:val="007709A4"/>
    <w:rsid w:val="00771134"/>
    <w:rsid w:val="007727B5"/>
    <w:rsid w:val="00772BEF"/>
    <w:rsid w:val="00774469"/>
    <w:rsid w:val="00775B40"/>
    <w:rsid w:val="00775CB5"/>
    <w:rsid w:val="0078049E"/>
    <w:rsid w:val="0078135D"/>
    <w:rsid w:val="00786066"/>
    <w:rsid w:val="0078671C"/>
    <w:rsid w:val="00786859"/>
    <w:rsid w:val="0078760E"/>
    <w:rsid w:val="0079045C"/>
    <w:rsid w:val="00793C0C"/>
    <w:rsid w:val="00793E41"/>
    <w:rsid w:val="00795521"/>
    <w:rsid w:val="007955BE"/>
    <w:rsid w:val="007970BD"/>
    <w:rsid w:val="007A259A"/>
    <w:rsid w:val="007A5FAD"/>
    <w:rsid w:val="007A7348"/>
    <w:rsid w:val="007A7AEB"/>
    <w:rsid w:val="007B08FD"/>
    <w:rsid w:val="007B2E4C"/>
    <w:rsid w:val="007B3CC2"/>
    <w:rsid w:val="007B42DB"/>
    <w:rsid w:val="007B449A"/>
    <w:rsid w:val="007B4C65"/>
    <w:rsid w:val="007B7E4B"/>
    <w:rsid w:val="007C026F"/>
    <w:rsid w:val="007C18DC"/>
    <w:rsid w:val="007C2DD5"/>
    <w:rsid w:val="007C31BF"/>
    <w:rsid w:val="007C47E7"/>
    <w:rsid w:val="007C5A0D"/>
    <w:rsid w:val="007C62C8"/>
    <w:rsid w:val="007C65E6"/>
    <w:rsid w:val="007D3C1C"/>
    <w:rsid w:val="007D42BF"/>
    <w:rsid w:val="007D788E"/>
    <w:rsid w:val="007E21D3"/>
    <w:rsid w:val="007F078C"/>
    <w:rsid w:val="007F5BBD"/>
    <w:rsid w:val="008025DD"/>
    <w:rsid w:val="00803A6B"/>
    <w:rsid w:val="00803C1D"/>
    <w:rsid w:val="00804F36"/>
    <w:rsid w:val="00807F37"/>
    <w:rsid w:val="00811770"/>
    <w:rsid w:val="008124CF"/>
    <w:rsid w:val="00812BF7"/>
    <w:rsid w:val="00816FE6"/>
    <w:rsid w:val="00822033"/>
    <w:rsid w:val="00822B55"/>
    <w:rsid w:val="0082399C"/>
    <w:rsid w:val="00823F7A"/>
    <w:rsid w:val="008241D3"/>
    <w:rsid w:val="00825003"/>
    <w:rsid w:val="008275FD"/>
    <w:rsid w:val="00830E0E"/>
    <w:rsid w:val="00830FAE"/>
    <w:rsid w:val="008317CA"/>
    <w:rsid w:val="00831B3A"/>
    <w:rsid w:val="00837F01"/>
    <w:rsid w:val="00842AB5"/>
    <w:rsid w:val="0084494F"/>
    <w:rsid w:val="0084700F"/>
    <w:rsid w:val="00847EBD"/>
    <w:rsid w:val="0085104D"/>
    <w:rsid w:val="008512BB"/>
    <w:rsid w:val="00852CA4"/>
    <w:rsid w:val="008542D0"/>
    <w:rsid w:val="0085663E"/>
    <w:rsid w:val="00856A94"/>
    <w:rsid w:val="00860037"/>
    <w:rsid w:val="008602E1"/>
    <w:rsid w:val="0086110F"/>
    <w:rsid w:val="00863F2D"/>
    <w:rsid w:val="0086451A"/>
    <w:rsid w:val="00865142"/>
    <w:rsid w:val="0086757D"/>
    <w:rsid w:val="00867757"/>
    <w:rsid w:val="00870486"/>
    <w:rsid w:val="008713F8"/>
    <w:rsid w:val="00872F4E"/>
    <w:rsid w:val="00874B96"/>
    <w:rsid w:val="00875698"/>
    <w:rsid w:val="00877006"/>
    <w:rsid w:val="00881128"/>
    <w:rsid w:val="008814F2"/>
    <w:rsid w:val="00883254"/>
    <w:rsid w:val="00883909"/>
    <w:rsid w:val="00883F95"/>
    <w:rsid w:val="008852B6"/>
    <w:rsid w:val="00885F12"/>
    <w:rsid w:val="008863FF"/>
    <w:rsid w:val="00886BB9"/>
    <w:rsid w:val="008913ED"/>
    <w:rsid w:val="00892125"/>
    <w:rsid w:val="008928AA"/>
    <w:rsid w:val="008942D9"/>
    <w:rsid w:val="00896A66"/>
    <w:rsid w:val="008A0D4D"/>
    <w:rsid w:val="008A2928"/>
    <w:rsid w:val="008A2DCA"/>
    <w:rsid w:val="008A4014"/>
    <w:rsid w:val="008A4461"/>
    <w:rsid w:val="008A4717"/>
    <w:rsid w:val="008A478E"/>
    <w:rsid w:val="008A4E0E"/>
    <w:rsid w:val="008A6D63"/>
    <w:rsid w:val="008A7AF2"/>
    <w:rsid w:val="008B08AA"/>
    <w:rsid w:val="008B2491"/>
    <w:rsid w:val="008B36EF"/>
    <w:rsid w:val="008B74EC"/>
    <w:rsid w:val="008B7935"/>
    <w:rsid w:val="008C010B"/>
    <w:rsid w:val="008C02E3"/>
    <w:rsid w:val="008C35CA"/>
    <w:rsid w:val="008C39DF"/>
    <w:rsid w:val="008C3DB7"/>
    <w:rsid w:val="008C467C"/>
    <w:rsid w:val="008C57B4"/>
    <w:rsid w:val="008C5DEC"/>
    <w:rsid w:val="008C6A9D"/>
    <w:rsid w:val="008C7E92"/>
    <w:rsid w:val="008D0131"/>
    <w:rsid w:val="008D08F2"/>
    <w:rsid w:val="008D157C"/>
    <w:rsid w:val="008D1DBE"/>
    <w:rsid w:val="008D2805"/>
    <w:rsid w:val="008D62C3"/>
    <w:rsid w:val="008D7A75"/>
    <w:rsid w:val="008E3D42"/>
    <w:rsid w:val="008E4F5C"/>
    <w:rsid w:val="008E5C01"/>
    <w:rsid w:val="008E5CC4"/>
    <w:rsid w:val="008E6A15"/>
    <w:rsid w:val="008E7CB0"/>
    <w:rsid w:val="008F49EF"/>
    <w:rsid w:val="008F69AE"/>
    <w:rsid w:val="008F7EB7"/>
    <w:rsid w:val="00900145"/>
    <w:rsid w:val="0090071D"/>
    <w:rsid w:val="00901058"/>
    <w:rsid w:val="009012E4"/>
    <w:rsid w:val="0090159F"/>
    <w:rsid w:val="00902173"/>
    <w:rsid w:val="0090232B"/>
    <w:rsid w:val="00903B95"/>
    <w:rsid w:val="00903D6D"/>
    <w:rsid w:val="009075BA"/>
    <w:rsid w:val="00911F3B"/>
    <w:rsid w:val="0091241A"/>
    <w:rsid w:val="009124FC"/>
    <w:rsid w:val="00913309"/>
    <w:rsid w:val="00914E62"/>
    <w:rsid w:val="00915909"/>
    <w:rsid w:val="00915FEE"/>
    <w:rsid w:val="0092136A"/>
    <w:rsid w:val="00924810"/>
    <w:rsid w:val="0092567F"/>
    <w:rsid w:val="0092727D"/>
    <w:rsid w:val="00930501"/>
    <w:rsid w:val="00932205"/>
    <w:rsid w:val="00933841"/>
    <w:rsid w:val="009338C5"/>
    <w:rsid w:val="00935EFA"/>
    <w:rsid w:val="00935F0D"/>
    <w:rsid w:val="009361BF"/>
    <w:rsid w:val="0093717C"/>
    <w:rsid w:val="00937273"/>
    <w:rsid w:val="00941651"/>
    <w:rsid w:val="009418DE"/>
    <w:rsid w:val="00941CF7"/>
    <w:rsid w:val="009433A4"/>
    <w:rsid w:val="00944E26"/>
    <w:rsid w:val="00945D11"/>
    <w:rsid w:val="0094718C"/>
    <w:rsid w:val="00950310"/>
    <w:rsid w:val="00950BF3"/>
    <w:rsid w:val="009542FB"/>
    <w:rsid w:val="00955657"/>
    <w:rsid w:val="009569D1"/>
    <w:rsid w:val="00956A73"/>
    <w:rsid w:val="009612A8"/>
    <w:rsid w:val="009626D7"/>
    <w:rsid w:val="00965D90"/>
    <w:rsid w:val="00970DDB"/>
    <w:rsid w:val="00971DBF"/>
    <w:rsid w:val="0097296A"/>
    <w:rsid w:val="0097381C"/>
    <w:rsid w:val="009759CA"/>
    <w:rsid w:val="00976B33"/>
    <w:rsid w:val="00976F72"/>
    <w:rsid w:val="0098194E"/>
    <w:rsid w:val="0098729D"/>
    <w:rsid w:val="009906E0"/>
    <w:rsid w:val="00991FC9"/>
    <w:rsid w:val="00994FB2"/>
    <w:rsid w:val="00995D50"/>
    <w:rsid w:val="0099687B"/>
    <w:rsid w:val="00997DF8"/>
    <w:rsid w:val="009A2873"/>
    <w:rsid w:val="009A2924"/>
    <w:rsid w:val="009A3746"/>
    <w:rsid w:val="009A3DBB"/>
    <w:rsid w:val="009A4F09"/>
    <w:rsid w:val="009A7864"/>
    <w:rsid w:val="009B092D"/>
    <w:rsid w:val="009B0CE1"/>
    <w:rsid w:val="009B26BC"/>
    <w:rsid w:val="009B31BA"/>
    <w:rsid w:val="009B353C"/>
    <w:rsid w:val="009B3AD5"/>
    <w:rsid w:val="009B3CA0"/>
    <w:rsid w:val="009B4293"/>
    <w:rsid w:val="009B471D"/>
    <w:rsid w:val="009B6A27"/>
    <w:rsid w:val="009B76CE"/>
    <w:rsid w:val="009C16D1"/>
    <w:rsid w:val="009C320E"/>
    <w:rsid w:val="009C5388"/>
    <w:rsid w:val="009C6322"/>
    <w:rsid w:val="009C7A89"/>
    <w:rsid w:val="009D02AB"/>
    <w:rsid w:val="009D02E6"/>
    <w:rsid w:val="009D0708"/>
    <w:rsid w:val="009D23F9"/>
    <w:rsid w:val="009D32DB"/>
    <w:rsid w:val="009D7F01"/>
    <w:rsid w:val="009E1B35"/>
    <w:rsid w:val="009E1D8E"/>
    <w:rsid w:val="009E2422"/>
    <w:rsid w:val="009E2F6A"/>
    <w:rsid w:val="009E3233"/>
    <w:rsid w:val="009E469F"/>
    <w:rsid w:val="009E4BC5"/>
    <w:rsid w:val="009E608D"/>
    <w:rsid w:val="009E6F08"/>
    <w:rsid w:val="009E75EC"/>
    <w:rsid w:val="009F05FB"/>
    <w:rsid w:val="009F246B"/>
    <w:rsid w:val="009F2A33"/>
    <w:rsid w:val="009F2F0D"/>
    <w:rsid w:val="009F3D52"/>
    <w:rsid w:val="009F5147"/>
    <w:rsid w:val="009F58DE"/>
    <w:rsid w:val="009F5932"/>
    <w:rsid w:val="009F7C61"/>
    <w:rsid w:val="00A00E15"/>
    <w:rsid w:val="00A013D2"/>
    <w:rsid w:val="00A01B51"/>
    <w:rsid w:val="00A01B91"/>
    <w:rsid w:val="00A03561"/>
    <w:rsid w:val="00A05523"/>
    <w:rsid w:val="00A05A7E"/>
    <w:rsid w:val="00A05C26"/>
    <w:rsid w:val="00A05D8F"/>
    <w:rsid w:val="00A06B6C"/>
    <w:rsid w:val="00A071FF"/>
    <w:rsid w:val="00A07259"/>
    <w:rsid w:val="00A123D7"/>
    <w:rsid w:val="00A145CE"/>
    <w:rsid w:val="00A146A1"/>
    <w:rsid w:val="00A1551B"/>
    <w:rsid w:val="00A160A1"/>
    <w:rsid w:val="00A17CD6"/>
    <w:rsid w:val="00A20105"/>
    <w:rsid w:val="00A22FEF"/>
    <w:rsid w:val="00A257AB"/>
    <w:rsid w:val="00A270F8"/>
    <w:rsid w:val="00A27460"/>
    <w:rsid w:val="00A27985"/>
    <w:rsid w:val="00A27A69"/>
    <w:rsid w:val="00A304F3"/>
    <w:rsid w:val="00A31890"/>
    <w:rsid w:val="00A31D25"/>
    <w:rsid w:val="00A377E2"/>
    <w:rsid w:val="00A405E2"/>
    <w:rsid w:val="00A40980"/>
    <w:rsid w:val="00A424DD"/>
    <w:rsid w:val="00A42A76"/>
    <w:rsid w:val="00A43D95"/>
    <w:rsid w:val="00A43FE7"/>
    <w:rsid w:val="00A4455C"/>
    <w:rsid w:val="00A537EA"/>
    <w:rsid w:val="00A53C30"/>
    <w:rsid w:val="00A548C5"/>
    <w:rsid w:val="00A55AD8"/>
    <w:rsid w:val="00A61F7C"/>
    <w:rsid w:val="00A6401D"/>
    <w:rsid w:val="00A66763"/>
    <w:rsid w:val="00A66B82"/>
    <w:rsid w:val="00A66DFD"/>
    <w:rsid w:val="00A71E18"/>
    <w:rsid w:val="00A72C9B"/>
    <w:rsid w:val="00A754B9"/>
    <w:rsid w:val="00A76DDF"/>
    <w:rsid w:val="00A77B75"/>
    <w:rsid w:val="00A8059A"/>
    <w:rsid w:val="00A806BB"/>
    <w:rsid w:val="00A806ED"/>
    <w:rsid w:val="00A80853"/>
    <w:rsid w:val="00A80AFA"/>
    <w:rsid w:val="00A80C35"/>
    <w:rsid w:val="00A82D52"/>
    <w:rsid w:val="00A8659F"/>
    <w:rsid w:val="00A9173D"/>
    <w:rsid w:val="00A91F30"/>
    <w:rsid w:val="00A920DE"/>
    <w:rsid w:val="00A95B27"/>
    <w:rsid w:val="00A95C22"/>
    <w:rsid w:val="00A95CEB"/>
    <w:rsid w:val="00AA16DD"/>
    <w:rsid w:val="00AA3B27"/>
    <w:rsid w:val="00AA4B3B"/>
    <w:rsid w:val="00AA5AC9"/>
    <w:rsid w:val="00AA63E3"/>
    <w:rsid w:val="00AA6D57"/>
    <w:rsid w:val="00AB00C3"/>
    <w:rsid w:val="00AB22FB"/>
    <w:rsid w:val="00AB472A"/>
    <w:rsid w:val="00AB68BC"/>
    <w:rsid w:val="00AC0E67"/>
    <w:rsid w:val="00AC0F6C"/>
    <w:rsid w:val="00AC2F2B"/>
    <w:rsid w:val="00AC7031"/>
    <w:rsid w:val="00AD019E"/>
    <w:rsid w:val="00AD09FB"/>
    <w:rsid w:val="00AD10C2"/>
    <w:rsid w:val="00AD343F"/>
    <w:rsid w:val="00AD38CB"/>
    <w:rsid w:val="00AD65BE"/>
    <w:rsid w:val="00AD6F9A"/>
    <w:rsid w:val="00AE0046"/>
    <w:rsid w:val="00AE312B"/>
    <w:rsid w:val="00AE4668"/>
    <w:rsid w:val="00AE60E7"/>
    <w:rsid w:val="00AE6D0C"/>
    <w:rsid w:val="00AE7269"/>
    <w:rsid w:val="00AE795C"/>
    <w:rsid w:val="00AE7995"/>
    <w:rsid w:val="00AE7F43"/>
    <w:rsid w:val="00AF013D"/>
    <w:rsid w:val="00AF0B0C"/>
    <w:rsid w:val="00AF1BCF"/>
    <w:rsid w:val="00AF1CD5"/>
    <w:rsid w:val="00AF1F16"/>
    <w:rsid w:val="00AF55CE"/>
    <w:rsid w:val="00AF67D5"/>
    <w:rsid w:val="00AF7C99"/>
    <w:rsid w:val="00B00209"/>
    <w:rsid w:val="00B00F73"/>
    <w:rsid w:val="00B028B9"/>
    <w:rsid w:val="00B02987"/>
    <w:rsid w:val="00B0535C"/>
    <w:rsid w:val="00B05E5C"/>
    <w:rsid w:val="00B060E6"/>
    <w:rsid w:val="00B067BE"/>
    <w:rsid w:val="00B06EAF"/>
    <w:rsid w:val="00B112E8"/>
    <w:rsid w:val="00B14042"/>
    <w:rsid w:val="00B14141"/>
    <w:rsid w:val="00B1621B"/>
    <w:rsid w:val="00B20E01"/>
    <w:rsid w:val="00B220DD"/>
    <w:rsid w:val="00B22234"/>
    <w:rsid w:val="00B24066"/>
    <w:rsid w:val="00B24A5E"/>
    <w:rsid w:val="00B2562E"/>
    <w:rsid w:val="00B2688C"/>
    <w:rsid w:val="00B26C46"/>
    <w:rsid w:val="00B27511"/>
    <w:rsid w:val="00B2784C"/>
    <w:rsid w:val="00B31DC1"/>
    <w:rsid w:val="00B32F7E"/>
    <w:rsid w:val="00B33A29"/>
    <w:rsid w:val="00B35D6A"/>
    <w:rsid w:val="00B35DE1"/>
    <w:rsid w:val="00B37227"/>
    <w:rsid w:val="00B3738C"/>
    <w:rsid w:val="00B41CF8"/>
    <w:rsid w:val="00B42022"/>
    <w:rsid w:val="00B51C64"/>
    <w:rsid w:val="00B52DEF"/>
    <w:rsid w:val="00B53152"/>
    <w:rsid w:val="00B53CC7"/>
    <w:rsid w:val="00B55C07"/>
    <w:rsid w:val="00B56BF2"/>
    <w:rsid w:val="00B578A1"/>
    <w:rsid w:val="00B60053"/>
    <w:rsid w:val="00B60DA2"/>
    <w:rsid w:val="00B64D34"/>
    <w:rsid w:val="00B653D3"/>
    <w:rsid w:val="00B66D12"/>
    <w:rsid w:val="00B7319B"/>
    <w:rsid w:val="00B73A3F"/>
    <w:rsid w:val="00B743A2"/>
    <w:rsid w:val="00B749F3"/>
    <w:rsid w:val="00B74A24"/>
    <w:rsid w:val="00B74A5E"/>
    <w:rsid w:val="00B74BF9"/>
    <w:rsid w:val="00B852CE"/>
    <w:rsid w:val="00B85E1A"/>
    <w:rsid w:val="00B86373"/>
    <w:rsid w:val="00B9023F"/>
    <w:rsid w:val="00B91B99"/>
    <w:rsid w:val="00B94C4D"/>
    <w:rsid w:val="00B95D82"/>
    <w:rsid w:val="00B97FD6"/>
    <w:rsid w:val="00BA3C73"/>
    <w:rsid w:val="00BA4027"/>
    <w:rsid w:val="00BB2509"/>
    <w:rsid w:val="00BB2C4F"/>
    <w:rsid w:val="00BB3A35"/>
    <w:rsid w:val="00BB4F9D"/>
    <w:rsid w:val="00BB6576"/>
    <w:rsid w:val="00BB6E9C"/>
    <w:rsid w:val="00BC0BED"/>
    <w:rsid w:val="00BC312C"/>
    <w:rsid w:val="00BC3FBC"/>
    <w:rsid w:val="00BC4A7F"/>
    <w:rsid w:val="00BC70B6"/>
    <w:rsid w:val="00BC77FA"/>
    <w:rsid w:val="00BC77FD"/>
    <w:rsid w:val="00BD002F"/>
    <w:rsid w:val="00BD34C3"/>
    <w:rsid w:val="00BD3F37"/>
    <w:rsid w:val="00BD58EC"/>
    <w:rsid w:val="00BD5A65"/>
    <w:rsid w:val="00BD5AC6"/>
    <w:rsid w:val="00BD7FEE"/>
    <w:rsid w:val="00BE17B7"/>
    <w:rsid w:val="00BE3013"/>
    <w:rsid w:val="00BE3470"/>
    <w:rsid w:val="00BE4396"/>
    <w:rsid w:val="00BF1F71"/>
    <w:rsid w:val="00BF405F"/>
    <w:rsid w:val="00BF6486"/>
    <w:rsid w:val="00C00042"/>
    <w:rsid w:val="00C0157C"/>
    <w:rsid w:val="00C01E17"/>
    <w:rsid w:val="00C03C5D"/>
    <w:rsid w:val="00C042E5"/>
    <w:rsid w:val="00C064B9"/>
    <w:rsid w:val="00C06D75"/>
    <w:rsid w:val="00C075EE"/>
    <w:rsid w:val="00C10BD5"/>
    <w:rsid w:val="00C112B2"/>
    <w:rsid w:val="00C11EB6"/>
    <w:rsid w:val="00C130B2"/>
    <w:rsid w:val="00C139A0"/>
    <w:rsid w:val="00C144B2"/>
    <w:rsid w:val="00C147A7"/>
    <w:rsid w:val="00C151D8"/>
    <w:rsid w:val="00C20C0C"/>
    <w:rsid w:val="00C23D79"/>
    <w:rsid w:val="00C24A79"/>
    <w:rsid w:val="00C24CDD"/>
    <w:rsid w:val="00C251D5"/>
    <w:rsid w:val="00C26F73"/>
    <w:rsid w:val="00C27879"/>
    <w:rsid w:val="00C31EB3"/>
    <w:rsid w:val="00C32AB4"/>
    <w:rsid w:val="00C34835"/>
    <w:rsid w:val="00C3595C"/>
    <w:rsid w:val="00C36B15"/>
    <w:rsid w:val="00C37ADD"/>
    <w:rsid w:val="00C420B3"/>
    <w:rsid w:val="00C42E33"/>
    <w:rsid w:val="00C4424B"/>
    <w:rsid w:val="00C460A5"/>
    <w:rsid w:val="00C461A1"/>
    <w:rsid w:val="00C46BF9"/>
    <w:rsid w:val="00C4775A"/>
    <w:rsid w:val="00C479F0"/>
    <w:rsid w:val="00C47A14"/>
    <w:rsid w:val="00C504CE"/>
    <w:rsid w:val="00C513E9"/>
    <w:rsid w:val="00C527FC"/>
    <w:rsid w:val="00C54524"/>
    <w:rsid w:val="00C54993"/>
    <w:rsid w:val="00C55125"/>
    <w:rsid w:val="00C57115"/>
    <w:rsid w:val="00C57F13"/>
    <w:rsid w:val="00C63FA1"/>
    <w:rsid w:val="00C65158"/>
    <w:rsid w:val="00C6549F"/>
    <w:rsid w:val="00C67168"/>
    <w:rsid w:val="00C70F0A"/>
    <w:rsid w:val="00C711DA"/>
    <w:rsid w:val="00C75914"/>
    <w:rsid w:val="00C76A00"/>
    <w:rsid w:val="00C77893"/>
    <w:rsid w:val="00C80E83"/>
    <w:rsid w:val="00C80FAA"/>
    <w:rsid w:val="00C8188D"/>
    <w:rsid w:val="00C820C1"/>
    <w:rsid w:val="00C82445"/>
    <w:rsid w:val="00C8548E"/>
    <w:rsid w:val="00C85809"/>
    <w:rsid w:val="00C85ED5"/>
    <w:rsid w:val="00C8649F"/>
    <w:rsid w:val="00C872F4"/>
    <w:rsid w:val="00C87EA6"/>
    <w:rsid w:val="00C9342F"/>
    <w:rsid w:val="00C96D64"/>
    <w:rsid w:val="00C974B6"/>
    <w:rsid w:val="00CA09B6"/>
    <w:rsid w:val="00CA581F"/>
    <w:rsid w:val="00CB15F4"/>
    <w:rsid w:val="00CB2BF0"/>
    <w:rsid w:val="00CB56BE"/>
    <w:rsid w:val="00CB73E9"/>
    <w:rsid w:val="00CB7479"/>
    <w:rsid w:val="00CC03D4"/>
    <w:rsid w:val="00CC19C1"/>
    <w:rsid w:val="00CC1BA4"/>
    <w:rsid w:val="00CC1CB0"/>
    <w:rsid w:val="00CC34DB"/>
    <w:rsid w:val="00CC4572"/>
    <w:rsid w:val="00CC7062"/>
    <w:rsid w:val="00CC77C8"/>
    <w:rsid w:val="00CD005F"/>
    <w:rsid w:val="00CD1705"/>
    <w:rsid w:val="00CD223F"/>
    <w:rsid w:val="00CD2E79"/>
    <w:rsid w:val="00CD3469"/>
    <w:rsid w:val="00CD36F4"/>
    <w:rsid w:val="00CD3B88"/>
    <w:rsid w:val="00CD4503"/>
    <w:rsid w:val="00CD5E49"/>
    <w:rsid w:val="00CE120F"/>
    <w:rsid w:val="00CE3297"/>
    <w:rsid w:val="00CF0312"/>
    <w:rsid w:val="00CF1C8E"/>
    <w:rsid w:val="00CF1D41"/>
    <w:rsid w:val="00CF2180"/>
    <w:rsid w:val="00CF265C"/>
    <w:rsid w:val="00CF31FA"/>
    <w:rsid w:val="00CF331B"/>
    <w:rsid w:val="00CF3625"/>
    <w:rsid w:val="00CF4DD3"/>
    <w:rsid w:val="00CF501E"/>
    <w:rsid w:val="00CF6D65"/>
    <w:rsid w:val="00CF7FF3"/>
    <w:rsid w:val="00D020AD"/>
    <w:rsid w:val="00D03F46"/>
    <w:rsid w:val="00D046EC"/>
    <w:rsid w:val="00D047DA"/>
    <w:rsid w:val="00D05386"/>
    <w:rsid w:val="00D065EE"/>
    <w:rsid w:val="00D07731"/>
    <w:rsid w:val="00D07CB9"/>
    <w:rsid w:val="00D11315"/>
    <w:rsid w:val="00D11A16"/>
    <w:rsid w:val="00D1276F"/>
    <w:rsid w:val="00D14404"/>
    <w:rsid w:val="00D15909"/>
    <w:rsid w:val="00D15A51"/>
    <w:rsid w:val="00D16ECD"/>
    <w:rsid w:val="00D21857"/>
    <w:rsid w:val="00D21D89"/>
    <w:rsid w:val="00D22BCB"/>
    <w:rsid w:val="00D241F3"/>
    <w:rsid w:val="00D24868"/>
    <w:rsid w:val="00D31F3A"/>
    <w:rsid w:val="00D33613"/>
    <w:rsid w:val="00D40AAD"/>
    <w:rsid w:val="00D43532"/>
    <w:rsid w:val="00D43660"/>
    <w:rsid w:val="00D441CB"/>
    <w:rsid w:val="00D44A18"/>
    <w:rsid w:val="00D455A1"/>
    <w:rsid w:val="00D47142"/>
    <w:rsid w:val="00D523E8"/>
    <w:rsid w:val="00D53617"/>
    <w:rsid w:val="00D5449F"/>
    <w:rsid w:val="00D61193"/>
    <w:rsid w:val="00D61870"/>
    <w:rsid w:val="00D62C16"/>
    <w:rsid w:val="00D630BD"/>
    <w:rsid w:val="00D7172C"/>
    <w:rsid w:val="00D72BA8"/>
    <w:rsid w:val="00D746E5"/>
    <w:rsid w:val="00D74A6F"/>
    <w:rsid w:val="00D75919"/>
    <w:rsid w:val="00D75BA2"/>
    <w:rsid w:val="00D75E73"/>
    <w:rsid w:val="00D7664F"/>
    <w:rsid w:val="00D76A66"/>
    <w:rsid w:val="00D77B9D"/>
    <w:rsid w:val="00D81068"/>
    <w:rsid w:val="00D814A3"/>
    <w:rsid w:val="00D815A1"/>
    <w:rsid w:val="00D836AD"/>
    <w:rsid w:val="00D85462"/>
    <w:rsid w:val="00D85C89"/>
    <w:rsid w:val="00D8689A"/>
    <w:rsid w:val="00D92B86"/>
    <w:rsid w:val="00D938D7"/>
    <w:rsid w:val="00D94EEE"/>
    <w:rsid w:val="00D95FD2"/>
    <w:rsid w:val="00D968CE"/>
    <w:rsid w:val="00D96CFD"/>
    <w:rsid w:val="00D9794E"/>
    <w:rsid w:val="00D97D41"/>
    <w:rsid w:val="00DA09EF"/>
    <w:rsid w:val="00DA2396"/>
    <w:rsid w:val="00DA51DD"/>
    <w:rsid w:val="00DA5227"/>
    <w:rsid w:val="00DA5A4A"/>
    <w:rsid w:val="00DA715D"/>
    <w:rsid w:val="00DA750B"/>
    <w:rsid w:val="00DB031E"/>
    <w:rsid w:val="00DB1EA5"/>
    <w:rsid w:val="00DB5CEE"/>
    <w:rsid w:val="00DB7547"/>
    <w:rsid w:val="00DC2862"/>
    <w:rsid w:val="00DC2903"/>
    <w:rsid w:val="00DC548A"/>
    <w:rsid w:val="00DC5738"/>
    <w:rsid w:val="00DC5F81"/>
    <w:rsid w:val="00DC6A08"/>
    <w:rsid w:val="00DD06E5"/>
    <w:rsid w:val="00DD0887"/>
    <w:rsid w:val="00DD1A37"/>
    <w:rsid w:val="00DE0E12"/>
    <w:rsid w:val="00DE1D3A"/>
    <w:rsid w:val="00DE20B1"/>
    <w:rsid w:val="00DE2306"/>
    <w:rsid w:val="00DE2400"/>
    <w:rsid w:val="00DE495E"/>
    <w:rsid w:val="00DE54AD"/>
    <w:rsid w:val="00DE6A4D"/>
    <w:rsid w:val="00DE744D"/>
    <w:rsid w:val="00DF4503"/>
    <w:rsid w:val="00DF61E8"/>
    <w:rsid w:val="00DF6705"/>
    <w:rsid w:val="00DF6921"/>
    <w:rsid w:val="00DF757E"/>
    <w:rsid w:val="00DF7DEC"/>
    <w:rsid w:val="00E0384E"/>
    <w:rsid w:val="00E04B5D"/>
    <w:rsid w:val="00E04E2B"/>
    <w:rsid w:val="00E05378"/>
    <w:rsid w:val="00E071CC"/>
    <w:rsid w:val="00E07B68"/>
    <w:rsid w:val="00E11014"/>
    <w:rsid w:val="00E13D69"/>
    <w:rsid w:val="00E16384"/>
    <w:rsid w:val="00E168AC"/>
    <w:rsid w:val="00E17056"/>
    <w:rsid w:val="00E17539"/>
    <w:rsid w:val="00E179FD"/>
    <w:rsid w:val="00E212A9"/>
    <w:rsid w:val="00E244FD"/>
    <w:rsid w:val="00E25C6F"/>
    <w:rsid w:val="00E303E1"/>
    <w:rsid w:val="00E313EB"/>
    <w:rsid w:val="00E3287C"/>
    <w:rsid w:val="00E32CA8"/>
    <w:rsid w:val="00E33F06"/>
    <w:rsid w:val="00E35F09"/>
    <w:rsid w:val="00E36DD7"/>
    <w:rsid w:val="00E37F6F"/>
    <w:rsid w:val="00E44542"/>
    <w:rsid w:val="00E4479D"/>
    <w:rsid w:val="00E4550A"/>
    <w:rsid w:val="00E45A14"/>
    <w:rsid w:val="00E5094F"/>
    <w:rsid w:val="00E53147"/>
    <w:rsid w:val="00E53E8D"/>
    <w:rsid w:val="00E5480E"/>
    <w:rsid w:val="00E56EFC"/>
    <w:rsid w:val="00E57D30"/>
    <w:rsid w:val="00E6150B"/>
    <w:rsid w:val="00E63E57"/>
    <w:rsid w:val="00E63F57"/>
    <w:rsid w:val="00E65741"/>
    <w:rsid w:val="00E67CF5"/>
    <w:rsid w:val="00E7082E"/>
    <w:rsid w:val="00E72523"/>
    <w:rsid w:val="00E7436B"/>
    <w:rsid w:val="00E75DC5"/>
    <w:rsid w:val="00E76666"/>
    <w:rsid w:val="00E767B7"/>
    <w:rsid w:val="00E77308"/>
    <w:rsid w:val="00E8116C"/>
    <w:rsid w:val="00E81A2B"/>
    <w:rsid w:val="00E83D29"/>
    <w:rsid w:val="00E857A9"/>
    <w:rsid w:val="00E873EF"/>
    <w:rsid w:val="00E87AB9"/>
    <w:rsid w:val="00E93296"/>
    <w:rsid w:val="00E936E0"/>
    <w:rsid w:val="00E93D5D"/>
    <w:rsid w:val="00E941A3"/>
    <w:rsid w:val="00E9461C"/>
    <w:rsid w:val="00E949BF"/>
    <w:rsid w:val="00E94C83"/>
    <w:rsid w:val="00EA104D"/>
    <w:rsid w:val="00EA3458"/>
    <w:rsid w:val="00EA3796"/>
    <w:rsid w:val="00EA38C8"/>
    <w:rsid w:val="00EA402F"/>
    <w:rsid w:val="00EA4B47"/>
    <w:rsid w:val="00EA60AF"/>
    <w:rsid w:val="00EB2766"/>
    <w:rsid w:val="00EB2925"/>
    <w:rsid w:val="00EB3BC2"/>
    <w:rsid w:val="00EB4B5E"/>
    <w:rsid w:val="00EB5034"/>
    <w:rsid w:val="00EB5039"/>
    <w:rsid w:val="00EB6B2F"/>
    <w:rsid w:val="00EB7134"/>
    <w:rsid w:val="00EB76FC"/>
    <w:rsid w:val="00EC07CD"/>
    <w:rsid w:val="00EC16D5"/>
    <w:rsid w:val="00EC213C"/>
    <w:rsid w:val="00EC2A77"/>
    <w:rsid w:val="00EC2B67"/>
    <w:rsid w:val="00EC41E5"/>
    <w:rsid w:val="00EC56DD"/>
    <w:rsid w:val="00EC5928"/>
    <w:rsid w:val="00EC766C"/>
    <w:rsid w:val="00EC7B39"/>
    <w:rsid w:val="00EC7CE6"/>
    <w:rsid w:val="00ED0D58"/>
    <w:rsid w:val="00ED0DB8"/>
    <w:rsid w:val="00ED1096"/>
    <w:rsid w:val="00ED1843"/>
    <w:rsid w:val="00ED297C"/>
    <w:rsid w:val="00ED7EEF"/>
    <w:rsid w:val="00EE0956"/>
    <w:rsid w:val="00EE22E2"/>
    <w:rsid w:val="00EE2FF2"/>
    <w:rsid w:val="00EE4191"/>
    <w:rsid w:val="00EE42AD"/>
    <w:rsid w:val="00EE686F"/>
    <w:rsid w:val="00EE6D02"/>
    <w:rsid w:val="00EF0C20"/>
    <w:rsid w:val="00EF268A"/>
    <w:rsid w:val="00EF2A03"/>
    <w:rsid w:val="00EF39EA"/>
    <w:rsid w:val="00EF4195"/>
    <w:rsid w:val="00EF4B19"/>
    <w:rsid w:val="00EF6699"/>
    <w:rsid w:val="00F00690"/>
    <w:rsid w:val="00F0164B"/>
    <w:rsid w:val="00F02B30"/>
    <w:rsid w:val="00F036AC"/>
    <w:rsid w:val="00F045FF"/>
    <w:rsid w:val="00F06CA9"/>
    <w:rsid w:val="00F10434"/>
    <w:rsid w:val="00F11321"/>
    <w:rsid w:val="00F11A57"/>
    <w:rsid w:val="00F14461"/>
    <w:rsid w:val="00F14ED1"/>
    <w:rsid w:val="00F152B6"/>
    <w:rsid w:val="00F15354"/>
    <w:rsid w:val="00F20369"/>
    <w:rsid w:val="00F20630"/>
    <w:rsid w:val="00F21147"/>
    <w:rsid w:val="00F2119D"/>
    <w:rsid w:val="00F22293"/>
    <w:rsid w:val="00F24EE2"/>
    <w:rsid w:val="00F25F66"/>
    <w:rsid w:val="00F26D18"/>
    <w:rsid w:val="00F31BD5"/>
    <w:rsid w:val="00F321D5"/>
    <w:rsid w:val="00F32BB7"/>
    <w:rsid w:val="00F33A1D"/>
    <w:rsid w:val="00F33CB0"/>
    <w:rsid w:val="00F33E1C"/>
    <w:rsid w:val="00F33F06"/>
    <w:rsid w:val="00F40839"/>
    <w:rsid w:val="00F43144"/>
    <w:rsid w:val="00F47EA9"/>
    <w:rsid w:val="00F50110"/>
    <w:rsid w:val="00F530D0"/>
    <w:rsid w:val="00F53E25"/>
    <w:rsid w:val="00F57C35"/>
    <w:rsid w:val="00F63C8E"/>
    <w:rsid w:val="00F6454A"/>
    <w:rsid w:val="00F653FC"/>
    <w:rsid w:val="00F65B08"/>
    <w:rsid w:val="00F66649"/>
    <w:rsid w:val="00F70A3F"/>
    <w:rsid w:val="00F70D1C"/>
    <w:rsid w:val="00F72979"/>
    <w:rsid w:val="00F812ED"/>
    <w:rsid w:val="00F813CB"/>
    <w:rsid w:val="00F81E98"/>
    <w:rsid w:val="00F81FEB"/>
    <w:rsid w:val="00F8220D"/>
    <w:rsid w:val="00F8265B"/>
    <w:rsid w:val="00F8335E"/>
    <w:rsid w:val="00F8523D"/>
    <w:rsid w:val="00F85E45"/>
    <w:rsid w:val="00F87114"/>
    <w:rsid w:val="00F875F6"/>
    <w:rsid w:val="00F91B5F"/>
    <w:rsid w:val="00F9219E"/>
    <w:rsid w:val="00F9235C"/>
    <w:rsid w:val="00F976A3"/>
    <w:rsid w:val="00F97855"/>
    <w:rsid w:val="00FA0F81"/>
    <w:rsid w:val="00FA10B0"/>
    <w:rsid w:val="00FA1765"/>
    <w:rsid w:val="00FA25D2"/>
    <w:rsid w:val="00FA64AB"/>
    <w:rsid w:val="00FB272F"/>
    <w:rsid w:val="00FB3D87"/>
    <w:rsid w:val="00FB54D6"/>
    <w:rsid w:val="00FB6014"/>
    <w:rsid w:val="00FC27CF"/>
    <w:rsid w:val="00FC399F"/>
    <w:rsid w:val="00FC40CD"/>
    <w:rsid w:val="00FC524A"/>
    <w:rsid w:val="00FC74B4"/>
    <w:rsid w:val="00FC75A5"/>
    <w:rsid w:val="00FD0423"/>
    <w:rsid w:val="00FD23D4"/>
    <w:rsid w:val="00FD54C5"/>
    <w:rsid w:val="00FD67FE"/>
    <w:rsid w:val="00FD77C0"/>
    <w:rsid w:val="00FE075B"/>
    <w:rsid w:val="00FE150D"/>
    <w:rsid w:val="00FE5E93"/>
    <w:rsid w:val="00FE644C"/>
    <w:rsid w:val="00FE6F1F"/>
    <w:rsid w:val="00FF03B0"/>
    <w:rsid w:val="00FF207D"/>
    <w:rsid w:val="00FF28BC"/>
    <w:rsid w:val="00FF301E"/>
    <w:rsid w:val="00FF321C"/>
    <w:rsid w:val="00FF4998"/>
    <w:rsid w:val="00FF59A4"/>
    <w:rsid w:val="00FF5DFC"/>
    <w:rsid w:val="00FF5FB2"/>
    <w:rsid w:val="01186B66"/>
    <w:rsid w:val="014E5781"/>
    <w:rsid w:val="019B6FA8"/>
    <w:rsid w:val="01BB5180"/>
    <w:rsid w:val="01C103F8"/>
    <w:rsid w:val="01FA07B0"/>
    <w:rsid w:val="02231556"/>
    <w:rsid w:val="02313F2A"/>
    <w:rsid w:val="0275404D"/>
    <w:rsid w:val="02865CCB"/>
    <w:rsid w:val="029B2508"/>
    <w:rsid w:val="02E01568"/>
    <w:rsid w:val="03046375"/>
    <w:rsid w:val="03700089"/>
    <w:rsid w:val="03CF5D5C"/>
    <w:rsid w:val="03DB2498"/>
    <w:rsid w:val="041C5514"/>
    <w:rsid w:val="0429205A"/>
    <w:rsid w:val="043625FE"/>
    <w:rsid w:val="045F2F2F"/>
    <w:rsid w:val="04733514"/>
    <w:rsid w:val="04924634"/>
    <w:rsid w:val="04A2167D"/>
    <w:rsid w:val="04AA764B"/>
    <w:rsid w:val="04E935C6"/>
    <w:rsid w:val="055968D9"/>
    <w:rsid w:val="05706921"/>
    <w:rsid w:val="05846550"/>
    <w:rsid w:val="05CA327E"/>
    <w:rsid w:val="05DA7960"/>
    <w:rsid w:val="06774985"/>
    <w:rsid w:val="069E11BE"/>
    <w:rsid w:val="06BF1F63"/>
    <w:rsid w:val="06E239EF"/>
    <w:rsid w:val="06EF4B87"/>
    <w:rsid w:val="07291206"/>
    <w:rsid w:val="073923B4"/>
    <w:rsid w:val="073C47BA"/>
    <w:rsid w:val="07C0082E"/>
    <w:rsid w:val="07C3125D"/>
    <w:rsid w:val="07CA44D6"/>
    <w:rsid w:val="07CF7EA2"/>
    <w:rsid w:val="07D81DD9"/>
    <w:rsid w:val="07E00638"/>
    <w:rsid w:val="07F551F5"/>
    <w:rsid w:val="08370E8F"/>
    <w:rsid w:val="084556CF"/>
    <w:rsid w:val="08A9717D"/>
    <w:rsid w:val="08DD4CB6"/>
    <w:rsid w:val="08E34101"/>
    <w:rsid w:val="092335EB"/>
    <w:rsid w:val="092B4F51"/>
    <w:rsid w:val="096E46D5"/>
    <w:rsid w:val="097D29DA"/>
    <w:rsid w:val="098F4396"/>
    <w:rsid w:val="09934557"/>
    <w:rsid w:val="0A5E71AF"/>
    <w:rsid w:val="0A6B261E"/>
    <w:rsid w:val="0AB51F5E"/>
    <w:rsid w:val="0AE32174"/>
    <w:rsid w:val="0AED2B4D"/>
    <w:rsid w:val="0B433477"/>
    <w:rsid w:val="0B514F31"/>
    <w:rsid w:val="0B8278DF"/>
    <w:rsid w:val="0BAD4EA6"/>
    <w:rsid w:val="0BD20695"/>
    <w:rsid w:val="0C8F7597"/>
    <w:rsid w:val="0CC35432"/>
    <w:rsid w:val="0CF6223E"/>
    <w:rsid w:val="0D1348B8"/>
    <w:rsid w:val="0D4B1615"/>
    <w:rsid w:val="0D55787D"/>
    <w:rsid w:val="0D762D89"/>
    <w:rsid w:val="0DBF4CE3"/>
    <w:rsid w:val="0E174BA7"/>
    <w:rsid w:val="0E491E5D"/>
    <w:rsid w:val="0EFF256E"/>
    <w:rsid w:val="0F0D25C9"/>
    <w:rsid w:val="0F2910C0"/>
    <w:rsid w:val="0FA135A1"/>
    <w:rsid w:val="0FEF3A91"/>
    <w:rsid w:val="10032189"/>
    <w:rsid w:val="104657AB"/>
    <w:rsid w:val="1073306D"/>
    <w:rsid w:val="1077029D"/>
    <w:rsid w:val="10C46FC7"/>
    <w:rsid w:val="10ED777A"/>
    <w:rsid w:val="10F03FA8"/>
    <w:rsid w:val="11413E7B"/>
    <w:rsid w:val="114C321C"/>
    <w:rsid w:val="11551DB0"/>
    <w:rsid w:val="11607970"/>
    <w:rsid w:val="11776175"/>
    <w:rsid w:val="11DA7D9A"/>
    <w:rsid w:val="121C1A71"/>
    <w:rsid w:val="12640C27"/>
    <w:rsid w:val="1294794D"/>
    <w:rsid w:val="12966AF3"/>
    <w:rsid w:val="12A124B6"/>
    <w:rsid w:val="12B954F2"/>
    <w:rsid w:val="12FE0FC0"/>
    <w:rsid w:val="12FE519E"/>
    <w:rsid w:val="131E56C0"/>
    <w:rsid w:val="1335146C"/>
    <w:rsid w:val="143C3D3B"/>
    <w:rsid w:val="146C4654"/>
    <w:rsid w:val="15162C30"/>
    <w:rsid w:val="153C6916"/>
    <w:rsid w:val="15702B4E"/>
    <w:rsid w:val="15944F85"/>
    <w:rsid w:val="15C37959"/>
    <w:rsid w:val="16A82188"/>
    <w:rsid w:val="16E858FC"/>
    <w:rsid w:val="16FB6522"/>
    <w:rsid w:val="17323BCF"/>
    <w:rsid w:val="175E174E"/>
    <w:rsid w:val="178E5E27"/>
    <w:rsid w:val="17C4317A"/>
    <w:rsid w:val="180C188B"/>
    <w:rsid w:val="1812648F"/>
    <w:rsid w:val="18622C45"/>
    <w:rsid w:val="18890248"/>
    <w:rsid w:val="18DF5F25"/>
    <w:rsid w:val="18EA1D61"/>
    <w:rsid w:val="190F396D"/>
    <w:rsid w:val="191E46DC"/>
    <w:rsid w:val="1934514E"/>
    <w:rsid w:val="196D749E"/>
    <w:rsid w:val="19857979"/>
    <w:rsid w:val="199A349F"/>
    <w:rsid w:val="199C6440"/>
    <w:rsid w:val="19AC5014"/>
    <w:rsid w:val="19C80C5B"/>
    <w:rsid w:val="19D92B69"/>
    <w:rsid w:val="19EC6237"/>
    <w:rsid w:val="1A681199"/>
    <w:rsid w:val="1AB167CC"/>
    <w:rsid w:val="1ADF1A19"/>
    <w:rsid w:val="1B534665"/>
    <w:rsid w:val="1B684B17"/>
    <w:rsid w:val="1BEC3E7A"/>
    <w:rsid w:val="1C000C8E"/>
    <w:rsid w:val="1C0E7896"/>
    <w:rsid w:val="1C1076DE"/>
    <w:rsid w:val="1C4C269E"/>
    <w:rsid w:val="1C761A98"/>
    <w:rsid w:val="1C8403CB"/>
    <w:rsid w:val="1C9A5CFD"/>
    <w:rsid w:val="1D2F40BA"/>
    <w:rsid w:val="1D7B5175"/>
    <w:rsid w:val="1DC01261"/>
    <w:rsid w:val="1DC45E9A"/>
    <w:rsid w:val="1E0F5267"/>
    <w:rsid w:val="1E154927"/>
    <w:rsid w:val="1E9654AF"/>
    <w:rsid w:val="1E9A0AF3"/>
    <w:rsid w:val="1EFC3FD6"/>
    <w:rsid w:val="1F306E32"/>
    <w:rsid w:val="20075BF3"/>
    <w:rsid w:val="20426910"/>
    <w:rsid w:val="205677C5"/>
    <w:rsid w:val="20EC2DA8"/>
    <w:rsid w:val="210E7827"/>
    <w:rsid w:val="21393E6A"/>
    <w:rsid w:val="2168444E"/>
    <w:rsid w:val="22012B7C"/>
    <w:rsid w:val="220B144C"/>
    <w:rsid w:val="222804E0"/>
    <w:rsid w:val="227E4289"/>
    <w:rsid w:val="22A33518"/>
    <w:rsid w:val="22C26C24"/>
    <w:rsid w:val="22CE2D0F"/>
    <w:rsid w:val="22F10A77"/>
    <w:rsid w:val="2314403B"/>
    <w:rsid w:val="23327BB2"/>
    <w:rsid w:val="23872EDF"/>
    <w:rsid w:val="23AB3DF5"/>
    <w:rsid w:val="23B12939"/>
    <w:rsid w:val="23E359D2"/>
    <w:rsid w:val="23EF6A65"/>
    <w:rsid w:val="23F36DD6"/>
    <w:rsid w:val="24D25AC6"/>
    <w:rsid w:val="24F54FAD"/>
    <w:rsid w:val="250C1CDD"/>
    <w:rsid w:val="251116B1"/>
    <w:rsid w:val="251C1489"/>
    <w:rsid w:val="252C7720"/>
    <w:rsid w:val="25421B0C"/>
    <w:rsid w:val="25786F5B"/>
    <w:rsid w:val="259524DA"/>
    <w:rsid w:val="259C79F3"/>
    <w:rsid w:val="25A651A9"/>
    <w:rsid w:val="25C835CF"/>
    <w:rsid w:val="262C55EE"/>
    <w:rsid w:val="2666350C"/>
    <w:rsid w:val="266F38DE"/>
    <w:rsid w:val="26871406"/>
    <w:rsid w:val="26A967F0"/>
    <w:rsid w:val="276E4F09"/>
    <w:rsid w:val="277B7B66"/>
    <w:rsid w:val="27A34CED"/>
    <w:rsid w:val="27A75B21"/>
    <w:rsid w:val="27BF7063"/>
    <w:rsid w:val="288F6F25"/>
    <w:rsid w:val="28C3168F"/>
    <w:rsid w:val="28EC6CD8"/>
    <w:rsid w:val="28FA09F6"/>
    <w:rsid w:val="292146E1"/>
    <w:rsid w:val="29A37A01"/>
    <w:rsid w:val="29B13A13"/>
    <w:rsid w:val="29DF21B0"/>
    <w:rsid w:val="29E57EBF"/>
    <w:rsid w:val="2A575538"/>
    <w:rsid w:val="2A610A4B"/>
    <w:rsid w:val="2A633308"/>
    <w:rsid w:val="2A987773"/>
    <w:rsid w:val="2A9F1722"/>
    <w:rsid w:val="2AF1429C"/>
    <w:rsid w:val="2BC714CB"/>
    <w:rsid w:val="2C247C7C"/>
    <w:rsid w:val="2C470A2A"/>
    <w:rsid w:val="2C5043FD"/>
    <w:rsid w:val="2C5134AF"/>
    <w:rsid w:val="2C865673"/>
    <w:rsid w:val="2D203581"/>
    <w:rsid w:val="2D355FA7"/>
    <w:rsid w:val="2D643327"/>
    <w:rsid w:val="2D82209B"/>
    <w:rsid w:val="2D8861A8"/>
    <w:rsid w:val="2E3E78ED"/>
    <w:rsid w:val="2E6D4479"/>
    <w:rsid w:val="2ECA3698"/>
    <w:rsid w:val="2F070570"/>
    <w:rsid w:val="2F4859CC"/>
    <w:rsid w:val="2FA92733"/>
    <w:rsid w:val="2FF5479D"/>
    <w:rsid w:val="30164626"/>
    <w:rsid w:val="309019B5"/>
    <w:rsid w:val="30A86ECC"/>
    <w:rsid w:val="31245E6F"/>
    <w:rsid w:val="320F23C2"/>
    <w:rsid w:val="32594630"/>
    <w:rsid w:val="32A83749"/>
    <w:rsid w:val="32DB717D"/>
    <w:rsid w:val="33296423"/>
    <w:rsid w:val="3352679E"/>
    <w:rsid w:val="337B1F07"/>
    <w:rsid w:val="33C164FA"/>
    <w:rsid w:val="33EC718C"/>
    <w:rsid w:val="33F569AA"/>
    <w:rsid w:val="34036C9A"/>
    <w:rsid w:val="343E22E2"/>
    <w:rsid w:val="349D2033"/>
    <w:rsid w:val="34AB4F22"/>
    <w:rsid w:val="34AD0603"/>
    <w:rsid w:val="35052218"/>
    <w:rsid w:val="35AF2F3A"/>
    <w:rsid w:val="35C94004"/>
    <w:rsid w:val="35F05870"/>
    <w:rsid w:val="361C77CB"/>
    <w:rsid w:val="36203A46"/>
    <w:rsid w:val="3640288A"/>
    <w:rsid w:val="36E17279"/>
    <w:rsid w:val="3713763E"/>
    <w:rsid w:val="372A204B"/>
    <w:rsid w:val="37EB36C4"/>
    <w:rsid w:val="380B1AC9"/>
    <w:rsid w:val="38240AC5"/>
    <w:rsid w:val="382563C7"/>
    <w:rsid w:val="3832671F"/>
    <w:rsid w:val="3838185E"/>
    <w:rsid w:val="384A0F7C"/>
    <w:rsid w:val="388A0841"/>
    <w:rsid w:val="389F1247"/>
    <w:rsid w:val="38B10BC3"/>
    <w:rsid w:val="38E33B21"/>
    <w:rsid w:val="390A2C48"/>
    <w:rsid w:val="392213F1"/>
    <w:rsid w:val="395077F0"/>
    <w:rsid w:val="397200C0"/>
    <w:rsid w:val="3977253A"/>
    <w:rsid w:val="397F146D"/>
    <w:rsid w:val="3994237E"/>
    <w:rsid w:val="39A41479"/>
    <w:rsid w:val="39CA6372"/>
    <w:rsid w:val="39D42F61"/>
    <w:rsid w:val="39F52BBB"/>
    <w:rsid w:val="3A1566B1"/>
    <w:rsid w:val="3A25387D"/>
    <w:rsid w:val="3A904555"/>
    <w:rsid w:val="3A936424"/>
    <w:rsid w:val="3AA5567A"/>
    <w:rsid w:val="3AB17F39"/>
    <w:rsid w:val="3AE825EA"/>
    <w:rsid w:val="3B0875A8"/>
    <w:rsid w:val="3B426652"/>
    <w:rsid w:val="3B8A1AFA"/>
    <w:rsid w:val="3BDB4034"/>
    <w:rsid w:val="3C270C6E"/>
    <w:rsid w:val="3CE609A9"/>
    <w:rsid w:val="3CF94FF9"/>
    <w:rsid w:val="3D3C14BA"/>
    <w:rsid w:val="3D622DCF"/>
    <w:rsid w:val="3D651B10"/>
    <w:rsid w:val="3DE4134A"/>
    <w:rsid w:val="3DFF76B9"/>
    <w:rsid w:val="3E130551"/>
    <w:rsid w:val="3E1D3A7C"/>
    <w:rsid w:val="3EAE71F2"/>
    <w:rsid w:val="3EB63546"/>
    <w:rsid w:val="3EBF1C19"/>
    <w:rsid w:val="3EF268B1"/>
    <w:rsid w:val="3F031E9D"/>
    <w:rsid w:val="3F2F49DC"/>
    <w:rsid w:val="3F3C090C"/>
    <w:rsid w:val="3F442945"/>
    <w:rsid w:val="3F7E27E2"/>
    <w:rsid w:val="3F9F6207"/>
    <w:rsid w:val="3FE96941"/>
    <w:rsid w:val="3FF81320"/>
    <w:rsid w:val="40200E8D"/>
    <w:rsid w:val="40210A98"/>
    <w:rsid w:val="4063109C"/>
    <w:rsid w:val="406E430C"/>
    <w:rsid w:val="4094020B"/>
    <w:rsid w:val="40A55546"/>
    <w:rsid w:val="41295026"/>
    <w:rsid w:val="41685545"/>
    <w:rsid w:val="41830E20"/>
    <w:rsid w:val="41A2496E"/>
    <w:rsid w:val="41DD49A0"/>
    <w:rsid w:val="420F4C19"/>
    <w:rsid w:val="42DA5A81"/>
    <w:rsid w:val="42E40AD2"/>
    <w:rsid w:val="43C474DF"/>
    <w:rsid w:val="43EB0BC6"/>
    <w:rsid w:val="445D346B"/>
    <w:rsid w:val="449378AD"/>
    <w:rsid w:val="44A344A3"/>
    <w:rsid w:val="44FB2E63"/>
    <w:rsid w:val="451E605E"/>
    <w:rsid w:val="45A31E69"/>
    <w:rsid w:val="461D64BE"/>
    <w:rsid w:val="467C599A"/>
    <w:rsid w:val="47083695"/>
    <w:rsid w:val="4760077B"/>
    <w:rsid w:val="476F2295"/>
    <w:rsid w:val="479445B2"/>
    <w:rsid w:val="47A23A66"/>
    <w:rsid w:val="47A44642"/>
    <w:rsid w:val="47DB2A2D"/>
    <w:rsid w:val="47FE67F6"/>
    <w:rsid w:val="48EA48AC"/>
    <w:rsid w:val="49030118"/>
    <w:rsid w:val="4917106F"/>
    <w:rsid w:val="498C15B9"/>
    <w:rsid w:val="499C1EB2"/>
    <w:rsid w:val="49AA3180"/>
    <w:rsid w:val="4A123A9E"/>
    <w:rsid w:val="4A1914E6"/>
    <w:rsid w:val="4A2C2C73"/>
    <w:rsid w:val="4A347A18"/>
    <w:rsid w:val="4A7C087B"/>
    <w:rsid w:val="4AA45BE1"/>
    <w:rsid w:val="4AA65B3B"/>
    <w:rsid w:val="4AE37101"/>
    <w:rsid w:val="4AFC74DF"/>
    <w:rsid w:val="4B833213"/>
    <w:rsid w:val="4BB6393F"/>
    <w:rsid w:val="4BF503F4"/>
    <w:rsid w:val="4C377209"/>
    <w:rsid w:val="4C3C1AA8"/>
    <w:rsid w:val="4C8463EE"/>
    <w:rsid w:val="4C953EF3"/>
    <w:rsid w:val="4CC06BFB"/>
    <w:rsid w:val="4D4F113F"/>
    <w:rsid w:val="4DA14C8D"/>
    <w:rsid w:val="4DDA1A4C"/>
    <w:rsid w:val="4DE87042"/>
    <w:rsid w:val="4E1A5C09"/>
    <w:rsid w:val="4E2F2359"/>
    <w:rsid w:val="4E3F759C"/>
    <w:rsid w:val="4E431849"/>
    <w:rsid w:val="4EBB5959"/>
    <w:rsid w:val="4EF14F49"/>
    <w:rsid w:val="4EF6050D"/>
    <w:rsid w:val="4F1A59BF"/>
    <w:rsid w:val="50123891"/>
    <w:rsid w:val="502A4A4C"/>
    <w:rsid w:val="507A0ADC"/>
    <w:rsid w:val="50BE404A"/>
    <w:rsid w:val="50D83106"/>
    <w:rsid w:val="51652482"/>
    <w:rsid w:val="51884B5E"/>
    <w:rsid w:val="518D3779"/>
    <w:rsid w:val="51D050D1"/>
    <w:rsid w:val="51D7211E"/>
    <w:rsid w:val="520B3B8F"/>
    <w:rsid w:val="52505661"/>
    <w:rsid w:val="5257610A"/>
    <w:rsid w:val="526E5CB5"/>
    <w:rsid w:val="53157900"/>
    <w:rsid w:val="53865274"/>
    <w:rsid w:val="54272FB7"/>
    <w:rsid w:val="542E1C7D"/>
    <w:rsid w:val="54683D67"/>
    <w:rsid w:val="54A21BB2"/>
    <w:rsid w:val="54A32459"/>
    <w:rsid w:val="54C254CA"/>
    <w:rsid w:val="54FB0113"/>
    <w:rsid w:val="54FC1185"/>
    <w:rsid w:val="55591489"/>
    <w:rsid w:val="5592352A"/>
    <w:rsid w:val="55B95A64"/>
    <w:rsid w:val="55DD2479"/>
    <w:rsid w:val="55FF5737"/>
    <w:rsid w:val="56022458"/>
    <w:rsid w:val="561D267A"/>
    <w:rsid w:val="56400CAD"/>
    <w:rsid w:val="56A0397E"/>
    <w:rsid w:val="56CC7D61"/>
    <w:rsid w:val="575710A5"/>
    <w:rsid w:val="57D74231"/>
    <w:rsid w:val="57F7496D"/>
    <w:rsid w:val="58144CE6"/>
    <w:rsid w:val="585B0093"/>
    <w:rsid w:val="586E3918"/>
    <w:rsid w:val="58D858C7"/>
    <w:rsid w:val="59186B24"/>
    <w:rsid w:val="592C2178"/>
    <w:rsid w:val="593E3AF5"/>
    <w:rsid w:val="5980115E"/>
    <w:rsid w:val="59B40DDE"/>
    <w:rsid w:val="5A764AEA"/>
    <w:rsid w:val="5A7C6794"/>
    <w:rsid w:val="5ACF0B14"/>
    <w:rsid w:val="5AD97D44"/>
    <w:rsid w:val="5AFE2B3E"/>
    <w:rsid w:val="5B22024B"/>
    <w:rsid w:val="5B835103"/>
    <w:rsid w:val="5BAF2355"/>
    <w:rsid w:val="5BF60B78"/>
    <w:rsid w:val="5C0A3D46"/>
    <w:rsid w:val="5C1668CF"/>
    <w:rsid w:val="5C2448DF"/>
    <w:rsid w:val="5C281A1F"/>
    <w:rsid w:val="5C3259AF"/>
    <w:rsid w:val="5C7E749C"/>
    <w:rsid w:val="5C800C68"/>
    <w:rsid w:val="5C8671F7"/>
    <w:rsid w:val="5CEC08E8"/>
    <w:rsid w:val="5D05202B"/>
    <w:rsid w:val="5D6947DB"/>
    <w:rsid w:val="5DB27F4B"/>
    <w:rsid w:val="5E052F60"/>
    <w:rsid w:val="5E145B26"/>
    <w:rsid w:val="5E484D06"/>
    <w:rsid w:val="5E62130F"/>
    <w:rsid w:val="5E995CB6"/>
    <w:rsid w:val="5EBD054E"/>
    <w:rsid w:val="5EFA51DB"/>
    <w:rsid w:val="5F4B0427"/>
    <w:rsid w:val="5F4B4928"/>
    <w:rsid w:val="5F6D1766"/>
    <w:rsid w:val="5FA06C93"/>
    <w:rsid w:val="602E4FFB"/>
    <w:rsid w:val="60787DEF"/>
    <w:rsid w:val="60B97D7B"/>
    <w:rsid w:val="60C471C8"/>
    <w:rsid w:val="60CC20E8"/>
    <w:rsid w:val="60E450C8"/>
    <w:rsid w:val="60F0127D"/>
    <w:rsid w:val="610229C7"/>
    <w:rsid w:val="61575DB9"/>
    <w:rsid w:val="615D62A4"/>
    <w:rsid w:val="615F434F"/>
    <w:rsid w:val="61A9603A"/>
    <w:rsid w:val="61DE7C20"/>
    <w:rsid w:val="62282029"/>
    <w:rsid w:val="622B7960"/>
    <w:rsid w:val="624D13D2"/>
    <w:rsid w:val="628730BC"/>
    <w:rsid w:val="62952C26"/>
    <w:rsid w:val="62E03330"/>
    <w:rsid w:val="63661CC6"/>
    <w:rsid w:val="639844F4"/>
    <w:rsid w:val="640C4D66"/>
    <w:rsid w:val="643D6AEA"/>
    <w:rsid w:val="644704AA"/>
    <w:rsid w:val="64512008"/>
    <w:rsid w:val="647F4E68"/>
    <w:rsid w:val="64836A7E"/>
    <w:rsid w:val="64F37D8E"/>
    <w:rsid w:val="65177A81"/>
    <w:rsid w:val="651D7D2C"/>
    <w:rsid w:val="65344221"/>
    <w:rsid w:val="65593354"/>
    <w:rsid w:val="65710185"/>
    <w:rsid w:val="658C1862"/>
    <w:rsid w:val="65C014DD"/>
    <w:rsid w:val="66334E81"/>
    <w:rsid w:val="66693D7A"/>
    <w:rsid w:val="66932504"/>
    <w:rsid w:val="66AB2CB8"/>
    <w:rsid w:val="66C53576"/>
    <w:rsid w:val="66EF434C"/>
    <w:rsid w:val="67085112"/>
    <w:rsid w:val="6716631D"/>
    <w:rsid w:val="6727355B"/>
    <w:rsid w:val="677B7505"/>
    <w:rsid w:val="685C47F3"/>
    <w:rsid w:val="688C494F"/>
    <w:rsid w:val="68B26A44"/>
    <w:rsid w:val="68B34444"/>
    <w:rsid w:val="68E52730"/>
    <w:rsid w:val="69013A3D"/>
    <w:rsid w:val="69031495"/>
    <w:rsid w:val="697D10D3"/>
    <w:rsid w:val="69882C1F"/>
    <w:rsid w:val="6A2D4E91"/>
    <w:rsid w:val="6A3645BE"/>
    <w:rsid w:val="6A9937FB"/>
    <w:rsid w:val="6A9959FE"/>
    <w:rsid w:val="6B0E6819"/>
    <w:rsid w:val="6B546F7E"/>
    <w:rsid w:val="6B600CFC"/>
    <w:rsid w:val="6B815528"/>
    <w:rsid w:val="6BC25B93"/>
    <w:rsid w:val="6BD85097"/>
    <w:rsid w:val="6C2F2D0A"/>
    <w:rsid w:val="6C913258"/>
    <w:rsid w:val="6CE14C19"/>
    <w:rsid w:val="6D7B5101"/>
    <w:rsid w:val="6E5F749D"/>
    <w:rsid w:val="6E9D4317"/>
    <w:rsid w:val="6EA43E65"/>
    <w:rsid w:val="6ED215D0"/>
    <w:rsid w:val="6EF233A8"/>
    <w:rsid w:val="6EF469CB"/>
    <w:rsid w:val="6F11121C"/>
    <w:rsid w:val="6F446672"/>
    <w:rsid w:val="6F4B5643"/>
    <w:rsid w:val="6F804137"/>
    <w:rsid w:val="6F8D629E"/>
    <w:rsid w:val="70101720"/>
    <w:rsid w:val="70281C68"/>
    <w:rsid w:val="703377EA"/>
    <w:rsid w:val="70B10776"/>
    <w:rsid w:val="71286C42"/>
    <w:rsid w:val="72253032"/>
    <w:rsid w:val="72645099"/>
    <w:rsid w:val="726D1F0A"/>
    <w:rsid w:val="73BD7D1D"/>
    <w:rsid w:val="74741F55"/>
    <w:rsid w:val="74816CD1"/>
    <w:rsid w:val="74D4090E"/>
    <w:rsid w:val="7514080C"/>
    <w:rsid w:val="751C1E37"/>
    <w:rsid w:val="75325822"/>
    <w:rsid w:val="754001E3"/>
    <w:rsid w:val="757310D2"/>
    <w:rsid w:val="75A03CD1"/>
    <w:rsid w:val="75A7741F"/>
    <w:rsid w:val="75D97917"/>
    <w:rsid w:val="76134F53"/>
    <w:rsid w:val="76515436"/>
    <w:rsid w:val="76850C11"/>
    <w:rsid w:val="769E1EB6"/>
    <w:rsid w:val="76D95C71"/>
    <w:rsid w:val="77074DCA"/>
    <w:rsid w:val="772A2634"/>
    <w:rsid w:val="77883EA5"/>
    <w:rsid w:val="77BE4B43"/>
    <w:rsid w:val="7906300B"/>
    <w:rsid w:val="790F01DA"/>
    <w:rsid w:val="796B05A5"/>
    <w:rsid w:val="79775F17"/>
    <w:rsid w:val="79A43FE1"/>
    <w:rsid w:val="79B57CC2"/>
    <w:rsid w:val="79EC655B"/>
    <w:rsid w:val="79F70A30"/>
    <w:rsid w:val="79FF2965"/>
    <w:rsid w:val="7A3913E2"/>
    <w:rsid w:val="7A721D3D"/>
    <w:rsid w:val="7ADD7225"/>
    <w:rsid w:val="7B0E5AAD"/>
    <w:rsid w:val="7B5F7FD9"/>
    <w:rsid w:val="7B9D24D3"/>
    <w:rsid w:val="7B9F5675"/>
    <w:rsid w:val="7BCC03DD"/>
    <w:rsid w:val="7BD132F1"/>
    <w:rsid w:val="7C2F6A6C"/>
    <w:rsid w:val="7C677BE9"/>
    <w:rsid w:val="7C81697F"/>
    <w:rsid w:val="7C883222"/>
    <w:rsid w:val="7D170593"/>
    <w:rsid w:val="7D4F5F80"/>
    <w:rsid w:val="7D5354FA"/>
    <w:rsid w:val="7E7D31F2"/>
    <w:rsid w:val="7EAD764E"/>
    <w:rsid w:val="7EB47327"/>
    <w:rsid w:val="7EB57BDC"/>
    <w:rsid w:val="7ECB089F"/>
    <w:rsid w:val="7F0511FB"/>
    <w:rsid w:val="7F3029A3"/>
    <w:rsid w:val="7F3A1A28"/>
    <w:rsid w:val="7FE55D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kern w:val="2"/>
      <w:sz w:val="21"/>
      <w:szCs w:val="24"/>
      <w:lang w:val="en-US" w:eastAsia="zh-CN" w:bidi="ar-SA"/>
    </w:rPr>
  </w:style>
  <w:style w:type="paragraph" w:styleId="4">
    <w:name w:val="heading 1"/>
    <w:basedOn w:val="1"/>
    <w:next w:val="1"/>
    <w:link w:val="189"/>
    <w:qFormat/>
    <w:uiPriority w:val="0"/>
    <w:pPr>
      <w:keepNext/>
      <w:widowControl/>
      <w:spacing w:line="360" w:lineRule="auto"/>
      <w:jc w:val="center"/>
      <w:outlineLvl w:val="0"/>
    </w:pPr>
    <w:rPr>
      <w:rFonts w:ascii="??" w:hAnsi="??" w:eastAsia="??" w:cs="宋体"/>
      <w:b/>
      <w:kern w:val="36"/>
      <w:sz w:val="32"/>
      <w:szCs w:val="28"/>
    </w:rPr>
  </w:style>
  <w:style w:type="paragraph" w:styleId="5">
    <w:name w:val="heading 2"/>
    <w:basedOn w:val="1"/>
    <w:next w:val="1"/>
    <w:link w:val="181"/>
    <w:qFormat/>
    <w:uiPriority w:val="0"/>
    <w:pPr>
      <w:keepNext/>
      <w:keepLines/>
      <w:numPr>
        <w:ilvl w:val="0"/>
        <w:numId w:val="1"/>
      </w:numPr>
      <w:tabs>
        <w:tab w:val="left" w:pos="706"/>
        <w:tab w:val="clear" w:pos="1110"/>
      </w:tabs>
      <w:spacing w:line="360" w:lineRule="auto"/>
      <w:outlineLvl w:val="1"/>
    </w:pPr>
    <w:rPr>
      <w:rFonts w:ascii="Arial" w:hAnsi="Arial" w:eastAsia="??" w:cs="Arial"/>
      <w:b/>
      <w:bCs/>
      <w:szCs w:val="32"/>
    </w:rPr>
  </w:style>
  <w:style w:type="paragraph" w:styleId="6">
    <w:name w:val="heading 3"/>
    <w:basedOn w:val="1"/>
    <w:next w:val="1"/>
    <w:link w:val="159"/>
    <w:qFormat/>
    <w:uiPriority w:val="0"/>
    <w:pPr>
      <w:keepNext/>
      <w:keepLines/>
      <w:widowControl/>
      <w:numPr>
        <w:ilvl w:val="2"/>
        <w:numId w:val="2"/>
      </w:numPr>
      <w:spacing w:before="120" w:after="120" w:line="360" w:lineRule="auto"/>
      <w:jc w:val="center"/>
      <w:outlineLvl w:val="2"/>
    </w:pPr>
    <w:rPr>
      <w:rFonts w:ascii="Calibri" w:hAnsi="Calibri" w:eastAsia="??"/>
      <w:b/>
      <w:kern w:val="0"/>
      <w:sz w:val="32"/>
      <w:szCs w:val="28"/>
    </w:rPr>
  </w:style>
  <w:style w:type="paragraph" w:styleId="7">
    <w:name w:val="heading 4"/>
    <w:basedOn w:val="1"/>
    <w:next w:val="1"/>
    <w:link w:val="128"/>
    <w:qFormat/>
    <w:uiPriority w:val="0"/>
    <w:pPr>
      <w:keepNext/>
      <w:keepLines/>
      <w:spacing w:before="280" w:after="290" w:line="376" w:lineRule="auto"/>
      <w:outlineLvl w:val="3"/>
    </w:pPr>
    <w:rPr>
      <w:rFonts w:ascii="Arial" w:hAnsi="Arial" w:eastAsia="??" w:cs="Arial"/>
      <w:b/>
      <w:bCs/>
      <w:sz w:val="28"/>
      <w:szCs w:val="28"/>
    </w:rPr>
  </w:style>
  <w:style w:type="paragraph" w:styleId="8">
    <w:name w:val="heading 5"/>
    <w:basedOn w:val="1"/>
    <w:next w:val="1"/>
    <w:link w:val="126"/>
    <w:qFormat/>
    <w:uiPriority w:val="0"/>
    <w:pPr>
      <w:keepNext/>
      <w:keepLines/>
      <w:spacing w:before="280" w:after="290" w:line="376" w:lineRule="auto"/>
      <w:outlineLvl w:val="4"/>
    </w:pPr>
    <w:rPr>
      <w:rFonts w:ascii="Calibri" w:hAnsi="Calibri" w:eastAsia="??"/>
      <w:b/>
      <w:bCs/>
      <w:sz w:val="28"/>
      <w:szCs w:val="28"/>
    </w:rPr>
  </w:style>
  <w:style w:type="paragraph" w:styleId="9">
    <w:name w:val="heading 6"/>
    <w:basedOn w:val="8"/>
    <w:next w:val="1"/>
    <w:link w:val="184"/>
    <w:qFormat/>
    <w:uiPriority w:val="0"/>
    <w:pPr>
      <w:keepNext/>
      <w:keepLines/>
      <w:widowControl/>
      <w:numPr>
        <w:ilvl w:val="5"/>
        <w:numId w:val="2"/>
      </w:numPr>
      <w:spacing w:before="240" w:after="64" w:line="319" w:lineRule="auto"/>
      <w:jc w:val="left"/>
      <w:outlineLvl w:val="5"/>
    </w:pPr>
    <w:rPr>
      <w:rFonts w:ascii="Arial" w:hAnsi="Arial" w:cs="Arial"/>
      <w:kern w:val="0"/>
      <w:sz w:val="24"/>
    </w:rPr>
  </w:style>
  <w:style w:type="paragraph" w:styleId="10">
    <w:name w:val="heading 7"/>
    <w:basedOn w:val="1"/>
    <w:next w:val="1"/>
    <w:link w:val="130"/>
    <w:qFormat/>
    <w:uiPriority w:val="0"/>
    <w:pPr>
      <w:keepNext/>
      <w:keepLines/>
      <w:widowControl/>
      <w:numPr>
        <w:ilvl w:val="6"/>
        <w:numId w:val="2"/>
      </w:numPr>
      <w:spacing w:before="240" w:after="64" w:line="319" w:lineRule="auto"/>
      <w:jc w:val="left"/>
      <w:outlineLvl w:val="6"/>
    </w:pPr>
    <w:rPr>
      <w:rFonts w:ascii="Calibri" w:hAnsi="Calibri" w:eastAsia="??"/>
      <w:b/>
      <w:bCs/>
      <w:kern w:val="0"/>
      <w:sz w:val="24"/>
      <w:szCs w:val="28"/>
    </w:rPr>
  </w:style>
  <w:style w:type="paragraph" w:styleId="11">
    <w:name w:val="heading 8"/>
    <w:basedOn w:val="1"/>
    <w:next w:val="1"/>
    <w:link w:val="125"/>
    <w:qFormat/>
    <w:uiPriority w:val="0"/>
    <w:pPr>
      <w:keepNext/>
      <w:keepLines/>
      <w:widowControl/>
      <w:numPr>
        <w:ilvl w:val="7"/>
        <w:numId w:val="2"/>
      </w:numPr>
      <w:spacing w:before="240" w:after="64" w:line="319" w:lineRule="auto"/>
      <w:jc w:val="left"/>
      <w:outlineLvl w:val="7"/>
    </w:pPr>
    <w:rPr>
      <w:rFonts w:ascii="Arial" w:hAnsi="Arial" w:eastAsia="??" w:cs="Arial"/>
      <w:kern w:val="0"/>
      <w:sz w:val="24"/>
      <w:szCs w:val="28"/>
    </w:rPr>
  </w:style>
  <w:style w:type="paragraph" w:styleId="12">
    <w:name w:val="heading 9"/>
    <w:basedOn w:val="1"/>
    <w:next w:val="1"/>
    <w:link w:val="122"/>
    <w:qFormat/>
    <w:uiPriority w:val="0"/>
    <w:pPr>
      <w:keepNext/>
      <w:keepLines/>
      <w:widowControl/>
      <w:numPr>
        <w:ilvl w:val="8"/>
        <w:numId w:val="2"/>
      </w:numPr>
      <w:spacing w:before="240" w:after="64" w:line="319" w:lineRule="auto"/>
      <w:jc w:val="left"/>
      <w:outlineLvl w:val="8"/>
    </w:pPr>
    <w:rPr>
      <w:rFonts w:ascii="Arial" w:hAnsi="Arial" w:eastAsia="??" w:cs="Arial"/>
      <w:kern w:val="0"/>
      <w:szCs w:val="21"/>
    </w:rPr>
  </w:style>
  <w:style w:type="character" w:default="1" w:styleId="80">
    <w:name w:val="Default Paragraph Font"/>
    <w:semiHidden/>
    <w:uiPriority w:val="0"/>
  </w:style>
  <w:style w:type="table" w:default="1" w:styleId="78">
    <w:name w:val="Normal Table"/>
    <w:semiHidden/>
    <w:uiPriority w:val="0"/>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Style w:val="78"/>
      <w:tblCellMar>
        <w:top w:w="0" w:type="dxa"/>
        <w:left w:w="108" w:type="dxa"/>
        <w:bottom w:w="0" w:type="dxa"/>
        <w:right w:w="108" w:type="dxa"/>
      </w:tblCellMar>
    </w:tblPr>
  </w:style>
  <w:style w:type="paragraph" w:styleId="2">
    <w:name w:val="Body Text Indent"/>
    <w:basedOn w:val="1"/>
    <w:link w:val="168"/>
    <w:uiPriority w:val="0"/>
    <w:pPr>
      <w:spacing w:line="480" w:lineRule="atLeast"/>
      <w:ind w:firstLine="570"/>
    </w:pPr>
    <w:rPr>
      <w:rFonts w:ascii="??" w:hAnsi="??" w:eastAsia="??"/>
      <w:sz w:val="28"/>
      <w:szCs w:val="28"/>
    </w:rPr>
  </w:style>
  <w:style w:type="paragraph" w:styleId="3">
    <w:name w:val="macro"/>
    <w:link w:val="93"/>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val="en-US" w:eastAsia="zh-CN" w:bidi="ar-SA"/>
    </w:rPr>
  </w:style>
  <w:style w:type="paragraph" w:styleId="13">
    <w:name w:val="toc 7"/>
    <w:basedOn w:val="1"/>
    <w:next w:val="1"/>
    <w:uiPriority w:val="0"/>
    <w:pPr>
      <w:ind w:left="1260"/>
      <w:jc w:val="left"/>
    </w:pPr>
    <w:rPr>
      <w:sz w:val="18"/>
      <w:szCs w:val="18"/>
    </w:rPr>
  </w:style>
  <w:style w:type="paragraph" w:styleId="14">
    <w:name w:val="List Number 2"/>
    <w:basedOn w:val="1"/>
    <w:uiPriority w:val="0"/>
    <w:pPr>
      <w:numPr>
        <w:ilvl w:val="0"/>
        <w:numId w:val="3"/>
      </w:numPr>
      <w:spacing w:line="360" w:lineRule="auto"/>
    </w:pPr>
    <w:rPr>
      <w:sz w:val="24"/>
    </w:rPr>
  </w:style>
  <w:style w:type="paragraph" w:styleId="15">
    <w:name w:val="table of authorities"/>
    <w:basedOn w:val="1"/>
    <w:next w:val="1"/>
    <w:uiPriority w:val="0"/>
    <w:pPr>
      <w:spacing w:line="360" w:lineRule="auto"/>
      <w:ind w:left="420" w:leftChars="200"/>
    </w:pPr>
    <w:rPr>
      <w:rFonts w:eastAsia="楷体_GB2312"/>
      <w:sz w:val="24"/>
    </w:rPr>
  </w:style>
  <w:style w:type="paragraph" w:styleId="16">
    <w:name w:val="List Bullet 4"/>
    <w:basedOn w:val="1"/>
    <w:uiPriority w:val="0"/>
    <w:pPr>
      <w:tabs>
        <w:tab w:val="left" w:pos="1620"/>
      </w:tabs>
      <w:spacing w:line="360" w:lineRule="auto"/>
      <w:ind w:left="1620" w:leftChars="600" w:hanging="360" w:hangingChars="200"/>
    </w:pPr>
    <w:rPr>
      <w:rFonts w:eastAsia="楷体_GB2312"/>
      <w:sz w:val="24"/>
    </w:rPr>
  </w:style>
  <w:style w:type="paragraph" w:styleId="17">
    <w:name w:val="index 8"/>
    <w:basedOn w:val="1"/>
    <w:next w:val="1"/>
    <w:uiPriority w:val="0"/>
    <w:pPr>
      <w:spacing w:line="360" w:lineRule="auto"/>
      <w:ind w:left="1400" w:leftChars="1400"/>
    </w:pPr>
    <w:rPr>
      <w:rFonts w:eastAsia="楷体_GB2312"/>
      <w:sz w:val="24"/>
    </w:rPr>
  </w:style>
  <w:style w:type="paragraph" w:styleId="18">
    <w:name w:val="E-mail Signature"/>
    <w:basedOn w:val="1"/>
    <w:link w:val="176"/>
    <w:uiPriority w:val="0"/>
    <w:pPr>
      <w:spacing w:line="360" w:lineRule="auto"/>
    </w:pPr>
    <w:rPr>
      <w:rFonts w:ascii="Calibri" w:hAnsi="Calibri" w:eastAsia="楷体_GB2312"/>
      <w:sz w:val="24"/>
    </w:rPr>
  </w:style>
  <w:style w:type="paragraph" w:styleId="19">
    <w:name w:val="List Number"/>
    <w:basedOn w:val="1"/>
    <w:uiPriority w:val="0"/>
    <w:pPr>
      <w:tabs>
        <w:tab w:val="left" w:pos="360"/>
      </w:tabs>
      <w:spacing w:line="360" w:lineRule="auto"/>
      <w:ind w:left="360" w:hanging="360" w:hangingChars="200"/>
    </w:pPr>
    <w:rPr>
      <w:rFonts w:eastAsia="楷体_GB2312"/>
      <w:sz w:val="24"/>
    </w:rPr>
  </w:style>
  <w:style w:type="paragraph" w:styleId="20">
    <w:name w:val="Normal Indent"/>
    <w:basedOn w:val="1"/>
    <w:link w:val="196"/>
    <w:uiPriority w:val="0"/>
    <w:pPr>
      <w:widowControl/>
      <w:ind w:firstLine="420"/>
      <w:jc w:val="left"/>
    </w:pPr>
    <w:rPr>
      <w:rFonts w:ascii="Calibri" w:hAnsi="Calibri" w:eastAsia="??"/>
      <w:kern w:val="0"/>
      <w:sz w:val="24"/>
    </w:rPr>
  </w:style>
  <w:style w:type="paragraph" w:styleId="21">
    <w:name w:val="caption"/>
    <w:basedOn w:val="1"/>
    <w:next w:val="1"/>
    <w:qFormat/>
    <w:uiPriority w:val="0"/>
    <w:pPr>
      <w:spacing w:before="152" w:after="160" w:line="360" w:lineRule="auto"/>
    </w:pPr>
    <w:rPr>
      <w:rFonts w:ascii="Arial" w:hAnsi="Arial" w:eastAsia="黑体" w:cs="Arial"/>
      <w:sz w:val="20"/>
      <w:szCs w:val="20"/>
    </w:rPr>
  </w:style>
  <w:style w:type="paragraph" w:styleId="22">
    <w:name w:val="index 5"/>
    <w:basedOn w:val="1"/>
    <w:next w:val="1"/>
    <w:uiPriority w:val="0"/>
    <w:pPr>
      <w:spacing w:line="360" w:lineRule="auto"/>
      <w:ind w:left="800" w:leftChars="800"/>
    </w:pPr>
    <w:rPr>
      <w:rFonts w:eastAsia="楷体_GB2312"/>
      <w:sz w:val="24"/>
    </w:rPr>
  </w:style>
  <w:style w:type="paragraph" w:styleId="23">
    <w:name w:val="List Bullet"/>
    <w:basedOn w:val="1"/>
    <w:uiPriority w:val="0"/>
    <w:pPr>
      <w:tabs>
        <w:tab w:val="left" w:pos="360"/>
      </w:tabs>
      <w:autoSpaceDE w:val="0"/>
      <w:autoSpaceDN w:val="0"/>
      <w:adjustRightInd w:val="0"/>
      <w:spacing w:before="100" w:beforeAutospacing="1" w:after="100" w:afterAutospacing="1" w:line="360" w:lineRule="auto"/>
      <w:ind w:left="360" w:hanging="360" w:firstLineChars="200"/>
    </w:pPr>
    <w:rPr>
      <w:rFonts w:eastAsia="楷体_GB2312"/>
      <w:color w:val="000000"/>
      <w:sz w:val="24"/>
      <w:szCs w:val="20"/>
    </w:rPr>
  </w:style>
  <w:style w:type="paragraph" w:styleId="24">
    <w:name w:val="Document Map"/>
    <w:basedOn w:val="1"/>
    <w:uiPriority w:val="0"/>
    <w:pPr>
      <w:shd w:val="clear" w:color="auto" w:fill="000080"/>
    </w:pPr>
    <w:rPr>
      <w:rFonts w:eastAsia="??"/>
      <w:sz w:val="28"/>
      <w:szCs w:val="28"/>
    </w:rPr>
  </w:style>
  <w:style w:type="paragraph" w:styleId="25">
    <w:name w:val="toa heading"/>
    <w:basedOn w:val="1"/>
    <w:next w:val="1"/>
    <w:uiPriority w:val="0"/>
    <w:pPr>
      <w:spacing w:before="120" w:line="360" w:lineRule="auto"/>
    </w:pPr>
    <w:rPr>
      <w:rFonts w:ascii="Arial" w:hAnsi="Arial" w:eastAsia="楷体_GB2312" w:cs="Arial"/>
      <w:sz w:val="24"/>
    </w:rPr>
  </w:style>
  <w:style w:type="paragraph" w:styleId="26">
    <w:name w:val="annotation text"/>
    <w:basedOn w:val="1"/>
    <w:link w:val="164"/>
    <w:uiPriority w:val="0"/>
    <w:pPr>
      <w:jc w:val="left"/>
    </w:pPr>
    <w:rPr>
      <w:rFonts w:ascii="Calibri" w:hAnsi="Calibri" w:cs="Lucida Sans"/>
      <w:szCs w:val="20"/>
    </w:rPr>
  </w:style>
  <w:style w:type="paragraph" w:styleId="27">
    <w:name w:val="index 6"/>
    <w:basedOn w:val="1"/>
    <w:next w:val="1"/>
    <w:uiPriority w:val="0"/>
    <w:pPr>
      <w:spacing w:line="360" w:lineRule="auto"/>
      <w:ind w:left="1000" w:leftChars="1000"/>
    </w:pPr>
    <w:rPr>
      <w:rFonts w:eastAsia="楷体_GB2312"/>
      <w:sz w:val="24"/>
    </w:rPr>
  </w:style>
  <w:style w:type="paragraph" w:styleId="28">
    <w:name w:val="Salutation"/>
    <w:basedOn w:val="1"/>
    <w:next w:val="1"/>
    <w:link w:val="195"/>
    <w:uiPriority w:val="0"/>
    <w:rPr>
      <w:rFonts w:ascii="仿宋_GB2312" w:hAnsi="Calibri" w:eastAsia="仿宋_GB2312"/>
      <w:sz w:val="28"/>
      <w:szCs w:val="20"/>
    </w:rPr>
  </w:style>
  <w:style w:type="paragraph" w:styleId="29">
    <w:name w:val="Body Text 3"/>
    <w:basedOn w:val="1"/>
    <w:link w:val="99"/>
    <w:uiPriority w:val="0"/>
    <w:pPr>
      <w:jc w:val="center"/>
    </w:pPr>
    <w:rPr>
      <w:rFonts w:ascii="Calibri" w:hAnsi="Calibri"/>
      <w:szCs w:val="20"/>
    </w:rPr>
  </w:style>
  <w:style w:type="paragraph" w:styleId="30">
    <w:name w:val="List Bullet 3"/>
    <w:basedOn w:val="1"/>
    <w:uiPriority w:val="0"/>
    <w:pPr>
      <w:tabs>
        <w:tab w:val="left" w:pos="1200"/>
      </w:tabs>
      <w:spacing w:line="360" w:lineRule="auto"/>
      <w:ind w:left="1200" w:leftChars="400" w:hanging="360" w:hangingChars="200"/>
    </w:pPr>
    <w:rPr>
      <w:rFonts w:eastAsia="楷体_GB2312"/>
      <w:sz w:val="24"/>
    </w:rPr>
  </w:style>
  <w:style w:type="paragraph" w:styleId="31">
    <w:name w:val="Body Text"/>
    <w:basedOn w:val="1"/>
    <w:next w:val="1"/>
    <w:uiPriority w:val="0"/>
    <w:rPr>
      <w:rFonts w:eastAsia="??"/>
      <w:sz w:val="24"/>
      <w:szCs w:val="28"/>
    </w:rPr>
  </w:style>
  <w:style w:type="paragraph" w:styleId="32">
    <w:name w:val="List Number 3"/>
    <w:basedOn w:val="1"/>
    <w:uiPriority w:val="0"/>
    <w:pPr>
      <w:tabs>
        <w:tab w:val="left" w:pos="1200"/>
      </w:tabs>
      <w:spacing w:line="360" w:lineRule="auto"/>
      <w:ind w:left="1200" w:leftChars="400" w:hanging="360" w:hangingChars="200"/>
    </w:pPr>
    <w:rPr>
      <w:rFonts w:eastAsia="楷体_GB2312"/>
      <w:sz w:val="24"/>
    </w:rPr>
  </w:style>
  <w:style w:type="paragraph" w:styleId="33">
    <w:name w:val="List 2"/>
    <w:basedOn w:val="1"/>
    <w:unhideWhenUsed/>
    <w:uiPriority w:val="0"/>
    <w:pPr>
      <w:spacing w:line="360" w:lineRule="auto"/>
      <w:ind w:left="100" w:leftChars="200" w:hanging="200" w:hangingChars="200"/>
      <w:contextualSpacing/>
    </w:pPr>
    <w:rPr>
      <w:sz w:val="24"/>
    </w:rPr>
  </w:style>
  <w:style w:type="paragraph" w:styleId="34">
    <w:name w:val="List Continue"/>
    <w:basedOn w:val="1"/>
    <w:uiPriority w:val="0"/>
    <w:pPr>
      <w:spacing w:after="120" w:line="360" w:lineRule="auto"/>
      <w:ind w:left="420" w:leftChars="200"/>
    </w:pPr>
    <w:rPr>
      <w:rFonts w:eastAsia="楷体_GB2312"/>
      <w:sz w:val="24"/>
    </w:rPr>
  </w:style>
  <w:style w:type="paragraph" w:styleId="35">
    <w:name w:val="Block Text"/>
    <w:basedOn w:val="1"/>
    <w:uiPriority w:val="0"/>
    <w:pPr>
      <w:widowControl/>
      <w:spacing w:line="360" w:lineRule="auto"/>
      <w:ind w:left="720" w:right="-240"/>
      <w:jc w:val="left"/>
    </w:pPr>
    <w:rPr>
      <w:rFonts w:eastAsia="楷体_GB2312"/>
      <w:kern w:val="0"/>
      <w:sz w:val="24"/>
      <w:szCs w:val="20"/>
      <w:lang w:bidi="he-IL"/>
    </w:rPr>
  </w:style>
  <w:style w:type="paragraph" w:styleId="36">
    <w:name w:val="List Bullet 2"/>
    <w:basedOn w:val="1"/>
    <w:uiPriority w:val="0"/>
    <w:pPr>
      <w:tabs>
        <w:tab w:val="left" w:pos="780"/>
      </w:tabs>
      <w:spacing w:line="360" w:lineRule="auto"/>
      <w:ind w:left="780" w:leftChars="200" w:hanging="360" w:hangingChars="200"/>
    </w:pPr>
    <w:rPr>
      <w:rFonts w:eastAsia="楷体_GB2312"/>
      <w:sz w:val="24"/>
    </w:rPr>
  </w:style>
  <w:style w:type="paragraph" w:styleId="37">
    <w:name w:val="index 4"/>
    <w:basedOn w:val="1"/>
    <w:next w:val="1"/>
    <w:uiPriority w:val="0"/>
    <w:pPr>
      <w:spacing w:line="360" w:lineRule="auto"/>
      <w:ind w:left="600" w:leftChars="600"/>
    </w:pPr>
    <w:rPr>
      <w:rFonts w:eastAsia="楷体_GB2312"/>
      <w:sz w:val="24"/>
    </w:rPr>
  </w:style>
  <w:style w:type="paragraph" w:styleId="38">
    <w:name w:val="toc 5"/>
    <w:basedOn w:val="1"/>
    <w:next w:val="1"/>
    <w:uiPriority w:val="0"/>
    <w:pPr>
      <w:ind w:left="840"/>
      <w:jc w:val="left"/>
    </w:pPr>
    <w:rPr>
      <w:sz w:val="18"/>
      <w:szCs w:val="18"/>
    </w:rPr>
  </w:style>
  <w:style w:type="paragraph" w:styleId="39">
    <w:name w:val="toc 3"/>
    <w:basedOn w:val="1"/>
    <w:next w:val="1"/>
    <w:uiPriority w:val="0"/>
    <w:pPr>
      <w:ind w:left="420"/>
      <w:jc w:val="left"/>
    </w:pPr>
    <w:rPr>
      <w:i/>
      <w:iCs/>
      <w:sz w:val="20"/>
      <w:szCs w:val="20"/>
    </w:rPr>
  </w:style>
  <w:style w:type="paragraph" w:styleId="40">
    <w:name w:val="Plain Text"/>
    <w:basedOn w:val="1"/>
    <w:next w:val="1"/>
    <w:link w:val="163"/>
    <w:qFormat/>
    <w:uiPriority w:val="0"/>
    <w:rPr>
      <w:rFonts w:ascii="??" w:hAnsi="??" w:eastAsia="??"/>
      <w:szCs w:val="21"/>
    </w:rPr>
  </w:style>
  <w:style w:type="paragraph" w:styleId="41">
    <w:name w:val="List Bullet 5"/>
    <w:basedOn w:val="1"/>
    <w:uiPriority w:val="0"/>
    <w:pPr>
      <w:tabs>
        <w:tab w:val="left" w:pos="2040"/>
      </w:tabs>
      <w:spacing w:line="360" w:lineRule="auto"/>
      <w:ind w:left="2040" w:leftChars="800" w:hanging="360" w:hangingChars="200"/>
    </w:pPr>
    <w:rPr>
      <w:rFonts w:eastAsia="楷体_GB2312"/>
      <w:sz w:val="24"/>
    </w:rPr>
  </w:style>
  <w:style w:type="paragraph" w:styleId="42">
    <w:name w:val="List Number 4"/>
    <w:basedOn w:val="1"/>
    <w:uiPriority w:val="0"/>
    <w:pPr>
      <w:tabs>
        <w:tab w:val="left" w:pos="1620"/>
      </w:tabs>
      <w:spacing w:line="360" w:lineRule="auto"/>
      <w:ind w:left="1620" w:leftChars="600" w:hanging="360" w:hangingChars="200"/>
    </w:pPr>
    <w:rPr>
      <w:rFonts w:eastAsia="楷体_GB2312"/>
      <w:sz w:val="24"/>
    </w:rPr>
  </w:style>
  <w:style w:type="paragraph" w:styleId="43">
    <w:name w:val="toc 8"/>
    <w:basedOn w:val="1"/>
    <w:next w:val="1"/>
    <w:uiPriority w:val="0"/>
    <w:pPr>
      <w:ind w:left="1470"/>
      <w:jc w:val="left"/>
    </w:pPr>
    <w:rPr>
      <w:sz w:val="18"/>
      <w:szCs w:val="18"/>
    </w:rPr>
  </w:style>
  <w:style w:type="paragraph" w:styleId="44">
    <w:name w:val="index 3"/>
    <w:basedOn w:val="1"/>
    <w:next w:val="1"/>
    <w:uiPriority w:val="0"/>
    <w:pPr>
      <w:spacing w:line="360" w:lineRule="auto"/>
      <w:ind w:left="400" w:leftChars="400"/>
    </w:pPr>
    <w:rPr>
      <w:rFonts w:eastAsia="楷体_GB2312"/>
      <w:sz w:val="24"/>
    </w:rPr>
  </w:style>
  <w:style w:type="paragraph" w:styleId="45">
    <w:name w:val="Date"/>
    <w:basedOn w:val="1"/>
    <w:next w:val="1"/>
    <w:link w:val="187"/>
    <w:uiPriority w:val="0"/>
    <w:pPr>
      <w:adjustRightInd w:val="0"/>
      <w:jc w:val="right"/>
      <w:textAlignment w:val="baseline"/>
    </w:pPr>
    <w:rPr>
      <w:rFonts w:ascii="Calibri" w:hAnsi="Calibri" w:eastAsia="??_GB2312"/>
      <w:b/>
      <w:kern w:val="0"/>
      <w:sz w:val="28"/>
      <w:szCs w:val="28"/>
    </w:rPr>
  </w:style>
  <w:style w:type="paragraph" w:styleId="46">
    <w:name w:val="Body Text Indent 2"/>
    <w:basedOn w:val="1"/>
    <w:next w:val="47"/>
    <w:link w:val="143"/>
    <w:uiPriority w:val="0"/>
    <w:pPr>
      <w:spacing w:line="520" w:lineRule="exact"/>
      <w:ind w:firstLine="303" w:firstLineChars="303"/>
    </w:pPr>
    <w:rPr>
      <w:rFonts w:ascii="??" w:hAnsi="??" w:eastAsia="??" w:cs="宋体"/>
      <w:sz w:val="28"/>
      <w:szCs w:val="28"/>
    </w:rPr>
  </w:style>
  <w:style w:type="paragraph" w:customStyle="1" w:styleId="47">
    <w:name w:val="目录 22"/>
    <w:next w:val="1"/>
    <w:qFormat/>
    <w:uiPriority w:val="0"/>
    <w:pPr>
      <w:wordWrap w:val="0"/>
      <w:jc w:val="both"/>
    </w:pPr>
    <w:rPr>
      <w:rFonts w:ascii="Times New Roman" w:hAnsi="Times New Roman" w:eastAsia="宋体" w:cs="Times New Roman"/>
      <w:sz w:val="21"/>
      <w:lang w:val="en-US" w:eastAsia="zh-CN" w:bidi="ar-SA"/>
    </w:rPr>
  </w:style>
  <w:style w:type="paragraph" w:styleId="48">
    <w:name w:val="endnote text"/>
    <w:basedOn w:val="1"/>
    <w:link w:val="103"/>
    <w:uiPriority w:val="0"/>
    <w:pPr>
      <w:snapToGrid w:val="0"/>
      <w:spacing w:line="360" w:lineRule="auto"/>
      <w:jc w:val="left"/>
    </w:pPr>
    <w:rPr>
      <w:rFonts w:ascii="Calibri" w:hAnsi="Calibri" w:eastAsia="楷体_GB2312"/>
      <w:sz w:val="24"/>
    </w:rPr>
  </w:style>
  <w:style w:type="paragraph" w:styleId="49">
    <w:name w:val="List Continue 5"/>
    <w:basedOn w:val="1"/>
    <w:uiPriority w:val="0"/>
    <w:pPr>
      <w:spacing w:after="120" w:line="360" w:lineRule="auto"/>
      <w:ind w:left="2100" w:leftChars="1000"/>
    </w:pPr>
    <w:rPr>
      <w:rFonts w:eastAsia="楷体_GB2312"/>
      <w:sz w:val="24"/>
    </w:rPr>
  </w:style>
  <w:style w:type="paragraph" w:styleId="50">
    <w:name w:val="Balloon Text"/>
    <w:basedOn w:val="1"/>
    <w:link w:val="119"/>
    <w:uiPriority w:val="0"/>
    <w:rPr>
      <w:rFonts w:ascii="Calibri" w:hAnsi="Calibri" w:eastAsia="??"/>
      <w:sz w:val="18"/>
      <w:szCs w:val="18"/>
    </w:rPr>
  </w:style>
  <w:style w:type="paragraph" w:styleId="51">
    <w:name w:val="footer"/>
    <w:basedOn w:val="1"/>
    <w:link w:val="135"/>
    <w:uiPriority w:val="0"/>
    <w:pPr>
      <w:tabs>
        <w:tab w:val="center" w:pos="4153"/>
        <w:tab w:val="right" w:pos="8306"/>
      </w:tabs>
      <w:snapToGrid w:val="0"/>
      <w:jc w:val="left"/>
    </w:pPr>
    <w:rPr>
      <w:rFonts w:ascii="Calibri" w:hAnsi="Calibri" w:eastAsia="??"/>
      <w:sz w:val="18"/>
      <w:szCs w:val="28"/>
    </w:rPr>
  </w:style>
  <w:style w:type="paragraph" w:styleId="52">
    <w:name w:val="header"/>
    <w:basedOn w:val="1"/>
    <w:link w:val="111"/>
    <w:uiPriority w:val="0"/>
    <w:pPr>
      <w:pBdr>
        <w:bottom w:val="single" w:color="auto" w:sz="6" w:space="1"/>
      </w:pBdr>
      <w:tabs>
        <w:tab w:val="center" w:pos="4153"/>
        <w:tab w:val="right" w:pos="8306"/>
      </w:tabs>
      <w:snapToGrid w:val="0"/>
      <w:jc w:val="center"/>
    </w:pPr>
    <w:rPr>
      <w:rFonts w:ascii="Calibri" w:hAnsi="Calibri" w:eastAsia="??"/>
      <w:sz w:val="18"/>
      <w:szCs w:val="28"/>
    </w:rPr>
  </w:style>
  <w:style w:type="paragraph" w:styleId="53">
    <w:name w:val="Signature"/>
    <w:basedOn w:val="1"/>
    <w:link w:val="185"/>
    <w:uiPriority w:val="0"/>
    <w:pPr>
      <w:adjustRightInd w:val="0"/>
      <w:spacing w:after="600" w:line="312" w:lineRule="atLeast"/>
      <w:jc w:val="center"/>
      <w:textAlignment w:val="baseline"/>
    </w:pPr>
    <w:rPr>
      <w:rFonts w:ascii="Calibri" w:hAnsi="Calibri" w:eastAsia="仿宋_GB2312"/>
      <w:kern w:val="0"/>
      <w:sz w:val="24"/>
      <w:szCs w:val="20"/>
    </w:rPr>
  </w:style>
  <w:style w:type="paragraph" w:styleId="54">
    <w:name w:val="toc 1"/>
    <w:basedOn w:val="1"/>
    <w:next w:val="1"/>
    <w:uiPriority w:val="39"/>
    <w:pPr>
      <w:spacing w:before="120" w:after="120"/>
      <w:jc w:val="left"/>
    </w:pPr>
    <w:rPr>
      <w:b/>
      <w:bCs/>
      <w:caps/>
      <w:sz w:val="20"/>
      <w:szCs w:val="20"/>
    </w:rPr>
  </w:style>
  <w:style w:type="paragraph" w:styleId="55">
    <w:name w:val="List Continue 4"/>
    <w:basedOn w:val="1"/>
    <w:uiPriority w:val="0"/>
    <w:pPr>
      <w:spacing w:after="120" w:line="360" w:lineRule="auto"/>
      <w:ind w:left="1680" w:leftChars="800"/>
    </w:pPr>
    <w:rPr>
      <w:rFonts w:eastAsia="楷体_GB2312"/>
      <w:sz w:val="24"/>
    </w:rPr>
  </w:style>
  <w:style w:type="paragraph" w:styleId="56">
    <w:name w:val="toc 4"/>
    <w:basedOn w:val="1"/>
    <w:next w:val="1"/>
    <w:uiPriority w:val="0"/>
    <w:pPr>
      <w:ind w:left="630"/>
      <w:jc w:val="left"/>
    </w:pPr>
    <w:rPr>
      <w:sz w:val="18"/>
      <w:szCs w:val="18"/>
    </w:rPr>
  </w:style>
  <w:style w:type="paragraph" w:styleId="57">
    <w:name w:val="index heading"/>
    <w:basedOn w:val="1"/>
    <w:next w:val="58"/>
    <w:uiPriority w:val="0"/>
    <w:pPr>
      <w:spacing w:line="360" w:lineRule="auto"/>
    </w:pPr>
    <w:rPr>
      <w:rFonts w:ascii="Arial" w:hAnsi="Arial" w:eastAsia="楷体_GB2312" w:cs="Arial"/>
      <w:b/>
      <w:bCs/>
      <w:sz w:val="24"/>
    </w:rPr>
  </w:style>
  <w:style w:type="paragraph" w:styleId="58">
    <w:name w:val="index 1"/>
    <w:basedOn w:val="1"/>
    <w:next w:val="1"/>
    <w:uiPriority w:val="0"/>
    <w:pPr>
      <w:autoSpaceDE w:val="0"/>
      <w:autoSpaceDN w:val="0"/>
      <w:adjustRightInd w:val="0"/>
      <w:spacing w:before="100" w:after="100" w:line="360" w:lineRule="auto"/>
    </w:pPr>
    <w:rPr>
      <w:rFonts w:ascii="Arial" w:hAnsi="Arial" w:eastAsia="楷体_GB2312" w:cs="Arial"/>
      <w:bCs/>
      <w:color w:val="000000"/>
      <w:sz w:val="24"/>
      <w:szCs w:val="20"/>
    </w:rPr>
  </w:style>
  <w:style w:type="paragraph" w:styleId="59">
    <w:name w:val="List Number 5"/>
    <w:basedOn w:val="1"/>
    <w:uiPriority w:val="0"/>
    <w:pPr>
      <w:tabs>
        <w:tab w:val="left" w:pos="2040"/>
      </w:tabs>
      <w:spacing w:line="360" w:lineRule="auto"/>
      <w:ind w:left="2040" w:leftChars="800" w:hanging="360" w:hangingChars="200"/>
    </w:pPr>
    <w:rPr>
      <w:rFonts w:eastAsia="楷体_GB2312"/>
      <w:sz w:val="24"/>
    </w:rPr>
  </w:style>
  <w:style w:type="paragraph" w:styleId="60">
    <w:name w:val="footnote text"/>
    <w:basedOn w:val="1"/>
    <w:link w:val="194"/>
    <w:uiPriority w:val="0"/>
    <w:pPr>
      <w:snapToGrid w:val="0"/>
      <w:spacing w:line="360" w:lineRule="auto"/>
      <w:jc w:val="left"/>
    </w:pPr>
    <w:rPr>
      <w:rFonts w:ascii="Calibri" w:hAnsi="Calibri" w:eastAsia="楷体_GB2312"/>
      <w:sz w:val="18"/>
      <w:szCs w:val="18"/>
    </w:rPr>
  </w:style>
  <w:style w:type="paragraph" w:styleId="61">
    <w:name w:val="toc 6"/>
    <w:basedOn w:val="1"/>
    <w:next w:val="1"/>
    <w:uiPriority w:val="0"/>
    <w:pPr>
      <w:ind w:left="1050"/>
      <w:jc w:val="left"/>
    </w:pPr>
    <w:rPr>
      <w:sz w:val="18"/>
      <w:szCs w:val="18"/>
    </w:rPr>
  </w:style>
  <w:style w:type="paragraph" w:styleId="62">
    <w:name w:val="Body Text Indent 3"/>
    <w:basedOn w:val="1"/>
    <w:next w:val="63"/>
    <w:link w:val="115"/>
    <w:uiPriority w:val="0"/>
    <w:pPr>
      <w:spacing w:line="520" w:lineRule="exact"/>
      <w:ind w:firstLine="547"/>
    </w:pPr>
    <w:rPr>
      <w:rFonts w:ascii="Calibri" w:hAnsi="Calibri" w:eastAsia="??"/>
      <w:sz w:val="28"/>
      <w:szCs w:val="28"/>
    </w:rPr>
  </w:style>
  <w:style w:type="paragraph" w:customStyle="1" w:styleId="63">
    <w:name w:val="目录 92"/>
    <w:next w:val="1"/>
    <w:qFormat/>
    <w:uiPriority w:val="0"/>
    <w:pPr>
      <w:wordWrap w:val="0"/>
      <w:ind w:left="2975"/>
      <w:jc w:val="both"/>
    </w:pPr>
    <w:rPr>
      <w:rFonts w:ascii="Times New Roman" w:hAnsi="Times New Roman" w:eastAsia="宋体" w:cs="Times New Roman"/>
      <w:sz w:val="21"/>
      <w:lang w:val="en-US" w:eastAsia="zh-CN" w:bidi="ar-SA"/>
    </w:rPr>
  </w:style>
  <w:style w:type="paragraph" w:styleId="64">
    <w:name w:val="index 7"/>
    <w:basedOn w:val="1"/>
    <w:next w:val="1"/>
    <w:uiPriority w:val="0"/>
    <w:pPr>
      <w:spacing w:line="360" w:lineRule="auto"/>
      <w:ind w:left="1200" w:leftChars="1200"/>
    </w:pPr>
    <w:rPr>
      <w:rFonts w:eastAsia="楷体_GB2312"/>
      <w:sz w:val="24"/>
    </w:rPr>
  </w:style>
  <w:style w:type="paragraph" w:styleId="65">
    <w:name w:val="index 9"/>
    <w:basedOn w:val="1"/>
    <w:next w:val="1"/>
    <w:uiPriority w:val="0"/>
    <w:pPr>
      <w:spacing w:line="360" w:lineRule="auto"/>
      <w:ind w:left="1600" w:leftChars="1600"/>
    </w:pPr>
    <w:rPr>
      <w:rFonts w:eastAsia="楷体_GB2312"/>
      <w:sz w:val="24"/>
    </w:rPr>
  </w:style>
  <w:style w:type="paragraph" w:styleId="66">
    <w:name w:val="table of figures"/>
    <w:basedOn w:val="1"/>
    <w:next w:val="1"/>
    <w:uiPriority w:val="0"/>
    <w:pPr>
      <w:ind w:left="560" w:hanging="560"/>
      <w:jc w:val="left"/>
    </w:pPr>
    <w:rPr>
      <w:rFonts w:ascii="Calibri" w:hAnsi="Calibri" w:eastAsia="??" w:cs="宋体"/>
      <w:smallCaps/>
      <w:sz w:val="20"/>
      <w:szCs w:val="28"/>
    </w:rPr>
  </w:style>
  <w:style w:type="paragraph" w:styleId="67">
    <w:name w:val="toc 2"/>
    <w:basedOn w:val="1"/>
    <w:next w:val="1"/>
    <w:uiPriority w:val="39"/>
    <w:pPr>
      <w:ind w:left="210"/>
      <w:jc w:val="left"/>
    </w:pPr>
    <w:rPr>
      <w:smallCaps/>
      <w:sz w:val="20"/>
      <w:szCs w:val="20"/>
    </w:rPr>
  </w:style>
  <w:style w:type="paragraph" w:styleId="68">
    <w:name w:val="toc 9"/>
    <w:basedOn w:val="1"/>
    <w:next w:val="1"/>
    <w:uiPriority w:val="0"/>
    <w:pPr>
      <w:ind w:left="1680"/>
      <w:jc w:val="left"/>
    </w:pPr>
    <w:rPr>
      <w:sz w:val="18"/>
      <w:szCs w:val="18"/>
    </w:rPr>
  </w:style>
  <w:style w:type="paragraph" w:styleId="69">
    <w:name w:val="Body Text 2"/>
    <w:basedOn w:val="1"/>
    <w:link w:val="110"/>
    <w:uiPriority w:val="0"/>
    <w:pPr>
      <w:spacing w:after="120" w:line="480" w:lineRule="auto"/>
    </w:pPr>
    <w:rPr>
      <w:rFonts w:ascii="Calibri" w:hAnsi="Calibri"/>
      <w:szCs w:val="20"/>
    </w:rPr>
  </w:style>
  <w:style w:type="paragraph" w:styleId="70">
    <w:name w:val="List Continue 2"/>
    <w:basedOn w:val="1"/>
    <w:uiPriority w:val="0"/>
    <w:pPr>
      <w:spacing w:after="120" w:line="360" w:lineRule="auto"/>
      <w:ind w:left="840" w:leftChars="400"/>
    </w:pPr>
    <w:rPr>
      <w:rFonts w:eastAsia="楷体_GB2312"/>
      <w:sz w:val="24"/>
    </w:rPr>
  </w:style>
  <w:style w:type="paragraph" w:styleId="71">
    <w:name w:val="HTML Preformatted"/>
    <w:basedOn w:val="1"/>
    <w:link w:val="12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eastAsia="??" w:cs="Courier New"/>
      <w:kern w:val="0"/>
      <w:sz w:val="20"/>
      <w:szCs w:val="28"/>
    </w:rPr>
  </w:style>
  <w:style w:type="paragraph" w:styleId="72">
    <w:name w:val="Normal (Web)"/>
    <w:basedOn w:val="1"/>
    <w:uiPriority w:val="0"/>
    <w:pPr>
      <w:widowControl/>
      <w:spacing w:before="100" w:beforeAutospacing="1" w:after="100" w:afterAutospacing="1"/>
      <w:jc w:val="left"/>
    </w:pPr>
    <w:rPr>
      <w:rFonts w:ascii="??" w:hAnsi="??" w:eastAsia="??" w:cs="宋体"/>
      <w:kern w:val="0"/>
      <w:sz w:val="24"/>
    </w:rPr>
  </w:style>
  <w:style w:type="paragraph" w:styleId="73">
    <w:name w:val="index 2"/>
    <w:basedOn w:val="1"/>
    <w:next w:val="1"/>
    <w:uiPriority w:val="0"/>
    <w:pPr>
      <w:spacing w:line="360" w:lineRule="auto"/>
      <w:ind w:left="200" w:leftChars="200"/>
    </w:pPr>
    <w:rPr>
      <w:rFonts w:eastAsia="楷体_GB2312"/>
      <w:sz w:val="24"/>
    </w:rPr>
  </w:style>
  <w:style w:type="paragraph" w:styleId="74">
    <w:name w:val="Title"/>
    <w:basedOn w:val="1"/>
    <w:link w:val="150"/>
    <w:qFormat/>
    <w:uiPriority w:val="0"/>
    <w:pPr>
      <w:widowControl/>
      <w:overflowPunct w:val="0"/>
      <w:autoSpaceDE w:val="0"/>
      <w:autoSpaceDN w:val="0"/>
      <w:adjustRightInd w:val="0"/>
      <w:jc w:val="center"/>
      <w:textAlignment w:val="baseline"/>
    </w:pPr>
    <w:rPr>
      <w:rFonts w:ascii="Calibri" w:hAnsi="Calibri" w:eastAsia="??"/>
      <w:b/>
      <w:kern w:val="0"/>
      <w:sz w:val="24"/>
      <w:szCs w:val="28"/>
      <w:lang w:val="en-GB"/>
    </w:rPr>
  </w:style>
  <w:style w:type="paragraph" w:styleId="75">
    <w:name w:val="annotation subject"/>
    <w:basedOn w:val="26"/>
    <w:next w:val="26"/>
    <w:link w:val="182"/>
    <w:uiPriority w:val="0"/>
    <w:rPr>
      <w:rFonts w:cs="Times New Roman"/>
      <w:b/>
    </w:rPr>
  </w:style>
  <w:style w:type="paragraph" w:styleId="76">
    <w:name w:val="Body Text First Indent"/>
    <w:basedOn w:val="31"/>
    <w:link w:val="149"/>
    <w:uiPriority w:val="0"/>
    <w:pPr>
      <w:autoSpaceDE w:val="0"/>
      <w:autoSpaceDN w:val="0"/>
      <w:adjustRightInd w:val="0"/>
      <w:spacing w:line="360" w:lineRule="auto"/>
      <w:ind w:firstLine="420"/>
    </w:pPr>
    <w:rPr>
      <w:rFonts w:ascii="宋体" w:hAnsi="Calibri" w:eastAsia="宋体"/>
      <w:szCs w:val="20"/>
      <w:lang w:val="zh-CN"/>
    </w:rPr>
  </w:style>
  <w:style w:type="paragraph" w:styleId="77">
    <w:name w:val="Body Text First Indent 2"/>
    <w:basedOn w:val="2"/>
    <w:uiPriority w:val="0"/>
    <w:pPr>
      <w:spacing w:after="120" w:line="240" w:lineRule="auto"/>
      <w:ind w:left="420" w:leftChars="200" w:firstLine="420" w:firstLineChars="200"/>
    </w:pPr>
    <w:rPr>
      <w:rFonts w:ascii="Times New Roman" w:hAnsi="Times New Roman" w:eastAsia="宋体" w:cs="Times New Roman"/>
      <w:sz w:val="21"/>
      <w:szCs w:val="20"/>
    </w:rPr>
  </w:style>
  <w:style w:type="table" w:styleId="79">
    <w:name w:val="Table Grid"/>
    <w:basedOn w:val="78"/>
    <w:qFormat/>
    <w:uiPriority w:val="0"/>
    <w:tblPr>
      <w:tblStyle w:val="7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1">
    <w:name w:val="Strong"/>
    <w:qFormat/>
    <w:uiPriority w:val="0"/>
    <w:rPr>
      <w:b/>
    </w:rPr>
  </w:style>
  <w:style w:type="character" w:styleId="82">
    <w:name w:val="page number"/>
    <w:uiPriority w:val="0"/>
  </w:style>
  <w:style w:type="character" w:styleId="83">
    <w:name w:val="FollowedHyperlink"/>
    <w:uiPriority w:val="0"/>
    <w:rPr>
      <w:color w:val="800080"/>
      <w:u w:val="single"/>
    </w:rPr>
  </w:style>
  <w:style w:type="character" w:styleId="84">
    <w:name w:val="Emphasis"/>
    <w:basedOn w:val="80"/>
    <w:qFormat/>
    <w:uiPriority w:val="0"/>
    <w:rPr>
      <w:i/>
    </w:rPr>
  </w:style>
  <w:style w:type="character" w:styleId="85">
    <w:name w:val="line number"/>
    <w:basedOn w:val="80"/>
    <w:uiPriority w:val="0"/>
  </w:style>
  <w:style w:type="character" w:styleId="86">
    <w:name w:val="Hyperlink"/>
    <w:uiPriority w:val="99"/>
    <w:rPr>
      <w:color w:val="0000FF"/>
      <w:u w:val="single"/>
    </w:rPr>
  </w:style>
  <w:style w:type="character" w:styleId="87">
    <w:name w:val="annotation reference"/>
    <w:uiPriority w:val="0"/>
    <w:rPr>
      <w:sz w:val="21"/>
    </w:rPr>
  </w:style>
  <w:style w:type="character" w:customStyle="1" w:styleId="88">
    <w:name w:val="无间隔 字符"/>
    <w:link w:val="89"/>
    <w:uiPriority w:val="0"/>
    <w:rPr>
      <w:rFonts w:eastAsia="楷体_GB2312" w:cs="Lucida Sans"/>
      <w:kern w:val="2"/>
      <w:sz w:val="24"/>
      <w:szCs w:val="24"/>
      <w:lang w:val="en-US" w:eastAsia="zh-CN" w:bidi="ar-SA"/>
    </w:rPr>
  </w:style>
  <w:style w:type="paragraph" w:customStyle="1" w:styleId="89">
    <w:name w:val="无间隔"/>
    <w:link w:val="88"/>
    <w:qFormat/>
    <w:uiPriority w:val="0"/>
    <w:pPr>
      <w:widowControl w:val="0"/>
      <w:jc w:val="both"/>
    </w:pPr>
    <w:rPr>
      <w:rFonts w:eastAsia="楷体_GB2312" w:cs="Lucida Sans"/>
      <w:kern w:val="2"/>
      <w:sz w:val="24"/>
      <w:szCs w:val="24"/>
      <w:lang w:val="en-US" w:eastAsia="zh-CN" w:bidi="ar-SA"/>
    </w:rPr>
  </w:style>
  <w:style w:type="character" w:customStyle="1" w:styleId="90">
    <w:name w:val="param_td12"/>
    <w:uiPriority w:val="0"/>
  </w:style>
  <w:style w:type="character" w:customStyle="1" w:styleId="91">
    <w:name w:val="DN-正文 Char Char"/>
    <w:link w:val="92"/>
    <w:uiPriority w:val="0"/>
    <w:rPr>
      <w:kern w:val="2"/>
      <w:sz w:val="21"/>
      <w:szCs w:val="24"/>
      <w:lang w:bidi="ar-SA"/>
    </w:rPr>
  </w:style>
  <w:style w:type="paragraph" w:customStyle="1" w:styleId="92">
    <w:name w:val="DN-正文"/>
    <w:basedOn w:val="20"/>
    <w:link w:val="91"/>
    <w:uiPriority w:val="0"/>
    <w:pPr>
      <w:widowControl w:val="0"/>
      <w:spacing w:line="400" w:lineRule="exact"/>
      <w:ind w:firstLine="200" w:firstLineChars="200"/>
      <w:jc w:val="both"/>
    </w:pPr>
    <w:rPr>
      <w:rFonts w:eastAsia="宋体"/>
      <w:kern w:val="2"/>
      <w:sz w:val="21"/>
    </w:rPr>
  </w:style>
  <w:style w:type="character" w:customStyle="1" w:styleId="93">
    <w:name w:val="宏文本 字符"/>
    <w:link w:val="3"/>
    <w:uiPriority w:val="0"/>
    <w:rPr>
      <w:rFonts w:ascii="Courier New" w:hAnsi="Courier New" w:cs="Courier New"/>
      <w:kern w:val="2"/>
      <w:sz w:val="24"/>
      <w:szCs w:val="24"/>
      <w:lang w:val="en-US" w:eastAsia="zh-CN" w:bidi="ar-SA"/>
    </w:rPr>
  </w:style>
  <w:style w:type="character" w:customStyle="1" w:styleId="94">
    <w:name w:val="标准正文 Char"/>
    <w:link w:val="95"/>
    <w:locked/>
    <w:uiPriority w:val="0"/>
    <w:rPr>
      <w:sz w:val="24"/>
      <w:lang w:bidi="ar-SA"/>
    </w:rPr>
  </w:style>
  <w:style w:type="paragraph" w:customStyle="1" w:styleId="95">
    <w:name w:val="标准正文"/>
    <w:basedOn w:val="1"/>
    <w:link w:val="94"/>
    <w:uiPriority w:val="0"/>
    <w:pPr>
      <w:spacing w:line="360" w:lineRule="auto"/>
      <w:ind w:firstLine="480" w:firstLineChars="200"/>
    </w:pPr>
    <w:rPr>
      <w:rFonts w:ascii="Calibri" w:hAnsi="Calibri"/>
      <w:kern w:val="0"/>
      <w:sz w:val="24"/>
      <w:szCs w:val="20"/>
    </w:rPr>
  </w:style>
  <w:style w:type="character" w:customStyle="1" w:styleId="96">
    <w:name w:val="font21"/>
    <w:uiPriority w:val="0"/>
    <w:rPr>
      <w:rFonts w:hint="eastAsia" w:ascii="宋体" w:hAnsi="宋体" w:eastAsia="宋体"/>
      <w:kern w:val="2"/>
      <w:sz w:val="28"/>
      <w:szCs w:val="28"/>
      <w:lang w:val="en-US" w:eastAsia="zh-CN" w:bidi="ar-SA"/>
    </w:rPr>
  </w:style>
  <w:style w:type="character" w:customStyle="1" w:styleId="97">
    <w:name w:val="ih151"/>
    <w:uiPriority w:val="0"/>
    <w:rPr>
      <w:color w:val="666666"/>
      <w:sz w:val="18"/>
      <w:szCs w:val="18"/>
      <w:u w:val="none"/>
    </w:rPr>
  </w:style>
  <w:style w:type="character" w:customStyle="1" w:styleId="98">
    <w:name w:val="pword"/>
    <w:uiPriority w:val="0"/>
  </w:style>
  <w:style w:type="character" w:customStyle="1" w:styleId="99">
    <w:name w:val="正文文本 3 字符"/>
    <w:link w:val="29"/>
    <w:uiPriority w:val="0"/>
    <w:rPr>
      <w:rFonts w:eastAsia="宋体"/>
      <w:kern w:val="2"/>
      <w:sz w:val="21"/>
      <w:lang w:bidi="ar-SA"/>
    </w:rPr>
  </w:style>
  <w:style w:type="character" w:customStyle="1" w:styleId="100">
    <w:name w:val="样式 样式 标书正文 + 首行缩进:  0.01 字符 + 首行缩进:  0.01 字符 Char"/>
    <w:link w:val="101"/>
    <w:uiPriority w:val="0"/>
    <w:rPr>
      <w:rFonts w:ascii="宋体" w:hAnsi="宋体" w:eastAsia="宋体" w:cs="宋体"/>
      <w:sz w:val="28"/>
      <w:lang w:val="en-US" w:eastAsia="zh-CN" w:bidi="ar-SA"/>
    </w:rPr>
  </w:style>
  <w:style w:type="paragraph" w:customStyle="1" w:styleId="101">
    <w:name w:val="样式 样式 标书正文 + 首行缩进:  0.01 字符 + 首行缩进:  0.01 字符"/>
    <w:basedOn w:val="1"/>
    <w:link w:val="100"/>
    <w:uiPriority w:val="0"/>
    <w:pPr>
      <w:widowControl/>
      <w:adjustRightInd w:val="0"/>
      <w:snapToGrid w:val="0"/>
      <w:spacing w:after="50" w:afterLines="50" w:line="360" w:lineRule="auto"/>
      <w:ind w:left="-2" w:leftChars="-2" w:firstLine="200" w:firstLineChars="200"/>
      <w:jc w:val="left"/>
    </w:pPr>
    <w:rPr>
      <w:rFonts w:ascii="宋体" w:hAnsi="宋体" w:cs="宋体"/>
      <w:kern w:val="0"/>
      <w:sz w:val="28"/>
      <w:szCs w:val="20"/>
    </w:rPr>
  </w:style>
  <w:style w:type="character" w:customStyle="1" w:styleId="102">
    <w:name w:val="subtitle1"/>
    <w:uiPriority w:val="0"/>
    <w:rPr>
      <w:rFonts w:hint="default" w:ascii="Georgia" w:hAnsi="Georgia"/>
      <w:b/>
      <w:bCs/>
      <w:color w:val="666666"/>
      <w:sz w:val="18"/>
      <w:szCs w:val="18"/>
    </w:rPr>
  </w:style>
  <w:style w:type="character" w:customStyle="1" w:styleId="103">
    <w:name w:val="尾注文本 字符"/>
    <w:link w:val="48"/>
    <w:uiPriority w:val="0"/>
    <w:rPr>
      <w:rFonts w:eastAsia="楷体_GB2312"/>
      <w:kern w:val="2"/>
      <w:sz w:val="24"/>
      <w:szCs w:val="24"/>
      <w:lang w:bidi="ar-SA"/>
    </w:rPr>
  </w:style>
  <w:style w:type="character" w:customStyle="1" w:styleId="104">
    <w:name w:val="ca-61"/>
    <w:uiPriority w:val="0"/>
    <w:rPr>
      <w:rFonts w:hint="eastAsia" w:ascii="仿宋_GB2312" w:eastAsia="仿宋_GB2312"/>
      <w:b/>
      <w:bCs/>
      <w:spacing w:val="-20"/>
      <w:sz w:val="24"/>
      <w:szCs w:val="24"/>
    </w:rPr>
  </w:style>
  <w:style w:type="character" w:customStyle="1" w:styleId="105">
    <w:name w:val="纯文本 Char2"/>
    <w:uiPriority w:val="0"/>
    <w:rPr>
      <w:rFonts w:ascii="??" w:hAnsi="??" w:eastAsia="??" w:cs="宋体"/>
      <w:kern w:val="2"/>
      <w:sz w:val="21"/>
      <w:szCs w:val="21"/>
    </w:rPr>
  </w:style>
  <w:style w:type="character" w:customStyle="1" w:styleId="106">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uiPriority w:val="0"/>
    <w:rPr>
      <w:rFonts w:ascii="??" w:eastAsia="??"/>
      <w:snapToGrid w:val="0"/>
      <w:color w:val="000000"/>
      <w:kern w:val="28"/>
      <w:sz w:val="28"/>
      <w:lang w:val="en-US" w:eastAsia="zh-CN" w:bidi="ar-SA"/>
    </w:rPr>
  </w:style>
  <w:style w:type="character" w:customStyle="1" w:styleId="107">
    <w:name w:val="正文2 Char Char"/>
    <w:uiPriority w:val="0"/>
    <w:rPr>
      <w:rFonts w:eastAsia="??"/>
      <w:kern w:val="2"/>
      <w:sz w:val="24"/>
      <w:szCs w:val="28"/>
      <w:lang w:val="en-US" w:eastAsia="zh-CN" w:bidi="ar-SA"/>
    </w:rPr>
  </w:style>
  <w:style w:type="character" w:customStyle="1" w:styleId="108">
    <w:name w:val="哈哈正文 Char"/>
    <w:link w:val="109"/>
    <w:uiPriority w:val="0"/>
    <w:rPr>
      <w:rFonts w:ascii="宋体" w:hAnsi="宋体" w:eastAsia="宋体"/>
      <w:kern w:val="2"/>
      <w:sz w:val="24"/>
      <w:lang w:bidi="ar-SA"/>
    </w:rPr>
  </w:style>
  <w:style w:type="paragraph" w:customStyle="1" w:styleId="109">
    <w:name w:val="哈哈正文"/>
    <w:basedOn w:val="1"/>
    <w:link w:val="108"/>
    <w:uiPriority w:val="0"/>
    <w:pPr>
      <w:spacing w:line="360" w:lineRule="auto"/>
      <w:ind w:firstLine="200" w:firstLineChars="200"/>
    </w:pPr>
    <w:rPr>
      <w:rFonts w:ascii="宋体" w:hAnsi="宋体"/>
      <w:sz w:val="24"/>
      <w:szCs w:val="20"/>
    </w:rPr>
  </w:style>
  <w:style w:type="character" w:customStyle="1" w:styleId="110">
    <w:name w:val="正文文本 2 字符"/>
    <w:link w:val="69"/>
    <w:uiPriority w:val="0"/>
    <w:rPr>
      <w:rFonts w:eastAsia="宋体"/>
      <w:kern w:val="2"/>
      <w:sz w:val="21"/>
      <w:lang w:bidi="ar-SA"/>
    </w:rPr>
  </w:style>
  <w:style w:type="character" w:customStyle="1" w:styleId="111">
    <w:name w:val="页眉 字符"/>
    <w:link w:val="52"/>
    <w:uiPriority w:val="0"/>
    <w:rPr>
      <w:rFonts w:eastAsia="??"/>
      <w:kern w:val="2"/>
      <w:sz w:val="18"/>
      <w:szCs w:val="28"/>
      <w:lang w:val="en-US" w:eastAsia="zh-CN" w:bidi="ar-SA"/>
    </w:rPr>
  </w:style>
  <w:style w:type="character" w:customStyle="1" w:styleId="112">
    <w:name w:val="正文 首行缩进2字符 Char Char Char"/>
    <w:uiPriority w:val="0"/>
    <w:rPr>
      <w:rFonts w:eastAsia="宋体"/>
      <w:kern w:val="2"/>
      <w:sz w:val="24"/>
      <w:szCs w:val="24"/>
      <w:lang w:val="en-US" w:eastAsia="zh-CN" w:bidi="ar-SA"/>
    </w:rPr>
  </w:style>
  <w:style w:type="character" w:customStyle="1" w:styleId="113">
    <w:name w:val="font-121"/>
    <w:uiPriority w:val="0"/>
    <w:rPr>
      <w:color w:val="666666"/>
      <w:sz w:val="18"/>
      <w:szCs w:val="18"/>
      <w:u w:val="none"/>
    </w:rPr>
  </w:style>
  <w:style w:type="character" w:customStyle="1" w:styleId="114">
    <w:name w:val="h3 Char1"/>
    <w:aliases w:val="H3 Char1,sect1.2.3 Char1,Bold Head Char1,bh Char1,l3 Char1,CT Char1,Level 3 Head Char1,Heading 3 - old Char1,level_3 Char1,PIM 3 Char1,prop3 Char1,3 Char1,3heading Char1,heading 3 Char1,Heading 31 Char1,1.1.1 Heading 3 Char1,heading 3TOC Char1"/>
    <w:uiPriority w:val="0"/>
    <w:rPr>
      <w:rFonts w:eastAsia="宋体"/>
      <w:b/>
      <w:bCs/>
      <w:kern w:val="2"/>
      <w:sz w:val="32"/>
      <w:szCs w:val="32"/>
      <w:lang w:val="en-US" w:eastAsia="zh-CN" w:bidi="ar-SA"/>
    </w:rPr>
  </w:style>
  <w:style w:type="character" w:customStyle="1" w:styleId="115">
    <w:name w:val="正文文本缩进 3 字符"/>
    <w:link w:val="62"/>
    <w:uiPriority w:val="0"/>
    <w:rPr>
      <w:rFonts w:eastAsia="??"/>
      <w:kern w:val="2"/>
      <w:sz w:val="28"/>
      <w:szCs w:val="28"/>
      <w:lang w:val="en-US" w:eastAsia="zh-CN" w:bidi="ar-SA"/>
    </w:rPr>
  </w:style>
  <w:style w:type="character" w:customStyle="1" w:styleId="116">
    <w:name w:val="font61"/>
    <w:basedOn w:val="80"/>
    <w:qFormat/>
    <w:uiPriority w:val="0"/>
    <w:rPr>
      <w:rFonts w:hint="eastAsia" w:ascii="华文细黑" w:hAnsi="华文细黑" w:eastAsia="华文细黑" w:cs="华文细黑"/>
      <w:color w:val="000000"/>
      <w:sz w:val="18"/>
      <w:szCs w:val="18"/>
      <w:u w:val="none"/>
    </w:rPr>
  </w:style>
  <w:style w:type="character" w:customStyle="1" w:styleId="117">
    <w:name w:val="FA正文 Char Char"/>
    <w:link w:val="118"/>
    <w:uiPriority w:val="0"/>
    <w:rPr>
      <w:rFonts w:hAnsi="宋体"/>
      <w:kern w:val="2"/>
      <w:sz w:val="24"/>
      <w:lang w:bidi="ar-SA"/>
    </w:rPr>
  </w:style>
  <w:style w:type="paragraph" w:customStyle="1" w:styleId="118">
    <w:name w:val="FA正文"/>
    <w:basedOn w:val="1"/>
    <w:link w:val="117"/>
    <w:uiPriority w:val="0"/>
    <w:pPr>
      <w:spacing w:line="360" w:lineRule="auto"/>
      <w:ind w:firstLine="480" w:firstLineChars="200"/>
    </w:pPr>
    <w:rPr>
      <w:rFonts w:ascii="Calibri" w:hAnsi="宋体"/>
      <w:sz w:val="24"/>
      <w:szCs w:val="20"/>
    </w:rPr>
  </w:style>
  <w:style w:type="character" w:customStyle="1" w:styleId="119">
    <w:name w:val="批注框文本 字符"/>
    <w:link w:val="50"/>
    <w:uiPriority w:val="0"/>
    <w:rPr>
      <w:rFonts w:eastAsia="??"/>
      <w:kern w:val="2"/>
      <w:sz w:val="18"/>
      <w:szCs w:val="18"/>
      <w:lang w:val="en-US" w:eastAsia="zh-CN" w:bidi="ar-SA"/>
    </w:rPr>
  </w:style>
  <w:style w:type="character" w:customStyle="1" w:styleId="120">
    <w:name w:val="公文正文 Char"/>
    <w:link w:val="121"/>
    <w:uiPriority w:val="0"/>
    <w:rPr>
      <w:rFonts w:ascii="??_GB2312" w:hAnsi="??_GB2312" w:eastAsia="??_GB2312" w:cs="宋体"/>
      <w:kern w:val="2"/>
      <w:sz w:val="24"/>
      <w:szCs w:val="24"/>
      <w:lang w:val="en-US" w:eastAsia="zh-CN" w:bidi="ar-SA"/>
    </w:rPr>
  </w:style>
  <w:style w:type="paragraph" w:customStyle="1" w:styleId="121">
    <w:name w:val="公文正文"/>
    <w:basedOn w:val="1"/>
    <w:link w:val="120"/>
    <w:uiPriority w:val="0"/>
    <w:pPr>
      <w:spacing w:before="156" w:line="360" w:lineRule="auto"/>
      <w:ind w:firstLine="200" w:firstLineChars="200"/>
    </w:pPr>
    <w:rPr>
      <w:rFonts w:ascii="??_GB2312" w:hAnsi="??_GB2312" w:eastAsia="??_GB2312" w:cs="宋体"/>
      <w:sz w:val="24"/>
    </w:rPr>
  </w:style>
  <w:style w:type="character" w:customStyle="1" w:styleId="122">
    <w:name w:val="标题 9 字符"/>
    <w:link w:val="12"/>
    <w:uiPriority w:val="0"/>
    <w:rPr>
      <w:rFonts w:ascii="Arial" w:hAnsi="Arial" w:eastAsia="??" w:cs="Arial"/>
      <w:sz w:val="21"/>
      <w:szCs w:val="21"/>
      <w:lang w:val="en-US" w:eastAsia="zh-CN" w:bidi="ar-SA"/>
    </w:rPr>
  </w:style>
  <w:style w:type="character" w:customStyle="1" w:styleId="123">
    <w:name w:val="HTML 预设格式 字符"/>
    <w:link w:val="71"/>
    <w:uiPriority w:val="0"/>
    <w:rPr>
      <w:rFonts w:ascii="??" w:hAnsi="??" w:eastAsia="??" w:cs="Courier New"/>
      <w:szCs w:val="28"/>
      <w:lang w:val="en-US" w:eastAsia="zh-CN" w:bidi="ar-SA"/>
    </w:rPr>
  </w:style>
  <w:style w:type="character" w:customStyle="1" w:styleId="124">
    <w:name w:val="sony121"/>
    <w:uiPriority w:val="0"/>
    <w:rPr>
      <w:rFonts w:hint="eastAsia" w:ascii="宋体" w:hAnsi="宋体" w:eastAsia="宋体"/>
      <w:sz w:val="18"/>
      <w:szCs w:val="18"/>
    </w:rPr>
  </w:style>
  <w:style w:type="character" w:customStyle="1" w:styleId="125">
    <w:name w:val="标题 8 字符"/>
    <w:link w:val="11"/>
    <w:uiPriority w:val="0"/>
    <w:rPr>
      <w:rFonts w:ascii="Arial" w:hAnsi="Arial" w:eastAsia="??" w:cs="Arial"/>
      <w:sz w:val="24"/>
      <w:szCs w:val="28"/>
      <w:lang w:val="en-US" w:eastAsia="zh-CN" w:bidi="ar-SA"/>
    </w:rPr>
  </w:style>
  <w:style w:type="character" w:customStyle="1" w:styleId="126">
    <w:name w:val="标题 5 字符"/>
    <w:link w:val="8"/>
    <w:uiPriority w:val="0"/>
    <w:rPr>
      <w:rFonts w:eastAsia="??"/>
      <w:b/>
      <w:bCs/>
      <w:kern w:val="2"/>
      <w:sz w:val="28"/>
      <w:szCs w:val="28"/>
      <w:lang w:val="en-US" w:eastAsia="zh-CN" w:bidi="ar-SA"/>
    </w:rPr>
  </w:style>
  <w:style w:type="character" w:customStyle="1" w:styleId="127">
    <w:name w:val=" Char Char6"/>
    <w:uiPriority w:val="0"/>
    <w:rPr>
      <w:rFonts w:ascii="Times New Roman" w:hAnsi="Times New Roman"/>
      <w:kern w:val="28"/>
      <w:sz w:val="24"/>
      <w:szCs w:val="24"/>
    </w:rPr>
  </w:style>
  <w:style w:type="character" w:customStyle="1" w:styleId="128">
    <w:name w:val="标题 4 字符"/>
    <w:link w:val="7"/>
    <w:uiPriority w:val="0"/>
    <w:rPr>
      <w:rFonts w:ascii="Arial" w:hAnsi="Arial" w:eastAsia="??" w:cs="Arial"/>
      <w:b/>
      <w:bCs/>
      <w:kern w:val="2"/>
      <w:sz w:val="28"/>
      <w:szCs w:val="28"/>
      <w:lang w:val="en-US" w:eastAsia="zh-CN" w:bidi="ar-SA"/>
    </w:rPr>
  </w:style>
  <w:style w:type="character" w:customStyle="1" w:styleId="129">
    <w:name w:val="标题 2 Char1"/>
    <w:aliases w:val="h2 Char,H2 Char,h21 Char,h22 Char,H21 Char,h23 Char,H22 Char,Heading2 Char,list2 Char,H2-Heading 2 Char,2 Char,Header 2 Char,l2 Char,Header 2 Char,h24 Char,Header2 Char,22 Char,heading2 Char,heading 2 Char,2 2 Char,heading 2 Char,H23 Char"/>
    <w:uiPriority w:val="0"/>
    <w:rPr>
      <w:rFonts w:ascii="宋体" w:hAnsi="宋体" w:eastAsia="黑体"/>
      <w:bCs/>
      <w:kern w:val="2"/>
      <w:sz w:val="32"/>
      <w:szCs w:val="32"/>
    </w:rPr>
  </w:style>
  <w:style w:type="character" w:customStyle="1" w:styleId="130">
    <w:name w:val="标题 7 字符"/>
    <w:link w:val="10"/>
    <w:uiPriority w:val="0"/>
    <w:rPr>
      <w:rFonts w:eastAsia="??"/>
      <w:b/>
      <w:bCs/>
      <w:sz w:val="24"/>
      <w:szCs w:val="28"/>
      <w:lang w:val="en-US" w:eastAsia="zh-CN" w:bidi="ar-SA"/>
    </w:rPr>
  </w:style>
  <w:style w:type="character" w:customStyle="1" w:styleId="131">
    <w:name w:val="标题 5 Char Char Char Char Char Char Char Char Char Char Char Char Char"/>
    <w:uiPriority w:val="0"/>
    <w:rPr>
      <w:rFonts w:eastAsia="宋体"/>
      <w:b/>
      <w:bCs/>
      <w:kern w:val="2"/>
      <w:sz w:val="28"/>
      <w:szCs w:val="28"/>
      <w:lang w:val="en-US" w:eastAsia="zh-CN" w:bidi="ar-SA"/>
    </w:rPr>
  </w:style>
  <w:style w:type="character" w:customStyle="1" w:styleId="132">
    <w:name w:val="font51"/>
    <w:basedOn w:val="80"/>
    <w:qFormat/>
    <w:uiPriority w:val="0"/>
    <w:rPr>
      <w:rFonts w:hint="eastAsia" w:ascii="华文细黑" w:hAnsi="华文细黑" w:eastAsia="华文细黑" w:cs="华文细黑"/>
      <w:color w:val="FF0000"/>
      <w:sz w:val="18"/>
      <w:szCs w:val="18"/>
      <w:u w:val="none"/>
    </w:rPr>
  </w:style>
  <w:style w:type="character" w:customStyle="1" w:styleId="133">
    <w:name w:val=" Char Char19"/>
    <w:uiPriority w:val="0"/>
    <w:rPr>
      <w:kern w:val="2"/>
      <w:sz w:val="18"/>
    </w:rPr>
  </w:style>
  <w:style w:type="character" w:customStyle="1" w:styleId="134">
    <w:name w:val=" Char Char7"/>
    <w:uiPriority w:val="0"/>
    <w:rPr>
      <w:rFonts w:ascii="宋体" w:eastAsia="宋体"/>
      <w:snapToGrid w:val="0"/>
      <w:color w:val="000000"/>
      <w:kern w:val="28"/>
      <w:sz w:val="28"/>
      <w:lang w:val="en-US" w:eastAsia="zh-CN"/>
    </w:rPr>
  </w:style>
  <w:style w:type="character" w:customStyle="1" w:styleId="135">
    <w:name w:val="页脚 字符"/>
    <w:link w:val="51"/>
    <w:uiPriority w:val="0"/>
    <w:rPr>
      <w:rFonts w:eastAsia="??"/>
      <w:kern w:val="2"/>
      <w:sz w:val="18"/>
      <w:szCs w:val="28"/>
      <w:lang w:val="en-US" w:eastAsia="zh-CN" w:bidi="ar-SA"/>
    </w:rPr>
  </w:style>
  <w:style w:type="character" w:customStyle="1" w:styleId="136">
    <w:name w:val="gf正文1 Char"/>
    <w:link w:val="137"/>
    <w:uiPriority w:val="0"/>
    <w:rPr>
      <w:rFonts w:ascii="宋体" w:hAnsi="宋体" w:eastAsia="宋体"/>
      <w:kern w:val="2"/>
      <w:sz w:val="24"/>
      <w:lang w:val="en-US" w:eastAsia="zh-CN" w:bidi="ar-SA"/>
    </w:rPr>
  </w:style>
  <w:style w:type="paragraph" w:customStyle="1" w:styleId="137">
    <w:name w:val="gf正文1"/>
    <w:basedOn w:val="1"/>
    <w:link w:val="136"/>
    <w:uiPriority w:val="0"/>
    <w:pPr>
      <w:adjustRightInd w:val="0"/>
      <w:snapToGrid w:val="0"/>
      <w:spacing w:before="156" w:beforeLines="50" w:line="360" w:lineRule="auto"/>
      <w:ind w:firstLine="480" w:firstLineChars="200"/>
    </w:pPr>
    <w:rPr>
      <w:rFonts w:ascii="宋体" w:hAnsi="宋体"/>
      <w:sz w:val="24"/>
      <w:szCs w:val="20"/>
    </w:rPr>
  </w:style>
  <w:style w:type="character" w:customStyle="1" w:styleId="138">
    <w:name w:val="md"/>
    <w:basedOn w:val="80"/>
    <w:uiPriority w:val="0"/>
  </w:style>
  <w:style w:type="character" w:customStyle="1" w:styleId="139">
    <w:name w:val="页脚 Char"/>
    <w:uiPriority w:val="0"/>
    <w:rPr>
      <w:rFonts w:eastAsia="Calibri"/>
      <w:sz w:val="21"/>
    </w:rPr>
  </w:style>
  <w:style w:type="character" w:customStyle="1" w:styleId="140">
    <w:name w:val="段 Char Char Char"/>
    <w:uiPriority w:val="0"/>
    <w:rPr>
      <w:rFonts w:ascii="宋体" w:eastAsia="宋体"/>
      <w:sz w:val="21"/>
      <w:lang w:val="en-US" w:eastAsia="zh-CN" w:bidi="ar-SA"/>
    </w:rPr>
  </w:style>
  <w:style w:type="character" w:customStyle="1" w:styleId="141">
    <w:name w:val="fonts11"/>
    <w:uiPriority w:val="0"/>
    <w:rPr>
      <w:sz w:val="18"/>
      <w:szCs w:val="18"/>
    </w:rPr>
  </w:style>
  <w:style w:type="character" w:customStyle="1" w:styleId="142">
    <w:name w:val="占位符文本"/>
    <w:semiHidden/>
    <w:uiPriority w:val="0"/>
    <w:rPr>
      <w:color w:val="808080"/>
    </w:rPr>
  </w:style>
  <w:style w:type="character" w:customStyle="1" w:styleId="143">
    <w:name w:val="正文文本缩进 2 字符"/>
    <w:link w:val="46"/>
    <w:uiPriority w:val="0"/>
    <w:rPr>
      <w:rFonts w:ascii="??" w:hAnsi="??" w:eastAsia="??" w:cs="宋体"/>
      <w:kern w:val="2"/>
      <w:sz w:val="28"/>
      <w:szCs w:val="28"/>
      <w:lang w:val="en-US" w:eastAsia="zh-CN" w:bidi="ar-SA"/>
    </w:rPr>
  </w:style>
  <w:style w:type="character" w:customStyle="1" w:styleId="144">
    <w:name w:val="普通文字 Char Char"/>
    <w:aliases w:val="纯文本 Char Char Char,普通文字 Char1,纯文本 Char Char1,普通文字 Char Char Char Char Char,普通文字 Char Char Char Char1,纯文本 Char Char Char Char Char Char Char Char Char Char Char Char Char Char,小 Char,普通文字1 Char,普通文字2 Char,普通文字3 Char,普通文字4 Char,普通文字5 Char"/>
    <w:uiPriority w:val="0"/>
    <w:rPr>
      <w:rFonts w:ascii="宋体" w:hAnsi="Courier New" w:eastAsia="宋体"/>
      <w:kern w:val="2"/>
      <w:sz w:val="21"/>
      <w:szCs w:val="21"/>
      <w:lang w:bidi="ar-SA"/>
    </w:rPr>
  </w:style>
  <w:style w:type="character" w:customStyle="1" w:styleId="145">
    <w:name w:val=" Char Char14"/>
    <w:uiPriority w:val="0"/>
    <w:rPr>
      <w:kern w:val="2"/>
      <w:sz w:val="21"/>
    </w:rPr>
  </w:style>
  <w:style w:type="character" w:customStyle="1" w:styleId="146">
    <w:name w:val="t_tag"/>
    <w:basedOn w:val="80"/>
    <w:uiPriority w:val="0"/>
  </w:style>
  <w:style w:type="character" w:customStyle="1" w:styleId="147">
    <w:name w:val="表格正文 Char"/>
    <w:link w:val="148"/>
    <w:locked/>
    <w:uiPriority w:val="0"/>
    <w:rPr>
      <w:rFonts w:ascii="宋体" w:hAnsi="宋体" w:eastAsia="楷体_GB2312" w:cs="宋体"/>
      <w:kern w:val="2"/>
      <w:sz w:val="24"/>
      <w:lang w:val="en-US" w:eastAsia="zh-CN" w:bidi="ar-SA"/>
    </w:rPr>
  </w:style>
  <w:style w:type="paragraph" w:customStyle="1" w:styleId="148">
    <w:name w:val="表格正文"/>
    <w:basedOn w:val="1"/>
    <w:link w:val="147"/>
    <w:uiPriority w:val="0"/>
    <w:pPr>
      <w:spacing w:line="360" w:lineRule="auto"/>
    </w:pPr>
    <w:rPr>
      <w:rFonts w:ascii="宋体" w:hAnsi="宋体" w:eastAsia="楷体_GB2312" w:cs="宋体"/>
      <w:sz w:val="24"/>
      <w:szCs w:val="20"/>
    </w:rPr>
  </w:style>
  <w:style w:type="character" w:customStyle="1" w:styleId="149">
    <w:name w:val="正文文本首行缩进 字符"/>
    <w:link w:val="76"/>
    <w:uiPriority w:val="0"/>
    <w:rPr>
      <w:rFonts w:ascii="宋体" w:eastAsia="宋体"/>
      <w:kern w:val="2"/>
      <w:sz w:val="24"/>
      <w:lang w:val="zh-CN" w:eastAsia="zh-CN" w:bidi="ar-SA"/>
    </w:rPr>
  </w:style>
  <w:style w:type="character" w:customStyle="1" w:styleId="150">
    <w:name w:val="标题 字符"/>
    <w:link w:val="74"/>
    <w:uiPriority w:val="0"/>
    <w:rPr>
      <w:rFonts w:eastAsia="??"/>
      <w:b/>
      <w:sz w:val="24"/>
      <w:szCs w:val="28"/>
      <w:lang w:val="en-GB" w:eastAsia="zh-CN" w:bidi="ar-SA"/>
    </w:rPr>
  </w:style>
  <w:style w:type="character" w:customStyle="1" w:styleId="151">
    <w:name w:val=" Char12"/>
    <w:semiHidden/>
    <w:uiPriority w:val="0"/>
    <w:rPr>
      <w:rFonts w:eastAsia="宋体"/>
      <w:kern w:val="2"/>
      <w:sz w:val="24"/>
      <w:szCs w:val="24"/>
      <w:lang w:val="en-US" w:eastAsia="zh-CN" w:bidi="ar-SA"/>
    </w:rPr>
  </w:style>
  <w:style w:type="character" w:customStyle="1" w:styleId="152">
    <w:name w:val="dectext1"/>
    <w:uiPriority w:val="0"/>
    <w:rPr>
      <w:rFonts w:ascii="宋体" w:hAnsi="宋体" w:eastAsia="宋体"/>
      <w:color w:val="333333"/>
      <w:sz w:val="21"/>
      <w:u w:val="none"/>
    </w:rPr>
  </w:style>
  <w:style w:type="character" w:customStyle="1" w:styleId="153">
    <w:name w:val=" Char Char15"/>
    <w:uiPriority w:val="0"/>
    <w:rPr>
      <w:rFonts w:ascii="Times New Roman" w:hAnsi="Times New Roman"/>
      <w:sz w:val="18"/>
    </w:rPr>
  </w:style>
  <w:style w:type="character" w:customStyle="1" w:styleId="154">
    <w:name w:val="样式1 Char Char"/>
    <w:link w:val="155"/>
    <w:qFormat/>
    <w:uiPriority w:val="0"/>
    <w:rPr>
      <w:rFonts w:ascii="??" w:hAnsi="??" w:eastAsia="??" w:cs="宋体"/>
      <w:b/>
      <w:sz w:val="32"/>
      <w:szCs w:val="28"/>
    </w:rPr>
  </w:style>
  <w:style w:type="paragraph" w:customStyle="1" w:styleId="155">
    <w:name w:val="样式1"/>
    <w:basedOn w:val="4"/>
    <w:link w:val="154"/>
    <w:qFormat/>
    <w:uiPriority w:val="0"/>
    <w:pPr>
      <w:numPr>
        <w:ilvl w:val="0"/>
        <w:numId w:val="2"/>
      </w:numPr>
    </w:pPr>
    <w:rPr>
      <w:kern w:val="0"/>
    </w:rPr>
  </w:style>
  <w:style w:type="character" w:customStyle="1" w:styleId="156">
    <w:name w:val="style161"/>
    <w:uiPriority w:val="0"/>
    <w:rPr>
      <w:sz w:val="20"/>
      <w:szCs w:val="20"/>
    </w:rPr>
  </w:style>
  <w:style w:type="character" w:customStyle="1" w:styleId="157">
    <w:name w:val="shadow11"/>
    <w:uiPriority w:val="0"/>
    <w:rPr>
      <w:color w:val="000000"/>
      <w:sz w:val="21"/>
    </w:rPr>
  </w:style>
  <w:style w:type="character" w:customStyle="1" w:styleId="158">
    <w:name w:val="正文 首行缩进:  2 字符 Char Char Char"/>
    <w:uiPriority w:val="0"/>
    <w:rPr>
      <w:rFonts w:eastAsia="宋体" w:cs="宋体"/>
      <w:kern w:val="2"/>
      <w:sz w:val="24"/>
      <w:lang w:val="en-US" w:eastAsia="zh-CN" w:bidi="ar-SA"/>
    </w:rPr>
  </w:style>
  <w:style w:type="character" w:customStyle="1" w:styleId="159">
    <w:name w:val="标题 3 字符"/>
    <w:link w:val="6"/>
    <w:uiPriority w:val="0"/>
    <w:rPr>
      <w:rFonts w:eastAsia="??"/>
      <w:b/>
      <w:sz w:val="32"/>
      <w:szCs w:val="28"/>
      <w:lang w:val="en-US" w:eastAsia="zh-CN" w:bidi="ar-SA"/>
    </w:rPr>
  </w:style>
  <w:style w:type="character" w:customStyle="1" w:styleId="160">
    <w:name w:val="正文2 Char"/>
    <w:link w:val="161"/>
    <w:locked/>
    <w:uiPriority w:val="0"/>
    <w:rPr>
      <w:rFonts w:eastAsia="??"/>
      <w:kern w:val="2"/>
      <w:sz w:val="24"/>
      <w:szCs w:val="28"/>
    </w:rPr>
  </w:style>
  <w:style w:type="paragraph" w:customStyle="1" w:styleId="161">
    <w:name w:val="正文2"/>
    <w:basedOn w:val="1"/>
    <w:link w:val="160"/>
    <w:uiPriority w:val="0"/>
    <w:pPr>
      <w:spacing w:before="156" w:line="360" w:lineRule="auto"/>
      <w:ind w:firstLine="200" w:firstLineChars="200"/>
    </w:pPr>
    <w:rPr>
      <w:rFonts w:ascii="Calibri" w:hAnsi="Calibri" w:eastAsia="??"/>
      <w:sz w:val="24"/>
      <w:szCs w:val="28"/>
    </w:rPr>
  </w:style>
  <w:style w:type="character" w:customStyle="1" w:styleId="162">
    <w:name w:val="标题 3 Char Char Char Char Char Char Char Char Char Char Char Char Char Char Char Char Char Char Char Char Char Char Char Char Char Char Char Char Char Char Char Char Char Char Char Char Char Char Char Char Char Char Char Char Char Char Char Char Cha Char"/>
    <w:uiPriority w:val="0"/>
    <w:rPr>
      <w:rFonts w:eastAsia="宋体"/>
      <w:b/>
      <w:bCs/>
      <w:kern w:val="2"/>
      <w:sz w:val="32"/>
      <w:szCs w:val="32"/>
      <w:lang w:val="en-US" w:eastAsia="zh-CN" w:bidi="ar-SA"/>
    </w:rPr>
  </w:style>
  <w:style w:type="character" w:customStyle="1" w:styleId="163">
    <w:name w:val="纯文本 字符1"/>
    <w:link w:val="40"/>
    <w:uiPriority w:val="0"/>
    <w:rPr>
      <w:rFonts w:ascii="??" w:hAnsi="??" w:eastAsia="??" w:cs="宋体"/>
      <w:kern w:val="2"/>
      <w:sz w:val="21"/>
      <w:szCs w:val="21"/>
    </w:rPr>
  </w:style>
  <w:style w:type="character" w:customStyle="1" w:styleId="164">
    <w:name w:val="批注文字 字符"/>
    <w:link w:val="26"/>
    <w:uiPriority w:val="0"/>
    <w:rPr>
      <w:rFonts w:eastAsia="宋体" w:cs="Lucida Sans"/>
      <w:kern w:val="2"/>
      <w:sz w:val="21"/>
      <w:lang w:val="en-US" w:eastAsia="zh-CN" w:bidi="ar-SA"/>
    </w:rPr>
  </w:style>
  <w:style w:type="character" w:customStyle="1" w:styleId="165">
    <w:name w:val="unnamed11"/>
    <w:uiPriority w:val="0"/>
    <w:rPr>
      <w:sz w:val="20"/>
    </w:rPr>
  </w:style>
  <w:style w:type="character" w:customStyle="1" w:styleId="166">
    <w:name w:val="正文首行缩进两字 Char"/>
    <w:link w:val="167"/>
    <w:uiPriority w:val="0"/>
    <w:rPr>
      <w:sz w:val="24"/>
      <w:szCs w:val="24"/>
      <w:lang w:val="en-US" w:eastAsia="zh-CN" w:bidi="ar-SA"/>
    </w:rPr>
  </w:style>
  <w:style w:type="paragraph" w:customStyle="1" w:styleId="167">
    <w:name w:val="正文首行缩进两字"/>
    <w:link w:val="166"/>
    <w:uiPriority w:val="0"/>
    <w:pPr>
      <w:spacing w:after="163" w:afterLines="50" w:line="300" w:lineRule="auto"/>
      <w:ind w:firstLine="480" w:firstLineChars="200"/>
    </w:pPr>
    <w:rPr>
      <w:sz w:val="24"/>
      <w:szCs w:val="24"/>
      <w:lang w:val="en-US" w:eastAsia="zh-CN" w:bidi="ar-SA"/>
    </w:rPr>
  </w:style>
  <w:style w:type="character" w:customStyle="1" w:styleId="168">
    <w:name w:val="正文文本缩进 字符"/>
    <w:link w:val="2"/>
    <w:uiPriority w:val="0"/>
    <w:rPr>
      <w:rFonts w:ascii="??" w:hAnsi="??" w:eastAsia="??" w:cs="宋体"/>
      <w:kern w:val="2"/>
      <w:sz w:val="28"/>
      <w:szCs w:val="28"/>
    </w:rPr>
  </w:style>
  <w:style w:type="character" w:customStyle="1" w:styleId="169">
    <w:name w:val="哈哈改 Char"/>
    <w:link w:val="170"/>
    <w:uiPriority w:val="0"/>
    <w:rPr>
      <w:rFonts w:ascii="宋体" w:hAnsi="宋体" w:eastAsia="宋体"/>
      <w:b/>
      <w:kern w:val="2"/>
      <w:sz w:val="24"/>
      <w:szCs w:val="24"/>
      <w:lang w:bidi="ar-SA"/>
    </w:rPr>
  </w:style>
  <w:style w:type="paragraph" w:customStyle="1" w:styleId="170">
    <w:name w:val="哈哈改"/>
    <w:basedOn w:val="109"/>
    <w:link w:val="169"/>
    <w:uiPriority w:val="0"/>
    <w:pPr>
      <w:ind w:firstLine="480"/>
    </w:pPr>
    <w:rPr>
      <w:b/>
      <w:szCs w:val="24"/>
    </w:rPr>
  </w:style>
  <w:style w:type="character" w:customStyle="1" w:styleId="171">
    <w:name w:val="正文缩 Char"/>
    <w:link w:val="172"/>
    <w:uiPriority w:val="0"/>
    <w:rPr>
      <w:rFonts w:eastAsia="楷体_GB2312"/>
      <w:kern w:val="2"/>
      <w:sz w:val="24"/>
      <w:szCs w:val="24"/>
      <w:lang w:bidi="ar-SA"/>
    </w:rPr>
  </w:style>
  <w:style w:type="paragraph" w:customStyle="1" w:styleId="172">
    <w:name w:val="正文缩"/>
    <w:basedOn w:val="1"/>
    <w:link w:val="171"/>
    <w:uiPriority w:val="0"/>
    <w:pPr>
      <w:spacing w:line="360" w:lineRule="auto"/>
      <w:ind w:firstLine="200" w:firstLineChars="200"/>
    </w:pPr>
    <w:rPr>
      <w:rFonts w:ascii="Calibri" w:hAnsi="Calibri" w:eastAsia="楷体_GB2312"/>
      <w:sz w:val="24"/>
    </w:rPr>
  </w:style>
  <w:style w:type="character" w:customStyle="1" w:styleId="173">
    <w:name w:val="纯文本 Char1"/>
    <w:uiPriority w:val="0"/>
    <w:rPr>
      <w:rFonts w:ascii="宋体" w:hAnsi="Courier New"/>
    </w:rPr>
  </w:style>
  <w:style w:type="character" w:customStyle="1" w:styleId="174">
    <w:name w:val="normalfont1"/>
    <w:uiPriority w:val="0"/>
    <w:rPr>
      <w:rFonts w:hint="default" w:ascii="ˎ̥" w:hAnsi="ˎ̥"/>
      <w:sz w:val="18"/>
      <w:szCs w:val="18"/>
      <w:u w:val="none"/>
    </w:rPr>
  </w:style>
  <w:style w:type="character" w:customStyle="1" w:styleId="175">
    <w:name w:val="纯文本 Char"/>
    <w:uiPriority w:val="0"/>
    <w:rPr>
      <w:rFonts w:ascii="??" w:hAnsi="??" w:eastAsia="??" w:cs="宋体"/>
      <w:kern w:val="2"/>
      <w:sz w:val="21"/>
      <w:szCs w:val="21"/>
    </w:rPr>
  </w:style>
  <w:style w:type="character" w:customStyle="1" w:styleId="176">
    <w:name w:val="电子邮件签名 字符"/>
    <w:link w:val="18"/>
    <w:uiPriority w:val="0"/>
    <w:rPr>
      <w:rFonts w:eastAsia="楷体_GB2312"/>
      <w:kern w:val="2"/>
      <w:sz w:val="24"/>
      <w:szCs w:val="24"/>
      <w:lang w:bidi="ar-SA"/>
    </w:rPr>
  </w:style>
  <w:style w:type="character" w:customStyle="1" w:styleId="177">
    <w:name w:val="title141"/>
    <w:uiPriority w:val="0"/>
    <w:rPr>
      <w:sz w:val="25"/>
      <w:szCs w:val="25"/>
    </w:rPr>
  </w:style>
  <w:style w:type="character" w:customStyle="1" w:styleId="178">
    <w:name w:val="样式 样式4 + 加粗 首行缩进: Char Char Char Char"/>
    <w:uiPriority w:val="0"/>
    <w:rPr>
      <w:rFonts w:eastAsia="宋体" w:cs="宋体"/>
      <w:b/>
      <w:bCs/>
      <w:color w:val="000000"/>
      <w:kern w:val="2"/>
      <w:sz w:val="24"/>
      <w:szCs w:val="24"/>
      <w:lang w:val="en-US" w:eastAsia="zh-CN" w:bidi="ar-SA"/>
    </w:rPr>
  </w:style>
  <w:style w:type="character" w:customStyle="1" w:styleId="179">
    <w:name w:val="纯文本 字符"/>
    <w:uiPriority w:val="0"/>
    <w:rPr>
      <w:rFonts w:ascii="??" w:hAnsi="??" w:eastAsia="??" w:cs="宋体"/>
      <w:kern w:val="2"/>
      <w:sz w:val="21"/>
      <w:szCs w:val="21"/>
    </w:rPr>
  </w:style>
  <w:style w:type="character" w:customStyle="1" w:styleId="180">
    <w:name w:val="样式4 Char Char"/>
    <w:uiPriority w:val="0"/>
    <w:rPr>
      <w:rFonts w:eastAsia="宋体" w:cs="宋体"/>
      <w:color w:val="000000"/>
      <w:sz w:val="24"/>
      <w:szCs w:val="24"/>
      <w:lang w:val="en-US" w:eastAsia="zh-CN" w:bidi="ar-SA"/>
    </w:rPr>
  </w:style>
  <w:style w:type="character" w:customStyle="1" w:styleId="181">
    <w:name w:val="标题 2 字符"/>
    <w:link w:val="5"/>
    <w:uiPriority w:val="0"/>
    <w:rPr>
      <w:rFonts w:ascii="Arial" w:hAnsi="Arial" w:eastAsia="??" w:cs="Arial"/>
      <w:b/>
      <w:bCs/>
      <w:kern w:val="2"/>
      <w:sz w:val="21"/>
      <w:szCs w:val="32"/>
      <w:lang w:val="en-US" w:eastAsia="zh-CN" w:bidi="ar-SA"/>
    </w:rPr>
  </w:style>
  <w:style w:type="character" w:customStyle="1" w:styleId="182">
    <w:name w:val="批注主题 字符"/>
    <w:link w:val="75"/>
    <w:uiPriority w:val="0"/>
    <w:rPr>
      <w:rFonts w:eastAsia="宋体"/>
      <w:b/>
      <w:kern w:val="2"/>
      <w:sz w:val="21"/>
      <w:lang w:bidi="ar-SA"/>
    </w:rPr>
  </w:style>
  <w:style w:type="character" w:customStyle="1" w:styleId="183">
    <w:name w:val=" Char Char16"/>
    <w:uiPriority w:val="0"/>
    <w:rPr>
      <w:rFonts w:ascii="宋体" w:hAnsi="宋体" w:eastAsia="宋体" w:cs="Lucida Sans"/>
    </w:rPr>
  </w:style>
  <w:style w:type="character" w:customStyle="1" w:styleId="184">
    <w:name w:val="标题 6 字符"/>
    <w:link w:val="9"/>
    <w:uiPriority w:val="0"/>
    <w:rPr>
      <w:rFonts w:ascii="Arial" w:hAnsi="Arial" w:eastAsia="??" w:cs="Arial"/>
      <w:b/>
      <w:bCs/>
      <w:sz w:val="24"/>
      <w:szCs w:val="28"/>
      <w:lang w:val="en-US" w:eastAsia="zh-CN" w:bidi="ar-SA"/>
    </w:rPr>
  </w:style>
  <w:style w:type="character" w:customStyle="1" w:styleId="185">
    <w:name w:val="签名 字符"/>
    <w:link w:val="53"/>
    <w:uiPriority w:val="0"/>
    <w:rPr>
      <w:rFonts w:eastAsia="仿宋_GB2312"/>
      <w:sz w:val="24"/>
      <w:lang w:bidi="ar-SA"/>
    </w:rPr>
  </w:style>
  <w:style w:type="character" w:customStyle="1" w:styleId="186">
    <w:name w:val="ca-41"/>
    <w:uiPriority w:val="0"/>
    <w:rPr>
      <w:rFonts w:hint="eastAsia" w:ascii="仿宋_GB2312" w:eastAsia="仿宋_GB2312"/>
      <w:sz w:val="24"/>
      <w:szCs w:val="24"/>
    </w:rPr>
  </w:style>
  <w:style w:type="character" w:customStyle="1" w:styleId="187">
    <w:name w:val="日期 字符"/>
    <w:link w:val="45"/>
    <w:uiPriority w:val="0"/>
    <w:rPr>
      <w:rFonts w:eastAsia="??_GB2312"/>
      <w:b/>
      <w:sz w:val="28"/>
      <w:szCs w:val="28"/>
      <w:lang w:val="en-US" w:eastAsia="zh-CN" w:bidi="ar-SA"/>
    </w:rPr>
  </w:style>
  <w:style w:type="character" w:customStyle="1" w:styleId="188">
    <w:name w:val="正文1 Char"/>
    <w:uiPriority w:val="0"/>
    <w:rPr>
      <w:rFonts w:ascii="宋体" w:eastAsia="宋体"/>
      <w:snapToGrid w:val="0"/>
      <w:color w:val="000000"/>
      <w:kern w:val="28"/>
      <w:sz w:val="28"/>
      <w:lang w:val="en-US" w:eastAsia="zh-CN" w:bidi="ar-SA"/>
    </w:rPr>
  </w:style>
  <w:style w:type="character" w:customStyle="1" w:styleId="189">
    <w:name w:val="标题 1 字符"/>
    <w:link w:val="4"/>
    <w:uiPriority w:val="0"/>
    <w:rPr>
      <w:rFonts w:ascii="??" w:hAnsi="??" w:eastAsia="??" w:cs="宋体"/>
      <w:b/>
      <w:kern w:val="36"/>
      <w:sz w:val="32"/>
      <w:szCs w:val="28"/>
      <w:lang w:val="en-US" w:eastAsia="zh-CN" w:bidi="ar-SA"/>
    </w:rPr>
  </w:style>
  <w:style w:type="character" w:customStyle="1" w:styleId="190">
    <w:name w:val="正文4 Char"/>
    <w:link w:val="191"/>
    <w:uiPriority w:val="0"/>
    <w:rPr>
      <w:rFonts w:eastAsia="楷体_GB2312"/>
      <w:kern w:val="2"/>
      <w:sz w:val="24"/>
      <w:szCs w:val="24"/>
      <w:lang w:bidi="ar-SA"/>
    </w:rPr>
  </w:style>
  <w:style w:type="paragraph" w:customStyle="1" w:styleId="191">
    <w:name w:val="正文4"/>
    <w:basedOn w:val="1"/>
    <w:link w:val="190"/>
    <w:uiPriority w:val="0"/>
    <w:pPr>
      <w:spacing w:before="60" w:after="60" w:line="360" w:lineRule="auto"/>
    </w:pPr>
    <w:rPr>
      <w:rFonts w:ascii="Calibri" w:hAnsi="Calibri" w:eastAsia="楷体_GB2312"/>
      <w:sz w:val="24"/>
    </w:rPr>
  </w:style>
  <w:style w:type="character" w:customStyle="1" w:styleId="192">
    <w:name w:val="00文章正文 字符"/>
    <w:link w:val="193"/>
    <w:locked/>
    <w:uiPriority w:val="0"/>
    <w:rPr>
      <w:rFonts w:ascii="宋体" w:eastAsia="宋体"/>
      <w:kern w:val="2"/>
      <w:sz w:val="28"/>
      <w:lang w:bidi="ar-SA"/>
    </w:rPr>
  </w:style>
  <w:style w:type="paragraph" w:customStyle="1" w:styleId="193">
    <w:name w:val="00文章正文"/>
    <w:basedOn w:val="1"/>
    <w:link w:val="192"/>
    <w:uiPriority w:val="0"/>
    <w:pPr>
      <w:spacing w:line="360" w:lineRule="auto"/>
      <w:ind w:firstLine="200" w:firstLineChars="200"/>
    </w:pPr>
    <w:rPr>
      <w:rFonts w:ascii="宋体" w:hAnsi="Times New Roman"/>
      <w:sz w:val="28"/>
      <w:szCs w:val="20"/>
      <w:lang/>
    </w:rPr>
  </w:style>
  <w:style w:type="character" w:customStyle="1" w:styleId="194">
    <w:name w:val="脚注文本 字符"/>
    <w:link w:val="60"/>
    <w:uiPriority w:val="0"/>
    <w:rPr>
      <w:rFonts w:eastAsia="楷体_GB2312"/>
      <w:kern w:val="2"/>
      <w:sz w:val="18"/>
      <w:szCs w:val="18"/>
      <w:lang w:bidi="ar-SA"/>
    </w:rPr>
  </w:style>
  <w:style w:type="character" w:customStyle="1" w:styleId="195">
    <w:name w:val="称呼 字符"/>
    <w:link w:val="28"/>
    <w:uiPriority w:val="0"/>
    <w:rPr>
      <w:rFonts w:ascii="仿宋_GB2312" w:eastAsia="仿宋_GB2312"/>
      <w:kern w:val="2"/>
      <w:sz w:val="28"/>
      <w:lang w:bidi="ar-SA"/>
    </w:rPr>
  </w:style>
  <w:style w:type="character" w:customStyle="1" w:styleId="196">
    <w:name w:val="正文缩进 字符"/>
    <w:link w:val="20"/>
    <w:uiPriority w:val="0"/>
    <w:rPr>
      <w:rFonts w:eastAsia="??"/>
      <w:sz w:val="24"/>
      <w:szCs w:val="24"/>
      <w:lang w:val="en-US" w:eastAsia="zh-CN" w:bidi="ar-SA"/>
    </w:rPr>
  </w:style>
  <w:style w:type="paragraph" w:customStyle="1" w:styleId="197">
    <w:name w:val=" Char3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98">
    <w:name w:val="Normal_13"/>
    <w:qFormat/>
    <w:uiPriority w:val="0"/>
    <w:pPr>
      <w:spacing w:before="120" w:after="240"/>
      <w:jc w:val="both"/>
    </w:pPr>
    <w:rPr>
      <w:rFonts w:eastAsia="Calibri"/>
      <w:sz w:val="22"/>
      <w:szCs w:val="22"/>
      <w:lang w:val="ru-RU" w:eastAsia="en-US" w:bidi="ar-SA"/>
    </w:rPr>
  </w:style>
  <w:style w:type="paragraph" w:customStyle="1" w:styleId="199">
    <w:name w:val="xl63"/>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200">
    <w:name w:val="xl99"/>
    <w:basedOn w:val="1"/>
    <w:uiPriority w:val="0"/>
    <w:pPr>
      <w:widowControl/>
      <w:spacing w:before="100" w:beforeAutospacing="1" w:after="100" w:afterAutospacing="1"/>
      <w:jc w:val="left"/>
    </w:pPr>
    <w:rPr>
      <w:rFonts w:ascii="宋体" w:hAnsi="宋体"/>
      <w:kern w:val="0"/>
      <w:sz w:val="24"/>
      <w:szCs w:val="20"/>
    </w:rPr>
  </w:style>
  <w:style w:type="paragraph" w:customStyle="1" w:styleId="201">
    <w:name w:val=" Char Char Char Char"/>
    <w:basedOn w:val="1"/>
    <w:uiPriority w:val="0"/>
    <w:rPr>
      <w:rFonts w:ascii="Tahoma" w:hAnsi="Tahoma"/>
      <w:sz w:val="24"/>
      <w:szCs w:val="20"/>
    </w:rPr>
  </w:style>
  <w:style w:type="paragraph" w:customStyle="1" w:styleId="202">
    <w:name w:val="xl33"/>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203">
    <w:name w:val="正文 首行缩进2字符"/>
    <w:basedOn w:val="1"/>
    <w:uiPriority w:val="0"/>
    <w:pPr>
      <w:spacing w:line="360" w:lineRule="auto"/>
      <w:ind w:firstLine="200" w:firstLineChars="200"/>
    </w:pPr>
    <w:rPr>
      <w:rFonts w:eastAsia="楷体_GB2312"/>
      <w:sz w:val="24"/>
      <w:szCs w:val="20"/>
    </w:rPr>
  </w:style>
  <w:style w:type="paragraph" w:customStyle="1" w:styleId="204">
    <w:name w:val=" Char Char1 Char Char Char Char Char Char"/>
    <w:basedOn w:val="1"/>
    <w:uiPriority w:val="0"/>
    <w:rPr>
      <w:rFonts w:ascii="仿宋_GB2312" w:eastAsia="仿宋_GB2312"/>
      <w:b/>
      <w:sz w:val="32"/>
      <w:szCs w:val="20"/>
    </w:rPr>
  </w:style>
  <w:style w:type="paragraph" w:customStyle="1" w:styleId="205">
    <w:name w:val="xl96"/>
    <w:basedOn w:val="1"/>
    <w:uiPriority w:val="0"/>
    <w:pPr>
      <w:widowControl/>
      <w:pBdr>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206">
    <w:name w:val="xl123"/>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customStyle="1" w:styleId="207">
    <w:name w:val="xl124"/>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208">
    <w:name w:val="font12"/>
    <w:basedOn w:val="1"/>
    <w:uiPriority w:val="0"/>
    <w:pPr>
      <w:widowControl/>
      <w:spacing w:before="100" w:beforeAutospacing="1" w:after="100" w:afterAutospacing="1"/>
      <w:jc w:val="left"/>
    </w:pPr>
    <w:rPr>
      <w:rFonts w:ascii="Arial" w:hAnsi="Arial"/>
      <w:color w:val="FF0000"/>
      <w:kern w:val="0"/>
      <w:sz w:val="18"/>
      <w:szCs w:val="20"/>
    </w:rPr>
  </w:style>
  <w:style w:type="paragraph" w:customStyle="1" w:styleId="209">
    <w:name w:val="列出段落3"/>
    <w:basedOn w:val="1"/>
    <w:uiPriority w:val="99"/>
    <w:pPr>
      <w:snapToGrid w:val="0"/>
      <w:spacing w:line="276" w:lineRule="auto"/>
      <w:ind w:firstLine="420" w:firstLineChars="200"/>
    </w:pPr>
    <w:rPr>
      <w:rFonts w:ascii="Calibri" w:hAnsi="Calibri" w:eastAsia="微软雅黑" w:cs="Times New Roman"/>
      <w:sz w:val="24"/>
      <w:szCs w:val="21"/>
    </w:rPr>
  </w:style>
  <w:style w:type="paragraph" w:customStyle="1" w:styleId="210">
    <w:name w:val="xl1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kern w:val="0"/>
      <w:sz w:val="18"/>
      <w:szCs w:val="20"/>
    </w:rPr>
  </w:style>
  <w:style w:type="paragraph" w:customStyle="1" w:styleId="211">
    <w:name w:val="首行缩进正文"/>
    <w:basedOn w:val="1"/>
    <w:uiPriority w:val="0"/>
    <w:pPr>
      <w:spacing w:line="360" w:lineRule="auto"/>
      <w:ind w:firstLine="480"/>
    </w:pPr>
    <w:rPr>
      <w:rFonts w:eastAsia="楷体_GB2312"/>
      <w:sz w:val="24"/>
      <w:szCs w:val="20"/>
    </w:rPr>
  </w:style>
  <w:style w:type="paragraph" w:customStyle="1" w:styleId="212">
    <w:name w:val="xl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kern w:val="0"/>
      <w:sz w:val="20"/>
      <w:szCs w:val="20"/>
    </w:rPr>
  </w:style>
  <w:style w:type="paragraph" w:customStyle="1" w:styleId="213">
    <w:name w:val="Char1"/>
    <w:basedOn w:val="1"/>
    <w:uiPriority w:val="0"/>
    <w:rPr>
      <w:rFonts w:ascii="??_GB2312" w:hAnsi="??_GB2312" w:eastAsia="??_GB2312" w:cs="宋体"/>
      <w:b/>
      <w:sz w:val="32"/>
      <w:szCs w:val="32"/>
    </w:rPr>
  </w:style>
  <w:style w:type="paragraph" w:customStyle="1" w:styleId="214">
    <w:name w:val=" Char1 Char Char Char"/>
    <w:basedOn w:val="1"/>
    <w:uiPriority w:val="0"/>
    <w:rPr>
      <w:rFonts w:ascii="仿宋_GB2312" w:hAnsi="仿宋_GB2312" w:eastAsia="仿宋_GB2312" w:cs="Lucida Sans"/>
      <w:b/>
      <w:sz w:val="32"/>
      <w:szCs w:val="32"/>
    </w:rPr>
  </w:style>
  <w:style w:type="paragraph" w:customStyle="1" w:styleId="215">
    <w:name w:val="[Normal]"/>
    <w:qFormat/>
    <w:uiPriority w:val="0"/>
    <w:rPr>
      <w:rFonts w:ascii="宋体" w:hAnsi="宋体" w:eastAsia="宋体" w:cs="Times New Roman"/>
      <w:sz w:val="24"/>
      <w:szCs w:val="22"/>
      <w:lang w:val="zh-CN" w:eastAsia="zh-CN" w:bidi="ar-SA"/>
    </w:rPr>
  </w:style>
  <w:style w:type="paragraph" w:customStyle="1" w:styleId="216">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FF0000"/>
      <w:kern w:val="0"/>
      <w:sz w:val="20"/>
      <w:szCs w:val="20"/>
    </w:rPr>
  </w:style>
  <w:style w:type="paragraph" w:customStyle="1" w:styleId="217">
    <w:name w:val="列表段落"/>
    <w:basedOn w:val="1"/>
    <w:qFormat/>
    <w:uiPriority w:val="34"/>
    <w:pPr>
      <w:widowControl/>
      <w:ind w:firstLine="200" w:firstLineChars="200"/>
      <w:jc w:val="left"/>
    </w:pPr>
    <w:rPr>
      <w:rFonts w:ascii="??" w:hAnsi="??" w:eastAsia="??" w:cs="??"/>
      <w:kern w:val="0"/>
      <w:sz w:val="24"/>
    </w:rPr>
  </w:style>
  <w:style w:type="paragraph" w:customStyle="1" w:styleId="218">
    <w:name w:val="彩色列表 - 强调文字颜色 11"/>
    <w:basedOn w:val="1"/>
    <w:qFormat/>
    <w:uiPriority w:val="34"/>
    <w:pPr>
      <w:ind w:firstLine="420" w:firstLineChars="200"/>
    </w:pPr>
  </w:style>
  <w:style w:type="paragraph" w:customStyle="1" w:styleId="219">
    <w:name w:val="正文文字缩进 3"/>
    <w:basedOn w:val="1"/>
    <w:uiPriority w:val="0"/>
    <w:pPr>
      <w:suppressAutoHyphens/>
      <w:spacing w:line="360" w:lineRule="auto"/>
      <w:ind w:left="481" w:firstLine="480"/>
    </w:pPr>
    <w:rPr>
      <w:rFonts w:eastAsia="楷体_GB2312"/>
      <w:kern w:val="1"/>
      <w:sz w:val="24"/>
      <w:szCs w:val="20"/>
      <w:lang w:eastAsia="ar-SA"/>
    </w:rPr>
  </w:style>
  <w:style w:type="paragraph" w:customStyle="1" w:styleId="220">
    <w:name w:val="标题1"/>
    <w:basedOn w:val="1"/>
    <w:uiPriority w:val="0"/>
    <w:pPr>
      <w:widowControl/>
      <w:tabs>
        <w:tab w:val="left" w:pos="450"/>
      </w:tabs>
      <w:autoSpaceDE w:val="0"/>
      <w:autoSpaceDN w:val="0"/>
      <w:adjustRightInd w:val="0"/>
      <w:spacing w:before="240" w:after="240"/>
      <w:jc w:val="left"/>
      <w:textAlignment w:val="center"/>
    </w:pPr>
    <w:rPr>
      <w:rFonts w:ascii="宋体" w:eastAsia="楷体_GB2312"/>
      <w:b/>
      <w:kern w:val="0"/>
      <w:sz w:val="32"/>
      <w:szCs w:val="20"/>
    </w:rPr>
  </w:style>
  <w:style w:type="paragraph" w:customStyle="1" w:styleId="221">
    <w:name w:val="段"/>
    <w:uiPriority w:val="0"/>
    <w:pPr>
      <w:autoSpaceDE w:val="0"/>
      <w:autoSpaceDN w:val="0"/>
      <w:ind w:firstLine="200" w:firstLineChars="200"/>
      <w:jc w:val="both"/>
    </w:pPr>
    <w:rPr>
      <w:rFonts w:ascii="宋体"/>
      <w:sz w:val="21"/>
      <w:lang w:val="en-US" w:eastAsia="zh-CN" w:bidi="ar-SA"/>
    </w:rPr>
  </w:style>
  <w:style w:type="paragraph" w:customStyle="1" w:styleId="222">
    <w:name w:val="xl66"/>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18"/>
      <w:szCs w:val="20"/>
    </w:rPr>
  </w:style>
  <w:style w:type="paragraph" w:customStyle="1" w:styleId="223">
    <w:name w:val="样式 标题 2H2h2Heading 2 HiddenHeading 2 CCBSl2heading 2I22n...1"/>
    <w:basedOn w:val="5"/>
    <w:uiPriority w:val="0"/>
    <w:pPr>
      <w:numPr>
        <w:ilvl w:val="0"/>
        <w:numId w:val="0"/>
      </w:numPr>
      <w:tabs>
        <w:tab w:val="left" w:pos="1560"/>
        <w:tab w:val="clear" w:pos="706"/>
      </w:tabs>
      <w:spacing w:before="260" w:after="260" w:line="416" w:lineRule="auto"/>
      <w:ind w:left="1560" w:hanging="420"/>
    </w:pPr>
    <w:rPr>
      <w:rFonts w:ascii="Times New Roman" w:hAnsi="Times New Roman" w:eastAsia="黑体" w:cs="Times New Roman"/>
      <w:b w:val="0"/>
      <w:sz w:val="24"/>
    </w:rPr>
  </w:style>
  <w:style w:type="paragraph" w:customStyle="1" w:styleId="224">
    <w:name w:val=" Char Char1 Char Char Char"/>
    <w:basedOn w:val="1"/>
    <w:uiPriority w:val="0"/>
    <w:rPr>
      <w:rFonts w:ascii="仿宋_GB2312" w:eastAsia="仿宋_GB2312"/>
      <w:b/>
      <w:sz w:val="32"/>
      <w:szCs w:val="20"/>
    </w:rPr>
  </w:style>
  <w:style w:type="paragraph" w:customStyle="1" w:styleId="225">
    <w:name w:val=" Char2"/>
    <w:basedOn w:val="1"/>
    <w:uiPriority w:val="0"/>
    <w:rPr>
      <w:rFonts w:ascii="仿宋_GB2312" w:hAnsi="仿宋_GB2312" w:eastAsia="仿宋_GB2312" w:cs="Lucida Sans"/>
      <w:b/>
      <w:sz w:val="32"/>
      <w:szCs w:val="32"/>
    </w:rPr>
  </w:style>
  <w:style w:type="paragraph" w:customStyle="1" w:styleId="226">
    <w:name w:val="xl116"/>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color w:val="000000"/>
      <w:kern w:val="0"/>
      <w:sz w:val="18"/>
      <w:szCs w:val="20"/>
    </w:rPr>
  </w:style>
  <w:style w:type="paragraph" w:customStyle="1" w:styleId="227">
    <w:name w:val=" Char Char Char"/>
    <w:basedOn w:val="1"/>
    <w:uiPriority w:val="0"/>
    <w:rPr>
      <w:rFonts w:ascii="Tahoma" w:hAnsi="Tahoma"/>
      <w:sz w:val="24"/>
      <w:szCs w:val="20"/>
    </w:rPr>
  </w:style>
  <w:style w:type="paragraph" w:customStyle="1" w:styleId="228">
    <w:name w:val="内文正文"/>
    <w:uiPriority w:val="0"/>
    <w:pPr>
      <w:autoSpaceDE w:val="0"/>
      <w:autoSpaceDN w:val="0"/>
      <w:spacing w:line="400" w:lineRule="exact"/>
      <w:ind w:firstLine="200" w:firstLineChars="200"/>
      <w:jc w:val="both"/>
      <w:textAlignment w:val="bottom"/>
    </w:pPr>
    <w:rPr>
      <w:rFonts w:ascii="??" w:hAnsi="??" w:eastAsia="??" w:cs="宋体"/>
      <w:sz w:val="21"/>
      <w:szCs w:val="28"/>
      <w:lang w:val="en-US" w:eastAsia="zh-CN" w:bidi="ar-SA"/>
    </w:rPr>
  </w:style>
  <w:style w:type="paragraph" w:customStyle="1" w:styleId="229">
    <w:name w:val="xl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20"/>
    </w:rPr>
  </w:style>
  <w:style w:type="paragraph" w:customStyle="1" w:styleId="230">
    <w:name w:val="font7"/>
    <w:basedOn w:val="1"/>
    <w:uiPriority w:val="0"/>
    <w:pPr>
      <w:widowControl/>
      <w:spacing w:before="100" w:beforeAutospacing="1" w:after="100" w:afterAutospacing="1"/>
      <w:jc w:val="left"/>
    </w:pPr>
    <w:rPr>
      <w:rFonts w:ascii="Arial" w:hAnsi="Arial"/>
      <w:kern w:val="0"/>
      <w:sz w:val="20"/>
      <w:szCs w:val="20"/>
    </w:rPr>
  </w:style>
  <w:style w:type="paragraph" w:customStyle="1" w:styleId="231">
    <w:name w:val="xl7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pPr>
    <w:rPr>
      <w:rFonts w:ascii="Arial" w:hAnsi="Arial"/>
      <w:color w:val="FF0000"/>
      <w:kern w:val="0"/>
      <w:sz w:val="18"/>
      <w:szCs w:val="20"/>
    </w:rPr>
  </w:style>
  <w:style w:type="paragraph" w:customStyle="1" w:styleId="232">
    <w:name w:val="List Paragraph"/>
    <w:basedOn w:val="1"/>
    <w:uiPriority w:val="0"/>
    <w:pPr>
      <w:ind w:firstLine="420" w:firstLineChars="200"/>
    </w:pPr>
    <w:rPr>
      <w:szCs w:val="20"/>
    </w:rPr>
  </w:style>
  <w:style w:type="paragraph" w:customStyle="1" w:styleId="233">
    <w:name w:val="xl107"/>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234">
    <w:name w:val="样式 样式 样式 我的正文首行缩进 + 首行缩进:  2 字符 + 首行缩进:  2 字符 + 首行缩进:  2 字符"/>
    <w:basedOn w:val="1"/>
    <w:uiPriority w:val="0"/>
    <w:pPr>
      <w:widowControl/>
      <w:tabs>
        <w:tab w:val="left" w:pos="840"/>
      </w:tabs>
      <w:spacing w:after="120" w:line="300" w:lineRule="auto"/>
      <w:ind w:left="840" w:hanging="360"/>
      <w:jc w:val="left"/>
    </w:pPr>
    <w:rPr>
      <w:rFonts w:eastAsia="华文细黑"/>
      <w:kern w:val="0"/>
      <w:sz w:val="24"/>
    </w:rPr>
  </w:style>
  <w:style w:type="paragraph" w:customStyle="1" w:styleId="235">
    <w:name w:val="Blockquote"/>
    <w:basedOn w:val="1"/>
    <w:uiPriority w:val="0"/>
    <w:pPr>
      <w:autoSpaceDE w:val="0"/>
      <w:autoSpaceDN w:val="0"/>
      <w:adjustRightInd w:val="0"/>
      <w:spacing w:before="100" w:after="100"/>
      <w:ind w:left="360" w:right="360"/>
      <w:jc w:val="left"/>
    </w:pPr>
    <w:rPr>
      <w:rFonts w:eastAsia="??"/>
      <w:kern w:val="0"/>
      <w:sz w:val="24"/>
      <w:szCs w:val="28"/>
    </w:rPr>
  </w:style>
  <w:style w:type="paragraph" w:customStyle="1" w:styleId="236">
    <w:name w:val="pa-67"/>
    <w:basedOn w:val="1"/>
    <w:uiPriority w:val="0"/>
    <w:pPr>
      <w:widowControl/>
      <w:spacing w:line="360" w:lineRule="atLeast"/>
      <w:ind w:firstLine="480"/>
      <w:jc w:val="center"/>
    </w:pPr>
    <w:rPr>
      <w:rFonts w:ascii="宋体" w:hAnsi="宋体" w:cs="宋体"/>
      <w:kern w:val="0"/>
      <w:sz w:val="24"/>
    </w:rPr>
  </w:style>
  <w:style w:type="paragraph" w:customStyle="1" w:styleId="237">
    <w:name w:val="网格型1"/>
    <w:qFormat/>
    <w:uiPriority w:val="0"/>
    <w:rPr>
      <w:rFonts w:ascii="Cambria" w:hAnsi="Cambria" w:eastAsia="Cambria" w:cs="Cambria"/>
      <w:color w:val="000000"/>
      <w:sz w:val="24"/>
      <w:szCs w:val="24"/>
      <w:lang w:val="en-US" w:eastAsia="zh-CN" w:bidi="ar-SA"/>
    </w:rPr>
  </w:style>
  <w:style w:type="paragraph" w:customStyle="1" w:styleId="238">
    <w:name w:val="xl120"/>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239">
    <w:name w:val="xl4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kern w:val="0"/>
      <w:sz w:val="18"/>
      <w:szCs w:val="20"/>
    </w:rPr>
  </w:style>
  <w:style w:type="paragraph" w:customStyle="1" w:styleId="240">
    <w:name w:val="文档正文"/>
    <w:basedOn w:val="1"/>
    <w:uiPriority w:val="0"/>
    <w:pPr>
      <w:adjustRightInd w:val="0"/>
      <w:spacing w:line="480" w:lineRule="atLeast"/>
      <w:ind w:firstLine="567"/>
      <w:textAlignment w:val="baseline"/>
    </w:pPr>
    <w:rPr>
      <w:kern w:val="0"/>
      <w:sz w:val="24"/>
      <w:szCs w:val="20"/>
    </w:rPr>
  </w:style>
  <w:style w:type="paragraph" w:customStyle="1" w:styleId="241">
    <w:name w:val="TOC 标题"/>
    <w:basedOn w:val="4"/>
    <w:next w:val="1"/>
    <w:qFormat/>
    <w:uiPriority w:val="0"/>
    <w:pPr>
      <w:keepLines/>
      <w:spacing w:before="480" w:line="276" w:lineRule="auto"/>
      <w:jc w:val="left"/>
      <w:outlineLvl w:val="9"/>
    </w:pPr>
    <w:rPr>
      <w:rFonts w:ascii="Cambria" w:hAnsi="Cambria"/>
      <w:bCs/>
      <w:color w:val="365F91"/>
      <w:kern w:val="0"/>
      <w:sz w:val="28"/>
    </w:rPr>
  </w:style>
  <w:style w:type="paragraph" w:customStyle="1" w:styleId="242">
    <w:name w:val="xl102"/>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243">
    <w:name w:val="Table Paragraph"/>
    <w:basedOn w:val="1"/>
    <w:qFormat/>
    <w:uiPriority w:val="1"/>
  </w:style>
  <w:style w:type="paragraph" w:customStyle="1" w:styleId="244">
    <w:name w:val="pa-68"/>
    <w:basedOn w:val="1"/>
    <w:uiPriority w:val="0"/>
    <w:pPr>
      <w:widowControl/>
      <w:spacing w:line="330" w:lineRule="atLeast"/>
      <w:jc w:val="left"/>
    </w:pPr>
    <w:rPr>
      <w:rFonts w:ascii="宋体" w:hAnsi="宋体" w:cs="宋体"/>
      <w:kern w:val="0"/>
      <w:sz w:val="24"/>
    </w:rPr>
  </w:style>
  <w:style w:type="paragraph" w:customStyle="1" w:styleId="245">
    <w:name w:val="编号 3"/>
    <w:basedOn w:val="1"/>
    <w:uiPriority w:val="0"/>
    <w:pPr>
      <w:tabs>
        <w:tab w:val="left" w:pos="1155"/>
      </w:tabs>
      <w:spacing w:line="360" w:lineRule="auto"/>
      <w:ind w:left="1155" w:hanging="735"/>
    </w:pPr>
    <w:rPr>
      <w:rFonts w:ascii="宋体" w:hAnsi="宋体" w:eastAsia="楷体_GB2312"/>
      <w:color w:val="000000"/>
      <w:sz w:val="24"/>
      <w:szCs w:val="20"/>
    </w:rPr>
  </w:style>
  <w:style w:type="paragraph" w:customStyle="1" w:styleId="246">
    <w:name w:val="xl76"/>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b/>
      <w:kern w:val="0"/>
      <w:sz w:val="20"/>
      <w:szCs w:val="20"/>
    </w:rPr>
  </w:style>
  <w:style w:type="paragraph" w:customStyle="1" w:styleId="247">
    <w:name w:val="样式 正文文本缩进 + 仿宋_GB2312 四号"/>
    <w:basedOn w:val="1"/>
    <w:next w:val="9"/>
    <w:uiPriority w:val="0"/>
    <w:pPr>
      <w:widowControl/>
      <w:spacing w:line="360" w:lineRule="auto"/>
      <w:jc w:val="left"/>
    </w:pPr>
    <w:rPr>
      <w:rFonts w:ascii="宋体" w:hAnsi="宋体" w:cs="宋体"/>
      <w:b/>
      <w:snapToGrid w:val="0"/>
      <w:kern w:val="0"/>
      <w:sz w:val="28"/>
      <w:szCs w:val="28"/>
    </w:rPr>
  </w:style>
  <w:style w:type="paragraph" w:customStyle="1" w:styleId="248">
    <w:name w:val=" Char Char Char Char Char Char Char Char Char Char Char Char Char Char Char Char Char Char Char Char Char Char Char Char Char"/>
    <w:basedOn w:val="1"/>
    <w:uiPriority w:val="0"/>
    <w:rPr>
      <w:rFonts w:ascii="Tahoma" w:hAnsi="Tahoma"/>
      <w:sz w:val="24"/>
      <w:szCs w:val="20"/>
    </w:rPr>
  </w:style>
  <w:style w:type="paragraph" w:customStyle="1" w:styleId="249">
    <w:name w:val="xl1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250">
    <w:name w:val="p1"/>
    <w:uiPriority w:val="0"/>
    <w:pPr>
      <w:spacing w:line="320" w:lineRule="atLeast"/>
    </w:pPr>
    <w:rPr>
      <w:rFonts w:ascii="Helvetica Neue" w:hAnsi="Helvetica Neue" w:eastAsia="Helvetica Neue"/>
      <w:color w:val="000000"/>
      <w:sz w:val="22"/>
      <w:szCs w:val="22"/>
      <w:lang w:val="en-US" w:eastAsia="zh-CN" w:bidi="ar-SA"/>
    </w:rPr>
  </w:style>
  <w:style w:type="paragraph" w:customStyle="1" w:styleId="251">
    <w:name w:val="xl127"/>
    <w:basedOn w:val="1"/>
    <w:uiPriority w:val="0"/>
    <w:pPr>
      <w:widowControl/>
      <w:spacing w:before="100" w:beforeAutospacing="1" w:after="100" w:afterAutospacing="1"/>
      <w:jc w:val="center"/>
      <w:textAlignment w:val="bottom"/>
    </w:pPr>
    <w:rPr>
      <w:rFonts w:ascii="Arial" w:hAnsi="Arial"/>
      <w:kern w:val="0"/>
      <w:sz w:val="18"/>
      <w:szCs w:val="20"/>
    </w:rPr>
  </w:style>
  <w:style w:type="paragraph" w:customStyle="1" w:styleId="252">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olor w:val="FF0000"/>
      <w:kern w:val="0"/>
      <w:sz w:val="20"/>
      <w:szCs w:val="20"/>
    </w:rPr>
  </w:style>
  <w:style w:type="paragraph" w:customStyle="1" w:styleId="253">
    <w:name w:val="正文 2"/>
    <w:qFormat/>
    <w:uiPriority w:val="0"/>
    <w:pPr>
      <w:pBdr>
        <w:top w:val="none" w:color="FFFFFF" w:sz="0" w:space="31"/>
        <w:left w:val="none" w:color="FFFFFF" w:sz="0" w:space="31"/>
        <w:bottom w:val="none" w:color="FFFFFF" w:sz="0" w:space="31"/>
        <w:right w:val="none" w:color="FFFFFF" w:sz="0" w:space="31"/>
      </w:pBdr>
      <w:spacing w:after="80" w:line="288" w:lineRule="auto"/>
    </w:pPr>
    <w:rPr>
      <w:rFonts w:ascii="Baskerville" w:hAnsi="Arial Unicode MS" w:eastAsia="Times New Roman" w:cs="Arial Unicode MS"/>
      <w:color w:val="434343"/>
      <w:sz w:val="24"/>
      <w:szCs w:val="24"/>
      <w:lang w:val="en-US" w:eastAsia="zh-CN" w:bidi="ar-SA"/>
    </w:rPr>
  </w:style>
  <w:style w:type="paragraph" w:customStyle="1" w:styleId="254">
    <w:name w:val="xl144"/>
    <w:basedOn w:val="1"/>
    <w:uiPriority w:val="0"/>
    <w:pPr>
      <w:widowControl/>
      <w:pBdr>
        <w:top w:val="single" w:color="auto" w:sz="4" w:space="0"/>
        <w:left w:val="single" w:color="auto" w:sz="4" w:space="0"/>
        <w:bottom w:val="single" w:color="auto" w:sz="8" w:space="0"/>
        <w:right w:val="single" w:color="auto" w:sz="8" w:space="0"/>
      </w:pBdr>
      <w:shd w:val="clear" w:color="000000" w:fill="FFFF00"/>
      <w:spacing w:before="100" w:beforeAutospacing="1" w:after="100" w:afterAutospacing="1"/>
      <w:jc w:val="right"/>
    </w:pPr>
    <w:rPr>
      <w:rFonts w:ascii="宋体" w:hAnsi="宋体" w:cs="宋体"/>
      <w:kern w:val="0"/>
      <w:sz w:val="24"/>
    </w:rPr>
  </w:style>
  <w:style w:type="paragraph" w:customStyle="1" w:styleId="255">
    <w:name w:val="公文标题 3"/>
    <w:basedOn w:val="256"/>
    <w:next w:val="121"/>
    <w:uiPriority w:val="0"/>
    <w:pPr>
      <w:outlineLvl w:val="2"/>
    </w:pPr>
  </w:style>
  <w:style w:type="paragraph" w:customStyle="1" w:styleId="256">
    <w:name w:val="公文标题 2"/>
    <w:basedOn w:val="257"/>
    <w:next w:val="121"/>
    <w:uiPriority w:val="0"/>
    <w:pPr>
      <w:ind w:firstLine="561"/>
      <w:outlineLvl w:val="1"/>
    </w:pPr>
    <w:rPr>
      <w:sz w:val="28"/>
      <w:lang w:val="en-US"/>
    </w:rPr>
  </w:style>
  <w:style w:type="paragraph" w:customStyle="1" w:styleId="257">
    <w:name w:val="公文标题 1"/>
    <w:basedOn w:val="1"/>
    <w:next w:val="1"/>
    <w:uiPriority w:val="0"/>
    <w:pPr>
      <w:spacing w:line="360" w:lineRule="auto"/>
      <w:outlineLvl w:val="0"/>
    </w:pPr>
    <w:rPr>
      <w:rFonts w:ascii="仿宋_GB2312" w:hAnsi="宋体" w:eastAsia="仿宋_GB2312"/>
      <w:kern w:val="28"/>
      <w:sz w:val="24"/>
      <w:lang w:val="zh-CN"/>
    </w:rPr>
  </w:style>
  <w:style w:type="paragraph" w:customStyle="1" w:styleId="258">
    <w:name w:val="aspnumfaautoadjustrightr"/>
    <w:uiPriority w:val="0"/>
    <w:pPr>
      <w:widowControl w:val="0"/>
      <w:autoSpaceDE w:val="0"/>
      <w:autoSpaceDN w:val="0"/>
      <w:adjustRightInd w:val="0"/>
      <w:ind w:firstLine="720"/>
      <w:jc w:val="both"/>
    </w:pPr>
    <w:rPr>
      <w:rFonts w:eastAsia="??"/>
      <w:szCs w:val="28"/>
      <w:lang w:val="en-US" w:eastAsia="zh-CN" w:bidi="ar-SA"/>
    </w:rPr>
  </w:style>
  <w:style w:type="paragraph" w:customStyle="1" w:styleId="259">
    <w:name w:val="正文内"/>
    <w:basedOn w:val="1"/>
    <w:uiPriority w:val="0"/>
    <w:pPr>
      <w:spacing w:line="400" w:lineRule="exact"/>
      <w:ind w:firstLine="200" w:firstLineChars="200"/>
    </w:pPr>
    <w:rPr>
      <w:rFonts w:ascii="??" w:hAnsi="??" w:eastAsia="??" w:cs="宋体"/>
      <w:szCs w:val="28"/>
    </w:rPr>
  </w:style>
  <w:style w:type="paragraph" w:customStyle="1" w:styleId="260">
    <w:name w:val="公文标题 4"/>
    <w:basedOn w:val="255"/>
    <w:next w:val="121"/>
    <w:uiPriority w:val="0"/>
    <w:pPr>
      <w:outlineLvl w:val="9"/>
    </w:pPr>
  </w:style>
  <w:style w:type="paragraph" w:customStyle="1" w:styleId="261">
    <w:name w:val="Char Char Char Char1"/>
    <w:basedOn w:val="1"/>
    <w:uiPriority w:val="0"/>
    <w:rPr>
      <w:szCs w:val="20"/>
    </w:rPr>
  </w:style>
  <w:style w:type="paragraph" w:customStyle="1" w:styleId="262">
    <w:name w:val="font10"/>
    <w:basedOn w:val="1"/>
    <w:uiPriority w:val="0"/>
    <w:pPr>
      <w:widowControl/>
      <w:spacing w:before="100" w:beforeAutospacing="1" w:after="100" w:afterAutospacing="1"/>
      <w:jc w:val="left"/>
    </w:pPr>
    <w:rPr>
      <w:rFonts w:ascii="Arial" w:hAnsi="Arial"/>
      <w:kern w:val="0"/>
      <w:sz w:val="18"/>
      <w:szCs w:val="20"/>
    </w:rPr>
  </w:style>
  <w:style w:type="paragraph" w:customStyle="1" w:styleId="263">
    <w:name w:val="xl142"/>
    <w:basedOn w:val="1"/>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264">
    <w:name w:val="样式 首行缩进:  2 字符"/>
    <w:basedOn w:val="1"/>
    <w:uiPriority w:val="0"/>
    <w:pPr>
      <w:snapToGrid w:val="0"/>
      <w:spacing w:line="360" w:lineRule="auto"/>
    </w:pPr>
    <w:rPr>
      <w:rFonts w:ascii="仿宋_GB2312" w:hAnsi="宋体" w:eastAsia="仿宋_GB2312"/>
      <w:color w:val="000000"/>
      <w:kern w:val="0"/>
      <w:sz w:val="28"/>
      <w:szCs w:val="20"/>
    </w:rPr>
  </w:style>
  <w:style w:type="paragraph" w:customStyle="1" w:styleId="265">
    <w:name w:val=" Char Char1"/>
    <w:basedOn w:val="1"/>
    <w:uiPriority w:val="0"/>
    <w:pPr>
      <w:widowControl/>
      <w:spacing w:after="160" w:line="240" w:lineRule="exact"/>
      <w:jc w:val="left"/>
    </w:pPr>
    <w:rPr>
      <w:rFonts w:eastAsia="仿宋_GB2312"/>
      <w:sz w:val="28"/>
      <w:szCs w:val="20"/>
    </w:rPr>
  </w:style>
  <w:style w:type="paragraph" w:customStyle="1" w:styleId="266">
    <w:name w:val="正文 居中"/>
    <w:basedOn w:val="1"/>
    <w:uiPriority w:val="0"/>
    <w:pPr>
      <w:spacing w:line="360" w:lineRule="auto"/>
      <w:jc w:val="center"/>
    </w:pPr>
    <w:rPr>
      <w:sz w:val="24"/>
      <w:szCs w:val="20"/>
    </w:rPr>
  </w:style>
  <w:style w:type="paragraph" w:customStyle="1" w:styleId="267">
    <w:name w:val="xl110"/>
    <w:basedOn w:val="1"/>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textAlignment w:val="bottom"/>
    </w:pPr>
    <w:rPr>
      <w:rFonts w:ascii="Arial" w:hAnsi="Arial"/>
      <w:kern w:val="0"/>
      <w:sz w:val="18"/>
      <w:szCs w:val="20"/>
    </w:rPr>
  </w:style>
  <w:style w:type="paragraph" w:customStyle="1" w:styleId="268">
    <w:name w:val="0"/>
    <w:basedOn w:val="1"/>
    <w:uiPriority w:val="0"/>
    <w:pPr>
      <w:widowControl/>
    </w:pPr>
    <w:rPr>
      <w:kern w:val="0"/>
      <w:sz w:val="24"/>
      <w:szCs w:val="20"/>
    </w:rPr>
  </w:style>
  <w:style w:type="paragraph" w:customStyle="1" w:styleId="269">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270">
    <w:name w:val="xl67"/>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18"/>
      <w:szCs w:val="20"/>
    </w:rPr>
  </w:style>
  <w:style w:type="paragraph" w:customStyle="1" w:styleId="271">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olor w:val="FF0000"/>
      <w:kern w:val="0"/>
      <w:sz w:val="18"/>
      <w:szCs w:val="20"/>
    </w:rPr>
  </w:style>
  <w:style w:type="paragraph" w:customStyle="1" w:styleId="272">
    <w:name w:val="xl104"/>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273">
    <w:name w:val="正文缩进1"/>
    <w:basedOn w:val="1"/>
    <w:next w:val="2"/>
    <w:uiPriority w:val="0"/>
    <w:pPr>
      <w:autoSpaceDE w:val="0"/>
      <w:autoSpaceDN w:val="0"/>
      <w:adjustRightInd w:val="0"/>
      <w:snapToGrid w:val="0"/>
      <w:spacing w:after="120" w:line="360" w:lineRule="auto"/>
      <w:ind w:left="420" w:leftChars="200" w:firstLine="480" w:firstLineChars="200"/>
    </w:pPr>
    <w:rPr>
      <w:sz w:val="24"/>
      <w:szCs w:val="20"/>
    </w:rPr>
  </w:style>
  <w:style w:type="paragraph" w:customStyle="1" w:styleId="274">
    <w:name w:val="图"/>
    <w:basedOn w:val="1"/>
    <w:uiPriority w:val="0"/>
    <w:pPr>
      <w:spacing w:line="360" w:lineRule="auto"/>
      <w:jc w:val="center"/>
    </w:pPr>
    <w:rPr>
      <w:rFonts w:ascii="宋体" w:hAnsi="宋体" w:eastAsia="楷体_GB2312" w:cs="宋体"/>
      <w:sz w:val="24"/>
      <w:szCs w:val="20"/>
    </w:rPr>
  </w:style>
  <w:style w:type="paragraph" w:customStyle="1" w:styleId="275">
    <w:name w:val="列出段落"/>
    <w:basedOn w:val="1"/>
    <w:qFormat/>
    <w:uiPriority w:val="0"/>
    <w:pPr>
      <w:ind w:firstLine="420" w:firstLineChars="200"/>
    </w:pPr>
  </w:style>
  <w:style w:type="paragraph" w:customStyle="1" w:styleId="276">
    <w:name w:val="样式 样式 样式 我的正文首行缩进 + 首行缩进:  2 字符 + 首行缩进:  2 字符 + 首行缩进:  2 字符1"/>
    <w:basedOn w:val="1"/>
    <w:uiPriority w:val="0"/>
    <w:pPr>
      <w:widowControl/>
      <w:spacing w:after="120"/>
      <w:ind w:firstLine="200" w:firstLineChars="200"/>
      <w:jc w:val="left"/>
    </w:pPr>
    <w:rPr>
      <w:rFonts w:eastAsia="华文细黑"/>
      <w:sz w:val="24"/>
    </w:rPr>
  </w:style>
  <w:style w:type="paragraph" w:customStyle="1" w:styleId="277">
    <w:name w:val="xl62"/>
    <w:basedOn w:val="1"/>
    <w:uiPriority w:val="0"/>
    <w:pPr>
      <w:widowControl/>
      <w:pBdr>
        <w:top w:val="single" w:color="auto" w:sz="8" w:space="0"/>
        <w:left w:val="single" w:color="auto" w:sz="4" w:space="0"/>
        <w:bottom w:val="single" w:color="auto" w:sz="4" w:space="0"/>
        <w:right w:val="single" w:color="auto" w:sz="8"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278">
    <w:name w:val="xl111"/>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b/>
      <w:color w:val="FF0000"/>
      <w:kern w:val="0"/>
      <w:sz w:val="18"/>
      <w:szCs w:val="20"/>
    </w:rPr>
  </w:style>
  <w:style w:type="paragraph" w:customStyle="1" w:styleId="279">
    <w:name w:val="段 Char"/>
    <w:uiPriority w:val="0"/>
    <w:pPr>
      <w:autoSpaceDE w:val="0"/>
      <w:autoSpaceDN w:val="0"/>
      <w:ind w:firstLine="200" w:firstLineChars="200"/>
      <w:jc w:val="both"/>
    </w:pPr>
    <w:rPr>
      <w:rFonts w:ascii="宋体"/>
      <w:sz w:val="21"/>
      <w:lang w:val="en-US" w:eastAsia="zh-CN" w:bidi="ar-SA"/>
    </w:rPr>
  </w:style>
  <w:style w:type="paragraph" w:customStyle="1" w:styleId="280">
    <w:name w:val="条1"/>
    <w:basedOn w:val="1"/>
    <w:uiPriority w:val="0"/>
    <w:pPr>
      <w:tabs>
        <w:tab w:val="left" w:pos="900"/>
      </w:tabs>
      <w:spacing w:before="156" w:line="360" w:lineRule="auto"/>
      <w:ind w:left="900" w:hanging="420"/>
    </w:pPr>
    <w:rPr>
      <w:rFonts w:eastAsia="黑体"/>
      <w:sz w:val="24"/>
      <w:szCs w:val="20"/>
    </w:rPr>
  </w:style>
  <w:style w:type="paragraph" w:customStyle="1" w:styleId="281">
    <w:name w:val="带标题正文"/>
    <w:basedOn w:val="1"/>
    <w:uiPriority w:val="0"/>
    <w:pPr>
      <w:numPr>
        <w:ilvl w:val="0"/>
        <w:numId w:val="4"/>
      </w:numPr>
      <w:snapToGrid w:val="0"/>
      <w:spacing w:before="100" w:after="100"/>
      <w:ind w:firstLine="115"/>
    </w:pPr>
    <w:rPr>
      <w:rFonts w:ascii="楷体" w:eastAsia="楷体"/>
      <w:b/>
      <w:sz w:val="28"/>
      <w:szCs w:val="20"/>
    </w:rPr>
  </w:style>
  <w:style w:type="paragraph" w:customStyle="1" w:styleId="282">
    <w:name w:val="样式 宋体 小四 行距: 1.5 倍行距 首行缩进:  2 字符"/>
    <w:basedOn w:val="1"/>
    <w:uiPriority w:val="0"/>
    <w:pPr>
      <w:spacing w:line="360" w:lineRule="auto"/>
      <w:ind w:firstLine="200" w:firstLineChars="200"/>
    </w:pPr>
    <w:rPr>
      <w:rFonts w:ascii="宋体" w:hAnsi="宋体" w:cs="宋体"/>
      <w:sz w:val="24"/>
    </w:rPr>
  </w:style>
  <w:style w:type="paragraph" w:customStyle="1" w:styleId="283">
    <w:name w:val="样式 标题 1H1标书1h1Level 1 Topic Heading1st levelSection Headl..."/>
    <w:basedOn w:val="4"/>
    <w:uiPriority w:val="0"/>
    <w:pPr>
      <w:keepNext w:val="0"/>
      <w:keepLines/>
      <w:widowControl w:val="0"/>
      <w:tabs>
        <w:tab w:val="left" w:pos="432"/>
        <w:tab w:val="left" w:pos="780"/>
      </w:tabs>
      <w:spacing w:before="340" w:beforeLines="50" w:after="330" w:afterLines="50" w:line="578" w:lineRule="auto"/>
      <w:ind w:left="420" w:leftChars="100" w:right="210" w:rightChars="100" w:firstLine="160" w:firstLineChars="50"/>
      <w:jc w:val="both"/>
    </w:pPr>
    <w:rPr>
      <w:rFonts w:ascii="Times New Roman" w:hAnsi="Times New Roman" w:eastAsia="楷体_GB2312"/>
      <w:bCs/>
      <w:kern w:val="44"/>
      <w:szCs w:val="20"/>
    </w:rPr>
  </w:style>
  <w:style w:type="paragraph" w:customStyle="1" w:styleId="284">
    <w:name w:val="xl100"/>
    <w:basedOn w:val="1"/>
    <w:uiPriority w:val="0"/>
    <w:pPr>
      <w:widowControl/>
      <w:spacing w:before="100" w:beforeAutospacing="1" w:after="100" w:afterAutospacing="1"/>
      <w:jc w:val="left"/>
    </w:pPr>
    <w:rPr>
      <w:rFonts w:ascii="Arial" w:hAnsi="Arial"/>
      <w:kern w:val="0"/>
      <w:sz w:val="24"/>
      <w:szCs w:val="20"/>
    </w:rPr>
  </w:style>
  <w:style w:type="paragraph" w:customStyle="1" w:styleId="285">
    <w:name w:val="段 1"/>
    <w:basedOn w:val="1"/>
    <w:uiPriority w:val="0"/>
    <w:pPr>
      <w:spacing w:line="360" w:lineRule="auto"/>
    </w:pPr>
    <w:rPr>
      <w:rFonts w:eastAsia="楷体_GB2312"/>
      <w:b/>
      <w:bCs/>
      <w:sz w:val="24"/>
    </w:rPr>
  </w:style>
  <w:style w:type="paragraph" w:customStyle="1" w:styleId="286">
    <w:name w:val="二级条标题"/>
    <w:basedOn w:val="1"/>
    <w:next w:val="221"/>
    <w:uiPriority w:val="0"/>
    <w:pPr>
      <w:widowControl/>
      <w:jc w:val="left"/>
      <w:outlineLvl w:val="3"/>
    </w:pPr>
    <w:rPr>
      <w:rFonts w:ascii="黑体" w:eastAsia="黑体"/>
      <w:kern w:val="0"/>
      <w:sz w:val="24"/>
      <w:szCs w:val="20"/>
    </w:rPr>
  </w:style>
  <w:style w:type="paragraph" w:customStyle="1" w:styleId="287">
    <w:name w:val="xl32"/>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288">
    <w:name w:val="xl89"/>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kern w:val="0"/>
      <w:sz w:val="20"/>
      <w:szCs w:val="20"/>
    </w:rPr>
  </w:style>
  <w:style w:type="paragraph" w:customStyle="1" w:styleId="289">
    <w:name w:val="Normal_20"/>
    <w:qFormat/>
    <w:uiPriority w:val="0"/>
    <w:pPr>
      <w:spacing w:before="120" w:after="240"/>
      <w:jc w:val="both"/>
    </w:pPr>
    <w:rPr>
      <w:rFonts w:eastAsia="Calibri"/>
      <w:sz w:val="22"/>
      <w:szCs w:val="22"/>
      <w:lang w:val="ru-RU" w:eastAsia="en-US" w:bidi="ar-SA"/>
    </w:rPr>
  </w:style>
  <w:style w:type="paragraph" w:customStyle="1" w:styleId="290">
    <w:name w:val="样式 样式 我的正文首行缩进 + 首行缩进:  2 字符 + 首行缩进:  2 字符 Char Char Char Char Char Char Char Char Char Char Char Char"/>
    <w:basedOn w:val="1"/>
    <w:uiPriority w:val="0"/>
    <w:pPr>
      <w:widowControl/>
      <w:spacing w:after="120"/>
      <w:ind w:firstLine="200" w:firstLineChars="200"/>
      <w:jc w:val="left"/>
    </w:pPr>
    <w:rPr>
      <w:rFonts w:eastAsia="华文细黑"/>
      <w:kern w:val="0"/>
      <w:sz w:val="24"/>
    </w:rPr>
  </w:style>
  <w:style w:type="paragraph" w:styleId="291">
    <w:name w:val=""/>
    <w:basedOn w:val="1"/>
    <w:next w:val="1"/>
    <w:uiPriority w:val="0"/>
    <w:pPr>
      <w:pBdr>
        <w:top w:val="single" w:color="auto" w:sz="6" w:space="1"/>
      </w:pBdr>
      <w:jc w:val="center"/>
    </w:pPr>
    <w:rPr>
      <w:rFonts w:ascii="Arial" w:eastAsia="宋体"/>
      <w:vanish/>
      <w:sz w:val="16"/>
    </w:rPr>
  </w:style>
  <w:style w:type="paragraph" w:customStyle="1" w:styleId="292">
    <w:name w:val="No Spacing"/>
    <w:uiPriority w:val="0"/>
    <w:rPr>
      <w:rFonts w:eastAsia="??" w:cs="宋体"/>
      <w:sz w:val="22"/>
      <w:szCs w:val="22"/>
      <w:lang w:val="en-US" w:eastAsia="en-US" w:bidi="ar-SA"/>
    </w:rPr>
  </w:style>
  <w:style w:type="paragraph" w:customStyle="1" w:styleId="293">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olor w:val="FF0000"/>
      <w:kern w:val="0"/>
      <w:sz w:val="18"/>
      <w:szCs w:val="20"/>
    </w:rPr>
  </w:style>
  <w:style w:type="paragraph" w:customStyle="1" w:styleId="294">
    <w:name w:val="xl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kern w:val="0"/>
      <w:sz w:val="18"/>
      <w:szCs w:val="20"/>
    </w:rPr>
  </w:style>
  <w:style w:type="paragraph" w:customStyle="1" w:styleId="295">
    <w:name w:val="Body text|1"/>
    <w:basedOn w:val="1"/>
    <w:qFormat/>
    <w:uiPriority w:val="0"/>
    <w:pPr>
      <w:widowControl w:val="0"/>
      <w:shd w:val="clear" w:color="auto" w:fill="auto"/>
      <w:spacing w:line="425" w:lineRule="auto"/>
      <w:ind w:firstLine="400"/>
    </w:pPr>
    <w:rPr>
      <w:rFonts w:ascii="宋体" w:hAnsi="宋体" w:eastAsia="宋体" w:cs="宋体"/>
      <w:sz w:val="20"/>
      <w:szCs w:val="20"/>
      <w:u w:val="none"/>
      <w:shd w:val="clear" w:color="auto" w:fill="auto"/>
      <w:lang w:val="zh-CN" w:eastAsia="zh-CN" w:bidi="zh-CN"/>
    </w:rPr>
  </w:style>
  <w:style w:type="paragraph" w:customStyle="1" w:styleId="296">
    <w:name w:val=" Char Char2"/>
    <w:basedOn w:val="1"/>
    <w:uiPriority w:val="0"/>
    <w:rPr>
      <w:rFonts w:ascii="仿宋_GB2312" w:eastAsia="仿宋_GB2312"/>
      <w:b/>
      <w:sz w:val="32"/>
      <w:szCs w:val="32"/>
    </w:rPr>
  </w:style>
  <w:style w:type="paragraph" w:customStyle="1" w:styleId="297">
    <w:name w:val="xl137"/>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textAlignment w:val="bottom"/>
    </w:pPr>
    <w:rPr>
      <w:rFonts w:ascii="Arial" w:hAnsi="Arial"/>
      <w:kern w:val="0"/>
      <w:sz w:val="20"/>
      <w:szCs w:val="20"/>
    </w:rPr>
  </w:style>
  <w:style w:type="paragraph" w:customStyle="1" w:styleId="298">
    <w:name w:val="xl131"/>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kern w:val="0"/>
      <w:sz w:val="20"/>
      <w:szCs w:val="20"/>
    </w:rPr>
  </w:style>
  <w:style w:type="paragraph" w:customStyle="1" w:styleId="299">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olor w:val="FF0000"/>
      <w:kern w:val="0"/>
      <w:sz w:val="18"/>
      <w:szCs w:val="20"/>
    </w:rPr>
  </w:style>
  <w:style w:type="paragraph" w:customStyle="1" w:styleId="300">
    <w:name w:val="xl54"/>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宋体" w:hAnsi="宋体"/>
      <w:kern w:val="0"/>
      <w:sz w:val="24"/>
      <w:szCs w:val="20"/>
    </w:rPr>
  </w:style>
  <w:style w:type="paragraph" w:customStyle="1" w:styleId="301">
    <w:name w:val="font5"/>
    <w:basedOn w:val="1"/>
    <w:uiPriority w:val="0"/>
    <w:pPr>
      <w:widowControl/>
      <w:spacing w:before="100" w:beforeAutospacing="1" w:after="100" w:afterAutospacing="1"/>
      <w:jc w:val="left"/>
    </w:pPr>
    <w:rPr>
      <w:rFonts w:ascii="宋体" w:hAnsi="宋体"/>
      <w:kern w:val="0"/>
      <w:sz w:val="24"/>
      <w:szCs w:val="20"/>
    </w:rPr>
  </w:style>
  <w:style w:type="paragraph" w:customStyle="1" w:styleId="302">
    <w:name w:val="常用正文"/>
    <w:uiPriority w:val="0"/>
    <w:pPr>
      <w:widowControl w:val="0"/>
      <w:spacing w:line="360" w:lineRule="auto"/>
      <w:ind w:firstLine="200"/>
      <w:textAlignment w:val="bottom"/>
    </w:pPr>
    <w:rPr>
      <w:rFonts w:ascii="Arial" w:hAnsi="Arial" w:eastAsia="楷体_GB2312"/>
      <w:sz w:val="28"/>
      <w:lang w:val="en-US" w:eastAsia="zh-CN" w:bidi="ar-SA"/>
    </w:rPr>
  </w:style>
  <w:style w:type="paragraph" w:customStyle="1" w:styleId="303">
    <w:name w:val="font9"/>
    <w:basedOn w:val="1"/>
    <w:uiPriority w:val="0"/>
    <w:pPr>
      <w:widowControl/>
      <w:spacing w:before="100" w:beforeAutospacing="1" w:after="100" w:afterAutospacing="1"/>
      <w:jc w:val="left"/>
    </w:pPr>
    <w:rPr>
      <w:kern w:val="0"/>
      <w:sz w:val="18"/>
      <w:szCs w:val="20"/>
    </w:rPr>
  </w:style>
  <w:style w:type="paragraph" w:customStyle="1" w:styleId="304">
    <w:name w:val="xl125"/>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customStyle="1" w:styleId="305">
    <w:name w:val="Test2"/>
    <w:basedOn w:val="5"/>
    <w:uiPriority w:val="0"/>
    <w:pPr>
      <w:widowControl/>
      <w:numPr>
        <w:ilvl w:val="0"/>
        <w:numId w:val="0"/>
      </w:numPr>
      <w:tabs>
        <w:tab w:val="left" w:pos="1110"/>
        <w:tab w:val="clear" w:pos="706"/>
      </w:tabs>
      <w:adjustRightInd w:val="0"/>
      <w:snapToGrid w:val="0"/>
      <w:spacing w:before="360" w:after="360" w:line="240" w:lineRule="atLeast"/>
      <w:jc w:val="left"/>
    </w:pPr>
    <w:rPr>
      <w:rFonts w:ascii="宋体" w:eastAsia="宋体" w:cs="Times New Roman"/>
      <w:bCs w:val="0"/>
      <w:snapToGrid w:val="0"/>
      <w:kern w:val="0"/>
      <w:sz w:val="28"/>
      <w:szCs w:val="20"/>
    </w:rPr>
  </w:style>
  <w:style w:type="paragraph" w:customStyle="1" w:styleId="306">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olor w:val="FF0000"/>
      <w:kern w:val="0"/>
      <w:sz w:val="18"/>
      <w:szCs w:val="20"/>
    </w:rPr>
  </w:style>
  <w:style w:type="paragraph" w:customStyle="1" w:styleId="307">
    <w:name w:val="xl31"/>
    <w:basedOn w:val="1"/>
    <w:uiPriority w:val="0"/>
    <w:pPr>
      <w:widowControl/>
      <w:pBdr>
        <w:bottom w:val="single" w:color="auto" w:sz="4" w:space="0"/>
      </w:pBdr>
      <w:spacing w:before="100" w:beforeAutospacing="1" w:after="100" w:afterAutospacing="1"/>
      <w:jc w:val="center"/>
    </w:pPr>
    <w:rPr>
      <w:rFonts w:ascii="??" w:hAnsi="??" w:eastAsia="??" w:cs="宋体"/>
      <w:kern w:val="0"/>
      <w:sz w:val="24"/>
    </w:rPr>
  </w:style>
  <w:style w:type="paragraph" w:customStyle="1" w:styleId="308">
    <w:name w:val="符号》"/>
    <w:basedOn w:val="1"/>
    <w:uiPriority w:val="0"/>
    <w:pPr>
      <w:widowControl/>
      <w:numPr>
        <w:ilvl w:val="0"/>
        <w:numId w:val="5"/>
      </w:numPr>
      <w:spacing w:line="360" w:lineRule="auto"/>
      <w:jc w:val="left"/>
    </w:pPr>
    <w:rPr>
      <w:rFonts w:ascii="宋体" w:hAnsi="宋体" w:eastAsia="楷体_GB2312" w:cs="宋体"/>
      <w:kern w:val="0"/>
      <w:sz w:val="24"/>
    </w:rPr>
  </w:style>
  <w:style w:type="paragraph" w:customStyle="1" w:styleId="309">
    <w:name w:val="xl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20"/>
      <w:szCs w:val="20"/>
    </w:rPr>
  </w:style>
  <w:style w:type="paragraph" w:customStyle="1" w:styleId="310">
    <w:name w:val=" Char Char Char Char Char Char Char"/>
    <w:basedOn w:val="1"/>
    <w:uiPriority w:val="0"/>
    <w:rPr>
      <w:rFonts w:ascii="仿宋_GB2312" w:eastAsia="仿宋_GB2312"/>
      <w:b/>
      <w:sz w:val="32"/>
      <w:szCs w:val="20"/>
    </w:rPr>
  </w:style>
  <w:style w:type="paragraph" w:customStyle="1" w:styleId="311">
    <w:name w:val="标准小三"/>
    <w:basedOn w:val="1"/>
    <w:uiPriority w:val="0"/>
    <w:pPr>
      <w:widowControl/>
      <w:numPr>
        <w:ilvl w:val="0"/>
        <w:numId w:val="6"/>
      </w:numPr>
      <w:tabs>
        <w:tab w:val="clear" w:pos="700"/>
      </w:tabs>
      <w:spacing w:line="700" w:lineRule="exact"/>
      <w:ind w:left="0" w:firstLine="200" w:firstLineChars="200"/>
      <w:jc w:val="left"/>
    </w:pPr>
    <w:rPr>
      <w:rFonts w:ascii="宋体" w:hAnsi="Arial" w:eastAsia="仿宋_GB2312" w:cs="宋体"/>
      <w:snapToGrid w:val="0"/>
      <w:kern w:val="0"/>
      <w:sz w:val="30"/>
      <w:szCs w:val="32"/>
    </w:rPr>
  </w:style>
  <w:style w:type="paragraph" w:customStyle="1" w:styleId="312">
    <w:name w:val="标准小四"/>
    <w:basedOn w:val="1"/>
    <w:uiPriority w:val="0"/>
    <w:pPr>
      <w:spacing w:line="360" w:lineRule="auto"/>
      <w:ind w:firstLine="480" w:firstLineChars="200"/>
    </w:pPr>
    <w:rPr>
      <w:rFonts w:ascii="Arial" w:hAnsi="Arial"/>
      <w:sz w:val="24"/>
      <w:szCs w:val="20"/>
    </w:rPr>
  </w:style>
  <w:style w:type="paragraph" w:customStyle="1" w:styleId="313">
    <w:name w:val="xl9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kern w:val="0"/>
      <w:sz w:val="24"/>
      <w:szCs w:val="20"/>
    </w:rPr>
  </w:style>
  <w:style w:type="paragraph" w:customStyle="1" w:styleId="314">
    <w:name w:val="xl5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24"/>
      <w:szCs w:val="20"/>
    </w:rPr>
  </w:style>
  <w:style w:type="paragraph" w:customStyle="1" w:styleId="315">
    <w:name w:val="xl126"/>
    <w:basedOn w:val="1"/>
    <w:uiPriority w:val="0"/>
    <w:pPr>
      <w:widowControl/>
      <w:spacing w:before="100" w:beforeAutospacing="1" w:after="100" w:afterAutospacing="1"/>
      <w:jc w:val="left"/>
      <w:textAlignment w:val="bottom"/>
    </w:pPr>
    <w:rPr>
      <w:rFonts w:ascii="Arial" w:hAnsi="Arial"/>
      <w:kern w:val="0"/>
      <w:sz w:val="18"/>
      <w:szCs w:val="20"/>
    </w:rPr>
  </w:style>
  <w:style w:type="paragraph" w:customStyle="1" w:styleId="316">
    <w:name w:val="Body Text 2"/>
    <w:basedOn w:val="1"/>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317">
    <w:name w:val="xl68"/>
    <w:basedOn w:val="1"/>
    <w:uiPriority w:val="0"/>
    <w:pPr>
      <w:widowControl/>
      <w:pBdr>
        <w:left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318">
    <w:name w:val=" Char2 Char Char Char"/>
    <w:basedOn w:val="1"/>
    <w:uiPriority w:val="0"/>
    <w:rPr>
      <w:rFonts w:ascii="仿宋_GB2312" w:eastAsia="仿宋_GB2312"/>
      <w:b/>
      <w:sz w:val="32"/>
      <w:szCs w:val="32"/>
    </w:rPr>
  </w:style>
  <w:style w:type="paragraph" w:customStyle="1" w:styleId="319">
    <w:name w:val="Char Char Char Char Char Char Char Char Char Char"/>
    <w:basedOn w:val="1"/>
    <w:uiPriority w:val="0"/>
    <w:rPr>
      <w:rFonts w:ascii="仿宋_GB2312" w:eastAsia="仿宋_GB2312"/>
      <w:b/>
      <w:sz w:val="32"/>
      <w:szCs w:val="20"/>
    </w:rPr>
  </w:style>
  <w:style w:type="paragraph" w:customStyle="1" w:styleId="320">
    <w:name w:val="普通段落"/>
    <w:basedOn w:val="1"/>
    <w:uiPriority w:val="0"/>
    <w:pPr>
      <w:adjustRightInd w:val="0"/>
      <w:snapToGrid w:val="0"/>
      <w:spacing w:line="360" w:lineRule="auto"/>
      <w:ind w:firstLine="480" w:firstLineChars="200"/>
    </w:pPr>
    <w:rPr>
      <w:sz w:val="24"/>
      <w:szCs w:val="20"/>
    </w:rPr>
  </w:style>
  <w:style w:type="paragraph" w:customStyle="1" w:styleId="321">
    <w:name w:val="正文段"/>
    <w:basedOn w:val="1"/>
    <w:uiPriority w:val="0"/>
    <w:pPr>
      <w:widowControl/>
      <w:snapToGrid w:val="0"/>
      <w:spacing w:afterLines="50"/>
      <w:ind w:firstLine="200" w:firstLineChars="200"/>
    </w:pPr>
    <w:rPr>
      <w:rFonts w:eastAsia="??"/>
      <w:kern w:val="0"/>
      <w:sz w:val="24"/>
      <w:szCs w:val="28"/>
    </w:rPr>
  </w:style>
  <w:style w:type="paragraph" w:customStyle="1" w:styleId="322">
    <w:name w:val="正文1"/>
    <w:basedOn w:val="1"/>
    <w:next w:val="1"/>
    <w:uiPriority w:val="0"/>
    <w:pPr>
      <w:spacing w:before="156" w:line="360" w:lineRule="auto"/>
      <w:ind w:left="426"/>
    </w:pPr>
    <w:rPr>
      <w:sz w:val="24"/>
      <w:szCs w:val="20"/>
    </w:rPr>
  </w:style>
  <w:style w:type="paragraph" w:customStyle="1" w:styleId="323">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olor w:val="FF0000"/>
      <w:kern w:val="0"/>
      <w:sz w:val="18"/>
      <w:szCs w:val="20"/>
    </w:rPr>
  </w:style>
  <w:style w:type="paragraph" w:customStyle="1" w:styleId="324">
    <w:name w:val=" Char Char Char1 Char"/>
    <w:basedOn w:val="1"/>
    <w:uiPriority w:val="0"/>
    <w:rPr>
      <w:szCs w:val="20"/>
    </w:rPr>
  </w:style>
  <w:style w:type="paragraph" w:customStyle="1" w:styleId="325">
    <w:name w:val="正文文字表格居中"/>
    <w:basedOn w:val="1"/>
    <w:next w:val="69"/>
    <w:uiPriority w:val="0"/>
    <w:pPr>
      <w:snapToGrid w:val="0"/>
      <w:spacing w:line="360" w:lineRule="auto"/>
    </w:pPr>
    <w:rPr>
      <w:rFonts w:ascii="宋体"/>
      <w:b/>
      <w:sz w:val="24"/>
      <w:szCs w:val="20"/>
    </w:rPr>
  </w:style>
  <w:style w:type="paragraph" w:customStyle="1" w:styleId="326">
    <w:name w:val="xl11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327">
    <w:name w:val="正文 + 首行缩进:  2 字符"/>
    <w:basedOn w:val="1"/>
    <w:qFormat/>
    <w:uiPriority w:val="0"/>
    <w:pPr>
      <w:spacing w:line="360" w:lineRule="auto"/>
      <w:ind w:left="-34" w:firstLine="482"/>
    </w:pPr>
    <w:rPr>
      <w:rFonts w:ascii="宋体" w:hAnsi="宋体" w:eastAsia="宋体" w:cs="Times New Roman"/>
      <w:bCs/>
      <w:sz w:val="24"/>
      <w:szCs w:val="20"/>
    </w:rPr>
  </w:style>
  <w:style w:type="paragraph" w:customStyle="1" w:styleId="328">
    <w:name w:val="样式4"/>
    <w:basedOn w:val="1"/>
    <w:uiPriority w:val="0"/>
    <w:pPr>
      <w:widowControl/>
      <w:spacing w:line="360" w:lineRule="auto"/>
      <w:ind w:firstLine="480"/>
      <w:jc w:val="left"/>
    </w:pPr>
    <w:rPr>
      <w:rFonts w:eastAsia="楷体_GB2312" w:cs="宋体"/>
      <w:color w:val="000000"/>
      <w:sz w:val="24"/>
    </w:rPr>
  </w:style>
  <w:style w:type="paragraph" w:customStyle="1" w:styleId="329">
    <w:name w:val="xl117"/>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330">
    <w:name w:val="样式 正文首行缩进 + 首行缩进:  1 字符"/>
    <w:basedOn w:val="76"/>
    <w:uiPriority w:val="0"/>
    <w:pPr>
      <w:widowControl/>
      <w:autoSpaceDE/>
      <w:autoSpaceDN/>
      <w:adjustRightInd/>
      <w:spacing w:after="120" w:line="240" w:lineRule="auto"/>
      <w:ind w:firstLine="200" w:firstLineChars="200"/>
      <w:jc w:val="left"/>
    </w:pPr>
    <w:rPr>
      <w:rFonts w:ascii="Times New Roman" w:eastAsia="华文细黑"/>
      <w:kern w:val="0"/>
      <w:szCs w:val="24"/>
      <w:lang w:val="en-US"/>
    </w:rPr>
  </w:style>
  <w:style w:type="paragraph" w:customStyle="1" w:styleId="331">
    <w:name w:val="模板普通正文"/>
    <w:basedOn w:val="2"/>
    <w:uiPriority w:val="0"/>
    <w:pPr>
      <w:spacing w:before="156" w:beforeLines="50" w:after="10" w:line="360" w:lineRule="auto"/>
      <w:ind w:firstLine="490" w:firstLineChars="175"/>
      <w:jc w:val="left"/>
    </w:pPr>
    <w:rPr>
      <w:rFonts w:ascii="Times New Roman" w:hAnsi="Times New Roman" w:eastAsia="楷体_GB2312" w:cs="Times New Roman"/>
      <w:sz w:val="24"/>
      <w:szCs w:val="24"/>
    </w:rPr>
  </w:style>
  <w:style w:type="paragraph" w:customStyle="1" w:styleId="332">
    <w:name w:val="中文标题 2"/>
    <w:basedOn w:val="2"/>
    <w:next w:val="2"/>
    <w:uiPriority w:val="0"/>
    <w:pPr>
      <w:spacing w:before="100" w:beforeAutospacing="1" w:after="100" w:afterAutospacing="1" w:line="360" w:lineRule="auto"/>
      <w:ind w:firstLine="482"/>
      <w:outlineLvl w:val="1"/>
    </w:pPr>
    <w:rPr>
      <w:rFonts w:ascii="Times New Roman" w:hAnsi="Times New Roman" w:eastAsia="楷体_GB2312" w:cs="Times New Roman"/>
      <w:kern w:val="28"/>
      <w:sz w:val="24"/>
      <w:szCs w:val="24"/>
    </w:rPr>
  </w:style>
  <w:style w:type="paragraph" w:customStyle="1" w:styleId="333">
    <w:name w:val="xl65"/>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334">
    <w:name w:val="正文3"/>
    <w:basedOn w:val="1"/>
    <w:uiPriority w:val="0"/>
    <w:pPr>
      <w:spacing w:beforeLines="50" w:afterLines="50" w:line="360" w:lineRule="auto"/>
      <w:outlineLvl w:val="8"/>
    </w:pPr>
    <w:rPr>
      <w:rFonts w:ascii="Segoe UI" w:hAnsi="宋体" w:eastAsia="楷体_GB2312" w:cs="Latha"/>
      <w:sz w:val="24"/>
      <w:szCs w:val="21"/>
    </w:rPr>
  </w:style>
  <w:style w:type="paragraph" w:customStyle="1" w:styleId="335">
    <w:name w:val="默认段落字体 Para Char Char Char Char Char Char Char"/>
    <w:basedOn w:val="1"/>
    <w:uiPriority w:val="0"/>
    <w:rPr>
      <w:rFonts w:eastAsia="仿宋_GB2312"/>
      <w:sz w:val="28"/>
      <w:szCs w:val="20"/>
    </w:rPr>
  </w:style>
  <w:style w:type="paragraph" w:customStyle="1" w:styleId="336">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337">
    <w:name w:val="样式 正文缩进正文（首行缩进两字）表正文正文非缩进特点段1段1 Charno-step正文双线四号首行缩进..."/>
    <w:basedOn w:val="20"/>
    <w:uiPriority w:val="0"/>
    <w:pPr>
      <w:widowControl w:val="0"/>
      <w:adjustRightInd w:val="0"/>
      <w:snapToGrid w:val="0"/>
      <w:spacing w:line="360" w:lineRule="auto"/>
      <w:ind w:firstLine="560" w:firstLineChars="200"/>
      <w:jc w:val="both"/>
    </w:pPr>
    <w:rPr>
      <w:rFonts w:ascii="仿宋_GB2312" w:eastAsia="仿宋_GB2312" w:cs="Century"/>
      <w:color w:val="000000"/>
      <w:kern w:val="2"/>
      <w:sz w:val="28"/>
      <w:szCs w:val="20"/>
    </w:rPr>
  </w:style>
  <w:style w:type="paragraph" w:customStyle="1" w:styleId="338">
    <w:name w:val=" Char Char Char Char Char Char Char Char"/>
    <w:basedOn w:val="1"/>
    <w:uiPriority w:val="0"/>
    <w:pPr>
      <w:tabs>
        <w:tab w:val="left" w:pos="360"/>
      </w:tabs>
    </w:pPr>
    <w:rPr>
      <w:sz w:val="24"/>
      <w:szCs w:val="20"/>
    </w:rPr>
  </w:style>
  <w:style w:type="paragraph" w:customStyle="1" w:styleId="339">
    <w:name w:val="xl5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340">
    <w:name w:val="正文 首行缩进:  2 字符"/>
    <w:basedOn w:val="1"/>
    <w:uiPriority w:val="0"/>
    <w:pPr>
      <w:spacing w:line="360" w:lineRule="auto"/>
      <w:ind w:firstLine="480" w:firstLineChars="200"/>
    </w:pPr>
    <w:rPr>
      <w:rFonts w:eastAsia="楷体_GB2312" w:cs="宋体"/>
      <w:sz w:val="24"/>
      <w:szCs w:val="20"/>
    </w:rPr>
  </w:style>
  <w:style w:type="paragraph" w:customStyle="1" w:styleId="341">
    <w:name w:val="a1"/>
    <w:basedOn w:val="1"/>
    <w:uiPriority w:val="0"/>
    <w:pPr>
      <w:widowControl/>
      <w:spacing w:line="300" w:lineRule="atLeast"/>
      <w:jc w:val="left"/>
    </w:pPr>
    <w:rPr>
      <w:rFonts w:ascii="宋体" w:hAnsi="宋体"/>
      <w:kern w:val="0"/>
      <w:sz w:val="18"/>
      <w:szCs w:val="20"/>
    </w:rPr>
  </w:style>
  <w:style w:type="paragraph" w:customStyle="1" w:styleId="342">
    <w:name w:val="xl30"/>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343">
    <w:name w:val="中文标题 1"/>
    <w:basedOn w:val="2"/>
    <w:next w:val="2"/>
    <w:uiPriority w:val="0"/>
    <w:pPr>
      <w:keepNext/>
      <w:spacing w:before="156" w:beforeLines="50" w:after="100" w:afterAutospacing="1" w:line="360" w:lineRule="auto"/>
      <w:ind w:firstLine="482"/>
      <w:outlineLvl w:val="0"/>
    </w:pPr>
    <w:rPr>
      <w:rFonts w:ascii="Times New Roman" w:hAnsi="Times New Roman" w:eastAsia="楷体_GB2312" w:cs="Times New Roman"/>
      <w:kern w:val="28"/>
      <w:sz w:val="24"/>
      <w:szCs w:val="24"/>
    </w:rPr>
  </w:style>
  <w:style w:type="paragraph" w:customStyle="1" w:styleId="344">
    <w:name w:val="xl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345">
    <w:name w:val="xl14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0"/>
      <w:szCs w:val="20"/>
    </w:rPr>
  </w:style>
  <w:style w:type="paragraph" w:customStyle="1" w:styleId="346">
    <w:name w:val="xl74"/>
    <w:basedOn w:val="1"/>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pPr>
    <w:rPr>
      <w:rFonts w:ascii="宋体" w:hAnsi="宋体"/>
      <w:kern w:val="0"/>
      <w:sz w:val="20"/>
      <w:szCs w:val="20"/>
    </w:rPr>
  </w:style>
  <w:style w:type="paragraph" w:customStyle="1" w:styleId="347">
    <w:name w:val="font8"/>
    <w:basedOn w:val="1"/>
    <w:uiPriority w:val="0"/>
    <w:pPr>
      <w:widowControl/>
      <w:spacing w:before="100" w:beforeAutospacing="1" w:after="100" w:afterAutospacing="1"/>
      <w:jc w:val="left"/>
    </w:pPr>
    <w:rPr>
      <w:rFonts w:ascii="宋体" w:hAnsi="宋体"/>
      <w:kern w:val="0"/>
      <w:sz w:val="20"/>
      <w:szCs w:val="20"/>
    </w:rPr>
  </w:style>
  <w:style w:type="paragraph" w:customStyle="1" w:styleId="348">
    <w:name w:val="正文 首行缩进:  2 字符 Char Char Char Char"/>
    <w:basedOn w:val="1"/>
    <w:uiPriority w:val="0"/>
    <w:pPr>
      <w:spacing w:line="360" w:lineRule="auto"/>
      <w:ind w:firstLine="480"/>
    </w:pPr>
    <w:rPr>
      <w:rFonts w:eastAsia="楷体_GB2312" w:cs="宋体"/>
      <w:sz w:val="24"/>
    </w:rPr>
  </w:style>
  <w:style w:type="paragraph" w:customStyle="1" w:styleId="349">
    <w:name w:val="xl5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350">
    <w:name w:val="功能列表"/>
    <w:basedOn w:val="1"/>
    <w:uiPriority w:val="0"/>
    <w:pPr>
      <w:tabs>
        <w:tab w:val="left" w:pos="0"/>
        <w:tab w:val="left" w:pos="900"/>
      </w:tabs>
      <w:spacing w:line="360" w:lineRule="auto"/>
      <w:ind w:firstLineChars="200"/>
    </w:pPr>
    <w:rPr>
      <w:sz w:val="24"/>
      <w:szCs w:val="20"/>
    </w:rPr>
  </w:style>
  <w:style w:type="paragraph" w:customStyle="1" w:styleId="351">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352">
    <w:name w:val=" Char Char1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353">
    <w:name w:val="WPSOffice手动目录 1"/>
    <w:uiPriority w:val="0"/>
    <w:rPr>
      <w:rFonts w:ascii="Times New Roman" w:hAnsi="Times New Roman" w:eastAsia="宋体" w:cs="Times New Roman"/>
      <w:lang w:val="en-US" w:eastAsia="zh-CN" w:bidi="ar-SA"/>
    </w:rPr>
  </w:style>
  <w:style w:type="paragraph" w:customStyle="1" w:styleId="354">
    <w:name w:val="编号 2"/>
    <w:basedOn w:val="355"/>
    <w:uiPriority w:val="0"/>
    <w:pPr>
      <w:tabs>
        <w:tab w:val="left" w:pos="1560"/>
      </w:tabs>
      <w:ind w:left="-80"/>
    </w:pPr>
    <w:rPr>
      <w:szCs w:val="20"/>
    </w:rPr>
  </w:style>
  <w:style w:type="paragraph" w:customStyle="1" w:styleId="355">
    <w:name w:val="编号 1"/>
    <w:basedOn w:val="1"/>
    <w:uiPriority w:val="0"/>
    <w:pPr>
      <w:tabs>
        <w:tab w:val="left" w:pos="1320"/>
      </w:tabs>
      <w:spacing w:before="100" w:beforeAutospacing="1" w:after="100" w:afterAutospacing="1" w:line="360" w:lineRule="auto"/>
      <w:ind w:left="400" w:firstLine="560"/>
    </w:pPr>
    <w:rPr>
      <w:rFonts w:ascii="宋体" w:eastAsia="楷体_GB2312"/>
      <w:sz w:val="24"/>
    </w:rPr>
  </w:style>
  <w:style w:type="paragraph" w:customStyle="1" w:styleId="356">
    <w:name w:val="xl114"/>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357">
    <w:name w:val="Char"/>
    <w:basedOn w:val="1"/>
    <w:uiPriority w:val="0"/>
    <w:rPr>
      <w:rFonts w:eastAsia="??_GB2312"/>
      <w:sz w:val="28"/>
    </w:rPr>
  </w:style>
  <w:style w:type="paragraph" w:customStyle="1" w:styleId="358">
    <w:name w:val="xl90"/>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kern w:val="0"/>
      <w:sz w:val="20"/>
      <w:szCs w:val="20"/>
    </w:rPr>
  </w:style>
  <w:style w:type="paragraph" w:customStyle="1" w:styleId="359">
    <w:name w:val="Char Char Char"/>
    <w:basedOn w:val="1"/>
    <w:uiPriority w:val="0"/>
    <w:pPr>
      <w:adjustRightInd w:val="0"/>
      <w:spacing w:line="312" w:lineRule="atLeast"/>
      <w:textAlignment w:val="baseline"/>
    </w:pPr>
    <w:rPr>
      <w:rFonts w:ascii="Tahoma" w:hAnsi="Tahoma"/>
      <w:b/>
      <w:kern w:val="0"/>
      <w:sz w:val="28"/>
      <w:szCs w:val="20"/>
    </w:rPr>
  </w:style>
  <w:style w:type="paragraph" w:customStyle="1" w:styleId="360">
    <w:name w:val=" Char Char12"/>
    <w:basedOn w:val="1"/>
    <w:uiPriority w:val="0"/>
  </w:style>
  <w:style w:type="paragraph" w:customStyle="1" w:styleId="361">
    <w:name w:val="Char Char Char Char Char Char Char Char Char Char Char Char Char Char Char Char Char Char Char Char Char Char Char Char Char"/>
    <w:basedOn w:val="1"/>
    <w:uiPriority w:val="0"/>
    <w:rPr>
      <w:rFonts w:ascii="Tahoma" w:hAnsi="Tahoma" w:eastAsia="??" w:cs="Tahoma"/>
      <w:sz w:val="24"/>
      <w:szCs w:val="28"/>
    </w:rPr>
  </w:style>
  <w:style w:type="paragraph" w:customStyle="1" w:styleId="362">
    <w:name w:val="xl3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w:hAnsi="Arial"/>
      <w:kern w:val="0"/>
      <w:sz w:val="20"/>
      <w:szCs w:val="20"/>
    </w:rPr>
  </w:style>
  <w:style w:type="paragraph" w:customStyle="1" w:styleId="363">
    <w:name w:val="_Style 4"/>
    <w:basedOn w:val="1"/>
    <w:next w:val="1"/>
    <w:uiPriority w:val="0"/>
    <w:pPr>
      <w:pBdr>
        <w:top w:val="single" w:color="auto" w:sz="6" w:space="1"/>
      </w:pBdr>
      <w:jc w:val="center"/>
    </w:pPr>
    <w:rPr>
      <w:rFonts w:ascii="Arial" w:eastAsia="宋体"/>
      <w:vanish/>
      <w:sz w:val="16"/>
    </w:rPr>
  </w:style>
  <w:style w:type="paragraph" w:customStyle="1" w:styleId="364">
    <w:name w:val="xl71"/>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宋体" w:hAnsi="宋体"/>
      <w:kern w:val="0"/>
      <w:sz w:val="20"/>
      <w:szCs w:val="20"/>
    </w:rPr>
  </w:style>
  <w:style w:type="paragraph" w:customStyle="1" w:styleId="365">
    <w:name w:val="图样式"/>
    <w:basedOn w:val="1"/>
    <w:uiPriority w:val="0"/>
    <w:pPr>
      <w:keepNext/>
      <w:widowControl/>
      <w:tabs>
        <w:tab w:val="left" w:pos="840"/>
      </w:tabs>
      <w:snapToGrid w:val="0"/>
      <w:spacing w:before="80" w:after="80" w:line="300" w:lineRule="auto"/>
      <w:ind w:left="851" w:hanging="420"/>
      <w:jc w:val="center"/>
    </w:pPr>
    <w:rPr>
      <w:rFonts w:ascii="Arial" w:hAnsi="Arial"/>
      <w:kern w:val="0"/>
      <w:szCs w:val="20"/>
    </w:rPr>
  </w:style>
  <w:style w:type="paragraph" w:customStyle="1" w:styleId="366">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367">
    <w:name w:val="xl4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20"/>
      <w:szCs w:val="20"/>
    </w:rPr>
  </w:style>
  <w:style w:type="paragraph" w:customStyle="1" w:styleId="368">
    <w:name w:val="正文 首行缩进:  2 字符 Char"/>
    <w:basedOn w:val="1"/>
    <w:uiPriority w:val="0"/>
    <w:pPr>
      <w:spacing w:line="360" w:lineRule="auto"/>
      <w:ind w:firstLine="480"/>
    </w:pPr>
    <w:rPr>
      <w:rFonts w:cs="宋体"/>
      <w:sz w:val="24"/>
      <w:szCs w:val="20"/>
    </w:rPr>
  </w:style>
  <w:style w:type="paragraph" w:customStyle="1" w:styleId="369">
    <w:name w:val="列出段落2"/>
    <w:basedOn w:val="1"/>
    <w:uiPriority w:val="0"/>
    <w:pPr>
      <w:ind w:firstLine="420" w:firstLineChars="200"/>
    </w:pPr>
    <w:rPr>
      <w:rFonts w:ascii="Calibri" w:hAnsi="Calibri"/>
      <w:szCs w:val="22"/>
    </w:rPr>
  </w:style>
  <w:style w:type="paragraph" w:customStyle="1" w:styleId="370">
    <w:name w:val="_Style 47"/>
    <w:basedOn w:val="1"/>
    <w:uiPriority w:val="0"/>
    <w:rPr>
      <w:rFonts w:ascii="仿宋_GB2312" w:eastAsia="仿宋_GB2312"/>
      <w:b/>
      <w:sz w:val="32"/>
      <w:szCs w:val="32"/>
    </w:rPr>
  </w:style>
  <w:style w:type="paragraph" w:customStyle="1" w:styleId="371">
    <w:name w:val="xl50"/>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b/>
      <w:color w:val="FF0000"/>
      <w:kern w:val="0"/>
      <w:sz w:val="18"/>
      <w:szCs w:val="20"/>
    </w:rPr>
  </w:style>
  <w:style w:type="paragraph" w:customStyle="1" w:styleId="372">
    <w:name w:val="xl92"/>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kern w:val="0"/>
      <w:sz w:val="24"/>
      <w:szCs w:val="20"/>
    </w:rPr>
  </w:style>
  <w:style w:type="paragraph" w:customStyle="1" w:styleId="373">
    <w:name w:val=" Char Char Char Char Char Char Char Char Char Char"/>
    <w:basedOn w:val="1"/>
    <w:uiPriority w:val="0"/>
    <w:rPr>
      <w:rFonts w:ascii="仿宋_GB2312" w:eastAsia="仿宋_GB2312"/>
      <w:b/>
      <w:sz w:val="32"/>
      <w:szCs w:val="20"/>
    </w:rPr>
  </w:style>
  <w:style w:type="paragraph" w:customStyle="1" w:styleId="374">
    <w:name w:val="xl5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kern w:val="0"/>
      <w:sz w:val="18"/>
      <w:szCs w:val="20"/>
    </w:rPr>
  </w:style>
  <w:style w:type="paragraph" w:customStyle="1" w:styleId="375">
    <w:name w:val="xl7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kern w:val="0"/>
      <w:sz w:val="20"/>
      <w:szCs w:val="20"/>
    </w:rPr>
  </w:style>
  <w:style w:type="paragraph" w:customStyle="1" w:styleId="376">
    <w:name w:val="Normal_3"/>
    <w:qFormat/>
    <w:uiPriority w:val="0"/>
    <w:pPr>
      <w:spacing w:before="120" w:after="240"/>
      <w:jc w:val="both"/>
    </w:pPr>
    <w:rPr>
      <w:rFonts w:eastAsia="Calibri"/>
      <w:sz w:val="22"/>
      <w:szCs w:val="22"/>
      <w:lang w:val="ru-RU" w:eastAsia="en-US" w:bidi="ar-SA"/>
    </w:rPr>
  </w:style>
  <w:style w:type="paragraph" w:customStyle="1" w:styleId="377">
    <w:name w:val="xl38"/>
    <w:basedOn w:val="1"/>
    <w:uiPriority w:val="0"/>
    <w:pPr>
      <w:widowControl/>
      <w:spacing w:before="100" w:beforeAutospacing="1" w:after="100" w:afterAutospacing="1"/>
      <w:jc w:val="center"/>
    </w:pPr>
    <w:rPr>
      <w:rFonts w:ascii="Arial" w:hAnsi="Arial"/>
      <w:kern w:val="0"/>
      <w:sz w:val="20"/>
      <w:szCs w:val="20"/>
    </w:rPr>
  </w:style>
  <w:style w:type="paragraph" w:customStyle="1" w:styleId="378">
    <w:name w:val="_Style 40"/>
    <w:basedOn w:val="1"/>
    <w:uiPriority w:val="0"/>
    <w:rPr>
      <w:rFonts w:eastAsia="??"/>
      <w:szCs w:val="28"/>
    </w:rPr>
  </w:style>
  <w:style w:type="paragraph" w:customStyle="1" w:styleId="379">
    <w:name w:val="paragraph1"/>
    <w:basedOn w:val="1"/>
    <w:qFormat/>
    <w:uiPriority w:val="0"/>
    <w:pPr>
      <w:spacing w:beforeLines="20" w:afterLines="30" w:line="360" w:lineRule="auto"/>
      <w:ind w:firstLine="200" w:firstLineChars="200"/>
    </w:pPr>
    <w:rPr>
      <w:sz w:val="24"/>
    </w:rPr>
  </w:style>
  <w:style w:type="paragraph" w:customStyle="1" w:styleId="380">
    <w:name w:val="Char Char1 Char Char Char"/>
    <w:basedOn w:val="1"/>
    <w:uiPriority w:val="0"/>
    <w:rPr>
      <w:rFonts w:ascii="仿宋_GB2312" w:eastAsia="仿宋_GB2312"/>
      <w:b/>
      <w:sz w:val="32"/>
      <w:szCs w:val="20"/>
    </w:rPr>
  </w:style>
  <w:style w:type="paragraph" w:customStyle="1" w:styleId="381">
    <w:name w:val="Char Char Char Char Char Char Char"/>
    <w:basedOn w:val="1"/>
    <w:semiHidden/>
    <w:uiPriority w:val="0"/>
    <w:pPr>
      <w:spacing w:line="360" w:lineRule="auto"/>
      <w:ind w:firstLine="480" w:firstLineChars="200"/>
    </w:pPr>
    <w:rPr>
      <w:rFonts w:ascii="Tahoma" w:hAnsi="Tahoma" w:cs="宋体"/>
      <w:sz w:val="24"/>
      <w:szCs w:val="20"/>
    </w:rPr>
  </w:style>
  <w:style w:type="paragraph" w:customStyle="1" w:styleId="382">
    <w:name w:val="修订"/>
    <w:semiHidden/>
    <w:uiPriority w:val="0"/>
    <w:rPr>
      <w:kern w:val="2"/>
      <w:sz w:val="21"/>
      <w:lang w:val="en-US" w:eastAsia="zh-CN" w:bidi="ar-SA"/>
    </w:rPr>
  </w:style>
  <w:style w:type="paragraph" w:customStyle="1" w:styleId="383">
    <w:name w:val=" Char Char1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384">
    <w:name w:val="xl61"/>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18"/>
      <w:szCs w:val="20"/>
    </w:rPr>
  </w:style>
  <w:style w:type="paragraph" w:customStyle="1" w:styleId="385">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0"/>
    </w:rPr>
  </w:style>
  <w:style w:type="paragraph" w:customStyle="1" w:styleId="386">
    <w:name w:val="xl12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387">
    <w:name w:val="xl11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color w:val="FF0000"/>
      <w:kern w:val="0"/>
      <w:sz w:val="18"/>
      <w:szCs w:val="20"/>
    </w:rPr>
  </w:style>
  <w:style w:type="paragraph" w:customStyle="1" w:styleId="388">
    <w:name w:val="xl2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宋体" w:hAnsi="宋体"/>
      <w:kern w:val="0"/>
      <w:sz w:val="18"/>
      <w:szCs w:val="20"/>
    </w:rPr>
  </w:style>
  <w:style w:type="paragraph" w:customStyle="1" w:styleId="389">
    <w:name w:val="p0"/>
    <w:basedOn w:val="1"/>
    <w:uiPriority w:val="0"/>
    <w:pPr>
      <w:widowControl/>
    </w:pPr>
    <w:rPr>
      <w:kern w:val="0"/>
      <w:szCs w:val="21"/>
    </w:rPr>
  </w:style>
  <w:style w:type="paragraph" w:customStyle="1" w:styleId="390">
    <w:name w:val="样式 样式 首行缩进:  0.74 厘米 行距: 1.5 倍行距 + 段后: 0.5 行"/>
    <w:basedOn w:val="1"/>
    <w:uiPriority w:val="0"/>
    <w:pPr>
      <w:widowControl/>
      <w:spacing w:after="200" w:line="360" w:lineRule="auto"/>
      <w:ind w:firstLine="420" w:firstLineChars="200"/>
      <w:jc w:val="left"/>
    </w:pPr>
    <w:rPr>
      <w:rFonts w:ascii="Calibri" w:hAnsi="Calibri"/>
      <w:kern w:val="0"/>
      <w:sz w:val="22"/>
      <w:szCs w:val="20"/>
      <w:lang w:eastAsia="en-US" w:bidi="en-US"/>
    </w:rPr>
  </w:style>
  <w:style w:type="paragraph" w:customStyle="1" w:styleId="391">
    <w:name w:val="xl145"/>
    <w:basedOn w:val="1"/>
    <w:uiPriority w:val="0"/>
    <w:pPr>
      <w:widowControl/>
      <w:spacing w:before="100" w:beforeAutospacing="1" w:after="100" w:afterAutospacing="1"/>
      <w:jc w:val="left"/>
    </w:pPr>
    <w:rPr>
      <w:rFonts w:ascii="宋体" w:hAnsi="宋体" w:cs="宋体"/>
      <w:kern w:val="0"/>
      <w:sz w:val="24"/>
    </w:rPr>
  </w:style>
  <w:style w:type="paragraph" w:customStyle="1" w:styleId="392">
    <w:name w:val="xl13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393">
    <w:name w:val="xl106"/>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Arial" w:hAnsi="Arial"/>
      <w:kern w:val="0"/>
      <w:sz w:val="18"/>
      <w:szCs w:val="20"/>
    </w:rPr>
  </w:style>
  <w:style w:type="paragraph" w:customStyle="1" w:styleId="394">
    <w:name w:val="xl34"/>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395">
    <w:name w:val="规范正文"/>
    <w:basedOn w:val="1"/>
    <w:uiPriority w:val="0"/>
    <w:pPr>
      <w:tabs>
        <w:tab w:val="left" w:pos="900"/>
      </w:tabs>
      <w:adjustRightInd w:val="0"/>
      <w:spacing w:before="156" w:beforeLines="50" w:line="360" w:lineRule="auto"/>
      <w:ind w:left="900" w:hanging="420"/>
      <w:textAlignment w:val="baseline"/>
    </w:pPr>
    <w:rPr>
      <w:szCs w:val="20"/>
    </w:rPr>
  </w:style>
  <w:style w:type="paragraph" w:customStyle="1" w:styleId="396">
    <w:name w:val="xl69"/>
    <w:basedOn w:val="1"/>
    <w:uiPriority w:val="0"/>
    <w:pPr>
      <w:widowControl/>
      <w:pBdr>
        <w:left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397">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olor w:val="FF0000"/>
      <w:kern w:val="0"/>
      <w:sz w:val="18"/>
      <w:szCs w:val="20"/>
    </w:rPr>
  </w:style>
  <w:style w:type="paragraph" w:customStyle="1" w:styleId="398">
    <w:name w:val="font11"/>
    <w:basedOn w:val="1"/>
    <w:uiPriority w:val="0"/>
    <w:pPr>
      <w:widowControl/>
      <w:spacing w:before="100" w:beforeAutospacing="1" w:after="100" w:afterAutospacing="1"/>
      <w:jc w:val="left"/>
    </w:pPr>
    <w:rPr>
      <w:rFonts w:ascii="宋体" w:hAnsi="宋体"/>
      <w:color w:val="FF0000"/>
      <w:kern w:val="0"/>
      <w:sz w:val="18"/>
      <w:szCs w:val="20"/>
    </w:rPr>
  </w:style>
  <w:style w:type="paragraph" w:customStyle="1" w:styleId="399">
    <w:name w:val="font13"/>
    <w:basedOn w:val="1"/>
    <w:uiPriority w:val="0"/>
    <w:pPr>
      <w:widowControl/>
      <w:spacing w:before="100" w:beforeAutospacing="1" w:after="100" w:afterAutospacing="1"/>
      <w:jc w:val="left"/>
    </w:pPr>
    <w:rPr>
      <w:rFonts w:ascii="Arial" w:hAnsi="Arial"/>
      <w:kern w:val="0"/>
      <w:sz w:val="24"/>
      <w:szCs w:val="20"/>
    </w:rPr>
  </w:style>
  <w:style w:type="paragraph" w:customStyle="1" w:styleId="400">
    <w:name w:val="xl10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401">
    <w:name w:val=" Char2 Char Char"/>
    <w:basedOn w:val="1"/>
    <w:uiPriority w:val="0"/>
    <w:rPr>
      <w:rFonts w:ascii="Tahoma" w:hAnsi="Tahoma"/>
      <w:sz w:val="24"/>
      <w:szCs w:val="20"/>
    </w:rPr>
  </w:style>
  <w:style w:type="paragraph" w:customStyle="1" w:styleId="402">
    <w:name w:val="Char Char Char Char"/>
    <w:basedOn w:val="1"/>
    <w:uiPriority w:val="0"/>
    <w:pPr>
      <w:widowControl/>
      <w:spacing w:after="160" w:line="240" w:lineRule="exact"/>
      <w:jc w:val="left"/>
    </w:pPr>
    <w:rPr>
      <w:rFonts w:ascii="Arial" w:hAnsi="Arial" w:eastAsia="Times New Roman" w:cs="Verdana"/>
      <w:b/>
      <w:kern w:val="0"/>
      <w:sz w:val="24"/>
      <w:szCs w:val="28"/>
      <w:lang w:eastAsia="en-US"/>
    </w:rPr>
  </w:style>
  <w:style w:type="paragraph" w:customStyle="1" w:styleId="403">
    <w:name w:val="pa-69"/>
    <w:basedOn w:val="1"/>
    <w:uiPriority w:val="0"/>
    <w:pPr>
      <w:widowControl/>
      <w:spacing w:line="330" w:lineRule="atLeast"/>
      <w:ind w:firstLine="3840"/>
      <w:jc w:val="left"/>
    </w:pPr>
    <w:rPr>
      <w:rFonts w:ascii="宋体" w:hAnsi="宋体" w:cs="宋体"/>
      <w:kern w:val="0"/>
      <w:sz w:val="24"/>
    </w:rPr>
  </w:style>
  <w:style w:type="paragraph" w:customStyle="1" w:styleId="404">
    <w:name w:val="标题 ４"/>
    <w:basedOn w:val="6"/>
    <w:uiPriority w:val="0"/>
    <w:pPr>
      <w:widowControl w:val="0"/>
      <w:numPr>
        <w:ilvl w:val="2"/>
        <w:numId w:val="0"/>
      </w:numPr>
      <w:tabs>
        <w:tab w:val="left" w:pos="993"/>
        <w:tab w:val="left" w:pos="1980"/>
        <w:tab w:val="clear" w:pos="720"/>
      </w:tabs>
      <w:spacing w:before="260" w:after="260" w:line="416" w:lineRule="auto"/>
      <w:ind w:left="1980" w:hanging="420"/>
      <w:jc w:val="both"/>
    </w:pPr>
    <w:rPr>
      <w:rFonts w:eastAsia="宋体"/>
      <w:bCs/>
      <w:kern w:val="2"/>
      <w:szCs w:val="32"/>
    </w:rPr>
  </w:style>
  <w:style w:type="paragraph" w:customStyle="1" w:styleId="405">
    <w:name w:val="xl4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406">
    <w:name w:val="xl94"/>
    <w:basedOn w:val="1"/>
    <w:uiPriority w:val="0"/>
    <w:pPr>
      <w:widowControl/>
      <w:pBdr>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407">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408">
    <w:name w:val="xl95"/>
    <w:basedOn w:val="1"/>
    <w:uiPriority w:val="0"/>
    <w:pPr>
      <w:widowControl/>
      <w:pBdr>
        <w:left w:val="single" w:color="auto" w:sz="4" w:space="0"/>
        <w:bottom w:val="single" w:color="auto" w:sz="8"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409">
    <w:name w:val="font6"/>
    <w:basedOn w:val="1"/>
    <w:uiPriority w:val="0"/>
    <w:pPr>
      <w:widowControl/>
      <w:spacing w:before="100" w:beforeAutospacing="1" w:after="100" w:afterAutospacing="1"/>
      <w:jc w:val="left"/>
    </w:pPr>
    <w:rPr>
      <w:rFonts w:ascii="宋体" w:hAnsi="宋体"/>
      <w:kern w:val="0"/>
      <w:sz w:val="18"/>
      <w:szCs w:val="20"/>
    </w:rPr>
  </w:style>
  <w:style w:type="paragraph" w:customStyle="1" w:styleId="410">
    <w:name w:val="样式 仿宋_GB2312 三号"/>
    <w:basedOn w:val="1"/>
    <w:uiPriority w:val="0"/>
    <w:pPr>
      <w:adjustRightInd w:val="0"/>
      <w:snapToGrid w:val="0"/>
      <w:spacing w:line="360" w:lineRule="auto"/>
      <w:ind w:firstLine="560" w:firstLineChars="200"/>
    </w:pPr>
    <w:rPr>
      <w:rFonts w:ascii="仿宋_GB2312" w:eastAsia="仿宋_GB2312" w:cs="宋体"/>
      <w:sz w:val="32"/>
      <w:szCs w:val="20"/>
    </w:rPr>
  </w:style>
  <w:style w:type="paragraph" w:customStyle="1" w:styleId="411">
    <w:name w:val="标题4"/>
    <w:basedOn w:val="1"/>
    <w:uiPriority w:val="0"/>
    <w:rPr>
      <w:rFonts w:eastAsia="??_GB2312"/>
      <w:sz w:val="32"/>
      <w:szCs w:val="28"/>
    </w:rPr>
  </w:style>
  <w:style w:type="paragraph" w:customStyle="1" w:styleId="412">
    <w:name w:val="正文6"/>
    <w:basedOn w:val="1"/>
    <w:uiPriority w:val="0"/>
    <w:pPr>
      <w:numPr>
        <w:ilvl w:val="0"/>
        <w:numId w:val="7"/>
      </w:numPr>
      <w:tabs>
        <w:tab w:val="left" w:pos="900"/>
        <w:tab w:val="clear" w:pos="720"/>
      </w:tabs>
      <w:spacing w:before="156" w:beforeLines="50" w:after="156" w:afterLines="50" w:line="360" w:lineRule="auto"/>
      <w:ind w:left="1290" w:leftChars="500" w:hanging="240" w:hangingChars="100"/>
    </w:pPr>
    <w:rPr>
      <w:rFonts w:ascii="Book Antiqua" w:hAnsi="Book Antiqua" w:eastAsia="楷体_GB2312"/>
      <w:sz w:val="24"/>
      <w:szCs w:val="21"/>
    </w:rPr>
  </w:style>
  <w:style w:type="paragraph" w:customStyle="1" w:styleId="413">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kern w:val="0"/>
      <w:sz w:val="20"/>
      <w:szCs w:val="20"/>
    </w:rPr>
  </w:style>
  <w:style w:type="paragraph" w:customStyle="1" w:styleId="414">
    <w:name w:val="button"/>
    <w:basedOn w:val="1"/>
    <w:uiPriority w:val="0"/>
    <w:pPr>
      <w:widowControl/>
      <w:spacing w:before="100" w:beforeAutospacing="1" w:after="100" w:afterAutospacing="1"/>
      <w:jc w:val="left"/>
    </w:pPr>
    <w:rPr>
      <w:rFonts w:ascii="Arial Unicode MS" w:hAnsi="Arial Unicode MS"/>
      <w:color w:val="000000"/>
      <w:kern w:val="0"/>
      <w:sz w:val="24"/>
      <w:szCs w:val="20"/>
    </w:rPr>
  </w:style>
  <w:style w:type="paragraph" w:customStyle="1" w:styleId="415">
    <w:name w:val="xl135"/>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bottom"/>
    </w:pPr>
    <w:rPr>
      <w:rFonts w:ascii="Arial" w:hAnsi="Arial"/>
      <w:kern w:val="0"/>
      <w:sz w:val="20"/>
      <w:szCs w:val="20"/>
    </w:rPr>
  </w:style>
  <w:style w:type="paragraph" w:customStyle="1" w:styleId="416">
    <w:name w:val="_Style 3"/>
    <w:next w:val="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17">
    <w:name w:val="样式 Arial 左侧:  0.43 厘米 段前: 1.4 磅 段后: 2.8 磅"/>
    <w:basedOn w:val="1"/>
    <w:uiPriority w:val="0"/>
    <w:pPr>
      <w:spacing w:before="28" w:after="56" w:line="360" w:lineRule="auto"/>
      <w:ind w:left="244" w:firstLine="540" w:firstLineChars="225"/>
    </w:pPr>
    <w:rPr>
      <w:rFonts w:ascii="Arial" w:hAnsi="Arial" w:eastAsia="楷体_GB2312" w:cs="宋体"/>
      <w:sz w:val="24"/>
    </w:rPr>
  </w:style>
  <w:style w:type="paragraph" w:customStyle="1" w:styleId="418">
    <w:name w:val="xl11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419">
    <w:name w:val="标题 5l"/>
    <w:basedOn w:val="8"/>
    <w:uiPriority w:val="0"/>
    <w:pPr>
      <w:numPr>
        <w:ilvl w:val="0"/>
        <w:numId w:val="0"/>
      </w:numPr>
      <w:tabs>
        <w:tab w:val="left" w:pos="0"/>
      </w:tabs>
      <w:adjustRightInd w:val="0"/>
      <w:spacing w:line="376" w:lineRule="atLeast"/>
      <w:textAlignment w:val="baseline"/>
    </w:pPr>
    <w:rPr>
      <w:rFonts w:eastAsia="楷体_GB2312"/>
      <w:kern w:val="0"/>
    </w:rPr>
  </w:style>
  <w:style w:type="paragraph" w:customStyle="1" w:styleId="420">
    <w:name w:val="xl128"/>
    <w:basedOn w:val="1"/>
    <w:uiPriority w:val="0"/>
    <w:pPr>
      <w:widowControl/>
      <w:spacing w:before="100" w:beforeAutospacing="1" w:after="100" w:afterAutospacing="1"/>
      <w:jc w:val="center"/>
    </w:pPr>
    <w:rPr>
      <w:rFonts w:ascii="Arial" w:hAnsi="Arial"/>
      <w:kern w:val="0"/>
      <w:sz w:val="24"/>
      <w:szCs w:val="20"/>
    </w:rPr>
  </w:style>
  <w:style w:type="paragraph" w:customStyle="1" w:styleId="421">
    <w:name w:val="页眉与页脚"/>
    <w:unhideWhenUsed/>
    <w:uiPriority w:val="99"/>
    <w:pPr>
      <w:tabs>
        <w:tab w:val="right" w:pos="9020"/>
      </w:tabs>
    </w:pPr>
    <w:rPr>
      <w:rFonts w:hint="eastAsia" w:ascii="Helvetica" w:hAnsi="Arial Unicode MS" w:eastAsia="Times New Roman"/>
      <w:color w:val="000000"/>
      <w:sz w:val="24"/>
      <w:szCs w:val="22"/>
      <w:lang w:val="en-US" w:eastAsia="zh-CN" w:bidi="ar-SA"/>
    </w:rPr>
  </w:style>
  <w:style w:type="paragraph" w:customStyle="1" w:styleId="422">
    <w:name w:val="正文规范1"/>
    <w:basedOn w:val="1"/>
    <w:uiPriority w:val="0"/>
    <w:pPr>
      <w:spacing w:line="360" w:lineRule="auto"/>
      <w:ind w:firstLine="480" w:firstLineChars="200"/>
    </w:pPr>
    <w:rPr>
      <w:sz w:val="24"/>
    </w:rPr>
  </w:style>
  <w:style w:type="paragraph" w:customStyle="1" w:styleId="423">
    <w:name w:val="样式 正文文本缩进 + 左侧:  0.63 厘米 首行缩进:  0 厘米"/>
    <w:basedOn w:val="2"/>
    <w:uiPriority w:val="0"/>
    <w:pPr>
      <w:autoSpaceDE w:val="0"/>
      <w:autoSpaceDN w:val="0"/>
      <w:adjustRightInd w:val="0"/>
      <w:spacing w:after="120" w:line="360" w:lineRule="auto"/>
      <w:ind w:left="278" w:leftChars="116" w:right="17" w:firstLine="461" w:firstLineChars="192"/>
    </w:pPr>
    <w:rPr>
      <w:rFonts w:ascii="宋体" w:hAnsi="宋体" w:eastAsia="楷体_GB2312"/>
      <w:sz w:val="24"/>
      <w:szCs w:val="24"/>
    </w:rPr>
  </w:style>
  <w:style w:type="paragraph" w:customStyle="1" w:styleId="424">
    <w:name w:val="word"/>
    <w:basedOn w:val="1"/>
    <w:uiPriority w:val="0"/>
    <w:pPr>
      <w:widowControl/>
      <w:spacing w:before="100" w:beforeAutospacing="1" w:after="100" w:afterAutospacing="1" w:line="270" w:lineRule="atLeast"/>
      <w:jc w:val="left"/>
    </w:pPr>
    <w:rPr>
      <w:rFonts w:ascii="宋体" w:hAnsi="宋体" w:eastAsia="楷体_GB2312" w:cs="宋体"/>
      <w:kern w:val="0"/>
      <w:sz w:val="18"/>
      <w:szCs w:val="18"/>
    </w:rPr>
  </w:style>
  <w:style w:type="paragraph" w:customStyle="1" w:styleId="425">
    <w:name w:val="xl87"/>
    <w:basedOn w:val="1"/>
    <w:uiPriority w:val="0"/>
    <w:pPr>
      <w:widowControl/>
      <w:spacing w:before="100" w:beforeAutospacing="1" w:after="100" w:afterAutospacing="1"/>
      <w:jc w:val="left"/>
      <w:textAlignment w:val="bottom"/>
    </w:pPr>
    <w:rPr>
      <w:rFonts w:ascii="宋体" w:hAnsi="宋体"/>
      <w:kern w:val="0"/>
      <w:sz w:val="18"/>
      <w:szCs w:val="20"/>
    </w:rPr>
  </w:style>
  <w:style w:type="paragraph" w:customStyle="1" w:styleId="426">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427">
    <w:name w:val=" Char Char1 Char"/>
    <w:basedOn w:val="1"/>
    <w:uiPriority w:val="0"/>
    <w:rPr>
      <w:rFonts w:ascii="仿宋_GB2312" w:eastAsia="仿宋_GB2312"/>
      <w:b/>
      <w:sz w:val="32"/>
      <w:szCs w:val="32"/>
    </w:rPr>
  </w:style>
  <w:style w:type="paragraph" w:customStyle="1" w:styleId="428">
    <w:name w:val="xl75"/>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429">
    <w:name w:val="列出段落1"/>
    <w:basedOn w:val="1"/>
    <w:qFormat/>
    <w:uiPriority w:val="34"/>
    <w:pPr>
      <w:snapToGrid w:val="0"/>
      <w:spacing w:line="276" w:lineRule="auto"/>
      <w:ind w:firstLine="420" w:firstLineChars="200"/>
    </w:pPr>
    <w:rPr>
      <w:rFonts w:ascii="Calibri" w:hAnsi="Calibri" w:eastAsia="微软雅黑" w:cs="Times New Roman"/>
      <w:sz w:val="24"/>
      <w:szCs w:val="21"/>
    </w:rPr>
  </w:style>
  <w:style w:type="paragraph" w:customStyle="1" w:styleId="430">
    <w:name w:val="xl140"/>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customStyle="1" w:styleId="431">
    <w:name w:val="正文蓝"/>
    <w:basedOn w:val="1"/>
    <w:uiPriority w:val="0"/>
    <w:pPr>
      <w:spacing w:before="156" w:line="360" w:lineRule="auto"/>
      <w:ind w:firstLine="360" w:firstLineChars="200"/>
    </w:pPr>
    <w:rPr>
      <w:rFonts w:ascii="仿宋_GB2312" w:eastAsia="仿宋_GB2312"/>
      <w:color w:val="000080"/>
      <w:sz w:val="24"/>
      <w:szCs w:val="20"/>
    </w:rPr>
  </w:style>
  <w:style w:type="paragraph" w:customStyle="1" w:styleId="432">
    <w:name w:val="UserStyle_94"/>
    <w:basedOn w:val="1"/>
    <w:qFormat/>
    <w:uiPriority w:val="0"/>
    <w:pPr>
      <w:widowControl/>
      <w:spacing w:before="156" w:line="360" w:lineRule="auto"/>
      <w:ind w:firstLine="200" w:firstLineChars="200"/>
    </w:pPr>
    <w:rPr>
      <w:rFonts w:ascii="Times New Roman" w:hAnsi="Times New Roman" w:eastAsia="Times New Roman"/>
      <w:kern w:val="0"/>
      <w:sz w:val="28"/>
      <w:szCs w:val="20"/>
    </w:rPr>
  </w:style>
  <w:style w:type="paragraph" w:customStyle="1" w:styleId="433">
    <w:name w:val="封面一致性程度标识"/>
    <w:uiPriority w:val="0"/>
    <w:pPr>
      <w:spacing w:before="440" w:line="400" w:lineRule="exact"/>
      <w:jc w:val="center"/>
    </w:pPr>
    <w:rPr>
      <w:rFonts w:ascii="宋体"/>
      <w:sz w:val="28"/>
      <w:lang w:val="en-US" w:eastAsia="zh-CN" w:bidi="ar-SA"/>
    </w:rPr>
  </w:style>
  <w:style w:type="paragraph" w:customStyle="1" w:styleId="434">
    <w:name w:val="2"/>
    <w:basedOn w:val="1"/>
    <w:uiPriority w:val="0"/>
    <w:rPr>
      <w:rFonts w:ascii="Tahoma" w:hAnsi="Tahoma" w:eastAsia="??" w:cs="Tahoma"/>
      <w:sz w:val="24"/>
      <w:szCs w:val="28"/>
    </w:rPr>
  </w:style>
  <w:style w:type="paragraph" w:customStyle="1" w:styleId="435">
    <w:name w:val="xl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szCs w:val="20"/>
    </w:rPr>
  </w:style>
  <w:style w:type="paragraph" w:customStyle="1" w:styleId="436">
    <w:name w:val="xl101"/>
    <w:basedOn w:val="1"/>
    <w:uiPriority w:val="0"/>
    <w:pPr>
      <w:widowControl/>
      <w:spacing w:before="100" w:beforeAutospacing="1" w:after="100" w:afterAutospacing="1"/>
      <w:jc w:val="center"/>
    </w:pPr>
    <w:rPr>
      <w:rFonts w:ascii="Arial" w:hAnsi="Arial"/>
      <w:kern w:val="0"/>
      <w:sz w:val="18"/>
      <w:szCs w:val="20"/>
    </w:rPr>
  </w:style>
  <w:style w:type="paragraph" w:customStyle="1" w:styleId="437">
    <w:name w:val="Char Char2"/>
    <w:basedOn w:val="1"/>
    <w:uiPriority w:val="0"/>
    <w:rPr>
      <w:rFonts w:ascii="Tahoma" w:hAnsi="Tahoma" w:eastAsia="??" w:cs="Tahoma"/>
      <w:sz w:val="24"/>
      <w:szCs w:val="28"/>
    </w:rPr>
  </w:style>
  <w:style w:type="paragraph" w:customStyle="1" w:styleId="438">
    <w:name w:val="段 Char Char"/>
    <w:uiPriority w:val="0"/>
    <w:pPr>
      <w:autoSpaceDE w:val="0"/>
      <w:autoSpaceDN w:val="0"/>
      <w:ind w:firstLine="200" w:firstLineChars="200"/>
      <w:jc w:val="both"/>
    </w:pPr>
    <w:rPr>
      <w:rFonts w:ascii="宋体"/>
      <w:sz w:val="21"/>
      <w:lang w:val="en-US" w:eastAsia="zh-CN" w:bidi="ar-SA"/>
    </w:rPr>
  </w:style>
  <w:style w:type="paragraph" w:customStyle="1" w:styleId="439">
    <w:name w:val=" Char"/>
    <w:basedOn w:val="1"/>
    <w:uiPriority w:val="0"/>
    <w:rPr>
      <w:rFonts w:ascii="仿宋_GB2312" w:eastAsia="仿宋_GB2312"/>
      <w:b/>
      <w:sz w:val="32"/>
      <w:szCs w:val="32"/>
    </w:rPr>
  </w:style>
  <w:style w:type="paragraph" w:customStyle="1" w:styleId="440">
    <w:name w:val="xl85"/>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olor w:val="FF0000"/>
      <w:kern w:val="0"/>
      <w:sz w:val="20"/>
      <w:szCs w:val="20"/>
    </w:rPr>
  </w:style>
  <w:style w:type="paragraph" w:customStyle="1" w:styleId="441">
    <w:name w:val="Char Char"/>
    <w:basedOn w:val="1"/>
    <w:uiPriority w:val="0"/>
    <w:pPr>
      <w:spacing w:line="360" w:lineRule="auto"/>
    </w:pPr>
    <w:rPr>
      <w:rFonts w:ascii="Tahoma" w:hAnsi="Tahoma" w:cs="Lucida Sans"/>
      <w:sz w:val="24"/>
      <w:szCs w:val="20"/>
    </w:rPr>
  </w:style>
  <w:style w:type="paragraph" w:customStyle="1" w:styleId="442">
    <w:name w:val="自由格式"/>
    <w:qFormat/>
    <w:uiPriority w:val="0"/>
    <w:rPr>
      <w:rFonts w:ascii="Cambria" w:hAnsi="Cambria" w:eastAsia="Cambria" w:cs="Cambria"/>
      <w:color w:val="000000"/>
      <w:sz w:val="24"/>
      <w:szCs w:val="24"/>
      <w:lang w:val="en-US" w:eastAsia="zh-CN" w:bidi="ar-SA"/>
    </w:rPr>
  </w:style>
  <w:style w:type="paragraph" w:customStyle="1" w:styleId="443">
    <w:name w:val="样式 标题 3标题 3 Char第二层条h33Bold Headbh章标题1小标题level_3PIM 3..."/>
    <w:basedOn w:val="6"/>
    <w:uiPriority w:val="0"/>
    <w:pPr>
      <w:widowControl w:val="0"/>
      <w:numPr>
        <w:ilvl w:val="2"/>
        <w:numId w:val="0"/>
      </w:numPr>
      <w:adjustRightInd w:val="0"/>
      <w:snapToGrid w:val="0"/>
      <w:spacing w:before="0" w:after="0"/>
      <w:jc w:val="both"/>
    </w:pPr>
    <w:rPr>
      <w:rFonts w:ascii="黑体" w:hAnsi="宋体" w:eastAsia="黑体"/>
      <w:b w:val="0"/>
      <w:color w:val="000000"/>
      <w:sz w:val="28"/>
      <w:szCs w:val="20"/>
    </w:rPr>
  </w:style>
  <w:style w:type="paragraph" w:customStyle="1" w:styleId="444">
    <w:name w:val="表格标题"/>
    <w:basedOn w:val="148"/>
    <w:uiPriority w:val="0"/>
    <w:pPr>
      <w:jc w:val="center"/>
    </w:pPr>
    <w:rPr>
      <w:b/>
    </w:rPr>
  </w:style>
  <w:style w:type="paragraph" w:customStyle="1" w:styleId="445">
    <w:name w:val="xl112"/>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446">
    <w:name w:val="xl7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color w:val="FF0000"/>
      <w:kern w:val="0"/>
      <w:sz w:val="18"/>
      <w:szCs w:val="20"/>
    </w:rPr>
  </w:style>
  <w:style w:type="paragraph" w:customStyle="1" w:styleId="447">
    <w:name w:val="xl88"/>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448">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20"/>
      <w:szCs w:val="20"/>
    </w:rPr>
  </w:style>
  <w:style w:type="paragraph" w:customStyle="1" w:styleId="449">
    <w:name w:val="Defaul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450">
    <w:name w:val="af17cgridlangnp1033langf"/>
    <w:uiPriority w:val="0"/>
    <w:pPr>
      <w:widowControl w:val="0"/>
      <w:autoSpaceDE w:val="0"/>
      <w:autoSpaceDN w:val="0"/>
      <w:adjustRightInd w:val="0"/>
      <w:spacing w:before="156" w:line="360" w:lineRule="atLeast"/>
      <w:ind w:left="567" w:firstLine="510"/>
      <w:jc w:val="both"/>
    </w:pPr>
    <w:rPr>
      <w:rFonts w:eastAsia="??"/>
      <w:szCs w:val="28"/>
      <w:lang w:val="en-US" w:eastAsia="zh-CN" w:bidi="ar-SA"/>
    </w:rPr>
  </w:style>
  <w:style w:type="paragraph" w:customStyle="1" w:styleId="451">
    <w:name w:val="xl77"/>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452">
    <w:name w:val="表格内容"/>
    <w:basedOn w:val="1"/>
    <w:uiPriority w:val="0"/>
    <w:pPr>
      <w:widowControl/>
      <w:autoSpaceDE w:val="0"/>
      <w:autoSpaceDN w:val="0"/>
      <w:adjustRightInd w:val="0"/>
      <w:spacing w:before="60" w:line="300" w:lineRule="auto"/>
      <w:jc w:val="center"/>
      <w:textAlignment w:val="bottom"/>
    </w:pPr>
    <w:rPr>
      <w:kern w:val="0"/>
      <w:szCs w:val="20"/>
    </w:rPr>
  </w:style>
  <w:style w:type="paragraph" w:customStyle="1" w:styleId="453">
    <w:name w:val="xl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454">
    <w:name w:val="xl72"/>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455">
    <w:name w:val="xl13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456">
    <w:name w:val="无间隔1"/>
    <w:qFormat/>
    <w:uiPriority w:val="0"/>
    <w:rPr>
      <w:rFonts w:eastAsia="??" w:cs="宋体"/>
      <w:sz w:val="22"/>
      <w:szCs w:val="22"/>
      <w:lang w:val="en-US" w:eastAsia="en-US" w:bidi="ar-SA"/>
    </w:rPr>
  </w:style>
  <w:style w:type="paragraph" w:customStyle="1" w:styleId="457">
    <w:name w:val=" Char1"/>
    <w:basedOn w:val="1"/>
    <w:uiPriority w:val="0"/>
    <w:rPr>
      <w:rFonts w:ascii="仿宋_GB2312" w:eastAsia="仿宋_GB2312"/>
      <w:b/>
      <w:sz w:val="32"/>
      <w:szCs w:val="20"/>
    </w:rPr>
  </w:style>
  <w:style w:type="paragraph" w:customStyle="1" w:styleId="458">
    <w:name w:val="样式4 Char"/>
    <w:basedOn w:val="1"/>
    <w:uiPriority w:val="0"/>
    <w:pPr>
      <w:widowControl/>
      <w:spacing w:line="360" w:lineRule="auto"/>
      <w:ind w:firstLine="480"/>
      <w:jc w:val="left"/>
    </w:pPr>
    <w:rPr>
      <w:rFonts w:eastAsia="楷体_GB2312" w:cs="宋体"/>
      <w:color w:val="000000"/>
      <w:kern w:val="0"/>
      <w:sz w:val="24"/>
    </w:rPr>
  </w:style>
  <w:style w:type="paragraph" w:customStyle="1" w:styleId="459">
    <w:name w:val="WPSOffice手动目录 2"/>
    <w:uiPriority w:val="0"/>
    <w:pPr>
      <w:ind w:leftChars="200"/>
    </w:pPr>
    <w:rPr>
      <w:rFonts w:ascii="Times New Roman" w:hAnsi="Times New Roman" w:eastAsia="宋体" w:cs="Times New Roman"/>
      <w:lang w:val="en-US" w:eastAsia="zh-CN" w:bidi="ar-SA"/>
    </w:rPr>
  </w:style>
  <w:style w:type="paragraph" w:customStyle="1" w:styleId="460">
    <w:name w:val="正文 A"/>
    <w:unhideWhenUsed/>
    <w:qFormat/>
    <w:uiPriority w:val="99"/>
    <w:pPr>
      <w:widowControl w:val="0"/>
      <w:jc w:val="both"/>
    </w:pPr>
    <w:rPr>
      <w:rFonts w:hint="eastAsia" w:ascii="Arial Unicode MS" w:hAnsi="Arial Unicode MS"/>
      <w:color w:val="000000"/>
      <w:kern w:val="2"/>
      <w:sz w:val="21"/>
      <w:szCs w:val="22"/>
      <w:u w:val="none" w:color="000000"/>
      <w:lang w:val="en-US" w:eastAsia="zh-CN" w:bidi="ar-SA"/>
    </w:rPr>
  </w:style>
  <w:style w:type="paragraph" w:customStyle="1" w:styleId="461">
    <w:name w:val="xl98"/>
    <w:basedOn w:val="1"/>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textAlignment w:val="bottom"/>
    </w:pPr>
    <w:rPr>
      <w:rFonts w:ascii="宋体" w:hAnsi="宋体"/>
      <w:kern w:val="0"/>
      <w:sz w:val="20"/>
      <w:szCs w:val="20"/>
    </w:rPr>
  </w:style>
  <w:style w:type="paragraph" w:customStyle="1" w:styleId="462">
    <w:name w:val="正文 首行缩进2字符 Char Char"/>
    <w:basedOn w:val="1"/>
    <w:uiPriority w:val="0"/>
    <w:pPr>
      <w:spacing w:line="360" w:lineRule="auto"/>
      <w:ind w:firstLine="200" w:firstLineChars="200"/>
    </w:pPr>
    <w:rPr>
      <w:rFonts w:eastAsia="楷体_GB2312"/>
      <w:sz w:val="24"/>
    </w:rPr>
  </w:style>
  <w:style w:type="paragraph" w:customStyle="1" w:styleId="463">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464">
    <w:name w:val="xl141"/>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customStyle="1" w:styleId="465">
    <w:name w:val="xl138"/>
    <w:basedOn w:val="1"/>
    <w:uiPriority w:val="0"/>
    <w:pPr>
      <w:widowControl/>
      <w:spacing w:before="100" w:beforeAutospacing="1" w:after="100" w:afterAutospacing="1"/>
      <w:jc w:val="center"/>
      <w:textAlignment w:val="bottom"/>
    </w:pPr>
    <w:rPr>
      <w:rFonts w:ascii="Arial" w:hAnsi="Arial"/>
      <w:kern w:val="0"/>
      <w:sz w:val="18"/>
      <w:szCs w:val="20"/>
    </w:rPr>
  </w:style>
  <w:style w:type="paragraph" w:customStyle="1" w:styleId="466">
    <w:name w:val="xl1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olor w:val="FF0000"/>
      <w:kern w:val="0"/>
      <w:sz w:val="18"/>
      <w:szCs w:val="20"/>
    </w:rPr>
  </w:style>
  <w:style w:type="paragraph" w:customStyle="1" w:styleId="467">
    <w:name w:val="Char Char Char1 Char Char Char1 Char"/>
    <w:basedOn w:val="1"/>
    <w:uiPriority w:val="0"/>
    <w:pPr>
      <w:tabs>
        <w:tab w:val="left" w:pos="360"/>
      </w:tabs>
    </w:pPr>
    <w:rPr>
      <w:sz w:val="24"/>
    </w:rPr>
  </w:style>
  <w:style w:type="paragraph" w:styleId="468">
    <w:name w:val=""/>
    <w:basedOn w:val="1"/>
    <w:next w:val="1"/>
    <w:uiPriority w:val="0"/>
    <w:pPr>
      <w:pBdr>
        <w:bottom w:val="single" w:color="auto" w:sz="6" w:space="1"/>
      </w:pBdr>
      <w:jc w:val="center"/>
    </w:pPr>
    <w:rPr>
      <w:rFonts w:ascii="Arial" w:eastAsia="宋体"/>
      <w:vanish/>
      <w:sz w:val="16"/>
    </w:rPr>
  </w:style>
  <w:style w:type="paragraph" w:customStyle="1" w:styleId="469">
    <w:name w:val="xl25"/>
    <w:basedOn w:val="1"/>
    <w:uiPriority w:val="0"/>
    <w:pPr>
      <w:widowControl/>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470">
    <w:name w:val="样式 正文缩进 + 首行缩进:  2 字符"/>
    <w:basedOn w:val="20"/>
    <w:uiPriority w:val="0"/>
    <w:pPr>
      <w:widowControl w:val="0"/>
      <w:spacing w:line="360" w:lineRule="auto"/>
      <w:ind w:firstLine="200" w:firstLineChars="200"/>
      <w:jc w:val="both"/>
    </w:pPr>
    <w:rPr>
      <w:rFonts w:eastAsia="宋体" w:cs="宋体"/>
      <w:kern w:val="2"/>
      <w:szCs w:val="20"/>
    </w:rPr>
  </w:style>
  <w:style w:type="paragraph" w:customStyle="1" w:styleId="471">
    <w:name w:val="中等深浅网格 21"/>
    <w:qFormat/>
    <w:uiPriority w:val="1"/>
    <w:pPr>
      <w:widowControl w:val="0"/>
      <w:jc w:val="both"/>
    </w:pPr>
    <w:rPr>
      <w:kern w:val="2"/>
      <w:sz w:val="21"/>
      <w:szCs w:val="22"/>
      <w:lang w:val="en-US" w:eastAsia="zh-CN" w:bidi="ar-SA"/>
    </w:rPr>
  </w:style>
  <w:style w:type="paragraph" w:customStyle="1" w:styleId="472">
    <w:name w:val="符号 2"/>
    <w:basedOn w:val="473"/>
    <w:uiPriority w:val="0"/>
    <w:pPr>
      <w:tabs>
        <w:tab w:val="left" w:pos="1320"/>
      </w:tabs>
      <w:ind w:left="1320"/>
    </w:pPr>
  </w:style>
  <w:style w:type="paragraph" w:customStyle="1" w:styleId="473">
    <w:name w:val="符号 1"/>
    <w:basedOn w:val="2"/>
    <w:uiPriority w:val="0"/>
    <w:pPr>
      <w:tabs>
        <w:tab w:val="left" w:pos="900"/>
      </w:tabs>
      <w:spacing w:line="360" w:lineRule="auto"/>
      <w:ind w:left="900" w:hanging="420"/>
    </w:pPr>
    <w:rPr>
      <w:rFonts w:ascii="Times New Roman" w:hAnsi="Times New Roman" w:eastAsia="楷体_GB2312" w:cs="Times New Roman"/>
      <w:kern w:val="28"/>
      <w:sz w:val="24"/>
      <w:szCs w:val="24"/>
    </w:rPr>
  </w:style>
  <w:style w:type="paragraph" w:customStyle="1" w:styleId="474">
    <w:name w:val="Code"/>
    <w:basedOn w:val="1"/>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eastAsia="楷体_GB2312" w:cs="Courier New"/>
      <w:sz w:val="18"/>
    </w:rPr>
  </w:style>
  <w:style w:type="paragraph" w:customStyle="1" w:styleId="475">
    <w:name w:val="xl4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476">
    <w:name w:val="xl132"/>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kern w:val="0"/>
      <w:sz w:val="20"/>
      <w:szCs w:val="20"/>
    </w:rPr>
  </w:style>
  <w:style w:type="paragraph" w:customStyle="1" w:styleId="477">
    <w:name w:val="5 Char"/>
    <w:basedOn w:val="1"/>
    <w:uiPriority w:val="0"/>
    <w:rPr>
      <w:rFonts w:eastAsia="楷体_GB2312"/>
    </w:rPr>
  </w:style>
  <w:style w:type="paragraph" w:customStyle="1" w:styleId="478">
    <w:name w:val="正文 首行缩进"/>
    <w:basedOn w:val="1"/>
    <w:uiPriority w:val="0"/>
    <w:pPr>
      <w:spacing w:line="360" w:lineRule="auto"/>
      <w:ind w:firstLine="200" w:firstLineChars="200"/>
    </w:pPr>
    <w:rPr>
      <w:rFonts w:eastAsia="楷体_GB2312"/>
      <w:sz w:val="28"/>
      <w:szCs w:val="20"/>
    </w:rPr>
  </w:style>
  <w:style w:type="paragraph" w:customStyle="1" w:styleId="479">
    <w:name w:val="中文标题 3"/>
    <w:basedOn w:val="2"/>
    <w:uiPriority w:val="0"/>
    <w:pPr>
      <w:spacing w:before="100" w:beforeAutospacing="1" w:after="100" w:afterAutospacing="1" w:line="360" w:lineRule="auto"/>
      <w:ind w:firstLine="482"/>
    </w:pPr>
    <w:rPr>
      <w:rFonts w:ascii="Times New Roman" w:hAnsi="Times New Roman" w:eastAsia="楷体_GB2312" w:cs="Times New Roman"/>
      <w:kern w:val="28"/>
      <w:sz w:val="24"/>
      <w:szCs w:val="24"/>
    </w:rPr>
  </w:style>
  <w:style w:type="paragraph" w:customStyle="1" w:styleId="480">
    <w:name w:val="中文标题 4"/>
    <w:basedOn w:val="2"/>
    <w:uiPriority w:val="0"/>
    <w:pPr>
      <w:spacing w:before="100" w:beforeAutospacing="1" w:after="100" w:afterAutospacing="1" w:line="360" w:lineRule="auto"/>
      <w:ind w:firstLine="482"/>
    </w:pPr>
    <w:rPr>
      <w:rFonts w:ascii="Times New Roman" w:hAnsi="Times New Roman" w:eastAsia="楷体_GB2312" w:cs="Times New Roman"/>
      <w:kern w:val="28"/>
      <w:sz w:val="24"/>
      <w:szCs w:val="24"/>
    </w:rPr>
  </w:style>
  <w:style w:type="paragraph" w:customStyle="1" w:styleId="481">
    <w:name w:val="xl70"/>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Arial" w:hAnsi="Arial"/>
      <w:kern w:val="0"/>
      <w:sz w:val="20"/>
      <w:szCs w:val="20"/>
    </w:rPr>
  </w:style>
  <w:style w:type="paragraph" w:customStyle="1" w:styleId="482">
    <w:name w:val="xl86"/>
    <w:basedOn w:val="1"/>
    <w:uiPriority w:val="0"/>
    <w:pPr>
      <w:widowControl/>
      <w:pBdr>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483">
    <w:name w:val="xl64"/>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484">
    <w:name w:val="大标题"/>
    <w:basedOn w:val="1"/>
    <w:next w:val="1"/>
    <w:uiPriority w:val="0"/>
    <w:pPr>
      <w:pageBreakBefore/>
      <w:tabs>
        <w:tab w:val="left" w:pos="900"/>
      </w:tabs>
      <w:spacing w:line="360" w:lineRule="auto"/>
      <w:ind w:hanging="420" w:firstLineChars="200"/>
      <w:outlineLvl w:val="0"/>
    </w:pPr>
    <w:rPr>
      <w:b/>
      <w:iCs/>
      <w:sz w:val="44"/>
    </w:rPr>
  </w:style>
  <w:style w:type="paragraph" w:customStyle="1" w:styleId="485">
    <w:name w:val="公文标题"/>
    <w:basedOn w:val="121"/>
    <w:next w:val="121"/>
    <w:uiPriority w:val="0"/>
    <w:pPr>
      <w:spacing w:before="0"/>
      <w:ind w:firstLine="0" w:firstLineChars="0"/>
      <w:jc w:val="center"/>
    </w:pPr>
    <w:rPr>
      <w:rFonts w:ascii="仿宋_GB2312" w:hAnsi="宋体" w:eastAsia="仿宋_GB2312" w:cs="Times New Roman"/>
      <w:b/>
      <w:bCs/>
      <w:kern w:val="28"/>
      <w:sz w:val="44"/>
    </w:rPr>
  </w:style>
  <w:style w:type="paragraph" w:customStyle="1" w:styleId="486">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487">
    <w:name w:val="默认段落字体 Para Char"/>
    <w:basedOn w:val="1"/>
    <w:uiPriority w:val="0"/>
    <w:rPr>
      <w:rFonts w:ascii="Tahoma" w:hAnsi="Tahoma"/>
      <w:sz w:val="24"/>
      <w:szCs w:val="20"/>
    </w:rPr>
  </w:style>
  <w:style w:type="paragraph" w:customStyle="1" w:styleId="488">
    <w:name w:val="样式 正文文本缩进 2 + 仿宋_GB2312 黑色 行距: 1.5 倍行距"/>
    <w:basedOn w:val="46"/>
    <w:uiPriority w:val="0"/>
    <w:pPr>
      <w:spacing w:line="360" w:lineRule="auto"/>
      <w:ind w:firstLine="560" w:firstLineChars="200"/>
    </w:pPr>
    <w:rPr>
      <w:rFonts w:ascii="宋体" w:hAnsi="宋体" w:eastAsia="宋体"/>
      <w:color w:val="000000"/>
      <w:sz w:val="24"/>
      <w:szCs w:val="20"/>
    </w:rPr>
  </w:style>
  <w:style w:type="paragraph" w:customStyle="1" w:styleId="489">
    <w:name w:val="xl49"/>
    <w:basedOn w:val="1"/>
    <w:uiPriority w:val="0"/>
    <w:pPr>
      <w:widowControl/>
      <w:pBdr>
        <w:top w:val="single" w:color="auto" w:sz="8" w:space="0"/>
        <w:left w:val="single" w:color="auto" w:sz="8"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490">
    <w:name w:val="xl4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kern w:val="0"/>
      <w:sz w:val="18"/>
      <w:szCs w:val="20"/>
    </w:rPr>
  </w:style>
  <w:style w:type="paragraph" w:customStyle="1" w:styleId="491">
    <w:name w:val="4"/>
    <w:basedOn w:val="1"/>
    <w:next w:val="46"/>
    <w:uiPriority w:val="0"/>
    <w:pPr>
      <w:spacing w:after="120" w:line="480" w:lineRule="auto"/>
      <w:ind w:left="420" w:leftChars="200"/>
    </w:pPr>
    <w:rPr>
      <w:sz w:val="24"/>
      <w:szCs w:val="20"/>
    </w:rPr>
  </w:style>
  <w:style w:type="paragraph" w:customStyle="1" w:styleId="492">
    <w:name w:val="正文（首行缩进2字符）"/>
    <w:basedOn w:val="1"/>
    <w:qFormat/>
    <w:uiPriority w:val="0"/>
    <w:pPr>
      <w:spacing w:line="360" w:lineRule="auto"/>
      <w:ind w:firstLine="420" w:firstLineChars="200"/>
    </w:pPr>
    <w:rPr>
      <w:rFonts w:ascii="Calibri" w:hAnsi="Calibri"/>
      <w:szCs w:val="21"/>
    </w:rPr>
  </w:style>
  <w:style w:type="paragraph" w:customStyle="1" w:styleId="493">
    <w:name w:val="正文 首行缩进:  2 字符 Char Char"/>
    <w:basedOn w:val="1"/>
    <w:uiPriority w:val="0"/>
    <w:pPr>
      <w:spacing w:line="360" w:lineRule="auto"/>
      <w:ind w:firstLine="480"/>
    </w:pPr>
    <w:rPr>
      <w:rFonts w:ascii="楷体_GB2312" w:eastAsia="楷体_GB2312"/>
      <w:bCs/>
      <w:sz w:val="24"/>
    </w:rPr>
  </w:style>
  <w:style w:type="paragraph" w:customStyle="1" w:styleId="494">
    <w:name w:val="Char Char1 Char"/>
    <w:basedOn w:val="1"/>
    <w:uiPriority w:val="0"/>
    <w:pPr>
      <w:widowControl/>
      <w:snapToGrid w:val="0"/>
      <w:spacing w:before="120" w:after="160" w:line="360" w:lineRule="auto"/>
      <w:ind w:right="-360"/>
      <w:jc w:val="left"/>
    </w:pPr>
    <w:rPr>
      <w:rFonts w:ascii="Arial" w:hAnsi="Arial"/>
      <w:kern w:val="0"/>
      <w:sz w:val="24"/>
      <w:lang w:eastAsia="en-US"/>
    </w:rPr>
  </w:style>
  <w:style w:type="paragraph" w:customStyle="1" w:styleId="495">
    <w:name w:val="部分1"/>
    <w:basedOn w:val="1"/>
    <w:uiPriority w:val="0"/>
    <w:pPr>
      <w:keepNext/>
      <w:pageBreakBefore/>
      <w:tabs>
        <w:tab w:val="left" w:pos="720"/>
      </w:tabs>
      <w:spacing w:line="360" w:lineRule="auto"/>
      <w:jc w:val="center"/>
      <w:outlineLvl w:val="0"/>
    </w:pPr>
    <w:rPr>
      <w:rFonts w:eastAsia="??"/>
      <w:b/>
      <w:kern w:val="44"/>
      <w:sz w:val="36"/>
      <w:szCs w:val="28"/>
    </w:rPr>
  </w:style>
  <w:style w:type="paragraph" w:customStyle="1" w:styleId="496">
    <w:name w:val="默认段落字体 Para Char Char Char1 Char"/>
    <w:basedOn w:val="1"/>
    <w:next w:val="1"/>
    <w:uiPriority w:val="0"/>
    <w:pPr>
      <w:spacing w:line="240" w:lineRule="atLeast"/>
      <w:ind w:left="420" w:firstLine="420"/>
      <w:jc w:val="left"/>
    </w:pPr>
    <w:rPr>
      <w:kern w:val="0"/>
      <w:szCs w:val="21"/>
    </w:rPr>
  </w:style>
  <w:style w:type="paragraph" w:customStyle="1" w:styleId="497">
    <w:name w:val="表格文字"/>
    <w:basedOn w:val="1"/>
    <w:uiPriority w:val="0"/>
    <w:pPr>
      <w:autoSpaceDE w:val="0"/>
      <w:autoSpaceDN w:val="0"/>
      <w:adjustRightInd w:val="0"/>
      <w:spacing w:before="100" w:beforeAutospacing="1" w:after="100" w:afterAutospacing="1" w:line="360" w:lineRule="auto"/>
      <w:jc w:val="center"/>
      <w:textAlignment w:val="baseline"/>
    </w:pPr>
    <w:rPr>
      <w:rFonts w:eastAsia="楷体_GB2312"/>
      <w:color w:val="000000"/>
      <w:kern w:val="0"/>
      <w:sz w:val="24"/>
      <w:szCs w:val="20"/>
    </w:rPr>
  </w:style>
  <w:style w:type="paragraph" w:customStyle="1" w:styleId="498">
    <w:name w:val="样式"/>
    <w:basedOn w:val="1"/>
    <w:uiPriority w:val="0"/>
    <w:pPr>
      <w:autoSpaceDE w:val="0"/>
      <w:autoSpaceDN w:val="0"/>
      <w:snapToGrid w:val="0"/>
      <w:spacing w:before="120" w:after="120" w:line="360" w:lineRule="auto"/>
    </w:pPr>
    <w:rPr>
      <w:rFonts w:ascii="宋体"/>
      <w:sz w:val="24"/>
      <w:szCs w:val="20"/>
    </w:rPr>
  </w:style>
  <w:style w:type="table" w:customStyle="1" w:styleId="499">
    <w:name w:val="Table Normal1"/>
    <w:uiPriority w:val="0"/>
    <w:rPr>
      <w:lang w:val="en-US" w:eastAsia="zh-CN" w:bidi="ar-SA"/>
    </w:rPr>
    <w:tblPr>
      <w:tblStyle w:val="78"/>
      <w:tblCellMar>
        <w:top w:w="0" w:type="dxa"/>
        <w:left w:w="0" w:type="dxa"/>
        <w:bottom w:w="0" w:type="dxa"/>
        <w:right w:w="0" w:type="dxa"/>
      </w:tblCellMar>
    </w:tblPr>
  </w:style>
  <w:style w:type="table" w:customStyle="1" w:styleId="500">
    <w:name w:val="Table Normal"/>
    <w:qFormat/>
    <w:uiPriority w:val="0"/>
    <w:rPr>
      <w:lang w:val="en-US" w:eastAsia="zh-CN" w:bidi="ar-SA"/>
    </w:rPr>
    <w:tblPr>
      <w:tblStyle w:val="78"/>
      <w:tblCellMar>
        <w:top w:w="0" w:type="dxa"/>
        <w:left w:w="0" w:type="dxa"/>
        <w:bottom w:w="0" w:type="dxa"/>
        <w:right w:w="0" w:type="dxa"/>
      </w:tblCellMar>
    </w:tblPr>
  </w:style>
  <w:style w:type="table" w:customStyle="1" w:styleId="501">
    <w:name w:val="Table Normal2"/>
    <w:uiPriority w:val="0"/>
    <w:rPr>
      <w:lang w:val="en-US" w:eastAsia="zh-CN" w:bidi="ar-SA"/>
    </w:rPr>
    <w:tblPr>
      <w:tblStyle w:val="78"/>
      <w:tblCellMar>
        <w:top w:w="0" w:type="dxa"/>
        <w:left w:w="0" w:type="dxa"/>
        <w:bottom w:w="0" w:type="dxa"/>
        <w:right w:w="0" w:type="dxa"/>
      </w:tblCellMar>
    </w:tblPr>
  </w:style>
  <w:style w:type="table" w:customStyle="1" w:styleId="502">
    <w:name w:val="TableGrid"/>
    <w:qFormat/>
    <w:uiPriority w:val="0"/>
    <w:rPr>
      <w:rFonts w:ascii="等线" w:hAnsi="等线" w:eastAsia="等线"/>
      <w:lang w:val="en-US" w:eastAsia="zh-CN" w:bidi="ar-SA"/>
    </w:rPr>
    <w:tblPr>
      <w:tblStyle w:val="78"/>
      <w:tblCellMar>
        <w:top w:w="0" w:type="dxa"/>
        <w:left w:w="0" w:type="dxa"/>
        <w:bottom w:w="0" w:type="dxa"/>
        <w:right w:w="0" w:type="dxa"/>
      </w:tblCellMar>
    </w:tblPr>
  </w:style>
  <w:style w:type="table" w:customStyle="1" w:styleId="503">
    <w:name w:val="中等深浅网格 2 - 强调文字颜色 11"/>
    <w:basedOn w:val="78"/>
    <w:uiPriority w:val="68"/>
    <w:rPr>
      <w:rFonts w:ascii="Cambria" w:hAnsi="Cambria" w:eastAsia="宋体" w:cs="Times New Roman"/>
      <w:color w:val="000000"/>
    </w:rPr>
    <w:tblPr>
      <w:tblStyle w:val="78"/>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cPr>
      <w:shd w:val="clear" w:color="auto" w:fill="D3DFEE"/>
    </w:tcPr>
    <w:tblStylePr w:type="firstRow">
      <w:rPr>
        <w:b/>
        <w:bCs/>
        <w:color w:val="000000"/>
      </w:rPr>
      <w:tblPr>
        <w:tblStyle w:val="78"/>
      </w:tblPr>
      <w:tcPr>
        <w:shd w:val="clear" w:color="auto" w:fill="EDF2F8"/>
      </w:tcPr>
    </w:tblStylePr>
    <w:tblStylePr w:type="lastRow">
      <w:rPr>
        <w:b/>
        <w:bCs/>
        <w:color w:val="000000"/>
      </w:rPr>
      <w:tblPr>
        <w:tblStyle w:val="78"/>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blStyle w:val="78"/>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blStyle w:val="78"/>
      </w:tblPr>
      <w:tcPr>
        <w:tcBorders>
          <w:top w:val="nil"/>
          <w:left w:val="nil"/>
          <w:bottom w:val="nil"/>
          <w:right w:val="nil"/>
          <w:insideH w:val="nil"/>
          <w:insideV w:val="nil"/>
          <w:tl2br w:val="nil"/>
          <w:tr2bl w:val="nil"/>
        </w:tcBorders>
        <w:shd w:val="clear" w:color="auto" w:fill="DBE5F1"/>
      </w:tcPr>
    </w:tblStylePr>
    <w:tblStylePr w:type="band1Vert">
      <w:tblPr>
        <w:tblStyle w:val="78"/>
      </w:tblPr>
      <w:tcPr>
        <w:shd w:val="clear" w:color="auto" w:fill="A7C0DE"/>
      </w:tcPr>
    </w:tblStylePr>
    <w:tblStylePr w:type="band1Horz">
      <w:tblPr>
        <w:tblStyle w:val="78"/>
      </w:tblPr>
      <w:tcPr>
        <w:shd w:val="clear" w:color="auto" w:fill="A7C0DE"/>
      </w:tcPr>
    </w:tblStylePr>
    <w:tblStylePr w:type="nwCell">
      <w:tblPr>
        <w:tblStyle w:val="78"/>
      </w:tblPr>
      <w:tcPr>
        <w:shd w:val="clear" w:color="auto" w:fill="FFFFFF"/>
      </w:tcPr>
    </w:tblStyle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footer3.xml" Type="http://schemas.openxmlformats.org/officeDocument/2006/relationships/footer"/><Relationship Id="rId8" Target="theme/theme1.xml" Type="http://schemas.openxmlformats.org/officeDocument/2006/relationships/theme"/><Relationship Id="rId9" Target="media/image1.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5167</Words>
  <Characters>29458</Characters>
  <Lines>245</Lines>
  <Paragraphs>69</Paragraphs>
  <TotalTime>7</TotalTime>
  <ScaleCrop>false</ScaleCrop>
  <LinksUpToDate>false</LinksUpToDate>
  <CharactersWithSpaces>34556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2020-09-02T06:52:00Z</dcterms:created>
  <dc:creator>111</dc:creator>
  <cp:lastModifiedBy>WPS_1701756769</cp:lastModifiedBy>
  <cp:lastPrinted>2020-03-30T01:09:00Z</cp:lastPrinted>
  <dcterms:modified xsi:type="dcterms:W3CDTF">2024-02-22T11:10:55Z</dcterms:modified>
  <cp:revision>3</cp:revision>
  <dc:title>《杭州市乡村旅游提升规划（2013-2020年）》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8B0C07994BF84E6E9D572281F6318177_13</vt:lpwstr>
  </property>
</Properties>
</file>