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color w:val="0000FF"/>
          <w:sz w:val="48"/>
          <w:szCs w:val="48"/>
        </w:rPr>
      </w:pPr>
      <w:r>
        <w:rPr>
          <w:rFonts w:hint="eastAsia" w:ascii="宋体" w:hAnsi="宋体" w:cs="宋体"/>
          <w:b/>
          <w:bCs/>
          <w:color w:val="000000"/>
          <w:spacing w:val="6"/>
          <w:sz w:val="48"/>
          <w:szCs w:val="48"/>
        </w:rPr>
        <w:t>闲林街道食堂食材配送服务项目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仿宋" w:cs="宋体"/>
          <w:sz w:val="30"/>
          <w:szCs w:val="30"/>
          <w:lang w:val="en-US" w:eastAsia="zh-CN"/>
        </w:rPr>
      </w:pPr>
      <w:r>
        <w:rPr>
          <w:rFonts w:hint="eastAsia" w:ascii="宋体" w:hAnsi="宋体" w:cs="宋体"/>
          <w:sz w:val="30"/>
          <w:szCs w:val="30"/>
        </w:rPr>
        <w:t>编号:</w:t>
      </w:r>
      <w:r>
        <w:rPr>
          <w:rFonts w:hint="eastAsia" w:ascii="仿宋" w:hAnsi="仿宋" w:eastAsia="仿宋" w:cs="仿宋_GB2312"/>
          <w:sz w:val="30"/>
          <w:szCs w:val="30"/>
        </w:rPr>
        <w:t>ZJMSGL-2023-</w:t>
      </w:r>
      <w:r>
        <w:rPr>
          <w:rFonts w:hint="eastAsia" w:ascii="仿宋" w:hAnsi="仿宋" w:eastAsia="仿宋" w:cs="仿宋_GB2312"/>
          <w:sz w:val="30"/>
          <w:szCs w:val="30"/>
          <w:lang w:val="en-US" w:eastAsia="zh-CN"/>
        </w:rPr>
        <w:t>005</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采购人：杭州市余杭区人民政府闲林街道办事处</w:t>
      </w: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采购代理机构：浙江木石建设项目管理咨询有限公司</w:t>
      </w:r>
    </w:p>
    <w:p>
      <w:pPr>
        <w:snapToGrid w:val="0"/>
        <w:spacing w:line="360" w:lineRule="auto"/>
        <w:jc w:val="center"/>
        <w:rPr>
          <w:rFonts w:ascii="宋体" w:hAnsi="宋体" w:cs="宋体"/>
          <w:bCs/>
          <w:color w:val="FF0000"/>
          <w:sz w:val="32"/>
          <w:szCs w:val="32"/>
        </w:rPr>
      </w:pPr>
      <w:r>
        <w:rPr>
          <w:rFonts w:hint="eastAsia" w:ascii="宋体" w:hAnsi="宋体" w:cs="宋体"/>
          <w:bCs/>
          <w:color w:val="FF0000"/>
          <w:sz w:val="32"/>
          <w:szCs w:val="32"/>
        </w:rPr>
        <w:t>二〇二三年</w:t>
      </w:r>
      <w:r>
        <w:rPr>
          <w:rFonts w:hint="eastAsia" w:ascii="宋体" w:hAnsi="宋体" w:cs="宋体"/>
          <w:bCs/>
          <w:color w:val="FF0000"/>
          <w:sz w:val="32"/>
          <w:szCs w:val="32"/>
          <w:lang w:val="en-US" w:eastAsia="zh-CN"/>
        </w:rPr>
        <w:t>四</w:t>
      </w:r>
      <w:r>
        <w:rPr>
          <w:rFonts w:hint="eastAsia" w:ascii="宋体" w:hAnsi="宋体" w:cs="宋体"/>
          <w:bCs/>
          <w:color w:val="FF0000"/>
          <w:sz w:val="32"/>
          <w:szCs w:val="32"/>
        </w:rPr>
        <w:t>月</w:t>
      </w:r>
      <w:r>
        <w:rPr>
          <w:rFonts w:hint="eastAsia" w:ascii="宋体" w:hAnsi="宋体" w:cs="宋体"/>
          <w:bCs/>
          <w:color w:val="FF0000"/>
          <w:sz w:val="32"/>
          <w:szCs w:val="32"/>
          <w:lang w:val="en-US" w:eastAsia="zh-CN"/>
        </w:rPr>
        <w:t>十一</w:t>
      </w:r>
      <w:r>
        <w:rPr>
          <w:rFonts w:hint="eastAsia" w:ascii="宋体" w:hAnsi="宋体" w:cs="宋体"/>
          <w:bCs/>
          <w:color w:val="FF0000"/>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19"/>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Style w:val="76"/>
          <w:rFonts w:hint="eastAsia" w:ascii="宋体" w:hAnsi="宋体" w:eastAsia="宋体" w:cs="宋体"/>
          <w:kern w:val="2"/>
          <w:sz w:val="24"/>
          <w:szCs w:val="24"/>
        </w:rPr>
        <w:t>闲林街道食堂食材配送服务项目招标</w:t>
      </w:r>
      <w:r>
        <w:rPr>
          <w:rFonts w:hint="eastAsia" w:ascii="宋体" w:hAnsi="宋体" w:cs="宋体"/>
          <w:sz w:val="24"/>
        </w:rPr>
        <w:t>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kern w:val="2"/>
          <w:sz w:val="24"/>
          <w:szCs w:val="24"/>
        </w:rPr>
        <w:t>https://www.zcygov.cn/）获取（下载）招标文件，并于202</w:t>
      </w:r>
      <w:r>
        <w:rPr>
          <w:rStyle w:val="76"/>
          <w:rFonts w:hint="eastAsia" w:ascii="宋体" w:hAnsi="宋体" w:cs="宋体"/>
          <w:kern w:val="2"/>
          <w:sz w:val="24"/>
          <w:szCs w:val="24"/>
          <w:lang w:val="en-US" w:eastAsia="zh-CN"/>
        </w:rPr>
        <w:t>3</w:t>
      </w:r>
      <w:r>
        <w:rPr>
          <w:rStyle w:val="76"/>
          <w:rFonts w:hint="eastAsia" w:ascii="宋体" w:hAnsi="宋体" w:eastAsia="宋体" w:cs="宋体"/>
          <w:kern w:val="2"/>
          <w:sz w:val="24"/>
          <w:szCs w:val="24"/>
        </w:rPr>
        <w:t>年</w:t>
      </w:r>
      <w:r>
        <w:rPr>
          <w:rStyle w:val="76"/>
          <w:rFonts w:hint="eastAsia" w:ascii="宋体" w:hAnsi="宋体" w:cs="宋体"/>
          <w:kern w:val="2"/>
          <w:sz w:val="24"/>
          <w:szCs w:val="24"/>
          <w:lang w:val="en-US" w:eastAsia="zh-CN"/>
        </w:rPr>
        <w:t>05</w:t>
      </w:r>
      <w:r>
        <w:rPr>
          <w:rStyle w:val="76"/>
          <w:rFonts w:hint="eastAsia" w:ascii="宋体" w:hAnsi="宋体" w:eastAsia="宋体" w:cs="宋体"/>
          <w:kern w:val="2"/>
          <w:sz w:val="24"/>
          <w:szCs w:val="24"/>
        </w:rPr>
        <w:t>月</w:t>
      </w:r>
      <w:r>
        <w:rPr>
          <w:rStyle w:val="76"/>
          <w:rFonts w:hint="eastAsia" w:ascii="宋体" w:hAnsi="宋体" w:cs="宋体"/>
          <w:kern w:val="2"/>
          <w:sz w:val="24"/>
          <w:szCs w:val="24"/>
          <w:lang w:val="en-US" w:eastAsia="zh-CN"/>
        </w:rPr>
        <w:t>04</w:t>
      </w:r>
      <w:r>
        <w:rPr>
          <w:rStyle w:val="76"/>
          <w:rFonts w:hint="eastAsia" w:ascii="宋体" w:hAnsi="宋体" w:eastAsia="宋体" w:cs="宋体"/>
          <w:kern w:val="2"/>
          <w:sz w:val="24"/>
          <w:szCs w:val="24"/>
        </w:rPr>
        <w:t>日</w:t>
      </w:r>
      <w:r>
        <w:rPr>
          <w:rStyle w:val="76"/>
          <w:rFonts w:hint="eastAsia" w:ascii="宋体" w:hAnsi="宋体" w:cs="宋体"/>
          <w:kern w:val="2"/>
          <w:sz w:val="24"/>
          <w:szCs w:val="24"/>
          <w:lang w:val="en-US" w:eastAsia="zh-CN"/>
        </w:rPr>
        <w:t>09</w:t>
      </w:r>
      <w:r>
        <w:rPr>
          <w:rStyle w:val="76"/>
          <w:rFonts w:hint="eastAsia" w:ascii="宋体" w:hAnsi="宋体" w:eastAsia="宋体" w:cs="宋体"/>
          <w:kern w:val="2"/>
          <w:sz w:val="24"/>
          <w:szCs w:val="24"/>
        </w:rPr>
        <w:t>点</w:t>
      </w:r>
      <w:r>
        <w:rPr>
          <w:rStyle w:val="76"/>
          <w:rFonts w:hint="eastAsia" w:ascii="宋体" w:hAnsi="宋体" w:cs="宋体"/>
          <w:kern w:val="2"/>
          <w:sz w:val="24"/>
          <w:szCs w:val="24"/>
          <w:lang w:val="en-US" w:eastAsia="zh-CN"/>
        </w:rPr>
        <w:t>30</w:t>
      </w:r>
      <w:r>
        <w:rPr>
          <w:rStyle w:val="76"/>
          <w:rFonts w:hint="eastAsia" w:ascii="宋体" w:hAnsi="宋体" w:eastAsia="宋体" w:cs="宋体"/>
          <w:kern w:val="2"/>
          <w:sz w:val="24"/>
          <w:szCs w:val="24"/>
        </w:rPr>
        <w:t>分</w:t>
      </w:r>
      <w:r>
        <w:rPr>
          <w:rStyle w:val="76"/>
          <w:rFonts w:hint="eastAsia" w:ascii="宋体" w:hAnsi="宋体" w:eastAsia="宋体" w:cs="宋体"/>
          <w:bCs/>
          <w:kern w:val="2"/>
          <w:sz w:val="24"/>
          <w:szCs w:val="24"/>
        </w:rPr>
        <w:t>00秒</w:t>
      </w:r>
      <w:r>
        <w:rPr>
          <w:rStyle w:val="76"/>
          <w:rFonts w:hint="eastAsia" w:ascii="宋体" w:hAnsi="宋体" w:eastAsia="宋体" w:cs="宋体"/>
          <w:bCs/>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default" w:ascii="宋体" w:hAnsi="宋体" w:eastAsia="宋体" w:cs="宋体"/>
          <w:color w:val="auto"/>
          <w:sz w:val="24"/>
          <w:lang w:val="en-US" w:eastAsia="zh-CN"/>
        </w:rPr>
      </w:pPr>
      <w:r>
        <w:rPr>
          <w:rFonts w:hint="eastAsia" w:ascii="宋体" w:hAnsi="宋体" w:cs="宋体"/>
          <w:sz w:val="24"/>
        </w:rPr>
        <w:t xml:space="preserve">    </w:t>
      </w:r>
      <w:r>
        <w:rPr>
          <w:rFonts w:hint="eastAsia" w:ascii="宋体" w:hAnsi="宋体" w:cs="宋体"/>
          <w:b/>
          <w:sz w:val="24"/>
        </w:rPr>
        <w:t>项目编</w:t>
      </w:r>
      <w:r>
        <w:rPr>
          <w:rFonts w:hint="eastAsia" w:ascii="宋体" w:hAnsi="宋体" w:cs="宋体"/>
          <w:b/>
          <w:color w:val="auto"/>
          <w:sz w:val="24"/>
        </w:rPr>
        <w:t>号：</w:t>
      </w:r>
      <w:r>
        <w:rPr>
          <w:rFonts w:hint="eastAsia" w:ascii="宋体" w:hAnsi="宋体"/>
          <w:color w:val="auto"/>
          <w:sz w:val="24"/>
        </w:rPr>
        <w:t>ZJMSGL-2023-</w:t>
      </w:r>
      <w:r>
        <w:rPr>
          <w:rFonts w:hint="eastAsia" w:ascii="宋体" w:hAnsi="宋体"/>
          <w:color w:val="auto"/>
          <w:sz w:val="24"/>
          <w:lang w:val="en-US" w:eastAsia="zh-CN"/>
        </w:rPr>
        <w:t>005</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olor w:val="auto"/>
          <w:sz w:val="24"/>
        </w:rPr>
        <w:t>闲林街道食堂食材配送服务项目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olor w:val="auto"/>
          <w:sz w:val="24"/>
        </w:rPr>
        <w:t xml:space="preserve">8400000 </w:t>
      </w:r>
    </w:p>
    <w:p>
      <w:pPr>
        <w:spacing w:line="360" w:lineRule="auto"/>
        <w:ind w:firstLine="480"/>
        <w:rPr>
          <w:rFonts w:ascii="宋体" w:hAnsi="宋体"/>
          <w:color w:val="auto"/>
          <w:sz w:val="24"/>
        </w:rPr>
      </w:pPr>
      <w:r>
        <w:rPr>
          <w:rFonts w:hint="eastAsia" w:ascii="宋体" w:hAnsi="宋体" w:cs="宋体"/>
          <w:b/>
          <w:color w:val="auto"/>
          <w:sz w:val="24"/>
        </w:rPr>
        <w:t>最高限价（元）：</w:t>
      </w:r>
      <w:r>
        <w:rPr>
          <w:rFonts w:ascii="宋体" w:hAnsi="宋体" w:cs="宋体"/>
          <w:color w:val="auto"/>
          <w:sz w:val="24"/>
        </w:rPr>
        <w:t xml:space="preserve"> </w:t>
      </w:r>
      <w:r>
        <w:rPr>
          <w:rFonts w:hint="eastAsia" w:ascii="宋体" w:hAnsi="宋体"/>
          <w:color w:val="auto"/>
          <w:sz w:val="24"/>
        </w:rPr>
        <w:t>8400000</w:t>
      </w:r>
    </w:p>
    <w:p>
      <w:pPr>
        <w:pStyle w:val="7"/>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olor w:val="auto"/>
          <w:sz w:val="24"/>
        </w:rPr>
        <w:t>闲林街道食堂食材配送服务项目</w:t>
      </w:r>
      <w:r>
        <w:rPr>
          <w:rFonts w:hint="eastAsia" w:hAnsi="宋体" w:cs="宋体"/>
          <w:bCs/>
          <w:color w:val="auto"/>
          <w:kern w:val="2"/>
          <w:sz w:val="24"/>
          <w:szCs w:val="24"/>
        </w:rPr>
        <w:t xml:space="preserve">主要内容： </w:t>
      </w:r>
      <w:r>
        <w:rPr>
          <w:rFonts w:hint="eastAsia" w:hAnsi="宋体"/>
          <w:color w:val="auto"/>
          <w:sz w:val="24"/>
        </w:rPr>
        <w:t>闲林街道食堂食材配送服务</w:t>
      </w:r>
      <w:r>
        <w:rPr>
          <w:rFonts w:hint="eastAsia" w:hAnsi="宋体" w:cs="宋体"/>
          <w:bCs/>
          <w:color w:val="auto"/>
          <w:kern w:val="2"/>
          <w:sz w:val="24"/>
          <w:szCs w:val="24"/>
        </w:rPr>
        <w:t>。</w:t>
      </w:r>
      <w:r>
        <w:rPr>
          <w:rFonts w:hint="eastAsia" w:hAnsi="宋体"/>
          <w:color w:val="auto"/>
          <w:kern w:val="2"/>
          <w:sz w:val="24"/>
          <w:szCs w:val="24"/>
        </w:rPr>
        <w:t>具体以招标文件第三部分采购需求为准，供应商可点击本公告下方“浏览采购文件”查看采购需求。</w:t>
      </w:r>
    </w:p>
    <w:p>
      <w:pPr>
        <w:pStyle w:val="84"/>
        <w:ind w:firstLine="482"/>
        <w:outlineLvl w:val="2"/>
        <w:rPr>
          <w:rFonts w:ascii="宋体" w:hAnsi="宋体" w:cs="宋体"/>
          <w:color w:val="auto"/>
        </w:rPr>
      </w:pPr>
      <w:r>
        <w:rPr>
          <w:rFonts w:hint="eastAsia" w:ascii="宋体" w:hAnsi="宋体" w:cs="宋体"/>
          <w:b/>
          <w:color w:val="auto"/>
        </w:rPr>
        <w:t>合同履约期限：2年</w:t>
      </w:r>
      <w:r>
        <w:rPr>
          <w:rFonts w:ascii="宋体" w:hAnsi="宋体" w:cs="宋体"/>
          <w:color w:val="auto"/>
        </w:rPr>
        <w:t xml:space="preserve"> </w:t>
      </w:r>
    </w:p>
    <w:p>
      <w:pPr>
        <w:pStyle w:val="7"/>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r>
        <w:rPr>
          <w:rFonts w:hint="eastAsia" w:ascii="MS Gothic" w:hAnsi="MS Gothic" w:eastAsia="MS Gothic" w:cs="宋体"/>
          <w:color w:val="auto"/>
          <w:kern w:val="0"/>
          <w:sz w:val="24"/>
        </w:rPr>
        <w:t>☐</w:t>
      </w:r>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r>
        <w:rPr>
          <w:rFonts w:hint="eastAsia" w:ascii="Wingdings" w:hAnsi="Wingdings" w:eastAsia="MS Gothic" w:cs="宋体"/>
          <w:color w:val="auto"/>
          <w:kern w:val="0"/>
          <w:sz w:val="24"/>
        </w:rPr>
        <w:t>þ</w:t>
      </w:r>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r>
        <w:rPr>
          <w:rFonts w:hint="eastAsia" w:ascii="Wingdings" w:hAnsi="Wingdings" w:eastAsia="MS Gothic" w:cs="宋体"/>
          <w:color w:val="auto"/>
          <w:kern w:val="0"/>
          <w:sz w:val="24"/>
        </w:rPr>
        <w:t>þ</w:t>
      </w:r>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r>
        <w:rPr>
          <w:rFonts w:hint="eastAsia" w:ascii="MS Gothic" w:hAnsi="MS Gothic" w:cs="宋体"/>
          <w:color w:val="auto"/>
          <w:kern w:val="0"/>
          <w:sz w:val="24"/>
        </w:rPr>
        <w:t>☐</w:t>
      </w:r>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w:t>
      </w:r>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w:t>
      </w:r>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2023年</w:t>
      </w:r>
      <w:r>
        <w:rPr>
          <w:rFonts w:hint="eastAsia" w:ascii="宋体" w:hAnsi="宋体" w:cs="宋体"/>
          <w:color w:val="auto"/>
          <w:sz w:val="24"/>
          <w:u w:val="single"/>
          <w:lang w:val="en-US" w:eastAsia="zh-CN"/>
        </w:rPr>
        <w:t>05</w:t>
      </w:r>
      <w:r>
        <w:rPr>
          <w:rFonts w:hint="eastAsia" w:ascii="宋体" w:hAnsi="宋体" w:cs="宋体"/>
          <w:color w:val="auto"/>
          <w:sz w:val="24"/>
          <w:u w:val="single"/>
        </w:rPr>
        <w:t>月</w:t>
      </w:r>
      <w:r>
        <w:rPr>
          <w:rFonts w:hint="eastAsia" w:ascii="宋体" w:hAnsi="宋体" w:cs="宋体"/>
          <w:color w:val="auto"/>
          <w:sz w:val="24"/>
          <w:u w:val="single"/>
          <w:lang w:val="en-US" w:eastAsia="zh-CN"/>
        </w:rPr>
        <w:t>04</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2023年</w:t>
      </w:r>
      <w:r>
        <w:rPr>
          <w:rFonts w:hint="eastAsia" w:ascii="宋体" w:hAnsi="宋体" w:cs="宋体"/>
          <w:color w:val="auto"/>
          <w:sz w:val="24"/>
          <w:u w:val="single"/>
          <w:lang w:val="en-US" w:eastAsia="zh-CN"/>
        </w:rPr>
        <w:t>05</w:t>
      </w:r>
      <w:r>
        <w:rPr>
          <w:rFonts w:hint="eastAsia" w:ascii="宋体" w:hAnsi="宋体" w:cs="宋体"/>
          <w:color w:val="auto"/>
          <w:sz w:val="24"/>
          <w:u w:val="single"/>
        </w:rPr>
        <w:t>月</w:t>
      </w:r>
      <w:r>
        <w:rPr>
          <w:rFonts w:hint="eastAsia" w:ascii="宋体" w:hAnsi="宋体" w:cs="宋体"/>
          <w:color w:val="auto"/>
          <w:sz w:val="24"/>
          <w:u w:val="single"/>
          <w:lang w:val="en-US" w:eastAsia="zh-CN"/>
        </w:rPr>
        <w:t>04</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2023年</w:t>
      </w:r>
      <w:r>
        <w:rPr>
          <w:rFonts w:hint="eastAsia" w:ascii="宋体" w:hAnsi="宋体" w:cs="宋体"/>
          <w:color w:val="auto"/>
          <w:sz w:val="24"/>
          <w:u w:val="single"/>
          <w:lang w:val="en-US" w:eastAsia="zh-CN"/>
        </w:rPr>
        <w:t>05</w:t>
      </w:r>
      <w:r>
        <w:rPr>
          <w:rFonts w:hint="eastAsia" w:ascii="宋体" w:hAnsi="宋体" w:cs="宋体"/>
          <w:color w:val="auto"/>
          <w:sz w:val="24"/>
          <w:u w:val="single"/>
        </w:rPr>
        <w:t>月</w:t>
      </w:r>
      <w:r>
        <w:rPr>
          <w:rFonts w:hint="eastAsia" w:ascii="宋体" w:hAnsi="宋体" w:cs="宋体"/>
          <w:color w:val="auto"/>
          <w:sz w:val="24"/>
          <w:u w:val="single"/>
          <w:lang w:val="en-US" w:eastAsia="zh-CN"/>
        </w:rPr>
        <w:t>04</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w:t>
      </w:r>
      <w:r>
        <w:rPr>
          <w:rFonts w:ascii="仿宋_GB2312" w:hAnsi="仿宋" w:eastAsia="仿宋_GB2312"/>
          <w:color w:val="auto"/>
          <w:sz w:val="24"/>
        </w:rPr>
        <w:t xml:space="preserve"> </w:t>
      </w:r>
      <w:r>
        <w:rPr>
          <w:rFonts w:hint="eastAsia" w:ascii="宋体" w:hAnsi="宋体" w:cs="宋体"/>
          <w:color w:val="auto"/>
          <w:sz w:val="24"/>
        </w:rPr>
        <w:t>名    称：杭州市余杭区人民政府闲林街道办事处</w:t>
      </w:r>
    </w:p>
    <w:p>
      <w:pPr>
        <w:spacing w:line="360" w:lineRule="auto"/>
        <w:rPr>
          <w:rFonts w:ascii="宋体" w:hAnsi="宋体" w:cs="宋体"/>
          <w:color w:val="auto"/>
          <w:sz w:val="24"/>
        </w:rPr>
      </w:pPr>
      <w:r>
        <w:rPr>
          <w:rFonts w:hint="eastAsia" w:ascii="宋体" w:hAnsi="宋体" w:cs="宋体"/>
          <w:color w:val="auto"/>
          <w:sz w:val="24"/>
        </w:rPr>
        <w:t xml:space="preserve">    地    址：   杭州市余杭区闲林街道    </w:t>
      </w:r>
    </w:p>
    <w:p>
      <w:pPr>
        <w:spacing w:line="360" w:lineRule="auto"/>
        <w:ind w:firstLine="480" w:firstLineChars="200"/>
        <w:rPr>
          <w:rFonts w:ascii="宋体" w:hAnsi="宋体" w:cs="宋体"/>
          <w:color w:val="auto"/>
          <w:sz w:val="24"/>
        </w:rPr>
      </w:pPr>
      <w:r>
        <w:rPr>
          <w:rFonts w:hint="eastAsia" w:ascii="宋体" w:hAnsi="宋体" w:cs="宋体"/>
          <w:color w:val="auto"/>
          <w:sz w:val="24"/>
        </w:rPr>
        <w:t>传    真：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项目联系人（询问）：  </w:t>
      </w:r>
      <w:r>
        <w:rPr>
          <w:rFonts w:hint="eastAsia" w:ascii="宋体" w:hAnsi="宋体" w:cs="宋体"/>
          <w:color w:val="auto"/>
          <w:sz w:val="24"/>
          <w:lang w:val="en-US" w:eastAsia="zh-CN"/>
        </w:rPr>
        <w:t xml:space="preserve">赵女士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 </w:t>
      </w:r>
      <w:r>
        <w:rPr>
          <w:rFonts w:hint="eastAsia" w:ascii="宋体" w:hAnsi="宋体" w:cs="宋体"/>
          <w:color w:val="auto"/>
          <w:sz w:val="24"/>
          <w:lang w:val="en-US" w:eastAsia="zh-CN"/>
        </w:rPr>
        <w:t>0571-89080278</w:t>
      </w:r>
    </w:p>
    <w:p>
      <w:pPr>
        <w:spacing w:line="360" w:lineRule="auto"/>
        <w:rPr>
          <w:rFonts w:ascii="宋体" w:hAnsi="宋体" w:cs="宋体"/>
          <w:color w:val="auto"/>
          <w:sz w:val="24"/>
        </w:rPr>
      </w:pPr>
      <w:r>
        <w:rPr>
          <w:rFonts w:hint="eastAsia" w:ascii="宋体" w:hAnsi="宋体" w:cs="宋体"/>
          <w:color w:val="auto"/>
          <w:sz w:val="24"/>
        </w:rPr>
        <w:t xml:space="preserve">    质疑联系人：徐璐萍 </w:t>
      </w:r>
    </w:p>
    <w:p>
      <w:pPr>
        <w:spacing w:line="360" w:lineRule="auto"/>
        <w:rPr>
          <w:rFonts w:ascii="宋体" w:hAnsi="宋体" w:cs="宋体"/>
          <w:color w:val="auto"/>
          <w:sz w:val="24"/>
        </w:rPr>
      </w:pPr>
      <w:r>
        <w:rPr>
          <w:rFonts w:hint="eastAsia" w:ascii="宋体" w:hAnsi="宋体" w:cs="宋体"/>
          <w:color w:val="auto"/>
          <w:sz w:val="24"/>
        </w:rPr>
        <w:t xml:space="preserve">    质疑联系方式： 0571-88683281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名    称：浙江木石建设项目管理咨询有限公司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地    址：杭州市临平区星桥街道星发街20号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项目联系人（询问）：   何一峰     </w:t>
      </w:r>
    </w:p>
    <w:p>
      <w:pPr>
        <w:spacing w:line="360" w:lineRule="auto"/>
        <w:rPr>
          <w:rFonts w:ascii="宋体" w:hAnsi="宋体" w:cs="宋体"/>
          <w:color w:val="auto"/>
          <w:sz w:val="24"/>
        </w:rPr>
      </w:pPr>
      <w:r>
        <w:rPr>
          <w:rFonts w:hint="eastAsia" w:ascii="宋体" w:hAnsi="宋体" w:cs="宋体"/>
          <w:color w:val="auto"/>
          <w:sz w:val="24"/>
        </w:rPr>
        <w:t xml:space="preserve">    项目联系方式（询问）： 15267170602</w:t>
      </w:r>
    </w:p>
    <w:p>
      <w:pPr>
        <w:spacing w:line="360" w:lineRule="auto"/>
        <w:rPr>
          <w:rFonts w:ascii="宋体" w:hAnsi="宋体" w:cs="宋体"/>
          <w:color w:val="auto"/>
          <w:sz w:val="24"/>
        </w:rPr>
      </w:pPr>
      <w:r>
        <w:rPr>
          <w:rFonts w:hint="eastAsia" w:ascii="宋体" w:hAnsi="宋体" w:cs="宋体"/>
          <w:color w:val="auto"/>
          <w:sz w:val="24"/>
        </w:rPr>
        <w:t xml:space="preserve">    质疑联系人： </w:t>
      </w:r>
      <w:r>
        <w:rPr>
          <w:rFonts w:hint="eastAsia" w:ascii="宋体" w:hAnsi="宋体" w:cs="宋体"/>
          <w:color w:val="auto"/>
          <w:sz w:val="24"/>
          <w:lang w:val="en-US" w:eastAsia="zh-CN"/>
        </w:rPr>
        <w:t>应凯莉</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质疑联系方式： 0571-86223717 </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rPr>
          <w:rFonts w:ascii="宋体" w:hAnsi="宋体" w:cs="宋体"/>
          <w:color w:val="auto"/>
          <w:sz w:val="24"/>
        </w:rPr>
      </w:pPr>
      <w:r>
        <w:rPr>
          <w:rFonts w:hint="eastAsia" w:ascii="宋体" w:hAnsi="宋体" w:cs="宋体"/>
          <w:color w:val="auto"/>
          <w:sz w:val="24"/>
        </w:rPr>
        <w:t xml:space="preserve">    名    称： 杭州市余杭区财政局 </w:t>
      </w:r>
    </w:p>
    <w:p>
      <w:pPr>
        <w:spacing w:line="360" w:lineRule="auto"/>
        <w:rPr>
          <w:rFonts w:ascii="宋体" w:hAnsi="宋体" w:cs="宋体"/>
          <w:color w:val="auto"/>
          <w:sz w:val="24"/>
        </w:rPr>
      </w:pPr>
      <w:r>
        <w:rPr>
          <w:rFonts w:hint="eastAsia" w:ascii="宋体" w:hAnsi="宋体" w:cs="宋体"/>
          <w:color w:val="auto"/>
          <w:sz w:val="24"/>
        </w:rPr>
        <w:t xml:space="preserve">    地    址： 杭州市余杭区文一西路1500号8号楼1201室</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联系人 ：  杜国强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监督投诉电话： 0571-88728858   </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食材配送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其他未列明行业</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r>
              <w:rPr>
                <w:rFonts w:hint="eastAsia" w:ascii="宋体" w:hAnsi="宋体" w:cs="宋体"/>
                <w:color w:val="auto"/>
                <w:kern w:val="0"/>
                <w:sz w:val="24"/>
              </w:rPr>
              <w:sym w:font="Wingdings" w:char="F0FE"/>
            </w:r>
            <w:r>
              <w:rPr>
                <w:rFonts w:hint="eastAsia" w:ascii="宋体" w:hAnsi="宋体" w:cs="宋体"/>
                <w:color w:val="auto"/>
                <w:kern w:val="0"/>
                <w:sz w:val="24"/>
              </w:rPr>
              <w:t>本项目不允许采购进口产品。</w:t>
            </w:r>
          </w:p>
          <w:p>
            <w:pPr>
              <w:spacing w:line="360" w:lineRule="auto"/>
              <w:rPr>
                <w:rFonts w:ascii="宋体" w:hAnsi="宋体" w:cs="宋体"/>
                <w:color w:val="auto"/>
              </w:rPr>
            </w:pPr>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ascii="MS Gothic" w:hAnsi="MS Gothic" w:cs="宋体"/>
                <w:color w:val="auto"/>
                <w:kern w:val="0"/>
                <w:sz w:val="24"/>
              </w:rPr>
              <w:t>☐</w:t>
            </w:r>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r>
              <w:rPr>
                <w:rFonts w:hint="eastAsia" w:ascii="Wingdings" w:hAnsi="Wingdings" w:cs="宋体"/>
                <w:color w:val="auto"/>
                <w:kern w:val="0"/>
                <w:sz w:val="24"/>
              </w:rPr>
              <w:t>þ</w:t>
            </w:r>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Wingdings" w:hAnsi="Wingdings" w:eastAsia="MS Gothic" w:cs="宋体"/>
                <w:color w:val="auto"/>
                <w:kern w:val="0"/>
                <w:sz w:val="24"/>
              </w:rPr>
              <w:t>þ</w:t>
            </w:r>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Wingdings" w:hAnsi="Wingdings" w:eastAsia="MS Gothic" w:cs="宋体"/>
                <w:color w:val="auto"/>
                <w:kern w:val="0"/>
                <w:sz w:val="24"/>
              </w:rPr>
              <w:t>þ</w:t>
            </w:r>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r>
              <w:rPr>
                <w:rFonts w:hint="eastAsia" w:ascii="MS Gothic" w:hAnsi="MS Gothic" w:eastAsia="MS Gothic" w:cs="宋体"/>
                <w:color w:val="auto"/>
                <w:kern w:val="0"/>
                <w:sz w:val="24"/>
              </w:rPr>
              <w:t>☐</w:t>
            </w:r>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r>
              <w:rPr>
                <w:rFonts w:hint="eastAsia" w:ascii="MS Gothic" w:hAnsi="MS Gothic" w:eastAsia="MS Gothic" w:cs="宋体"/>
                <w:color w:val="auto"/>
                <w:kern w:val="0"/>
                <w:sz w:val="24"/>
              </w:rPr>
              <w:t>☐</w:t>
            </w:r>
            <w:r>
              <w:rPr>
                <w:rFonts w:hint="eastAsia" w:ascii="宋体" w:hAnsi="宋体" w:cs="宋体"/>
                <w:color w:val="auto"/>
                <w:kern w:val="0"/>
                <w:sz w:val="24"/>
              </w:rPr>
              <w:t>否；☐是，检测机构的要求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Wingdings" w:hAnsi="Wingdings" w:eastAsia="MS Gothic" w:cs="宋体"/>
                <w:color w:val="auto"/>
                <w:kern w:val="0"/>
                <w:sz w:val="24"/>
              </w:rPr>
              <w:t>þ</w:t>
            </w:r>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20（编制时可根据项目情况进行调整）</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3（编制时可根据项目情况进行调整）</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  杭州市临平区星桥街道星发街20号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ascii="仿宋_GB2312" w:hAnsi="仿宋" w:eastAsia="仿宋_GB2312"/>
                <w:color w:val="auto"/>
                <w:sz w:val="24"/>
                <w:u w:val="single"/>
              </w:rPr>
              <w:t xml:space="preserve"> </w:t>
            </w:r>
            <w:r>
              <w:rPr>
                <w:rFonts w:hint="eastAsia" w:hAnsi="宋体" w:cs="宋体"/>
                <w:color w:val="auto"/>
                <w:sz w:val="24"/>
                <w:u w:val="single"/>
              </w:rPr>
              <w:t xml:space="preserve">何一峰15267170602   </w:t>
            </w:r>
            <w:r>
              <w:rPr>
                <w:rFonts w:hint="eastAsia" w:hAnsi="宋体" w:cs="宋体"/>
                <w:color w:val="auto"/>
                <w:sz w:val="24"/>
                <w:szCs w:val="24"/>
              </w:rPr>
              <w:t>。</w:t>
            </w:r>
            <w:r>
              <w:rPr>
                <w:rFonts w:hint="eastAsia" w:hAnsi="宋体" w:cs="宋体"/>
                <w:b/>
                <w:color w:val="auto"/>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MS Mincho" w:hAnsi="MS Mincho" w:eastAsia="MS Mincho" w:cs="MS Mincho"/>
                <w:color w:val="auto"/>
                <w:kern w:val="0"/>
                <w:sz w:val="24"/>
              </w:rPr>
              <w:t>☐</w:t>
            </w:r>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r>
              <w:rPr>
                <w:rFonts w:hint="eastAsia" w:ascii="宋体" w:hAnsi="宋体" w:cs="Arial"/>
                <w:color w:val="auto"/>
                <w:kern w:val="0"/>
                <w:sz w:val="24"/>
              </w:rPr>
              <w:sym w:font="Wingdings" w:char="F0FE"/>
            </w:r>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_GB2312"/>
                <w:b/>
                <w:color w:val="auto"/>
                <w:sz w:val="24"/>
              </w:rPr>
            </w:pPr>
            <w:r>
              <w:rPr>
                <w:rFonts w:hint="eastAsia" w:ascii="宋体" w:hAnsi="宋体" w:cs="仿宋_GB2312"/>
                <w:b/>
                <w:color w:val="auto"/>
                <w:sz w:val="24"/>
              </w:rPr>
              <w:t>中标服务费</w:t>
            </w:r>
          </w:p>
        </w:tc>
        <w:tc>
          <w:tcPr>
            <w:tcW w:w="6095" w:type="dxa"/>
            <w:tcBorders>
              <w:top w:val="single" w:color="auto" w:sz="4" w:space="0"/>
              <w:left w:val="single" w:color="auto" w:sz="4" w:space="0"/>
              <w:bottom w:val="single" w:color="auto" w:sz="4" w:space="0"/>
              <w:right w:val="single" w:color="auto" w:sz="4" w:space="0"/>
            </w:tcBorders>
            <w:vAlign w:val="center"/>
          </w:tcPr>
          <w:p>
            <w:pPr>
              <w:pStyle w:val="84"/>
              <w:snapToGrid w:val="0"/>
              <w:spacing w:before="0" w:line="360" w:lineRule="exact"/>
              <w:ind w:firstLine="0" w:firstLineChars="0"/>
              <w:rPr>
                <w:rFonts w:ascii="宋体" w:hAnsi="宋体" w:cs="宋体"/>
                <w:snapToGrid w:val="0"/>
                <w:color w:val="auto"/>
                <w:kern w:val="28"/>
                <w:szCs w:val="24"/>
              </w:rPr>
            </w:pPr>
            <w:r>
              <w:rPr>
                <w:rFonts w:hint="eastAsia" w:ascii="宋体" w:hAnsi="宋体" w:cs="宋体"/>
                <w:snapToGrid w:val="0"/>
                <w:color w:val="auto"/>
                <w:kern w:val="28"/>
                <w:szCs w:val="24"/>
              </w:rPr>
              <w:t xml:space="preserve">中标人在领取中标通知书前需向招标代理机构支付人民币 </w:t>
            </w:r>
            <w:r>
              <w:rPr>
                <w:rFonts w:hint="eastAsia" w:ascii="宋体" w:hAnsi="宋体" w:cs="宋体"/>
                <w:snapToGrid w:val="0"/>
                <w:color w:val="auto"/>
                <w:kern w:val="28"/>
                <w:szCs w:val="24"/>
                <w:lang w:val="en-US" w:eastAsia="zh-CN"/>
              </w:rPr>
              <w:t>62300</w:t>
            </w:r>
            <w:r>
              <w:rPr>
                <w:rFonts w:hint="eastAsia" w:ascii="宋体" w:hAnsi="宋体" w:cs="宋体"/>
                <w:snapToGrid w:val="0"/>
                <w:color w:val="auto"/>
                <w:kern w:val="28"/>
                <w:szCs w:val="24"/>
              </w:rPr>
              <w:t>元招标代理服务费，费用包含在总报价中，不单独列项报价。</w:t>
            </w:r>
          </w:p>
          <w:p>
            <w:pPr>
              <w:pStyle w:val="84"/>
              <w:snapToGrid w:val="0"/>
              <w:spacing w:line="360" w:lineRule="exact"/>
              <w:ind w:firstLine="0" w:firstLineChars="0"/>
              <w:rPr>
                <w:rFonts w:ascii="宋体" w:hAnsi="宋体" w:cs="宋体"/>
                <w:snapToGrid w:val="0"/>
                <w:color w:val="auto"/>
                <w:kern w:val="28"/>
                <w:szCs w:val="24"/>
              </w:rPr>
            </w:pPr>
            <w:r>
              <w:rPr>
                <w:rFonts w:hint="eastAsia" w:ascii="宋体" w:hAnsi="宋体" w:cs="宋体"/>
                <w:snapToGrid w:val="0"/>
                <w:color w:val="auto"/>
                <w:kern w:val="28"/>
                <w:szCs w:val="24"/>
              </w:rPr>
              <w:t>中标服务费的交纳方式：以转帐或支票的形式支付</w:t>
            </w:r>
          </w:p>
          <w:p>
            <w:pPr>
              <w:pStyle w:val="84"/>
              <w:snapToGrid w:val="0"/>
              <w:spacing w:line="360" w:lineRule="exact"/>
              <w:ind w:firstLine="0" w:firstLineChars="0"/>
              <w:rPr>
                <w:rFonts w:ascii="宋体" w:hAnsi="宋体" w:cs="宋体"/>
                <w:snapToGrid w:val="0"/>
                <w:color w:val="auto"/>
                <w:kern w:val="28"/>
                <w:szCs w:val="24"/>
              </w:rPr>
            </w:pPr>
            <w:r>
              <w:rPr>
                <w:rFonts w:hint="eastAsia" w:ascii="宋体" w:hAnsi="宋体" w:cs="宋体"/>
                <w:snapToGrid w:val="0"/>
                <w:color w:val="auto"/>
                <w:kern w:val="28"/>
                <w:szCs w:val="24"/>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_GB2312"/>
                <w:b/>
                <w:color w:val="auto"/>
                <w:sz w:val="24"/>
              </w:rPr>
            </w:pPr>
            <w:r>
              <w:rPr>
                <w:rFonts w:hint="eastAsia" w:ascii="宋体" w:hAnsi="宋体" w:cs="仿宋_GB2312"/>
                <w:b/>
                <w:color w:val="auto"/>
                <w:sz w:val="24"/>
              </w:rPr>
              <w:t>其他</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中标单位需在领取中标通知书时，提供本项目纸质投标文件（资格文件”、“报价文件”和“商务技术文件”） 五份（正本一份，副本四份）并提供电子投标文件与纸质投标文件内容一致承诺书五份。</w:t>
            </w:r>
          </w:p>
        </w:tc>
      </w:tr>
    </w:tbl>
    <w:p>
      <w:pPr>
        <w:snapToGrid w:val="0"/>
        <w:spacing w:line="360" w:lineRule="auto"/>
        <w:jc w:val="center"/>
        <w:rPr>
          <w:rFonts w:ascii="宋体" w:hAnsi="宋体" w:cs="宋体"/>
          <w:b/>
          <w:color w:val="auto"/>
          <w:sz w:val="32"/>
          <w:szCs w:val="20"/>
        </w:rPr>
      </w:pPr>
    </w:p>
    <w:p>
      <w:pPr>
        <w:pStyle w:val="197"/>
        <w:ind w:firstLine="623"/>
        <w:rPr>
          <w:rFonts w:ascii="宋体" w:hAnsi="宋体" w:cs="宋体"/>
          <w:b/>
          <w:color w:val="auto"/>
          <w:sz w:val="32"/>
        </w:rPr>
      </w:pPr>
    </w:p>
    <w:p>
      <w:pPr>
        <w:pStyle w:val="25"/>
        <w:rPr>
          <w:rFonts w:hAnsi="宋体" w:cs="宋体"/>
          <w:b/>
          <w:color w:val="auto"/>
          <w:sz w:val="32"/>
          <w:szCs w:val="20"/>
        </w:rPr>
      </w:pPr>
    </w:p>
    <w:p>
      <w:pPr>
        <w:pStyle w:val="26"/>
        <w:rPr>
          <w:rFonts w:hAnsi="宋体" w:cs="宋体"/>
          <w:b/>
          <w:color w:val="auto"/>
          <w:sz w:val="32"/>
        </w:rPr>
      </w:pPr>
    </w:p>
    <w:p>
      <w:pPr>
        <w:rPr>
          <w:rFonts w:ascii="宋体" w:hAnsi="宋体" w:cs="宋体"/>
          <w:b/>
          <w:color w:val="auto"/>
          <w:sz w:val="32"/>
          <w:szCs w:val="20"/>
        </w:rPr>
      </w:pPr>
    </w:p>
    <w:p>
      <w:pPr>
        <w:pStyle w:val="197"/>
        <w:ind w:firstLine="623"/>
        <w:rPr>
          <w:rFonts w:ascii="宋体" w:hAnsi="宋体" w:cs="宋体"/>
          <w:b/>
          <w:color w:val="auto"/>
          <w:sz w:val="32"/>
        </w:rPr>
      </w:pPr>
    </w:p>
    <w:p>
      <w:pPr>
        <w:pStyle w:val="25"/>
        <w:rPr>
          <w:rFonts w:hAnsi="宋体" w:cs="宋体"/>
          <w:b/>
          <w:color w:val="auto"/>
          <w:sz w:val="32"/>
          <w:szCs w:val="20"/>
        </w:rPr>
      </w:pPr>
    </w:p>
    <w:p>
      <w:pPr>
        <w:pStyle w:val="26"/>
        <w:rPr>
          <w:rFonts w:hAnsi="宋体" w:cs="宋体"/>
          <w:b/>
          <w:color w:val="auto"/>
          <w:sz w:val="32"/>
        </w:rPr>
      </w:pPr>
    </w:p>
    <w:p>
      <w:pPr>
        <w:rPr>
          <w:rFonts w:ascii="宋体" w:hAnsi="宋体" w:cs="宋体"/>
          <w:b/>
          <w:color w:val="auto"/>
          <w:sz w:val="32"/>
          <w:szCs w:val="20"/>
        </w:rPr>
      </w:pPr>
    </w:p>
    <w:p>
      <w:pPr>
        <w:pStyle w:val="197"/>
        <w:ind w:firstLine="623"/>
        <w:rPr>
          <w:rFonts w:ascii="宋体" w:hAnsi="宋体" w:cs="宋体"/>
          <w:b/>
          <w:color w:val="auto"/>
          <w:sz w:val="32"/>
        </w:rPr>
      </w:pPr>
    </w:p>
    <w:p>
      <w:pPr>
        <w:pStyle w:val="25"/>
        <w:rPr>
          <w:color w:val="auto"/>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“采购代理机构”系指招标公告中载明的本项目的采购代理机构。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color w:val="auto"/>
          <w:sz w:val="24"/>
        </w:rPr>
        <w:t>2.4 “负责人”系指法人企业的法定负责人，或其他组</w:t>
      </w:r>
      <w:r>
        <w:rPr>
          <w:rFonts w:hint="eastAsia" w:ascii="宋体" w:hAnsi="宋体" w:cs="宋体"/>
          <w:sz w:val="24"/>
        </w:rPr>
        <w:t>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4.3.3.1供应商的姓名或者名称、地址、邮编、联系人及联系电话；</w:t>
      </w:r>
    </w:p>
    <w:p>
      <w:pPr>
        <w:pStyle w:val="34"/>
        <w:spacing w:line="360" w:lineRule="auto"/>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4.3.3.5必要的法律依据；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4.3.3.6提出质疑的日期。</w:t>
      </w:r>
    </w:p>
    <w:p>
      <w:pPr>
        <w:pStyle w:val="571"/>
        <w:shd w:val="clear" w:color="auto" w:fill="FFFFFF"/>
        <w:snapToGrid w:val="0"/>
        <w:spacing w:after="240" w:afterAutospacing="0" w:line="360" w:lineRule="auto"/>
        <w:ind w:firstLine="480" w:firstLineChars="2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80" w:firstLineChars="200"/>
        <w:contextualSpacing/>
      </w:pPr>
      <w:r>
        <w:rPr>
          <w:rFonts w:hint="eastAsia"/>
        </w:rPr>
        <w:t>质疑函范本及制作说明详见附件2。</w:t>
      </w:r>
    </w:p>
    <w:p>
      <w:pPr>
        <w:pStyle w:val="571"/>
        <w:shd w:val="clear" w:color="auto" w:fill="FFFFFF"/>
        <w:snapToGrid w:val="0"/>
        <w:spacing w:after="240" w:afterAutospacing="0" w:line="360" w:lineRule="auto"/>
        <w:ind w:firstLine="480" w:firstLineChars="200"/>
        <w:contextualSpacing/>
      </w:pPr>
      <w:r>
        <w:rPr>
          <w:rFonts w:hint="eastAsia"/>
        </w:rPr>
        <w:t>4.3.4对同一采购程序环节的质疑，供应商须在法定质疑期内一次性提出。</w:t>
      </w:r>
    </w:p>
    <w:p>
      <w:pPr>
        <w:pStyle w:val="571"/>
        <w:shd w:val="clear" w:color="auto" w:fill="FFFFFF"/>
        <w:snapToGrid w:val="0"/>
        <w:spacing w:after="240" w:afterAutospacing="0" w:line="360" w:lineRule="auto"/>
        <w:ind w:firstLine="480" w:firstLineChars="2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80" w:firstLineChars="2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1"/>
        <w:shd w:val="clear" w:color="auto" w:fill="FFFFFF"/>
        <w:tabs>
          <w:tab w:val="left" w:pos="438"/>
        </w:tabs>
        <w:snapToGrid w:val="0"/>
        <w:spacing w:after="240" w:afterAutospacing="0" w:line="360" w:lineRule="auto"/>
        <w:ind w:firstLine="480" w:firstLineChars="200"/>
        <w:contextualSpacing/>
        <w:rPr>
          <w:lang w:val="zh-CN"/>
        </w:rPr>
      </w:pPr>
      <w:r>
        <w:rPr>
          <w:rFonts w:hint="eastAsia"/>
          <w:lang w:val="zh-CN"/>
        </w:rPr>
        <w:t>4.4供应商投诉</w:t>
      </w:r>
    </w:p>
    <w:p>
      <w:pPr>
        <w:pStyle w:val="571"/>
        <w:shd w:val="clear" w:color="auto" w:fill="FFFFFF"/>
        <w:snapToGrid w:val="0"/>
        <w:spacing w:after="240" w:afterAutospacing="0" w:line="360" w:lineRule="auto"/>
        <w:ind w:firstLine="480" w:firstLineChars="2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80" w:firstLineChars="2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80" w:firstLineChars="200"/>
        <w:contextualSpacing/>
      </w:pPr>
      <w:r>
        <w:rPr>
          <w:rFonts w:hint="eastAsia"/>
        </w:rPr>
        <w:t>4.4.3供应商投诉应当有明确的请求和必要的证明材料。</w:t>
      </w:r>
    </w:p>
    <w:p>
      <w:pPr>
        <w:pStyle w:val="571"/>
        <w:shd w:val="clear" w:color="auto" w:fill="FFFFFF"/>
        <w:snapToGrid w:val="0"/>
        <w:spacing w:after="240" w:afterAutospacing="0" w:line="360" w:lineRule="auto"/>
        <w:ind w:firstLine="480" w:firstLineChars="200"/>
        <w:contextualSpacing/>
      </w:pPr>
      <w:r>
        <w:rPr>
          <w:rFonts w:hint="eastAsia"/>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80" w:firstLineChars="2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571"/>
        <w:shd w:val="clear" w:color="auto" w:fill="FFFFFF"/>
        <w:snapToGrid w:val="0"/>
        <w:spacing w:after="240" w:afterAutospacing="0" w:line="360" w:lineRule="auto"/>
        <w:ind w:firstLine="400"/>
        <w:contextualSpacing/>
      </w:pPr>
      <w:r>
        <w:rPr>
          <w:rFonts w:hint="eastAsia"/>
        </w:rPr>
        <w:t>投诉书范本及制作说明详见附件3。</w:t>
      </w:r>
    </w:p>
    <w:p>
      <w:pPr>
        <w:pStyle w:val="84"/>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480" w:firstLineChars="2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480" w:firstLineChars="2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480" w:firstLineChars="2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480" w:firstLineChars="2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480" w:firstLineChars="2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480" w:firstLineChars="2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84"/>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84"/>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480" w:firstLineChars="2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480" w:firstLineChars="2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480" w:firstLineChars="2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11.3.1开标一览表（报价表）；</w:t>
      </w:r>
    </w:p>
    <w:p>
      <w:pPr>
        <w:snapToGrid w:val="0"/>
        <w:spacing w:line="360" w:lineRule="auto"/>
        <w:ind w:firstLine="480" w:firstLineChars="200"/>
        <w:rPr>
          <w:rFonts w:ascii="宋体" w:hAnsi="宋体" w:cs="宋体"/>
          <w:sz w:val="24"/>
        </w:rPr>
      </w:pPr>
      <w:r>
        <w:rPr>
          <w:rFonts w:hint="eastAsia" w:ascii="宋体" w:hAnsi="宋体" w:cs="宋体"/>
          <w:color w:val="FF0000"/>
          <w:sz w:val="24"/>
        </w:rPr>
        <w:t>11.3.2中小企业声明函。</w:t>
      </w:r>
    </w:p>
    <w:p>
      <w:pPr>
        <w:spacing w:line="360" w:lineRule="auto"/>
        <w:ind w:firstLine="482" w:firstLineChars="2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482" w:firstLineChars="200"/>
        <w:rPr>
          <w:rFonts w:ascii="宋体" w:hAnsi="宋体" w:cs="宋体"/>
          <w:b/>
          <w:sz w:val="24"/>
          <w:szCs w:val="21"/>
        </w:rPr>
      </w:pPr>
      <w:r>
        <w:rPr>
          <w:rFonts w:hint="eastAsia" w:ascii="宋体" w:hAnsi="宋体" w:cs="宋体"/>
          <w:b/>
          <w:sz w:val="24"/>
        </w:rPr>
        <w:t>投标人提供虚假材料投标的，投标无效。</w:t>
      </w:r>
    </w:p>
    <w:p>
      <w:pPr>
        <w:pStyle w:val="84"/>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4"/>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4"/>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4"/>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4"/>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4"/>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4"/>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4"/>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4"/>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4"/>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4"/>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4"/>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4"/>
        <w:spacing w:before="0"/>
        <w:ind w:firstLine="643"/>
        <w:rPr>
          <w:rFonts w:ascii="宋体" w:hAnsi="宋体" w:cs="宋体"/>
          <w:b/>
          <w:sz w:val="32"/>
        </w:rPr>
      </w:pPr>
    </w:p>
    <w:p>
      <w:pPr>
        <w:pStyle w:val="84"/>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84"/>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4"/>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84"/>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84"/>
        <w:spacing w:before="0"/>
        <w:ind w:firstLine="0" w:firstLineChars="0"/>
        <w:rPr>
          <w:rFonts w:ascii="宋体" w:hAnsi="宋体" w:cs="宋体"/>
          <w:b/>
          <w:szCs w:val="24"/>
        </w:rPr>
      </w:pPr>
      <w:r>
        <w:rPr>
          <w:rFonts w:hint="eastAsia" w:ascii="宋体" w:hAnsi="宋体" w:cs="宋体"/>
          <w:b/>
          <w:szCs w:val="24"/>
        </w:rPr>
        <w:t>20、信用信息查询</w:t>
      </w:r>
    </w:p>
    <w:p>
      <w:pPr>
        <w:pStyle w:val="8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8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4"/>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4"/>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3"/>
        <w:spacing w:line="360" w:lineRule="auto"/>
        <w:ind w:left="479" w:hanging="479" w:hangingChars="199"/>
        <w:rPr>
          <w:rFonts w:cs="宋体"/>
          <w:b/>
        </w:rPr>
      </w:pPr>
      <w:r>
        <w:rPr>
          <w:rFonts w:hint="eastAsia" w:cs="宋体"/>
          <w:b/>
        </w:rPr>
        <w:t>22. 确定中标供应商</w:t>
      </w:r>
    </w:p>
    <w:p>
      <w:pPr>
        <w:pStyle w:val="84"/>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4"/>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4"/>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4"/>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4"/>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4"/>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4"/>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84"/>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84"/>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84"/>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84"/>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84"/>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84"/>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30295"/>
      <w:bookmarkEnd w:id="15"/>
      <w:bookmarkStart w:id="16" w:name="_Hlt75236290"/>
      <w:bookmarkEnd w:id="16"/>
      <w:bookmarkStart w:id="17" w:name="_Hlt68073093"/>
      <w:bookmarkEnd w:id="17"/>
      <w:bookmarkStart w:id="18" w:name="_Hlt74707468"/>
      <w:bookmarkEnd w:id="18"/>
      <w:bookmarkStart w:id="19" w:name="_Hlt75236011"/>
      <w:bookmarkEnd w:id="19"/>
      <w:bookmarkStart w:id="20" w:name="_Hlt68403820"/>
      <w:bookmarkEnd w:id="20"/>
      <w:bookmarkStart w:id="21" w:name="_Hlt68057669"/>
      <w:bookmarkEnd w:id="21"/>
      <w:bookmarkStart w:id="22" w:name="_Hlt68072990"/>
      <w:bookmarkEnd w:id="22"/>
      <w:bookmarkStart w:id="23" w:name="_Hlt75236101"/>
      <w:bookmarkEnd w:id="23"/>
      <w:bookmarkStart w:id="24" w:name="_Hlt74714665"/>
      <w:bookmarkEnd w:id="24"/>
      <w:bookmarkStart w:id="25" w:name="_Hlt74729768"/>
      <w:bookmarkEnd w:id="25"/>
      <w:bookmarkStart w:id="26" w:name="_Hlt68072998"/>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pacing w:line="360" w:lineRule="auto"/>
        <w:rPr>
          <w:rFonts w:ascii="宋体" w:hAnsi="宋体" w:cs="宋体"/>
          <w:b/>
          <w:sz w:val="24"/>
        </w:rPr>
      </w:pPr>
      <w:r>
        <w:rPr>
          <w:rFonts w:hint="eastAsia" w:ascii="宋体" w:hAnsi="宋体" w:cs="宋体"/>
          <w:b/>
          <w:sz w:val="24"/>
        </w:rPr>
        <w:t>一、采购项目概述</w:t>
      </w:r>
    </w:p>
    <w:p>
      <w:pPr>
        <w:spacing w:line="360" w:lineRule="auto"/>
        <w:ind w:firstLine="470" w:firstLineChars="196"/>
        <w:rPr>
          <w:rFonts w:ascii="宋体" w:hAnsi="宋体" w:cs="宋体"/>
          <w:bCs/>
          <w:sz w:val="24"/>
        </w:rPr>
      </w:pPr>
      <w:r>
        <w:rPr>
          <w:rFonts w:hint="eastAsia" w:ascii="宋体" w:hAnsi="宋体" w:cs="宋体"/>
          <w:bCs/>
          <w:sz w:val="24"/>
        </w:rPr>
        <w:t>本项目为“交钥匙”项目，采购内容包括</w:t>
      </w:r>
      <w:r>
        <w:rPr>
          <w:rFonts w:hint="eastAsia" w:ascii="宋体" w:hAnsi="宋体" w:cs="宋体"/>
          <w:sz w:val="24"/>
        </w:rPr>
        <w:t>物资的采购、运输、装卸和相关维护等</w:t>
      </w:r>
      <w:r>
        <w:rPr>
          <w:rFonts w:hint="eastAsia" w:ascii="宋体" w:hAnsi="宋体" w:cs="宋体"/>
          <w:bCs/>
          <w:sz w:val="24"/>
        </w:rPr>
        <w:t>。投标报价应包括物资配送过程中所有税费、成本、利润、运输、装卸搬运、人工费、其他增值服务、各类劳保、保险及售后服务费、有关部门的验收费、政策性文件规定及合同包含的所有费用、责任等各项全部费用。</w:t>
      </w:r>
    </w:p>
    <w:p>
      <w:pPr>
        <w:spacing w:line="360" w:lineRule="auto"/>
        <w:rPr>
          <w:rFonts w:ascii="宋体" w:hAnsi="宋体" w:cs="宋体"/>
          <w:b/>
          <w:sz w:val="24"/>
        </w:rPr>
      </w:pPr>
      <w:r>
        <w:rPr>
          <w:rFonts w:hint="eastAsia" w:ascii="宋体" w:hAnsi="宋体" w:cs="宋体"/>
          <w:b/>
          <w:sz w:val="24"/>
        </w:rPr>
        <w:t>二、采购清单（数量仅供参考）：</w:t>
      </w:r>
    </w:p>
    <w:p>
      <w:pPr>
        <w:spacing w:line="360" w:lineRule="auto"/>
        <w:ind w:firstLine="470" w:firstLineChars="196"/>
        <w:rPr>
          <w:rFonts w:ascii="宋体" w:hAnsi="宋体" w:cs="宋体"/>
          <w:bCs/>
          <w:sz w:val="24"/>
        </w:rPr>
      </w:pPr>
      <w:r>
        <w:rPr>
          <w:rFonts w:hint="eastAsia" w:ascii="宋体" w:hAnsi="宋体" w:cs="宋体"/>
          <w:bCs/>
          <w:sz w:val="24"/>
        </w:rPr>
        <w:t>1、粮油类：国标一级杂交米、江苏大米，色拉油、菜油，面粉等。</w:t>
      </w:r>
    </w:p>
    <w:p>
      <w:pPr>
        <w:spacing w:line="360" w:lineRule="auto"/>
        <w:ind w:firstLine="470" w:firstLineChars="196"/>
        <w:rPr>
          <w:rFonts w:ascii="宋体" w:hAnsi="宋体" w:cs="宋体"/>
          <w:bCs/>
          <w:sz w:val="24"/>
        </w:rPr>
      </w:pPr>
      <w:r>
        <w:rPr>
          <w:rFonts w:hint="eastAsia" w:ascii="宋体" w:hAnsi="宋体" w:cs="宋体"/>
          <w:bCs/>
          <w:sz w:val="24"/>
        </w:rPr>
        <w:t>2、猪肉类：国标二级，鲜肉、冷冻肉、膘肉、猪油等，需加工。</w:t>
      </w:r>
    </w:p>
    <w:p>
      <w:pPr>
        <w:spacing w:line="360" w:lineRule="auto"/>
        <w:ind w:firstLine="470" w:firstLineChars="196"/>
        <w:rPr>
          <w:rFonts w:ascii="宋体" w:hAnsi="宋体" w:cs="宋体"/>
          <w:bCs/>
          <w:sz w:val="24"/>
        </w:rPr>
      </w:pPr>
      <w:r>
        <w:rPr>
          <w:rFonts w:hint="eastAsia" w:ascii="宋体" w:hAnsi="宋体" w:cs="宋体"/>
          <w:bCs/>
          <w:sz w:val="24"/>
        </w:rPr>
        <w:t>3、蔬菜类：大白菜、青菜、萝卜、冬瓜、花菜、蘑菇、土豆、西红柿、豆芽、茄子、菠菜、芹菜、茭白、包心菜、海带、莴苣笋等。</w:t>
      </w:r>
    </w:p>
    <w:p>
      <w:pPr>
        <w:spacing w:line="360" w:lineRule="auto"/>
        <w:ind w:firstLine="470" w:firstLineChars="196"/>
        <w:rPr>
          <w:rFonts w:ascii="宋体" w:hAnsi="宋体" w:cs="宋体"/>
          <w:bCs/>
          <w:sz w:val="24"/>
        </w:rPr>
      </w:pPr>
      <w:r>
        <w:rPr>
          <w:rFonts w:hint="eastAsia" w:ascii="宋体" w:hAnsi="宋体" w:cs="宋体"/>
          <w:bCs/>
          <w:sz w:val="24"/>
        </w:rPr>
        <w:t>4、酱菜类：腌冬菜、腌萝卜条、榨菜、酱黄瓜、咸鸭蛋、什锦菜等。</w:t>
      </w:r>
    </w:p>
    <w:p>
      <w:pPr>
        <w:spacing w:line="360" w:lineRule="auto"/>
        <w:ind w:firstLine="470" w:firstLineChars="196"/>
        <w:rPr>
          <w:rFonts w:ascii="宋体" w:hAnsi="宋体" w:cs="宋体"/>
          <w:bCs/>
          <w:sz w:val="24"/>
        </w:rPr>
      </w:pPr>
      <w:r>
        <w:rPr>
          <w:rFonts w:hint="eastAsia" w:ascii="宋体" w:hAnsi="宋体" w:cs="宋体"/>
          <w:bCs/>
          <w:sz w:val="24"/>
        </w:rPr>
        <w:t>5、豆制品类：豆腐、油豆腐、千张结、油干、豆腐干等。</w:t>
      </w:r>
    </w:p>
    <w:p>
      <w:pPr>
        <w:spacing w:line="360" w:lineRule="auto"/>
        <w:ind w:firstLine="470" w:firstLineChars="196"/>
        <w:rPr>
          <w:rFonts w:ascii="宋体" w:hAnsi="宋体" w:cs="宋体"/>
          <w:bCs/>
          <w:sz w:val="24"/>
        </w:rPr>
      </w:pPr>
      <w:r>
        <w:rPr>
          <w:rFonts w:hint="eastAsia" w:ascii="宋体" w:hAnsi="宋体" w:cs="宋体"/>
          <w:bCs/>
          <w:sz w:val="24"/>
        </w:rPr>
        <w:t>6、干货、调味品类：酱油、味精、食盐、豆瓣酱、料酒、白糖等。</w:t>
      </w:r>
    </w:p>
    <w:p>
      <w:pPr>
        <w:spacing w:line="360" w:lineRule="auto"/>
        <w:ind w:firstLine="470" w:firstLineChars="196"/>
        <w:rPr>
          <w:rFonts w:ascii="宋体" w:hAnsi="宋体" w:cs="宋体"/>
          <w:bCs/>
          <w:sz w:val="24"/>
        </w:rPr>
      </w:pPr>
      <w:r>
        <w:rPr>
          <w:rFonts w:hint="eastAsia" w:ascii="宋体" w:hAnsi="宋体" w:cs="宋体"/>
          <w:bCs/>
          <w:sz w:val="24"/>
        </w:rPr>
        <w:t>7、水产类：包头鱼、草鱼、鲢鱼、鲫鱼等(需加工)。</w:t>
      </w:r>
    </w:p>
    <w:p>
      <w:pPr>
        <w:spacing w:line="360" w:lineRule="auto"/>
        <w:ind w:firstLine="470" w:firstLineChars="196"/>
        <w:rPr>
          <w:rFonts w:ascii="宋体" w:hAnsi="宋体" w:cs="宋体"/>
          <w:bCs/>
          <w:sz w:val="24"/>
        </w:rPr>
      </w:pPr>
      <w:r>
        <w:rPr>
          <w:rFonts w:hint="eastAsia" w:ascii="宋体" w:hAnsi="宋体" w:cs="宋体"/>
          <w:bCs/>
          <w:sz w:val="24"/>
        </w:rPr>
        <w:t>8、速冻类：鸡腿、鸡翅、鸡尖、酱鸭、鸭舌等。</w:t>
      </w:r>
    </w:p>
    <w:p>
      <w:pPr>
        <w:spacing w:line="360" w:lineRule="auto"/>
        <w:ind w:firstLine="470" w:firstLineChars="196"/>
        <w:rPr>
          <w:rFonts w:ascii="宋体" w:hAnsi="宋体" w:cs="宋体"/>
          <w:bCs/>
          <w:sz w:val="24"/>
        </w:rPr>
      </w:pPr>
      <w:r>
        <w:rPr>
          <w:rFonts w:hint="eastAsia" w:ascii="宋体" w:hAnsi="宋体" w:cs="宋体"/>
          <w:bCs/>
          <w:sz w:val="24"/>
        </w:rPr>
        <w:t>9、禽类：三黄鸡、本鸡、木头鸭、杂交鸭、老鸭(需加工)。</w:t>
      </w:r>
    </w:p>
    <w:p>
      <w:pPr>
        <w:spacing w:line="360" w:lineRule="auto"/>
        <w:ind w:firstLine="470" w:firstLineChars="196"/>
        <w:rPr>
          <w:rFonts w:ascii="宋体" w:hAnsi="宋体" w:cs="宋体"/>
          <w:bCs/>
          <w:sz w:val="24"/>
        </w:rPr>
      </w:pPr>
      <w:r>
        <w:rPr>
          <w:rFonts w:hint="eastAsia" w:ascii="宋体" w:hAnsi="宋体" w:cs="宋体"/>
          <w:bCs/>
          <w:sz w:val="24"/>
        </w:rPr>
        <w:t>10、禽蛋类。</w:t>
      </w:r>
    </w:p>
    <w:p>
      <w:pPr>
        <w:spacing w:line="360" w:lineRule="auto"/>
        <w:ind w:firstLine="470" w:firstLineChars="196"/>
        <w:rPr>
          <w:rFonts w:ascii="宋体" w:hAnsi="宋体" w:cs="宋体"/>
          <w:bCs/>
          <w:sz w:val="24"/>
        </w:rPr>
      </w:pPr>
      <w:r>
        <w:rPr>
          <w:rFonts w:hint="eastAsia" w:ascii="宋体" w:hAnsi="宋体" w:cs="宋体"/>
          <w:bCs/>
          <w:sz w:val="24"/>
        </w:rPr>
        <w:t>11、食堂水果。</w:t>
      </w:r>
    </w:p>
    <w:p>
      <w:pPr>
        <w:spacing w:line="360" w:lineRule="auto"/>
        <w:ind w:firstLine="470" w:firstLineChars="196"/>
        <w:rPr>
          <w:rFonts w:ascii="宋体" w:hAnsi="宋体" w:cs="宋体"/>
          <w:bCs/>
          <w:sz w:val="24"/>
        </w:rPr>
      </w:pPr>
      <w:r>
        <w:rPr>
          <w:rFonts w:hint="eastAsia" w:ascii="宋体" w:hAnsi="宋体" w:cs="宋体"/>
          <w:bCs/>
          <w:sz w:val="24"/>
        </w:rPr>
        <w:t>12、其他经采购人要求的货物。</w:t>
      </w:r>
    </w:p>
    <w:p>
      <w:pPr>
        <w:spacing w:line="360" w:lineRule="auto"/>
        <w:rPr>
          <w:rFonts w:ascii="宋体" w:hAnsi="宋体" w:cs="宋体"/>
          <w:b/>
          <w:sz w:val="24"/>
        </w:rPr>
      </w:pPr>
      <w:r>
        <w:rPr>
          <w:rFonts w:hint="eastAsia" w:ascii="宋体" w:hAnsi="宋体" w:cs="宋体"/>
          <w:b/>
          <w:sz w:val="24"/>
        </w:rPr>
        <w:t>三、配送要求：</w:t>
      </w:r>
    </w:p>
    <w:p>
      <w:pPr>
        <w:spacing w:line="360" w:lineRule="auto"/>
        <w:ind w:firstLine="480" w:firstLineChars="200"/>
        <w:rPr>
          <w:rFonts w:ascii="宋体" w:hAnsi="宋体" w:cs="宋体"/>
          <w:bCs/>
          <w:sz w:val="24"/>
        </w:rPr>
      </w:pPr>
      <w:r>
        <w:rPr>
          <w:rFonts w:hint="eastAsia" w:ascii="宋体" w:hAnsi="宋体" w:cs="宋体"/>
          <w:bCs/>
          <w:sz w:val="24"/>
        </w:rPr>
        <w:t>1）定价方法</w:t>
      </w:r>
    </w:p>
    <w:p>
      <w:pPr>
        <w:spacing w:line="360" w:lineRule="auto"/>
        <w:ind w:firstLine="480" w:firstLineChars="200"/>
        <w:rPr>
          <w:rFonts w:ascii="宋体" w:hAnsi="宋体" w:cs="宋体"/>
          <w:bCs/>
          <w:sz w:val="24"/>
        </w:rPr>
      </w:pPr>
      <w:r>
        <w:rPr>
          <w:rFonts w:hint="eastAsia" w:ascii="宋体" w:hAnsi="宋体" w:cs="宋体"/>
          <w:bCs/>
          <w:sz w:val="24"/>
        </w:rPr>
        <w:t>1、所有配送生活物资的价格按每半月定价一次。</w:t>
      </w:r>
    </w:p>
    <w:p>
      <w:pPr>
        <w:spacing w:line="360" w:lineRule="auto"/>
        <w:ind w:firstLine="482" w:firstLineChars="200"/>
        <w:rPr>
          <w:rFonts w:ascii="宋体" w:hAnsi="宋体" w:cs="宋体"/>
          <w:b/>
          <w:sz w:val="24"/>
        </w:rPr>
      </w:pPr>
      <w:r>
        <w:rPr>
          <w:rFonts w:hint="eastAsia" w:ascii="宋体" w:hAnsi="宋体" w:cs="宋体"/>
          <w:b/>
          <w:sz w:val="24"/>
        </w:rPr>
        <w:t>2、</w:t>
      </w:r>
      <w:r>
        <w:rPr>
          <w:rFonts w:hint="eastAsia" w:ascii="宋体" w:hAnsi="宋体" w:cs="宋体"/>
          <w:b/>
          <w:bCs/>
          <w:sz w:val="24"/>
        </w:rPr>
        <w:t>所有配送物资的预算价均为“杭州市物价局官方网站”发布的当月整期杭州市城区部分民生商品价格公示的同类货物的平均价格（未在官网公布的以周边大型农贸市场的价格</w:t>
      </w:r>
      <w:r>
        <w:rPr>
          <w:rFonts w:hint="eastAsia" w:ascii="宋体" w:hAnsi="宋体" w:cs="宋体"/>
          <w:b/>
          <w:bCs/>
          <w:color w:val="000000"/>
          <w:sz w:val="24"/>
        </w:rPr>
        <w:t xml:space="preserve">或杭州市菜篮子零售价格 </w:t>
      </w:r>
      <w:r>
        <w:fldChar w:fldCharType="begin"/>
      </w:r>
      <w:r>
        <w:instrText xml:space="preserve"> HYPERLINK "http://jg.jialf.net/" \h </w:instrText>
      </w:r>
      <w:r>
        <w:fldChar w:fldCharType="separate"/>
      </w:r>
      <w:r>
        <w:rPr>
          <w:rFonts w:hint="eastAsia" w:ascii="宋体" w:hAnsi="宋体" w:cs="宋体"/>
          <w:b/>
          <w:bCs/>
          <w:color w:val="000000"/>
          <w:sz w:val="24"/>
        </w:rPr>
        <w:t>http://jg.jialf.net/</w:t>
      </w:r>
      <w:r>
        <w:rPr>
          <w:rFonts w:hint="eastAsia" w:ascii="宋体" w:hAnsi="宋体" w:cs="宋体"/>
          <w:b/>
          <w:bCs/>
          <w:color w:val="000000"/>
          <w:sz w:val="24"/>
        </w:rPr>
        <w:fldChar w:fldCharType="end"/>
      </w:r>
      <w:r>
        <w:rPr>
          <w:rFonts w:hint="eastAsia" w:ascii="宋体" w:hAnsi="宋体" w:cs="宋体"/>
          <w:b/>
          <w:bCs/>
          <w:sz w:val="24"/>
        </w:rPr>
        <w:t>）。</w:t>
      </w:r>
    </w:p>
    <w:p>
      <w:pPr>
        <w:spacing w:line="360" w:lineRule="auto"/>
        <w:ind w:firstLine="482" w:firstLineChars="200"/>
        <w:rPr>
          <w:rFonts w:ascii="宋体" w:hAnsi="宋体" w:cs="宋体"/>
          <w:b/>
          <w:sz w:val="24"/>
        </w:rPr>
      </w:pPr>
      <w:r>
        <w:rPr>
          <w:rFonts w:hint="eastAsia" w:ascii="宋体" w:hAnsi="宋体" w:cs="宋体"/>
          <w:b/>
          <w:sz w:val="24"/>
        </w:rPr>
        <w:t>3、在每个结算周期供货完成（每月25日），经双方账目核对无误，成交供应商向采购人提交结算金额的全额增值税发票后，采购人在下个月10日前向供货方付款。（如遇节假日顺延）</w:t>
      </w:r>
    </w:p>
    <w:p>
      <w:pPr>
        <w:spacing w:line="360" w:lineRule="auto"/>
        <w:ind w:firstLine="482" w:firstLineChars="200"/>
        <w:rPr>
          <w:rFonts w:ascii="宋体" w:hAnsi="宋体" w:cs="宋体"/>
          <w:b/>
          <w:sz w:val="24"/>
        </w:rPr>
      </w:pPr>
      <w:r>
        <w:rPr>
          <w:rFonts w:hint="eastAsia" w:ascii="宋体" w:hAnsi="宋体" w:cs="宋体"/>
          <w:b/>
          <w:sz w:val="24"/>
        </w:rPr>
        <w:t>4、配送价格应包含所有税费、成本、利润、运输、装卸搬运、人工费、其他增值服务、各类劳保、保险</w:t>
      </w:r>
      <w:r>
        <w:rPr>
          <w:rFonts w:hint="eastAsia" w:ascii="宋体" w:hAnsi="宋体" w:cs="宋体"/>
          <w:bCs/>
          <w:sz w:val="24"/>
        </w:rPr>
        <w:t>及售后服务费、有关部门的验收费、政策性文件规定及合同包含的所有费用、责任等各项全部费用</w:t>
      </w:r>
      <w:r>
        <w:rPr>
          <w:rFonts w:hint="eastAsia" w:ascii="宋体" w:hAnsi="宋体" w:cs="宋体"/>
          <w:b/>
          <w:sz w:val="24"/>
        </w:rPr>
        <w:t>。</w:t>
      </w:r>
    </w:p>
    <w:p>
      <w:pPr>
        <w:spacing w:line="360" w:lineRule="auto"/>
        <w:ind w:firstLine="482" w:firstLineChars="200"/>
        <w:rPr>
          <w:rFonts w:ascii="宋体" w:hAnsi="宋体" w:cs="宋体"/>
          <w:b/>
          <w:sz w:val="24"/>
        </w:rPr>
      </w:pPr>
      <w:r>
        <w:rPr>
          <w:rFonts w:hint="eastAsia" w:ascii="宋体" w:hAnsi="宋体" w:cs="宋体"/>
          <w:b/>
          <w:sz w:val="24"/>
        </w:rPr>
        <w:t>2）采购人下订单订货</w:t>
      </w:r>
    </w:p>
    <w:p>
      <w:pPr>
        <w:spacing w:line="360" w:lineRule="auto"/>
        <w:ind w:firstLine="480" w:firstLineChars="200"/>
        <w:rPr>
          <w:rFonts w:ascii="宋体" w:hAnsi="宋体" w:cs="宋体"/>
          <w:bCs/>
          <w:sz w:val="24"/>
        </w:rPr>
      </w:pPr>
      <w:r>
        <w:rPr>
          <w:rFonts w:hint="eastAsia" w:ascii="宋体" w:hAnsi="宋体" w:cs="宋体"/>
          <w:bCs/>
          <w:sz w:val="24"/>
        </w:rPr>
        <w:t>1、采购人每天下午5：00前向供应商下达第二天的订单，采购人以传真或电话方式直接通知供应商，订单内容包括名称、种类、规格、数量、运送时间、送达地点、订单联系人等具体要求。</w:t>
      </w:r>
    </w:p>
    <w:p>
      <w:pPr>
        <w:spacing w:line="360" w:lineRule="auto"/>
        <w:ind w:firstLine="480" w:firstLineChars="200"/>
        <w:rPr>
          <w:rFonts w:ascii="宋体" w:hAnsi="宋体" w:cs="宋体"/>
          <w:bCs/>
          <w:sz w:val="24"/>
        </w:rPr>
      </w:pPr>
      <w:r>
        <w:rPr>
          <w:rFonts w:hint="eastAsia" w:ascii="宋体" w:hAnsi="宋体" w:cs="宋体"/>
          <w:bCs/>
          <w:sz w:val="24"/>
        </w:rPr>
        <w:t xml:space="preserve">2、临时性的追加订单，供应商应在接到采购人通知后 15 分钟内响应，一小时内 </w:t>
      </w:r>
    </w:p>
    <w:p>
      <w:pPr>
        <w:spacing w:line="360" w:lineRule="auto"/>
        <w:rPr>
          <w:rFonts w:ascii="宋体" w:hAnsi="宋体" w:cs="宋体"/>
          <w:bCs/>
          <w:sz w:val="24"/>
        </w:rPr>
      </w:pPr>
      <w:r>
        <w:rPr>
          <w:rFonts w:hint="eastAsia" w:ascii="宋体" w:hAnsi="宋体" w:cs="宋体"/>
          <w:bCs/>
          <w:sz w:val="24"/>
        </w:rPr>
        <w:t>完成配送。</w:t>
      </w:r>
    </w:p>
    <w:p>
      <w:pPr>
        <w:spacing w:line="360" w:lineRule="auto"/>
        <w:ind w:firstLine="480" w:firstLineChars="200"/>
        <w:rPr>
          <w:rFonts w:ascii="宋体" w:hAnsi="宋体" w:cs="宋体"/>
          <w:bCs/>
          <w:sz w:val="24"/>
        </w:rPr>
      </w:pPr>
      <w:r>
        <w:rPr>
          <w:rFonts w:hint="eastAsia" w:ascii="宋体" w:hAnsi="宋体" w:cs="宋体"/>
          <w:bCs/>
          <w:sz w:val="24"/>
        </w:rPr>
        <w:t>3、供应商接到采购人订单后，个别品种因缺货而无法提供的，供应商应在接到订单当天内及时知会采购人并协商好解决方法。</w:t>
      </w:r>
    </w:p>
    <w:p>
      <w:pPr>
        <w:spacing w:line="360" w:lineRule="auto"/>
        <w:ind w:firstLine="482" w:firstLineChars="200"/>
        <w:rPr>
          <w:rFonts w:ascii="宋体" w:hAnsi="宋体" w:cs="宋体"/>
          <w:b/>
          <w:sz w:val="24"/>
        </w:rPr>
      </w:pPr>
      <w:r>
        <w:rPr>
          <w:rFonts w:hint="eastAsia" w:ascii="宋体" w:hAnsi="宋体" w:cs="宋体"/>
          <w:b/>
          <w:sz w:val="24"/>
        </w:rPr>
        <w:t>3）交货要求</w:t>
      </w:r>
    </w:p>
    <w:p>
      <w:pPr>
        <w:spacing w:line="360" w:lineRule="auto"/>
        <w:ind w:firstLine="480" w:firstLineChars="200"/>
        <w:rPr>
          <w:rFonts w:ascii="宋体" w:hAnsi="宋体" w:cs="宋体"/>
          <w:bCs/>
          <w:sz w:val="24"/>
        </w:rPr>
      </w:pPr>
      <w:r>
        <w:rPr>
          <w:rFonts w:hint="eastAsia" w:ascii="宋体" w:hAnsi="宋体" w:cs="宋体"/>
          <w:bCs/>
          <w:sz w:val="24"/>
        </w:rPr>
        <w:t>1、供应商每天早上6：00将订单内所有物资送到采购人指定的地点并配送完毕，供应商提供《送货清单》一式两份，双方现场过秤并验收签名，作结算凭证。</w:t>
      </w:r>
    </w:p>
    <w:p>
      <w:pPr>
        <w:spacing w:line="360" w:lineRule="auto"/>
        <w:ind w:firstLine="480" w:firstLineChars="200"/>
        <w:rPr>
          <w:rFonts w:ascii="宋体" w:hAnsi="宋体" w:cs="宋体"/>
          <w:bCs/>
          <w:sz w:val="24"/>
        </w:rPr>
      </w:pPr>
      <w:r>
        <w:rPr>
          <w:rFonts w:hint="eastAsia" w:ascii="宋体" w:hAnsi="宋体" w:cs="宋体"/>
          <w:bCs/>
          <w:sz w:val="24"/>
        </w:rPr>
        <w:t>2、所有品种按除箱净重过磅，最终交易重量以双方确认的过磅数为准。</w:t>
      </w:r>
    </w:p>
    <w:p>
      <w:pPr>
        <w:spacing w:line="360" w:lineRule="auto"/>
        <w:ind w:firstLine="480" w:firstLineChars="200"/>
        <w:rPr>
          <w:rFonts w:ascii="宋体" w:hAnsi="宋体" w:cs="宋体"/>
          <w:bCs/>
          <w:sz w:val="24"/>
        </w:rPr>
      </w:pPr>
      <w:r>
        <w:rPr>
          <w:rFonts w:hint="eastAsia" w:ascii="宋体" w:hAnsi="宋体" w:cs="宋体"/>
          <w:bCs/>
          <w:sz w:val="24"/>
        </w:rPr>
        <w:t>4）数量、质量、品质要求</w:t>
      </w:r>
    </w:p>
    <w:p>
      <w:pPr>
        <w:spacing w:line="360" w:lineRule="auto"/>
        <w:ind w:firstLine="480" w:firstLineChars="200"/>
        <w:rPr>
          <w:rFonts w:ascii="宋体" w:hAnsi="宋体" w:cs="宋体"/>
          <w:bCs/>
          <w:sz w:val="24"/>
        </w:rPr>
      </w:pPr>
      <w:r>
        <w:rPr>
          <w:rFonts w:hint="eastAsia" w:ascii="宋体" w:hAnsi="宋体" w:cs="宋体"/>
          <w:bCs/>
          <w:sz w:val="24"/>
        </w:rPr>
        <w:t>1、每个品种的重量以双方核准的净重过磅数为准，双方签字确认作为结算凭证。</w:t>
      </w:r>
    </w:p>
    <w:p>
      <w:pPr>
        <w:spacing w:line="360" w:lineRule="auto"/>
        <w:ind w:firstLine="480" w:firstLineChars="200"/>
        <w:rPr>
          <w:rFonts w:ascii="宋体" w:hAnsi="宋体" w:cs="宋体"/>
          <w:bCs/>
          <w:sz w:val="24"/>
        </w:rPr>
      </w:pPr>
      <w:r>
        <w:rPr>
          <w:rFonts w:hint="eastAsia" w:ascii="宋体" w:hAnsi="宋体" w:cs="宋体"/>
          <w:bCs/>
          <w:sz w:val="24"/>
        </w:rPr>
        <w:t>2、质量必须符合国家相关食品安全卫生标准，由采购人质量验收员签字为准。</w:t>
      </w:r>
    </w:p>
    <w:p>
      <w:pPr>
        <w:spacing w:line="360" w:lineRule="auto"/>
        <w:rPr>
          <w:rFonts w:ascii="宋体" w:hAnsi="宋体" w:cs="宋体"/>
          <w:b/>
          <w:sz w:val="24"/>
        </w:rPr>
      </w:pPr>
      <w:r>
        <w:rPr>
          <w:rFonts w:hint="eastAsia" w:ascii="宋体" w:hAnsi="宋体" w:cs="宋体"/>
          <w:b/>
          <w:sz w:val="24"/>
        </w:rPr>
        <w:t>四、服务期限、地点：</w:t>
      </w:r>
    </w:p>
    <w:p>
      <w:pPr>
        <w:spacing w:line="360" w:lineRule="auto"/>
        <w:ind w:firstLine="482" w:firstLineChars="200"/>
        <w:rPr>
          <w:rFonts w:ascii="宋体" w:hAnsi="宋体" w:cs="宋体"/>
          <w:b/>
          <w:sz w:val="24"/>
        </w:rPr>
      </w:pPr>
      <w:r>
        <w:rPr>
          <w:rFonts w:hint="eastAsia" w:ascii="宋体" w:hAnsi="宋体" w:cs="宋体"/>
          <w:b/>
          <w:sz w:val="24"/>
        </w:rPr>
        <w:t>1、服务期限：2年；</w:t>
      </w:r>
    </w:p>
    <w:p>
      <w:pPr>
        <w:spacing w:line="360" w:lineRule="auto"/>
        <w:ind w:firstLine="480" w:firstLineChars="200"/>
        <w:rPr>
          <w:rFonts w:ascii="宋体" w:hAnsi="宋体" w:cs="宋体"/>
          <w:bCs/>
          <w:sz w:val="24"/>
        </w:rPr>
      </w:pPr>
      <w:r>
        <w:rPr>
          <w:rFonts w:hint="eastAsia" w:ascii="宋体" w:hAnsi="宋体" w:cs="宋体"/>
          <w:bCs/>
          <w:sz w:val="24"/>
        </w:rPr>
        <w:t>2、在服务期内中标人能严格履行合同，如中标供应商在服务期内违反合同约定，</w:t>
      </w:r>
      <w:r>
        <w:rPr>
          <w:rFonts w:hint="eastAsia" w:ascii="宋体" w:hAnsi="宋体" w:cs="宋体"/>
          <w:b/>
          <w:sz w:val="24"/>
        </w:rPr>
        <w:t>累计被招标人书面警告五次（含）以上的</w:t>
      </w:r>
      <w:r>
        <w:rPr>
          <w:rFonts w:hint="eastAsia" w:ascii="宋体" w:hAnsi="宋体" w:cs="宋体"/>
          <w:bCs/>
          <w:sz w:val="24"/>
        </w:rPr>
        <w:t xml:space="preserve">， </w:t>
      </w:r>
      <w:r>
        <w:rPr>
          <w:rFonts w:hint="eastAsia" w:ascii="宋体" w:hAnsi="宋体" w:cs="宋体"/>
          <w:b/>
          <w:sz w:val="24"/>
        </w:rPr>
        <w:t>或因中标人原因发生重大安全责任事故的</w:t>
      </w:r>
      <w:r>
        <w:rPr>
          <w:rFonts w:hint="eastAsia" w:ascii="宋体" w:hAnsi="宋体" w:cs="宋体"/>
          <w:bCs/>
          <w:sz w:val="24"/>
        </w:rPr>
        <w:t>，采购单位有权提前终止合同；</w:t>
      </w:r>
    </w:p>
    <w:p>
      <w:pPr>
        <w:spacing w:line="360" w:lineRule="auto"/>
        <w:ind w:firstLine="480" w:firstLineChars="200"/>
        <w:rPr>
          <w:rFonts w:ascii="宋体" w:hAnsi="宋体" w:cs="宋体"/>
          <w:bCs/>
          <w:sz w:val="24"/>
        </w:rPr>
      </w:pPr>
      <w:r>
        <w:rPr>
          <w:rFonts w:hint="eastAsia" w:ascii="宋体" w:hAnsi="宋体" w:cs="宋体"/>
          <w:bCs/>
          <w:sz w:val="24"/>
        </w:rPr>
        <w:t>3、服务地点：</w:t>
      </w:r>
      <w:r>
        <w:rPr>
          <w:rFonts w:hint="eastAsia" w:ascii="宋体" w:hAnsi="宋体" w:cs="宋体"/>
          <w:bCs/>
          <w:color w:val="000000"/>
          <w:spacing w:val="-5"/>
          <w:kern w:val="20"/>
          <w:sz w:val="24"/>
        </w:rPr>
        <w:t>闲林街道办事处机关食堂（含3号楼）及采购方另行指定的地点</w:t>
      </w:r>
    </w:p>
    <w:p>
      <w:pPr>
        <w:spacing w:line="360" w:lineRule="auto"/>
        <w:rPr>
          <w:rFonts w:ascii="宋体" w:hAnsi="宋体" w:cs="宋体"/>
          <w:b/>
          <w:sz w:val="24"/>
        </w:rPr>
      </w:pPr>
      <w:r>
        <w:rPr>
          <w:rFonts w:hint="eastAsia" w:ascii="宋体" w:hAnsi="宋体" w:cs="宋体"/>
          <w:b/>
          <w:sz w:val="24"/>
        </w:rPr>
        <w:t>五、履约保证金的缴纳和退付：</w:t>
      </w:r>
    </w:p>
    <w:p>
      <w:pPr>
        <w:spacing w:line="360" w:lineRule="auto"/>
        <w:ind w:firstLine="480"/>
        <w:rPr>
          <w:rFonts w:ascii="宋体" w:hAnsi="宋体" w:cs="宋体"/>
          <w:bCs/>
          <w:sz w:val="24"/>
          <w:highlight w:val="none"/>
        </w:rPr>
      </w:pPr>
      <w:r>
        <w:rPr>
          <w:rFonts w:hint="eastAsia" w:ascii="宋体" w:hAnsi="宋体" w:cs="宋体"/>
          <w:bCs/>
          <w:sz w:val="24"/>
        </w:rPr>
        <w:t>在合同签订7个工作日内，中标供应商向采购人缴纳</w:t>
      </w:r>
      <w:r>
        <w:rPr>
          <w:rFonts w:hint="eastAsia" w:ascii="宋体" w:hAnsi="宋体" w:cs="宋体"/>
          <w:sz w:val="24"/>
        </w:rPr>
        <w:t>合同金额</w:t>
      </w:r>
      <w:r>
        <w:rPr>
          <w:rFonts w:hint="eastAsia" w:ascii="宋体" w:hAnsi="宋体" w:cs="宋体"/>
          <w:bCs/>
          <w:sz w:val="24"/>
        </w:rPr>
        <w:t>1%的履约保证金，该保证金用于配送物资的质量安全保证以及必要时进行临时紧急采购，若在合同履行期间有违约行为的，按合同约定扣除相应的履约保证金。服务期</w:t>
      </w:r>
      <w:r>
        <w:rPr>
          <w:rFonts w:hint="eastAsia" w:ascii="宋体" w:hAnsi="宋体" w:cs="宋体"/>
          <w:bCs/>
          <w:sz w:val="24"/>
          <w:highlight w:val="none"/>
        </w:rPr>
        <w:t>结束后，采购人退付履约保证金。</w:t>
      </w:r>
    </w:p>
    <w:p>
      <w:pPr>
        <w:spacing w:line="360" w:lineRule="auto"/>
        <w:rPr>
          <w:rFonts w:ascii="宋体" w:hAnsi="宋体" w:cs="宋体"/>
          <w:b/>
          <w:sz w:val="24"/>
          <w:highlight w:val="none"/>
        </w:rPr>
      </w:pPr>
      <w:r>
        <w:rPr>
          <w:rFonts w:hint="eastAsia" w:ascii="宋体" w:hAnsi="宋体" w:cs="宋体"/>
          <w:b/>
          <w:sz w:val="24"/>
          <w:highlight w:val="none"/>
        </w:rPr>
        <w:t>六、货款支付方式：</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按月进行支付；</w:t>
      </w:r>
    </w:p>
    <w:p>
      <w:pPr>
        <w:pStyle w:val="3"/>
        <w:numPr>
          <w:ilvl w:val="0"/>
          <w:numId w:val="2"/>
        </w:numPr>
        <w:spacing w:line="360" w:lineRule="auto"/>
        <w:ind w:firstLine="0" w:firstLineChars="0"/>
        <w:rPr>
          <w:rFonts w:cs="宋体"/>
          <w:b/>
          <w:highlight w:val="none"/>
        </w:rPr>
      </w:pPr>
      <w:r>
        <w:rPr>
          <w:rFonts w:hint="eastAsia" w:cs="宋体"/>
          <w:b/>
          <w:highlight w:val="none"/>
        </w:rPr>
        <w:t>其他增值服务：</w:t>
      </w:r>
    </w:p>
    <w:p>
      <w:pPr>
        <w:pStyle w:val="3"/>
        <w:numPr>
          <w:ilvl w:val="0"/>
          <w:numId w:val="3"/>
        </w:numPr>
        <w:spacing w:line="360" w:lineRule="auto"/>
        <w:rPr>
          <w:rFonts w:cs="宋体"/>
          <w:highlight w:val="none"/>
        </w:rPr>
      </w:pPr>
      <w:r>
        <w:rPr>
          <w:rFonts w:hint="eastAsia" w:cs="宋体"/>
          <w:highlight w:val="none"/>
        </w:rPr>
        <w:t>服务期内，要求中标供应商落实人员辅助处理菜叶、菜根等帮厨服务。费用包含在投标报价中，不再另行收取。</w:t>
      </w:r>
    </w:p>
    <w:p>
      <w:pPr>
        <w:pStyle w:val="3"/>
        <w:numPr>
          <w:ilvl w:val="0"/>
          <w:numId w:val="3"/>
        </w:numPr>
        <w:spacing w:line="360" w:lineRule="auto"/>
        <w:rPr>
          <w:rFonts w:cs="宋体"/>
          <w:b/>
          <w:highlight w:val="none"/>
        </w:rPr>
      </w:pPr>
      <w:r>
        <w:rPr>
          <w:rFonts w:hint="eastAsia" w:cs="宋体"/>
          <w:highlight w:val="none"/>
        </w:rPr>
        <w:t>服务期内，要求中标供应商提供一辆核定载质量1.25吨及以上厢式货车接受街道的随时派遣和调度。费用包含在投标报价中，不再另行收取。</w:t>
      </w:r>
    </w:p>
    <w:p>
      <w:pPr>
        <w:numPr>
          <w:ilvl w:val="0"/>
          <w:numId w:val="2"/>
        </w:numPr>
        <w:spacing w:line="360" w:lineRule="auto"/>
        <w:rPr>
          <w:rFonts w:hint="eastAsia" w:ascii="宋体" w:hAnsi="宋体" w:cs="宋体"/>
          <w:b/>
          <w:sz w:val="24"/>
          <w:highlight w:val="none"/>
          <w:lang w:val="en-US" w:eastAsia="zh-CN"/>
        </w:rPr>
      </w:pPr>
      <w:r>
        <w:rPr>
          <w:rFonts w:hint="eastAsia" w:ascii="宋体" w:hAnsi="宋体" w:cs="宋体"/>
          <w:b/>
          <w:sz w:val="24"/>
          <w:highlight w:val="none"/>
          <w:lang w:val="en-US" w:eastAsia="zh-CN"/>
        </w:rPr>
        <w:t>其他：</w:t>
      </w:r>
    </w:p>
    <w:p>
      <w:pPr>
        <w:pStyle w:val="2"/>
        <w:numPr>
          <w:ilvl w:val="-1"/>
          <w:numId w:val="0"/>
        </w:numPr>
        <w:spacing w:line="360" w:lineRule="auto"/>
        <w:ind w:left="0" w:leftChars="0" w:firstLine="0" w:firstLineChars="0"/>
        <w:rPr>
          <w:rFonts w:hint="default" w:eastAsia="宋体" w:cs="宋体"/>
          <w:bCs/>
          <w:sz w:val="24"/>
          <w:highlight w:val="none"/>
          <w:lang w:val="en-US" w:eastAsia="zh-CN"/>
        </w:rPr>
      </w:pPr>
      <w:r>
        <w:rPr>
          <w:rFonts w:hint="eastAsia"/>
          <w:highlight w:val="none"/>
          <w:lang w:val="en-US" w:eastAsia="zh-CN"/>
        </w:rPr>
        <w:t xml:space="preserve"> </w:t>
      </w:r>
      <w:r>
        <w:rPr>
          <w:rFonts w:hint="eastAsia" w:cs="宋体"/>
          <w:bCs/>
          <w:sz w:val="24"/>
          <w:highlight w:val="none"/>
          <w:lang w:val="en-US" w:eastAsia="zh-CN"/>
        </w:rPr>
        <w:t xml:space="preserve">  本项目服务期为2年。合同签订形式采用一年一考核一签合同的形式，即第一年合同到期后，经考核优秀的，经班子会议讨论同意再签第二年合同。考核细则在合同签订时明确。</w:t>
      </w: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bookmarkStart w:id="518" w:name="_GoBack"/>
      <w:bookmarkEnd w:id="518"/>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pStyle w:val="2"/>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 xml:space="preserve">第四部分   </w:t>
      </w:r>
      <w:bookmarkStart w:id="28" w:name="_Toc184312136"/>
      <w:bookmarkEnd w:id="28"/>
      <w:bookmarkStart w:id="29" w:name="_Toc184312101"/>
      <w:bookmarkEnd w:id="29"/>
      <w:bookmarkStart w:id="30" w:name="_Toc184312110"/>
      <w:bookmarkEnd w:id="30"/>
      <w:bookmarkStart w:id="31" w:name="_Toc184313278"/>
      <w:bookmarkEnd w:id="31"/>
      <w:bookmarkStart w:id="32" w:name="_Toc184314445"/>
      <w:bookmarkEnd w:id="32"/>
      <w:bookmarkStart w:id="33" w:name="_Toc184308089"/>
      <w:bookmarkEnd w:id="33"/>
      <w:bookmarkStart w:id="34" w:name="_Toc184310320"/>
      <w:bookmarkEnd w:id="34"/>
      <w:bookmarkStart w:id="35" w:name="_Toc184310295"/>
      <w:bookmarkEnd w:id="35"/>
      <w:bookmarkStart w:id="36" w:name="_Toc184310330"/>
      <w:bookmarkEnd w:id="36"/>
      <w:bookmarkStart w:id="37" w:name="_Toc184310288"/>
      <w:bookmarkEnd w:id="37"/>
      <w:bookmarkStart w:id="38" w:name="_Toc184314415"/>
      <w:bookmarkEnd w:id="38"/>
      <w:bookmarkStart w:id="39" w:name="_Toc184312094"/>
      <w:bookmarkEnd w:id="39"/>
      <w:bookmarkStart w:id="40" w:name="_Toc184313255"/>
      <w:bookmarkEnd w:id="40"/>
      <w:bookmarkStart w:id="41" w:name="_Toc184310287"/>
      <w:bookmarkEnd w:id="41"/>
      <w:bookmarkStart w:id="42" w:name="_Toc184308085"/>
      <w:bookmarkEnd w:id="42"/>
      <w:bookmarkStart w:id="43" w:name="_Toc184308101"/>
      <w:bookmarkEnd w:id="43"/>
      <w:bookmarkStart w:id="44" w:name="_Toc184308091"/>
      <w:bookmarkEnd w:id="44"/>
      <w:bookmarkStart w:id="45" w:name="_Toc184313302"/>
      <w:bookmarkEnd w:id="45"/>
      <w:bookmarkStart w:id="46" w:name="_Toc184312086"/>
      <w:bookmarkEnd w:id="46"/>
      <w:bookmarkStart w:id="47" w:name="_Toc184313269"/>
      <w:bookmarkEnd w:id="47"/>
      <w:bookmarkStart w:id="48" w:name="_Toc184310273"/>
      <w:bookmarkEnd w:id="48"/>
      <w:bookmarkStart w:id="49" w:name="_Toc184310285"/>
      <w:bookmarkEnd w:id="49"/>
      <w:bookmarkStart w:id="50" w:name="_Toc184308042"/>
      <w:bookmarkEnd w:id="50"/>
      <w:bookmarkStart w:id="51" w:name="_Toc184314428"/>
      <w:bookmarkEnd w:id="51"/>
      <w:bookmarkStart w:id="52" w:name="_Toc184312090"/>
      <w:bookmarkEnd w:id="52"/>
      <w:bookmarkStart w:id="53" w:name="_Toc184314421"/>
      <w:bookmarkEnd w:id="53"/>
      <w:bookmarkStart w:id="54" w:name="_Toc184313308"/>
      <w:bookmarkEnd w:id="54"/>
      <w:bookmarkStart w:id="55" w:name="_Toc184314414"/>
      <w:bookmarkEnd w:id="55"/>
      <w:bookmarkStart w:id="56" w:name="_Toc184312128"/>
      <w:bookmarkEnd w:id="56"/>
      <w:bookmarkStart w:id="57" w:name="_Toc184308063"/>
      <w:bookmarkEnd w:id="57"/>
      <w:bookmarkStart w:id="58" w:name="_Toc184312097"/>
      <w:bookmarkEnd w:id="58"/>
      <w:bookmarkStart w:id="59" w:name="_Toc184308108"/>
      <w:bookmarkEnd w:id="59"/>
      <w:bookmarkStart w:id="60" w:name="_Toc184312118"/>
      <w:bookmarkEnd w:id="60"/>
      <w:bookmarkStart w:id="61" w:name="_Toc184312080"/>
      <w:bookmarkEnd w:id="61"/>
      <w:bookmarkStart w:id="62" w:name="_Toc184313284"/>
      <w:bookmarkEnd w:id="62"/>
      <w:bookmarkStart w:id="63" w:name="_Toc184313246"/>
      <w:bookmarkEnd w:id="63"/>
      <w:bookmarkStart w:id="64" w:name="_Toc184313243"/>
      <w:bookmarkEnd w:id="64"/>
      <w:bookmarkStart w:id="65" w:name="_Toc184313244"/>
      <w:bookmarkEnd w:id="65"/>
      <w:bookmarkStart w:id="66" w:name="_Toc184308036"/>
      <w:bookmarkEnd w:id="66"/>
      <w:bookmarkStart w:id="67" w:name="_Toc184310323"/>
      <w:bookmarkEnd w:id="67"/>
      <w:bookmarkStart w:id="68" w:name="_Toc184310306"/>
      <w:bookmarkEnd w:id="68"/>
      <w:bookmarkStart w:id="69" w:name="_Toc184314429"/>
      <w:bookmarkEnd w:id="69"/>
      <w:bookmarkStart w:id="70" w:name="_Toc184310332"/>
      <w:bookmarkEnd w:id="70"/>
      <w:bookmarkStart w:id="71" w:name="_Toc184310327"/>
      <w:bookmarkEnd w:id="71"/>
      <w:bookmarkStart w:id="72" w:name="_Toc184312108"/>
      <w:bookmarkEnd w:id="72"/>
      <w:bookmarkStart w:id="73" w:name="_Toc184313276"/>
      <w:bookmarkEnd w:id="73"/>
      <w:bookmarkStart w:id="74" w:name="_Toc184310292"/>
      <w:bookmarkEnd w:id="74"/>
      <w:bookmarkStart w:id="75" w:name="_Toc184313275"/>
      <w:bookmarkEnd w:id="75"/>
      <w:bookmarkStart w:id="76" w:name="_Toc184312075"/>
      <w:bookmarkEnd w:id="76"/>
      <w:bookmarkStart w:id="77" w:name="_Toc184310300"/>
      <w:bookmarkEnd w:id="77"/>
      <w:bookmarkStart w:id="78" w:name="_Toc184314439"/>
      <w:bookmarkEnd w:id="78"/>
      <w:bookmarkStart w:id="79" w:name="_Toc184314467"/>
      <w:bookmarkEnd w:id="79"/>
      <w:bookmarkStart w:id="80" w:name="_Toc184314410"/>
      <w:bookmarkEnd w:id="80"/>
      <w:bookmarkStart w:id="81" w:name="_Toc184310289"/>
      <w:bookmarkEnd w:id="81"/>
      <w:bookmarkStart w:id="82" w:name="_Toc184312134"/>
      <w:bookmarkEnd w:id="82"/>
      <w:bookmarkStart w:id="83" w:name="_Toc184310336"/>
      <w:bookmarkEnd w:id="83"/>
      <w:bookmarkStart w:id="84" w:name="_Toc184310344"/>
      <w:bookmarkEnd w:id="84"/>
      <w:bookmarkStart w:id="85" w:name="_Toc184308051"/>
      <w:bookmarkEnd w:id="85"/>
      <w:bookmarkStart w:id="86" w:name="_Toc184313289"/>
      <w:bookmarkEnd w:id="86"/>
      <w:bookmarkStart w:id="87" w:name="_Toc184313299"/>
      <w:bookmarkEnd w:id="87"/>
      <w:bookmarkStart w:id="88" w:name="_Toc184312119"/>
      <w:bookmarkEnd w:id="88"/>
      <w:bookmarkStart w:id="89" w:name="_Toc184314446"/>
      <w:bookmarkEnd w:id="89"/>
      <w:bookmarkStart w:id="90" w:name="_Toc184308098"/>
      <w:bookmarkEnd w:id="90"/>
      <w:bookmarkStart w:id="91" w:name="_Toc184313265"/>
      <w:bookmarkEnd w:id="91"/>
      <w:bookmarkStart w:id="92" w:name="_Toc184313277"/>
      <w:bookmarkEnd w:id="92"/>
      <w:bookmarkStart w:id="93" w:name="_Toc184308039"/>
      <w:bookmarkEnd w:id="93"/>
      <w:bookmarkStart w:id="94" w:name="_Toc184308043"/>
      <w:bookmarkEnd w:id="94"/>
      <w:bookmarkStart w:id="95" w:name="_Toc184314478"/>
      <w:bookmarkEnd w:id="95"/>
      <w:bookmarkStart w:id="96" w:name="_Toc184314430"/>
      <w:bookmarkEnd w:id="96"/>
      <w:bookmarkStart w:id="97" w:name="_Toc184310298"/>
      <w:bookmarkEnd w:id="97"/>
      <w:bookmarkStart w:id="98" w:name="_Toc184308104"/>
      <w:bookmarkEnd w:id="98"/>
      <w:bookmarkStart w:id="99" w:name="_Toc184314465"/>
      <w:bookmarkEnd w:id="99"/>
      <w:bookmarkStart w:id="100" w:name="_Toc184314426"/>
      <w:bookmarkEnd w:id="100"/>
      <w:bookmarkStart w:id="101" w:name="_Toc184310328"/>
      <w:bookmarkEnd w:id="101"/>
      <w:bookmarkStart w:id="102" w:name="_Toc184314418"/>
      <w:bookmarkEnd w:id="102"/>
      <w:bookmarkStart w:id="103" w:name="_Toc184314413"/>
      <w:bookmarkEnd w:id="103"/>
      <w:bookmarkStart w:id="104" w:name="_Toc184310337"/>
      <w:bookmarkEnd w:id="104"/>
      <w:bookmarkStart w:id="105" w:name="_Toc184314443"/>
      <w:bookmarkEnd w:id="105"/>
      <w:bookmarkStart w:id="106" w:name="_Toc184312092"/>
      <w:bookmarkEnd w:id="106"/>
      <w:bookmarkStart w:id="107" w:name="_Toc184313293"/>
      <w:bookmarkEnd w:id="107"/>
      <w:bookmarkStart w:id="108" w:name="_Toc184310293"/>
      <w:bookmarkEnd w:id="108"/>
      <w:bookmarkStart w:id="109" w:name="_Toc184313297"/>
      <w:bookmarkEnd w:id="109"/>
      <w:bookmarkStart w:id="110" w:name="_Toc184314442"/>
      <w:bookmarkEnd w:id="110"/>
      <w:bookmarkStart w:id="111" w:name="_Toc184314424"/>
      <w:bookmarkEnd w:id="111"/>
      <w:bookmarkStart w:id="112" w:name="_Toc184313239"/>
      <w:bookmarkEnd w:id="112"/>
      <w:bookmarkStart w:id="113" w:name="_Toc184313296"/>
      <w:bookmarkEnd w:id="113"/>
      <w:bookmarkStart w:id="114" w:name="_Toc184313256"/>
      <w:bookmarkEnd w:id="114"/>
      <w:bookmarkStart w:id="115" w:name="_Toc184313262"/>
      <w:bookmarkEnd w:id="115"/>
      <w:bookmarkStart w:id="116" w:name="_Toc184308068"/>
      <w:bookmarkEnd w:id="116"/>
      <w:bookmarkStart w:id="117" w:name="_Toc184312085"/>
      <w:bookmarkEnd w:id="117"/>
      <w:bookmarkStart w:id="118" w:name="_Toc184314458"/>
      <w:bookmarkEnd w:id="118"/>
      <w:bookmarkStart w:id="119" w:name="_Toc184308059"/>
      <w:bookmarkEnd w:id="119"/>
      <w:bookmarkStart w:id="120" w:name="_Toc184310335"/>
      <w:bookmarkEnd w:id="120"/>
      <w:bookmarkStart w:id="121" w:name="_Toc184312068"/>
      <w:bookmarkEnd w:id="121"/>
      <w:bookmarkStart w:id="122" w:name="_Toc184314457"/>
      <w:bookmarkEnd w:id="122"/>
      <w:bookmarkStart w:id="123" w:name="_Toc184314471"/>
      <w:bookmarkEnd w:id="123"/>
      <w:bookmarkStart w:id="124" w:name="_Toc184310284"/>
      <w:bookmarkEnd w:id="124"/>
      <w:bookmarkStart w:id="125" w:name="_Toc184310274"/>
      <w:bookmarkEnd w:id="125"/>
      <w:bookmarkStart w:id="126" w:name="_Toc184314476"/>
      <w:bookmarkEnd w:id="126"/>
      <w:bookmarkStart w:id="127" w:name="_Toc184313283"/>
      <w:bookmarkEnd w:id="127"/>
      <w:bookmarkStart w:id="128" w:name="_Toc184313306"/>
      <w:bookmarkEnd w:id="128"/>
      <w:bookmarkStart w:id="129" w:name="_Toc184313268"/>
      <w:bookmarkEnd w:id="129"/>
      <w:bookmarkStart w:id="130" w:name="_Toc184312071"/>
      <w:bookmarkEnd w:id="130"/>
      <w:bookmarkStart w:id="131" w:name="_Toc184310276"/>
      <w:bookmarkEnd w:id="131"/>
      <w:bookmarkStart w:id="132" w:name="_Toc184314444"/>
      <w:bookmarkEnd w:id="132"/>
      <w:bookmarkStart w:id="133" w:name="_Toc184312079"/>
      <w:bookmarkEnd w:id="133"/>
      <w:bookmarkStart w:id="134" w:name="_Toc184310311"/>
      <w:bookmarkEnd w:id="134"/>
      <w:bookmarkStart w:id="135" w:name="_Toc184314453"/>
      <w:bookmarkEnd w:id="135"/>
      <w:bookmarkStart w:id="136" w:name="_Toc184310325"/>
      <w:bookmarkEnd w:id="136"/>
      <w:bookmarkStart w:id="137" w:name="_Toc184308050"/>
      <w:bookmarkEnd w:id="137"/>
      <w:bookmarkStart w:id="138" w:name="_Toc184312109"/>
      <w:bookmarkEnd w:id="138"/>
      <w:bookmarkStart w:id="139" w:name="_Toc184314440"/>
      <w:bookmarkEnd w:id="139"/>
      <w:bookmarkStart w:id="140" w:name="_Toc184310339"/>
      <w:bookmarkEnd w:id="140"/>
      <w:bookmarkStart w:id="141" w:name="_Toc184308071"/>
      <w:bookmarkEnd w:id="141"/>
      <w:bookmarkStart w:id="142" w:name="_Toc184308058"/>
      <w:bookmarkEnd w:id="142"/>
      <w:bookmarkStart w:id="143" w:name="_Toc184314455"/>
      <w:bookmarkEnd w:id="143"/>
      <w:bookmarkStart w:id="144" w:name="_Toc184312081"/>
      <w:bookmarkEnd w:id="144"/>
      <w:bookmarkStart w:id="145" w:name="_Toc184310326"/>
      <w:bookmarkEnd w:id="145"/>
      <w:bookmarkStart w:id="146" w:name="_Toc184310280"/>
      <w:bookmarkEnd w:id="146"/>
      <w:bookmarkStart w:id="147" w:name="_Toc184308064"/>
      <w:bookmarkEnd w:id="147"/>
      <w:bookmarkStart w:id="148" w:name="_Toc184312137"/>
      <w:bookmarkEnd w:id="148"/>
      <w:bookmarkStart w:id="149" w:name="_Toc184312077"/>
      <w:bookmarkEnd w:id="149"/>
      <w:bookmarkStart w:id="150" w:name="_Toc184314434"/>
      <w:bookmarkEnd w:id="150"/>
      <w:bookmarkStart w:id="151" w:name="_Toc184312084"/>
      <w:bookmarkEnd w:id="151"/>
      <w:bookmarkStart w:id="152" w:name="_Toc184312074"/>
      <w:bookmarkEnd w:id="152"/>
      <w:bookmarkStart w:id="153" w:name="_Toc184313240"/>
      <w:bookmarkEnd w:id="153"/>
      <w:bookmarkStart w:id="154" w:name="_Toc184310275"/>
      <w:bookmarkEnd w:id="154"/>
      <w:bookmarkStart w:id="155" w:name="_Toc184308066"/>
      <w:bookmarkEnd w:id="155"/>
      <w:bookmarkStart w:id="156" w:name="_Toc184313272"/>
      <w:bookmarkEnd w:id="156"/>
      <w:bookmarkStart w:id="157" w:name="_Toc184314462"/>
      <w:bookmarkEnd w:id="157"/>
      <w:bookmarkStart w:id="158" w:name="_Toc184310317"/>
      <w:bookmarkEnd w:id="158"/>
      <w:bookmarkStart w:id="159" w:name="_Toc184312114"/>
      <w:bookmarkEnd w:id="159"/>
      <w:bookmarkStart w:id="160" w:name="_Toc184313273"/>
      <w:bookmarkEnd w:id="160"/>
      <w:bookmarkStart w:id="161" w:name="_Toc184314481"/>
      <w:bookmarkEnd w:id="161"/>
      <w:bookmarkStart w:id="162" w:name="_Toc184308084"/>
      <w:bookmarkEnd w:id="162"/>
      <w:bookmarkStart w:id="163" w:name="_Toc184313304"/>
      <w:bookmarkEnd w:id="163"/>
      <w:bookmarkStart w:id="164" w:name="_Toc184313298"/>
      <w:bookmarkEnd w:id="164"/>
      <w:bookmarkStart w:id="165" w:name="_Toc184308094"/>
      <w:bookmarkEnd w:id="165"/>
      <w:bookmarkStart w:id="166" w:name="_Toc184312103"/>
      <w:bookmarkEnd w:id="166"/>
      <w:bookmarkStart w:id="167" w:name="_Toc184314459"/>
      <w:bookmarkEnd w:id="167"/>
      <w:bookmarkStart w:id="168" w:name="_Toc184310329"/>
      <w:bookmarkEnd w:id="168"/>
      <w:bookmarkStart w:id="169" w:name="_Toc184312111"/>
      <w:bookmarkEnd w:id="169"/>
      <w:bookmarkStart w:id="170" w:name="_Toc184308065"/>
      <w:bookmarkEnd w:id="170"/>
      <w:bookmarkStart w:id="171" w:name="_Toc184313295"/>
      <w:bookmarkEnd w:id="171"/>
      <w:bookmarkStart w:id="172" w:name="_Toc184312122"/>
      <w:bookmarkEnd w:id="172"/>
      <w:bookmarkStart w:id="173" w:name="_Toc184310291"/>
      <w:bookmarkEnd w:id="173"/>
      <w:bookmarkStart w:id="174" w:name="_Toc184314441"/>
      <w:bookmarkEnd w:id="174"/>
      <w:bookmarkStart w:id="175" w:name="_Toc184313241"/>
      <w:bookmarkEnd w:id="175"/>
      <w:bookmarkStart w:id="176" w:name="_Toc184308103"/>
      <w:bookmarkEnd w:id="176"/>
      <w:bookmarkStart w:id="177" w:name="_Toc184308106"/>
      <w:bookmarkEnd w:id="177"/>
      <w:bookmarkStart w:id="178" w:name="_Toc184308090"/>
      <w:bookmarkEnd w:id="178"/>
      <w:bookmarkStart w:id="179" w:name="_Toc184314474"/>
      <w:bookmarkEnd w:id="179"/>
      <w:bookmarkStart w:id="180" w:name="_Toc184313257"/>
      <w:bookmarkEnd w:id="180"/>
      <w:bookmarkStart w:id="181" w:name="_Toc184314412"/>
      <w:bookmarkEnd w:id="181"/>
      <w:bookmarkStart w:id="182" w:name="_Toc184310297"/>
      <w:bookmarkEnd w:id="182"/>
      <w:bookmarkStart w:id="183" w:name="_Toc184312127"/>
      <w:bookmarkEnd w:id="183"/>
      <w:bookmarkStart w:id="184" w:name="_Toc184314438"/>
      <w:bookmarkEnd w:id="184"/>
      <w:bookmarkStart w:id="185" w:name="_Toc184313261"/>
      <w:bookmarkEnd w:id="185"/>
      <w:bookmarkStart w:id="186" w:name="_Toc184308088"/>
      <w:bookmarkEnd w:id="186"/>
      <w:bookmarkStart w:id="187" w:name="_Toc184314480"/>
      <w:bookmarkEnd w:id="187"/>
      <w:bookmarkStart w:id="188" w:name="_Toc184312113"/>
      <w:bookmarkEnd w:id="188"/>
      <w:bookmarkStart w:id="189" w:name="_Toc184308041"/>
      <w:bookmarkEnd w:id="189"/>
      <w:bookmarkStart w:id="190" w:name="_Toc184308067"/>
      <w:bookmarkEnd w:id="190"/>
      <w:bookmarkStart w:id="191" w:name="_Toc184308105"/>
      <w:bookmarkEnd w:id="191"/>
      <w:bookmarkStart w:id="192" w:name="_Toc184310331"/>
      <w:bookmarkEnd w:id="192"/>
      <w:bookmarkStart w:id="193" w:name="_Toc184314431"/>
      <w:bookmarkEnd w:id="193"/>
      <w:bookmarkStart w:id="194" w:name="_Toc184310277"/>
      <w:bookmarkEnd w:id="194"/>
      <w:bookmarkStart w:id="195" w:name="_Toc184308057"/>
      <w:bookmarkEnd w:id="195"/>
      <w:bookmarkStart w:id="196" w:name="_Toc184312100"/>
      <w:bookmarkEnd w:id="196"/>
      <w:bookmarkStart w:id="197" w:name="_Toc184313292"/>
      <w:bookmarkEnd w:id="197"/>
      <w:bookmarkStart w:id="198" w:name="_Toc184312105"/>
      <w:bookmarkEnd w:id="198"/>
      <w:bookmarkStart w:id="199" w:name="_Toc184312072"/>
      <w:bookmarkEnd w:id="199"/>
      <w:bookmarkStart w:id="200" w:name="_Toc184312130"/>
      <w:bookmarkEnd w:id="200"/>
      <w:bookmarkStart w:id="201" w:name="_Toc184314472"/>
      <w:bookmarkEnd w:id="201"/>
      <w:bookmarkStart w:id="202" w:name="_Toc184310304"/>
      <w:bookmarkEnd w:id="202"/>
      <w:bookmarkStart w:id="203" w:name="_Toc184308069"/>
      <w:bookmarkEnd w:id="203"/>
      <w:bookmarkStart w:id="204" w:name="_Toc184308056"/>
      <w:bookmarkEnd w:id="204"/>
      <w:bookmarkStart w:id="205" w:name="_Toc184310324"/>
      <w:bookmarkEnd w:id="205"/>
      <w:bookmarkStart w:id="206" w:name="_Toc184312098"/>
      <w:bookmarkEnd w:id="206"/>
      <w:bookmarkStart w:id="207" w:name="_Toc184314432"/>
      <w:bookmarkEnd w:id="207"/>
      <w:bookmarkStart w:id="208" w:name="_Toc184312102"/>
      <w:bookmarkEnd w:id="208"/>
      <w:bookmarkStart w:id="209" w:name="_Toc184310341"/>
      <w:bookmarkEnd w:id="209"/>
      <w:bookmarkStart w:id="210" w:name="_Toc184308070"/>
      <w:bookmarkEnd w:id="210"/>
      <w:bookmarkStart w:id="211" w:name="_Toc184310299"/>
      <w:bookmarkEnd w:id="211"/>
      <w:bookmarkStart w:id="212" w:name="_Toc184313263"/>
      <w:bookmarkEnd w:id="212"/>
      <w:bookmarkStart w:id="213" w:name="_Toc184310281"/>
      <w:bookmarkEnd w:id="213"/>
      <w:bookmarkStart w:id="214" w:name="_Toc184313300"/>
      <w:bookmarkEnd w:id="214"/>
      <w:bookmarkStart w:id="215" w:name="_Toc184308062"/>
      <w:bookmarkEnd w:id="215"/>
      <w:bookmarkStart w:id="216" w:name="_Toc184310334"/>
      <w:bookmarkEnd w:id="216"/>
      <w:bookmarkStart w:id="217" w:name="_Toc184312099"/>
      <w:bookmarkEnd w:id="217"/>
      <w:bookmarkStart w:id="218" w:name="_Toc184314433"/>
      <w:bookmarkEnd w:id="218"/>
      <w:bookmarkStart w:id="219" w:name="_Toc184313281"/>
      <w:bookmarkEnd w:id="219"/>
      <w:bookmarkStart w:id="220" w:name="_Toc184314419"/>
      <w:bookmarkEnd w:id="220"/>
      <w:bookmarkStart w:id="221" w:name="_Toc184313307"/>
      <w:bookmarkEnd w:id="221"/>
      <w:bookmarkStart w:id="222" w:name="_Toc184313264"/>
      <w:bookmarkEnd w:id="222"/>
      <w:bookmarkStart w:id="223" w:name="_Toc184313270"/>
      <w:bookmarkEnd w:id="223"/>
      <w:bookmarkStart w:id="224" w:name="_Toc184308086"/>
      <w:bookmarkEnd w:id="224"/>
      <w:bookmarkStart w:id="225" w:name="_Toc184313279"/>
      <w:bookmarkEnd w:id="225"/>
      <w:bookmarkStart w:id="226" w:name="_Toc184308038"/>
      <w:bookmarkEnd w:id="226"/>
      <w:bookmarkStart w:id="227" w:name="_Toc184312121"/>
      <w:bookmarkEnd w:id="227"/>
      <w:bookmarkStart w:id="228" w:name="_Toc184308078"/>
      <w:bookmarkEnd w:id="228"/>
      <w:bookmarkStart w:id="229" w:name="_Toc184312089"/>
      <w:bookmarkEnd w:id="229"/>
      <w:bookmarkStart w:id="230" w:name="_Toc184308048"/>
      <w:bookmarkEnd w:id="230"/>
      <w:bookmarkStart w:id="231" w:name="_Toc184313274"/>
      <w:bookmarkEnd w:id="231"/>
      <w:bookmarkStart w:id="232" w:name="_Toc184308092"/>
      <w:bookmarkEnd w:id="232"/>
      <w:bookmarkStart w:id="233" w:name="_Toc184314411"/>
      <w:bookmarkEnd w:id="233"/>
      <w:bookmarkStart w:id="234" w:name="_Toc184308044"/>
      <w:bookmarkEnd w:id="234"/>
      <w:bookmarkStart w:id="235" w:name="_Toc184312083"/>
      <w:bookmarkEnd w:id="235"/>
      <w:bookmarkStart w:id="236" w:name="_Toc184308061"/>
      <w:bookmarkEnd w:id="236"/>
      <w:bookmarkStart w:id="237" w:name="_Toc184308073"/>
      <w:bookmarkEnd w:id="237"/>
      <w:bookmarkStart w:id="238" w:name="_Toc184313254"/>
      <w:bookmarkEnd w:id="238"/>
      <w:bookmarkStart w:id="239" w:name="_Toc184314463"/>
      <w:bookmarkEnd w:id="239"/>
      <w:bookmarkStart w:id="240" w:name="_Toc184313259"/>
      <w:bookmarkEnd w:id="240"/>
      <w:bookmarkStart w:id="241" w:name="_Toc184314416"/>
      <w:bookmarkEnd w:id="241"/>
      <w:bookmarkStart w:id="242" w:name="_Toc184310318"/>
      <w:bookmarkEnd w:id="242"/>
      <w:bookmarkStart w:id="243" w:name="_Toc184314468"/>
      <w:bookmarkEnd w:id="243"/>
      <w:bookmarkStart w:id="244" w:name="_Toc184310322"/>
      <w:bookmarkEnd w:id="244"/>
      <w:bookmarkStart w:id="245" w:name="_Toc184310307"/>
      <w:bookmarkEnd w:id="245"/>
      <w:bookmarkStart w:id="246" w:name="_Toc184308076"/>
      <w:bookmarkEnd w:id="246"/>
      <w:bookmarkStart w:id="247" w:name="_Toc184312133"/>
      <w:bookmarkEnd w:id="247"/>
      <w:bookmarkStart w:id="248" w:name="_Toc184312069"/>
      <w:bookmarkEnd w:id="248"/>
      <w:bookmarkStart w:id="249" w:name="_Toc184310279"/>
      <w:bookmarkEnd w:id="249"/>
      <w:bookmarkStart w:id="250" w:name="_Toc184310333"/>
      <w:bookmarkEnd w:id="250"/>
      <w:bookmarkStart w:id="251" w:name="_Toc184310294"/>
      <w:bookmarkEnd w:id="251"/>
      <w:bookmarkStart w:id="252" w:name="_Toc184314449"/>
      <w:bookmarkEnd w:id="252"/>
      <w:bookmarkStart w:id="253" w:name="_Toc184310303"/>
      <w:bookmarkEnd w:id="253"/>
      <w:bookmarkStart w:id="254" w:name="_Toc184312123"/>
      <w:bookmarkEnd w:id="254"/>
      <w:bookmarkStart w:id="255" w:name="_Toc184314447"/>
      <w:bookmarkEnd w:id="255"/>
      <w:bookmarkStart w:id="256" w:name="_Toc184314420"/>
      <w:bookmarkEnd w:id="256"/>
      <w:bookmarkStart w:id="257" w:name="_Toc184308060"/>
      <w:bookmarkEnd w:id="257"/>
      <w:bookmarkStart w:id="258" w:name="_Toc184308107"/>
      <w:bookmarkEnd w:id="258"/>
      <w:bookmarkStart w:id="259" w:name="_Toc184310309"/>
      <w:bookmarkEnd w:id="259"/>
      <w:bookmarkStart w:id="260" w:name="_Toc184313266"/>
      <w:bookmarkEnd w:id="260"/>
      <w:bookmarkStart w:id="261" w:name="_Toc184314469"/>
      <w:bookmarkEnd w:id="261"/>
      <w:bookmarkStart w:id="262" w:name="_Toc184310342"/>
      <w:bookmarkEnd w:id="262"/>
      <w:bookmarkStart w:id="263" w:name="_Toc184312139"/>
      <w:bookmarkEnd w:id="263"/>
      <w:bookmarkStart w:id="264" w:name="_Toc184313301"/>
      <w:bookmarkEnd w:id="264"/>
      <w:bookmarkStart w:id="265" w:name="_Toc184310316"/>
      <w:bookmarkEnd w:id="265"/>
      <w:bookmarkStart w:id="266" w:name="_Toc184313252"/>
      <w:bookmarkEnd w:id="266"/>
      <w:bookmarkStart w:id="267" w:name="_Toc184312095"/>
      <w:bookmarkEnd w:id="267"/>
      <w:bookmarkStart w:id="268" w:name="_Toc184312120"/>
      <w:bookmarkEnd w:id="268"/>
      <w:bookmarkStart w:id="269" w:name="_Toc184310302"/>
      <w:bookmarkEnd w:id="269"/>
      <w:bookmarkStart w:id="270" w:name="_Toc184312125"/>
      <w:bookmarkEnd w:id="270"/>
      <w:bookmarkStart w:id="271" w:name="_Toc184314482"/>
      <w:bookmarkEnd w:id="271"/>
      <w:bookmarkStart w:id="272" w:name="_Toc184312129"/>
      <w:bookmarkEnd w:id="272"/>
      <w:bookmarkStart w:id="273" w:name="_Toc184310338"/>
      <w:bookmarkEnd w:id="273"/>
      <w:bookmarkStart w:id="274" w:name="_Toc184313247"/>
      <w:bookmarkEnd w:id="274"/>
      <w:bookmarkStart w:id="275" w:name="_Toc184314456"/>
      <w:bookmarkEnd w:id="275"/>
      <w:bookmarkStart w:id="276" w:name="_Toc184313294"/>
      <w:bookmarkEnd w:id="276"/>
      <w:bookmarkStart w:id="277" w:name="_Toc184313249"/>
      <w:bookmarkEnd w:id="277"/>
      <w:bookmarkStart w:id="278" w:name="_Toc184310286"/>
      <w:bookmarkEnd w:id="278"/>
      <w:bookmarkStart w:id="279" w:name="_Toc184314437"/>
      <w:bookmarkEnd w:id="279"/>
      <w:bookmarkStart w:id="280" w:name="_Toc184313290"/>
      <w:bookmarkEnd w:id="280"/>
      <w:bookmarkStart w:id="281" w:name="_Toc184313245"/>
      <w:bookmarkEnd w:id="281"/>
      <w:bookmarkStart w:id="282" w:name="_Toc184314436"/>
      <w:bookmarkEnd w:id="282"/>
      <w:bookmarkStart w:id="283" w:name="_Toc184310343"/>
      <w:bookmarkEnd w:id="283"/>
      <w:bookmarkStart w:id="284" w:name="_Toc184313250"/>
      <w:bookmarkEnd w:id="284"/>
      <w:bookmarkStart w:id="285" w:name="_Toc184312115"/>
      <w:bookmarkEnd w:id="285"/>
      <w:bookmarkStart w:id="286" w:name="_Toc184308077"/>
      <w:bookmarkEnd w:id="286"/>
      <w:bookmarkStart w:id="287" w:name="_Toc184312088"/>
      <w:bookmarkEnd w:id="287"/>
      <w:bookmarkStart w:id="288" w:name="_Toc184310319"/>
      <w:bookmarkEnd w:id="288"/>
      <w:bookmarkStart w:id="289" w:name="_Toc184310314"/>
      <w:bookmarkEnd w:id="289"/>
      <w:bookmarkStart w:id="290" w:name="_Toc184308099"/>
      <w:bookmarkEnd w:id="290"/>
      <w:bookmarkStart w:id="291" w:name="_Toc184314423"/>
      <w:bookmarkEnd w:id="291"/>
      <w:bookmarkStart w:id="292" w:name="_Toc184310321"/>
      <w:bookmarkEnd w:id="292"/>
      <w:bookmarkStart w:id="293" w:name="_Toc184314473"/>
      <w:bookmarkEnd w:id="293"/>
      <w:bookmarkStart w:id="294" w:name="_Toc184313267"/>
      <w:bookmarkEnd w:id="294"/>
      <w:bookmarkStart w:id="295" w:name="_Toc184313260"/>
      <w:bookmarkEnd w:id="295"/>
      <w:bookmarkStart w:id="296" w:name="_Toc184310296"/>
      <w:bookmarkEnd w:id="296"/>
      <w:bookmarkStart w:id="297" w:name="_Toc184314435"/>
      <w:bookmarkEnd w:id="297"/>
      <w:bookmarkStart w:id="298" w:name="_Toc184310272"/>
      <w:bookmarkEnd w:id="298"/>
      <w:bookmarkStart w:id="299" w:name="_Toc184312124"/>
      <w:bookmarkEnd w:id="299"/>
      <w:bookmarkStart w:id="300" w:name="_Toc184310282"/>
      <w:bookmarkEnd w:id="300"/>
      <w:bookmarkStart w:id="301" w:name="_Toc184308096"/>
      <w:bookmarkEnd w:id="301"/>
      <w:bookmarkStart w:id="302" w:name="_Toc184313285"/>
      <w:bookmarkEnd w:id="302"/>
      <w:bookmarkStart w:id="303" w:name="_Toc184310308"/>
      <w:bookmarkEnd w:id="303"/>
      <w:bookmarkStart w:id="304" w:name="_Toc184313258"/>
      <w:bookmarkEnd w:id="304"/>
      <w:bookmarkStart w:id="305" w:name="_Toc184312117"/>
      <w:bookmarkEnd w:id="305"/>
      <w:bookmarkStart w:id="306" w:name="_Toc184313282"/>
      <w:bookmarkEnd w:id="306"/>
      <w:bookmarkStart w:id="307" w:name="_Toc184312104"/>
      <w:bookmarkEnd w:id="307"/>
      <w:bookmarkStart w:id="308" w:name="_Toc184310312"/>
      <w:bookmarkEnd w:id="308"/>
      <w:bookmarkStart w:id="309" w:name="_Toc184314454"/>
      <w:bookmarkEnd w:id="309"/>
      <w:bookmarkStart w:id="310" w:name="_Toc184313286"/>
      <w:bookmarkEnd w:id="310"/>
      <w:bookmarkStart w:id="311" w:name="_Toc184308055"/>
      <w:bookmarkEnd w:id="311"/>
      <w:bookmarkStart w:id="312" w:name="_Toc184313248"/>
      <w:bookmarkEnd w:id="312"/>
      <w:bookmarkStart w:id="313" w:name="_Toc184313288"/>
      <w:bookmarkEnd w:id="313"/>
      <w:bookmarkStart w:id="314" w:name="_Toc184312126"/>
      <w:bookmarkEnd w:id="314"/>
      <w:bookmarkStart w:id="315" w:name="_Toc184313242"/>
      <w:bookmarkEnd w:id="315"/>
      <w:bookmarkStart w:id="316" w:name="_Toc184314466"/>
      <w:bookmarkEnd w:id="316"/>
      <w:bookmarkStart w:id="317" w:name="_Toc184312087"/>
      <w:bookmarkEnd w:id="317"/>
      <w:bookmarkStart w:id="318" w:name="_Toc184308075"/>
      <w:bookmarkEnd w:id="318"/>
      <w:bookmarkStart w:id="319" w:name="_Toc184314417"/>
      <w:bookmarkEnd w:id="319"/>
      <w:bookmarkStart w:id="320" w:name="_Toc184314450"/>
      <w:bookmarkEnd w:id="320"/>
      <w:bookmarkStart w:id="321" w:name="_Toc184312073"/>
      <w:bookmarkEnd w:id="321"/>
      <w:bookmarkStart w:id="322" w:name="_Toc184308080"/>
      <w:bookmarkEnd w:id="322"/>
      <w:bookmarkStart w:id="323" w:name="_Toc184313271"/>
      <w:bookmarkEnd w:id="323"/>
      <w:bookmarkStart w:id="324" w:name="_Toc184308074"/>
      <w:bookmarkEnd w:id="324"/>
      <w:bookmarkStart w:id="325" w:name="_Toc184312138"/>
      <w:bookmarkEnd w:id="325"/>
      <w:bookmarkStart w:id="326" w:name="_Toc184310301"/>
      <w:bookmarkEnd w:id="326"/>
      <w:bookmarkStart w:id="327" w:name="_Toc184308040"/>
      <w:bookmarkEnd w:id="327"/>
      <w:bookmarkStart w:id="328" w:name="_Toc184312096"/>
      <w:bookmarkEnd w:id="328"/>
      <w:bookmarkStart w:id="329" w:name="_Toc184308053"/>
      <w:bookmarkEnd w:id="329"/>
      <w:bookmarkStart w:id="330" w:name="_Toc184312067"/>
      <w:bookmarkEnd w:id="330"/>
      <w:bookmarkStart w:id="331" w:name="_Toc184313238"/>
      <w:bookmarkEnd w:id="331"/>
      <w:bookmarkStart w:id="332" w:name="_Toc184310305"/>
      <w:bookmarkEnd w:id="332"/>
      <w:bookmarkStart w:id="333" w:name="_Toc184314464"/>
      <w:bookmarkEnd w:id="333"/>
      <w:bookmarkStart w:id="334" w:name="_Toc184312131"/>
      <w:bookmarkEnd w:id="334"/>
      <w:bookmarkStart w:id="335" w:name="_Toc184312093"/>
      <w:bookmarkEnd w:id="335"/>
      <w:bookmarkStart w:id="336" w:name="_Toc184313291"/>
      <w:bookmarkEnd w:id="336"/>
      <w:bookmarkStart w:id="337" w:name="_Toc184313251"/>
      <w:bookmarkEnd w:id="337"/>
      <w:bookmarkStart w:id="338" w:name="_Toc184314422"/>
      <w:bookmarkEnd w:id="338"/>
      <w:bookmarkStart w:id="339" w:name="_Toc184314448"/>
      <w:bookmarkEnd w:id="339"/>
      <w:bookmarkStart w:id="340" w:name="_Toc184312070"/>
      <w:bookmarkEnd w:id="340"/>
      <w:bookmarkStart w:id="341" w:name="_Toc184310340"/>
      <w:bookmarkEnd w:id="341"/>
      <w:bookmarkStart w:id="342" w:name="_Toc184313280"/>
      <w:bookmarkEnd w:id="342"/>
      <w:bookmarkStart w:id="343" w:name="_Toc184312112"/>
      <w:bookmarkEnd w:id="343"/>
      <w:bookmarkStart w:id="344" w:name="_Toc184308079"/>
      <w:bookmarkEnd w:id="344"/>
      <w:bookmarkStart w:id="345" w:name="_Toc184313310"/>
      <w:bookmarkEnd w:id="345"/>
      <w:bookmarkStart w:id="346" w:name="_Toc184308087"/>
      <w:bookmarkEnd w:id="346"/>
      <w:bookmarkStart w:id="347" w:name="_Toc184308047"/>
      <w:bookmarkEnd w:id="347"/>
      <w:bookmarkStart w:id="348" w:name="_Toc184314427"/>
      <w:bookmarkEnd w:id="348"/>
      <w:bookmarkStart w:id="349" w:name="_Toc184313303"/>
      <w:bookmarkEnd w:id="349"/>
      <w:bookmarkStart w:id="350" w:name="_Toc184310313"/>
      <w:bookmarkEnd w:id="350"/>
      <w:bookmarkStart w:id="351" w:name="_Toc184312078"/>
      <w:bookmarkEnd w:id="351"/>
      <w:bookmarkStart w:id="352" w:name="_Toc184308097"/>
      <w:bookmarkEnd w:id="352"/>
      <w:bookmarkStart w:id="353" w:name="_Toc184312076"/>
      <w:bookmarkEnd w:id="353"/>
      <w:bookmarkStart w:id="354" w:name="_Toc184312106"/>
      <w:bookmarkEnd w:id="354"/>
      <w:bookmarkStart w:id="355" w:name="_Toc184308054"/>
      <w:bookmarkEnd w:id="355"/>
      <w:bookmarkStart w:id="356" w:name="_Toc184308072"/>
      <w:bookmarkEnd w:id="356"/>
      <w:bookmarkStart w:id="357" w:name="_Toc184308102"/>
      <w:bookmarkEnd w:id="357"/>
      <w:bookmarkStart w:id="358" w:name="_Toc184314475"/>
      <w:bookmarkEnd w:id="358"/>
      <w:bookmarkStart w:id="359" w:name="_Toc184312091"/>
      <w:bookmarkEnd w:id="359"/>
      <w:bookmarkStart w:id="360" w:name="_Toc184313305"/>
      <w:bookmarkEnd w:id="360"/>
      <w:bookmarkStart w:id="361" w:name="_Toc184308052"/>
      <w:bookmarkEnd w:id="361"/>
      <w:bookmarkStart w:id="362" w:name="_Toc184310278"/>
      <w:bookmarkEnd w:id="362"/>
      <w:bookmarkStart w:id="363" w:name="_Toc184308095"/>
      <w:bookmarkEnd w:id="363"/>
      <w:bookmarkStart w:id="364" w:name="_Toc184308037"/>
      <w:bookmarkEnd w:id="364"/>
      <w:bookmarkStart w:id="365" w:name="_Toc184313287"/>
      <w:bookmarkEnd w:id="365"/>
      <w:bookmarkStart w:id="366" w:name="_Toc184312116"/>
      <w:bookmarkEnd w:id="366"/>
      <w:bookmarkStart w:id="367" w:name="_Toc184314425"/>
      <w:bookmarkEnd w:id="367"/>
      <w:bookmarkStart w:id="368" w:name="_Toc184310283"/>
      <w:bookmarkEnd w:id="368"/>
      <w:bookmarkStart w:id="369" w:name="_Toc184314477"/>
      <w:bookmarkEnd w:id="369"/>
      <w:bookmarkStart w:id="370" w:name="_Toc184313253"/>
      <w:bookmarkEnd w:id="370"/>
      <w:bookmarkStart w:id="371" w:name="_Toc184314470"/>
      <w:bookmarkEnd w:id="371"/>
      <w:bookmarkStart w:id="372" w:name="_Toc184310290"/>
      <w:bookmarkEnd w:id="372"/>
      <w:bookmarkStart w:id="373" w:name="_Toc184312107"/>
      <w:bookmarkEnd w:id="373"/>
      <w:bookmarkStart w:id="374" w:name="_Toc184312132"/>
      <w:bookmarkEnd w:id="374"/>
      <w:bookmarkStart w:id="375" w:name="_Toc184308049"/>
      <w:bookmarkEnd w:id="375"/>
      <w:bookmarkStart w:id="376" w:name="_Toc184308046"/>
      <w:bookmarkEnd w:id="376"/>
      <w:bookmarkStart w:id="377" w:name="_Toc184314452"/>
      <w:bookmarkEnd w:id="377"/>
      <w:bookmarkStart w:id="378" w:name="_Toc184314461"/>
      <w:bookmarkEnd w:id="378"/>
      <w:bookmarkStart w:id="379" w:name="_Toc184312135"/>
      <w:bookmarkEnd w:id="379"/>
      <w:bookmarkStart w:id="380" w:name="_Toc184310310"/>
      <w:bookmarkEnd w:id="380"/>
      <w:bookmarkStart w:id="381" w:name="_Toc184314479"/>
      <w:bookmarkEnd w:id="381"/>
      <w:bookmarkStart w:id="382" w:name="_Toc184308081"/>
      <w:bookmarkEnd w:id="382"/>
      <w:bookmarkStart w:id="383" w:name="_Toc184308045"/>
      <w:bookmarkEnd w:id="383"/>
      <w:bookmarkStart w:id="384" w:name="_Toc184308100"/>
      <w:bookmarkEnd w:id="384"/>
      <w:bookmarkStart w:id="385" w:name="_Toc184308093"/>
      <w:bookmarkEnd w:id="385"/>
      <w:bookmarkStart w:id="386" w:name="_Toc184314451"/>
      <w:bookmarkEnd w:id="386"/>
      <w:bookmarkStart w:id="387" w:name="_Toc184308083"/>
      <w:bookmarkEnd w:id="387"/>
      <w:bookmarkStart w:id="388" w:name="_Toc184312082"/>
      <w:bookmarkEnd w:id="388"/>
      <w:bookmarkStart w:id="389" w:name="_Toc184313309"/>
      <w:bookmarkEnd w:id="389"/>
      <w:bookmarkStart w:id="390" w:name="_Toc184314460"/>
      <w:bookmarkEnd w:id="390"/>
      <w:bookmarkStart w:id="391" w:name="_Toc184308082"/>
      <w:bookmarkEnd w:id="391"/>
      <w:bookmarkStart w:id="392" w:name="_Toc184310315"/>
      <w:bookmarkEnd w:id="392"/>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rPr>
              <w:t>序号</w:t>
            </w:r>
          </w:p>
        </w:tc>
        <w:tc>
          <w:tcPr>
            <w:tcW w:w="3545" w:type="dxa"/>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rPr>
              <w:t>评标标准</w:t>
            </w:r>
          </w:p>
        </w:tc>
        <w:tc>
          <w:tcPr>
            <w:tcW w:w="764" w:type="dxa"/>
            <w:vAlign w:val="center"/>
          </w:tcPr>
          <w:p>
            <w:pPr>
              <w:snapToGrid w:val="0"/>
              <w:spacing w:line="360" w:lineRule="auto"/>
              <w:jc w:val="center"/>
              <w:rPr>
                <w:rFonts w:ascii="宋体" w:hAnsi="宋体" w:cs="仿宋_GB2312"/>
                <w:color w:val="auto"/>
                <w:sz w:val="24"/>
              </w:rPr>
            </w:pPr>
            <w:r>
              <w:rPr>
                <w:rFonts w:hint="eastAsia" w:ascii="宋体" w:hAnsi="宋体" w:cs="仿宋_GB2312"/>
                <w:color w:val="auto"/>
                <w:sz w:val="24"/>
              </w:rPr>
              <w:t>权重</w:t>
            </w:r>
          </w:p>
        </w:tc>
        <w:tc>
          <w:tcPr>
            <w:tcW w:w="1147" w:type="dxa"/>
            <w:vAlign w:val="center"/>
          </w:tcPr>
          <w:p>
            <w:pPr>
              <w:snapToGrid w:val="0"/>
              <w:spacing w:line="360" w:lineRule="auto"/>
              <w:jc w:val="center"/>
              <w:rPr>
                <w:rFonts w:ascii="宋体" w:hAnsi="宋体" w:cs="仿宋_GB2312"/>
                <w:bCs/>
                <w:color w:val="auto"/>
                <w:sz w:val="24"/>
              </w:rPr>
            </w:pPr>
            <w:r>
              <w:rPr>
                <w:rFonts w:hint="eastAsia" w:ascii="宋体" w:hAnsi="宋体" w:cs="仿宋_GB2312"/>
                <w:bCs/>
                <w:color w:val="auto"/>
                <w:sz w:val="24"/>
              </w:rPr>
              <w:t>主观分/客观分属性</w:t>
            </w:r>
          </w:p>
        </w:tc>
        <w:tc>
          <w:tcPr>
            <w:tcW w:w="2150" w:type="dxa"/>
          </w:tcPr>
          <w:p>
            <w:pPr>
              <w:snapToGrid w:val="0"/>
              <w:spacing w:line="360" w:lineRule="auto"/>
              <w:jc w:val="center"/>
              <w:rPr>
                <w:rFonts w:ascii="宋体" w:hAnsi="宋体" w:cs="仿宋_GB2312"/>
                <w:color w:val="auto"/>
                <w:sz w:val="24"/>
              </w:rPr>
            </w:pPr>
            <w:r>
              <w:rPr>
                <w:rFonts w:hint="eastAsia" w:ascii="宋体" w:hAnsi="宋体" w:cs="仿宋_GB2312"/>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宋体" w:hAnsi="宋体" w:cs="宋体"/>
                <w:color w:val="auto"/>
                <w:szCs w:val="21"/>
              </w:rPr>
            </w:pPr>
            <w:r>
              <w:rPr>
                <w:rFonts w:hint="eastAsia" w:ascii="宋体" w:hAnsi="宋体" w:cs="宋体"/>
                <w:color w:val="auto"/>
                <w:szCs w:val="21"/>
              </w:rPr>
              <w:t>1</w:t>
            </w:r>
          </w:p>
        </w:tc>
        <w:tc>
          <w:tcPr>
            <w:tcW w:w="3545" w:type="dxa"/>
            <w:vAlign w:val="center"/>
          </w:tcPr>
          <w:p>
            <w:pPr>
              <w:jc w:val="left"/>
              <w:rPr>
                <w:rFonts w:ascii="宋体" w:hAnsi="宋体" w:cs="宋体"/>
                <w:color w:val="auto"/>
                <w:szCs w:val="21"/>
              </w:rPr>
            </w:pPr>
            <w:r>
              <w:rPr>
                <w:rFonts w:hint="eastAsia" w:ascii="宋体" w:hAnsi="宋体" w:cs="宋体"/>
                <w:color w:val="auto"/>
                <w:szCs w:val="21"/>
              </w:rPr>
              <w:t>人员配置情况：20人（含）以下的得4分，20-40人（含）的得7分，40人（不含）以上的得10分。</w:t>
            </w:r>
            <w:r>
              <w:rPr>
                <w:rFonts w:hint="eastAsia" w:ascii="宋体" w:hAnsi="宋体" w:cs="宋体"/>
                <w:b/>
                <w:color w:val="auto"/>
                <w:szCs w:val="21"/>
              </w:rPr>
              <w:t>（投标文件中提供开标前一月或开标当月企业社保证明扫描件</w:t>
            </w:r>
            <w:r>
              <w:rPr>
                <w:rFonts w:hint="eastAsia" w:ascii="宋体" w:hAnsi="宋体" w:cs="宋体"/>
                <w:b/>
                <w:color w:val="auto"/>
                <w:sz w:val="21"/>
                <w:szCs w:val="21"/>
                <w:lang w:eastAsia="zh-CN"/>
              </w:rPr>
              <w:t>或复印件</w:t>
            </w:r>
            <w:r>
              <w:rPr>
                <w:rFonts w:hint="eastAsia" w:ascii="宋体" w:hAnsi="宋体" w:cs="宋体"/>
                <w:b/>
                <w:color w:val="auto"/>
                <w:szCs w:val="21"/>
              </w:rPr>
              <w:t>，否则不得分）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147" w:type="dxa"/>
            <w:vAlign w:val="center"/>
          </w:tcPr>
          <w:p>
            <w:pPr>
              <w:jc w:val="center"/>
              <w:rPr>
                <w:rFonts w:ascii="宋体" w:hAnsi="宋体" w:cs="宋体"/>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889" w:type="dxa"/>
            <w:vAlign w:val="center"/>
          </w:tcPr>
          <w:p>
            <w:pPr>
              <w:jc w:val="center"/>
              <w:rPr>
                <w:rFonts w:ascii="宋体" w:hAnsi="宋体" w:cs="宋体"/>
                <w:color w:val="auto"/>
                <w:szCs w:val="21"/>
              </w:rPr>
            </w:pPr>
            <w:r>
              <w:rPr>
                <w:rFonts w:hint="eastAsia" w:ascii="宋体" w:hAnsi="宋体" w:cs="宋体"/>
                <w:color w:val="auto"/>
                <w:szCs w:val="21"/>
              </w:rPr>
              <w:t>2</w:t>
            </w:r>
          </w:p>
        </w:tc>
        <w:tc>
          <w:tcPr>
            <w:tcW w:w="3545" w:type="dxa"/>
            <w:vAlign w:val="center"/>
          </w:tcPr>
          <w:p>
            <w:pPr>
              <w:jc w:val="left"/>
              <w:rPr>
                <w:rFonts w:ascii="宋体" w:hAnsi="宋体" w:cs="宋体"/>
                <w:color w:val="auto"/>
                <w:szCs w:val="21"/>
              </w:rPr>
            </w:pPr>
            <w:r>
              <w:rPr>
                <w:rFonts w:hint="eastAsia" w:ascii="宋体" w:hAnsi="宋体" w:cs="宋体"/>
                <w:color w:val="auto"/>
                <w:szCs w:val="21"/>
              </w:rPr>
              <w:t>驾驶员：须参加本单位社保，签订用工合同，并有2年以上驾龄，持C1照驾驶员，每人得0.5分，最高得2分；持B1照及以上驾驶员，每人得1分，最高得2分。得分累计最高不超过4分。</w:t>
            </w:r>
            <w:r>
              <w:rPr>
                <w:rFonts w:hint="eastAsia" w:ascii="宋体" w:hAnsi="宋体" w:cs="宋体"/>
                <w:b/>
                <w:color w:val="auto"/>
                <w:szCs w:val="21"/>
              </w:rPr>
              <w:t>（投标文件中提供驾驶证扫描件</w:t>
            </w:r>
            <w:r>
              <w:rPr>
                <w:rFonts w:hint="eastAsia" w:ascii="宋体" w:hAnsi="宋体" w:cs="宋体"/>
                <w:b/>
                <w:color w:val="auto"/>
                <w:sz w:val="21"/>
                <w:szCs w:val="21"/>
                <w:lang w:eastAsia="zh-CN"/>
              </w:rPr>
              <w:t>或复印件</w:t>
            </w:r>
            <w:r>
              <w:rPr>
                <w:rFonts w:hint="eastAsia" w:ascii="宋体" w:hAnsi="宋体" w:cs="宋体"/>
                <w:b/>
                <w:color w:val="auto"/>
                <w:szCs w:val="21"/>
              </w:rPr>
              <w:t>和开标前一月或开标当月单位社保证明扫描件</w:t>
            </w:r>
            <w:r>
              <w:rPr>
                <w:rFonts w:hint="eastAsia" w:ascii="宋体" w:hAnsi="宋体" w:cs="宋体"/>
                <w:b/>
                <w:color w:val="auto"/>
                <w:sz w:val="21"/>
                <w:szCs w:val="21"/>
                <w:lang w:eastAsia="zh-CN"/>
              </w:rPr>
              <w:t>或复印件</w:t>
            </w:r>
            <w:r>
              <w:rPr>
                <w:rFonts w:hint="eastAsia" w:ascii="宋体" w:hAnsi="宋体" w:cs="宋体"/>
                <w:b/>
                <w:color w:val="auto"/>
                <w:szCs w:val="21"/>
              </w:rPr>
              <w:t>，否则不得分）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147" w:type="dxa"/>
            <w:vAlign w:val="center"/>
          </w:tcPr>
          <w:p>
            <w:pPr>
              <w:jc w:val="center"/>
              <w:rPr>
                <w:rFonts w:ascii="宋体" w:hAnsi="宋体" w:cs="宋体"/>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宋体" w:hAnsi="宋体" w:cs="宋体"/>
                <w:color w:val="auto"/>
                <w:szCs w:val="21"/>
              </w:rPr>
            </w:pPr>
            <w:r>
              <w:rPr>
                <w:rFonts w:hint="eastAsia" w:ascii="宋体" w:hAnsi="宋体" w:cs="宋体"/>
                <w:color w:val="auto"/>
                <w:szCs w:val="21"/>
              </w:rPr>
              <w:t>3</w:t>
            </w:r>
          </w:p>
        </w:tc>
        <w:tc>
          <w:tcPr>
            <w:tcW w:w="3545" w:type="dxa"/>
            <w:vAlign w:val="center"/>
          </w:tcPr>
          <w:p>
            <w:pPr>
              <w:jc w:val="left"/>
              <w:rPr>
                <w:rFonts w:ascii="宋体" w:hAnsi="宋体" w:cs="宋体"/>
                <w:color w:val="auto"/>
                <w:szCs w:val="21"/>
              </w:rPr>
            </w:pPr>
            <w:r>
              <w:rPr>
                <w:rFonts w:hint="eastAsia" w:ascii="宋体" w:hAnsi="宋体" w:cs="宋体"/>
                <w:color w:val="auto"/>
                <w:szCs w:val="21"/>
              </w:rPr>
              <w:t>运输能力：自备核定载质量1.25吨及以上的厢式货车每辆得1分，最高得3分；自备核定载质量1.25吨及以上的冷藏车每辆得1.5分，最高得3分。合计不超过6分。车辆行驶证上所有人为该公司或公司法人代表，如车辆在股东名下的，还需提供公司章程。</w:t>
            </w:r>
            <w:r>
              <w:rPr>
                <w:rFonts w:hint="eastAsia" w:ascii="宋体" w:hAnsi="宋体" w:cs="宋体"/>
                <w:b/>
                <w:color w:val="auto"/>
                <w:szCs w:val="21"/>
              </w:rPr>
              <w:t>（投标文件中提供行驶证扫描件</w:t>
            </w:r>
            <w:r>
              <w:rPr>
                <w:rFonts w:hint="eastAsia" w:ascii="宋体" w:hAnsi="宋体" w:cs="宋体"/>
                <w:b/>
                <w:color w:val="auto"/>
                <w:sz w:val="21"/>
                <w:szCs w:val="21"/>
                <w:lang w:eastAsia="zh-CN"/>
              </w:rPr>
              <w:t>或复印件</w:t>
            </w:r>
            <w:r>
              <w:rPr>
                <w:rFonts w:hint="eastAsia" w:ascii="宋体" w:hAnsi="宋体" w:cs="宋体"/>
                <w:b/>
                <w:color w:val="auto"/>
                <w:szCs w:val="21"/>
              </w:rPr>
              <w:t>（如车辆在股东名下的，还需提供公司章程扫描件</w:t>
            </w:r>
            <w:r>
              <w:rPr>
                <w:rFonts w:hint="eastAsia" w:ascii="宋体" w:hAnsi="宋体" w:cs="宋体"/>
                <w:b/>
                <w:color w:val="auto"/>
                <w:sz w:val="21"/>
                <w:szCs w:val="21"/>
                <w:lang w:eastAsia="zh-CN"/>
              </w:rPr>
              <w:t>或复印件</w:t>
            </w:r>
            <w:r>
              <w:rPr>
                <w:rFonts w:hint="eastAsia" w:ascii="宋体" w:hAnsi="宋体" w:cs="宋体"/>
                <w:b/>
                <w:color w:val="auto"/>
                <w:szCs w:val="21"/>
              </w:rPr>
              <w:t>），否则不得分）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147" w:type="dxa"/>
            <w:vAlign w:val="center"/>
          </w:tcPr>
          <w:p>
            <w:pPr>
              <w:jc w:val="center"/>
              <w:rPr>
                <w:rFonts w:ascii="宋体" w:hAnsi="宋体" w:cs="宋体"/>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宋体" w:hAnsi="宋体" w:cs="宋体"/>
                <w:color w:val="auto"/>
                <w:szCs w:val="21"/>
              </w:rPr>
            </w:pPr>
            <w:r>
              <w:rPr>
                <w:rFonts w:hint="eastAsia" w:ascii="宋体" w:hAnsi="宋体" w:cs="宋体"/>
                <w:color w:val="auto"/>
                <w:szCs w:val="21"/>
              </w:rPr>
              <w:t>4</w:t>
            </w:r>
          </w:p>
        </w:tc>
        <w:tc>
          <w:tcPr>
            <w:tcW w:w="3545" w:type="dxa"/>
            <w:vAlign w:val="center"/>
          </w:tcPr>
          <w:p>
            <w:pPr>
              <w:jc w:val="left"/>
              <w:rPr>
                <w:rFonts w:ascii="宋体" w:hAnsi="宋体" w:cs="宋体"/>
                <w:color w:val="auto"/>
                <w:szCs w:val="21"/>
              </w:rPr>
            </w:pPr>
            <w:r>
              <w:rPr>
                <w:rFonts w:hint="eastAsia" w:ascii="宋体" w:hAnsi="宋体" w:cs="宋体"/>
                <w:color w:val="auto"/>
                <w:szCs w:val="21"/>
              </w:rPr>
              <w:t>认证体系：具有质量管理体系认证证书、环境管理体系认证证书、职业健康安全管理体系认证证书、食品安全管理体系认证证书、HACCP体系认证证书，每项认证得1分,合计不超过5分</w:t>
            </w:r>
            <w:r>
              <w:rPr>
                <w:rFonts w:hint="eastAsia" w:ascii="宋体" w:hAnsi="宋体" w:cs="宋体"/>
                <w:color w:val="auto"/>
                <w:kern w:val="0"/>
                <w:szCs w:val="21"/>
              </w:rPr>
              <w:t>。</w:t>
            </w:r>
            <w:r>
              <w:rPr>
                <w:rFonts w:hint="eastAsia" w:ascii="宋体" w:hAnsi="宋体" w:cs="宋体"/>
                <w:b/>
                <w:color w:val="auto"/>
                <w:szCs w:val="21"/>
              </w:rPr>
              <w:t>(投标文件中提供证书扫描件</w:t>
            </w:r>
            <w:r>
              <w:rPr>
                <w:rFonts w:hint="eastAsia" w:ascii="宋体" w:hAnsi="宋体" w:cs="宋体"/>
                <w:b/>
                <w:color w:val="auto"/>
                <w:sz w:val="21"/>
                <w:szCs w:val="21"/>
                <w:lang w:eastAsia="zh-CN"/>
              </w:rPr>
              <w:t>或复印件</w:t>
            </w:r>
            <w:r>
              <w:rPr>
                <w:rFonts w:hint="eastAsia" w:ascii="宋体" w:hAnsi="宋体" w:cs="宋体"/>
                <w:b/>
                <w:color w:val="auto"/>
                <w:szCs w:val="21"/>
              </w:rPr>
              <w:t>，且证书须在有效期内，否则不得分)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147" w:type="dxa"/>
            <w:vAlign w:val="center"/>
          </w:tcPr>
          <w:p>
            <w:pPr>
              <w:jc w:val="center"/>
              <w:rPr>
                <w:rFonts w:ascii="宋体" w:hAnsi="宋体" w:cs="宋体"/>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宋体" w:hAnsi="宋体" w:cs="宋体"/>
                <w:color w:val="auto"/>
                <w:szCs w:val="21"/>
              </w:rPr>
            </w:pPr>
            <w:r>
              <w:rPr>
                <w:rFonts w:hint="eastAsia" w:ascii="宋体" w:hAnsi="宋体" w:cs="宋体"/>
                <w:color w:val="auto"/>
                <w:szCs w:val="21"/>
              </w:rPr>
              <w:t>5</w:t>
            </w:r>
          </w:p>
        </w:tc>
        <w:tc>
          <w:tcPr>
            <w:tcW w:w="3545" w:type="dxa"/>
            <w:vAlign w:val="center"/>
          </w:tcPr>
          <w:p>
            <w:pPr>
              <w:jc w:val="left"/>
              <w:rPr>
                <w:rFonts w:ascii="宋体" w:hAnsi="宋体" w:cs="宋体"/>
                <w:color w:val="auto"/>
                <w:szCs w:val="21"/>
              </w:rPr>
            </w:pPr>
            <w:r>
              <w:rPr>
                <w:rFonts w:hint="eastAsia" w:ascii="宋体" w:hAnsi="宋体" w:cs="宋体"/>
                <w:color w:val="auto"/>
                <w:szCs w:val="21"/>
              </w:rPr>
              <w:t>所供货物的进货渠道，供应物品的追溯及索证。需提供投标截止时间前有效的上游供应商代理授权书或供货合同，一份得1分，最高得4分。</w:t>
            </w:r>
            <w:r>
              <w:rPr>
                <w:rFonts w:hint="eastAsia" w:ascii="宋体" w:hAnsi="宋体" w:cs="宋体"/>
                <w:b/>
                <w:color w:val="auto"/>
                <w:szCs w:val="21"/>
              </w:rPr>
              <w:t>(</w:t>
            </w:r>
            <w:r>
              <w:rPr>
                <w:rFonts w:hint="eastAsia" w:ascii="宋体" w:hAnsi="宋体" w:cs="宋体"/>
                <w:b/>
                <w:color w:val="auto"/>
                <w:szCs w:val="21"/>
                <w:lang w:val="en-US" w:eastAsia="zh-CN"/>
              </w:rPr>
              <w:t>投标文件中提供</w:t>
            </w:r>
            <w:r>
              <w:rPr>
                <w:rFonts w:hint="eastAsia" w:ascii="宋体" w:hAnsi="宋体" w:cs="宋体"/>
                <w:b/>
                <w:color w:val="auto"/>
                <w:szCs w:val="21"/>
              </w:rPr>
              <w:t>上游供应商代理授权书或供货合同原件扫描件</w:t>
            </w:r>
            <w:r>
              <w:rPr>
                <w:rFonts w:hint="eastAsia" w:ascii="宋体" w:hAnsi="宋体" w:cs="宋体"/>
                <w:b/>
                <w:color w:val="auto"/>
                <w:sz w:val="21"/>
                <w:szCs w:val="21"/>
                <w:lang w:eastAsia="zh-CN"/>
              </w:rPr>
              <w:t>或复印件</w:t>
            </w:r>
            <w:r>
              <w:rPr>
                <w:rFonts w:hint="eastAsia" w:ascii="宋体" w:hAnsi="宋体" w:cs="宋体"/>
                <w:b/>
                <w:color w:val="auto"/>
                <w:szCs w:val="21"/>
              </w:rPr>
              <w:t>，否则不得分。)</w:t>
            </w:r>
          </w:p>
        </w:tc>
        <w:tc>
          <w:tcPr>
            <w:tcW w:w="764" w:type="dxa"/>
            <w:vAlign w:val="center"/>
          </w:tcPr>
          <w:p>
            <w:pPr>
              <w:jc w:val="left"/>
              <w:rPr>
                <w:rFonts w:ascii="宋体" w:hAnsi="宋体" w:cs="宋体"/>
                <w:color w:val="auto"/>
                <w:szCs w:val="21"/>
              </w:rPr>
            </w:pPr>
            <w:r>
              <w:rPr>
                <w:rFonts w:hint="eastAsia" w:ascii="宋体" w:hAnsi="宋体" w:cs="宋体"/>
                <w:color w:val="auto"/>
                <w:szCs w:val="21"/>
              </w:rPr>
              <w:t>4</w:t>
            </w:r>
          </w:p>
        </w:tc>
        <w:tc>
          <w:tcPr>
            <w:tcW w:w="1147" w:type="dxa"/>
            <w:vAlign w:val="center"/>
          </w:tcPr>
          <w:p>
            <w:pPr>
              <w:jc w:val="center"/>
              <w:rPr>
                <w:rFonts w:ascii="宋体" w:hAnsi="宋体" w:cs="宋体"/>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宋体" w:hAnsi="宋体" w:cs="宋体"/>
                <w:color w:val="auto"/>
                <w:szCs w:val="21"/>
              </w:rPr>
            </w:pPr>
            <w:r>
              <w:rPr>
                <w:rFonts w:hint="eastAsia" w:ascii="宋体" w:hAnsi="宋体" w:cs="宋体"/>
                <w:color w:val="auto"/>
                <w:szCs w:val="21"/>
              </w:rPr>
              <w:t>6</w:t>
            </w:r>
          </w:p>
        </w:tc>
        <w:tc>
          <w:tcPr>
            <w:tcW w:w="3545" w:type="dxa"/>
          </w:tcPr>
          <w:p>
            <w:pPr>
              <w:pStyle w:val="613"/>
              <w:spacing w:before="2"/>
              <w:ind w:left="5" w:right="-15"/>
              <w:rPr>
                <w:rFonts w:ascii="宋体" w:hAnsi="宋体" w:cs="宋体"/>
                <w:color w:val="auto"/>
                <w:spacing w:val="-4"/>
                <w:sz w:val="21"/>
                <w:szCs w:val="21"/>
              </w:rPr>
            </w:pPr>
            <w:r>
              <w:rPr>
                <w:rFonts w:hint="eastAsia" w:ascii="宋体" w:hAnsi="宋体" w:cs="宋体"/>
                <w:color w:val="auto"/>
                <w:spacing w:val="-4"/>
                <w:sz w:val="21"/>
                <w:szCs w:val="21"/>
              </w:rPr>
              <w:t>经营场所情况：</w:t>
            </w:r>
          </w:p>
          <w:p>
            <w:pPr>
              <w:pStyle w:val="613"/>
              <w:numPr>
                <w:ilvl w:val="0"/>
                <w:numId w:val="4"/>
              </w:numPr>
              <w:spacing w:before="2"/>
              <w:ind w:left="5" w:right="-15"/>
              <w:rPr>
                <w:rFonts w:ascii="宋体" w:hAnsi="宋体" w:cs="宋体"/>
                <w:b/>
                <w:color w:val="auto"/>
                <w:sz w:val="21"/>
                <w:szCs w:val="21"/>
                <w:lang w:eastAsia="zh-CN"/>
              </w:rPr>
            </w:pPr>
            <w:r>
              <w:rPr>
                <w:rFonts w:hint="eastAsia" w:ascii="宋体" w:hAnsi="宋体" w:cs="宋体"/>
                <w:color w:val="auto"/>
                <w:spacing w:val="-4"/>
                <w:sz w:val="21"/>
                <w:szCs w:val="21"/>
                <w:lang w:eastAsia="zh-CN"/>
              </w:rPr>
              <w:t>投标人有装卸货物所需要的仓库</w:t>
            </w:r>
            <w:r>
              <w:rPr>
                <w:rFonts w:hint="eastAsia" w:ascii="宋体" w:hAnsi="宋体" w:cs="宋体"/>
                <w:color w:val="auto"/>
                <w:sz w:val="21"/>
                <w:szCs w:val="21"/>
                <w:lang w:eastAsia="zh-CN"/>
              </w:rPr>
              <w:t>（2</w:t>
            </w:r>
            <w:r>
              <w:rPr>
                <w:rFonts w:hint="eastAsia" w:ascii="宋体" w:hAnsi="宋体" w:cs="宋体"/>
                <w:color w:val="auto"/>
                <w:spacing w:val="-30"/>
                <w:sz w:val="21"/>
                <w:szCs w:val="21"/>
                <w:lang w:eastAsia="zh-CN"/>
              </w:rPr>
              <w:t xml:space="preserve"> 分</w:t>
            </w:r>
            <w:r>
              <w:rPr>
                <w:rFonts w:hint="eastAsia" w:ascii="宋体" w:hAnsi="宋体" w:cs="宋体"/>
                <w:color w:val="auto"/>
                <w:spacing w:val="-15"/>
                <w:sz w:val="21"/>
                <w:szCs w:val="21"/>
                <w:lang w:eastAsia="zh-CN"/>
              </w:rPr>
              <w:t>）</w:t>
            </w:r>
            <w:r>
              <w:rPr>
                <w:rFonts w:hint="eastAsia" w:ascii="宋体" w:hAnsi="宋体" w:cs="宋体"/>
                <w:color w:val="auto"/>
                <w:spacing w:val="-4"/>
                <w:sz w:val="21"/>
                <w:szCs w:val="21"/>
                <w:lang w:eastAsia="zh-CN"/>
              </w:rPr>
              <w:t>；有产品储存所需要的冷库的得1分，冷库面积在 10 ㎡（含）以上的再加1分；有产品储存所需要的保鲜库的得1分，保鲜库面积在20 ㎡（含）以上再加1分</w:t>
            </w:r>
            <w:r>
              <w:rPr>
                <w:rFonts w:hint="eastAsia" w:ascii="宋体" w:hAnsi="宋体" w:cs="宋体"/>
                <w:color w:val="auto"/>
                <w:sz w:val="21"/>
                <w:szCs w:val="21"/>
                <w:lang w:eastAsia="zh-CN"/>
              </w:rPr>
              <w:t>；有运输车停放、洗消户外场地（1</w:t>
            </w:r>
            <w:r>
              <w:rPr>
                <w:rFonts w:hint="eastAsia" w:ascii="宋体" w:hAnsi="宋体" w:cs="宋体"/>
                <w:color w:val="auto"/>
                <w:spacing w:val="-30"/>
                <w:sz w:val="21"/>
                <w:szCs w:val="21"/>
                <w:lang w:eastAsia="zh-CN"/>
              </w:rPr>
              <w:t xml:space="preserve"> 分</w:t>
            </w:r>
            <w:r>
              <w:rPr>
                <w:rFonts w:hint="eastAsia" w:ascii="宋体" w:hAnsi="宋体" w:cs="宋体"/>
                <w:color w:val="auto"/>
                <w:sz w:val="21"/>
                <w:szCs w:val="21"/>
                <w:lang w:eastAsia="zh-CN"/>
              </w:rPr>
              <w:t>）。</w:t>
            </w:r>
            <w:r>
              <w:rPr>
                <w:rFonts w:hint="eastAsia" w:ascii="宋体" w:hAnsi="宋体" w:cs="宋体"/>
                <w:b/>
                <w:color w:val="auto"/>
                <w:sz w:val="21"/>
                <w:szCs w:val="21"/>
                <w:lang w:eastAsia="zh-CN"/>
              </w:rPr>
              <w:t>（</w:t>
            </w:r>
            <w:r>
              <w:rPr>
                <w:rFonts w:hint="eastAsia" w:ascii="宋体" w:hAnsi="宋体" w:cs="宋体"/>
                <w:b/>
                <w:color w:val="auto"/>
                <w:spacing w:val="-6"/>
                <w:sz w:val="21"/>
                <w:szCs w:val="21"/>
                <w:lang w:eastAsia="zh-CN"/>
              </w:rPr>
              <w:t>投标</w:t>
            </w:r>
            <w:r>
              <w:rPr>
                <w:rFonts w:hint="eastAsia" w:ascii="宋体" w:hAnsi="宋体" w:cs="宋体"/>
                <w:b/>
                <w:color w:val="auto"/>
                <w:sz w:val="21"/>
                <w:szCs w:val="21"/>
                <w:lang w:eastAsia="zh-CN"/>
              </w:rPr>
              <w:t>文件中提供房产证原件扫描件加盖公章或租赁协议原件扫描件加盖公章、场地照片的扫描件或复印件加盖公章，如产权证或租赁协议上无</w:t>
            </w:r>
            <w:r>
              <w:rPr>
                <w:rFonts w:hint="eastAsia" w:ascii="宋体" w:hAnsi="宋体" w:cs="宋体"/>
                <w:b/>
                <w:color w:val="auto"/>
                <w:sz w:val="21"/>
                <w:szCs w:val="21"/>
                <w:lang w:val="en-US" w:eastAsia="zh-CN"/>
              </w:rPr>
              <w:t>法</w:t>
            </w:r>
            <w:r>
              <w:rPr>
                <w:rFonts w:hint="eastAsia" w:ascii="宋体" w:hAnsi="宋体" w:cs="宋体"/>
                <w:b/>
                <w:color w:val="auto"/>
                <w:sz w:val="21"/>
                <w:szCs w:val="21"/>
                <w:lang w:eastAsia="zh-CN"/>
              </w:rPr>
              <w:t>体现得分点的，需提供相关证明材料扫描件或复印件，否则不得分）</w:t>
            </w:r>
          </w:p>
          <w:p>
            <w:pPr>
              <w:pStyle w:val="613"/>
              <w:numPr>
                <w:ilvl w:val="0"/>
                <w:numId w:val="4"/>
              </w:numPr>
              <w:spacing w:before="2"/>
              <w:ind w:left="5" w:right="-15"/>
              <w:rPr>
                <w:rFonts w:ascii="宋体" w:hAnsi="宋体" w:cs="宋体"/>
                <w:b/>
                <w:color w:val="auto"/>
                <w:sz w:val="21"/>
                <w:szCs w:val="21"/>
                <w:lang w:eastAsia="zh-CN"/>
              </w:rPr>
            </w:pPr>
            <w:r>
              <w:rPr>
                <w:rFonts w:hint="eastAsia" w:ascii="宋体" w:hAnsi="宋体" w:cs="宋体"/>
                <w:b/>
                <w:color w:val="auto"/>
                <w:sz w:val="21"/>
                <w:szCs w:val="21"/>
                <w:lang w:eastAsia="zh-CN"/>
              </w:rPr>
              <w:t>分拣区域有独立肉类加工间（1分）；独立肉类加工间为恒温间（2分）；独立肉类加工间有单独人员消毒通道（1分）；单独人员消毒通道有风淋室消毒设备(2分）；（</w:t>
            </w:r>
            <w:r>
              <w:rPr>
                <w:rFonts w:hint="eastAsia" w:ascii="宋体" w:hAnsi="宋体" w:cs="宋体"/>
                <w:b/>
                <w:color w:val="auto"/>
                <w:spacing w:val="-6"/>
                <w:sz w:val="21"/>
                <w:szCs w:val="21"/>
                <w:lang w:eastAsia="zh-CN"/>
              </w:rPr>
              <w:t>投标</w:t>
            </w:r>
            <w:r>
              <w:rPr>
                <w:rFonts w:hint="eastAsia" w:ascii="宋体" w:hAnsi="宋体" w:cs="宋体"/>
                <w:b/>
                <w:color w:val="auto"/>
                <w:sz w:val="21"/>
                <w:szCs w:val="21"/>
                <w:lang w:eastAsia="zh-CN"/>
              </w:rPr>
              <w:t>文件中提供场地照片等相关证明材料的扫描件或复印件加盖公章，否则不得分）</w:t>
            </w:r>
          </w:p>
        </w:tc>
        <w:tc>
          <w:tcPr>
            <w:tcW w:w="764" w:type="dxa"/>
          </w:tcPr>
          <w:p>
            <w:pPr>
              <w:pStyle w:val="613"/>
              <w:rPr>
                <w:rFonts w:ascii="宋体" w:hAnsi="宋体" w:cs="宋体"/>
                <w:b/>
                <w:color w:val="auto"/>
                <w:sz w:val="21"/>
                <w:szCs w:val="21"/>
                <w:lang w:eastAsia="zh-CN"/>
              </w:rPr>
            </w:pPr>
          </w:p>
          <w:p>
            <w:pPr>
              <w:pStyle w:val="613"/>
              <w:spacing w:before="3"/>
              <w:rPr>
                <w:rFonts w:ascii="宋体" w:hAnsi="宋体" w:cs="宋体"/>
                <w:b/>
                <w:color w:val="auto"/>
                <w:sz w:val="21"/>
                <w:szCs w:val="21"/>
                <w:lang w:eastAsia="zh-CN"/>
              </w:rPr>
            </w:pPr>
          </w:p>
          <w:p>
            <w:pPr>
              <w:pStyle w:val="613"/>
              <w:ind w:right="11"/>
              <w:jc w:val="center"/>
              <w:rPr>
                <w:rFonts w:ascii="宋体" w:hAnsi="宋体" w:cs="宋体"/>
                <w:color w:val="auto"/>
                <w:sz w:val="21"/>
                <w:szCs w:val="21"/>
                <w:lang w:eastAsia="zh-CN"/>
              </w:rPr>
            </w:pPr>
            <w:r>
              <w:rPr>
                <w:rFonts w:hint="eastAsia" w:ascii="宋体" w:hAnsi="宋体" w:cs="宋体"/>
                <w:color w:val="auto"/>
                <w:sz w:val="21"/>
                <w:szCs w:val="21"/>
                <w:lang w:eastAsia="zh-CN"/>
              </w:rPr>
              <w:t>13</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ascii="宋体" w:hAnsi="宋体" w:cs="宋体"/>
                <w:color w:val="auto"/>
                <w:szCs w:val="21"/>
              </w:rPr>
            </w:pPr>
            <w:r>
              <w:rPr>
                <w:rFonts w:hint="eastAsia" w:ascii="宋体" w:hAnsi="宋体" w:cs="宋体"/>
                <w:color w:val="auto"/>
                <w:szCs w:val="21"/>
              </w:rPr>
              <w:t>7</w:t>
            </w:r>
          </w:p>
        </w:tc>
        <w:tc>
          <w:tcPr>
            <w:tcW w:w="3545" w:type="dxa"/>
            <w:vAlign w:val="center"/>
          </w:tcPr>
          <w:p>
            <w:pPr>
              <w:jc w:val="left"/>
              <w:rPr>
                <w:rFonts w:ascii="宋体" w:hAnsi="宋体" w:cs="宋体"/>
                <w:color w:val="auto"/>
                <w:szCs w:val="21"/>
              </w:rPr>
            </w:pPr>
            <w:r>
              <w:rPr>
                <w:rFonts w:hint="eastAsia" w:ascii="宋体" w:hAnsi="宋体" w:cs="宋体"/>
                <w:color w:val="auto"/>
                <w:szCs w:val="21"/>
              </w:rPr>
              <w:t>类似项目实施业绩一览表：投标人自2017年1月1日（含）以来（以合同签订时间为准）承担过类似项目，每提供一个类似项目得0.2分，满分1分。</w:t>
            </w:r>
            <w:r>
              <w:rPr>
                <w:rFonts w:hint="eastAsia" w:ascii="宋体" w:hAnsi="宋体" w:cs="宋体"/>
                <w:b/>
                <w:bCs/>
                <w:color w:val="auto"/>
                <w:szCs w:val="21"/>
              </w:rPr>
              <w:t>（投标文件中提供合同</w:t>
            </w:r>
            <w:r>
              <w:rPr>
                <w:rFonts w:hint="eastAsia" w:ascii="宋体" w:hAnsi="宋体" w:cs="宋体"/>
                <w:b/>
                <w:color w:val="auto"/>
                <w:szCs w:val="21"/>
              </w:rPr>
              <w:t>扫描件或复印件</w:t>
            </w:r>
            <w:r>
              <w:rPr>
                <w:rFonts w:hint="eastAsia" w:ascii="宋体" w:hAnsi="宋体" w:cs="宋体"/>
                <w:b/>
                <w:bCs/>
                <w:color w:val="auto"/>
                <w:szCs w:val="21"/>
              </w:rPr>
              <w:t>，否则不得分）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315" w:firstLineChars="150"/>
              <w:jc w:val="left"/>
              <w:outlineLvl w:val="0"/>
              <w:rPr>
                <w:rFonts w:ascii="宋体" w:hAnsi="宋体" w:cs="宋体"/>
                <w:color w:val="auto"/>
                <w:szCs w:val="21"/>
              </w:rPr>
            </w:pPr>
            <w:r>
              <w:rPr>
                <w:rFonts w:hint="eastAsia" w:ascii="宋体" w:hAnsi="宋体" w:cs="宋体"/>
                <w:color w:val="auto"/>
                <w:szCs w:val="21"/>
              </w:rPr>
              <w:t>8</w:t>
            </w:r>
          </w:p>
        </w:tc>
        <w:tc>
          <w:tcPr>
            <w:tcW w:w="3545" w:type="dxa"/>
            <w:vAlign w:val="center"/>
          </w:tcPr>
          <w:p>
            <w:pPr>
              <w:rPr>
                <w:rFonts w:ascii="宋体" w:hAnsi="宋体" w:cs="宋体"/>
                <w:color w:val="auto"/>
                <w:szCs w:val="21"/>
              </w:rPr>
            </w:pPr>
            <w:r>
              <w:rPr>
                <w:rFonts w:hint="eastAsia" w:ascii="宋体" w:hAnsi="宋体" w:cs="宋体"/>
                <w:color w:val="auto"/>
                <w:szCs w:val="21"/>
              </w:rPr>
              <w:t>公司管理制度及供货质量控制制度：公司管理制度及供货质量控制制度的健全及合理性。制度与公司实际相符，内容全面而简要，可操作性强等。（表述全面得5分，表述较全面得3分，表述不全面得1分。未提供或完全不符的0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主观分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315" w:firstLineChars="150"/>
              <w:jc w:val="left"/>
              <w:outlineLvl w:val="0"/>
              <w:rPr>
                <w:rFonts w:ascii="宋体" w:hAnsi="宋体" w:cs="宋体"/>
                <w:color w:val="auto"/>
                <w:szCs w:val="21"/>
              </w:rPr>
            </w:pPr>
            <w:r>
              <w:rPr>
                <w:rFonts w:hint="eastAsia" w:ascii="宋体" w:hAnsi="宋体" w:cs="宋体"/>
                <w:color w:val="auto"/>
                <w:szCs w:val="21"/>
              </w:rPr>
              <w:t>9</w:t>
            </w:r>
          </w:p>
        </w:tc>
        <w:tc>
          <w:tcPr>
            <w:tcW w:w="3545" w:type="dxa"/>
            <w:vAlign w:val="center"/>
          </w:tcPr>
          <w:p>
            <w:pPr>
              <w:outlineLvl w:val="0"/>
              <w:rPr>
                <w:rFonts w:ascii="宋体" w:hAnsi="宋体" w:cs="宋体"/>
                <w:color w:val="auto"/>
                <w:szCs w:val="21"/>
              </w:rPr>
            </w:pPr>
            <w:r>
              <w:rPr>
                <w:rFonts w:hint="eastAsia" w:ascii="宋体" w:hAnsi="宋体" w:cs="宋体"/>
                <w:color w:val="auto"/>
                <w:szCs w:val="21"/>
              </w:rPr>
              <w:t>配送实施方案：包括总体部署（表述全面得5分，表述较全面得3分，表述不全面得1分。未提供或完全不符的0分。）、供货措施（表述全面得5分，表述较全面得3分，表述不全面得1分。未提供或完全不符的0分。）、运输、现场管理计划（表述全面得5分，表述较全面得3分，表述不全面得1分。未提供或完全不符的0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15</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主观分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315" w:firstLineChars="150"/>
              <w:jc w:val="left"/>
              <w:outlineLvl w:val="0"/>
              <w:rPr>
                <w:rFonts w:ascii="宋体" w:hAnsi="宋体" w:cs="宋体"/>
                <w:color w:val="auto"/>
                <w:szCs w:val="21"/>
              </w:rPr>
            </w:pPr>
            <w:r>
              <w:rPr>
                <w:rFonts w:hint="eastAsia" w:ascii="宋体" w:hAnsi="宋体" w:cs="宋体"/>
                <w:color w:val="auto"/>
                <w:szCs w:val="21"/>
              </w:rPr>
              <w:t>10</w:t>
            </w:r>
          </w:p>
        </w:tc>
        <w:tc>
          <w:tcPr>
            <w:tcW w:w="3545" w:type="dxa"/>
            <w:vAlign w:val="center"/>
          </w:tcPr>
          <w:p>
            <w:pPr>
              <w:outlineLvl w:val="0"/>
              <w:rPr>
                <w:rFonts w:ascii="宋体" w:hAnsi="宋体" w:cs="宋体"/>
                <w:color w:val="auto"/>
                <w:szCs w:val="21"/>
              </w:rPr>
            </w:pPr>
            <w:r>
              <w:rPr>
                <w:rFonts w:hint="eastAsia" w:ascii="宋体" w:hAnsi="宋体" w:cs="宋体"/>
                <w:color w:val="auto"/>
                <w:szCs w:val="21"/>
              </w:rPr>
              <w:t>服务能力：根据投标人提供的服务经营网点及响应情况进行打分。（承诺能在半小时内到达服务地点的，且切实可行的，得5分；承诺能在1小时内到达服务地点的，且切实可行的，得3分；承诺能在2小时内到达服务地点的，且切实可行的，得1分；其余不得分。）</w:t>
            </w:r>
          </w:p>
          <w:p>
            <w:pPr>
              <w:outlineLvl w:val="0"/>
              <w:rPr>
                <w:rFonts w:ascii="宋体" w:hAnsi="宋体" w:cs="宋体"/>
                <w:color w:val="auto"/>
                <w:szCs w:val="21"/>
              </w:rPr>
            </w:pPr>
            <w:r>
              <w:rPr>
                <w:rFonts w:hint="eastAsia" w:ascii="宋体" w:hAnsi="宋体" w:cs="宋体"/>
                <w:color w:val="auto"/>
                <w:szCs w:val="21"/>
              </w:rPr>
              <w:t>（投标文件中提供服务经营网点相关证明材料的扫描件</w:t>
            </w:r>
            <w:r>
              <w:rPr>
                <w:rFonts w:hint="eastAsia" w:ascii="宋体" w:hAnsi="宋体" w:cs="宋体"/>
                <w:color w:val="auto"/>
                <w:szCs w:val="21"/>
                <w:lang w:val="en-US" w:eastAsia="zh-CN"/>
              </w:rPr>
              <w:t>或复印件</w:t>
            </w:r>
            <w:r>
              <w:rPr>
                <w:rFonts w:hint="eastAsia" w:ascii="宋体" w:hAnsi="宋体" w:cs="宋体"/>
                <w:color w:val="auto"/>
                <w:szCs w:val="21"/>
              </w:rPr>
              <w:t>加盖公章及承诺书（格式自拟），否则不得分。）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315" w:firstLineChars="150"/>
              <w:jc w:val="left"/>
              <w:outlineLvl w:val="0"/>
              <w:rPr>
                <w:rFonts w:ascii="宋体" w:hAnsi="宋体" w:cs="宋体"/>
                <w:color w:val="auto"/>
                <w:szCs w:val="21"/>
              </w:rPr>
            </w:pPr>
            <w:r>
              <w:rPr>
                <w:rFonts w:hint="eastAsia" w:ascii="宋体" w:hAnsi="宋体" w:cs="宋体"/>
                <w:color w:val="auto"/>
                <w:szCs w:val="21"/>
              </w:rPr>
              <w:t>11</w:t>
            </w:r>
          </w:p>
        </w:tc>
        <w:tc>
          <w:tcPr>
            <w:tcW w:w="3545" w:type="dxa"/>
            <w:vAlign w:val="center"/>
          </w:tcPr>
          <w:p>
            <w:pPr>
              <w:outlineLvl w:val="0"/>
              <w:rPr>
                <w:rFonts w:ascii="宋体" w:hAnsi="宋体" w:cs="宋体"/>
                <w:color w:val="auto"/>
                <w:szCs w:val="21"/>
              </w:rPr>
            </w:pPr>
            <w:r>
              <w:rPr>
                <w:rFonts w:hint="eastAsia" w:ascii="宋体" w:hAnsi="宋体" w:cs="宋体"/>
                <w:color w:val="auto"/>
                <w:szCs w:val="21"/>
              </w:rPr>
              <w:t>相关措施：退货承诺（表述全面得5分，表述较全面得3分，表述不全面得1分。未提供或完全不符的0分。）；应急实施方案（表述全面得5分，表述较全面得3分，表述不全面得1分。未提供或完全不符的0分。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主观分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315" w:firstLineChars="150"/>
              <w:jc w:val="left"/>
              <w:outlineLvl w:val="0"/>
              <w:rPr>
                <w:rFonts w:ascii="宋体" w:hAnsi="宋体" w:cs="宋体"/>
                <w:color w:val="auto"/>
                <w:szCs w:val="21"/>
              </w:rPr>
            </w:pPr>
            <w:r>
              <w:rPr>
                <w:rFonts w:hint="eastAsia" w:ascii="宋体" w:hAnsi="宋体" w:cs="宋体"/>
                <w:color w:val="auto"/>
                <w:szCs w:val="21"/>
              </w:rPr>
              <w:t>12</w:t>
            </w:r>
          </w:p>
        </w:tc>
        <w:tc>
          <w:tcPr>
            <w:tcW w:w="3545" w:type="dxa"/>
            <w:vAlign w:val="center"/>
          </w:tcPr>
          <w:p>
            <w:pPr>
              <w:outlineLvl w:val="0"/>
              <w:rPr>
                <w:rFonts w:ascii="宋体" w:hAnsi="宋体" w:cs="宋体"/>
                <w:color w:val="auto"/>
                <w:szCs w:val="21"/>
              </w:rPr>
            </w:pPr>
            <w:r>
              <w:rPr>
                <w:rFonts w:hint="eastAsia" w:ascii="宋体" w:hAnsi="宋体" w:cs="宋体"/>
                <w:color w:val="auto"/>
                <w:szCs w:val="21"/>
              </w:rPr>
              <w:t>优惠承诺及合理化建议，评标委员会根据各投标人提供的优惠承诺（表述全面得4分，表述较全面得2分，表述不全面得1分。未提供或完全不符的0分。）；合理化建议（表述全面得4分，表述较全面得2分，表述不全面得1分。未提供或完全不符的0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8</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主观分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315" w:firstLineChars="150"/>
              <w:jc w:val="left"/>
              <w:outlineLvl w:val="0"/>
              <w:rPr>
                <w:rFonts w:ascii="宋体" w:hAnsi="宋体" w:cs="宋体"/>
                <w:color w:val="auto"/>
                <w:szCs w:val="21"/>
              </w:rPr>
            </w:pPr>
            <w:r>
              <w:rPr>
                <w:rFonts w:hint="eastAsia" w:ascii="宋体" w:hAnsi="宋体" w:cs="宋体"/>
                <w:color w:val="auto"/>
                <w:szCs w:val="21"/>
              </w:rPr>
              <w:t>13</w:t>
            </w:r>
          </w:p>
        </w:tc>
        <w:tc>
          <w:tcPr>
            <w:tcW w:w="3545" w:type="dxa"/>
            <w:vAlign w:val="center"/>
          </w:tcPr>
          <w:p>
            <w:pPr>
              <w:pStyle w:val="3"/>
              <w:spacing w:line="240" w:lineRule="auto"/>
              <w:ind w:firstLine="0" w:firstLineChars="0"/>
              <w:rPr>
                <w:rFonts w:cs="宋体"/>
                <w:color w:val="auto"/>
                <w:sz w:val="21"/>
                <w:szCs w:val="21"/>
              </w:rPr>
            </w:pPr>
            <w:r>
              <w:rPr>
                <w:rFonts w:hint="eastAsia" w:cs="宋体"/>
                <w:color w:val="auto"/>
                <w:szCs w:val="21"/>
              </w:rPr>
              <w:t>其他增值服务：承诺在服务期内落实人员辅助处理菜叶、菜根等帮厨服务，且费用包含在投标报价中，不再另行收取的得2分；承诺在服务期内提供一辆核定载质量1.25吨及以上厢式货车接受街道的随时派遣和调度，且费用包含在投标报价中，不再另行收取的得2分。</w:t>
            </w:r>
            <w:r>
              <w:rPr>
                <w:rFonts w:hint="eastAsia" w:cs="宋体"/>
                <w:color w:val="auto"/>
                <w:sz w:val="21"/>
                <w:szCs w:val="21"/>
              </w:rPr>
              <w:t>（投标文件中提供相关承诺书（格式自拟），否则不得分。）</w:t>
            </w:r>
          </w:p>
        </w:tc>
        <w:tc>
          <w:tcPr>
            <w:tcW w:w="764"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147" w:type="dxa"/>
            <w:vAlign w:val="center"/>
          </w:tcPr>
          <w:p>
            <w:pPr>
              <w:jc w:val="center"/>
              <w:rPr>
                <w:rFonts w:ascii="宋体" w:hAnsi="宋体" w:cs="宋体"/>
                <w:bCs/>
                <w:color w:val="auto"/>
                <w:szCs w:val="21"/>
              </w:rPr>
            </w:pPr>
            <w:r>
              <w:rPr>
                <w:rFonts w:hint="eastAsia" w:ascii="宋体" w:hAnsi="宋体" w:cs="宋体"/>
                <w:bCs/>
                <w:color w:val="auto"/>
                <w:szCs w:val="21"/>
              </w:rPr>
              <w:t>客观分</w:t>
            </w:r>
          </w:p>
        </w:tc>
        <w:tc>
          <w:tcPr>
            <w:tcW w:w="2150" w:type="dxa"/>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5" w:type="dxa"/>
            <w:gridSpan w:val="5"/>
            <w:vAlign w:val="center"/>
          </w:tcPr>
          <w:p>
            <w:pPr>
              <w:widowControl/>
              <w:shd w:val="clear" w:color="auto" w:fill="FFFFFF"/>
              <w:adjustRightInd/>
              <w:spacing w:after="225"/>
              <w:jc w:val="left"/>
              <w:rPr>
                <w:rFonts w:ascii="宋体" w:hAnsi="宋体" w:cs="宋体"/>
                <w:color w:val="auto"/>
                <w:szCs w:val="21"/>
              </w:rPr>
            </w:pPr>
            <w:r>
              <w:rPr>
                <w:rFonts w:hint="eastAsia" w:ascii="宋体" w:hAnsi="宋体" w:cs="宋体"/>
                <w:color w:val="auto"/>
                <w:szCs w:val="21"/>
              </w:rPr>
              <w:t>有效投标报价的最低价作为评标基准价，其最低报价为满分；按［投标报价得分=（评标基准价/投标报价）*权重］的计算公式计算。</w:t>
            </w:r>
          </w:p>
          <w:p>
            <w:pPr>
              <w:widowControl/>
              <w:shd w:val="clear" w:color="auto" w:fill="FFFFFF"/>
              <w:adjustRightInd/>
              <w:spacing w:after="225"/>
              <w:jc w:val="left"/>
              <w:rPr>
                <w:rFonts w:ascii="宋体" w:hAnsi="宋体" w:cs="宋体"/>
                <w:color w:val="auto"/>
                <w:szCs w:val="21"/>
              </w:rPr>
            </w:pPr>
            <w:r>
              <w:rPr>
                <w:rFonts w:hint="eastAsia" w:ascii="宋体" w:hAnsi="宋体" w:cs="宋体"/>
                <w:color w:val="auto"/>
                <w:szCs w:val="21"/>
              </w:rPr>
              <w:t>评标过程中，不得去掉报价中的最高报价和最低报价。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210" w:firstLineChars="100"/>
              <w:outlineLvl w:val="0"/>
              <w:rPr>
                <w:rFonts w:ascii="宋体" w:hAnsi="宋体" w:cs="宋体"/>
                <w:color w:val="auto"/>
                <w:szCs w:val="21"/>
              </w:rPr>
            </w:pPr>
            <w:r>
              <w:rPr>
                <w:rFonts w:hint="eastAsia" w:ascii="宋体" w:hAnsi="宋体" w:cs="宋体"/>
                <w:color w:val="auto"/>
                <w:szCs w:val="21"/>
              </w:rPr>
              <w:t>1</w:t>
            </w:r>
          </w:p>
        </w:tc>
        <w:tc>
          <w:tcPr>
            <w:tcW w:w="3545" w:type="dxa"/>
          </w:tcPr>
          <w:p>
            <w:pPr>
              <w:outlineLvl w:val="0"/>
              <w:rPr>
                <w:rFonts w:ascii="宋体" w:hAnsi="宋体" w:cs="宋体"/>
                <w:color w:val="auto"/>
                <w:szCs w:val="21"/>
              </w:rPr>
            </w:pPr>
            <w:r>
              <w:rPr>
                <w:rFonts w:hint="eastAsia" w:ascii="宋体" w:hAnsi="宋体" w:cs="宋体"/>
                <w:color w:val="auto"/>
                <w:szCs w:val="21"/>
              </w:rPr>
              <w:t>肉类、家禽类</w:t>
            </w:r>
          </w:p>
        </w:tc>
        <w:tc>
          <w:tcPr>
            <w:tcW w:w="764" w:type="dxa"/>
          </w:tcPr>
          <w:p>
            <w:pPr>
              <w:outlineLvl w:val="0"/>
              <w:rPr>
                <w:rFonts w:ascii="宋体" w:hAnsi="宋体" w:cs="宋体"/>
                <w:color w:val="auto"/>
                <w:szCs w:val="21"/>
              </w:rPr>
            </w:pPr>
            <w:r>
              <w:rPr>
                <w:rFonts w:hint="eastAsia" w:ascii="宋体" w:hAnsi="宋体" w:cs="宋体"/>
                <w:color w:val="auto"/>
                <w:szCs w:val="21"/>
              </w:rPr>
              <w:t>2</w:t>
            </w:r>
          </w:p>
        </w:tc>
        <w:tc>
          <w:tcPr>
            <w:tcW w:w="1147" w:type="dxa"/>
            <w:vAlign w:val="center"/>
          </w:tcPr>
          <w:p>
            <w:pPr>
              <w:jc w:val="center"/>
              <w:outlineLvl w:val="0"/>
              <w:rPr>
                <w:rFonts w:ascii="宋体" w:hAnsi="宋体" w:cs="宋体"/>
                <w:color w:val="auto"/>
                <w:szCs w:val="21"/>
              </w:rPr>
            </w:pPr>
            <w:r>
              <w:rPr>
                <w:rFonts w:hint="eastAsia" w:ascii="宋体" w:hAnsi="宋体" w:cs="宋体"/>
                <w:color w:val="auto"/>
                <w:szCs w:val="21"/>
              </w:rPr>
              <w:t>/</w:t>
            </w:r>
          </w:p>
        </w:tc>
        <w:tc>
          <w:tcPr>
            <w:tcW w:w="2150" w:type="dxa"/>
            <w:vAlign w:val="center"/>
          </w:tcPr>
          <w:p>
            <w:pPr>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210" w:firstLineChars="100"/>
              <w:outlineLvl w:val="0"/>
              <w:rPr>
                <w:rFonts w:ascii="宋体" w:hAnsi="宋体" w:cs="宋体"/>
                <w:color w:val="auto"/>
                <w:szCs w:val="21"/>
              </w:rPr>
            </w:pPr>
            <w:r>
              <w:rPr>
                <w:rFonts w:hint="eastAsia" w:ascii="宋体" w:hAnsi="宋体" w:cs="宋体"/>
                <w:color w:val="auto"/>
                <w:szCs w:val="21"/>
              </w:rPr>
              <w:t>2</w:t>
            </w:r>
          </w:p>
        </w:tc>
        <w:tc>
          <w:tcPr>
            <w:tcW w:w="3545" w:type="dxa"/>
          </w:tcPr>
          <w:p>
            <w:pPr>
              <w:outlineLvl w:val="0"/>
              <w:rPr>
                <w:rFonts w:ascii="宋体" w:hAnsi="宋体" w:cs="宋体"/>
                <w:color w:val="auto"/>
                <w:szCs w:val="21"/>
              </w:rPr>
            </w:pPr>
            <w:r>
              <w:rPr>
                <w:rFonts w:hint="eastAsia" w:ascii="宋体" w:hAnsi="宋体" w:cs="宋体"/>
                <w:color w:val="auto"/>
                <w:szCs w:val="21"/>
              </w:rPr>
              <w:t>水产类</w:t>
            </w:r>
          </w:p>
        </w:tc>
        <w:tc>
          <w:tcPr>
            <w:tcW w:w="764" w:type="dxa"/>
          </w:tcPr>
          <w:p>
            <w:pPr>
              <w:outlineLvl w:val="0"/>
              <w:rPr>
                <w:rFonts w:ascii="宋体" w:hAnsi="宋体" w:cs="宋体"/>
                <w:color w:val="auto"/>
                <w:szCs w:val="21"/>
              </w:rPr>
            </w:pPr>
            <w:r>
              <w:rPr>
                <w:rFonts w:hint="eastAsia" w:ascii="宋体" w:hAnsi="宋体" w:cs="宋体"/>
                <w:color w:val="auto"/>
                <w:szCs w:val="21"/>
              </w:rPr>
              <w:t>2</w:t>
            </w:r>
          </w:p>
        </w:tc>
        <w:tc>
          <w:tcPr>
            <w:tcW w:w="1147" w:type="dxa"/>
            <w:vAlign w:val="center"/>
          </w:tcPr>
          <w:p>
            <w:pPr>
              <w:jc w:val="center"/>
              <w:outlineLvl w:val="0"/>
              <w:rPr>
                <w:rFonts w:ascii="宋体" w:hAnsi="宋体" w:cs="宋体"/>
                <w:color w:val="auto"/>
                <w:szCs w:val="21"/>
              </w:rPr>
            </w:pPr>
            <w:r>
              <w:rPr>
                <w:rFonts w:hint="eastAsia" w:ascii="宋体" w:hAnsi="宋体" w:cs="宋体"/>
                <w:color w:val="auto"/>
                <w:szCs w:val="21"/>
              </w:rPr>
              <w:t>/</w:t>
            </w:r>
          </w:p>
        </w:tc>
        <w:tc>
          <w:tcPr>
            <w:tcW w:w="2150" w:type="dxa"/>
            <w:vAlign w:val="center"/>
          </w:tcPr>
          <w:p>
            <w:pPr>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210" w:firstLineChars="100"/>
              <w:outlineLvl w:val="0"/>
              <w:rPr>
                <w:rFonts w:ascii="宋体" w:hAnsi="宋体" w:cs="宋体"/>
                <w:color w:val="auto"/>
                <w:szCs w:val="21"/>
              </w:rPr>
            </w:pPr>
            <w:r>
              <w:rPr>
                <w:rFonts w:hint="eastAsia" w:ascii="宋体" w:hAnsi="宋体" w:cs="宋体"/>
                <w:color w:val="auto"/>
                <w:szCs w:val="21"/>
              </w:rPr>
              <w:t>3</w:t>
            </w:r>
          </w:p>
        </w:tc>
        <w:tc>
          <w:tcPr>
            <w:tcW w:w="3545" w:type="dxa"/>
          </w:tcPr>
          <w:p>
            <w:pPr>
              <w:outlineLvl w:val="0"/>
              <w:rPr>
                <w:rFonts w:ascii="宋体" w:hAnsi="宋体" w:cs="宋体"/>
                <w:color w:val="auto"/>
                <w:szCs w:val="21"/>
              </w:rPr>
            </w:pPr>
            <w:r>
              <w:rPr>
                <w:rFonts w:hint="eastAsia" w:ascii="宋体" w:hAnsi="宋体" w:cs="宋体"/>
                <w:color w:val="auto"/>
                <w:szCs w:val="21"/>
              </w:rPr>
              <w:t>果蔬类</w:t>
            </w:r>
          </w:p>
        </w:tc>
        <w:tc>
          <w:tcPr>
            <w:tcW w:w="764" w:type="dxa"/>
          </w:tcPr>
          <w:p>
            <w:pPr>
              <w:outlineLvl w:val="0"/>
              <w:rPr>
                <w:rFonts w:ascii="宋体" w:hAnsi="宋体" w:cs="宋体"/>
                <w:color w:val="auto"/>
                <w:szCs w:val="21"/>
              </w:rPr>
            </w:pPr>
            <w:r>
              <w:rPr>
                <w:rFonts w:hint="eastAsia" w:ascii="宋体" w:hAnsi="宋体" w:cs="宋体"/>
                <w:color w:val="auto"/>
                <w:szCs w:val="21"/>
              </w:rPr>
              <w:t>2</w:t>
            </w:r>
          </w:p>
        </w:tc>
        <w:tc>
          <w:tcPr>
            <w:tcW w:w="1147" w:type="dxa"/>
            <w:vAlign w:val="center"/>
          </w:tcPr>
          <w:p>
            <w:pPr>
              <w:jc w:val="center"/>
              <w:outlineLvl w:val="0"/>
              <w:rPr>
                <w:rFonts w:ascii="宋体" w:hAnsi="宋体" w:cs="宋体"/>
                <w:color w:val="auto"/>
                <w:szCs w:val="21"/>
              </w:rPr>
            </w:pPr>
            <w:r>
              <w:rPr>
                <w:rFonts w:hint="eastAsia" w:ascii="宋体" w:hAnsi="宋体" w:cs="宋体"/>
                <w:color w:val="auto"/>
                <w:szCs w:val="21"/>
              </w:rPr>
              <w:t>/</w:t>
            </w:r>
          </w:p>
        </w:tc>
        <w:tc>
          <w:tcPr>
            <w:tcW w:w="2150" w:type="dxa"/>
            <w:vAlign w:val="center"/>
          </w:tcPr>
          <w:p>
            <w:pPr>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210" w:firstLineChars="100"/>
              <w:outlineLvl w:val="0"/>
              <w:rPr>
                <w:rFonts w:ascii="宋体" w:hAnsi="宋体" w:cs="宋体"/>
                <w:color w:val="auto"/>
                <w:szCs w:val="21"/>
              </w:rPr>
            </w:pPr>
            <w:r>
              <w:rPr>
                <w:rFonts w:hint="eastAsia" w:ascii="宋体" w:hAnsi="宋体" w:cs="宋体"/>
                <w:color w:val="auto"/>
                <w:szCs w:val="21"/>
              </w:rPr>
              <w:t>4</w:t>
            </w:r>
          </w:p>
        </w:tc>
        <w:tc>
          <w:tcPr>
            <w:tcW w:w="3545" w:type="dxa"/>
          </w:tcPr>
          <w:p>
            <w:pPr>
              <w:outlineLvl w:val="0"/>
              <w:rPr>
                <w:rFonts w:ascii="宋体" w:hAnsi="宋体" w:cs="宋体"/>
                <w:color w:val="auto"/>
                <w:szCs w:val="21"/>
              </w:rPr>
            </w:pPr>
            <w:r>
              <w:rPr>
                <w:rFonts w:hint="eastAsia" w:ascii="宋体" w:hAnsi="宋体" w:cs="宋体"/>
                <w:color w:val="auto"/>
                <w:szCs w:val="21"/>
              </w:rPr>
              <w:t>其他类（包括调味品类、干货类、豆制品类、冷冻品类、奶类）</w:t>
            </w:r>
          </w:p>
        </w:tc>
        <w:tc>
          <w:tcPr>
            <w:tcW w:w="764" w:type="dxa"/>
          </w:tcPr>
          <w:p>
            <w:pPr>
              <w:outlineLvl w:val="0"/>
              <w:rPr>
                <w:rFonts w:ascii="宋体" w:hAnsi="宋体" w:cs="宋体"/>
                <w:color w:val="auto"/>
                <w:szCs w:val="21"/>
              </w:rPr>
            </w:pPr>
            <w:r>
              <w:rPr>
                <w:rFonts w:hint="eastAsia" w:ascii="宋体" w:hAnsi="宋体" w:cs="宋体"/>
                <w:color w:val="auto"/>
                <w:szCs w:val="21"/>
              </w:rPr>
              <w:t>2</w:t>
            </w:r>
          </w:p>
        </w:tc>
        <w:tc>
          <w:tcPr>
            <w:tcW w:w="1147" w:type="dxa"/>
            <w:vAlign w:val="center"/>
          </w:tcPr>
          <w:p>
            <w:pPr>
              <w:jc w:val="center"/>
              <w:outlineLvl w:val="0"/>
              <w:rPr>
                <w:rFonts w:ascii="宋体" w:hAnsi="宋体" w:cs="宋体"/>
                <w:color w:val="auto"/>
                <w:szCs w:val="21"/>
              </w:rPr>
            </w:pPr>
            <w:r>
              <w:rPr>
                <w:rFonts w:hint="eastAsia" w:ascii="宋体" w:hAnsi="宋体" w:cs="宋体"/>
                <w:color w:val="auto"/>
                <w:szCs w:val="21"/>
              </w:rPr>
              <w:t>/</w:t>
            </w:r>
          </w:p>
        </w:tc>
        <w:tc>
          <w:tcPr>
            <w:tcW w:w="2150" w:type="dxa"/>
            <w:vAlign w:val="center"/>
          </w:tcPr>
          <w:p>
            <w:pPr>
              <w:jc w:val="center"/>
              <w:outlineLvl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210" w:firstLineChars="100"/>
              <w:outlineLvl w:val="0"/>
              <w:rPr>
                <w:rFonts w:ascii="宋体" w:hAnsi="宋体" w:cs="宋体"/>
                <w:color w:val="auto"/>
                <w:szCs w:val="21"/>
              </w:rPr>
            </w:pPr>
            <w:r>
              <w:rPr>
                <w:rFonts w:hint="eastAsia" w:ascii="宋体" w:hAnsi="宋体" w:cs="宋体"/>
                <w:color w:val="auto"/>
                <w:szCs w:val="21"/>
              </w:rPr>
              <w:t xml:space="preserve">5 </w:t>
            </w:r>
          </w:p>
        </w:tc>
        <w:tc>
          <w:tcPr>
            <w:tcW w:w="3545" w:type="dxa"/>
          </w:tcPr>
          <w:p>
            <w:pPr>
              <w:outlineLvl w:val="0"/>
              <w:rPr>
                <w:rFonts w:ascii="宋体" w:hAnsi="宋体" w:cs="宋体"/>
                <w:color w:val="auto"/>
                <w:szCs w:val="21"/>
              </w:rPr>
            </w:pPr>
            <w:r>
              <w:rPr>
                <w:rFonts w:hint="eastAsia" w:ascii="宋体" w:hAnsi="宋体" w:cs="宋体"/>
                <w:color w:val="auto"/>
                <w:szCs w:val="21"/>
              </w:rPr>
              <w:t>粮油类（包括米、面粉、食用油等）</w:t>
            </w:r>
          </w:p>
        </w:tc>
        <w:tc>
          <w:tcPr>
            <w:tcW w:w="764" w:type="dxa"/>
          </w:tcPr>
          <w:p>
            <w:pPr>
              <w:outlineLvl w:val="0"/>
              <w:rPr>
                <w:rFonts w:ascii="宋体" w:hAnsi="宋体" w:cs="宋体"/>
                <w:color w:val="auto"/>
                <w:szCs w:val="21"/>
              </w:rPr>
            </w:pPr>
            <w:r>
              <w:rPr>
                <w:rFonts w:hint="eastAsia" w:ascii="宋体" w:hAnsi="宋体" w:cs="宋体"/>
                <w:color w:val="auto"/>
                <w:szCs w:val="21"/>
              </w:rPr>
              <w:t>2</w:t>
            </w:r>
          </w:p>
        </w:tc>
        <w:tc>
          <w:tcPr>
            <w:tcW w:w="1147" w:type="dxa"/>
            <w:vAlign w:val="center"/>
          </w:tcPr>
          <w:p>
            <w:pPr>
              <w:jc w:val="center"/>
              <w:outlineLvl w:val="0"/>
              <w:rPr>
                <w:rFonts w:ascii="宋体" w:hAnsi="宋体" w:cs="宋体"/>
                <w:color w:val="auto"/>
                <w:szCs w:val="21"/>
              </w:rPr>
            </w:pPr>
            <w:r>
              <w:rPr>
                <w:rFonts w:hint="eastAsia" w:ascii="宋体" w:hAnsi="宋体" w:cs="宋体"/>
                <w:color w:val="auto"/>
                <w:szCs w:val="21"/>
              </w:rPr>
              <w:t>/</w:t>
            </w:r>
          </w:p>
        </w:tc>
        <w:tc>
          <w:tcPr>
            <w:tcW w:w="2150" w:type="dxa"/>
            <w:vAlign w:val="center"/>
          </w:tcPr>
          <w:p>
            <w:pPr>
              <w:jc w:val="center"/>
              <w:outlineLvl w:val="0"/>
              <w:rPr>
                <w:rFonts w:ascii="宋体" w:hAnsi="宋体" w:cs="宋体"/>
                <w:color w:val="auto"/>
                <w:szCs w:val="21"/>
              </w:rPr>
            </w:pP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w:t>
      </w:r>
      <w:r>
        <w:rPr>
          <w:rFonts w:hint="eastAsia" w:ascii="宋体" w:hAnsi="宋体" w:cs="宋体"/>
          <w:kern w:val="0"/>
          <w:sz w:val="24"/>
        </w:rPr>
        <w:t>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4"/>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4"/>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4"/>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4"/>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4"/>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4"/>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4"/>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废标后，采购代理机构应当将废标理由通知所有投标人。</w:t>
      </w:r>
    </w:p>
    <w:p>
      <w:pPr>
        <w:pStyle w:val="3"/>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3"/>
        <w:snapToGrid w:val="0"/>
        <w:spacing w:line="360" w:lineRule="auto"/>
        <w:rPr>
          <w:rFonts w:cs="宋体"/>
        </w:rPr>
      </w:pPr>
      <w:r>
        <w:rPr>
          <w:rFonts w:hint="eastAsia" w:cs="宋体"/>
        </w:rPr>
        <w:t>7.1未确定中标供应商的，终止本次政府采购活动，重新开展政府采购活动。</w:t>
      </w:r>
    </w:p>
    <w:p>
      <w:pPr>
        <w:pStyle w:val="3"/>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widowControl/>
        <w:adjustRightInd/>
        <w:spacing w:line="240" w:lineRule="auto"/>
        <w:ind w:left="0" w:leftChars="0" w:firstLine="0" w:firstLineChars="0"/>
        <w:jc w:val="left"/>
        <w:outlineLvl w:val="9"/>
        <w:rPr>
          <w:rFonts w:ascii="宋体" w:hAnsi="宋体" w:cs="宋体"/>
          <w:b/>
          <w:sz w:val="36"/>
          <w:szCs w:val="36"/>
        </w:rPr>
      </w:pPr>
      <w:r>
        <w:rPr>
          <w:rFonts w:hint="eastAsia" w:ascii="宋体" w:hAnsi="宋体" w:cs="宋体"/>
          <w:b/>
          <w:sz w:val="36"/>
          <w:szCs w:val="36"/>
          <w:lang w:val="en-US" w:eastAsia="zh-CN"/>
        </w:rPr>
        <w:t xml:space="preserve">      </w:t>
      </w: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4"/>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5"/>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1"/>
        <w:spacing w:before="120" w:line="22" w:lineRule="atLeast"/>
        <w:rPr>
          <w:rFonts w:ascii="宋体" w:hAnsi="宋体" w:eastAsia="宋体" w:cs="宋体"/>
          <w:szCs w:val="24"/>
        </w:rPr>
      </w:pPr>
    </w:p>
    <w:p>
      <w:pPr>
        <w:pStyle w:val="281"/>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19273"/>
      <w:bookmarkStart w:id="396" w:name="_Toc28855"/>
      <w:bookmarkStart w:id="397" w:name="_Toc20421"/>
      <w:bookmarkStart w:id="398" w:name="_Toc15367"/>
      <w:bookmarkStart w:id="399" w:name="_Toc229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22185"/>
      <w:bookmarkStart w:id="401" w:name="_Toc2918"/>
      <w:bookmarkStart w:id="402" w:name="_Toc6773"/>
      <w:bookmarkStart w:id="403" w:name="_Toc18585"/>
      <w:bookmarkStart w:id="404" w:name="_Toc6311"/>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16"/>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21124"/>
      <w:bookmarkStart w:id="406" w:name="_Toc1386"/>
      <w:bookmarkStart w:id="407" w:name="_Toc4929"/>
      <w:bookmarkStart w:id="408" w:name="_Toc13918"/>
      <w:bookmarkStart w:id="409" w:name="_Toc5635"/>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560" w:lineRule="exact"/>
              <w:jc w:val="center"/>
              <w:rPr>
                <w:rFonts w:hAnsi="宋体"/>
                <w:sz w:val="24"/>
                <w:szCs w:val="24"/>
              </w:rPr>
            </w:pPr>
            <w:r>
              <w:rPr>
                <w:rFonts w:hAnsi="宋体"/>
                <w:sz w:val="24"/>
                <w:szCs w:val="24"/>
              </w:rPr>
              <w:t>序号</w:t>
            </w:r>
          </w:p>
        </w:tc>
        <w:tc>
          <w:tcPr>
            <w:tcW w:w="3402" w:type="dxa"/>
            <w:vAlign w:val="center"/>
          </w:tcPr>
          <w:p>
            <w:pPr>
              <w:pStyle w:val="104"/>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4"/>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560" w:lineRule="exact"/>
              <w:ind w:firstLine="200"/>
              <w:jc w:val="center"/>
              <w:rPr>
                <w:rFonts w:hAnsi="宋体"/>
                <w:sz w:val="24"/>
                <w:szCs w:val="24"/>
              </w:rPr>
            </w:pPr>
          </w:p>
        </w:tc>
        <w:tc>
          <w:tcPr>
            <w:tcW w:w="3402" w:type="dxa"/>
            <w:vAlign w:val="center"/>
          </w:tcPr>
          <w:p>
            <w:pPr>
              <w:pStyle w:val="104"/>
              <w:spacing w:line="560" w:lineRule="exact"/>
              <w:ind w:firstLine="200"/>
              <w:jc w:val="center"/>
              <w:rPr>
                <w:rFonts w:hAnsi="宋体"/>
                <w:sz w:val="24"/>
                <w:szCs w:val="24"/>
              </w:rPr>
            </w:pPr>
          </w:p>
        </w:tc>
        <w:tc>
          <w:tcPr>
            <w:tcW w:w="2552" w:type="dxa"/>
            <w:vAlign w:val="center"/>
          </w:tcPr>
          <w:p>
            <w:pPr>
              <w:pStyle w:val="104"/>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560" w:lineRule="exact"/>
              <w:ind w:firstLine="200"/>
              <w:jc w:val="center"/>
              <w:rPr>
                <w:rFonts w:hAnsi="宋体"/>
                <w:sz w:val="24"/>
                <w:szCs w:val="24"/>
              </w:rPr>
            </w:pPr>
          </w:p>
        </w:tc>
        <w:tc>
          <w:tcPr>
            <w:tcW w:w="3402" w:type="dxa"/>
            <w:vAlign w:val="center"/>
          </w:tcPr>
          <w:p>
            <w:pPr>
              <w:pStyle w:val="104"/>
              <w:spacing w:line="560" w:lineRule="exact"/>
              <w:ind w:firstLine="200"/>
              <w:jc w:val="center"/>
              <w:rPr>
                <w:rFonts w:hAnsi="宋体"/>
                <w:sz w:val="24"/>
                <w:szCs w:val="24"/>
              </w:rPr>
            </w:pPr>
          </w:p>
        </w:tc>
        <w:tc>
          <w:tcPr>
            <w:tcW w:w="2552" w:type="dxa"/>
            <w:vAlign w:val="center"/>
          </w:tcPr>
          <w:p>
            <w:pPr>
              <w:pStyle w:val="104"/>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560" w:lineRule="exact"/>
              <w:ind w:firstLine="200"/>
              <w:jc w:val="center"/>
              <w:rPr>
                <w:rFonts w:hAnsi="宋体"/>
                <w:sz w:val="24"/>
                <w:szCs w:val="24"/>
              </w:rPr>
            </w:pPr>
          </w:p>
        </w:tc>
        <w:tc>
          <w:tcPr>
            <w:tcW w:w="3402" w:type="dxa"/>
            <w:vAlign w:val="center"/>
          </w:tcPr>
          <w:p>
            <w:pPr>
              <w:pStyle w:val="104"/>
              <w:spacing w:line="560" w:lineRule="exact"/>
              <w:ind w:firstLine="200"/>
              <w:jc w:val="center"/>
              <w:rPr>
                <w:rFonts w:hAnsi="宋体"/>
                <w:sz w:val="24"/>
                <w:szCs w:val="24"/>
              </w:rPr>
            </w:pPr>
          </w:p>
        </w:tc>
        <w:tc>
          <w:tcPr>
            <w:tcW w:w="2552" w:type="dxa"/>
            <w:vAlign w:val="center"/>
          </w:tcPr>
          <w:p>
            <w:pPr>
              <w:pStyle w:val="104"/>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4"/>
              <w:spacing w:line="560" w:lineRule="exact"/>
              <w:ind w:firstLine="200"/>
              <w:jc w:val="center"/>
              <w:rPr>
                <w:rFonts w:hAnsi="宋体"/>
                <w:sz w:val="24"/>
                <w:szCs w:val="24"/>
              </w:rPr>
            </w:pPr>
          </w:p>
        </w:tc>
        <w:tc>
          <w:tcPr>
            <w:tcW w:w="3402" w:type="dxa"/>
            <w:vAlign w:val="center"/>
          </w:tcPr>
          <w:p>
            <w:pPr>
              <w:pStyle w:val="104"/>
              <w:spacing w:line="560" w:lineRule="exact"/>
              <w:ind w:firstLine="200"/>
              <w:jc w:val="center"/>
              <w:rPr>
                <w:rFonts w:hAnsi="宋体"/>
                <w:sz w:val="24"/>
                <w:szCs w:val="24"/>
              </w:rPr>
            </w:pPr>
          </w:p>
        </w:tc>
        <w:tc>
          <w:tcPr>
            <w:tcW w:w="2552" w:type="dxa"/>
            <w:vAlign w:val="center"/>
          </w:tcPr>
          <w:p>
            <w:pPr>
              <w:pStyle w:val="104"/>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4"/>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4"/>
              <w:spacing w:line="560" w:lineRule="exact"/>
              <w:ind w:firstLine="200"/>
              <w:jc w:val="center"/>
              <w:rPr>
                <w:rFonts w:hAnsi="宋体"/>
                <w:sz w:val="24"/>
                <w:szCs w:val="24"/>
              </w:rPr>
            </w:pPr>
          </w:p>
        </w:tc>
      </w:tr>
    </w:tbl>
    <w:p>
      <w:pPr>
        <w:spacing w:line="560" w:lineRule="exact"/>
        <w:ind w:firstLine="480" w:firstLineChars="200"/>
        <w:rPr>
          <w:rFonts w:ascii="宋体" w:hAnsi="宋体"/>
          <w:sz w:val="24"/>
          <w:highlight w:val="none"/>
        </w:rPr>
      </w:pPr>
      <w:bookmarkStart w:id="410" w:name="_Toc14993"/>
      <w:bookmarkStart w:id="411" w:name="_Toc26916"/>
      <w:bookmarkStart w:id="412" w:name="_Toc30158"/>
      <w:bookmarkStart w:id="413" w:name="_Toc30506"/>
      <w:bookmarkStart w:id="414" w:name="_Toc3654"/>
      <w:r>
        <w:rPr>
          <w:rFonts w:hint="eastAsia" w:ascii="宋体" w:hAnsi="宋体"/>
          <w:bCs/>
          <w:sz w:val="24"/>
        </w:rPr>
        <w:t>1.3.</w:t>
      </w:r>
      <w:r>
        <w:rPr>
          <w:rFonts w:hint="eastAsia" w:ascii="宋体" w:hAnsi="宋体"/>
          <w:bCs/>
          <w:sz w:val="24"/>
          <w:highlight w:val="none"/>
        </w:rPr>
        <w:t>2单价合同，本合同单价（含税）标准为：</w:t>
      </w:r>
      <w:r>
        <w:rPr>
          <w:rFonts w:hint="eastAsia" w:ascii="宋体" w:hAnsi="宋体"/>
          <w:bCs/>
          <w:sz w:val="24"/>
          <w:highlight w:val="none"/>
          <w:u w:val="single"/>
        </w:rPr>
        <w:t xml:space="preserve">                   </w:t>
      </w:r>
      <w:r>
        <w:rPr>
          <w:rFonts w:ascii="宋体" w:hAnsi="宋体"/>
          <w:sz w:val="24"/>
          <w:highlight w:val="none"/>
        </w:rPr>
        <w:t>。</w:t>
      </w:r>
      <w:r>
        <w:rPr>
          <w:rFonts w:hint="eastAsia" w:ascii="宋体" w:hAnsi="宋体"/>
          <w:sz w:val="24"/>
          <w:highlight w:val="none"/>
        </w:rPr>
        <w:t>服务工作量的计量方式为：</w:t>
      </w:r>
      <w:r>
        <w:rPr>
          <w:rFonts w:hint="eastAsia" w:ascii="宋体" w:hAnsi="宋体"/>
          <w:bCs/>
          <w:sz w:val="24"/>
          <w:highlight w:val="none"/>
          <w:u w:val="single"/>
        </w:rPr>
        <w:t xml:space="preserve">       </w:t>
      </w:r>
      <w:r>
        <w:rPr>
          <w:rFonts w:hint="eastAsia" w:ascii="宋体" w:hAnsi="宋体" w:cs="宋体"/>
          <w:b/>
          <w:i/>
          <w:sz w:val="24"/>
          <w:highlight w:val="none"/>
          <w:u w:val="single"/>
        </w:rPr>
        <w:t>按月按实计算</w:t>
      </w:r>
      <w:r>
        <w:rPr>
          <w:rFonts w:hint="eastAsia" w:ascii="宋体" w:hAnsi="宋体"/>
          <w:bCs/>
          <w:sz w:val="24"/>
          <w:highlight w:val="none"/>
          <w:u w:val="single"/>
        </w:rPr>
        <w:t xml:space="preserve">     </w:t>
      </w:r>
      <w:r>
        <w:rPr>
          <w:rFonts w:ascii="宋体" w:hAnsi="宋体"/>
          <w:sz w:val="24"/>
          <w:highlight w:val="none"/>
        </w:rPr>
        <w:t>。</w:t>
      </w:r>
      <w:r>
        <w:rPr>
          <w:rFonts w:hint="eastAsia" w:ascii="宋体" w:hAnsi="宋体"/>
          <w:sz w:val="24"/>
          <w:highlight w:val="none"/>
        </w:rPr>
        <w:t>单价合同，在合同履行期间内，根据实际完成的工作量据实结算，但结算总价上限不得超过预算金额或者双方确定的金额￥</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rPr>
        <w:t>元人民币）。</w:t>
      </w:r>
    </w:p>
    <w:p>
      <w:pPr>
        <w:pStyle w:val="5"/>
        <w:rPr>
          <w:highlight w:val="none"/>
          <w:lang w:val="en-US"/>
        </w:rPr>
      </w:pPr>
      <w:r>
        <w:rPr>
          <w:rFonts w:hint="eastAsia" w:ascii="宋体" w:hAnsi="宋体"/>
          <w:sz w:val="24"/>
          <w:highlight w:val="none"/>
          <w:lang w:val="en-US"/>
        </w:rPr>
        <w:t xml:space="preserve">    </w:t>
      </w:r>
      <w:r>
        <w:rPr>
          <w:rFonts w:hint="eastAsia" w:ascii="宋体" w:hAnsi="宋体" w:eastAsia="宋体" w:cs="宋体"/>
          <w:b w:val="0"/>
          <w:bCs w:val="0"/>
          <w:sz w:val="24"/>
          <w:highlight w:val="none"/>
          <w:lang w:val="en-US"/>
        </w:rPr>
        <w:t>1.3.3其他计价方式：</w:t>
      </w:r>
      <w:r>
        <w:rPr>
          <w:rFonts w:hint="eastAsia" w:ascii="宋体" w:hAnsi="宋体" w:eastAsia="宋体" w:cs="宋体"/>
          <w:b w:val="0"/>
          <w:bCs w:val="0"/>
          <w:sz w:val="24"/>
          <w:highlight w:val="none"/>
          <w:u w:val="single"/>
          <w:lang w:val="en-US"/>
        </w:rPr>
        <w:t xml:space="preserve">       无          </w:t>
      </w:r>
      <w:r>
        <w:rPr>
          <w:rFonts w:hint="eastAsia" w:ascii="宋体" w:hAnsi="宋体" w:eastAsia="宋体" w:cs="宋体"/>
          <w:b w:val="0"/>
          <w:bCs w:val="0"/>
          <w:sz w:val="24"/>
          <w:highlight w:val="none"/>
        </w:rPr>
        <w:t>。</w:t>
      </w:r>
    </w:p>
    <w:bookmarkEnd w:id="410"/>
    <w:bookmarkEnd w:id="411"/>
    <w:bookmarkEnd w:id="412"/>
    <w:bookmarkEnd w:id="413"/>
    <w:bookmarkEnd w:id="414"/>
    <w:p>
      <w:pPr>
        <w:pStyle w:val="616"/>
        <w:spacing w:before="0" w:beforeAutospacing="0" w:after="0" w:afterAutospacing="0" w:line="360" w:lineRule="auto"/>
        <w:ind w:firstLine="480"/>
        <w:rPr>
          <w:b/>
          <w:highlight w:val="none"/>
        </w:rPr>
      </w:pPr>
      <w:bookmarkStart w:id="415" w:name="_Toc22618"/>
      <w:bookmarkStart w:id="416" w:name="_Toc10340"/>
      <w:bookmarkStart w:id="417" w:name="_Toc1814"/>
      <w:bookmarkStart w:id="418" w:name="_Toc4760"/>
      <w:bookmarkStart w:id="419" w:name="_Toc3625"/>
      <w:bookmarkStart w:id="420" w:name="_Toc11108"/>
      <w:bookmarkStart w:id="421" w:name="_Toc8772"/>
      <w:bookmarkStart w:id="422" w:name="_Toc31421"/>
      <w:r>
        <w:rPr>
          <w:rFonts w:hint="eastAsia"/>
          <w:b/>
          <w:highlight w:val="none"/>
        </w:rPr>
        <w:t>1.4履约保证金</w:t>
      </w:r>
    </w:p>
    <w:p>
      <w:pPr>
        <w:pStyle w:val="616"/>
        <w:spacing w:before="0" w:beforeAutospacing="0" w:after="0" w:afterAutospacing="0" w:line="360" w:lineRule="auto"/>
        <w:ind w:firstLine="480"/>
        <w:rPr>
          <w:highlight w:val="none"/>
        </w:rPr>
      </w:pPr>
      <w:r>
        <w:rPr>
          <w:rFonts w:hint="eastAsia"/>
          <w:highlight w:val="none"/>
        </w:rPr>
        <w:t>乙方</w:t>
      </w:r>
      <w:r>
        <w:rPr>
          <w:highlight w:val="none"/>
          <w:u w:val="single"/>
        </w:rPr>
        <w:t xml:space="preserve">   </w:t>
      </w:r>
      <w:r>
        <w:rPr>
          <w:rFonts w:hint="eastAsia"/>
          <w:highlight w:val="none"/>
          <w:u w:val="single"/>
        </w:rPr>
        <w:t>是</w:t>
      </w:r>
      <w:r>
        <w:rPr>
          <w:highlight w:val="none"/>
          <w:u w:val="single"/>
        </w:rPr>
        <w:t xml:space="preserve">  </w:t>
      </w:r>
      <w:r>
        <w:rPr>
          <w:rFonts w:hint="eastAsia"/>
          <w:highlight w:val="none"/>
        </w:rPr>
        <w:t>（是</w:t>
      </w:r>
      <w:r>
        <w:rPr>
          <w:rFonts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1  </w:t>
      </w:r>
      <w:r>
        <w:rPr>
          <w:rFonts w:hint="eastAsia" w:ascii="宋体" w:hAnsi="宋体" w:cs="宋体"/>
          <w:kern w:val="0"/>
          <w:sz w:val="24"/>
          <w:highlight w:val="none"/>
        </w:rPr>
        <w:t>%；</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1.4.2履约保证金支付方式</w:t>
      </w:r>
      <w:r>
        <w:rPr>
          <w:rFonts w:hint="eastAsia" w:ascii="宋体" w:hAnsi="宋体" w:cs="宋体"/>
          <w:kern w:val="0"/>
          <w:sz w:val="24"/>
          <w:highlight w:val="none"/>
          <w:lang w:eastAsia="zh-CN"/>
        </w:rPr>
        <w:t>：</w:t>
      </w:r>
      <w:r>
        <w:rPr>
          <w:rFonts w:hint="eastAsia" w:ascii="宋体" w:hAnsi="宋体" w:cs="宋体"/>
          <w:kern w:val="0"/>
          <w:sz w:val="24"/>
          <w:highlight w:val="none"/>
          <w:u w:val="single"/>
        </w:rPr>
        <w:t xml:space="preserve">    转账       </w:t>
      </w:r>
      <w:r>
        <w:rPr>
          <w:rFonts w:hint="eastAsia" w:ascii="宋体" w:hAnsi="宋体" w:cs="宋体"/>
          <w:kern w:val="0"/>
          <w:sz w:val="24"/>
          <w:highlight w:val="none"/>
        </w:rPr>
        <w:t>；</w:t>
      </w:r>
    </w:p>
    <w:p>
      <w:pPr>
        <w:pStyle w:val="5"/>
        <w:tabs>
          <w:tab w:val="left" w:pos="0"/>
        </w:tabs>
        <w:spacing w:line="560" w:lineRule="exact"/>
        <w:ind w:left="0" w:firstLine="480" w:firstLineChars="200"/>
        <w:rPr>
          <w:highlight w:val="none"/>
          <w:lang w:val="en-US"/>
        </w:rPr>
      </w:pPr>
      <w:r>
        <w:rPr>
          <w:rFonts w:hint="eastAsia" w:ascii="宋体" w:hAnsi="宋体" w:eastAsia="宋体" w:cs="宋体"/>
          <w:b w:val="0"/>
          <w:b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1.4.4甲方在</w:t>
      </w:r>
      <w:r>
        <w:rPr>
          <w:rFonts w:hint="eastAsia" w:ascii="宋体" w:hAnsi="宋体" w:cs="宋体"/>
          <w:bCs/>
          <w:sz w:val="24"/>
          <w:highlight w:val="none"/>
        </w:rPr>
        <w:t>服务期结束后</w:t>
      </w:r>
      <w:r>
        <w:rPr>
          <w:rFonts w:hint="eastAsia" w:ascii="宋体" w:hAnsi="宋体" w:cs="宋体"/>
          <w:kern w:val="0"/>
          <w:sz w:val="24"/>
          <w:highlight w:val="none"/>
        </w:rPr>
        <w:t>且扣除乙方违约责任后。</w:t>
      </w:r>
    </w:p>
    <w:p>
      <w:pPr>
        <w:spacing w:line="560" w:lineRule="exact"/>
        <w:ind w:firstLine="482" w:firstLineChars="200"/>
        <w:outlineLvl w:val="0"/>
        <w:rPr>
          <w:rFonts w:ascii="宋体" w:hAnsi="宋体" w:cs="宋体"/>
          <w:b/>
          <w:sz w:val="24"/>
          <w:highlight w:val="none"/>
        </w:rPr>
      </w:pPr>
      <w:r>
        <w:rPr>
          <w:rFonts w:hint="eastAsia" w:ascii="宋体" w:hAnsi="宋体" w:cs="宋体"/>
          <w:b/>
          <w:sz w:val="24"/>
          <w:highlight w:val="none"/>
        </w:rPr>
        <w:t>1.5</w:t>
      </w:r>
      <w:bookmarkEnd w:id="415"/>
      <w:bookmarkEnd w:id="416"/>
      <w:bookmarkEnd w:id="417"/>
      <w:r>
        <w:rPr>
          <w:rFonts w:hint="eastAsia" w:ascii="宋体" w:hAnsi="宋体" w:cs="宋体"/>
          <w:b/>
          <w:sz w:val="24"/>
          <w:highlight w:val="none"/>
        </w:rPr>
        <w:t>预付款</w:t>
      </w:r>
    </w:p>
    <w:p>
      <w:pPr>
        <w:pStyle w:val="616"/>
        <w:spacing w:before="0" w:beforeAutospacing="0" w:after="0" w:afterAutospacing="0" w:line="360" w:lineRule="auto"/>
        <w:ind w:firstLine="480"/>
      </w:pPr>
      <w:r>
        <w:rPr>
          <w:rFonts w:hint="eastAsia"/>
          <w:highlight w:val="none"/>
        </w:rPr>
        <w:t>甲方</w:t>
      </w:r>
      <w:r>
        <w:rPr>
          <w:highlight w:val="none"/>
          <w:u w:val="single"/>
        </w:rPr>
        <w:t xml:space="preserve">  </w:t>
      </w:r>
      <w:r>
        <w:rPr>
          <w:rFonts w:hint="eastAsia"/>
          <w:highlight w:val="none"/>
          <w:u w:val="single"/>
        </w:rPr>
        <w:t>否</w:t>
      </w:r>
      <w:r>
        <w:rPr>
          <w:highlight w:val="none"/>
          <w:u w:val="single"/>
        </w:rPr>
        <w:t xml:space="preserve">   </w:t>
      </w:r>
      <w:r>
        <w:rPr>
          <w:rFonts w:hint="eastAsia"/>
          <w:highlight w:val="none"/>
        </w:rPr>
        <w:t>（是</w:t>
      </w:r>
      <w:r>
        <w:rPr>
          <w:rFonts w:ascii="仿宋" w:hAnsi="仿宋" w:eastAsia="仿宋" w:cs="仿宋"/>
          <w:highlight w:val="none"/>
        </w:rPr>
        <w:t>/</w:t>
      </w:r>
      <w:r>
        <w:rPr>
          <w:rFonts w:hint="eastAsia"/>
          <w:highlight w:val="none"/>
        </w:rPr>
        <w:t>否）需要支付预付款。若需要支付</w:t>
      </w:r>
      <w:r>
        <w:rPr>
          <w:rFonts w:hint="eastAsia"/>
        </w:rPr>
        <w:t>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w:t>
      </w:r>
      <w:r>
        <w:rPr>
          <w:rFonts w:hint="eastAsia" w:ascii="宋体" w:hAnsi="宋体" w:cs="宋体"/>
          <w:kern w:val="0"/>
          <w:sz w:val="24"/>
          <w:lang w:eastAsia="zh-CN"/>
        </w:rPr>
        <w:t>：</w:t>
      </w:r>
      <w:r>
        <w:rPr>
          <w:rFonts w:hint="eastAsia" w:ascii="宋体" w:hAnsi="宋体" w:cs="宋体"/>
          <w:kern w:val="0"/>
          <w:sz w:val="24"/>
          <w:u w:val="single"/>
        </w:rPr>
        <w:t xml:space="preserve">    无         </w:t>
      </w:r>
      <w:r>
        <w:rPr>
          <w:rFonts w:hint="eastAsia" w:ascii="宋体" w:hAnsi="宋体" w:cs="宋体"/>
          <w:kern w:val="0"/>
          <w:sz w:val="24"/>
        </w:rPr>
        <w:t>；</w:t>
      </w:r>
    </w:p>
    <w:p>
      <w:pPr>
        <w:pStyle w:val="616"/>
        <w:spacing w:before="0" w:beforeAutospacing="0" w:after="0" w:afterAutospacing="0" w:line="360" w:lineRule="auto"/>
        <w:ind w:firstLine="480"/>
      </w:pPr>
      <w:r>
        <w:rPr>
          <w:rFonts w:hint="eastAsia"/>
        </w:rPr>
        <w:t>1.5.2预付款的扣回方式</w:t>
      </w:r>
      <w:r>
        <w:rPr>
          <w:rFonts w:hint="eastAsia"/>
          <w:lang w:eastAsia="zh-CN"/>
        </w:rPr>
        <w:t>：</w:t>
      </w:r>
      <w:r>
        <w:rPr>
          <w:rFonts w:hint="eastAsia"/>
          <w:u w:val="single"/>
        </w:rPr>
        <w:t xml:space="preserve">    无          </w:t>
      </w:r>
      <w:r>
        <w:rPr>
          <w:rFonts w:hint="eastAsia"/>
        </w:rPr>
        <w:t>；</w:t>
      </w:r>
    </w:p>
    <w:p>
      <w:pPr>
        <w:pStyle w:val="616"/>
        <w:spacing w:before="0" w:beforeAutospacing="0" w:after="0" w:afterAutospacing="0" w:line="360" w:lineRule="auto"/>
        <w:ind w:firstLine="480"/>
        <w:rPr>
          <w:u w:val="single"/>
        </w:rPr>
      </w:pPr>
      <w:r>
        <w:rPr>
          <w:rFonts w:hint="eastAsia"/>
        </w:rPr>
        <w:t>1.5.3预付款的担保措施</w:t>
      </w:r>
      <w:r>
        <w:rPr>
          <w:rFonts w:hint="eastAsia"/>
          <w:lang w:eastAsia="zh-CN"/>
        </w:rPr>
        <w:t>：</w:t>
      </w:r>
      <w:r>
        <w:rPr>
          <w:rFonts w:hint="eastAsia"/>
          <w:u w:val="single"/>
        </w:rPr>
        <w:t xml:space="preserve">    无         </w:t>
      </w:r>
      <w:r>
        <w:rPr>
          <w:rFonts w:hint="eastAsia"/>
        </w:rPr>
        <w:t>。</w:t>
      </w:r>
    </w:p>
    <w:p>
      <w:pPr>
        <w:pStyle w:val="616"/>
        <w:spacing w:before="0" w:beforeAutospacing="0" w:after="0" w:afterAutospacing="0" w:line="360" w:lineRule="auto"/>
        <w:ind w:firstLine="480"/>
        <w:rPr>
          <w:b/>
          <w:bCs/>
        </w:rPr>
      </w:pPr>
      <w:r>
        <w:rPr>
          <w:rFonts w:hint="eastAsia"/>
          <w:b/>
          <w:bCs/>
        </w:rPr>
        <w:t>1.6资金支付</w:t>
      </w:r>
    </w:p>
    <w:p>
      <w:pPr>
        <w:spacing w:line="560" w:lineRule="exact"/>
        <w:ind w:firstLine="420" w:firstLineChars="200"/>
        <w:rPr>
          <w:rFonts w:ascii="宋体" w:hAnsi="宋体"/>
          <w:sz w:val="24"/>
        </w:rPr>
      </w:pPr>
      <w:r>
        <w:rPr>
          <w:rFonts w:hint="eastAsia"/>
        </w:rPr>
        <w:t>1）</w:t>
      </w:r>
      <w:r>
        <w:rPr>
          <w:rFonts w:hint="eastAsia" w:ascii="宋体" w:hAnsi="宋体"/>
          <w:sz w:val="24"/>
        </w:rPr>
        <w:t>甲方应按月按实结算，所有配送生活物资的价格按每半月定价一次。</w:t>
      </w:r>
    </w:p>
    <w:p>
      <w:pPr>
        <w:spacing w:line="560" w:lineRule="exact"/>
        <w:ind w:firstLine="480" w:firstLineChars="200"/>
        <w:rPr>
          <w:rFonts w:ascii="宋体" w:hAnsi="宋体"/>
          <w:sz w:val="24"/>
        </w:rPr>
      </w:pPr>
      <w:r>
        <w:rPr>
          <w:rFonts w:ascii="宋体" w:hAnsi="宋体" w:cs="Times New Roman"/>
          <w:bCs w:val="0"/>
          <w:sz w:val="24"/>
        </w:rPr>
        <w:t>2</w:t>
      </w:r>
      <w:r>
        <w:rPr>
          <w:rFonts w:hint="eastAsia" w:ascii="宋体" w:hAnsi="宋体" w:cs="Times New Roman"/>
          <w:bCs w:val="0"/>
          <w:sz w:val="24"/>
        </w:rPr>
        <w:t>）、所有配送物资的结算金额均为“杭州市物价局官方网站”发布的当月整期杭州市城区部分民生商品价格公示的同类货物的平均价格（未在官网公布的以周边大型农贸市场的价格</w:t>
      </w:r>
      <w:r>
        <w:rPr>
          <w:rFonts w:hint="eastAsia" w:ascii="宋体" w:hAnsi="宋体" w:cs="Times New Roman"/>
          <w:bCs w:val="0"/>
          <w:color w:val="auto"/>
          <w:sz w:val="24"/>
        </w:rPr>
        <w:t>或杭州市菜篮子零售价格</w:t>
      </w:r>
      <w:r>
        <w:rPr>
          <w:rFonts w:ascii="宋体" w:hAnsi="宋体" w:cs="Times New Roman"/>
          <w:bCs w:val="0"/>
          <w:color w:val="auto"/>
          <w:sz w:val="24"/>
        </w:rPr>
        <w:t xml:space="preserve"> </w:t>
      </w:r>
      <w:r>
        <w:rPr>
          <w:rFonts w:hint="eastAsia" w:ascii="宋体" w:hAnsi="宋体"/>
          <w:sz w:val="24"/>
        </w:rPr>
        <w:fldChar w:fldCharType="begin"/>
      </w:r>
      <w:r>
        <w:rPr>
          <w:rFonts w:ascii="宋体" w:hAnsi="宋体" w:cs="Times New Roman"/>
          <w:bCs w:val="0"/>
          <w:sz w:val="24"/>
        </w:rPr>
        <w:instrText xml:space="preserve"> HYPERLINK "http://jg.jialf.net/" \h </w:instrText>
      </w:r>
      <w:r>
        <w:rPr>
          <w:rFonts w:hint="eastAsia" w:ascii="宋体" w:hAnsi="宋体" w:cs="Times New Roman"/>
          <w:bCs w:val="0"/>
          <w:color w:val="auto"/>
          <w:sz w:val="24"/>
        </w:rPr>
        <w:fldChar w:fldCharType="separate"/>
      </w:r>
      <w:r>
        <w:rPr>
          <w:rFonts w:ascii="宋体" w:hAnsi="宋体" w:cs="Times New Roman"/>
          <w:bCs w:val="0"/>
          <w:color w:val="auto"/>
          <w:sz w:val="24"/>
        </w:rPr>
        <w:t>http://jg.jialf.net/</w:t>
      </w:r>
      <w:r>
        <w:rPr>
          <w:rFonts w:hint="eastAsia" w:ascii="宋体" w:hAnsi="宋体" w:cs="Times New Roman"/>
          <w:bCs w:val="0"/>
          <w:color w:val="auto"/>
          <w:sz w:val="24"/>
        </w:rPr>
        <w:fldChar w:fldCharType="end"/>
      </w:r>
      <w:r>
        <w:rPr>
          <w:rFonts w:hint="eastAsia" w:ascii="宋体" w:hAnsi="宋体"/>
          <w:sz w:val="24"/>
        </w:rPr>
        <w:t>）结合乙方的投标报价折扣率进行结算。</w:t>
      </w:r>
    </w:p>
    <w:p>
      <w:pPr>
        <w:spacing w:line="560" w:lineRule="exact"/>
        <w:ind w:firstLine="480" w:firstLineChars="200"/>
        <w:rPr>
          <w:rFonts w:ascii="宋体" w:hAnsi="宋体" w:cs="Times New Roman"/>
          <w:bCs w:val="0"/>
          <w:sz w:val="24"/>
        </w:rPr>
      </w:pPr>
      <w:r>
        <w:rPr>
          <w:rFonts w:ascii="宋体" w:hAnsi="宋体" w:cs="Times New Roman"/>
          <w:bCs w:val="0"/>
          <w:sz w:val="24"/>
        </w:rPr>
        <w:t>3</w:t>
      </w:r>
      <w:r>
        <w:rPr>
          <w:rFonts w:hint="eastAsia" w:ascii="宋体" w:hAnsi="宋体" w:cs="Times New Roman"/>
          <w:bCs w:val="0"/>
          <w:sz w:val="24"/>
        </w:rPr>
        <w:t>）、在每个结算周期供货完成（每月</w:t>
      </w:r>
      <w:r>
        <w:rPr>
          <w:rFonts w:ascii="宋体" w:hAnsi="宋体" w:cs="Times New Roman"/>
          <w:bCs w:val="0"/>
          <w:sz w:val="24"/>
        </w:rPr>
        <w:t>25日），经双方账目核对无误，成交供应商向采购人提交结算金额的全额增值税发票后，采购人在下个月10日前向供货方付款。（如遇节假日顺延）</w:t>
      </w:r>
    </w:p>
    <w:p>
      <w:pPr>
        <w:spacing w:line="560" w:lineRule="exact"/>
        <w:ind w:firstLine="480" w:firstLineChars="200"/>
        <w:rPr>
          <w:rFonts w:ascii="宋体" w:hAnsi="宋体" w:cs="Times New Roman"/>
          <w:bCs w:val="0"/>
          <w:sz w:val="24"/>
        </w:rPr>
      </w:pPr>
      <w:r>
        <w:rPr>
          <w:rFonts w:ascii="宋体" w:hAnsi="宋体" w:cs="Times New Roman"/>
          <w:bCs w:val="0"/>
          <w:sz w:val="24"/>
        </w:rPr>
        <w:t>4</w:t>
      </w:r>
      <w:r>
        <w:rPr>
          <w:rFonts w:hint="eastAsia" w:ascii="宋体" w:hAnsi="宋体" w:cs="Times New Roman"/>
          <w:bCs w:val="0"/>
          <w:sz w:val="24"/>
        </w:rPr>
        <w:t>）、配送价格应包含所有税费、成本、利润、运输、装卸搬运、人工费、其他增值服务、各类劳保、保险及售后服务费、有关部门的验收费、政策性文件规定及合同包含的所有费用、责任等各项全部费用。</w:t>
      </w:r>
    </w:p>
    <w:p>
      <w:pPr>
        <w:spacing w:before="0" w:beforeAutospacing="0" w:after="0" w:afterAutospacing="0" w:line="560" w:lineRule="exact"/>
        <w:ind w:firstLine="480" w:firstLineChars="200"/>
      </w:pPr>
      <w:r>
        <w:rPr>
          <w:rFonts w:ascii="宋体" w:hAnsi="宋体"/>
          <w:bCs/>
          <w:sz w:val="24"/>
        </w:rPr>
        <w:t>5）</w:t>
      </w:r>
      <w:r>
        <w:rPr>
          <w:rFonts w:hint="eastAsia" w:ascii="宋体" w:hAnsi="宋体"/>
          <w:bCs/>
          <w:sz w:val="24"/>
        </w:rPr>
        <w:t>甲方原则上按合同约定时间和金额支付款项，但因甲方支付上述款项须报财政审批，乙方同意在甲方通过财政审批且取得相应款项后予以支付，具体审批付款流程按甲方规定执行。甲方付款前，乙方应提供符合符合甲方要求的发票。</w:t>
      </w:r>
    </w:p>
    <w:p>
      <w:pPr>
        <w:pStyle w:val="616"/>
        <w:spacing w:before="0" w:beforeAutospacing="0" w:after="0" w:afterAutospacing="0" w:line="360" w:lineRule="auto"/>
        <w:ind w:firstLine="480"/>
      </w:pP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hint="eastAsia" w:ascii="宋体" w:hAnsi="宋体" w:cs="宋体"/>
          <w:sz w:val="24"/>
          <w:u w:val="non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cs="宋体"/>
          <w:b w:val="0"/>
          <w:i w:val="0"/>
          <w:sz w:val="24"/>
          <w:u w:val="none"/>
          <w:lang w:eastAsia="zh-CN"/>
        </w:rPr>
        <w:t>　年　月　日－－　年　月　日　　</w:t>
      </w:r>
      <w:r>
        <w:rPr>
          <w:rFonts w:hint="eastAsia" w:ascii="宋体" w:hAnsi="宋体" w:cs="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务交付（实施）的地点（地域范围）：闲林街道</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服务交付（实施）的方式：配送。</w:t>
      </w:r>
    </w:p>
    <w:p>
      <w:pPr>
        <w:spacing w:line="560" w:lineRule="exact"/>
        <w:ind w:firstLine="480" w:firstLineChars="200"/>
        <w:outlineLvl w:val="0"/>
        <w:rPr>
          <w:rFonts w:ascii="宋体" w:hAnsi="宋体"/>
          <w:bCs/>
          <w:sz w:val="24"/>
        </w:rPr>
      </w:pPr>
      <w:bookmarkStart w:id="423" w:name="_Toc3079"/>
      <w:bookmarkStart w:id="424" w:name="_Toc8586"/>
      <w:bookmarkStart w:id="425" w:name="_Toc24662"/>
      <w:bookmarkStart w:id="426" w:name="_Toc5698"/>
      <w:bookmarkStart w:id="427"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sz w:val="24"/>
          <w:u w:val="single"/>
        </w:rPr>
      </w:pPr>
      <w:r>
        <w:rPr>
          <w:rFonts w:hint="eastAsia" w:ascii="宋体" w:hAnsi="宋体" w:cs="宋体"/>
          <w:sz w:val="24"/>
        </w:rPr>
        <w:t>1.7.4.1 交付期限：</w:t>
      </w:r>
      <w:r>
        <w:rPr>
          <w:rFonts w:hint="eastAsia" w:ascii="宋体" w:hAnsi="宋体" w:cs="宋体"/>
          <w:b w:val="0"/>
          <w:i w:val="0"/>
          <w:sz w:val="24"/>
          <w:u w:val="none"/>
          <w:lang w:eastAsia="zh-CN"/>
        </w:rPr>
        <w:t>年　月　日－－　年　月　日　　</w:t>
      </w:r>
      <w:r>
        <w:rPr>
          <w:rFonts w:hint="eastAsia" w:ascii="宋体" w:hAnsi="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 xml:space="preserve">    </w:t>
      </w:r>
      <w:r>
        <w:rPr>
          <w:rFonts w:hint="eastAsia" w:ascii="宋体" w:hAnsi="宋体" w:cs="宋体"/>
          <w:sz w:val="24"/>
        </w:rPr>
        <w:t>闲林街道</w:t>
      </w:r>
      <w:r>
        <w:rPr>
          <w:rFonts w:hint="eastAsia" w:ascii="宋体" w:hAnsi="宋体" w:cs="宋体"/>
          <w:b/>
          <w:i/>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 xml:space="preserve">   </w:t>
      </w:r>
      <w:r>
        <w:rPr>
          <w:rFonts w:hint="eastAsia" w:ascii="宋体" w:hAnsi="宋体"/>
          <w:sz w:val="24"/>
        </w:rPr>
        <w:t>配送</w:t>
      </w:r>
      <w:r>
        <w:rPr>
          <w:rFonts w:hint="eastAsia" w:ascii="宋体" w:hAnsi="宋体" w:cs="宋体"/>
          <w:b/>
          <w:i/>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5"/>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1.8.2服务中涉及的货物，除不可抗力外，如果乙方没有按照本合同约定的期限、地点和方式交付货物，那么甲方可要求乙方支付违约金，违约金按每次迟延交付货物的应交付而未交付货物价格的</w:t>
      </w:r>
      <w:r>
        <w:rPr>
          <w:rFonts w:hint="eastAsia" w:ascii="宋体" w:hAnsi="宋体" w:eastAsia="宋体" w:cs="宋体"/>
          <w:b w:val="0"/>
          <w:bCs w:val="0"/>
          <w:sz w:val="24"/>
          <w:szCs w:val="24"/>
          <w:u w:val="single"/>
          <w:lang w:val="en-US"/>
        </w:rPr>
        <w:t xml:space="preserve">  </w:t>
      </w:r>
      <w:r>
        <w:rPr>
          <w:rFonts w:ascii="宋体" w:hAnsi="宋体" w:eastAsia="宋体" w:cs="宋体"/>
          <w:b w:val="0"/>
          <w:bCs w:val="0"/>
          <w:sz w:val="24"/>
          <w:szCs w:val="24"/>
          <w:u w:val="single"/>
          <w:lang w:val="en-US"/>
        </w:rPr>
        <w:t xml:space="preserve">5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bookmarkStart w:id="428" w:name="_Toc18683"/>
      <w:bookmarkStart w:id="429" w:name="_Toc32454"/>
      <w:bookmarkStart w:id="430" w:name="_Toc26807"/>
      <w:bookmarkStart w:id="431" w:name="_Toc30329"/>
      <w:bookmarkStart w:id="432" w:name="_Toc9497"/>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15583"/>
      <w:bookmarkStart w:id="434" w:name="_Toc16021"/>
      <w:bookmarkStart w:id="435" w:name="_Toc28375"/>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将争议提交余杭区仲裁委员会依申请仲裁时其现行有效的仲裁规则裁决；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向余杭区人民法院起诉。</w:t>
      </w:r>
    </w:p>
    <w:p>
      <w:pPr>
        <w:spacing w:line="560" w:lineRule="exact"/>
        <w:ind w:firstLine="482" w:firstLineChars="200"/>
        <w:outlineLvl w:val="0"/>
        <w:rPr>
          <w:rFonts w:ascii="宋体" w:hAnsi="宋体" w:cs="宋体"/>
          <w:b/>
          <w:sz w:val="24"/>
        </w:rPr>
      </w:pPr>
      <w:bookmarkStart w:id="436" w:name="_Toc11173"/>
      <w:bookmarkStart w:id="437" w:name="_Toc7245"/>
      <w:bookmarkStart w:id="438" w:name="_Toc15322"/>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4"/>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5228"/>
      <w:bookmarkStart w:id="440" w:name="_Toc14021"/>
      <w:bookmarkStart w:id="441" w:name="_Toc19680"/>
      <w:bookmarkStart w:id="442" w:name="_Toc25079"/>
      <w:bookmarkStart w:id="443" w:name="_Toc31297"/>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23289"/>
      <w:bookmarkStart w:id="445" w:name="_Toc31402"/>
      <w:bookmarkStart w:id="446" w:name="_Toc19539"/>
      <w:bookmarkStart w:id="447" w:name="_Toc3769"/>
      <w:bookmarkStart w:id="448" w:name="_Toc16752"/>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9161"/>
      <w:bookmarkStart w:id="450" w:name="_Toc27945"/>
      <w:bookmarkStart w:id="451" w:name="_Toc13673"/>
      <w:bookmarkStart w:id="452" w:name="_Toc4133"/>
      <w:bookmarkStart w:id="453" w:name="_Toc12412"/>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 xml:space="preserve">合同涉及技术成果的归属和收益的分成办法的：  </w:t>
      </w:r>
      <w:r>
        <w:rPr>
          <w:rFonts w:hint="eastAsia" w:ascii="宋体" w:hAnsi="宋体"/>
          <w:sz w:val="24"/>
          <w:u w:val="single"/>
        </w:rPr>
        <w:t xml:space="preserve">/    </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15447"/>
      <w:bookmarkStart w:id="455" w:name="_Toc32670"/>
      <w:bookmarkStart w:id="456" w:name="_Toc26555"/>
      <w:bookmarkStart w:id="457" w:name="_Toc31233"/>
      <w:bookmarkStart w:id="458" w:name="_Toc22011"/>
      <w:r>
        <w:rPr>
          <w:rFonts w:ascii="宋体" w:hAnsi="宋体"/>
          <w:b/>
          <w:sz w:val="24"/>
        </w:rPr>
        <w:t>2.5 结算方式和付款条件</w:t>
      </w:r>
      <w:bookmarkEnd w:id="454"/>
      <w:bookmarkEnd w:id="455"/>
      <w:bookmarkEnd w:id="456"/>
      <w:bookmarkEnd w:id="457"/>
      <w:bookmarkEnd w:id="458"/>
    </w:p>
    <w:p>
      <w:pPr>
        <w:spacing w:line="560" w:lineRule="exact"/>
        <w:ind w:firstLine="420" w:firstLineChars="200"/>
        <w:rPr>
          <w:rFonts w:ascii="宋体" w:hAnsi="宋体"/>
          <w:sz w:val="24"/>
        </w:rPr>
      </w:pPr>
      <w:r>
        <w:rPr>
          <w:rFonts w:hint="eastAsia"/>
        </w:rPr>
        <w:t>1）</w:t>
      </w:r>
      <w:r>
        <w:rPr>
          <w:rFonts w:hint="eastAsia" w:ascii="宋体" w:hAnsi="宋体"/>
          <w:sz w:val="24"/>
        </w:rPr>
        <w:t>甲方应按月按实结算，所有配送生活物资的价格按每半月定价一次。</w:t>
      </w:r>
    </w:p>
    <w:p>
      <w:pPr>
        <w:spacing w:line="560" w:lineRule="exact"/>
        <w:ind w:firstLine="480" w:firstLineChars="200"/>
        <w:rPr>
          <w:rFonts w:ascii="宋体" w:hAnsi="宋体"/>
          <w:sz w:val="24"/>
        </w:rPr>
      </w:pPr>
      <w:r>
        <w:rPr>
          <w:rFonts w:hint="eastAsia" w:ascii="宋体" w:hAnsi="宋体"/>
          <w:sz w:val="24"/>
        </w:rPr>
        <w:t xml:space="preserve">2）、所有配送物资的结算金额均为“杭州市物价局官方网站”发布的当月整期杭州市城区部分民生商品价格公示的同类货物的平均价格（未在官网公布的以周边大型农贸市场的价格或杭州市菜篮子零售价格 </w:t>
      </w:r>
      <w:r>
        <w:rPr>
          <w:rFonts w:hint="eastAsia" w:ascii="宋体" w:hAnsi="宋体"/>
          <w:sz w:val="24"/>
        </w:rPr>
        <w:fldChar w:fldCharType="begin"/>
      </w:r>
      <w:r>
        <w:rPr>
          <w:rFonts w:hint="eastAsia" w:ascii="宋体" w:hAnsi="宋体"/>
          <w:sz w:val="24"/>
        </w:rPr>
        <w:instrText xml:space="preserve"> HYPERLINK "http://jg.jialf.net/" \h </w:instrText>
      </w:r>
      <w:r>
        <w:rPr>
          <w:rFonts w:hint="eastAsia" w:ascii="宋体" w:hAnsi="宋体"/>
          <w:sz w:val="24"/>
        </w:rPr>
        <w:fldChar w:fldCharType="separate"/>
      </w:r>
      <w:r>
        <w:rPr>
          <w:rFonts w:hint="eastAsia" w:ascii="宋体" w:hAnsi="宋体"/>
          <w:sz w:val="24"/>
        </w:rPr>
        <w:t>http://jg.jialf.net/</w:t>
      </w:r>
      <w:r>
        <w:rPr>
          <w:rFonts w:hint="eastAsia" w:ascii="宋体" w:hAnsi="宋体"/>
          <w:sz w:val="24"/>
        </w:rPr>
        <w:fldChar w:fldCharType="end"/>
      </w:r>
      <w:r>
        <w:rPr>
          <w:rFonts w:hint="eastAsia" w:ascii="宋体" w:hAnsi="宋体"/>
          <w:sz w:val="24"/>
        </w:rPr>
        <w:t>）结合乙方的投标报价折扣率进行结算。</w:t>
      </w:r>
    </w:p>
    <w:p>
      <w:pPr>
        <w:spacing w:line="560" w:lineRule="exact"/>
        <w:ind w:firstLine="480" w:firstLineChars="200"/>
        <w:rPr>
          <w:rFonts w:ascii="宋体" w:hAnsi="宋体"/>
          <w:sz w:val="24"/>
        </w:rPr>
      </w:pPr>
      <w:r>
        <w:rPr>
          <w:rFonts w:hint="eastAsia" w:ascii="宋体" w:hAnsi="宋体"/>
          <w:sz w:val="24"/>
        </w:rPr>
        <w:t>3）、在每个结算周期供货完成（每月25日），经双方账目核对无误，成交供应商向采购人提交结算金额的全额增值税发票后，采购人在下个月10日前向供货方付款。（如遇节假日顺延）</w:t>
      </w:r>
    </w:p>
    <w:p>
      <w:pPr>
        <w:spacing w:line="560" w:lineRule="exact"/>
        <w:ind w:firstLine="480" w:firstLineChars="200"/>
        <w:rPr>
          <w:rFonts w:ascii="宋体" w:hAnsi="宋体"/>
          <w:sz w:val="24"/>
        </w:rPr>
      </w:pPr>
      <w:r>
        <w:rPr>
          <w:rFonts w:hint="eastAsia" w:ascii="宋体" w:hAnsi="宋体"/>
          <w:sz w:val="24"/>
        </w:rPr>
        <w:t>4）、配送价格应包含所有税费、成本、利润、运输、装卸搬运、人工费、其他增值服务、各类劳保、保险及售后服务费、有关部门的验收费、政策性文件规定及合同包含的所有费用、责任等各项全部费用。</w:t>
      </w:r>
    </w:p>
    <w:p>
      <w:pPr>
        <w:spacing w:line="560" w:lineRule="exact"/>
        <w:ind w:firstLine="480" w:firstLineChars="200"/>
        <w:rPr>
          <w:rFonts w:ascii="宋体" w:hAnsi="宋体"/>
          <w:sz w:val="24"/>
        </w:rPr>
      </w:pPr>
      <w:r>
        <w:rPr>
          <w:rFonts w:hint="eastAsia" w:ascii="宋体" w:hAnsi="宋体"/>
          <w:sz w:val="24"/>
        </w:rPr>
        <w:t>5）甲方原则上按合同约定时间和金额支付款项，但因甲方支付上述款项须报财政审批，乙方同意在甲方通过财政审批且取得相应款项后予以支付，具体审批付款流程按甲方规定执行。甲方付款前，乙方应提供符合符合甲方要求的发票。</w:t>
      </w:r>
    </w:p>
    <w:p>
      <w:pPr>
        <w:spacing w:line="560" w:lineRule="exact"/>
        <w:ind w:firstLine="482" w:firstLineChars="200"/>
        <w:outlineLvl w:val="0"/>
        <w:rPr>
          <w:rFonts w:ascii="宋体" w:hAnsi="宋体"/>
          <w:b/>
          <w:sz w:val="24"/>
        </w:rPr>
      </w:pPr>
      <w:bookmarkStart w:id="459" w:name="_Toc18990"/>
      <w:bookmarkStart w:id="460" w:name="_Toc30507"/>
      <w:bookmarkStart w:id="461" w:name="_Toc13154"/>
      <w:bookmarkStart w:id="462" w:name="_Toc13467"/>
      <w:bookmarkStart w:id="463" w:name="_Toc16163"/>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10663"/>
      <w:bookmarkStart w:id="468" w:name="_Toc21830"/>
      <w:bookmarkStart w:id="469" w:name="_Toc23368"/>
      <w:bookmarkStart w:id="470" w:name="_Toc42"/>
      <w:bookmarkStart w:id="471" w:name="_Toc26689"/>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14371"/>
      <w:bookmarkStart w:id="473" w:name="_Toc32494"/>
      <w:bookmarkStart w:id="474" w:name="_Toc26633"/>
      <w:bookmarkStart w:id="475" w:name="_Toc4720"/>
      <w:bookmarkStart w:id="476" w:name="_Toc25571"/>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highlight w:val="none"/>
        </w:rPr>
      </w:pPr>
      <w:r>
        <w:rPr>
          <w:rFonts w:ascii="宋体" w:hAnsi="宋体"/>
          <w:sz w:val="24"/>
        </w:rPr>
        <w:t xml:space="preserve">2.11.2 </w:t>
      </w:r>
      <w:r>
        <w:rPr>
          <w:rFonts w:hint="eastAsia" w:ascii="宋体" w:hAnsi="宋体"/>
          <w:sz w:val="24"/>
        </w:rPr>
        <w:t>因不可抗力致使</w:t>
      </w:r>
      <w:r>
        <w:rPr>
          <w:rFonts w:hint="eastAsia" w:ascii="宋体" w:hAnsi="宋体"/>
          <w:sz w:val="24"/>
          <w:highlight w:val="none"/>
        </w:rPr>
        <w:t>不能实现合同目的的，当事人可以解除合同；</w:t>
      </w:r>
    </w:p>
    <w:p>
      <w:pPr>
        <w:spacing w:line="560" w:lineRule="exact"/>
        <w:ind w:firstLine="480" w:firstLineChars="200"/>
        <w:rPr>
          <w:rFonts w:ascii="宋体" w:hAnsi="宋体"/>
          <w:sz w:val="24"/>
          <w:highlight w:val="none"/>
        </w:rPr>
      </w:pPr>
      <w:r>
        <w:rPr>
          <w:rFonts w:ascii="宋体" w:hAnsi="宋体"/>
          <w:sz w:val="24"/>
          <w:highlight w:val="none"/>
        </w:rPr>
        <w:t xml:space="preserve">2.11.3 </w:t>
      </w:r>
      <w:r>
        <w:rPr>
          <w:rFonts w:hint="eastAsia" w:ascii="宋体" w:hAnsi="宋体"/>
          <w:sz w:val="24"/>
          <w:highlight w:val="none"/>
        </w:rPr>
        <w:t>因</w:t>
      </w:r>
      <w:r>
        <w:rPr>
          <w:rFonts w:ascii="宋体" w:hAnsi="宋体"/>
          <w:sz w:val="24"/>
          <w:highlight w:val="none"/>
        </w:rPr>
        <w:t>不可抗力致使合同有变更必要的，双方当事人应在</w:t>
      </w:r>
      <w:r>
        <w:rPr>
          <w:rFonts w:ascii="宋体" w:hAnsi="宋体"/>
          <w:b/>
          <w:i/>
          <w:sz w:val="24"/>
          <w:highlight w:val="none"/>
          <w:u w:val="single"/>
        </w:rPr>
        <w:t xml:space="preserve">     </w:t>
      </w:r>
      <w:r>
        <w:rPr>
          <w:rFonts w:ascii="宋体" w:hAnsi="宋体"/>
          <w:sz w:val="24"/>
          <w:highlight w:val="none"/>
        </w:rPr>
        <w:t>时间内以书面形式变更合同</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2.11.4受</w:t>
      </w:r>
      <w:r>
        <w:rPr>
          <w:rFonts w:hint="eastAsia" w:ascii="宋体" w:hAnsi="宋体"/>
          <w:sz w:val="24"/>
          <w:highlight w:val="none"/>
        </w:rPr>
        <w:t>不可抗力</w:t>
      </w:r>
      <w:r>
        <w:rPr>
          <w:rFonts w:ascii="宋体" w:hAnsi="宋体"/>
          <w:sz w:val="24"/>
          <w:highlight w:val="none"/>
        </w:rPr>
        <w:t>影响的一方在不可抗力发生后</w:t>
      </w:r>
      <w:r>
        <w:rPr>
          <w:rFonts w:hint="eastAsia" w:ascii="宋体" w:hAnsi="宋体"/>
          <w:sz w:val="24"/>
          <w:highlight w:val="none"/>
        </w:rPr>
        <w:t>，</w:t>
      </w:r>
      <w:r>
        <w:rPr>
          <w:rFonts w:ascii="宋体" w:hAnsi="宋体"/>
          <w:sz w:val="24"/>
          <w:highlight w:val="none"/>
        </w:rPr>
        <w:t>应在</w:t>
      </w:r>
      <w:r>
        <w:rPr>
          <w:rFonts w:ascii="宋体" w:hAnsi="宋体"/>
          <w:b/>
          <w:i/>
          <w:sz w:val="24"/>
          <w:highlight w:val="none"/>
          <w:u w:val="single"/>
        </w:rPr>
        <w:t xml:space="preserve">    </w:t>
      </w:r>
      <w:r>
        <w:rPr>
          <w:rFonts w:ascii="宋体" w:hAnsi="宋体"/>
          <w:sz w:val="24"/>
          <w:highlight w:val="none"/>
        </w:rPr>
        <w:t>时间内以书面形式通知</w:t>
      </w:r>
      <w:r>
        <w:rPr>
          <w:rFonts w:hint="eastAsia" w:ascii="宋体" w:hAnsi="宋体"/>
          <w:sz w:val="24"/>
          <w:highlight w:val="none"/>
        </w:rPr>
        <w:t>对</w:t>
      </w:r>
      <w:r>
        <w:rPr>
          <w:rFonts w:ascii="宋体" w:hAnsi="宋体"/>
          <w:sz w:val="24"/>
          <w:highlight w:val="none"/>
        </w:rPr>
        <w:t>方当事人，并在</w:t>
      </w:r>
      <w:r>
        <w:rPr>
          <w:rFonts w:ascii="宋体" w:hAnsi="宋体"/>
          <w:b/>
          <w:i/>
          <w:sz w:val="24"/>
          <w:highlight w:val="none"/>
          <w:u w:val="single"/>
        </w:rPr>
        <w:t xml:space="preserve">    </w:t>
      </w:r>
      <w:r>
        <w:rPr>
          <w:rFonts w:ascii="宋体" w:hAnsi="宋体"/>
          <w:sz w:val="24"/>
          <w:highlight w:val="none"/>
        </w:rPr>
        <w:t>时间内，将有关部门出具的证明文件送达</w:t>
      </w:r>
      <w:r>
        <w:rPr>
          <w:rFonts w:hint="eastAsia" w:ascii="宋体" w:hAnsi="宋体"/>
          <w:sz w:val="24"/>
          <w:highlight w:val="none"/>
        </w:rPr>
        <w:t>对方当事人</w:t>
      </w:r>
      <w:r>
        <w:rPr>
          <w:rFonts w:ascii="宋体" w:hAnsi="宋体"/>
          <w:sz w:val="24"/>
          <w:highlight w:val="none"/>
        </w:rPr>
        <w:t>。</w:t>
      </w:r>
    </w:p>
    <w:p>
      <w:pPr>
        <w:spacing w:line="560" w:lineRule="exact"/>
        <w:ind w:firstLine="482" w:firstLineChars="200"/>
        <w:outlineLvl w:val="0"/>
        <w:rPr>
          <w:rFonts w:ascii="宋体" w:hAnsi="宋体"/>
          <w:b/>
          <w:sz w:val="24"/>
          <w:highlight w:val="none"/>
        </w:rPr>
      </w:pPr>
      <w:bookmarkStart w:id="477" w:name="_Toc14115"/>
      <w:bookmarkStart w:id="478" w:name="_Toc25783"/>
      <w:bookmarkStart w:id="479" w:name="_Toc23854"/>
      <w:bookmarkStart w:id="480" w:name="_Toc3638"/>
      <w:bookmarkStart w:id="481" w:name="_Toc24465"/>
      <w:r>
        <w:rPr>
          <w:rFonts w:ascii="宋体" w:hAnsi="宋体"/>
          <w:b/>
          <w:sz w:val="24"/>
          <w:highlight w:val="none"/>
        </w:rPr>
        <w:t>2.12 税费</w:t>
      </w:r>
      <w:bookmarkEnd w:id="477"/>
      <w:bookmarkEnd w:id="478"/>
      <w:bookmarkEnd w:id="479"/>
      <w:bookmarkEnd w:id="480"/>
      <w:bookmarkEnd w:id="481"/>
    </w:p>
    <w:p>
      <w:pPr>
        <w:spacing w:line="560" w:lineRule="exact"/>
        <w:ind w:firstLine="480" w:firstLineChars="200"/>
        <w:rPr>
          <w:rFonts w:ascii="宋体" w:hAnsi="宋体"/>
          <w:sz w:val="24"/>
          <w:highlight w:val="none"/>
        </w:rPr>
      </w:pPr>
      <w:r>
        <w:rPr>
          <w:rFonts w:ascii="宋体" w:hAnsi="宋体"/>
          <w:sz w:val="24"/>
          <w:highlight w:val="none"/>
        </w:rPr>
        <w:t>与合同有关的一切税费</w:t>
      </w:r>
      <w:r>
        <w:rPr>
          <w:rFonts w:hint="eastAsia" w:ascii="宋体" w:hAnsi="宋体"/>
          <w:sz w:val="24"/>
          <w:highlight w:val="none"/>
        </w:rPr>
        <w:t>，</w:t>
      </w:r>
      <w:r>
        <w:rPr>
          <w:rFonts w:ascii="宋体" w:hAnsi="宋体"/>
          <w:sz w:val="24"/>
          <w:highlight w:val="none"/>
        </w:rPr>
        <w:t>均按照中华人民共和国法律的相关规定缴纳。</w:t>
      </w:r>
    </w:p>
    <w:p>
      <w:pPr>
        <w:spacing w:line="560" w:lineRule="exact"/>
        <w:ind w:firstLine="482" w:firstLineChars="200"/>
        <w:outlineLvl w:val="0"/>
        <w:rPr>
          <w:rFonts w:ascii="宋体" w:hAnsi="宋体"/>
          <w:b/>
          <w:sz w:val="24"/>
        </w:rPr>
      </w:pPr>
      <w:bookmarkStart w:id="482" w:name="_Toc30105"/>
      <w:bookmarkStart w:id="483" w:name="_Toc26883"/>
      <w:bookmarkStart w:id="484" w:name="_Toc14814"/>
      <w:bookmarkStart w:id="485" w:name="_Toc7315"/>
      <w:bookmarkStart w:id="486" w:name="_Toc2552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016"/>
      <w:bookmarkStart w:id="488" w:name="_Toc1123"/>
      <w:bookmarkStart w:id="489" w:name="_Toc233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4525"/>
      <w:bookmarkStart w:id="491" w:name="_Toc1969"/>
      <w:bookmarkStart w:id="492" w:name="_Toc17363"/>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hint="eastAsia" w:ascii="宋体" w:hAnsi="宋体"/>
          <w:b/>
          <w:i/>
          <w:sz w:val="24"/>
          <w:u w:val="single"/>
        </w:rPr>
        <w:t>甲方</w:t>
      </w:r>
      <w:r>
        <w:rPr>
          <w:rFonts w:ascii="宋体" w:hAnsi="宋体"/>
          <w:sz w:val="24"/>
        </w:rPr>
        <w:t>的</w:t>
      </w:r>
      <w:r>
        <w:rPr>
          <w:rFonts w:hint="eastAsia" w:ascii="宋体" w:hAnsi="宋体"/>
          <w:sz w:val="24"/>
        </w:rPr>
        <w:t>要求，</w:t>
      </w:r>
      <w:r>
        <w:rPr>
          <w:rFonts w:ascii="宋体" w:hAnsi="宋体"/>
          <w:sz w:val="24"/>
        </w:rPr>
        <w:t>定期提交服务报告</w:t>
      </w:r>
      <w:r>
        <w:rPr>
          <w:rFonts w:hint="eastAsia" w:ascii="宋体" w:hAnsi="宋体"/>
          <w:sz w:val="24"/>
        </w:rPr>
        <w:t>，甲方按照</w:t>
      </w:r>
      <w:r>
        <w:rPr>
          <w:rFonts w:hint="eastAsia" w:ascii="宋体" w:hAnsi="宋体"/>
          <w:b/>
          <w:i/>
          <w:sz w:val="24"/>
          <w:u w:val="single"/>
        </w:rPr>
        <w:t>相关规定</w:t>
      </w:r>
      <w:r>
        <w:rPr>
          <w:rFonts w:ascii="宋体" w:hAnsi="宋体"/>
          <w:sz w:val="24"/>
        </w:rPr>
        <w:t>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w:t>
      </w:r>
      <w:r>
        <w:rPr>
          <w:rFonts w:hint="eastAsia" w:ascii="宋体" w:hAnsi="宋体"/>
          <w:b/>
          <w:i/>
          <w:sz w:val="24"/>
          <w:u w:val="single"/>
        </w:rPr>
        <w:t xml:space="preserve">        </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25198"/>
      <w:bookmarkStart w:id="494" w:name="_Toc9808"/>
      <w:bookmarkStart w:id="495" w:name="_Toc31892"/>
      <w:bookmarkStart w:id="496" w:name="_Toc2308"/>
      <w:bookmarkStart w:id="497" w:name="_Toc12666"/>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18401"/>
      <w:bookmarkStart w:id="499"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5063"/>
      <w:bookmarkStart w:id="501" w:name="_Toc27644"/>
      <w:bookmarkStart w:id="502" w:name="_Toc12254"/>
      <w:bookmarkStart w:id="503" w:name="_Toc28906"/>
      <w:bookmarkStart w:id="504"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18540"/>
      <w:bookmarkStart w:id="506" w:name="_Toc4355"/>
      <w:bookmarkStart w:id="507" w:name="_Toc30599"/>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w:t>
      </w:r>
      <w:r>
        <w:rPr>
          <w:rFonts w:hint="eastAsia" w:ascii="宋体" w:hAnsi="宋体"/>
          <w:sz w:val="24"/>
        </w:rPr>
        <w:t>为一式六份，</w:t>
      </w:r>
      <w:r>
        <w:rPr>
          <w:rFonts w:ascii="宋体" w:hAnsi="宋体"/>
          <w:sz w:val="24"/>
        </w:rPr>
        <w:t>每份均具有同等法律效力</w:t>
      </w:r>
      <w:r>
        <w:rPr>
          <w:rFonts w:hint="eastAsia" w:ascii="宋体" w:hAnsi="宋体"/>
          <w:sz w:val="24"/>
        </w:rPr>
        <w:t>。</w:t>
      </w:r>
    </w:p>
    <w:p>
      <w:pPr>
        <w:pStyle w:val="2"/>
        <w:ind w:firstLine="420"/>
      </w:pPr>
      <w:r>
        <w:rPr>
          <w:rFonts w:hint="eastAsia" w:ascii="宋体" w:hAnsi="宋体" w:cs="宋体"/>
          <w:kern w:val="0"/>
        </w:rPr>
        <w:br w:type="page"/>
      </w: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firstLine="480" w:firstLineChars="200"/>
        <w:rPr>
          <w:rFonts w:ascii="宋体" w:hAnsi="宋体" w:cs="宋体"/>
          <w:sz w:val="24"/>
        </w:rPr>
      </w:pPr>
      <w:r>
        <w:rPr>
          <w:rFonts w:hint="eastAsia" w:ascii="宋体" w:hAnsi="宋体" w:cs="宋体"/>
          <w:sz w:val="24"/>
        </w:rPr>
        <w:t>2.1资格文件：</w:t>
      </w:r>
    </w:p>
    <w:p>
      <w:pPr>
        <w:snapToGrid w:val="0"/>
        <w:spacing w:line="360" w:lineRule="auto"/>
        <w:ind w:firstLine="480" w:firstLineChars="200"/>
        <w:rPr>
          <w:rFonts w:ascii="宋体" w:hAnsi="宋体" w:cs="宋体"/>
          <w:sz w:val="24"/>
        </w:rPr>
      </w:pPr>
      <w:r>
        <w:rPr>
          <w:rFonts w:hint="eastAsia" w:ascii="宋体" w:hAnsi="宋体" w:cs="宋体"/>
          <w:sz w:val="24"/>
        </w:rPr>
        <w:t>2.1.1承诺函；</w:t>
      </w:r>
    </w:p>
    <w:p>
      <w:pPr>
        <w:snapToGrid w:val="0"/>
        <w:spacing w:line="360" w:lineRule="auto"/>
        <w:ind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8" w:name="_Hlk101257010"/>
      <w:r>
        <w:rPr>
          <w:rFonts w:hint="eastAsia" w:ascii="宋体" w:hAnsi="宋体" w:cs="宋体"/>
          <w:color w:val="FF0000"/>
          <w:sz w:val="24"/>
        </w:rPr>
        <w:t>（如果有)</w:t>
      </w:r>
      <w:bookmarkEnd w:id="508"/>
      <w:r>
        <w:rPr>
          <w:rFonts w:hint="eastAsia" w:ascii="宋体" w:hAnsi="宋体" w:cs="宋体"/>
          <w:snapToGrid w:val="0"/>
          <w:color w:val="0000FF"/>
          <w:kern w:val="28"/>
          <w:sz w:val="24"/>
          <w:szCs w:val="20"/>
        </w:rPr>
        <w:t>；</w:t>
      </w:r>
    </w:p>
    <w:p>
      <w:pPr>
        <w:snapToGrid w:val="0"/>
        <w:spacing w:line="360" w:lineRule="auto"/>
        <w:ind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6"/>
              <w:adjustRightInd w:val="0"/>
              <w:spacing w:line="360" w:lineRule="auto"/>
              <w:rPr>
                <w:rFonts w:hAnsi="宋体" w:cs="宋体"/>
                <w:bCs/>
                <w:sz w:val="24"/>
              </w:rPr>
            </w:pPr>
            <w:r>
              <w:rPr>
                <w:rFonts w:hint="eastAsia" w:hAnsi="宋体" w:cs="宋体"/>
                <w:bCs/>
                <w:sz w:val="24"/>
              </w:rPr>
              <w:t>正面：                                 反面：</w:t>
            </w:r>
          </w:p>
          <w:p>
            <w:pPr>
              <w:pStyle w:val="8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w:t>
      </w:r>
    </w:p>
    <w:tbl>
      <w:tblPr>
        <w:tblStyle w:val="62"/>
        <w:tblW w:w="14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568"/>
        <w:gridCol w:w="8938"/>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763" w:type="dxa"/>
            <w:vAlign w:val="center"/>
          </w:tcPr>
          <w:p>
            <w:pPr>
              <w:shd w:val="clear" w:color="auto" w:fill="FFFFFF"/>
              <w:tabs>
                <w:tab w:val="right" w:pos="-3426"/>
              </w:tabs>
              <w:snapToGrid w:val="0"/>
              <w:spacing w:line="360" w:lineRule="auto"/>
              <w:jc w:val="left"/>
              <w:rPr>
                <w:rFonts w:ascii="仿宋" w:hAnsi="仿宋" w:eastAsia="仿宋" w:cs="仿宋"/>
                <w:sz w:val="24"/>
              </w:rPr>
            </w:pPr>
            <w:r>
              <w:rPr>
                <w:rFonts w:hint="eastAsia" w:ascii="仿宋" w:hAnsi="仿宋" w:eastAsia="仿宋" w:cs="仿宋"/>
                <w:sz w:val="24"/>
              </w:rPr>
              <w:t>序号</w:t>
            </w:r>
          </w:p>
        </w:tc>
        <w:tc>
          <w:tcPr>
            <w:tcW w:w="2568" w:type="dxa"/>
            <w:vAlign w:val="center"/>
          </w:tcPr>
          <w:p>
            <w:pPr>
              <w:shd w:val="clear" w:color="auto" w:fill="FFFFFF"/>
              <w:snapToGrid w:val="0"/>
              <w:spacing w:line="360" w:lineRule="auto"/>
              <w:jc w:val="center"/>
              <w:rPr>
                <w:rFonts w:ascii="仿宋" w:hAnsi="仿宋" w:eastAsia="仿宋" w:cs="仿宋"/>
                <w:sz w:val="24"/>
              </w:rPr>
            </w:pPr>
            <w:r>
              <w:rPr>
                <w:rFonts w:hint="eastAsia" w:ascii="仿宋" w:hAnsi="仿宋" w:eastAsia="仿宋" w:cs="仿宋"/>
                <w:sz w:val="24"/>
              </w:rPr>
              <w:t>项目</w:t>
            </w:r>
          </w:p>
        </w:tc>
        <w:tc>
          <w:tcPr>
            <w:tcW w:w="8938" w:type="dxa"/>
            <w:vAlign w:val="center"/>
          </w:tcPr>
          <w:p>
            <w:pPr>
              <w:shd w:val="clear" w:color="auto" w:fill="FFFFFF"/>
              <w:snapToGrid w:val="0"/>
              <w:spacing w:line="360" w:lineRule="auto"/>
              <w:jc w:val="left"/>
              <w:rPr>
                <w:rFonts w:ascii="仿宋" w:hAnsi="仿宋" w:eastAsia="仿宋" w:cs="仿宋"/>
                <w:sz w:val="24"/>
              </w:rPr>
            </w:pPr>
            <w:r>
              <w:rPr>
                <w:rFonts w:hint="eastAsia" w:ascii="仿宋" w:hAnsi="仿宋" w:eastAsia="仿宋" w:cs="仿宋"/>
                <w:sz w:val="24"/>
              </w:rPr>
              <w:t xml:space="preserve">我单位食材类投标报价为：“杭州市物价局官方网站”发布的当月整期杭州市城区部分民生商品价格公示的同类货物的平均价格（未在官网公布的以周边大型农贸市场的价格或杭州市菜篮子零售价格 </w:t>
            </w:r>
            <w:r>
              <w:fldChar w:fldCharType="begin"/>
            </w:r>
            <w:r>
              <w:instrText xml:space="preserve"> HYPERLINK "http://jg.jialf.net/" \h </w:instrText>
            </w:r>
            <w:r>
              <w:fldChar w:fldCharType="separate"/>
            </w:r>
            <w:r>
              <w:rPr>
                <w:rFonts w:hint="eastAsia" w:ascii="仿宋" w:hAnsi="仿宋" w:eastAsia="仿宋" w:cs="仿宋"/>
                <w:sz w:val="24"/>
              </w:rPr>
              <w:t>http://jg.jialf.net/</w:t>
            </w:r>
            <w:r>
              <w:rPr>
                <w:rFonts w:hint="eastAsia" w:ascii="仿宋" w:hAnsi="仿宋" w:eastAsia="仿宋" w:cs="仿宋"/>
                <w:sz w:val="24"/>
              </w:rPr>
              <w:fldChar w:fldCharType="end"/>
            </w:r>
            <w:r>
              <w:rPr>
                <w:rFonts w:hint="eastAsia" w:ascii="仿宋" w:hAnsi="仿宋" w:eastAsia="仿宋" w:cs="仿宋"/>
                <w:sz w:val="24"/>
              </w:rPr>
              <w:t>）的    %收取。（最多保留两位小数）</w:t>
            </w:r>
          </w:p>
        </w:tc>
        <w:tc>
          <w:tcPr>
            <w:tcW w:w="2145" w:type="dxa"/>
            <w:vAlign w:val="center"/>
          </w:tcPr>
          <w:p>
            <w:pPr>
              <w:shd w:val="clear" w:color="auto" w:fill="FFFFFF"/>
              <w:snapToGrid w:val="0"/>
              <w:spacing w:line="360" w:lineRule="auto"/>
              <w:jc w:val="left"/>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63" w:type="dxa"/>
            <w:vAlign w:val="center"/>
          </w:tcPr>
          <w:p>
            <w:pPr>
              <w:jc w:val="center"/>
              <w:rPr>
                <w:rFonts w:ascii="仿宋" w:hAnsi="仿宋" w:eastAsia="仿宋" w:cs="仿宋"/>
                <w:sz w:val="24"/>
              </w:rPr>
            </w:pPr>
            <w:r>
              <w:rPr>
                <w:rFonts w:hint="eastAsia" w:ascii="仿宋" w:hAnsi="仿宋" w:eastAsia="仿宋" w:cs="仿宋"/>
                <w:sz w:val="24"/>
              </w:rPr>
              <w:t>A</w:t>
            </w:r>
          </w:p>
        </w:tc>
        <w:tc>
          <w:tcPr>
            <w:tcW w:w="2568" w:type="dxa"/>
          </w:tcPr>
          <w:p>
            <w:pPr>
              <w:spacing w:line="600" w:lineRule="exact"/>
              <w:rPr>
                <w:rFonts w:ascii="仿宋" w:hAnsi="仿宋" w:eastAsia="仿宋" w:cs="仿宋"/>
                <w:sz w:val="24"/>
              </w:rPr>
            </w:pPr>
            <w:r>
              <w:rPr>
                <w:rFonts w:hint="eastAsia" w:ascii="仿宋" w:hAnsi="仿宋" w:eastAsia="仿宋" w:cs="仿宋"/>
                <w:sz w:val="24"/>
              </w:rPr>
              <w:t>肉类、家禽类</w:t>
            </w:r>
          </w:p>
        </w:tc>
        <w:tc>
          <w:tcPr>
            <w:tcW w:w="8938" w:type="dxa"/>
            <w:vAlign w:val="center"/>
          </w:tcPr>
          <w:p>
            <w:pPr>
              <w:rPr>
                <w:rFonts w:ascii="仿宋" w:hAnsi="仿宋" w:eastAsia="仿宋" w:cs="仿宋"/>
                <w:sz w:val="24"/>
                <w:u w:val="single"/>
              </w:rPr>
            </w:pPr>
            <w:r>
              <w:rPr>
                <w:rFonts w:hint="eastAsia" w:ascii="仿宋" w:hAnsi="仿宋" w:eastAsia="仿宋" w:cs="仿宋"/>
                <w:sz w:val="24"/>
                <w:u w:val="single"/>
              </w:rPr>
              <w:t xml:space="preserve">        %</w:t>
            </w:r>
          </w:p>
        </w:tc>
        <w:tc>
          <w:tcPr>
            <w:tcW w:w="2145" w:type="dxa"/>
            <w:vMerge w:val="restart"/>
            <w:vAlign w:val="center"/>
          </w:tcPr>
          <w:p>
            <w:pPr>
              <w:jc w:val="center"/>
              <w:rPr>
                <w:rFonts w:ascii="仿宋" w:hAnsi="仿宋" w:eastAsia="仿宋" w:cs="仿宋"/>
                <w:sz w:val="24"/>
                <w:u w:val="single"/>
              </w:rPr>
            </w:pPr>
            <w:r>
              <w:rPr>
                <w:rFonts w:hint="eastAsia" w:ascii="仿宋" w:hAnsi="仿宋" w:eastAsia="仿宋" w:cs="仿宋"/>
                <w:sz w:val="24"/>
                <w:u w:val="single"/>
              </w:rPr>
              <w:t>（投标报价为折扣率，非下浮率，各投标单位仔细阅读招标文件后，进行报价）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63" w:type="dxa"/>
            <w:vAlign w:val="center"/>
          </w:tcPr>
          <w:p>
            <w:pPr>
              <w:jc w:val="center"/>
              <w:rPr>
                <w:rFonts w:ascii="仿宋" w:hAnsi="仿宋" w:eastAsia="仿宋" w:cs="仿宋"/>
                <w:sz w:val="24"/>
              </w:rPr>
            </w:pPr>
            <w:r>
              <w:rPr>
                <w:rFonts w:hint="eastAsia" w:ascii="仿宋" w:hAnsi="仿宋" w:eastAsia="仿宋" w:cs="仿宋"/>
                <w:sz w:val="24"/>
              </w:rPr>
              <w:t>B</w:t>
            </w:r>
          </w:p>
        </w:tc>
        <w:tc>
          <w:tcPr>
            <w:tcW w:w="2568" w:type="dxa"/>
          </w:tcPr>
          <w:p>
            <w:pPr>
              <w:spacing w:line="600" w:lineRule="exact"/>
              <w:rPr>
                <w:rFonts w:ascii="仿宋" w:hAnsi="仿宋" w:eastAsia="仿宋" w:cs="仿宋"/>
                <w:sz w:val="24"/>
              </w:rPr>
            </w:pPr>
            <w:r>
              <w:rPr>
                <w:rFonts w:hint="eastAsia" w:ascii="仿宋" w:hAnsi="仿宋" w:eastAsia="仿宋" w:cs="仿宋"/>
                <w:sz w:val="24"/>
              </w:rPr>
              <w:t>水产类</w:t>
            </w:r>
          </w:p>
        </w:tc>
        <w:tc>
          <w:tcPr>
            <w:tcW w:w="8938" w:type="dxa"/>
            <w:vAlign w:val="center"/>
          </w:tcPr>
          <w:p>
            <w:pPr>
              <w:jc w:val="left"/>
              <w:rPr>
                <w:rFonts w:ascii="仿宋" w:hAnsi="仿宋" w:eastAsia="仿宋" w:cs="仿宋"/>
                <w:sz w:val="24"/>
                <w:u w:val="single"/>
              </w:rPr>
            </w:pPr>
            <w:r>
              <w:rPr>
                <w:rFonts w:hint="eastAsia" w:ascii="仿宋" w:hAnsi="仿宋" w:eastAsia="仿宋" w:cs="仿宋"/>
                <w:sz w:val="24"/>
                <w:u w:val="single"/>
              </w:rPr>
              <w:t xml:space="preserve">        %</w:t>
            </w:r>
          </w:p>
        </w:tc>
        <w:tc>
          <w:tcPr>
            <w:tcW w:w="2145" w:type="dxa"/>
            <w:vMerge w:val="continue"/>
            <w:vAlign w:val="center"/>
          </w:tcPr>
          <w:p>
            <w:pPr>
              <w:jc w:val="center"/>
              <w:rPr>
                <w:rFonts w:ascii="仿宋" w:hAnsi="仿宋" w:eastAsia="仿宋"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3" w:type="dxa"/>
            <w:vAlign w:val="center"/>
          </w:tcPr>
          <w:p>
            <w:pPr>
              <w:jc w:val="center"/>
              <w:rPr>
                <w:rFonts w:ascii="仿宋" w:hAnsi="仿宋" w:eastAsia="仿宋" w:cs="仿宋"/>
                <w:sz w:val="24"/>
              </w:rPr>
            </w:pPr>
            <w:r>
              <w:rPr>
                <w:rFonts w:hint="eastAsia" w:ascii="仿宋" w:hAnsi="仿宋" w:eastAsia="仿宋" w:cs="仿宋"/>
                <w:sz w:val="24"/>
              </w:rPr>
              <w:t>C</w:t>
            </w:r>
          </w:p>
        </w:tc>
        <w:tc>
          <w:tcPr>
            <w:tcW w:w="2568" w:type="dxa"/>
          </w:tcPr>
          <w:p>
            <w:pPr>
              <w:spacing w:line="600" w:lineRule="exact"/>
              <w:rPr>
                <w:rFonts w:ascii="仿宋" w:hAnsi="仿宋" w:eastAsia="仿宋" w:cs="仿宋"/>
                <w:sz w:val="24"/>
              </w:rPr>
            </w:pPr>
            <w:r>
              <w:rPr>
                <w:rFonts w:hint="eastAsia" w:ascii="仿宋" w:hAnsi="仿宋" w:eastAsia="仿宋" w:cs="仿宋"/>
                <w:sz w:val="24"/>
              </w:rPr>
              <w:t>果蔬类</w:t>
            </w:r>
          </w:p>
        </w:tc>
        <w:tc>
          <w:tcPr>
            <w:tcW w:w="8938" w:type="dxa"/>
            <w:vAlign w:val="center"/>
          </w:tcPr>
          <w:p>
            <w:pPr>
              <w:rPr>
                <w:rFonts w:ascii="仿宋" w:hAnsi="仿宋" w:eastAsia="仿宋" w:cs="仿宋"/>
                <w:sz w:val="24"/>
                <w:u w:val="single"/>
              </w:rPr>
            </w:pPr>
            <w:r>
              <w:rPr>
                <w:rFonts w:hint="eastAsia" w:ascii="仿宋" w:hAnsi="仿宋" w:eastAsia="仿宋" w:cs="仿宋"/>
                <w:sz w:val="24"/>
                <w:u w:val="single"/>
              </w:rPr>
              <w:t xml:space="preserve">        %</w:t>
            </w:r>
          </w:p>
        </w:tc>
        <w:tc>
          <w:tcPr>
            <w:tcW w:w="2145" w:type="dxa"/>
            <w:vMerge w:val="continue"/>
            <w:vAlign w:val="center"/>
          </w:tcPr>
          <w:p>
            <w:pPr>
              <w:jc w:val="center"/>
              <w:rPr>
                <w:rFonts w:ascii="仿宋" w:hAnsi="仿宋" w:eastAsia="仿宋"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63" w:type="dxa"/>
            <w:vAlign w:val="center"/>
          </w:tcPr>
          <w:p>
            <w:pPr>
              <w:jc w:val="center"/>
              <w:rPr>
                <w:rFonts w:ascii="仿宋" w:hAnsi="仿宋" w:eastAsia="仿宋" w:cs="仿宋"/>
                <w:sz w:val="24"/>
              </w:rPr>
            </w:pPr>
            <w:r>
              <w:rPr>
                <w:rFonts w:hint="eastAsia" w:ascii="仿宋" w:hAnsi="仿宋" w:eastAsia="仿宋" w:cs="仿宋"/>
                <w:sz w:val="24"/>
              </w:rPr>
              <w:t>D</w:t>
            </w:r>
          </w:p>
        </w:tc>
        <w:tc>
          <w:tcPr>
            <w:tcW w:w="2568" w:type="dxa"/>
          </w:tcPr>
          <w:p>
            <w:pPr>
              <w:rPr>
                <w:rFonts w:ascii="仿宋" w:hAnsi="仿宋" w:eastAsia="仿宋" w:cs="仿宋"/>
                <w:sz w:val="24"/>
              </w:rPr>
            </w:pPr>
            <w:r>
              <w:rPr>
                <w:rFonts w:hint="eastAsia" w:ascii="仿宋" w:hAnsi="仿宋" w:eastAsia="仿宋" w:cs="仿宋"/>
                <w:sz w:val="24"/>
              </w:rPr>
              <w:t>其他类（包括调味品类、干货类、豆制品类、冷冻品类、牛奶）</w:t>
            </w:r>
          </w:p>
        </w:tc>
        <w:tc>
          <w:tcPr>
            <w:tcW w:w="8938" w:type="dxa"/>
            <w:vAlign w:val="center"/>
          </w:tcPr>
          <w:p>
            <w:pPr>
              <w:rPr>
                <w:rFonts w:ascii="仿宋" w:hAnsi="仿宋" w:eastAsia="仿宋" w:cs="仿宋"/>
                <w:sz w:val="24"/>
                <w:u w:val="single"/>
              </w:rPr>
            </w:pPr>
            <w:r>
              <w:rPr>
                <w:rFonts w:hint="eastAsia" w:ascii="仿宋" w:hAnsi="仿宋" w:eastAsia="仿宋" w:cs="仿宋"/>
                <w:sz w:val="24"/>
                <w:u w:val="single"/>
              </w:rPr>
              <w:t xml:space="preserve">        %</w:t>
            </w:r>
          </w:p>
        </w:tc>
        <w:tc>
          <w:tcPr>
            <w:tcW w:w="2145" w:type="dxa"/>
            <w:vMerge w:val="continue"/>
            <w:vAlign w:val="center"/>
          </w:tcPr>
          <w:p>
            <w:pPr>
              <w:jc w:val="center"/>
              <w:rPr>
                <w:rFonts w:ascii="仿宋" w:hAnsi="仿宋" w:eastAsia="仿宋"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63" w:type="dxa"/>
            <w:vAlign w:val="center"/>
          </w:tcPr>
          <w:p>
            <w:pPr>
              <w:jc w:val="center"/>
              <w:rPr>
                <w:rFonts w:ascii="仿宋" w:hAnsi="仿宋" w:eastAsia="仿宋" w:cs="仿宋"/>
                <w:sz w:val="24"/>
              </w:rPr>
            </w:pPr>
            <w:r>
              <w:rPr>
                <w:rFonts w:hint="eastAsia" w:ascii="仿宋" w:hAnsi="仿宋" w:eastAsia="仿宋" w:cs="仿宋"/>
                <w:sz w:val="24"/>
              </w:rPr>
              <w:t>E</w:t>
            </w:r>
          </w:p>
        </w:tc>
        <w:tc>
          <w:tcPr>
            <w:tcW w:w="2568" w:type="dxa"/>
          </w:tcPr>
          <w:p>
            <w:pPr>
              <w:rPr>
                <w:rFonts w:ascii="仿宋" w:hAnsi="仿宋" w:eastAsia="仿宋" w:cs="仿宋"/>
                <w:sz w:val="24"/>
              </w:rPr>
            </w:pPr>
            <w:r>
              <w:rPr>
                <w:rFonts w:hint="eastAsia" w:ascii="仿宋" w:hAnsi="仿宋" w:eastAsia="仿宋" w:cs="仿宋"/>
                <w:sz w:val="24"/>
              </w:rPr>
              <w:t>粮油类（包括米、面粉、食用油等）</w:t>
            </w:r>
          </w:p>
        </w:tc>
        <w:tc>
          <w:tcPr>
            <w:tcW w:w="8938" w:type="dxa"/>
            <w:vAlign w:val="center"/>
          </w:tcPr>
          <w:p>
            <w:pPr>
              <w:rPr>
                <w:rFonts w:ascii="仿宋" w:hAnsi="仿宋" w:eastAsia="仿宋" w:cs="仿宋"/>
                <w:sz w:val="24"/>
                <w:u w:val="single"/>
              </w:rPr>
            </w:pPr>
            <w:r>
              <w:rPr>
                <w:rFonts w:hint="eastAsia" w:ascii="仿宋" w:hAnsi="仿宋" w:eastAsia="仿宋" w:cs="仿宋"/>
                <w:sz w:val="24"/>
                <w:u w:val="single"/>
              </w:rPr>
              <w:t xml:space="preserve">        %</w:t>
            </w:r>
          </w:p>
        </w:tc>
        <w:tc>
          <w:tcPr>
            <w:tcW w:w="2145" w:type="dxa"/>
            <w:vMerge w:val="continue"/>
            <w:vAlign w:val="center"/>
          </w:tcPr>
          <w:p>
            <w:pPr>
              <w:jc w:val="center"/>
              <w:rPr>
                <w:rFonts w:ascii="仿宋" w:hAnsi="仿宋" w:eastAsia="仿宋" w:cs="仿宋"/>
                <w:sz w:val="24"/>
                <w:u w:val="single"/>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pStyle w:val="375"/>
        <w:tabs>
          <w:tab w:val="clear" w:pos="720"/>
        </w:tabs>
        <w:snapToGrid w:val="0"/>
        <w:spacing w:before="120" w:after="120"/>
        <w:jc w:val="both"/>
        <w:outlineLvl w:val="9"/>
        <w:rPr>
          <w:rFonts w:ascii="宋体" w:hAnsi="宋体" w:eastAsia="宋体" w:cs="宋体"/>
          <w:kern w:val="2"/>
          <w:sz w:val="32"/>
          <w:szCs w:val="32"/>
        </w:rPr>
      </w:pP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jc w:val="both"/>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9" w:name="OLE_LINK14"/>
      <w:bookmarkStart w:id="510" w:name="OLE_LINK13"/>
      <w:r>
        <w:rPr>
          <w:rFonts w:hint="eastAsia" w:ascii="宋体" w:hAnsi="宋体" w:cs="宋体"/>
          <w:b/>
          <w:spacing w:val="6"/>
          <w:sz w:val="32"/>
          <w:szCs w:val="32"/>
        </w:rPr>
        <w:t>残疾人福利性单位声明函</w:t>
      </w:r>
    </w:p>
    <w:bookmarkEnd w:id="509"/>
    <w:bookmarkEnd w:id="510"/>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1"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1"/>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2"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2"/>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3"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3"/>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仿宋"/>
    <w:panose1 w:val="02010509060101010101"/>
    <w:charset w:val="86"/>
    <w:family w:val="auto"/>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0000009F" w:csb1="00000000"/>
  </w:font>
  <w:font w:name="FHLHE E+ Futura Bk">
    <w:altName w:val="仿宋"/>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Microsoft YaHei UI 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4" w:name="_Toc91899912"/>
    <w:bookmarkStart w:id="515" w:name="_Toc36110187"/>
    <w:bookmarkStart w:id="516" w:name="_Toc164085800"/>
    <w:bookmarkStart w:id="517" w:name="_Toc13184514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A1CEA"/>
    <w:multiLevelType w:val="singleLevel"/>
    <w:tmpl w:val="CE4A1CEA"/>
    <w:lvl w:ilvl="0" w:tentative="0">
      <w:start w:val="1"/>
      <w:numFmt w:val="decimal"/>
      <w:suff w:val="nothing"/>
      <w:lvlText w:val="%1、"/>
      <w:lvlJc w:val="left"/>
    </w:lvl>
  </w:abstractNum>
  <w:abstractNum w:abstractNumId="1">
    <w:nsid w:val="454B044C"/>
    <w:multiLevelType w:val="multilevel"/>
    <w:tmpl w:val="454B044C"/>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chineseCountingThousand"/>
      <w:suff w:val="nothing"/>
      <w:lvlText w:val="（%5）"/>
      <w:lvlJc w:val="left"/>
      <w:pPr>
        <w:ind w:left="0" w:firstLine="0"/>
      </w:pPr>
      <w:rPr>
        <w:rFonts w:hint="eastAsia"/>
      </w:rPr>
    </w:lvl>
    <w:lvl w:ilvl="5" w:tentative="0">
      <w:start w:val="1"/>
      <w:numFmt w:val="decimal"/>
      <w:pStyle w:val="618"/>
      <w:isLgl/>
      <w:suff w:val="nothing"/>
      <w:lvlText w:val="（%6）"/>
      <w:lvlJc w:val="left"/>
      <w:pPr>
        <w:ind w:left="176" w:firstLine="454"/>
      </w:pPr>
      <w:rPr>
        <w:rFonts w:hint="eastAsia"/>
      </w:rPr>
    </w:lvl>
    <w:lvl w:ilvl="6" w:tentative="0">
      <w:start w:val="1"/>
      <w:numFmt w:val="decimal"/>
      <w:suff w:val="nothing"/>
      <w:lvlText w:val="%7）"/>
      <w:lvlJc w:val="left"/>
      <w:pPr>
        <w:ind w:left="0" w:firstLine="907"/>
      </w:pPr>
      <w:rPr>
        <w:rFonts w:hint="eastAsia"/>
      </w:rPr>
    </w:lvl>
    <w:lvl w:ilvl="7" w:tentative="0">
      <w:start w:val="1"/>
      <w:numFmt w:val="decimal"/>
      <w:lvlRestart w:val="0"/>
      <w:isLgl/>
      <w:suff w:val="space"/>
      <w:lvlText w:val="图%8"/>
      <w:lvlJc w:val="left"/>
      <w:pPr>
        <w:ind w:left="0" w:firstLine="0"/>
      </w:pPr>
      <w:rPr>
        <w:rFonts w:hint="eastAsia"/>
      </w:rPr>
    </w:lvl>
    <w:lvl w:ilvl="8" w:tentative="0">
      <w:start w:val="1"/>
      <w:numFmt w:val="decimal"/>
      <w:lvlRestart w:val="0"/>
      <w:isLgl/>
      <w:suff w:val="space"/>
      <w:lvlText w:val="表%9"/>
      <w:lvlJc w:val="left"/>
      <w:pPr>
        <w:ind w:left="0" w:firstLine="0"/>
      </w:pPr>
      <w:rPr>
        <w:rFonts w:hint="eastAsia"/>
      </w:rPr>
    </w:lvl>
  </w:abstractNum>
  <w:abstractNum w:abstractNumId="2">
    <w:nsid w:val="46EA25EC"/>
    <w:multiLevelType w:val="singleLevel"/>
    <w:tmpl w:val="46EA25EC"/>
    <w:lvl w:ilvl="0" w:tentative="0">
      <w:start w:val="1"/>
      <w:numFmt w:val="decimal"/>
      <w:suff w:val="nothing"/>
      <w:lvlText w:val="%1、"/>
      <w:lvlJc w:val="left"/>
    </w:lvl>
  </w:abstractNum>
  <w:abstractNum w:abstractNumId="3">
    <w:nsid w:val="71F8DEB6"/>
    <w:multiLevelType w:val="singleLevel"/>
    <w:tmpl w:val="71F8DEB6"/>
    <w:lvl w:ilvl="0" w:tentative="0">
      <w:start w:val="7"/>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wOWNjZTgzYWM0MjBkMTdiNTY3MDBhODQyNTMzYj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4B6"/>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F00"/>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C4B"/>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BF9"/>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3F4"/>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B54B1D"/>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8D6748"/>
    <w:rsid w:val="0DA01C73"/>
    <w:rsid w:val="0DD63300"/>
    <w:rsid w:val="0DEA4BEB"/>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1314E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36013"/>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C95FD9"/>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03C02"/>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4447D"/>
    <w:rsid w:val="354D7158"/>
    <w:rsid w:val="358D5588"/>
    <w:rsid w:val="35FBE83F"/>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A754F7"/>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0C28EB"/>
    <w:rsid w:val="4019356B"/>
    <w:rsid w:val="40592157"/>
    <w:rsid w:val="406E1CAE"/>
    <w:rsid w:val="40A0133A"/>
    <w:rsid w:val="40C31A53"/>
    <w:rsid w:val="40FF545D"/>
    <w:rsid w:val="410067C8"/>
    <w:rsid w:val="418F0D2A"/>
    <w:rsid w:val="41CB3AD8"/>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294080"/>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147660"/>
    <w:rsid w:val="4C245A30"/>
    <w:rsid w:val="4CB6685F"/>
    <w:rsid w:val="4CC367FE"/>
    <w:rsid w:val="4D077F3C"/>
    <w:rsid w:val="4D123355"/>
    <w:rsid w:val="4D2A3B31"/>
    <w:rsid w:val="4D312C52"/>
    <w:rsid w:val="4D5FF8F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6088E"/>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3F1955"/>
    <w:rsid w:val="566B6D1E"/>
    <w:rsid w:val="56D12529"/>
    <w:rsid w:val="57032A2C"/>
    <w:rsid w:val="570F5219"/>
    <w:rsid w:val="575D12B5"/>
    <w:rsid w:val="57610A87"/>
    <w:rsid w:val="577B1140"/>
    <w:rsid w:val="577B7F21"/>
    <w:rsid w:val="577F181B"/>
    <w:rsid w:val="57921984"/>
    <w:rsid w:val="57925AB5"/>
    <w:rsid w:val="579737F0"/>
    <w:rsid w:val="57AB7B30"/>
    <w:rsid w:val="57AF5251"/>
    <w:rsid w:val="57B26373"/>
    <w:rsid w:val="57B63F04"/>
    <w:rsid w:val="57CD20C2"/>
    <w:rsid w:val="57D675AB"/>
    <w:rsid w:val="57D95FDD"/>
    <w:rsid w:val="584D5B8D"/>
    <w:rsid w:val="58917D2F"/>
    <w:rsid w:val="5894085C"/>
    <w:rsid w:val="58AE4F0C"/>
    <w:rsid w:val="58B85899"/>
    <w:rsid w:val="58E363A9"/>
    <w:rsid w:val="595E1678"/>
    <w:rsid w:val="596D5BD4"/>
    <w:rsid w:val="597E3DD8"/>
    <w:rsid w:val="59F80043"/>
    <w:rsid w:val="5A0742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5339C"/>
    <w:rsid w:val="5C2A048C"/>
    <w:rsid w:val="5C80234E"/>
    <w:rsid w:val="5C8A680C"/>
    <w:rsid w:val="5CA520E3"/>
    <w:rsid w:val="5CD53BE9"/>
    <w:rsid w:val="5D0C4701"/>
    <w:rsid w:val="5D0F0395"/>
    <w:rsid w:val="5D221076"/>
    <w:rsid w:val="5D397964"/>
    <w:rsid w:val="5D5A391C"/>
    <w:rsid w:val="5D5F10C0"/>
    <w:rsid w:val="5D891B7B"/>
    <w:rsid w:val="5D8B3B05"/>
    <w:rsid w:val="5DAD38EE"/>
    <w:rsid w:val="5DDBB669"/>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8D180C"/>
    <w:rsid w:val="5FCC5339"/>
    <w:rsid w:val="5FE07D05"/>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464C58"/>
    <w:rsid w:val="668B6A45"/>
    <w:rsid w:val="67011F07"/>
    <w:rsid w:val="672F3F24"/>
    <w:rsid w:val="673E055F"/>
    <w:rsid w:val="67551CE3"/>
    <w:rsid w:val="67A22552"/>
    <w:rsid w:val="67B22DCC"/>
    <w:rsid w:val="67BE71AA"/>
    <w:rsid w:val="67D90273"/>
    <w:rsid w:val="67DD259F"/>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ECAE7"/>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99025F"/>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BEC7EB"/>
    <w:rsid w:val="77D1700D"/>
    <w:rsid w:val="77DC58AE"/>
    <w:rsid w:val="77EC04CC"/>
    <w:rsid w:val="78775729"/>
    <w:rsid w:val="78A42DB0"/>
    <w:rsid w:val="78A656AB"/>
    <w:rsid w:val="78B2245C"/>
    <w:rsid w:val="78E172CC"/>
    <w:rsid w:val="78EA1D1F"/>
    <w:rsid w:val="7904172F"/>
    <w:rsid w:val="790F7E27"/>
    <w:rsid w:val="791A4F02"/>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BFD80B"/>
    <w:rsid w:val="A717BF1B"/>
    <w:rsid w:val="B579B181"/>
    <w:rsid w:val="B77FFEE3"/>
    <w:rsid w:val="BB7FA927"/>
    <w:rsid w:val="CBFDEF3D"/>
    <w:rsid w:val="E3FB5808"/>
    <w:rsid w:val="E77DD540"/>
    <w:rsid w:val="F5FFD31F"/>
    <w:rsid w:val="F995E3D6"/>
    <w:rsid w:val="FEFFC1DA"/>
    <w:rsid w:val="FFF75741"/>
    <w:rsid w:val="FFF8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653"/>
    <w:qFormat/>
    <w:uiPriority w:val="0"/>
    <w:pPr>
      <w:adjustRightInd/>
      <w:spacing w:after="120" w:line="240" w:lineRule="auto"/>
      <w:ind w:left="420" w:leftChars="200" w:firstLine="210"/>
    </w:pPr>
    <w:rPr>
      <w:sz w:val="21"/>
    </w:rPr>
  </w:style>
  <w:style w:type="paragraph" w:styleId="3">
    <w:name w:val="Body Text Indent"/>
    <w:basedOn w:val="1"/>
    <w:next w:val="2"/>
    <w:link w:val="781"/>
    <w:qFormat/>
    <w:uiPriority w:val="0"/>
    <w:pPr>
      <w:spacing w:line="480" w:lineRule="exact"/>
      <w:ind w:firstLine="480" w:firstLineChars="200"/>
    </w:pPr>
    <w:rPr>
      <w:rFonts w:ascii="宋体" w:hAnsi="宋体"/>
      <w:sz w:val="24"/>
    </w:rPr>
  </w:style>
  <w:style w:type="paragraph" w:styleId="7">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5"/>
    <w:qFormat/>
    <w:uiPriority w:val="0"/>
    <w:pPr>
      <w:shd w:val="clear" w:color="auto" w:fill="000080"/>
    </w:pPr>
  </w:style>
  <w:style w:type="paragraph" w:styleId="21">
    <w:name w:val="annotation text"/>
    <w:basedOn w:val="1"/>
    <w:link w:val="853"/>
    <w:qFormat/>
    <w:uiPriority w:val="99"/>
    <w:pPr>
      <w:jc w:val="left"/>
    </w:pPr>
  </w:style>
  <w:style w:type="paragraph" w:styleId="22">
    <w:name w:val="Salutation"/>
    <w:basedOn w:val="1"/>
    <w:next w:val="1"/>
    <w:link w:val="813"/>
    <w:qFormat/>
    <w:uiPriority w:val="0"/>
    <w:rPr>
      <w:rFonts w:ascii="仿宋_GB2312" w:eastAsia="仿宋_GB2312"/>
      <w:sz w:val="28"/>
      <w:szCs w:val="20"/>
    </w:rPr>
  </w:style>
  <w:style w:type="paragraph" w:styleId="23">
    <w:name w:val="Body Text 3"/>
    <w:basedOn w:val="1"/>
    <w:link w:val="84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0"/>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832"/>
    <w:qFormat/>
    <w:uiPriority w:val="0"/>
    <w:pPr>
      <w:ind w:firstLine="420"/>
    </w:pPr>
    <w:rPr>
      <w:rFonts w:hAnsi="Calibri" w:cs="Times New Roman"/>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7"/>
    <w:qFormat/>
    <w:uiPriority w:val="0"/>
    <w:pPr>
      <w:ind w:left="100" w:leftChars="2500"/>
    </w:pPr>
    <w:rPr>
      <w:rFonts w:ascii="宋体"/>
      <w:sz w:val="24"/>
      <w:szCs w:val="21"/>
      <w:lang w:val="zh-CN"/>
    </w:rPr>
  </w:style>
  <w:style w:type="paragraph" w:styleId="38">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9">
    <w:name w:val="endnote text"/>
    <w:basedOn w:val="1"/>
    <w:link w:val="938"/>
    <w:qFormat/>
    <w:uiPriority w:val="0"/>
    <w:rPr>
      <w:lang w:val="zh-CN"/>
    </w:rPr>
  </w:style>
  <w:style w:type="paragraph" w:styleId="40">
    <w:name w:val="Balloon Text"/>
    <w:basedOn w:val="1"/>
    <w:link w:val="714"/>
    <w:qFormat/>
    <w:uiPriority w:val="0"/>
    <w:rPr>
      <w:sz w:val="18"/>
      <w:szCs w:val="18"/>
    </w:rPr>
  </w:style>
  <w:style w:type="paragraph" w:styleId="41">
    <w:name w:val="footer"/>
    <w:basedOn w:val="1"/>
    <w:link w:val="889"/>
    <w:qFormat/>
    <w:uiPriority w:val="99"/>
    <w:pPr>
      <w:tabs>
        <w:tab w:val="center" w:pos="4153"/>
        <w:tab w:val="right" w:pos="8306"/>
      </w:tabs>
      <w:snapToGrid w:val="0"/>
      <w:jc w:val="left"/>
    </w:pPr>
    <w:rPr>
      <w:sz w:val="18"/>
      <w:szCs w:val="18"/>
    </w:rPr>
  </w:style>
  <w:style w:type="paragraph" w:styleId="42">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23"/>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0"/>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0">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1">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2">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3">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4">
    <w:name w:val="正文2"/>
    <w:basedOn w:val="1"/>
    <w:next w:val="44"/>
    <w:link w:val="662"/>
    <w:qFormat/>
    <w:uiPriority w:val="0"/>
    <w:pPr>
      <w:spacing w:before="156" w:line="360" w:lineRule="auto"/>
      <w:ind w:firstLine="510" w:firstLineChars="200"/>
    </w:pPr>
    <w:rPr>
      <w:sz w:val="24"/>
      <w:szCs w:val="20"/>
    </w:rPr>
  </w:style>
  <w:style w:type="paragraph" w:customStyle="1" w:styleId="85">
    <w:name w:val="无间隔1"/>
    <w:link w:val="670"/>
    <w:qFormat/>
    <w:uiPriority w:val="1"/>
    <w:rPr>
      <w:rFonts w:ascii="Times New Roman" w:hAnsi="Times New Roman" w:eastAsia="宋体" w:cs="Times New Roman"/>
      <w:sz w:val="22"/>
      <w:szCs w:val="22"/>
      <w:lang w:val="en-US" w:eastAsia="zh-CN" w:bidi="ar-SA"/>
    </w:rPr>
  </w:style>
  <w:style w:type="paragraph" w:customStyle="1" w:styleId="86">
    <w:name w:val="纯文本_0_0"/>
    <w:basedOn w:val="87"/>
    <w:link w:val="678"/>
    <w:qFormat/>
    <w:uiPriority w:val="0"/>
    <w:rPr>
      <w:rFonts w:ascii="宋体" w:hAnsi="Courier New"/>
      <w:szCs w:val="21"/>
    </w:rPr>
  </w:style>
  <w:style w:type="paragraph" w:customStyle="1" w:styleId="8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89">
    <w:name w:val="表格名称"/>
    <w:basedOn w:val="5"/>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0">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1">
    <w:name w:val="3级"/>
    <w:basedOn w:val="92"/>
    <w:link w:val="723"/>
    <w:qFormat/>
    <w:uiPriority w:val="0"/>
    <w:pPr>
      <w:ind w:left="0" w:right="466" w:firstLine="288"/>
    </w:pPr>
    <w:rPr>
      <w:rFonts w:hAnsi="宋体"/>
    </w:rPr>
  </w:style>
  <w:style w:type="paragraph" w:customStyle="1" w:styleId="92">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3">
    <w:name w:val="标题4-dyf"/>
    <w:basedOn w:val="8"/>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4">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5">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6">
    <w:name w:val="正文样式"/>
    <w:basedOn w:val="1"/>
    <w:link w:val="765"/>
    <w:qFormat/>
    <w:uiPriority w:val="0"/>
    <w:pPr>
      <w:adjustRightInd/>
      <w:spacing w:line="360" w:lineRule="auto"/>
      <w:ind w:firstLine="480" w:firstLineChars="200"/>
    </w:pPr>
    <w:rPr>
      <w:kern w:val="0"/>
      <w:sz w:val="24"/>
    </w:rPr>
  </w:style>
  <w:style w:type="paragraph" w:customStyle="1" w:styleId="97">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列表段落1"/>
    <w:basedOn w:val="1"/>
    <w:qFormat/>
    <w:uiPriority w:val="34"/>
    <w:pPr>
      <w:spacing w:line="360" w:lineRule="auto"/>
      <w:ind w:firstLine="200" w:firstLineChars="200"/>
    </w:pPr>
    <w:rPr>
      <w:rFonts w:eastAsia="楷体_GB2312" w:cs="Lucida Sans"/>
      <w:sz w:val="24"/>
    </w:rPr>
  </w:style>
  <w:style w:type="paragraph" w:customStyle="1" w:styleId="100">
    <w:name w:val="此正文"/>
    <w:basedOn w:val="1"/>
    <w:link w:val="796"/>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18"/>
    <w:qFormat/>
    <w:uiPriority w:val="0"/>
    <w:pPr>
      <w:tabs>
        <w:tab w:val="left" w:pos="2356"/>
      </w:tabs>
    </w:pPr>
  </w:style>
  <w:style w:type="paragraph" w:customStyle="1" w:styleId="102">
    <w:name w:val="样式 标题 4h4H4Fab-4T5Ref Heading 1rh1Heading sqlsect 1.2.3...."/>
    <w:basedOn w:val="8"/>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31"/>
    <w:qFormat/>
    <w:uiPriority w:val="0"/>
    <w:pPr>
      <w:adjustRightInd/>
    </w:pPr>
    <w:rPr>
      <w:rFonts w:ascii="宋体" w:hAnsi="Courier New"/>
      <w:kern w:val="0"/>
      <w:sz w:val="20"/>
      <w:szCs w:val="20"/>
    </w:rPr>
  </w:style>
  <w:style w:type="paragraph" w:customStyle="1" w:styleId="105">
    <w:name w:val="正文说明"/>
    <w:basedOn w:val="1"/>
    <w:link w:val="843"/>
    <w:qFormat/>
    <w:uiPriority w:val="0"/>
    <w:pPr>
      <w:adjustRightInd/>
      <w:spacing w:line="360" w:lineRule="auto"/>
    </w:pPr>
    <w:rPr>
      <w:kern w:val="0"/>
      <w:sz w:val="24"/>
    </w:rPr>
  </w:style>
  <w:style w:type="paragraph" w:customStyle="1" w:styleId="106">
    <w:name w:val="Table Text"/>
    <w:basedOn w:val="1"/>
    <w:link w:val="849"/>
    <w:qFormat/>
    <w:uiPriority w:val="0"/>
    <w:pPr>
      <w:widowControl/>
      <w:spacing w:before="60" w:after="60"/>
      <w:jc w:val="left"/>
    </w:pPr>
    <w:rPr>
      <w:kern w:val="0"/>
      <w:sz w:val="24"/>
    </w:rPr>
  </w:style>
  <w:style w:type="paragraph" w:customStyle="1" w:styleId="107">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2">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7"/>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8"/>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qFormat/>
    <w:uiPriority w:val="0"/>
    <w:pPr>
      <w:spacing w:before="120" w:line="360" w:lineRule="auto"/>
      <w:ind w:firstLine="567"/>
    </w:pPr>
    <w:rPr>
      <w:rFonts w:ascii="Arial" w:hAnsi="Arial"/>
      <w:sz w:val="20"/>
      <w:szCs w:val="20"/>
    </w:rPr>
  </w:style>
  <w:style w:type="paragraph" w:customStyle="1" w:styleId="12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3">
    <w:name w:val="封面公司名"/>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qFormat/>
    <w:uiPriority w:val="0"/>
    <w:pPr>
      <w:adjustRightInd/>
      <w:ind w:firstLine="200" w:firstLineChars="200"/>
    </w:pPr>
    <w:rPr>
      <w:rFonts w:ascii="Tahoma" w:hAnsi="Tahoma"/>
      <w:sz w:val="24"/>
      <w:szCs w:val="20"/>
    </w:rPr>
  </w:style>
  <w:style w:type="paragraph" w:customStyle="1" w:styleId="1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qFormat/>
    <w:uiPriority w:val="0"/>
    <w:pPr>
      <w:tabs>
        <w:tab w:val="left" w:pos="360"/>
      </w:tabs>
    </w:pPr>
    <w:rPr>
      <w:sz w:val="24"/>
      <w:szCs w:val="20"/>
    </w:rPr>
  </w:style>
  <w:style w:type="paragraph" w:customStyle="1" w:styleId="138">
    <w:name w:val="Char Char11 Char Char Char"/>
    <w:basedOn w:val="1"/>
    <w:qFormat/>
    <w:uiPriority w:val="0"/>
    <w:pPr>
      <w:spacing w:line="360" w:lineRule="auto"/>
    </w:pPr>
    <w:rPr>
      <w:szCs w:val="20"/>
    </w:rPr>
  </w:style>
  <w:style w:type="paragraph" w:customStyle="1" w:styleId="13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qFormat/>
    <w:uiPriority w:val="0"/>
    <w:pPr>
      <w:tabs>
        <w:tab w:val="left" w:pos="2790"/>
        <w:tab w:val="left" w:pos="4230"/>
      </w:tabs>
      <w:spacing w:before="312" w:beforeLines="100"/>
      <w:jc w:val="left"/>
    </w:pPr>
  </w:style>
  <w:style w:type="paragraph" w:customStyle="1" w:styleId="14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qFormat/>
    <w:uiPriority w:val="0"/>
    <w:pPr>
      <w:tabs>
        <w:tab w:val="left" w:pos="840"/>
      </w:tabs>
      <w:ind w:left="840" w:hanging="420"/>
    </w:pPr>
    <w:rPr>
      <w:rFonts w:ascii="Tahoma" w:hAnsi="Tahoma"/>
      <w:sz w:val="24"/>
    </w:rPr>
  </w:style>
  <w:style w:type="paragraph" w:customStyle="1" w:styleId="14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qFormat/>
    <w:uiPriority w:val="0"/>
    <w:pPr>
      <w:adjustRightInd/>
      <w:spacing w:before="156" w:line="360" w:lineRule="auto"/>
      <w:ind w:firstLine="510" w:firstLineChars="200"/>
    </w:pPr>
    <w:rPr>
      <w:sz w:val="24"/>
      <w:szCs w:val="20"/>
    </w:rPr>
  </w:style>
  <w:style w:type="paragraph" w:customStyle="1" w:styleId="14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qFormat/>
    <w:uiPriority w:val="0"/>
    <w:rPr>
      <w:rFonts w:ascii="仿宋_GB2312" w:eastAsia="仿宋_GB2312"/>
      <w:b/>
      <w:sz w:val="32"/>
      <w:szCs w:val="32"/>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9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9"/>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6"/>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9"/>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4"/>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6"/>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8"/>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5"/>
    <w:next w:val="95"/>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5"/>
    <w:next w:val="95"/>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7"/>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4"/>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8"/>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6"/>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5"/>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0"/>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9"/>
    <w:next w:val="1"/>
    <w:qFormat/>
    <w:uiPriority w:val="0"/>
    <w:pPr>
      <w:tabs>
        <w:tab w:val="left" w:pos="1080"/>
        <w:tab w:val="clear" w:pos="1008"/>
      </w:tabs>
      <w:ind w:left="1080" w:hanging="1080"/>
    </w:pPr>
  </w:style>
  <w:style w:type="paragraph" w:customStyle="1" w:styleId="579">
    <w:name w:val="数字标题1"/>
    <w:basedOn w:val="4"/>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5"/>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编号2"/>
    <w:qFormat/>
    <w:uiPriority w:val="3"/>
    <w:pPr>
      <w:widowControl w:val="0"/>
      <w:numPr>
        <w:ilvl w:val="5"/>
        <w:numId w:val="1"/>
      </w:numPr>
      <w:spacing w:line="360" w:lineRule="auto"/>
    </w:pPr>
    <w:rPr>
      <w:rFonts w:ascii="Calibri" w:hAnsi="Calibri" w:eastAsia="宋体" w:cs="Times New Roman"/>
      <w:bCs/>
      <w:kern w:val="2"/>
      <w:sz w:val="24"/>
      <w:szCs w:val="28"/>
      <w:lang w:val="en-US" w:eastAsia="zh-CN" w:bidi="ar-SA"/>
    </w:rPr>
  </w:style>
  <w:style w:type="character" w:customStyle="1" w:styleId="619">
    <w:name w:val="表格非标题文字 Char"/>
    <w:link w:val="79"/>
    <w:qFormat/>
    <w:uiPriority w:val="0"/>
    <w:rPr>
      <w:rFonts w:ascii="Futura Bk" w:hAnsi="Futura Bk"/>
      <w:kern w:val="2"/>
      <w:sz w:val="18"/>
      <w:szCs w:val="21"/>
      <w:lang w:val="en-US" w:eastAsia="zh-CN" w:bidi="ar-SA"/>
    </w:rPr>
  </w:style>
  <w:style w:type="character" w:customStyle="1" w:styleId="620">
    <w:name w:val="*正文 Char"/>
    <w:link w:val="80"/>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1"/>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字符"/>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2"/>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3"/>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文本首行缩进 2 字符"/>
    <w:link w:val="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4"/>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字符"/>
    <w:link w:val="48"/>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5"/>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字符"/>
    <w:link w:val="10"/>
    <w:qFormat/>
    <w:uiPriority w:val="0"/>
    <w:rPr>
      <w:rFonts w:ascii="Arial" w:hAnsi="Arial" w:eastAsia="黑体"/>
      <w:b/>
      <w:bCs/>
      <w:kern w:val="2"/>
      <w:sz w:val="24"/>
      <w:szCs w:val="24"/>
    </w:rPr>
  </w:style>
  <w:style w:type="character" w:customStyle="1" w:styleId="678">
    <w:name w:val="纯文本 Char_0"/>
    <w:link w:val="86"/>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8"/>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89"/>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字符"/>
    <w:link w:val="37"/>
    <w:qFormat/>
    <w:uiPriority w:val="0"/>
    <w:rPr>
      <w:rFonts w:ascii="宋体"/>
      <w:kern w:val="2"/>
      <w:sz w:val="24"/>
      <w:szCs w:val="21"/>
      <w:lang w:val="zh-CN"/>
    </w:rPr>
  </w:style>
  <w:style w:type="character" w:customStyle="1" w:styleId="708">
    <w:name w:val="标题 9 字符"/>
    <w:link w:val="13"/>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字符1"/>
    <w:link w:val="40"/>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0"/>
    <w:qFormat/>
    <w:locked/>
    <w:uiPriority w:val="0"/>
    <w:rPr>
      <w:rFonts w:ascii="Tahoma" w:hAnsi="Tahoma"/>
      <w:sz w:val="24"/>
      <w:szCs w:val="24"/>
    </w:rPr>
  </w:style>
  <w:style w:type="character" w:customStyle="1" w:styleId="718">
    <w:name w:val="正文缩进 字符2"/>
    <w:link w:val="7"/>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1"/>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字符"/>
    <w:link w:val="20"/>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字符"/>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3"/>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4"/>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字符"/>
    <w:link w:val="18"/>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5"/>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6"/>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7"/>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8"/>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字符1"/>
    <w:link w:val="3"/>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0"/>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字符1"/>
    <w:link w:val="4"/>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字符"/>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字符"/>
    <w:link w:val="9"/>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字符"/>
    <w:link w:val="22"/>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字符"/>
    <w:link w:val="58"/>
    <w:qFormat/>
    <w:uiPriority w:val="0"/>
    <w:rPr>
      <w:rFonts w:ascii="黑体" w:hAnsi="Courier New" w:eastAsia="黑体"/>
    </w:rPr>
  </w:style>
  <w:style w:type="character" w:customStyle="1" w:styleId="817">
    <w:name w:val="正文文本 2 字符1"/>
    <w:link w:val="57"/>
    <w:qFormat/>
    <w:uiPriority w:val="0"/>
    <w:rPr>
      <w:kern w:val="2"/>
      <w:sz w:val="21"/>
      <w:szCs w:val="24"/>
    </w:rPr>
  </w:style>
  <w:style w:type="character" w:customStyle="1" w:styleId="818">
    <w:name w:val="样式 样式 标题 4h4H4Fab-4T5Ref Heading 1rh1Heading sqlsect 1.2.3.... +... Char"/>
    <w:link w:val="101"/>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字符"/>
    <w:link w:val="11"/>
    <w:qFormat/>
    <w:uiPriority w:val="0"/>
    <w:rPr>
      <w:b/>
      <w:bCs/>
      <w:kern w:val="2"/>
      <w:sz w:val="24"/>
      <w:szCs w:val="24"/>
    </w:rPr>
  </w:style>
  <w:style w:type="character" w:customStyle="1" w:styleId="821">
    <w:name w:val="正文文本缩进 2 字符"/>
    <w:link w:val="38"/>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字符"/>
    <w:link w:val="51"/>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3"/>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4"/>
    <w:qFormat/>
    <w:uiPriority w:val="0"/>
    <w:rPr>
      <w:rFonts w:ascii="宋体" w:hAnsi="Courier New"/>
    </w:rPr>
  </w:style>
  <w:style w:type="character" w:customStyle="1" w:styleId="832">
    <w:name w:val="正文文本首行缩进 字符"/>
    <w:link w:val="26"/>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字符1"/>
    <w:link w:val="8"/>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字符"/>
    <w:link w:val="23"/>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5"/>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6"/>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字符1"/>
    <w:link w:val="21"/>
    <w:qFormat/>
    <w:uiPriority w:val="99"/>
    <w:rPr>
      <w:kern w:val="2"/>
      <w:sz w:val="21"/>
      <w:szCs w:val="24"/>
    </w:rPr>
  </w:style>
  <w:style w:type="character" w:customStyle="1" w:styleId="854">
    <w:name w:val="签名 字符"/>
    <w:link w:val="43"/>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7"/>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8"/>
    <w:qFormat/>
    <w:uiPriority w:val="0"/>
    <w:rPr>
      <w:rFonts w:ascii="宋体"/>
    </w:rPr>
  </w:style>
  <w:style w:type="character" w:customStyle="1" w:styleId="865">
    <w:name w:val="标题 8 字符"/>
    <w:link w:val="12"/>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字符"/>
    <w:link w:val="54"/>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09"/>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字符2"/>
    <w:link w:val="41"/>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0"/>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字符2"/>
    <w:link w:val="42"/>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1"/>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2"/>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3"/>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2"/>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4"/>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5"/>
    <w:qFormat/>
    <w:uiPriority w:val="0"/>
    <w:rPr>
      <w:rFonts w:cs="宋体"/>
      <w:kern w:val="2"/>
      <w:sz w:val="24"/>
    </w:rPr>
  </w:style>
  <w:style w:type="character" w:customStyle="1" w:styleId="930">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字符"/>
    <w:link w:val="39"/>
    <w:qFormat/>
    <w:uiPriority w:val="0"/>
    <w:rPr>
      <w:kern w:val="2"/>
      <w:sz w:val="21"/>
      <w:szCs w:val="24"/>
      <w:lang w:val="zh-CN"/>
    </w:rPr>
  </w:style>
  <w:style w:type="character" w:customStyle="1" w:styleId="939">
    <w:name w:val="无间隔 Char"/>
    <w:link w:val="165"/>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74</Pages>
  <Words>34895</Words>
  <Characters>36764</Characters>
  <Lines>321</Lines>
  <Paragraphs>90</Paragraphs>
  <TotalTime>20</TotalTime>
  <ScaleCrop>false</ScaleCrop>
  <LinksUpToDate>false</LinksUpToDate>
  <CharactersWithSpaces>42309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2023-04-06T16:27:00Z</dcterms:created>
  <dc:creator>玥</dc:creator>
  <cp:lastModifiedBy>暹罗猫</cp:lastModifiedBy>
  <cp:lastPrinted>2021-12-27T19:06:00Z</cp:lastPrinted>
  <dcterms:modified xsi:type="dcterms:W3CDTF">2023-04-11T07:29:48Z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66A44CD83FF9432FAB215A24CCE5B62D</vt:lpwstr>
  </property>
</Properties>
</file>