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atLeast"/>
        <w:jc w:val="center"/>
        <w:textAlignment w:val="auto"/>
        <w:rPr>
          <w:rFonts w:hint="eastAsia" w:ascii="宋体" w:hAnsi="宋体" w:eastAsia="宋体" w:cs="宋体"/>
          <w:b/>
          <w:bCs/>
          <w:color w:val="000000"/>
          <w:spacing w:val="6"/>
          <w:sz w:val="44"/>
          <w:szCs w:val="44"/>
          <w:lang w:val="en-US" w:eastAsia="zh-CN"/>
        </w:rPr>
      </w:pPr>
      <w:r>
        <w:rPr>
          <w:rFonts w:hint="eastAsia" w:ascii="宋体" w:hAnsi="宋体" w:cs="宋体"/>
          <w:b/>
          <w:bCs/>
          <w:color w:val="000000"/>
          <w:spacing w:val="6"/>
          <w:sz w:val="36"/>
          <w:szCs w:val="36"/>
          <w:lang w:val="en-US" w:eastAsia="zh-CN"/>
        </w:rPr>
        <w:t>星桥街道道路市政养护项目</w:t>
      </w:r>
    </w:p>
    <w:p>
      <w:pPr>
        <w:pStyle w:val="62"/>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pPr>
        <w:pStyle w:val="62"/>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宋体" w:hAnsi="宋体" w:eastAsia="宋体" w:cs="宋体"/>
          <w:lang w:val="en-US" w:eastAsia="zh-CN"/>
        </w:rPr>
      </w:pPr>
    </w:p>
    <w:p>
      <w:pPr>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招标文件</w:t>
      </w:r>
    </w:p>
    <w:p>
      <w:pPr>
        <w:jc w:val="center"/>
        <w:rPr>
          <w:rFonts w:hint="eastAsia" w:ascii="宋体" w:hAnsi="宋体" w:eastAsia="宋体" w:cs="宋体"/>
          <w:b/>
          <w:bCs/>
          <w:sz w:val="44"/>
          <w:szCs w:val="44"/>
        </w:rPr>
      </w:pPr>
      <w:r>
        <w:rPr>
          <w:rFonts w:hint="eastAsia" w:ascii="宋体" w:hAnsi="宋体" w:eastAsia="宋体" w:cs="宋体"/>
          <w:b/>
          <w:bCs/>
          <w:sz w:val="44"/>
          <w:szCs w:val="44"/>
        </w:rPr>
        <w:t>（电子招投标）</w:t>
      </w:r>
    </w:p>
    <w:p>
      <w:pPr>
        <w:jc w:val="center"/>
        <w:rPr>
          <w:rFonts w:hint="eastAsia" w:ascii="宋体" w:hAnsi="宋体" w:eastAsia="宋体" w:cs="宋体"/>
          <w:b/>
          <w:bCs/>
          <w:sz w:val="32"/>
          <w:szCs w:val="32"/>
        </w:rPr>
      </w:pPr>
      <w:r>
        <w:rPr>
          <w:rFonts w:hint="eastAsia" w:ascii="宋体" w:hAnsi="宋体" w:eastAsia="宋体" w:cs="宋体"/>
          <w:b/>
          <w:bCs/>
          <w:sz w:val="32"/>
          <w:szCs w:val="32"/>
        </w:rPr>
        <w:t>编号</w:t>
      </w:r>
      <w:r>
        <w:rPr>
          <w:rFonts w:hint="eastAsia" w:ascii="宋体" w:hAnsi="宋体" w:eastAsia="宋体" w:cs="宋体"/>
          <w:b/>
          <w:bCs/>
          <w:sz w:val="32"/>
          <w:szCs w:val="32"/>
          <w:lang w:eastAsia="zh-CN"/>
        </w:rPr>
        <w:t>：</w:t>
      </w:r>
      <w:r>
        <w:rPr>
          <w:rFonts w:hint="eastAsia" w:ascii="宋体" w:hAnsi="宋体" w:eastAsia="宋体" w:cs="宋体"/>
          <w:b/>
          <w:bCs/>
          <w:sz w:val="32"/>
          <w:szCs w:val="32"/>
        </w:rPr>
        <w:t>（</w:t>
      </w:r>
      <w:r>
        <w:rPr>
          <w:rFonts w:hint="eastAsia" w:ascii="宋体" w:hAnsi="宋体" w:cs="宋体"/>
          <w:b/>
          <w:bCs/>
          <w:sz w:val="32"/>
          <w:szCs w:val="32"/>
          <w:lang w:eastAsia="zh-CN"/>
        </w:rPr>
        <w:t>SHZFCG2023-003</w:t>
      </w:r>
      <w:r>
        <w:rPr>
          <w:rFonts w:hint="eastAsia" w:ascii="宋体" w:hAnsi="宋体" w:eastAsia="宋体" w:cs="宋体"/>
          <w:b/>
          <w:bCs/>
          <w:sz w:val="32"/>
          <w:szCs w:val="32"/>
        </w:rPr>
        <w:t>）</w:t>
      </w:r>
    </w:p>
    <w:p>
      <w:pPr>
        <w:pStyle w:val="62"/>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pPr>
        <w:pStyle w:val="81"/>
        <w:rPr>
          <w:rFonts w:hint="eastAsia" w:ascii="宋体" w:hAnsi="宋体" w:eastAsia="宋体" w:cs="宋体"/>
          <w:b/>
          <w:bCs/>
          <w:color w:val="000000"/>
          <w:spacing w:val="6"/>
          <w:sz w:val="44"/>
          <w:szCs w:val="44"/>
          <w:lang w:val="en-US" w:eastAsia="zh-CN"/>
        </w:rPr>
      </w:pPr>
    </w:p>
    <w:p>
      <w:pPr>
        <w:pStyle w:val="2"/>
        <w:rPr>
          <w:rFonts w:hint="eastAsia"/>
          <w:lang w:val="en-US" w:eastAsia="zh-CN"/>
        </w:rPr>
      </w:pPr>
    </w:p>
    <w:p>
      <w:pPr>
        <w:ind w:firstLine="2811" w:firstLineChars="1000"/>
        <w:jc w:val="both"/>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采购人：</w:t>
      </w:r>
      <w:r>
        <w:rPr>
          <w:rFonts w:hint="eastAsia" w:ascii="宋体" w:hAnsi="宋体" w:cs="宋体"/>
          <w:b/>
          <w:bCs/>
          <w:sz w:val="28"/>
          <w:szCs w:val="28"/>
          <w:lang w:eastAsia="zh-CN"/>
        </w:rPr>
        <w:t>杭州市临平区人民政府星桥街道办事处</w:t>
      </w: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采购代理机构：</w:t>
      </w:r>
      <w:r>
        <w:rPr>
          <w:rFonts w:hint="eastAsia" w:ascii="宋体" w:hAnsi="宋体" w:cs="宋体"/>
          <w:b/>
          <w:bCs/>
          <w:sz w:val="28"/>
          <w:szCs w:val="28"/>
          <w:lang w:eastAsia="zh-CN"/>
        </w:rPr>
        <w:t>杭州晟华工程管理有限公司</w:t>
      </w: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仿宋_GB2312" w:hAnsi="仿宋_GB2312" w:eastAsia="仿宋_GB2312" w:cs="仿宋_GB2312"/>
          <w:sz w:val="32"/>
          <w:szCs w:val="32"/>
          <w:highlight w:val="none"/>
          <w:shd w:val="clear" w:color="auto" w:fill="auto"/>
        </w:rPr>
        <w:t>二</w:t>
      </w:r>
      <w:r>
        <w:rPr>
          <w:rFonts w:hint="eastAsia" w:ascii="宋体" w:hAnsi="宋体" w:cs="宋体"/>
          <w:sz w:val="32"/>
          <w:szCs w:val="32"/>
          <w:highlight w:val="none"/>
          <w:shd w:val="clear" w:color="auto" w:fill="auto"/>
        </w:rPr>
        <w:t>〇</w:t>
      </w:r>
      <w:r>
        <w:rPr>
          <w:rFonts w:hint="eastAsia" w:ascii="仿宋_GB2312" w:hAnsi="仿宋_GB2312" w:eastAsia="仿宋_GB2312" w:cs="仿宋_GB2312"/>
          <w:sz w:val="32"/>
          <w:szCs w:val="32"/>
          <w:highlight w:val="none"/>
          <w:shd w:val="clear" w:color="auto" w:fill="auto"/>
        </w:rPr>
        <w:t>二</w:t>
      </w:r>
      <w:r>
        <w:rPr>
          <w:rFonts w:hint="eastAsia" w:ascii="宋体" w:hAnsi="宋体"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月</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第一部分      招标公告</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第二部分      投标人须知</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第三部分      采购需求</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第四部分      评标办法</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第五部分      拟签订的合同文本</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cs="宋体"/>
          <w:sz w:val="32"/>
          <w:szCs w:val="32"/>
        </w:rPr>
      </w:pPr>
      <w:r>
        <w:rPr>
          <w:rFonts w:hint="eastAsia"/>
          <w:sz w:val="24"/>
          <w:szCs w:val="24"/>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28"/>
          <w:szCs w:val="28"/>
        </w:rPr>
        <w:t>第一部分 招标公告</w:t>
      </w:r>
    </w:p>
    <w:p>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320" w:firstLineChars="18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80" w:firstLineChars="200"/>
        <w:textAlignment w:val="auto"/>
        <w:rPr>
          <w:rFonts w:hint="eastAsia" w:ascii="宋体" w:hAnsi="宋体" w:eastAsia="宋体" w:cs="宋体"/>
          <w:sz w:val="24"/>
          <w:highlight w:val="none"/>
          <w:u w:val="single"/>
        </w:rPr>
      </w:pPr>
      <w:r>
        <w:rPr>
          <w:rFonts w:hint="eastAsia" w:ascii="宋体" w:hAnsi="宋体" w:cs="宋体"/>
          <w:sz w:val="24"/>
          <w:szCs w:val="24"/>
          <w:u w:val="single" w:color="auto"/>
          <w:lang w:eastAsia="zh-CN"/>
        </w:rPr>
        <w:t>杭州市临平区人民政府星桥街道办事处</w:t>
      </w:r>
      <w:r>
        <w:rPr>
          <w:rFonts w:hint="eastAsia" w:ascii="宋体" w:hAnsi="宋体" w:cs="宋体"/>
          <w:sz w:val="24"/>
          <w:szCs w:val="24"/>
          <w:u w:val="single" w:color="auto"/>
          <w:lang w:val="en-US" w:eastAsia="zh-CN"/>
        </w:rPr>
        <w:t>的</w:t>
      </w:r>
      <w:r>
        <w:rPr>
          <w:rFonts w:hint="eastAsia" w:ascii="宋体" w:hAnsi="宋体" w:cs="宋体"/>
          <w:color w:val="000000"/>
          <w:kern w:val="0"/>
          <w:sz w:val="24"/>
          <w:szCs w:val="24"/>
          <w:highlight w:val="none"/>
          <w:u w:val="single"/>
          <w:lang w:val="en-US" w:eastAsia="zh-CN"/>
        </w:rPr>
        <w:t>星桥街道道路市政养护项目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HYPERLINK "https://www.zcygov.cn/）获取（下载）招标文件，并于2021年" </w:instrText>
      </w:r>
      <w:r>
        <w:rPr>
          <w:rFonts w:hint="eastAsia" w:ascii="宋体" w:hAnsi="宋体" w:eastAsia="宋体" w:cs="宋体"/>
          <w:sz w:val="24"/>
          <w:szCs w:val="24"/>
          <w:highlight w:val="none"/>
        </w:rPr>
        <w:fldChar w:fldCharType="separate"/>
      </w:r>
      <w:r>
        <w:rPr>
          <w:rStyle w:val="77"/>
          <w:rFonts w:hint="eastAsia" w:ascii="宋体" w:hAnsi="宋体" w:eastAsia="宋体" w:cs="宋体"/>
          <w:color w:val="auto"/>
          <w:kern w:val="2"/>
          <w:sz w:val="24"/>
          <w:szCs w:val="24"/>
          <w:highlight w:val="none"/>
        </w:rPr>
        <w:t>https</w:t>
      </w:r>
      <w:r>
        <w:rPr>
          <w:rStyle w:val="77"/>
          <w:rFonts w:hint="eastAsia" w:ascii="宋体" w:hAnsi="宋体" w:eastAsia="宋体" w:cs="宋体"/>
          <w:color w:val="auto"/>
          <w:kern w:val="2"/>
          <w:sz w:val="24"/>
          <w:szCs w:val="24"/>
          <w:highlight w:val="none"/>
          <w:lang w:eastAsia="zh-CN"/>
        </w:rPr>
        <w:t>：</w:t>
      </w:r>
      <w:r>
        <w:rPr>
          <w:rStyle w:val="77"/>
          <w:rFonts w:hint="eastAsia" w:ascii="宋体" w:hAnsi="宋体" w:eastAsia="宋体" w:cs="宋体"/>
          <w:color w:val="auto"/>
          <w:kern w:val="2"/>
          <w:sz w:val="24"/>
          <w:szCs w:val="24"/>
          <w:highlight w:val="none"/>
        </w:rPr>
        <w:t>//www.zcygov.cn/）获取（下载）招标文件，并于</w:t>
      </w:r>
      <w:r>
        <w:rPr>
          <w:rFonts w:hint="eastAsia" w:ascii="宋体" w:hAnsi="宋体" w:eastAsia="宋体" w:cs="宋体"/>
          <w:sz w:val="24"/>
          <w:szCs w:val="24"/>
          <w:highlight w:val="none"/>
          <w:u w:val="single"/>
        </w:rPr>
        <w:t>20</w:t>
      </w:r>
      <w:r>
        <w:rPr>
          <w:rFonts w:hint="eastAsia" w:ascii="宋体" w:hAnsi="宋体" w:cs="宋体"/>
          <w:sz w:val="24"/>
          <w:szCs w:val="24"/>
          <w:highlight w:val="none"/>
          <w:u w:val="single"/>
          <w:lang w:val="en-US" w:eastAsia="zh-CN"/>
        </w:rPr>
        <w:t>23</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24</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14时00</w:t>
      </w:r>
      <w:r>
        <w:rPr>
          <w:rFonts w:hint="eastAsia" w:ascii="宋体" w:hAnsi="宋体" w:eastAsia="宋体" w:cs="宋体"/>
          <w:sz w:val="24"/>
          <w:szCs w:val="24"/>
          <w:highlight w:val="none"/>
          <w:u w:val="single"/>
        </w:rPr>
        <w:t>分</w:t>
      </w:r>
      <w:r>
        <w:rPr>
          <w:rFonts w:hint="eastAsia" w:ascii="宋体" w:hAnsi="宋体" w:eastAsia="宋体" w:cs="宋体"/>
          <w:bCs/>
          <w:sz w:val="24"/>
          <w:szCs w:val="24"/>
          <w:highlight w:val="none"/>
          <w:u w:val="single"/>
        </w:rPr>
        <w:t>00秒</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t>（北京时间）前</w:t>
      </w:r>
      <w:r>
        <w:rPr>
          <w:rFonts w:hint="eastAsia" w:ascii="宋体" w:hAnsi="宋体" w:eastAsia="宋体" w:cs="宋体"/>
          <w:sz w:val="24"/>
          <w:szCs w:val="24"/>
          <w:highlight w:val="none"/>
        </w:rPr>
        <w:t>递交（上传）投标文件。</w:t>
      </w:r>
    </w:p>
    <w:p>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一、项目基本情况                                            </w:t>
      </w:r>
    </w:p>
    <w:p>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w:t>
      </w:r>
      <w:r>
        <w:rPr>
          <w:rFonts w:hint="eastAsia" w:ascii="宋体" w:hAnsi="宋体" w:cs="宋体"/>
          <w:color w:val="000000"/>
          <w:kern w:val="0"/>
          <w:sz w:val="24"/>
          <w:szCs w:val="24"/>
          <w:highlight w:val="none"/>
          <w:u w:val="single"/>
          <w:lang w:eastAsia="zh-CN"/>
        </w:rPr>
        <w:t>SHZFCG2023-003；</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项目名称：</w:t>
      </w:r>
      <w:r>
        <w:rPr>
          <w:rFonts w:hint="eastAsia" w:ascii="宋体" w:hAnsi="宋体" w:cs="宋体"/>
          <w:color w:val="000000"/>
          <w:kern w:val="0"/>
          <w:sz w:val="24"/>
          <w:szCs w:val="24"/>
          <w:highlight w:val="none"/>
          <w:u w:val="single"/>
          <w:lang w:val="en-US" w:eastAsia="zh-CN"/>
        </w:rPr>
        <w:t>星桥街道道路市政养护项目；</w:t>
      </w:r>
    </w:p>
    <w:p>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预算金额（元）：</w:t>
      </w:r>
      <w:r>
        <w:rPr>
          <w:rFonts w:hint="eastAsia" w:ascii="宋体" w:hAnsi="宋体" w:cs="宋体"/>
          <w:b w:val="0"/>
          <w:bCs/>
          <w:sz w:val="24"/>
          <w:szCs w:val="24"/>
          <w:highlight w:val="none"/>
          <w:u w:val="single"/>
          <w:lang w:val="en-US" w:eastAsia="zh-CN"/>
        </w:rPr>
        <w:t>10000000</w:t>
      </w:r>
      <w:r>
        <w:rPr>
          <w:rFonts w:hint="eastAsia" w:ascii="宋体" w:hAnsi="宋体" w:eastAsia="宋体" w:cs="宋体"/>
          <w:sz w:val="24"/>
          <w:szCs w:val="24"/>
          <w:highlight w:val="none"/>
          <w:u w:val="single"/>
        </w:rPr>
        <w:t>元</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none"/>
        </w:rPr>
        <w:t xml:space="preserve"> </w:t>
      </w:r>
    </w:p>
    <w:p>
      <w:pPr>
        <w:wordWrap/>
        <w:adjustRightInd w:val="0"/>
        <w:spacing w:line="600" w:lineRule="exact"/>
        <w:ind w:firstLine="482" w:firstLineChars="200"/>
        <w:textAlignment w:val="auto"/>
        <w:rPr>
          <w:rFonts w:hint="eastAsia" w:ascii="宋体" w:hAnsi="宋体" w:eastAsia="宋体" w:cs="宋体"/>
          <w:sz w:val="24"/>
          <w:szCs w:val="24"/>
          <w:highlight w:val="cyan"/>
          <w:lang w:val="en-US" w:eastAsia="zh-CN"/>
        </w:rPr>
      </w:pPr>
      <w:r>
        <w:rPr>
          <w:rFonts w:hint="eastAsia" w:ascii="宋体" w:hAnsi="宋体" w:eastAsia="宋体" w:cs="宋体"/>
          <w:b/>
          <w:sz w:val="24"/>
          <w:szCs w:val="24"/>
          <w:highlight w:val="none"/>
        </w:rPr>
        <w:t>最高限价（元）：</w:t>
      </w:r>
      <w:r>
        <w:rPr>
          <w:rFonts w:hint="eastAsia" w:ascii="宋体" w:hAnsi="宋体" w:cs="宋体"/>
          <w:b w:val="0"/>
          <w:bCs/>
          <w:sz w:val="24"/>
          <w:szCs w:val="24"/>
          <w:highlight w:val="none"/>
          <w:u w:val="single"/>
          <w:lang w:val="en-US" w:eastAsia="zh-CN"/>
        </w:rPr>
        <w:t>1000</w:t>
      </w:r>
      <w:bookmarkStart w:id="409" w:name="_GoBack"/>
      <w:r>
        <w:rPr>
          <w:rFonts w:hint="eastAsia" w:ascii="宋体" w:hAnsi="宋体" w:cs="宋体"/>
          <w:b w:val="0"/>
          <w:bCs/>
          <w:sz w:val="24"/>
          <w:szCs w:val="24"/>
          <w:highlight w:val="none"/>
          <w:u w:val="single"/>
          <w:lang w:val="en-US" w:eastAsia="zh-CN"/>
        </w:rPr>
        <w:t>000</w:t>
      </w:r>
      <w:bookmarkEnd w:id="409"/>
      <w:r>
        <w:rPr>
          <w:rFonts w:hint="eastAsia" w:ascii="宋体" w:hAnsi="宋体" w:cs="宋体"/>
          <w:b w:val="0"/>
          <w:bCs/>
          <w:sz w:val="24"/>
          <w:szCs w:val="24"/>
          <w:highlight w:val="none"/>
          <w:u w:val="single"/>
          <w:lang w:val="en-US" w:eastAsia="zh-CN"/>
        </w:rPr>
        <w:t>0</w:t>
      </w:r>
      <w:r>
        <w:rPr>
          <w:rFonts w:hint="eastAsia" w:ascii="宋体" w:hAnsi="宋体" w:cs="宋体"/>
          <w:sz w:val="24"/>
          <w:szCs w:val="24"/>
          <w:highlight w:val="none"/>
          <w:u w:val="single"/>
          <w:lang w:eastAsia="zh-CN"/>
        </w:rPr>
        <w:t>元；</w:t>
      </w:r>
    </w:p>
    <w:p>
      <w:pPr>
        <w:adjustRightInd/>
        <w:spacing w:line="600" w:lineRule="exact"/>
        <w:ind w:firstLine="482" w:firstLineChars="200"/>
        <w:rPr>
          <w:rFonts w:hint="eastAsia" w:ascii="宋体" w:hAnsi="宋体" w:eastAsia="宋体" w:cs="宋体"/>
          <w:bCs/>
          <w:color w:val="auto"/>
          <w:kern w:val="2"/>
          <w:sz w:val="24"/>
          <w:szCs w:val="24"/>
          <w:lang w:eastAsia="zh-CN"/>
        </w:rPr>
      </w:pPr>
      <w:r>
        <w:rPr>
          <w:rFonts w:hint="eastAsia" w:ascii="宋体" w:hAnsi="宋体" w:eastAsia="宋体" w:cs="宋体"/>
          <w:b/>
          <w:color w:val="auto"/>
          <w:sz w:val="24"/>
          <w:szCs w:val="24"/>
        </w:rPr>
        <w:t>采购需求：</w:t>
      </w:r>
      <w:r>
        <w:rPr>
          <w:rFonts w:hint="eastAsia" w:ascii="宋体" w:hAnsi="宋体" w:cs="宋体"/>
          <w:bCs/>
          <w:color w:val="auto"/>
          <w:sz w:val="24"/>
          <w:highlight w:val="none"/>
          <w:lang w:val="en-US" w:eastAsia="zh-CN"/>
        </w:rPr>
        <w:t>本项目主要包括星桥</w:t>
      </w:r>
      <w:r>
        <w:rPr>
          <w:rFonts w:hint="eastAsia" w:ascii="宋体" w:hAnsi="宋体" w:cs="宋体"/>
          <w:bCs/>
          <w:color w:val="auto"/>
          <w:sz w:val="24"/>
          <w:highlight w:val="none"/>
        </w:rPr>
        <w:t>街道</w:t>
      </w:r>
      <w:r>
        <w:rPr>
          <w:rFonts w:hint="eastAsia" w:ascii="宋体" w:hAnsi="宋体" w:cs="宋体"/>
          <w:bCs/>
          <w:color w:val="auto"/>
          <w:sz w:val="24"/>
          <w:highlight w:val="none"/>
          <w:lang w:val="en-US" w:eastAsia="zh-CN"/>
        </w:rPr>
        <w:t>范围内的道路</w:t>
      </w:r>
      <w:r>
        <w:rPr>
          <w:rFonts w:hint="eastAsia" w:asciiTheme="minorEastAsia" w:hAnsiTheme="minorEastAsia" w:eastAsiaTheme="minorEastAsia" w:cstheme="minorEastAsia"/>
          <w:snapToGrid w:val="0"/>
          <w:color w:val="auto"/>
          <w:kern w:val="0"/>
          <w:sz w:val="24"/>
          <w:szCs w:val="24"/>
        </w:rPr>
        <w:t>破损道路、侧石、人行道的维护；缺失、破损窨井盖的更换与安装及养护市政雨水管道、雨水检井等设施养护；市政排水管道及窨井淤泥清理外运及管道等</w:t>
      </w:r>
      <w:r>
        <w:rPr>
          <w:rFonts w:hint="eastAsia" w:ascii="宋体" w:hAnsi="宋体" w:cs="宋体"/>
          <w:bCs/>
          <w:color w:val="000000"/>
          <w:sz w:val="24"/>
          <w:lang w:val="en-US" w:eastAsia="zh-CN"/>
        </w:rPr>
        <w:t>养护</w:t>
      </w:r>
      <w:r>
        <w:rPr>
          <w:rFonts w:hint="eastAsia" w:ascii="宋体" w:hAnsi="宋体" w:cs="宋体"/>
          <w:bCs/>
          <w:color w:val="000000"/>
          <w:sz w:val="24"/>
        </w:rPr>
        <w:t>。</w:t>
      </w:r>
      <w:r>
        <w:rPr>
          <w:rFonts w:hint="eastAsia" w:ascii="宋体" w:hAnsi="宋体" w:eastAsia="宋体" w:cs="宋体"/>
          <w:bCs/>
          <w:color w:val="auto"/>
          <w:kern w:val="2"/>
          <w:sz w:val="24"/>
          <w:szCs w:val="24"/>
          <w:u w:val="single"/>
        </w:rPr>
        <w:t>详见招标文件第三部分采购需求</w:t>
      </w:r>
      <w:r>
        <w:rPr>
          <w:rFonts w:hint="eastAsia" w:hAnsi="宋体" w:cs="宋体"/>
          <w:bCs/>
          <w:color w:val="auto"/>
          <w:kern w:val="2"/>
          <w:sz w:val="24"/>
          <w:szCs w:val="24"/>
          <w:u w:val="single"/>
          <w:lang w:eastAsia="zh-CN"/>
        </w:rPr>
        <w:t>；</w:t>
      </w:r>
    </w:p>
    <w:p>
      <w:pPr>
        <w:pStyle w:val="90"/>
        <w:widowControl w:val="0"/>
        <w:wordWrap/>
        <w:adjustRightInd w:val="0"/>
        <w:snapToGrid/>
        <w:spacing w:before="0" w:line="600" w:lineRule="exact"/>
        <w:ind w:left="0" w:leftChars="0" w:right="0" w:firstLine="482" w:firstLineChars="200"/>
        <w:jc w:val="both"/>
        <w:textAlignment w:val="auto"/>
        <w:outlineLvl w:val="2"/>
        <w:rPr>
          <w:rFonts w:hint="eastAsia" w:ascii="宋体" w:hAnsi="宋体" w:eastAsia="宋体" w:cs="宋体"/>
          <w:sz w:val="24"/>
          <w:szCs w:val="24"/>
          <w:highlight w:val="yellow"/>
          <w:lang w:val="en-US" w:eastAsia="zh-CN"/>
        </w:rPr>
      </w:pPr>
      <w:r>
        <w:rPr>
          <w:rFonts w:hint="eastAsia" w:ascii="宋体" w:hAnsi="宋体" w:eastAsia="宋体" w:cs="宋体"/>
          <w:b/>
          <w:sz w:val="24"/>
          <w:szCs w:val="24"/>
          <w:highlight w:val="none"/>
        </w:rPr>
        <w:t>合同履约期限：</w:t>
      </w:r>
      <w:r>
        <w:rPr>
          <w:rFonts w:hint="eastAsia" w:ascii="宋体" w:hAnsi="宋体" w:cs="宋体"/>
          <w:bCs/>
          <w:sz w:val="24"/>
          <w:highlight w:val="none"/>
          <w:u w:val="single"/>
          <w:lang w:val="en-US" w:eastAsia="zh-CN"/>
        </w:rPr>
        <w:t>一年</w:t>
      </w:r>
      <w:r>
        <w:rPr>
          <w:rFonts w:hint="eastAsia" w:ascii="宋体" w:hAnsi="宋体" w:cs="宋体"/>
          <w:bCs/>
          <w:sz w:val="24"/>
          <w:highlight w:val="none"/>
          <w:lang w:eastAsia="zh-CN"/>
        </w:rPr>
        <w:t>；</w:t>
      </w:r>
    </w:p>
    <w:p>
      <w:pPr>
        <w:pStyle w:val="18"/>
        <w:wordWrap/>
        <w:adjustRightInd w:val="0"/>
        <w:spacing w:line="600" w:lineRule="exact"/>
        <w:ind w:firstLine="480"/>
        <w:textAlignment w:val="auto"/>
        <w:rPr>
          <w:rFonts w:hint="eastAsia" w:ascii="宋体" w:hAnsi="宋体" w:eastAsia="宋体" w:cs="宋体"/>
          <w:b/>
          <w:sz w:val="24"/>
          <w:szCs w:val="24"/>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1.满足《中华人民共和国政府采购法》第二十二条规定；未被“信用中国”（www.creditchina.gov.cn</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、中国政府采购网（www.ccgp.gov.cn）列入失信被执行人、重大税收违法案件当事人名单、政府采购严重违法失信行为记录名单；</w:t>
      </w:r>
    </w:p>
    <w:p>
      <w:pPr>
        <w:wordWrap/>
        <w:adjustRightInd w:val="0"/>
        <w:spacing w:line="600" w:lineRule="exact"/>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2.落实政府采购政策需满足的资格要求：</w:t>
      </w:r>
    </w:p>
    <w:p>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sz w:val="24"/>
          <w:szCs w:val="24"/>
          <w:highlight w:val="none"/>
        </w:rPr>
        <w:t>无；</w:t>
      </w:r>
    </w:p>
    <w:p>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专</w:t>
      </w:r>
      <w:r>
        <w:rPr>
          <w:rFonts w:hint="eastAsia" w:ascii="宋体" w:hAnsi="宋体" w:eastAsia="宋体" w:cs="宋体"/>
          <w:sz w:val="24"/>
          <w:szCs w:val="24"/>
          <w:highlight w:val="none"/>
        </w:rPr>
        <w:t>门面向中小企业</w:t>
      </w:r>
    </w:p>
    <w:p>
      <w:pPr>
        <w:wordWrap/>
        <w:adjustRightInd w:val="0"/>
        <w:spacing w:line="600" w:lineRule="exact"/>
        <w:ind w:firstLine="897" w:firstLineChars="374"/>
        <w:textAlignment w:val="auto"/>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sym w:font="Wingdings" w:char="00A8"/>
      </w:r>
      <w:r>
        <w:rPr>
          <w:rFonts w:hint="eastAsia" w:ascii="宋体" w:hAnsi="宋体" w:eastAsia="宋体" w:cs="宋体"/>
          <w:sz w:val="24"/>
          <w:szCs w:val="24"/>
          <w:highlight w:val="none"/>
        </w:rPr>
        <w:t>货物全部由符合政策要求的中小企业制造，提供中小企业声明函；</w:t>
      </w:r>
    </w:p>
    <w:p>
      <w:pPr>
        <w:wordWrap/>
        <w:adjustRightInd w:val="0"/>
        <w:spacing w:line="600" w:lineRule="exact"/>
        <w:ind w:firstLine="897" w:firstLineChars="374"/>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sz w:val="24"/>
          <w:szCs w:val="24"/>
          <w:highlight w:val="none"/>
        </w:rPr>
        <w:t>货物全部由符合政策要求的小微企业制造，提供中小企业声明函；</w:t>
      </w:r>
    </w:p>
    <w:p>
      <w:pPr>
        <w:wordWrap/>
        <w:adjustRightInd w:val="0"/>
        <w:spacing w:line="600" w:lineRule="exact"/>
        <w:ind w:firstLine="897" w:firstLineChars="374"/>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sz w:val="24"/>
          <w:szCs w:val="24"/>
          <w:highlight w:val="none"/>
        </w:rPr>
        <w:t>服务全部由符合政策要求的中小企业承接，提供中小企业声明函；</w:t>
      </w:r>
    </w:p>
    <w:p>
      <w:pPr>
        <w:wordWrap/>
        <w:adjustRightInd w:val="0"/>
        <w:spacing w:line="600" w:lineRule="exact"/>
        <w:ind w:firstLine="897" w:firstLineChars="374"/>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sz w:val="24"/>
          <w:szCs w:val="24"/>
          <w:highlight w:val="none"/>
        </w:rPr>
        <w:t>服务全部由符合政策要求的小微企业承接，提供中小企业声明函；</w:t>
      </w:r>
    </w:p>
    <w:p>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要求以联合体形式参加，提供联合协议和中小企业声明函，联合协议中中小企业合同金额应当达到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%，小微企业合同金额应当达到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eastAsia="宋体" w:cs="宋体"/>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szCs w:val="24"/>
          <w:highlight w:val="none"/>
        </w:rPr>
        <w:t>；</w:t>
      </w:r>
    </w:p>
    <w:p>
      <w:pPr>
        <w:wordWrap/>
        <w:adjustRightInd w:val="0"/>
        <w:spacing w:line="600" w:lineRule="exact"/>
        <w:ind w:firstLine="480" w:firstLineChars="200"/>
        <w:textAlignment w:val="auto"/>
        <w:rPr>
          <w:rFonts w:hint="eastAsia" w:ascii="宋体" w:hAnsi="宋体" w:eastAsia="宋体" w:cs="宋体"/>
          <w:sz w:val="24"/>
          <w:szCs w:val="24"/>
          <w:highlight w:val="green"/>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要求合同分包，提供分包意向协议和中小企业声明函，分包意向协议中中小企业合同金额应当达到达到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，小微企业合同金额应当达到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eastAsia="zh-CN"/>
        </w:rPr>
        <w:t>；</w:t>
      </w:r>
      <w:r>
        <w:rPr>
          <w:rFonts w:hint="eastAsia" w:ascii="宋体" w:hAnsi="宋体" w:eastAsia="宋体" w:cs="宋体"/>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szCs w:val="24"/>
          <w:highlight w:val="none"/>
        </w:rPr>
        <w:t>；</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3.本项目的特定资格要求：无；</w:t>
      </w:r>
    </w:p>
    <w:p>
      <w:pPr>
        <w:wordWrap/>
        <w:adjustRightInd w:val="0"/>
        <w:snapToGri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24日</w:t>
      </w:r>
      <w:r>
        <w:rPr>
          <w:rFonts w:hint="eastAsia" w:ascii="宋体" w:hAnsi="宋体" w:eastAsia="宋体" w:cs="宋体"/>
          <w:sz w:val="24"/>
          <w:szCs w:val="24"/>
        </w:rPr>
        <w:t>，每天上午00</w:t>
      </w:r>
      <w:r>
        <w:rPr>
          <w:rFonts w:hint="eastAsia" w:ascii="宋体" w:hAnsi="宋体" w:eastAsia="宋体" w:cs="宋体"/>
          <w:sz w:val="24"/>
          <w:szCs w:val="24"/>
          <w:lang w:eastAsia="zh-CN"/>
        </w:rPr>
        <w:t>：</w:t>
      </w:r>
      <w:r>
        <w:rPr>
          <w:rFonts w:hint="eastAsia" w:ascii="宋体" w:hAnsi="宋体" w:eastAsia="宋体" w:cs="宋体"/>
          <w:sz w:val="24"/>
          <w:szCs w:val="24"/>
        </w:rPr>
        <w:t>00至12</w:t>
      </w:r>
      <w:r>
        <w:rPr>
          <w:rFonts w:hint="eastAsia" w:ascii="宋体" w:hAnsi="宋体" w:eastAsia="宋体" w:cs="宋体"/>
          <w:sz w:val="24"/>
          <w:szCs w:val="24"/>
          <w:lang w:eastAsia="zh-CN"/>
        </w:rPr>
        <w:t>：</w:t>
      </w:r>
      <w:r>
        <w:rPr>
          <w:rFonts w:hint="eastAsia" w:ascii="宋体" w:hAnsi="宋体" w:eastAsia="宋体" w:cs="宋体"/>
          <w:sz w:val="24"/>
          <w:szCs w:val="24"/>
        </w:rPr>
        <w:t>00，下午12</w:t>
      </w:r>
      <w:r>
        <w:rPr>
          <w:rFonts w:hint="eastAsia" w:ascii="宋体" w:hAnsi="宋体" w:eastAsia="宋体" w:cs="宋体"/>
          <w:sz w:val="24"/>
          <w:szCs w:val="24"/>
          <w:lang w:eastAsia="zh-CN"/>
        </w:rPr>
        <w:t>：</w:t>
      </w:r>
      <w:r>
        <w:rPr>
          <w:rFonts w:hint="eastAsia" w:ascii="宋体" w:hAnsi="宋体" w:eastAsia="宋体" w:cs="宋体"/>
          <w:sz w:val="24"/>
          <w:szCs w:val="24"/>
        </w:rPr>
        <w:t>00至23</w:t>
      </w:r>
      <w:r>
        <w:rPr>
          <w:rFonts w:hint="eastAsia" w:ascii="宋体" w:hAnsi="宋体" w:eastAsia="宋体" w:cs="宋体"/>
          <w:sz w:val="24"/>
          <w:szCs w:val="24"/>
          <w:lang w:eastAsia="zh-CN"/>
        </w:rPr>
        <w:t>：</w:t>
      </w:r>
      <w:r>
        <w:rPr>
          <w:rFonts w:hint="eastAsia" w:ascii="宋体" w:hAnsi="宋体" w:eastAsia="宋体" w:cs="宋体"/>
          <w:sz w:val="24"/>
          <w:szCs w:val="24"/>
        </w:rPr>
        <w:t>59（北京时间，线上获取法定节假日均可，线下获取文件法定节假日除外）</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供应商登录政采云平台https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//www.zcygov.cn/在线申请获取采购文件（进入“项目采购”应用，在获取采购文件菜单中选择项目，申请获取采购文件）。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24</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pPr>
        <w:wordWrap/>
        <w:adjustRightInd w:val="0"/>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pPr>
        <w:wordWrap/>
        <w:adjustRightInd w:val="0"/>
        <w:spacing w:line="600" w:lineRule="exact"/>
        <w:ind w:firstLine="482"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
          <w:sz w:val="24"/>
          <w:szCs w:val="24"/>
        </w:rPr>
        <w:t>开标时间：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24</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u w:val="single"/>
        </w:rPr>
        <w:t xml:space="preserve"> </w:t>
      </w:r>
      <w:r>
        <w:rPr>
          <w:rFonts w:hint="eastAsia" w:ascii="宋体" w:hAnsi="宋体" w:eastAsia="宋体" w:cs="宋体"/>
          <w:bCs/>
          <w:sz w:val="24"/>
          <w:szCs w:val="24"/>
          <w:highlight w:val="none"/>
          <w:u w:val="single"/>
        </w:rPr>
        <w:t xml:space="preserve">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numPr>
          <w:ilvl w:val="0"/>
          <w:numId w:val="1"/>
        </w:numPr>
        <w:wordWrap/>
        <w:adjustRightInd w:val="0"/>
        <w:spacing w:line="600" w:lineRule="exact"/>
        <w:textAlignment w:val="auto"/>
        <w:rPr>
          <w:rFonts w:hint="eastAsia"/>
        </w:rPr>
      </w:pPr>
      <w:r>
        <w:rPr>
          <w:rFonts w:hint="eastAsia" w:ascii="宋体" w:hAnsi="宋体" w:eastAsia="宋体" w:cs="宋体"/>
          <w:b/>
          <w:sz w:val="24"/>
          <w:szCs w:val="24"/>
        </w:rPr>
        <w:t>其他补充事宜</w:t>
      </w:r>
    </w:p>
    <w:p>
      <w:pPr>
        <w:numPr>
          <w:ilvl w:val="0"/>
          <w:numId w:val="0"/>
        </w:num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p>
    <w:p>
      <w:pPr>
        <w:numPr>
          <w:ilvl w:val="0"/>
          <w:numId w:val="0"/>
        </w:numPr>
        <w:wordWrap/>
        <w:adjustRightInd w:val="0"/>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0"/>
        </w:num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59"/>
        <w:widowControl/>
        <w:spacing w:before="255" w:beforeAutospacing="0" w:after="255" w:afterAutospacing="0" w:line="300" w:lineRule="atLeast"/>
        <w:ind w:left="0" w:right="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七、采购意向公开链接</w:t>
      </w:r>
    </w:p>
    <w:p>
      <w:pPr>
        <w:pStyle w:val="59"/>
        <w:widowControl/>
        <w:spacing w:before="255" w:beforeAutospacing="0" w:after="255" w:afterAutospacing="0" w:line="300" w:lineRule="atLeast"/>
        <w:ind w:left="0" w:right="0"/>
        <w:jc w:val="both"/>
        <w:rPr>
          <w:rStyle w:val="80"/>
          <w:rFonts w:hint="eastAsia" w:ascii="仿宋" w:hAnsi="仿宋" w:eastAsia="仿宋" w:cs="仿宋"/>
          <w:b/>
          <w:color w:val="auto"/>
          <w:kern w:val="2"/>
          <w:sz w:val="27"/>
          <w:szCs w:val="27"/>
          <w:lang w:val="en-US" w:eastAsia="zh-CN" w:bidi="ar-SA"/>
        </w:rPr>
      </w:pPr>
      <w:r>
        <w:rPr>
          <w:rFonts w:hint="eastAsia" w:ascii="仿宋_GB2312" w:hAnsi="仿宋" w:eastAsia="仿宋_GB2312" w:cs="Times New Roman"/>
          <w:b/>
          <w:color w:val="auto"/>
          <w:kern w:val="2"/>
          <w:sz w:val="24"/>
          <w:szCs w:val="24"/>
          <w:lang w:val="en-US" w:eastAsia="zh-CN" w:bidi="ar-SA"/>
        </w:rPr>
        <w:t xml:space="preserve">  </w:t>
      </w:r>
      <w:r>
        <w:rPr>
          <w:rStyle w:val="80"/>
          <w:rFonts w:hint="eastAsia" w:ascii="仿宋" w:hAnsi="仿宋" w:eastAsia="仿宋" w:cs="仿宋"/>
          <w:sz w:val="27"/>
          <w:szCs w:val="27"/>
        </w:rPr>
        <w:t>https://zfcg.czt.zj.gov.cn/innerUsed_noticeDetails/index.html?noticeId=8800206&amp;utm=web-government-front.49399a16.0.0.d29f6fe02f6511edbdfd93dc1bf6e9e2</w:t>
      </w:r>
    </w:p>
    <w:p>
      <w:pPr>
        <w:wordWrap/>
        <w:adjustRightInd w:val="0"/>
        <w:spacing w:line="600" w:lineRule="exact"/>
        <w:textAlignment w:val="auto"/>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、对本次采购提出询问、质疑、投诉，请按以下方式联系</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1.采购人信息</w:t>
      </w:r>
    </w:p>
    <w:p>
      <w:pPr>
        <w:spacing w:line="600" w:lineRule="exact"/>
        <w:ind w:firstLine="480" w:firstLineChars="20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杭州市临平区人民政府星桥街道办事处</w:t>
      </w:r>
    </w:p>
    <w:p>
      <w:pPr>
        <w:spacing w:line="600" w:lineRule="exact"/>
        <w:ind w:firstLine="480" w:firstLineChars="200"/>
        <w:rPr>
          <w:rFonts w:hint="eastAsia" w:ascii="宋体" w:hAnsi="宋体" w:eastAsia="宋体" w:cs="宋体"/>
          <w:sz w:val="24"/>
          <w:lang w:eastAsia="zh-CN"/>
        </w:rPr>
      </w:pPr>
      <w:r>
        <w:rPr>
          <w:rFonts w:hint="eastAsia" w:ascii="宋体" w:hAnsi="宋体" w:cs="宋体"/>
          <w:sz w:val="24"/>
        </w:rPr>
        <w:t>地址：杭州市临平区乔司街道</w:t>
      </w:r>
      <w:r>
        <w:rPr>
          <w:rFonts w:hint="eastAsia" w:ascii="宋体" w:hAnsi="宋体" w:cs="宋体"/>
          <w:sz w:val="24"/>
          <w:lang w:val="en-US" w:eastAsia="zh-CN"/>
        </w:rPr>
        <w:t xml:space="preserve"> </w:t>
      </w:r>
    </w:p>
    <w:p>
      <w:pPr>
        <w:spacing w:line="600" w:lineRule="exact"/>
        <w:ind w:firstLine="480" w:firstLineChars="200"/>
        <w:rPr>
          <w:rFonts w:hint="eastAsia" w:ascii="宋体" w:hAnsi="宋体" w:cs="宋体"/>
          <w:sz w:val="24"/>
        </w:rPr>
      </w:pPr>
      <w:r>
        <w:rPr>
          <w:rFonts w:hint="eastAsia" w:ascii="宋体" w:hAnsi="宋体" w:cs="宋体"/>
          <w:sz w:val="24"/>
        </w:rPr>
        <w:t>传真：/  </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陈晏龙</w:t>
      </w:r>
    </w:p>
    <w:p>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13735409926</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陈晏龙</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13735409926</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2.采购代理机构信息            </w:t>
      </w:r>
    </w:p>
    <w:p>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名称：杭州晟华工程管理有限公司</w:t>
      </w:r>
    </w:p>
    <w:p>
      <w:pPr>
        <w:wordWrap/>
        <w:adjustRightInd w:val="0"/>
        <w:spacing w:line="600" w:lineRule="exact"/>
        <w:ind w:firstLine="480"/>
        <w:textAlignment w:val="auto"/>
        <w:rPr>
          <w:rFonts w:hint="eastAsia" w:ascii="宋体" w:hAnsi="宋体" w:cs="宋体"/>
          <w:sz w:val="24"/>
          <w:szCs w:val="24"/>
          <w:lang w:val="en-US" w:eastAsia="zh-CN"/>
        </w:rPr>
      </w:pPr>
      <w:r>
        <w:rPr>
          <w:rFonts w:hint="eastAsia" w:ascii="宋体" w:hAnsi="宋体" w:cs="宋体"/>
          <w:sz w:val="24"/>
          <w:szCs w:val="24"/>
          <w:lang w:eastAsia="zh-CN"/>
        </w:rPr>
        <w:t>地址：杭州市临平区</w:t>
      </w:r>
      <w:r>
        <w:rPr>
          <w:rFonts w:hint="eastAsia" w:ascii="宋体" w:hAnsi="宋体" w:cs="宋体"/>
          <w:sz w:val="24"/>
          <w:szCs w:val="24"/>
          <w:lang w:val="en-US" w:eastAsia="zh-CN"/>
        </w:rPr>
        <w:t>东湖</w:t>
      </w:r>
      <w:r>
        <w:rPr>
          <w:rFonts w:hint="eastAsia" w:ascii="宋体" w:hAnsi="宋体" w:cs="宋体"/>
          <w:sz w:val="24"/>
          <w:szCs w:val="24"/>
          <w:lang w:eastAsia="zh-CN"/>
        </w:rPr>
        <w:t>街道</w:t>
      </w:r>
      <w:r>
        <w:rPr>
          <w:rFonts w:hint="eastAsia" w:ascii="宋体" w:hAnsi="宋体" w:cs="宋体"/>
          <w:sz w:val="24"/>
          <w:szCs w:val="24"/>
          <w:lang w:val="en-US" w:eastAsia="zh-CN"/>
        </w:rPr>
        <w:t>五洲</w:t>
      </w:r>
      <w:r>
        <w:rPr>
          <w:rFonts w:hint="eastAsia" w:ascii="宋体" w:hAnsi="宋体" w:cs="宋体"/>
          <w:sz w:val="24"/>
          <w:szCs w:val="24"/>
          <w:lang w:eastAsia="zh-CN"/>
        </w:rPr>
        <w:t>路</w:t>
      </w:r>
      <w:r>
        <w:rPr>
          <w:rFonts w:hint="eastAsia" w:ascii="宋体" w:hAnsi="宋体" w:cs="宋体"/>
          <w:sz w:val="24"/>
          <w:szCs w:val="24"/>
          <w:lang w:val="en-US" w:eastAsia="zh-CN"/>
        </w:rPr>
        <w:t>2</w:t>
      </w:r>
      <w:r>
        <w:rPr>
          <w:rFonts w:hint="eastAsia" w:ascii="宋体" w:hAnsi="宋体" w:cs="宋体"/>
          <w:sz w:val="24"/>
          <w:szCs w:val="24"/>
          <w:lang w:eastAsia="zh-CN"/>
        </w:rPr>
        <w:t>6号</w:t>
      </w:r>
      <w:r>
        <w:rPr>
          <w:rFonts w:hint="eastAsia" w:ascii="宋体" w:hAnsi="宋体" w:cs="宋体"/>
          <w:sz w:val="24"/>
          <w:szCs w:val="24"/>
          <w:lang w:val="en-US" w:eastAsia="zh-CN"/>
        </w:rPr>
        <w:t>东部科创园（五洲园区）2幢506室</w:t>
      </w:r>
    </w:p>
    <w:p>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 xml:space="preserve">传真：/             </w:t>
      </w:r>
    </w:p>
    <w:p>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项目联系人（询问）：</w:t>
      </w:r>
      <w:r>
        <w:rPr>
          <w:rFonts w:hint="eastAsia" w:ascii="宋体" w:hAnsi="宋体" w:cs="宋体"/>
          <w:sz w:val="24"/>
          <w:szCs w:val="24"/>
          <w:lang w:val="en-US" w:eastAsia="zh-CN"/>
        </w:rPr>
        <w:t>张舒健</w:t>
      </w:r>
      <w:r>
        <w:rPr>
          <w:rFonts w:hint="eastAsia" w:ascii="宋体" w:hAnsi="宋体" w:cs="宋体"/>
          <w:sz w:val="24"/>
          <w:szCs w:val="24"/>
          <w:lang w:eastAsia="zh-CN"/>
        </w:rPr>
        <w:t> </w:t>
      </w:r>
    </w:p>
    <w:p>
      <w:pPr>
        <w:wordWrap/>
        <w:adjustRightInd w:val="0"/>
        <w:spacing w:line="600" w:lineRule="exact"/>
        <w:ind w:firstLine="480"/>
        <w:textAlignment w:val="auto"/>
        <w:rPr>
          <w:rFonts w:hint="eastAsia" w:ascii="宋体" w:hAnsi="宋体" w:cs="宋体"/>
          <w:sz w:val="24"/>
          <w:szCs w:val="24"/>
          <w:lang w:val="en-US" w:eastAsia="zh-CN"/>
        </w:rPr>
      </w:pPr>
      <w:r>
        <w:rPr>
          <w:rFonts w:hint="eastAsia" w:ascii="宋体" w:hAnsi="宋体" w:cs="宋体"/>
          <w:sz w:val="24"/>
          <w:szCs w:val="24"/>
          <w:lang w:eastAsia="zh-CN"/>
        </w:rPr>
        <w:t>项目联系方式（询问）：</w:t>
      </w:r>
      <w:r>
        <w:rPr>
          <w:rFonts w:hint="eastAsia" w:ascii="宋体" w:hAnsi="宋体" w:cs="宋体"/>
          <w:sz w:val="24"/>
          <w:szCs w:val="24"/>
          <w:lang w:val="en-US" w:eastAsia="zh-CN"/>
        </w:rPr>
        <w:t>18806533997</w:t>
      </w:r>
    </w:p>
    <w:p>
      <w:pPr>
        <w:wordWrap/>
        <w:adjustRightInd w:val="0"/>
        <w:spacing w:line="600" w:lineRule="exact"/>
        <w:ind w:firstLine="480"/>
        <w:textAlignment w:val="auto"/>
        <w:rPr>
          <w:rFonts w:hint="eastAsia" w:ascii="宋体" w:hAnsi="宋体" w:cs="宋体"/>
          <w:sz w:val="24"/>
          <w:szCs w:val="24"/>
          <w:lang w:val="en-US" w:eastAsia="zh-CN"/>
        </w:rPr>
      </w:pPr>
      <w:r>
        <w:rPr>
          <w:rFonts w:hint="eastAsia" w:ascii="宋体" w:hAnsi="宋体" w:cs="宋体"/>
          <w:sz w:val="24"/>
          <w:szCs w:val="24"/>
          <w:lang w:eastAsia="zh-CN"/>
        </w:rPr>
        <w:t>质疑联系人：</w:t>
      </w:r>
      <w:r>
        <w:rPr>
          <w:rFonts w:hint="eastAsia" w:ascii="宋体" w:hAnsi="宋体" w:cs="宋体"/>
          <w:sz w:val="24"/>
          <w:szCs w:val="24"/>
          <w:lang w:val="en-US" w:eastAsia="zh-CN"/>
        </w:rPr>
        <w:t>曹俊杰</w:t>
      </w:r>
    </w:p>
    <w:p>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质疑联系方式：</w:t>
      </w:r>
      <w:r>
        <w:rPr>
          <w:rFonts w:hint="eastAsia" w:ascii="宋体" w:hAnsi="宋体" w:cs="宋体"/>
          <w:sz w:val="24"/>
          <w:szCs w:val="24"/>
          <w:lang w:val="en-US" w:eastAsia="zh-CN"/>
        </w:rPr>
        <w:t>15382313258</w:t>
      </w:r>
      <w:r>
        <w:rPr>
          <w:rFonts w:hint="eastAsia" w:ascii="宋体" w:hAnsi="宋体" w:cs="宋体"/>
          <w:sz w:val="24"/>
          <w:szCs w:val="24"/>
          <w:lang w:eastAsia="zh-CN"/>
        </w:rPr>
        <w:t xml:space="preserve">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3.同级政府采购监督管理部门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名称：杭州市临平区财政局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地址：杭州市临平区东湖中路236号财税大楼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传真：/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 ：俞征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监督投诉电话：0571-89180113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t>
      </w:r>
      <w:r>
        <w:rPr>
          <w:rFonts w:hint="eastAsia" w:ascii="宋体" w:hAnsi="宋体" w:eastAsia="宋体" w:cs="宋体"/>
          <w:sz w:val="24"/>
          <w:szCs w:val="24"/>
          <w:lang w:eastAsia="zh-CN"/>
        </w:rPr>
        <w:t>：</w:t>
      </w:r>
      <w:r>
        <w:rPr>
          <w:rFonts w:hint="eastAsia" w:ascii="宋体" w:hAnsi="宋体" w:eastAsia="宋体" w:cs="宋体"/>
          <w:sz w:val="24"/>
          <w:szCs w:val="24"/>
        </w:rPr>
        <w:t>//www.zcygov.cn/），点击右侧咨询小采，获取采小蜜智能服务管家帮助，或拨打政采云服务热线400-881-7190获取热线服务帮助。</w:t>
      </w:r>
    </w:p>
    <w:p>
      <w:pPr>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CA问题联系电话（人工）：汇信CA 400-888-4636；天谷CA 400-087-8198</w:t>
      </w:r>
      <w:r>
        <w:rPr>
          <w:rFonts w:hint="eastAsia" w:ascii="宋体" w:hAnsi="宋体" w:eastAsia="宋体" w:cs="宋体"/>
          <w:sz w:val="24"/>
        </w:rPr>
        <w:t>。</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b/>
          <w:bCs/>
          <w:sz w:val="28"/>
          <w:szCs w:val="28"/>
        </w:rPr>
      </w:pPr>
      <w:r>
        <w:rPr>
          <w:rFonts w:hint="eastAsia" w:ascii="宋体" w:hAnsi="宋体" w:eastAsia="宋体" w:cs="宋体"/>
          <w:b/>
          <w:sz w:val="36"/>
          <w:szCs w:val="20"/>
        </w:rPr>
        <w:br w:type="page"/>
      </w:r>
      <w:r>
        <w:rPr>
          <w:rFonts w:hint="eastAsia"/>
          <w:b/>
          <w:bCs/>
          <w:sz w:val="28"/>
          <w:szCs w:val="28"/>
        </w:rPr>
        <w:t>第二部分</w:t>
      </w:r>
      <w:bookmarkEnd w:id="8"/>
      <w:r>
        <w:rPr>
          <w:rFonts w:hint="eastAsia"/>
          <w:b/>
          <w:bCs/>
          <w:sz w:val="28"/>
          <w:szCs w:val="28"/>
        </w:rPr>
        <w:t xml:space="preserve"> 投标人须知</w:t>
      </w:r>
      <w:bookmarkEnd w:id="9"/>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宋体" w:cs="宋体"/>
          <w:b/>
          <w:sz w:val="32"/>
          <w:szCs w:val="20"/>
        </w:rPr>
      </w:pPr>
      <w:r>
        <w:rPr>
          <w:rFonts w:hint="eastAsia"/>
          <w:b/>
          <w:bCs/>
          <w:sz w:val="28"/>
          <w:szCs w:val="28"/>
        </w:rPr>
        <w:t>前附表</w:t>
      </w:r>
    </w:p>
    <w:tbl>
      <w:tblPr>
        <w:tblStyle w:val="63"/>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2"/>
        <w:gridCol w:w="196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sz w:val="24"/>
                <w:szCs w:val="24"/>
              </w:rPr>
            </w:pPr>
            <w:r>
              <w:rPr>
                <w:rFonts w:hint="eastAsia"/>
                <w:sz w:val="24"/>
                <w:szCs w:val="24"/>
              </w:rPr>
              <w:t>序号</w:t>
            </w:r>
          </w:p>
        </w:tc>
        <w:tc>
          <w:tcPr>
            <w:tcW w:w="1962" w:type="dxa"/>
            <w:vAlign w:val="center"/>
          </w:tcPr>
          <w:p>
            <w:pPr>
              <w:jc w:val="center"/>
              <w:rPr>
                <w:rFonts w:hint="eastAsia"/>
                <w:sz w:val="24"/>
                <w:szCs w:val="24"/>
              </w:rPr>
            </w:pPr>
            <w:r>
              <w:rPr>
                <w:rFonts w:hint="eastAsia"/>
                <w:sz w:val="24"/>
                <w:szCs w:val="24"/>
              </w:rPr>
              <w:t>事项</w:t>
            </w:r>
          </w:p>
        </w:tc>
        <w:tc>
          <w:tcPr>
            <w:tcW w:w="6507" w:type="dxa"/>
            <w:vAlign w:val="center"/>
          </w:tcPr>
          <w:p>
            <w:pPr>
              <w:jc w:val="center"/>
              <w:rPr>
                <w:rFonts w:hint="eastAsia"/>
                <w:sz w:val="24"/>
                <w:szCs w:val="24"/>
              </w:rPr>
            </w:pPr>
            <w:r>
              <w:rPr>
                <w:rFonts w:hint="eastAsia"/>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sz w:val="24"/>
                <w:szCs w:val="24"/>
              </w:rPr>
            </w:pPr>
            <w:r>
              <w:rPr>
                <w:rFonts w:hint="eastAsia"/>
                <w:sz w:val="24"/>
                <w:szCs w:val="24"/>
              </w:rPr>
              <w:t>1</w:t>
            </w:r>
          </w:p>
        </w:tc>
        <w:tc>
          <w:tcPr>
            <w:tcW w:w="1962" w:type="dxa"/>
            <w:vAlign w:val="center"/>
          </w:tcPr>
          <w:p>
            <w:pPr>
              <w:jc w:val="center"/>
              <w:rPr>
                <w:rFonts w:hint="eastAsia"/>
                <w:sz w:val="24"/>
                <w:szCs w:val="24"/>
              </w:rPr>
            </w:pPr>
            <w:r>
              <w:rPr>
                <w:rFonts w:hint="eastAsia"/>
                <w:sz w:val="24"/>
                <w:szCs w:val="24"/>
              </w:rPr>
              <w:t>报价要求</w:t>
            </w:r>
          </w:p>
        </w:tc>
        <w:tc>
          <w:tcPr>
            <w:tcW w:w="6507" w:type="dxa"/>
            <w:vAlign w:val="center"/>
          </w:tcPr>
          <w:p>
            <w:pPr>
              <w:jc w:val="left"/>
              <w:rPr>
                <w:rFonts w:hint="eastAsia" w:eastAsia="宋体"/>
                <w:sz w:val="24"/>
                <w:szCs w:val="24"/>
                <w:lang w:val="en-US" w:eastAsia="zh-CN"/>
              </w:rPr>
            </w:pPr>
            <w:r>
              <w:rPr>
                <w:rFonts w:hint="eastAsia" w:eastAsia="宋体"/>
                <w:sz w:val="24"/>
                <w:szCs w:val="24"/>
                <w:lang w:val="en-US" w:eastAsia="zh-CN"/>
              </w:rPr>
              <w:t>有关本项目实施所需的所有费用（含税费）均计入报价。开标一览表（报价表）是报价的唯一载体。投标文件中价格全部采用人民币报价。招标文件未列明，而投标人认为必需的费用也需列入报价。提醒：验收时检测费用由采购人承担，不包含在投标总价中。</w:t>
            </w:r>
          </w:p>
          <w:p>
            <w:pPr>
              <w:jc w:val="left"/>
              <w:rPr>
                <w:rFonts w:hint="eastAsia" w:eastAsia="宋体"/>
                <w:sz w:val="24"/>
                <w:szCs w:val="24"/>
                <w:lang w:val="en-US" w:eastAsia="zh-CN"/>
              </w:rPr>
            </w:pPr>
            <w:r>
              <w:rPr>
                <w:rFonts w:hint="eastAsia" w:eastAsia="宋体"/>
                <w:sz w:val="24"/>
                <w:szCs w:val="24"/>
                <w:lang w:val="en-US" w:eastAsia="zh-CN"/>
              </w:rPr>
              <w:t>投标报价出现下列情形的，投标无效：</w:t>
            </w:r>
          </w:p>
          <w:p>
            <w:pPr>
              <w:jc w:val="left"/>
              <w:rPr>
                <w:rFonts w:hint="eastAsia" w:eastAsia="宋体"/>
                <w:sz w:val="24"/>
                <w:szCs w:val="24"/>
                <w:lang w:val="en-US" w:eastAsia="zh-CN"/>
              </w:rPr>
            </w:pPr>
            <w:r>
              <w:rPr>
                <w:rFonts w:hint="eastAsia" w:eastAsia="宋体"/>
                <w:sz w:val="24"/>
                <w:szCs w:val="24"/>
                <w:lang w:val="en-US" w:eastAsia="zh-CN"/>
              </w:rPr>
              <w:t>投标文件出现不是唯一的、有选择性投标报价的；</w:t>
            </w:r>
          </w:p>
          <w:p>
            <w:pPr>
              <w:jc w:val="left"/>
              <w:rPr>
                <w:rFonts w:hint="eastAsia" w:eastAsia="宋体"/>
                <w:sz w:val="24"/>
                <w:szCs w:val="24"/>
                <w:lang w:val="en-US" w:eastAsia="zh-CN"/>
              </w:rPr>
            </w:pPr>
            <w:r>
              <w:rPr>
                <w:rFonts w:hint="eastAsia" w:eastAsia="宋体"/>
                <w:sz w:val="24"/>
                <w:szCs w:val="24"/>
                <w:lang w:val="en-US" w:eastAsia="zh-CN"/>
              </w:rPr>
              <w:t>投标报价超过招标文件中规定的预算金额或者最高限价或单价最高限价的;</w:t>
            </w:r>
          </w:p>
          <w:p>
            <w:pPr>
              <w:jc w:val="left"/>
              <w:rPr>
                <w:rFonts w:hint="eastAsia" w:eastAsia="宋体"/>
                <w:sz w:val="24"/>
                <w:szCs w:val="24"/>
                <w:lang w:val="en-US" w:eastAsia="zh-CN"/>
              </w:rPr>
            </w:pPr>
            <w:r>
              <w:rPr>
                <w:rFonts w:hint="eastAsia" w:eastAsia="宋体"/>
                <w:sz w:val="24"/>
                <w:szCs w:val="24"/>
                <w:lang w:val="en-US" w:eastAsia="zh-CN"/>
              </w:rPr>
              <w:t>报价明显低于其他通过符合性审查投标人的报价，有可能影响产品质量或者不能诚信履约的，未能按要求提供书面说明或者提交相关证明材料证明其报价合理性的;</w:t>
            </w:r>
          </w:p>
          <w:p>
            <w:pPr>
              <w:jc w:val="left"/>
              <w:rPr>
                <w:rFonts w:hint="eastAsia" w:eastAsia="宋体"/>
                <w:sz w:val="24"/>
                <w:szCs w:val="24"/>
                <w:lang w:val="en-US" w:eastAsia="zh-CN"/>
              </w:rPr>
            </w:pPr>
            <w:r>
              <w:rPr>
                <w:rFonts w:hint="eastAsia" w:eastAsia="宋体"/>
                <w:sz w:val="24"/>
                <w:szCs w:val="24"/>
                <w:lang w:val="en-US" w:eastAsia="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sz w:val="24"/>
                <w:szCs w:val="24"/>
              </w:rPr>
            </w:pPr>
            <w:r>
              <w:rPr>
                <w:rFonts w:hint="eastAsia"/>
                <w:sz w:val="24"/>
                <w:szCs w:val="24"/>
              </w:rPr>
              <w:t>2</w:t>
            </w:r>
          </w:p>
        </w:tc>
        <w:tc>
          <w:tcPr>
            <w:tcW w:w="1962" w:type="dxa"/>
            <w:vAlign w:val="center"/>
          </w:tcPr>
          <w:p>
            <w:pPr>
              <w:jc w:val="center"/>
              <w:rPr>
                <w:rFonts w:hint="eastAsia"/>
                <w:sz w:val="24"/>
                <w:szCs w:val="24"/>
              </w:rPr>
            </w:pPr>
            <w:r>
              <w:rPr>
                <w:rFonts w:hint="eastAsia"/>
                <w:sz w:val="24"/>
                <w:szCs w:val="24"/>
              </w:rPr>
              <w:t>分包</w:t>
            </w:r>
          </w:p>
        </w:tc>
        <w:tc>
          <w:tcPr>
            <w:tcW w:w="6507" w:type="dxa"/>
            <w:vAlign w:val="center"/>
          </w:tcPr>
          <w:p>
            <w:pPr>
              <w:jc w:val="left"/>
              <w:rPr>
                <w:rFonts w:hint="eastAsia"/>
                <w:sz w:val="24"/>
                <w:szCs w:val="24"/>
              </w:rPr>
            </w:pPr>
            <w:r>
              <w:rPr>
                <w:rFonts w:hint="eastAsia"/>
                <w:sz w:val="24"/>
                <w:szCs w:val="24"/>
              </w:rPr>
              <w:sym w:font="Wingdings" w:char="F0FE"/>
            </w:r>
            <w:r>
              <w:rPr>
                <w:rFonts w:hint="eastAsia"/>
                <w:sz w:val="24"/>
                <w:szCs w:val="24"/>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sz w:val="24"/>
                <w:szCs w:val="24"/>
              </w:rPr>
              <w:t>3</w:t>
            </w:r>
          </w:p>
        </w:tc>
        <w:tc>
          <w:tcPr>
            <w:tcW w:w="1962" w:type="dxa"/>
            <w:vMerge w:val="restart"/>
            <w:vAlign w:val="center"/>
          </w:tcPr>
          <w:p>
            <w:pPr>
              <w:jc w:val="center"/>
              <w:rPr>
                <w:rFonts w:hint="eastAsia"/>
                <w:sz w:val="24"/>
                <w:szCs w:val="24"/>
              </w:rPr>
            </w:pPr>
            <w:r>
              <w:rPr>
                <w:rFonts w:hint="eastAsia"/>
                <w:sz w:val="24"/>
                <w:szCs w:val="24"/>
              </w:rPr>
              <w:t>投标人应当提供的资格、资信证明文件</w:t>
            </w:r>
          </w:p>
        </w:tc>
        <w:tc>
          <w:tcPr>
            <w:tcW w:w="6507" w:type="dxa"/>
            <w:vAlign w:val="center"/>
          </w:tcPr>
          <w:p>
            <w:pPr>
              <w:jc w:val="left"/>
              <w:rPr>
                <w:rFonts w:hint="eastAsia"/>
                <w:sz w:val="24"/>
                <w:szCs w:val="24"/>
              </w:rPr>
            </w:pPr>
            <w:r>
              <w:rPr>
                <w:rFonts w:hint="eastAsia"/>
                <w:sz w:val="24"/>
                <w:szCs w:val="24"/>
              </w:rPr>
              <w:t>（1）资格证明文件：见招标文件第二部分11.1。</w:t>
            </w:r>
          </w:p>
          <w:p>
            <w:pPr>
              <w:jc w:val="left"/>
              <w:rPr>
                <w:rFonts w:hint="eastAsia"/>
                <w:sz w:val="24"/>
                <w:szCs w:val="24"/>
              </w:rPr>
            </w:pPr>
            <w:r>
              <w:rPr>
                <w:rFonts w:hint="eastAsia"/>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rFonts w:hint="eastAsia"/>
                <w:sz w:val="24"/>
                <w:szCs w:val="24"/>
              </w:rPr>
            </w:pPr>
          </w:p>
        </w:tc>
        <w:tc>
          <w:tcPr>
            <w:tcW w:w="1962" w:type="dxa"/>
            <w:vMerge w:val="continue"/>
            <w:vAlign w:val="center"/>
          </w:tcPr>
          <w:p>
            <w:pPr>
              <w:jc w:val="center"/>
              <w:rPr>
                <w:rFonts w:hint="eastAsia"/>
                <w:sz w:val="24"/>
                <w:szCs w:val="24"/>
              </w:rPr>
            </w:pPr>
          </w:p>
        </w:tc>
        <w:tc>
          <w:tcPr>
            <w:tcW w:w="6507" w:type="dxa"/>
            <w:vAlign w:val="center"/>
          </w:tcPr>
          <w:p>
            <w:pPr>
              <w:jc w:val="left"/>
              <w:rPr>
                <w:rFonts w:hint="eastAsia"/>
                <w:sz w:val="24"/>
                <w:szCs w:val="24"/>
              </w:rPr>
            </w:pPr>
            <w:r>
              <w:rPr>
                <w:rFonts w:hint="eastAsia"/>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sz w:val="24"/>
                <w:szCs w:val="24"/>
              </w:rPr>
            </w:pPr>
          </w:p>
          <w:p>
            <w:pPr>
              <w:jc w:val="center"/>
              <w:rPr>
                <w:rFonts w:hint="eastAsia"/>
                <w:sz w:val="24"/>
                <w:szCs w:val="24"/>
              </w:rPr>
            </w:pPr>
            <w:r>
              <w:rPr>
                <w:rFonts w:hint="eastAsia"/>
                <w:sz w:val="24"/>
                <w:szCs w:val="24"/>
              </w:rPr>
              <w:t>4</w:t>
            </w:r>
          </w:p>
        </w:tc>
        <w:tc>
          <w:tcPr>
            <w:tcW w:w="1962" w:type="dxa"/>
            <w:vAlign w:val="center"/>
          </w:tcPr>
          <w:p>
            <w:pPr>
              <w:jc w:val="center"/>
              <w:rPr>
                <w:rFonts w:hint="eastAsia"/>
                <w:sz w:val="24"/>
                <w:szCs w:val="24"/>
              </w:rPr>
            </w:pPr>
            <w:r>
              <w:rPr>
                <w:rFonts w:hint="eastAsia"/>
                <w:sz w:val="24"/>
                <w:szCs w:val="24"/>
              </w:rPr>
              <w:t>开标前答疑会或现场考察</w:t>
            </w:r>
          </w:p>
        </w:tc>
        <w:tc>
          <w:tcPr>
            <w:tcW w:w="6507" w:type="dxa"/>
            <w:vAlign w:val="center"/>
          </w:tcPr>
          <w:p>
            <w:pPr>
              <w:jc w:val="left"/>
              <w:rPr>
                <w:rFonts w:hint="eastAsia"/>
                <w:sz w:val="24"/>
                <w:szCs w:val="24"/>
              </w:rPr>
            </w:pPr>
            <w:r>
              <w:rPr>
                <w:rFonts w:hint="eastAsia"/>
                <w:sz w:val="24"/>
                <w:szCs w:val="24"/>
              </w:rPr>
              <w:sym w:font="Wingdings" w:char="F0FE"/>
            </w:r>
            <w:r>
              <w:rPr>
                <w:rFonts w:hint="eastAsia"/>
                <w:sz w:val="24"/>
                <w:szCs w:val="24"/>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sz w:val="24"/>
                <w:szCs w:val="24"/>
              </w:rPr>
            </w:pPr>
            <w:r>
              <w:rPr>
                <w:rFonts w:hint="eastAsia"/>
                <w:sz w:val="24"/>
                <w:szCs w:val="24"/>
              </w:rPr>
              <w:t>5</w:t>
            </w:r>
          </w:p>
        </w:tc>
        <w:tc>
          <w:tcPr>
            <w:tcW w:w="1962" w:type="dxa"/>
            <w:vAlign w:val="center"/>
          </w:tcPr>
          <w:p>
            <w:pPr>
              <w:jc w:val="center"/>
              <w:rPr>
                <w:rFonts w:hint="eastAsia"/>
                <w:sz w:val="24"/>
                <w:szCs w:val="24"/>
              </w:rPr>
            </w:pPr>
            <w:r>
              <w:rPr>
                <w:rFonts w:hint="eastAsia"/>
                <w:sz w:val="24"/>
                <w:szCs w:val="24"/>
              </w:rPr>
              <w:t>样品提供</w:t>
            </w:r>
          </w:p>
        </w:tc>
        <w:tc>
          <w:tcPr>
            <w:tcW w:w="6507" w:type="dxa"/>
            <w:vAlign w:val="center"/>
          </w:tcPr>
          <w:p>
            <w:pPr>
              <w:jc w:val="left"/>
              <w:rPr>
                <w:rFonts w:hint="eastAsia"/>
                <w:sz w:val="24"/>
                <w:szCs w:val="24"/>
              </w:rPr>
            </w:pPr>
            <w:r>
              <w:rPr>
                <w:rFonts w:hint="eastAsia"/>
              </w:rPr>
              <w:sym w:font="Wingdings" w:char="00FE"/>
            </w:r>
            <w:r>
              <w:rPr>
                <w:rFonts w:hint="eastAsia"/>
                <w:sz w:val="24"/>
                <w:szCs w:val="24"/>
              </w:rPr>
              <w:t>A不要求提供。</w:t>
            </w:r>
          </w:p>
          <w:p>
            <w:pPr>
              <w:numPr>
                <w:ilvl w:val="0"/>
                <w:numId w:val="0"/>
              </w:numPr>
              <w:jc w:val="left"/>
              <w:rPr>
                <w:rFonts w:hint="eastAsia" w:eastAsia="宋体"/>
                <w:lang w:val="en-US" w:eastAsia="zh-CN"/>
              </w:rPr>
            </w:pPr>
            <w:r>
              <w:rPr>
                <w:rFonts w:hint="eastAsia"/>
              </w:rPr>
              <w:sym w:font="Wingdings" w:char="00A8"/>
            </w:r>
            <w:r>
              <w:rPr>
                <w:rFonts w:hint="eastAsia"/>
                <w:b w:val="0"/>
                <w:bCs w:val="0"/>
                <w:sz w:val="24"/>
                <w:szCs w:val="24"/>
                <w:lang w:val="en-US" w:eastAsia="zh-CN"/>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eastAsia="宋体"/>
                <w:sz w:val="24"/>
                <w:szCs w:val="24"/>
                <w:lang w:val="en-US" w:eastAsia="zh-CN"/>
              </w:rPr>
            </w:pPr>
            <w:r>
              <w:rPr>
                <w:rFonts w:hint="eastAsia"/>
                <w:sz w:val="24"/>
                <w:szCs w:val="24"/>
                <w:lang w:val="en-US" w:eastAsia="zh-CN"/>
              </w:rPr>
              <w:t>6</w:t>
            </w:r>
          </w:p>
        </w:tc>
        <w:tc>
          <w:tcPr>
            <w:tcW w:w="1962" w:type="dxa"/>
            <w:vAlign w:val="center"/>
          </w:tcPr>
          <w:p>
            <w:pPr>
              <w:jc w:val="center"/>
              <w:rPr>
                <w:rFonts w:hint="eastAsia"/>
                <w:sz w:val="24"/>
                <w:szCs w:val="24"/>
              </w:rPr>
            </w:pPr>
            <w:r>
              <w:rPr>
                <w:rFonts w:hint="eastAsia"/>
                <w:sz w:val="24"/>
                <w:szCs w:val="24"/>
                <w:lang w:val="en-US" w:eastAsia="zh-CN"/>
              </w:rPr>
              <w:t>演示要求</w:t>
            </w:r>
          </w:p>
        </w:tc>
        <w:tc>
          <w:tcPr>
            <w:tcW w:w="6507" w:type="dxa"/>
            <w:vAlign w:val="center"/>
          </w:tcPr>
          <w:p>
            <w:pPr>
              <w:jc w:val="left"/>
              <w:rPr>
                <w:rFonts w:hint="eastAsia"/>
                <w:sz w:val="24"/>
                <w:szCs w:val="24"/>
              </w:rPr>
            </w:pPr>
            <w:r>
              <w:rPr>
                <w:rFonts w:hint="eastAsia"/>
                <w:sz w:val="24"/>
                <w:szCs w:val="24"/>
              </w:rPr>
              <w:sym w:font="Wingdings" w:char="F0FE"/>
            </w:r>
            <w:r>
              <w:rPr>
                <w:rFonts w:hint="eastAsia"/>
                <w:sz w:val="24"/>
                <w:szCs w:val="24"/>
              </w:rPr>
              <w:t>A不组织。</w:t>
            </w:r>
          </w:p>
          <w:p>
            <w:pPr>
              <w:jc w:val="left"/>
              <w:rPr>
                <w:rFonts w:hint="eastAsia"/>
                <w:sz w:val="24"/>
                <w:szCs w:val="24"/>
              </w:rPr>
            </w:pPr>
            <w:r>
              <w:rPr>
                <w:rFonts w:hint="eastAsia"/>
                <w:sz w:val="24"/>
                <w:szCs w:val="24"/>
              </w:rPr>
              <w:t>☐B组织。</w:t>
            </w:r>
          </w:p>
          <w:p>
            <w:pPr>
              <w:jc w:val="left"/>
              <w:rPr>
                <w:rFonts w:hint="eastAsia"/>
                <w:sz w:val="24"/>
                <w:szCs w:val="24"/>
              </w:rPr>
            </w:pPr>
            <w:r>
              <w:rPr>
                <w:rFonts w:hint="eastAsia"/>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jc w:val="left"/>
              <w:rPr>
                <w:rFonts w:hint="eastAsia"/>
                <w:sz w:val="24"/>
                <w:szCs w:val="24"/>
              </w:rPr>
            </w:pPr>
            <w:r>
              <w:rPr>
                <w:rFonts w:hint="eastAsia"/>
                <w:sz w:val="24"/>
                <w:szCs w:val="24"/>
              </w:rPr>
              <w:t>（2）方案讲解演示可选择以下其中一种方式：</w:t>
            </w:r>
          </w:p>
          <w:p>
            <w:pPr>
              <w:jc w:val="left"/>
              <w:rPr>
                <w:rFonts w:hint="eastAsia"/>
                <w:sz w:val="24"/>
                <w:szCs w:val="24"/>
              </w:rPr>
            </w:pPr>
            <w:r>
              <w:rPr>
                <w:rFonts w:hint="eastAsia"/>
                <w:sz w:val="24"/>
                <w:szCs w:val="24"/>
              </w:rPr>
              <w:t>方式一：政采云平台在线讲解演示。政采云平台在线讲解需投标人根据政采云平台操作要求做好准备工作，提前完善软硬件配置环境。</w:t>
            </w:r>
          </w:p>
          <w:p>
            <w:pPr>
              <w:jc w:val="left"/>
              <w:rPr>
                <w:rFonts w:hint="eastAsia"/>
                <w:sz w:val="24"/>
                <w:szCs w:val="24"/>
              </w:rPr>
            </w:pPr>
            <w:r>
              <w:rPr>
                <w:rFonts w:hint="eastAsia"/>
                <w:sz w:val="24"/>
                <w:szCs w:val="24"/>
              </w:rPr>
              <w:t>方式二：交易中心现场讲解演示。现场讲解地点为    ，讲解演示所用电脑等设备由投标人自备。现场讲解演示人员进场时提供讲解人员名单（加盖公章）及身份证明，否则不得讲解演示。</w:t>
            </w:r>
          </w:p>
          <w:p>
            <w:pPr>
              <w:jc w:val="left"/>
              <w:rPr>
                <w:rFonts w:hint="eastAsia"/>
                <w:lang w:val="en-US" w:eastAsia="zh-CN"/>
              </w:rPr>
            </w:pPr>
            <w:r>
              <w:rPr>
                <w:rFonts w:hint="eastAsia"/>
                <w:sz w:val="24"/>
                <w:szCs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eastAsia="宋体"/>
                <w:sz w:val="24"/>
                <w:szCs w:val="24"/>
                <w:lang w:eastAsia="zh-CN"/>
              </w:rPr>
            </w:pPr>
            <w:r>
              <w:rPr>
                <w:rFonts w:hint="eastAsia"/>
                <w:sz w:val="24"/>
                <w:szCs w:val="24"/>
                <w:lang w:val="en-US" w:eastAsia="zh-CN"/>
              </w:rPr>
              <w:t>7</w:t>
            </w:r>
          </w:p>
        </w:tc>
        <w:tc>
          <w:tcPr>
            <w:tcW w:w="1962" w:type="dxa"/>
            <w:vAlign w:val="center"/>
          </w:tcPr>
          <w:p>
            <w:pPr>
              <w:jc w:val="center"/>
              <w:rPr>
                <w:rFonts w:hint="eastAsia"/>
                <w:sz w:val="24"/>
                <w:szCs w:val="24"/>
              </w:rPr>
            </w:pPr>
            <w:r>
              <w:rPr>
                <w:rFonts w:hint="eastAsia"/>
                <w:sz w:val="24"/>
                <w:szCs w:val="24"/>
              </w:rPr>
              <w:t>是否允许采购进口产品</w:t>
            </w:r>
          </w:p>
        </w:tc>
        <w:tc>
          <w:tcPr>
            <w:tcW w:w="6507" w:type="dxa"/>
            <w:vAlign w:val="center"/>
          </w:tcPr>
          <w:p>
            <w:pPr>
              <w:jc w:val="left"/>
              <w:rPr>
                <w:rFonts w:hint="eastAsia"/>
                <w:sz w:val="24"/>
                <w:szCs w:val="24"/>
              </w:rPr>
            </w:pPr>
            <w:r>
              <w:rPr>
                <w:rFonts w:hint="eastAsia"/>
                <w:sz w:val="24"/>
                <w:szCs w:val="24"/>
              </w:rPr>
              <w:sym w:font="Wingdings" w:char="F0FE"/>
            </w:r>
            <w:r>
              <w:rPr>
                <w:rFonts w:hint="eastAsia"/>
                <w:sz w:val="24"/>
                <w:szCs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eastAsia="宋体"/>
                <w:sz w:val="24"/>
                <w:szCs w:val="24"/>
                <w:lang w:eastAsia="zh-CN"/>
              </w:rPr>
            </w:pPr>
            <w:r>
              <w:rPr>
                <w:rFonts w:hint="eastAsia"/>
                <w:sz w:val="24"/>
                <w:szCs w:val="24"/>
                <w:lang w:val="en-US" w:eastAsia="zh-CN"/>
              </w:rPr>
              <w:t>8</w:t>
            </w:r>
          </w:p>
        </w:tc>
        <w:tc>
          <w:tcPr>
            <w:tcW w:w="1962" w:type="dxa"/>
            <w:vAlign w:val="center"/>
          </w:tcPr>
          <w:p>
            <w:pPr>
              <w:jc w:val="center"/>
              <w:rPr>
                <w:rFonts w:hint="eastAsia"/>
                <w:sz w:val="24"/>
                <w:szCs w:val="24"/>
              </w:rPr>
            </w:pPr>
            <w:r>
              <w:rPr>
                <w:rFonts w:hint="eastAsia"/>
                <w:sz w:val="24"/>
                <w:szCs w:val="24"/>
              </w:rPr>
              <w:t>项目属性与核心产品</w:t>
            </w:r>
          </w:p>
        </w:tc>
        <w:tc>
          <w:tcPr>
            <w:tcW w:w="6507" w:type="dxa"/>
            <w:vAlign w:val="center"/>
          </w:tcPr>
          <w:p>
            <w:pPr>
              <w:jc w:val="left"/>
              <w:rPr>
                <w:rFonts w:hint="eastAsia"/>
                <w:sz w:val="24"/>
                <w:szCs w:val="24"/>
                <w:lang w:val="en-US" w:eastAsia="zh-CN"/>
              </w:rPr>
            </w:pPr>
            <w:r>
              <w:rPr>
                <w:rFonts w:hint="eastAsia"/>
                <w:sz w:val="24"/>
                <w:szCs w:val="24"/>
              </w:rPr>
              <w:sym w:font="Wingdings" w:char="00A8"/>
            </w:r>
            <w:r>
              <w:rPr>
                <w:rFonts w:hint="eastAsia"/>
                <w:sz w:val="24"/>
                <w:szCs w:val="24"/>
                <w:lang w:val="en-US" w:eastAsia="zh-CN"/>
              </w:rPr>
              <w:t>A货物类，</w:t>
            </w:r>
          </w:p>
          <w:p>
            <w:pPr>
              <w:jc w:val="left"/>
              <w:rPr>
                <w:rFonts w:hint="eastAsia"/>
                <w:sz w:val="24"/>
                <w:szCs w:val="24"/>
              </w:rPr>
            </w:pPr>
            <w:r>
              <w:rPr>
                <w:rFonts w:hint="eastAsia"/>
                <w:sz w:val="24"/>
                <w:szCs w:val="24"/>
              </w:rPr>
              <w:sym w:font="Wingdings" w:char="00FE"/>
            </w:r>
            <w:r>
              <w:rPr>
                <w:rFonts w:hint="eastAsia"/>
                <w:sz w:val="24"/>
                <w:szCs w:val="24"/>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default" w:eastAsia="宋体"/>
                <w:sz w:val="24"/>
                <w:szCs w:val="24"/>
                <w:lang w:val="en-US" w:eastAsia="zh-CN"/>
              </w:rPr>
            </w:pPr>
            <w:r>
              <w:rPr>
                <w:rFonts w:hint="eastAsia"/>
                <w:sz w:val="24"/>
                <w:szCs w:val="24"/>
                <w:lang w:val="en-US" w:eastAsia="zh-CN"/>
              </w:rPr>
              <w:t>9</w:t>
            </w:r>
          </w:p>
        </w:tc>
        <w:tc>
          <w:tcPr>
            <w:tcW w:w="1962" w:type="dxa"/>
            <w:vAlign w:val="center"/>
          </w:tcPr>
          <w:p>
            <w:pPr>
              <w:jc w:val="center"/>
              <w:rPr>
                <w:rFonts w:hint="eastAsia"/>
                <w:sz w:val="24"/>
                <w:szCs w:val="24"/>
              </w:rPr>
            </w:pPr>
            <w:r>
              <w:rPr>
                <w:rFonts w:hint="eastAsia"/>
                <w:sz w:val="24"/>
                <w:szCs w:val="24"/>
              </w:rPr>
              <w:t>采购标的对应的中小企业划分标准所属行业</w:t>
            </w:r>
          </w:p>
        </w:tc>
        <w:tc>
          <w:tcPr>
            <w:tcW w:w="6507" w:type="dxa"/>
            <w:vAlign w:val="center"/>
          </w:tcPr>
          <w:p>
            <w:pPr>
              <w:snapToGrid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采购标的：</w:t>
            </w:r>
            <w:r>
              <w:rPr>
                <w:rFonts w:hint="eastAsia" w:asciiTheme="minorEastAsia" w:hAnsiTheme="minorEastAsia" w:eastAsiaTheme="minorEastAsia" w:cstheme="minorEastAsia"/>
                <w:color w:val="auto"/>
                <w:kern w:val="0"/>
                <w:sz w:val="24"/>
                <w:szCs w:val="24"/>
                <w:lang w:val="en-US" w:eastAsia="zh-CN"/>
              </w:rPr>
              <w:t>市政</w:t>
            </w:r>
            <w:r>
              <w:rPr>
                <w:rFonts w:hint="eastAsia" w:asciiTheme="minorEastAsia" w:hAnsiTheme="minorEastAsia" w:eastAsiaTheme="minorEastAsia" w:cstheme="minorEastAsia"/>
                <w:color w:val="auto"/>
                <w:kern w:val="0"/>
                <w:sz w:val="24"/>
                <w:szCs w:val="24"/>
              </w:rPr>
              <w:t>养护项目；所属行业：其他未列明行业。</w:t>
            </w:r>
          </w:p>
          <w:p>
            <w:pPr>
              <w:jc w:val="left"/>
              <w:rPr>
                <w:rFonts w:hint="eastAsia"/>
                <w:sz w:val="24"/>
                <w:szCs w:val="24"/>
                <w:lang w:val="en-US" w:eastAsia="zh-CN"/>
              </w:rPr>
            </w:pPr>
            <w:r>
              <w:rPr>
                <w:rFonts w:hint="eastAsia" w:asciiTheme="minorEastAsia" w:hAnsiTheme="minorEastAsia" w:eastAsiaTheme="minorEastAsia" w:cstheme="minorEastAsia"/>
                <w:b w:val="0"/>
                <w:bCs w:val="0"/>
                <w:color w:val="auto"/>
                <w:sz w:val="24"/>
                <w:szCs w:val="24"/>
              </w:rPr>
              <w:t>标准详见附件《中小企业划型标准规定》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default" w:eastAsia="宋体"/>
                <w:sz w:val="24"/>
                <w:szCs w:val="24"/>
                <w:lang w:val="en-US" w:eastAsia="zh-CN"/>
              </w:rPr>
            </w:pPr>
            <w:r>
              <w:rPr>
                <w:rFonts w:hint="eastAsia"/>
                <w:sz w:val="24"/>
                <w:szCs w:val="24"/>
                <w:lang w:val="en-US" w:eastAsia="zh-CN"/>
              </w:rPr>
              <w:t>10</w:t>
            </w:r>
          </w:p>
        </w:tc>
        <w:tc>
          <w:tcPr>
            <w:tcW w:w="1962" w:type="dxa"/>
            <w:vAlign w:val="center"/>
          </w:tcPr>
          <w:p>
            <w:pPr>
              <w:jc w:val="center"/>
              <w:rPr>
                <w:rFonts w:hint="eastAsia"/>
                <w:sz w:val="24"/>
                <w:szCs w:val="24"/>
              </w:rPr>
            </w:pPr>
            <w:r>
              <w:rPr>
                <w:rFonts w:hint="eastAsia"/>
                <w:sz w:val="24"/>
                <w:szCs w:val="24"/>
              </w:rPr>
              <w:t>节能产品、环境标志产品</w:t>
            </w:r>
          </w:p>
        </w:tc>
        <w:tc>
          <w:tcPr>
            <w:tcW w:w="6507" w:type="dxa"/>
            <w:vAlign w:val="center"/>
          </w:tcPr>
          <w:p>
            <w:pPr>
              <w:jc w:val="left"/>
              <w:rPr>
                <w:rFonts w:hint="eastAsia"/>
                <w:sz w:val="24"/>
                <w:szCs w:val="24"/>
              </w:rPr>
            </w:pPr>
            <w:r>
              <w:rPr>
                <w:rFonts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rFonts w:hint="default" w:eastAsia="宋体"/>
                <w:sz w:val="24"/>
                <w:szCs w:val="24"/>
                <w:lang w:val="en-US" w:eastAsia="zh-CN"/>
              </w:rPr>
            </w:pPr>
            <w:r>
              <w:rPr>
                <w:rFonts w:hint="eastAsia"/>
                <w:sz w:val="24"/>
                <w:szCs w:val="24"/>
                <w:lang w:val="en-US" w:eastAsia="zh-CN"/>
              </w:rPr>
              <w:t>11</w:t>
            </w:r>
          </w:p>
        </w:tc>
        <w:tc>
          <w:tcPr>
            <w:tcW w:w="1962" w:type="dxa"/>
            <w:vMerge w:val="restart"/>
            <w:vAlign w:val="center"/>
          </w:tcPr>
          <w:p>
            <w:pPr>
              <w:jc w:val="center"/>
              <w:rPr>
                <w:rFonts w:hint="eastAsia"/>
                <w:sz w:val="24"/>
                <w:szCs w:val="24"/>
              </w:rPr>
            </w:pPr>
            <w:r>
              <w:rPr>
                <w:rFonts w:hint="eastAsia"/>
                <w:sz w:val="24"/>
                <w:szCs w:val="24"/>
              </w:rPr>
              <w:t>中小企业信用融资</w:t>
            </w:r>
          </w:p>
        </w:tc>
        <w:tc>
          <w:tcPr>
            <w:tcW w:w="6507" w:type="dxa"/>
            <w:vAlign w:val="center"/>
          </w:tcPr>
          <w:p>
            <w:pPr>
              <w:jc w:val="left"/>
              <w:rPr>
                <w:rFonts w:hint="eastAsia"/>
                <w:sz w:val="24"/>
                <w:szCs w:val="24"/>
              </w:rPr>
            </w:pPr>
            <w:r>
              <w:rPr>
                <w:rFonts w:hint="eastAsia"/>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rFonts w:hint="eastAsia"/>
                <w:sz w:val="24"/>
                <w:szCs w:val="24"/>
              </w:rPr>
            </w:pPr>
          </w:p>
        </w:tc>
        <w:tc>
          <w:tcPr>
            <w:tcW w:w="1962" w:type="dxa"/>
            <w:vMerge w:val="continue"/>
            <w:vAlign w:val="center"/>
          </w:tcPr>
          <w:p>
            <w:pPr>
              <w:jc w:val="center"/>
              <w:rPr>
                <w:rFonts w:hint="eastAsia"/>
                <w:sz w:val="24"/>
                <w:szCs w:val="24"/>
              </w:rPr>
            </w:pPr>
          </w:p>
        </w:tc>
        <w:tc>
          <w:tcPr>
            <w:tcW w:w="6507" w:type="dxa"/>
            <w:vAlign w:val="center"/>
          </w:tcPr>
          <w:p>
            <w:pPr>
              <w:jc w:val="left"/>
              <w:rPr>
                <w:rFonts w:hint="eastAsia"/>
                <w:sz w:val="24"/>
                <w:szCs w:val="24"/>
              </w:rPr>
            </w:pPr>
            <w:r>
              <w:rPr>
                <w:rFonts w:hint="eastAsia"/>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default" w:eastAsia="宋体"/>
                <w:sz w:val="24"/>
                <w:szCs w:val="24"/>
                <w:lang w:val="en-US" w:eastAsia="zh-CN"/>
              </w:rPr>
            </w:pPr>
            <w:r>
              <w:rPr>
                <w:rFonts w:hint="eastAsia"/>
                <w:sz w:val="24"/>
                <w:szCs w:val="24"/>
                <w:lang w:val="en-US" w:eastAsia="zh-CN"/>
              </w:rPr>
              <w:t>12</w:t>
            </w:r>
          </w:p>
        </w:tc>
        <w:tc>
          <w:tcPr>
            <w:tcW w:w="1962" w:type="dxa"/>
            <w:vAlign w:val="center"/>
          </w:tcPr>
          <w:p>
            <w:pPr>
              <w:jc w:val="center"/>
              <w:rPr>
                <w:rFonts w:hint="eastAsia"/>
                <w:b/>
                <w:bCs/>
                <w:sz w:val="24"/>
                <w:szCs w:val="24"/>
              </w:rPr>
            </w:pPr>
            <w:r>
              <w:rPr>
                <w:rFonts w:hint="eastAsia"/>
                <w:b/>
                <w:bCs/>
                <w:sz w:val="24"/>
                <w:szCs w:val="24"/>
              </w:rPr>
              <w:t>备份投标文件送达地点和签收人员</w:t>
            </w:r>
          </w:p>
        </w:tc>
        <w:tc>
          <w:tcPr>
            <w:tcW w:w="6507" w:type="dxa"/>
            <w:vAlign w:val="center"/>
          </w:tcPr>
          <w:p>
            <w:pPr>
              <w:jc w:val="left"/>
              <w:rPr>
                <w:rFonts w:hint="eastAsia"/>
                <w:b/>
                <w:bCs/>
                <w:sz w:val="24"/>
                <w:szCs w:val="24"/>
              </w:rPr>
            </w:pPr>
            <w:r>
              <w:rPr>
                <w:rFonts w:hint="eastAsia"/>
                <w:b/>
                <w:bCs/>
                <w:sz w:val="24"/>
                <w:szCs w:val="24"/>
              </w:rPr>
              <w:t>备份投标文件送达地点：杭州市临平区</w:t>
            </w:r>
            <w:r>
              <w:rPr>
                <w:rFonts w:hint="eastAsia"/>
                <w:b/>
                <w:bCs/>
                <w:sz w:val="24"/>
                <w:szCs w:val="24"/>
                <w:lang w:val="en-US" w:eastAsia="zh-CN"/>
              </w:rPr>
              <w:t>东湖</w:t>
            </w:r>
            <w:r>
              <w:rPr>
                <w:rFonts w:hint="eastAsia"/>
                <w:b/>
                <w:bCs/>
                <w:sz w:val="24"/>
                <w:szCs w:val="24"/>
              </w:rPr>
              <w:t>街道</w:t>
            </w:r>
            <w:r>
              <w:rPr>
                <w:rFonts w:hint="eastAsia"/>
                <w:b/>
                <w:bCs/>
                <w:sz w:val="24"/>
                <w:szCs w:val="24"/>
                <w:lang w:val="en-US" w:eastAsia="zh-CN"/>
              </w:rPr>
              <w:t>五洲</w:t>
            </w:r>
            <w:r>
              <w:rPr>
                <w:rFonts w:hint="eastAsia"/>
                <w:b/>
                <w:bCs/>
                <w:sz w:val="24"/>
                <w:szCs w:val="24"/>
              </w:rPr>
              <w:t>路</w:t>
            </w:r>
            <w:r>
              <w:rPr>
                <w:rFonts w:hint="eastAsia"/>
                <w:b/>
                <w:bCs/>
                <w:sz w:val="24"/>
                <w:szCs w:val="24"/>
                <w:lang w:val="en-US" w:eastAsia="zh-CN"/>
              </w:rPr>
              <w:t>2</w:t>
            </w:r>
            <w:r>
              <w:rPr>
                <w:rFonts w:hint="eastAsia"/>
                <w:b/>
                <w:bCs/>
                <w:sz w:val="24"/>
                <w:szCs w:val="24"/>
              </w:rPr>
              <w:t>6号</w:t>
            </w:r>
            <w:r>
              <w:rPr>
                <w:rFonts w:hint="eastAsia"/>
                <w:b/>
                <w:bCs/>
                <w:sz w:val="24"/>
                <w:szCs w:val="24"/>
                <w:lang w:val="en-US" w:eastAsia="zh-CN"/>
              </w:rPr>
              <w:t>东部科创园（五洲园区）2幢506室</w:t>
            </w:r>
            <w:r>
              <w:rPr>
                <w:rFonts w:hint="eastAsia"/>
                <w:b/>
                <w:bCs/>
                <w:sz w:val="24"/>
                <w:szCs w:val="24"/>
              </w:rPr>
              <w:t>；备份投标文件签收人员联系电话：</w:t>
            </w:r>
            <w:r>
              <w:rPr>
                <w:rFonts w:hint="eastAsia"/>
                <w:b/>
                <w:bCs/>
                <w:sz w:val="24"/>
                <w:szCs w:val="24"/>
                <w:lang w:val="en-US" w:eastAsia="zh-CN"/>
              </w:rPr>
              <w:t>18806533997</w:t>
            </w:r>
            <w:r>
              <w:rPr>
                <w:rFonts w:hint="eastAsia"/>
                <w:b/>
                <w:bCs/>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default" w:eastAsia="宋体"/>
                <w:sz w:val="24"/>
                <w:szCs w:val="24"/>
                <w:lang w:val="en-US" w:eastAsia="zh-CN"/>
              </w:rPr>
            </w:pPr>
            <w:r>
              <w:rPr>
                <w:rFonts w:hint="eastAsia"/>
                <w:sz w:val="24"/>
                <w:szCs w:val="24"/>
                <w:lang w:val="en-US" w:eastAsia="zh-CN"/>
              </w:rPr>
              <w:t>13</w:t>
            </w:r>
          </w:p>
        </w:tc>
        <w:tc>
          <w:tcPr>
            <w:tcW w:w="1962" w:type="dxa"/>
            <w:vAlign w:val="center"/>
          </w:tcPr>
          <w:p>
            <w:pPr>
              <w:jc w:val="center"/>
              <w:rPr>
                <w:rFonts w:hint="eastAsia"/>
                <w:sz w:val="24"/>
                <w:szCs w:val="24"/>
              </w:rPr>
            </w:pPr>
            <w:r>
              <w:rPr>
                <w:rFonts w:hint="eastAsia"/>
                <w:sz w:val="24"/>
                <w:szCs w:val="24"/>
              </w:rPr>
              <w:t>特别说明</w:t>
            </w:r>
          </w:p>
        </w:tc>
        <w:tc>
          <w:tcPr>
            <w:tcW w:w="6507" w:type="dxa"/>
            <w:vAlign w:val="center"/>
          </w:tcPr>
          <w:p>
            <w:pPr>
              <w:jc w:val="left"/>
              <w:rPr>
                <w:rFonts w:hint="eastAsia"/>
                <w:sz w:val="24"/>
                <w:szCs w:val="24"/>
              </w:rPr>
            </w:pPr>
            <w:r>
              <w:rPr>
                <w:rFonts w:hint="eastAsia"/>
                <w:sz w:val="24"/>
                <w:szCs w:val="24"/>
              </w:rPr>
              <w:t>中标单位需在中标后将纸质版投标文件送至代理公司，投标文件数量：一正三副，投标文件送达地点：</w:t>
            </w:r>
            <w:r>
              <w:rPr>
                <w:rFonts w:hint="eastAsia"/>
                <w:sz w:val="24"/>
                <w:szCs w:val="24"/>
                <w:lang w:val="en-US" w:eastAsia="zh-CN"/>
              </w:rPr>
              <w:t>东湖</w:t>
            </w:r>
            <w:r>
              <w:rPr>
                <w:rFonts w:hint="eastAsia"/>
                <w:sz w:val="24"/>
                <w:szCs w:val="24"/>
              </w:rPr>
              <w:t>街道</w:t>
            </w:r>
            <w:r>
              <w:rPr>
                <w:rFonts w:hint="eastAsia"/>
                <w:sz w:val="24"/>
                <w:szCs w:val="24"/>
                <w:lang w:val="en-US" w:eastAsia="zh-CN"/>
              </w:rPr>
              <w:t>五洲</w:t>
            </w:r>
            <w:r>
              <w:rPr>
                <w:rFonts w:hint="eastAsia"/>
                <w:sz w:val="24"/>
                <w:szCs w:val="24"/>
              </w:rPr>
              <w:t>路</w:t>
            </w:r>
            <w:r>
              <w:rPr>
                <w:rFonts w:hint="eastAsia"/>
                <w:sz w:val="24"/>
                <w:szCs w:val="24"/>
                <w:lang w:val="en-US" w:eastAsia="zh-CN"/>
              </w:rPr>
              <w:t>2</w:t>
            </w:r>
            <w:r>
              <w:rPr>
                <w:rFonts w:hint="eastAsia"/>
                <w:sz w:val="24"/>
                <w:szCs w:val="24"/>
              </w:rPr>
              <w:t>6号</w:t>
            </w:r>
            <w:r>
              <w:rPr>
                <w:rFonts w:hint="eastAsia"/>
                <w:sz w:val="24"/>
                <w:szCs w:val="24"/>
                <w:lang w:val="en-US" w:eastAsia="zh-CN"/>
              </w:rPr>
              <w:t>东部科创园（五洲园区）2幢506室</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default" w:eastAsia="宋体"/>
                <w:sz w:val="24"/>
                <w:szCs w:val="24"/>
                <w:lang w:val="en-US" w:eastAsia="zh-CN"/>
              </w:rPr>
            </w:pPr>
            <w:r>
              <w:rPr>
                <w:rFonts w:hint="eastAsia"/>
                <w:sz w:val="24"/>
                <w:szCs w:val="24"/>
                <w:lang w:val="en-US" w:eastAsia="zh-CN"/>
              </w:rPr>
              <w:t>14</w:t>
            </w:r>
          </w:p>
        </w:tc>
        <w:tc>
          <w:tcPr>
            <w:tcW w:w="1962" w:type="dxa"/>
            <w:vAlign w:val="center"/>
          </w:tcPr>
          <w:p>
            <w:pPr>
              <w:jc w:val="center"/>
              <w:rPr>
                <w:rFonts w:hint="eastAsia"/>
                <w:b/>
                <w:bCs/>
                <w:sz w:val="24"/>
                <w:szCs w:val="24"/>
              </w:rPr>
            </w:pPr>
            <w:r>
              <w:rPr>
                <w:rFonts w:hint="eastAsia" w:ascii="Times New Roman" w:hAnsi="Times New Roman" w:eastAsia="宋体" w:cs="Times New Roman"/>
                <w:b/>
                <w:bCs/>
                <w:sz w:val="24"/>
                <w:szCs w:val="24"/>
              </w:rPr>
              <w:t>招标代理服务费</w:t>
            </w:r>
          </w:p>
        </w:tc>
        <w:tc>
          <w:tcPr>
            <w:tcW w:w="6507"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仿宋" w:hAnsi="仿宋" w:eastAsia="仿宋" w:cs="仿宋"/>
                <w:sz w:val="24"/>
                <w:highlight w:val="none"/>
              </w:rPr>
            </w:pPr>
            <w:r>
              <w:rPr>
                <w:rFonts w:hint="eastAsia" w:ascii="仿宋" w:hAnsi="仿宋" w:eastAsia="仿宋" w:cs="仿宋"/>
                <w:b/>
                <w:bCs/>
                <w:color w:val="000000"/>
                <w:highlight w:val="none"/>
              </w:rPr>
              <w:t>招标服务费：</w:t>
            </w:r>
            <w:r>
              <w:rPr>
                <w:rFonts w:hint="eastAsia" w:ascii="仿宋" w:hAnsi="仿宋" w:eastAsia="仿宋" w:cs="仿宋"/>
                <w:sz w:val="24"/>
                <w:highlight w:val="none"/>
              </w:rPr>
              <w:t>本次招标代理服务费由中标人支付，招标代理服务费按照国家计委印发的《招标代理服务收费管理暂行办法》计价格[2002]1980号、发改办价格[2003]857号规定收费</w:t>
            </w:r>
            <w:r>
              <w:rPr>
                <w:rFonts w:hint="eastAsia" w:ascii="仿宋" w:hAnsi="仿宋" w:eastAsia="仿宋" w:cs="仿宋"/>
                <w:color w:val="auto"/>
                <w:sz w:val="24"/>
                <w:highlight w:val="none"/>
              </w:rPr>
              <w:t>。</w:t>
            </w:r>
            <w:r>
              <w:rPr>
                <w:rFonts w:hint="eastAsia" w:ascii="仿宋" w:hAnsi="仿宋" w:eastAsia="仿宋" w:cs="仿宋"/>
                <w:sz w:val="24"/>
                <w:highlight w:val="none"/>
              </w:rPr>
              <w:t>招标代理服务费由中标人在领取中标通知书前支付给招标代理机构，各投标人应在投标报价中予以考虑。</w:t>
            </w:r>
          </w:p>
          <w:p>
            <w:pPr>
              <w:jc w:val="left"/>
              <w:rPr>
                <w:rFonts w:hint="eastAsia"/>
                <w:b/>
                <w:bCs/>
                <w:sz w:val="24"/>
                <w:szCs w:val="24"/>
              </w:rPr>
            </w:pPr>
            <w:r>
              <w:rPr>
                <w:rFonts w:hint="eastAsia" w:ascii="宋体" w:hAnsi="宋体" w:cs="宋体"/>
                <w:b/>
                <w:bCs/>
                <w:color w:val="auto"/>
                <w:highlight w:val="none"/>
              </w:rPr>
              <w:t>中标服务费的交纳方式：以转帐或</w:t>
            </w:r>
            <w:r>
              <w:rPr>
                <w:rFonts w:hint="eastAsia" w:ascii="宋体" w:hAnsi="宋体" w:cs="宋体"/>
                <w:b/>
                <w:bCs/>
                <w:color w:val="auto"/>
                <w:highlight w:val="none"/>
                <w:lang w:val="en-US" w:eastAsia="zh-CN"/>
              </w:rPr>
              <w:t>现金</w:t>
            </w:r>
            <w:r>
              <w:rPr>
                <w:rFonts w:hint="eastAsia" w:ascii="宋体" w:hAnsi="宋体" w:cs="宋体"/>
                <w:b/>
                <w:bCs/>
                <w:color w:val="auto"/>
                <w:highlight w:val="none"/>
              </w:rPr>
              <w:t>支票的形式支付</w:t>
            </w:r>
            <w:r>
              <w:rPr>
                <w:rFonts w:hint="eastAsia" w:ascii="宋体" w:hAnsi="宋体" w:cs="宋体"/>
                <w:b/>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default"/>
                <w:sz w:val="24"/>
                <w:szCs w:val="24"/>
                <w:lang w:val="en-US" w:eastAsia="zh-CN"/>
              </w:rPr>
            </w:pPr>
            <w:r>
              <w:rPr>
                <w:rFonts w:hint="eastAsia"/>
                <w:sz w:val="24"/>
                <w:szCs w:val="24"/>
                <w:lang w:val="en-US" w:eastAsia="zh-CN"/>
              </w:rPr>
              <w:t>15</w:t>
            </w:r>
          </w:p>
        </w:tc>
        <w:tc>
          <w:tcPr>
            <w:tcW w:w="1962" w:type="dxa"/>
            <w:vAlign w:val="center"/>
          </w:tcPr>
          <w:p>
            <w:pPr>
              <w:snapToGrid w:val="0"/>
              <w:spacing w:line="360" w:lineRule="auto"/>
              <w:jc w:val="center"/>
              <w:rPr>
                <w:rFonts w:hint="eastAsia" w:ascii="Times New Roman" w:hAnsi="Times New Roman" w:eastAsia="宋体" w:cs="Times New Roman"/>
                <w:b/>
                <w:bCs/>
                <w:sz w:val="24"/>
                <w:szCs w:val="24"/>
              </w:rPr>
            </w:pPr>
            <w:r>
              <w:rPr>
                <w:rFonts w:hint="eastAsia" w:ascii="仿宋_GB2312" w:hAnsi="仿宋" w:eastAsia="仿宋_GB2312"/>
                <w:snapToGrid w:val="0"/>
                <w:kern w:val="28"/>
                <w:sz w:val="24"/>
              </w:rPr>
              <w:t>联合体约定</w:t>
            </w:r>
          </w:p>
        </w:tc>
        <w:tc>
          <w:tcPr>
            <w:tcW w:w="6507" w:type="dxa"/>
            <w:vAlign w:val="center"/>
          </w:tcPr>
          <w:p>
            <w:pPr>
              <w:spacing w:line="360" w:lineRule="auto"/>
              <w:rPr>
                <w:rFonts w:ascii="华文仿宋" w:hAnsi="华文仿宋" w:eastAsia="华文仿宋"/>
                <w:b/>
                <w:sz w:val="24"/>
              </w:rPr>
            </w:pPr>
            <w:r>
              <w:rPr>
                <w:rFonts w:hint="eastAsia" w:ascii="华文仿宋" w:hAnsi="华文仿宋" w:eastAsia="华文仿宋"/>
                <w:b/>
                <w:sz w:val="24"/>
              </w:rPr>
              <w:t>供应商以联合体形式投标的：按采购文件要求提供联合协议，联合体投标的联合体各方承担连带责任。</w:t>
            </w:r>
          </w:p>
          <w:p>
            <w:pPr>
              <w:spacing w:line="360" w:lineRule="auto"/>
              <w:rPr>
                <w:rFonts w:ascii="华文仿宋" w:hAnsi="华文仿宋" w:eastAsia="华文仿宋"/>
                <w:b/>
                <w:sz w:val="24"/>
              </w:rPr>
            </w:pPr>
            <w:r>
              <w:rPr>
                <w:rFonts w:hint="eastAsia" w:ascii="华文仿宋" w:hAnsi="华文仿宋" w:eastAsia="华文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cs="宋体"/>
                <w:b/>
                <w:bCs/>
                <w:color w:val="auto"/>
                <w:highlight w:val="none"/>
              </w:rPr>
            </w:pPr>
            <w:r>
              <w:rPr>
                <w:rFonts w:hint="eastAsia" w:ascii="华文仿宋" w:hAnsi="华文仿宋" w:eastAsia="华文仿宋"/>
                <w:b/>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hint="eastAsia" w:ascii="宋体" w:hAnsi="宋体" w:eastAsia="宋体" w:cs="宋体"/>
          <w:b/>
          <w:sz w:val="32"/>
          <w:szCs w:val="20"/>
        </w:rPr>
      </w:pPr>
    </w:p>
    <w:bookmarkEnd w:id="10"/>
    <w:p>
      <w:pPr>
        <w:jc w:val="center"/>
        <w:rPr>
          <w:rFonts w:hint="eastAsia" w:ascii="宋体" w:hAnsi="宋体" w:eastAsia="宋体" w:cs="宋体"/>
          <w:b/>
          <w:bCs/>
          <w:sz w:val="28"/>
          <w:szCs w:val="28"/>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rtlGutter w:val="0"/>
          <w:docGrid w:linePitch="312" w:charSpace="0"/>
        </w:sectPr>
      </w:pPr>
      <w:bookmarkStart w:id="11" w:name="_Toc164416483"/>
      <w:bookmarkStart w:id="12" w:name="第三部分"/>
    </w:p>
    <w:p>
      <w:pPr>
        <w:jc w:val="center"/>
        <w:rPr>
          <w:rFonts w:hint="eastAsia" w:ascii="宋体" w:hAnsi="宋体" w:eastAsia="宋体" w:cs="宋体"/>
          <w:b/>
          <w:bCs/>
          <w:sz w:val="28"/>
          <w:szCs w:val="28"/>
        </w:rPr>
      </w:pPr>
      <w:r>
        <w:rPr>
          <w:rFonts w:hint="eastAsia" w:ascii="宋体" w:hAnsi="宋体" w:eastAsia="宋体" w:cs="宋体"/>
          <w:b/>
          <w:bCs/>
          <w:sz w:val="28"/>
          <w:szCs w:val="28"/>
        </w:rPr>
        <w:t>一、总则</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适用范围</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定义</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“采购机构”系指招标公告中载明的本项目的采购机构。</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2.4 “负责人”系指法人企业的法定负责人，或其他组织为法律、行政法规规定代表单位行使职权的主要负责人，或自然人本人。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2.6“电子交易平台”是指本项目政府采购活动所依托的政府采购云平台（https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pPr>
        <w:widowControl w:val="0"/>
        <w:wordWrap/>
        <w:adjustRightInd w:val="0"/>
        <w:snapToGrid/>
        <w:spacing w:line="600" w:lineRule="exact"/>
        <w:textAlignment w:val="auto"/>
        <w:rPr>
          <w:rFonts w:hint="eastAsia" w:ascii="宋体" w:hAnsi="宋体" w:eastAsia="宋体" w:cs="宋体"/>
          <w:sz w:val="24"/>
          <w:szCs w:val="24"/>
          <w:highlight w:val="cyan"/>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2.7 “▲”系指实质性要求条款</w:t>
      </w:r>
      <w:r>
        <w:rPr>
          <w:rFonts w:hint="eastAsia" w:ascii="宋体" w:hAnsi="宋体" w:cs="宋体"/>
          <w:sz w:val="24"/>
          <w:szCs w:val="24"/>
          <w:highlight w:val="none"/>
          <w:lang w:eastAsia="zh-CN"/>
        </w:rPr>
        <w:t>，“★”系产品采购项目中重要技术参数。</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采购项目需要落实的政府采购政策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 支持绿色发展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3.2.2 修缮、装修类项目采购建材的，采购人应将绿色建筑和绿色建材性能、指标等作为实质性条件纳入招标文件和合同。</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3.3支持中小企业发展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3.3.2在政府采购活动中，投标人提供的货物、工程或者服务符合下列情形的，享受中小企业扶持政策：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3.3.2.1在货物采购项目中，货物由中小企业制造，即货物由中小企业生产且使用该中小企业商号或者注册商标；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3.3.2.2在工程采购项目中，工程由中小企业承建，即工程施工单位为中小企业；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3.3.2.3在服务采购项目中，服务由中小企业承接，即提供服务的人员为中小企业依照《中华人民共和国劳动合同法》订立劳动合同的从业人员。</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在货物采购项目中，投标人提供的货物既有中小企业制造货物，也有大型企业制造货物的，不享受中小企业扶持政策。</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szCs w:val="24"/>
          <w:lang w:val="en-US" w:eastAsia="zh-CN"/>
        </w:rPr>
        <w:t>20</w:t>
      </w:r>
      <w:r>
        <w:rPr>
          <w:rFonts w:hint="eastAsia" w:ascii="宋体" w:hAnsi="宋体" w:eastAsia="宋体" w:cs="宋体"/>
          <w:b/>
          <w:bCs/>
          <w:sz w:val="24"/>
          <w:szCs w:val="24"/>
        </w:rPr>
        <w:t>%的扣除，用扣除后的价格参与评审。</w:t>
      </w:r>
      <w:r>
        <w:rPr>
          <w:rFonts w:hint="eastAsia" w:ascii="宋体" w:hAnsi="宋体" w:eastAsia="宋体" w:cs="宋体"/>
          <w:sz w:val="24"/>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szCs w:val="24"/>
          <w:lang w:val="en-US" w:eastAsia="zh-CN"/>
        </w:rPr>
        <w:t>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3.4支持创新发展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3.4.1 采购人优先采购被认定为首台套产品和“制造精品”的自主创新产品。</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询问、质疑、投诉</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4.2供应商质疑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4.2.2.1对招标文件提出质疑的，质疑期限为供应商获得招标文件之日或者招标文件公告期限届满之日起计算。</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4.2.2.2对采购过程提出质疑的，质疑期限为各采购程序环节结束之日起计算。对同一采购程序环节的质疑，供应商须一次性提出。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4.2.2.3对采购结果提出质疑的，质疑期限自采购结果公告期限届满之日起计算。</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w:t>
      </w:r>
      <w:r>
        <w:rPr>
          <w:rFonts w:hint="eastAsia" w:ascii="宋体" w:hAnsi="宋体" w:eastAsia="宋体" w:cs="宋体"/>
          <w:sz w:val="24"/>
          <w:szCs w:val="24"/>
        </w:rPr>
        <w:t>供应商提出质疑应当提交质疑函和必要的证明材料。质疑函应当包括下列内容：</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4.2.3.1供应商的姓名或者名称、地址、邮编、联系人及联系电话；</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4.2.3.2质疑项目的名称、编号；</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4.2.3.3具体、明确的质疑事项和与质疑事项相关的请求；</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4.2.3.4事实依据；</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4.2.3.5必要的法律依据；</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4.2.3.6提出质疑的日期：</w:t>
      </w: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.5询问或者质疑事项可能影响采购结果的，采购人应当暂停签订合同，已经签订合同的，应当中止履行合同。</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4.3供应商投诉</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4.3.3供应商投诉应当有明确的请求和必要的证明材料。</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4.3.5 以联合体形式参加政府采购活动的，其投诉应当由组成联合体的所有供应商共同提出。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投诉书范本及制作说明详见附件3。</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二、招标文件的构成、澄清、修改</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招标文件的构成</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 招标文件包括下列文件及附件：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5.1.1招标公告；</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5.1.2投标人须知；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5.1.3采购需求；</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5.1.4评标办法；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5.1.5拟签订的合同文本；</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5.1.6应提交的有关格式范例。</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5.2与本项目有关的澄清或者修改的内容为招标文件的组成部分。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招标文件的澄清、修改</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6.1已获取招标文件的潜在投标人，若有问题需要澄清，应于投标截止时间前，以书面形式向采购机构提出。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widowControl w:val="0"/>
        <w:wordWrap/>
        <w:adjustRightInd w:val="0"/>
        <w:snapToGrid/>
        <w:spacing w:line="600" w:lineRule="exact"/>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三、投标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招标文件的获取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详见招标公告中获取招标文件的时间期限、地点、方式及招标文件售价。</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开标前答疑会或现场考察</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投标保证金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本项目不需缴纳投标保证金。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投标文件的语言</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投标文件及投标人与采购有关的来往通知、函件和文件均应使用中文。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投标文件的组成</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11.1资格文件：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11.1.1符合参加政府采购活动应当具备的一般条件的承诺函；</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11.1.2落实政府采购政策需满足的资格要求；</w:t>
      </w:r>
    </w:p>
    <w:p>
      <w:pPr>
        <w:widowControl w:val="0"/>
        <w:wordWrap/>
        <w:adjustRightInd w:val="0"/>
        <w:snapToGrid/>
        <w:spacing w:line="60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11.1.3本项目的特定资格要求</w:t>
      </w:r>
      <w:r>
        <w:rPr>
          <w:rFonts w:hint="eastAsia" w:ascii="宋体" w:hAnsi="宋体" w:cs="宋体"/>
          <w:sz w:val="24"/>
          <w:szCs w:val="24"/>
          <w:lang w:eastAsia="zh-CN"/>
        </w:rPr>
        <w:t>；</w:t>
      </w:r>
    </w:p>
    <w:p>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11.1.4</w:t>
      </w:r>
      <w:r>
        <w:rPr>
          <w:rFonts w:hint="eastAsia" w:ascii="宋体" w:hAnsi="宋体" w:cs="宋体"/>
          <w:b/>
          <w:bCs/>
          <w:snapToGrid w:val="0"/>
          <w:kern w:val="0"/>
          <w:szCs w:val="21"/>
        </w:rPr>
        <w:t>中小企业声明函</w:t>
      </w:r>
      <w:r>
        <w:rPr>
          <w:rFonts w:hint="eastAsia" w:ascii="宋体" w:hAnsi="宋体" w:eastAsia="宋体" w:cs="宋体"/>
          <w:sz w:val="24"/>
          <w:szCs w:val="24"/>
        </w:rPr>
        <w:t>。</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11.2.2授权委托书或法定代表人（单位负责人、自然人本人）身份证明；</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11.2.3联合协议；</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11.2.4分包意向协议；</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11.2.5符合性审查资料；</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11.2.6评标标准相应的商务技术资料；</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11.2.7商务技术偏离表；</w:t>
      </w:r>
    </w:p>
    <w:p>
      <w:pPr>
        <w:widowControl w:val="0"/>
        <w:wordWrap/>
        <w:adjustRightInd w:val="0"/>
        <w:snapToGrid/>
        <w:spacing w:line="600" w:lineRule="exact"/>
        <w:textAlignment w:val="auto"/>
        <w:rPr>
          <w:rFonts w:hint="eastAsia" w:ascii="宋体" w:hAnsi="宋体" w:cs="宋体"/>
          <w:sz w:val="24"/>
        </w:rPr>
      </w:pPr>
      <w:r>
        <w:rPr>
          <w:rFonts w:hint="eastAsia" w:ascii="宋体" w:hAnsi="宋体" w:eastAsia="宋体" w:cs="宋体"/>
          <w:sz w:val="24"/>
          <w:szCs w:val="24"/>
          <w:lang w:val="en-US" w:eastAsia="zh-CN"/>
        </w:rPr>
        <w:t xml:space="preserve">    </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8所投产品具体配置表；</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9</w:t>
      </w:r>
      <w:r>
        <w:rPr>
          <w:rFonts w:hint="eastAsia" w:ascii="宋体" w:hAnsi="宋体" w:eastAsia="宋体" w:cs="宋体"/>
          <w:sz w:val="24"/>
          <w:szCs w:val="24"/>
          <w:lang w:val="zh-CN"/>
        </w:rPr>
        <w:t>政府采购供应商廉洁自律承诺书；</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 xml:space="preserve">3报价文件：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11.3.1开标一览表（报价表）；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11.3.2中小企业声明函。</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投标文件含有采购人不能接受的附加条件的，投标无效；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投标人提供虚假材料投标的，投标无效。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zh-CN"/>
        </w:rPr>
        <w:t>、</w:t>
      </w:r>
      <w:r>
        <w:rPr>
          <w:rFonts w:hint="eastAsia" w:ascii="宋体" w:hAnsi="宋体" w:eastAsia="宋体" w:cs="宋体"/>
          <w:sz w:val="24"/>
          <w:szCs w:val="24"/>
        </w:rPr>
        <w:t>投标文件的编制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12.3使用“政采云电子交易客户端”需要提前申领CA数字证书，申领流程请自行前往“浙江政府采购网-下载专区-电子交易客户端-CA驱动和申领流程”进行查阅。</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投标文件的签署、盖章</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13.1投标文件按照招标文件第六部分格式要求进行签署、盖章。▲投标人的投标文件未按照招标文件要求签署、盖章的，其投标无效。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13.3招标文件对投标文件签署、盖章的要求适用于电子签名。</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投标文件的提交、补充、修改、撤回</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14.3采购人、采购机构可以视情况延长投标文件提交的截止时间。在上述情况下，采购机构与投标人以前在投标截止期方面的全部权利、责任和义务，将适用于延长至新的投标截止期。</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备份投标文件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15.1投标人在电子交易平台传输递交投标文件后，还可以在投标截止时间前直接提交或者以邮政快递方式递交备份投标文件1份，但采购人、采购机构不强制或变相强制投标人提交备份投标文件。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lang w:eastAsia="zh-CN"/>
        </w:rPr>
        <w:t>）</w:t>
      </w:r>
      <w:r>
        <w:rPr>
          <w:rFonts w:hint="eastAsia" w:ascii="宋体" w:hAnsi="宋体" w:eastAsia="宋体" w:cs="宋体"/>
          <w:sz w:val="24"/>
          <w:szCs w:val="24"/>
        </w:rPr>
        <w:t>。不符合上述制作、存储、密封规定的备份投标文件将被视为无效或者被拒绝接收。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15.5投标人仅提交备份投标文件，没有在电子交易平台传输递交投标文件的，投标无效。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投标文件的无效处理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有招标文件第四部分第13项规定的情形之一的，投标无效：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投标有效期</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17.1投标有效期为从提交投标文件的截止之日起90天。▲投标人的投标文件中承诺的投标有效期少于招标文件中载明的投标有效期的，投标无效。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17.2投标文件合格投递后，自投标截止日期起，在投标有效期内有效。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17.3在原定投标有效期满之前，如果出现特殊情况，采购机构可以以书面形式通知投标人延长投标有效期。投标人同意延长的，不得要求或被允许修改其投标文件，投标人拒绝延长的，其投标无效。</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四、开标、资格审查与信用信息查询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 xml:space="preserve">开标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18.1采购机构按照招标文件规定的时间通过电子交易平台组织开标，所有投标人均应当准时在线参加。投标人不足3家的，不得开标。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18.2开标时，电子交易平台按开标时间自动提取所有投标文件。采购机构依托电子交易平台发起开始解密指令，投标人按照平台提示和招标文件的规定在半小时内完成在线解密。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18.3投标文件未按时解密，投标人提供了备份投标文件的，以备份投标文件作为依据，否则视为投标文件撤回。投标文件已按时解密的，备份投标文件自动失效。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19、资格审查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19.1开标后，采购人或采购机构将依法对投标人的资格进行审查。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19.2采购人或采购机构依据法律法规和招标文件的规定，对投标人的基本资格条件、特定资格条件进行审查。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19.3投标人未按照招标文件要求提供与基本资格条件、特定资格条件相应的有效资格证明材料的，视为投标人不具备招标文件中规定的资格要求，其投标无效。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19.4对未通过资格审查的投标人，采购人或采购机构告知其未通过的原因。</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19.5合格投标人不足3家的，不再评标。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20、信用信息查询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20.1信用信息查询渠道及截止时间：采购机构将通过“信用中国”网站(www.creditchina.gov.cn</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、中国政府采购网(www.ccgp.gov.cn</w:t>
      </w:r>
      <w:r>
        <w:rPr>
          <w:rFonts w:hint="eastAsia" w:ascii="宋体" w:hAnsi="宋体" w:eastAsia="宋体" w:cs="宋体"/>
          <w:sz w:val="24"/>
          <w:szCs w:val="24"/>
          <w:lang w:eastAsia="zh-CN"/>
        </w:rPr>
        <w:t>）</w:t>
      </w:r>
      <w:r>
        <w:rPr>
          <w:rFonts w:hint="eastAsia" w:ascii="宋体" w:hAnsi="宋体" w:eastAsia="宋体" w:cs="宋体"/>
          <w:sz w:val="24"/>
          <w:szCs w:val="24"/>
        </w:rPr>
        <w:t>渠道查询投标人投标截止时间当天的信用记录。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20.2信用信息查询记录和证据留存的具体方式：现场查询的投标人的信用记录、查询结果经确认后将与采购文件一起存档。</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20.3信用信息的使用规则：经查询列入失信被执行人名单、重大税收违法案件当事人名单、政府采购严重违法失信行为记录名单的投标人将被拒绝参与政府采购活动。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五、评标</w:t>
      </w:r>
    </w:p>
    <w:p>
      <w:pPr>
        <w:widowControl w:val="0"/>
        <w:wordWrap/>
        <w:adjustRightInd w:val="0"/>
        <w:snapToGrid/>
        <w:spacing w:line="600" w:lineRule="exact"/>
        <w:textAlignment w:val="auto"/>
        <w:rPr>
          <w:rFonts w:hint="eastAsia" w:ascii="宋体" w:hAnsi="宋体" w:eastAsia="宋体" w:cs="宋体"/>
          <w:sz w:val="24"/>
          <w:szCs w:val="24"/>
        </w:rPr>
      </w:pPr>
      <w:bookmarkStart w:id="13" w:name="_Toc91899903"/>
      <w:r>
        <w:rPr>
          <w:rFonts w:hint="eastAsia" w:ascii="宋体" w:hAnsi="宋体" w:eastAsia="宋体" w:cs="宋体"/>
          <w:sz w:val="24"/>
          <w:szCs w:val="24"/>
        </w:rPr>
        <w:t>21</w:t>
      </w:r>
      <w:r>
        <w:rPr>
          <w:rFonts w:hint="eastAsia" w:ascii="宋体" w:hAnsi="宋体" w:eastAsia="宋体" w:cs="宋体"/>
          <w:sz w:val="24"/>
          <w:szCs w:val="24"/>
          <w:lang w:eastAsia="zh-CN"/>
        </w:rPr>
        <w:t>、</w:t>
      </w:r>
      <w:r>
        <w:rPr>
          <w:rFonts w:hint="eastAsia" w:ascii="宋体" w:hAnsi="宋体" w:eastAsia="宋体" w:cs="宋体"/>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六、定 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确定中标供应商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采购人将自收到评审报告之日起5个工作日内通过电子交易平台在评审报告推荐的中标候选人中按顺序确定中标供应商。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中标通知与中标结果公告</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23.1自中标人确定之日起2个工作日内，采购机构通过电子交易平台向中标人发出中标通知书，同时编制发布采购结果公告。采购机构也可以以纸质形式进行中标通知。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23.3公告期限为1个工作日。</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七、合同授予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合同主要条款详见第五部分拟签订的合同文本。</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合同的签订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25.1 采购人与中标人应当通过电子交易平台在中标通知书发出之日起三十日内，按照招标文件确定的事项签订政府采购合同，并在合同签订之日起2个工作日内依法发布合同公告。</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25.3如签订合同并生效后，供应商无故拒绝或延期，除按照合同条款处理外，列入不良行为记录一次，并给予通报。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25.4中标供应商拒绝与采购人签订合同的，采购人可以按照评审报告推荐的中标或者成交候选人名单排序，确定下一候选人为中标供应商，也可以重新开展政府采购活动。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25.5采购合同由采购人与中标供应商根据招标文件、投标文件等内容通过政府采购电子交易平台在线签订，自动备案。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eastAsia="zh-CN"/>
        </w:rPr>
        <w:t>、</w:t>
      </w:r>
      <w:r>
        <w:rPr>
          <w:rFonts w:hint="eastAsia" w:ascii="宋体" w:hAnsi="宋体" w:eastAsia="宋体" w:cs="宋体"/>
          <w:sz w:val="24"/>
          <w:szCs w:val="24"/>
        </w:rPr>
        <w:t>履约保证金</w:t>
      </w:r>
    </w:p>
    <w:p>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cs="宋体"/>
          <w:sz w:val="24"/>
          <w:szCs w:val="24"/>
          <w:lang w:val="en-US" w:eastAsia="zh-CN"/>
        </w:rPr>
        <w:t>1</w:t>
      </w:r>
      <w:r>
        <w:rPr>
          <w:rFonts w:hint="eastAsia" w:ascii="宋体" w:hAnsi="宋体" w:eastAsia="宋体" w:cs="宋体"/>
          <w:sz w:val="24"/>
          <w:szCs w:val="24"/>
        </w:rPr>
        <w:t>%。鼓励和支持供应商以银行、保险公司出具的保函形式提供履约保证金。采购人不得拒收履约保函。</w:t>
      </w:r>
    </w:p>
    <w:p>
      <w:pPr>
        <w:widowControl w:val="0"/>
        <w:wordWrap/>
        <w:adjustRightInd w:val="0"/>
        <w:snapToGrid/>
        <w:spacing w:line="600" w:lineRule="exact"/>
        <w:ind w:firstLine="480"/>
        <w:textAlignment w:val="auto"/>
        <w:rPr>
          <w:rFonts w:hint="eastAsia" w:ascii="宋体" w:hAnsi="宋体" w:eastAsia="宋体" w:cs="宋体"/>
          <w:sz w:val="24"/>
          <w:szCs w:val="24"/>
          <w:lang w:val="en-US"/>
        </w:rPr>
      </w:pPr>
      <w:r>
        <w:rPr>
          <w:rFonts w:hint="eastAsia" w:ascii="宋体" w:hAnsi="宋体" w:eastAsia="宋体" w:cs="宋体"/>
          <w:sz w:val="24"/>
          <w:szCs w:val="24"/>
        </w:rPr>
        <w:t>供应商</w:t>
      </w:r>
      <w:r>
        <w:rPr>
          <w:rFonts w:hint="eastAsia" w:ascii="宋体" w:hAnsi="宋体" w:eastAsia="宋体" w:cs="宋体"/>
          <w:sz w:val="24"/>
          <w:szCs w:val="24"/>
          <w:lang w:val="en-US"/>
        </w:rPr>
        <w:t>可</w:t>
      </w:r>
      <w:r>
        <w:rPr>
          <w:rFonts w:hint="eastAsia" w:ascii="宋体" w:hAnsi="宋体" w:eastAsia="宋体" w:cs="宋体"/>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八、电子交易活动的中止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eastAsia="zh-CN"/>
        </w:rPr>
        <w:t>、</w:t>
      </w:r>
      <w:r>
        <w:rPr>
          <w:rFonts w:hint="eastAsia" w:ascii="宋体" w:hAnsi="宋体" w:eastAsia="宋体" w:cs="宋体"/>
          <w:sz w:val="24"/>
          <w:szCs w:val="24"/>
        </w:rPr>
        <w:t>电子交易活动的中止。采购过程中出现以下情形，导致电子交易平台无法正常运行，或者无法保证电子交易的公平、公正和安全时，采购机构可中止电子交易活动：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27.1电子交易平台发生故障而无法登录访问的；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27.2电子交易平台应用或数据库出现错误，不能进行正常操作的；</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27.3电子交易平台发现严重安全漏洞，有潜在泄密危险的；</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27.4病毒发作导致不能进行正常操作的；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27.5其他无法保证电子交易的公平、公正和安全的情况。</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lang w:eastAsia="zh-CN"/>
        </w:rPr>
        <w:t>、</w:t>
      </w:r>
      <w:r>
        <w:rPr>
          <w:rFonts w:hint="eastAsia" w:ascii="宋体" w:hAnsi="宋体" w:eastAsia="宋体" w:cs="宋体"/>
          <w:sz w:val="24"/>
          <w:szCs w:val="24"/>
        </w:rPr>
        <w:t>出现以上情形，不影响采购公平、公正性的，采购组织机构可以待上述情形消除后继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续组织电子交易活动，也可以决定某些环节以纸质形式进行；影响或可能影响采购公平、公正性的，应当重新采购。</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九、验收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lang w:eastAsia="zh-CN"/>
        </w:rPr>
        <w:t>、</w:t>
      </w:r>
      <w:r>
        <w:rPr>
          <w:rFonts w:hint="eastAsia" w:ascii="宋体" w:hAnsi="宋体" w:eastAsia="宋体" w:cs="宋体"/>
          <w:sz w:val="24"/>
          <w:szCs w:val="24"/>
        </w:rPr>
        <w:t>验收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29.2采购人可以邀请参加本项目的其他投标人或者第三方机构参与验收。参与验收的投标人或者第三方机构的意见作为验收书的参考资料一并存档。</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wordWrap/>
        <w:adjustRightInd w:val="0"/>
        <w:snapToGrid/>
        <w:spacing w:line="600" w:lineRule="exact"/>
        <w:textAlignment w:val="auto"/>
        <w:rPr>
          <w:rFonts w:hint="eastAsia" w:ascii="宋体" w:hAnsi="宋体" w:eastAsia="宋体" w:cs="宋体"/>
          <w:sz w:val="18"/>
          <w:szCs w:val="18"/>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wordWrap/>
        <w:spacing w:line="600" w:lineRule="exact"/>
        <w:ind w:firstLine="480"/>
        <w:textAlignment w:val="auto"/>
        <w:rPr>
          <w:rFonts w:hint="eastAsia" w:ascii="宋体" w:hAnsi="宋体" w:eastAsia="宋体" w:cs="宋体"/>
          <w:kern w:val="0"/>
          <w:sz w:val="24"/>
        </w:rPr>
        <w:sectPr>
          <w:pgSz w:w="11905" w:h="16838"/>
          <w:pgMar w:top="1531" w:right="1304" w:bottom="1531" w:left="1361" w:header="851" w:footer="992" w:gutter="0"/>
          <w:cols w:space="720" w:num="1"/>
          <w:titlePg/>
          <w:rtlGutter w:val="0"/>
          <w:docGrid w:linePitch="312" w:charSpace="0"/>
        </w:sectPr>
      </w:pPr>
      <w:bookmarkStart w:id="14" w:name="_Hlt74714665"/>
      <w:bookmarkEnd w:id="14"/>
      <w:bookmarkStart w:id="15" w:name="_Hlt68072998"/>
      <w:bookmarkEnd w:id="15"/>
      <w:bookmarkStart w:id="16" w:name="_Hlt75236011"/>
      <w:bookmarkEnd w:id="16"/>
      <w:bookmarkStart w:id="17" w:name="_Hlt68403820"/>
      <w:bookmarkEnd w:id="17"/>
      <w:bookmarkStart w:id="18" w:name="_Hlt68073093"/>
      <w:bookmarkEnd w:id="18"/>
      <w:bookmarkStart w:id="19" w:name="_Hlt74729768"/>
      <w:bookmarkEnd w:id="19"/>
      <w:bookmarkStart w:id="20" w:name="_Hlt75236290"/>
      <w:bookmarkEnd w:id="20"/>
      <w:bookmarkStart w:id="21" w:name="_Hlt68072990"/>
      <w:bookmarkEnd w:id="21"/>
      <w:bookmarkStart w:id="22" w:name="_Hlt75236101"/>
      <w:bookmarkEnd w:id="22"/>
      <w:bookmarkStart w:id="23" w:name="_Hlt68057669"/>
      <w:bookmarkEnd w:id="23"/>
      <w:bookmarkStart w:id="24" w:name="_Hlt74707468"/>
      <w:bookmarkEnd w:id="24"/>
      <w:bookmarkStart w:id="25" w:name="_Hlt74730295"/>
      <w:bookmarkEnd w:id="25"/>
    </w:p>
    <w:bookmarkEnd w:id="11"/>
    <w:bookmarkEnd w:id="12"/>
    <w:p>
      <w:pPr>
        <w:spacing w:before="120" w:beforeLines="50" w:after="120" w:afterLines="50"/>
        <w:jc w:val="center"/>
        <w:rPr>
          <w:rFonts w:hint="eastAsia" w:ascii="宋体" w:hAnsi="宋体" w:eastAsia="宋体" w:cs="宋体"/>
          <w:b/>
          <w:color w:val="auto"/>
          <w:sz w:val="24"/>
          <w:highlight w:val="none"/>
        </w:rPr>
      </w:pPr>
      <w:bookmarkStart w:id="26" w:name="第四部分"/>
      <w:r>
        <w:rPr>
          <w:rFonts w:hint="eastAsia" w:ascii="宋体" w:hAnsi="宋体" w:eastAsia="宋体" w:cs="宋体"/>
          <w:b/>
          <w:bCs/>
          <w:color w:val="auto"/>
          <w:sz w:val="28"/>
          <w:szCs w:val="28"/>
          <w:highlight w:val="none"/>
        </w:rPr>
        <w:t xml:space="preserve">第三部分  </w:t>
      </w:r>
      <w:r>
        <w:rPr>
          <w:rFonts w:hint="eastAsia" w:ascii="宋体" w:hAnsi="宋体" w:cs="宋体"/>
          <w:b/>
          <w:bCs/>
          <w:color w:val="auto"/>
          <w:sz w:val="28"/>
          <w:szCs w:val="28"/>
          <w:highlight w:val="none"/>
          <w:lang w:eastAsia="zh-CN"/>
        </w:rPr>
        <w:t>采购需求</w:t>
      </w:r>
    </w:p>
    <w:p>
      <w:pPr>
        <w:widowControl w:val="0"/>
        <w:numPr>
          <w:ilvl w:val="0"/>
          <w:numId w:val="0"/>
        </w:numPr>
        <w:wordWrap/>
        <w:adjustRightInd/>
        <w:snapToGrid/>
        <w:spacing w:line="600" w:lineRule="exact"/>
        <w:textAlignment w:val="auto"/>
        <w:rPr>
          <w:rFonts w:hint="eastAsia" w:ascii="宋体" w:hAnsi="宋体" w:eastAsia="宋体" w:cs="宋体"/>
          <w:b/>
          <w:bCs/>
          <w:color w:val="auto"/>
          <w:sz w:val="24"/>
          <w:szCs w:val="24"/>
          <w:highlight w:val="none"/>
          <w:lang w:eastAsia="zh-CN"/>
        </w:rPr>
      </w:pPr>
      <w:bookmarkStart w:id="27" w:name="_Toc33335632"/>
      <w:bookmarkStart w:id="28" w:name="_Toc135212467"/>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项目概况</w:t>
      </w:r>
      <w:r>
        <w:rPr>
          <w:rFonts w:hint="eastAsia" w:ascii="宋体" w:hAnsi="宋体" w:cs="宋体"/>
          <w:b/>
          <w:bCs/>
          <w:color w:val="auto"/>
          <w:sz w:val="24"/>
          <w:szCs w:val="24"/>
          <w:highlight w:val="none"/>
          <w:lang w:eastAsia="zh-CN"/>
        </w:rPr>
        <w:t>：</w:t>
      </w:r>
    </w:p>
    <w:bookmarkEnd w:id="27"/>
    <w:bookmarkEnd w:id="28"/>
    <w:p>
      <w:pPr>
        <w:adjustRightInd/>
        <w:spacing w:line="600" w:lineRule="exact"/>
        <w:ind w:firstLine="480" w:firstLineChars="200"/>
        <w:rPr>
          <w:rFonts w:hint="eastAsia" w:asciiTheme="minorEastAsia" w:hAnsiTheme="minorEastAsia" w:eastAsiaTheme="minorEastAsia" w:cstheme="minorEastAsia"/>
          <w:snapToGrid w:val="0"/>
          <w:color w:val="auto"/>
          <w:kern w:val="0"/>
          <w:sz w:val="24"/>
          <w:szCs w:val="24"/>
          <w:lang w:val="en-US" w:eastAsia="zh-CN"/>
        </w:rPr>
      </w:pPr>
      <w:r>
        <w:rPr>
          <w:rFonts w:hint="eastAsia" w:ascii="宋体" w:hAnsi="宋体" w:cs="宋体"/>
          <w:bCs/>
          <w:color w:val="auto"/>
          <w:sz w:val="24"/>
          <w:highlight w:val="none"/>
          <w:lang w:val="en-US" w:eastAsia="zh-CN"/>
        </w:rPr>
        <w:t>本项目主要包括星桥</w:t>
      </w:r>
      <w:r>
        <w:rPr>
          <w:rFonts w:hint="eastAsia" w:ascii="宋体" w:hAnsi="宋体" w:cs="宋体"/>
          <w:bCs/>
          <w:color w:val="auto"/>
          <w:sz w:val="24"/>
          <w:highlight w:val="none"/>
        </w:rPr>
        <w:t>街道</w:t>
      </w:r>
      <w:r>
        <w:rPr>
          <w:rFonts w:hint="eastAsia" w:ascii="宋体" w:hAnsi="宋体" w:cs="宋体"/>
          <w:bCs/>
          <w:color w:val="auto"/>
          <w:sz w:val="24"/>
          <w:highlight w:val="none"/>
          <w:lang w:val="en-US" w:eastAsia="zh-CN"/>
        </w:rPr>
        <w:t>范围内的道路</w:t>
      </w:r>
      <w:r>
        <w:rPr>
          <w:rFonts w:hint="eastAsia" w:asciiTheme="minorEastAsia" w:hAnsiTheme="minorEastAsia" w:eastAsiaTheme="minorEastAsia" w:cstheme="minorEastAsia"/>
          <w:snapToGrid w:val="0"/>
          <w:color w:val="auto"/>
          <w:kern w:val="0"/>
          <w:sz w:val="24"/>
          <w:szCs w:val="24"/>
        </w:rPr>
        <w:t>破损道路、侧石、人行道的维护；缺失、破损窨井盖的更换与安装及养护市政雨水管道、雨水检井等设施养护；市政排水管道及窨井淤泥清理外运及管道等。</w:t>
      </w:r>
      <w:r>
        <w:rPr>
          <w:rFonts w:hint="eastAsia" w:asciiTheme="minorEastAsia" w:hAnsiTheme="minorEastAsia" w:eastAsiaTheme="minorEastAsia" w:cstheme="minorEastAsia"/>
          <w:snapToGrid w:val="0"/>
          <w:color w:val="auto"/>
          <w:kern w:val="0"/>
          <w:sz w:val="24"/>
          <w:szCs w:val="24"/>
          <w:lang w:val="en-US" w:eastAsia="zh-CN"/>
        </w:rPr>
        <w:t>其中一类道路面积581140㎡，二类道路面积672825.9㎡，其他类道路面积143973.96㎡。排水管渠（含暗渠、明渠）养护疏通频率要求：管径≤D300每年疏通（清掏）8次，D300&lt;管径≤D600每年疏通（清掏）6次，D600&lt;管径≤D1000每年疏通（清掏）4次，D1000&lt;管径≤D1500每年疏通（清掏）2次，管径&gt;D1500每年疏通（清掏）1次，雨水口清掏次数每年12次；施工工地周边、低洼易涝区段、易淤积管段应增加清疏频次。每年完成不少于30%的雨水管网检测工作，并做好相应检测报告的留存。养护单位要做好每季度清淤台账。</w:t>
      </w:r>
    </w:p>
    <w:p>
      <w:pPr>
        <w:adjustRightInd/>
        <w:spacing w:line="6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本项目为“交钥匙”项目，</w:t>
      </w:r>
      <w:r>
        <w:rPr>
          <w:rFonts w:hint="eastAsia" w:ascii="宋体" w:hAnsi="宋体" w:cs="宋体"/>
          <w:bCs/>
          <w:color w:val="auto"/>
          <w:sz w:val="24"/>
          <w:highlight w:val="none"/>
          <w:lang w:eastAsia="zh-CN"/>
        </w:rPr>
        <w:t>星桥街道道路市政养护项目</w:t>
      </w:r>
      <w:r>
        <w:rPr>
          <w:rFonts w:hint="eastAsia" w:ascii="宋体" w:hAnsi="宋体" w:cs="宋体"/>
          <w:bCs/>
          <w:color w:val="auto"/>
          <w:sz w:val="24"/>
          <w:highlight w:val="none"/>
        </w:rPr>
        <w:t>。投标报价包括设备费、材料费、保管费、</w:t>
      </w:r>
      <w:r>
        <w:rPr>
          <w:rFonts w:hint="eastAsia" w:ascii="宋体" w:hAnsi="宋体" w:cs="宋体"/>
          <w:bCs/>
          <w:color w:val="auto"/>
          <w:sz w:val="24"/>
          <w:highlight w:val="none"/>
          <w:lang w:val="en-US" w:eastAsia="zh-CN"/>
        </w:rPr>
        <w:t>养护</w:t>
      </w:r>
      <w:r>
        <w:rPr>
          <w:rFonts w:hint="eastAsia" w:ascii="宋体" w:hAnsi="宋体" w:cs="宋体"/>
          <w:bCs/>
          <w:color w:val="auto"/>
          <w:sz w:val="24"/>
          <w:highlight w:val="none"/>
        </w:rPr>
        <w:t>费、培训、税收、售后服务、招标代理费</w:t>
      </w:r>
      <w:r>
        <w:rPr>
          <w:rFonts w:hint="eastAsia" w:ascii="宋体" w:hAnsi="宋体" w:cs="宋体"/>
          <w:bCs/>
          <w:color w:val="auto"/>
          <w:sz w:val="24"/>
          <w:highlight w:val="none"/>
          <w:lang w:eastAsia="zh-CN"/>
        </w:rPr>
        <w:t>等</w:t>
      </w:r>
      <w:r>
        <w:rPr>
          <w:rFonts w:hint="eastAsia" w:ascii="宋体" w:hAnsi="宋体" w:cs="宋体"/>
          <w:bCs/>
          <w:color w:val="auto"/>
          <w:sz w:val="24"/>
          <w:highlight w:val="none"/>
        </w:rPr>
        <w:t>采购需求中未提到但在实际</w:t>
      </w:r>
      <w:r>
        <w:rPr>
          <w:rFonts w:hint="eastAsia" w:ascii="宋体" w:hAnsi="宋体" w:cs="宋体"/>
          <w:bCs/>
          <w:color w:val="auto"/>
          <w:sz w:val="24"/>
          <w:highlight w:val="none"/>
          <w:lang w:val="en-US" w:eastAsia="zh-CN"/>
        </w:rPr>
        <w:t>养护</w:t>
      </w:r>
      <w:r>
        <w:rPr>
          <w:rFonts w:hint="eastAsia" w:ascii="宋体" w:hAnsi="宋体" w:cs="宋体"/>
          <w:bCs/>
          <w:color w:val="auto"/>
          <w:sz w:val="24"/>
          <w:highlight w:val="none"/>
        </w:rPr>
        <w:t>过程中需要配置的各种设备、材料及其他费用等须由投标人支付的所有费用</w:t>
      </w:r>
      <w:r>
        <w:rPr>
          <w:rFonts w:hint="eastAsia" w:ascii="宋体" w:hAnsi="宋体" w:cs="宋体"/>
          <w:color w:val="auto"/>
          <w:sz w:val="24"/>
          <w:highlight w:val="none"/>
        </w:rPr>
        <w:t>。</w:t>
      </w:r>
    </w:p>
    <w:p>
      <w:pPr>
        <w:pStyle w:val="965"/>
        <w:rPr>
          <w:rFonts w:hint="default" w:eastAsia="宋体"/>
          <w:color w:val="auto"/>
          <w:highlight w:val="none"/>
          <w:lang w:val="en-US" w:eastAsia="zh-CN"/>
        </w:rPr>
      </w:pPr>
      <w:r>
        <w:rPr>
          <w:rFonts w:hint="eastAsia" w:cs="宋体"/>
          <w:color w:val="auto"/>
          <w:sz w:val="24"/>
          <w:highlight w:val="none"/>
          <w:lang w:val="en-US" w:eastAsia="zh-CN"/>
        </w:rPr>
        <w:t>二、相关要求：</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w:t>
      </w:r>
      <w:r>
        <w:rPr>
          <w:rFonts w:hint="eastAsia"/>
          <w:b/>
          <w:color w:val="C00000"/>
          <w:sz w:val="24"/>
          <w:highlight w:val="none"/>
          <w:lang w:eastAsia="zh-CN"/>
        </w:rPr>
        <w:t>、</w:t>
      </w:r>
      <w:r>
        <w:rPr>
          <w:rFonts w:hint="eastAsia"/>
          <w:b/>
          <w:color w:val="C00000"/>
          <w:sz w:val="24"/>
          <w:highlight w:val="none"/>
        </w:rPr>
        <w:t>投标人应具有市政道路设施养护所需</w:t>
      </w:r>
      <w:r>
        <w:rPr>
          <w:rFonts w:hint="eastAsia"/>
          <w:b/>
          <w:color w:val="C00000"/>
          <w:sz w:val="24"/>
          <w:highlight w:val="none"/>
          <w:lang w:val="en-US" w:eastAsia="zh-CN"/>
        </w:rPr>
        <w:t>临平</w:t>
      </w:r>
      <w:r>
        <w:rPr>
          <w:rFonts w:hint="eastAsia"/>
          <w:b/>
          <w:color w:val="C00000"/>
          <w:sz w:val="24"/>
          <w:highlight w:val="none"/>
        </w:rPr>
        <w:t>区内的固定办公与仓库场所。</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2</w:t>
      </w:r>
      <w:r>
        <w:rPr>
          <w:rFonts w:hint="eastAsia"/>
          <w:b/>
          <w:color w:val="C00000"/>
          <w:sz w:val="24"/>
          <w:highlight w:val="none"/>
          <w:lang w:eastAsia="zh-CN"/>
        </w:rPr>
        <w:t>、</w:t>
      </w:r>
      <w:r>
        <w:rPr>
          <w:rFonts w:hint="eastAsia"/>
          <w:b/>
          <w:color w:val="C00000"/>
          <w:sz w:val="24"/>
          <w:highlight w:val="none"/>
        </w:rPr>
        <w:t>养护期内，中标人必须成立养护班组平均每天养护专业人员不得少于</w:t>
      </w:r>
      <w:r>
        <w:rPr>
          <w:rFonts w:hint="eastAsia"/>
          <w:b/>
          <w:color w:val="C00000"/>
          <w:sz w:val="24"/>
          <w:highlight w:val="none"/>
          <w:u w:val="single"/>
        </w:rPr>
        <w:t>13</w:t>
      </w:r>
      <w:r>
        <w:rPr>
          <w:rFonts w:hint="eastAsia"/>
          <w:b/>
          <w:color w:val="C00000"/>
          <w:sz w:val="24"/>
          <w:highlight w:val="none"/>
        </w:rPr>
        <w:t>人。巡查人员1人，</w:t>
      </w:r>
      <w:r>
        <w:rPr>
          <w:rFonts w:hint="eastAsia"/>
          <w:b/>
          <w:color w:val="C00000"/>
          <w:sz w:val="24"/>
          <w:highlight w:val="none"/>
          <w:lang w:val="en-US" w:eastAsia="zh-CN"/>
        </w:rPr>
        <w:t>每天应急常驻人员不得少于6人，</w:t>
      </w:r>
      <w:r>
        <w:rPr>
          <w:rFonts w:hint="eastAsia"/>
          <w:b/>
          <w:color w:val="C00000"/>
          <w:sz w:val="24"/>
          <w:highlight w:val="none"/>
        </w:rPr>
        <w:t>若没达到，在日常养护巡查费里酌情扣除。</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3</w:t>
      </w:r>
      <w:r>
        <w:rPr>
          <w:rFonts w:hint="eastAsia"/>
          <w:b/>
          <w:color w:val="C00000"/>
          <w:sz w:val="24"/>
          <w:highlight w:val="none"/>
          <w:lang w:eastAsia="zh-CN"/>
        </w:rPr>
        <w:t>、</w:t>
      </w:r>
      <w:r>
        <w:rPr>
          <w:rFonts w:hint="eastAsia"/>
          <w:b/>
          <w:color w:val="C00000"/>
          <w:sz w:val="24"/>
          <w:highlight w:val="none"/>
        </w:rPr>
        <w:t>投标人中标后，需配备专门养护车辆，必须有道路养护车辆购置发票以确保该处道路养护车辆使用得到保证（包括运行费用、保险等）均由中标人承担。</w:t>
      </w:r>
    </w:p>
    <w:p>
      <w:pPr>
        <w:tabs>
          <w:tab w:val="left" w:pos="7260"/>
        </w:tabs>
        <w:spacing w:line="440" w:lineRule="exact"/>
        <w:ind w:firstLine="542" w:firstLineChars="225"/>
        <w:rPr>
          <w:rFonts w:hint="default"/>
          <w:color w:val="C00000"/>
          <w:highlight w:val="none"/>
          <w:lang w:val="en-US" w:eastAsia="zh-CN"/>
        </w:rPr>
      </w:pPr>
      <w:r>
        <w:rPr>
          <w:rFonts w:hint="eastAsia"/>
          <w:b/>
          <w:color w:val="C00000"/>
          <w:sz w:val="24"/>
          <w:highlight w:val="none"/>
        </w:rPr>
        <w:t>4</w:t>
      </w:r>
      <w:r>
        <w:rPr>
          <w:rFonts w:hint="eastAsia"/>
          <w:b/>
          <w:color w:val="C00000"/>
          <w:sz w:val="24"/>
          <w:highlight w:val="none"/>
          <w:lang w:eastAsia="zh-CN"/>
        </w:rPr>
        <w:t>、</w:t>
      </w:r>
      <w:r>
        <w:rPr>
          <w:rFonts w:hint="eastAsia"/>
          <w:b/>
          <w:color w:val="C00000"/>
          <w:sz w:val="24"/>
          <w:highlight w:val="none"/>
        </w:rPr>
        <w:t>中标人根据养护考核办法定期对养护质量进行考核，基本定为每月一小考，每个季度一大考</w:t>
      </w:r>
      <w:r>
        <w:rPr>
          <w:rFonts w:hint="eastAsia"/>
          <w:b/>
          <w:color w:val="C00000"/>
          <w:sz w:val="24"/>
          <w:highlight w:val="none"/>
          <w:lang w:eastAsia="zh-CN"/>
        </w:rPr>
        <w:t>，</w:t>
      </w:r>
      <w:r>
        <w:rPr>
          <w:rFonts w:hint="eastAsia"/>
          <w:b/>
          <w:color w:val="C00000"/>
          <w:sz w:val="24"/>
          <w:highlight w:val="none"/>
          <w:lang w:val="en-US" w:eastAsia="zh-CN"/>
        </w:rPr>
        <w:t>养护标准按区城管局执行。</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5</w:t>
      </w:r>
      <w:r>
        <w:rPr>
          <w:rFonts w:hint="eastAsia"/>
          <w:b/>
          <w:color w:val="C00000"/>
          <w:sz w:val="24"/>
          <w:highlight w:val="none"/>
          <w:lang w:eastAsia="zh-CN"/>
        </w:rPr>
        <w:t>、</w:t>
      </w:r>
      <w:r>
        <w:rPr>
          <w:rFonts w:hint="eastAsia"/>
          <w:b/>
          <w:color w:val="C00000"/>
          <w:sz w:val="24"/>
          <w:highlight w:val="none"/>
        </w:rPr>
        <w:t>在养护过程中，发包人若在该区域有新接收的市政道路设施，有权要求承包人无条件养护，养护按中标综合单价</w:t>
      </w:r>
      <w:r>
        <w:rPr>
          <w:rFonts w:hint="eastAsia"/>
          <w:b/>
          <w:color w:val="C00000"/>
          <w:sz w:val="24"/>
          <w:highlight w:val="none"/>
          <w:lang w:val="en-US" w:eastAsia="zh-CN"/>
        </w:rPr>
        <w:t>按实</w:t>
      </w:r>
      <w:r>
        <w:rPr>
          <w:rFonts w:hint="eastAsia"/>
          <w:b/>
          <w:color w:val="C00000"/>
          <w:sz w:val="24"/>
          <w:highlight w:val="none"/>
        </w:rPr>
        <w:t>结算，养护工作量按实计算。</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6</w:t>
      </w:r>
      <w:r>
        <w:rPr>
          <w:rFonts w:hint="eastAsia"/>
          <w:b/>
          <w:color w:val="C00000"/>
          <w:sz w:val="24"/>
          <w:highlight w:val="none"/>
          <w:lang w:eastAsia="zh-CN"/>
        </w:rPr>
        <w:t>、</w:t>
      </w:r>
      <w:r>
        <w:rPr>
          <w:rFonts w:hint="eastAsia"/>
          <w:b/>
          <w:color w:val="C00000"/>
          <w:sz w:val="24"/>
          <w:highlight w:val="none"/>
        </w:rPr>
        <w:t>养护期限内，明确承包人只有养护权，没有管理权，市政道路设施管理由城市管理服务中心全权管理。</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7</w:t>
      </w:r>
      <w:r>
        <w:rPr>
          <w:rFonts w:hint="eastAsia"/>
          <w:b/>
          <w:color w:val="C00000"/>
          <w:sz w:val="24"/>
          <w:highlight w:val="none"/>
          <w:lang w:eastAsia="zh-CN"/>
        </w:rPr>
        <w:t>、</w:t>
      </w:r>
      <w:r>
        <w:rPr>
          <w:rFonts w:hint="eastAsia"/>
          <w:b/>
          <w:color w:val="C00000"/>
          <w:sz w:val="24"/>
          <w:highlight w:val="none"/>
        </w:rPr>
        <w:t>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8</w:t>
      </w:r>
      <w:r>
        <w:rPr>
          <w:rFonts w:hint="eastAsia"/>
          <w:b/>
          <w:color w:val="C00000"/>
          <w:sz w:val="24"/>
          <w:highlight w:val="none"/>
          <w:lang w:eastAsia="zh-CN"/>
        </w:rPr>
        <w:t>、</w:t>
      </w:r>
      <w:r>
        <w:rPr>
          <w:rFonts w:hint="eastAsia"/>
          <w:b/>
          <w:color w:val="C00000"/>
          <w:sz w:val="24"/>
          <w:highlight w:val="none"/>
        </w:rPr>
        <w:t>施工养护期间，对于原市政道路设施存在的问题，承包人负有担负调查，分析原因和提出整改方案的义务，具体更换或维修由发包人统一安排。</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9</w:t>
      </w:r>
      <w:r>
        <w:rPr>
          <w:rFonts w:hint="eastAsia"/>
          <w:b/>
          <w:color w:val="C00000"/>
          <w:sz w:val="24"/>
          <w:highlight w:val="none"/>
          <w:lang w:eastAsia="zh-CN"/>
        </w:rPr>
        <w:t>、</w:t>
      </w:r>
      <w:r>
        <w:rPr>
          <w:rFonts w:hint="eastAsia"/>
          <w:b/>
          <w:color w:val="C00000"/>
          <w:sz w:val="24"/>
          <w:highlight w:val="none"/>
        </w:rPr>
        <w:t>养护期内养护用水、用电的费用由中标单位承担，列入措施项目费用表。</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10</w:t>
      </w:r>
      <w:r>
        <w:rPr>
          <w:rFonts w:hint="eastAsia"/>
          <w:b/>
          <w:color w:val="C00000"/>
          <w:sz w:val="24"/>
          <w:highlight w:val="none"/>
          <w:lang w:eastAsia="zh-CN"/>
        </w:rPr>
        <w:t>、</w:t>
      </w:r>
      <w:r>
        <w:rPr>
          <w:rFonts w:hint="eastAsia"/>
          <w:b/>
          <w:color w:val="C00000"/>
          <w:sz w:val="24"/>
          <w:highlight w:val="none"/>
        </w:rPr>
        <w:t>养护期内不论自然环境（含气候）发生变化还是其它人为（含车辆）因素而导致的市政道路设施破坏，均由中标人负责维修，其费用由招标人承担。</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11</w:t>
      </w:r>
      <w:r>
        <w:rPr>
          <w:rFonts w:hint="eastAsia"/>
          <w:b/>
          <w:color w:val="C00000"/>
          <w:sz w:val="24"/>
          <w:highlight w:val="none"/>
          <w:lang w:eastAsia="zh-CN"/>
        </w:rPr>
        <w:t>、</w:t>
      </w:r>
      <w:r>
        <w:rPr>
          <w:rFonts w:hint="eastAsia"/>
          <w:b/>
          <w:color w:val="C00000"/>
          <w:sz w:val="24"/>
          <w:highlight w:val="none"/>
        </w:rPr>
        <w:t>管理人员费用、运行支出及与本项目有关的养护管理费用为养护费、维修费、水电费、设施设备使用费（含折旧等费用）、治安保卫费、垃圾清运费等各类费用的总和。</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12</w:t>
      </w:r>
      <w:r>
        <w:rPr>
          <w:rFonts w:hint="eastAsia"/>
          <w:b/>
          <w:color w:val="C00000"/>
          <w:sz w:val="24"/>
          <w:highlight w:val="none"/>
          <w:lang w:eastAsia="zh-CN"/>
        </w:rPr>
        <w:t>、</w:t>
      </w:r>
      <w:r>
        <w:rPr>
          <w:rFonts w:hint="eastAsia"/>
          <w:b/>
          <w:color w:val="C00000"/>
          <w:sz w:val="24"/>
          <w:highlight w:val="none"/>
        </w:rPr>
        <w:t>在养护期限内产生的各种费用（运输、装卸、堆放、场地租用费及有关费用）由投标单位负责，列入措施项目费用表。</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13</w:t>
      </w:r>
      <w:r>
        <w:rPr>
          <w:rFonts w:hint="eastAsia"/>
          <w:b/>
          <w:color w:val="C00000"/>
          <w:sz w:val="24"/>
          <w:highlight w:val="none"/>
          <w:lang w:eastAsia="zh-CN"/>
        </w:rPr>
        <w:t>、</w:t>
      </w:r>
      <w:r>
        <w:rPr>
          <w:rFonts w:hint="eastAsia"/>
          <w:b/>
          <w:color w:val="C00000"/>
          <w:sz w:val="24"/>
          <w:highlight w:val="none"/>
        </w:rPr>
        <w:t>如所有投标报价均偏离招标人的设想范围较大时，为招标人不能接受的，则招标人有权否决所有投标。</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14</w:t>
      </w:r>
      <w:r>
        <w:rPr>
          <w:rFonts w:hint="eastAsia"/>
          <w:b/>
          <w:color w:val="C00000"/>
          <w:sz w:val="24"/>
          <w:highlight w:val="none"/>
          <w:lang w:eastAsia="zh-CN"/>
        </w:rPr>
        <w:t>、</w:t>
      </w:r>
      <w:r>
        <w:rPr>
          <w:rFonts w:hint="eastAsia"/>
          <w:b/>
          <w:color w:val="C00000"/>
          <w:sz w:val="24"/>
          <w:highlight w:val="none"/>
        </w:rPr>
        <w:t>中标人必须做好相关工作人员安全，文明的教育交底工作，交通安全、用电安全尤其是道路安全隐患（比如道路坑洞、井盖缺失或破损）的排查工作，如发生安全意外事故，一切责任由中标单位负责，负责做好赔偿事宜。</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15</w:t>
      </w:r>
      <w:r>
        <w:rPr>
          <w:rFonts w:hint="eastAsia"/>
          <w:b/>
          <w:color w:val="C00000"/>
          <w:sz w:val="24"/>
          <w:highlight w:val="none"/>
          <w:lang w:eastAsia="zh-CN"/>
        </w:rPr>
        <w:t>、</w:t>
      </w:r>
      <w:r>
        <w:rPr>
          <w:rFonts w:hint="eastAsia"/>
          <w:b/>
          <w:color w:val="C00000"/>
          <w:sz w:val="24"/>
          <w:highlight w:val="none"/>
        </w:rPr>
        <w:t>本养护项目考核评分细则中的内容，也作为本工程招标的特殊条款，为招标文件的组成部分，作为中标后养护管理的考核标准，施工养护期内，招标人有权修改、完善、提升养护考核细则，更新的养护细则中标人须无条件接受。</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16</w:t>
      </w:r>
      <w:r>
        <w:rPr>
          <w:rFonts w:hint="eastAsia"/>
          <w:b/>
          <w:color w:val="C00000"/>
          <w:sz w:val="24"/>
          <w:highlight w:val="none"/>
          <w:lang w:eastAsia="zh-CN"/>
        </w:rPr>
        <w:t>、</w:t>
      </w:r>
      <w:r>
        <w:rPr>
          <w:rFonts w:hint="eastAsia"/>
          <w:b/>
          <w:color w:val="C00000"/>
          <w:sz w:val="24"/>
          <w:highlight w:val="none"/>
        </w:rPr>
        <w:t>养护单位若被发现数字城管不及时导致扣分，应急响应不及时，整改不到位等情况每次罚款2000元，累计三次以上取消该年度的养护评优资格，养护期内，招标人有权制定处罚细则，对养护单位管养不力的情况采取相应的处罚措施和罚款，养护单位应无条件接受。</w:t>
      </w:r>
    </w:p>
    <w:p>
      <w:pPr>
        <w:tabs>
          <w:tab w:val="left" w:pos="6300"/>
        </w:tabs>
        <w:spacing w:line="440" w:lineRule="exact"/>
        <w:ind w:firstLine="542" w:firstLineChars="225"/>
        <w:rPr>
          <w:rFonts w:hint="eastAsia"/>
          <w:b/>
          <w:color w:val="C00000"/>
          <w:sz w:val="24"/>
          <w:highlight w:val="none"/>
        </w:rPr>
      </w:pPr>
      <w:r>
        <w:rPr>
          <w:rFonts w:hint="eastAsia"/>
          <w:b/>
          <w:color w:val="C00000"/>
          <w:sz w:val="24"/>
          <w:highlight w:val="none"/>
        </w:rPr>
        <w:t xml:space="preserve">17 </w:t>
      </w:r>
      <w:r>
        <w:rPr>
          <w:rFonts w:hint="eastAsia"/>
          <w:b/>
          <w:color w:val="C00000"/>
          <w:sz w:val="24"/>
          <w:highlight w:val="none"/>
          <w:lang w:eastAsia="zh-CN"/>
        </w:rPr>
        <w:t>、</w:t>
      </w:r>
      <w:r>
        <w:rPr>
          <w:rFonts w:hint="eastAsia"/>
          <w:b/>
          <w:color w:val="C00000"/>
          <w:sz w:val="24"/>
          <w:highlight w:val="none"/>
        </w:rPr>
        <w:t>道路养护巡查每次至少两个人，交通工具视具体</w:t>
      </w:r>
      <w:r>
        <w:rPr>
          <w:rFonts w:hint="eastAsia"/>
          <w:b/>
          <w:color w:val="C00000"/>
          <w:sz w:val="24"/>
          <w:highlight w:val="none"/>
        </w:rPr>
        <w:tab/>
      </w:r>
      <w:r>
        <w:rPr>
          <w:rFonts w:hint="eastAsia"/>
          <w:b/>
          <w:color w:val="C00000"/>
          <w:sz w:val="24"/>
          <w:highlight w:val="none"/>
        </w:rPr>
        <w:t>情况而定，鼓励自行车或步行为主，及时发现问题，涉及安全事宜，应立即采取措施，清除安全隐患，事后及时报告，若巡查不到位，造成不良影响的，每次罚款2000元。</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rPr>
        <w:t>18</w:t>
      </w:r>
      <w:r>
        <w:rPr>
          <w:rFonts w:hint="eastAsia"/>
          <w:b/>
          <w:color w:val="C00000"/>
          <w:sz w:val="24"/>
          <w:highlight w:val="none"/>
          <w:lang w:eastAsia="zh-CN"/>
        </w:rPr>
        <w:t>、</w:t>
      </w:r>
      <w:r>
        <w:rPr>
          <w:rFonts w:hint="eastAsia"/>
          <w:b/>
          <w:color w:val="C00000"/>
          <w:sz w:val="24"/>
          <w:highlight w:val="none"/>
        </w:rPr>
        <w:t>养护人员需统一服装，并有相应上岗证，在道路上养护时，需做好用电安全、交通安全维护，如有需要须经交警部门审批后方可实施。</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lang w:val="en-US" w:eastAsia="zh-CN"/>
        </w:rPr>
        <w:t>19</w:t>
      </w:r>
      <w:r>
        <w:rPr>
          <w:rFonts w:hint="eastAsia"/>
          <w:b/>
          <w:color w:val="C00000"/>
          <w:sz w:val="24"/>
          <w:highlight w:val="none"/>
          <w:lang w:eastAsia="zh-CN"/>
        </w:rPr>
        <w:t>、</w:t>
      </w:r>
      <w:r>
        <w:rPr>
          <w:rFonts w:hint="eastAsia"/>
          <w:b/>
          <w:color w:val="C00000"/>
          <w:sz w:val="24"/>
          <w:highlight w:val="none"/>
        </w:rPr>
        <w:t>若市政道路砼、水稳、沥青砼路面存在外观欠佳、平整度差、表面松散等情况，招标人有权决定是否返工处理，投标人必须无条件接受。</w:t>
      </w:r>
    </w:p>
    <w:p>
      <w:pPr>
        <w:tabs>
          <w:tab w:val="left" w:pos="7260"/>
        </w:tabs>
        <w:spacing w:line="440" w:lineRule="exact"/>
        <w:ind w:firstLine="542" w:firstLineChars="225"/>
        <w:rPr>
          <w:rFonts w:hint="eastAsia"/>
          <w:b/>
          <w:color w:val="C00000"/>
          <w:sz w:val="24"/>
          <w:highlight w:val="none"/>
        </w:rPr>
      </w:pPr>
      <w:r>
        <w:rPr>
          <w:rFonts w:hint="eastAsia"/>
          <w:b/>
          <w:color w:val="C00000"/>
          <w:sz w:val="24"/>
          <w:highlight w:val="none"/>
          <w:lang w:val="en-US" w:eastAsia="zh-CN"/>
        </w:rPr>
        <w:t>20</w:t>
      </w:r>
      <w:r>
        <w:rPr>
          <w:rFonts w:hint="eastAsia"/>
          <w:b/>
          <w:color w:val="C00000"/>
          <w:sz w:val="24"/>
          <w:highlight w:val="none"/>
          <w:lang w:eastAsia="zh-CN"/>
        </w:rPr>
        <w:t>、</w:t>
      </w:r>
      <w:r>
        <w:rPr>
          <w:rFonts w:hint="eastAsia"/>
          <w:b/>
          <w:color w:val="C00000"/>
          <w:sz w:val="24"/>
          <w:highlight w:val="none"/>
        </w:rPr>
        <w:t>市政养护项目按照《浙江省杭州市市政设施养护定额》（2003版）及当月信息价结算。</w:t>
      </w:r>
    </w:p>
    <w:p>
      <w:pPr>
        <w:spacing w:line="440" w:lineRule="exact"/>
        <w:ind w:firstLine="361" w:firstLineChars="150"/>
        <w:rPr>
          <w:rFonts w:hint="eastAsia" w:ascii="宋体" w:hAnsi="宋体"/>
          <w:b/>
          <w:color w:val="C00000"/>
          <w:sz w:val="24"/>
          <w:highlight w:val="none"/>
          <w:u w:val="single"/>
        </w:rPr>
      </w:pPr>
      <w:r>
        <w:rPr>
          <w:rFonts w:hint="eastAsia"/>
          <w:b/>
          <w:color w:val="C00000"/>
          <w:sz w:val="24"/>
          <w:highlight w:val="none"/>
          <w:lang w:val="en-US" w:eastAsia="zh-CN"/>
        </w:rPr>
        <w:t>21</w:t>
      </w:r>
      <w:r>
        <w:rPr>
          <w:rFonts w:hint="eastAsia"/>
          <w:b/>
          <w:color w:val="C00000"/>
          <w:sz w:val="24"/>
          <w:highlight w:val="none"/>
          <w:lang w:eastAsia="zh-CN"/>
        </w:rPr>
        <w:t>、</w:t>
      </w:r>
      <w:r>
        <w:rPr>
          <w:rFonts w:hint="eastAsia"/>
          <w:b/>
          <w:color w:val="C00000"/>
          <w:sz w:val="24"/>
          <w:highlight w:val="none"/>
        </w:rPr>
        <w:t>本项目</w:t>
      </w:r>
      <w:r>
        <w:rPr>
          <w:rFonts w:hint="eastAsia" w:ascii="宋体" w:hAnsi="宋体"/>
          <w:b/>
          <w:color w:val="C00000"/>
          <w:sz w:val="24"/>
          <w:highlight w:val="none"/>
          <w:u w:val="single"/>
        </w:rPr>
        <w:t>累计完成工程量达到</w:t>
      </w:r>
      <w:r>
        <w:rPr>
          <w:rFonts w:hint="eastAsia" w:ascii="宋体" w:hAnsi="宋体"/>
          <w:b/>
          <w:color w:val="C00000"/>
          <w:sz w:val="24"/>
          <w:highlight w:val="none"/>
          <w:u w:val="single"/>
          <w:lang w:val="en-US" w:eastAsia="zh-CN"/>
        </w:rPr>
        <w:t>1000</w:t>
      </w:r>
      <w:r>
        <w:rPr>
          <w:rFonts w:hint="eastAsia" w:ascii="宋体" w:hAnsi="宋体"/>
          <w:b/>
          <w:color w:val="C00000"/>
          <w:sz w:val="24"/>
          <w:highlight w:val="none"/>
          <w:u w:val="single"/>
        </w:rPr>
        <w:t>万元或施工工期达到</w:t>
      </w:r>
      <w:r>
        <w:rPr>
          <w:rFonts w:hint="eastAsia" w:ascii="宋体" w:hAnsi="宋体"/>
          <w:b/>
          <w:color w:val="C00000"/>
          <w:sz w:val="24"/>
          <w:highlight w:val="none"/>
          <w:u w:val="single"/>
          <w:lang w:val="en-US" w:eastAsia="zh-CN"/>
        </w:rPr>
        <w:t>365</w:t>
      </w:r>
      <w:r>
        <w:rPr>
          <w:rFonts w:hint="eastAsia" w:ascii="宋体" w:hAnsi="宋体"/>
          <w:b/>
          <w:color w:val="C00000"/>
          <w:sz w:val="24"/>
          <w:highlight w:val="none"/>
          <w:u w:val="single"/>
        </w:rPr>
        <w:t>日历天后，本合同终止。）</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82" w:firstLineChars="200"/>
        <w:textAlignment w:val="auto"/>
        <w:rPr>
          <w:rFonts w:hint="eastAsia"/>
          <w:b/>
          <w:color w:val="auto"/>
          <w:sz w:val="24"/>
          <w:highlight w:val="none"/>
          <w:lang w:eastAsia="zh-CN"/>
        </w:rPr>
      </w:pPr>
      <w:r>
        <w:rPr>
          <w:rFonts w:hint="eastAsia"/>
          <w:b/>
          <w:color w:val="C00000"/>
          <w:sz w:val="24"/>
          <w:highlight w:val="none"/>
        </w:rPr>
        <w:t>2</w:t>
      </w:r>
      <w:r>
        <w:rPr>
          <w:rFonts w:hint="eastAsia"/>
          <w:b/>
          <w:color w:val="C00000"/>
          <w:sz w:val="24"/>
          <w:highlight w:val="none"/>
          <w:lang w:val="en-US" w:eastAsia="zh-CN"/>
        </w:rPr>
        <w:t>2、</w:t>
      </w:r>
      <w:r>
        <w:rPr>
          <w:rFonts w:hint="eastAsia"/>
          <w:b/>
          <w:color w:val="C00000"/>
          <w:sz w:val="24"/>
          <w:highlight w:val="none"/>
        </w:rPr>
        <w:t>本项目养护设备配备排水泵规格</w:t>
      </w:r>
      <w:r>
        <w:rPr>
          <w:rFonts w:hint="eastAsia"/>
          <w:b/>
          <w:color w:val="C00000"/>
          <w:sz w:val="24"/>
          <w:highlight w:val="none"/>
          <w:lang w:val="en-US" w:eastAsia="zh-CN"/>
        </w:rPr>
        <w:t>为</w:t>
      </w:r>
      <w:r>
        <w:rPr>
          <w:rFonts w:hint="eastAsia"/>
          <w:b/>
          <w:color w:val="C00000"/>
          <w:sz w:val="24"/>
          <w:highlight w:val="none"/>
        </w:rPr>
        <w:t>配备不少于150立方米/小时</w:t>
      </w:r>
      <w:r>
        <w:rPr>
          <w:rFonts w:hint="eastAsia"/>
          <w:b/>
          <w:color w:val="C00000"/>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241" w:firstLineChars="100"/>
        <w:textAlignment w:val="auto"/>
        <w:rPr>
          <w:rFonts w:hint="eastAsia"/>
          <w:b/>
          <w:bCs/>
          <w:color w:val="auto"/>
          <w:sz w:val="24"/>
          <w:highlight w:val="none"/>
          <w:lang w:eastAsia="zh-CN"/>
        </w:rPr>
      </w:pPr>
      <w:r>
        <w:rPr>
          <w:rFonts w:hint="eastAsia"/>
          <w:b/>
          <w:bCs/>
          <w:color w:val="auto"/>
          <w:sz w:val="24"/>
          <w:highlight w:val="none"/>
          <w:lang w:val="en-US" w:eastAsia="zh-CN"/>
        </w:rPr>
        <w:t>三、</w:t>
      </w:r>
      <w:r>
        <w:rPr>
          <w:b/>
          <w:bCs/>
          <w:color w:val="auto"/>
          <w:sz w:val="24"/>
          <w:highlight w:val="none"/>
        </w:rPr>
        <w:t>验收要求</w:t>
      </w:r>
      <w:r>
        <w:rPr>
          <w:rFonts w:hint="eastAsia"/>
          <w:b/>
          <w:bCs/>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80" w:firstLineChars="200"/>
        <w:textAlignment w:val="auto"/>
        <w:rPr>
          <w:rFonts w:hint="eastAsia" w:ascii="宋体" w:hAnsi="宋体" w:cs="宋体"/>
          <w:b/>
          <w:color w:val="auto"/>
          <w:sz w:val="24"/>
          <w:highlight w:val="none"/>
          <w:lang w:eastAsia="zh-CN"/>
        </w:rPr>
      </w:pPr>
      <w:r>
        <w:rPr>
          <w:rFonts w:hint="eastAsia"/>
          <w:b w:val="0"/>
          <w:bCs w:val="0"/>
          <w:color w:val="auto"/>
          <w:sz w:val="24"/>
          <w:highlight w:val="none"/>
          <w:lang w:val="en-US" w:eastAsia="zh-CN"/>
        </w:rPr>
        <w:t>采购人自行验收</w:t>
      </w:r>
      <w:r>
        <w:rPr>
          <w:rFonts w:hint="eastAsia" w:ascii="宋体" w:hAnsi="宋体" w:cs="宋体"/>
          <w:color w:val="auto"/>
          <w:sz w:val="24"/>
          <w:szCs w:val="24"/>
          <w:highlight w:val="none"/>
          <w:lang w:val="en-US" w:eastAsia="zh-CN"/>
        </w:rPr>
        <w:t>。</w:t>
      </w:r>
    </w:p>
    <w:p>
      <w:pPr>
        <w:adjustRightInd w:val="0"/>
        <w:snapToGrid w:val="0"/>
        <w:spacing w:line="360" w:lineRule="auto"/>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、费用支付：</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服务外包费每一个</w:t>
      </w:r>
      <w:r>
        <w:rPr>
          <w:rFonts w:hint="eastAsia" w:ascii="宋体" w:hAnsi="宋体" w:cs="宋体"/>
          <w:b/>
          <w:sz w:val="24"/>
          <w:lang w:eastAsia="zh-CN"/>
        </w:rPr>
        <w:t>季度</w:t>
      </w:r>
      <w:r>
        <w:rPr>
          <w:rFonts w:hint="eastAsia" w:ascii="宋体" w:hAnsi="宋体" w:cs="宋体"/>
          <w:b/>
          <w:sz w:val="24"/>
        </w:rPr>
        <w:t>结算一次，经采购人考核合格后于下一个</w:t>
      </w:r>
      <w:r>
        <w:rPr>
          <w:rFonts w:hint="eastAsia" w:ascii="宋体" w:hAnsi="宋体" w:cs="宋体"/>
          <w:b/>
          <w:sz w:val="24"/>
          <w:lang w:eastAsia="zh-CN"/>
        </w:rPr>
        <w:t>季度初</w:t>
      </w:r>
      <w:r>
        <w:rPr>
          <w:rFonts w:hint="eastAsia" w:ascii="宋体" w:hAnsi="宋体" w:cs="宋体"/>
          <w:b/>
          <w:sz w:val="24"/>
        </w:rPr>
        <w:t>支付上一个</w:t>
      </w:r>
      <w:r>
        <w:rPr>
          <w:rFonts w:hint="eastAsia" w:ascii="宋体" w:hAnsi="宋体" w:cs="宋体"/>
          <w:b/>
          <w:sz w:val="24"/>
          <w:lang w:eastAsia="zh-CN"/>
        </w:rPr>
        <w:t>季度</w:t>
      </w:r>
      <w:r>
        <w:rPr>
          <w:rFonts w:hint="eastAsia" w:ascii="宋体" w:hAnsi="宋体" w:cs="宋体"/>
          <w:b/>
          <w:sz w:val="24"/>
        </w:rPr>
        <w:t>的服务外包费。</w:t>
      </w:r>
    </w:p>
    <w:p>
      <w:pPr>
        <w:numPr>
          <w:ilvl w:val="0"/>
          <w:numId w:val="0"/>
        </w:numPr>
        <w:jc w:val="center"/>
        <w:rPr>
          <w:rFonts w:hint="eastAsia" w:ascii="方正小标宋_GBK" w:hAnsi="宋体" w:eastAsia="方正小标宋_GBK" w:cs="宋体"/>
          <w:b w:val="0"/>
          <w:bCs/>
          <w:color w:val="auto"/>
          <w:sz w:val="32"/>
          <w:szCs w:val="32"/>
        </w:rPr>
      </w:pPr>
      <w:r>
        <w:rPr>
          <w:rFonts w:hint="eastAsia" w:ascii="宋体" w:hAnsi="宋体" w:eastAsia="宋体" w:cs="宋体"/>
          <w:b/>
          <w:bCs/>
          <w:sz w:val="28"/>
          <w:szCs w:val="28"/>
        </w:rPr>
        <w:br w:type="page"/>
      </w:r>
      <w:r>
        <w:rPr>
          <w:rFonts w:hint="eastAsia" w:ascii="方正小标宋_GBK" w:hAnsi="宋体" w:eastAsia="方正小标宋_GBK" w:cs="宋体"/>
          <w:b w:val="0"/>
          <w:bCs/>
          <w:color w:val="auto"/>
          <w:sz w:val="32"/>
          <w:szCs w:val="32"/>
          <w:lang w:eastAsia="zh-CN"/>
        </w:rPr>
        <w:t>临平</w:t>
      </w:r>
      <w:r>
        <w:rPr>
          <w:rFonts w:hint="eastAsia" w:ascii="方正小标宋_GBK" w:hAnsi="宋体" w:eastAsia="方正小标宋_GBK" w:cs="宋体"/>
          <w:b w:val="0"/>
          <w:bCs/>
          <w:color w:val="auto"/>
          <w:sz w:val="32"/>
          <w:szCs w:val="32"/>
        </w:rPr>
        <w:t>区市政</w:t>
      </w:r>
      <w:r>
        <w:rPr>
          <w:rFonts w:hint="eastAsia" w:ascii="方正小标宋_GBK" w:hAnsi="宋体" w:eastAsia="方正小标宋_GBK" w:cs="宋体"/>
          <w:b w:val="0"/>
          <w:bCs/>
          <w:color w:val="auto"/>
          <w:sz w:val="32"/>
          <w:szCs w:val="32"/>
          <w:lang w:eastAsia="zh-CN"/>
        </w:rPr>
        <w:t>养护考核</w:t>
      </w:r>
      <w:r>
        <w:rPr>
          <w:rFonts w:hint="eastAsia" w:ascii="方正小标宋_GBK" w:hAnsi="宋体" w:eastAsia="方正小标宋_GBK" w:cs="宋体"/>
          <w:b w:val="0"/>
          <w:bCs/>
          <w:color w:val="auto"/>
          <w:sz w:val="32"/>
          <w:szCs w:val="32"/>
        </w:rPr>
        <w:t>评分细则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0"/>
        <w:gridCol w:w="620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48" w:type="dxa"/>
            <w:gridSpan w:val="2"/>
            <w:noWrap w:val="0"/>
            <w:vAlign w:val="center"/>
          </w:tcPr>
          <w:p>
            <w:pPr>
              <w:spacing w:line="320" w:lineRule="exact"/>
              <w:jc w:val="center"/>
              <w:rPr>
                <w:rFonts w:hint="eastAsia" w:ascii="仿宋_GB2312" w:eastAsia="仿宋_GB2312"/>
                <w:b/>
                <w:color w:val="auto"/>
                <w:szCs w:val="21"/>
              </w:rPr>
            </w:pPr>
            <w:r>
              <w:rPr>
                <w:rFonts w:hint="eastAsia" w:ascii="仿宋_GB2312" w:eastAsia="仿宋_GB2312"/>
                <w:b/>
                <w:color w:val="auto"/>
                <w:szCs w:val="21"/>
              </w:rPr>
              <w:t>考核内容</w:t>
            </w:r>
          </w:p>
        </w:tc>
        <w:tc>
          <w:tcPr>
            <w:tcW w:w="6200" w:type="dxa"/>
            <w:noWrap w:val="0"/>
            <w:vAlign w:val="center"/>
          </w:tcPr>
          <w:p>
            <w:pPr>
              <w:spacing w:line="320" w:lineRule="exact"/>
              <w:jc w:val="center"/>
              <w:rPr>
                <w:rFonts w:hint="eastAsia" w:ascii="仿宋_GB2312" w:eastAsia="仿宋_GB2312"/>
                <w:b/>
                <w:color w:val="auto"/>
                <w:szCs w:val="21"/>
              </w:rPr>
            </w:pPr>
            <w:r>
              <w:rPr>
                <w:rFonts w:hint="eastAsia" w:ascii="仿宋_GB2312" w:eastAsia="仿宋_GB2312"/>
                <w:b/>
                <w:color w:val="auto"/>
                <w:szCs w:val="21"/>
              </w:rPr>
              <w:t>评分标准</w:t>
            </w:r>
          </w:p>
        </w:tc>
        <w:tc>
          <w:tcPr>
            <w:tcW w:w="1112" w:type="dxa"/>
            <w:noWrap w:val="0"/>
            <w:vAlign w:val="center"/>
          </w:tcPr>
          <w:p>
            <w:pPr>
              <w:spacing w:line="320" w:lineRule="exact"/>
              <w:jc w:val="center"/>
              <w:rPr>
                <w:rFonts w:hint="eastAsia" w:ascii="仿宋_GB2312" w:eastAsia="仿宋_GB2312"/>
                <w:b/>
                <w:color w:val="auto"/>
                <w:szCs w:val="21"/>
              </w:rPr>
            </w:pPr>
            <w:r>
              <w:rPr>
                <w:rFonts w:hint="eastAsia" w:ascii="仿宋_GB2312" w:eastAsia="仿宋_GB2312"/>
                <w:b/>
                <w:color w:val="auto"/>
                <w:szCs w:val="21"/>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28" w:type="dxa"/>
            <w:vMerge w:val="restart"/>
            <w:noWrap w:val="0"/>
            <w:vAlign w:val="center"/>
          </w:tcPr>
          <w:p>
            <w:pPr>
              <w:spacing w:line="320" w:lineRule="exact"/>
              <w:jc w:val="center"/>
              <w:rPr>
                <w:rFonts w:hint="eastAsia" w:ascii="仿宋_GB2312" w:eastAsia="仿宋_GB2312"/>
                <w:color w:val="auto"/>
                <w:szCs w:val="21"/>
                <w:lang w:eastAsia="zh-CN"/>
              </w:rPr>
            </w:pPr>
            <w:r>
              <w:rPr>
                <w:rFonts w:hint="eastAsia" w:ascii="仿宋_GB2312" w:eastAsia="仿宋_GB2312"/>
                <w:color w:val="auto"/>
                <w:szCs w:val="21"/>
                <w:lang w:eastAsia="zh-CN"/>
              </w:rPr>
              <w:t>日常养护</w:t>
            </w:r>
          </w:p>
          <w:p>
            <w:pPr>
              <w:spacing w:line="320" w:lineRule="exact"/>
              <w:jc w:val="center"/>
              <w:rPr>
                <w:rFonts w:hint="eastAsia" w:ascii="仿宋_GB2312" w:eastAsia="仿宋_GB2312"/>
                <w:color w:val="auto"/>
                <w:szCs w:val="21"/>
              </w:rPr>
            </w:pPr>
            <w:r>
              <w:rPr>
                <w:rFonts w:hint="eastAsia" w:ascii="仿宋_GB2312" w:eastAsia="仿宋_GB2312"/>
                <w:color w:val="auto"/>
                <w:szCs w:val="21"/>
                <w:lang w:val="en-US" w:eastAsia="zh-CN"/>
              </w:rPr>
              <w:t>60</w:t>
            </w:r>
            <w:r>
              <w:rPr>
                <w:rFonts w:hint="eastAsia" w:ascii="仿宋_GB2312" w:eastAsia="仿宋_GB2312"/>
                <w:color w:val="auto"/>
                <w:szCs w:val="21"/>
              </w:rPr>
              <w:t>分</w:t>
            </w:r>
          </w:p>
          <w:p>
            <w:pPr>
              <w:spacing w:line="320" w:lineRule="exact"/>
              <w:jc w:val="center"/>
              <w:rPr>
                <w:rFonts w:hint="eastAsia" w:ascii="仿宋_GB2312" w:eastAsia="仿宋_GB2312"/>
                <w:color w:val="auto"/>
                <w:szCs w:val="21"/>
              </w:rPr>
            </w:pPr>
          </w:p>
        </w:tc>
        <w:tc>
          <w:tcPr>
            <w:tcW w:w="920" w:type="dxa"/>
            <w:noWrap w:val="0"/>
            <w:vAlign w:val="center"/>
          </w:tcPr>
          <w:p>
            <w:pPr>
              <w:spacing w:line="320" w:lineRule="exact"/>
              <w:jc w:val="center"/>
              <w:rPr>
                <w:rFonts w:hint="eastAsia" w:ascii="仿宋_GB2312" w:eastAsia="仿宋_GB2312"/>
                <w:color w:val="auto"/>
                <w:szCs w:val="21"/>
              </w:rPr>
            </w:pPr>
            <w:r>
              <w:rPr>
                <w:rFonts w:hint="eastAsia" w:ascii="仿宋_GB2312" w:eastAsia="仿宋_GB2312"/>
                <w:color w:val="auto"/>
                <w:szCs w:val="21"/>
                <w:lang w:eastAsia="zh-CN"/>
              </w:rPr>
              <w:t>车行道</w:t>
            </w:r>
            <w:r>
              <w:rPr>
                <w:rFonts w:hint="eastAsia" w:ascii="仿宋_GB2312" w:eastAsia="仿宋_GB2312"/>
                <w:color w:val="auto"/>
                <w:szCs w:val="21"/>
              </w:rPr>
              <w:t>养护</w:t>
            </w:r>
          </w:p>
          <w:p>
            <w:pPr>
              <w:spacing w:line="32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lang w:val="en-US" w:eastAsia="zh-CN"/>
              </w:rPr>
            </w:pPr>
            <w:r>
              <w:rPr>
                <w:rFonts w:hint="eastAsia" w:ascii="仿宋_GB2312" w:eastAsia="仿宋_GB2312"/>
                <w:color w:val="auto"/>
                <w:szCs w:val="21"/>
              </w:rPr>
              <w:t>裂缝1米以内每处扣</w:t>
            </w:r>
            <w:r>
              <w:rPr>
                <w:rFonts w:hint="eastAsia" w:ascii="仿宋_GB2312" w:eastAsia="仿宋_GB2312"/>
                <w:color w:val="auto"/>
                <w:szCs w:val="21"/>
                <w:lang w:val="en-US" w:eastAsia="zh-CN"/>
              </w:rPr>
              <w:t>0.5</w:t>
            </w:r>
            <w:r>
              <w:rPr>
                <w:rFonts w:hint="eastAsia" w:ascii="仿宋_GB2312" w:eastAsia="仿宋_GB2312"/>
                <w:color w:val="auto"/>
                <w:szCs w:val="21"/>
              </w:rPr>
              <w:t>分,</w:t>
            </w:r>
            <w:r>
              <w:rPr>
                <w:rFonts w:hint="eastAsia" w:ascii="仿宋_GB2312" w:eastAsia="仿宋_GB2312"/>
                <w:color w:val="auto"/>
                <w:szCs w:val="21"/>
                <w:lang w:val="en-US" w:eastAsia="zh-CN"/>
              </w:rPr>
              <w:t>1米以上每处扣1分；</w:t>
            </w:r>
          </w:p>
          <w:p>
            <w:pPr>
              <w:spacing w:line="320" w:lineRule="exact"/>
              <w:ind w:left="0" w:leftChars="0" w:firstLine="420" w:firstLineChars="200"/>
              <w:rPr>
                <w:rFonts w:hint="eastAsia" w:ascii="仿宋_GB2312" w:eastAsia="仿宋_GB2312"/>
                <w:color w:val="auto"/>
                <w:szCs w:val="21"/>
                <w:lang w:eastAsia="zh-CN"/>
              </w:rPr>
            </w:pPr>
            <w:r>
              <w:rPr>
                <w:rFonts w:hint="eastAsia" w:ascii="仿宋_GB2312" w:eastAsia="仿宋_GB2312"/>
                <w:color w:val="auto"/>
                <w:szCs w:val="21"/>
              </w:rPr>
              <w:t>破损、网裂</w:t>
            </w:r>
            <w:r>
              <w:rPr>
                <w:rFonts w:hint="eastAsia" w:ascii="仿宋_GB2312" w:eastAsia="仿宋_GB2312"/>
                <w:color w:val="auto"/>
                <w:szCs w:val="21"/>
                <w:lang w:eastAsia="zh-CN"/>
              </w:rPr>
              <w:t>、碎裂、</w:t>
            </w:r>
            <w:r>
              <w:rPr>
                <w:rFonts w:hint="eastAsia" w:ascii="仿宋_GB2312" w:eastAsia="仿宋_GB2312"/>
                <w:color w:val="auto"/>
                <w:szCs w:val="21"/>
              </w:rPr>
              <w:t>坑洞</w:t>
            </w:r>
            <w:r>
              <w:rPr>
                <w:rFonts w:hint="eastAsia" w:ascii="仿宋_GB2312" w:eastAsia="仿宋_GB2312"/>
                <w:color w:val="auto"/>
                <w:szCs w:val="21"/>
                <w:lang w:eastAsia="zh-CN"/>
              </w:rPr>
              <w:t>、</w:t>
            </w:r>
            <w:r>
              <w:rPr>
                <w:rFonts w:hint="eastAsia" w:ascii="仿宋_GB2312" w:eastAsia="仿宋_GB2312"/>
                <w:color w:val="auto"/>
                <w:szCs w:val="21"/>
              </w:rPr>
              <w:t>下沉</w:t>
            </w:r>
            <w:r>
              <w:rPr>
                <w:rFonts w:hint="eastAsia" w:ascii="仿宋_GB2312" w:eastAsia="仿宋_GB2312"/>
                <w:color w:val="auto"/>
                <w:szCs w:val="21"/>
                <w:lang w:eastAsia="zh-CN"/>
              </w:rPr>
              <w:t>、凸起等，</w:t>
            </w:r>
            <w:r>
              <w:rPr>
                <w:rFonts w:hint="eastAsia" w:ascii="仿宋_GB2312" w:eastAsia="仿宋_GB2312"/>
                <w:color w:val="auto"/>
                <w:szCs w:val="21"/>
              </w:rPr>
              <w:t>1平方米以内</w:t>
            </w:r>
            <w:r>
              <w:rPr>
                <w:rFonts w:hint="eastAsia" w:ascii="仿宋_GB2312" w:eastAsia="仿宋_GB2312"/>
                <w:color w:val="auto"/>
                <w:szCs w:val="21"/>
                <w:lang w:eastAsia="zh-CN"/>
              </w:rPr>
              <w:t>每处</w:t>
            </w:r>
            <w:r>
              <w:rPr>
                <w:rFonts w:hint="eastAsia" w:ascii="仿宋_GB2312" w:eastAsia="仿宋_GB2312"/>
                <w:color w:val="auto"/>
                <w:szCs w:val="21"/>
              </w:rPr>
              <w:t>扣</w:t>
            </w:r>
            <w:r>
              <w:rPr>
                <w:rFonts w:hint="eastAsia" w:ascii="仿宋_GB2312" w:eastAsia="仿宋_GB2312"/>
                <w:color w:val="auto"/>
                <w:szCs w:val="21"/>
                <w:lang w:val="en-US" w:eastAsia="zh-CN"/>
              </w:rPr>
              <w:t>1</w:t>
            </w:r>
            <w:r>
              <w:rPr>
                <w:rFonts w:hint="eastAsia" w:ascii="仿宋_GB2312" w:eastAsia="仿宋_GB2312"/>
                <w:color w:val="auto"/>
                <w:szCs w:val="21"/>
              </w:rPr>
              <w:t>分</w:t>
            </w:r>
            <w:r>
              <w:rPr>
                <w:rFonts w:hint="eastAsia" w:ascii="仿宋_GB2312" w:eastAsia="仿宋_GB2312"/>
                <w:color w:val="auto"/>
                <w:szCs w:val="21"/>
                <w:lang w:eastAsia="zh-CN"/>
              </w:rPr>
              <w:t>，</w:t>
            </w:r>
            <w:r>
              <w:rPr>
                <w:rFonts w:hint="eastAsia" w:ascii="仿宋_GB2312" w:eastAsia="仿宋_GB2312"/>
                <w:color w:val="auto"/>
                <w:szCs w:val="21"/>
              </w:rPr>
              <w:t>1</w:t>
            </w:r>
            <w:r>
              <w:rPr>
                <w:rFonts w:hint="eastAsia" w:ascii="仿宋_GB2312" w:eastAsia="仿宋_GB2312"/>
                <w:color w:val="auto"/>
                <w:szCs w:val="21"/>
                <w:lang w:val="en-US" w:eastAsia="zh-CN"/>
              </w:rPr>
              <w:t>至2</w:t>
            </w:r>
            <w:r>
              <w:rPr>
                <w:rFonts w:hint="eastAsia" w:ascii="仿宋_GB2312" w:eastAsia="仿宋_GB2312"/>
                <w:color w:val="auto"/>
                <w:szCs w:val="21"/>
              </w:rPr>
              <w:t>平方米</w:t>
            </w:r>
            <w:r>
              <w:rPr>
                <w:rFonts w:hint="eastAsia" w:ascii="仿宋_GB2312" w:eastAsia="仿宋_GB2312"/>
                <w:color w:val="auto"/>
                <w:szCs w:val="21"/>
                <w:lang w:eastAsia="zh-CN"/>
              </w:rPr>
              <w:t>每处</w:t>
            </w:r>
            <w:r>
              <w:rPr>
                <w:rFonts w:hint="eastAsia" w:ascii="仿宋_GB2312" w:eastAsia="仿宋_GB2312"/>
                <w:color w:val="auto"/>
                <w:szCs w:val="21"/>
              </w:rPr>
              <w:t>扣</w:t>
            </w:r>
            <w:r>
              <w:rPr>
                <w:rFonts w:hint="eastAsia" w:ascii="仿宋_GB2312" w:eastAsia="仿宋_GB2312"/>
                <w:color w:val="auto"/>
                <w:szCs w:val="21"/>
                <w:lang w:val="en-US" w:eastAsia="zh-CN"/>
              </w:rPr>
              <w:t>2</w:t>
            </w:r>
            <w:r>
              <w:rPr>
                <w:rFonts w:hint="eastAsia" w:ascii="仿宋_GB2312" w:eastAsia="仿宋_GB2312"/>
                <w:color w:val="auto"/>
                <w:szCs w:val="21"/>
              </w:rPr>
              <w:t>分</w:t>
            </w:r>
            <w:r>
              <w:rPr>
                <w:rFonts w:hint="eastAsia" w:ascii="仿宋_GB2312" w:eastAsia="仿宋_GB2312"/>
                <w:color w:val="auto"/>
                <w:szCs w:val="21"/>
                <w:lang w:val="en-US" w:eastAsia="zh-CN"/>
              </w:rPr>
              <w:t>，2</w:t>
            </w:r>
            <w:r>
              <w:rPr>
                <w:rFonts w:hint="eastAsia" w:ascii="仿宋_GB2312" w:eastAsia="仿宋_GB2312"/>
                <w:color w:val="auto"/>
                <w:szCs w:val="21"/>
              </w:rPr>
              <w:t>平方米以</w:t>
            </w:r>
            <w:r>
              <w:rPr>
                <w:rFonts w:hint="eastAsia" w:ascii="仿宋_GB2312" w:eastAsia="仿宋_GB2312"/>
                <w:color w:val="auto"/>
                <w:szCs w:val="21"/>
                <w:lang w:eastAsia="zh-CN"/>
              </w:rPr>
              <w:t>上每处</w:t>
            </w:r>
            <w:r>
              <w:rPr>
                <w:rFonts w:hint="eastAsia" w:ascii="仿宋_GB2312" w:eastAsia="仿宋_GB2312"/>
                <w:color w:val="auto"/>
                <w:szCs w:val="21"/>
              </w:rPr>
              <w:t>扣</w:t>
            </w:r>
            <w:r>
              <w:rPr>
                <w:rFonts w:hint="eastAsia" w:ascii="仿宋_GB2312" w:eastAsia="仿宋_GB2312"/>
                <w:color w:val="auto"/>
                <w:szCs w:val="21"/>
                <w:lang w:val="en-US" w:eastAsia="zh-CN"/>
              </w:rPr>
              <w:t>5</w:t>
            </w:r>
            <w:r>
              <w:rPr>
                <w:rFonts w:hint="eastAsia" w:ascii="仿宋_GB2312" w:eastAsia="仿宋_GB2312"/>
                <w:color w:val="auto"/>
                <w:szCs w:val="21"/>
              </w:rPr>
              <w:t>分</w:t>
            </w:r>
            <w:r>
              <w:rPr>
                <w:rFonts w:hint="eastAsia" w:ascii="仿宋_GB2312" w:eastAsia="仿宋_GB2312"/>
                <w:color w:val="auto"/>
                <w:szCs w:val="21"/>
                <w:lang w:eastAsia="zh-CN"/>
              </w:rPr>
              <w:t>；</w:t>
            </w:r>
          </w:p>
          <w:p>
            <w:pPr>
              <w:spacing w:line="320" w:lineRule="exact"/>
              <w:ind w:left="0" w:leftChars="0" w:firstLine="420" w:firstLineChars="200"/>
              <w:rPr>
                <w:rFonts w:hint="eastAsia" w:ascii="仿宋_GB2312" w:eastAsia="仿宋_GB2312"/>
                <w:color w:val="auto"/>
                <w:szCs w:val="21"/>
              </w:rPr>
            </w:pPr>
            <w:r>
              <w:rPr>
                <w:rFonts w:hint="eastAsia" w:ascii="仿宋_GB2312" w:eastAsia="仿宋_GB2312"/>
                <w:color w:val="auto"/>
                <w:szCs w:val="21"/>
                <w:lang w:eastAsia="zh-CN"/>
              </w:rPr>
              <w:t>沥青修复接茬处高差大于</w:t>
            </w:r>
            <w:r>
              <w:rPr>
                <w:rFonts w:hint="eastAsia" w:ascii="仿宋_GB2312" w:eastAsia="仿宋_GB2312"/>
                <w:color w:val="auto"/>
                <w:szCs w:val="21"/>
                <w:lang w:val="en-US" w:eastAsia="zh-CN"/>
              </w:rPr>
              <w:t>5mm</w:t>
            </w:r>
            <w:r>
              <w:rPr>
                <w:rFonts w:hint="eastAsia" w:ascii="仿宋_GB2312" w:eastAsia="仿宋_GB2312"/>
                <w:color w:val="auto"/>
                <w:szCs w:val="21"/>
                <w:lang w:eastAsia="zh-CN"/>
              </w:rPr>
              <w:t>、未封边的</w:t>
            </w:r>
            <w:r>
              <w:rPr>
                <w:rFonts w:hint="eastAsia" w:ascii="仿宋_GB2312" w:eastAsia="仿宋_GB2312"/>
                <w:color w:val="auto"/>
                <w:szCs w:val="21"/>
              </w:rPr>
              <w:t>每处扣</w:t>
            </w:r>
            <w:r>
              <w:rPr>
                <w:rFonts w:hint="eastAsia" w:ascii="仿宋_GB2312" w:eastAsia="仿宋_GB2312"/>
                <w:color w:val="auto"/>
                <w:szCs w:val="21"/>
                <w:lang w:val="en-US" w:eastAsia="zh-CN"/>
              </w:rPr>
              <w:t>2</w:t>
            </w:r>
            <w:r>
              <w:rPr>
                <w:rFonts w:hint="eastAsia" w:ascii="仿宋_GB2312" w:eastAsia="仿宋_GB2312"/>
                <w:color w:val="auto"/>
                <w:szCs w:val="21"/>
              </w:rPr>
              <w:t>分</w:t>
            </w:r>
            <w:r>
              <w:rPr>
                <w:rFonts w:hint="eastAsia" w:ascii="仿宋_GB2312" w:eastAsia="仿宋_GB2312"/>
                <w:color w:val="auto"/>
                <w:szCs w:val="21"/>
                <w:lang w:eastAsia="zh-CN"/>
              </w:rPr>
              <w:t>；</w:t>
            </w:r>
          </w:p>
          <w:p>
            <w:pPr>
              <w:spacing w:line="320" w:lineRule="exact"/>
              <w:ind w:left="0" w:leftChars="0" w:firstLine="420" w:firstLineChars="200"/>
              <w:rPr>
                <w:rFonts w:hint="eastAsia" w:ascii="仿宋_GB2312" w:eastAsia="仿宋_GB2312"/>
                <w:color w:val="auto"/>
                <w:szCs w:val="21"/>
              </w:rPr>
            </w:pPr>
            <w:r>
              <w:rPr>
                <w:rFonts w:hint="eastAsia" w:ascii="仿宋_GB2312" w:eastAsia="仿宋_GB2312"/>
                <w:color w:val="auto"/>
                <w:szCs w:val="21"/>
              </w:rPr>
              <w:t>检查井盖、雨水篦子破损</w:t>
            </w:r>
            <w:r>
              <w:rPr>
                <w:rFonts w:hint="eastAsia" w:ascii="仿宋_GB2312" w:eastAsia="仿宋_GB2312"/>
                <w:color w:val="auto"/>
                <w:szCs w:val="21"/>
                <w:lang w:eastAsia="zh-CN"/>
              </w:rPr>
              <w:t>，或</w:t>
            </w:r>
            <w:r>
              <w:rPr>
                <w:rFonts w:hint="eastAsia" w:ascii="仿宋_GB2312" w:eastAsia="仿宋_GB2312"/>
                <w:color w:val="auto"/>
                <w:szCs w:val="21"/>
              </w:rPr>
              <w:t>与</w:t>
            </w:r>
            <w:r>
              <w:rPr>
                <w:rFonts w:hint="eastAsia" w:ascii="仿宋_GB2312" w:eastAsia="仿宋_GB2312"/>
                <w:color w:val="auto"/>
                <w:szCs w:val="21"/>
                <w:lang w:eastAsia="zh-CN"/>
              </w:rPr>
              <w:t>路面</w:t>
            </w:r>
            <w:r>
              <w:rPr>
                <w:rFonts w:hint="eastAsia" w:ascii="仿宋_GB2312" w:eastAsia="仿宋_GB2312"/>
                <w:color w:val="auto"/>
                <w:szCs w:val="21"/>
              </w:rPr>
              <w:t>高差</w:t>
            </w:r>
            <w:r>
              <w:rPr>
                <w:rFonts w:hint="eastAsia" w:ascii="仿宋_GB2312" w:eastAsia="仿宋_GB2312"/>
                <w:color w:val="auto"/>
                <w:szCs w:val="21"/>
                <w:lang w:eastAsia="zh-CN"/>
              </w:rPr>
              <w:t>大于</w:t>
            </w:r>
            <w:r>
              <w:rPr>
                <w:rFonts w:hint="eastAsia" w:ascii="仿宋_GB2312" w:eastAsia="仿宋_GB2312"/>
                <w:color w:val="auto"/>
                <w:szCs w:val="21"/>
                <w:lang w:val="en-US" w:eastAsia="zh-CN"/>
              </w:rPr>
              <w:t>7mm每</w:t>
            </w:r>
            <w:r>
              <w:rPr>
                <w:rFonts w:hint="eastAsia" w:ascii="仿宋_GB2312" w:eastAsia="仿宋_GB2312"/>
                <w:color w:val="auto"/>
                <w:szCs w:val="21"/>
              </w:rPr>
              <w:t>处扣</w:t>
            </w:r>
            <w:r>
              <w:rPr>
                <w:rFonts w:hint="eastAsia" w:ascii="仿宋_GB2312" w:eastAsia="仿宋_GB2312"/>
                <w:color w:val="auto"/>
                <w:szCs w:val="21"/>
                <w:lang w:val="en-US" w:eastAsia="zh-CN"/>
              </w:rPr>
              <w:t>2</w:t>
            </w:r>
            <w:r>
              <w:rPr>
                <w:rFonts w:hint="eastAsia" w:ascii="仿宋_GB2312" w:eastAsia="仿宋_GB2312"/>
                <w:color w:val="auto"/>
                <w:szCs w:val="21"/>
              </w:rPr>
              <w:t>分</w:t>
            </w:r>
            <w:r>
              <w:rPr>
                <w:rFonts w:hint="eastAsia" w:ascii="仿宋_GB2312" w:eastAsia="仿宋_GB2312"/>
                <w:color w:val="auto"/>
                <w:szCs w:val="21"/>
                <w:lang w:eastAsia="zh-CN"/>
              </w:rPr>
              <w:t>。</w:t>
            </w:r>
          </w:p>
        </w:tc>
        <w:tc>
          <w:tcPr>
            <w:tcW w:w="1112" w:type="dxa"/>
            <w:noWrap w:val="0"/>
            <w:vAlign w:val="center"/>
          </w:tcPr>
          <w:p>
            <w:pP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rPr>
            </w:pPr>
          </w:p>
        </w:tc>
        <w:tc>
          <w:tcPr>
            <w:tcW w:w="920" w:type="dxa"/>
            <w:noWrap w:val="0"/>
            <w:vAlign w:val="center"/>
          </w:tcPr>
          <w:p>
            <w:pPr>
              <w:spacing w:line="320" w:lineRule="exact"/>
              <w:jc w:val="center"/>
              <w:rPr>
                <w:rFonts w:hint="eastAsia" w:ascii="仿宋_GB2312" w:eastAsia="仿宋_GB2312"/>
                <w:color w:val="auto"/>
                <w:szCs w:val="21"/>
              </w:rPr>
            </w:pPr>
            <w:r>
              <w:rPr>
                <w:rFonts w:hint="eastAsia" w:ascii="仿宋_GB2312" w:eastAsia="仿宋_GB2312"/>
                <w:color w:val="auto"/>
                <w:szCs w:val="21"/>
              </w:rPr>
              <w:t>人行道养护</w:t>
            </w:r>
          </w:p>
          <w:p>
            <w:pPr>
              <w:spacing w:line="320" w:lineRule="exact"/>
              <w:jc w:val="center"/>
              <w:rPr>
                <w:rFonts w:hint="eastAsia" w:ascii="仿宋_GB2312" w:eastAsia="仿宋_GB2312"/>
                <w:color w:val="auto"/>
                <w:szCs w:val="21"/>
              </w:rPr>
            </w:pPr>
            <w:r>
              <w:rPr>
                <w:rFonts w:hint="eastAsia" w:ascii="仿宋_GB2312" w:eastAsia="仿宋_GB2312"/>
                <w:color w:val="auto"/>
                <w:szCs w:val="21"/>
                <w:lang w:val="en-US" w:eastAsia="zh-CN"/>
              </w:rPr>
              <w:t>15分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rPr>
            </w:pPr>
            <w:r>
              <w:rPr>
                <w:rFonts w:hint="eastAsia" w:ascii="仿宋_GB2312" w:eastAsia="仿宋_GB2312"/>
                <w:color w:val="auto"/>
                <w:szCs w:val="21"/>
              </w:rPr>
              <w:t>人行道破损、松动</w:t>
            </w:r>
            <w:r>
              <w:rPr>
                <w:rFonts w:hint="eastAsia" w:ascii="仿宋_GB2312" w:eastAsia="仿宋_GB2312"/>
                <w:color w:val="auto"/>
                <w:szCs w:val="21"/>
                <w:lang w:eastAsia="zh-CN"/>
              </w:rPr>
              <w:t>、沉降，</w:t>
            </w:r>
            <w:r>
              <w:rPr>
                <w:rFonts w:hint="eastAsia" w:ascii="仿宋_GB2312" w:eastAsia="仿宋_GB2312"/>
                <w:color w:val="auto"/>
                <w:szCs w:val="21"/>
              </w:rPr>
              <w:t>1平方米以内</w:t>
            </w:r>
            <w:r>
              <w:rPr>
                <w:rFonts w:hint="eastAsia" w:ascii="仿宋_GB2312" w:eastAsia="仿宋_GB2312"/>
                <w:color w:val="auto"/>
                <w:szCs w:val="21"/>
                <w:lang w:eastAsia="zh-CN"/>
              </w:rPr>
              <w:t>每处</w:t>
            </w:r>
            <w:r>
              <w:rPr>
                <w:rFonts w:hint="eastAsia" w:ascii="仿宋_GB2312" w:eastAsia="仿宋_GB2312"/>
                <w:color w:val="auto"/>
                <w:szCs w:val="21"/>
              </w:rPr>
              <w:t>扣</w:t>
            </w:r>
            <w:r>
              <w:rPr>
                <w:rFonts w:hint="eastAsia" w:ascii="仿宋_GB2312" w:eastAsia="仿宋_GB2312"/>
                <w:color w:val="auto"/>
                <w:szCs w:val="21"/>
                <w:lang w:val="en-US" w:eastAsia="zh-CN"/>
              </w:rPr>
              <w:t>0.5</w:t>
            </w:r>
            <w:r>
              <w:rPr>
                <w:rFonts w:hint="eastAsia" w:ascii="仿宋_GB2312" w:eastAsia="仿宋_GB2312"/>
                <w:color w:val="auto"/>
                <w:szCs w:val="21"/>
              </w:rPr>
              <w:t>分</w:t>
            </w:r>
            <w:r>
              <w:rPr>
                <w:rFonts w:hint="eastAsia" w:ascii="仿宋_GB2312" w:eastAsia="仿宋_GB2312"/>
                <w:color w:val="auto"/>
                <w:szCs w:val="21"/>
                <w:lang w:eastAsia="zh-CN"/>
              </w:rPr>
              <w:t>，</w:t>
            </w:r>
            <w:r>
              <w:rPr>
                <w:rFonts w:hint="eastAsia" w:ascii="仿宋_GB2312" w:eastAsia="仿宋_GB2312"/>
                <w:color w:val="auto"/>
                <w:szCs w:val="21"/>
              </w:rPr>
              <w:t>1</w:t>
            </w:r>
            <w:r>
              <w:rPr>
                <w:rFonts w:hint="eastAsia" w:ascii="仿宋_GB2312" w:eastAsia="仿宋_GB2312"/>
                <w:color w:val="auto"/>
                <w:szCs w:val="21"/>
                <w:lang w:val="en-US" w:eastAsia="zh-CN"/>
              </w:rPr>
              <w:t>至2</w:t>
            </w:r>
            <w:r>
              <w:rPr>
                <w:rFonts w:hint="eastAsia" w:ascii="仿宋_GB2312" w:eastAsia="仿宋_GB2312"/>
                <w:color w:val="auto"/>
                <w:szCs w:val="21"/>
              </w:rPr>
              <w:t>平方米</w:t>
            </w:r>
            <w:r>
              <w:rPr>
                <w:rFonts w:hint="eastAsia" w:ascii="仿宋_GB2312" w:eastAsia="仿宋_GB2312"/>
                <w:color w:val="auto"/>
                <w:szCs w:val="21"/>
                <w:lang w:eastAsia="zh-CN"/>
              </w:rPr>
              <w:t>每处</w:t>
            </w:r>
            <w:r>
              <w:rPr>
                <w:rFonts w:hint="eastAsia" w:ascii="仿宋_GB2312" w:eastAsia="仿宋_GB2312"/>
                <w:color w:val="auto"/>
                <w:szCs w:val="21"/>
              </w:rPr>
              <w:t>扣</w:t>
            </w:r>
            <w:r>
              <w:rPr>
                <w:rFonts w:hint="eastAsia" w:ascii="仿宋_GB2312" w:eastAsia="仿宋_GB2312"/>
                <w:color w:val="auto"/>
                <w:szCs w:val="21"/>
                <w:lang w:val="en-US" w:eastAsia="zh-CN"/>
              </w:rPr>
              <w:t>1</w:t>
            </w:r>
            <w:r>
              <w:rPr>
                <w:rFonts w:hint="eastAsia" w:ascii="仿宋_GB2312" w:eastAsia="仿宋_GB2312"/>
                <w:color w:val="auto"/>
                <w:szCs w:val="21"/>
              </w:rPr>
              <w:t>分</w:t>
            </w:r>
            <w:r>
              <w:rPr>
                <w:rFonts w:hint="eastAsia" w:ascii="仿宋_GB2312" w:eastAsia="仿宋_GB2312"/>
                <w:color w:val="auto"/>
                <w:szCs w:val="21"/>
                <w:lang w:val="en-US" w:eastAsia="zh-CN"/>
              </w:rPr>
              <w:t>，2</w:t>
            </w:r>
            <w:r>
              <w:rPr>
                <w:rFonts w:hint="eastAsia" w:ascii="仿宋_GB2312" w:eastAsia="仿宋_GB2312"/>
                <w:color w:val="auto"/>
                <w:szCs w:val="21"/>
              </w:rPr>
              <w:t>平方米以</w:t>
            </w:r>
            <w:r>
              <w:rPr>
                <w:rFonts w:hint="eastAsia" w:ascii="仿宋_GB2312" w:eastAsia="仿宋_GB2312"/>
                <w:color w:val="auto"/>
                <w:szCs w:val="21"/>
                <w:lang w:eastAsia="zh-CN"/>
              </w:rPr>
              <w:t>上每处</w:t>
            </w:r>
            <w:r>
              <w:rPr>
                <w:rFonts w:hint="eastAsia" w:ascii="仿宋_GB2312" w:eastAsia="仿宋_GB2312"/>
                <w:color w:val="auto"/>
                <w:szCs w:val="21"/>
              </w:rPr>
              <w:t>扣</w:t>
            </w:r>
            <w:r>
              <w:rPr>
                <w:rFonts w:hint="eastAsia" w:ascii="仿宋_GB2312" w:eastAsia="仿宋_GB2312"/>
                <w:color w:val="auto"/>
                <w:szCs w:val="21"/>
                <w:lang w:val="en-US" w:eastAsia="zh-CN"/>
              </w:rPr>
              <w:t>3</w:t>
            </w:r>
            <w:r>
              <w:rPr>
                <w:rFonts w:hint="eastAsia" w:ascii="仿宋_GB2312" w:eastAsia="仿宋_GB2312"/>
                <w:color w:val="auto"/>
                <w:szCs w:val="21"/>
              </w:rPr>
              <w:t>分</w:t>
            </w:r>
            <w:r>
              <w:rPr>
                <w:rFonts w:hint="eastAsia" w:ascii="仿宋_GB2312" w:eastAsia="仿宋_GB2312"/>
                <w:color w:val="auto"/>
                <w:szCs w:val="21"/>
                <w:lang w:eastAsia="zh-CN"/>
              </w:rPr>
              <w:t>；</w:t>
            </w:r>
          </w:p>
          <w:p>
            <w:pPr>
              <w:spacing w:line="320" w:lineRule="exact"/>
              <w:ind w:left="0" w:leftChars="0" w:firstLine="420" w:firstLineChars="200"/>
              <w:rPr>
                <w:rFonts w:hint="eastAsia" w:ascii="仿宋_GB2312" w:eastAsia="仿宋_GB2312"/>
                <w:color w:val="auto"/>
                <w:szCs w:val="21"/>
              </w:rPr>
            </w:pPr>
            <w:r>
              <w:rPr>
                <w:rFonts w:hint="eastAsia" w:ascii="仿宋_GB2312" w:eastAsia="仿宋_GB2312"/>
                <w:color w:val="auto"/>
                <w:szCs w:val="21"/>
              </w:rPr>
              <w:t>平侧石破损缺失每处扣</w:t>
            </w:r>
            <w:r>
              <w:rPr>
                <w:rFonts w:hint="eastAsia" w:ascii="仿宋_GB2312" w:eastAsia="仿宋_GB2312"/>
                <w:color w:val="auto"/>
                <w:szCs w:val="21"/>
                <w:lang w:val="en-US" w:eastAsia="zh-CN"/>
              </w:rPr>
              <w:t>1</w:t>
            </w:r>
            <w:r>
              <w:rPr>
                <w:rFonts w:hint="eastAsia" w:ascii="仿宋_GB2312" w:eastAsia="仿宋_GB2312"/>
                <w:color w:val="auto"/>
                <w:szCs w:val="21"/>
              </w:rPr>
              <w:t>分</w:t>
            </w:r>
            <w:r>
              <w:rPr>
                <w:rFonts w:hint="eastAsia" w:ascii="仿宋_GB2312" w:eastAsia="仿宋_GB2312"/>
                <w:color w:val="auto"/>
                <w:szCs w:val="21"/>
                <w:lang w:eastAsia="zh-CN"/>
              </w:rPr>
              <w:t>，接坡每处扣</w:t>
            </w:r>
            <w:r>
              <w:rPr>
                <w:rFonts w:hint="eastAsia" w:ascii="仿宋_GB2312" w:eastAsia="仿宋_GB2312"/>
                <w:color w:val="auto"/>
                <w:szCs w:val="21"/>
                <w:lang w:val="en-US" w:eastAsia="zh-CN"/>
              </w:rPr>
              <w:t>1分</w:t>
            </w:r>
            <w:r>
              <w:rPr>
                <w:rFonts w:hint="eastAsia" w:ascii="仿宋_GB2312" w:eastAsia="仿宋_GB2312"/>
                <w:color w:val="auto"/>
                <w:szCs w:val="21"/>
              </w:rPr>
              <w:t>；无障碍设施不规范每处扣</w:t>
            </w:r>
            <w:r>
              <w:rPr>
                <w:rFonts w:hint="eastAsia" w:ascii="仿宋_GB2312" w:eastAsia="仿宋_GB2312"/>
                <w:color w:val="auto"/>
                <w:szCs w:val="21"/>
                <w:lang w:val="en-US" w:eastAsia="zh-CN"/>
              </w:rPr>
              <w:t>1</w:t>
            </w:r>
            <w:r>
              <w:rPr>
                <w:rFonts w:hint="eastAsia" w:ascii="仿宋_GB2312" w:eastAsia="仿宋_GB2312"/>
                <w:color w:val="auto"/>
                <w:szCs w:val="21"/>
              </w:rPr>
              <w:t>分。</w:t>
            </w:r>
          </w:p>
          <w:p>
            <w:pPr>
              <w:spacing w:line="320" w:lineRule="exact"/>
              <w:ind w:left="0" w:leftChars="0" w:firstLine="420" w:firstLineChars="200"/>
              <w:rPr>
                <w:rFonts w:hint="eastAsia" w:ascii="仿宋_GB2312" w:eastAsia="仿宋_GB2312"/>
                <w:color w:val="auto"/>
                <w:szCs w:val="21"/>
              </w:rPr>
            </w:pPr>
            <w:r>
              <w:rPr>
                <w:rFonts w:hint="eastAsia" w:ascii="仿宋_GB2312" w:eastAsia="仿宋_GB2312"/>
                <w:color w:val="auto"/>
                <w:szCs w:val="21"/>
              </w:rPr>
              <w:t>井盖破损</w:t>
            </w:r>
            <w:r>
              <w:rPr>
                <w:rFonts w:hint="eastAsia" w:ascii="仿宋_GB2312" w:eastAsia="仿宋_GB2312"/>
                <w:color w:val="auto"/>
                <w:szCs w:val="21"/>
                <w:lang w:eastAsia="zh-CN"/>
              </w:rPr>
              <w:t>或沉降，</w:t>
            </w:r>
            <w:r>
              <w:rPr>
                <w:rFonts w:hint="eastAsia" w:ascii="仿宋_GB2312" w:eastAsia="仿宋_GB2312"/>
                <w:color w:val="auto"/>
                <w:szCs w:val="21"/>
                <w:lang w:val="en-US" w:eastAsia="zh-CN"/>
              </w:rPr>
              <w:t>每</w:t>
            </w:r>
            <w:r>
              <w:rPr>
                <w:rFonts w:hint="eastAsia" w:ascii="仿宋_GB2312" w:eastAsia="仿宋_GB2312"/>
                <w:color w:val="auto"/>
                <w:szCs w:val="21"/>
              </w:rPr>
              <w:t>处扣</w:t>
            </w:r>
            <w:r>
              <w:rPr>
                <w:rFonts w:hint="eastAsia" w:ascii="仿宋_GB2312" w:eastAsia="仿宋_GB2312"/>
                <w:color w:val="auto"/>
                <w:szCs w:val="21"/>
                <w:lang w:val="en-US" w:eastAsia="zh-CN"/>
              </w:rPr>
              <w:t>2</w:t>
            </w:r>
            <w:r>
              <w:rPr>
                <w:rFonts w:hint="eastAsia" w:ascii="仿宋_GB2312" w:eastAsia="仿宋_GB2312"/>
                <w:color w:val="auto"/>
                <w:szCs w:val="21"/>
              </w:rPr>
              <w:t>分</w:t>
            </w:r>
            <w:r>
              <w:rPr>
                <w:rFonts w:hint="eastAsia" w:ascii="仿宋_GB2312" w:eastAsia="仿宋_GB2312"/>
                <w:color w:val="auto"/>
                <w:szCs w:val="21"/>
                <w:lang w:eastAsia="zh-CN"/>
              </w:rPr>
              <w:t>。</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rPr>
            </w:pPr>
          </w:p>
        </w:tc>
        <w:tc>
          <w:tcPr>
            <w:tcW w:w="920" w:type="dxa"/>
            <w:vMerge w:val="restart"/>
            <w:noWrap w:val="0"/>
            <w:vAlign w:val="center"/>
          </w:tcPr>
          <w:p>
            <w:pPr>
              <w:spacing w:line="320" w:lineRule="exact"/>
              <w:jc w:val="center"/>
              <w:rPr>
                <w:rFonts w:hint="eastAsia" w:ascii="仿宋_GB2312" w:eastAsia="仿宋_GB2312"/>
                <w:color w:val="auto"/>
                <w:szCs w:val="21"/>
              </w:rPr>
            </w:pPr>
            <w:r>
              <w:rPr>
                <w:rFonts w:hint="eastAsia" w:ascii="仿宋_GB2312" w:eastAsia="仿宋_GB2312"/>
                <w:color w:val="auto"/>
                <w:szCs w:val="21"/>
              </w:rPr>
              <w:t>桥梁</w:t>
            </w:r>
            <w:r>
              <w:rPr>
                <w:rFonts w:hint="eastAsia" w:ascii="仿宋_GB2312" w:eastAsia="仿宋_GB2312"/>
                <w:color w:val="auto"/>
                <w:szCs w:val="21"/>
                <w:lang w:eastAsia="zh-CN"/>
              </w:rPr>
              <w:t>隧道</w:t>
            </w:r>
            <w:r>
              <w:rPr>
                <w:rFonts w:hint="eastAsia" w:ascii="仿宋_GB2312" w:eastAsia="仿宋_GB2312"/>
                <w:color w:val="auto"/>
                <w:szCs w:val="21"/>
              </w:rPr>
              <w:t>养护</w:t>
            </w:r>
          </w:p>
          <w:p>
            <w:pPr>
              <w:spacing w:line="320" w:lineRule="exact"/>
              <w:jc w:val="center"/>
              <w:rPr>
                <w:rFonts w:hint="eastAsia" w:ascii="仿宋_GB2312" w:eastAsia="仿宋_GB2312"/>
                <w:color w:val="auto"/>
                <w:szCs w:val="21"/>
              </w:rPr>
            </w:pPr>
            <w:r>
              <w:rPr>
                <w:rFonts w:hint="eastAsia" w:ascii="仿宋_GB2312" w:eastAsia="仿宋_GB2312"/>
                <w:color w:val="auto"/>
                <w:szCs w:val="21"/>
                <w:lang w:val="en-US" w:eastAsia="zh-CN"/>
              </w:rPr>
              <w:t>10分</w:t>
            </w:r>
          </w:p>
        </w:tc>
        <w:tc>
          <w:tcPr>
            <w:tcW w:w="6200" w:type="dxa"/>
            <w:noWrap w:val="0"/>
            <w:vAlign w:val="center"/>
          </w:tcPr>
          <w:p>
            <w:pPr>
              <w:spacing w:line="320" w:lineRule="exact"/>
              <w:ind w:left="0" w:leftChars="0" w:firstLine="388" w:firstLineChars="200"/>
              <w:rPr>
                <w:rFonts w:hint="eastAsia" w:ascii="仿宋_GB2312" w:eastAsia="仿宋_GB2312"/>
                <w:color w:val="auto"/>
                <w:szCs w:val="21"/>
              </w:rPr>
            </w:pPr>
            <w:r>
              <w:rPr>
                <w:rFonts w:hint="eastAsia" w:ascii="仿宋_GB2312" w:eastAsia="仿宋_GB2312"/>
                <w:color w:val="auto"/>
                <w:spacing w:val="-8"/>
                <w:szCs w:val="21"/>
              </w:rPr>
              <w:t>桥面裂缝、坑槽、破损</w:t>
            </w:r>
            <w:r>
              <w:rPr>
                <w:rFonts w:hint="eastAsia" w:ascii="仿宋_GB2312" w:eastAsia="仿宋_GB2312"/>
                <w:color w:val="auto"/>
                <w:spacing w:val="-8"/>
                <w:szCs w:val="21"/>
                <w:lang w:eastAsia="zh-CN"/>
              </w:rPr>
              <w:t>、</w:t>
            </w:r>
            <w:r>
              <w:rPr>
                <w:rFonts w:hint="eastAsia" w:ascii="仿宋_GB2312" w:eastAsia="仿宋_GB2312"/>
                <w:color w:val="auto"/>
                <w:spacing w:val="-8"/>
                <w:szCs w:val="21"/>
              </w:rPr>
              <w:t>伸缩缝破损、支座破损锈蚀</w:t>
            </w:r>
            <w:r>
              <w:rPr>
                <w:rFonts w:hint="eastAsia" w:ascii="仿宋_GB2312" w:eastAsia="仿宋_GB2312"/>
                <w:color w:val="auto"/>
                <w:spacing w:val="-8"/>
                <w:szCs w:val="21"/>
                <w:lang w:eastAsia="zh-CN"/>
              </w:rPr>
              <w:t>、</w:t>
            </w:r>
            <w:r>
              <w:rPr>
                <w:rFonts w:hint="eastAsia" w:ascii="仿宋_GB2312" w:eastAsia="仿宋_GB2312"/>
                <w:color w:val="auto"/>
                <w:spacing w:val="-8"/>
                <w:szCs w:val="21"/>
              </w:rPr>
              <w:t>等每处扣</w:t>
            </w:r>
            <w:r>
              <w:rPr>
                <w:rFonts w:hint="eastAsia" w:ascii="仿宋_GB2312" w:eastAsia="仿宋_GB2312"/>
                <w:color w:val="auto"/>
                <w:szCs w:val="21"/>
              </w:rPr>
              <w:t>3分</w:t>
            </w:r>
            <w:r>
              <w:rPr>
                <w:rFonts w:hint="eastAsia" w:ascii="仿宋_GB2312" w:eastAsia="仿宋_GB2312"/>
                <w:color w:val="auto"/>
                <w:szCs w:val="21"/>
                <w:lang w:eastAsia="zh-CN"/>
              </w:rPr>
              <w:t>；存在桥头跳车的每处扣</w:t>
            </w:r>
            <w:r>
              <w:rPr>
                <w:rFonts w:hint="eastAsia" w:ascii="仿宋_GB2312" w:eastAsia="仿宋_GB2312"/>
                <w:color w:val="auto"/>
                <w:szCs w:val="21"/>
                <w:lang w:val="en-US" w:eastAsia="zh-CN"/>
              </w:rPr>
              <w:t>5分；</w:t>
            </w:r>
            <w:r>
              <w:rPr>
                <w:rFonts w:hint="eastAsia" w:ascii="仿宋_GB2312" w:eastAsia="仿宋_GB2312"/>
                <w:color w:val="auto"/>
                <w:spacing w:val="-8"/>
                <w:szCs w:val="21"/>
              </w:rPr>
              <w:t>墩台墙柱开裂每处扣</w:t>
            </w:r>
            <w:r>
              <w:rPr>
                <w:rFonts w:hint="eastAsia" w:ascii="仿宋_GB2312" w:eastAsia="仿宋_GB2312"/>
                <w:color w:val="auto"/>
                <w:szCs w:val="21"/>
                <w:lang w:val="en-US" w:eastAsia="zh-CN"/>
              </w:rPr>
              <w:t>5</w:t>
            </w:r>
            <w:r>
              <w:rPr>
                <w:rFonts w:hint="eastAsia" w:ascii="仿宋_GB2312" w:eastAsia="仿宋_GB2312"/>
                <w:color w:val="auto"/>
                <w:szCs w:val="21"/>
              </w:rPr>
              <w:t>分</w:t>
            </w:r>
            <w:r>
              <w:rPr>
                <w:rFonts w:hint="eastAsia" w:ascii="仿宋_GB2312" w:eastAsia="仿宋_GB2312"/>
                <w:color w:val="auto"/>
                <w:spacing w:val="-8"/>
                <w:szCs w:val="21"/>
              </w:rPr>
              <w:t>，基础下沉扣</w:t>
            </w:r>
            <w:r>
              <w:rPr>
                <w:rFonts w:hint="eastAsia" w:ascii="仿宋_GB2312" w:eastAsia="仿宋_GB2312"/>
                <w:color w:val="auto"/>
                <w:szCs w:val="21"/>
                <w:lang w:val="en-US" w:eastAsia="zh-CN"/>
              </w:rPr>
              <w:t>5</w:t>
            </w:r>
            <w:r>
              <w:rPr>
                <w:rFonts w:hint="eastAsia" w:ascii="仿宋_GB2312" w:eastAsia="仿宋_GB2312"/>
                <w:color w:val="auto"/>
                <w:szCs w:val="21"/>
              </w:rPr>
              <w:t>分</w:t>
            </w:r>
            <w:r>
              <w:rPr>
                <w:rFonts w:hint="eastAsia" w:ascii="仿宋_GB2312" w:eastAsia="仿宋_GB2312"/>
                <w:color w:val="auto"/>
                <w:spacing w:val="-8"/>
                <w:szCs w:val="21"/>
              </w:rPr>
              <w:t>， 基础位移扣</w:t>
            </w:r>
            <w:r>
              <w:rPr>
                <w:rFonts w:hint="eastAsia" w:ascii="仿宋_GB2312" w:eastAsia="仿宋_GB2312"/>
                <w:color w:val="auto"/>
                <w:szCs w:val="21"/>
                <w:lang w:val="en-US" w:eastAsia="zh-CN"/>
              </w:rPr>
              <w:t>10</w:t>
            </w:r>
            <w:r>
              <w:rPr>
                <w:rFonts w:hint="eastAsia" w:ascii="仿宋_GB2312" w:eastAsia="仿宋_GB2312"/>
                <w:color w:val="auto"/>
                <w:szCs w:val="21"/>
              </w:rPr>
              <w:t>分。</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rPr>
            </w:pPr>
          </w:p>
        </w:tc>
        <w:tc>
          <w:tcPr>
            <w:tcW w:w="920" w:type="dxa"/>
            <w:vMerge w:val="continue"/>
            <w:noWrap w:val="0"/>
            <w:vAlign w:val="center"/>
          </w:tcPr>
          <w:p>
            <w:pPr>
              <w:spacing w:line="320" w:lineRule="exact"/>
              <w:jc w:val="center"/>
              <w:rPr>
                <w:rFonts w:hint="eastAsia" w:ascii="仿宋_GB2312" w:eastAsia="仿宋_GB2312"/>
                <w:color w:val="auto"/>
                <w:szCs w:val="21"/>
              </w:rPr>
            </w:pPr>
          </w:p>
        </w:tc>
        <w:tc>
          <w:tcPr>
            <w:tcW w:w="6200" w:type="dxa"/>
            <w:noWrap w:val="0"/>
            <w:vAlign w:val="center"/>
          </w:tcPr>
          <w:p>
            <w:pPr>
              <w:spacing w:line="320" w:lineRule="exact"/>
              <w:ind w:left="0" w:leftChars="0" w:firstLine="388" w:firstLineChars="200"/>
              <w:rPr>
                <w:rFonts w:hint="eastAsia" w:ascii="仿宋_GB2312" w:eastAsia="仿宋_GB2312"/>
                <w:color w:val="auto"/>
                <w:spacing w:val="-8"/>
                <w:szCs w:val="21"/>
              </w:rPr>
            </w:pPr>
            <w:r>
              <w:rPr>
                <w:rFonts w:hint="eastAsia" w:ascii="仿宋_GB2312" w:eastAsia="仿宋_GB2312"/>
                <w:color w:val="auto"/>
                <w:spacing w:val="-8"/>
                <w:szCs w:val="21"/>
              </w:rPr>
              <w:t>栏杆破损、</w:t>
            </w:r>
            <w:r>
              <w:rPr>
                <w:rFonts w:hint="eastAsia" w:ascii="仿宋_GB2312" w:eastAsia="仿宋_GB2312"/>
                <w:color w:val="auto"/>
                <w:spacing w:val="-8"/>
                <w:szCs w:val="21"/>
                <w:lang w:eastAsia="zh-CN"/>
              </w:rPr>
              <w:t>松动，</w:t>
            </w:r>
            <w:r>
              <w:rPr>
                <w:rFonts w:hint="eastAsia" w:ascii="仿宋_GB2312" w:eastAsia="仿宋_GB2312"/>
                <w:color w:val="auto"/>
                <w:spacing w:val="-8"/>
                <w:szCs w:val="21"/>
              </w:rPr>
              <w:t>排水设施堵塞、破损</w:t>
            </w:r>
            <w:r>
              <w:rPr>
                <w:rFonts w:hint="eastAsia" w:ascii="仿宋_GB2312" w:eastAsia="仿宋_GB2312"/>
                <w:color w:val="auto"/>
                <w:spacing w:val="-8"/>
                <w:szCs w:val="21"/>
                <w:lang w:eastAsia="zh-CN"/>
              </w:rPr>
              <w:t>，挡</w:t>
            </w:r>
            <w:r>
              <w:rPr>
                <w:rFonts w:hint="eastAsia" w:ascii="仿宋_GB2312" w:eastAsia="仿宋_GB2312"/>
                <w:color w:val="auto"/>
                <w:spacing w:val="-8"/>
                <w:szCs w:val="21"/>
              </w:rPr>
              <w:t>墙损坏开裂</w:t>
            </w:r>
            <w:r>
              <w:rPr>
                <w:rFonts w:hint="eastAsia" w:ascii="仿宋_GB2312" w:eastAsia="仿宋_GB2312"/>
                <w:color w:val="auto"/>
                <w:spacing w:val="-8"/>
                <w:szCs w:val="21"/>
                <w:lang w:eastAsia="zh-CN"/>
              </w:rPr>
              <w:t>，隔音屏破损等，</w:t>
            </w:r>
            <w:r>
              <w:rPr>
                <w:rFonts w:hint="eastAsia" w:ascii="仿宋_GB2312" w:eastAsia="仿宋_GB2312"/>
                <w:color w:val="auto"/>
                <w:spacing w:val="-8"/>
                <w:szCs w:val="21"/>
              </w:rPr>
              <w:t>每处扣</w:t>
            </w:r>
            <w:r>
              <w:rPr>
                <w:rFonts w:hint="eastAsia" w:ascii="仿宋_GB2312" w:eastAsia="仿宋_GB2312"/>
                <w:color w:val="auto"/>
                <w:szCs w:val="21"/>
              </w:rPr>
              <w:t>2分</w:t>
            </w:r>
            <w:r>
              <w:rPr>
                <w:rFonts w:hint="eastAsia" w:ascii="仿宋_GB2312" w:eastAsia="仿宋_GB2312"/>
                <w:color w:val="auto"/>
                <w:spacing w:val="-8"/>
                <w:szCs w:val="21"/>
                <w:lang w:eastAsia="zh-CN"/>
              </w:rPr>
              <w:t>。</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rPr>
            </w:pPr>
          </w:p>
        </w:tc>
        <w:tc>
          <w:tcPr>
            <w:tcW w:w="920" w:type="dxa"/>
            <w:vMerge w:val="continue"/>
            <w:noWrap w:val="0"/>
            <w:vAlign w:val="center"/>
          </w:tcPr>
          <w:p>
            <w:pPr>
              <w:spacing w:line="320" w:lineRule="exact"/>
              <w:jc w:val="center"/>
              <w:rPr>
                <w:rFonts w:hint="eastAsia" w:ascii="仿宋_GB2312" w:eastAsia="仿宋_GB2312"/>
                <w:color w:val="auto"/>
                <w:szCs w:val="21"/>
              </w:rPr>
            </w:pPr>
          </w:p>
        </w:tc>
        <w:tc>
          <w:tcPr>
            <w:tcW w:w="6200" w:type="dxa"/>
            <w:noWrap w:val="0"/>
            <w:vAlign w:val="center"/>
          </w:tcPr>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隧道结构变形、开裂、渗漏水、剥落等</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隧道照明、供配电、排水、监控、设施故障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r>
              <w:rPr>
                <w:rFonts w:hint="eastAsia" w:ascii="仿宋_GB2312" w:eastAsia="仿宋_GB2312"/>
                <w:color w:val="auto"/>
                <w:spacing w:val="-8"/>
                <w:szCs w:val="21"/>
                <w:highlight w:val="none"/>
              </w:rPr>
              <w:t>消防</w:t>
            </w:r>
            <w:r>
              <w:rPr>
                <w:rFonts w:hint="eastAsia" w:ascii="仿宋_GB2312" w:eastAsia="仿宋_GB2312"/>
                <w:color w:val="auto"/>
                <w:spacing w:val="-8"/>
                <w:szCs w:val="21"/>
                <w:highlight w:val="none"/>
                <w:lang w:eastAsia="zh-CN"/>
              </w:rPr>
              <w:t>设施故障每处扣</w:t>
            </w:r>
            <w:r>
              <w:rPr>
                <w:rFonts w:hint="eastAsia" w:ascii="仿宋_GB2312" w:eastAsia="仿宋_GB2312"/>
                <w:color w:val="auto"/>
                <w:spacing w:val="-8"/>
                <w:szCs w:val="21"/>
                <w:highlight w:val="none"/>
                <w:lang w:val="en-US" w:eastAsia="zh-CN"/>
              </w:rPr>
              <w:t>10分；</w:t>
            </w:r>
          </w:p>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管理用房</w:t>
            </w:r>
            <w:r>
              <w:rPr>
                <w:rFonts w:hint="eastAsia" w:ascii="仿宋_GB2312" w:eastAsia="仿宋_GB2312"/>
                <w:color w:val="auto"/>
                <w:spacing w:val="-8"/>
                <w:szCs w:val="21"/>
                <w:highlight w:val="none"/>
              </w:rPr>
              <w:t>内不整齐，灯具积灰</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；防雷设施未设置、或未检测扣</w:t>
            </w:r>
            <w:r>
              <w:rPr>
                <w:rFonts w:hint="eastAsia" w:ascii="仿宋_GB2312" w:eastAsia="仿宋_GB2312"/>
                <w:color w:val="auto"/>
                <w:szCs w:val="21"/>
                <w:highlight w:val="none"/>
                <w:lang w:val="en-US" w:eastAsia="zh-CN"/>
              </w:rPr>
              <w:t>2分。</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rPr>
            </w:pPr>
          </w:p>
        </w:tc>
        <w:tc>
          <w:tcPr>
            <w:tcW w:w="920" w:type="dxa"/>
            <w:vMerge w:val="continue"/>
            <w:noWrap w:val="0"/>
            <w:vAlign w:val="center"/>
          </w:tcPr>
          <w:p>
            <w:pPr>
              <w:spacing w:line="320" w:lineRule="exact"/>
              <w:jc w:val="center"/>
              <w:rPr>
                <w:rFonts w:hint="eastAsia" w:ascii="仿宋_GB2312" w:eastAsia="仿宋_GB2312"/>
                <w:color w:val="auto"/>
                <w:szCs w:val="21"/>
              </w:rPr>
            </w:pPr>
          </w:p>
        </w:tc>
        <w:tc>
          <w:tcPr>
            <w:tcW w:w="6200" w:type="dxa"/>
            <w:noWrap w:val="0"/>
            <w:vAlign w:val="center"/>
          </w:tcPr>
          <w:p>
            <w:pPr>
              <w:spacing w:line="320" w:lineRule="exact"/>
              <w:ind w:left="0" w:leftChars="0" w:firstLine="388" w:firstLineChars="200"/>
              <w:rPr>
                <w:rFonts w:hint="eastAsia" w:ascii="仿宋_GB2312" w:eastAsia="仿宋_GB2312"/>
                <w:color w:val="auto"/>
                <w:spacing w:val="-8"/>
                <w:szCs w:val="21"/>
                <w:lang w:eastAsia="zh-CN"/>
              </w:rPr>
            </w:pPr>
            <w:r>
              <w:rPr>
                <w:rFonts w:hint="eastAsia" w:ascii="仿宋_GB2312" w:eastAsia="仿宋_GB2312"/>
                <w:color w:val="auto"/>
                <w:spacing w:val="-8"/>
                <w:szCs w:val="21"/>
                <w:lang w:eastAsia="zh-CN"/>
              </w:rPr>
              <w:t>桥隧名牌、</w:t>
            </w:r>
            <w:r>
              <w:rPr>
                <w:rFonts w:hint="eastAsia" w:ascii="仿宋_GB2312" w:eastAsia="仿宋_GB2312"/>
                <w:color w:val="auto"/>
                <w:spacing w:val="-8"/>
                <w:szCs w:val="21"/>
              </w:rPr>
              <w:t>限载牌、限高牌缺失</w:t>
            </w:r>
            <w:r>
              <w:rPr>
                <w:rFonts w:hint="eastAsia" w:ascii="仿宋_GB2312" w:eastAsia="仿宋_GB2312"/>
                <w:color w:val="auto"/>
                <w:spacing w:val="-8"/>
                <w:szCs w:val="21"/>
                <w:lang w:eastAsia="zh-CN"/>
              </w:rPr>
              <w:t>、</w:t>
            </w:r>
            <w:r>
              <w:rPr>
                <w:rFonts w:hint="eastAsia" w:ascii="仿宋_GB2312" w:eastAsia="仿宋_GB2312"/>
                <w:color w:val="auto"/>
                <w:spacing w:val="-8"/>
                <w:szCs w:val="21"/>
              </w:rPr>
              <w:t>破损每处扣</w:t>
            </w:r>
            <w:r>
              <w:rPr>
                <w:rFonts w:hint="eastAsia" w:ascii="仿宋_GB2312" w:eastAsia="仿宋_GB2312"/>
                <w:color w:val="auto"/>
                <w:szCs w:val="21"/>
                <w:lang w:val="en-US" w:eastAsia="zh-CN"/>
              </w:rPr>
              <w:t>1</w:t>
            </w:r>
            <w:r>
              <w:rPr>
                <w:rFonts w:hint="eastAsia" w:ascii="仿宋_GB2312" w:eastAsia="仿宋_GB2312"/>
                <w:color w:val="auto"/>
                <w:szCs w:val="21"/>
              </w:rPr>
              <w:t>分</w:t>
            </w:r>
            <w:r>
              <w:rPr>
                <w:rFonts w:hint="eastAsia" w:ascii="仿宋_GB2312" w:eastAsia="仿宋_GB2312"/>
                <w:color w:val="auto"/>
                <w:szCs w:val="21"/>
                <w:lang w:eastAsia="zh-CN"/>
              </w:rPr>
              <w:t>。</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rPr>
            </w:pPr>
          </w:p>
        </w:tc>
        <w:tc>
          <w:tcPr>
            <w:tcW w:w="920" w:type="dxa"/>
            <w:noWrap w:val="0"/>
            <w:vAlign w:val="center"/>
          </w:tcPr>
          <w:p>
            <w:pPr>
              <w:spacing w:line="320" w:lineRule="exact"/>
              <w:jc w:val="center"/>
              <w:rPr>
                <w:rFonts w:hint="eastAsia" w:ascii="仿宋_GB2312" w:eastAsia="仿宋_GB2312"/>
                <w:color w:val="auto"/>
                <w:szCs w:val="21"/>
                <w:lang w:eastAsia="zh-CN"/>
              </w:rPr>
            </w:pPr>
            <w:r>
              <w:rPr>
                <w:rFonts w:hint="eastAsia" w:ascii="仿宋_GB2312" w:eastAsia="仿宋_GB2312"/>
                <w:color w:val="auto"/>
                <w:szCs w:val="21"/>
              </w:rPr>
              <w:t>排水设施</w:t>
            </w:r>
            <w:r>
              <w:rPr>
                <w:rFonts w:hint="eastAsia" w:ascii="仿宋_GB2312" w:eastAsia="仿宋_GB2312"/>
                <w:color w:val="auto"/>
                <w:szCs w:val="21"/>
                <w:lang w:eastAsia="zh-CN"/>
              </w:rPr>
              <w:t>养护</w:t>
            </w:r>
          </w:p>
          <w:p>
            <w:pPr>
              <w:spacing w:line="32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10分</w:t>
            </w:r>
          </w:p>
        </w:tc>
        <w:tc>
          <w:tcPr>
            <w:tcW w:w="6200" w:type="dxa"/>
            <w:noWrap w:val="0"/>
            <w:vAlign w:val="center"/>
          </w:tcPr>
          <w:p>
            <w:pPr>
              <w:spacing w:line="320" w:lineRule="exact"/>
              <w:ind w:left="0" w:leftChars="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管网堵塞每处扣2分；严重积泥每处扣2分</w:t>
            </w:r>
            <w:r>
              <w:rPr>
                <w:rFonts w:hint="eastAsia" w:ascii="仿宋_GB2312" w:eastAsia="仿宋_GB2312"/>
                <w:color w:val="auto"/>
                <w:szCs w:val="21"/>
                <w:highlight w:val="none"/>
              </w:rPr>
              <w:t>；</w:t>
            </w:r>
            <w:r>
              <w:rPr>
                <w:rFonts w:hint="eastAsia" w:ascii="仿宋_GB2312" w:eastAsia="仿宋_GB2312"/>
                <w:color w:val="auto"/>
                <w:szCs w:val="21"/>
                <w:highlight w:val="none"/>
                <w:lang w:eastAsia="zh-CN"/>
              </w:rPr>
              <w:t>未及时清淤造成积水的，积水</w:t>
            </w:r>
            <w:r>
              <w:rPr>
                <w:rFonts w:hint="eastAsia" w:ascii="仿宋_GB2312" w:eastAsia="仿宋_GB2312"/>
                <w:color w:val="auto"/>
                <w:szCs w:val="21"/>
                <w:highlight w:val="none"/>
                <w:lang w:val="en-US" w:eastAsia="zh-CN"/>
              </w:rPr>
              <w:t>面积小于10㎡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,10㎡至50㎡每处扣5分,面积大于50㎡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10分</w:t>
            </w:r>
            <w:r>
              <w:rPr>
                <w:rFonts w:hint="eastAsia" w:ascii="仿宋_GB2312" w:eastAsia="仿宋_GB2312"/>
                <w:color w:val="auto"/>
                <w:szCs w:val="21"/>
                <w:highlight w:val="none"/>
                <w:lang w:eastAsia="zh-CN"/>
              </w:rPr>
              <w:t>；</w:t>
            </w:r>
          </w:p>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未设置</w:t>
            </w:r>
            <w:r>
              <w:rPr>
                <w:rFonts w:hint="eastAsia" w:ascii="仿宋_GB2312" w:eastAsia="仿宋_GB2312"/>
                <w:color w:val="auto"/>
                <w:spacing w:val="-8"/>
                <w:szCs w:val="21"/>
                <w:highlight w:val="none"/>
              </w:rPr>
              <w:t>防坠网的每处扣3分，</w:t>
            </w:r>
            <w:r>
              <w:rPr>
                <w:rFonts w:hint="eastAsia" w:ascii="仿宋_GB2312" w:eastAsia="仿宋_GB2312"/>
                <w:color w:val="auto"/>
                <w:spacing w:val="-8"/>
                <w:szCs w:val="21"/>
                <w:highlight w:val="none"/>
                <w:lang w:eastAsia="zh-CN"/>
              </w:rPr>
              <w:t>井盖</w:t>
            </w:r>
            <w:r>
              <w:rPr>
                <w:rFonts w:hint="eastAsia" w:ascii="仿宋_GB2312" w:eastAsia="仿宋_GB2312"/>
                <w:color w:val="auto"/>
                <w:szCs w:val="21"/>
                <w:highlight w:val="none"/>
              </w:rPr>
              <w:t>缺失等</w:t>
            </w:r>
            <w:r>
              <w:rPr>
                <w:rFonts w:hint="eastAsia" w:ascii="仿宋_GB2312" w:eastAsia="仿宋_GB2312"/>
                <w:color w:val="auto"/>
                <w:spacing w:val="-8"/>
                <w:szCs w:val="21"/>
                <w:highlight w:val="none"/>
              </w:rPr>
              <w:t>存在</w:t>
            </w:r>
            <w:r>
              <w:rPr>
                <w:rFonts w:hint="eastAsia" w:ascii="仿宋_GB2312" w:eastAsia="仿宋_GB2312"/>
                <w:color w:val="auto"/>
                <w:spacing w:val="-8"/>
                <w:szCs w:val="21"/>
                <w:highlight w:val="none"/>
                <w:lang w:eastAsia="zh-CN"/>
              </w:rPr>
              <w:t>严重</w:t>
            </w:r>
            <w:r>
              <w:rPr>
                <w:rFonts w:hint="eastAsia" w:ascii="仿宋_GB2312" w:eastAsia="仿宋_GB2312"/>
                <w:color w:val="auto"/>
                <w:spacing w:val="-8"/>
                <w:szCs w:val="21"/>
                <w:highlight w:val="none"/>
              </w:rPr>
              <w:t>安全隐患的扣10分</w:t>
            </w:r>
            <w:r>
              <w:rPr>
                <w:rFonts w:hint="eastAsia" w:ascii="仿宋_GB2312" w:eastAsia="仿宋_GB2312"/>
                <w:color w:val="auto"/>
                <w:spacing w:val="-8"/>
                <w:szCs w:val="21"/>
                <w:highlight w:val="none"/>
                <w:lang w:eastAsia="zh-CN"/>
              </w:rPr>
              <w:t>；</w:t>
            </w:r>
          </w:p>
          <w:p>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泵站</w:t>
            </w:r>
            <w:r>
              <w:rPr>
                <w:rFonts w:hint="eastAsia" w:ascii="仿宋_GB2312" w:eastAsia="仿宋_GB2312"/>
                <w:color w:val="auto"/>
                <w:spacing w:val="-8"/>
                <w:szCs w:val="21"/>
                <w:highlight w:val="none"/>
              </w:rPr>
              <w:t>供配电、排水、监控</w:t>
            </w:r>
            <w:r>
              <w:rPr>
                <w:rFonts w:hint="eastAsia" w:ascii="仿宋_GB2312" w:eastAsia="仿宋_GB2312"/>
                <w:color w:val="auto"/>
                <w:spacing w:val="-8"/>
                <w:szCs w:val="21"/>
                <w:highlight w:val="none"/>
                <w:lang w:eastAsia="zh-CN"/>
              </w:rPr>
              <w:t>等电器</w:t>
            </w:r>
            <w:r>
              <w:rPr>
                <w:rFonts w:hint="eastAsia" w:ascii="仿宋_GB2312" w:eastAsia="仿宋_GB2312"/>
                <w:color w:val="auto"/>
                <w:spacing w:val="-8"/>
                <w:szCs w:val="21"/>
                <w:highlight w:val="none"/>
              </w:rPr>
              <w:t>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r>
              <w:rPr>
                <w:rFonts w:hint="eastAsia" w:ascii="仿宋_GB2312" w:eastAsia="仿宋_GB2312"/>
                <w:color w:val="auto"/>
                <w:szCs w:val="21"/>
                <w:highlight w:val="none"/>
                <w:lang w:eastAsia="zh-CN"/>
              </w:rPr>
              <w:t>泵房防雷设施未设置、或未检测扣</w:t>
            </w:r>
            <w:r>
              <w:rPr>
                <w:rFonts w:hint="eastAsia" w:ascii="仿宋_GB2312" w:eastAsia="仿宋_GB2312"/>
                <w:color w:val="auto"/>
                <w:szCs w:val="21"/>
                <w:highlight w:val="none"/>
                <w:lang w:val="en-US" w:eastAsia="zh-CN"/>
              </w:rPr>
              <w:t>2分；监控、道闸、应急电源等“六个一律”未设置到位的，每处扣5分；排水沟、集水井清淤不到位的，每处扣3分。</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rPr>
            </w:pPr>
          </w:p>
        </w:tc>
        <w:tc>
          <w:tcPr>
            <w:tcW w:w="920" w:type="dxa"/>
            <w:noWrap w:val="0"/>
            <w:vAlign w:val="center"/>
          </w:tcPr>
          <w:p>
            <w:pPr>
              <w:spacing w:line="320" w:lineRule="exact"/>
              <w:jc w:val="center"/>
              <w:rPr>
                <w:rFonts w:hint="eastAsia" w:ascii="仿宋_GB2312" w:eastAsia="仿宋_GB2312"/>
                <w:color w:val="auto"/>
                <w:szCs w:val="21"/>
                <w:lang w:eastAsia="zh-CN"/>
              </w:rPr>
            </w:pPr>
            <w:r>
              <w:rPr>
                <w:rFonts w:hint="eastAsia" w:ascii="仿宋_GB2312" w:eastAsia="仿宋_GB2312"/>
                <w:color w:val="auto"/>
                <w:szCs w:val="21"/>
                <w:lang w:eastAsia="zh-CN"/>
              </w:rPr>
              <w:t>路灯</w:t>
            </w:r>
          </w:p>
          <w:p>
            <w:pPr>
              <w:spacing w:line="320" w:lineRule="exact"/>
              <w:jc w:val="center"/>
              <w:rPr>
                <w:rFonts w:hint="eastAsia" w:ascii="仿宋_GB2312" w:eastAsia="仿宋_GB2312"/>
                <w:color w:val="auto"/>
                <w:szCs w:val="21"/>
                <w:lang w:eastAsia="zh-CN"/>
              </w:rPr>
            </w:pPr>
            <w:r>
              <w:rPr>
                <w:rFonts w:hint="eastAsia" w:ascii="仿宋_GB2312" w:eastAsia="仿宋_GB2312"/>
                <w:color w:val="auto"/>
                <w:szCs w:val="21"/>
                <w:lang w:eastAsia="zh-CN"/>
              </w:rPr>
              <w:t>养护</w:t>
            </w:r>
          </w:p>
          <w:p>
            <w:pPr>
              <w:spacing w:line="32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lang w:eastAsia="zh-CN"/>
              </w:rPr>
            </w:pPr>
            <w:r>
              <w:rPr>
                <w:rFonts w:hint="eastAsia" w:ascii="仿宋_GB2312" w:eastAsia="仿宋_GB2312"/>
                <w:color w:val="auto"/>
                <w:szCs w:val="21"/>
                <w:lang w:eastAsia="zh-CN"/>
              </w:rPr>
              <w:t>路灯缺亮的</w:t>
            </w:r>
            <w:r>
              <w:rPr>
                <w:rFonts w:hint="eastAsia" w:ascii="仿宋_GB2312" w:eastAsia="仿宋_GB2312"/>
                <w:color w:val="auto"/>
                <w:szCs w:val="21"/>
              </w:rPr>
              <w:t>，</w:t>
            </w:r>
            <w:r>
              <w:rPr>
                <w:rFonts w:hint="eastAsia" w:ascii="仿宋_GB2312" w:eastAsia="仿宋_GB2312"/>
                <w:color w:val="auto"/>
                <w:szCs w:val="21"/>
                <w:lang w:eastAsia="zh-CN"/>
              </w:rPr>
              <w:t>每处</w:t>
            </w:r>
            <w:r>
              <w:rPr>
                <w:rFonts w:hint="eastAsia" w:ascii="仿宋_GB2312" w:eastAsia="仿宋_GB2312"/>
                <w:color w:val="auto"/>
                <w:szCs w:val="21"/>
              </w:rPr>
              <w:t>扣</w:t>
            </w:r>
            <w:r>
              <w:rPr>
                <w:rFonts w:hint="eastAsia" w:ascii="仿宋_GB2312" w:eastAsia="仿宋_GB2312"/>
                <w:color w:val="auto"/>
                <w:szCs w:val="21"/>
                <w:lang w:val="en-US" w:eastAsia="zh-CN"/>
              </w:rPr>
              <w:t>1</w:t>
            </w:r>
            <w:r>
              <w:rPr>
                <w:rFonts w:hint="eastAsia" w:ascii="仿宋_GB2312" w:eastAsia="仿宋_GB2312"/>
                <w:color w:val="auto"/>
                <w:szCs w:val="21"/>
              </w:rPr>
              <w:t>分</w:t>
            </w:r>
            <w:r>
              <w:rPr>
                <w:rFonts w:hint="eastAsia" w:ascii="仿宋_GB2312" w:eastAsia="仿宋_GB2312"/>
                <w:color w:val="auto"/>
                <w:szCs w:val="21"/>
                <w:lang w:eastAsia="zh-CN"/>
              </w:rPr>
              <w:t>；</w:t>
            </w:r>
          </w:p>
          <w:p>
            <w:pPr>
              <w:spacing w:line="320" w:lineRule="exact"/>
              <w:ind w:left="0" w:leftChars="0" w:firstLine="420" w:firstLineChars="200"/>
              <w:rPr>
                <w:rFonts w:hint="eastAsia" w:ascii="仿宋_GB2312" w:eastAsia="仿宋_GB2312"/>
                <w:color w:val="auto"/>
                <w:szCs w:val="21"/>
                <w:lang w:eastAsia="zh-CN"/>
              </w:rPr>
            </w:pPr>
            <w:r>
              <w:rPr>
                <w:rFonts w:hint="eastAsia" w:ascii="仿宋_GB2312" w:eastAsia="仿宋_GB2312"/>
                <w:color w:val="auto"/>
                <w:szCs w:val="21"/>
              </w:rPr>
              <w:t>路灯设施倾斜、缺损每处扣</w:t>
            </w:r>
            <w:r>
              <w:rPr>
                <w:rFonts w:hint="eastAsia" w:ascii="仿宋_GB2312" w:eastAsia="仿宋_GB2312"/>
                <w:color w:val="auto"/>
                <w:szCs w:val="21"/>
                <w:lang w:val="en-US" w:eastAsia="zh-CN"/>
              </w:rPr>
              <w:t>1</w:t>
            </w:r>
            <w:r>
              <w:rPr>
                <w:rFonts w:hint="eastAsia" w:ascii="仿宋_GB2312" w:eastAsia="仿宋_GB2312"/>
                <w:color w:val="auto"/>
                <w:szCs w:val="21"/>
              </w:rPr>
              <w:t>分；油漆剥落和锈斑、外观不整洁每处扣</w:t>
            </w:r>
            <w:r>
              <w:rPr>
                <w:rFonts w:hint="eastAsia" w:ascii="仿宋_GB2312" w:eastAsia="仿宋_GB2312"/>
                <w:color w:val="auto"/>
                <w:szCs w:val="21"/>
                <w:lang w:val="en-US" w:eastAsia="zh-CN"/>
              </w:rPr>
              <w:t>1</w:t>
            </w:r>
            <w:r>
              <w:rPr>
                <w:rFonts w:hint="eastAsia" w:ascii="仿宋_GB2312" w:eastAsia="仿宋_GB2312"/>
                <w:color w:val="auto"/>
                <w:szCs w:val="21"/>
              </w:rPr>
              <w:t>分</w:t>
            </w:r>
            <w:r>
              <w:rPr>
                <w:rFonts w:hint="eastAsia" w:ascii="仿宋_GB2312" w:eastAsia="仿宋_GB2312"/>
                <w:color w:val="auto"/>
                <w:szCs w:val="21"/>
                <w:lang w:eastAsia="zh-CN"/>
              </w:rPr>
              <w:t>；</w:t>
            </w:r>
          </w:p>
          <w:p>
            <w:pPr>
              <w:spacing w:line="320" w:lineRule="exact"/>
              <w:ind w:left="0" w:leftChars="0" w:firstLine="420" w:firstLineChars="200"/>
              <w:rPr>
                <w:rFonts w:hint="eastAsia" w:ascii="仿宋_GB2312" w:eastAsia="仿宋_GB2312"/>
                <w:color w:val="auto"/>
                <w:szCs w:val="21"/>
                <w:lang w:eastAsia="zh-CN"/>
              </w:rPr>
            </w:pPr>
            <w:r>
              <w:rPr>
                <w:rFonts w:hint="eastAsia" w:ascii="仿宋_GB2312" w:eastAsia="仿宋_GB2312"/>
                <w:color w:val="auto"/>
                <w:szCs w:val="21"/>
                <w:lang w:eastAsia="zh-CN"/>
              </w:rPr>
              <w:t>控制箱存在违规接电等，存在安全隐患的扣</w:t>
            </w:r>
            <w:r>
              <w:rPr>
                <w:rFonts w:hint="eastAsia" w:ascii="仿宋_GB2312" w:eastAsia="仿宋_GB2312"/>
                <w:color w:val="auto"/>
                <w:szCs w:val="21"/>
                <w:lang w:val="en-US" w:eastAsia="zh-CN"/>
              </w:rPr>
              <w:t>5分；发生漏电等安全事故的扣5分。</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48" w:type="dxa"/>
            <w:gridSpan w:val="2"/>
            <w:noWrap w:val="0"/>
            <w:vAlign w:val="center"/>
          </w:tcPr>
          <w:p>
            <w:pPr>
              <w:spacing w:line="320" w:lineRule="exact"/>
              <w:jc w:val="center"/>
              <w:rPr>
                <w:rFonts w:hint="eastAsia" w:ascii="仿宋_GB2312" w:eastAsia="仿宋_GB2312"/>
                <w:color w:val="auto"/>
                <w:szCs w:val="21"/>
                <w:lang w:eastAsia="zh-CN"/>
              </w:rPr>
            </w:pPr>
            <w:r>
              <w:rPr>
                <w:rFonts w:hint="eastAsia" w:ascii="仿宋_GB2312" w:eastAsia="仿宋_GB2312"/>
                <w:color w:val="auto"/>
                <w:szCs w:val="21"/>
                <w:lang w:eastAsia="zh-CN"/>
              </w:rPr>
              <w:t>应急保障</w:t>
            </w:r>
          </w:p>
          <w:p>
            <w:pPr>
              <w:spacing w:line="320" w:lineRule="exact"/>
              <w:jc w:val="center"/>
              <w:rPr>
                <w:rFonts w:hint="eastAsia" w:ascii="仿宋_GB2312" w:eastAsia="仿宋_GB2312" w:cs="宋体"/>
                <w:color w:val="auto"/>
                <w:kern w:val="0"/>
                <w:szCs w:val="21"/>
                <w:lang w:eastAsia="zh-CN"/>
              </w:rPr>
            </w:pPr>
            <w:r>
              <w:rPr>
                <w:rFonts w:hint="eastAsia" w:ascii="仿宋_GB2312" w:eastAsia="仿宋_GB2312"/>
                <w:color w:val="auto"/>
                <w:szCs w:val="21"/>
                <w:lang w:val="en-US" w:eastAsia="zh-CN"/>
              </w:rPr>
              <w:t>2</w:t>
            </w:r>
            <w:r>
              <w:rPr>
                <w:rFonts w:hint="eastAsia" w:ascii="仿宋_GB2312" w:eastAsia="仿宋_GB2312"/>
                <w:color w:val="auto"/>
                <w:szCs w:val="21"/>
              </w:rPr>
              <w:t>0分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rPr>
            </w:pPr>
            <w:r>
              <w:rPr>
                <w:rFonts w:hint="eastAsia" w:ascii="仿宋_GB2312" w:eastAsia="仿宋_GB2312"/>
                <w:color w:val="auto"/>
                <w:szCs w:val="21"/>
                <w:lang w:eastAsia="zh-CN"/>
              </w:rPr>
              <w:t>养护作业</w:t>
            </w:r>
            <w:r>
              <w:rPr>
                <w:rFonts w:hint="eastAsia" w:ascii="仿宋_GB2312" w:eastAsia="仿宋_GB2312"/>
                <w:color w:val="auto"/>
                <w:szCs w:val="21"/>
              </w:rPr>
              <w:t>围护不到位</w:t>
            </w:r>
            <w:r>
              <w:rPr>
                <w:rFonts w:hint="eastAsia" w:ascii="仿宋_GB2312" w:eastAsia="仿宋_GB2312"/>
                <w:color w:val="auto"/>
                <w:szCs w:val="21"/>
                <w:lang w:eastAsia="zh-CN"/>
              </w:rPr>
              <w:t>每处</w:t>
            </w:r>
            <w:r>
              <w:rPr>
                <w:rFonts w:hint="eastAsia" w:ascii="仿宋_GB2312" w:eastAsia="仿宋_GB2312"/>
                <w:color w:val="auto"/>
                <w:szCs w:val="21"/>
              </w:rPr>
              <w:t>扣2.5分</w:t>
            </w:r>
            <w:r>
              <w:rPr>
                <w:rFonts w:hint="eastAsia" w:ascii="仿宋_GB2312" w:eastAsia="仿宋_GB2312"/>
                <w:color w:val="auto"/>
                <w:szCs w:val="21"/>
                <w:lang w:eastAsia="zh-CN"/>
              </w:rPr>
              <w:t>，</w:t>
            </w:r>
            <w:r>
              <w:rPr>
                <w:rFonts w:hint="eastAsia" w:ascii="仿宋_GB2312" w:eastAsia="仿宋_GB2312"/>
                <w:color w:val="auto"/>
                <w:szCs w:val="21"/>
              </w:rPr>
              <w:t>无围护</w:t>
            </w:r>
            <w:r>
              <w:rPr>
                <w:rFonts w:hint="eastAsia" w:ascii="仿宋_GB2312" w:eastAsia="仿宋_GB2312"/>
                <w:color w:val="auto"/>
                <w:szCs w:val="21"/>
                <w:lang w:eastAsia="zh-CN"/>
              </w:rPr>
              <w:t>每处</w:t>
            </w:r>
            <w:r>
              <w:rPr>
                <w:rFonts w:hint="eastAsia" w:ascii="仿宋_GB2312" w:eastAsia="仿宋_GB2312"/>
                <w:color w:val="auto"/>
                <w:szCs w:val="21"/>
              </w:rPr>
              <w:t>扣5分</w:t>
            </w:r>
            <w:r>
              <w:rPr>
                <w:rFonts w:hint="eastAsia" w:ascii="仿宋_GB2312" w:eastAsia="仿宋_GB2312"/>
                <w:color w:val="auto"/>
                <w:szCs w:val="21"/>
                <w:lang w:eastAsia="zh-CN"/>
              </w:rPr>
              <w:t>；</w:t>
            </w:r>
            <w:r>
              <w:rPr>
                <w:rFonts w:hint="eastAsia" w:ascii="仿宋_GB2312" w:eastAsia="仿宋_GB2312"/>
                <w:color w:val="auto"/>
                <w:szCs w:val="21"/>
              </w:rPr>
              <w:t>着装不规范</w:t>
            </w:r>
            <w:r>
              <w:rPr>
                <w:rFonts w:hint="eastAsia" w:ascii="仿宋_GB2312" w:eastAsia="仿宋_GB2312"/>
                <w:color w:val="auto"/>
                <w:szCs w:val="21"/>
                <w:lang w:eastAsia="zh-CN"/>
              </w:rPr>
              <w:t>每处</w:t>
            </w:r>
            <w:r>
              <w:rPr>
                <w:rFonts w:hint="eastAsia" w:ascii="仿宋_GB2312" w:eastAsia="仿宋_GB2312"/>
                <w:color w:val="auto"/>
                <w:szCs w:val="21"/>
              </w:rPr>
              <w:t>扣2分</w:t>
            </w:r>
            <w:r>
              <w:rPr>
                <w:rFonts w:hint="eastAsia" w:ascii="仿宋_GB2312" w:eastAsia="仿宋_GB2312"/>
                <w:color w:val="auto"/>
                <w:szCs w:val="21"/>
                <w:lang w:eastAsia="zh-CN"/>
              </w:rPr>
              <w:t>；未及时发现违章施工的每处扣</w:t>
            </w:r>
            <w:r>
              <w:rPr>
                <w:rFonts w:hint="eastAsia" w:ascii="仿宋_GB2312" w:eastAsia="仿宋_GB2312"/>
                <w:color w:val="auto"/>
                <w:szCs w:val="21"/>
                <w:lang w:val="en-US" w:eastAsia="zh-CN"/>
              </w:rPr>
              <w:t>3分，批后监管不到位的每处扣3分。</w:t>
            </w:r>
          </w:p>
          <w:p>
            <w:pPr>
              <w:spacing w:line="320" w:lineRule="exact"/>
              <w:ind w:left="0" w:leftChars="0" w:firstLine="420" w:firstLineChars="200"/>
              <w:rPr>
                <w:rFonts w:hint="eastAsia" w:ascii="仿宋_GB2312" w:eastAsia="仿宋_GB2312" w:cs="宋体"/>
                <w:color w:val="auto"/>
                <w:kern w:val="0"/>
                <w:szCs w:val="21"/>
              </w:rPr>
            </w:pPr>
            <w:r>
              <w:rPr>
                <w:rFonts w:hint="eastAsia" w:ascii="仿宋_GB2312" w:eastAsia="仿宋_GB2312" w:cs="宋体"/>
                <w:color w:val="auto"/>
                <w:kern w:val="0"/>
                <w:szCs w:val="21"/>
                <w:lang w:eastAsia="zh-CN"/>
              </w:rPr>
              <w:t>防汛防台、</w:t>
            </w:r>
            <w:r>
              <w:rPr>
                <w:rFonts w:hint="eastAsia" w:ascii="仿宋_GB2312" w:eastAsia="仿宋_GB2312" w:cs="宋体"/>
                <w:color w:val="auto"/>
                <w:kern w:val="0"/>
                <w:szCs w:val="21"/>
              </w:rPr>
              <w:t>抗雪防冻等应急</w:t>
            </w:r>
            <w:r>
              <w:rPr>
                <w:rFonts w:hint="eastAsia" w:ascii="仿宋_GB2312" w:eastAsia="仿宋_GB2312" w:cs="宋体"/>
                <w:color w:val="auto"/>
                <w:kern w:val="0"/>
                <w:szCs w:val="21"/>
                <w:lang w:eastAsia="zh-CN"/>
              </w:rPr>
              <w:t>处置</w:t>
            </w:r>
            <w:r>
              <w:rPr>
                <w:rFonts w:hint="eastAsia" w:ascii="仿宋_GB2312" w:eastAsia="仿宋_GB2312" w:cs="宋体"/>
                <w:color w:val="auto"/>
                <w:kern w:val="0"/>
                <w:szCs w:val="21"/>
              </w:rPr>
              <w:t>不到位的每</w:t>
            </w:r>
            <w:r>
              <w:rPr>
                <w:rFonts w:hint="eastAsia" w:ascii="仿宋_GB2312" w:eastAsia="仿宋_GB2312" w:cs="宋体"/>
                <w:color w:val="auto"/>
                <w:kern w:val="0"/>
                <w:szCs w:val="21"/>
                <w:lang w:eastAsia="zh-CN"/>
              </w:rPr>
              <w:t>次</w:t>
            </w:r>
            <w:r>
              <w:rPr>
                <w:rFonts w:hint="eastAsia" w:ascii="仿宋_GB2312" w:eastAsia="仿宋_GB2312" w:cs="宋体"/>
                <w:color w:val="auto"/>
                <w:kern w:val="0"/>
                <w:szCs w:val="21"/>
              </w:rPr>
              <w:t>扣</w:t>
            </w:r>
            <w:r>
              <w:rPr>
                <w:rFonts w:hint="eastAsia" w:ascii="仿宋_GB2312" w:eastAsia="仿宋_GB2312" w:cs="宋体"/>
                <w:color w:val="auto"/>
                <w:kern w:val="0"/>
                <w:szCs w:val="21"/>
                <w:lang w:val="en-US" w:eastAsia="zh-CN"/>
              </w:rPr>
              <w:t>10</w:t>
            </w:r>
            <w:r>
              <w:rPr>
                <w:rFonts w:hint="eastAsia" w:ascii="仿宋_GB2312" w:eastAsia="仿宋_GB2312" w:cs="宋体"/>
                <w:color w:val="auto"/>
                <w:kern w:val="0"/>
                <w:szCs w:val="21"/>
              </w:rPr>
              <w:t>分</w:t>
            </w:r>
            <w:r>
              <w:rPr>
                <w:rFonts w:hint="eastAsia" w:ascii="仿宋_GB2312" w:eastAsia="仿宋_GB2312" w:cs="宋体"/>
                <w:color w:val="auto"/>
                <w:kern w:val="0"/>
                <w:szCs w:val="21"/>
                <w:lang w:eastAsia="zh-CN"/>
              </w:rPr>
              <w:t>；</w:t>
            </w:r>
          </w:p>
          <w:p>
            <w:pPr>
              <w:spacing w:line="320" w:lineRule="exact"/>
              <w:ind w:left="0" w:leftChars="0" w:firstLine="420" w:firstLineChars="200"/>
              <w:rPr>
                <w:rFonts w:hint="eastAsia" w:ascii="仿宋_GB2312" w:eastAsia="仿宋_GB2312" w:cs="宋体"/>
                <w:color w:val="auto"/>
                <w:kern w:val="0"/>
                <w:szCs w:val="21"/>
                <w:lang w:eastAsia="zh-CN"/>
              </w:rPr>
            </w:pPr>
            <w:r>
              <w:rPr>
                <w:rFonts w:hint="eastAsia" w:ascii="仿宋_GB2312" w:eastAsia="仿宋_GB2312" w:cs="宋体"/>
                <w:color w:val="auto"/>
                <w:kern w:val="0"/>
                <w:szCs w:val="21"/>
                <w:lang w:eastAsia="zh-CN"/>
              </w:rPr>
              <w:t>下井、登高等特种作业，发生违规作业情况的每次扣</w:t>
            </w:r>
            <w:r>
              <w:rPr>
                <w:rFonts w:hint="eastAsia" w:ascii="仿宋_GB2312" w:eastAsia="仿宋_GB2312" w:cs="宋体"/>
                <w:color w:val="auto"/>
                <w:kern w:val="0"/>
                <w:szCs w:val="21"/>
                <w:lang w:val="en-US" w:eastAsia="zh-CN"/>
              </w:rPr>
              <w:t>10分。</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748" w:type="dxa"/>
            <w:gridSpan w:val="2"/>
            <w:noWrap w:val="0"/>
            <w:vAlign w:val="center"/>
          </w:tcPr>
          <w:p>
            <w:pPr>
              <w:spacing w:line="320" w:lineRule="exact"/>
              <w:ind w:left="0" w:leftChars="0" w:firstLine="420" w:firstLineChars="200"/>
              <w:rPr>
                <w:rFonts w:hint="eastAsia" w:ascii="仿宋_GB2312" w:eastAsia="仿宋_GB2312"/>
                <w:color w:val="auto"/>
                <w:szCs w:val="21"/>
                <w:lang w:eastAsia="zh-CN"/>
              </w:rPr>
            </w:pPr>
            <w:r>
              <w:rPr>
                <w:rFonts w:hint="eastAsia" w:ascii="仿宋_GB2312" w:eastAsia="仿宋_GB2312"/>
                <w:color w:val="auto"/>
                <w:szCs w:val="21"/>
                <w:lang w:eastAsia="zh-CN"/>
              </w:rPr>
              <w:t>合同管理</w:t>
            </w:r>
          </w:p>
          <w:p>
            <w:pPr>
              <w:spacing w:line="32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lang w:val="en-US" w:eastAsia="zh-CN"/>
              </w:rPr>
            </w:pPr>
            <w:r>
              <w:rPr>
                <w:rFonts w:hint="eastAsia" w:ascii="仿宋_GB2312" w:eastAsia="仿宋_GB2312"/>
                <w:color w:val="auto"/>
                <w:szCs w:val="21"/>
                <w:lang w:eastAsia="zh-CN"/>
              </w:rPr>
              <w:t>根据合同及招标文件要求，合理配备人员、车辆等应急物资</w:t>
            </w:r>
            <w:r>
              <w:rPr>
                <w:rFonts w:hint="eastAsia" w:ascii="仿宋_GB2312" w:eastAsia="仿宋_GB2312"/>
                <w:color w:val="auto"/>
                <w:szCs w:val="21"/>
                <w:lang w:val="en-US" w:eastAsia="zh-CN"/>
              </w:rPr>
              <w:t>设施设备，配备不到位的每次扣5分。</w:t>
            </w:r>
          </w:p>
          <w:p>
            <w:pPr>
              <w:spacing w:line="320" w:lineRule="exact"/>
              <w:ind w:left="0" w:leftChars="0" w:firstLine="420" w:firstLineChars="200"/>
              <w:rPr>
                <w:rFonts w:hint="eastAsia" w:ascii="仿宋_GB2312" w:eastAsia="仿宋_GB2312"/>
                <w:color w:val="auto"/>
                <w:szCs w:val="21"/>
                <w:lang w:val="en-US" w:eastAsia="zh-CN"/>
              </w:rPr>
            </w:pPr>
            <w:r>
              <w:rPr>
                <w:rFonts w:hint="eastAsia" w:ascii="仿宋_GB2312" w:eastAsia="仿宋_GB2312"/>
                <w:color w:val="auto"/>
                <w:szCs w:val="21"/>
                <w:lang w:val="en-US" w:eastAsia="zh-CN"/>
              </w:rPr>
              <w:t>市政设施具备一路一卡、一桥一卡、一隧一卡，台账资料不齐全、不准确的，每处扣1分。</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748" w:type="dxa"/>
            <w:gridSpan w:val="2"/>
            <w:noWrap w:val="0"/>
            <w:vAlign w:val="center"/>
          </w:tcPr>
          <w:p>
            <w:pPr>
              <w:spacing w:line="320" w:lineRule="exact"/>
              <w:jc w:val="center"/>
              <w:rPr>
                <w:rFonts w:hint="eastAsia" w:ascii="仿宋_GB2312" w:eastAsia="仿宋_GB2312"/>
                <w:color w:val="auto"/>
                <w:szCs w:val="21"/>
                <w:lang w:eastAsia="zh-CN"/>
              </w:rPr>
            </w:pPr>
            <w:r>
              <w:rPr>
                <w:rFonts w:hint="eastAsia" w:ascii="仿宋_GB2312" w:eastAsia="仿宋_GB2312"/>
                <w:color w:val="auto"/>
                <w:szCs w:val="21"/>
                <w:lang w:eastAsia="zh-CN"/>
              </w:rPr>
              <w:t>其他</w:t>
            </w:r>
          </w:p>
          <w:p>
            <w:pPr>
              <w:spacing w:line="320" w:lineRule="exact"/>
              <w:jc w:val="center"/>
              <w:rPr>
                <w:rFonts w:hint="eastAsia" w:ascii="仿宋_GB2312" w:eastAsia="仿宋_GB2312"/>
                <w:color w:val="auto"/>
                <w:spacing w:val="-8"/>
                <w:szCs w:val="21"/>
              </w:rPr>
            </w:pPr>
            <w:r>
              <w:rPr>
                <w:rFonts w:hint="eastAsia" w:ascii="仿宋_GB2312" w:eastAsia="仿宋_GB2312"/>
                <w:color w:val="auto"/>
                <w:szCs w:val="21"/>
              </w:rPr>
              <w:t>5分</w:t>
            </w:r>
          </w:p>
        </w:tc>
        <w:tc>
          <w:tcPr>
            <w:tcW w:w="6200" w:type="dxa"/>
            <w:noWrap w:val="0"/>
            <w:vAlign w:val="center"/>
          </w:tcPr>
          <w:p>
            <w:pPr>
              <w:spacing w:line="320" w:lineRule="exact"/>
              <w:ind w:left="0" w:leftChars="0" w:firstLine="405" w:firstLineChars="209"/>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eastAsia="zh-CN"/>
              </w:rPr>
              <w:t>收到市级及以上批示表扬的每次加</w:t>
            </w:r>
            <w:r>
              <w:rPr>
                <w:rFonts w:hint="eastAsia" w:ascii="仿宋_GB2312" w:eastAsia="仿宋_GB2312"/>
                <w:color w:val="auto"/>
                <w:spacing w:val="-8"/>
                <w:szCs w:val="21"/>
                <w:highlight w:val="none"/>
                <w:lang w:val="en-US" w:eastAsia="zh-CN"/>
              </w:rPr>
              <w:t>5分，批评的每次扣5分；</w:t>
            </w:r>
            <w:r>
              <w:rPr>
                <w:rFonts w:hint="eastAsia" w:ascii="仿宋_GB2312" w:eastAsia="仿宋_GB2312"/>
                <w:color w:val="auto"/>
                <w:spacing w:val="-8"/>
                <w:szCs w:val="21"/>
                <w:highlight w:val="none"/>
                <w:lang w:eastAsia="zh-CN"/>
              </w:rPr>
              <w:t>区级批示表扬的每次加</w:t>
            </w:r>
            <w:r>
              <w:rPr>
                <w:rFonts w:hint="eastAsia" w:ascii="仿宋_GB2312" w:eastAsia="仿宋_GB2312"/>
                <w:color w:val="auto"/>
                <w:spacing w:val="-8"/>
                <w:szCs w:val="21"/>
                <w:highlight w:val="none"/>
                <w:lang w:val="en-US" w:eastAsia="zh-CN"/>
              </w:rPr>
              <w:t>3分，批评的每次扣3分。</w:t>
            </w:r>
          </w:p>
          <w:p>
            <w:pPr>
              <w:spacing w:line="320" w:lineRule="exact"/>
              <w:ind w:left="0" w:leftChars="0" w:firstLine="438" w:firstLineChars="209"/>
              <w:rPr>
                <w:rFonts w:hint="eastAsia" w:ascii="仿宋_GB2312" w:eastAsia="仿宋_GB2312"/>
                <w:color w:val="auto"/>
                <w:spacing w:val="-8"/>
                <w:szCs w:val="21"/>
                <w:highlight w:val="none"/>
                <w:lang w:eastAsia="zh-CN"/>
              </w:rPr>
            </w:pPr>
            <w:r>
              <w:rPr>
                <w:rFonts w:hint="eastAsia" w:ascii="仿宋_GB2312" w:eastAsia="仿宋_GB2312"/>
                <w:color w:val="auto"/>
                <w:szCs w:val="21"/>
                <w:highlight w:val="none"/>
              </w:rPr>
              <w:t>联系函、抄告单等超时回复或不回复的每次扣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pacing w:val="-8"/>
                <w:szCs w:val="21"/>
                <w:highlight w:val="none"/>
              </w:rPr>
              <w:t>二次抄告</w:t>
            </w:r>
            <w:r>
              <w:rPr>
                <w:rFonts w:hint="eastAsia" w:ascii="仿宋_GB2312" w:eastAsia="仿宋_GB2312"/>
                <w:color w:val="auto"/>
                <w:spacing w:val="-8"/>
                <w:szCs w:val="21"/>
                <w:highlight w:val="none"/>
                <w:lang w:eastAsia="zh-CN"/>
              </w:rPr>
              <w:t>及以上的每</w:t>
            </w:r>
            <w:r>
              <w:rPr>
                <w:rFonts w:hint="eastAsia" w:ascii="仿宋_GB2312" w:eastAsia="仿宋_GB2312"/>
                <w:color w:val="auto"/>
                <w:szCs w:val="21"/>
                <w:highlight w:val="none"/>
              </w:rPr>
              <w:t>次</w:t>
            </w:r>
            <w:r>
              <w:rPr>
                <w:rFonts w:hint="eastAsia" w:ascii="仿宋_GB2312" w:eastAsia="仿宋_GB2312"/>
                <w:color w:val="auto"/>
                <w:spacing w:val="-8"/>
                <w:szCs w:val="21"/>
                <w:highlight w:val="none"/>
              </w:rPr>
              <w:t>扣</w:t>
            </w:r>
            <w:r>
              <w:rPr>
                <w:rFonts w:hint="eastAsia" w:ascii="仿宋_GB2312" w:eastAsia="仿宋_GB2312"/>
                <w:color w:val="auto"/>
                <w:spacing w:val="-8"/>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lang w:eastAsia="zh-CN"/>
              </w:rPr>
              <w:t>；</w:t>
            </w:r>
          </w:p>
          <w:p>
            <w:pPr>
              <w:spacing w:line="320" w:lineRule="exact"/>
              <w:ind w:left="0" w:leftChars="0" w:firstLine="405" w:firstLineChars="209"/>
              <w:rPr>
                <w:rFonts w:hint="eastAsia" w:ascii="仿宋_GB2312" w:eastAsia="仿宋_GB2312"/>
                <w:color w:val="auto"/>
                <w:szCs w:val="21"/>
                <w:highlight w:val="none"/>
                <w:lang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rPr>
              <w:t>媒体曝光每件扣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rPr>
              <w:t>媒体曝光每件扣</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ind w:left="0" w:leftChars="0" w:firstLine="438" w:firstLineChars="20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发生无人员死亡有责安全生产事故的，每起扣</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分；发生人员死亡有责安全生产事故的，每起扣</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w:t>
            </w:r>
          </w:p>
          <w:p>
            <w:pPr>
              <w:spacing w:line="320" w:lineRule="exact"/>
              <w:ind w:left="0" w:leftChars="0" w:firstLine="438" w:firstLineChars="209"/>
              <w:rPr>
                <w:rFonts w:hint="eastAsia" w:ascii="仿宋_GB2312" w:eastAsia="仿宋_GB2312"/>
                <w:color w:val="auto"/>
                <w:spacing w:val="-8"/>
                <w:szCs w:val="21"/>
                <w:highlight w:val="none"/>
                <w:lang w:eastAsia="zh-CN"/>
              </w:rPr>
            </w:pPr>
            <w:r>
              <w:rPr>
                <w:rFonts w:hint="eastAsia" w:ascii="仿宋_GB2312" w:eastAsia="仿宋_GB2312"/>
                <w:color w:val="auto"/>
                <w:sz w:val="21"/>
                <w:szCs w:val="21"/>
                <w:highlight w:val="none"/>
                <w:lang w:eastAsia="zh-CN"/>
              </w:rPr>
              <w:t>积极提供市政宣传报道素材（图片、文字等），经区市政绿化保障中心审核，被录用正面宣传报道的，区级媒体每件次加0.1分，市级媒体每件次加0.2分，省级媒体每件次加0.5分，国家级媒体每件次加1分，同一事项以最高加分项计。</w:t>
            </w:r>
          </w:p>
        </w:tc>
        <w:tc>
          <w:tcPr>
            <w:tcW w:w="1112" w:type="dxa"/>
            <w:noWrap w:val="0"/>
            <w:vAlign w:val="center"/>
          </w:tcPr>
          <w:p>
            <w:pPr>
              <w:spacing w:line="320" w:lineRule="exac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8" w:type="dxa"/>
            <w:gridSpan w:val="3"/>
            <w:noWrap w:val="0"/>
            <w:vAlign w:val="center"/>
          </w:tcPr>
          <w:p>
            <w:pPr>
              <w:spacing w:line="320" w:lineRule="exact"/>
              <w:jc w:val="center"/>
              <w:rPr>
                <w:rFonts w:hint="eastAsia" w:ascii="仿宋_GB2312" w:eastAsia="仿宋_GB2312"/>
                <w:color w:val="auto"/>
                <w:szCs w:val="21"/>
              </w:rPr>
            </w:pPr>
            <w:r>
              <w:rPr>
                <w:rFonts w:hint="eastAsia" w:ascii="仿宋_GB2312" w:eastAsia="仿宋_GB2312"/>
                <w:color w:val="auto"/>
                <w:szCs w:val="21"/>
              </w:rPr>
              <w:t>评分合计</w:t>
            </w:r>
          </w:p>
        </w:tc>
        <w:tc>
          <w:tcPr>
            <w:tcW w:w="1112" w:type="dxa"/>
            <w:noWrap w:val="0"/>
            <w:vAlign w:val="center"/>
          </w:tcPr>
          <w:p>
            <w:pPr>
              <w:spacing w:line="320" w:lineRule="exact"/>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48" w:type="dxa"/>
            <w:gridSpan w:val="2"/>
            <w:noWrap w:val="0"/>
            <w:vAlign w:val="center"/>
          </w:tcPr>
          <w:p>
            <w:pPr>
              <w:spacing w:line="320" w:lineRule="exact"/>
              <w:jc w:val="center"/>
              <w:rPr>
                <w:rFonts w:hint="eastAsia" w:ascii="仿宋_GB2312" w:eastAsia="仿宋_GB2312"/>
                <w:color w:val="auto"/>
                <w:szCs w:val="21"/>
              </w:rPr>
            </w:pPr>
            <w:r>
              <w:rPr>
                <w:rFonts w:hint="eastAsia" w:ascii="仿宋_GB2312" w:eastAsia="仿宋_GB2312"/>
                <w:color w:val="auto"/>
                <w:szCs w:val="21"/>
              </w:rPr>
              <w:t>备注</w:t>
            </w:r>
          </w:p>
        </w:tc>
        <w:tc>
          <w:tcPr>
            <w:tcW w:w="7312" w:type="dxa"/>
            <w:gridSpan w:val="2"/>
            <w:noWrap w:val="0"/>
            <w:vAlign w:val="center"/>
          </w:tcPr>
          <w:p>
            <w:pPr>
              <w:numPr>
                <w:ilvl w:val="0"/>
                <w:numId w:val="0"/>
              </w:numPr>
              <w:spacing w:line="320" w:lineRule="exact"/>
              <w:ind w:leftChars="0"/>
              <w:rPr>
                <w:rFonts w:hint="eastAsia" w:ascii="仿宋_GB2312" w:eastAsia="仿宋_GB2312"/>
                <w:color w:val="auto"/>
                <w:spacing w:val="-8"/>
                <w:szCs w:val="21"/>
              </w:rPr>
            </w:pPr>
            <w:r>
              <w:rPr>
                <w:rFonts w:hint="eastAsia" w:ascii="仿宋_GB2312" w:eastAsia="仿宋_GB2312"/>
                <w:color w:val="auto"/>
                <w:spacing w:val="-8"/>
                <w:szCs w:val="21"/>
                <w:lang w:val="en-US" w:eastAsia="zh-CN"/>
              </w:rPr>
              <w:t>1.</w:t>
            </w:r>
            <w:r>
              <w:rPr>
                <w:rFonts w:hint="eastAsia" w:ascii="仿宋_GB2312" w:eastAsia="仿宋_GB2312"/>
                <w:color w:val="auto"/>
                <w:spacing w:val="-8"/>
                <w:szCs w:val="21"/>
              </w:rPr>
              <w:t>考核总分为100分，</w:t>
            </w:r>
            <w:r>
              <w:rPr>
                <w:rFonts w:hint="eastAsia" w:ascii="仿宋_GB2312" w:eastAsia="仿宋_GB2312"/>
                <w:color w:val="auto"/>
                <w:spacing w:val="-8"/>
                <w:szCs w:val="21"/>
                <w:lang w:eastAsia="zh-CN"/>
              </w:rPr>
              <w:t>附加分</w:t>
            </w:r>
            <w:r>
              <w:rPr>
                <w:rFonts w:hint="eastAsia" w:ascii="仿宋_GB2312" w:eastAsia="仿宋_GB2312"/>
                <w:color w:val="auto"/>
                <w:spacing w:val="-8"/>
                <w:szCs w:val="21"/>
                <w:lang w:val="en-US" w:eastAsia="zh-CN"/>
              </w:rPr>
              <w:t>5分，</w:t>
            </w:r>
            <w:r>
              <w:rPr>
                <w:rFonts w:hint="eastAsia" w:ascii="仿宋_GB2312" w:eastAsia="仿宋_GB2312"/>
                <w:color w:val="auto"/>
                <w:spacing w:val="-8"/>
                <w:szCs w:val="21"/>
              </w:rPr>
              <w:t>每项扣分不超过项目分值，扣完为止。</w:t>
            </w:r>
          </w:p>
        </w:tc>
      </w:tr>
    </w:tbl>
    <w:p>
      <w:pPr>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第四部分   </w:t>
      </w:r>
      <w:bookmarkStart w:id="29" w:name="_Toc184313256"/>
      <w:bookmarkEnd w:id="29"/>
      <w:bookmarkStart w:id="30" w:name="_Toc184314430"/>
      <w:bookmarkEnd w:id="30"/>
      <w:bookmarkStart w:id="31" w:name="_Toc184313292"/>
      <w:bookmarkEnd w:id="31"/>
      <w:bookmarkStart w:id="32" w:name="_Toc184314428"/>
      <w:bookmarkEnd w:id="32"/>
      <w:bookmarkStart w:id="33" w:name="_Toc184308108"/>
      <w:bookmarkEnd w:id="33"/>
      <w:bookmarkStart w:id="34" w:name="_Toc184313271"/>
      <w:bookmarkEnd w:id="34"/>
      <w:bookmarkStart w:id="35" w:name="_Toc184308044"/>
      <w:bookmarkEnd w:id="35"/>
      <w:bookmarkStart w:id="36" w:name="_Toc184310322"/>
      <w:bookmarkEnd w:id="36"/>
      <w:bookmarkStart w:id="37" w:name="_Toc184313263"/>
      <w:bookmarkEnd w:id="37"/>
      <w:bookmarkStart w:id="38" w:name="_Toc184310336"/>
      <w:bookmarkEnd w:id="38"/>
      <w:bookmarkStart w:id="39" w:name="_Toc184312102"/>
      <w:bookmarkEnd w:id="39"/>
      <w:bookmarkStart w:id="40" w:name="_Toc184308077"/>
      <w:bookmarkEnd w:id="40"/>
      <w:bookmarkStart w:id="41" w:name="_Toc184310334"/>
      <w:bookmarkEnd w:id="41"/>
      <w:bookmarkStart w:id="42" w:name="_Toc184312078"/>
      <w:bookmarkEnd w:id="42"/>
      <w:bookmarkStart w:id="43" w:name="_Toc184313310"/>
      <w:bookmarkEnd w:id="43"/>
      <w:bookmarkStart w:id="44" w:name="_Toc184312094"/>
      <w:bookmarkEnd w:id="44"/>
      <w:bookmarkStart w:id="45" w:name="_Toc184310276"/>
      <w:bookmarkEnd w:id="45"/>
      <w:bookmarkStart w:id="46" w:name="_Toc184308047"/>
      <w:bookmarkEnd w:id="46"/>
      <w:bookmarkStart w:id="47" w:name="_Toc184313296"/>
      <w:bookmarkEnd w:id="47"/>
      <w:bookmarkStart w:id="48" w:name="_Toc184310296"/>
      <w:bookmarkEnd w:id="48"/>
      <w:bookmarkStart w:id="49" w:name="_Toc184314431"/>
      <w:bookmarkEnd w:id="49"/>
      <w:bookmarkStart w:id="50" w:name="_Toc184313239"/>
      <w:bookmarkEnd w:id="50"/>
      <w:bookmarkStart w:id="51" w:name="_Toc184308061"/>
      <w:bookmarkEnd w:id="51"/>
      <w:bookmarkStart w:id="52" w:name="_Toc184310289"/>
      <w:bookmarkEnd w:id="52"/>
      <w:bookmarkStart w:id="53" w:name="_Toc184308085"/>
      <w:bookmarkEnd w:id="53"/>
      <w:bookmarkStart w:id="54" w:name="_Toc184308057"/>
      <w:bookmarkEnd w:id="54"/>
      <w:bookmarkStart w:id="55" w:name="_Toc184312111"/>
      <w:bookmarkEnd w:id="55"/>
      <w:bookmarkStart w:id="56" w:name="_Toc184312107"/>
      <w:bookmarkEnd w:id="56"/>
      <w:bookmarkStart w:id="57" w:name="_Toc184310293"/>
      <w:bookmarkEnd w:id="57"/>
      <w:bookmarkStart w:id="58" w:name="_Toc184312112"/>
      <w:bookmarkEnd w:id="58"/>
      <w:bookmarkStart w:id="59" w:name="_Toc184310320"/>
      <w:bookmarkEnd w:id="59"/>
      <w:bookmarkStart w:id="60" w:name="_Toc184312108"/>
      <w:bookmarkEnd w:id="60"/>
      <w:bookmarkStart w:id="61" w:name="_Toc184314419"/>
      <w:bookmarkEnd w:id="61"/>
      <w:bookmarkStart w:id="62" w:name="_Toc184314425"/>
      <w:bookmarkEnd w:id="62"/>
      <w:bookmarkStart w:id="63" w:name="_Toc184313244"/>
      <w:bookmarkEnd w:id="63"/>
      <w:bookmarkStart w:id="64" w:name="_Toc184312128"/>
      <w:bookmarkEnd w:id="64"/>
      <w:bookmarkStart w:id="65" w:name="_Toc184310341"/>
      <w:bookmarkEnd w:id="65"/>
      <w:bookmarkStart w:id="66" w:name="_Toc184314410"/>
      <w:bookmarkEnd w:id="66"/>
      <w:bookmarkStart w:id="67" w:name="_Toc184310300"/>
      <w:bookmarkEnd w:id="67"/>
      <w:bookmarkStart w:id="68" w:name="_Toc184314461"/>
      <w:bookmarkEnd w:id="68"/>
      <w:bookmarkStart w:id="69" w:name="_Toc184312110"/>
      <w:bookmarkEnd w:id="69"/>
      <w:bookmarkStart w:id="70" w:name="_Toc184314414"/>
      <w:bookmarkEnd w:id="70"/>
      <w:bookmarkStart w:id="71" w:name="_Toc184312124"/>
      <w:bookmarkEnd w:id="71"/>
      <w:bookmarkStart w:id="72" w:name="_Toc184313255"/>
      <w:bookmarkEnd w:id="72"/>
      <w:bookmarkStart w:id="73" w:name="_Toc184312070"/>
      <w:bookmarkEnd w:id="73"/>
      <w:bookmarkStart w:id="74" w:name="_Toc184310295"/>
      <w:bookmarkEnd w:id="74"/>
      <w:bookmarkStart w:id="75" w:name="_Toc184308100"/>
      <w:bookmarkEnd w:id="75"/>
      <w:bookmarkStart w:id="76" w:name="_Toc184308083"/>
      <w:bookmarkEnd w:id="76"/>
      <w:bookmarkStart w:id="77" w:name="_Toc184313280"/>
      <w:bookmarkEnd w:id="77"/>
      <w:bookmarkStart w:id="78" w:name="_Toc184308039"/>
      <w:bookmarkEnd w:id="78"/>
      <w:bookmarkStart w:id="79" w:name="_Toc184308062"/>
      <w:bookmarkEnd w:id="79"/>
      <w:bookmarkStart w:id="80" w:name="_Toc184308051"/>
      <w:bookmarkEnd w:id="80"/>
      <w:bookmarkStart w:id="81" w:name="_Toc184312106"/>
      <w:bookmarkEnd w:id="81"/>
      <w:bookmarkStart w:id="82" w:name="_Toc184310286"/>
      <w:bookmarkEnd w:id="82"/>
      <w:bookmarkStart w:id="83" w:name="_Toc184308101"/>
      <w:bookmarkEnd w:id="83"/>
      <w:bookmarkStart w:id="84" w:name="_Toc184314434"/>
      <w:bookmarkEnd w:id="84"/>
      <w:bookmarkStart w:id="85" w:name="_Toc184312129"/>
      <w:bookmarkEnd w:id="85"/>
      <w:bookmarkStart w:id="86" w:name="_Toc184308056"/>
      <w:bookmarkEnd w:id="86"/>
      <w:bookmarkStart w:id="87" w:name="_Toc184308084"/>
      <w:bookmarkEnd w:id="87"/>
      <w:bookmarkStart w:id="88" w:name="_Toc184310315"/>
      <w:bookmarkEnd w:id="88"/>
      <w:bookmarkStart w:id="89" w:name="_Toc184308071"/>
      <w:bookmarkEnd w:id="89"/>
      <w:bookmarkStart w:id="90" w:name="_Toc184312095"/>
      <w:bookmarkEnd w:id="90"/>
      <w:bookmarkStart w:id="91" w:name="_Toc184310321"/>
      <w:bookmarkEnd w:id="91"/>
      <w:bookmarkStart w:id="92" w:name="_Toc184310301"/>
      <w:bookmarkEnd w:id="92"/>
      <w:bookmarkStart w:id="93" w:name="_Toc184314451"/>
      <w:bookmarkEnd w:id="93"/>
      <w:bookmarkStart w:id="94" w:name="_Toc184314438"/>
      <w:bookmarkEnd w:id="94"/>
      <w:bookmarkStart w:id="95" w:name="_Toc184314416"/>
      <w:bookmarkEnd w:id="95"/>
      <w:bookmarkStart w:id="96" w:name="_Toc184312133"/>
      <w:bookmarkEnd w:id="96"/>
      <w:bookmarkStart w:id="97" w:name="_Toc184308094"/>
      <w:bookmarkEnd w:id="97"/>
      <w:bookmarkStart w:id="98" w:name="_Toc184313277"/>
      <w:bookmarkEnd w:id="98"/>
      <w:bookmarkStart w:id="99" w:name="_Toc184314481"/>
      <w:bookmarkEnd w:id="99"/>
      <w:bookmarkStart w:id="100" w:name="_Toc184308095"/>
      <w:bookmarkEnd w:id="100"/>
      <w:bookmarkStart w:id="101" w:name="_Toc184310330"/>
      <w:bookmarkEnd w:id="101"/>
      <w:bookmarkStart w:id="102" w:name="_Toc184313265"/>
      <w:bookmarkEnd w:id="102"/>
      <w:bookmarkStart w:id="103" w:name="_Toc184313281"/>
      <w:bookmarkEnd w:id="103"/>
      <w:bookmarkStart w:id="104" w:name="_Toc184313268"/>
      <w:bookmarkEnd w:id="104"/>
      <w:bookmarkStart w:id="105" w:name="_Toc184308106"/>
      <w:bookmarkEnd w:id="105"/>
      <w:bookmarkStart w:id="106" w:name="_Toc184314453"/>
      <w:bookmarkEnd w:id="106"/>
      <w:bookmarkStart w:id="107" w:name="_Toc184308046"/>
      <w:bookmarkEnd w:id="107"/>
      <w:bookmarkStart w:id="108" w:name="_Toc184310311"/>
      <w:bookmarkEnd w:id="108"/>
      <w:bookmarkStart w:id="109" w:name="_Toc184308055"/>
      <w:bookmarkEnd w:id="109"/>
      <w:bookmarkStart w:id="110" w:name="_Toc184314471"/>
      <w:bookmarkEnd w:id="110"/>
      <w:bookmarkStart w:id="111" w:name="_Toc184310284"/>
      <w:bookmarkEnd w:id="111"/>
      <w:bookmarkStart w:id="112" w:name="_Toc184313307"/>
      <w:bookmarkEnd w:id="112"/>
      <w:bookmarkStart w:id="113" w:name="_Toc184314447"/>
      <w:bookmarkEnd w:id="113"/>
      <w:bookmarkStart w:id="114" w:name="_Toc184314417"/>
      <w:bookmarkEnd w:id="114"/>
      <w:bookmarkStart w:id="115" w:name="_Toc184314468"/>
      <w:bookmarkEnd w:id="115"/>
      <w:bookmarkStart w:id="116" w:name="_Toc184313285"/>
      <w:bookmarkEnd w:id="116"/>
      <w:bookmarkStart w:id="117" w:name="_Toc184310309"/>
      <w:bookmarkEnd w:id="117"/>
      <w:bookmarkStart w:id="118" w:name="_Toc184314448"/>
      <w:bookmarkEnd w:id="118"/>
      <w:bookmarkStart w:id="119" w:name="_Toc184314411"/>
      <w:bookmarkEnd w:id="119"/>
      <w:bookmarkStart w:id="120" w:name="_Toc184310307"/>
      <w:bookmarkEnd w:id="120"/>
      <w:bookmarkStart w:id="121" w:name="_Toc184310302"/>
      <w:bookmarkEnd w:id="121"/>
      <w:bookmarkStart w:id="122" w:name="_Toc184313291"/>
      <w:bookmarkEnd w:id="122"/>
      <w:bookmarkStart w:id="123" w:name="_Toc184308075"/>
      <w:bookmarkEnd w:id="123"/>
      <w:bookmarkStart w:id="124" w:name="_Toc184313262"/>
      <w:bookmarkEnd w:id="124"/>
      <w:bookmarkStart w:id="125" w:name="_Toc184308059"/>
      <w:bookmarkEnd w:id="125"/>
      <w:bookmarkStart w:id="126" w:name="_Toc184313238"/>
      <w:bookmarkEnd w:id="126"/>
      <w:bookmarkStart w:id="127" w:name="_Toc184308049"/>
      <w:bookmarkEnd w:id="127"/>
      <w:bookmarkStart w:id="128" w:name="_Toc184314460"/>
      <w:bookmarkEnd w:id="128"/>
      <w:bookmarkStart w:id="129" w:name="_Toc184313272"/>
      <w:bookmarkEnd w:id="129"/>
      <w:bookmarkStart w:id="130" w:name="_Toc184310328"/>
      <w:bookmarkEnd w:id="130"/>
      <w:bookmarkStart w:id="131" w:name="_Toc184313282"/>
      <w:bookmarkEnd w:id="131"/>
      <w:bookmarkStart w:id="132" w:name="_Toc184313270"/>
      <w:bookmarkEnd w:id="132"/>
      <w:bookmarkStart w:id="133" w:name="_Toc184313249"/>
      <w:bookmarkEnd w:id="133"/>
      <w:bookmarkStart w:id="134" w:name="_Toc184314445"/>
      <w:bookmarkEnd w:id="134"/>
      <w:bookmarkStart w:id="135" w:name="_Toc184314466"/>
      <w:bookmarkEnd w:id="135"/>
      <w:bookmarkStart w:id="136" w:name="_Toc184308045"/>
      <w:bookmarkEnd w:id="136"/>
      <w:bookmarkStart w:id="137" w:name="_Toc184312139"/>
      <w:bookmarkEnd w:id="137"/>
      <w:bookmarkStart w:id="138" w:name="_Toc184312100"/>
      <w:bookmarkEnd w:id="138"/>
      <w:bookmarkStart w:id="139" w:name="_Toc184308042"/>
      <w:bookmarkEnd w:id="139"/>
      <w:bookmarkStart w:id="140" w:name="_Toc184313269"/>
      <w:bookmarkEnd w:id="140"/>
      <w:bookmarkStart w:id="141" w:name="_Toc184312123"/>
      <w:bookmarkEnd w:id="141"/>
      <w:bookmarkStart w:id="142" w:name="_Toc184312125"/>
      <w:bookmarkEnd w:id="142"/>
      <w:bookmarkStart w:id="143" w:name="_Toc184314463"/>
      <w:bookmarkEnd w:id="143"/>
      <w:bookmarkStart w:id="144" w:name="_Toc184313241"/>
      <w:bookmarkEnd w:id="144"/>
      <w:bookmarkStart w:id="145" w:name="_Toc184308058"/>
      <w:bookmarkEnd w:id="145"/>
      <w:bookmarkStart w:id="146" w:name="_Toc184314478"/>
      <w:bookmarkEnd w:id="146"/>
      <w:bookmarkStart w:id="147" w:name="_Toc184310310"/>
      <w:bookmarkEnd w:id="147"/>
      <w:bookmarkStart w:id="148" w:name="_Toc184313253"/>
      <w:bookmarkEnd w:id="148"/>
      <w:bookmarkStart w:id="149" w:name="_Toc184313298"/>
      <w:bookmarkEnd w:id="149"/>
      <w:bookmarkStart w:id="150" w:name="_Toc184308096"/>
      <w:bookmarkEnd w:id="150"/>
      <w:bookmarkStart w:id="151" w:name="_Toc184314444"/>
      <w:bookmarkEnd w:id="151"/>
      <w:bookmarkStart w:id="152" w:name="_Toc184313299"/>
      <w:bookmarkEnd w:id="152"/>
      <w:bookmarkStart w:id="153" w:name="_Toc184310288"/>
      <w:bookmarkEnd w:id="153"/>
      <w:bookmarkStart w:id="154" w:name="_Toc184314470"/>
      <w:bookmarkEnd w:id="154"/>
      <w:bookmarkStart w:id="155" w:name="_Toc184308093"/>
      <w:bookmarkEnd w:id="155"/>
      <w:bookmarkStart w:id="156" w:name="_Toc184313309"/>
      <w:bookmarkEnd w:id="156"/>
      <w:bookmarkStart w:id="157" w:name="_Toc184312089"/>
      <w:bookmarkEnd w:id="157"/>
      <w:bookmarkStart w:id="158" w:name="_Toc184312103"/>
      <w:bookmarkEnd w:id="158"/>
      <w:bookmarkStart w:id="159" w:name="_Toc184313248"/>
      <w:bookmarkEnd w:id="159"/>
      <w:bookmarkStart w:id="160" w:name="_Toc184308102"/>
      <w:bookmarkEnd w:id="160"/>
      <w:bookmarkStart w:id="161" w:name="_Toc184314442"/>
      <w:bookmarkEnd w:id="161"/>
      <w:bookmarkStart w:id="162" w:name="_Toc184310279"/>
      <w:bookmarkEnd w:id="162"/>
      <w:bookmarkStart w:id="163" w:name="_Toc184310280"/>
      <w:bookmarkEnd w:id="163"/>
      <w:bookmarkStart w:id="164" w:name="_Toc184314475"/>
      <w:bookmarkEnd w:id="164"/>
      <w:bookmarkStart w:id="165" w:name="_Toc184310323"/>
      <w:bookmarkEnd w:id="165"/>
      <w:bookmarkStart w:id="166" w:name="_Toc184308053"/>
      <w:bookmarkEnd w:id="166"/>
      <w:bookmarkStart w:id="167" w:name="_Toc184310297"/>
      <w:bookmarkEnd w:id="167"/>
      <w:bookmarkStart w:id="168" w:name="_Toc184310314"/>
      <w:bookmarkEnd w:id="168"/>
      <w:bookmarkStart w:id="169" w:name="_Toc184313274"/>
      <w:bookmarkEnd w:id="169"/>
      <w:bookmarkStart w:id="170" w:name="_Toc184310294"/>
      <w:bookmarkEnd w:id="170"/>
      <w:bookmarkStart w:id="171" w:name="_Toc184308072"/>
      <w:bookmarkEnd w:id="171"/>
      <w:bookmarkStart w:id="172" w:name="_Toc184308082"/>
      <w:bookmarkEnd w:id="172"/>
      <w:bookmarkStart w:id="173" w:name="_Toc184312090"/>
      <w:bookmarkEnd w:id="173"/>
      <w:bookmarkStart w:id="174" w:name="_Toc184313273"/>
      <w:bookmarkEnd w:id="174"/>
      <w:bookmarkStart w:id="175" w:name="_Toc184314435"/>
      <w:bookmarkEnd w:id="175"/>
      <w:bookmarkStart w:id="176" w:name="_Toc184313278"/>
      <w:bookmarkEnd w:id="176"/>
      <w:bookmarkStart w:id="177" w:name="_Toc184314455"/>
      <w:bookmarkEnd w:id="177"/>
      <w:bookmarkStart w:id="178" w:name="_Toc184314427"/>
      <w:bookmarkEnd w:id="178"/>
      <w:bookmarkStart w:id="179" w:name="_Toc184308099"/>
      <w:bookmarkEnd w:id="179"/>
      <w:bookmarkStart w:id="180" w:name="_Toc184314412"/>
      <w:bookmarkEnd w:id="180"/>
      <w:bookmarkStart w:id="181" w:name="_Toc184310326"/>
      <w:bookmarkEnd w:id="181"/>
      <w:bookmarkStart w:id="182" w:name="_Toc184310291"/>
      <w:bookmarkEnd w:id="182"/>
      <w:bookmarkStart w:id="183" w:name="_Toc184313252"/>
      <w:bookmarkEnd w:id="183"/>
      <w:bookmarkStart w:id="184" w:name="_Toc184310274"/>
      <w:bookmarkEnd w:id="184"/>
      <w:bookmarkStart w:id="185" w:name="_Toc184314423"/>
      <w:bookmarkEnd w:id="185"/>
      <w:bookmarkStart w:id="186" w:name="_Toc184314446"/>
      <w:bookmarkEnd w:id="186"/>
      <w:bookmarkStart w:id="187" w:name="_Toc184313305"/>
      <w:bookmarkEnd w:id="187"/>
      <w:bookmarkStart w:id="188" w:name="_Toc184312105"/>
      <w:bookmarkEnd w:id="188"/>
      <w:bookmarkStart w:id="189" w:name="_Toc184312093"/>
      <w:bookmarkEnd w:id="189"/>
      <w:bookmarkStart w:id="190" w:name="_Toc184312091"/>
      <w:bookmarkEnd w:id="190"/>
      <w:bookmarkStart w:id="191" w:name="_Toc184312084"/>
      <w:bookmarkEnd w:id="191"/>
      <w:bookmarkStart w:id="192" w:name="_Toc184313246"/>
      <w:bookmarkEnd w:id="192"/>
      <w:bookmarkStart w:id="193" w:name="_Toc184310331"/>
      <w:bookmarkEnd w:id="193"/>
      <w:bookmarkStart w:id="194" w:name="_Toc184314454"/>
      <w:bookmarkEnd w:id="194"/>
      <w:bookmarkStart w:id="195" w:name="_Toc184310299"/>
      <w:bookmarkEnd w:id="195"/>
      <w:bookmarkStart w:id="196" w:name="_Toc184308064"/>
      <w:bookmarkEnd w:id="196"/>
      <w:bookmarkStart w:id="197" w:name="_Toc184314422"/>
      <w:bookmarkEnd w:id="197"/>
      <w:bookmarkStart w:id="198" w:name="_Toc184312077"/>
      <w:bookmarkEnd w:id="198"/>
      <w:bookmarkStart w:id="199" w:name="_Toc184312096"/>
      <w:bookmarkEnd w:id="199"/>
      <w:bookmarkStart w:id="200" w:name="_Toc184312115"/>
      <w:bookmarkEnd w:id="200"/>
      <w:bookmarkStart w:id="201" w:name="_Toc184312067"/>
      <w:bookmarkEnd w:id="201"/>
      <w:bookmarkStart w:id="202" w:name="_Toc184313242"/>
      <w:bookmarkEnd w:id="202"/>
      <w:bookmarkStart w:id="203" w:name="_Toc184308088"/>
      <w:bookmarkEnd w:id="203"/>
      <w:bookmarkStart w:id="204" w:name="_Toc184313257"/>
      <w:bookmarkEnd w:id="204"/>
      <w:bookmarkStart w:id="205" w:name="_Toc184310316"/>
      <w:bookmarkEnd w:id="205"/>
      <w:bookmarkStart w:id="206" w:name="_Toc184308092"/>
      <w:bookmarkEnd w:id="206"/>
      <w:bookmarkStart w:id="207" w:name="_Toc184308065"/>
      <w:bookmarkEnd w:id="207"/>
      <w:bookmarkStart w:id="208" w:name="_Toc184312120"/>
      <w:bookmarkEnd w:id="208"/>
      <w:bookmarkStart w:id="209" w:name="_Toc184310273"/>
      <w:bookmarkEnd w:id="209"/>
      <w:bookmarkStart w:id="210" w:name="_Toc184308038"/>
      <w:bookmarkEnd w:id="210"/>
      <w:bookmarkStart w:id="211" w:name="_Toc184314457"/>
      <w:bookmarkEnd w:id="211"/>
      <w:bookmarkStart w:id="212" w:name="_Toc184314479"/>
      <w:bookmarkEnd w:id="212"/>
      <w:bookmarkStart w:id="213" w:name="_Toc184313297"/>
      <w:bookmarkEnd w:id="213"/>
      <w:bookmarkStart w:id="214" w:name="_Toc184312075"/>
      <w:bookmarkEnd w:id="214"/>
      <w:bookmarkStart w:id="215" w:name="_Toc184312113"/>
      <w:bookmarkEnd w:id="215"/>
      <w:bookmarkStart w:id="216" w:name="_Toc184313266"/>
      <w:bookmarkEnd w:id="216"/>
      <w:bookmarkStart w:id="217" w:name="_Toc184314415"/>
      <w:bookmarkEnd w:id="217"/>
      <w:bookmarkStart w:id="218" w:name="_Toc184313267"/>
      <w:bookmarkEnd w:id="218"/>
      <w:bookmarkStart w:id="219" w:name="_Toc184314439"/>
      <w:bookmarkEnd w:id="219"/>
      <w:bookmarkStart w:id="220" w:name="_Toc184312137"/>
      <w:bookmarkEnd w:id="220"/>
      <w:bookmarkStart w:id="221" w:name="_Toc184308107"/>
      <w:bookmarkEnd w:id="221"/>
      <w:bookmarkStart w:id="222" w:name="_Toc184312121"/>
      <w:bookmarkEnd w:id="222"/>
      <w:bookmarkStart w:id="223" w:name="_Toc184312086"/>
      <w:bookmarkEnd w:id="223"/>
      <w:bookmarkStart w:id="224" w:name="_Toc184314469"/>
      <w:bookmarkEnd w:id="224"/>
      <w:bookmarkStart w:id="225" w:name="_Toc184310304"/>
      <w:bookmarkEnd w:id="225"/>
      <w:bookmarkStart w:id="226" w:name="_Toc184312126"/>
      <w:bookmarkEnd w:id="226"/>
      <w:bookmarkStart w:id="227" w:name="_Toc184308076"/>
      <w:bookmarkEnd w:id="227"/>
      <w:bookmarkStart w:id="228" w:name="_Toc184308070"/>
      <w:bookmarkEnd w:id="228"/>
      <w:bookmarkStart w:id="229" w:name="_Toc184314474"/>
      <w:bookmarkEnd w:id="229"/>
      <w:bookmarkStart w:id="230" w:name="_Toc184313303"/>
      <w:bookmarkEnd w:id="230"/>
      <w:bookmarkStart w:id="231" w:name="_Toc184312068"/>
      <w:bookmarkEnd w:id="231"/>
      <w:bookmarkStart w:id="232" w:name="_Toc184314458"/>
      <w:bookmarkEnd w:id="232"/>
      <w:bookmarkStart w:id="233" w:name="_Toc184310342"/>
      <w:bookmarkEnd w:id="233"/>
      <w:bookmarkStart w:id="234" w:name="_Toc184308089"/>
      <w:bookmarkEnd w:id="234"/>
      <w:bookmarkStart w:id="235" w:name="_Toc184310340"/>
      <w:bookmarkEnd w:id="235"/>
      <w:bookmarkStart w:id="236" w:name="_Toc184310324"/>
      <w:bookmarkEnd w:id="236"/>
      <w:bookmarkStart w:id="237" w:name="_Toc184308037"/>
      <w:bookmarkEnd w:id="237"/>
      <w:bookmarkStart w:id="238" w:name="_Toc184314459"/>
      <w:bookmarkEnd w:id="238"/>
      <w:bookmarkStart w:id="239" w:name="_Toc184313300"/>
      <w:bookmarkEnd w:id="239"/>
      <w:bookmarkStart w:id="240" w:name="_Toc184310281"/>
      <w:bookmarkEnd w:id="240"/>
      <w:bookmarkStart w:id="241" w:name="_Toc184314413"/>
      <w:bookmarkEnd w:id="241"/>
      <w:bookmarkStart w:id="242" w:name="_Toc184308098"/>
      <w:bookmarkEnd w:id="242"/>
      <w:bookmarkStart w:id="243" w:name="_Toc184310313"/>
      <w:bookmarkEnd w:id="243"/>
      <w:bookmarkStart w:id="244" w:name="_Toc184310329"/>
      <w:bookmarkEnd w:id="244"/>
      <w:bookmarkStart w:id="245" w:name="_Toc184312138"/>
      <w:bookmarkEnd w:id="245"/>
      <w:bookmarkStart w:id="246" w:name="_Toc184313245"/>
      <w:bookmarkEnd w:id="246"/>
      <w:bookmarkStart w:id="247" w:name="_Toc184312074"/>
      <w:bookmarkEnd w:id="247"/>
      <w:bookmarkStart w:id="248" w:name="_Toc184308066"/>
      <w:bookmarkEnd w:id="248"/>
      <w:bookmarkStart w:id="249" w:name="_Toc184312109"/>
      <w:bookmarkEnd w:id="249"/>
      <w:bookmarkStart w:id="250" w:name="_Toc184312099"/>
      <w:bookmarkEnd w:id="250"/>
      <w:bookmarkStart w:id="251" w:name="_Toc184310305"/>
      <w:bookmarkEnd w:id="251"/>
      <w:bookmarkStart w:id="252" w:name="_Toc184310285"/>
      <w:bookmarkEnd w:id="252"/>
      <w:bookmarkStart w:id="253" w:name="_Toc184313243"/>
      <w:bookmarkEnd w:id="253"/>
      <w:bookmarkStart w:id="254" w:name="_Toc184308105"/>
      <w:bookmarkEnd w:id="254"/>
      <w:bookmarkStart w:id="255" w:name="_Toc184312080"/>
      <w:bookmarkEnd w:id="255"/>
      <w:bookmarkStart w:id="256" w:name="_Toc184312098"/>
      <w:bookmarkEnd w:id="256"/>
      <w:bookmarkStart w:id="257" w:name="_Toc184312072"/>
      <w:bookmarkEnd w:id="257"/>
      <w:bookmarkStart w:id="258" w:name="_Toc184313261"/>
      <w:bookmarkEnd w:id="258"/>
      <w:bookmarkStart w:id="259" w:name="_Toc184314472"/>
      <w:bookmarkEnd w:id="259"/>
      <w:bookmarkStart w:id="260" w:name="_Toc184312118"/>
      <w:bookmarkEnd w:id="260"/>
      <w:bookmarkStart w:id="261" w:name="_Toc184312088"/>
      <w:bookmarkEnd w:id="261"/>
      <w:bookmarkStart w:id="262" w:name="_Toc184308074"/>
      <w:bookmarkEnd w:id="262"/>
      <w:bookmarkStart w:id="263" w:name="_Toc184310312"/>
      <w:bookmarkEnd w:id="263"/>
      <w:bookmarkStart w:id="264" w:name="_Toc184310332"/>
      <w:bookmarkEnd w:id="264"/>
      <w:bookmarkStart w:id="265" w:name="_Toc184314424"/>
      <w:bookmarkEnd w:id="265"/>
      <w:bookmarkStart w:id="266" w:name="_Toc184310338"/>
      <w:bookmarkEnd w:id="266"/>
      <w:bookmarkStart w:id="267" w:name="_Toc184312101"/>
      <w:bookmarkEnd w:id="267"/>
      <w:bookmarkStart w:id="268" w:name="_Toc184314482"/>
      <w:bookmarkEnd w:id="268"/>
      <w:bookmarkStart w:id="269" w:name="_Toc184310282"/>
      <w:bookmarkEnd w:id="269"/>
      <w:bookmarkStart w:id="270" w:name="_Toc184312076"/>
      <w:bookmarkEnd w:id="270"/>
      <w:bookmarkStart w:id="271" w:name="_Toc184314443"/>
      <w:bookmarkEnd w:id="271"/>
      <w:bookmarkStart w:id="272" w:name="_Toc184313286"/>
      <w:bookmarkEnd w:id="272"/>
      <w:bookmarkStart w:id="273" w:name="_Toc184313290"/>
      <w:bookmarkEnd w:id="273"/>
      <w:bookmarkStart w:id="274" w:name="_Toc184308063"/>
      <w:bookmarkEnd w:id="274"/>
      <w:bookmarkStart w:id="275" w:name="_Toc184312116"/>
      <w:bookmarkEnd w:id="275"/>
      <w:bookmarkStart w:id="276" w:name="_Toc184314449"/>
      <w:bookmarkEnd w:id="276"/>
      <w:bookmarkStart w:id="277" w:name="_Toc184310333"/>
      <w:bookmarkEnd w:id="277"/>
      <w:bookmarkStart w:id="278" w:name="_Toc184312069"/>
      <w:bookmarkEnd w:id="278"/>
      <w:bookmarkStart w:id="279" w:name="_Toc184308048"/>
      <w:bookmarkEnd w:id="279"/>
      <w:bookmarkStart w:id="280" w:name="_Toc184314450"/>
      <w:bookmarkEnd w:id="280"/>
      <w:bookmarkStart w:id="281" w:name="_Toc184310303"/>
      <w:bookmarkEnd w:id="281"/>
      <w:bookmarkStart w:id="282" w:name="_Toc184308081"/>
      <w:bookmarkEnd w:id="282"/>
      <w:bookmarkStart w:id="283" w:name="_Toc184308052"/>
      <w:bookmarkEnd w:id="283"/>
      <w:bookmarkStart w:id="284" w:name="_Toc184312083"/>
      <w:bookmarkEnd w:id="284"/>
      <w:bookmarkStart w:id="285" w:name="_Toc184314441"/>
      <w:bookmarkEnd w:id="285"/>
      <w:bookmarkStart w:id="286" w:name="_Toc184312085"/>
      <w:bookmarkEnd w:id="286"/>
      <w:bookmarkStart w:id="287" w:name="_Toc184310290"/>
      <w:bookmarkEnd w:id="287"/>
      <w:bookmarkStart w:id="288" w:name="_Toc184310277"/>
      <w:bookmarkEnd w:id="288"/>
      <w:bookmarkStart w:id="289" w:name="_Toc184310275"/>
      <w:bookmarkEnd w:id="289"/>
      <w:bookmarkStart w:id="290" w:name="_Toc184314452"/>
      <w:bookmarkEnd w:id="290"/>
      <w:bookmarkStart w:id="291" w:name="_Toc184313275"/>
      <w:bookmarkEnd w:id="291"/>
      <w:bookmarkStart w:id="292" w:name="_Toc184314467"/>
      <w:bookmarkEnd w:id="292"/>
      <w:bookmarkStart w:id="293" w:name="_Toc184312071"/>
      <w:bookmarkEnd w:id="293"/>
      <w:bookmarkStart w:id="294" w:name="_Toc184313279"/>
      <w:bookmarkEnd w:id="294"/>
      <w:bookmarkStart w:id="295" w:name="_Toc184312082"/>
      <w:bookmarkEnd w:id="295"/>
      <w:bookmarkStart w:id="296" w:name="_Toc184314433"/>
      <w:bookmarkEnd w:id="296"/>
      <w:bookmarkStart w:id="297" w:name="_Toc184313284"/>
      <w:bookmarkEnd w:id="297"/>
      <w:bookmarkStart w:id="298" w:name="_Toc184310272"/>
      <w:bookmarkEnd w:id="298"/>
      <w:bookmarkStart w:id="299" w:name="_Toc184310343"/>
      <w:bookmarkEnd w:id="299"/>
      <w:bookmarkStart w:id="300" w:name="_Toc184310344"/>
      <w:bookmarkEnd w:id="300"/>
      <w:bookmarkStart w:id="301" w:name="_Toc184312127"/>
      <w:bookmarkEnd w:id="301"/>
      <w:bookmarkStart w:id="302" w:name="_Toc184313287"/>
      <w:bookmarkEnd w:id="302"/>
      <w:bookmarkStart w:id="303" w:name="_Toc184310318"/>
      <w:bookmarkEnd w:id="303"/>
      <w:bookmarkStart w:id="304" w:name="_Toc184308069"/>
      <w:bookmarkEnd w:id="304"/>
      <w:bookmarkStart w:id="305" w:name="_Toc184313250"/>
      <w:bookmarkEnd w:id="305"/>
      <w:bookmarkStart w:id="306" w:name="_Toc184314477"/>
      <w:bookmarkEnd w:id="306"/>
      <w:bookmarkStart w:id="307" w:name="_Toc184313251"/>
      <w:bookmarkEnd w:id="307"/>
      <w:bookmarkStart w:id="308" w:name="_Toc184314418"/>
      <w:bookmarkEnd w:id="308"/>
      <w:bookmarkStart w:id="309" w:name="_Toc184312130"/>
      <w:bookmarkEnd w:id="309"/>
      <w:bookmarkStart w:id="310" w:name="_Toc184314476"/>
      <w:bookmarkEnd w:id="310"/>
      <w:bookmarkStart w:id="311" w:name="_Toc184314421"/>
      <w:bookmarkEnd w:id="311"/>
      <w:bookmarkStart w:id="312" w:name="_Toc184310337"/>
      <w:bookmarkEnd w:id="312"/>
      <w:bookmarkStart w:id="313" w:name="_Toc184314436"/>
      <w:bookmarkEnd w:id="313"/>
      <w:bookmarkStart w:id="314" w:name="_Toc184312132"/>
      <w:bookmarkEnd w:id="314"/>
      <w:bookmarkStart w:id="315" w:name="_Toc184312114"/>
      <w:bookmarkEnd w:id="315"/>
      <w:bookmarkStart w:id="316" w:name="_Toc184314473"/>
      <w:bookmarkEnd w:id="316"/>
      <w:bookmarkStart w:id="317" w:name="_Toc184313283"/>
      <w:bookmarkEnd w:id="317"/>
      <w:bookmarkStart w:id="318" w:name="_Toc184313308"/>
      <w:bookmarkEnd w:id="318"/>
      <w:bookmarkStart w:id="319" w:name="_Toc184313306"/>
      <w:bookmarkEnd w:id="319"/>
      <w:bookmarkStart w:id="320" w:name="_Toc184314440"/>
      <w:bookmarkEnd w:id="320"/>
      <w:bookmarkStart w:id="321" w:name="_Toc184313254"/>
      <w:bookmarkEnd w:id="321"/>
      <w:bookmarkStart w:id="322" w:name="_Toc184312097"/>
      <w:bookmarkEnd w:id="322"/>
      <w:bookmarkStart w:id="323" w:name="_Toc184314426"/>
      <w:bookmarkEnd w:id="323"/>
      <w:bookmarkStart w:id="324" w:name="_Toc184308086"/>
      <w:bookmarkEnd w:id="324"/>
      <w:bookmarkStart w:id="325" w:name="_Toc184312122"/>
      <w:bookmarkEnd w:id="325"/>
      <w:bookmarkStart w:id="326" w:name="_Toc184312119"/>
      <w:bookmarkEnd w:id="326"/>
      <w:bookmarkStart w:id="327" w:name="_Toc184308090"/>
      <w:bookmarkEnd w:id="327"/>
      <w:bookmarkStart w:id="328" w:name="_Toc184312081"/>
      <w:bookmarkEnd w:id="328"/>
      <w:bookmarkStart w:id="329" w:name="_Toc184310319"/>
      <w:bookmarkEnd w:id="329"/>
      <w:bookmarkStart w:id="330" w:name="_Toc184314456"/>
      <w:bookmarkEnd w:id="330"/>
      <w:bookmarkStart w:id="331" w:name="_Toc184313302"/>
      <w:bookmarkEnd w:id="331"/>
      <w:bookmarkStart w:id="332" w:name="_Toc184310327"/>
      <w:bookmarkEnd w:id="332"/>
      <w:bookmarkStart w:id="333" w:name="_Toc184312087"/>
      <w:bookmarkEnd w:id="333"/>
      <w:bookmarkStart w:id="334" w:name="_Toc184312136"/>
      <w:bookmarkEnd w:id="334"/>
      <w:bookmarkStart w:id="335" w:name="_Toc184308104"/>
      <w:bookmarkEnd w:id="335"/>
      <w:bookmarkStart w:id="336" w:name="_Toc184308087"/>
      <w:bookmarkEnd w:id="336"/>
      <w:bookmarkStart w:id="337" w:name="_Toc184313240"/>
      <w:bookmarkEnd w:id="337"/>
      <w:bookmarkStart w:id="338" w:name="_Toc184308078"/>
      <w:bookmarkEnd w:id="338"/>
      <w:bookmarkStart w:id="339" w:name="_Toc184314480"/>
      <w:bookmarkEnd w:id="339"/>
      <w:bookmarkStart w:id="340" w:name="_Toc184310317"/>
      <w:bookmarkEnd w:id="340"/>
      <w:bookmarkStart w:id="341" w:name="_Toc184310339"/>
      <w:bookmarkEnd w:id="341"/>
      <w:bookmarkStart w:id="342" w:name="_Toc184313276"/>
      <w:bookmarkEnd w:id="342"/>
      <w:bookmarkStart w:id="343" w:name="_Toc184313293"/>
      <w:bookmarkEnd w:id="343"/>
      <w:bookmarkStart w:id="344" w:name="_Toc184308068"/>
      <w:bookmarkEnd w:id="344"/>
      <w:bookmarkStart w:id="345" w:name="_Toc184312134"/>
      <w:bookmarkEnd w:id="345"/>
      <w:bookmarkStart w:id="346" w:name="_Toc184313264"/>
      <w:bookmarkEnd w:id="346"/>
      <w:bookmarkStart w:id="347" w:name="_Toc184313288"/>
      <w:bookmarkEnd w:id="347"/>
      <w:bookmarkStart w:id="348" w:name="_Toc184314429"/>
      <w:bookmarkEnd w:id="348"/>
      <w:bookmarkStart w:id="349" w:name="_Toc184308103"/>
      <w:bookmarkEnd w:id="349"/>
      <w:bookmarkStart w:id="350" w:name="_Toc184312092"/>
      <w:bookmarkEnd w:id="350"/>
      <w:bookmarkStart w:id="351" w:name="_Toc184313295"/>
      <w:bookmarkEnd w:id="351"/>
      <w:bookmarkStart w:id="352" w:name="_Toc184310283"/>
      <w:bookmarkEnd w:id="352"/>
      <w:bookmarkStart w:id="353" w:name="_Toc184314432"/>
      <w:bookmarkEnd w:id="353"/>
      <w:bookmarkStart w:id="354" w:name="_Toc184310325"/>
      <w:bookmarkEnd w:id="354"/>
      <w:bookmarkStart w:id="355" w:name="_Toc184312117"/>
      <w:bookmarkEnd w:id="355"/>
      <w:bookmarkStart w:id="356" w:name="_Toc184310287"/>
      <w:bookmarkEnd w:id="356"/>
      <w:bookmarkStart w:id="357" w:name="_Toc184308080"/>
      <w:bookmarkEnd w:id="357"/>
      <w:bookmarkStart w:id="358" w:name="_Toc184308036"/>
      <w:bookmarkEnd w:id="358"/>
      <w:bookmarkStart w:id="359" w:name="_Toc184312131"/>
      <w:bookmarkEnd w:id="359"/>
      <w:bookmarkStart w:id="360" w:name="_Toc184313260"/>
      <w:bookmarkEnd w:id="360"/>
      <w:bookmarkStart w:id="361" w:name="_Toc184313258"/>
      <w:bookmarkEnd w:id="361"/>
      <w:bookmarkStart w:id="362" w:name="_Toc184314462"/>
      <w:bookmarkEnd w:id="362"/>
      <w:bookmarkStart w:id="363" w:name="_Toc184310306"/>
      <w:bookmarkEnd w:id="363"/>
      <w:bookmarkStart w:id="364" w:name="_Toc184313301"/>
      <w:bookmarkEnd w:id="364"/>
      <w:bookmarkStart w:id="365" w:name="_Toc184308097"/>
      <w:bookmarkEnd w:id="365"/>
      <w:bookmarkStart w:id="366" w:name="_Toc184308073"/>
      <w:bookmarkEnd w:id="366"/>
      <w:bookmarkStart w:id="367" w:name="_Toc184313247"/>
      <w:bookmarkEnd w:id="367"/>
      <w:bookmarkStart w:id="368" w:name="_Toc184313304"/>
      <w:bookmarkEnd w:id="368"/>
      <w:bookmarkStart w:id="369" w:name="_Toc184314465"/>
      <w:bookmarkEnd w:id="369"/>
      <w:bookmarkStart w:id="370" w:name="_Toc184308054"/>
      <w:bookmarkEnd w:id="370"/>
      <w:bookmarkStart w:id="371" w:name="_Toc184313259"/>
      <w:bookmarkEnd w:id="371"/>
      <w:bookmarkStart w:id="372" w:name="_Toc184312079"/>
      <w:bookmarkEnd w:id="372"/>
      <w:bookmarkStart w:id="373" w:name="_Toc184308041"/>
      <w:bookmarkEnd w:id="373"/>
      <w:bookmarkStart w:id="374" w:name="_Toc184313289"/>
      <w:bookmarkEnd w:id="374"/>
      <w:bookmarkStart w:id="375" w:name="_Toc184314420"/>
      <w:bookmarkEnd w:id="375"/>
      <w:bookmarkStart w:id="376" w:name="_Toc184308079"/>
      <w:bookmarkEnd w:id="376"/>
      <w:bookmarkStart w:id="377" w:name="_Toc184308040"/>
      <w:bookmarkEnd w:id="377"/>
      <w:bookmarkStart w:id="378" w:name="_Toc184310278"/>
      <w:bookmarkEnd w:id="378"/>
      <w:bookmarkStart w:id="379" w:name="_Toc184310308"/>
      <w:bookmarkEnd w:id="379"/>
      <w:bookmarkStart w:id="380" w:name="_Toc184312104"/>
      <w:bookmarkEnd w:id="380"/>
      <w:bookmarkStart w:id="381" w:name="_Toc184310292"/>
      <w:bookmarkEnd w:id="381"/>
      <w:bookmarkStart w:id="382" w:name="_Toc184310335"/>
      <w:bookmarkEnd w:id="382"/>
      <w:bookmarkStart w:id="383" w:name="_Toc184308060"/>
      <w:bookmarkEnd w:id="383"/>
      <w:bookmarkStart w:id="384" w:name="_Toc184314464"/>
      <w:bookmarkEnd w:id="384"/>
      <w:bookmarkStart w:id="385" w:name="_Toc184313294"/>
      <w:bookmarkEnd w:id="385"/>
      <w:bookmarkStart w:id="386" w:name="_Toc184312135"/>
      <w:bookmarkEnd w:id="386"/>
      <w:bookmarkStart w:id="387" w:name="_Toc184314437"/>
      <w:bookmarkEnd w:id="387"/>
      <w:bookmarkStart w:id="388" w:name="_Toc184308067"/>
      <w:bookmarkEnd w:id="388"/>
      <w:bookmarkStart w:id="389" w:name="_Toc184312073"/>
      <w:bookmarkEnd w:id="389"/>
      <w:bookmarkStart w:id="390" w:name="_Toc184308050"/>
      <w:bookmarkEnd w:id="390"/>
      <w:bookmarkStart w:id="391" w:name="_Toc184310298"/>
      <w:bookmarkEnd w:id="391"/>
      <w:bookmarkStart w:id="392" w:name="_Toc184308091"/>
      <w:bookmarkEnd w:id="392"/>
      <w:bookmarkStart w:id="393" w:name="_Toc184308043"/>
      <w:bookmarkEnd w:id="393"/>
      <w:r>
        <w:rPr>
          <w:rFonts w:hint="eastAsia" w:ascii="宋体" w:hAnsi="宋体" w:eastAsia="宋体" w:cs="宋体"/>
          <w:b/>
          <w:bCs/>
          <w:sz w:val="28"/>
          <w:szCs w:val="28"/>
        </w:rPr>
        <w:t>评标办法</w:t>
      </w:r>
    </w:p>
    <w:p>
      <w:pPr>
        <w:widowControl w:val="0"/>
        <w:wordWrap/>
        <w:adjustRightInd w:val="0"/>
        <w:snapToGrid/>
        <w:spacing w:line="6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评标办法前附表</w:t>
      </w:r>
    </w:p>
    <w:tbl>
      <w:tblPr>
        <w:tblStyle w:val="63"/>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554"/>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color w:val="auto"/>
                <w:sz w:val="24"/>
                <w:szCs w:val="24"/>
              </w:rPr>
            </w:pPr>
            <w:r>
              <w:rPr>
                <w:rFonts w:hint="eastAsia"/>
                <w:color w:val="auto"/>
                <w:sz w:val="24"/>
                <w:szCs w:val="24"/>
              </w:rPr>
              <w:t>序号</w:t>
            </w:r>
          </w:p>
        </w:tc>
        <w:tc>
          <w:tcPr>
            <w:tcW w:w="7554" w:type="dxa"/>
            <w:vAlign w:val="center"/>
          </w:tcPr>
          <w:p>
            <w:pPr>
              <w:jc w:val="center"/>
              <w:rPr>
                <w:rFonts w:hint="eastAsia"/>
                <w:color w:val="auto"/>
                <w:sz w:val="24"/>
                <w:szCs w:val="24"/>
              </w:rPr>
            </w:pPr>
            <w:r>
              <w:rPr>
                <w:rFonts w:hint="eastAsia"/>
                <w:color w:val="auto"/>
                <w:sz w:val="24"/>
                <w:szCs w:val="24"/>
              </w:rPr>
              <w:t>评分细则内容</w:t>
            </w:r>
          </w:p>
        </w:tc>
        <w:tc>
          <w:tcPr>
            <w:tcW w:w="1139" w:type="dxa"/>
            <w:vAlign w:val="center"/>
          </w:tcPr>
          <w:p>
            <w:pPr>
              <w:jc w:val="center"/>
              <w:rPr>
                <w:rFonts w:hint="eastAsia"/>
                <w:color w:val="auto"/>
                <w:sz w:val="24"/>
                <w:szCs w:val="24"/>
              </w:rPr>
            </w:pPr>
            <w:r>
              <w:rPr>
                <w:rFonts w:hint="eastAsia"/>
                <w:color w:val="auto"/>
                <w:sz w:val="24"/>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rPr>
              <w:t>投标人具有质量管理体系认证、</w:t>
            </w:r>
            <w:r>
              <w:rPr>
                <w:rFonts w:hint="eastAsia" w:ascii="宋体" w:hAnsi="宋体" w:cs="宋体"/>
                <w:color w:val="auto"/>
                <w:sz w:val="24"/>
                <w:szCs w:val="24"/>
                <w:highlight w:val="none"/>
              </w:rPr>
              <w:t>环境管理体系认证、</w:t>
            </w:r>
            <w:r>
              <w:rPr>
                <w:rFonts w:hint="eastAsia" w:ascii="宋体" w:hAnsi="宋体" w:cs="宋体"/>
                <w:color w:val="auto"/>
                <w:sz w:val="24"/>
                <w:szCs w:val="24"/>
                <w:highlight w:val="none"/>
                <w:lang w:eastAsia="zh-CN"/>
              </w:rPr>
              <w:t>职业健康安全管理</w:t>
            </w:r>
            <w:r>
              <w:rPr>
                <w:rFonts w:hint="eastAsia" w:ascii="宋体" w:hAnsi="宋体" w:cs="宋体"/>
                <w:color w:val="auto"/>
                <w:sz w:val="24"/>
                <w:szCs w:val="24"/>
                <w:highlight w:val="none"/>
                <w:lang w:val="en-US" w:eastAsia="zh-CN"/>
              </w:rPr>
              <w:t>体系认证</w:t>
            </w:r>
            <w:r>
              <w:rPr>
                <w:rFonts w:hint="eastAsia" w:ascii="宋体" w:hAnsi="宋体" w:cs="宋体"/>
                <w:color w:val="auto"/>
                <w:sz w:val="24"/>
                <w:szCs w:val="24"/>
                <w:highlight w:val="none"/>
              </w:rPr>
              <w:t>的有1个认证得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分，本项最多得6分。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b/>
                <w:bCs/>
                <w:color w:val="auto"/>
                <w:spacing w:val="-2"/>
                <w:sz w:val="24"/>
                <w:szCs w:val="24"/>
                <w:lang w:eastAsia="zh-CN"/>
              </w:rPr>
              <w:t>（投标文件中提供</w:t>
            </w:r>
            <w:r>
              <w:rPr>
                <w:rFonts w:hint="eastAsia" w:ascii="宋体" w:hAnsi="宋体" w:cs="宋体"/>
                <w:b/>
                <w:color w:val="auto"/>
                <w:sz w:val="24"/>
                <w:szCs w:val="24"/>
                <w:highlight w:val="none"/>
              </w:rPr>
              <w:t>有效期内的认证</w:t>
            </w:r>
            <w:r>
              <w:rPr>
                <w:rFonts w:hint="eastAsia" w:ascii="宋体" w:hAnsi="宋体" w:cs="宋体"/>
                <w:b/>
                <w:color w:val="auto"/>
                <w:sz w:val="24"/>
                <w:szCs w:val="24"/>
              </w:rPr>
              <w:t>证书</w:t>
            </w:r>
            <w:r>
              <w:rPr>
                <w:rFonts w:hint="eastAsia"/>
                <w:b/>
                <w:bCs/>
                <w:color w:val="auto"/>
                <w:spacing w:val="-2"/>
                <w:sz w:val="24"/>
                <w:szCs w:val="24"/>
                <w:lang w:eastAsia="zh-CN"/>
              </w:rPr>
              <w:t>复印件</w:t>
            </w:r>
            <w:r>
              <w:rPr>
                <w:rFonts w:hint="eastAsia" w:ascii="宋体" w:hAnsi="宋体" w:cs="宋体"/>
                <w:b/>
                <w:bCs w:val="0"/>
                <w:color w:val="auto"/>
                <w:kern w:val="0"/>
                <w:sz w:val="24"/>
                <w:szCs w:val="24"/>
                <w:highlight w:val="none"/>
                <w:lang w:eastAsia="zh-CN"/>
              </w:rPr>
              <w:t>或扫描打印件</w:t>
            </w:r>
            <w:r>
              <w:rPr>
                <w:rFonts w:hint="eastAsia"/>
                <w:b/>
                <w:bCs/>
                <w:color w:val="auto"/>
                <w:spacing w:val="-2"/>
                <w:sz w:val="24"/>
                <w:szCs w:val="24"/>
                <w:lang w:val="en-US" w:eastAsia="zh-CN"/>
              </w:rPr>
              <w:t>并加盖公章）</w:t>
            </w:r>
            <w:r>
              <w:rPr>
                <w:rFonts w:hint="eastAsia"/>
                <w:b/>
                <w:bCs/>
                <w:color w:val="auto"/>
                <w:spacing w:val="-2"/>
                <w:sz w:val="24"/>
                <w:szCs w:val="24"/>
                <w:lang w:eastAsia="zh-CN"/>
              </w:rPr>
              <w:t>；</w:t>
            </w:r>
          </w:p>
        </w:tc>
        <w:tc>
          <w:tcPr>
            <w:tcW w:w="1139" w:type="dxa"/>
            <w:vAlign w:val="center"/>
          </w:tcPr>
          <w:p>
            <w:pPr>
              <w:jc w:val="center"/>
              <w:rPr>
                <w:rFonts w:hint="default" w:ascii="宋体" w:hAnsi="宋体" w:eastAsia="宋体" w:cs="宋体"/>
                <w:b w:val="0"/>
                <w:bCs w:val="0"/>
                <w:color w:val="auto"/>
                <w:sz w:val="24"/>
                <w:highlight w:val="none"/>
                <w:lang w:val="en-US" w:eastAsia="zh-CN"/>
              </w:rPr>
            </w:pPr>
            <w:r>
              <w:rPr>
                <w:rFonts w:hint="eastAsia" w:ascii="宋体" w:hAnsi="宋体" w:cs="宋体"/>
                <w:color w:val="auto"/>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eastAsia="宋体" w:cs="宋体"/>
                <w:color w:val="auto"/>
                <w:kern w:val="0"/>
                <w:sz w:val="24"/>
                <w:highlight w:val="none"/>
                <w:lang w:val="en-US" w:eastAsia="zh-CN" w:bidi="ar"/>
              </w:rPr>
              <w:t>反</w:t>
            </w:r>
            <w:r>
              <w:rPr>
                <w:rFonts w:hint="eastAsia" w:ascii="宋体" w:hAnsi="宋体" w:eastAsia="宋体" w:cs="宋体"/>
                <w:color w:val="auto"/>
                <w:kern w:val="0"/>
                <w:sz w:val="24"/>
                <w:highlight w:val="none"/>
                <w:lang w:bidi="ar"/>
              </w:rPr>
              <w:t>应速度：投标人承诺响应及到达现场时间在</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val="en-US" w:eastAsia="zh-CN" w:bidi="ar"/>
              </w:rPr>
              <w:t>0</w:t>
            </w:r>
            <w:r>
              <w:rPr>
                <w:rFonts w:hint="eastAsia" w:ascii="宋体" w:hAnsi="宋体" w:eastAsia="宋体" w:cs="宋体"/>
                <w:color w:val="auto"/>
                <w:kern w:val="0"/>
                <w:sz w:val="24"/>
                <w:highlight w:val="none"/>
                <w:lang w:bidi="ar"/>
              </w:rPr>
              <w:t>分钟以内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区级及以上整改内容在24小时以内完成并回复的得5分，</w:t>
            </w:r>
            <w:r>
              <w:rPr>
                <w:rFonts w:hint="eastAsia" w:ascii="宋体" w:hAnsi="宋体" w:cs="仿宋"/>
                <w:color w:val="auto"/>
                <w:sz w:val="24"/>
                <w:szCs w:val="24"/>
              </w:rPr>
              <w:t>不承诺不得分</w:t>
            </w:r>
            <w:r>
              <w:rPr>
                <w:rFonts w:hint="eastAsia" w:ascii="宋体" w:hAnsi="宋体" w:cs="仿宋"/>
                <w:color w:val="auto"/>
                <w:sz w:val="24"/>
                <w:szCs w:val="24"/>
                <w:lang w:eastAsia="zh-CN"/>
              </w:rPr>
              <w:t>（</w:t>
            </w:r>
            <w:r>
              <w:rPr>
                <w:rFonts w:hint="eastAsia" w:ascii="宋体" w:hAnsi="宋体" w:cs="仿宋"/>
                <w:color w:val="auto"/>
                <w:sz w:val="24"/>
                <w:szCs w:val="24"/>
                <w:lang w:val="en-US" w:eastAsia="zh-CN"/>
              </w:rPr>
              <w:t>格式自拟）</w:t>
            </w:r>
            <w:r>
              <w:rPr>
                <w:rFonts w:hint="eastAsia" w:ascii="宋体" w:hAnsi="宋体" w:cs="仿宋"/>
                <w:color w:val="auto"/>
                <w:sz w:val="24"/>
                <w:szCs w:val="24"/>
              </w:rPr>
              <w:t>。</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b w:val="0"/>
                <w:bCs/>
                <w:color w:val="auto"/>
                <w:kern w:val="0"/>
                <w:sz w:val="24"/>
                <w:szCs w:val="24"/>
                <w:highlight w:val="none"/>
              </w:rPr>
              <w:t>20</w:t>
            </w:r>
            <w:r>
              <w:rPr>
                <w:rFonts w:hint="eastAsia" w:ascii="宋体" w:hAnsi="宋体" w:cs="宋体"/>
                <w:b w:val="0"/>
                <w:bCs/>
                <w:color w:val="auto"/>
                <w:kern w:val="0"/>
                <w:sz w:val="24"/>
                <w:szCs w:val="24"/>
                <w:highlight w:val="none"/>
                <w:lang w:val="en-US" w:eastAsia="zh-CN"/>
              </w:rPr>
              <w:t>20</w:t>
            </w:r>
            <w:r>
              <w:rPr>
                <w:rFonts w:hint="eastAsia" w:ascii="宋体" w:hAnsi="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月1日</w:t>
            </w:r>
            <w:r>
              <w:rPr>
                <w:rFonts w:hint="eastAsia" w:ascii="宋体" w:hAnsi="宋体" w:cs="宋体"/>
                <w:b w:val="0"/>
                <w:bCs/>
                <w:color w:val="auto"/>
                <w:kern w:val="0"/>
                <w:sz w:val="24"/>
                <w:szCs w:val="24"/>
                <w:highlight w:val="none"/>
                <w:lang w:val="en-US" w:eastAsia="zh-CN"/>
              </w:rPr>
              <w:t>以来</w:t>
            </w:r>
            <w:r>
              <w:rPr>
                <w:rFonts w:hint="eastAsia" w:ascii="宋体" w:hAnsi="宋体" w:cs="宋体"/>
                <w:b w:val="0"/>
                <w:bCs/>
                <w:color w:val="auto"/>
                <w:kern w:val="0"/>
                <w:sz w:val="24"/>
                <w:szCs w:val="24"/>
                <w:highlight w:val="none"/>
              </w:rPr>
              <w:t>（以证书或文件颁发时间为准）获得</w:t>
            </w:r>
            <w:r>
              <w:rPr>
                <w:rFonts w:hint="eastAsia" w:ascii="宋体" w:hAnsi="宋体" w:cs="宋体"/>
                <w:b w:val="0"/>
                <w:bCs/>
                <w:color w:val="auto"/>
                <w:kern w:val="0"/>
                <w:sz w:val="24"/>
                <w:szCs w:val="24"/>
                <w:highlight w:val="none"/>
                <w:lang w:val="en-US" w:eastAsia="zh-CN"/>
              </w:rPr>
              <w:t>行业主管</w:t>
            </w:r>
            <w:r>
              <w:rPr>
                <w:rFonts w:hint="eastAsia" w:ascii="宋体" w:hAnsi="宋体" w:cs="宋体"/>
                <w:b w:val="0"/>
                <w:bCs/>
                <w:color w:val="auto"/>
                <w:kern w:val="0"/>
                <w:sz w:val="24"/>
                <w:szCs w:val="24"/>
                <w:highlight w:val="none"/>
              </w:rPr>
              <w:t>部门或行业协会颁发的市政设施养护类荣誉</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rPr>
              <w:t>每个得</w:t>
            </w:r>
            <w:r>
              <w:rPr>
                <w:rFonts w:hint="eastAsia" w:ascii="宋体" w:hAnsi="宋体" w:cs="宋体"/>
                <w:b w:val="0"/>
                <w:bCs/>
                <w:color w:val="auto"/>
                <w:kern w:val="0"/>
                <w:sz w:val="24"/>
                <w:szCs w:val="24"/>
                <w:highlight w:val="none"/>
                <w:lang w:val="en-US" w:eastAsia="zh-CN"/>
              </w:rPr>
              <w:t>2</w:t>
            </w:r>
            <w:r>
              <w:rPr>
                <w:rFonts w:hint="eastAsia" w:ascii="宋体" w:hAnsi="宋体" w:cs="宋体"/>
                <w:b w:val="0"/>
                <w:bCs/>
                <w:color w:val="auto"/>
                <w:kern w:val="0"/>
                <w:sz w:val="24"/>
                <w:szCs w:val="24"/>
                <w:highlight w:val="none"/>
              </w:rPr>
              <w:t>分，最高得</w:t>
            </w:r>
            <w:r>
              <w:rPr>
                <w:rFonts w:hint="eastAsia" w:ascii="宋体" w:hAnsi="宋体" w:cs="宋体"/>
                <w:b w:val="0"/>
                <w:bCs/>
                <w:color w:val="auto"/>
                <w:kern w:val="0"/>
                <w:sz w:val="24"/>
                <w:szCs w:val="24"/>
                <w:highlight w:val="none"/>
                <w:lang w:val="en-US" w:eastAsia="zh-CN"/>
              </w:rPr>
              <w:t>2</w:t>
            </w:r>
            <w:r>
              <w:rPr>
                <w:rFonts w:hint="eastAsia" w:ascii="宋体" w:hAnsi="宋体" w:cs="宋体"/>
                <w:b w:val="0"/>
                <w:bCs/>
                <w:color w:val="auto"/>
                <w:kern w:val="0"/>
                <w:sz w:val="24"/>
                <w:szCs w:val="24"/>
                <w:highlight w:val="none"/>
              </w:rPr>
              <w:t>分</w:t>
            </w:r>
            <w:r>
              <w:rPr>
                <w:rFonts w:hint="eastAsia" w:ascii="宋体" w:hAnsi="宋体" w:cs="宋体"/>
                <w:b w:val="0"/>
                <w:bCs/>
                <w:color w:val="auto"/>
                <w:kern w:val="0"/>
                <w:sz w:val="24"/>
                <w:szCs w:val="24"/>
                <w:highlight w:val="none"/>
                <w:lang w:eastAsia="zh-CN"/>
              </w:rPr>
              <w:t>。</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投标文件中提供获奖证书或获奖文件</w:t>
            </w:r>
            <w:r>
              <w:rPr>
                <w:rFonts w:hint="eastAsia" w:ascii="宋体" w:hAnsi="宋体" w:cs="宋体"/>
                <w:b/>
                <w:bCs w:val="0"/>
                <w:color w:val="auto"/>
                <w:kern w:val="0"/>
                <w:sz w:val="24"/>
                <w:szCs w:val="24"/>
                <w:highlight w:val="none"/>
              </w:rPr>
              <w:t>复印件</w:t>
            </w:r>
            <w:r>
              <w:rPr>
                <w:rFonts w:hint="eastAsia" w:ascii="宋体" w:hAnsi="宋体" w:cs="宋体"/>
                <w:b/>
                <w:bCs w:val="0"/>
                <w:color w:val="auto"/>
                <w:kern w:val="0"/>
                <w:sz w:val="24"/>
                <w:szCs w:val="24"/>
                <w:highlight w:val="none"/>
                <w:lang w:eastAsia="zh-CN"/>
              </w:rPr>
              <w:t>或扫描打印件</w:t>
            </w:r>
            <w:r>
              <w:rPr>
                <w:rFonts w:hint="eastAsia" w:ascii="宋体" w:hAnsi="宋体" w:cs="仿宋"/>
                <w:b/>
                <w:bCs w:val="0"/>
                <w:color w:val="auto"/>
                <w:sz w:val="24"/>
                <w:szCs w:val="24"/>
                <w:lang w:val="en-US" w:eastAsia="zh-CN"/>
              </w:rPr>
              <w:t>加盖公章，否则不得分</w:t>
            </w:r>
            <w:r>
              <w:rPr>
                <w:rFonts w:hint="eastAsia" w:ascii="宋体" w:hAnsi="宋体" w:cs="宋体"/>
                <w:b/>
                <w:bCs w:val="0"/>
                <w:color w:val="auto"/>
                <w:kern w:val="0"/>
                <w:sz w:val="24"/>
                <w:szCs w:val="24"/>
                <w:highlight w:val="none"/>
                <w:lang w:val="en-US" w:eastAsia="zh-CN"/>
              </w:rPr>
              <w:t>。）</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仿宋"/>
                <w:color w:val="auto"/>
                <w:sz w:val="24"/>
                <w:szCs w:val="24"/>
                <w:lang w:val="en-US" w:eastAsia="zh-CN"/>
              </w:rPr>
              <w:t>2019年1月1日以来（以合同时间为准）承担过类似项目业绩的有1个得0.5分,最高得1分</w:t>
            </w:r>
            <w:r>
              <w:rPr>
                <w:rFonts w:hint="eastAsia" w:ascii="宋体" w:hAnsi="宋体" w:cs="仿宋"/>
                <w:b/>
                <w:bCs/>
                <w:color w:val="auto"/>
                <w:sz w:val="24"/>
                <w:szCs w:val="24"/>
                <w:lang w:val="en-US" w:eastAsia="zh-CN"/>
              </w:rPr>
              <w:t>（投标文件中提供合同复印件</w:t>
            </w:r>
            <w:r>
              <w:rPr>
                <w:rFonts w:hint="eastAsia" w:ascii="宋体" w:hAnsi="宋体" w:cs="宋体"/>
                <w:b/>
                <w:bCs w:val="0"/>
                <w:color w:val="auto"/>
                <w:kern w:val="0"/>
                <w:sz w:val="24"/>
                <w:szCs w:val="24"/>
                <w:highlight w:val="none"/>
                <w:lang w:eastAsia="zh-CN"/>
              </w:rPr>
              <w:t>或扫描打印件</w:t>
            </w:r>
            <w:r>
              <w:rPr>
                <w:rFonts w:hint="eastAsia" w:ascii="宋体" w:hAnsi="宋体" w:cs="仿宋"/>
                <w:b/>
                <w:bCs/>
                <w:color w:val="auto"/>
                <w:sz w:val="24"/>
                <w:szCs w:val="24"/>
                <w:lang w:val="en-US" w:eastAsia="zh-CN"/>
              </w:rPr>
              <w:t>加盖公章，否则不得分）。</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仿宋"/>
                <w:color w:val="auto"/>
                <w:sz w:val="24"/>
                <w:szCs w:val="24"/>
              </w:rPr>
              <w:t>投标人承诺在中标后正式进场前，在养护服务所在镇街范围内设立工作场所（含办公、仓库等）且面积满足养护工作需求的得</w:t>
            </w:r>
            <w:r>
              <w:rPr>
                <w:rFonts w:hint="eastAsia" w:ascii="宋体" w:hAnsi="宋体" w:cs="仿宋"/>
                <w:color w:val="auto"/>
                <w:sz w:val="24"/>
                <w:szCs w:val="24"/>
                <w:lang w:val="en-US" w:eastAsia="zh-CN"/>
              </w:rPr>
              <w:t>3</w:t>
            </w:r>
            <w:r>
              <w:rPr>
                <w:rFonts w:hint="eastAsia" w:ascii="宋体" w:hAnsi="宋体" w:cs="仿宋"/>
                <w:color w:val="auto"/>
                <w:sz w:val="24"/>
                <w:szCs w:val="24"/>
              </w:rPr>
              <w:t>分，不承诺不得分</w:t>
            </w:r>
            <w:r>
              <w:rPr>
                <w:rFonts w:hint="eastAsia" w:ascii="宋体" w:hAnsi="宋体" w:cs="仿宋"/>
                <w:color w:val="auto"/>
                <w:sz w:val="24"/>
                <w:szCs w:val="24"/>
                <w:lang w:eastAsia="zh-CN"/>
              </w:rPr>
              <w:t>（</w:t>
            </w:r>
            <w:r>
              <w:rPr>
                <w:rFonts w:hint="eastAsia" w:ascii="宋体" w:hAnsi="宋体" w:cs="仿宋"/>
                <w:color w:val="auto"/>
                <w:sz w:val="24"/>
                <w:szCs w:val="24"/>
                <w:lang w:val="en-US" w:eastAsia="zh-CN"/>
              </w:rPr>
              <w:t>格式自拟）</w:t>
            </w:r>
            <w:r>
              <w:rPr>
                <w:rFonts w:hint="eastAsia" w:ascii="宋体" w:hAnsi="宋体" w:cs="仿宋"/>
                <w:color w:val="auto"/>
                <w:sz w:val="24"/>
                <w:szCs w:val="24"/>
              </w:rPr>
              <w:t>。</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cs="仿宋"/>
                <w:color w:val="auto"/>
                <w:sz w:val="24"/>
                <w:szCs w:val="24"/>
              </w:rPr>
              <w:t>项目负责人</w:t>
            </w:r>
            <w:r>
              <w:rPr>
                <w:rFonts w:hint="eastAsia" w:ascii="宋体" w:hAnsi="宋体" w:cs="宋体"/>
                <w:bCs/>
                <w:color w:val="auto"/>
                <w:sz w:val="24"/>
                <w:szCs w:val="22"/>
              </w:rPr>
              <w:t>具备</w:t>
            </w:r>
            <w:r>
              <w:rPr>
                <w:rFonts w:hint="eastAsia" w:ascii="宋体" w:hAnsi="宋体" w:cs="宋体"/>
                <w:bCs/>
                <w:color w:val="auto"/>
                <w:sz w:val="24"/>
                <w:szCs w:val="22"/>
                <w:lang w:val="en-US" w:eastAsia="zh-CN"/>
              </w:rPr>
              <w:t>市政二级建造师及以上的得2分，同时具备</w:t>
            </w:r>
            <w:r>
              <w:rPr>
                <w:rFonts w:hint="eastAsia" w:ascii="宋体" w:hAnsi="宋体" w:cs="宋体"/>
                <w:bCs/>
                <w:color w:val="auto"/>
                <w:sz w:val="24"/>
                <w:szCs w:val="22"/>
                <w:lang w:eastAsia="zh-CN"/>
              </w:rPr>
              <w:t>高</w:t>
            </w:r>
            <w:r>
              <w:rPr>
                <w:rFonts w:hint="eastAsia" w:ascii="宋体" w:hAnsi="宋体" w:cs="宋体"/>
                <w:bCs/>
                <w:color w:val="auto"/>
                <w:sz w:val="24"/>
                <w:szCs w:val="22"/>
              </w:rPr>
              <w:t>级工程师</w:t>
            </w:r>
            <w:r>
              <w:rPr>
                <w:rFonts w:hint="eastAsia" w:ascii="宋体" w:hAnsi="宋体" w:cs="宋体"/>
                <w:bCs/>
                <w:color w:val="auto"/>
                <w:sz w:val="24"/>
                <w:szCs w:val="22"/>
                <w:lang w:val="en-US" w:eastAsia="zh-CN"/>
              </w:rPr>
              <w:t>以上</w:t>
            </w:r>
            <w:r>
              <w:rPr>
                <w:rFonts w:hint="eastAsia" w:ascii="宋体" w:hAnsi="宋体" w:cs="宋体"/>
                <w:bCs/>
                <w:color w:val="auto"/>
                <w:sz w:val="24"/>
                <w:szCs w:val="22"/>
              </w:rPr>
              <w:t>职称得</w:t>
            </w:r>
            <w:r>
              <w:rPr>
                <w:rFonts w:hint="eastAsia" w:ascii="宋体" w:hAnsi="宋体" w:cs="宋体"/>
                <w:bCs/>
                <w:color w:val="auto"/>
                <w:sz w:val="24"/>
                <w:szCs w:val="22"/>
                <w:lang w:val="en-US" w:eastAsia="zh-CN"/>
              </w:rPr>
              <w:t>3</w:t>
            </w:r>
            <w:r>
              <w:rPr>
                <w:rFonts w:hint="eastAsia" w:ascii="宋体" w:hAnsi="宋体" w:cs="宋体"/>
                <w:bCs/>
                <w:color w:val="auto"/>
                <w:sz w:val="24"/>
                <w:szCs w:val="22"/>
              </w:rPr>
              <w:t>分，</w:t>
            </w:r>
            <w:r>
              <w:rPr>
                <w:rFonts w:hint="eastAsia" w:ascii="宋体" w:hAnsi="宋体" w:cs="宋体"/>
                <w:bCs/>
                <w:color w:val="auto"/>
                <w:sz w:val="24"/>
                <w:szCs w:val="22"/>
                <w:lang w:val="en-US" w:eastAsia="zh-CN"/>
              </w:rPr>
              <w:t>最高得5分，</w:t>
            </w:r>
            <w:r>
              <w:rPr>
                <w:rFonts w:hint="eastAsia" w:ascii="宋体" w:hAnsi="宋体" w:cs="仿宋"/>
                <w:color w:val="auto"/>
                <w:sz w:val="24"/>
                <w:szCs w:val="24"/>
              </w:rPr>
              <w:t>没有不得分。</w:t>
            </w:r>
            <w:r>
              <w:rPr>
                <w:rFonts w:hint="eastAsia" w:ascii="宋体" w:hAnsi="宋体" w:cs="仿宋"/>
                <w:color w:val="auto"/>
                <w:sz w:val="24"/>
                <w:szCs w:val="24"/>
                <w:lang w:eastAsia="zh-CN"/>
              </w:rPr>
              <w:t>（</w:t>
            </w:r>
            <w:r>
              <w:rPr>
                <w:rFonts w:hint="eastAsia"/>
                <w:b/>
                <w:bCs/>
                <w:color w:val="auto"/>
                <w:spacing w:val="-2"/>
                <w:sz w:val="24"/>
                <w:szCs w:val="24"/>
                <w:lang w:eastAsia="zh-CN"/>
              </w:rPr>
              <w:t>投标文件中提供</w:t>
            </w:r>
            <w:r>
              <w:rPr>
                <w:rFonts w:hint="eastAsia" w:ascii="宋体" w:hAnsi="宋体" w:cs="宋体"/>
                <w:b/>
                <w:color w:val="auto"/>
                <w:sz w:val="24"/>
                <w:szCs w:val="24"/>
                <w:highlight w:val="none"/>
                <w:lang w:val="en-US" w:eastAsia="zh-CN"/>
              </w:rPr>
              <w:t>相关</w:t>
            </w:r>
            <w:r>
              <w:rPr>
                <w:rFonts w:hint="eastAsia" w:ascii="宋体" w:hAnsi="宋体" w:cs="宋体"/>
                <w:b/>
                <w:color w:val="auto"/>
                <w:sz w:val="24"/>
                <w:szCs w:val="24"/>
              </w:rPr>
              <w:t>证书</w:t>
            </w:r>
            <w:r>
              <w:rPr>
                <w:rFonts w:hint="eastAsia"/>
                <w:b/>
                <w:bCs/>
                <w:color w:val="auto"/>
                <w:spacing w:val="-2"/>
                <w:sz w:val="24"/>
                <w:szCs w:val="24"/>
                <w:lang w:eastAsia="zh-CN"/>
              </w:rPr>
              <w:t>复印件</w:t>
            </w:r>
            <w:r>
              <w:rPr>
                <w:rFonts w:hint="eastAsia" w:ascii="宋体" w:hAnsi="宋体" w:cs="宋体"/>
                <w:b/>
                <w:bCs w:val="0"/>
                <w:color w:val="auto"/>
                <w:kern w:val="0"/>
                <w:sz w:val="24"/>
                <w:szCs w:val="24"/>
                <w:highlight w:val="none"/>
                <w:lang w:eastAsia="zh-CN"/>
              </w:rPr>
              <w:t>或扫描打印件</w:t>
            </w:r>
            <w:r>
              <w:rPr>
                <w:rFonts w:hint="eastAsia"/>
                <w:b/>
                <w:bCs/>
                <w:color w:val="auto"/>
                <w:spacing w:val="-2"/>
                <w:sz w:val="24"/>
                <w:szCs w:val="24"/>
                <w:lang w:val="en-US" w:eastAsia="zh-CN"/>
              </w:rPr>
              <w:t>并加盖公章及</w:t>
            </w:r>
            <w:r>
              <w:rPr>
                <w:rFonts w:hint="eastAsia" w:ascii="Times New Roman" w:hAnsi="Times New Roman" w:cs="Times New Roman"/>
                <w:b/>
                <w:bCs/>
                <w:color w:val="auto"/>
                <w:spacing w:val="-2"/>
                <w:sz w:val="24"/>
                <w:szCs w:val="24"/>
                <w:lang w:eastAsia="zh-CN"/>
              </w:rPr>
              <w:t>近一个月的</w:t>
            </w:r>
            <w:r>
              <w:rPr>
                <w:rFonts w:hint="eastAsia" w:ascii="Times New Roman" w:hAnsi="Times New Roman" w:cs="Times New Roman"/>
                <w:b/>
                <w:bCs/>
                <w:color w:val="auto"/>
                <w:spacing w:val="-2"/>
                <w:sz w:val="24"/>
                <w:szCs w:val="24"/>
                <w:lang w:val="en-US" w:eastAsia="zh-CN"/>
              </w:rPr>
              <w:t>本单位</w:t>
            </w:r>
            <w:r>
              <w:rPr>
                <w:rFonts w:hint="eastAsia" w:ascii="Times New Roman" w:hAnsi="Times New Roman" w:cs="Times New Roman"/>
                <w:b/>
                <w:bCs/>
                <w:color w:val="auto"/>
                <w:spacing w:val="-2"/>
                <w:sz w:val="24"/>
                <w:szCs w:val="24"/>
                <w:lang w:eastAsia="zh-CN"/>
              </w:rPr>
              <w:t>社保证明材料</w:t>
            </w:r>
            <w:r>
              <w:rPr>
                <w:rFonts w:hint="eastAsia" w:ascii="Times New Roman" w:hAnsi="Times New Roman" w:cs="Times New Roman"/>
                <w:b/>
                <w:bCs/>
                <w:color w:val="auto"/>
                <w:spacing w:val="-2"/>
                <w:sz w:val="24"/>
                <w:szCs w:val="24"/>
                <w:lang w:val="en-US" w:eastAsia="zh-CN"/>
              </w:rPr>
              <w:t>）</w:t>
            </w:r>
          </w:p>
        </w:tc>
        <w:tc>
          <w:tcPr>
            <w:tcW w:w="1139" w:type="dxa"/>
            <w:vAlign w:val="center"/>
          </w:tcPr>
          <w:p>
            <w:pPr>
              <w:jc w:val="center"/>
              <w:rPr>
                <w:rFonts w:hint="default" w:ascii="宋体" w:hAnsi="宋体" w:eastAsia="宋体" w:cs="宋体"/>
                <w:b w:val="0"/>
                <w:bCs w:val="0"/>
                <w:color w:val="auto"/>
                <w:szCs w:val="24"/>
                <w:highlight w:val="none"/>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仿宋"/>
                <w:color w:val="auto"/>
                <w:sz w:val="24"/>
                <w:szCs w:val="24"/>
              </w:rPr>
            </w:pPr>
            <w:r>
              <w:rPr>
                <w:rFonts w:hint="eastAsia" w:ascii="宋体" w:hAnsi="宋体" w:cs="仿宋"/>
                <w:color w:val="auto"/>
                <w:sz w:val="24"/>
                <w:szCs w:val="24"/>
              </w:rPr>
              <w:t>项目管理班子的人员（除项目负责人外）配备齐全（包括施工员、质</w:t>
            </w:r>
            <w:r>
              <w:rPr>
                <w:rFonts w:hint="eastAsia" w:ascii="宋体" w:hAnsi="宋体" w:cs="仿宋"/>
                <w:color w:val="auto"/>
                <w:sz w:val="24"/>
                <w:szCs w:val="24"/>
                <w:lang w:eastAsia="zh-CN"/>
              </w:rPr>
              <w:t>量</w:t>
            </w:r>
            <w:r>
              <w:rPr>
                <w:rFonts w:hint="eastAsia" w:ascii="宋体" w:hAnsi="宋体" w:cs="仿宋"/>
                <w:color w:val="auto"/>
                <w:sz w:val="24"/>
                <w:szCs w:val="24"/>
              </w:rPr>
              <w:t>员、安全员、</w:t>
            </w:r>
            <w:r>
              <w:rPr>
                <w:rFonts w:hint="eastAsia" w:ascii="宋体" w:hAnsi="宋体" w:cs="仿宋"/>
                <w:color w:val="auto"/>
                <w:sz w:val="24"/>
                <w:szCs w:val="24"/>
                <w:lang w:val="en-US" w:eastAsia="zh-CN"/>
              </w:rPr>
              <w:t>潜水</w:t>
            </w:r>
            <w:r>
              <w:rPr>
                <w:rFonts w:hint="eastAsia" w:ascii="宋体" w:hAnsi="宋体" w:cs="仿宋"/>
                <w:color w:val="auto"/>
                <w:sz w:val="24"/>
                <w:szCs w:val="24"/>
              </w:rPr>
              <w:t>员、</w:t>
            </w:r>
            <w:r>
              <w:rPr>
                <w:rFonts w:hint="eastAsia" w:ascii="宋体" w:hAnsi="宋体" w:cs="仿宋"/>
                <w:color w:val="auto"/>
                <w:sz w:val="24"/>
                <w:szCs w:val="24"/>
                <w:lang w:val="en-US" w:eastAsia="zh-CN"/>
              </w:rPr>
              <w:t>有毒有害有限空间作业</w:t>
            </w:r>
            <w:r>
              <w:rPr>
                <w:rFonts w:hint="eastAsia" w:ascii="宋体" w:hAnsi="宋体" w:cs="仿宋"/>
                <w:color w:val="auto"/>
                <w:sz w:val="24"/>
                <w:szCs w:val="24"/>
              </w:rPr>
              <w:t>员）有1个得</w:t>
            </w:r>
            <w:r>
              <w:rPr>
                <w:rFonts w:hint="eastAsia" w:ascii="宋体" w:hAnsi="宋体" w:cs="仿宋"/>
                <w:color w:val="auto"/>
                <w:sz w:val="24"/>
                <w:szCs w:val="24"/>
                <w:lang w:val="en-US" w:eastAsia="zh-CN"/>
              </w:rPr>
              <w:t>1</w:t>
            </w:r>
            <w:r>
              <w:rPr>
                <w:rFonts w:hint="eastAsia" w:ascii="宋体" w:hAnsi="宋体" w:cs="仿宋"/>
                <w:color w:val="auto"/>
                <w:sz w:val="24"/>
                <w:szCs w:val="24"/>
              </w:rPr>
              <w:t>分</w:t>
            </w:r>
            <w:r>
              <w:rPr>
                <w:rFonts w:hint="eastAsia" w:ascii="宋体" w:hAnsi="宋体" w:cs="仿宋"/>
                <w:color w:val="auto"/>
                <w:sz w:val="24"/>
                <w:szCs w:val="24"/>
                <w:lang w:val="en-US" w:eastAsia="zh-CN"/>
              </w:rPr>
              <w:t>，</w:t>
            </w:r>
            <w:r>
              <w:rPr>
                <w:rFonts w:hint="eastAsia" w:ascii="宋体" w:hAnsi="宋体" w:cs="仿宋"/>
                <w:color w:val="auto"/>
                <w:sz w:val="24"/>
                <w:szCs w:val="24"/>
              </w:rPr>
              <w:t>本项最多得</w:t>
            </w:r>
            <w:r>
              <w:rPr>
                <w:rFonts w:hint="eastAsia" w:ascii="宋体" w:hAnsi="宋体" w:cs="仿宋"/>
                <w:color w:val="auto"/>
                <w:sz w:val="24"/>
                <w:szCs w:val="24"/>
                <w:lang w:val="en-US" w:eastAsia="zh-CN"/>
              </w:rPr>
              <w:t>5</w:t>
            </w:r>
            <w:r>
              <w:rPr>
                <w:rFonts w:hint="eastAsia" w:ascii="宋体" w:hAnsi="宋体" w:cs="仿宋"/>
                <w:color w:val="auto"/>
                <w:sz w:val="24"/>
                <w:szCs w:val="24"/>
              </w:rPr>
              <w:t>分。</w:t>
            </w:r>
            <w:r>
              <w:rPr>
                <w:rFonts w:hint="eastAsia" w:ascii="宋体" w:hAnsi="宋体" w:cs="仿宋"/>
                <w:color w:val="auto"/>
                <w:sz w:val="24"/>
                <w:szCs w:val="24"/>
                <w:lang w:eastAsia="zh-CN"/>
              </w:rPr>
              <w:t>（</w:t>
            </w:r>
            <w:r>
              <w:rPr>
                <w:rFonts w:hint="eastAsia"/>
                <w:b/>
                <w:bCs/>
                <w:color w:val="auto"/>
                <w:spacing w:val="-2"/>
                <w:sz w:val="24"/>
                <w:szCs w:val="24"/>
                <w:lang w:eastAsia="zh-CN"/>
              </w:rPr>
              <w:t>投标文件中提供</w:t>
            </w:r>
            <w:r>
              <w:rPr>
                <w:rFonts w:hint="eastAsia" w:ascii="宋体" w:hAnsi="宋体" w:cs="宋体"/>
                <w:b/>
                <w:color w:val="auto"/>
                <w:sz w:val="24"/>
                <w:szCs w:val="24"/>
                <w:highlight w:val="none"/>
                <w:lang w:val="en-US" w:eastAsia="zh-CN"/>
              </w:rPr>
              <w:t>相关</w:t>
            </w:r>
            <w:r>
              <w:rPr>
                <w:rFonts w:hint="eastAsia" w:ascii="宋体" w:hAnsi="宋体" w:cs="宋体"/>
                <w:b/>
                <w:color w:val="auto"/>
                <w:sz w:val="24"/>
                <w:szCs w:val="24"/>
              </w:rPr>
              <w:t>证书</w:t>
            </w:r>
            <w:r>
              <w:rPr>
                <w:rFonts w:hint="eastAsia"/>
                <w:b/>
                <w:bCs/>
                <w:color w:val="auto"/>
                <w:spacing w:val="-2"/>
                <w:sz w:val="24"/>
                <w:szCs w:val="24"/>
                <w:lang w:eastAsia="zh-CN"/>
              </w:rPr>
              <w:t>复印件</w:t>
            </w:r>
            <w:r>
              <w:rPr>
                <w:rFonts w:hint="eastAsia" w:ascii="宋体" w:hAnsi="宋体" w:cs="宋体"/>
                <w:b/>
                <w:bCs w:val="0"/>
                <w:color w:val="auto"/>
                <w:kern w:val="0"/>
                <w:sz w:val="24"/>
                <w:szCs w:val="24"/>
                <w:highlight w:val="none"/>
                <w:lang w:eastAsia="zh-CN"/>
              </w:rPr>
              <w:t>或扫描打印件</w:t>
            </w:r>
            <w:r>
              <w:rPr>
                <w:rFonts w:hint="eastAsia"/>
                <w:b/>
                <w:bCs/>
                <w:color w:val="auto"/>
                <w:spacing w:val="-2"/>
                <w:sz w:val="24"/>
                <w:szCs w:val="24"/>
                <w:lang w:val="en-US" w:eastAsia="zh-CN"/>
              </w:rPr>
              <w:t>并加盖公章及</w:t>
            </w:r>
            <w:r>
              <w:rPr>
                <w:rFonts w:hint="eastAsia" w:ascii="Times New Roman" w:hAnsi="Times New Roman" w:cs="Times New Roman"/>
                <w:b/>
                <w:bCs/>
                <w:color w:val="auto"/>
                <w:spacing w:val="-2"/>
                <w:sz w:val="24"/>
                <w:szCs w:val="24"/>
                <w:lang w:eastAsia="zh-CN"/>
              </w:rPr>
              <w:t>近一个月的</w:t>
            </w:r>
            <w:r>
              <w:rPr>
                <w:rFonts w:hint="eastAsia" w:ascii="Times New Roman" w:hAnsi="Times New Roman" w:cs="Times New Roman"/>
                <w:b/>
                <w:bCs/>
                <w:color w:val="auto"/>
                <w:spacing w:val="-2"/>
                <w:sz w:val="24"/>
                <w:szCs w:val="24"/>
                <w:lang w:val="en-US" w:eastAsia="zh-CN"/>
              </w:rPr>
              <w:t>本单位</w:t>
            </w:r>
            <w:r>
              <w:rPr>
                <w:rFonts w:hint="eastAsia" w:ascii="Times New Roman" w:hAnsi="Times New Roman" w:cs="Times New Roman"/>
                <w:b/>
                <w:bCs/>
                <w:color w:val="auto"/>
                <w:spacing w:val="-2"/>
                <w:sz w:val="24"/>
                <w:szCs w:val="24"/>
                <w:lang w:eastAsia="zh-CN"/>
              </w:rPr>
              <w:t>社保证明材料</w:t>
            </w:r>
            <w:r>
              <w:rPr>
                <w:rFonts w:hint="eastAsia" w:ascii="Times New Roman" w:hAnsi="Times New Roman" w:cs="Times New Roman"/>
                <w:b/>
                <w:bCs/>
                <w:color w:val="auto"/>
                <w:spacing w:val="-2"/>
                <w:sz w:val="24"/>
                <w:szCs w:val="24"/>
                <w:lang w:val="en-US" w:eastAsia="zh-CN"/>
              </w:rPr>
              <w:t>）</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仿宋"/>
                <w:color w:val="auto"/>
                <w:sz w:val="24"/>
                <w:szCs w:val="24"/>
                <w:lang w:val="en-US" w:eastAsia="zh-CN"/>
              </w:rPr>
            </w:pPr>
            <w:r>
              <w:rPr>
                <w:rFonts w:hint="eastAsia" w:ascii="宋体" w:hAnsi="宋体"/>
                <w:color w:val="auto"/>
                <w:sz w:val="24"/>
                <w:szCs w:val="28"/>
              </w:rPr>
              <w:t>作业</w:t>
            </w:r>
            <w:r>
              <w:rPr>
                <w:rFonts w:hint="eastAsia" w:ascii="宋体" w:hAnsi="宋体"/>
                <w:color w:val="auto"/>
                <w:sz w:val="24"/>
                <w:szCs w:val="28"/>
                <w:lang w:val="en-US" w:eastAsia="zh-CN"/>
              </w:rPr>
              <w:t>设备及车辆</w:t>
            </w:r>
            <w:r>
              <w:rPr>
                <w:rFonts w:hint="eastAsia" w:ascii="宋体" w:hAnsi="宋体"/>
                <w:color w:val="auto"/>
                <w:sz w:val="24"/>
                <w:szCs w:val="28"/>
              </w:rPr>
              <w:t>：①</w:t>
            </w:r>
            <w:r>
              <w:rPr>
                <w:rFonts w:hint="eastAsia" w:ascii="宋体" w:hAnsi="宋体"/>
                <w:color w:val="auto"/>
                <w:sz w:val="24"/>
                <w:szCs w:val="28"/>
                <w:lang w:eastAsia="zh-CN"/>
              </w:rPr>
              <w:t>用于工程抢修抢险车辆</w:t>
            </w:r>
            <w:r>
              <w:rPr>
                <w:rFonts w:hint="eastAsia" w:ascii="宋体" w:hAnsi="宋体"/>
                <w:color w:val="auto"/>
                <w:sz w:val="24"/>
                <w:szCs w:val="28"/>
              </w:rPr>
              <w:t>，有1辆得</w:t>
            </w:r>
            <w:r>
              <w:rPr>
                <w:rFonts w:hint="eastAsia" w:ascii="宋体" w:hAnsi="宋体"/>
                <w:color w:val="auto"/>
                <w:sz w:val="24"/>
                <w:szCs w:val="28"/>
                <w:lang w:val="en-US" w:eastAsia="zh-CN"/>
              </w:rPr>
              <w:t>2</w:t>
            </w:r>
            <w:r>
              <w:rPr>
                <w:rFonts w:hint="eastAsia" w:ascii="宋体" w:hAnsi="宋体"/>
                <w:color w:val="auto"/>
                <w:sz w:val="24"/>
                <w:szCs w:val="28"/>
              </w:rPr>
              <w:t>分，最多得</w:t>
            </w:r>
            <w:r>
              <w:rPr>
                <w:rFonts w:hint="eastAsia" w:ascii="宋体" w:hAnsi="宋体"/>
                <w:color w:val="auto"/>
                <w:sz w:val="24"/>
                <w:szCs w:val="28"/>
                <w:lang w:val="en-US" w:eastAsia="zh-CN"/>
              </w:rPr>
              <w:t>6</w:t>
            </w:r>
            <w:r>
              <w:rPr>
                <w:rFonts w:hint="eastAsia" w:ascii="宋体" w:hAnsi="宋体"/>
                <w:color w:val="auto"/>
                <w:sz w:val="24"/>
                <w:szCs w:val="28"/>
              </w:rPr>
              <w:t>分；②具有</w:t>
            </w:r>
            <w:r>
              <w:rPr>
                <w:rFonts w:hint="eastAsia" w:ascii="宋体" w:hAnsi="宋体"/>
                <w:color w:val="auto"/>
                <w:sz w:val="24"/>
                <w:szCs w:val="28"/>
                <w:lang w:val="en-US" w:eastAsia="zh-CN"/>
              </w:rPr>
              <w:t>沥青路面热再生修补车（路面养护车）</w:t>
            </w:r>
            <w:r>
              <w:rPr>
                <w:rFonts w:hint="eastAsia" w:ascii="宋体" w:hAnsi="宋体" w:cs="宋体"/>
                <w:color w:val="auto"/>
                <w:szCs w:val="24"/>
                <w:highlight w:val="none"/>
                <w:lang w:val="en-US" w:eastAsia="zh-CN"/>
              </w:rPr>
              <w:t>，</w:t>
            </w:r>
            <w:r>
              <w:rPr>
                <w:rFonts w:hint="eastAsia" w:ascii="宋体" w:hAnsi="宋体"/>
                <w:color w:val="auto"/>
                <w:sz w:val="24"/>
                <w:szCs w:val="28"/>
              </w:rPr>
              <w:t>有1辆</w:t>
            </w:r>
            <w:r>
              <w:rPr>
                <w:rFonts w:hint="eastAsia" w:ascii="宋体" w:hAnsi="宋体"/>
                <w:color w:val="auto"/>
                <w:sz w:val="24"/>
                <w:szCs w:val="28"/>
                <w:lang w:val="en-US" w:eastAsia="zh-CN"/>
              </w:rPr>
              <w:t>得2分,</w:t>
            </w:r>
            <w:r>
              <w:rPr>
                <w:rFonts w:hint="eastAsia" w:ascii="宋体" w:hAnsi="宋体"/>
                <w:color w:val="auto"/>
                <w:sz w:val="24"/>
                <w:szCs w:val="28"/>
              </w:rPr>
              <w:t>最多得</w:t>
            </w:r>
            <w:r>
              <w:rPr>
                <w:rFonts w:hint="eastAsia" w:ascii="宋体" w:hAnsi="宋体"/>
                <w:color w:val="auto"/>
                <w:sz w:val="24"/>
                <w:szCs w:val="28"/>
                <w:lang w:val="en-US" w:eastAsia="zh-CN"/>
              </w:rPr>
              <w:t>2</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宋体" w:hAnsi="宋体"/>
                <w:color w:val="auto"/>
                <w:sz w:val="24"/>
                <w:szCs w:val="28"/>
              </w:rPr>
              <w:t>③</w:t>
            </w:r>
            <w:r>
              <w:rPr>
                <w:rFonts w:hint="eastAsia" w:ascii="宋体" w:hAnsi="宋体"/>
                <w:color w:val="auto"/>
                <w:sz w:val="24"/>
                <w:szCs w:val="28"/>
                <w:lang w:val="en-US" w:eastAsia="zh-CN"/>
              </w:rPr>
              <w:t>具有沥青保温车（路面养护车），有1辆得2分,</w:t>
            </w:r>
            <w:r>
              <w:rPr>
                <w:rFonts w:hint="eastAsia" w:ascii="宋体" w:hAnsi="宋体"/>
                <w:color w:val="auto"/>
                <w:sz w:val="24"/>
                <w:szCs w:val="28"/>
              </w:rPr>
              <w:t>最多得</w:t>
            </w:r>
            <w:r>
              <w:rPr>
                <w:rFonts w:hint="eastAsia" w:ascii="宋体" w:hAnsi="宋体"/>
                <w:color w:val="auto"/>
                <w:sz w:val="24"/>
                <w:szCs w:val="28"/>
                <w:lang w:val="en-US" w:eastAsia="zh-CN"/>
              </w:rPr>
              <w:t>2</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微软雅黑" w:hAnsi="微软雅黑" w:eastAsia="微软雅黑" w:cs="微软雅黑"/>
                <w:color w:val="auto"/>
                <w:sz w:val="24"/>
                <w:szCs w:val="28"/>
                <w:lang w:eastAsia="zh-CN"/>
              </w:rPr>
              <w:t>④</w:t>
            </w:r>
            <w:r>
              <w:rPr>
                <w:rFonts w:hint="eastAsia" w:ascii="宋体" w:hAnsi="宋体"/>
                <w:color w:val="auto"/>
                <w:sz w:val="24"/>
                <w:szCs w:val="28"/>
                <w:lang w:val="en-US" w:eastAsia="zh-CN"/>
              </w:rPr>
              <w:t>具有管道疏通车（管道清洗车），有1辆得2分,</w:t>
            </w:r>
            <w:r>
              <w:rPr>
                <w:rFonts w:hint="eastAsia" w:ascii="宋体" w:hAnsi="宋体"/>
                <w:color w:val="auto"/>
                <w:sz w:val="24"/>
                <w:szCs w:val="28"/>
              </w:rPr>
              <w:t>最多得</w:t>
            </w:r>
            <w:r>
              <w:rPr>
                <w:rFonts w:hint="eastAsia" w:ascii="宋体" w:hAnsi="宋体"/>
                <w:color w:val="auto"/>
                <w:sz w:val="24"/>
                <w:szCs w:val="28"/>
                <w:lang w:val="en-US" w:eastAsia="zh-CN"/>
              </w:rPr>
              <w:t>4</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宋体" w:hAnsi="宋体" w:eastAsia="宋体" w:cs="宋体"/>
                <w:color w:val="auto"/>
                <w:sz w:val="24"/>
                <w:szCs w:val="28"/>
                <w:lang w:eastAsia="zh-CN"/>
              </w:rPr>
              <w:t>⑤</w:t>
            </w:r>
            <w:r>
              <w:rPr>
                <w:rFonts w:hint="eastAsia" w:ascii="宋体" w:hAnsi="宋体"/>
                <w:color w:val="auto"/>
                <w:sz w:val="24"/>
                <w:szCs w:val="28"/>
                <w:lang w:val="en-US" w:eastAsia="zh-CN"/>
              </w:rPr>
              <w:t>具有吸污净化车，有1辆得2分,</w:t>
            </w:r>
            <w:r>
              <w:rPr>
                <w:rFonts w:hint="eastAsia" w:ascii="宋体" w:hAnsi="宋体"/>
                <w:color w:val="auto"/>
                <w:sz w:val="24"/>
                <w:szCs w:val="28"/>
              </w:rPr>
              <w:t>最多得</w:t>
            </w:r>
            <w:r>
              <w:rPr>
                <w:rFonts w:hint="eastAsia" w:ascii="宋体" w:hAnsi="宋体"/>
                <w:color w:val="auto"/>
                <w:sz w:val="24"/>
                <w:szCs w:val="28"/>
                <w:lang w:val="en-US" w:eastAsia="zh-CN"/>
              </w:rPr>
              <w:t>2</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宋体" w:hAnsi="宋体" w:eastAsia="宋体" w:cs="宋体"/>
                <w:color w:val="auto"/>
                <w:sz w:val="24"/>
                <w:szCs w:val="28"/>
                <w:lang w:eastAsia="zh-CN"/>
              </w:rPr>
              <w:t>⑥</w:t>
            </w:r>
            <w:r>
              <w:rPr>
                <w:rFonts w:hint="eastAsia" w:ascii="宋体" w:hAnsi="宋体"/>
                <w:color w:val="auto"/>
                <w:sz w:val="24"/>
                <w:szCs w:val="28"/>
                <w:lang w:val="en-US" w:eastAsia="zh-CN"/>
              </w:rPr>
              <w:t>具有</w:t>
            </w:r>
            <w:r>
              <w:rPr>
                <w:rFonts w:hint="eastAsia" w:ascii="宋体" w:hAnsi="宋体" w:eastAsia="宋体" w:cs="宋体"/>
                <w:sz w:val="24"/>
                <w:szCs w:val="24"/>
              </w:rPr>
              <w:t>抽水水泵</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0m³/h）</w:t>
            </w:r>
            <w:r>
              <w:rPr>
                <w:rFonts w:hint="eastAsia" w:ascii="宋体" w:hAnsi="宋体" w:cs="宋体"/>
                <w:sz w:val="24"/>
                <w:szCs w:val="24"/>
                <w:lang w:eastAsia="zh-CN"/>
              </w:rPr>
              <w:t>、</w:t>
            </w:r>
            <w:r>
              <w:rPr>
                <w:rFonts w:hint="eastAsia" w:ascii="宋体" w:hAnsi="宋体" w:cs="宋体"/>
                <w:sz w:val="24"/>
                <w:szCs w:val="24"/>
                <w:lang w:val="en-US" w:eastAsia="zh-CN"/>
              </w:rPr>
              <w:t>发电机、</w:t>
            </w:r>
            <w:r>
              <w:rPr>
                <w:rFonts w:hint="eastAsia" w:ascii="宋体" w:hAnsi="宋体" w:eastAsia="宋体" w:cs="宋体"/>
                <w:color w:val="auto"/>
                <w:sz w:val="24"/>
                <w:szCs w:val="24"/>
              </w:rPr>
              <w:t>CCTV检测设备的得</w:t>
            </w:r>
            <w:r>
              <w:rPr>
                <w:rFonts w:hint="eastAsia"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最高</w:t>
            </w:r>
            <w:r>
              <w:rPr>
                <w:rFonts w:hint="eastAsia" w:ascii="宋体" w:hAnsi="宋体" w:eastAsia="宋体" w:cs="宋体"/>
                <w:sz w:val="24"/>
                <w:szCs w:val="24"/>
              </w:rPr>
              <w:t>得</w:t>
            </w:r>
            <w:r>
              <w:rPr>
                <w:rFonts w:hint="eastAsia" w:cs="宋体"/>
                <w:sz w:val="24"/>
                <w:szCs w:val="24"/>
                <w:lang w:val="en-US" w:eastAsia="zh-CN"/>
              </w:rPr>
              <w:t>2</w:t>
            </w:r>
            <w:r>
              <w:rPr>
                <w:rFonts w:hint="eastAsia" w:ascii="宋体" w:hAnsi="宋体" w:eastAsia="宋体" w:cs="宋体"/>
                <w:sz w:val="24"/>
                <w:szCs w:val="24"/>
              </w:rPr>
              <w:t>分。</w:t>
            </w:r>
            <w:r>
              <w:rPr>
                <w:rFonts w:hint="eastAsia" w:ascii="宋体" w:hAnsi="宋体" w:cs="仿宋"/>
                <w:b/>
                <w:bCs/>
                <w:color w:val="auto"/>
                <w:sz w:val="24"/>
                <w:szCs w:val="24"/>
                <w:lang w:val="en-US" w:eastAsia="zh-CN"/>
              </w:rPr>
              <w:t>(投标文件中</w:t>
            </w:r>
            <w:r>
              <w:rPr>
                <w:rFonts w:hint="eastAsia" w:ascii="宋体" w:hAnsi="宋体" w:cs="仿宋"/>
                <w:b/>
                <w:bCs/>
                <w:color w:val="auto"/>
                <w:sz w:val="24"/>
                <w:szCs w:val="24"/>
              </w:rPr>
              <w:t>提供投标人本单位</w:t>
            </w:r>
            <w:r>
              <w:rPr>
                <w:rFonts w:hint="eastAsia" w:ascii="宋体" w:hAnsi="宋体" w:cs="仿宋"/>
                <w:b/>
                <w:bCs/>
                <w:color w:val="auto"/>
                <w:sz w:val="24"/>
                <w:szCs w:val="24"/>
                <w:lang w:val="en-US" w:eastAsia="zh-CN"/>
              </w:rPr>
              <w:t>设备</w:t>
            </w:r>
            <w:r>
              <w:rPr>
                <w:rFonts w:hint="eastAsia" w:ascii="宋体" w:hAnsi="宋体" w:cs="仿宋"/>
                <w:b/>
                <w:bCs/>
                <w:color w:val="auto"/>
                <w:sz w:val="24"/>
                <w:szCs w:val="24"/>
              </w:rPr>
              <w:t>的购买发票</w:t>
            </w:r>
            <w:r>
              <w:rPr>
                <w:rFonts w:hint="eastAsia" w:ascii="宋体" w:hAnsi="宋体" w:cs="仿宋"/>
                <w:b/>
                <w:bCs/>
                <w:color w:val="auto"/>
                <w:sz w:val="24"/>
                <w:szCs w:val="24"/>
                <w:lang w:eastAsia="zh-CN"/>
              </w:rPr>
              <w:t>，</w:t>
            </w:r>
            <w:r>
              <w:rPr>
                <w:rFonts w:hint="eastAsia" w:ascii="宋体" w:hAnsi="宋体" w:cs="仿宋"/>
                <w:b/>
                <w:bCs/>
                <w:color w:val="auto"/>
                <w:sz w:val="24"/>
                <w:szCs w:val="24"/>
                <w:lang w:val="en-US" w:eastAsia="zh-CN"/>
              </w:rPr>
              <w:t>作业车辆还需提供车辆行驶证、车辆登记证复印件</w:t>
            </w:r>
            <w:r>
              <w:rPr>
                <w:rFonts w:hint="eastAsia" w:ascii="宋体" w:hAnsi="宋体" w:cs="宋体"/>
                <w:b/>
                <w:bCs w:val="0"/>
                <w:color w:val="auto"/>
                <w:kern w:val="0"/>
                <w:sz w:val="24"/>
                <w:szCs w:val="24"/>
                <w:highlight w:val="none"/>
                <w:lang w:eastAsia="zh-CN"/>
              </w:rPr>
              <w:t>或扫描打印件</w:t>
            </w:r>
            <w:r>
              <w:rPr>
                <w:rFonts w:hint="eastAsia" w:ascii="宋体" w:hAnsi="宋体" w:cs="仿宋"/>
                <w:b/>
                <w:bCs/>
                <w:color w:val="auto"/>
                <w:sz w:val="24"/>
                <w:szCs w:val="24"/>
              </w:rPr>
              <w:t>进行证明</w:t>
            </w:r>
            <w:r>
              <w:rPr>
                <w:rFonts w:hint="eastAsia" w:ascii="宋体" w:hAnsi="宋体" w:cs="仿宋"/>
                <w:b/>
                <w:bCs/>
                <w:color w:val="auto"/>
                <w:sz w:val="24"/>
                <w:szCs w:val="24"/>
                <w:lang w:val="en-US" w:eastAsia="zh-CN"/>
              </w:rPr>
              <w:t>并加盖公章</w:t>
            </w:r>
            <w:r>
              <w:rPr>
                <w:rFonts w:hint="eastAsia" w:ascii="宋体" w:hAnsi="宋体" w:cs="仿宋"/>
                <w:b/>
                <w:bCs/>
                <w:color w:val="auto"/>
                <w:sz w:val="24"/>
                <w:szCs w:val="24"/>
              </w:rPr>
              <w:t>，否则不得分</w:t>
            </w:r>
            <w:r>
              <w:rPr>
                <w:rFonts w:hint="eastAsia" w:ascii="宋体" w:hAnsi="宋体" w:cs="仿宋"/>
                <w:b/>
                <w:bCs/>
                <w:color w:val="auto"/>
                <w:sz w:val="24"/>
                <w:szCs w:val="24"/>
                <w:lang w:val="en-US" w:eastAsia="zh-CN"/>
              </w:rPr>
              <w:t>)</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554" w:type="dxa"/>
            <w:vAlign w:val="center"/>
          </w:tcPr>
          <w:p>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color w:val="auto"/>
                <w:sz w:val="24"/>
              </w:rPr>
              <w:t>管理制度是否切实可行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eastAsia="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5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color w:val="auto"/>
                <w:lang w:val="en-US" w:eastAsia="zh-CN"/>
              </w:rPr>
            </w:pPr>
            <w:r>
              <w:rPr>
                <w:rFonts w:hint="eastAsia" w:ascii="宋体" w:hAnsi="宋体" w:cs="宋体"/>
                <w:color w:val="auto"/>
                <w:kern w:val="0"/>
                <w:sz w:val="24"/>
              </w:rPr>
              <w:t>进场作业人员具体安排方案</w:t>
            </w:r>
            <w:r>
              <w:rPr>
                <w:rFonts w:hint="eastAsia" w:ascii="宋体" w:hAnsi="宋体"/>
                <w:color w:val="auto"/>
                <w:sz w:val="24"/>
              </w:rPr>
              <w:t>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cs="宋体"/>
                <w:b w:val="0"/>
                <w:bCs w:val="0"/>
                <w:color w:val="auto"/>
                <w:szCs w:val="24"/>
                <w:highlight w:val="none"/>
                <w:lang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5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color w:val="auto"/>
                <w:spacing w:val="-2"/>
                <w:sz w:val="24"/>
                <w:szCs w:val="24"/>
                <w:lang w:val="en-US" w:eastAsia="zh-CN"/>
              </w:rPr>
            </w:pPr>
            <w:r>
              <w:rPr>
                <w:rFonts w:hint="eastAsia" w:ascii="宋体" w:hAnsi="宋体" w:cs="宋体"/>
                <w:color w:val="auto"/>
                <w:kern w:val="0"/>
                <w:sz w:val="24"/>
              </w:rPr>
              <w:t>质量、安全、文明施工保证措施是否切实可行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eastAsia="宋体"/>
                <w:color w:val="auto"/>
                <w:spacing w:val="-2"/>
                <w:sz w:val="24"/>
                <w:szCs w:val="24"/>
                <w:lang w:val="en-US" w:eastAsia="zh-CN"/>
              </w:rPr>
            </w:pPr>
            <w:r>
              <w:rPr>
                <w:rFonts w:hint="eastAsia" w:ascii="宋体" w:hAnsi="宋体" w:cs="宋体"/>
                <w:color w:val="auto"/>
                <w:kern w:val="0"/>
                <w:sz w:val="24"/>
              </w:rPr>
              <w:t>针对养护质量标准的具体工作描述是否科学、合理、有针对性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75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养护巡查机制是否切实可行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75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台帐管理制度是否科学、合理、有针对性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75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突发事故、应急抢修的处理方案</w:t>
            </w:r>
            <w:r>
              <w:rPr>
                <w:rFonts w:hint="eastAsia" w:ascii="宋体" w:hAnsi="宋体" w:cs="宋体"/>
                <w:color w:val="auto"/>
                <w:kern w:val="0"/>
                <w:sz w:val="24"/>
                <w:lang w:val="en-US" w:eastAsia="zh-CN"/>
              </w:rPr>
              <w:t>、人员配备情况</w:t>
            </w:r>
            <w:r>
              <w:rPr>
                <w:rFonts w:hint="eastAsia" w:ascii="宋体" w:hAnsi="宋体" w:cs="宋体"/>
                <w:color w:val="auto"/>
                <w:kern w:val="0"/>
                <w:sz w:val="24"/>
              </w:rPr>
              <w:t>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75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重点难点的分析及处理方案是否科学、合理、有针对性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802" w:type="dxa"/>
            <w:vAlign w:val="center"/>
          </w:tcPr>
          <w:p>
            <w:pPr>
              <w:widowControl w:val="0"/>
              <w:wordWrap/>
              <w:adjustRightInd w:val="0"/>
              <w:snapToGrid/>
              <w:spacing w:line="600" w:lineRule="exact"/>
              <w:ind w:left="0" w:leftChars="0" w:right="0" w:rightChars="0" w:firstLine="0" w:firstLineChars="0"/>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17</w:t>
            </w:r>
          </w:p>
        </w:tc>
        <w:tc>
          <w:tcPr>
            <w:tcW w:w="75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w:hAnsi="Times New Roman" w:eastAsia="宋体" w:cs="Times New Roman"/>
                <w:color w:val="auto"/>
                <w:spacing w:val="-2"/>
                <w:kern w:val="2"/>
                <w:sz w:val="24"/>
                <w:szCs w:val="24"/>
                <w:lang w:val="en-US" w:eastAsia="zh-CN" w:bidi="ar-SA"/>
              </w:rPr>
            </w:pPr>
            <w:r>
              <w:rPr>
                <w:rFonts w:hint="eastAsia" w:ascii="宋体" w:hAnsi="宋体" w:cs="宋体"/>
                <w:color w:val="auto"/>
                <w:kern w:val="0"/>
                <w:sz w:val="24"/>
              </w:rPr>
              <w:t>合理化建议是否科学、合理、有针对性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2" w:hRule="atLeast"/>
          <w:jc w:val="center"/>
        </w:trPr>
        <w:tc>
          <w:tcPr>
            <w:tcW w:w="802" w:type="dxa"/>
            <w:vAlign w:val="center"/>
          </w:tcPr>
          <w:p>
            <w:pPr>
              <w:widowControl w:val="0"/>
              <w:wordWrap/>
              <w:adjustRightInd w:val="0"/>
              <w:snapToGrid/>
              <w:spacing w:line="600" w:lineRule="exact"/>
              <w:ind w:left="0" w:leftChars="0" w:right="0" w:rightChars="0" w:firstLine="0" w:firstLineChars="0"/>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18</w:t>
            </w:r>
          </w:p>
        </w:tc>
        <w:tc>
          <w:tcPr>
            <w:tcW w:w="7554" w:type="dxa"/>
            <w:vAlign w:val="top"/>
          </w:tcPr>
          <w:p>
            <w:pPr>
              <w:widowControl w:val="0"/>
              <w:wordWrap/>
              <w:adjustRightInd w:val="0"/>
              <w:snapToGrid/>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0］的计算公式计算。</w:t>
            </w:r>
          </w:p>
          <w:p>
            <w:pPr>
              <w:widowControl w:val="0"/>
              <w:wordWrap/>
              <w:adjustRightInd w:val="0"/>
              <w:snapToGrid/>
              <w:spacing w:line="6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评标过程中，不得去掉报价中的最高报价和最低报价</w:t>
            </w:r>
            <w:r>
              <w:rPr>
                <w:rFonts w:hint="eastAsia" w:ascii="宋体" w:hAnsi="宋体" w:eastAsia="宋体" w:cs="宋体"/>
                <w:color w:val="auto"/>
                <w:sz w:val="24"/>
                <w:szCs w:val="24"/>
                <w:lang w:eastAsia="zh-CN"/>
              </w:rPr>
              <w:t>。</w:t>
            </w:r>
          </w:p>
          <w:p>
            <w:pPr>
              <w:widowControl w:val="0"/>
              <w:wordWrap/>
              <w:adjustRightInd w:val="0"/>
              <w:snapToGrid/>
              <w:spacing w:line="600" w:lineRule="exact"/>
              <w:ind w:left="0" w:leftChars="0" w:right="0" w:rightChars="0" w:firstLine="0" w:firstLineChars="0"/>
              <w:textAlignment w:val="auto"/>
              <w:outlineLvl w:val="9"/>
              <w:rPr>
                <w:rFonts w:hint="default"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因落实政府采购政策需要进行价格调整的，以调整后的价格计算评标基准价和投标报价。</w:t>
            </w:r>
          </w:p>
        </w:tc>
        <w:tc>
          <w:tcPr>
            <w:tcW w:w="1139" w:type="dxa"/>
            <w:vAlign w:val="center"/>
          </w:tcPr>
          <w:p>
            <w:pPr>
              <w:pStyle w:val="90"/>
              <w:widowControl w:val="0"/>
              <w:wordWrap/>
              <w:adjustRightInd w:val="0"/>
              <w:snapToGrid/>
              <w:spacing w:before="0" w:line="600" w:lineRule="exact"/>
              <w:ind w:left="0" w:leftChars="0" w:right="0" w:rightChars="0" w:firstLine="0" w:firstLineChars="0"/>
              <w:jc w:val="both"/>
              <w:textAlignment w:val="auto"/>
              <w:outlineLvl w:val="9"/>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Cs w:val="24"/>
                <w:highlight w:val="none"/>
                <w:lang w:val="en-US" w:eastAsia="zh-CN"/>
              </w:rPr>
              <w:t xml:space="preserve">   </w:t>
            </w:r>
            <w:r>
              <w:rPr>
                <w:rFonts w:hint="eastAsia" w:ascii="宋体" w:hAnsi="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val="en-US" w:eastAsia="zh-CN"/>
              </w:rPr>
              <w:t>0</w:t>
            </w:r>
          </w:p>
        </w:tc>
      </w:tr>
    </w:tbl>
    <w:p>
      <w:pPr>
        <w:wordWrap/>
        <w:snapToGrid w:val="0"/>
        <w:spacing w:line="600" w:lineRule="exact"/>
        <w:textAlignment w:val="auto"/>
        <w:rPr>
          <w:rFonts w:hint="eastAsia" w:ascii="宋体" w:hAnsi="宋体" w:eastAsia="宋体" w:cs="宋体"/>
          <w:b/>
          <w:sz w:val="28"/>
          <w:szCs w:val="28"/>
        </w:rPr>
      </w:pPr>
      <w:r>
        <w:rPr>
          <w:rFonts w:hint="eastAsia" w:ascii="宋体" w:hAnsi="宋体" w:eastAsia="宋体" w:cs="宋体"/>
          <w:b/>
          <w:sz w:val="28"/>
          <w:szCs w:val="28"/>
        </w:rPr>
        <w:t>一、评标方法</w:t>
      </w:r>
    </w:p>
    <w:p>
      <w:pPr>
        <w:wordWrap/>
        <w:adjustRightInd/>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wordWrap/>
        <w:adjustRightInd/>
        <w:spacing w:line="600" w:lineRule="exact"/>
        <w:textAlignment w:val="auto"/>
        <w:rPr>
          <w:rFonts w:hint="eastAsia" w:ascii="宋体" w:hAnsi="宋体" w:eastAsia="宋体" w:cs="宋体"/>
          <w:kern w:val="0"/>
          <w:sz w:val="28"/>
          <w:szCs w:val="28"/>
        </w:rPr>
      </w:pPr>
      <w:r>
        <w:rPr>
          <w:rFonts w:hint="eastAsia" w:ascii="宋体" w:hAnsi="宋体" w:eastAsia="宋体" w:cs="宋体"/>
          <w:b/>
          <w:sz w:val="28"/>
          <w:szCs w:val="28"/>
        </w:rPr>
        <w:t>二、评标标准</w:t>
      </w:r>
    </w:p>
    <w:p>
      <w:pPr>
        <w:wordWrap/>
        <w:spacing w:line="60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wordWrap/>
        <w:spacing w:line="600" w:lineRule="exact"/>
        <w:textAlignment w:val="auto"/>
        <w:outlineLvl w:val="0"/>
        <w:rPr>
          <w:rFonts w:hint="eastAsia" w:ascii="宋体" w:hAnsi="宋体" w:eastAsia="宋体" w:cs="宋体"/>
          <w:b/>
          <w:sz w:val="28"/>
          <w:szCs w:val="28"/>
        </w:rPr>
      </w:pPr>
      <w:r>
        <w:rPr>
          <w:rFonts w:hint="eastAsia" w:ascii="宋体" w:hAnsi="宋体" w:eastAsia="宋体" w:cs="宋体"/>
          <w:b/>
          <w:sz w:val="28"/>
          <w:szCs w:val="28"/>
        </w:rPr>
        <w:t>三、评标程序</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wordWrap/>
        <w:spacing w:line="600" w:lineRule="exact"/>
        <w:ind w:firstLine="472" w:firstLineChars="196"/>
        <w:textAlignment w:val="auto"/>
        <w:rPr>
          <w:rFonts w:hint="eastAsia" w:ascii="宋体" w:hAnsi="宋体" w:eastAsia="宋体" w:cs="宋体"/>
          <w:b/>
          <w:kern w:val="0"/>
          <w:sz w:val="24"/>
          <w:lang w:eastAsia="zh-CN"/>
        </w:rPr>
      </w:pPr>
      <w:r>
        <w:rPr>
          <w:rFonts w:hint="eastAsia" w:ascii="宋体" w:hAnsi="宋体" w:eastAsia="宋体" w:cs="宋体"/>
          <w:b/>
          <w:kern w:val="0"/>
          <w:sz w:val="24"/>
        </w:rPr>
        <w:t>3.4报价评审</w:t>
      </w:r>
      <w:r>
        <w:rPr>
          <w:rFonts w:hint="eastAsia" w:ascii="宋体" w:hAnsi="宋体" w:eastAsia="宋体" w:cs="宋体"/>
          <w:b/>
          <w:kern w:val="0"/>
          <w:sz w:val="24"/>
          <w:lang w:eastAsia="zh-CN"/>
        </w:rPr>
        <w:t>。</w:t>
      </w:r>
    </w:p>
    <w:p>
      <w:pPr>
        <w:wordWrap/>
        <w:spacing w:line="6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pPr>
        <w:pStyle w:val="90"/>
        <w:wordWrap/>
        <w:spacing w:before="0" w:line="600" w:lineRule="exact"/>
        <w:ind w:left="0" w:leftChars="0" w:firstLine="480" w:firstLineChars="200"/>
        <w:textAlignment w:val="auto"/>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内容与投标文件中相应内容不一致的，以开标一览表(报价表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为准</w:t>
      </w:r>
      <w:r>
        <w:rPr>
          <w:rFonts w:hint="eastAsia" w:ascii="宋体" w:hAnsi="宋体" w:cs="宋体"/>
          <w:kern w:val="0"/>
          <w:szCs w:val="24"/>
          <w:lang w:eastAsia="zh-CN"/>
        </w:rPr>
        <w:t>；</w:t>
      </w:r>
    </w:p>
    <w:p>
      <w:pPr>
        <w:pStyle w:val="90"/>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pPr>
        <w:pStyle w:val="90"/>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pPr>
        <w:pStyle w:val="90"/>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90"/>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90"/>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pPr>
        <w:pStyle w:val="90"/>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3.4.5</w:t>
      </w:r>
      <w:r>
        <w:rPr>
          <w:rFonts w:hint="eastAsia" w:ascii="宋体" w:hAnsi="宋体" w:eastAsia="宋体" w:cs="宋体"/>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lang w:eastAsia="zh-CN"/>
        </w:rPr>
        <w:t>20%</w:t>
      </w:r>
      <w:r>
        <w:rPr>
          <w:rFonts w:hint="eastAsia" w:ascii="宋体" w:hAnsi="宋体" w:eastAsia="宋体" w:cs="宋体"/>
          <w:color w:val="auto"/>
          <w:kern w:val="0"/>
          <w:szCs w:val="24"/>
        </w:rPr>
        <w:t>的扣除，用扣除后的价格参与评审。</w:t>
      </w:r>
      <w:r>
        <w:rPr>
          <w:rFonts w:hint="eastAsia" w:ascii="宋体" w:hAnsi="宋体" w:eastAsia="宋体" w:cs="宋体"/>
          <w:kern w:val="0"/>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wordWrap/>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spacing w:line="600" w:lineRule="exact"/>
        <w:textAlignment w:val="auto"/>
        <w:rPr>
          <w:rFonts w:hint="eastAsia" w:ascii="宋体" w:hAnsi="宋体" w:eastAsia="宋体" w:cs="宋体"/>
          <w:b/>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adjustRightInd/>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t>四、评标中的其他事项</w:t>
      </w:r>
    </w:p>
    <w:p>
      <w:pPr>
        <w:pStyle w:val="90"/>
        <w:wordWrap/>
        <w:spacing w:before="0" w:line="600" w:lineRule="exact"/>
        <w:ind w:firstLine="472" w:firstLineChars="196"/>
        <w:textAlignment w:val="auto"/>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wordWrap/>
        <w:spacing w:line="600" w:lineRule="exact"/>
        <w:ind w:left="954" w:leftChars="226" w:hanging="479" w:firstLineChars="0"/>
        <w:textAlignment w:val="auto"/>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wordWrap/>
        <w:snapToGrid w:val="0"/>
        <w:spacing w:line="600" w:lineRule="exact"/>
        <w:ind w:firstLine="120" w:firstLineChars="5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wordWrap/>
        <w:spacing w:line="600" w:lineRule="exact"/>
        <w:ind w:firstLine="240" w:firstLineChars="100"/>
        <w:textAlignment w:val="auto"/>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pStyle w:val="6"/>
        <w:wordWrap/>
        <w:spacing w:line="600" w:lineRule="exact"/>
        <w:ind w:left="0" w:leftChars="0" w:firstLine="0" w:firstLineChars="0"/>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rPr>
        <w:t>4.2.13 投标文件不满足招标文件的其它实质性要求的；</w:t>
      </w:r>
    </w:p>
    <w:p>
      <w:pPr>
        <w:wordWrap/>
        <w:spacing w:line="600" w:lineRule="exact"/>
        <w:textAlignment w:val="auto"/>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4.2.14法律、法规、规章（适用本市的）及省级以上规范性文件（适用本市的）规定的其他无效情形。</w:t>
      </w:r>
    </w:p>
    <w:p>
      <w:pPr>
        <w:pStyle w:val="26"/>
        <w:wordWrap/>
        <w:snapToGrid w:val="0"/>
        <w:spacing w:line="600" w:lineRule="exact"/>
        <w:ind w:firstLine="472" w:firstLineChars="196"/>
        <w:textAlignment w:val="auto"/>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5.2出现影响采购公正的违法、违规行为的；</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5.4因重大变故，采购任务取消的。</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废标后，采购机构应当将废标理由通知所有投标人。</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bookmarkEnd w:id="26"/>
    <w:p>
      <w:pPr>
        <w:pStyle w:val="62"/>
        <w:rPr>
          <w:rFonts w:hint="eastAsia" w:ascii="宋体" w:hAnsi="宋体" w:eastAsia="宋体" w:cs="宋体"/>
          <w:sz w:val="24"/>
          <w:szCs w:val="24"/>
        </w:rPr>
      </w:pPr>
      <w:bookmarkStart w:id="394" w:name="第五部分"/>
      <w:bookmarkStart w:id="395" w:name="_Toc86217003"/>
    </w:p>
    <w:p>
      <w:pPr>
        <w:pStyle w:val="62"/>
        <w:rPr>
          <w:rFonts w:hint="eastAsia" w:ascii="宋体" w:hAnsi="宋体" w:eastAsia="宋体" w:cs="宋体"/>
          <w:sz w:val="24"/>
          <w:szCs w:val="24"/>
        </w:rPr>
      </w:pPr>
    </w:p>
    <w:p>
      <w:pPr>
        <w:pStyle w:val="62"/>
        <w:rPr>
          <w:rFonts w:hint="eastAsia" w:ascii="宋体" w:hAnsi="宋体" w:eastAsia="宋体" w:cs="宋体"/>
          <w:sz w:val="24"/>
          <w:szCs w:val="24"/>
        </w:rPr>
      </w:pPr>
    </w:p>
    <w:p>
      <w:pPr>
        <w:jc w:val="both"/>
        <w:rPr>
          <w:rFonts w:hint="eastAsia"/>
          <w:b/>
          <w:bCs/>
          <w:sz w:val="28"/>
          <w:szCs w:val="28"/>
        </w:rPr>
      </w:pPr>
    </w:p>
    <w:p>
      <w:pPr>
        <w:jc w:val="center"/>
        <w:rPr>
          <w:rFonts w:hint="eastAsia"/>
          <w:b/>
          <w:bCs/>
          <w:sz w:val="28"/>
          <w:szCs w:val="28"/>
        </w:rPr>
        <w:sectPr>
          <w:pgSz w:w="11905" w:h="16838"/>
          <w:pgMar w:top="1531" w:right="1304" w:bottom="1531" w:left="1361" w:header="851" w:footer="992" w:gutter="0"/>
          <w:cols w:space="720" w:num="1"/>
          <w:titlePg/>
          <w:rtlGutter w:val="0"/>
          <w:docGrid w:linePitch="1" w:charSpace="0"/>
        </w:sectPr>
      </w:pPr>
    </w:p>
    <w:p>
      <w:pPr>
        <w:jc w:val="center"/>
        <w:rPr>
          <w:rFonts w:hint="eastAsia"/>
          <w:b/>
          <w:bCs/>
          <w:sz w:val="28"/>
          <w:szCs w:val="28"/>
        </w:rPr>
      </w:pPr>
      <w:r>
        <w:rPr>
          <w:rFonts w:hint="eastAsia"/>
          <w:b/>
          <w:bCs/>
          <w:sz w:val="28"/>
          <w:szCs w:val="28"/>
        </w:rPr>
        <w:t>第五部分 拟签订的合同文本</w:t>
      </w:r>
    </w:p>
    <w:p>
      <w:pPr>
        <w:rPr>
          <w:rFonts w:hint="eastAsia" w:ascii="宋体" w:hAnsi="宋体" w:eastAsia="宋体" w:cs="宋体"/>
          <w:sz w:val="24"/>
        </w:rPr>
      </w:pP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政府采购合同参考范本（以实际签订为准）</w:t>
      </w:r>
    </w:p>
    <w:p>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pStyle w:val="526"/>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6"/>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6"/>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6"/>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6"/>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6"/>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62"/>
        <w:rPr>
          <w:rFonts w:hint="eastAsia"/>
        </w:rPr>
      </w:pPr>
    </w:p>
    <w:p>
      <w:pPr>
        <w:pStyle w:val="526"/>
        <w:rPr>
          <w:rFonts w:hint="eastAsia" w:ascii="仿宋_GB2312" w:hAnsi="仿宋" w:eastAsia="仿宋_GB2312" w:cs="仿宋_GB2312"/>
          <w:b/>
          <w:color w:val="auto"/>
          <w:sz w:val="36"/>
          <w:szCs w:val="36"/>
          <w:highlight w:val="none"/>
        </w:rPr>
      </w:pPr>
    </w:p>
    <w:p>
      <w:pPr>
        <w:pStyle w:val="35"/>
        <w:snapToGrid w:val="0"/>
        <w:spacing w:line="360" w:lineRule="auto"/>
        <w:jc w:val="center"/>
        <w:rPr>
          <w:rFonts w:hint="eastAsia" w:ascii="宋体" w:hAnsi="宋体" w:eastAsia="宋体" w:cs="宋体"/>
          <w:b/>
          <w:bCs/>
          <w:color w:val="auto"/>
          <w:sz w:val="24"/>
          <w:szCs w:val="24"/>
          <w:highlight w:val="none"/>
        </w:rPr>
      </w:pPr>
      <w:bookmarkStart w:id="396" w:name="_Toc295465365"/>
      <w:bookmarkEnd w:id="396"/>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pPr>
        <w:pStyle w:val="35"/>
        <w:snapToGrid w:val="0"/>
        <w:spacing w:line="6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项目名称：</w:t>
      </w:r>
      <w:r>
        <w:rPr>
          <w:rFonts w:hint="eastAsia" w:hAnsi="宋体" w:cs="宋体"/>
          <w:sz w:val="24"/>
          <w:szCs w:val="24"/>
          <w:lang w:val="en-US" w:eastAsia="zh-CN"/>
        </w:rPr>
        <w:t xml:space="preserve"> </w:t>
      </w:r>
    </w:p>
    <w:p>
      <w:pPr>
        <w:pStyle w:val="35"/>
        <w:snapToGrid w:val="0"/>
        <w:spacing w:line="6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项目编号：</w:t>
      </w:r>
      <w:r>
        <w:rPr>
          <w:rFonts w:hint="eastAsia" w:hAnsi="宋体" w:cs="宋体"/>
          <w:sz w:val="24"/>
          <w:lang w:val="en-US" w:eastAsia="zh-CN"/>
        </w:rPr>
        <w:t xml:space="preserve"> </w:t>
      </w:r>
    </w:p>
    <w:p>
      <w:pPr>
        <w:pStyle w:val="35"/>
        <w:snapToGrid w:val="0"/>
        <w:spacing w:line="6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甲方：</w:t>
      </w:r>
      <w:r>
        <w:rPr>
          <w:rFonts w:hint="eastAsia" w:hAnsi="宋体" w:cs="宋体"/>
          <w:color w:val="000000"/>
          <w:sz w:val="24"/>
          <w:szCs w:val="24"/>
          <w:lang w:eastAsia="zh-CN"/>
        </w:rPr>
        <w:t>杭州市临平区人民政府东湖街道办事处</w:t>
      </w:r>
    </w:p>
    <w:p>
      <w:pPr>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乙方：</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甲、乙双方根据</w:t>
      </w:r>
      <w:r>
        <w:rPr>
          <w:rFonts w:hint="eastAsia" w:ascii="宋体" w:hAnsi="宋体"/>
          <w:sz w:val="24"/>
          <w:szCs w:val="24"/>
          <w:u w:val="single"/>
          <w:lang w:val="en-US" w:eastAsia="zh-CN"/>
        </w:rPr>
        <w:t xml:space="preserve">                    </w:t>
      </w:r>
      <w:r>
        <w:rPr>
          <w:rFonts w:hint="eastAsia" w:ascii="宋体" w:hAnsi="宋体" w:eastAsia="宋体"/>
          <w:color w:val="000000"/>
          <w:sz w:val="24"/>
          <w:lang w:eastAsia="zh-CN"/>
        </w:rPr>
        <w:t>政府采购</w:t>
      </w:r>
      <w:r>
        <w:rPr>
          <w:rFonts w:hint="eastAsia" w:ascii="宋体" w:hAnsi="宋体" w:eastAsia="宋体"/>
          <w:color w:val="000000"/>
          <w:sz w:val="24"/>
          <w:szCs w:val="24"/>
          <w:lang w:eastAsia="zh-CN"/>
        </w:rPr>
        <w:t>公开招标的结果，签署本合同。</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600" w:lineRule="exact"/>
        <w:ind w:firstLine="480" w:firstLineChars="200"/>
        <w:rPr>
          <w:rFonts w:hint="eastAsia" w:ascii="宋体" w:hAnsi="宋体" w:cs="宋体"/>
          <w:sz w:val="24"/>
        </w:rPr>
      </w:pPr>
      <w:r>
        <w:rPr>
          <w:rFonts w:hint="eastAsia" w:ascii="宋体" w:hAnsi="宋体" w:cs="宋体"/>
          <w:sz w:val="24"/>
          <w:szCs w:val="24"/>
          <w:lang w:val="en-US" w:eastAsia="zh-CN"/>
        </w:rPr>
        <w:t>东湖街道中国大运河家风博物馆运营项目</w:t>
      </w:r>
      <w:r>
        <w:rPr>
          <w:rFonts w:hint="eastAsia" w:ascii="宋体" w:hAnsi="宋体" w:cs="宋体"/>
          <w:sz w:val="24"/>
        </w:rPr>
        <w:t>，具体内容和相关要求详见招标文件“</w:t>
      </w:r>
      <w:r>
        <w:rPr>
          <w:rFonts w:hint="eastAsia" w:ascii="宋体" w:hAnsi="宋体" w:cs="宋体"/>
          <w:kern w:val="0"/>
          <w:sz w:val="24"/>
        </w:rPr>
        <w:t>第三部分——项目技术规范和服务要求”</w:t>
      </w:r>
    </w:p>
    <w:p>
      <w:pPr>
        <w:pStyle w:val="171"/>
        <w:snapToGrid w:val="0"/>
        <w:spacing w:line="600" w:lineRule="exact"/>
        <w:ind w:firstLine="482" w:firstLineChars="200"/>
        <w:rPr>
          <w:rFonts w:ascii="宋体" w:hAnsi="宋体" w:eastAsia="宋体"/>
          <w:sz w:val="24"/>
          <w:szCs w:val="24"/>
          <w:lang w:eastAsia="zh-CN"/>
        </w:rPr>
      </w:pPr>
      <w:r>
        <w:rPr>
          <w:rFonts w:hint="eastAsia" w:ascii="宋体" w:hAnsi="宋体" w:eastAsia="宋体"/>
          <w:b/>
          <w:color w:val="000000"/>
          <w:sz w:val="24"/>
          <w:szCs w:val="24"/>
          <w:lang w:eastAsia="zh-CN"/>
        </w:rPr>
        <w:t>二、</w:t>
      </w:r>
      <w:r>
        <w:rPr>
          <w:rFonts w:hint="eastAsia" w:ascii="宋体" w:hAnsi="宋体" w:eastAsia="宋体"/>
          <w:b/>
          <w:bCs/>
          <w:sz w:val="24"/>
          <w:lang w:eastAsia="zh-CN" w:bidi="en-US"/>
        </w:rPr>
        <w:t>服务时间要求：</w:t>
      </w:r>
      <w:r>
        <w:rPr>
          <w:rFonts w:hint="eastAsia" w:ascii="宋体" w:hAnsi="宋体" w:cs="宋体"/>
          <w:b/>
          <w:bCs/>
          <w:color w:val="0000FF"/>
          <w:sz w:val="24"/>
          <w:highlight w:val="none"/>
          <w:lang w:val="en-US" w:eastAsia="zh-CN"/>
        </w:rPr>
        <w:t>一</w:t>
      </w:r>
      <w:r>
        <w:rPr>
          <w:rFonts w:hint="eastAsia" w:ascii="宋体" w:hAnsi="宋体" w:eastAsia="宋体" w:cs="宋体"/>
          <w:b/>
          <w:bCs/>
          <w:color w:val="0000FF"/>
          <w:sz w:val="24"/>
          <w:highlight w:val="none"/>
          <w:lang w:eastAsia="zh-CN"/>
        </w:rPr>
        <w:t>年</w:t>
      </w:r>
      <w:r>
        <w:rPr>
          <w:rFonts w:hint="eastAsia" w:ascii="宋体" w:hAnsi="宋体" w:eastAsia="宋体"/>
          <w:sz w:val="24"/>
          <w:szCs w:val="24"/>
          <w:lang w:eastAsia="zh-CN"/>
        </w:rPr>
        <w:t>.</w:t>
      </w:r>
    </w:p>
    <w:p>
      <w:pPr>
        <w:pStyle w:val="171"/>
        <w:tabs>
          <w:tab w:val="left" w:pos="3781"/>
        </w:tabs>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三、合同金额</w:t>
      </w:r>
      <w:r>
        <w:rPr>
          <w:rFonts w:hint="eastAsia" w:ascii="宋体" w:hAnsi="宋体" w:eastAsia="宋体"/>
          <w:b/>
          <w:color w:val="000000"/>
          <w:sz w:val="24"/>
          <w:szCs w:val="24"/>
          <w:lang w:eastAsia="zh-CN"/>
        </w:rPr>
        <w:tab/>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标项内容综合单价为人民币（大写）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元），总价为人民币（大写）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元整（￥</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元），其中已包括售后服务等全部费用。本合同执行中相关的一切税费均由乙方负担。</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四、技术资料</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五、知识产权</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六、履约保证金</w:t>
      </w:r>
    </w:p>
    <w:p>
      <w:pPr>
        <w:spacing w:line="600" w:lineRule="exact"/>
        <w:ind w:firstLine="480" w:firstLineChars="200"/>
        <w:rPr>
          <w:rFonts w:hint="eastAsia" w:ascii="宋体" w:hAnsi="宋体" w:cs="宋体"/>
          <w:sz w:val="24"/>
        </w:rPr>
      </w:pPr>
      <w:r>
        <w:rPr>
          <w:rFonts w:hint="eastAsia" w:ascii="宋体" w:hAnsi="宋体" w:cs="宋体"/>
          <w:bCs/>
          <w:sz w:val="24"/>
        </w:rPr>
        <w:t>中标单位在合同签订后支付中标总额</w:t>
      </w:r>
      <w:r>
        <w:rPr>
          <w:rFonts w:hint="eastAsia" w:ascii="宋体" w:hAnsi="宋体" w:cs="宋体"/>
          <w:bCs/>
          <w:sz w:val="24"/>
          <w:lang w:val="en-US" w:eastAsia="zh-CN"/>
        </w:rPr>
        <w:t>1</w:t>
      </w:r>
      <w:r>
        <w:rPr>
          <w:rFonts w:hint="eastAsia" w:ascii="宋体" w:hAnsi="宋体" w:cs="宋体"/>
          <w:bCs/>
          <w:sz w:val="24"/>
        </w:rPr>
        <w:t xml:space="preserve"> %的履约保证金（</w:t>
      </w:r>
      <w:r>
        <w:rPr>
          <w:rFonts w:hint="eastAsia" w:ascii="宋体" w:hAnsi="宋体" w:cs="宋体"/>
          <w:sz w:val="24"/>
        </w:rPr>
        <w:t>以支票、汇票、本票或者金融机构、担保机构出具的保函等非现金形式提交），验收合格后履约保证金自动转为质量保证金，在无质量问题的情况下，质量保证金将在服务期满后无息退还。</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七、转包或分包</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171"/>
        <w:snapToGrid w:val="0"/>
        <w:spacing w:line="600" w:lineRule="exact"/>
        <w:ind w:firstLine="482" w:firstLineChars="200"/>
        <w:rPr>
          <w:rFonts w:hint="eastAsia" w:ascii="宋体" w:hAnsi="宋体" w:eastAsia="宋体"/>
          <w:color w:val="000000"/>
          <w:sz w:val="24"/>
          <w:szCs w:val="24"/>
          <w:lang w:eastAsia="zh-CN"/>
        </w:rPr>
      </w:pPr>
      <w:r>
        <w:rPr>
          <w:rFonts w:hint="eastAsia" w:ascii="宋体" w:hAnsi="宋体" w:eastAsia="宋体"/>
          <w:b/>
          <w:color w:val="000000"/>
          <w:sz w:val="24"/>
          <w:szCs w:val="24"/>
          <w:lang w:eastAsia="zh-CN"/>
        </w:rPr>
        <w:t>八、合同履行时间、履行方式及履行地点</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1、履行时间：    ；</w:t>
      </w:r>
    </w:p>
    <w:p>
      <w:pPr>
        <w:pStyle w:val="171"/>
        <w:snapToGrid w:val="0"/>
        <w:spacing w:line="60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履行地点：    。</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九、款项支付</w:t>
      </w:r>
      <w:r>
        <w:rPr>
          <w:rFonts w:hint="eastAsia" w:ascii="宋体" w:hAnsi="宋体"/>
          <w:b/>
          <w:color w:val="000000"/>
          <w:sz w:val="24"/>
          <w:szCs w:val="24"/>
          <w:lang w:eastAsia="zh-CN"/>
        </w:rPr>
        <w:t>：</w:t>
      </w:r>
    </w:p>
    <w:p>
      <w:pPr>
        <w:autoSpaceDE w:val="0"/>
        <w:autoSpaceDN w:val="0"/>
        <w:snapToGrid w:val="0"/>
        <w:spacing w:line="600" w:lineRule="exact"/>
        <w:ind w:firstLine="480" w:firstLineChars="200"/>
        <w:rPr>
          <w:rFonts w:hint="eastAsia" w:ascii="宋体" w:hAnsi="宋体" w:cs="宋体"/>
          <w:b/>
          <w:color w:val="000000"/>
          <w:sz w:val="24"/>
        </w:rPr>
      </w:pPr>
      <w:r>
        <w:rPr>
          <w:rFonts w:hint="eastAsia" w:ascii="宋体" w:hAnsi="宋体" w:cs="宋体"/>
          <w:color w:val="0000FF"/>
          <w:sz w:val="24"/>
          <w:lang w:val="en-US" w:eastAsia="zh-CN"/>
        </w:rPr>
        <w:t xml:space="preserve"> </w:t>
      </w:r>
      <w:r>
        <w:rPr>
          <w:rFonts w:hint="eastAsia" w:ascii="宋体" w:hAnsi="宋体" w:cs="宋体"/>
          <w:b/>
          <w:color w:val="000000"/>
          <w:sz w:val="24"/>
        </w:rPr>
        <w:t>十、税费</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adjustRightInd w:val="0"/>
        <w:snapToGrid w:val="0"/>
        <w:spacing w:line="600" w:lineRule="exact"/>
        <w:rPr>
          <w:rFonts w:hint="eastAsia" w:ascii="宋体" w:hAnsi="宋体" w:cs="宋体"/>
          <w:b/>
          <w:bCs/>
          <w:sz w:val="24"/>
        </w:rPr>
      </w:pPr>
      <w:r>
        <w:rPr>
          <w:rFonts w:hint="eastAsia" w:ascii="宋体" w:hAnsi="宋体" w:cs="宋体"/>
          <w:b/>
          <w:color w:val="000000"/>
          <w:sz w:val="24"/>
        </w:rPr>
        <w:t xml:space="preserve">    十一、</w:t>
      </w:r>
      <w:r>
        <w:rPr>
          <w:rFonts w:hint="eastAsia" w:ascii="宋体" w:hAnsi="宋体" w:cs="宋体"/>
          <w:b/>
          <w:bCs/>
          <w:sz w:val="24"/>
        </w:rPr>
        <w:t>服务要求：</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十二、违约责任</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十三、不可抗力事件处理</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十四、诉讼</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171"/>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十五、合同生效及其它</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1、合同经双方法定代表人或授权代表签字并加盖单位公章后生效。</w:t>
      </w:r>
    </w:p>
    <w:p>
      <w:pPr>
        <w:pStyle w:val="171"/>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w:t>
      </w:r>
      <w:r>
        <w:rPr>
          <w:rFonts w:hint="eastAsia" w:ascii="宋体" w:hAnsi="宋体" w:cs="宋体"/>
          <w:color w:val="000000"/>
          <w:sz w:val="24"/>
          <w:lang w:val="en-US" w:eastAsia="zh-CN"/>
        </w:rPr>
        <w:t>民法典</w:t>
      </w:r>
      <w:r>
        <w:rPr>
          <w:rFonts w:hint="eastAsia" w:ascii="宋体" w:hAnsi="宋体" w:cs="宋体"/>
          <w:color w:val="000000"/>
          <w:sz w:val="24"/>
        </w:rPr>
        <w:t>》有关条文执行。</w:t>
      </w:r>
    </w:p>
    <w:p>
      <w:pPr>
        <w:pStyle w:val="35"/>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4、本合同一式六份，甲方、乙方各执二份, 区财政局采购监管科各执一份，具有同等法律效力。</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600" w:lineRule="exact"/>
        <w:rPr>
          <w:rFonts w:hint="eastAsia" w:ascii="宋体" w:hAnsi="宋体" w:cs="宋体"/>
          <w:color w:val="000000"/>
          <w:sz w:val="24"/>
        </w:rPr>
      </w:pPr>
      <w:r>
        <w:rPr>
          <w:rFonts w:hint="eastAsia" w:ascii="宋体" w:hAnsi="宋体" w:cs="宋体"/>
          <w:color w:val="000000"/>
          <w:sz w:val="24"/>
        </w:rPr>
        <w:t xml:space="preserve">    法定代表人：                              法定代表人：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62"/>
        <w:spacing w:line="600" w:lineRule="exact"/>
        <w:ind w:firstLine="5280" w:firstLineChars="2200"/>
        <w:rPr>
          <w:rFonts w:hint="eastAsia" w:ascii="宋体" w:hAnsi="宋体" w:cs="宋体"/>
          <w:color w:val="000000"/>
          <w:sz w:val="24"/>
        </w:rPr>
      </w:pPr>
    </w:p>
    <w:p>
      <w:pPr>
        <w:pStyle w:val="62"/>
        <w:spacing w:line="600" w:lineRule="exact"/>
        <w:ind w:firstLine="5280" w:firstLineChars="2200"/>
        <w:rPr>
          <w:rFonts w:hint="eastAsia" w:ascii="宋体" w:hAnsi="宋体" w:cs="宋体"/>
          <w:sz w:val="24"/>
        </w:rPr>
      </w:pPr>
      <w:r>
        <w:rPr>
          <w:rFonts w:hint="eastAsia" w:ascii="宋体" w:hAnsi="宋体" w:cs="宋体"/>
          <w:color w:val="000000"/>
          <w:sz w:val="24"/>
        </w:rPr>
        <w:t>签订地点：</w:t>
      </w:r>
      <w:r>
        <w:rPr>
          <w:rFonts w:hint="eastAsia" w:ascii="宋体" w:hAnsi="宋体" w:cs="宋体"/>
          <w:sz w:val="24"/>
        </w:rPr>
        <w:t xml:space="preserve">                  </w:t>
      </w:r>
    </w:p>
    <w:p>
      <w:pPr>
        <w:spacing w:line="600" w:lineRule="exact"/>
        <w:jc w:val="center"/>
        <w:rPr>
          <w:rFonts w:hint="eastAsia" w:ascii="宋体" w:hAnsi="宋体" w:cs="宋体"/>
          <w:b/>
          <w:bCs/>
          <w:sz w:val="24"/>
        </w:rPr>
      </w:pPr>
      <w:bookmarkStart w:id="397" w:name="_Toc326765771"/>
      <w:bookmarkStart w:id="398" w:name="_Toc349721554"/>
      <w:bookmarkStart w:id="399" w:name="_Toc328381300"/>
      <w:bookmarkStart w:id="400" w:name="_Toc339872468"/>
      <w:bookmarkStart w:id="401" w:name="_Toc350327365"/>
      <w:r>
        <w:rPr>
          <w:rFonts w:hint="eastAsia" w:ascii="宋体" w:hAnsi="宋体" w:cs="宋体"/>
          <w:b/>
          <w:bCs/>
          <w:sz w:val="24"/>
        </w:rPr>
        <w:t>★ 此仅为合同书样本，中标单位需根据实际情况和采购人签订相应的合同！</w:t>
      </w:r>
      <w:bookmarkEnd w:id="397"/>
      <w:bookmarkEnd w:id="398"/>
      <w:bookmarkEnd w:id="399"/>
      <w:bookmarkEnd w:id="400"/>
      <w:bookmarkEnd w:id="401"/>
    </w:p>
    <w:p>
      <w:pPr>
        <w:snapToGrid w:val="0"/>
        <w:spacing w:line="600" w:lineRule="exact"/>
        <w:rPr>
          <w:rFonts w:hint="eastAsia" w:ascii="宋体" w:hAnsi="宋体" w:cs="宋体"/>
          <w:b/>
          <w:bCs/>
          <w:color w:val="000000"/>
          <w:sz w:val="28"/>
          <w:szCs w:val="28"/>
        </w:rPr>
        <w:sectPr>
          <w:pgSz w:w="11906" w:h="16838"/>
          <w:pgMar w:top="1531" w:right="1304" w:bottom="1531" w:left="1361" w:header="851" w:footer="601" w:gutter="0"/>
          <w:cols w:space="720" w:num="1"/>
          <w:docGrid w:linePitch="312" w:charSpace="0"/>
        </w:sectPr>
      </w:pPr>
    </w:p>
    <w:p>
      <w:pPr>
        <w:spacing w:line="360" w:lineRule="auto"/>
        <w:ind w:left="720" w:firstLine="723" w:firstLineChars="200"/>
        <w:outlineLvl w:val="0"/>
        <w:rPr>
          <w:rFonts w:hint="eastAsia" w:ascii="宋体" w:hAnsi="宋体" w:eastAsia="宋体" w:cs="宋体"/>
          <w:b/>
          <w:sz w:val="36"/>
          <w:szCs w:val="20"/>
        </w:rPr>
      </w:pPr>
    </w:p>
    <w:p>
      <w:pPr>
        <w:spacing w:line="360" w:lineRule="auto"/>
        <w:ind w:left="720" w:firstLine="723" w:firstLineChars="200"/>
        <w:outlineLvl w:val="0"/>
        <w:rPr>
          <w:rFonts w:hint="eastAsia" w:ascii="宋体" w:hAnsi="宋体" w:eastAsia="宋体" w:cs="宋体"/>
          <w:b/>
          <w:sz w:val="36"/>
          <w:szCs w:val="20"/>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第六部分</w:t>
      </w:r>
      <w:bookmarkEnd w:id="394"/>
      <w:r>
        <w:rPr>
          <w:rFonts w:hint="eastAsia" w:ascii="宋体" w:hAnsi="宋体" w:eastAsia="宋体" w:cs="宋体"/>
          <w:b/>
          <w:sz w:val="28"/>
          <w:szCs w:val="28"/>
        </w:rPr>
        <w:t xml:space="preserve"> </w:t>
      </w:r>
      <w:bookmarkEnd w:id="395"/>
      <w:r>
        <w:rPr>
          <w:rFonts w:hint="eastAsia" w:ascii="宋体" w:hAnsi="宋体" w:eastAsia="宋体" w:cs="宋体"/>
          <w:b/>
          <w:sz w:val="28"/>
          <w:szCs w:val="28"/>
        </w:rPr>
        <w:t>应提交的有关格式范例</w:t>
      </w:r>
    </w:p>
    <w:p>
      <w:pPr>
        <w:spacing w:line="360" w:lineRule="auto"/>
        <w:jc w:val="center"/>
        <w:outlineLvl w:val="0"/>
        <w:rPr>
          <w:rFonts w:hint="eastAsia" w:ascii="宋体" w:hAnsi="宋体" w:eastAsia="宋体" w:cs="宋体"/>
          <w:b/>
          <w:kern w:val="0"/>
          <w:sz w:val="36"/>
          <w:szCs w:val="36"/>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cs="宋体"/>
          <w:sz w:val="24"/>
          <w:lang w:val="en-US" w:eastAsia="zh-CN"/>
        </w:rPr>
        <w:t>附件五</w:t>
      </w:r>
      <w:r>
        <w:rPr>
          <w:rFonts w:hint="eastAsia" w:ascii="宋体" w:hAnsi="宋体" w:eastAsia="宋体" w:cs="宋体"/>
          <w:sz w:val="24"/>
        </w:rPr>
        <w:t>中小企业声明函………………………………………………（页码）</w:t>
      </w:r>
    </w:p>
    <w:p>
      <w:pPr>
        <w:snapToGrid w:val="0"/>
        <w:spacing w:line="360" w:lineRule="auto"/>
        <w:rPr>
          <w:rFonts w:hint="eastAsia" w:ascii="宋体" w:hAnsi="宋体" w:eastAsia="宋体" w:cs="宋体"/>
          <w:b/>
          <w:kern w:val="0"/>
          <w:sz w:val="32"/>
          <w:szCs w:val="32"/>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营业执照</w:t>
      </w:r>
      <w:r>
        <w:rPr>
          <w:rFonts w:hint="eastAsia" w:ascii="宋体" w:hAnsi="宋体" w:eastAsia="宋体" w:cs="宋体"/>
          <w:sz w:val="24"/>
        </w:rPr>
        <w:t>…………………………………………………………………（页码</w:t>
      </w:r>
      <w:r>
        <w:rPr>
          <w:rFonts w:hint="eastAsia" w:ascii="宋体" w:hAnsi="宋体" w:cs="宋体"/>
          <w:sz w:val="24"/>
          <w:lang w:eastAsia="zh-CN"/>
        </w:rPr>
        <w:t>）</w:t>
      </w: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sz w:val="24"/>
        </w:rPr>
      </w:pPr>
      <w:r>
        <w:rPr>
          <w:rFonts w:hint="eastAsia" w:ascii="宋体" w:hAnsi="宋体" w:cs="宋体"/>
          <w:sz w:val="24"/>
          <w:lang w:eastAsia="zh-CN"/>
        </w:rPr>
        <w:t>杭州市临平区人民政府星桥街道办事处</w:t>
      </w:r>
      <w:r>
        <w:rPr>
          <w:rFonts w:hint="eastAsia" w:ascii="宋体" w:hAnsi="宋体" w:eastAsia="宋体" w:cs="宋体"/>
          <w:sz w:val="24"/>
        </w:rPr>
        <w:t>、</w:t>
      </w:r>
      <w:r>
        <w:rPr>
          <w:rFonts w:hint="eastAsia" w:ascii="宋体" w:hAnsi="宋体" w:cs="宋体"/>
          <w:sz w:val="24"/>
          <w:lang w:eastAsia="zh-CN"/>
        </w:rPr>
        <w:t>杭州晟华工程管理有限公司</w:t>
      </w:r>
      <w:r>
        <w:rPr>
          <w:rFonts w:hint="eastAsia" w:ascii="宋体" w:hAnsi="宋体" w:eastAsia="宋体" w:cs="宋体"/>
          <w:sz w:val="24"/>
        </w:rPr>
        <w:t>：</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星桥街道道路市政养护项目</w:t>
      </w:r>
      <w:r>
        <w:rPr>
          <w:rFonts w:hint="eastAsia" w:ascii="宋体" w:hAnsi="宋体" w:eastAsia="宋体" w:cs="宋体"/>
          <w:sz w:val="24"/>
        </w:rPr>
        <w:t>【招标编号：</w:t>
      </w:r>
      <w:r>
        <w:rPr>
          <w:rFonts w:hint="eastAsia" w:ascii="宋体" w:hAnsi="宋体" w:cs="宋体"/>
          <w:sz w:val="24"/>
          <w:lang w:eastAsia="zh-CN"/>
        </w:rPr>
        <w:t>SHZFCG2023-003</w:t>
      </w:r>
      <w:r>
        <w:rPr>
          <w:rFonts w:hint="eastAsia" w:ascii="宋体" w:hAnsi="宋体" w:eastAsia="宋体" w:cs="宋体"/>
          <w:sz w:val="24"/>
        </w:rPr>
        <w:t>】政府采购活动，郑重承诺：</w:t>
      </w:r>
    </w:p>
    <w:p>
      <w:pPr>
        <w:widowControl w:val="0"/>
        <w:wordWrap/>
        <w:adjustRightInd w:val="0"/>
        <w:snapToGrid w:val="0"/>
        <w:spacing w:line="600" w:lineRule="exact"/>
        <w:ind w:left="0" w:leftChars="0" w:right="0" w:firstLine="360" w:firstLineChars="150"/>
        <w:jc w:val="both"/>
        <w:textAlignment w:val="auto"/>
        <w:outlineLvl w:val="9"/>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1、具有独立承担民事责任的能力；</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3、具有履行合同所必需的设备和专业技术能力；</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4、有依法缴纳税收和社会保障资金的良好记录；</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6、具有法律、行政法规规定的其他条件。</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eastAsia="宋体" w:cs="宋体"/>
          <w:sz w:val="24"/>
          <w:lang w:eastAsia="zh-CN"/>
        </w:rPr>
        <w:t>）</w:t>
      </w:r>
      <w:r>
        <w:rPr>
          <w:rFonts w:hint="eastAsia" w:ascii="宋体" w:hAnsi="宋体" w:eastAsia="宋体" w:cs="宋体"/>
          <w:sz w:val="24"/>
        </w:rPr>
        <w:t>、中国政府采购网（www.ccgp.gov.cn）列入失信被执行人、重大税收违法案件当事人名单、政府采购严重违法失信行为记录名单。</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（三）不存在以下情况：</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widowControl w:val="0"/>
        <w:wordWrap/>
        <w:adjustRightInd w:val="0"/>
        <w:snapToGrid w:val="0"/>
        <w:spacing w:line="600" w:lineRule="exact"/>
        <w:ind w:left="0" w:leftChars="0" w:right="0" w:firstLine="5520" w:firstLineChars="230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both"/>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pPr>
        <w:wordWrap/>
        <w:adjustRightInd w:val="0"/>
        <w:spacing w:line="600" w:lineRule="exact"/>
        <w:ind w:left="0" w:leftChars="0" w:right="0"/>
        <w:textAlignment w:val="auto"/>
        <w:outlineLvl w:val="9"/>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wordWrap/>
        <w:adjustRightInd w:val="0"/>
        <w:snapToGrid w:val="0"/>
        <w:spacing w:line="600" w:lineRule="exact"/>
        <w:ind w:left="0" w:leftChars="0" w:right="0" w:firstLine="472" w:firstLineChars="196"/>
        <w:jc w:val="left"/>
        <w:textAlignment w:val="auto"/>
        <w:outlineLvl w:val="9"/>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wordWrap/>
        <w:adjustRightInd w:val="0"/>
        <w:spacing w:line="600" w:lineRule="exact"/>
        <w:ind w:left="0" w:leftChars="0" w:right="0" w:firstLine="472" w:firstLineChars="196"/>
        <w:jc w:val="left"/>
        <w:textAlignment w:val="auto"/>
        <w:outlineLvl w:val="9"/>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sz w:val="24"/>
        </w:rPr>
        <w:t xml:space="preserve">    </w:t>
      </w:r>
      <w:r>
        <w:rPr>
          <w:rFonts w:hint="eastAsia" w:ascii="宋体" w:hAnsi="宋体" w:eastAsia="宋体" w:cs="宋体"/>
          <w:b/>
          <w:kern w:val="0"/>
          <w:sz w:val="32"/>
          <w:szCs w:val="32"/>
          <w:lang w:val="zh-CN"/>
        </w:rPr>
        <w:t>联合协议</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widowControl w:val="0"/>
        <w:wordWrap/>
        <w:adjustRightInd w:val="0"/>
        <w:snapToGrid w:val="0"/>
        <w:spacing w:line="600" w:lineRule="exact"/>
        <w:ind w:left="0" w:leftChars="0" w:right="0" w:firstLine="5040" w:firstLineChars="210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040" w:firstLineChars="210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760" w:firstLineChars="2400"/>
        <w:jc w:val="both"/>
        <w:textAlignment w:val="auto"/>
        <w:outlineLvl w:val="9"/>
        <w:rPr>
          <w:rFonts w:hint="eastAsia" w:ascii="宋体" w:hAnsi="宋体" w:eastAsia="宋体" w:cs="宋体"/>
        </w:rPr>
      </w:pP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sz w:val="24"/>
        </w:rPr>
      </w:pPr>
      <w:r>
        <w:rPr>
          <w:rFonts w:hint="eastAsia" w:ascii="宋体" w:hAnsi="宋体" w:eastAsia="宋体" w:cs="宋体"/>
          <w:kern w:val="0"/>
          <w:sz w:val="24"/>
          <w:lang w:val="zh-CN"/>
        </w:rPr>
        <w:t xml:space="preserve">                                               日期：  年  月   日</w:t>
      </w:r>
    </w:p>
    <w:p>
      <w:pPr>
        <w:widowControl w:val="0"/>
        <w:wordWrap/>
        <w:adjustRightInd w:val="0"/>
        <w:snapToGrid/>
        <w:spacing w:line="600" w:lineRule="exact"/>
        <w:ind w:left="0" w:leftChars="0" w:right="0" w:firstLine="482" w:firstLineChars="200"/>
        <w:jc w:val="both"/>
        <w:textAlignment w:val="auto"/>
        <w:outlineLvl w:val="9"/>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pPr>
        <w:widowControl/>
        <w:wordWrap/>
        <w:spacing w:line="600" w:lineRule="exact"/>
        <w:ind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6"/>
        <w:wordWrap/>
        <w:spacing w:line="600" w:lineRule="exact"/>
        <w:ind w:left="664" w:leftChars="316" w:right="0" w:firstLine="229" w:firstLineChars="95"/>
        <w:textAlignment w:val="auto"/>
        <w:rPr>
          <w:rFonts w:hint="eastAsia" w:ascii="宋体" w:hAnsi="宋体" w:eastAsia="宋体" w:cs="宋体"/>
        </w:rPr>
      </w:pPr>
      <w:r>
        <w:rPr>
          <w:rFonts w:hint="eastAsia" w:ascii="宋体" w:hAnsi="宋体" w:eastAsia="宋体" w:cs="宋体"/>
          <w:kern w:val="0"/>
          <w:sz w:val="24"/>
          <w:szCs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wordWrap/>
        <w:snapToGrid w:val="0"/>
        <w:spacing w:line="600" w:lineRule="exact"/>
        <w:ind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wordWrap/>
        <w:snapToGrid w:val="0"/>
        <w:spacing w:line="600" w:lineRule="exact"/>
        <w:ind w:left="5758" w:leftChars="342" w:right="0" w:hanging="5040" w:hangingChars="2100"/>
        <w:textAlignment w:val="auto"/>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pPr>
        <w:wordWrap/>
        <w:snapToGrid w:val="0"/>
        <w:spacing w:line="600" w:lineRule="exact"/>
        <w:ind w:right="0" w:firstLine="5640" w:firstLineChars="23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wordWrap/>
        <w:snapToGrid w:val="0"/>
        <w:spacing w:line="600" w:lineRule="exact"/>
        <w:ind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wordWrap/>
        <w:spacing w:line="600" w:lineRule="exact"/>
        <w:ind w:right="0"/>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24"/>
          <w:szCs w:val="24"/>
        </w:rPr>
      </w:pPr>
    </w:p>
    <w:p>
      <w:pPr>
        <w:snapToGrid w:val="0"/>
        <w:spacing w:line="360" w:lineRule="auto"/>
        <w:ind w:right="480"/>
        <w:jc w:val="center"/>
        <w:rPr>
          <w:rFonts w:hint="eastAsia"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24"/>
          <w:szCs w:val="24"/>
        </w:rPr>
      </w:pPr>
    </w:p>
    <w:p>
      <w:pPr>
        <w:snapToGrid w:val="0"/>
        <w:spacing w:line="360" w:lineRule="auto"/>
        <w:ind w:right="480"/>
        <w:jc w:val="center"/>
        <w:rPr>
          <w:rFonts w:hint="eastAsia"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24"/>
          <w:szCs w:val="24"/>
        </w:rPr>
      </w:pPr>
    </w:p>
    <w:p>
      <w:pPr>
        <w:snapToGrid w:val="0"/>
        <w:spacing w:line="360" w:lineRule="auto"/>
        <w:ind w:right="480"/>
        <w:jc w:val="center"/>
        <w:rPr>
          <w:rFonts w:hint="eastAsia"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pStyle w:val="5"/>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pStyle w:val="5"/>
        <w:spacing w:line="240" w:lineRule="auto"/>
        <w:rPr>
          <w:rFonts w:hint="eastAsia" w:ascii="宋体" w:hAnsi="宋体" w:eastAsia="宋体" w:cs="宋体"/>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 xml:space="preserve">  </w:t>
      </w:r>
    </w:p>
    <w:p>
      <w:pPr>
        <w:spacing w:line="360" w:lineRule="auto"/>
        <w:ind w:right="420"/>
        <w:jc w:val="center"/>
        <w:rPr>
          <w:rFonts w:hint="eastAsia" w:ascii="宋体" w:hAnsi="宋体" w:eastAsia="宋体" w:cs="宋体"/>
          <w:b/>
          <w:kern w:val="0"/>
          <w:sz w:val="36"/>
          <w:szCs w:val="36"/>
          <w:lang w:val="en-US" w:eastAsia="zh-CN"/>
        </w:r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（6）评标标准相应的商务技术资料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（7）商务技术偏离表</w:t>
      </w:r>
      <w:r>
        <w:rPr>
          <w:rFonts w:hint="eastAsia" w:ascii="宋体" w:hAnsi="宋体" w:eastAsia="宋体" w:cs="宋体"/>
        </w:rPr>
        <w:t>………………………………………………………………………（页码）</w:t>
      </w:r>
    </w:p>
    <w:p>
      <w:pPr>
        <w:snapToGrid w:val="0"/>
        <w:spacing w:line="360" w:lineRule="auto"/>
        <w:ind w:left="479" w:leftChars="228"/>
        <w:rPr>
          <w:rFonts w:hint="eastAsia" w:ascii="宋体" w:hAnsi="宋体" w:cs="宋体"/>
          <w:color w:val="000000"/>
          <w:kern w:val="0"/>
          <w:sz w:val="24"/>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w:t>
      </w:r>
      <w:r>
        <w:rPr>
          <w:rFonts w:hint="eastAsia" w:ascii="宋体" w:hAnsi="宋体" w:cs="宋体"/>
          <w:color w:val="000000"/>
          <w:kern w:val="0"/>
          <w:sz w:val="24"/>
        </w:rPr>
        <w:t>所投产品具体配置表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9</w:t>
      </w:r>
      <w:r>
        <w:rPr>
          <w:rFonts w:hint="eastAsia" w:ascii="宋体" w:hAnsi="宋体" w:cs="宋体"/>
          <w:color w:val="000000"/>
          <w:kern w:val="0"/>
          <w:sz w:val="24"/>
          <w:lang w:eastAsia="zh-CN"/>
        </w:rPr>
        <w:t>）</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cs="宋体"/>
          <w:sz w:val="24"/>
          <w:szCs w:val="24"/>
          <w:lang w:eastAsia="zh-CN"/>
        </w:rPr>
        <w:t>杭州市临平区人民政府星桥街道办事处</w:t>
      </w:r>
      <w:r>
        <w:rPr>
          <w:rFonts w:hint="eastAsia" w:ascii="宋体" w:hAnsi="宋体" w:eastAsia="宋体" w:cs="宋体"/>
          <w:sz w:val="24"/>
          <w:szCs w:val="24"/>
        </w:rPr>
        <w:t>、</w:t>
      </w:r>
      <w:r>
        <w:rPr>
          <w:rFonts w:hint="eastAsia" w:ascii="宋体" w:hAnsi="宋体" w:cs="宋体"/>
          <w:sz w:val="24"/>
          <w:szCs w:val="24"/>
          <w:lang w:eastAsia="zh-CN"/>
        </w:rPr>
        <w:t>杭州晟华工程管理有限公司</w:t>
      </w:r>
      <w:r>
        <w:rPr>
          <w:rFonts w:hint="eastAsia" w:ascii="宋体" w:hAnsi="宋体" w:eastAsia="宋体" w:cs="宋体"/>
          <w:sz w:val="24"/>
          <w:szCs w:val="24"/>
        </w:rPr>
        <w:t>：</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我方参加你方组织的</w:t>
      </w:r>
      <w:r>
        <w:rPr>
          <w:rFonts w:hint="eastAsia" w:ascii="宋体" w:hAnsi="宋体" w:cs="宋体"/>
          <w:sz w:val="24"/>
          <w:szCs w:val="24"/>
          <w:lang w:eastAsia="zh-CN"/>
        </w:rPr>
        <w:t>星桥街道道路市政养护项目</w:t>
      </w:r>
      <w:r>
        <w:rPr>
          <w:rFonts w:hint="eastAsia" w:ascii="宋体" w:hAnsi="宋体" w:eastAsia="宋体" w:cs="宋体"/>
          <w:sz w:val="24"/>
          <w:szCs w:val="24"/>
        </w:rPr>
        <w:t>【招标编号：</w:t>
      </w:r>
      <w:r>
        <w:rPr>
          <w:rFonts w:hint="eastAsia" w:ascii="宋体" w:hAnsi="宋体" w:cs="宋体"/>
          <w:sz w:val="24"/>
          <w:lang w:eastAsia="zh-CN"/>
        </w:rPr>
        <w:t>SHZFCG2023-003</w:t>
      </w:r>
      <w:r>
        <w:rPr>
          <w:rFonts w:hint="eastAsia" w:ascii="宋体" w:hAnsi="宋体" w:eastAsia="宋体" w:cs="宋体"/>
          <w:sz w:val="24"/>
          <w:szCs w:val="24"/>
        </w:rPr>
        <w:t>】招标的有关活动，并对此项目进行投标。为此：</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天（不少于90天），本投标文件在投标有效期满之前均具有约束力。</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2、我方的投标文件包括以下内容：</w:t>
      </w:r>
    </w:p>
    <w:p>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2.1资格文件：</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2.1.1承诺函；</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2.1.2落实政府采购政策需满足的资格要求（如果有）；</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2.1.3本项目的特定资格要求（如果有）。</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2.2.1投标函；</w:t>
      </w:r>
      <w:r>
        <w:rPr>
          <w:rFonts w:hint="eastAsia" w:ascii="宋体" w:hAnsi="宋体" w:eastAsia="宋体" w:cs="宋体"/>
          <w:sz w:val="24"/>
          <w:szCs w:val="24"/>
          <w:lang w:val="zh-CN"/>
        </w:rPr>
        <w:t xml:space="preserve"> </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2.2.2授权委托书或法定代表人（单位负责人）身份证明；</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2.2.3联合协议（如果有）；</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2.2.4分包意向协议（如果有）；</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2.2.5符合性审查资料；</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2.2.6评标标准相应的商务技术资料；</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2.2.7商务技术偏离表；</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cs="宋体"/>
          <w:color w:val="000000"/>
          <w:kern w:val="0"/>
          <w:sz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cs="宋体"/>
          <w:color w:val="000000"/>
          <w:kern w:val="0"/>
          <w:sz w:val="24"/>
        </w:rPr>
        <w:t>所投产品具体配置表</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lang w:val="zh-CN"/>
        </w:rPr>
      </w:pPr>
      <w:r>
        <w:rPr>
          <w:rFonts w:hint="eastAsia" w:ascii="宋体" w:hAnsi="宋体" w:cs="宋体"/>
          <w:color w:val="000000"/>
          <w:kern w:val="0"/>
          <w:sz w:val="24"/>
          <w:lang w:val="en-US" w:eastAsia="zh-CN"/>
        </w:rPr>
        <w:t>2.2.9</w:t>
      </w:r>
      <w:r>
        <w:rPr>
          <w:rFonts w:hint="eastAsia" w:ascii="宋体" w:hAnsi="宋体" w:eastAsia="宋体" w:cs="宋体"/>
          <w:sz w:val="24"/>
          <w:szCs w:val="24"/>
          <w:lang w:val="zh-CN"/>
        </w:rPr>
        <w:t>政府采购供应商廉洁自律承诺书；</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3报价文件</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2.3.1开标一览表（报价表）；</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2.3.2中小企业声明函（如果有）。</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3、我方承诺除商务技术偏离表列出的偏离外，我方响应招标文件的全部要求。</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4、如我方中标，我方承诺：</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4.1在收到中标通知书后，在中标通知书规定的期限内与你方签订合同；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4.2在签订合同时不向你方提出附加条件；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4.3按照招标文件要求提交履约保证金；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4.4在合同约定的期限内完成合同规定的全部义务。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5、其他补充说明</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idowControl w:val="0"/>
        <w:wordWrap/>
        <w:adjustRightInd w:val="0"/>
        <w:spacing w:line="600" w:lineRule="exact"/>
        <w:ind w:right="0" w:firstLine="3600" w:firstLineChars="15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投标人名称（电子签名）：                          </w:t>
      </w:r>
    </w:p>
    <w:p>
      <w:pPr>
        <w:widowControl w:val="0"/>
        <w:wordWrap/>
        <w:adjustRightInd w:val="0"/>
        <w:spacing w:line="600" w:lineRule="exact"/>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both"/>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widowControl w:val="0"/>
        <w:wordWrap/>
        <w:adjustRightInd w:val="0"/>
        <w:snapToGrid w:val="0"/>
        <w:spacing w:line="600" w:lineRule="exact"/>
        <w:ind w:left="0" w:leftChars="0" w:right="0"/>
        <w:textAlignment w:val="auto"/>
        <w:outlineLvl w:val="9"/>
        <w:rPr>
          <w:rFonts w:hint="eastAsia" w:ascii="宋体" w:hAnsi="宋体" w:eastAsia="宋体" w:cs="宋体"/>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760" w:firstLineChars="2400"/>
        <w:textAlignment w:val="auto"/>
        <w:outlineLvl w:val="9"/>
        <w:rPr>
          <w:rFonts w:hint="eastAsia" w:ascii="宋体" w:hAnsi="宋体" w:eastAsia="宋体" w:cs="宋体"/>
        </w:rPr>
      </w:pP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pStyle w:val="5"/>
        <w:rPr>
          <w:rFonts w:hint="eastAsia" w:ascii="宋体" w:hAnsi="宋体" w:eastAsia="宋体" w:cs="宋体"/>
          <w:kern w:val="0"/>
          <w:sz w:val="24"/>
          <w:lang w:val="zh-CN"/>
        </w:rPr>
      </w:pPr>
    </w:p>
    <w:p>
      <w:pPr>
        <w:rPr>
          <w:rFonts w:hint="eastAsia" w:ascii="宋体" w:hAnsi="宋体" w:eastAsia="宋体" w:cs="宋体"/>
          <w:kern w:val="0"/>
          <w:sz w:val="24"/>
          <w:lang w:val="zh-CN"/>
        </w:rPr>
      </w:pPr>
    </w:p>
    <w:p>
      <w:pPr>
        <w:pStyle w:val="5"/>
        <w:rPr>
          <w:rFonts w:hint="eastAsia" w:ascii="宋体" w:hAnsi="宋体" w:eastAsia="宋体" w:cs="宋体"/>
          <w:kern w:val="0"/>
          <w:sz w:val="24"/>
          <w:lang w:val="zh-CN"/>
        </w:rPr>
      </w:pPr>
    </w:p>
    <w:p>
      <w:pPr>
        <w:rPr>
          <w:rFonts w:hint="eastAsia" w:ascii="宋体" w:hAnsi="宋体" w:eastAsia="宋体" w:cs="宋体"/>
          <w:kern w:val="0"/>
          <w:sz w:val="24"/>
          <w:lang w:val="zh-CN"/>
        </w:rPr>
      </w:pPr>
    </w:p>
    <w:p>
      <w:pPr>
        <w:pStyle w:val="5"/>
        <w:rPr>
          <w:rFonts w:hint="eastAsia" w:ascii="宋体" w:hAnsi="宋体" w:eastAsia="宋体" w:cs="宋体"/>
          <w:kern w:val="0"/>
          <w:sz w:val="24"/>
          <w:lang w:val="zh-CN"/>
        </w:rPr>
      </w:pPr>
    </w:p>
    <w:p>
      <w:pPr>
        <w:rPr>
          <w:rFonts w:hint="eastAsia" w:ascii="宋体" w:hAnsi="宋体" w:eastAsia="宋体" w:cs="宋体"/>
          <w:kern w:val="0"/>
          <w:sz w:val="24"/>
          <w:lang w:val="zh-CN"/>
        </w:rPr>
      </w:pPr>
    </w:p>
    <w:p>
      <w:pPr>
        <w:rPr>
          <w:rFonts w:hint="eastAsia" w:ascii="宋体" w:hAnsi="宋体" w:eastAsia="宋体" w:cs="宋体"/>
          <w:lang w:val="zh-CN"/>
        </w:rPr>
      </w:pPr>
    </w:p>
    <w:p>
      <w:pPr>
        <w:pStyle w:val="26"/>
        <w:rPr>
          <w:rFonts w:hint="eastAsia"/>
          <w:lang w:val="zh-CN"/>
        </w:rPr>
      </w:pPr>
    </w:p>
    <w:p>
      <w:pPr>
        <w:pStyle w:val="5"/>
        <w:spacing w:line="240" w:lineRule="auto"/>
        <w:rPr>
          <w:rFonts w:hint="eastAsia" w:ascii="宋体" w:hAnsi="宋体" w:eastAsia="宋体" w:cs="宋体"/>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92"/>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92"/>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pPr>
        <w:widowControl/>
        <w:wordWrap/>
        <w:adjustRightInd w:val="0"/>
        <w:spacing w:line="600" w:lineRule="exact"/>
        <w:ind w:left="0" w:lef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（以联合体形式投标的，提供联合协议；本项目不接受联合体投标或者投标人不以联合体形式投标的，则不需要提供）</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u w:val="single"/>
        </w:rPr>
        <w:t>（联合体所有成员名称）</w:t>
      </w:r>
      <w:r>
        <w:rPr>
          <w:rFonts w:hint="eastAsia" w:ascii="宋体" w:hAnsi="宋体" w:eastAsia="宋体" w:cs="宋体"/>
          <w:kern w:val="0"/>
          <w:sz w:val="24"/>
          <w:szCs w:val="24"/>
        </w:rPr>
        <w:t>自愿</w:t>
      </w:r>
      <w:r>
        <w:rPr>
          <w:rFonts w:hint="eastAsia" w:ascii="宋体" w:hAnsi="宋体" w:eastAsia="宋体" w:cs="宋体"/>
          <w:kern w:val="0"/>
          <w:sz w:val="24"/>
          <w:szCs w:val="24"/>
          <w:lang w:val="zh-CN"/>
        </w:rPr>
        <w:t>组成一个联合体，以一个投标人的身份</w:t>
      </w:r>
      <w:r>
        <w:rPr>
          <w:rFonts w:hint="eastAsia" w:ascii="宋体" w:hAnsi="宋体" w:eastAsia="宋体" w:cs="宋体"/>
          <w:kern w:val="0"/>
          <w:sz w:val="24"/>
          <w:szCs w:val="24"/>
        </w:rPr>
        <w:t>参加</w:t>
      </w:r>
      <w:r>
        <w:rPr>
          <w:rFonts w:hint="eastAsia" w:ascii="宋体" w:hAnsi="宋体" w:eastAsia="宋体" w:cs="宋体"/>
          <w:sz w:val="24"/>
          <w:szCs w:val="24"/>
        </w:rPr>
        <w:t>（项目名称）【招标编号：（采购编号）】</w:t>
      </w:r>
      <w:r>
        <w:rPr>
          <w:rFonts w:hint="eastAsia" w:ascii="宋体" w:hAnsi="宋体" w:eastAsia="宋体" w:cs="宋体"/>
          <w:kern w:val="0"/>
          <w:sz w:val="24"/>
          <w:szCs w:val="24"/>
          <w:lang w:val="zh-CN"/>
        </w:rPr>
        <w:t xml:space="preserve">投标。 </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一、各方一致决定，</w:t>
      </w:r>
      <w:r>
        <w:rPr>
          <w:rFonts w:hint="eastAsia" w:ascii="宋体" w:hAnsi="宋体" w:eastAsia="宋体" w:cs="宋体"/>
          <w:kern w:val="0"/>
          <w:sz w:val="24"/>
          <w:szCs w:val="24"/>
          <w:u w:val="single"/>
        </w:rPr>
        <w:t>（某联合体成员名称）</w:t>
      </w:r>
      <w:r>
        <w:rPr>
          <w:rFonts w:hint="eastAsia" w:ascii="宋体" w:hAnsi="宋体" w:eastAsia="宋体" w:cs="宋体"/>
          <w:kern w:val="0"/>
          <w:sz w:val="24"/>
          <w:szCs w:val="24"/>
        </w:rPr>
        <w:t>为联合体</w:t>
      </w:r>
      <w:r>
        <w:rPr>
          <w:rFonts w:hint="eastAsia" w:ascii="宋体" w:hAnsi="宋体" w:eastAsia="宋体" w:cs="宋体"/>
          <w:kern w:val="0"/>
          <w:sz w:val="24"/>
          <w:szCs w:val="24"/>
          <w:lang w:val="zh-CN"/>
        </w:rPr>
        <w:t>牵头人</w:t>
      </w:r>
      <w:r>
        <w:rPr>
          <w:rFonts w:hint="eastAsia" w:ascii="宋体" w:hAnsi="宋体" w:eastAsia="宋体" w:cs="宋体"/>
          <w:sz w:val="24"/>
          <w:szCs w:val="24"/>
        </w:rPr>
        <w:t>，代表所有联合体成员负责投标和合同实施阶段的主办、协调工作</w:t>
      </w:r>
      <w:r>
        <w:rPr>
          <w:rFonts w:hint="eastAsia" w:ascii="宋体" w:hAnsi="宋体" w:eastAsia="宋体" w:cs="宋体"/>
          <w:kern w:val="0"/>
          <w:sz w:val="24"/>
          <w:szCs w:val="24"/>
          <w:lang w:val="zh-CN"/>
        </w:rPr>
        <w:t>。</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w:t>
      </w:r>
      <w:r>
        <w:rPr>
          <w:rFonts w:hint="eastAsia" w:ascii="宋体" w:hAnsi="宋体" w:eastAsia="宋体" w:cs="宋体"/>
          <w:sz w:val="24"/>
          <w:szCs w:val="24"/>
        </w:rPr>
        <w:t>所有联合体成员各方签署授权书，授权书载明的</w:t>
      </w:r>
      <w:r>
        <w:rPr>
          <w:rFonts w:hint="eastAsia" w:ascii="宋体" w:hAnsi="宋体" w:eastAsia="宋体" w:cs="宋体"/>
          <w:kern w:val="0"/>
          <w:sz w:val="24"/>
          <w:szCs w:val="24"/>
          <w:lang w:val="zh-CN"/>
        </w:rPr>
        <w:t>授权代表根据招标文件规定及投标内容而对采购人、采购机构所作的任何合法承诺，包括书面澄清及相应等均对联合投标各方产生约束力。</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三、本次联合投标中，分工如下：</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w:t>
      </w:r>
    </w:p>
    <w:p>
      <w:pPr>
        <w:wordWrap/>
        <w:adjustRightInd w:val="0"/>
        <w:snapToGrid w:val="0"/>
        <w:spacing w:line="600" w:lineRule="exact"/>
        <w:ind w:left="0" w:leftChars="0" w:firstLine="576"/>
        <w:textAlignment w:val="auto"/>
        <w:outlineLvl w:val="9"/>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四、</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rPr>
        <w:t>提供的全部货物由小微企业制造，其合同份额占到合同总金额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%以上；</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szCs w:val="24"/>
          <w:lang w:val="en-US" w:eastAsia="zh-CN"/>
        </w:rPr>
        <w:t>6</w:t>
      </w:r>
      <w:r>
        <w:rPr>
          <w:rFonts w:hint="eastAsia" w:ascii="宋体" w:hAnsi="宋体" w:eastAsia="宋体" w:cs="宋体"/>
          <w:b/>
          <w:kern w:val="0"/>
          <w:sz w:val="24"/>
          <w:szCs w:val="24"/>
          <w:lang w:val="zh-CN"/>
        </w:rPr>
        <w:t>%的扣除）</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五、如果中标，</w:t>
      </w:r>
      <w:r>
        <w:rPr>
          <w:rFonts w:hint="eastAsia" w:ascii="宋体" w:hAnsi="宋体" w:eastAsia="宋体" w:cs="宋体"/>
          <w:sz w:val="24"/>
          <w:szCs w:val="24"/>
        </w:rPr>
        <w:t>联合体各成员方共同与采购人签订合同，并就采购合同约定的事项对采购人承担连带责任。</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六、有关本次联合投标的其他事宜：</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1、联合体各方不再单独参加或者与其他供应商另外组成联合体参加同一合同项下的政府采购活动。</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2、联合体中有同类资质的各方按照联合体分工承担相同工作的，按照资质等级较低的供应商确定资质等级。</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3、本协议提交采购人、采购机构后，联合体各方不得以任何形式对上述内容进行修改或撤销。</w:t>
      </w:r>
    </w:p>
    <w:p>
      <w:pPr>
        <w:wordWrap/>
        <w:adjustRightInd w:val="0"/>
        <w:snapToGrid w:val="0"/>
        <w:spacing w:line="600" w:lineRule="exact"/>
        <w:ind w:left="0" w:leftChars="0" w:firstLine="5040" w:firstLineChars="210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pPr>
        <w:wordWrap/>
        <w:adjustRightInd w:val="0"/>
        <w:snapToGrid w:val="0"/>
        <w:spacing w:line="600" w:lineRule="exact"/>
        <w:ind w:left="0" w:leftChars="0" w:firstLine="5760" w:firstLineChars="240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zh-CN"/>
        </w:rPr>
        <w:t>……</w:t>
      </w:r>
    </w:p>
    <w:p>
      <w:pPr>
        <w:wordWrap/>
        <w:adjustRightInd w:val="0"/>
        <w:snapToGrid w:val="0"/>
        <w:spacing w:line="600" w:lineRule="exact"/>
        <w:ind w:left="0" w:leftChars="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  年  月   日</w:t>
      </w:r>
    </w:p>
    <w:p>
      <w:pPr>
        <w:wordWrap/>
        <w:adjustRightInd w:val="0"/>
        <w:snapToGrid w:val="0"/>
        <w:spacing w:line="600" w:lineRule="exact"/>
        <w:ind w:left="0" w:leftChars="0" w:right="480"/>
        <w:textAlignment w:val="auto"/>
        <w:outlineLvl w:val="9"/>
        <w:rPr>
          <w:rFonts w:hint="eastAsia" w:ascii="宋体" w:hAnsi="宋体" w:eastAsia="宋体" w:cs="宋体"/>
          <w:b/>
          <w:kern w:val="0"/>
          <w:sz w:val="24"/>
          <w:szCs w:val="24"/>
          <w:lang w:val="zh-CN"/>
        </w:rPr>
        <w:sectPr>
          <w:headerReference r:id="rId9" w:type="first"/>
          <w:footerReference r:id="rId11" w:type="first"/>
          <w:headerReference r:id="rId8" w:type="default"/>
          <w:footerReference r:id="rId10" w:type="default"/>
          <w:pgSz w:w="11905" w:h="16838"/>
          <w:pgMar w:top="1531" w:right="1304" w:bottom="1531" w:left="1361" w:header="851" w:footer="992" w:gutter="0"/>
          <w:cols w:space="720" w:num="1"/>
          <w:titlePg/>
          <w:rtlGutter w:val="0"/>
          <w:docGrid w:linePitch="312" w:charSpace="0"/>
        </w:sectPr>
      </w:pP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pPr>
        <w:widowControl/>
        <w:wordWrap/>
        <w:spacing w:line="600" w:lineRule="exact"/>
        <w:ind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6"/>
        <w:wordWrap/>
        <w:spacing w:line="600" w:lineRule="exact"/>
        <w:ind w:left="664" w:leftChars="316" w:right="0" w:firstLine="229" w:firstLineChars="95"/>
        <w:textAlignment w:val="auto"/>
        <w:rPr>
          <w:rFonts w:hint="eastAsia" w:ascii="宋体" w:hAnsi="宋体" w:eastAsia="宋体" w:cs="宋体"/>
        </w:rPr>
      </w:pPr>
      <w:r>
        <w:rPr>
          <w:rFonts w:hint="eastAsia" w:ascii="宋体" w:hAnsi="宋体" w:eastAsia="宋体" w:cs="宋体"/>
          <w:kern w:val="0"/>
          <w:sz w:val="24"/>
          <w:szCs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wordWrap/>
        <w:snapToGrid w:val="0"/>
        <w:spacing w:line="600" w:lineRule="exact"/>
        <w:ind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wordWrap/>
        <w:snapToGrid w:val="0"/>
        <w:spacing w:line="600" w:lineRule="exact"/>
        <w:ind w:right="0" w:firstLine="576"/>
        <w:textAlignment w:val="auto"/>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lang w:val="en-US" w:eastAsia="zh-CN"/>
        </w:rPr>
        <w:t>6</w:t>
      </w:r>
      <w:r>
        <w:rPr>
          <w:rFonts w:hint="eastAsia" w:ascii="宋体" w:hAnsi="宋体" w:eastAsia="宋体" w:cs="宋体"/>
          <w:b/>
          <w:kern w:val="0"/>
          <w:sz w:val="24"/>
          <w:lang w:val="zh-CN"/>
        </w:rPr>
        <w:t>%的扣除）</w:t>
      </w:r>
    </w:p>
    <w:p>
      <w:pPr>
        <w:wordWrap/>
        <w:snapToGrid w:val="0"/>
        <w:spacing w:line="600" w:lineRule="exact"/>
        <w:ind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wordWrap/>
        <w:snapToGrid w:val="0"/>
        <w:spacing w:line="600" w:lineRule="exact"/>
        <w:ind w:right="0" w:firstLine="5640" w:firstLineChars="23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wordWrap/>
        <w:snapToGrid w:val="0"/>
        <w:spacing w:line="600" w:lineRule="exact"/>
        <w:ind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wordWrap/>
        <w:snapToGrid w:val="0"/>
        <w:spacing w:line="600" w:lineRule="exact"/>
        <w:ind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p>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top"/>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pStyle w:val="6"/>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vAlign w:val="top"/>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b/>
          <w:bCs/>
          <w:sz w:val="28"/>
          <w:szCs w:val="28"/>
          <w:lang w:val="en-US" w:eastAsia="zh-CN"/>
        </w:rPr>
      </w:pPr>
      <w:r>
        <w:rPr>
          <w:rFonts w:hint="eastAsia"/>
          <w:b/>
          <w:bCs/>
          <w:sz w:val="28"/>
          <w:szCs w:val="28"/>
          <w:lang w:val="en-US" w:eastAsia="zh-CN"/>
        </w:rPr>
        <w:t>六、评标标准相应的商务技术资料</w:t>
      </w:r>
    </w:p>
    <w:p>
      <w:pPr>
        <w:snapToGrid w:val="0"/>
        <w:spacing w:line="360" w:lineRule="auto"/>
        <w:jc w:val="left"/>
        <w:rPr>
          <w:rFonts w:hint="eastAsia" w:ascii="宋体" w:hAnsi="宋体" w:eastAsia="宋体" w:cs="宋体"/>
          <w:b/>
          <w:sz w:val="24"/>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b/>
          <w:bCs/>
          <w:sz w:val="28"/>
          <w:szCs w:val="28"/>
        </w:rPr>
      </w:pPr>
      <w:r>
        <w:rPr>
          <w:rFonts w:hint="eastAsia"/>
          <w:b/>
          <w:bCs/>
          <w:sz w:val="28"/>
          <w:szCs w:val="28"/>
          <w:lang w:val="en-US" w:eastAsia="zh-CN"/>
        </w:rPr>
        <w:t>七、</w:t>
      </w:r>
      <w:r>
        <w:rPr>
          <w:rFonts w:hint="eastAsia"/>
          <w:b/>
          <w:bCs/>
          <w:sz w:val="28"/>
          <w:szCs w:val="28"/>
        </w:rPr>
        <w:t>商务技术偏离表</w:t>
      </w:r>
    </w:p>
    <w:p>
      <w:pPr>
        <w:pStyle w:val="26"/>
        <w:numPr>
          <w:ilvl w:val="0"/>
          <w:numId w:val="0"/>
        </w:numPr>
        <w:rPr>
          <w:rFonts w:hint="eastAsia"/>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sz w:val="24"/>
                <w:szCs w:val="24"/>
              </w:rPr>
            </w:pPr>
            <w:r>
              <w:rPr>
                <w:rFonts w:hint="eastAsia"/>
                <w:sz w:val="24"/>
                <w:szCs w:val="24"/>
              </w:rPr>
              <w:t>序号</w:t>
            </w:r>
          </w:p>
        </w:tc>
        <w:tc>
          <w:tcPr>
            <w:tcW w:w="3683" w:type="dxa"/>
            <w:vAlign w:val="center"/>
          </w:tcPr>
          <w:p>
            <w:pPr>
              <w:jc w:val="center"/>
              <w:rPr>
                <w:rFonts w:hint="eastAsia"/>
                <w:sz w:val="24"/>
                <w:szCs w:val="24"/>
              </w:rPr>
            </w:pPr>
            <w:r>
              <w:rPr>
                <w:rFonts w:hint="eastAsia"/>
                <w:sz w:val="24"/>
                <w:szCs w:val="24"/>
              </w:rPr>
              <w:t>招标文件章节及具体内容</w:t>
            </w:r>
          </w:p>
        </w:tc>
        <w:tc>
          <w:tcPr>
            <w:tcW w:w="3546" w:type="dxa"/>
            <w:vAlign w:val="center"/>
          </w:tcPr>
          <w:p>
            <w:pPr>
              <w:jc w:val="center"/>
              <w:rPr>
                <w:rFonts w:hint="eastAsia"/>
                <w:sz w:val="24"/>
                <w:szCs w:val="24"/>
              </w:rPr>
            </w:pPr>
            <w:r>
              <w:rPr>
                <w:rFonts w:hint="eastAsia"/>
                <w:sz w:val="24"/>
                <w:szCs w:val="24"/>
              </w:rPr>
              <w:t>投标文件章节及具体内容</w:t>
            </w:r>
          </w:p>
        </w:tc>
        <w:tc>
          <w:tcPr>
            <w:tcW w:w="1276" w:type="dxa"/>
            <w:vAlign w:val="center"/>
          </w:tcPr>
          <w:p>
            <w:pPr>
              <w:jc w:val="center"/>
              <w:rPr>
                <w:rFonts w:hint="eastAsia"/>
                <w:sz w:val="24"/>
                <w:szCs w:val="24"/>
              </w:rPr>
            </w:pPr>
            <w:r>
              <w:rPr>
                <w:rFonts w:hint="eastAsia"/>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sz w:val="24"/>
                <w:szCs w:val="24"/>
              </w:rPr>
            </w:pPr>
            <w:r>
              <w:rPr>
                <w:rFonts w:hint="eastAsia"/>
                <w:sz w:val="24"/>
                <w:szCs w:val="24"/>
              </w:rPr>
              <w:t>1</w:t>
            </w:r>
          </w:p>
        </w:tc>
        <w:tc>
          <w:tcPr>
            <w:tcW w:w="3683" w:type="dxa"/>
            <w:vAlign w:val="center"/>
          </w:tcPr>
          <w:p>
            <w:pPr>
              <w:jc w:val="center"/>
              <w:rPr>
                <w:rFonts w:hint="eastAsia"/>
                <w:sz w:val="24"/>
                <w:szCs w:val="24"/>
              </w:rPr>
            </w:pPr>
          </w:p>
        </w:tc>
        <w:tc>
          <w:tcPr>
            <w:tcW w:w="3546" w:type="dxa"/>
            <w:vAlign w:val="center"/>
          </w:tcPr>
          <w:p>
            <w:pPr>
              <w:jc w:val="center"/>
              <w:rPr>
                <w:rFonts w:hint="eastAsia"/>
                <w:sz w:val="24"/>
                <w:szCs w:val="24"/>
              </w:rPr>
            </w:pPr>
          </w:p>
        </w:tc>
        <w:tc>
          <w:tcPr>
            <w:tcW w:w="1276"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sz w:val="24"/>
                <w:szCs w:val="24"/>
              </w:rPr>
            </w:pPr>
            <w:r>
              <w:rPr>
                <w:rFonts w:hint="eastAsia"/>
                <w:sz w:val="24"/>
                <w:szCs w:val="24"/>
              </w:rPr>
              <w:t>2</w:t>
            </w:r>
          </w:p>
        </w:tc>
        <w:tc>
          <w:tcPr>
            <w:tcW w:w="3683" w:type="dxa"/>
            <w:vAlign w:val="center"/>
          </w:tcPr>
          <w:p>
            <w:pPr>
              <w:jc w:val="center"/>
              <w:rPr>
                <w:rFonts w:hint="eastAsia"/>
                <w:sz w:val="24"/>
                <w:szCs w:val="24"/>
              </w:rPr>
            </w:pPr>
          </w:p>
        </w:tc>
        <w:tc>
          <w:tcPr>
            <w:tcW w:w="3546" w:type="dxa"/>
            <w:vAlign w:val="center"/>
          </w:tcPr>
          <w:p>
            <w:pPr>
              <w:jc w:val="center"/>
              <w:rPr>
                <w:rFonts w:hint="eastAsia"/>
                <w:sz w:val="24"/>
                <w:szCs w:val="24"/>
              </w:rPr>
            </w:pPr>
          </w:p>
        </w:tc>
        <w:tc>
          <w:tcPr>
            <w:tcW w:w="1276"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sz w:val="24"/>
                <w:szCs w:val="24"/>
              </w:rPr>
            </w:pPr>
            <w:r>
              <w:rPr>
                <w:rFonts w:hint="eastAsia"/>
                <w:sz w:val="24"/>
                <w:szCs w:val="24"/>
              </w:rPr>
              <w:t>……</w:t>
            </w:r>
          </w:p>
        </w:tc>
        <w:tc>
          <w:tcPr>
            <w:tcW w:w="3683" w:type="dxa"/>
            <w:vAlign w:val="center"/>
          </w:tcPr>
          <w:p>
            <w:pPr>
              <w:jc w:val="center"/>
              <w:rPr>
                <w:rFonts w:hint="eastAsia"/>
                <w:sz w:val="24"/>
                <w:szCs w:val="24"/>
              </w:rPr>
            </w:pPr>
          </w:p>
        </w:tc>
        <w:tc>
          <w:tcPr>
            <w:tcW w:w="3546" w:type="dxa"/>
            <w:vAlign w:val="center"/>
          </w:tcPr>
          <w:p>
            <w:pPr>
              <w:jc w:val="center"/>
              <w:rPr>
                <w:rFonts w:hint="eastAsia"/>
                <w:sz w:val="24"/>
                <w:szCs w:val="24"/>
              </w:rPr>
            </w:pPr>
          </w:p>
        </w:tc>
        <w:tc>
          <w:tcPr>
            <w:tcW w:w="1276" w:type="dxa"/>
            <w:vAlign w:val="center"/>
          </w:tcPr>
          <w:p>
            <w:pPr>
              <w:jc w:val="center"/>
              <w:rPr>
                <w:rFonts w:hint="eastAsia"/>
                <w:sz w:val="24"/>
                <w:szCs w:val="24"/>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autoSpaceDE w:val="0"/>
        <w:autoSpaceDN w:val="0"/>
        <w:spacing w:line="440" w:lineRule="exact"/>
        <w:jc w:val="center"/>
        <w:rPr>
          <w:b/>
          <w:bCs/>
          <w:sz w:val="28"/>
          <w:szCs w:val="28"/>
        </w:rPr>
      </w:pPr>
      <w:r>
        <w:rPr>
          <w:rFonts w:hint="eastAsia"/>
          <w:b/>
          <w:bCs/>
          <w:sz w:val="28"/>
          <w:szCs w:val="28"/>
        </w:rPr>
        <w:t>八、所投产品具体配置表</w:t>
      </w:r>
    </w:p>
    <w:p>
      <w:pPr>
        <w:autoSpaceDE w:val="0"/>
        <w:autoSpaceDN w:val="0"/>
        <w:spacing w:line="440" w:lineRule="exact"/>
        <w:rPr>
          <w:rFonts w:hint="eastAsia" w:ascii="宋体" w:hAnsi="宋体" w:eastAsia="宋体" w:cs="宋体"/>
          <w:b/>
          <w:kern w:val="0"/>
          <w:sz w:val="24"/>
          <w:lang w:eastAsia="zh-CN"/>
        </w:rPr>
      </w:pPr>
      <w:r>
        <w:rPr>
          <w:rFonts w:hint="eastAsia" w:ascii="宋体" w:hAnsi="宋体" w:cs="宋体"/>
          <w:b/>
          <w:kern w:val="0"/>
          <w:sz w:val="24"/>
        </w:rPr>
        <w:t>项目编号：</w:t>
      </w:r>
      <w:r>
        <w:rPr>
          <w:rFonts w:hint="eastAsia" w:ascii="宋体" w:hAnsi="宋体" w:cs="宋体"/>
          <w:b/>
          <w:kern w:val="0"/>
          <w:sz w:val="24"/>
          <w:lang w:val="en-US" w:eastAsia="zh-CN"/>
        </w:rPr>
        <w:t xml:space="preserve"> </w:t>
      </w:r>
    </w:p>
    <w:tbl>
      <w:tblPr>
        <w:tblStyle w:val="6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49"/>
        <w:gridCol w:w="990"/>
        <w:gridCol w:w="1354"/>
        <w:gridCol w:w="179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jc w:val="center"/>
              <w:rPr>
                <w:rFonts w:ascii="宋体" w:hAnsi="宋体" w:cs="宋体"/>
                <w:b/>
                <w:sz w:val="24"/>
              </w:rPr>
            </w:pPr>
            <w:r>
              <w:rPr>
                <w:rFonts w:hint="eastAsia" w:ascii="宋体" w:hAnsi="宋体" w:cs="宋体"/>
                <w:b/>
                <w:sz w:val="24"/>
              </w:rPr>
              <w:t>序号</w:t>
            </w:r>
          </w:p>
        </w:tc>
        <w:tc>
          <w:tcPr>
            <w:tcW w:w="2149" w:type="dxa"/>
            <w:vAlign w:val="center"/>
          </w:tcPr>
          <w:p>
            <w:pPr>
              <w:jc w:val="center"/>
              <w:rPr>
                <w:rFonts w:ascii="宋体" w:hAnsi="宋体" w:cs="宋体"/>
                <w:b/>
                <w:sz w:val="24"/>
              </w:rPr>
            </w:pPr>
            <w:r>
              <w:rPr>
                <w:rFonts w:hint="eastAsia" w:ascii="宋体" w:hAnsi="宋体" w:cs="宋体"/>
                <w:b/>
                <w:sz w:val="24"/>
              </w:rPr>
              <w:t>产品名称</w:t>
            </w:r>
          </w:p>
        </w:tc>
        <w:tc>
          <w:tcPr>
            <w:tcW w:w="990" w:type="dxa"/>
            <w:vAlign w:val="center"/>
          </w:tcPr>
          <w:p>
            <w:pPr>
              <w:autoSpaceDE w:val="0"/>
              <w:autoSpaceDN w:val="0"/>
              <w:jc w:val="center"/>
              <w:rPr>
                <w:rFonts w:ascii="宋体" w:hAnsi="宋体" w:cs="宋体"/>
                <w:b/>
                <w:sz w:val="24"/>
              </w:rPr>
            </w:pPr>
            <w:r>
              <w:rPr>
                <w:rFonts w:hint="eastAsia" w:ascii="宋体" w:hAnsi="宋体" w:cs="宋体"/>
                <w:b/>
                <w:sz w:val="24"/>
              </w:rPr>
              <w:t>数量</w:t>
            </w:r>
          </w:p>
        </w:tc>
        <w:tc>
          <w:tcPr>
            <w:tcW w:w="1354" w:type="dxa"/>
            <w:vAlign w:val="center"/>
          </w:tcPr>
          <w:p>
            <w:pPr>
              <w:jc w:val="center"/>
              <w:rPr>
                <w:rFonts w:ascii="宋体" w:hAnsi="宋体" w:cs="宋体"/>
                <w:b/>
                <w:sz w:val="24"/>
              </w:rPr>
            </w:pPr>
            <w:r>
              <w:rPr>
                <w:rFonts w:hint="eastAsia" w:ascii="宋体" w:hAnsi="宋体" w:cs="宋体"/>
                <w:b/>
                <w:sz w:val="24"/>
              </w:rPr>
              <w:t>规格型号</w:t>
            </w:r>
          </w:p>
        </w:tc>
        <w:tc>
          <w:tcPr>
            <w:tcW w:w="1797" w:type="dxa"/>
            <w:vAlign w:val="center"/>
          </w:tcPr>
          <w:p>
            <w:pPr>
              <w:jc w:val="center"/>
              <w:rPr>
                <w:rFonts w:ascii="宋体" w:hAnsi="宋体" w:cs="宋体"/>
                <w:b/>
                <w:sz w:val="24"/>
              </w:rPr>
            </w:pPr>
            <w:r>
              <w:rPr>
                <w:rFonts w:hint="eastAsia" w:ascii="宋体" w:hAnsi="宋体" w:cs="宋体"/>
                <w:b/>
                <w:sz w:val="24"/>
              </w:rPr>
              <w:t>性能及指标</w:t>
            </w:r>
          </w:p>
        </w:tc>
        <w:tc>
          <w:tcPr>
            <w:tcW w:w="1467" w:type="dxa"/>
            <w:vAlign w:val="center"/>
          </w:tcPr>
          <w:p>
            <w:pPr>
              <w:jc w:val="center"/>
              <w:rPr>
                <w:rFonts w:ascii="宋体" w:hAnsi="宋体" w:cs="宋体"/>
                <w:b/>
                <w:sz w:val="24"/>
              </w:rPr>
            </w:pPr>
            <w:r>
              <w:rPr>
                <w:rFonts w:hint="eastAsia" w:ascii="宋体" w:hAnsi="宋体" w:cs="宋体"/>
                <w:b/>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1</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2</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3</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4</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r>
              <w:rPr>
                <w:rFonts w:hint="eastAsia" w:ascii="宋体" w:hAnsi="宋体" w:cs="宋体"/>
                <w:sz w:val="24"/>
              </w:rPr>
              <w:t>…</w:t>
            </w:r>
          </w:p>
        </w:tc>
      </w:tr>
    </w:tbl>
    <w:p>
      <w:pPr>
        <w:autoSpaceDE w:val="0"/>
        <w:autoSpaceDN w:val="0"/>
        <w:spacing w:line="440" w:lineRule="exact"/>
        <w:rPr>
          <w:rFonts w:ascii="宋体" w:hAnsi="宋体" w:cs="宋体"/>
          <w:b/>
          <w:sz w:val="24"/>
        </w:rPr>
      </w:pPr>
      <w:r>
        <w:rPr>
          <w:rFonts w:hint="eastAsia" w:ascii="宋体" w:hAnsi="宋体" w:cs="宋体"/>
          <w:kern w:val="0"/>
          <w:sz w:val="24"/>
        </w:rPr>
        <w:t>备注：</w:t>
      </w:r>
      <w:r>
        <w:rPr>
          <w:rFonts w:hint="eastAsia" w:ascii="宋体" w:hAnsi="宋体" w:cs="宋体"/>
          <w:b/>
          <w:kern w:val="0"/>
          <w:sz w:val="24"/>
        </w:rPr>
        <w:t>主要产品的规格型号、性能指标等内容。</w:t>
      </w:r>
      <w:r>
        <w:rPr>
          <w:rFonts w:hint="eastAsia" w:ascii="宋体" w:hAnsi="宋体" w:cs="宋体"/>
          <w:b/>
          <w:sz w:val="24"/>
        </w:rPr>
        <w:t>可附投标产品介绍图文资料。</w:t>
      </w:r>
    </w:p>
    <w:p>
      <w:pPr>
        <w:spacing w:line="460" w:lineRule="exact"/>
        <w:rPr>
          <w:rFonts w:ascii="宋体" w:hAnsi="宋体" w:cs="宋体"/>
          <w:sz w:val="24"/>
        </w:rPr>
      </w:pPr>
    </w:p>
    <w:p>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投标人(公章）：     </w:t>
      </w:r>
    </w:p>
    <w:p>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法定代表人或授权代表(签字）：     </w:t>
      </w:r>
    </w:p>
    <w:p>
      <w:pPr>
        <w:pStyle w:val="35"/>
        <w:snapToGrid w:val="0"/>
        <w:spacing w:line="600" w:lineRule="exact"/>
        <w:ind w:firstLine="480" w:firstLineChars="200"/>
        <w:jc w:val="center"/>
        <w:outlineLvl w:val="2"/>
        <w:rPr>
          <w:rFonts w:hAnsi="宋体" w:cs="宋体"/>
          <w:b/>
          <w:color w:val="000000"/>
          <w:sz w:val="28"/>
          <w:szCs w:val="28"/>
          <w:lang w:val="zh-CN"/>
        </w:rPr>
      </w:pPr>
      <w:r>
        <w:rPr>
          <w:rFonts w:hint="eastAsia" w:hAnsi="宋体" w:cs="宋体"/>
          <w:kern w:val="0"/>
          <w:sz w:val="24"/>
          <w:lang w:val="en-US" w:eastAsia="zh-CN"/>
        </w:rPr>
        <w:t xml:space="preserve">      </w:t>
      </w:r>
      <w:r>
        <w:rPr>
          <w:rFonts w:hint="eastAsia" w:hAnsi="宋体" w:cs="宋体"/>
          <w:kern w:val="0"/>
          <w:sz w:val="24"/>
          <w:lang w:val="zh-CN"/>
        </w:rPr>
        <w:t xml:space="preserve"> 日期：20  年  月   日  </w:t>
      </w:r>
    </w:p>
    <w:p>
      <w:pPr>
        <w:jc w:val="center"/>
        <w:rPr>
          <w:rFonts w:hint="eastAsia"/>
          <w:b/>
          <w:bCs/>
          <w:sz w:val="28"/>
          <w:szCs w:val="28"/>
          <w:lang w:val="zh-CN"/>
        </w:rPr>
        <w:sectPr>
          <w:headerReference r:id="rId13" w:type="first"/>
          <w:footerReference r:id="rId15" w:type="first"/>
          <w:headerReference r:id="rId12" w:type="default"/>
          <w:footerReference r:id="rId14" w:type="default"/>
          <w:pgSz w:w="11905" w:h="16838"/>
          <w:pgMar w:top="1531" w:right="1304" w:bottom="1531" w:left="1361" w:header="851" w:footer="992" w:gutter="0"/>
          <w:cols w:space="720" w:num="1"/>
          <w:titlePg/>
          <w:rtlGutter w:val="0"/>
          <w:docGrid w:linePitch="312" w:charSpace="0"/>
        </w:sectPr>
      </w:pPr>
    </w:p>
    <w:p>
      <w:pPr>
        <w:jc w:val="center"/>
        <w:rPr>
          <w:rFonts w:hint="eastAsia"/>
          <w:b/>
          <w:bCs/>
          <w:sz w:val="28"/>
          <w:szCs w:val="28"/>
        </w:rPr>
      </w:pPr>
      <w:r>
        <w:rPr>
          <w:rFonts w:hint="eastAsia"/>
          <w:b/>
          <w:bCs/>
          <w:sz w:val="28"/>
          <w:szCs w:val="28"/>
          <w:lang w:val="zh-CN"/>
        </w:rPr>
        <w:t>九、政府采购供应商廉洁自律承诺书</w:t>
      </w:r>
    </w:p>
    <w:p>
      <w:pPr>
        <w:rPr>
          <w:rFonts w:hint="eastAsia"/>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lang w:val="zh-CN"/>
        </w:rPr>
        <w:t>（采购人）、（采购代理机构）：</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我单位响应你</w:t>
      </w:r>
      <w:r>
        <w:rPr>
          <w:rFonts w:hint="eastAsia"/>
          <w:sz w:val="24"/>
          <w:szCs w:val="24"/>
        </w:rPr>
        <w:t>单位</w:t>
      </w:r>
      <w:r>
        <w:rPr>
          <w:rFonts w:hint="eastAsia"/>
          <w:sz w:val="24"/>
          <w:szCs w:val="24"/>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四、不为项目有关人员及部门出国（境）、旅游等提供方便；</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六、严格遵守《中华人民共和国政府采购法》《中华人民共和国招标投标法》《中华人民共和国民法典》等法律法规，诚实守信，合法经营，坚决抵制各种违法违纪行为。</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lang w:val="zh-CN"/>
        </w:rPr>
      </w:pPr>
      <w:r>
        <w:rPr>
          <w:rFonts w:hint="eastAsia"/>
          <w:sz w:val="24"/>
          <w:szCs w:val="24"/>
          <w:lang w:val="zh-CN"/>
        </w:rPr>
        <w:t>如违反上述承诺，你</w:t>
      </w:r>
      <w:r>
        <w:rPr>
          <w:rFonts w:hint="eastAsia"/>
          <w:sz w:val="24"/>
          <w:szCs w:val="24"/>
        </w:rPr>
        <w:t>单位</w:t>
      </w:r>
      <w:r>
        <w:rPr>
          <w:rFonts w:hint="eastAsia"/>
          <w:sz w:val="24"/>
          <w:szCs w:val="24"/>
          <w:lang w:val="zh-CN"/>
        </w:rPr>
        <w:t>有权立即取消我单位投标、中标或在建项目的建设资格，有权拒绝我单位在一定时期内进入你</w:t>
      </w:r>
      <w:r>
        <w:rPr>
          <w:rFonts w:hint="eastAsia"/>
          <w:sz w:val="24"/>
          <w:szCs w:val="24"/>
        </w:rPr>
        <w:t>单位</w:t>
      </w:r>
      <w:r>
        <w:rPr>
          <w:rFonts w:hint="eastAsia"/>
          <w:sz w:val="24"/>
          <w:szCs w:val="24"/>
          <w:lang w:val="zh-CN"/>
        </w:rPr>
        <w:t>进行项目建设或其他经营活动，并通报市财政局。由此引起的相应损失均由我单位承担。</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lang w:val="zh-CN"/>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lang w:val="zh-CN"/>
        </w:rPr>
      </w:pPr>
    </w:p>
    <w:p>
      <w:pPr>
        <w:keepNext w:val="0"/>
        <w:keepLines w:val="0"/>
        <w:pageBreakBefore w:val="0"/>
        <w:widowControl w:val="0"/>
        <w:kinsoku/>
        <w:wordWrap/>
        <w:overflowPunct/>
        <w:topLinePunct w:val="0"/>
        <w:autoSpaceDE/>
        <w:autoSpaceDN/>
        <w:bidi w:val="0"/>
        <w:adjustRightInd w:val="0"/>
        <w:snapToGrid/>
        <w:spacing w:line="600" w:lineRule="exact"/>
        <w:jc w:val="right"/>
        <w:textAlignment w:val="auto"/>
        <w:rPr>
          <w:rFonts w:hint="eastAsia"/>
          <w:sz w:val="24"/>
          <w:szCs w:val="24"/>
          <w:lang w:val="zh-CN"/>
        </w:rPr>
      </w:pPr>
      <w:r>
        <w:rPr>
          <w:rFonts w:hint="eastAsia"/>
          <w:sz w:val="24"/>
          <w:szCs w:val="24"/>
          <w:lang w:val="zh-CN"/>
        </w:rPr>
        <w:t>投标人名称（</w:t>
      </w:r>
      <w:r>
        <w:rPr>
          <w:rFonts w:hint="eastAsia"/>
          <w:sz w:val="24"/>
          <w:szCs w:val="24"/>
        </w:rPr>
        <w:t>电子签名</w:t>
      </w:r>
      <w:r>
        <w:rPr>
          <w:rFonts w:hint="eastAsia"/>
          <w:sz w:val="24"/>
          <w:szCs w:val="24"/>
          <w:lang w:val="zh-CN"/>
        </w:rPr>
        <w:t>）：</w:t>
      </w:r>
    </w:p>
    <w:p>
      <w:pPr>
        <w:keepNext w:val="0"/>
        <w:keepLines w:val="0"/>
        <w:pageBreakBefore w:val="0"/>
        <w:widowControl w:val="0"/>
        <w:kinsoku/>
        <w:wordWrap/>
        <w:overflowPunct/>
        <w:topLinePunct w:val="0"/>
        <w:autoSpaceDE/>
        <w:autoSpaceDN/>
        <w:bidi w:val="0"/>
        <w:adjustRightInd w:val="0"/>
        <w:snapToGrid/>
        <w:spacing w:line="600" w:lineRule="exact"/>
        <w:jc w:val="right"/>
        <w:textAlignment w:val="auto"/>
        <w:rPr>
          <w:rFonts w:hint="eastAsia" w:ascii="宋体" w:hAnsi="宋体" w:eastAsia="宋体" w:cs="宋体"/>
          <w:sz w:val="24"/>
        </w:rPr>
      </w:pPr>
      <w:r>
        <w:rPr>
          <w:rFonts w:hint="eastAsia"/>
          <w:sz w:val="24"/>
          <w:szCs w:val="24"/>
          <w:lang w:val="zh-CN"/>
        </w:rPr>
        <w:t>日期</w:t>
      </w:r>
      <w:r>
        <w:rPr>
          <w:rFonts w:hint="eastAsia"/>
          <w:sz w:val="24"/>
          <w:szCs w:val="24"/>
        </w:rPr>
        <w:t>：</w:t>
      </w:r>
      <w:r>
        <w:rPr>
          <w:rFonts w:hint="eastAsia"/>
          <w:sz w:val="24"/>
          <w:szCs w:val="24"/>
          <w:lang w:val="zh-CN"/>
        </w:rPr>
        <w:t xml:space="preserve">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pgSz w:w="11905" w:h="16838"/>
          <w:pgMar w:top="1531" w:right="1304" w:bottom="1531" w:left="1361" w:header="851" w:footer="992" w:gutter="0"/>
          <w:cols w:space="720" w:num="1"/>
          <w:titlePg/>
          <w:rtlGutter w:val="0"/>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38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531" w:right="1304" w:bottom="1531" w:left="1361" w:header="851" w:footer="992" w:gutter="0"/>
          <w:cols w:space="720" w:num="1"/>
          <w:titlePg/>
          <w:rtlGutter w:val="0"/>
          <w:docGrid w:linePitch="312" w:charSpace="0"/>
        </w:sectPr>
      </w:pPr>
    </w:p>
    <w:p>
      <w:pPr>
        <w:pStyle w:val="38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482"/>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898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986"/>
        <w:gridCol w:w="4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627" w:type="dxa"/>
            <w:tcBorders>
              <w:top w:val="double" w:color="auto" w:sz="4" w:space="0"/>
              <w:bottom w:val="double" w:color="auto" w:sz="4" w:space="0"/>
            </w:tcBorders>
            <w:vAlign w:val="center"/>
          </w:tcPr>
          <w:p>
            <w:pPr>
              <w:autoSpaceDE w:val="0"/>
              <w:autoSpaceDN w:val="0"/>
              <w:spacing w:line="44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本项目投标总报价</w:t>
            </w:r>
          </w:p>
        </w:tc>
        <w:tc>
          <w:tcPr>
            <w:tcW w:w="2986" w:type="dxa"/>
            <w:tcBorders>
              <w:top w:val="double" w:color="auto" w:sz="4" w:space="0"/>
              <w:bottom w:val="double" w:color="auto" w:sz="4" w:space="0"/>
            </w:tcBorders>
            <w:vAlign w:val="center"/>
          </w:tcPr>
          <w:p>
            <w:pPr>
              <w:autoSpaceDE w:val="0"/>
              <w:autoSpaceDN w:val="0"/>
              <w:spacing w:line="440" w:lineRule="exact"/>
              <w:jc w:val="both"/>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小写：       万元</w:t>
            </w:r>
          </w:p>
          <w:p>
            <w:pPr>
              <w:autoSpaceDE w:val="0"/>
              <w:autoSpaceDN w:val="0"/>
              <w:spacing w:line="440" w:lineRule="exact"/>
              <w:jc w:val="both"/>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kern w:val="0"/>
                <w:sz w:val="24"/>
                <w:szCs w:val="24"/>
                <w:lang w:val="en-US" w:eastAsia="zh-CN"/>
              </w:rPr>
              <w:t>大写：       万元</w:t>
            </w:r>
          </w:p>
        </w:tc>
        <w:tc>
          <w:tcPr>
            <w:tcW w:w="4369" w:type="dxa"/>
            <w:tcBorders>
              <w:top w:val="double" w:color="auto" w:sz="4" w:space="0"/>
              <w:bottom w:val="double" w:color="auto" w:sz="4" w:space="0"/>
            </w:tcBorders>
            <w:vAlign w:val="center"/>
          </w:tcPr>
          <w:p>
            <w:pPr>
              <w:autoSpaceDE w:val="0"/>
              <w:autoSpaceDN w:val="0"/>
              <w:spacing w:line="440" w:lineRule="exact"/>
              <w:jc w:val="both"/>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备注：最终按时结算，否则作废标处理</w:t>
            </w:r>
          </w:p>
        </w:tc>
      </w:tr>
    </w:tbl>
    <w:p>
      <w:pPr>
        <w:widowControl w:val="0"/>
        <w:wordWrap/>
        <w:adjustRightInd w:val="0"/>
        <w:snapToGrid w:val="0"/>
        <w:spacing w:line="600" w:lineRule="exact"/>
        <w:ind w:left="480" w:right="0"/>
        <w:textAlignment w:val="auto"/>
        <w:outlineLvl w:val="9"/>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1、投标人需按本表格式填写，不得自行更改。</w:t>
      </w:r>
    </w:p>
    <w:p>
      <w:pPr>
        <w:spacing w:line="360" w:lineRule="auto"/>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2、有关本项目实施所涉及的一切费用均计入报价。</w:t>
      </w:r>
      <w:r>
        <w:rPr>
          <w:rFonts w:hint="eastAsia" w:asciiTheme="minorEastAsia" w:hAnsiTheme="minorEastAsia" w:eastAsiaTheme="minorEastAsia" w:cstheme="minorEastAsia"/>
          <w:b/>
          <w:bCs/>
          <w:color w:val="auto"/>
          <w:kern w:val="0"/>
          <w:sz w:val="24"/>
          <w:szCs w:val="24"/>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kern w:val="0"/>
          <w:sz w:val="24"/>
          <w:szCs w:val="24"/>
          <w:lang w:val="zh-CN"/>
        </w:rPr>
        <w:t>，</w:t>
      </w:r>
      <w:r>
        <w:rPr>
          <w:rFonts w:hint="eastAsia" w:asciiTheme="minorEastAsia" w:hAnsiTheme="minorEastAsia" w:eastAsiaTheme="minorEastAsia" w:cstheme="minorEastAsia"/>
          <w:b/>
          <w:bCs/>
          <w:color w:val="auto"/>
          <w:kern w:val="0"/>
          <w:sz w:val="24"/>
          <w:szCs w:val="24"/>
          <w:lang w:val="zh-CN"/>
        </w:rPr>
        <w:t>不得出现“0元”“免费赠送”等形式的无偿报价，</w:t>
      </w:r>
      <w:r>
        <w:rPr>
          <w:rFonts w:hint="eastAsia" w:asciiTheme="minorEastAsia" w:hAnsiTheme="minorEastAsia" w:eastAsiaTheme="minorEastAsia" w:cstheme="minorEastAsia"/>
          <w:b/>
          <w:bCs/>
          <w:color w:val="auto"/>
          <w:kern w:val="0"/>
          <w:sz w:val="24"/>
          <w:szCs w:val="24"/>
        </w:rPr>
        <w:t>否则视为</w:t>
      </w:r>
      <w:r>
        <w:rPr>
          <w:rFonts w:hint="eastAsia" w:asciiTheme="minorEastAsia" w:hAnsiTheme="minorEastAsia" w:eastAsiaTheme="minorEastAsia" w:cstheme="minorEastAsia"/>
          <w:b/>
          <w:bCs/>
          <w:color w:val="auto"/>
          <w:sz w:val="24"/>
          <w:szCs w:val="24"/>
        </w:rPr>
        <w:t>投标文件含有采购人不能接受的附加条件的，投标无效</w:t>
      </w:r>
      <w:r>
        <w:rPr>
          <w:rFonts w:hint="eastAsia" w:asciiTheme="minorEastAsia" w:hAnsiTheme="minorEastAsia" w:eastAsiaTheme="minorEastAsia" w:cstheme="minorEastAsia"/>
          <w:b/>
          <w:bCs/>
          <w:color w:val="auto"/>
          <w:kern w:val="0"/>
          <w:sz w:val="24"/>
          <w:szCs w:val="24"/>
          <w:lang w:val="zh-CN"/>
        </w:rPr>
        <w:t>。</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4、特别提示：采购机构将对项目名称和项目编号，中标供应商名称、地址和中标金额，主要中标标的的名称等予以公示。</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Theme="minorEastAsia" w:hAnsiTheme="minorEastAsia" w:eastAsiaTheme="minorEastAsia" w:cstheme="minorEastAsia"/>
          <w:b/>
          <w:bCs/>
          <w:color w:val="auto"/>
          <w:kern w:val="0"/>
          <w:sz w:val="24"/>
          <w:szCs w:val="24"/>
        </w:rPr>
      </w:pPr>
    </w:p>
    <w:p>
      <w:pPr>
        <w:pStyle w:val="38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rPr>
      </w:pPr>
    </w:p>
    <w:p>
      <w:pPr>
        <w:snapToGrid w:val="0"/>
        <w:spacing w:line="360" w:lineRule="auto"/>
        <w:jc w:val="righ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投标人（或联合体牵头人）名称 (电子签名)：</w:t>
      </w:r>
    </w:p>
    <w:p>
      <w:pPr>
        <w:widowControl w:val="0"/>
        <w:wordWrap/>
        <w:adjustRightInd w:val="0"/>
        <w:snapToGrid w:val="0"/>
        <w:spacing w:line="600" w:lineRule="exact"/>
        <w:ind w:right="0" w:firstLine="5520" w:firstLineChars="2300"/>
        <w:jc w:val="left"/>
        <w:textAlignment w:val="auto"/>
        <w:outlineLvl w:val="9"/>
        <w:rPr>
          <w:rFonts w:hint="eastAsia" w:ascii="宋体" w:hAnsi="宋体" w:eastAsia="宋体" w:cs="宋体"/>
          <w:kern w:val="0"/>
          <w:sz w:val="24"/>
          <w:lang w:val="zh-CN"/>
        </w:rPr>
        <w:sectPr>
          <w:headerReference r:id="rId21" w:type="first"/>
          <w:footerReference r:id="rId24" w:type="first"/>
          <w:headerReference r:id="rId20" w:type="default"/>
          <w:footerReference r:id="rId22" w:type="default"/>
          <w:footerReference r:id="rId23" w:type="even"/>
          <w:pgSz w:w="11905" w:h="16838"/>
          <w:pgMar w:top="1531" w:right="1304" w:bottom="1531" w:left="1361" w:header="851" w:footer="992" w:gutter="0"/>
          <w:cols w:space="720" w:num="1"/>
          <w:titlePg/>
          <w:rtlGutter w:val="0"/>
          <w:docGrid w:linePitch="312" w:charSpace="0"/>
        </w:sectPr>
      </w:pPr>
      <w:r>
        <w:rPr>
          <w:rFonts w:hint="eastAsia" w:asciiTheme="minorEastAsia" w:hAnsiTheme="minorEastAsia" w:eastAsiaTheme="minorEastAsia" w:cstheme="minorEastAsia"/>
          <w:color w:val="auto"/>
          <w:kern w:val="0"/>
          <w:sz w:val="24"/>
          <w:szCs w:val="24"/>
          <w:lang w:val="zh-CN"/>
        </w:rPr>
        <w:t>日期：</w:t>
      </w:r>
    </w:p>
    <w:p>
      <w:pPr>
        <w:widowControl w:val="0"/>
        <w:wordWrap/>
        <w:adjustRightInd w:val="0"/>
        <w:snapToGrid w:val="0"/>
        <w:spacing w:line="600" w:lineRule="exact"/>
        <w:ind w:right="0" w:firstLine="640" w:firstLineChars="200"/>
        <w:jc w:val="center"/>
        <w:textAlignment w:val="auto"/>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wordWrap/>
        <w:adjustRightInd w:val="0"/>
        <w:snapToGrid/>
        <w:spacing w:line="600" w:lineRule="exact"/>
        <w:ind w:left="0" w:leftChars="0" w:right="0" w:firstLine="120" w:firstLineChars="50"/>
        <w:jc w:val="left"/>
        <w:textAlignment w:val="auto"/>
        <w:outlineLvl w:val="9"/>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widowControl w:val="0"/>
        <w:wordWrap/>
        <w:snapToGrid/>
        <w:spacing w:line="600" w:lineRule="exact"/>
        <w:ind w:left="0" w:leftChars="0" w:right="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widowControl w:val="0"/>
        <w:wordWrap/>
        <w:snapToGrid/>
        <w:spacing w:line="600" w:lineRule="exact"/>
        <w:ind w:left="0" w:leftChars="0"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一、适用对象</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二、相关信息获取方式</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三、　政府采购信用融资操作流程：</w:t>
      </w:r>
    </w:p>
    <w:p>
      <w:pPr>
        <w:widowControl w:val="0"/>
        <w:wordWrap/>
        <w:snapToGrid/>
        <w:spacing w:line="600" w:lineRule="exact"/>
        <w:ind w:left="0" w:leftChars="0" w:right="0" w:firstLine="960" w:firstLineChars="400"/>
        <w:textAlignment w:val="auto"/>
        <w:rPr>
          <w:rFonts w:hint="eastAsia" w:ascii="宋体" w:hAnsi="宋体" w:eastAsia="宋体" w:cs="宋体"/>
          <w:sz w:val="24"/>
        </w:rPr>
      </w:pPr>
      <w:r>
        <w:rPr>
          <w:rFonts w:hint="eastAsia" w:ascii="宋体" w:hAnsi="宋体" w:eastAsia="宋体" w:cs="宋体"/>
          <w:sz w:val="24"/>
        </w:rPr>
        <w:t>（一）线上融资模式：</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4.审批通过后，在线办理放贷手续。</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（二）线下融资模式：</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6"/>
        <w:widowControl w:val="0"/>
        <w:numPr>
          <w:ilvl w:val="0"/>
          <w:numId w:val="0"/>
        </w:numPr>
        <w:wordWrap/>
        <w:snapToGrid/>
        <w:spacing w:line="600" w:lineRule="exact"/>
        <w:ind w:left="0" w:leftChars="0" w:right="0"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6"/>
        <w:widowControl w:val="0"/>
        <w:numPr>
          <w:ilvl w:val="0"/>
          <w:numId w:val="0"/>
        </w:numPr>
        <w:wordWrap/>
        <w:snapToGrid/>
        <w:spacing w:line="600" w:lineRule="exact"/>
        <w:ind w:left="0" w:leftChars="0" w:right="0"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四、注意事项</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5"/>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402" w:name="_Toc465665161"/>
      <w:r>
        <w:rPr>
          <w:rFonts w:hint="eastAsia" w:ascii="宋体" w:hAnsi="宋体" w:eastAsia="宋体" w:cs="宋体"/>
        </w:rPr>
        <w:t>附件</w:t>
      </w:r>
      <w:bookmarkEnd w:id="402"/>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403" w:name="OLE_LINK14"/>
      <w:bookmarkStart w:id="404" w:name="OLE_LINK13"/>
      <w:r>
        <w:rPr>
          <w:rFonts w:hint="eastAsia" w:ascii="宋体" w:hAnsi="宋体" w:eastAsia="宋体" w:cs="宋体"/>
          <w:b/>
          <w:spacing w:val="6"/>
          <w:sz w:val="32"/>
          <w:szCs w:val="32"/>
        </w:rPr>
        <w:t>残疾人福利性单位声明函</w:t>
      </w:r>
    </w:p>
    <w:bookmarkEnd w:id="403"/>
    <w:bookmarkEnd w:id="404"/>
    <w:p>
      <w:pPr>
        <w:widowControl w:val="0"/>
        <w:wordWrap/>
        <w:adjustRightInd w:val="0"/>
        <w:snapToGrid/>
        <w:spacing w:line="600" w:lineRule="exact"/>
        <w:ind w:left="0" w:leftChars="0"/>
        <w:textAlignment w:val="auto"/>
        <w:outlineLvl w:val="9"/>
        <w:rPr>
          <w:rFonts w:hint="eastAsia" w:ascii="宋体" w:hAnsi="宋体" w:eastAsia="宋体" w:cs="宋体"/>
          <w:b/>
          <w:spacing w:val="6"/>
          <w:sz w:val="30"/>
          <w:szCs w:val="30"/>
        </w:rPr>
      </w:pP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日  期：</w:t>
      </w: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w:t>
      </w:r>
      <w:r>
        <w:rPr>
          <w:rFonts w:hint="eastAsia" w:ascii="宋体" w:hAnsi="宋体" w:eastAsia="宋体" w:cs="宋体"/>
          <w:sz w:val="24"/>
          <w:lang w:eastAsia="zh-CN"/>
        </w:rPr>
        <w:t>）</w:t>
      </w:r>
      <w:r>
        <w:rPr>
          <w:rFonts w:hint="eastAsia" w:ascii="宋体" w:hAnsi="宋体" w:eastAsia="宋体" w:cs="宋体"/>
          <w:sz w:val="24"/>
        </w:rPr>
        <w:t>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pStyle w:val="5"/>
        <w:rPr>
          <w:rFonts w:hint="eastAsia" w:ascii="宋体" w:hAnsi="宋体" w:eastAsia="宋体" w:cs="宋体"/>
          <w:b/>
          <w:spacing w:val="6"/>
          <w:sz w:val="32"/>
          <w:szCs w:val="32"/>
        </w:rPr>
      </w:pPr>
    </w:p>
    <w:p>
      <w:pPr>
        <w:pStyle w:val="5"/>
        <w:spacing w:line="240" w:lineRule="auto"/>
        <w:ind w:left="0" w:leftChars="0" w:firstLine="0" w:firstLineChars="0"/>
        <w:rPr>
          <w:rFonts w:hint="eastAsia" w:ascii="宋体" w:hAnsi="宋体" w:eastAsia="宋体" w:cs="宋体"/>
        </w:rPr>
      </w:pPr>
    </w:p>
    <w:p>
      <w:pPr>
        <w:rPr>
          <w:rFonts w:hint="eastAsia" w:ascii="宋体" w:hAnsi="宋体" w:eastAsia="宋体" w:cs="宋体"/>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ind w:firstLine="0"/>
        <w:rPr>
          <w:rFonts w:hint="eastAsia" w:asciiTheme="minorEastAsia" w:hAnsiTheme="minorEastAsia" w:eastAsiaTheme="minorEastAsia" w:cstheme="minorEastAsia"/>
          <w:b/>
          <w:bCs/>
          <w:color w:val="auto"/>
        </w:rPr>
      </w:pPr>
    </w:p>
    <w:p>
      <w:pPr>
        <w:pStyle w:val="3"/>
        <w:ind w:firstLine="0"/>
        <w:rPr>
          <w:rFonts w:hint="eastAsia" w:asciiTheme="minorEastAsia" w:hAnsiTheme="minorEastAsia" w:eastAsiaTheme="minorEastAsia" w:cstheme="minorEastAsia"/>
          <w:b/>
          <w:bCs/>
          <w:color w:val="auto"/>
        </w:rPr>
      </w:pPr>
    </w:p>
    <w:p>
      <w:pPr>
        <w:pStyle w:val="3"/>
        <w:ind w:firstLine="0"/>
        <w:rPr>
          <w:rFonts w:hint="eastAsia" w:asciiTheme="minorEastAsia" w:hAnsiTheme="minorEastAsia" w:eastAsiaTheme="minorEastAsia" w:cstheme="minorEastAsia"/>
          <w:b/>
          <w:bCs/>
          <w:color w:val="auto"/>
        </w:rPr>
      </w:pPr>
    </w:p>
    <w:p>
      <w:pPr>
        <w:pStyle w:val="3"/>
        <w:ind w:firstLine="0"/>
        <w:rPr>
          <w:rFonts w:hint="eastAsia" w:asciiTheme="minorEastAsia" w:hAnsiTheme="minorEastAsia" w:eastAsiaTheme="minorEastAsia" w:cstheme="minorEastAsia"/>
          <w:b/>
          <w:bCs/>
          <w:color w:val="auto"/>
        </w:rPr>
      </w:pPr>
    </w:p>
    <w:p>
      <w:pPr>
        <w:pStyle w:val="3"/>
        <w:ind w:firstLine="0"/>
        <w:rPr>
          <w:rFonts w:hint="eastAsia" w:asciiTheme="minorEastAsia" w:hAnsiTheme="minorEastAsia" w:eastAsiaTheme="minorEastAsia" w:cstheme="minorEastAsia"/>
          <w:b/>
          <w:bCs/>
          <w:color w:val="auto"/>
          <w:lang w:val="en-US"/>
        </w:rPr>
      </w:pPr>
      <w:r>
        <w:rPr>
          <w:rFonts w:hint="eastAsia" w:asciiTheme="minorEastAsia" w:hAnsiTheme="minorEastAsia" w:eastAsiaTheme="minorEastAsia" w:cstheme="minorEastAsia"/>
          <w:b/>
          <w:bCs/>
          <w:color w:val="auto"/>
        </w:rPr>
        <w:t>附件</w:t>
      </w:r>
      <w:r>
        <w:rPr>
          <w:rFonts w:hint="eastAsia" w:asciiTheme="minorEastAsia" w:hAnsiTheme="minorEastAsia" w:eastAsiaTheme="minorEastAsia" w:cstheme="minorEastAsia"/>
          <w:b/>
          <w:bCs/>
          <w:color w:val="auto"/>
          <w:lang w:val="en-US"/>
        </w:rPr>
        <w:t>：</w:t>
      </w:r>
      <w:r>
        <w:rPr>
          <w:rFonts w:hint="eastAsia" w:asciiTheme="minorEastAsia" w:hAnsiTheme="minorEastAsia" w:eastAsiaTheme="minorEastAsia" w:cstheme="minorEastAsia"/>
          <w:b/>
          <w:bCs/>
          <w:color w:val="auto"/>
        </w:rPr>
        <w:t>中小企业划</w:t>
      </w:r>
    </w:p>
    <w:p>
      <w:pPr>
        <w:pStyle w:val="967"/>
        <w:spacing w:line="50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kern w:val="0"/>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spacing w:line="500" w:lineRule="exact"/>
        <w:jc w:val="center"/>
        <w:rPr>
          <w:rFonts w:hint="eastAsia" w:asciiTheme="minorEastAsia" w:hAnsiTheme="minorEastAsia" w:eastAsiaTheme="minorEastAsia" w:cstheme="minorEastAsia"/>
          <w:b/>
          <w:bCs/>
          <w:color w:val="auto"/>
          <w:sz w:val="28"/>
          <w:szCs w:val="28"/>
        </w:rPr>
      </w:pPr>
    </w:p>
    <w:p>
      <w:pPr>
        <w:pStyle w:val="967"/>
        <w:spacing w:line="500" w:lineRule="exact"/>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中小企业划型标准规定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一、根据《中华人民共和国中小企业促进法》和《</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"https://www.shui5.cn/article/47/26142.html"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国务院关于进一步促进中小企业发展的若干意见</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"https://www.shui5.cn/article/47/26142.html"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国发〔2009〕36号</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)，制定本规定。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二、中小企业划分为中型、小型、微型三种类型，具体标准根据企业从业人员、营业收入、资产总额等指标，结合行业特点制定。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lang w:eastAsia="zh-CN"/>
        </w:rPr>
      </w:pPr>
      <w:r>
        <w:rPr>
          <w:rFonts w:hint="eastAsia" w:asciiTheme="minorEastAsia" w:hAnsiTheme="minorEastAsia" w:eastAsiaTheme="minorEastAsia" w:cstheme="minorEastAsia"/>
          <w:color w:val="auto"/>
          <w:spacing w:val="6"/>
        </w:rPr>
        <w:t>四、各行业划型标准为：</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　　（一）农、林、牧、渔业。营业收入20000万元以下的为中小微型企业。其中，营业收入500万元及以上的为中型企业，营业收入50万元及以上的为小型企业，营业收入50万元以下的为微型企业。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spacing w:val="6"/>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五、企业类型的划分以统计部门的统计数据为依据。</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八、本规定由工业和信息化部、国家统计局会同有关部门根据《国民经济行业分类》修订情况和企业发展变化情况适时修订。</w:t>
      </w:r>
    </w:p>
    <w:p>
      <w:pPr>
        <w:pStyle w:val="967"/>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九、本规定由工业和信息化部、国家统计局会同有关部门负责解释。</w:t>
      </w:r>
    </w:p>
    <w:p>
      <w:pPr>
        <w:spacing w:line="360" w:lineRule="auto"/>
        <w:jc w:val="center"/>
        <w:rPr>
          <w:rFonts w:hint="eastAsia" w:ascii="宋体" w:hAnsi="宋体" w:eastAsia="宋体" w:cs="宋体"/>
          <w:b/>
          <w:sz w:val="32"/>
          <w:szCs w:val="32"/>
        </w:rPr>
      </w:pPr>
      <w:r>
        <w:rPr>
          <w:rFonts w:hint="eastAsia" w:asciiTheme="minorEastAsia" w:hAnsiTheme="minorEastAsia" w:eastAsiaTheme="minorEastAsia" w:cstheme="minorEastAsia"/>
          <w:color w:val="auto"/>
          <w:spacing w:val="6"/>
        </w:rPr>
        <w:t>十、本规定自发布之日起执行，原国家经贸委、原国家计委、财政部和国家统计局2003年颁布的《</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"https://www.shui5.cn/article/df/24263.html"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中小企业标准暂行规定</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"https://www.shui5.cn/article/df/24263.html"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国经贸中小企[2003]143号</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同时废止。</w:t>
      </w:r>
    </w:p>
    <w:p>
      <w:pPr>
        <w:spacing w:line="360" w:lineRule="auto"/>
        <w:jc w:val="center"/>
        <w:rPr>
          <w:rFonts w:hint="eastAsia" w:ascii="宋体" w:hAnsi="宋体" w:eastAsia="宋体" w:cs="宋体"/>
          <w:b/>
          <w:sz w:val="32"/>
          <w:szCs w:val="32"/>
        </w:rPr>
      </w:pPr>
    </w:p>
    <w:p/>
    <w:sectPr>
      <w:pgSz w:w="11905" w:h="16838"/>
      <w:pgMar w:top="1531" w:right="1304" w:bottom="1531" w:left="1361"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moder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31845147"/>
    <w:bookmarkStart w:id="406" w:name="_Toc3611018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98FCF"/>
    <w:multiLevelType w:val="singleLevel"/>
    <w:tmpl w:val="D3B98FC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mE2NjZjNzNmNjEwZmI5OWM1NWQyODM4ZDRkZjIifQ=="/>
    <w:docVar w:name="KSO_WPS_MARK_KEY" w:val="61be224b-a53f-4a12-9eea-ec3b9be9e44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2BF"/>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3B45"/>
    <w:rsid w:val="019F7441"/>
    <w:rsid w:val="01B37585"/>
    <w:rsid w:val="01BA1319"/>
    <w:rsid w:val="01BB5A85"/>
    <w:rsid w:val="01CA7042"/>
    <w:rsid w:val="01D55165"/>
    <w:rsid w:val="01D84888"/>
    <w:rsid w:val="01DF6BF8"/>
    <w:rsid w:val="01EC2C57"/>
    <w:rsid w:val="026B2E25"/>
    <w:rsid w:val="02824D4D"/>
    <w:rsid w:val="02942346"/>
    <w:rsid w:val="02DC4B10"/>
    <w:rsid w:val="02DD76CE"/>
    <w:rsid w:val="02F36323"/>
    <w:rsid w:val="02F5619C"/>
    <w:rsid w:val="0326446A"/>
    <w:rsid w:val="032D5555"/>
    <w:rsid w:val="03495554"/>
    <w:rsid w:val="035749D7"/>
    <w:rsid w:val="036634D2"/>
    <w:rsid w:val="03D16C91"/>
    <w:rsid w:val="03DD35E4"/>
    <w:rsid w:val="04045220"/>
    <w:rsid w:val="04076900"/>
    <w:rsid w:val="041A5A3B"/>
    <w:rsid w:val="042311BA"/>
    <w:rsid w:val="042B157A"/>
    <w:rsid w:val="048F763B"/>
    <w:rsid w:val="049F330E"/>
    <w:rsid w:val="04A722F0"/>
    <w:rsid w:val="04AA775C"/>
    <w:rsid w:val="04AF1889"/>
    <w:rsid w:val="04C90F21"/>
    <w:rsid w:val="04F51468"/>
    <w:rsid w:val="04F66F48"/>
    <w:rsid w:val="05251E14"/>
    <w:rsid w:val="057427AF"/>
    <w:rsid w:val="059D6515"/>
    <w:rsid w:val="05A16594"/>
    <w:rsid w:val="05A7762D"/>
    <w:rsid w:val="05B5443B"/>
    <w:rsid w:val="05CE7F14"/>
    <w:rsid w:val="060E5941"/>
    <w:rsid w:val="06110FAF"/>
    <w:rsid w:val="063820BA"/>
    <w:rsid w:val="06447B82"/>
    <w:rsid w:val="06493CA7"/>
    <w:rsid w:val="065A6178"/>
    <w:rsid w:val="066F1CF3"/>
    <w:rsid w:val="06930BB8"/>
    <w:rsid w:val="06AE35EE"/>
    <w:rsid w:val="06DF3FC3"/>
    <w:rsid w:val="07115E54"/>
    <w:rsid w:val="07245D42"/>
    <w:rsid w:val="07264C62"/>
    <w:rsid w:val="073A569E"/>
    <w:rsid w:val="0779354C"/>
    <w:rsid w:val="07922158"/>
    <w:rsid w:val="07D274E2"/>
    <w:rsid w:val="08061376"/>
    <w:rsid w:val="080F49BC"/>
    <w:rsid w:val="081859DF"/>
    <w:rsid w:val="08452D77"/>
    <w:rsid w:val="086401F8"/>
    <w:rsid w:val="08751CAA"/>
    <w:rsid w:val="087E4C40"/>
    <w:rsid w:val="08A63A80"/>
    <w:rsid w:val="08D66AD6"/>
    <w:rsid w:val="08DA33A3"/>
    <w:rsid w:val="08E6034A"/>
    <w:rsid w:val="08E80F13"/>
    <w:rsid w:val="09335624"/>
    <w:rsid w:val="0944690F"/>
    <w:rsid w:val="09535675"/>
    <w:rsid w:val="095F057D"/>
    <w:rsid w:val="09642282"/>
    <w:rsid w:val="09661764"/>
    <w:rsid w:val="097053A7"/>
    <w:rsid w:val="09733572"/>
    <w:rsid w:val="09772C16"/>
    <w:rsid w:val="098353B5"/>
    <w:rsid w:val="098A290C"/>
    <w:rsid w:val="099C34A7"/>
    <w:rsid w:val="09A92330"/>
    <w:rsid w:val="09B06B87"/>
    <w:rsid w:val="09B259BF"/>
    <w:rsid w:val="09B94F9F"/>
    <w:rsid w:val="09C13146"/>
    <w:rsid w:val="09E04166"/>
    <w:rsid w:val="0A1C0718"/>
    <w:rsid w:val="0A3E7710"/>
    <w:rsid w:val="0A4262AC"/>
    <w:rsid w:val="0A5B7E63"/>
    <w:rsid w:val="0AA374A5"/>
    <w:rsid w:val="0AAB7649"/>
    <w:rsid w:val="0ABC5606"/>
    <w:rsid w:val="0ACE6829"/>
    <w:rsid w:val="0AF87B85"/>
    <w:rsid w:val="0B30404E"/>
    <w:rsid w:val="0B4C6C14"/>
    <w:rsid w:val="0B586B6C"/>
    <w:rsid w:val="0B631A88"/>
    <w:rsid w:val="0B683D45"/>
    <w:rsid w:val="0B7F3F11"/>
    <w:rsid w:val="0B867103"/>
    <w:rsid w:val="0B884417"/>
    <w:rsid w:val="0B930A8B"/>
    <w:rsid w:val="0BF6188C"/>
    <w:rsid w:val="0BF73C91"/>
    <w:rsid w:val="0BF85CAB"/>
    <w:rsid w:val="0C083FBC"/>
    <w:rsid w:val="0C170175"/>
    <w:rsid w:val="0C217A06"/>
    <w:rsid w:val="0C477D22"/>
    <w:rsid w:val="0C571A41"/>
    <w:rsid w:val="0C5C1171"/>
    <w:rsid w:val="0C5E1CBC"/>
    <w:rsid w:val="0C615B50"/>
    <w:rsid w:val="0C6A44A1"/>
    <w:rsid w:val="0C8445DA"/>
    <w:rsid w:val="0C87121B"/>
    <w:rsid w:val="0CC007F7"/>
    <w:rsid w:val="0CE543EF"/>
    <w:rsid w:val="0CFE707A"/>
    <w:rsid w:val="0D063BDA"/>
    <w:rsid w:val="0D08375F"/>
    <w:rsid w:val="0D184CFB"/>
    <w:rsid w:val="0D2E7A52"/>
    <w:rsid w:val="0D3816F5"/>
    <w:rsid w:val="0D470510"/>
    <w:rsid w:val="0D4A7419"/>
    <w:rsid w:val="0D531267"/>
    <w:rsid w:val="0D827401"/>
    <w:rsid w:val="0D84094E"/>
    <w:rsid w:val="0D8A00E9"/>
    <w:rsid w:val="0D8D589E"/>
    <w:rsid w:val="0DA01C73"/>
    <w:rsid w:val="0DA31871"/>
    <w:rsid w:val="0DB275CB"/>
    <w:rsid w:val="0DBE4BAA"/>
    <w:rsid w:val="0DD63300"/>
    <w:rsid w:val="0DF50604"/>
    <w:rsid w:val="0DF702FE"/>
    <w:rsid w:val="0E060E51"/>
    <w:rsid w:val="0E0F4549"/>
    <w:rsid w:val="0E246BB0"/>
    <w:rsid w:val="0E5604B2"/>
    <w:rsid w:val="0E6D5D79"/>
    <w:rsid w:val="0E832BBA"/>
    <w:rsid w:val="0E9D0089"/>
    <w:rsid w:val="0EA16899"/>
    <w:rsid w:val="0EAD49A7"/>
    <w:rsid w:val="0EB803EE"/>
    <w:rsid w:val="0EF94D4B"/>
    <w:rsid w:val="0EFE6AEA"/>
    <w:rsid w:val="0F242EDB"/>
    <w:rsid w:val="0F245A3F"/>
    <w:rsid w:val="0F485376"/>
    <w:rsid w:val="0F4958DC"/>
    <w:rsid w:val="0F515DF7"/>
    <w:rsid w:val="0F596BA8"/>
    <w:rsid w:val="0F6248D2"/>
    <w:rsid w:val="0F693536"/>
    <w:rsid w:val="0F7B0511"/>
    <w:rsid w:val="0F7B76D9"/>
    <w:rsid w:val="0F816ACD"/>
    <w:rsid w:val="0F940344"/>
    <w:rsid w:val="0F9832DB"/>
    <w:rsid w:val="0FBF3FD2"/>
    <w:rsid w:val="0FBF7FF3"/>
    <w:rsid w:val="106265C5"/>
    <w:rsid w:val="10646583"/>
    <w:rsid w:val="107D4B15"/>
    <w:rsid w:val="108A3C80"/>
    <w:rsid w:val="10C26171"/>
    <w:rsid w:val="10F33360"/>
    <w:rsid w:val="10FC16EA"/>
    <w:rsid w:val="110F1D40"/>
    <w:rsid w:val="11106CF0"/>
    <w:rsid w:val="11224215"/>
    <w:rsid w:val="11266F33"/>
    <w:rsid w:val="114958B1"/>
    <w:rsid w:val="116C55A6"/>
    <w:rsid w:val="118963A1"/>
    <w:rsid w:val="119D27B8"/>
    <w:rsid w:val="11AC7198"/>
    <w:rsid w:val="11B118CB"/>
    <w:rsid w:val="11C5445D"/>
    <w:rsid w:val="11C6522A"/>
    <w:rsid w:val="11CE5105"/>
    <w:rsid w:val="11E104CC"/>
    <w:rsid w:val="11E20309"/>
    <w:rsid w:val="11E21816"/>
    <w:rsid w:val="12255233"/>
    <w:rsid w:val="12284859"/>
    <w:rsid w:val="122E5DFF"/>
    <w:rsid w:val="12486EC1"/>
    <w:rsid w:val="12530213"/>
    <w:rsid w:val="127723A9"/>
    <w:rsid w:val="12862074"/>
    <w:rsid w:val="12883966"/>
    <w:rsid w:val="1288550F"/>
    <w:rsid w:val="129C0FBA"/>
    <w:rsid w:val="129E45B4"/>
    <w:rsid w:val="12A10CC7"/>
    <w:rsid w:val="12C93136"/>
    <w:rsid w:val="12D81596"/>
    <w:rsid w:val="13072A44"/>
    <w:rsid w:val="133E02C4"/>
    <w:rsid w:val="135320BB"/>
    <w:rsid w:val="135F4BE2"/>
    <w:rsid w:val="13693592"/>
    <w:rsid w:val="139B1A0A"/>
    <w:rsid w:val="139D25C7"/>
    <w:rsid w:val="13BF3CE4"/>
    <w:rsid w:val="141008D8"/>
    <w:rsid w:val="14125FE6"/>
    <w:rsid w:val="146D271E"/>
    <w:rsid w:val="14880EFB"/>
    <w:rsid w:val="14982588"/>
    <w:rsid w:val="149A5AD9"/>
    <w:rsid w:val="14A7619D"/>
    <w:rsid w:val="14B4083D"/>
    <w:rsid w:val="14E43857"/>
    <w:rsid w:val="14F452DB"/>
    <w:rsid w:val="15035C84"/>
    <w:rsid w:val="150536C3"/>
    <w:rsid w:val="150C1963"/>
    <w:rsid w:val="151447A0"/>
    <w:rsid w:val="152C4AD2"/>
    <w:rsid w:val="15354147"/>
    <w:rsid w:val="154222ED"/>
    <w:rsid w:val="154A6454"/>
    <w:rsid w:val="15592141"/>
    <w:rsid w:val="15762120"/>
    <w:rsid w:val="15C24D0F"/>
    <w:rsid w:val="15C9226B"/>
    <w:rsid w:val="16390F1E"/>
    <w:rsid w:val="16A8729C"/>
    <w:rsid w:val="16B33777"/>
    <w:rsid w:val="16BA2357"/>
    <w:rsid w:val="16BC70A7"/>
    <w:rsid w:val="16C44F84"/>
    <w:rsid w:val="16C6339E"/>
    <w:rsid w:val="16C92653"/>
    <w:rsid w:val="16D12D09"/>
    <w:rsid w:val="16F21AF1"/>
    <w:rsid w:val="172F2D79"/>
    <w:rsid w:val="17557BEF"/>
    <w:rsid w:val="1794457C"/>
    <w:rsid w:val="17A824C0"/>
    <w:rsid w:val="17BF5F86"/>
    <w:rsid w:val="17D349C1"/>
    <w:rsid w:val="17D77582"/>
    <w:rsid w:val="17E17DAB"/>
    <w:rsid w:val="18140BEB"/>
    <w:rsid w:val="1830729E"/>
    <w:rsid w:val="1870062C"/>
    <w:rsid w:val="18817102"/>
    <w:rsid w:val="18830A15"/>
    <w:rsid w:val="18852B28"/>
    <w:rsid w:val="188B5321"/>
    <w:rsid w:val="188C39CD"/>
    <w:rsid w:val="18F93543"/>
    <w:rsid w:val="190968FB"/>
    <w:rsid w:val="193106D8"/>
    <w:rsid w:val="19537077"/>
    <w:rsid w:val="19716E09"/>
    <w:rsid w:val="197B7B7C"/>
    <w:rsid w:val="19932372"/>
    <w:rsid w:val="199632A2"/>
    <w:rsid w:val="19A20DD5"/>
    <w:rsid w:val="19AE03F1"/>
    <w:rsid w:val="19E03E83"/>
    <w:rsid w:val="19EB6674"/>
    <w:rsid w:val="1A071A03"/>
    <w:rsid w:val="1A1F16AE"/>
    <w:rsid w:val="1A3B5C77"/>
    <w:rsid w:val="1A646862"/>
    <w:rsid w:val="1A7C3206"/>
    <w:rsid w:val="1A984BAD"/>
    <w:rsid w:val="1AB13FB7"/>
    <w:rsid w:val="1AB8220E"/>
    <w:rsid w:val="1ABF0FF7"/>
    <w:rsid w:val="1AE4166C"/>
    <w:rsid w:val="1AF06CFB"/>
    <w:rsid w:val="1AF11B8D"/>
    <w:rsid w:val="1B11359C"/>
    <w:rsid w:val="1B2A271F"/>
    <w:rsid w:val="1B4C2CD0"/>
    <w:rsid w:val="1B522B5E"/>
    <w:rsid w:val="1B530544"/>
    <w:rsid w:val="1B713184"/>
    <w:rsid w:val="1BA209CF"/>
    <w:rsid w:val="1BB4777D"/>
    <w:rsid w:val="1BB932C3"/>
    <w:rsid w:val="1BD75AB8"/>
    <w:rsid w:val="1BD7675B"/>
    <w:rsid w:val="1BF87504"/>
    <w:rsid w:val="1C0459C2"/>
    <w:rsid w:val="1C1B3B4A"/>
    <w:rsid w:val="1C432DE2"/>
    <w:rsid w:val="1C88086E"/>
    <w:rsid w:val="1CA10E81"/>
    <w:rsid w:val="1CB17D58"/>
    <w:rsid w:val="1D266CE1"/>
    <w:rsid w:val="1D281406"/>
    <w:rsid w:val="1D3963AF"/>
    <w:rsid w:val="1D6A673C"/>
    <w:rsid w:val="1D772D50"/>
    <w:rsid w:val="1D9247AE"/>
    <w:rsid w:val="1DB567EC"/>
    <w:rsid w:val="1DF51A98"/>
    <w:rsid w:val="1E032835"/>
    <w:rsid w:val="1E3D060F"/>
    <w:rsid w:val="1E3F7D2E"/>
    <w:rsid w:val="1E4134E4"/>
    <w:rsid w:val="1E5062B3"/>
    <w:rsid w:val="1E523514"/>
    <w:rsid w:val="1E714A66"/>
    <w:rsid w:val="1E802593"/>
    <w:rsid w:val="1EA703CC"/>
    <w:rsid w:val="1EB7330C"/>
    <w:rsid w:val="1EBC58D0"/>
    <w:rsid w:val="1EC04283"/>
    <w:rsid w:val="1ECA52BC"/>
    <w:rsid w:val="1ED860B8"/>
    <w:rsid w:val="1F0A0FF3"/>
    <w:rsid w:val="1F3802BD"/>
    <w:rsid w:val="1F576995"/>
    <w:rsid w:val="1F5771FF"/>
    <w:rsid w:val="1F9E2816"/>
    <w:rsid w:val="1FE868A9"/>
    <w:rsid w:val="20034907"/>
    <w:rsid w:val="20106D3C"/>
    <w:rsid w:val="20173E4B"/>
    <w:rsid w:val="203211B0"/>
    <w:rsid w:val="204E48BC"/>
    <w:rsid w:val="20522BB1"/>
    <w:rsid w:val="20592BE1"/>
    <w:rsid w:val="20656F4F"/>
    <w:rsid w:val="208921B3"/>
    <w:rsid w:val="20973DEB"/>
    <w:rsid w:val="20B26522"/>
    <w:rsid w:val="20B44310"/>
    <w:rsid w:val="20BE06E5"/>
    <w:rsid w:val="21026DD4"/>
    <w:rsid w:val="211116EB"/>
    <w:rsid w:val="2127683B"/>
    <w:rsid w:val="215669FA"/>
    <w:rsid w:val="215C12FC"/>
    <w:rsid w:val="216058A9"/>
    <w:rsid w:val="216133FC"/>
    <w:rsid w:val="21810434"/>
    <w:rsid w:val="21837674"/>
    <w:rsid w:val="21B43AAC"/>
    <w:rsid w:val="21D56769"/>
    <w:rsid w:val="21E52EF3"/>
    <w:rsid w:val="21FB5D7B"/>
    <w:rsid w:val="220B1C3D"/>
    <w:rsid w:val="221D1D20"/>
    <w:rsid w:val="22334A87"/>
    <w:rsid w:val="228D0920"/>
    <w:rsid w:val="22BE6801"/>
    <w:rsid w:val="22C24A6D"/>
    <w:rsid w:val="22DF561F"/>
    <w:rsid w:val="22F455A3"/>
    <w:rsid w:val="23272B22"/>
    <w:rsid w:val="233500BF"/>
    <w:rsid w:val="23377FF7"/>
    <w:rsid w:val="236B425F"/>
    <w:rsid w:val="23836192"/>
    <w:rsid w:val="23901F29"/>
    <w:rsid w:val="239C0061"/>
    <w:rsid w:val="23B908A4"/>
    <w:rsid w:val="23B975BA"/>
    <w:rsid w:val="23E95BEF"/>
    <w:rsid w:val="23FD0064"/>
    <w:rsid w:val="245375B0"/>
    <w:rsid w:val="24572F93"/>
    <w:rsid w:val="24642C0A"/>
    <w:rsid w:val="247D7A56"/>
    <w:rsid w:val="24B22173"/>
    <w:rsid w:val="24B95AD9"/>
    <w:rsid w:val="24BE24DA"/>
    <w:rsid w:val="24BE74B6"/>
    <w:rsid w:val="24CF5825"/>
    <w:rsid w:val="24D01B62"/>
    <w:rsid w:val="24D663E6"/>
    <w:rsid w:val="24D77F2B"/>
    <w:rsid w:val="24E719E0"/>
    <w:rsid w:val="25233B23"/>
    <w:rsid w:val="252F5CBE"/>
    <w:rsid w:val="25565E93"/>
    <w:rsid w:val="258B00E2"/>
    <w:rsid w:val="25A917A6"/>
    <w:rsid w:val="25BE27CC"/>
    <w:rsid w:val="25F74A5C"/>
    <w:rsid w:val="2628662C"/>
    <w:rsid w:val="262D45DE"/>
    <w:rsid w:val="26575474"/>
    <w:rsid w:val="2662704F"/>
    <w:rsid w:val="268C76C0"/>
    <w:rsid w:val="26A53EF9"/>
    <w:rsid w:val="26A94201"/>
    <w:rsid w:val="26AC274F"/>
    <w:rsid w:val="26B90404"/>
    <w:rsid w:val="26C041D4"/>
    <w:rsid w:val="27044A29"/>
    <w:rsid w:val="2713401D"/>
    <w:rsid w:val="271D34C8"/>
    <w:rsid w:val="27504B24"/>
    <w:rsid w:val="276142BF"/>
    <w:rsid w:val="27783712"/>
    <w:rsid w:val="27907362"/>
    <w:rsid w:val="27B52399"/>
    <w:rsid w:val="27D22872"/>
    <w:rsid w:val="281B6ECB"/>
    <w:rsid w:val="28333E1D"/>
    <w:rsid w:val="28454BD6"/>
    <w:rsid w:val="28455253"/>
    <w:rsid w:val="28551971"/>
    <w:rsid w:val="285B1C53"/>
    <w:rsid w:val="289F7086"/>
    <w:rsid w:val="28C32028"/>
    <w:rsid w:val="28CC490F"/>
    <w:rsid w:val="28DE40AA"/>
    <w:rsid w:val="290F1EA0"/>
    <w:rsid w:val="29345E77"/>
    <w:rsid w:val="294706C4"/>
    <w:rsid w:val="294C65AD"/>
    <w:rsid w:val="295D5512"/>
    <w:rsid w:val="29806583"/>
    <w:rsid w:val="298B3C4C"/>
    <w:rsid w:val="29B73240"/>
    <w:rsid w:val="29DF4157"/>
    <w:rsid w:val="29F26D24"/>
    <w:rsid w:val="2A15033F"/>
    <w:rsid w:val="2A1662C1"/>
    <w:rsid w:val="2A1C7367"/>
    <w:rsid w:val="2A2815FA"/>
    <w:rsid w:val="2A6D6092"/>
    <w:rsid w:val="2A7D76B4"/>
    <w:rsid w:val="2AD76BDC"/>
    <w:rsid w:val="2B434271"/>
    <w:rsid w:val="2B437463"/>
    <w:rsid w:val="2B6416DB"/>
    <w:rsid w:val="2B7807EE"/>
    <w:rsid w:val="2BAA2542"/>
    <w:rsid w:val="2BBF00EC"/>
    <w:rsid w:val="2BC37CFD"/>
    <w:rsid w:val="2BD5237F"/>
    <w:rsid w:val="2BE536CE"/>
    <w:rsid w:val="2BE758D9"/>
    <w:rsid w:val="2BFD06C1"/>
    <w:rsid w:val="2C09049E"/>
    <w:rsid w:val="2C0A653C"/>
    <w:rsid w:val="2C191F85"/>
    <w:rsid w:val="2CE82D6F"/>
    <w:rsid w:val="2D087520"/>
    <w:rsid w:val="2D343236"/>
    <w:rsid w:val="2D5B4C6E"/>
    <w:rsid w:val="2D7256F4"/>
    <w:rsid w:val="2D855938"/>
    <w:rsid w:val="2D99286E"/>
    <w:rsid w:val="2DC91480"/>
    <w:rsid w:val="2DD15014"/>
    <w:rsid w:val="2DF72DE4"/>
    <w:rsid w:val="2E0220AF"/>
    <w:rsid w:val="2E3432E8"/>
    <w:rsid w:val="2E3F1203"/>
    <w:rsid w:val="2E4B082A"/>
    <w:rsid w:val="2E5D4E86"/>
    <w:rsid w:val="2E5D790B"/>
    <w:rsid w:val="2E652751"/>
    <w:rsid w:val="2E9A3C18"/>
    <w:rsid w:val="2EB62725"/>
    <w:rsid w:val="2EBB0FEE"/>
    <w:rsid w:val="2EC63002"/>
    <w:rsid w:val="2F0A6B38"/>
    <w:rsid w:val="2F104DB2"/>
    <w:rsid w:val="2F48454C"/>
    <w:rsid w:val="2F5A6CD3"/>
    <w:rsid w:val="2F6824F8"/>
    <w:rsid w:val="2F8514C2"/>
    <w:rsid w:val="2F946CCB"/>
    <w:rsid w:val="2F9652B7"/>
    <w:rsid w:val="2FCF58AE"/>
    <w:rsid w:val="2FD25781"/>
    <w:rsid w:val="2FE568F7"/>
    <w:rsid w:val="2FFD7934"/>
    <w:rsid w:val="30234D2B"/>
    <w:rsid w:val="30733ACD"/>
    <w:rsid w:val="30744ECD"/>
    <w:rsid w:val="308B0B94"/>
    <w:rsid w:val="308C3862"/>
    <w:rsid w:val="309379D8"/>
    <w:rsid w:val="30A270F7"/>
    <w:rsid w:val="30AE6631"/>
    <w:rsid w:val="30DF1478"/>
    <w:rsid w:val="30EC586F"/>
    <w:rsid w:val="311E7E87"/>
    <w:rsid w:val="319C6071"/>
    <w:rsid w:val="31A50174"/>
    <w:rsid w:val="31A9316F"/>
    <w:rsid w:val="31AC537E"/>
    <w:rsid w:val="31E3679B"/>
    <w:rsid w:val="31E732FD"/>
    <w:rsid w:val="31FB5A1A"/>
    <w:rsid w:val="3240150B"/>
    <w:rsid w:val="32517576"/>
    <w:rsid w:val="327F081A"/>
    <w:rsid w:val="32A26FE0"/>
    <w:rsid w:val="32BE5C2C"/>
    <w:rsid w:val="32FB6478"/>
    <w:rsid w:val="33263B3F"/>
    <w:rsid w:val="336963EB"/>
    <w:rsid w:val="33816EEB"/>
    <w:rsid w:val="33EB55CD"/>
    <w:rsid w:val="33EC4C02"/>
    <w:rsid w:val="340D2360"/>
    <w:rsid w:val="3410665D"/>
    <w:rsid w:val="34211214"/>
    <w:rsid w:val="3423303B"/>
    <w:rsid w:val="342E63AB"/>
    <w:rsid w:val="345B087E"/>
    <w:rsid w:val="346823A6"/>
    <w:rsid w:val="34713BFD"/>
    <w:rsid w:val="34950E68"/>
    <w:rsid w:val="34986E94"/>
    <w:rsid w:val="34AF62C9"/>
    <w:rsid w:val="34CB4388"/>
    <w:rsid w:val="34EC05CD"/>
    <w:rsid w:val="34FA6E12"/>
    <w:rsid w:val="358D5588"/>
    <w:rsid w:val="36147D97"/>
    <w:rsid w:val="363A3B40"/>
    <w:rsid w:val="365302AE"/>
    <w:rsid w:val="36607A0A"/>
    <w:rsid w:val="366A6E06"/>
    <w:rsid w:val="366E227C"/>
    <w:rsid w:val="366F0610"/>
    <w:rsid w:val="366F2E0D"/>
    <w:rsid w:val="367B6A5C"/>
    <w:rsid w:val="36826596"/>
    <w:rsid w:val="36A144A4"/>
    <w:rsid w:val="36A74ADA"/>
    <w:rsid w:val="36AD60D5"/>
    <w:rsid w:val="36B224F9"/>
    <w:rsid w:val="36C1534F"/>
    <w:rsid w:val="36EC0CC9"/>
    <w:rsid w:val="37070849"/>
    <w:rsid w:val="372025F3"/>
    <w:rsid w:val="3736112E"/>
    <w:rsid w:val="373F410B"/>
    <w:rsid w:val="376163AC"/>
    <w:rsid w:val="37D02E2B"/>
    <w:rsid w:val="37EE37B7"/>
    <w:rsid w:val="37EE7094"/>
    <w:rsid w:val="381F1E51"/>
    <w:rsid w:val="38283467"/>
    <w:rsid w:val="38296C89"/>
    <w:rsid w:val="383002EB"/>
    <w:rsid w:val="38390ED6"/>
    <w:rsid w:val="38504D9F"/>
    <w:rsid w:val="38523D46"/>
    <w:rsid w:val="38586797"/>
    <w:rsid w:val="38B2631F"/>
    <w:rsid w:val="38BC0149"/>
    <w:rsid w:val="38D87D1C"/>
    <w:rsid w:val="39233FDA"/>
    <w:rsid w:val="39336C63"/>
    <w:rsid w:val="39636459"/>
    <w:rsid w:val="396B7F6C"/>
    <w:rsid w:val="397877DC"/>
    <w:rsid w:val="39903780"/>
    <w:rsid w:val="399B4B57"/>
    <w:rsid w:val="39B417A9"/>
    <w:rsid w:val="39FC5695"/>
    <w:rsid w:val="3A006D8E"/>
    <w:rsid w:val="3A3651E5"/>
    <w:rsid w:val="3A744481"/>
    <w:rsid w:val="3A78307D"/>
    <w:rsid w:val="3A8C7BEF"/>
    <w:rsid w:val="3A906246"/>
    <w:rsid w:val="3B2349B7"/>
    <w:rsid w:val="3B40257B"/>
    <w:rsid w:val="3B616CFF"/>
    <w:rsid w:val="3B6259F6"/>
    <w:rsid w:val="3B643AE4"/>
    <w:rsid w:val="3B712735"/>
    <w:rsid w:val="3B976654"/>
    <w:rsid w:val="3BC01EFC"/>
    <w:rsid w:val="3BCA786A"/>
    <w:rsid w:val="3BD31E2F"/>
    <w:rsid w:val="3BD57167"/>
    <w:rsid w:val="3BEB0DC2"/>
    <w:rsid w:val="3BF15831"/>
    <w:rsid w:val="3C105946"/>
    <w:rsid w:val="3C227C10"/>
    <w:rsid w:val="3C2C4A51"/>
    <w:rsid w:val="3C471448"/>
    <w:rsid w:val="3C4B11D8"/>
    <w:rsid w:val="3C5F759A"/>
    <w:rsid w:val="3C6C525A"/>
    <w:rsid w:val="3CA24541"/>
    <w:rsid w:val="3CA8033B"/>
    <w:rsid w:val="3CCE23CB"/>
    <w:rsid w:val="3CD17D17"/>
    <w:rsid w:val="3CD323EE"/>
    <w:rsid w:val="3CDFF1BE"/>
    <w:rsid w:val="3CE75508"/>
    <w:rsid w:val="3CEF24AB"/>
    <w:rsid w:val="3CF12B02"/>
    <w:rsid w:val="3CFD6976"/>
    <w:rsid w:val="3D031E2F"/>
    <w:rsid w:val="3D2C725B"/>
    <w:rsid w:val="3D2EEDD8"/>
    <w:rsid w:val="3D3C7F39"/>
    <w:rsid w:val="3D3E4674"/>
    <w:rsid w:val="3D440F09"/>
    <w:rsid w:val="3D4504A0"/>
    <w:rsid w:val="3D5061D7"/>
    <w:rsid w:val="3D8121DE"/>
    <w:rsid w:val="3D8734BB"/>
    <w:rsid w:val="3D9A11D4"/>
    <w:rsid w:val="3DA16D89"/>
    <w:rsid w:val="3DA364BE"/>
    <w:rsid w:val="3DE041CB"/>
    <w:rsid w:val="3E0D0E3B"/>
    <w:rsid w:val="3E0D48F6"/>
    <w:rsid w:val="3E1868B4"/>
    <w:rsid w:val="3E1E7C85"/>
    <w:rsid w:val="3E261376"/>
    <w:rsid w:val="3E377251"/>
    <w:rsid w:val="3E42664B"/>
    <w:rsid w:val="3E580A38"/>
    <w:rsid w:val="3E5A7334"/>
    <w:rsid w:val="3E6F38A3"/>
    <w:rsid w:val="3E7B5D6B"/>
    <w:rsid w:val="3E843E66"/>
    <w:rsid w:val="3E8F51FE"/>
    <w:rsid w:val="3E926F87"/>
    <w:rsid w:val="3E9A59DE"/>
    <w:rsid w:val="3E9E5F37"/>
    <w:rsid w:val="3EAF4836"/>
    <w:rsid w:val="3EC33DFA"/>
    <w:rsid w:val="3F060E16"/>
    <w:rsid w:val="3F1D1096"/>
    <w:rsid w:val="3F2F0234"/>
    <w:rsid w:val="3F310B59"/>
    <w:rsid w:val="3F3B5533"/>
    <w:rsid w:val="3F6363FE"/>
    <w:rsid w:val="3F717907"/>
    <w:rsid w:val="3F756B8F"/>
    <w:rsid w:val="3F95482B"/>
    <w:rsid w:val="3F981EFB"/>
    <w:rsid w:val="3FC76DC7"/>
    <w:rsid w:val="3FE9BE4B"/>
    <w:rsid w:val="3FFC8C8C"/>
    <w:rsid w:val="3FFF1674"/>
    <w:rsid w:val="4019356B"/>
    <w:rsid w:val="40384169"/>
    <w:rsid w:val="40592157"/>
    <w:rsid w:val="406E1CAE"/>
    <w:rsid w:val="40A0133A"/>
    <w:rsid w:val="40C31A53"/>
    <w:rsid w:val="40DF6392"/>
    <w:rsid w:val="40FF545D"/>
    <w:rsid w:val="410067C8"/>
    <w:rsid w:val="4109621C"/>
    <w:rsid w:val="413B1FBD"/>
    <w:rsid w:val="413B6C9C"/>
    <w:rsid w:val="414F18C3"/>
    <w:rsid w:val="418F0D2A"/>
    <w:rsid w:val="41C23BEB"/>
    <w:rsid w:val="41D01505"/>
    <w:rsid w:val="41D74F8A"/>
    <w:rsid w:val="42004812"/>
    <w:rsid w:val="420E5181"/>
    <w:rsid w:val="42260704"/>
    <w:rsid w:val="42474939"/>
    <w:rsid w:val="424C3C57"/>
    <w:rsid w:val="42613FF3"/>
    <w:rsid w:val="42660D96"/>
    <w:rsid w:val="428667D2"/>
    <w:rsid w:val="42CD1CE0"/>
    <w:rsid w:val="42DF08CC"/>
    <w:rsid w:val="42E1381E"/>
    <w:rsid w:val="42E27DDC"/>
    <w:rsid w:val="42ED6459"/>
    <w:rsid w:val="42FE58DD"/>
    <w:rsid w:val="43174B3D"/>
    <w:rsid w:val="434B790E"/>
    <w:rsid w:val="4360274F"/>
    <w:rsid w:val="437B05F4"/>
    <w:rsid w:val="43977AB6"/>
    <w:rsid w:val="43A3342B"/>
    <w:rsid w:val="43C32D78"/>
    <w:rsid w:val="43C77C27"/>
    <w:rsid w:val="43DE09EE"/>
    <w:rsid w:val="43E64EA1"/>
    <w:rsid w:val="44002FAD"/>
    <w:rsid w:val="440E76BA"/>
    <w:rsid w:val="4436276D"/>
    <w:rsid w:val="44676DCB"/>
    <w:rsid w:val="448E6105"/>
    <w:rsid w:val="449101DD"/>
    <w:rsid w:val="44DE1391"/>
    <w:rsid w:val="44DE7172"/>
    <w:rsid w:val="45034D45"/>
    <w:rsid w:val="45080DD4"/>
    <w:rsid w:val="451B225C"/>
    <w:rsid w:val="452410C9"/>
    <w:rsid w:val="45317DFB"/>
    <w:rsid w:val="45397182"/>
    <w:rsid w:val="456D3CE4"/>
    <w:rsid w:val="4579042C"/>
    <w:rsid w:val="457F0571"/>
    <w:rsid w:val="45851176"/>
    <w:rsid w:val="45C63B94"/>
    <w:rsid w:val="45EE677E"/>
    <w:rsid w:val="46027639"/>
    <w:rsid w:val="460E7DA5"/>
    <w:rsid w:val="46422483"/>
    <w:rsid w:val="4659254A"/>
    <w:rsid w:val="465B0637"/>
    <w:rsid w:val="465E3F0D"/>
    <w:rsid w:val="465F41FD"/>
    <w:rsid w:val="466A16E6"/>
    <w:rsid w:val="467F03FC"/>
    <w:rsid w:val="4682613E"/>
    <w:rsid w:val="46893F2B"/>
    <w:rsid w:val="469D4977"/>
    <w:rsid w:val="46B661AA"/>
    <w:rsid w:val="46C4686E"/>
    <w:rsid w:val="46CC60EA"/>
    <w:rsid w:val="46D52711"/>
    <w:rsid w:val="46DA1160"/>
    <w:rsid w:val="471F2A33"/>
    <w:rsid w:val="47413903"/>
    <w:rsid w:val="477B778F"/>
    <w:rsid w:val="477C0DDF"/>
    <w:rsid w:val="478203EC"/>
    <w:rsid w:val="47B025FA"/>
    <w:rsid w:val="47BA0ADF"/>
    <w:rsid w:val="47D91D8D"/>
    <w:rsid w:val="4809698F"/>
    <w:rsid w:val="4811697D"/>
    <w:rsid w:val="4850068E"/>
    <w:rsid w:val="48627E03"/>
    <w:rsid w:val="487A3E25"/>
    <w:rsid w:val="488520C4"/>
    <w:rsid w:val="488B5503"/>
    <w:rsid w:val="488C32A4"/>
    <w:rsid w:val="48937E21"/>
    <w:rsid w:val="489A0361"/>
    <w:rsid w:val="48B94FF3"/>
    <w:rsid w:val="48E37AAB"/>
    <w:rsid w:val="48E46C3C"/>
    <w:rsid w:val="48FD4B4C"/>
    <w:rsid w:val="490A68E0"/>
    <w:rsid w:val="491055FE"/>
    <w:rsid w:val="493D5485"/>
    <w:rsid w:val="495F5B3E"/>
    <w:rsid w:val="496F77D7"/>
    <w:rsid w:val="497654FD"/>
    <w:rsid w:val="49803358"/>
    <w:rsid w:val="49B64211"/>
    <w:rsid w:val="49C820BA"/>
    <w:rsid w:val="49D97E23"/>
    <w:rsid w:val="49F6167F"/>
    <w:rsid w:val="4A064FA0"/>
    <w:rsid w:val="4A16615C"/>
    <w:rsid w:val="4A4424D7"/>
    <w:rsid w:val="4A8561FD"/>
    <w:rsid w:val="4A934476"/>
    <w:rsid w:val="4AB82D0F"/>
    <w:rsid w:val="4ADF7427"/>
    <w:rsid w:val="4AEA4C8F"/>
    <w:rsid w:val="4AEB7664"/>
    <w:rsid w:val="4AFD7C19"/>
    <w:rsid w:val="4B0567D1"/>
    <w:rsid w:val="4B236AAE"/>
    <w:rsid w:val="4B3519D1"/>
    <w:rsid w:val="4B707271"/>
    <w:rsid w:val="4B756544"/>
    <w:rsid w:val="4B7B7A82"/>
    <w:rsid w:val="4B7F49FA"/>
    <w:rsid w:val="4B812F31"/>
    <w:rsid w:val="4B8572A9"/>
    <w:rsid w:val="4B9739F7"/>
    <w:rsid w:val="4BEE2503"/>
    <w:rsid w:val="4C181CDA"/>
    <w:rsid w:val="4C245A30"/>
    <w:rsid w:val="4C431ECB"/>
    <w:rsid w:val="4C5131B0"/>
    <w:rsid w:val="4CB6685F"/>
    <w:rsid w:val="4CC367FE"/>
    <w:rsid w:val="4CEF7ED7"/>
    <w:rsid w:val="4D077F3C"/>
    <w:rsid w:val="4D123355"/>
    <w:rsid w:val="4D1A3E8C"/>
    <w:rsid w:val="4D2A3B31"/>
    <w:rsid w:val="4D312C52"/>
    <w:rsid w:val="4D8E53C8"/>
    <w:rsid w:val="4D905305"/>
    <w:rsid w:val="4D964A72"/>
    <w:rsid w:val="4D9C1254"/>
    <w:rsid w:val="4DE374C2"/>
    <w:rsid w:val="4DEF230B"/>
    <w:rsid w:val="4E094A4F"/>
    <w:rsid w:val="4E793892"/>
    <w:rsid w:val="4E800872"/>
    <w:rsid w:val="4EC569ED"/>
    <w:rsid w:val="4ED50EA1"/>
    <w:rsid w:val="4EEC050C"/>
    <w:rsid w:val="4EED74B5"/>
    <w:rsid w:val="4F104EC3"/>
    <w:rsid w:val="4F155DA1"/>
    <w:rsid w:val="4F215F1E"/>
    <w:rsid w:val="4F244236"/>
    <w:rsid w:val="4F47354A"/>
    <w:rsid w:val="4F911C54"/>
    <w:rsid w:val="4F9273F2"/>
    <w:rsid w:val="4FAD7D19"/>
    <w:rsid w:val="4FE625E0"/>
    <w:rsid w:val="4FFF25AD"/>
    <w:rsid w:val="5021480F"/>
    <w:rsid w:val="50750E8F"/>
    <w:rsid w:val="50940F47"/>
    <w:rsid w:val="50962ECB"/>
    <w:rsid w:val="50A42E38"/>
    <w:rsid w:val="50A4577F"/>
    <w:rsid w:val="50B73D1F"/>
    <w:rsid w:val="50BD5BC9"/>
    <w:rsid w:val="50C11EEE"/>
    <w:rsid w:val="50E97CFC"/>
    <w:rsid w:val="50FA4028"/>
    <w:rsid w:val="51025EB1"/>
    <w:rsid w:val="510D65B7"/>
    <w:rsid w:val="511157AB"/>
    <w:rsid w:val="512C0748"/>
    <w:rsid w:val="5142540C"/>
    <w:rsid w:val="5147420C"/>
    <w:rsid w:val="51840FBC"/>
    <w:rsid w:val="518832C8"/>
    <w:rsid w:val="51A0432A"/>
    <w:rsid w:val="51A86090"/>
    <w:rsid w:val="51B7396D"/>
    <w:rsid w:val="51C66E85"/>
    <w:rsid w:val="51E655A8"/>
    <w:rsid w:val="522E4CC3"/>
    <w:rsid w:val="5244713B"/>
    <w:rsid w:val="52615633"/>
    <w:rsid w:val="528374C6"/>
    <w:rsid w:val="52977FD4"/>
    <w:rsid w:val="52A25790"/>
    <w:rsid w:val="52A96B6F"/>
    <w:rsid w:val="52B45975"/>
    <w:rsid w:val="52D94AA4"/>
    <w:rsid w:val="52EA3A62"/>
    <w:rsid w:val="52F50BB8"/>
    <w:rsid w:val="53097272"/>
    <w:rsid w:val="533C62EE"/>
    <w:rsid w:val="53544462"/>
    <w:rsid w:val="535D3873"/>
    <w:rsid w:val="5377ACBE"/>
    <w:rsid w:val="5397158E"/>
    <w:rsid w:val="53B618CD"/>
    <w:rsid w:val="53C83B27"/>
    <w:rsid w:val="54013861"/>
    <w:rsid w:val="5416736E"/>
    <w:rsid w:val="54487265"/>
    <w:rsid w:val="544D6070"/>
    <w:rsid w:val="54605E1E"/>
    <w:rsid w:val="5463583A"/>
    <w:rsid w:val="546649A9"/>
    <w:rsid w:val="54763754"/>
    <w:rsid w:val="547C241E"/>
    <w:rsid w:val="54A454D1"/>
    <w:rsid w:val="54B3506A"/>
    <w:rsid w:val="54CA0D16"/>
    <w:rsid w:val="54D933CD"/>
    <w:rsid w:val="54DD4057"/>
    <w:rsid w:val="54E7490F"/>
    <w:rsid w:val="550764A4"/>
    <w:rsid w:val="550B2BF6"/>
    <w:rsid w:val="55214EB5"/>
    <w:rsid w:val="55364EFD"/>
    <w:rsid w:val="553C395C"/>
    <w:rsid w:val="555D4828"/>
    <w:rsid w:val="55684751"/>
    <w:rsid w:val="557A4C8B"/>
    <w:rsid w:val="558931E1"/>
    <w:rsid w:val="558E3D36"/>
    <w:rsid w:val="55923347"/>
    <w:rsid w:val="55925180"/>
    <w:rsid w:val="55983B1B"/>
    <w:rsid w:val="55A8376B"/>
    <w:rsid w:val="55C502A3"/>
    <w:rsid w:val="55DC29B6"/>
    <w:rsid w:val="55DD4241"/>
    <w:rsid w:val="566B6D1E"/>
    <w:rsid w:val="56A619D5"/>
    <w:rsid w:val="56D06A51"/>
    <w:rsid w:val="57032A2C"/>
    <w:rsid w:val="570F5219"/>
    <w:rsid w:val="572C65B0"/>
    <w:rsid w:val="573C7C43"/>
    <w:rsid w:val="575D12B5"/>
    <w:rsid w:val="57610A87"/>
    <w:rsid w:val="57644440"/>
    <w:rsid w:val="576C677A"/>
    <w:rsid w:val="577B1140"/>
    <w:rsid w:val="577B7F21"/>
    <w:rsid w:val="577D2735"/>
    <w:rsid w:val="577F181B"/>
    <w:rsid w:val="5791443C"/>
    <w:rsid w:val="57921984"/>
    <w:rsid w:val="579239FA"/>
    <w:rsid w:val="579737F0"/>
    <w:rsid w:val="57A852D8"/>
    <w:rsid w:val="57AB7B30"/>
    <w:rsid w:val="57AF5251"/>
    <w:rsid w:val="57B26373"/>
    <w:rsid w:val="57B63F04"/>
    <w:rsid w:val="57CD20C2"/>
    <w:rsid w:val="57D675AB"/>
    <w:rsid w:val="57D95FDD"/>
    <w:rsid w:val="57E94CAC"/>
    <w:rsid w:val="588F3DA2"/>
    <w:rsid w:val="58917D2F"/>
    <w:rsid w:val="5894085C"/>
    <w:rsid w:val="58AE4F0C"/>
    <w:rsid w:val="58B85899"/>
    <w:rsid w:val="58E363A9"/>
    <w:rsid w:val="59195ED7"/>
    <w:rsid w:val="595B0BEF"/>
    <w:rsid w:val="595E1678"/>
    <w:rsid w:val="596D5BD4"/>
    <w:rsid w:val="596D67DA"/>
    <w:rsid w:val="597E3DD8"/>
    <w:rsid w:val="59C86383"/>
    <w:rsid w:val="59EF2215"/>
    <w:rsid w:val="59F80043"/>
    <w:rsid w:val="5A09252F"/>
    <w:rsid w:val="5A0B2778"/>
    <w:rsid w:val="5A2A7C7B"/>
    <w:rsid w:val="5A3E2560"/>
    <w:rsid w:val="5A4014B6"/>
    <w:rsid w:val="5A4A59F7"/>
    <w:rsid w:val="5A5D3B6E"/>
    <w:rsid w:val="5A637A76"/>
    <w:rsid w:val="5A6D33BA"/>
    <w:rsid w:val="5A792B1F"/>
    <w:rsid w:val="5A845EA7"/>
    <w:rsid w:val="5A874767"/>
    <w:rsid w:val="5A920F10"/>
    <w:rsid w:val="5AAD6F28"/>
    <w:rsid w:val="5AD50114"/>
    <w:rsid w:val="5AD63A24"/>
    <w:rsid w:val="5B0D4D97"/>
    <w:rsid w:val="5B1A64ED"/>
    <w:rsid w:val="5B2E1A1D"/>
    <w:rsid w:val="5B465534"/>
    <w:rsid w:val="5B667984"/>
    <w:rsid w:val="5B763D99"/>
    <w:rsid w:val="5B843A1C"/>
    <w:rsid w:val="5B873E3F"/>
    <w:rsid w:val="5BED0014"/>
    <w:rsid w:val="5C02690E"/>
    <w:rsid w:val="5C1473E0"/>
    <w:rsid w:val="5C196DA7"/>
    <w:rsid w:val="5C2A048C"/>
    <w:rsid w:val="5C642CAF"/>
    <w:rsid w:val="5C80234E"/>
    <w:rsid w:val="5C8A680C"/>
    <w:rsid w:val="5CAB0919"/>
    <w:rsid w:val="5CBB0E30"/>
    <w:rsid w:val="5CC74F92"/>
    <w:rsid w:val="5CDF60C1"/>
    <w:rsid w:val="5D04294B"/>
    <w:rsid w:val="5D0C4701"/>
    <w:rsid w:val="5D0F0395"/>
    <w:rsid w:val="5D205E4A"/>
    <w:rsid w:val="5D221076"/>
    <w:rsid w:val="5D397964"/>
    <w:rsid w:val="5D5A391C"/>
    <w:rsid w:val="5D5F10C0"/>
    <w:rsid w:val="5D6682CB"/>
    <w:rsid w:val="5D891B7B"/>
    <w:rsid w:val="5DAD38EE"/>
    <w:rsid w:val="5DD57236"/>
    <w:rsid w:val="5DDF6BAD"/>
    <w:rsid w:val="5E006862"/>
    <w:rsid w:val="5E0207B9"/>
    <w:rsid w:val="5E027CA9"/>
    <w:rsid w:val="5E1834A1"/>
    <w:rsid w:val="5E183C9A"/>
    <w:rsid w:val="5E261785"/>
    <w:rsid w:val="5E4A7017"/>
    <w:rsid w:val="5E552BBA"/>
    <w:rsid w:val="5E562F6C"/>
    <w:rsid w:val="5E611C10"/>
    <w:rsid w:val="5E624433"/>
    <w:rsid w:val="5E8720EC"/>
    <w:rsid w:val="5ED700A8"/>
    <w:rsid w:val="5EE85627"/>
    <w:rsid w:val="5EFC7377"/>
    <w:rsid w:val="5F06174D"/>
    <w:rsid w:val="5F3A3602"/>
    <w:rsid w:val="5F6277C6"/>
    <w:rsid w:val="5F6D0B1D"/>
    <w:rsid w:val="5F85175F"/>
    <w:rsid w:val="5F8D0B82"/>
    <w:rsid w:val="5FB26357"/>
    <w:rsid w:val="5FCC5339"/>
    <w:rsid w:val="5FD9CBF5"/>
    <w:rsid w:val="5FE34A5B"/>
    <w:rsid w:val="5FE4471A"/>
    <w:rsid w:val="5FF39E0F"/>
    <w:rsid w:val="5FF7E23D"/>
    <w:rsid w:val="5FFE1E36"/>
    <w:rsid w:val="60232584"/>
    <w:rsid w:val="60252844"/>
    <w:rsid w:val="606306D7"/>
    <w:rsid w:val="606326E4"/>
    <w:rsid w:val="607330CE"/>
    <w:rsid w:val="60825176"/>
    <w:rsid w:val="608A3BE5"/>
    <w:rsid w:val="609F2AC4"/>
    <w:rsid w:val="60FA2EE8"/>
    <w:rsid w:val="61054A27"/>
    <w:rsid w:val="610A52BC"/>
    <w:rsid w:val="611D2366"/>
    <w:rsid w:val="61421856"/>
    <w:rsid w:val="615227C4"/>
    <w:rsid w:val="61654E3F"/>
    <w:rsid w:val="61786208"/>
    <w:rsid w:val="61822572"/>
    <w:rsid w:val="6182292A"/>
    <w:rsid w:val="618333DF"/>
    <w:rsid w:val="619F7F92"/>
    <w:rsid w:val="61BB1246"/>
    <w:rsid w:val="61F94C26"/>
    <w:rsid w:val="62000E56"/>
    <w:rsid w:val="620152D8"/>
    <w:rsid w:val="621E4B15"/>
    <w:rsid w:val="624F3E49"/>
    <w:rsid w:val="62632286"/>
    <w:rsid w:val="62885958"/>
    <w:rsid w:val="62F13FD7"/>
    <w:rsid w:val="62F40B65"/>
    <w:rsid w:val="62FC2CFE"/>
    <w:rsid w:val="63024505"/>
    <w:rsid w:val="635B1DB5"/>
    <w:rsid w:val="63613A84"/>
    <w:rsid w:val="63711FED"/>
    <w:rsid w:val="63880DDC"/>
    <w:rsid w:val="638D750D"/>
    <w:rsid w:val="63991151"/>
    <w:rsid w:val="63A267C1"/>
    <w:rsid w:val="63AB062A"/>
    <w:rsid w:val="63AC6CC0"/>
    <w:rsid w:val="63D65D55"/>
    <w:rsid w:val="63FA3B45"/>
    <w:rsid w:val="64055776"/>
    <w:rsid w:val="64071383"/>
    <w:rsid w:val="64240056"/>
    <w:rsid w:val="642503DD"/>
    <w:rsid w:val="643E143A"/>
    <w:rsid w:val="6471673B"/>
    <w:rsid w:val="648B6EEF"/>
    <w:rsid w:val="648F5856"/>
    <w:rsid w:val="64AC446D"/>
    <w:rsid w:val="64C158BF"/>
    <w:rsid w:val="64C366FB"/>
    <w:rsid w:val="64CE2EAA"/>
    <w:rsid w:val="64FC6110"/>
    <w:rsid w:val="650F1450"/>
    <w:rsid w:val="653C3090"/>
    <w:rsid w:val="6549634D"/>
    <w:rsid w:val="65736F26"/>
    <w:rsid w:val="65854376"/>
    <w:rsid w:val="658767BE"/>
    <w:rsid w:val="65892531"/>
    <w:rsid w:val="659D5301"/>
    <w:rsid w:val="65A672FB"/>
    <w:rsid w:val="65F65FA4"/>
    <w:rsid w:val="661912D6"/>
    <w:rsid w:val="66195831"/>
    <w:rsid w:val="662E75B1"/>
    <w:rsid w:val="66342C2E"/>
    <w:rsid w:val="663E784C"/>
    <w:rsid w:val="6677281C"/>
    <w:rsid w:val="667F3673"/>
    <w:rsid w:val="668B6A45"/>
    <w:rsid w:val="66BC24EB"/>
    <w:rsid w:val="66D32B9C"/>
    <w:rsid w:val="672F3F24"/>
    <w:rsid w:val="673E055F"/>
    <w:rsid w:val="67551CE3"/>
    <w:rsid w:val="677E1BB2"/>
    <w:rsid w:val="678A0557"/>
    <w:rsid w:val="67A22552"/>
    <w:rsid w:val="67B22DCC"/>
    <w:rsid w:val="67BE71AA"/>
    <w:rsid w:val="67C90349"/>
    <w:rsid w:val="67D90273"/>
    <w:rsid w:val="67DE5875"/>
    <w:rsid w:val="67E55852"/>
    <w:rsid w:val="67E93D8B"/>
    <w:rsid w:val="67EB1AB4"/>
    <w:rsid w:val="67FA1285"/>
    <w:rsid w:val="67FA4FE1"/>
    <w:rsid w:val="681F3395"/>
    <w:rsid w:val="68551F4F"/>
    <w:rsid w:val="687C10C9"/>
    <w:rsid w:val="68840C16"/>
    <w:rsid w:val="68876EFB"/>
    <w:rsid w:val="68884654"/>
    <w:rsid w:val="689F444F"/>
    <w:rsid w:val="68B96DBB"/>
    <w:rsid w:val="68CA2805"/>
    <w:rsid w:val="68E36491"/>
    <w:rsid w:val="68E937A3"/>
    <w:rsid w:val="69340A3E"/>
    <w:rsid w:val="693E15D3"/>
    <w:rsid w:val="693F5627"/>
    <w:rsid w:val="69627681"/>
    <w:rsid w:val="6977531D"/>
    <w:rsid w:val="69832373"/>
    <w:rsid w:val="69CC2BFF"/>
    <w:rsid w:val="69D86832"/>
    <w:rsid w:val="69F17600"/>
    <w:rsid w:val="69FD55B8"/>
    <w:rsid w:val="6A0B1C62"/>
    <w:rsid w:val="6A2406C8"/>
    <w:rsid w:val="6A3A6A0F"/>
    <w:rsid w:val="6A645E08"/>
    <w:rsid w:val="6AAD2EDA"/>
    <w:rsid w:val="6ADE0BD1"/>
    <w:rsid w:val="6AE96859"/>
    <w:rsid w:val="6AF74155"/>
    <w:rsid w:val="6B147746"/>
    <w:rsid w:val="6B24787C"/>
    <w:rsid w:val="6B3E9B10"/>
    <w:rsid w:val="6B47689C"/>
    <w:rsid w:val="6B573233"/>
    <w:rsid w:val="6B5B6274"/>
    <w:rsid w:val="6B935D53"/>
    <w:rsid w:val="6BA86A50"/>
    <w:rsid w:val="6BB77A32"/>
    <w:rsid w:val="6BF54463"/>
    <w:rsid w:val="6BF65EA5"/>
    <w:rsid w:val="6C196F71"/>
    <w:rsid w:val="6C1E3136"/>
    <w:rsid w:val="6C226FCB"/>
    <w:rsid w:val="6C2341B9"/>
    <w:rsid w:val="6C31226F"/>
    <w:rsid w:val="6C552F0B"/>
    <w:rsid w:val="6C8C67B7"/>
    <w:rsid w:val="6C9D744C"/>
    <w:rsid w:val="6CA51E3D"/>
    <w:rsid w:val="6CAE6A95"/>
    <w:rsid w:val="6D167928"/>
    <w:rsid w:val="6D26299B"/>
    <w:rsid w:val="6D4772EC"/>
    <w:rsid w:val="6D5263BD"/>
    <w:rsid w:val="6D57537F"/>
    <w:rsid w:val="6D9078AF"/>
    <w:rsid w:val="6DAA3FEF"/>
    <w:rsid w:val="6DC0172B"/>
    <w:rsid w:val="6DCB690C"/>
    <w:rsid w:val="6DD41A5B"/>
    <w:rsid w:val="6DDD69F5"/>
    <w:rsid w:val="6DF43C2E"/>
    <w:rsid w:val="6DF51CA3"/>
    <w:rsid w:val="6E042E74"/>
    <w:rsid w:val="6E2E0238"/>
    <w:rsid w:val="6E663ACB"/>
    <w:rsid w:val="6E82467D"/>
    <w:rsid w:val="6E8335BD"/>
    <w:rsid w:val="6E8E12EF"/>
    <w:rsid w:val="6E972936"/>
    <w:rsid w:val="6ED446C5"/>
    <w:rsid w:val="6ED9D1D2"/>
    <w:rsid w:val="6EF21761"/>
    <w:rsid w:val="6F2A7D94"/>
    <w:rsid w:val="6F4F27B2"/>
    <w:rsid w:val="6F817D5C"/>
    <w:rsid w:val="6F8331F1"/>
    <w:rsid w:val="6F871F4B"/>
    <w:rsid w:val="6FAE1A09"/>
    <w:rsid w:val="6FD75BF8"/>
    <w:rsid w:val="701A2DBF"/>
    <w:rsid w:val="702A2886"/>
    <w:rsid w:val="70532935"/>
    <w:rsid w:val="707723D0"/>
    <w:rsid w:val="70F5661B"/>
    <w:rsid w:val="711E20D0"/>
    <w:rsid w:val="71226D82"/>
    <w:rsid w:val="712C3AEC"/>
    <w:rsid w:val="71360107"/>
    <w:rsid w:val="713B688E"/>
    <w:rsid w:val="714840D2"/>
    <w:rsid w:val="714D2D21"/>
    <w:rsid w:val="71A22E1F"/>
    <w:rsid w:val="71D27FC2"/>
    <w:rsid w:val="71D43752"/>
    <w:rsid w:val="71F1796A"/>
    <w:rsid w:val="72154626"/>
    <w:rsid w:val="72262B5D"/>
    <w:rsid w:val="72283FF7"/>
    <w:rsid w:val="722D2858"/>
    <w:rsid w:val="722E7212"/>
    <w:rsid w:val="723A0474"/>
    <w:rsid w:val="725923E4"/>
    <w:rsid w:val="72791B84"/>
    <w:rsid w:val="72864BF7"/>
    <w:rsid w:val="729023FC"/>
    <w:rsid w:val="73267CCD"/>
    <w:rsid w:val="735859AD"/>
    <w:rsid w:val="737E242F"/>
    <w:rsid w:val="737E3665"/>
    <w:rsid w:val="73C0646E"/>
    <w:rsid w:val="73DE729D"/>
    <w:rsid w:val="73E02221"/>
    <w:rsid w:val="73FA1330"/>
    <w:rsid w:val="742222F5"/>
    <w:rsid w:val="74476126"/>
    <w:rsid w:val="74706664"/>
    <w:rsid w:val="747F3682"/>
    <w:rsid w:val="749C4185"/>
    <w:rsid w:val="74DEEC6E"/>
    <w:rsid w:val="74EA0887"/>
    <w:rsid w:val="74FF9BF9"/>
    <w:rsid w:val="75067759"/>
    <w:rsid w:val="752E6DCD"/>
    <w:rsid w:val="7551380D"/>
    <w:rsid w:val="75600BE5"/>
    <w:rsid w:val="7564475C"/>
    <w:rsid w:val="7583797F"/>
    <w:rsid w:val="75C636AF"/>
    <w:rsid w:val="75C64E50"/>
    <w:rsid w:val="75D20F1D"/>
    <w:rsid w:val="75DA2C18"/>
    <w:rsid w:val="75F54412"/>
    <w:rsid w:val="75FD2145"/>
    <w:rsid w:val="760963A8"/>
    <w:rsid w:val="76097801"/>
    <w:rsid w:val="761D08E0"/>
    <w:rsid w:val="76302997"/>
    <w:rsid w:val="765D347C"/>
    <w:rsid w:val="76826699"/>
    <w:rsid w:val="769C7E50"/>
    <w:rsid w:val="76C87133"/>
    <w:rsid w:val="76CD08D5"/>
    <w:rsid w:val="76DB4B92"/>
    <w:rsid w:val="77052AA4"/>
    <w:rsid w:val="77136511"/>
    <w:rsid w:val="77340A39"/>
    <w:rsid w:val="77351FD0"/>
    <w:rsid w:val="77371F31"/>
    <w:rsid w:val="77472422"/>
    <w:rsid w:val="777F31F2"/>
    <w:rsid w:val="77901796"/>
    <w:rsid w:val="77D1700D"/>
    <w:rsid w:val="77DA2E34"/>
    <w:rsid w:val="77EC04CC"/>
    <w:rsid w:val="77EC0C58"/>
    <w:rsid w:val="78746DE5"/>
    <w:rsid w:val="78775729"/>
    <w:rsid w:val="7883527A"/>
    <w:rsid w:val="788C4F54"/>
    <w:rsid w:val="78A42DB0"/>
    <w:rsid w:val="78A656AB"/>
    <w:rsid w:val="78B2245C"/>
    <w:rsid w:val="78CB7157"/>
    <w:rsid w:val="78E172CC"/>
    <w:rsid w:val="78EA1D1F"/>
    <w:rsid w:val="7904172F"/>
    <w:rsid w:val="790F7E27"/>
    <w:rsid w:val="792A231A"/>
    <w:rsid w:val="79316829"/>
    <w:rsid w:val="79422A48"/>
    <w:rsid w:val="797E66A9"/>
    <w:rsid w:val="79870D9A"/>
    <w:rsid w:val="79905EA0"/>
    <w:rsid w:val="79A72F14"/>
    <w:rsid w:val="79A97383"/>
    <w:rsid w:val="79E27E8B"/>
    <w:rsid w:val="79F850CE"/>
    <w:rsid w:val="79FD443C"/>
    <w:rsid w:val="7A173ECC"/>
    <w:rsid w:val="7A1D1975"/>
    <w:rsid w:val="7A3E5150"/>
    <w:rsid w:val="7A4670D6"/>
    <w:rsid w:val="7A534B63"/>
    <w:rsid w:val="7A615382"/>
    <w:rsid w:val="7A67303B"/>
    <w:rsid w:val="7A7C57E7"/>
    <w:rsid w:val="7AAB1D04"/>
    <w:rsid w:val="7ABA4368"/>
    <w:rsid w:val="7AD05746"/>
    <w:rsid w:val="7AFA0957"/>
    <w:rsid w:val="7B257FFD"/>
    <w:rsid w:val="7B343476"/>
    <w:rsid w:val="7B3B2D2C"/>
    <w:rsid w:val="7B413C96"/>
    <w:rsid w:val="7B5A2978"/>
    <w:rsid w:val="7B5A7E4C"/>
    <w:rsid w:val="7B5F5B2A"/>
    <w:rsid w:val="7B667AF9"/>
    <w:rsid w:val="7B7468F8"/>
    <w:rsid w:val="7B860D5E"/>
    <w:rsid w:val="7BAEF2B1"/>
    <w:rsid w:val="7BEE0103"/>
    <w:rsid w:val="7BFE558F"/>
    <w:rsid w:val="7C0A0FE4"/>
    <w:rsid w:val="7C254906"/>
    <w:rsid w:val="7C4A0894"/>
    <w:rsid w:val="7C590818"/>
    <w:rsid w:val="7C7C10F6"/>
    <w:rsid w:val="7C853BEA"/>
    <w:rsid w:val="7C881368"/>
    <w:rsid w:val="7CE27788"/>
    <w:rsid w:val="7CE50319"/>
    <w:rsid w:val="7D0050EB"/>
    <w:rsid w:val="7D020E63"/>
    <w:rsid w:val="7D0C32F1"/>
    <w:rsid w:val="7D0F408D"/>
    <w:rsid w:val="7D2E7EAA"/>
    <w:rsid w:val="7D48257F"/>
    <w:rsid w:val="7D491C6C"/>
    <w:rsid w:val="7D494CE4"/>
    <w:rsid w:val="7D5429C0"/>
    <w:rsid w:val="7D676CA0"/>
    <w:rsid w:val="7D6E6D43"/>
    <w:rsid w:val="7D755AD9"/>
    <w:rsid w:val="7D8775BA"/>
    <w:rsid w:val="7DB57A34"/>
    <w:rsid w:val="7DC9377A"/>
    <w:rsid w:val="7DE60973"/>
    <w:rsid w:val="7DEF0916"/>
    <w:rsid w:val="7DEF9BC0"/>
    <w:rsid w:val="7E1E5218"/>
    <w:rsid w:val="7E2748F9"/>
    <w:rsid w:val="7E3E57D4"/>
    <w:rsid w:val="7E9A4E1F"/>
    <w:rsid w:val="7EA7723A"/>
    <w:rsid w:val="7ECB254D"/>
    <w:rsid w:val="7EEB3B79"/>
    <w:rsid w:val="7EF56FBB"/>
    <w:rsid w:val="7EFF9291"/>
    <w:rsid w:val="7F0768EB"/>
    <w:rsid w:val="7F143BEC"/>
    <w:rsid w:val="7F3B64E5"/>
    <w:rsid w:val="7F715AF2"/>
    <w:rsid w:val="7F7BEAF4"/>
    <w:rsid w:val="7F886E69"/>
    <w:rsid w:val="7F9E2999"/>
    <w:rsid w:val="7FDCADA1"/>
    <w:rsid w:val="7FF442B7"/>
    <w:rsid w:val="7FF700BA"/>
    <w:rsid w:val="9BCFC2B3"/>
    <w:rsid w:val="9F3F48C9"/>
    <w:rsid w:val="9FBE618D"/>
    <w:rsid w:val="A7AC79EC"/>
    <w:rsid w:val="AA683869"/>
    <w:rsid w:val="B5FFC5D7"/>
    <w:rsid w:val="BB7FA927"/>
    <w:rsid w:val="C28F3E43"/>
    <w:rsid w:val="D9723536"/>
    <w:rsid w:val="DB77DB80"/>
    <w:rsid w:val="DDBE6BBF"/>
    <w:rsid w:val="DEFF08B1"/>
    <w:rsid w:val="DF7D0ECD"/>
    <w:rsid w:val="DFCE0AA1"/>
    <w:rsid w:val="E7DF1C6A"/>
    <w:rsid w:val="ECEEC0CC"/>
    <w:rsid w:val="EEFFB398"/>
    <w:rsid w:val="EFFFEB87"/>
    <w:rsid w:val="F32EE331"/>
    <w:rsid w:val="F5FFD31F"/>
    <w:rsid w:val="F9F5CC1A"/>
    <w:rsid w:val="FAB5BD40"/>
    <w:rsid w:val="FAFBFCB9"/>
    <w:rsid w:val="FBE7446A"/>
    <w:rsid w:val="FBF98FB2"/>
    <w:rsid w:val="FBFC4716"/>
    <w:rsid w:val="FDBFD301"/>
    <w:rsid w:val="FDFC3AB7"/>
    <w:rsid w:val="FEEEE977"/>
    <w:rsid w:val="FF97DB9B"/>
    <w:rsid w:val="FFAB7F2F"/>
    <w:rsid w:val="FFF64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4"/>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2"/>
    <w:qFormat/>
    <w:uiPriority w:val="0"/>
    <w:rPr>
      <w:b/>
      <w:bCs/>
    </w:rPr>
  </w:style>
  <w:style w:type="paragraph" w:styleId="62">
    <w:name w:val="Body Text First Indent 2"/>
    <w:basedOn w:val="26"/>
    <w:next w:val="1"/>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8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3">
    <w:name w:val="正文首行缩进 21"/>
    <w:basedOn w:val="84"/>
    <w:qFormat/>
    <w:uiPriority w:val="0"/>
    <w:pPr>
      <w:ind w:firstLine="420"/>
    </w:pPr>
  </w:style>
  <w:style w:type="paragraph" w:customStyle="1" w:styleId="84">
    <w:name w:val="Body Text Indent1"/>
    <w:basedOn w:val="1"/>
    <w:next w:val="1"/>
    <w:qFormat/>
    <w:uiPriority w:val="0"/>
    <w:pPr>
      <w:spacing w:after="120"/>
      <w:ind w:left="420" w:leftChars="200"/>
    </w:pPr>
    <w:rPr>
      <w:rFonts w:ascii="Times New Roman" w:hAnsi="Times New Roman"/>
      <w:color w:val="000000"/>
      <w:szCs w:val="21"/>
    </w:rPr>
  </w:style>
  <w:style w:type="paragraph" w:customStyle="1" w:styleId="85">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4"/>
    <w:qFormat/>
    <w:uiPriority w:val="0"/>
    <w:pPr>
      <w:spacing w:before="156" w:line="360" w:lineRule="auto"/>
      <w:ind w:firstLine="510" w:firstLineChars="200"/>
    </w:pPr>
    <w:rPr>
      <w:sz w:val="24"/>
      <w:szCs w:val="20"/>
    </w:rPr>
  </w:style>
  <w:style w:type="paragraph" w:customStyle="1" w:styleId="91">
    <w:name w:val="无间隔1"/>
    <w:link w:val="672"/>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0"/>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5"/>
    <w:qFormat/>
    <w:uiPriority w:val="0"/>
    <w:pPr>
      <w:ind w:left="0" w:right="466" w:firstLine="288"/>
    </w:pPr>
    <w:rPr>
      <w:rFonts w:hAnsi="宋体"/>
    </w:rPr>
  </w:style>
  <w:style w:type="paragraph" w:customStyle="1" w:styleId="98">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7"/>
    <w:qFormat/>
    <w:uiPriority w:val="0"/>
    <w:pPr>
      <w:adjustRightInd/>
      <w:spacing w:line="360" w:lineRule="auto"/>
      <w:ind w:firstLine="480" w:firstLineChars="200"/>
    </w:pPr>
    <w:rPr>
      <w:kern w:val="0"/>
      <w:sz w:val="24"/>
    </w:rPr>
  </w:style>
  <w:style w:type="paragraph" w:customStyle="1" w:styleId="103">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798"/>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0"/>
    <w:qFormat/>
    <w:uiPriority w:val="0"/>
    <w:pPr>
      <w:tabs>
        <w:tab w:val="left" w:pos="2356"/>
      </w:tabs>
    </w:pPr>
  </w:style>
  <w:style w:type="paragraph" w:customStyle="1" w:styleId="108">
    <w:name w:val="样式 标题 4h4H4Fab-4T5Ref Heading 1rh1Heading sqlsect 1.2.3...."/>
    <w:basedOn w:val="8"/>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3"/>
    <w:qFormat/>
    <w:uiPriority w:val="0"/>
    <w:pPr>
      <w:adjustRightInd/>
    </w:pPr>
    <w:rPr>
      <w:rFonts w:ascii="宋体" w:hAnsi="Courier New"/>
      <w:kern w:val="0"/>
      <w:sz w:val="20"/>
      <w:szCs w:val="20"/>
    </w:rPr>
  </w:style>
  <w:style w:type="paragraph" w:customStyle="1" w:styleId="111">
    <w:name w:val="正文说明"/>
    <w:basedOn w:val="1"/>
    <w:link w:val="845"/>
    <w:qFormat/>
    <w:uiPriority w:val="0"/>
    <w:pPr>
      <w:adjustRightInd/>
      <w:spacing w:line="360" w:lineRule="auto"/>
    </w:pPr>
    <w:rPr>
      <w:kern w:val="0"/>
      <w:sz w:val="24"/>
    </w:rPr>
  </w:style>
  <w:style w:type="paragraph" w:customStyle="1" w:styleId="112">
    <w:name w:val="Table Text"/>
    <w:basedOn w:val="1"/>
    <w:link w:val="851"/>
    <w:qFormat/>
    <w:uiPriority w:val="0"/>
    <w:pPr>
      <w:widowControl/>
      <w:spacing w:before="60" w:after="60"/>
      <w:jc w:val="left"/>
    </w:pPr>
    <w:rPr>
      <w:kern w:val="0"/>
      <w:sz w:val="24"/>
    </w:rPr>
  </w:style>
  <w:style w:type="paragraph" w:customStyle="1" w:styleId="113">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8"/>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1"/>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7"/>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9"/>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7"/>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8"/>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1"/>
    <w:next w:val="101"/>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1"/>
    <w:next w:val="101"/>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5"/>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8"/>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 标题 3H3 + 两端对齐"/>
    <w:basedOn w:val="7"/>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8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1"/>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5"/>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5"/>
    <w:qFormat/>
    <w:uiPriority w:val="0"/>
    <w:rPr>
      <w:rFonts w:ascii="Futura Bk" w:hAnsi="Futura Bk"/>
      <w:kern w:val="2"/>
      <w:sz w:val="18"/>
      <w:szCs w:val="21"/>
      <w:lang w:val="en-US" w:eastAsia="zh-CN" w:bidi="ar-SA"/>
    </w:rPr>
  </w:style>
  <w:style w:type="character" w:customStyle="1" w:styleId="622">
    <w:name w:val="*正文 Char"/>
    <w:link w:val="86"/>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7"/>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8"/>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9"/>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2"/>
    <w:qFormat/>
    <w:uiPriority w:val="0"/>
    <w:rPr>
      <w:rFonts w:ascii="宋体" w:hAnsi="宋体"/>
      <w:kern w:val="2"/>
      <w:sz w:val="21"/>
      <w:szCs w:val="24"/>
    </w:rPr>
  </w:style>
  <w:style w:type="character" w:customStyle="1" w:styleId="656">
    <w:name w:val="font11"/>
    <w:basedOn w:val="70"/>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90"/>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1"/>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basedOn w:val="70"/>
    <w:qFormat/>
    <w:uiPriority w:val="0"/>
    <w:rPr>
      <w:rFonts w:hint="eastAsia" w:ascii="仿宋_GB2312" w:eastAsia="仿宋_GB2312" w:cs="仿宋_GB2312"/>
      <w:color w:val="000000"/>
      <w:sz w:val="22"/>
      <w:szCs w:val="22"/>
      <w:u w:val="none"/>
    </w:rPr>
  </w:style>
  <w:style w:type="character" w:customStyle="1" w:styleId="679">
    <w:name w:val="标题 6 Char"/>
    <w:link w:val="10"/>
    <w:qFormat/>
    <w:uiPriority w:val="0"/>
    <w:rPr>
      <w:rFonts w:ascii="Arial" w:hAnsi="Arial" w:eastAsia="黑体"/>
      <w:b/>
      <w:bCs/>
      <w:kern w:val="2"/>
      <w:sz w:val="24"/>
      <w:szCs w:val="24"/>
    </w:rPr>
  </w:style>
  <w:style w:type="character" w:customStyle="1" w:styleId="680">
    <w:name w:val="纯文本 Char_0"/>
    <w:link w:val="92"/>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4"/>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5"/>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6"/>
    <w:qFormat/>
    <w:locked/>
    <w:uiPriority w:val="0"/>
    <w:rPr>
      <w:rFonts w:ascii="Tahoma" w:hAnsi="Tahoma"/>
      <w:sz w:val="24"/>
      <w:szCs w:val="24"/>
    </w:rPr>
  </w:style>
  <w:style w:type="character" w:customStyle="1" w:styleId="720">
    <w:name w:val="正文缩进 Char2"/>
    <w:link w:val="1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7"/>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basedOn w:val="70"/>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9"/>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100"/>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1"/>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2"/>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3"/>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4"/>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basedOn w:val="70"/>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6"/>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basedOn w:val="70"/>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9"/>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1"/>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basedOn w:val="70"/>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9"/>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10"/>
    <w:qFormat/>
    <w:uiPriority w:val="0"/>
    <w:rPr>
      <w:rFonts w:ascii="宋体" w:hAnsi="Courier New"/>
    </w:rPr>
  </w:style>
  <w:style w:type="character" w:customStyle="1" w:styleId="834">
    <w:name w:val="正文首行缩进 Char"/>
    <w:link w:val="3"/>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8"/>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basedOn w:val="70"/>
    <w:qFormat/>
    <w:uiPriority w:val="0"/>
    <w:rPr>
      <w:rFonts w:hint="eastAsia" w:ascii="仿宋" w:hAnsi="仿宋" w:eastAsia="仿宋" w:cs="仿宋"/>
      <w:color w:val="000000"/>
      <w:sz w:val="20"/>
      <w:szCs w:val="20"/>
      <w:u w:val="none"/>
    </w:rPr>
  </w:style>
  <w:style w:type="character" w:customStyle="1" w:styleId="845">
    <w:name w:val="正文说明 Char"/>
    <w:link w:val="111"/>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2"/>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2"/>
    <w:qFormat/>
    <w:uiPriority w:val="0"/>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3"/>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4"/>
    <w:qFormat/>
    <w:uiPriority w:val="0"/>
    <w:rPr>
      <w:rFonts w:ascii="宋体"/>
    </w:rPr>
  </w:style>
  <w:style w:type="character" w:customStyle="1" w:styleId="867">
    <w:name w:val="标题 8 Char"/>
    <w:link w:val="12"/>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basedOn w:val="70"/>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5"/>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6"/>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7"/>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8"/>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9"/>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20"/>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1"/>
    <w:qFormat/>
    <w:uiPriority w:val="0"/>
    <w:rPr>
      <w:rFonts w:cs="宋体"/>
      <w:kern w:val="2"/>
      <w:sz w:val="24"/>
    </w:rPr>
  </w:style>
  <w:style w:type="character" w:customStyle="1" w:styleId="9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1"/>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basedOn w:val="70"/>
    <w:qFormat/>
    <w:uiPriority w:val="0"/>
    <w:rPr>
      <w:rFonts w:hint="eastAsia" w:ascii="宋体" w:hAnsi="宋体" w:eastAsia="宋体" w:cs="宋体"/>
      <w:color w:val="000000"/>
      <w:sz w:val="22"/>
      <w:szCs w:val="22"/>
      <w:u w:val="none"/>
    </w:rPr>
  </w:style>
  <w:style w:type="character" w:customStyle="1" w:styleId="958">
    <w:name w:val="font91"/>
    <w:basedOn w:val="70"/>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Normal]"/>
    <w:qFormat/>
    <w:uiPriority w:val="0"/>
    <w:rPr>
      <w:rFonts w:ascii="宋体" w:hAnsi="宋体" w:eastAsia="宋体" w:cs="Times New Roman"/>
      <w:sz w:val="24"/>
      <w:szCs w:val="22"/>
      <w:lang w:val="zh-CN" w:eastAsia="zh-CN" w:bidi="ar-SA"/>
    </w:rPr>
  </w:style>
  <w:style w:type="paragraph" w:customStyle="1" w:styleId="966">
    <w:name w:val="表格正文"/>
    <w:basedOn w:val="1"/>
    <w:qFormat/>
    <w:uiPriority w:val="0"/>
    <w:pPr>
      <w:spacing w:line="360" w:lineRule="auto"/>
    </w:pPr>
    <w:rPr>
      <w:rFonts w:ascii="宋体" w:hAnsi="宋体" w:eastAsia="楷体_GB2312" w:cs="宋体"/>
      <w:sz w:val="24"/>
      <w:szCs w:val="20"/>
    </w:rPr>
  </w:style>
  <w:style w:type="paragraph" w:customStyle="1" w:styleId="967">
    <w:name w:val="纯文本3"/>
    <w:basedOn w:val="1"/>
    <w:qFormat/>
    <w:uiPriority w:val="99"/>
    <w:pPr>
      <w:adjustRightInd/>
      <w:snapToGrid w:val="0"/>
      <w:jc w:val="left"/>
    </w:pPr>
    <w:rPr>
      <w:rFonts w:ascii="Century Gothic" w:hAnsi="??_GB2312" w:eastAsia="Times New Roman" w:cs="Century Gothic"/>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34135</Words>
  <Characters>36117</Characters>
  <Lines>287</Lines>
  <Paragraphs>81</Paragraphs>
  <TotalTime>0</TotalTime>
  <ScaleCrop>false</ScaleCrop>
  <LinksUpToDate>false</LinksUpToDate>
  <CharactersWithSpaces>41671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2021-07-29T16:22:00Z</dcterms:created>
  <dc:creator>Administrator</dc:creator>
  <cp:lastModifiedBy>社会猪</cp:lastModifiedBy>
  <cp:lastPrinted>2021-12-26T19:06:00Z</cp:lastPrinted>
  <dcterms:modified xsi:type="dcterms:W3CDTF">2023-02-22T08:55:08Z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7D8A37B401214B9C8ABA371C065268EE</vt:lpwstr>
  </property>
</Properties>
</file>