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left" w:pos="4500"/>
        </w:tabs>
        <w:snapToGrid w:val="0"/>
        <w:spacing w:line="360" w:lineRule="auto"/>
        <w:jc w:val="both"/>
        <w:textAlignment w:val="bottom"/>
        <w:rPr>
          <w:rFonts w:hint="eastAsia" w:ascii="宋体" w:hAnsi="宋体" w:eastAsia="宋体" w:cs="宋体"/>
          <w:b/>
          <w:bCs/>
          <w:color w:val="000000"/>
          <w:spacing w:val="6"/>
          <w:sz w:val="48"/>
          <w:szCs w:val="48"/>
        </w:rPr>
      </w:pPr>
    </w:p>
    <w:p>
      <w:pPr>
        <w:spacing w:line="745" w:lineRule="exact"/>
        <w:ind w:right="242"/>
        <w:jc w:val="center"/>
        <w:rPr>
          <w:rFonts w:hint="eastAsia" w:ascii="宋体" w:hAnsi="宋体" w:eastAsia="宋体" w:cs="宋体"/>
          <w:b/>
          <w:sz w:val="52"/>
          <w:szCs w:val="24"/>
        </w:rPr>
      </w:pPr>
      <w:r>
        <w:rPr>
          <w:rFonts w:hint="eastAsia" w:ascii="宋体" w:hAnsi="宋体" w:eastAsia="宋体" w:cs="宋体"/>
          <w:b/>
          <w:sz w:val="52"/>
          <w:szCs w:val="24"/>
          <w:lang w:eastAsia="zh-CN"/>
        </w:rPr>
        <w:t>仁和街道高新农业开发区易腐垃圾集中处置设备采购项目</w:t>
      </w:r>
    </w:p>
    <w:p>
      <w:pPr>
        <w:shd w:val="clear" w:color="auto" w:fill="FFFFFF"/>
        <w:tabs>
          <w:tab w:val="left" w:pos="4500"/>
        </w:tabs>
        <w:snapToGrid w:val="0"/>
        <w:spacing w:line="360" w:lineRule="auto"/>
        <w:jc w:val="center"/>
        <w:textAlignment w:val="bottom"/>
        <w:rPr>
          <w:rFonts w:hint="eastAsia" w:ascii="宋体" w:hAnsi="宋体" w:eastAsia="宋体" w:cs="宋体"/>
          <w:b/>
          <w:bCs/>
          <w:color w:val="000000"/>
          <w:sz w:val="52"/>
          <w:szCs w:val="52"/>
        </w:rPr>
      </w:pPr>
      <w:r>
        <w:rPr>
          <w:rFonts w:hint="eastAsia" w:ascii="宋体" w:hAnsi="宋体" w:eastAsia="宋体" w:cs="宋体"/>
          <w:b/>
          <w:bCs/>
          <w:color w:val="000000"/>
          <w:spacing w:val="6"/>
          <w:sz w:val="48"/>
          <w:szCs w:val="48"/>
        </w:rPr>
        <w:t xml:space="preserve"> </w:t>
      </w:r>
    </w:p>
    <w:p>
      <w:pPr>
        <w:shd w:val="clear" w:color="auto" w:fill="FFFFFF"/>
        <w:tabs>
          <w:tab w:val="left" w:pos="4500"/>
        </w:tabs>
        <w:snapToGrid w:val="0"/>
        <w:spacing w:line="360" w:lineRule="auto"/>
        <w:jc w:val="center"/>
        <w:textAlignment w:val="bottom"/>
        <w:rPr>
          <w:rFonts w:hint="eastAsia" w:ascii="宋体" w:hAnsi="宋体" w:eastAsia="宋体" w:cs="宋体"/>
          <w:b/>
          <w:bCs/>
          <w:color w:val="000000"/>
          <w:sz w:val="72"/>
          <w:szCs w:val="72"/>
        </w:rPr>
      </w:pPr>
      <w:r>
        <w:rPr>
          <w:rFonts w:hint="eastAsia" w:ascii="宋体" w:hAnsi="宋体" w:eastAsia="宋体" w:cs="宋体"/>
          <w:b/>
          <w:bCs/>
          <w:color w:val="000000"/>
          <w:sz w:val="72"/>
          <w:szCs w:val="72"/>
        </w:rPr>
        <w:t>公开招标文件</w:t>
      </w:r>
    </w:p>
    <w:p>
      <w:pPr>
        <w:widowControl/>
        <w:spacing w:line="360" w:lineRule="auto"/>
        <w:ind w:right="-2"/>
        <w:jc w:val="center"/>
        <w:rPr>
          <w:rFonts w:hint="eastAsia" w:ascii="宋体" w:hAnsi="宋体" w:eastAsia="宋体" w:cs="宋体"/>
          <w:b/>
          <w:color w:val="000000"/>
          <w:sz w:val="36"/>
        </w:rPr>
      </w:pPr>
      <w:r>
        <w:rPr>
          <w:rFonts w:hint="eastAsia" w:ascii="宋体" w:hAnsi="宋体" w:eastAsia="宋体" w:cs="宋体"/>
          <w:b/>
          <w:color w:val="000000"/>
          <w:sz w:val="36"/>
        </w:rPr>
        <w:t>（线上电子招投标）</w:t>
      </w:r>
    </w:p>
    <w:p>
      <w:pPr>
        <w:widowControl/>
        <w:snapToGrid w:val="0"/>
        <w:spacing w:line="360" w:lineRule="auto"/>
        <w:jc w:val="center"/>
        <w:rPr>
          <w:rFonts w:hint="eastAsia" w:ascii="宋体" w:hAnsi="宋体" w:eastAsia="宋体" w:cs="宋体"/>
          <w:color w:val="000000"/>
        </w:rPr>
      </w:pPr>
    </w:p>
    <w:p>
      <w:pPr>
        <w:shd w:val="clear" w:color="auto" w:fill="FFFFFF"/>
        <w:snapToGrid w:val="0"/>
        <w:spacing w:line="360" w:lineRule="auto"/>
        <w:rPr>
          <w:rFonts w:hint="eastAsia" w:ascii="宋体" w:hAnsi="宋体" w:eastAsia="宋体" w:cs="宋体"/>
          <w:b/>
          <w:color w:val="000000"/>
          <w:sz w:val="36"/>
        </w:rPr>
      </w:pPr>
    </w:p>
    <w:p>
      <w:pPr>
        <w:shd w:val="clear" w:color="auto" w:fill="FFFFFF"/>
        <w:snapToGrid w:val="0"/>
        <w:spacing w:line="360" w:lineRule="auto"/>
        <w:ind w:firstLine="2168" w:firstLineChars="600"/>
        <w:jc w:val="both"/>
        <w:rPr>
          <w:rFonts w:hint="eastAsia" w:ascii="宋体" w:hAnsi="宋体" w:eastAsia="宋体" w:cs="宋体"/>
          <w:b/>
          <w:bCs/>
          <w:color w:val="000000"/>
          <w:sz w:val="36"/>
          <w:szCs w:val="36"/>
          <w:highlight w:val="yellow"/>
          <w:lang w:val="en-US" w:eastAsia="zh-CN"/>
        </w:rPr>
      </w:pPr>
      <w:r>
        <w:rPr>
          <w:rFonts w:hint="eastAsia" w:ascii="宋体" w:hAnsi="宋体" w:eastAsia="宋体" w:cs="宋体"/>
          <w:b/>
          <w:bCs/>
          <w:color w:val="000000"/>
          <w:sz w:val="36"/>
          <w:szCs w:val="36"/>
        </w:rPr>
        <w:t>招标编号：</w:t>
      </w:r>
      <w:r>
        <w:rPr>
          <w:rFonts w:hint="eastAsia" w:ascii="宋体" w:hAnsi="宋体" w:eastAsia="宋体" w:cs="宋体"/>
          <w:b/>
          <w:color w:val="000000"/>
          <w:sz w:val="36"/>
          <w:szCs w:val="36"/>
          <w:lang w:val="en-US" w:eastAsia="zh-CN"/>
        </w:rPr>
        <w:t xml:space="preserve">ZJZFCG-HS2020-005  </w:t>
      </w:r>
    </w:p>
    <w:p>
      <w:pPr>
        <w:shd w:val="clear" w:color="auto" w:fill="FFFFFF"/>
        <w:snapToGrid w:val="0"/>
        <w:spacing w:line="360" w:lineRule="auto"/>
        <w:textAlignment w:val="bottom"/>
        <w:rPr>
          <w:rFonts w:hint="eastAsia" w:ascii="宋体" w:hAnsi="宋体" w:eastAsia="宋体" w:cs="宋体"/>
          <w:b/>
          <w:bCs/>
          <w:color w:val="000000"/>
          <w:sz w:val="48"/>
          <w:szCs w:val="48"/>
        </w:rPr>
      </w:pPr>
    </w:p>
    <w:p>
      <w:pPr>
        <w:shd w:val="clear" w:color="auto" w:fill="FFFFFF"/>
        <w:snapToGrid w:val="0"/>
        <w:spacing w:line="360" w:lineRule="auto"/>
        <w:textAlignment w:val="bottom"/>
        <w:rPr>
          <w:rFonts w:hint="eastAsia" w:ascii="宋体" w:hAnsi="宋体" w:eastAsia="宋体" w:cs="宋体"/>
          <w:b/>
          <w:bCs/>
          <w:color w:val="000000"/>
          <w:sz w:val="48"/>
          <w:szCs w:val="48"/>
        </w:rPr>
      </w:pPr>
      <w:r>
        <w:rPr>
          <w:rFonts w:hint="eastAsia" w:ascii="宋体" w:hAnsi="宋体" w:eastAsia="宋体" w:cs="宋体"/>
          <w:color w:val="000000"/>
          <w:sz w:val="48"/>
          <w:szCs w:val="48"/>
          <w:lang w:val="en-US" w:bidi="ar-SA"/>
        </w:rPr>
        <mc:AlternateContent>
          <mc:Choice Requires="wps">
            <w:drawing>
              <wp:anchor distT="0" distB="0" distL="114300" distR="114300" simplePos="0" relativeHeight="251706368" behindDoc="0" locked="0" layoutInCell="0" allowOverlap="1">
                <wp:simplePos x="0" y="0"/>
                <wp:positionH relativeFrom="column">
                  <wp:posOffset>4191000</wp:posOffset>
                </wp:positionH>
                <wp:positionV relativeFrom="paragraph">
                  <wp:posOffset>73025</wp:posOffset>
                </wp:positionV>
                <wp:extent cx="635" cy="0"/>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30pt;margin-top:5.75pt;height:0pt;width:0.05pt;mso-wrap-distance-bottom:0pt;mso-wrap-distance-left:9pt;mso-wrap-distance-right:9pt;mso-wrap-distance-top:0pt;z-index:251706368;mso-width-relative:page;mso-height-relative:page;" filled="f" stroked="t" coordsize="21600,21600" o:allowincell="f" o:gfxdata="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yJkwv1AAAAAkBAAAPAAAAAAAAAAEAIAAAACIAAABkcnMv&#10;ZG93bnJldi54bWxQSwECFAAUAAAACACHTuJAcP9bhc4BAACGAwAADgAAAAAAAAABACAAAAAjAQAA&#10;ZHJzL2Uyb0RvYy54bWxQSwUGAAAAAAYABgBZAQAAYwUAAAAA&#10;">
                <v:fill on="f" focussize="0,0"/>
                <v:stroke color="#000000" joinstyle="round"/>
                <v:imagedata o:title=""/>
                <o:lock v:ext="edit" aspectratio="f"/>
                <w10:wrap type="square"/>
              </v:line>
            </w:pict>
          </mc:Fallback>
        </mc:AlternateContent>
      </w:r>
    </w:p>
    <w:p>
      <w:pPr>
        <w:shd w:val="clear" w:color="auto" w:fill="FFFFFF"/>
        <w:snapToGrid w:val="0"/>
        <w:spacing w:line="360" w:lineRule="auto"/>
        <w:jc w:val="center"/>
        <w:textAlignment w:val="bottom"/>
        <w:rPr>
          <w:rFonts w:hint="eastAsia" w:ascii="宋体" w:hAnsi="宋体" w:eastAsia="宋体" w:cs="宋体"/>
          <w:b/>
          <w:bCs/>
          <w:color w:val="000000"/>
          <w:sz w:val="30"/>
          <w:szCs w:val="30"/>
        </w:rPr>
      </w:pPr>
    </w:p>
    <w:p>
      <w:pPr>
        <w:pStyle w:val="2"/>
        <w:rPr>
          <w:rFonts w:hint="eastAsia" w:ascii="宋体" w:hAnsi="宋体" w:eastAsia="宋体" w:cs="宋体"/>
          <w:b/>
          <w:bCs/>
          <w:color w:val="000000"/>
          <w:sz w:val="30"/>
          <w:szCs w:val="30"/>
        </w:rPr>
      </w:pPr>
    </w:p>
    <w:p>
      <w:pPr>
        <w:pStyle w:val="2"/>
        <w:rPr>
          <w:rFonts w:hint="eastAsia" w:ascii="宋体" w:hAnsi="宋体" w:eastAsia="宋体" w:cs="宋体"/>
          <w:b/>
          <w:bCs/>
          <w:color w:val="000000"/>
          <w:sz w:val="30"/>
          <w:szCs w:val="30"/>
        </w:rPr>
      </w:pPr>
    </w:p>
    <w:p>
      <w:pPr>
        <w:pStyle w:val="2"/>
        <w:rPr>
          <w:rFonts w:hint="eastAsia" w:ascii="宋体" w:hAnsi="宋体" w:eastAsia="宋体" w:cs="宋体"/>
          <w:b/>
          <w:bCs/>
          <w:color w:val="000000"/>
          <w:sz w:val="30"/>
          <w:szCs w:val="30"/>
        </w:rPr>
      </w:pPr>
    </w:p>
    <w:p>
      <w:pPr>
        <w:shd w:val="clear" w:color="auto" w:fill="FFFFFF"/>
        <w:snapToGrid w:val="0"/>
        <w:spacing w:line="360" w:lineRule="auto"/>
        <w:ind w:firstLine="426"/>
        <w:textAlignment w:val="bottom"/>
        <w:rPr>
          <w:rFonts w:hint="eastAsia" w:ascii="宋体" w:hAnsi="宋体" w:eastAsia="宋体" w:cs="宋体"/>
          <w:b/>
          <w:bCs/>
          <w:color w:val="000000"/>
          <w:sz w:val="30"/>
          <w:szCs w:val="30"/>
          <w:lang w:eastAsia="zh-CN"/>
        </w:rPr>
      </w:pPr>
      <w:r>
        <w:rPr>
          <w:rFonts w:hint="eastAsia" w:ascii="宋体" w:hAnsi="宋体" w:eastAsia="宋体" w:cs="宋体"/>
          <w:b/>
          <w:bCs/>
          <w:color w:val="000000"/>
          <w:sz w:val="30"/>
          <w:szCs w:val="30"/>
        </w:rPr>
        <w:t xml:space="preserve">        采   购   人：</w:t>
      </w:r>
      <w:r>
        <w:rPr>
          <w:rFonts w:hint="eastAsia" w:ascii="宋体" w:hAnsi="宋体" w:eastAsia="宋体" w:cs="宋体"/>
          <w:b/>
          <w:bCs/>
          <w:color w:val="000000"/>
          <w:spacing w:val="-24"/>
          <w:sz w:val="30"/>
          <w:szCs w:val="30"/>
          <w:lang w:eastAsia="zh-CN"/>
        </w:rPr>
        <w:t>杭州市余杭区人民政府</w:t>
      </w:r>
      <w:r>
        <w:rPr>
          <w:rFonts w:hint="eastAsia" w:cs="宋体"/>
          <w:b/>
          <w:bCs/>
          <w:color w:val="000000"/>
          <w:spacing w:val="-24"/>
          <w:sz w:val="30"/>
          <w:szCs w:val="30"/>
          <w:lang w:eastAsia="zh-CN"/>
        </w:rPr>
        <w:t>仁和</w:t>
      </w:r>
      <w:r>
        <w:rPr>
          <w:rFonts w:hint="eastAsia" w:ascii="宋体" w:hAnsi="宋体" w:eastAsia="宋体" w:cs="宋体"/>
          <w:b/>
          <w:bCs/>
          <w:color w:val="000000"/>
          <w:spacing w:val="-24"/>
          <w:sz w:val="30"/>
          <w:szCs w:val="30"/>
          <w:lang w:eastAsia="zh-CN"/>
        </w:rPr>
        <w:t>街道办事处</w:t>
      </w:r>
    </w:p>
    <w:p>
      <w:pPr>
        <w:shd w:val="clear" w:color="auto" w:fill="FFFFFF"/>
        <w:snapToGrid w:val="0"/>
        <w:spacing w:line="360" w:lineRule="auto"/>
        <w:ind w:firstLine="426"/>
        <w:textAlignment w:val="bottom"/>
        <w:rPr>
          <w:rFonts w:hint="eastAsia" w:ascii="宋体" w:hAnsi="宋体" w:eastAsia="宋体" w:cs="宋体"/>
          <w:b/>
          <w:bCs/>
          <w:color w:val="000000"/>
          <w:sz w:val="30"/>
          <w:szCs w:val="30"/>
        </w:rPr>
      </w:pPr>
      <w:r>
        <w:rPr>
          <w:rFonts w:hint="eastAsia" w:ascii="宋体" w:hAnsi="宋体" w:eastAsia="宋体" w:cs="宋体"/>
          <w:b/>
          <w:bCs/>
          <w:color w:val="000000"/>
          <w:sz w:val="30"/>
          <w:szCs w:val="30"/>
        </w:rPr>
        <w:t xml:space="preserve">        采购代理机构：杭州鸿顺建设管理有限公司</w:t>
      </w:r>
    </w:p>
    <w:p>
      <w:pPr>
        <w:shd w:val="clear" w:color="auto" w:fill="FFFFFF"/>
        <w:snapToGrid w:val="0"/>
        <w:spacing w:line="360" w:lineRule="auto"/>
        <w:ind w:firstLine="426"/>
        <w:textAlignment w:val="bottom"/>
        <w:rPr>
          <w:rFonts w:hint="eastAsia" w:ascii="宋体" w:hAnsi="宋体" w:eastAsia="宋体" w:cs="宋体"/>
          <w:b/>
          <w:bCs/>
          <w:color w:val="000000"/>
          <w:sz w:val="30"/>
          <w:szCs w:val="30"/>
        </w:rPr>
      </w:pPr>
      <w:r>
        <w:rPr>
          <w:rFonts w:hint="eastAsia" w:ascii="宋体" w:hAnsi="宋体" w:eastAsia="宋体" w:cs="宋体"/>
          <w:b/>
          <w:bCs/>
          <w:color w:val="000000"/>
          <w:sz w:val="30"/>
          <w:szCs w:val="30"/>
        </w:rPr>
        <w:t xml:space="preserve">                    </w:t>
      </w:r>
      <w:r>
        <w:rPr>
          <w:rFonts w:hint="eastAsia" w:ascii="宋体" w:hAnsi="宋体" w:eastAsia="宋体" w:cs="宋体"/>
          <w:b/>
          <w:bCs/>
          <w:color w:val="000000"/>
          <w:sz w:val="30"/>
          <w:szCs w:val="30"/>
          <w:lang w:val="en-US" w:eastAsia="zh-CN"/>
        </w:rPr>
        <w:t xml:space="preserve">  </w:t>
      </w:r>
      <w:r>
        <w:rPr>
          <w:rFonts w:hint="eastAsia" w:ascii="宋体" w:hAnsi="宋体" w:eastAsia="宋体" w:cs="宋体"/>
          <w:b/>
          <w:bCs/>
          <w:color w:val="000000"/>
          <w:sz w:val="30"/>
          <w:szCs w:val="30"/>
        </w:rPr>
        <w:t>二O二O年</w:t>
      </w:r>
      <w:r>
        <w:rPr>
          <w:rFonts w:hint="eastAsia" w:cs="宋体"/>
          <w:b/>
          <w:bCs/>
          <w:color w:val="000000"/>
          <w:sz w:val="30"/>
          <w:szCs w:val="30"/>
          <w:lang w:eastAsia="zh-CN"/>
        </w:rPr>
        <w:t>五</w:t>
      </w:r>
      <w:r>
        <w:rPr>
          <w:rFonts w:hint="eastAsia" w:ascii="宋体" w:hAnsi="宋体" w:eastAsia="宋体" w:cs="宋体"/>
          <w:b/>
          <w:bCs/>
          <w:color w:val="000000"/>
          <w:sz w:val="30"/>
          <w:szCs w:val="30"/>
        </w:rPr>
        <w:t>月</w:t>
      </w:r>
    </w:p>
    <w:p>
      <w:pPr>
        <w:pageBreakBefore/>
        <w:shd w:val="clear" w:color="auto" w:fill="FFFFFF"/>
        <w:snapToGrid w:val="0"/>
        <w:spacing w:line="360" w:lineRule="auto"/>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目  录</w:t>
      </w:r>
    </w:p>
    <w:p>
      <w:pPr>
        <w:pStyle w:val="20"/>
        <w:rPr>
          <w:rFonts w:hint="eastAsia" w:ascii="宋体" w:hAnsi="宋体" w:eastAsia="宋体" w:cs="宋体"/>
          <w:b/>
          <w:bCs/>
          <w:color w:val="000000"/>
          <w:sz w:val="36"/>
          <w:szCs w:val="36"/>
        </w:rPr>
      </w:pPr>
    </w:p>
    <w:p>
      <w:pPr>
        <w:rPr>
          <w:rFonts w:hint="eastAsia" w:ascii="宋体" w:hAnsi="宋体" w:eastAsia="宋体" w:cs="宋体"/>
        </w:rPr>
      </w:pPr>
    </w:p>
    <w:p>
      <w:pPr>
        <w:pStyle w:val="14"/>
        <w:tabs>
          <w:tab w:val="right" w:leader="dot" w:pos="8958"/>
        </w:tabs>
        <w:snapToGrid w:val="0"/>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第一部分  招标公告</w:t>
      </w:r>
      <w:r>
        <w:rPr>
          <w:rFonts w:hint="eastAsia" w:ascii="宋体" w:hAnsi="宋体" w:eastAsia="宋体" w:cs="宋体"/>
          <w:bCs/>
          <w:color w:val="000000"/>
          <w:sz w:val="24"/>
          <w:szCs w:val="24"/>
        </w:rPr>
        <w:tab/>
      </w:r>
      <w:r>
        <w:rPr>
          <w:rFonts w:hint="eastAsia" w:ascii="宋体" w:hAnsi="宋体" w:eastAsia="宋体" w:cs="宋体"/>
          <w:bCs/>
          <w:color w:val="000000"/>
          <w:sz w:val="24"/>
          <w:szCs w:val="24"/>
        </w:rPr>
        <w:t>3</w:t>
      </w:r>
    </w:p>
    <w:p>
      <w:pPr>
        <w:pStyle w:val="14"/>
        <w:tabs>
          <w:tab w:val="right" w:leader="dot" w:pos="8958"/>
        </w:tabs>
        <w:snapToGrid w:val="0"/>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第二部分  编制和提交投标文件须知</w:t>
      </w:r>
      <w:r>
        <w:rPr>
          <w:rFonts w:hint="eastAsia" w:ascii="宋体" w:hAnsi="宋体" w:eastAsia="宋体" w:cs="宋体"/>
          <w:bCs/>
          <w:color w:val="000000"/>
          <w:sz w:val="24"/>
          <w:szCs w:val="24"/>
        </w:rPr>
        <w:tab/>
      </w:r>
      <w:r>
        <w:rPr>
          <w:rFonts w:hint="eastAsia" w:ascii="宋体" w:hAnsi="宋体" w:eastAsia="宋体" w:cs="宋体"/>
          <w:bCs/>
          <w:color w:val="000000"/>
          <w:sz w:val="24"/>
          <w:szCs w:val="24"/>
        </w:rPr>
        <w:t>7</w:t>
      </w:r>
    </w:p>
    <w:p>
      <w:pPr>
        <w:pStyle w:val="14"/>
        <w:tabs>
          <w:tab w:val="right" w:leader="dot" w:pos="8958"/>
        </w:tabs>
        <w:snapToGrid w:val="0"/>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前 附 表</w:t>
      </w:r>
      <w:r>
        <w:rPr>
          <w:rFonts w:hint="eastAsia" w:ascii="宋体" w:hAnsi="宋体" w:eastAsia="宋体" w:cs="宋体"/>
          <w:bCs/>
          <w:color w:val="000000"/>
          <w:sz w:val="24"/>
          <w:szCs w:val="24"/>
        </w:rPr>
        <w:tab/>
      </w:r>
      <w:r>
        <w:rPr>
          <w:rFonts w:hint="eastAsia" w:ascii="宋体" w:hAnsi="宋体" w:eastAsia="宋体" w:cs="宋体"/>
          <w:bCs/>
          <w:color w:val="000000"/>
          <w:sz w:val="24"/>
          <w:szCs w:val="24"/>
        </w:rPr>
        <w:t>7</w:t>
      </w:r>
    </w:p>
    <w:p>
      <w:pPr>
        <w:pStyle w:val="14"/>
        <w:tabs>
          <w:tab w:val="right" w:leader="dot" w:pos="8958"/>
        </w:tabs>
        <w:snapToGrid w:val="0"/>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一、总 则</w:t>
      </w:r>
      <w:r>
        <w:rPr>
          <w:rFonts w:hint="eastAsia" w:ascii="宋体" w:hAnsi="宋体" w:eastAsia="宋体" w:cs="宋体"/>
          <w:bCs/>
          <w:color w:val="000000"/>
          <w:sz w:val="24"/>
          <w:szCs w:val="24"/>
        </w:rPr>
        <w:tab/>
      </w:r>
      <w:r>
        <w:rPr>
          <w:rFonts w:hint="eastAsia" w:ascii="宋体" w:hAnsi="宋体" w:eastAsia="宋体" w:cs="宋体"/>
          <w:bCs/>
          <w:color w:val="000000"/>
          <w:sz w:val="24"/>
          <w:szCs w:val="24"/>
        </w:rPr>
        <w:t>11</w:t>
      </w:r>
    </w:p>
    <w:p>
      <w:pPr>
        <w:pStyle w:val="14"/>
        <w:tabs>
          <w:tab w:val="right" w:leader="dot" w:pos="8958"/>
        </w:tabs>
        <w:snapToGrid w:val="0"/>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二、招标文件</w:t>
      </w:r>
      <w:r>
        <w:rPr>
          <w:rFonts w:hint="eastAsia" w:ascii="宋体" w:hAnsi="宋体" w:eastAsia="宋体" w:cs="宋体"/>
          <w:bCs/>
          <w:color w:val="000000"/>
          <w:sz w:val="24"/>
          <w:szCs w:val="24"/>
        </w:rPr>
        <w:tab/>
      </w:r>
      <w:r>
        <w:rPr>
          <w:rFonts w:hint="eastAsia" w:ascii="宋体" w:hAnsi="宋体" w:eastAsia="宋体" w:cs="宋体"/>
          <w:bCs/>
          <w:color w:val="000000"/>
          <w:sz w:val="24"/>
          <w:szCs w:val="24"/>
        </w:rPr>
        <w:t>1</w:t>
      </w:r>
      <w:r>
        <w:rPr>
          <w:rFonts w:hint="eastAsia" w:cs="宋体"/>
          <w:bCs/>
          <w:color w:val="000000"/>
          <w:sz w:val="24"/>
          <w:szCs w:val="24"/>
          <w:lang w:val="en-US" w:eastAsia="zh-CN"/>
        </w:rPr>
        <w:t>2</w:t>
      </w:r>
    </w:p>
    <w:p>
      <w:pPr>
        <w:pStyle w:val="14"/>
        <w:tabs>
          <w:tab w:val="right" w:leader="dot" w:pos="8958"/>
        </w:tabs>
        <w:snapToGrid w:val="0"/>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三、投标文件</w:t>
      </w:r>
      <w:r>
        <w:rPr>
          <w:rFonts w:hint="eastAsia" w:ascii="宋体" w:hAnsi="宋体" w:eastAsia="宋体" w:cs="宋体"/>
          <w:bCs/>
          <w:color w:val="000000"/>
          <w:sz w:val="24"/>
          <w:szCs w:val="24"/>
        </w:rPr>
        <w:tab/>
      </w:r>
      <w:r>
        <w:rPr>
          <w:rFonts w:hint="eastAsia" w:ascii="宋体" w:hAnsi="宋体" w:eastAsia="宋体" w:cs="宋体"/>
          <w:bCs/>
          <w:color w:val="000000"/>
          <w:sz w:val="24"/>
          <w:szCs w:val="24"/>
        </w:rPr>
        <w:t>1</w:t>
      </w:r>
      <w:r>
        <w:rPr>
          <w:rFonts w:hint="eastAsia" w:cs="宋体"/>
          <w:bCs/>
          <w:color w:val="000000"/>
          <w:sz w:val="24"/>
          <w:szCs w:val="24"/>
          <w:lang w:val="en-US" w:eastAsia="zh-CN"/>
        </w:rPr>
        <w:t>4</w:t>
      </w:r>
    </w:p>
    <w:p>
      <w:pPr>
        <w:pStyle w:val="14"/>
        <w:tabs>
          <w:tab w:val="right" w:leader="dot" w:pos="8958"/>
        </w:tabs>
        <w:snapToGrid w:val="0"/>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四、投标</w:t>
      </w:r>
      <w:r>
        <w:rPr>
          <w:rFonts w:hint="eastAsia" w:ascii="宋体" w:hAnsi="宋体" w:eastAsia="宋体" w:cs="宋体"/>
          <w:bCs/>
          <w:color w:val="000000"/>
          <w:sz w:val="24"/>
          <w:szCs w:val="24"/>
        </w:rPr>
        <w:tab/>
      </w:r>
      <w:r>
        <w:rPr>
          <w:rFonts w:hint="eastAsia" w:ascii="宋体" w:hAnsi="宋体" w:eastAsia="宋体" w:cs="宋体"/>
          <w:bCs/>
          <w:color w:val="000000"/>
          <w:sz w:val="24"/>
          <w:szCs w:val="24"/>
        </w:rPr>
        <w:t>1</w:t>
      </w:r>
      <w:r>
        <w:rPr>
          <w:rFonts w:hint="eastAsia" w:cs="宋体"/>
          <w:bCs/>
          <w:color w:val="000000"/>
          <w:sz w:val="24"/>
          <w:szCs w:val="24"/>
          <w:lang w:val="en-US" w:eastAsia="zh-CN"/>
        </w:rPr>
        <w:t>7</w:t>
      </w:r>
    </w:p>
    <w:p>
      <w:pPr>
        <w:pStyle w:val="14"/>
        <w:tabs>
          <w:tab w:val="right" w:leader="dot" w:pos="8958"/>
        </w:tabs>
        <w:snapToGrid w:val="0"/>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五、开 标</w:t>
      </w:r>
      <w:r>
        <w:rPr>
          <w:rFonts w:hint="eastAsia" w:ascii="宋体" w:hAnsi="宋体" w:eastAsia="宋体" w:cs="宋体"/>
          <w:bCs/>
          <w:color w:val="000000"/>
          <w:sz w:val="24"/>
          <w:szCs w:val="24"/>
        </w:rPr>
        <w:tab/>
      </w:r>
      <w:r>
        <w:rPr>
          <w:rFonts w:hint="eastAsia" w:ascii="宋体" w:hAnsi="宋体" w:eastAsia="宋体" w:cs="宋体"/>
          <w:bCs/>
          <w:color w:val="000000"/>
          <w:sz w:val="24"/>
          <w:szCs w:val="24"/>
        </w:rPr>
        <w:t>17</w:t>
      </w:r>
    </w:p>
    <w:p>
      <w:pPr>
        <w:pStyle w:val="14"/>
        <w:tabs>
          <w:tab w:val="right" w:leader="dot" w:pos="8958"/>
        </w:tabs>
        <w:snapToGrid w:val="0"/>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六、评 标</w:t>
      </w:r>
      <w:r>
        <w:rPr>
          <w:rFonts w:hint="eastAsia" w:ascii="宋体" w:hAnsi="宋体" w:eastAsia="宋体" w:cs="宋体"/>
          <w:bCs/>
          <w:color w:val="000000"/>
          <w:sz w:val="24"/>
          <w:szCs w:val="24"/>
        </w:rPr>
        <w:tab/>
      </w:r>
      <w:r>
        <w:rPr>
          <w:rFonts w:hint="eastAsia" w:ascii="宋体" w:hAnsi="宋体" w:eastAsia="宋体" w:cs="宋体"/>
          <w:bCs/>
          <w:color w:val="000000"/>
          <w:sz w:val="24"/>
          <w:szCs w:val="24"/>
        </w:rPr>
        <w:t>1</w:t>
      </w:r>
      <w:r>
        <w:rPr>
          <w:rFonts w:hint="eastAsia" w:cs="宋体"/>
          <w:bCs/>
          <w:color w:val="000000"/>
          <w:sz w:val="24"/>
          <w:szCs w:val="24"/>
          <w:lang w:val="en-US" w:eastAsia="zh-CN"/>
        </w:rPr>
        <w:t>9</w:t>
      </w:r>
    </w:p>
    <w:p>
      <w:pPr>
        <w:pStyle w:val="14"/>
        <w:tabs>
          <w:tab w:val="right" w:leader="dot" w:pos="8958"/>
        </w:tabs>
        <w:snapToGrid w:val="0"/>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七、合同签订及其他</w:t>
      </w:r>
      <w:r>
        <w:rPr>
          <w:rFonts w:hint="eastAsia" w:ascii="宋体" w:hAnsi="宋体" w:eastAsia="宋体" w:cs="宋体"/>
          <w:bCs/>
          <w:color w:val="000000"/>
          <w:sz w:val="24"/>
          <w:szCs w:val="24"/>
        </w:rPr>
        <w:tab/>
      </w:r>
      <w:r>
        <w:rPr>
          <w:rFonts w:hint="eastAsia" w:ascii="宋体" w:hAnsi="宋体" w:eastAsia="宋体" w:cs="宋体"/>
          <w:bCs/>
          <w:color w:val="000000"/>
          <w:sz w:val="24"/>
          <w:szCs w:val="24"/>
        </w:rPr>
        <w:t>2</w:t>
      </w:r>
      <w:r>
        <w:rPr>
          <w:rFonts w:hint="eastAsia" w:cs="宋体"/>
          <w:bCs/>
          <w:color w:val="000000"/>
          <w:sz w:val="24"/>
          <w:szCs w:val="24"/>
          <w:lang w:val="en-US" w:eastAsia="zh-CN"/>
        </w:rPr>
        <w:t>6</w:t>
      </w:r>
    </w:p>
    <w:p>
      <w:pPr>
        <w:pStyle w:val="14"/>
        <w:tabs>
          <w:tab w:val="right" w:leader="dot" w:pos="8958"/>
        </w:tabs>
        <w:snapToGrid w:val="0"/>
        <w:spacing w:line="360" w:lineRule="auto"/>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rPr>
        <w:t>第三部分  项目技术规范和服务要求</w:t>
      </w:r>
      <w:r>
        <w:rPr>
          <w:rFonts w:hint="eastAsia" w:ascii="宋体" w:hAnsi="宋体" w:eastAsia="宋体" w:cs="宋体"/>
          <w:bCs/>
          <w:color w:val="000000"/>
          <w:sz w:val="24"/>
          <w:szCs w:val="24"/>
        </w:rPr>
        <w:tab/>
      </w:r>
      <w:r>
        <w:rPr>
          <w:rFonts w:hint="eastAsia" w:cs="宋体"/>
          <w:bCs/>
          <w:color w:val="000000"/>
          <w:sz w:val="24"/>
          <w:szCs w:val="24"/>
          <w:lang w:val="en-US" w:eastAsia="zh-CN"/>
        </w:rPr>
        <w:t>29</w:t>
      </w:r>
    </w:p>
    <w:p>
      <w:pPr>
        <w:pStyle w:val="14"/>
        <w:tabs>
          <w:tab w:val="right" w:leader="dot" w:pos="8958"/>
        </w:tabs>
        <w:snapToGrid w:val="0"/>
        <w:spacing w:line="360" w:lineRule="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rPr>
        <w:t>第四部分  合同主要条款</w:t>
      </w:r>
      <w:r>
        <w:rPr>
          <w:rFonts w:hint="eastAsia" w:ascii="宋体" w:hAnsi="宋体" w:eastAsia="宋体" w:cs="宋体"/>
          <w:bCs/>
          <w:color w:val="000000"/>
          <w:sz w:val="24"/>
          <w:szCs w:val="24"/>
        </w:rPr>
        <w:tab/>
      </w:r>
      <w:r>
        <w:rPr>
          <w:rFonts w:hint="eastAsia" w:ascii="宋体" w:hAnsi="宋体" w:eastAsia="宋体" w:cs="宋体"/>
          <w:bCs/>
          <w:color w:val="000000"/>
          <w:sz w:val="24"/>
          <w:szCs w:val="24"/>
        </w:rPr>
        <w:t>3</w:t>
      </w:r>
      <w:r>
        <w:rPr>
          <w:rFonts w:hint="eastAsia" w:cs="宋体"/>
          <w:bCs/>
          <w:color w:val="000000"/>
          <w:sz w:val="24"/>
          <w:szCs w:val="24"/>
          <w:lang w:val="en-US" w:eastAsia="zh-CN"/>
        </w:rPr>
        <w:t>5</w:t>
      </w:r>
    </w:p>
    <w:p>
      <w:pPr>
        <w:pStyle w:val="14"/>
        <w:tabs>
          <w:tab w:val="right" w:leader="dot" w:pos="8958"/>
        </w:tabs>
        <w:snapToGrid w:val="0"/>
        <w:spacing w:line="360" w:lineRule="auto"/>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rPr>
        <w:t>第五部分  应提交的有关格式范例</w:t>
      </w:r>
      <w:r>
        <w:rPr>
          <w:rFonts w:hint="eastAsia" w:ascii="宋体" w:hAnsi="宋体" w:eastAsia="宋体" w:cs="宋体"/>
          <w:bCs/>
          <w:color w:val="000000"/>
          <w:sz w:val="24"/>
          <w:szCs w:val="24"/>
        </w:rPr>
        <w:tab/>
      </w:r>
      <w:r>
        <w:rPr>
          <w:rFonts w:hint="eastAsia" w:cs="宋体"/>
          <w:bCs/>
          <w:color w:val="000000"/>
          <w:sz w:val="24"/>
          <w:szCs w:val="24"/>
          <w:lang w:val="en-US" w:eastAsia="zh-CN"/>
        </w:rPr>
        <w:t>41</w:t>
      </w:r>
    </w:p>
    <w:p>
      <w:pPr>
        <w:pStyle w:val="14"/>
        <w:tabs>
          <w:tab w:val="right" w:leader="dot" w:pos="8958"/>
        </w:tabs>
        <w:snapToGrid w:val="0"/>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资格文件</w:t>
      </w:r>
      <w:r>
        <w:rPr>
          <w:rFonts w:hint="eastAsia" w:ascii="宋体" w:hAnsi="宋体" w:eastAsia="宋体" w:cs="宋体"/>
          <w:bCs/>
          <w:color w:val="000000"/>
          <w:sz w:val="24"/>
          <w:szCs w:val="24"/>
        </w:rPr>
        <w:tab/>
      </w:r>
      <w:r>
        <w:rPr>
          <w:rFonts w:hint="eastAsia" w:ascii="宋体" w:hAnsi="宋体" w:eastAsia="宋体" w:cs="宋体"/>
          <w:bCs/>
          <w:color w:val="000000"/>
          <w:sz w:val="24"/>
          <w:szCs w:val="24"/>
        </w:rPr>
        <w:t>4</w:t>
      </w:r>
      <w:r>
        <w:rPr>
          <w:rFonts w:hint="eastAsia" w:cs="宋体"/>
          <w:bCs/>
          <w:color w:val="000000"/>
          <w:sz w:val="24"/>
          <w:szCs w:val="24"/>
          <w:lang w:val="en-US" w:eastAsia="zh-CN"/>
        </w:rPr>
        <w:t>2</w:t>
      </w:r>
    </w:p>
    <w:p>
      <w:pPr>
        <w:pStyle w:val="14"/>
        <w:tabs>
          <w:tab w:val="right" w:leader="dot" w:pos="8958"/>
        </w:tabs>
        <w:snapToGrid w:val="0"/>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报价文件</w:t>
      </w:r>
      <w:r>
        <w:rPr>
          <w:rFonts w:hint="eastAsia" w:ascii="宋体" w:hAnsi="宋体" w:eastAsia="宋体" w:cs="宋体"/>
          <w:bCs/>
          <w:color w:val="000000"/>
          <w:sz w:val="24"/>
          <w:szCs w:val="24"/>
        </w:rPr>
        <w:tab/>
      </w:r>
      <w:r>
        <w:rPr>
          <w:rFonts w:hint="eastAsia" w:ascii="宋体" w:hAnsi="宋体" w:eastAsia="宋体" w:cs="宋体"/>
          <w:bCs/>
          <w:color w:val="000000"/>
          <w:sz w:val="24"/>
          <w:szCs w:val="24"/>
        </w:rPr>
        <w:t>4</w:t>
      </w:r>
      <w:r>
        <w:rPr>
          <w:rFonts w:hint="eastAsia" w:cs="宋体"/>
          <w:bCs/>
          <w:color w:val="000000"/>
          <w:sz w:val="24"/>
          <w:szCs w:val="24"/>
          <w:lang w:val="en-US" w:eastAsia="zh-CN"/>
        </w:rPr>
        <w:t>8</w:t>
      </w:r>
    </w:p>
    <w:p>
      <w:pPr>
        <w:pStyle w:val="14"/>
        <w:tabs>
          <w:tab w:val="right" w:leader="dot" w:pos="8958"/>
        </w:tabs>
        <w:snapToGrid w:val="0"/>
        <w:spacing w:line="360" w:lineRule="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商务技术文件</w:t>
      </w:r>
      <w:r>
        <w:rPr>
          <w:rFonts w:hint="eastAsia" w:ascii="宋体" w:hAnsi="宋体" w:eastAsia="宋体" w:cs="宋体"/>
          <w:bCs/>
          <w:color w:val="000000"/>
          <w:sz w:val="24"/>
          <w:szCs w:val="24"/>
        </w:rPr>
        <w:tab/>
      </w:r>
      <w:r>
        <w:rPr>
          <w:rFonts w:hint="eastAsia" w:ascii="宋体" w:hAnsi="宋体" w:eastAsia="宋体" w:cs="宋体"/>
          <w:bCs/>
          <w:color w:val="000000"/>
          <w:sz w:val="24"/>
          <w:szCs w:val="24"/>
        </w:rPr>
        <w:t>5</w:t>
      </w:r>
      <w:r>
        <w:rPr>
          <w:rFonts w:hint="eastAsia" w:cs="宋体"/>
          <w:bCs/>
          <w:color w:val="000000"/>
          <w:sz w:val="24"/>
          <w:szCs w:val="24"/>
          <w:lang w:val="en-US" w:eastAsia="zh-CN"/>
        </w:rPr>
        <w:t>6</w:t>
      </w:r>
    </w:p>
    <w:p>
      <w:pPr>
        <w:shd w:val="clear" w:color="auto" w:fill="FFFFFF"/>
        <w:tabs>
          <w:tab w:val="right" w:leader="dot" w:pos="8296"/>
        </w:tabs>
        <w:snapToGrid w:val="0"/>
        <w:spacing w:line="360" w:lineRule="auto"/>
        <w:jc w:val="center"/>
        <w:rPr>
          <w:rFonts w:hint="eastAsia" w:ascii="宋体" w:hAnsi="宋体" w:eastAsia="宋体" w:cs="宋体"/>
          <w:color w:val="000000"/>
          <w:sz w:val="24"/>
        </w:rPr>
      </w:pPr>
    </w:p>
    <w:p>
      <w:pPr>
        <w:pageBreakBefore/>
        <w:shd w:val="clear" w:color="auto" w:fill="FFFFFF"/>
        <w:snapToGrid w:val="0"/>
        <w:spacing w:line="360" w:lineRule="auto"/>
        <w:jc w:val="center"/>
        <w:outlineLvl w:val="0"/>
        <w:rPr>
          <w:rFonts w:hint="eastAsia" w:ascii="宋体" w:hAnsi="宋体" w:eastAsia="宋体" w:cs="宋体"/>
          <w:b/>
          <w:bCs/>
          <w:color w:val="000000"/>
          <w:sz w:val="24"/>
        </w:rPr>
      </w:pPr>
      <w:bookmarkStart w:id="0" w:name="_Toc354996693"/>
      <w:bookmarkStart w:id="1" w:name="_Toc33194385"/>
      <w:r>
        <w:rPr>
          <w:rFonts w:hint="eastAsia" w:ascii="宋体" w:hAnsi="宋体" w:eastAsia="宋体" w:cs="宋体"/>
          <w:b/>
          <w:bCs/>
          <w:color w:val="000000"/>
          <w:sz w:val="24"/>
        </w:rPr>
        <w:t>第一部分  招标公告</w:t>
      </w:r>
      <w:bookmarkEnd w:id="0"/>
      <w:bookmarkEnd w:id="1"/>
    </w:p>
    <w:p>
      <w:pPr>
        <w:shd w:val="clear" w:color="auto" w:fill="FFFFFF"/>
        <w:snapToGrid w:val="0"/>
        <w:spacing w:line="360" w:lineRule="auto"/>
        <w:textAlignment w:val="bottom"/>
        <w:rPr>
          <w:rFonts w:hint="eastAsia" w:ascii="宋体" w:hAnsi="宋体" w:eastAsia="宋体" w:cs="宋体"/>
          <w:color w:val="000000"/>
          <w:sz w:val="24"/>
          <w:lang w:val="en-US" w:eastAsia="zh-CN"/>
        </w:rPr>
      </w:pPr>
      <w:r>
        <w:rPr>
          <w:rFonts w:hint="eastAsia" w:ascii="宋体" w:hAnsi="宋体" w:eastAsia="宋体" w:cs="宋体"/>
          <w:color w:val="000000"/>
          <w:sz w:val="24"/>
        </w:rPr>
        <w:t xml:space="preserve">     根据《中华人民共和国政府采购法》、《政府采购货物和服务招标投标管理办法》等规定，经杭州市余杭区财政局余财采确临</w:t>
      </w:r>
      <w:r>
        <w:rPr>
          <w:rFonts w:hint="eastAsia" w:ascii="宋体" w:hAnsi="宋体" w:eastAsia="宋体" w:cs="宋体"/>
          <w:color w:val="000000"/>
          <w:sz w:val="24"/>
          <w:lang w:val="en-US" w:eastAsia="zh-CN"/>
        </w:rPr>
        <w:t>[2020]2202号</w:t>
      </w:r>
      <w:r>
        <w:rPr>
          <w:rFonts w:hint="eastAsia" w:ascii="宋体" w:hAnsi="宋体" w:eastAsia="宋体" w:cs="宋体"/>
          <w:color w:val="000000"/>
          <w:sz w:val="24"/>
        </w:rPr>
        <w:t>确认书批准，现就</w:t>
      </w:r>
      <w:r>
        <w:rPr>
          <w:rFonts w:hint="eastAsia" w:ascii="宋体" w:hAnsi="宋体" w:eastAsia="宋体" w:cs="宋体"/>
          <w:color w:val="000000"/>
          <w:sz w:val="24"/>
          <w:lang w:eastAsia="zh-CN"/>
        </w:rPr>
        <w:t>杭州市余杭区人民政府</w:t>
      </w:r>
      <w:r>
        <w:rPr>
          <w:rFonts w:hint="eastAsia" w:cs="宋体"/>
          <w:color w:val="000000"/>
          <w:sz w:val="24"/>
          <w:lang w:eastAsia="zh-CN"/>
        </w:rPr>
        <w:t>仁和街道办事处</w:t>
      </w:r>
      <w:r>
        <w:rPr>
          <w:rFonts w:hint="eastAsia" w:ascii="宋体" w:hAnsi="宋体" w:eastAsia="宋体" w:cs="宋体"/>
          <w:color w:val="000000"/>
          <w:sz w:val="24"/>
          <w:lang w:eastAsia="zh-CN"/>
        </w:rPr>
        <w:t>仁和街道高新农业开发区易腐垃圾集中处置设备采购项目</w:t>
      </w:r>
      <w:r>
        <w:rPr>
          <w:rFonts w:hint="eastAsia" w:ascii="宋体" w:hAnsi="宋体" w:eastAsia="宋体" w:cs="宋体"/>
          <w:color w:val="000000"/>
          <w:sz w:val="24"/>
        </w:rPr>
        <w:t>进行公开招标（线上电子招投标），欢迎国内合格的供应商前来参加。</w:t>
      </w:r>
      <w:r>
        <w:rPr>
          <w:rFonts w:hint="eastAsia" w:ascii="宋体" w:hAnsi="宋体" w:eastAsia="宋体" w:cs="宋体"/>
          <w:color w:val="000000"/>
          <w:sz w:val="24"/>
          <w:lang w:val="en-US" w:eastAsia="zh-CN"/>
        </w:rPr>
        <w:t xml:space="preserve"> </w:t>
      </w:r>
    </w:p>
    <w:p>
      <w:pPr>
        <w:keepNext w:val="0"/>
        <w:keepLines w:val="0"/>
        <w:pageBreakBefore w:val="0"/>
        <w:widowControl w:val="0"/>
        <w:shd w:val="clear" w:color="auto" w:fill="FFFFFF"/>
        <w:kinsoku/>
        <w:wordWrap/>
        <w:overflowPunct/>
        <w:topLinePunct w:val="0"/>
        <w:autoSpaceDE w:val="0"/>
        <w:autoSpaceDN w:val="0"/>
        <w:bidi w:val="0"/>
        <w:adjustRightInd/>
        <w:snapToGrid w:val="0"/>
        <w:spacing w:line="360" w:lineRule="auto"/>
        <w:ind w:firstLine="482" w:firstLineChars="200"/>
        <w:textAlignment w:val="bottom"/>
        <w:rPr>
          <w:rFonts w:hint="eastAsia" w:ascii="宋体" w:hAnsi="宋体" w:eastAsia="宋体" w:cs="宋体"/>
          <w:b/>
          <w:color w:val="000000"/>
          <w:sz w:val="24"/>
          <w:highlight w:val="none"/>
        </w:rPr>
      </w:pPr>
      <w:r>
        <w:rPr>
          <w:rFonts w:hint="eastAsia" w:ascii="宋体" w:hAnsi="宋体" w:eastAsia="宋体" w:cs="宋体"/>
          <w:b/>
          <w:color w:val="000000"/>
          <w:kern w:val="0"/>
          <w:sz w:val="24"/>
          <w:highlight w:val="none"/>
        </w:rPr>
        <w:t>一、项目名称：</w:t>
      </w:r>
      <w:r>
        <w:rPr>
          <w:rFonts w:hint="eastAsia" w:ascii="宋体" w:hAnsi="宋体" w:eastAsia="宋体" w:cs="宋体"/>
          <w:color w:val="000000"/>
          <w:kern w:val="0"/>
          <w:sz w:val="24"/>
          <w:lang w:eastAsia="zh-CN"/>
        </w:rPr>
        <w:t>仁和街道高新农业开发区易腐垃圾集中处置设备采购项目</w:t>
      </w:r>
    </w:p>
    <w:p>
      <w:pPr>
        <w:keepNext w:val="0"/>
        <w:keepLines w:val="0"/>
        <w:pageBreakBefore w:val="0"/>
        <w:widowControl w:val="0"/>
        <w:kinsoku/>
        <w:wordWrap/>
        <w:overflowPunct/>
        <w:topLinePunct w:val="0"/>
        <w:autoSpaceDE w:val="0"/>
        <w:autoSpaceDN w:val="0"/>
        <w:bidi w:val="0"/>
        <w:adjustRightInd/>
        <w:spacing w:line="360" w:lineRule="auto"/>
        <w:ind w:firstLine="482" w:firstLineChars="200"/>
        <w:rPr>
          <w:rFonts w:hint="eastAsia" w:ascii="宋体" w:hAnsi="宋体" w:eastAsia="宋体" w:cs="宋体"/>
          <w:bCs/>
          <w:color w:val="000000"/>
          <w:sz w:val="24"/>
        </w:rPr>
      </w:pPr>
      <w:r>
        <w:rPr>
          <w:rFonts w:hint="eastAsia" w:ascii="宋体" w:hAnsi="宋体" w:eastAsia="宋体" w:cs="宋体"/>
          <w:b/>
          <w:color w:val="000000"/>
          <w:sz w:val="24"/>
        </w:rPr>
        <w:t>二、招标编号：</w:t>
      </w:r>
      <w:r>
        <w:rPr>
          <w:rFonts w:hint="eastAsia" w:ascii="宋体" w:hAnsi="宋体" w:eastAsia="宋体" w:cs="宋体"/>
          <w:color w:val="000000"/>
          <w:kern w:val="0"/>
          <w:sz w:val="24"/>
          <w:lang w:val="en-US" w:eastAsia="zh-CN"/>
        </w:rPr>
        <w:t xml:space="preserve">ZJZFCG-HS2020-005 </w:t>
      </w:r>
      <w:r>
        <w:rPr>
          <w:rFonts w:hint="eastAsia" w:ascii="宋体" w:hAnsi="宋体" w:eastAsia="宋体" w:cs="宋体"/>
          <w:sz w:val="28"/>
          <w:lang w:val="en-US" w:eastAsia="zh-CN"/>
        </w:rPr>
        <w:t xml:space="preserve"> </w:t>
      </w:r>
    </w:p>
    <w:p>
      <w:pPr>
        <w:keepNext w:val="0"/>
        <w:keepLines w:val="0"/>
        <w:pageBreakBefore w:val="0"/>
        <w:widowControl w:val="0"/>
        <w:shd w:val="clear" w:color="auto" w:fill="FFFFFF"/>
        <w:kinsoku/>
        <w:wordWrap/>
        <w:overflowPunct/>
        <w:topLinePunct w:val="0"/>
        <w:autoSpaceDE w:val="0"/>
        <w:autoSpaceDN w:val="0"/>
        <w:bidi w:val="0"/>
        <w:adjustRightInd/>
        <w:snapToGrid w:val="0"/>
        <w:spacing w:line="360" w:lineRule="auto"/>
        <w:ind w:firstLine="482" w:firstLineChars="200"/>
        <w:rPr>
          <w:rFonts w:hint="eastAsia" w:ascii="宋体" w:hAnsi="宋体" w:eastAsia="宋体" w:cs="宋体"/>
          <w:color w:val="000000"/>
          <w:kern w:val="0"/>
          <w:sz w:val="24"/>
        </w:rPr>
      </w:pPr>
      <w:r>
        <w:rPr>
          <w:rFonts w:hint="eastAsia" w:ascii="宋体" w:hAnsi="宋体" w:eastAsia="宋体" w:cs="宋体"/>
          <w:b/>
          <w:color w:val="000000"/>
          <w:sz w:val="24"/>
        </w:rPr>
        <w:t>三、采购组织类型：</w:t>
      </w:r>
      <w:r>
        <w:rPr>
          <w:rFonts w:hint="eastAsia" w:ascii="宋体" w:hAnsi="宋体" w:eastAsia="宋体" w:cs="宋体"/>
          <w:color w:val="000000"/>
          <w:kern w:val="0"/>
          <w:sz w:val="24"/>
        </w:rPr>
        <w:t xml:space="preserve">分散采购委托代理 </w:t>
      </w:r>
    </w:p>
    <w:p>
      <w:pPr>
        <w:keepNext w:val="0"/>
        <w:keepLines w:val="0"/>
        <w:pageBreakBefore w:val="0"/>
        <w:widowControl w:val="0"/>
        <w:shd w:val="clear" w:color="auto" w:fill="FFFFFF"/>
        <w:kinsoku/>
        <w:wordWrap/>
        <w:overflowPunct/>
        <w:topLinePunct w:val="0"/>
        <w:autoSpaceDE w:val="0"/>
        <w:autoSpaceDN w:val="0"/>
        <w:bidi w:val="0"/>
        <w:adjustRightInd/>
        <w:snapToGrid w:val="0"/>
        <w:spacing w:line="360" w:lineRule="auto"/>
        <w:ind w:firstLine="482" w:firstLineChars="200"/>
        <w:rPr>
          <w:rFonts w:hint="eastAsia" w:ascii="宋体" w:hAnsi="宋体" w:eastAsia="宋体" w:cs="宋体"/>
          <w:color w:val="000000"/>
          <w:kern w:val="0"/>
          <w:sz w:val="24"/>
        </w:rPr>
      </w:pPr>
      <w:r>
        <w:rPr>
          <w:rFonts w:hint="eastAsia" w:ascii="宋体" w:hAnsi="宋体" w:eastAsia="宋体" w:cs="宋体"/>
          <w:b/>
          <w:bCs/>
          <w:color w:val="000000"/>
          <w:kern w:val="0"/>
          <w:sz w:val="24"/>
        </w:rPr>
        <w:t>四、采购方式：</w:t>
      </w:r>
      <w:r>
        <w:rPr>
          <w:rFonts w:hint="eastAsia" w:ascii="宋体" w:hAnsi="宋体" w:eastAsia="宋体" w:cs="宋体"/>
          <w:color w:val="000000"/>
          <w:kern w:val="0"/>
          <w:sz w:val="24"/>
        </w:rPr>
        <w:t>公开招标</w:t>
      </w:r>
    </w:p>
    <w:p>
      <w:pPr>
        <w:widowControl/>
        <w:snapToGri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lang w:val="en-US" w:eastAsia="zh-CN"/>
        </w:rPr>
        <w:t>五</w:t>
      </w:r>
      <w:r>
        <w:rPr>
          <w:rFonts w:hint="eastAsia" w:ascii="宋体" w:hAnsi="宋体" w:eastAsia="宋体" w:cs="宋体"/>
          <w:b/>
          <w:color w:val="000000"/>
          <w:sz w:val="24"/>
        </w:rPr>
        <w:t>、招标项目概况（内容、用途、数量、简要技术要求等）：</w:t>
      </w:r>
    </w:p>
    <w:tbl>
      <w:tblPr>
        <w:tblStyle w:val="16"/>
        <w:tblW w:w="9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958"/>
        <w:gridCol w:w="535"/>
        <w:gridCol w:w="628"/>
        <w:gridCol w:w="1190"/>
        <w:gridCol w:w="2551"/>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1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195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标项内容</w:t>
            </w:r>
          </w:p>
        </w:tc>
        <w:tc>
          <w:tcPr>
            <w:tcW w:w="5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数量</w:t>
            </w:r>
          </w:p>
        </w:tc>
        <w:tc>
          <w:tcPr>
            <w:tcW w:w="62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单位</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预算金额（万元）</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简要技术要求、用途</w:t>
            </w:r>
          </w:p>
        </w:tc>
        <w:tc>
          <w:tcPr>
            <w:tcW w:w="157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6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195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仁和街道高新农业开发区易腐垃圾集中处置设备采购项目</w:t>
            </w:r>
          </w:p>
        </w:tc>
        <w:tc>
          <w:tcPr>
            <w:tcW w:w="5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62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项</w:t>
            </w:r>
          </w:p>
        </w:tc>
        <w:tc>
          <w:tcPr>
            <w:tcW w:w="1190" w:type="dxa"/>
            <w:tcBorders>
              <w:top w:val="single" w:color="auto" w:sz="4" w:space="0"/>
              <w:left w:val="single" w:color="auto" w:sz="4" w:space="0"/>
              <w:bottom w:val="single" w:color="auto" w:sz="4" w:space="0"/>
              <w:right w:val="single" w:color="auto" w:sz="4" w:space="0"/>
            </w:tcBorders>
            <w:vAlign w:val="center"/>
          </w:tcPr>
          <w:p>
            <w:pPr>
              <w:pStyle w:val="26"/>
              <w:snapToGrid w:val="0"/>
              <w:spacing w:before="0"/>
              <w:ind w:firstLine="0" w:firstLineChars="0"/>
              <w:jc w:val="center"/>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 xml:space="preserve">  800</w:t>
            </w:r>
          </w:p>
        </w:tc>
        <w:tc>
          <w:tcPr>
            <w:tcW w:w="2551" w:type="dxa"/>
            <w:tcBorders>
              <w:top w:val="single" w:color="auto" w:sz="4" w:space="0"/>
              <w:left w:val="single" w:color="auto" w:sz="4" w:space="0"/>
              <w:bottom w:val="single" w:color="auto" w:sz="4" w:space="0"/>
            </w:tcBorders>
            <w:vAlign w:val="center"/>
          </w:tcPr>
          <w:p>
            <w:pPr>
              <w:shd w:val="clear" w:color="auto" w:fill="FFFFFF"/>
              <w:snapToGrid w:val="0"/>
              <w:spacing w:line="360" w:lineRule="auto"/>
              <w:rPr>
                <w:rFonts w:hint="eastAsia" w:ascii="宋体" w:hAnsi="宋体" w:eastAsia="宋体" w:cs="宋体"/>
                <w:color w:val="000000"/>
                <w:sz w:val="24"/>
                <w:lang w:val="en-US" w:eastAsia="zh-CN"/>
              </w:rPr>
            </w:pPr>
            <w:r>
              <w:rPr>
                <w:rFonts w:hint="eastAsia" w:ascii="宋体" w:hAnsi="宋体" w:eastAsia="宋体" w:cs="宋体"/>
                <w:sz w:val="21"/>
                <w:szCs w:val="21"/>
              </w:rPr>
              <w:t>本项目为</w:t>
            </w:r>
            <w:r>
              <w:rPr>
                <w:rFonts w:hint="eastAsia" w:ascii="宋体" w:hAnsi="宋体" w:eastAsia="宋体" w:cs="宋体"/>
                <w:sz w:val="21"/>
                <w:szCs w:val="21"/>
                <w:lang w:eastAsia="zh-CN"/>
              </w:rPr>
              <w:t>杭州市余杭区人民政府</w:t>
            </w:r>
            <w:r>
              <w:rPr>
                <w:rFonts w:hint="eastAsia" w:cs="宋体"/>
                <w:sz w:val="21"/>
                <w:szCs w:val="21"/>
                <w:lang w:eastAsia="zh-CN"/>
              </w:rPr>
              <w:t>仁和街道办事处</w:t>
            </w:r>
            <w:r>
              <w:rPr>
                <w:rFonts w:hint="eastAsia" w:ascii="宋体" w:hAnsi="宋体" w:eastAsia="宋体" w:cs="宋体"/>
                <w:color w:val="000000"/>
                <w:sz w:val="21"/>
                <w:szCs w:val="21"/>
                <w:lang w:eastAsia="zh-CN"/>
              </w:rPr>
              <w:t>高新农业开发区易腐垃圾集中处置设备</w:t>
            </w:r>
            <w:r>
              <w:rPr>
                <w:rFonts w:hint="eastAsia" w:ascii="宋体" w:hAnsi="宋体" w:eastAsia="宋体" w:cs="宋体"/>
                <w:sz w:val="21"/>
                <w:szCs w:val="21"/>
              </w:rPr>
              <w:t>的采购、运输、安装、调试、培训和相关维护等</w:t>
            </w:r>
            <w:r>
              <w:rPr>
                <w:rFonts w:hint="eastAsia" w:ascii="宋体" w:hAnsi="宋体" w:eastAsia="宋体" w:cs="宋体"/>
                <w:sz w:val="21"/>
                <w:szCs w:val="21"/>
                <w:lang w:val="en-US" w:eastAsia="zh-CN"/>
              </w:rPr>
              <w:t>以及易腐垃圾废弃物的3年外运服务。</w:t>
            </w:r>
          </w:p>
        </w:tc>
        <w:tc>
          <w:tcPr>
            <w:tcW w:w="1572" w:type="dxa"/>
            <w:vAlign w:val="center"/>
          </w:tcPr>
          <w:p>
            <w:pPr>
              <w:widowControl/>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详见招标文件第三部分“项目技术规范和服务要求”。</w:t>
            </w:r>
          </w:p>
        </w:tc>
      </w:tr>
    </w:tbl>
    <w:p>
      <w:pPr>
        <w:widowControl/>
        <w:snapToGrid w:val="0"/>
        <w:spacing w:line="360" w:lineRule="auto"/>
        <w:ind w:firstLine="482" w:firstLineChars="200"/>
        <w:rPr>
          <w:rFonts w:hint="eastAsia" w:ascii="宋体" w:hAnsi="宋体" w:eastAsia="宋体" w:cs="宋体"/>
          <w:b/>
          <w:color w:val="000000"/>
          <w:sz w:val="24"/>
        </w:rPr>
      </w:pPr>
      <w:bookmarkStart w:id="2" w:name="_Hlk33175756"/>
      <w:r>
        <w:rPr>
          <w:rFonts w:hint="eastAsia" w:ascii="宋体" w:hAnsi="宋体" w:eastAsia="宋体" w:cs="宋体"/>
          <w:b/>
          <w:color w:val="000000"/>
          <w:sz w:val="24"/>
        </w:rPr>
        <w:t>▲</w:t>
      </w:r>
      <w:r>
        <w:rPr>
          <w:rFonts w:hint="eastAsia" w:ascii="宋体" w:hAnsi="宋体" w:eastAsia="宋体" w:cs="宋体"/>
          <w:b/>
          <w:color w:val="000000"/>
          <w:sz w:val="24"/>
          <w:lang w:val="en-US" w:eastAsia="zh-CN"/>
        </w:rPr>
        <w:t>六</w:t>
      </w:r>
      <w:r>
        <w:rPr>
          <w:rFonts w:hint="eastAsia" w:ascii="宋体" w:hAnsi="宋体" w:eastAsia="宋体" w:cs="宋体"/>
          <w:b/>
          <w:color w:val="000000"/>
          <w:sz w:val="24"/>
        </w:rPr>
        <w:t>、投标供应商资格要求：</w:t>
      </w: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1、符合《中华人民共和国政府采购法》第二十二条的规定：</w:t>
      </w: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（1）具有独立承担民事责任的能力；</w:t>
      </w: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（2）具有良好的商业信誉和健全的财务会计制度；</w:t>
      </w: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（3）具有履行合同所必需的场地、设备和专业技术能力；</w:t>
      </w: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（4）有依法缴纳税收和社会保障资金的良好记录；</w:t>
      </w: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（5）参加政府采购活动前三年内，在经营活动中没有重大违法记录；</w:t>
      </w:r>
    </w:p>
    <w:p>
      <w:pPr>
        <w:pStyle w:val="30"/>
        <w:snapToGrid w:val="0"/>
        <w:spacing w:line="360" w:lineRule="auto"/>
        <w:rPr>
          <w:rFonts w:hint="eastAsia" w:ascii="宋体" w:hAnsi="宋体" w:eastAsia="宋体" w:cs="宋体"/>
          <w:color w:val="000000"/>
        </w:rPr>
      </w:pPr>
      <w:r>
        <w:rPr>
          <w:rFonts w:hint="eastAsia" w:ascii="宋体" w:hAnsi="宋体" w:eastAsia="宋体" w:cs="宋体"/>
          <w:color w:val="000000"/>
        </w:rPr>
        <w:t>窗体顶端</w:t>
      </w: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2、投标供应商特定资格条件：</w:t>
      </w:r>
    </w:p>
    <w:p>
      <w:pPr>
        <w:pStyle w:val="31"/>
        <w:snapToGrid w:val="0"/>
        <w:spacing w:line="360" w:lineRule="auto"/>
        <w:rPr>
          <w:rFonts w:hint="eastAsia" w:ascii="宋体" w:hAnsi="宋体" w:eastAsia="宋体" w:cs="宋体"/>
          <w:color w:val="000000"/>
        </w:rPr>
      </w:pPr>
      <w:r>
        <w:rPr>
          <w:rFonts w:hint="eastAsia" w:ascii="宋体" w:hAnsi="宋体" w:eastAsia="宋体" w:cs="宋体"/>
          <w:color w:val="000000"/>
        </w:rPr>
        <w:t>窗体底端</w:t>
      </w:r>
    </w:p>
    <w:p>
      <w:pPr>
        <w:widowControl/>
        <w:numPr>
          <w:ilvl w:val="0"/>
          <w:numId w:val="2"/>
        </w:num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单位负责人为同一人或者存在直接控股、管理关系的不同供应商，不得参加同一合同项下的政府采购活动；</w:t>
      </w:r>
    </w:p>
    <w:p>
      <w:pPr>
        <w:widowControl/>
        <w:numPr>
          <w:ilvl w:val="0"/>
          <w:numId w:val="2"/>
        </w:num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供应商未被列入失信被执行人名单、重大税收违法案件当事人名单、政府采购严重违法失信行为记录名单，信用信息以信用中国网站（www.creditchina.gov.cn）、中国政府采购网（www.ccgp.gov.cn）公布为准；</w:t>
      </w:r>
    </w:p>
    <w:p>
      <w:pPr>
        <w:widowControl/>
        <w:numPr>
          <w:ilvl w:val="0"/>
          <w:numId w:val="2"/>
        </w:numPr>
        <w:snapToGrid w:val="0"/>
        <w:spacing w:line="360" w:lineRule="auto"/>
        <w:ind w:firstLine="456" w:firstLineChars="200"/>
        <w:rPr>
          <w:rFonts w:hint="eastAsia" w:ascii="宋体" w:hAnsi="宋体" w:eastAsia="宋体" w:cs="宋体"/>
          <w:color w:val="000000"/>
          <w:sz w:val="24"/>
        </w:rPr>
      </w:pPr>
      <w:r>
        <w:rPr>
          <w:rFonts w:hint="eastAsia" w:ascii="宋体" w:hAnsi="宋体" w:eastAsia="宋体" w:cs="宋体"/>
          <w:color w:val="000000"/>
          <w:spacing w:val="-6"/>
          <w:sz w:val="24"/>
        </w:rPr>
        <w:t>公益一类事业单位不属于政府购买服务的承接主体，不得参与承接购买服务；</w:t>
      </w:r>
    </w:p>
    <w:p>
      <w:pPr>
        <w:widowControl/>
        <w:snapToGrid w:val="0"/>
        <w:spacing w:line="360" w:lineRule="auto"/>
        <w:ind w:left="440" w:leftChars="200"/>
        <w:rPr>
          <w:rFonts w:hint="eastAsia" w:ascii="宋体" w:hAnsi="宋体" w:eastAsia="宋体" w:cs="宋体"/>
          <w:color w:val="000000"/>
          <w:sz w:val="24"/>
        </w:rPr>
      </w:pPr>
      <w:r>
        <w:rPr>
          <w:rFonts w:hint="eastAsia" w:ascii="宋体" w:hAnsi="宋体" w:eastAsia="宋体" w:cs="宋体"/>
          <w:color w:val="000000"/>
          <w:sz w:val="24"/>
        </w:rPr>
        <w:t>（4）本项目谢绝联合体投标。</w:t>
      </w:r>
    </w:p>
    <w:bookmarkEnd w:id="2"/>
    <w:p>
      <w:pPr>
        <w:widowControl/>
        <w:snapToGrid w:val="0"/>
        <w:spacing w:line="360" w:lineRule="auto"/>
        <w:ind w:firstLine="482" w:firstLineChars="200"/>
        <w:jc w:val="left"/>
        <w:rPr>
          <w:rFonts w:hint="eastAsia" w:ascii="宋体" w:hAnsi="宋体" w:eastAsia="宋体" w:cs="宋体"/>
          <w:b/>
          <w:color w:val="000000"/>
          <w:kern w:val="0"/>
          <w:sz w:val="24"/>
        </w:rPr>
      </w:pPr>
      <w:bookmarkStart w:id="3" w:name="_Toc354996694"/>
      <w:bookmarkStart w:id="4" w:name="_Toc33194386"/>
      <w:bookmarkStart w:id="5" w:name="_Toc225840107"/>
      <w:r>
        <w:rPr>
          <w:rFonts w:hint="eastAsia" w:ascii="宋体" w:hAnsi="宋体" w:eastAsia="宋体" w:cs="宋体"/>
          <w:b/>
          <w:color w:val="000000"/>
          <w:kern w:val="0"/>
          <w:sz w:val="24"/>
        </w:rPr>
        <w:t>七、招标文件的获取：</w:t>
      </w:r>
    </w:p>
    <w:p>
      <w:pPr>
        <w:spacing w:line="360" w:lineRule="auto"/>
        <w:ind w:firstLine="420"/>
        <w:rPr>
          <w:rFonts w:hint="eastAsia" w:ascii="宋体" w:hAnsi="宋体" w:eastAsia="宋体" w:cs="宋体"/>
          <w:color w:val="000000"/>
          <w:sz w:val="24"/>
        </w:rPr>
      </w:pPr>
      <w:r>
        <w:rPr>
          <w:rFonts w:hint="eastAsia" w:ascii="宋体" w:hAnsi="宋体" w:eastAsia="宋体" w:cs="宋体"/>
          <w:b/>
          <w:bCs/>
          <w:sz w:val="24"/>
        </w:rPr>
        <w:t>1、</w:t>
      </w:r>
      <w:r>
        <w:rPr>
          <w:rFonts w:hint="eastAsia" w:ascii="宋体" w:hAnsi="宋体" w:eastAsia="宋体" w:cs="宋体"/>
          <w:b/>
          <w:color w:val="000000"/>
          <w:sz w:val="24"/>
        </w:rPr>
        <w:t>本项目招标文件实行“政府采购云平台”在线获取，</w:t>
      </w:r>
      <w:r>
        <w:rPr>
          <w:rFonts w:hint="eastAsia" w:ascii="宋体" w:hAnsi="宋体" w:eastAsia="宋体" w:cs="宋体"/>
          <w:b/>
          <w:color w:val="000000"/>
          <w:kern w:val="0"/>
          <w:sz w:val="24"/>
        </w:rPr>
        <w:t>不提供招标文件纸质版</w:t>
      </w:r>
      <w:r>
        <w:rPr>
          <w:rFonts w:hint="eastAsia" w:ascii="宋体" w:hAnsi="宋体" w:eastAsia="宋体" w:cs="宋体"/>
          <w:b/>
          <w:color w:val="000000"/>
          <w:sz w:val="24"/>
        </w:rPr>
        <w:t>。供应商获取招标文件前应先完成“政府采购云平台”的账号注册同时办理CA领取；</w:t>
      </w:r>
    </w:p>
    <w:p>
      <w:pPr>
        <w:pStyle w:val="3"/>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2、地点：政采云平台（http://zfcg.czt.zj.gov.cn）；</w:t>
      </w:r>
    </w:p>
    <w:p>
      <w:pPr>
        <w:pStyle w:val="3"/>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3、方式：潜在供应商登陆政采云平台，在线申请获取招标文件（进入“项目采购”应用，在获取招标文件菜单中选择项目，申请获取招标文件</w:t>
      </w:r>
      <w:r>
        <w:rPr>
          <w:rFonts w:hint="eastAsia" w:ascii="宋体" w:hAnsi="宋体" w:eastAsia="宋体" w:cs="宋体"/>
          <w:b/>
          <w:bCs/>
          <w:color w:val="000000"/>
          <w:sz w:val="24"/>
        </w:rPr>
        <w:t>，本项目招标文件不收取工本费</w:t>
      </w:r>
      <w:r>
        <w:rPr>
          <w:rFonts w:hint="eastAsia" w:ascii="宋体" w:hAnsi="宋体" w:eastAsia="宋体" w:cs="宋体"/>
          <w:b/>
          <w:bCs/>
          <w:sz w:val="24"/>
        </w:rPr>
        <w:t>；</w:t>
      </w:r>
      <w:r>
        <w:rPr>
          <w:rFonts w:hint="eastAsia" w:ascii="宋体" w:hAnsi="宋体" w:eastAsia="宋体" w:cs="宋体"/>
          <w:b/>
          <w:bCs/>
          <w:sz w:val="24"/>
          <w:u w:val="single"/>
        </w:rPr>
        <w:t>仅需浏览招标文件的供应商可点击“游客，浏览招标文件”直接下载招标文件浏览</w:t>
      </w:r>
      <w:r>
        <w:rPr>
          <w:rFonts w:hint="eastAsia" w:ascii="宋体" w:hAnsi="宋体" w:eastAsia="宋体" w:cs="宋体"/>
          <w:b/>
          <w:bCs/>
          <w:sz w:val="24"/>
        </w:rPr>
        <w:t>）；</w:t>
      </w:r>
    </w:p>
    <w:p>
      <w:pPr>
        <w:widowControl/>
        <w:snapToGrid w:val="0"/>
        <w:spacing w:line="360" w:lineRule="auto"/>
        <w:ind w:firstLine="482" w:firstLineChars="200"/>
        <w:jc w:val="left"/>
        <w:rPr>
          <w:rFonts w:hint="eastAsia" w:ascii="宋体" w:hAnsi="宋体" w:eastAsia="宋体" w:cs="宋体"/>
          <w:b/>
          <w:color w:val="000000"/>
          <w:kern w:val="0"/>
          <w:sz w:val="24"/>
        </w:rPr>
      </w:pPr>
      <w:r>
        <w:rPr>
          <w:rFonts w:hint="eastAsia" w:ascii="宋体" w:hAnsi="宋体" w:eastAsia="宋体" w:cs="宋体"/>
          <w:b/>
          <w:color w:val="000000"/>
          <w:kern w:val="0"/>
          <w:sz w:val="24"/>
        </w:rPr>
        <w:t>4、供应商获取招标文件时须提交的文件资料：无；</w:t>
      </w:r>
    </w:p>
    <w:p>
      <w:pPr>
        <w:widowControl/>
        <w:snapToGrid w:val="0"/>
        <w:spacing w:line="360" w:lineRule="auto"/>
        <w:ind w:firstLine="482" w:firstLineChars="200"/>
        <w:jc w:val="left"/>
        <w:rPr>
          <w:rFonts w:hint="eastAsia" w:ascii="宋体" w:hAnsi="宋体" w:eastAsia="宋体" w:cs="宋体"/>
          <w:b/>
          <w:color w:val="000000"/>
          <w:kern w:val="0"/>
          <w:sz w:val="24"/>
        </w:rPr>
      </w:pPr>
      <w:r>
        <w:rPr>
          <w:rFonts w:hint="eastAsia" w:ascii="宋体" w:hAnsi="宋体" w:eastAsia="宋体" w:cs="宋体"/>
          <w:b/>
          <w:color w:val="000000"/>
          <w:kern w:val="0"/>
          <w:sz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widowControl/>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color w:val="000000"/>
          <w:kern w:val="0"/>
          <w:sz w:val="24"/>
        </w:rPr>
        <w:t>注：请供应商按上述要求获取招标文件，如未在“</w:t>
      </w:r>
      <w:r>
        <w:rPr>
          <w:rFonts w:hint="eastAsia" w:ascii="宋体" w:hAnsi="宋体" w:eastAsia="宋体" w:cs="宋体"/>
          <w:b/>
          <w:bCs/>
          <w:sz w:val="24"/>
        </w:rPr>
        <w:t>政采云”系统内完成相关流程，引起的投标无效责任自负。</w:t>
      </w:r>
    </w:p>
    <w:p>
      <w:pPr>
        <w:widowControl/>
        <w:snapToGrid w:val="0"/>
        <w:spacing w:line="360" w:lineRule="auto"/>
        <w:ind w:firstLine="482" w:firstLineChars="200"/>
        <w:jc w:val="left"/>
        <w:rPr>
          <w:rFonts w:hint="eastAsia" w:ascii="宋体" w:hAnsi="宋体" w:eastAsia="宋体" w:cs="宋体"/>
          <w:color w:val="000000"/>
          <w:kern w:val="0"/>
          <w:sz w:val="24"/>
        </w:rPr>
      </w:pPr>
      <w:r>
        <w:rPr>
          <w:rFonts w:hint="eastAsia" w:ascii="宋体" w:hAnsi="宋体" w:eastAsia="宋体" w:cs="宋体"/>
          <w:b/>
          <w:color w:val="000000"/>
          <w:kern w:val="0"/>
          <w:sz w:val="24"/>
        </w:rPr>
        <w:t>八、投标截止时间：</w:t>
      </w:r>
      <w:r>
        <w:rPr>
          <w:rFonts w:hint="eastAsia" w:ascii="宋体" w:hAnsi="宋体" w:eastAsia="宋体" w:cs="宋体"/>
          <w:color w:val="000000"/>
          <w:kern w:val="0"/>
          <w:sz w:val="24"/>
        </w:rPr>
        <w:t>2020年</w:t>
      </w:r>
      <w:r>
        <w:rPr>
          <w:rFonts w:hint="eastAsia" w:cs="宋体"/>
          <w:color w:val="000000"/>
          <w:kern w:val="0"/>
          <w:sz w:val="24"/>
          <w:lang w:val="en-US" w:eastAsia="zh-CN"/>
        </w:rPr>
        <w:t>5</w:t>
      </w:r>
      <w:r>
        <w:rPr>
          <w:rFonts w:hint="eastAsia" w:ascii="宋体" w:hAnsi="宋体" w:eastAsia="宋体" w:cs="宋体"/>
          <w:color w:val="000000"/>
          <w:kern w:val="0"/>
          <w:sz w:val="24"/>
        </w:rPr>
        <w:t>月</w:t>
      </w:r>
      <w:r>
        <w:rPr>
          <w:rFonts w:hint="eastAsia" w:cs="宋体"/>
          <w:color w:val="000000"/>
          <w:kern w:val="0"/>
          <w:sz w:val="24"/>
          <w:lang w:val="en-US" w:eastAsia="zh-CN"/>
        </w:rPr>
        <w:t>26</w:t>
      </w:r>
      <w:r>
        <w:rPr>
          <w:rFonts w:hint="eastAsia" w:ascii="宋体" w:hAnsi="宋体" w:eastAsia="宋体" w:cs="宋体"/>
          <w:color w:val="000000"/>
          <w:kern w:val="0"/>
          <w:sz w:val="24"/>
        </w:rPr>
        <w:t>日</w:t>
      </w:r>
      <w:r>
        <w:rPr>
          <w:rFonts w:hint="eastAsia" w:cs="宋体"/>
          <w:color w:val="000000"/>
          <w:kern w:val="0"/>
          <w:sz w:val="24"/>
          <w:lang w:val="en-US" w:eastAsia="zh-CN"/>
        </w:rPr>
        <w:t>9</w:t>
      </w:r>
      <w:r>
        <w:rPr>
          <w:rFonts w:hint="eastAsia" w:ascii="宋体" w:hAnsi="宋体" w:eastAsia="宋体" w:cs="宋体"/>
          <w:color w:val="000000"/>
          <w:kern w:val="0"/>
          <w:sz w:val="24"/>
        </w:rPr>
        <w:t>时</w:t>
      </w:r>
      <w:r>
        <w:rPr>
          <w:rFonts w:hint="eastAsia" w:cs="宋体"/>
          <w:color w:val="000000"/>
          <w:kern w:val="0"/>
          <w:sz w:val="24"/>
          <w:lang w:val="en-US" w:eastAsia="zh-CN"/>
        </w:rPr>
        <w:t>00</w:t>
      </w:r>
      <w:r>
        <w:rPr>
          <w:rFonts w:hint="eastAsia" w:ascii="宋体" w:hAnsi="宋体" w:eastAsia="宋体" w:cs="宋体"/>
          <w:color w:val="000000"/>
          <w:kern w:val="0"/>
          <w:sz w:val="24"/>
        </w:rPr>
        <w:t>分</w:t>
      </w:r>
      <w:r>
        <w:rPr>
          <w:rFonts w:hint="eastAsia" w:ascii="宋体" w:hAnsi="宋体" w:eastAsia="宋体" w:cs="宋体"/>
          <w:color w:val="000000"/>
          <w:kern w:val="0"/>
          <w:sz w:val="24"/>
          <w:lang w:val="en-US" w:eastAsia="zh-CN"/>
        </w:rPr>
        <w:t>00</w:t>
      </w:r>
      <w:r>
        <w:rPr>
          <w:rFonts w:hint="eastAsia" w:ascii="宋体" w:hAnsi="宋体" w:eastAsia="宋体" w:cs="宋体"/>
          <w:color w:val="000000"/>
          <w:kern w:val="0"/>
          <w:sz w:val="24"/>
        </w:rPr>
        <w:t>秒止；</w:t>
      </w:r>
    </w:p>
    <w:p>
      <w:pPr>
        <w:widowControl/>
        <w:snapToGrid w:val="0"/>
        <w:spacing w:line="360" w:lineRule="auto"/>
        <w:ind w:firstLine="361" w:firstLineChars="150"/>
        <w:jc w:val="left"/>
        <w:rPr>
          <w:rFonts w:hint="eastAsia" w:ascii="宋体" w:hAnsi="宋体" w:eastAsia="宋体" w:cs="宋体"/>
          <w:kern w:val="0"/>
          <w:sz w:val="24"/>
        </w:rPr>
      </w:pPr>
      <w:r>
        <w:rPr>
          <w:rFonts w:hint="eastAsia" w:ascii="宋体" w:hAnsi="宋体" w:eastAsia="宋体" w:cs="宋体"/>
          <w:b/>
          <w:bCs/>
          <w:color w:val="000000"/>
          <w:kern w:val="0"/>
          <w:sz w:val="24"/>
        </w:rPr>
        <w:t xml:space="preserve"> 九、供应商线上投标地点</w:t>
      </w:r>
      <w:r>
        <w:rPr>
          <w:rFonts w:hint="eastAsia" w:ascii="宋体" w:hAnsi="宋体" w:eastAsia="宋体" w:cs="宋体"/>
          <w:kern w:val="0"/>
          <w:sz w:val="24"/>
        </w:rPr>
        <w:t>：“政府采购云平台（www.zcygov.cn）”实行在线投标响应</w:t>
      </w:r>
      <w:r>
        <w:rPr>
          <w:rFonts w:hint="eastAsia" w:ascii="宋体" w:hAnsi="宋体" w:eastAsia="宋体" w:cs="宋体"/>
          <w:b/>
          <w:color w:val="000000"/>
          <w:sz w:val="24"/>
        </w:rPr>
        <w:t>（电子投标）</w:t>
      </w:r>
      <w:r>
        <w:rPr>
          <w:rFonts w:hint="eastAsia" w:ascii="宋体" w:hAnsi="宋体" w:eastAsia="宋体" w:cs="宋体"/>
          <w:kern w:val="0"/>
          <w:sz w:val="24"/>
        </w:rPr>
        <w:t>。</w:t>
      </w:r>
    </w:p>
    <w:p>
      <w:pPr>
        <w:widowControl/>
        <w:snapToGrid w:val="0"/>
        <w:spacing w:line="360" w:lineRule="auto"/>
        <w:ind w:firstLine="482" w:firstLineChars="200"/>
        <w:jc w:val="left"/>
        <w:rPr>
          <w:rFonts w:hint="eastAsia" w:ascii="宋体" w:hAnsi="宋体" w:eastAsia="宋体" w:cs="宋体"/>
          <w:color w:val="000000"/>
          <w:kern w:val="0"/>
          <w:sz w:val="24"/>
        </w:rPr>
      </w:pPr>
      <w:r>
        <w:rPr>
          <w:rFonts w:hint="eastAsia" w:ascii="宋体" w:hAnsi="宋体" w:eastAsia="宋体" w:cs="宋体"/>
          <w:b/>
          <w:color w:val="000000"/>
          <w:kern w:val="0"/>
          <w:sz w:val="24"/>
        </w:rPr>
        <w:t>十、开标时间：</w:t>
      </w:r>
      <w:r>
        <w:rPr>
          <w:rFonts w:hint="eastAsia" w:ascii="宋体" w:hAnsi="宋体" w:eastAsia="宋体" w:cs="宋体"/>
          <w:color w:val="000000"/>
          <w:kern w:val="0"/>
          <w:sz w:val="24"/>
        </w:rPr>
        <w:t>2020年</w:t>
      </w:r>
      <w:r>
        <w:rPr>
          <w:rFonts w:hint="eastAsia" w:cs="宋体"/>
          <w:color w:val="000000"/>
          <w:kern w:val="0"/>
          <w:sz w:val="24"/>
          <w:lang w:val="en-US" w:eastAsia="zh-CN"/>
        </w:rPr>
        <w:t>5</w:t>
      </w:r>
      <w:r>
        <w:rPr>
          <w:rFonts w:hint="eastAsia" w:ascii="宋体" w:hAnsi="宋体" w:eastAsia="宋体" w:cs="宋体"/>
          <w:color w:val="000000"/>
          <w:kern w:val="0"/>
          <w:sz w:val="24"/>
        </w:rPr>
        <w:t>月</w:t>
      </w:r>
      <w:r>
        <w:rPr>
          <w:rFonts w:hint="eastAsia" w:cs="宋体"/>
          <w:color w:val="000000"/>
          <w:kern w:val="0"/>
          <w:sz w:val="24"/>
          <w:lang w:val="en-US" w:eastAsia="zh-CN"/>
        </w:rPr>
        <w:t>26</w:t>
      </w:r>
      <w:r>
        <w:rPr>
          <w:rFonts w:hint="eastAsia" w:ascii="宋体" w:hAnsi="宋体" w:eastAsia="宋体" w:cs="宋体"/>
          <w:color w:val="000000"/>
          <w:kern w:val="0"/>
          <w:sz w:val="24"/>
        </w:rPr>
        <w:t>日</w:t>
      </w:r>
      <w:r>
        <w:rPr>
          <w:rFonts w:hint="eastAsia" w:cs="宋体"/>
          <w:color w:val="000000"/>
          <w:kern w:val="0"/>
          <w:sz w:val="24"/>
          <w:lang w:val="en-US" w:eastAsia="zh-CN"/>
        </w:rPr>
        <w:t>9</w:t>
      </w:r>
      <w:r>
        <w:rPr>
          <w:rFonts w:hint="eastAsia" w:ascii="宋体" w:hAnsi="宋体" w:eastAsia="宋体" w:cs="宋体"/>
          <w:color w:val="000000"/>
          <w:kern w:val="0"/>
          <w:sz w:val="24"/>
        </w:rPr>
        <w:t>时</w:t>
      </w:r>
      <w:r>
        <w:rPr>
          <w:rFonts w:hint="eastAsia" w:cs="宋体"/>
          <w:color w:val="000000"/>
          <w:kern w:val="0"/>
          <w:sz w:val="24"/>
          <w:lang w:val="en-US" w:eastAsia="zh-CN"/>
        </w:rPr>
        <w:t>00</w:t>
      </w:r>
      <w:r>
        <w:rPr>
          <w:rFonts w:hint="eastAsia" w:ascii="宋体" w:hAnsi="宋体" w:eastAsia="宋体" w:cs="宋体"/>
          <w:color w:val="000000"/>
          <w:kern w:val="0"/>
          <w:sz w:val="24"/>
        </w:rPr>
        <w:t>分</w:t>
      </w:r>
      <w:r>
        <w:rPr>
          <w:rFonts w:hint="eastAsia" w:ascii="宋体" w:hAnsi="宋体" w:eastAsia="宋体" w:cs="宋体"/>
          <w:color w:val="000000"/>
          <w:kern w:val="0"/>
          <w:sz w:val="24"/>
          <w:lang w:val="en-US" w:eastAsia="zh-CN"/>
        </w:rPr>
        <w:t>00</w:t>
      </w:r>
      <w:r>
        <w:rPr>
          <w:rFonts w:hint="eastAsia" w:ascii="宋体" w:hAnsi="宋体" w:eastAsia="宋体" w:cs="宋体"/>
          <w:color w:val="000000"/>
          <w:kern w:val="0"/>
          <w:sz w:val="24"/>
        </w:rPr>
        <w:t>秒；</w:t>
      </w:r>
    </w:p>
    <w:p>
      <w:pPr>
        <w:widowControl/>
        <w:snapToGrid w:val="0"/>
        <w:spacing w:line="360" w:lineRule="auto"/>
        <w:ind w:left="502" w:leftChars="228"/>
        <w:jc w:val="left"/>
        <w:rPr>
          <w:rFonts w:hint="eastAsia" w:ascii="宋体" w:hAnsi="宋体" w:eastAsia="宋体" w:cs="宋体"/>
          <w:b w:val="0"/>
          <w:bCs/>
          <w:kern w:val="0"/>
          <w:sz w:val="24"/>
        </w:rPr>
      </w:pPr>
      <w:r>
        <w:rPr>
          <w:rFonts w:hint="eastAsia" w:ascii="宋体" w:hAnsi="宋体" w:eastAsia="宋体" w:cs="宋体"/>
          <w:b/>
          <w:color w:val="000000"/>
          <w:kern w:val="0"/>
          <w:sz w:val="24"/>
        </w:rPr>
        <w:t>十一、</w:t>
      </w:r>
      <w:r>
        <w:rPr>
          <w:rFonts w:hint="eastAsia" w:ascii="宋体" w:hAnsi="宋体" w:eastAsia="宋体" w:cs="宋体"/>
          <w:b/>
          <w:color w:val="000000"/>
          <w:kern w:val="0"/>
          <w:sz w:val="24"/>
          <w:lang w:eastAsia="zh-CN"/>
        </w:rPr>
        <w:t>组织机构</w:t>
      </w:r>
      <w:r>
        <w:rPr>
          <w:rFonts w:hint="eastAsia" w:ascii="宋体" w:hAnsi="宋体" w:eastAsia="宋体" w:cs="宋体"/>
          <w:b/>
          <w:color w:val="000000"/>
          <w:kern w:val="0"/>
          <w:sz w:val="24"/>
        </w:rPr>
        <w:t>线下开标地点：</w:t>
      </w:r>
      <w:r>
        <w:rPr>
          <w:rFonts w:hint="eastAsia" w:ascii="宋体" w:hAnsi="宋体" w:eastAsia="宋体" w:cs="宋体"/>
          <w:b w:val="0"/>
          <w:bCs/>
          <w:color w:val="000000"/>
          <w:kern w:val="0"/>
          <w:sz w:val="24"/>
        </w:rPr>
        <w:t>杭州市公共资源交易中心余杭分中心</w:t>
      </w:r>
      <w:r>
        <w:rPr>
          <w:rFonts w:hint="eastAsia" w:cs="宋体"/>
          <w:b w:val="0"/>
          <w:bCs/>
          <w:color w:val="000000"/>
          <w:kern w:val="0"/>
          <w:sz w:val="24"/>
          <w:u w:val="none"/>
          <w:lang w:val="en-US" w:eastAsia="zh-CN"/>
        </w:rPr>
        <w:t>1</w:t>
      </w:r>
      <w:r>
        <w:rPr>
          <w:rFonts w:hint="eastAsia" w:ascii="宋体" w:hAnsi="宋体" w:eastAsia="宋体" w:cs="宋体"/>
          <w:b w:val="0"/>
          <w:bCs/>
          <w:color w:val="000000"/>
          <w:kern w:val="0"/>
          <w:sz w:val="24"/>
        </w:rPr>
        <w:t>号开标室（杭州市余杭区临平南大街265号市民之家三楼）。</w:t>
      </w:r>
    </w:p>
    <w:p>
      <w:pPr>
        <w:widowControl/>
        <w:snapToGrid w:val="0"/>
        <w:spacing w:line="360" w:lineRule="auto"/>
        <w:ind w:firstLine="1084" w:firstLineChars="450"/>
        <w:jc w:val="left"/>
        <w:rPr>
          <w:rFonts w:hint="eastAsia" w:ascii="宋体" w:hAnsi="宋体" w:eastAsia="宋体" w:cs="宋体"/>
          <w:color w:val="000000"/>
          <w:kern w:val="0"/>
          <w:sz w:val="24"/>
        </w:rPr>
      </w:pPr>
      <w:r>
        <w:rPr>
          <w:rFonts w:hint="eastAsia" w:ascii="宋体" w:hAnsi="宋体" w:eastAsia="宋体" w:cs="宋体"/>
          <w:b/>
          <w:bCs/>
          <w:color w:val="000000"/>
          <w:kern w:val="0"/>
          <w:sz w:val="24"/>
          <w:lang w:eastAsia="zh-CN"/>
        </w:rPr>
        <w:t>供应商</w:t>
      </w:r>
      <w:r>
        <w:rPr>
          <w:rFonts w:hint="eastAsia" w:ascii="宋体" w:hAnsi="宋体" w:eastAsia="宋体" w:cs="宋体"/>
          <w:b/>
          <w:bCs/>
          <w:color w:val="000000"/>
          <w:kern w:val="0"/>
          <w:sz w:val="24"/>
        </w:rPr>
        <w:t>线上</w:t>
      </w:r>
      <w:r>
        <w:rPr>
          <w:rFonts w:hint="eastAsia" w:ascii="宋体" w:hAnsi="宋体" w:eastAsia="宋体" w:cs="宋体"/>
          <w:b/>
          <w:color w:val="000000"/>
          <w:kern w:val="0"/>
          <w:sz w:val="24"/>
        </w:rPr>
        <w:t>开标地点</w:t>
      </w:r>
      <w:r>
        <w:rPr>
          <w:rFonts w:hint="eastAsia" w:ascii="宋体" w:hAnsi="宋体" w:eastAsia="宋体" w:cs="宋体"/>
          <w:color w:val="000000"/>
          <w:kern w:val="0"/>
          <w:sz w:val="24"/>
        </w:rPr>
        <w:t>：“政府采购云平台（www.zcygov.cn）”本项目</w:t>
      </w:r>
      <w:r>
        <w:rPr>
          <w:rFonts w:hint="eastAsia" w:ascii="宋体" w:hAnsi="宋体" w:eastAsia="宋体" w:cs="宋体"/>
          <w:color w:val="000000"/>
          <w:kern w:val="0"/>
          <w:sz w:val="24"/>
          <w:lang w:eastAsia="zh-CN"/>
        </w:rPr>
        <w:t>网上</w:t>
      </w:r>
      <w:r>
        <w:rPr>
          <w:rFonts w:hint="eastAsia" w:ascii="宋体" w:hAnsi="宋体" w:eastAsia="宋体" w:cs="宋体"/>
          <w:color w:val="000000"/>
          <w:kern w:val="0"/>
          <w:sz w:val="24"/>
        </w:rPr>
        <w:t>开标大</w:t>
      </w:r>
      <w:bookmarkStart w:id="135" w:name="_GoBack"/>
      <w:bookmarkEnd w:id="135"/>
      <w:r>
        <w:rPr>
          <w:rFonts w:hint="eastAsia" w:ascii="宋体" w:hAnsi="宋体" w:eastAsia="宋体" w:cs="宋体"/>
          <w:color w:val="000000"/>
          <w:kern w:val="0"/>
          <w:sz w:val="24"/>
        </w:rPr>
        <w:t>厅。</w:t>
      </w:r>
    </w:p>
    <w:p>
      <w:pPr>
        <w:widowControl/>
        <w:snapToGrid w:val="0"/>
        <w:spacing w:line="360" w:lineRule="auto"/>
        <w:ind w:left="502" w:leftChars="228"/>
        <w:jc w:val="left"/>
        <w:rPr>
          <w:rFonts w:hint="eastAsia" w:ascii="宋体" w:hAnsi="宋体" w:eastAsia="宋体" w:cs="宋体"/>
          <w:color w:val="000000"/>
          <w:kern w:val="0"/>
          <w:sz w:val="24"/>
        </w:rPr>
      </w:pPr>
      <w:r>
        <w:rPr>
          <w:rFonts w:hint="eastAsia" w:ascii="宋体" w:hAnsi="宋体" w:eastAsia="宋体" w:cs="宋体"/>
          <w:b/>
          <w:color w:val="000000"/>
          <w:kern w:val="0"/>
          <w:sz w:val="24"/>
        </w:rPr>
        <w:t>十二、投标保证金：</w:t>
      </w:r>
      <w:r>
        <w:rPr>
          <w:rFonts w:hint="eastAsia" w:ascii="宋体" w:hAnsi="宋体" w:eastAsia="宋体" w:cs="宋体"/>
          <w:color w:val="000000"/>
          <w:kern w:val="0"/>
          <w:sz w:val="24"/>
        </w:rPr>
        <w:t>无。</w:t>
      </w:r>
    </w:p>
    <w:p>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十三、在线投标响应（电子投标）说明：</w:t>
      </w:r>
    </w:p>
    <w:p>
      <w:pPr>
        <w:spacing w:line="360" w:lineRule="auto"/>
        <w:ind w:firstLine="424" w:firstLineChars="176"/>
        <w:rPr>
          <w:rFonts w:hint="eastAsia" w:ascii="宋体" w:hAnsi="宋体" w:eastAsia="宋体" w:cs="宋体"/>
          <w:b/>
          <w:color w:val="000000"/>
          <w:sz w:val="24"/>
        </w:rPr>
      </w:pPr>
      <w:r>
        <w:rPr>
          <w:rFonts w:hint="eastAsia" w:ascii="宋体" w:hAnsi="宋体" w:eastAsia="宋体" w:cs="宋体"/>
          <w:b/>
          <w:color w:val="000000"/>
          <w:sz w:val="24"/>
        </w:rPr>
        <w:t>1、</w:t>
      </w:r>
      <w:r>
        <w:rPr>
          <w:rFonts w:hint="eastAsia" w:ascii="宋体" w:hAnsi="宋体" w:eastAsia="宋体" w:cs="宋体"/>
          <w:b/>
          <w:color w:val="000000"/>
          <w:sz w:val="24"/>
          <w:u w:val="single"/>
        </w:rPr>
        <w:t>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r>
        <w:rPr>
          <w:rFonts w:hint="eastAsia" w:ascii="宋体" w:hAnsi="宋体" w:eastAsia="宋体" w:cs="宋体"/>
          <w:b/>
          <w:color w:val="000000"/>
          <w:sz w:val="24"/>
        </w:rPr>
        <w:t>。</w:t>
      </w:r>
    </w:p>
    <w:p>
      <w:pPr>
        <w:spacing w:line="360" w:lineRule="auto"/>
        <w:ind w:firstLine="424" w:firstLineChars="176"/>
        <w:rPr>
          <w:rFonts w:hint="eastAsia" w:ascii="宋体" w:hAnsi="宋体" w:eastAsia="宋体" w:cs="宋体"/>
          <w:b/>
          <w:color w:val="000000"/>
          <w:sz w:val="24"/>
          <w:u w:val="single"/>
        </w:rPr>
      </w:pPr>
      <w:r>
        <w:rPr>
          <w:rFonts w:hint="eastAsia" w:ascii="宋体" w:hAnsi="宋体" w:eastAsia="宋体" w:cs="宋体"/>
          <w:b/>
          <w:bCs/>
          <w:color w:val="000000"/>
          <w:sz w:val="24"/>
        </w:rPr>
        <w:t>“政采云电子交易客户端”请自行前往“浙江政府采购网-下载专区-电子交易客户端”进行下载；电子投标具体操作</w:t>
      </w:r>
      <w:r>
        <w:rPr>
          <w:rFonts w:hint="eastAsia" w:ascii="宋体" w:hAnsi="宋体" w:eastAsia="宋体" w:cs="宋体"/>
          <w:b/>
          <w:color w:val="000000"/>
          <w:sz w:val="24"/>
        </w:rPr>
        <w:t>通过“政府采购云平台”参与，在线投标时如遇平台技术问题详询400-881-7190。</w:t>
      </w:r>
    </w:p>
    <w:p>
      <w:pPr>
        <w:spacing w:line="360" w:lineRule="auto"/>
        <w:ind w:firstLine="424" w:firstLineChars="176"/>
        <w:rPr>
          <w:rFonts w:hint="eastAsia" w:ascii="宋体" w:hAnsi="宋体" w:eastAsia="宋体" w:cs="宋体"/>
          <w:b/>
          <w:bCs/>
          <w:color w:val="000000"/>
          <w:sz w:val="24"/>
        </w:rPr>
      </w:pPr>
      <w:r>
        <w:rPr>
          <w:rFonts w:hint="eastAsia" w:ascii="宋体" w:hAnsi="宋体" w:eastAsia="宋体" w:cs="宋体"/>
          <w:b/>
          <w:color w:val="000000"/>
          <w:sz w:val="24"/>
        </w:rPr>
        <w:t>2、</w:t>
      </w:r>
      <w:r>
        <w:rPr>
          <w:rFonts w:hint="eastAsia" w:ascii="宋体" w:hAnsi="宋体" w:eastAsia="宋体" w:cs="宋体"/>
          <w:b/>
          <w:color w:val="000000"/>
          <w:sz w:val="24"/>
          <w:u w:val="single"/>
        </w:rPr>
        <w:t>为确保网上操作合法、有效和安全，投标供应商应当在投标截止时间前完成在“政府采购云平台”的身份认证，确保在电子投标过程中能够对相关数据电文进行加密和使用电子签章</w:t>
      </w:r>
      <w:r>
        <w:rPr>
          <w:rFonts w:hint="eastAsia" w:ascii="宋体" w:hAnsi="宋体" w:eastAsia="宋体" w:cs="宋体"/>
          <w:b/>
          <w:color w:val="000000"/>
          <w:sz w:val="24"/>
        </w:rPr>
        <w:t>。</w:t>
      </w:r>
      <w:r>
        <w:rPr>
          <w:rFonts w:hint="eastAsia" w:ascii="宋体" w:hAnsi="宋体" w:eastAsia="宋体" w:cs="宋体"/>
          <w:b/>
          <w:bCs/>
          <w:color w:val="000000"/>
          <w:sz w:val="24"/>
        </w:rPr>
        <w:t>使用“政采云电子交易客户端”需要提前申领CA数字证书，申领流程请自行前往“浙江政府采购网-下载专区-电子交易客户端-</w:t>
      </w:r>
      <w:r>
        <w:rPr>
          <w:rFonts w:hint="eastAsia" w:ascii="宋体" w:hAnsi="宋体" w:eastAsia="宋体" w:cs="宋体"/>
          <w:b/>
          <w:bCs/>
          <w:color w:val="000000"/>
          <w:sz w:val="24"/>
        </w:rPr>
        <w:fldChar w:fldCharType="begin"/>
      </w:r>
      <w:r>
        <w:rPr>
          <w:rFonts w:hint="eastAsia" w:ascii="宋体" w:hAnsi="宋体" w:eastAsia="宋体" w:cs="宋体"/>
          <w:b/>
          <w:bCs/>
          <w:color w:val="000000"/>
          <w:sz w:val="24"/>
        </w:rPr>
        <w:instrText xml:space="preserve"> HYPERLINK "http://www.zjzfcg.gov.cn/bidClientTemplate/2019-05-27/12945.html" \o "CA驱动和申领流程" \t "_blank" </w:instrText>
      </w:r>
      <w:r>
        <w:rPr>
          <w:rFonts w:hint="eastAsia" w:ascii="宋体" w:hAnsi="宋体" w:eastAsia="宋体" w:cs="宋体"/>
          <w:b/>
          <w:bCs/>
          <w:color w:val="000000"/>
          <w:sz w:val="24"/>
        </w:rPr>
        <w:fldChar w:fldCharType="separate"/>
      </w:r>
      <w:r>
        <w:rPr>
          <w:rFonts w:hint="eastAsia" w:ascii="宋体" w:hAnsi="宋体" w:eastAsia="宋体" w:cs="宋体"/>
          <w:b/>
          <w:bCs/>
          <w:color w:val="000000"/>
          <w:sz w:val="24"/>
        </w:rPr>
        <w:t>CA驱动和申领流程</w:t>
      </w:r>
      <w:r>
        <w:rPr>
          <w:rFonts w:hint="eastAsia" w:ascii="宋体" w:hAnsi="宋体" w:eastAsia="宋体" w:cs="宋体"/>
          <w:b/>
          <w:bCs/>
          <w:color w:val="000000"/>
          <w:sz w:val="24"/>
        </w:rPr>
        <w:fldChar w:fldCharType="end"/>
      </w:r>
      <w:r>
        <w:rPr>
          <w:rFonts w:hint="eastAsia" w:ascii="宋体" w:hAnsi="宋体" w:eastAsia="宋体" w:cs="宋体"/>
          <w:b/>
          <w:bCs/>
          <w:color w:val="000000"/>
          <w:sz w:val="24"/>
        </w:rPr>
        <w:t>”进行查阅；</w:t>
      </w:r>
    </w:p>
    <w:p>
      <w:pPr>
        <w:spacing w:line="360" w:lineRule="auto"/>
        <w:ind w:firstLine="424" w:firstLineChars="176"/>
        <w:rPr>
          <w:rFonts w:hint="eastAsia" w:ascii="宋体" w:hAnsi="宋体" w:eastAsia="宋体" w:cs="宋体"/>
          <w:color w:val="000000"/>
          <w:sz w:val="24"/>
        </w:rPr>
      </w:pPr>
      <w:r>
        <w:rPr>
          <w:rFonts w:hint="eastAsia" w:ascii="宋体" w:hAnsi="宋体" w:eastAsia="宋体" w:cs="宋体"/>
          <w:b/>
          <w:color w:val="000000"/>
          <w:sz w:val="24"/>
        </w:rPr>
        <w:t>3、</w:t>
      </w:r>
      <w:r>
        <w:rPr>
          <w:rFonts w:hint="eastAsia" w:ascii="宋体" w:hAnsi="宋体" w:eastAsia="宋体" w:cs="宋体"/>
          <w:b/>
          <w:color w:val="000000"/>
          <w:sz w:val="24"/>
          <w:u w:val="single"/>
        </w:rPr>
        <w:t>投标供应商应当在投标截止时间前，将生成的“电子加密投标文件”上传递交至“政府采购云平台”。投标截止时间以后上传递交的投标文件将被“政府采购云平台”拒收。</w:t>
      </w:r>
    </w:p>
    <w:p>
      <w:pPr>
        <w:spacing w:line="360" w:lineRule="auto"/>
        <w:ind w:firstLine="424" w:firstLineChars="176"/>
        <w:rPr>
          <w:rFonts w:hint="eastAsia" w:ascii="宋体" w:hAnsi="宋体" w:eastAsia="宋体" w:cs="宋体"/>
          <w:b/>
          <w:color w:val="000000"/>
          <w:sz w:val="24"/>
        </w:rPr>
      </w:pPr>
      <w:r>
        <w:rPr>
          <w:rFonts w:hint="eastAsia" w:ascii="宋体" w:hAnsi="宋体" w:eastAsia="宋体" w:cs="宋体"/>
          <w:b/>
          <w:color w:val="000000"/>
          <w:sz w:val="24"/>
        </w:rPr>
        <w:t>4、</w:t>
      </w:r>
      <w:r>
        <w:rPr>
          <w:rFonts w:hint="eastAsia" w:ascii="宋体" w:hAnsi="宋体" w:eastAsia="宋体" w:cs="宋体"/>
          <w:b/>
          <w:color w:val="000000"/>
          <w:sz w:val="24"/>
          <w:u w:val="single"/>
        </w:rPr>
        <w:t>投标供应商在“政府采购云平台”完成“电子加密投标文件”的上传递交后，还可以（建议EMS邮寄形式）在投标截止时间前递交以介质（U盘）存储的数据电文形式的“备份投标文件”，“备份投标文件”应当密封包装并在包装上标注投标项目名称、投标单位名称并加盖公章</w:t>
      </w:r>
      <w:r>
        <w:rPr>
          <w:rFonts w:hint="eastAsia" w:ascii="宋体" w:hAnsi="宋体" w:eastAsia="宋体" w:cs="宋体"/>
          <w:b/>
          <w:color w:val="000000"/>
          <w:sz w:val="24"/>
        </w:rPr>
        <w:t>。</w:t>
      </w:r>
    </w:p>
    <w:p>
      <w:pPr>
        <w:spacing w:line="360" w:lineRule="auto"/>
        <w:ind w:firstLine="424" w:firstLineChars="176"/>
        <w:rPr>
          <w:rFonts w:hint="eastAsia" w:ascii="宋体" w:hAnsi="宋体" w:eastAsia="宋体" w:cs="宋体"/>
          <w:b/>
          <w:color w:val="000000"/>
          <w:sz w:val="24"/>
          <w:highlight w:val="none"/>
        </w:rPr>
      </w:pPr>
      <w:r>
        <w:rPr>
          <w:rFonts w:hint="eastAsia" w:ascii="宋体" w:hAnsi="宋体" w:eastAsia="宋体" w:cs="宋体"/>
          <w:b/>
          <w:color w:val="000000"/>
          <w:sz w:val="24"/>
        </w:rPr>
        <w:t>5、通过“政府采购云平台”上传递交的“电子加密投标文件”无法按时解密，投标供应商递交了备份投标文件的，以备份投标文件为依据，否则视为投标文件撤回。 通</w:t>
      </w:r>
      <w:r>
        <w:rPr>
          <w:rFonts w:hint="eastAsia" w:ascii="宋体" w:hAnsi="宋体" w:eastAsia="宋体" w:cs="宋体"/>
          <w:b/>
          <w:color w:val="000000"/>
          <w:sz w:val="24"/>
          <w:highlight w:val="none"/>
        </w:rPr>
        <w:t>过“政府采购云平台”上传递交的“电子加密投标文件”已按时解密的，“备份投标文件”自动失效。投标供应商仅递交备份投标文件的，投标无效。</w:t>
      </w:r>
    </w:p>
    <w:p>
      <w:pPr>
        <w:pStyle w:val="3"/>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6、“政府采购项目电子交易管理操作指南-供应商及政府采购项目电子交易管理操作视频-供应商”获取方式：供应商账号密码登陆政采云平台后点击我的的工作台，然后点击“服务中心”后下拉框内找到“帮助文档”点击打开在搜索处直接查找即可找到帮忙文档及视频进行查看。</w:t>
      </w:r>
    </w:p>
    <w:p>
      <w:pPr>
        <w:widowControl/>
        <w:snapToGrid w:val="0"/>
        <w:spacing w:line="360" w:lineRule="auto"/>
        <w:ind w:firstLine="482" w:firstLineChars="200"/>
        <w:jc w:val="left"/>
        <w:rPr>
          <w:rFonts w:hint="eastAsia" w:ascii="宋体" w:hAnsi="宋体" w:eastAsia="宋体" w:cs="宋体"/>
          <w:b/>
          <w:color w:val="000000"/>
          <w:sz w:val="24"/>
          <w:highlight w:val="none"/>
        </w:rPr>
      </w:pPr>
      <w:r>
        <w:rPr>
          <w:rFonts w:hint="eastAsia" w:ascii="宋体" w:hAnsi="宋体" w:eastAsia="宋体" w:cs="宋体"/>
          <w:b/>
          <w:color w:val="000000"/>
          <w:kern w:val="0"/>
          <w:sz w:val="24"/>
          <w:highlight w:val="none"/>
        </w:rPr>
        <w:t>注：请供应商按上述要求获取招标文件，如未在“</w:t>
      </w:r>
      <w:r>
        <w:rPr>
          <w:rFonts w:hint="eastAsia" w:ascii="宋体" w:hAnsi="宋体" w:eastAsia="宋体" w:cs="宋体"/>
          <w:b/>
          <w:bCs/>
          <w:sz w:val="24"/>
          <w:highlight w:val="none"/>
        </w:rPr>
        <w:t>政采云”系统内完成相关流程，引起的投标无效责任自负。</w:t>
      </w:r>
    </w:p>
    <w:p>
      <w:pPr>
        <w:widowControl/>
        <w:snapToGrid w:val="0"/>
        <w:spacing w:line="360" w:lineRule="auto"/>
        <w:ind w:left="482"/>
        <w:jc w:val="left"/>
        <w:rPr>
          <w:rFonts w:hint="eastAsia" w:ascii="宋体" w:hAnsi="宋体" w:eastAsia="宋体" w:cs="宋体"/>
          <w:b/>
          <w:color w:val="000000"/>
          <w:kern w:val="0"/>
          <w:sz w:val="24"/>
        </w:rPr>
      </w:pPr>
      <w:r>
        <w:rPr>
          <w:rFonts w:hint="eastAsia" w:ascii="宋体" w:hAnsi="宋体" w:eastAsia="宋体" w:cs="宋体"/>
          <w:b/>
          <w:color w:val="000000"/>
          <w:kern w:val="0"/>
          <w:sz w:val="24"/>
        </w:rPr>
        <w:t>十四、其他事项：</w:t>
      </w:r>
    </w:p>
    <w:p>
      <w:pPr>
        <w:widowControl/>
        <w:numPr>
          <w:ilvl w:val="0"/>
          <w:numId w:val="3"/>
        </w:num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本项目公告期限：5个工作日。</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供应商认为招标文件使自己的权益受到损害的，可以自收到招标文件之日（获取截止日之后收到招标文件的，以获取截止日为准）起7个工作日内，以书面形式向招标人和招标代理机构提出质疑。质疑供应商对招标人、招标代理机构的答复不满意或者招标人、招标代理机构未在规定的时间内作出答复的，可以在答复期满后十五个工作日内向同级政府采购监督管理部门投诉。</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3、本项目对符合财政扶持政策的中小企业（小型、微型）、监狱企业、残疾人福利性单位给予价格优惠扶持，执行节能产品政府强制采购和优先采购政策，执行环境标志产品政府优先采购政策。</w:t>
      </w:r>
    </w:p>
    <w:p>
      <w:pPr>
        <w:widowControl/>
        <w:snapToGrid w:val="0"/>
        <w:spacing w:line="360" w:lineRule="auto"/>
        <w:ind w:firstLine="480" w:firstLineChars="200"/>
        <w:rPr>
          <w:rFonts w:hint="eastAsia" w:ascii="宋体" w:hAnsi="宋体" w:eastAsia="宋体" w:cs="宋体"/>
          <w:b w:val="0"/>
          <w:bCs w:val="0"/>
          <w:color w:val="000000"/>
          <w:kern w:val="0"/>
          <w:sz w:val="24"/>
          <w:highlight w:val="none"/>
        </w:rPr>
      </w:pPr>
      <w:r>
        <w:rPr>
          <w:rFonts w:hint="eastAsia" w:ascii="宋体" w:hAnsi="宋体" w:eastAsia="宋体" w:cs="宋体"/>
          <w:b w:val="0"/>
          <w:bCs w:val="0"/>
          <w:color w:val="000000"/>
          <w:kern w:val="0"/>
          <w:sz w:val="24"/>
          <w:highlight w:val="none"/>
        </w:rPr>
        <w:t>4、书面质疑受理地点（建议EMS邮寄形式送达）：杭州市余杭区振兴东路5号三号楼302室，刘</w:t>
      </w:r>
      <w:r>
        <w:rPr>
          <w:rFonts w:hint="eastAsia" w:ascii="宋体" w:hAnsi="宋体" w:eastAsia="宋体" w:cs="宋体"/>
          <w:b w:val="0"/>
          <w:bCs w:val="0"/>
          <w:color w:val="000000"/>
          <w:kern w:val="0"/>
          <w:sz w:val="24"/>
          <w:highlight w:val="none"/>
          <w:lang w:eastAsia="zh-CN"/>
        </w:rPr>
        <w:t>雪晴</w:t>
      </w:r>
      <w:r>
        <w:rPr>
          <w:rFonts w:hint="eastAsia" w:ascii="宋体" w:hAnsi="宋体" w:eastAsia="宋体" w:cs="宋体"/>
          <w:b w:val="0"/>
          <w:bCs w:val="0"/>
          <w:color w:val="000000"/>
          <w:kern w:val="0"/>
          <w:sz w:val="24"/>
          <w:highlight w:val="none"/>
        </w:rPr>
        <w:t>，</w:t>
      </w:r>
      <w:r>
        <w:rPr>
          <w:rFonts w:hint="eastAsia" w:ascii="宋体" w:hAnsi="宋体" w:eastAsia="宋体" w:cs="宋体"/>
          <w:b w:val="0"/>
          <w:bCs w:val="0"/>
          <w:color w:val="000000"/>
          <w:kern w:val="0"/>
          <w:sz w:val="24"/>
          <w:highlight w:val="none"/>
          <w:lang w:eastAsia="zh-CN"/>
        </w:rPr>
        <w:t>联系电话</w:t>
      </w:r>
      <w:r>
        <w:rPr>
          <w:rFonts w:hint="eastAsia" w:ascii="宋体" w:hAnsi="宋体" w:eastAsia="宋体" w:cs="宋体"/>
          <w:b w:val="0"/>
          <w:bCs w:val="0"/>
          <w:color w:val="000000"/>
          <w:kern w:val="0"/>
          <w:sz w:val="24"/>
          <w:highlight w:val="none"/>
        </w:rPr>
        <w:t>：0571-86228610，采购单位质疑联系人：</w:t>
      </w:r>
      <w:r>
        <w:rPr>
          <w:rFonts w:hint="eastAsia" w:ascii="宋体" w:hAnsi="宋体" w:eastAsia="宋体" w:cs="宋体"/>
          <w:b w:val="0"/>
          <w:bCs w:val="0"/>
          <w:color w:val="000000"/>
          <w:kern w:val="0"/>
          <w:sz w:val="24"/>
          <w:highlight w:val="none"/>
          <w:lang w:val="en-US" w:eastAsia="zh-CN"/>
        </w:rPr>
        <w:t>陈伟</w:t>
      </w:r>
      <w:r>
        <w:rPr>
          <w:rFonts w:hint="eastAsia" w:ascii="宋体" w:hAnsi="宋体" w:eastAsia="宋体" w:cs="宋体"/>
          <w:b w:val="0"/>
          <w:bCs w:val="0"/>
          <w:color w:val="000000"/>
          <w:kern w:val="0"/>
          <w:sz w:val="24"/>
          <w:highlight w:val="none"/>
        </w:rPr>
        <w:t>，联系电话：</w:t>
      </w:r>
      <w:r>
        <w:rPr>
          <w:rFonts w:hint="eastAsia" w:ascii="宋体" w:hAnsi="宋体" w:eastAsia="宋体" w:cs="宋体"/>
          <w:b w:val="0"/>
          <w:bCs w:val="0"/>
          <w:color w:val="000000"/>
          <w:kern w:val="0"/>
          <w:sz w:val="24"/>
          <w:highlight w:val="none"/>
          <w:lang w:val="en-US" w:eastAsia="zh-CN"/>
        </w:rPr>
        <w:t>0571-86397073</w:t>
      </w:r>
      <w:r>
        <w:rPr>
          <w:rFonts w:hint="eastAsia" w:ascii="宋体" w:hAnsi="宋体" w:eastAsia="宋体" w:cs="宋体"/>
          <w:b w:val="0"/>
          <w:bCs w:val="0"/>
          <w:color w:val="000000"/>
          <w:kern w:val="0"/>
          <w:sz w:val="24"/>
          <w:highlight w:val="none"/>
        </w:rPr>
        <w:t>。</w:t>
      </w:r>
    </w:p>
    <w:p>
      <w:pPr>
        <w:adjustRightInd w:val="0"/>
        <w:snapToGrid w:val="0"/>
        <w:spacing w:line="360" w:lineRule="auto"/>
        <w:ind w:firstLine="480" w:firstLineChars="200"/>
        <w:rPr>
          <w:rFonts w:hint="eastAsia" w:ascii="宋体" w:hAnsi="宋体" w:eastAsia="宋体" w:cs="宋体"/>
          <w:b/>
          <w:bCs/>
          <w:color w:val="000000"/>
          <w:sz w:val="24"/>
        </w:rPr>
      </w:pPr>
      <w:bookmarkStart w:id="6" w:name="B30_其他事项"/>
      <w:bookmarkEnd w:id="6"/>
      <w:r>
        <w:rPr>
          <w:rFonts w:hint="eastAsia" w:ascii="宋体" w:hAnsi="宋体" w:eastAsia="宋体" w:cs="宋体"/>
          <w:bCs/>
          <w:color w:val="000000"/>
          <w:kern w:val="0"/>
          <w:sz w:val="24"/>
          <w:highlight w:val="none"/>
        </w:rPr>
        <w:t>5、</w:t>
      </w:r>
      <w:r>
        <w:rPr>
          <w:rFonts w:hint="eastAsia" w:ascii="宋体" w:hAnsi="宋体" w:eastAsia="宋体" w:cs="宋体"/>
          <w:color w:val="000000"/>
          <w:sz w:val="24"/>
          <w:highlight w:val="none"/>
        </w:rPr>
        <w:t>投诉事项：投标人对采购代</w:t>
      </w:r>
      <w:r>
        <w:rPr>
          <w:rFonts w:hint="eastAsia" w:ascii="宋体" w:hAnsi="宋体" w:eastAsia="宋体" w:cs="宋体"/>
          <w:color w:val="000000"/>
          <w:sz w:val="24"/>
        </w:rPr>
        <w:t>理机构的质疑答复不满意或者采购代理机构未在规定时间内作出答复的，</w:t>
      </w:r>
      <w:r>
        <w:rPr>
          <w:rFonts w:hint="eastAsia" w:ascii="宋体" w:hAnsi="宋体" w:eastAsia="宋体" w:cs="宋体"/>
          <w:sz w:val="24"/>
        </w:rPr>
        <w:t>可以在答复期满后十五个工作日内向同级政府采购监督管理部门余杭区财政局采购监管科投诉，</w:t>
      </w:r>
      <w:r>
        <w:rPr>
          <w:rFonts w:hint="eastAsia" w:ascii="宋体" w:hAnsi="宋体" w:eastAsia="宋体" w:cs="宋体"/>
          <w:color w:val="000000"/>
          <w:kern w:val="0"/>
          <w:sz w:val="24"/>
        </w:rPr>
        <w:t>地址：</w:t>
      </w:r>
      <w:r>
        <w:rPr>
          <w:rFonts w:hint="eastAsia" w:ascii="宋体" w:hAnsi="宋体" w:eastAsia="宋体" w:cs="宋体"/>
          <w:sz w:val="24"/>
        </w:rPr>
        <w:t>杭州市余杭区临平东湖中路236号余杭财税大楼</w:t>
      </w:r>
      <w:r>
        <w:rPr>
          <w:rFonts w:hint="eastAsia" w:ascii="宋体" w:hAnsi="宋体" w:eastAsia="宋体" w:cs="宋体"/>
          <w:color w:val="000000"/>
          <w:kern w:val="0"/>
          <w:sz w:val="24"/>
        </w:rPr>
        <w:t>；</w:t>
      </w:r>
      <w:r>
        <w:rPr>
          <w:rFonts w:hint="eastAsia" w:ascii="宋体" w:hAnsi="宋体" w:eastAsia="宋体" w:cs="宋体"/>
          <w:sz w:val="24"/>
        </w:rPr>
        <w:t>联系电话为0571-89180113。</w:t>
      </w:r>
    </w:p>
    <w:p>
      <w:pPr>
        <w:widowControl/>
        <w:snapToGrid w:val="0"/>
        <w:spacing w:line="360" w:lineRule="auto"/>
        <w:ind w:firstLine="482" w:firstLineChars="200"/>
        <w:jc w:val="left"/>
        <w:rPr>
          <w:rFonts w:hint="eastAsia" w:ascii="宋体" w:hAnsi="宋体" w:eastAsia="宋体" w:cs="宋体"/>
          <w:b/>
          <w:color w:val="000000"/>
          <w:kern w:val="0"/>
          <w:sz w:val="24"/>
        </w:rPr>
      </w:pPr>
      <w:r>
        <w:rPr>
          <w:rFonts w:hint="eastAsia" w:ascii="宋体" w:hAnsi="宋体" w:eastAsia="宋体" w:cs="宋体"/>
          <w:b/>
          <w:color w:val="000000"/>
          <w:kern w:val="0"/>
          <w:sz w:val="24"/>
        </w:rPr>
        <w:t>十五、联系方式：</w:t>
      </w:r>
    </w:p>
    <w:p>
      <w:pPr>
        <w:snapToGrid w:val="0"/>
        <w:spacing w:line="360" w:lineRule="auto"/>
        <w:ind w:firstLine="482" w:firstLineChars="200"/>
        <w:rPr>
          <w:rFonts w:hint="eastAsia" w:ascii="宋体" w:hAnsi="宋体" w:eastAsia="宋体" w:cs="宋体"/>
          <w:bCs/>
          <w:color w:val="000000"/>
          <w:sz w:val="24"/>
          <w:lang w:val="en-US" w:eastAsia="zh-CN"/>
        </w:rPr>
      </w:pPr>
      <w:r>
        <w:rPr>
          <w:rFonts w:hint="eastAsia" w:ascii="宋体" w:hAnsi="宋体" w:eastAsia="宋体" w:cs="宋体"/>
          <w:b/>
          <w:color w:val="000000"/>
          <w:sz w:val="24"/>
        </w:rPr>
        <w:t>1、采购单位</w:t>
      </w:r>
      <w:r>
        <w:rPr>
          <w:rFonts w:hint="eastAsia" w:ascii="宋体" w:hAnsi="宋体" w:eastAsia="宋体" w:cs="宋体"/>
          <w:bCs/>
          <w:color w:val="000000"/>
          <w:sz w:val="24"/>
        </w:rPr>
        <w:t>：</w:t>
      </w:r>
      <w:r>
        <w:rPr>
          <w:rFonts w:hint="eastAsia" w:ascii="宋体" w:hAnsi="宋体" w:eastAsia="宋体" w:cs="宋体"/>
          <w:bCs/>
          <w:color w:val="000000"/>
          <w:sz w:val="24"/>
          <w:lang w:val="en-US" w:eastAsia="zh-CN"/>
        </w:rPr>
        <w:t>杭州市余杭区人民政府仁和街道办事处</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联系人：</w:t>
      </w:r>
      <w:r>
        <w:rPr>
          <w:rFonts w:hint="eastAsia" w:ascii="宋体" w:hAnsi="宋体" w:eastAsia="宋体" w:cs="宋体"/>
          <w:color w:val="000000"/>
          <w:sz w:val="24"/>
          <w:lang w:val="en-US" w:eastAsia="zh-CN"/>
        </w:rPr>
        <w:t>胡勇</w:t>
      </w:r>
      <w:r>
        <w:rPr>
          <w:rFonts w:hint="eastAsia" w:ascii="宋体" w:hAnsi="宋体" w:eastAsia="宋体" w:cs="宋体"/>
          <w:color w:val="000000"/>
          <w:sz w:val="24"/>
        </w:rPr>
        <w:t xml:space="preserve">    联系电话：</w:t>
      </w:r>
      <w:r>
        <w:rPr>
          <w:rFonts w:hint="eastAsia" w:ascii="宋体" w:hAnsi="宋体" w:eastAsia="宋体" w:cs="宋体"/>
          <w:bCs/>
          <w:sz w:val="24"/>
        </w:rPr>
        <w:t>0571-</w:t>
      </w:r>
      <w:r>
        <w:rPr>
          <w:rFonts w:hint="eastAsia" w:ascii="宋体" w:hAnsi="宋体" w:eastAsia="宋体" w:cs="宋体"/>
          <w:bCs/>
          <w:sz w:val="24"/>
          <w:lang w:val="en-US" w:eastAsia="zh-CN"/>
        </w:rPr>
        <w:t xml:space="preserve">83690283  </w:t>
      </w:r>
      <w:r>
        <w:rPr>
          <w:rFonts w:hint="eastAsia" w:ascii="宋体" w:hAnsi="宋体" w:eastAsia="宋体" w:cs="宋体"/>
          <w:bCs/>
          <w:sz w:val="24"/>
        </w:rPr>
        <w:t xml:space="preserve">  </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地址：</w:t>
      </w:r>
      <w:r>
        <w:rPr>
          <w:rFonts w:hint="eastAsia" w:ascii="宋体" w:hAnsi="宋体" w:eastAsia="宋体" w:cs="宋体"/>
          <w:color w:val="000000"/>
          <w:sz w:val="24"/>
          <w:lang w:val="en-US" w:eastAsia="zh-CN"/>
        </w:rPr>
        <w:t>杭州市余杭区仁和大道1号</w:t>
      </w:r>
      <w:r>
        <w:rPr>
          <w:rFonts w:hint="eastAsia" w:ascii="宋体" w:hAnsi="宋体" w:eastAsia="宋体" w:cs="宋体"/>
          <w:color w:val="000000"/>
          <w:sz w:val="24"/>
        </w:rPr>
        <w:t xml:space="preserve">。 </w:t>
      </w:r>
    </w:p>
    <w:p>
      <w:pPr>
        <w:snapToGrid w:val="0"/>
        <w:spacing w:line="360" w:lineRule="auto"/>
        <w:ind w:firstLine="482" w:firstLineChars="200"/>
        <w:rPr>
          <w:rFonts w:hint="eastAsia" w:ascii="宋体" w:hAnsi="宋体" w:eastAsia="宋体" w:cs="宋体"/>
          <w:bCs/>
          <w:color w:val="000000"/>
          <w:sz w:val="24"/>
          <w:lang w:val="en-US" w:eastAsia="zh-CN"/>
        </w:rPr>
      </w:pPr>
      <w:r>
        <w:rPr>
          <w:rFonts w:hint="eastAsia" w:ascii="宋体" w:hAnsi="宋体" w:eastAsia="宋体" w:cs="宋体"/>
          <w:b/>
          <w:color w:val="000000"/>
          <w:sz w:val="24"/>
        </w:rPr>
        <w:t>2、委托代理：</w:t>
      </w:r>
      <w:r>
        <w:rPr>
          <w:rFonts w:hint="eastAsia" w:ascii="宋体" w:hAnsi="宋体" w:eastAsia="宋体" w:cs="宋体"/>
          <w:color w:val="000000"/>
          <w:sz w:val="24"/>
        </w:rPr>
        <w:t>杭州鸿顺建设管理有限公司</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联系人：</w:t>
      </w:r>
      <w:r>
        <w:rPr>
          <w:rFonts w:hint="eastAsia" w:ascii="宋体" w:hAnsi="宋体" w:eastAsia="宋体" w:cs="宋体"/>
          <w:color w:val="000000"/>
          <w:sz w:val="24"/>
          <w:lang w:val="en-US" w:eastAsia="zh-CN"/>
        </w:rPr>
        <w:t>胡丹</w:t>
      </w:r>
      <w:r>
        <w:rPr>
          <w:rFonts w:hint="eastAsia" w:ascii="宋体" w:hAnsi="宋体" w:eastAsia="宋体" w:cs="宋体"/>
          <w:color w:val="000000"/>
          <w:sz w:val="24"/>
        </w:rPr>
        <w:t xml:space="preserve">   联系电话</w:t>
      </w:r>
      <w:r>
        <w:rPr>
          <w:rFonts w:hint="eastAsia" w:ascii="宋体" w:hAnsi="宋体" w:eastAsia="宋体" w:cs="宋体"/>
          <w:bCs/>
          <w:color w:val="000000"/>
          <w:sz w:val="24"/>
          <w:lang w:val="en-US" w:eastAsia="zh-CN"/>
        </w:rPr>
        <w:t>：0571-86228610</w:t>
      </w:r>
    </w:p>
    <w:p>
      <w:pPr>
        <w:snapToGrid w:val="0"/>
        <w:spacing w:line="360" w:lineRule="auto"/>
        <w:ind w:firstLine="480" w:firstLineChars="200"/>
        <w:rPr>
          <w:rFonts w:hint="eastAsia" w:ascii="宋体" w:hAnsi="宋体" w:eastAsia="宋体" w:cs="宋体"/>
          <w:bCs/>
          <w:color w:val="000000"/>
          <w:sz w:val="24"/>
          <w:lang w:val="en-US" w:eastAsia="zh-CN"/>
        </w:rPr>
      </w:pPr>
      <w:r>
        <w:rPr>
          <w:rFonts w:hint="eastAsia" w:ascii="宋体" w:hAnsi="宋体" w:eastAsia="宋体" w:cs="宋体"/>
          <w:kern w:val="0"/>
          <w:sz w:val="24"/>
        </w:rPr>
        <w:t>地址：</w:t>
      </w:r>
      <w:r>
        <w:rPr>
          <w:rFonts w:hint="eastAsia" w:ascii="宋体" w:hAnsi="宋体" w:eastAsia="宋体" w:cs="宋体"/>
          <w:bCs/>
          <w:color w:val="000000"/>
          <w:sz w:val="24"/>
          <w:lang w:val="en-US" w:eastAsia="zh-CN"/>
        </w:rPr>
        <w:t>杭州市余杭区振兴东路5号三号楼302室。</w:t>
      </w:r>
    </w:p>
    <w:p>
      <w:pPr>
        <w:snapToGrid w:val="0"/>
        <w:spacing w:line="360" w:lineRule="auto"/>
        <w:ind w:firstLine="480" w:firstLineChars="200"/>
        <w:rPr>
          <w:rFonts w:hint="eastAsia" w:ascii="宋体" w:hAnsi="宋体" w:eastAsia="宋体" w:cs="宋体"/>
          <w:bCs/>
          <w:color w:val="000000"/>
          <w:sz w:val="24"/>
          <w:lang w:val="en-US" w:eastAsia="zh-CN"/>
        </w:rPr>
      </w:pPr>
      <w:r>
        <w:rPr>
          <w:rFonts w:hint="eastAsia" w:ascii="宋体" w:hAnsi="宋体" w:eastAsia="宋体" w:cs="宋体"/>
          <w:bCs/>
          <w:color w:val="000000"/>
          <w:sz w:val="24"/>
          <w:lang w:val="en-US" w:eastAsia="zh-CN"/>
        </w:rPr>
        <w:t>3、同级政府采购监督管理部门</w:t>
      </w:r>
    </w:p>
    <w:p>
      <w:pPr>
        <w:adjustRightInd w:val="0"/>
        <w:snapToGrid w:val="0"/>
        <w:spacing w:line="360" w:lineRule="auto"/>
        <w:ind w:firstLine="482" w:firstLineChars="200"/>
        <w:rPr>
          <w:rFonts w:hint="eastAsia" w:ascii="宋体" w:hAnsi="宋体" w:eastAsia="宋体" w:cs="宋体"/>
          <w:sz w:val="24"/>
        </w:rPr>
      </w:pPr>
      <w:r>
        <w:rPr>
          <w:rFonts w:hint="eastAsia" w:ascii="宋体" w:hAnsi="宋体" w:eastAsia="宋体" w:cs="宋体"/>
          <w:b/>
          <w:bCs/>
          <w:sz w:val="24"/>
        </w:rPr>
        <w:t>同级政府采</w:t>
      </w:r>
      <w:r>
        <w:rPr>
          <w:rFonts w:hint="eastAsia" w:ascii="宋体" w:hAnsi="宋体" w:eastAsia="宋体" w:cs="宋体"/>
          <w:sz w:val="24"/>
          <w:lang w:eastAsia="zh-CN"/>
        </w:rPr>
        <w:t>：</w:t>
      </w:r>
      <w:r>
        <w:rPr>
          <w:rFonts w:hint="eastAsia" w:ascii="宋体" w:hAnsi="宋体" w:eastAsia="宋体" w:cs="宋体"/>
          <w:sz w:val="24"/>
        </w:rPr>
        <w:t>购监督管理部门：杭州市余杭区财政局</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联系人：杜国强     联系电话：0571-89180113，传真：0571-89180113</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地址：杭州市余杭区临平东湖中路236号余杭财税大楼。</w:t>
      </w:r>
    </w:p>
    <w:p>
      <w:pPr>
        <w:adjustRightInd w:val="0"/>
        <w:snapToGrid w:val="0"/>
        <w:spacing w:line="360" w:lineRule="auto"/>
        <w:ind w:firstLine="480" w:firstLineChars="200"/>
        <w:rPr>
          <w:rFonts w:hint="eastAsia" w:ascii="宋体" w:hAnsi="宋体" w:eastAsia="宋体" w:cs="宋体"/>
          <w:sz w:val="24"/>
        </w:rPr>
      </w:pPr>
    </w:p>
    <w:p>
      <w:pPr>
        <w:shd w:val="clear" w:color="auto" w:fill="FFFFFF"/>
        <w:snapToGrid w:val="0"/>
        <w:spacing w:line="360" w:lineRule="auto"/>
        <w:rPr>
          <w:rFonts w:hint="eastAsia" w:ascii="宋体" w:hAnsi="宋体" w:eastAsia="宋体" w:cs="宋体"/>
          <w:color w:val="000000"/>
          <w:sz w:val="24"/>
        </w:rPr>
      </w:pPr>
    </w:p>
    <w:p>
      <w:pPr>
        <w:pageBreakBefore/>
        <w:shd w:val="clear" w:color="auto" w:fill="FFFFFF"/>
        <w:snapToGrid w:val="0"/>
        <w:spacing w:line="360" w:lineRule="auto"/>
        <w:jc w:val="center"/>
        <w:outlineLvl w:val="0"/>
        <w:rPr>
          <w:rFonts w:hint="eastAsia" w:ascii="宋体" w:hAnsi="宋体" w:eastAsia="宋体" w:cs="宋体"/>
          <w:b/>
          <w:bCs/>
          <w:color w:val="000000"/>
          <w:sz w:val="24"/>
        </w:rPr>
      </w:pPr>
      <w:r>
        <w:rPr>
          <w:rFonts w:hint="eastAsia" w:ascii="宋体" w:hAnsi="宋体" w:eastAsia="宋体" w:cs="宋体"/>
          <w:b/>
          <w:bCs/>
          <w:color w:val="000000"/>
          <w:sz w:val="24"/>
        </w:rPr>
        <w:t>第二部分  编制和提交投标文件须知</w:t>
      </w:r>
      <w:bookmarkEnd w:id="3"/>
      <w:bookmarkEnd w:id="4"/>
    </w:p>
    <w:p>
      <w:pPr>
        <w:keepNext/>
        <w:keepLines/>
        <w:shd w:val="clear" w:color="auto" w:fill="FFFFFF"/>
        <w:tabs>
          <w:tab w:val="left" w:pos="706"/>
        </w:tabs>
        <w:snapToGrid w:val="0"/>
        <w:spacing w:line="360" w:lineRule="auto"/>
        <w:ind w:left="560" w:firstLine="454"/>
        <w:jc w:val="center"/>
        <w:outlineLvl w:val="1"/>
        <w:rPr>
          <w:rFonts w:hint="eastAsia" w:ascii="宋体" w:hAnsi="宋体" w:eastAsia="宋体" w:cs="宋体"/>
          <w:b/>
          <w:bCs/>
          <w:color w:val="000000"/>
          <w:sz w:val="24"/>
        </w:rPr>
      </w:pPr>
      <w:bookmarkStart w:id="7" w:name="_Toc33194387"/>
      <w:bookmarkStart w:id="8" w:name="_Toc354996695"/>
      <w:bookmarkStart w:id="9" w:name="_Toc233618971"/>
      <w:r>
        <w:rPr>
          <w:rFonts w:hint="eastAsia" w:ascii="宋体" w:hAnsi="宋体" w:eastAsia="宋体" w:cs="宋体"/>
          <w:b/>
          <w:bCs/>
          <w:color w:val="000000"/>
          <w:sz w:val="24"/>
        </w:rPr>
        <w:t>前 附 表</w:t>
      </w:r>
      <w:bookmarkEnd w:id="7"/>
      <w:bookmarkEnd w:id="8"/>
      <w:bookmarkEnd w:id="9"/>
    </w:p>
    <w:tbl>
      <w:tblPr>
        <w:tblStyle w:val="16"/>
        <w:tblW w:w="94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5"/>
        <w:gridCol w:w="1135"/>
        <w:gridCol w:w="76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655" w:type="dxa"/>
            <w:tcBorders>
              <w:top w:val="single" w:color="000000" w:sz="8" w:space="0"/>
              <w:left w:val="single" w:color="000000" w:sz="8" w:space="0"/>
              <w:bottom w:val="single" w:color="000000" w:sz="2" w:space="0"/>
              <w:right w:val="single" w:color="000000" w:sz="2" w:space="0"/>
            </w:tcBorders>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条款</w:t>
            </w:r>
          </w:p>
        </w:tc>
        <w:tc>
          <w:tcPr>
            <w:tcW w:w="8802" w:type="dxa"/>
            <w:gridSpan w:val="2"/>
            <w:tcBorders>
              <w:top w:val="single" w:color="000000" w:sz="8" w:space="0"/>
              <w:left w:val="single" w:color="000000" w:sz="2" w:space="0"/>
              <w:bottom w:val="single" w:color="000000" w:sz="2" w:space="0"/>
              <w:right w:val="single" w:color="000000" w:sz="8" w:space="0"/>
            </w:tcBorders>
            <w:vAlign w:val="center"/>
          </w:tcPr>
          <w:p>
            <w:pPr>
              <w:snapToGrid w:val="0"/>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38"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1</w:t>
            </w:r>
          </w:p>
        </w:tc>
        <w:tc>
          <w:tcPr>
            <w:tcW w:w="8802" w:type="dxa"/>
            <w:gridSpan w:val="2"/>
            <w:tcBorders>
              <w:top w:val="single" w:color="000000" w:sz="2" w:space="0"/>
              <w:left w:val="single" w:color="000000" w:sz="2" w:space="0"/>
              <w:bottom w:val="single" w:color="000000" w:sz="2" w:space="0"/>
              <w:right w:val="single" w:color="000000" w:sz="8" w:space="0"/>
            </w:tcBorders>
          </w:tcPr>
          <w:p>
            <w:pPr>
              <w:snapToGrid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                               项目说明</w:t>
            </w:r>
          </w:p>
          <w:p>
            <w:pPr>
              <w:tabs>
                <w:tab w:val="left" w:pos="3780"/>
              </w:tabs>
              <w:snapToGrid w:val="0"/>
              <w:spacing w:line="360" w:lineRule="auto"/>
              <w:rPr>
                <w:rFonts w:hint="eastAsia" w:ascii="宋体" w:hAnsi="宋体" w:eastAsia="宋体" w:cs="宋体"/>
                <w:color w:val="000000"/>
                <w:sz w:val="24"/>
                <w:lang w:eastAsia="zh-CN"/>
              </w:rPr>
            </w:pPr>
            <w:r>
              <w:rPr>
                <w:rFonts w:hint="eastAsia" w:ascii="宋体" w:hAnsi="宋体" w:eastAsia="宋体" w:cs="宋体"/>
                <w:b/>
                <w:color w:val="000000"/>
                <w:sz w:val="24"/>
              </w:rPr>
              <w:t>一、项目名称：</w:t>
            </w:r>
            <w:r>
              <w:rPr>
                <w:rFonts w:hint="eastAsia" w:ascii="宋体" w:hAnsi="宋体" w:eastAsia="宋体" w:cs="宋体"/>
                <w:sz w:val="24"/>
                <w:lang w:eastAsia="zh-CN"/>
              </w:rPr>
              <w:t>仁和街道高新农业开发区易腐垃圾集中处置设备采购项目</w:t>
            </w:r>
          </w:p>
          <w:p>
            <w:pPr>
              <w:snapToGrid w:val="0"/>
              <w:spacing w:line="360" w:lineRule="auto"/>
              <w:rPr>
                <w:rFonts w:hint="eastAsia" w:ascii="宋体" w:hAnsi="宋体" w:eastAsia="宋体" w:cs="宋体"/>
                <w:color w:val="000000"/>
                <w:sz w:val="24"/>
              </w:rPr>
            </w:pPr>
            <w:bookmarkStart w:id="10" w:name="_Hlt75139851"/>
            <w:bookmarkEnd w:id="10"/>
            <w:r>
              <w:rPr>
                <w:rFonts w:hint="eastAsia" w:ascii="宋体" w:hAnsi="宋体" w:eastAsia="宋体" w:cs="宋体"/>
                <w:b/>
                <w:color w:val="000000"/>
              </w:rPr>
              <w:t>二、</w:t>
            </w:r>
            <w:r>
              <w:rPr>
                <w:rFonts w:hint="eastAsia" w:ascii="宋体" w:hAnsi="宋体" w:eastAsia="宋体" w:cs="宋体"/>
                <w:b/>
                <w:color w:val="000000"/>
                <w:sz w:val="24"/>
              </w:rPr>
              <w:t>采购内容：</w:t>
            </w:r>
            <w:r>
              <w:rPr>
                <w:rFonts w:hint="eastAsia" w:ascii="宋体" w:hAnsi="宋体" w:eastAsia="宋体" w:cs="宋体"/>
                <w:bCs/>
                <w:color w:val="000000"/>
                <w:sz w:val="24"/>
              </w:rPr>
              <w:t>本项目为</w:t>
            </w:r>
            <w:r>
              <w:rPr>
                <w:rFonts w:hint="eastAsia" w:ascii="宋体" w:hAnsi="宋体" w:eastAsia="宋体" w:cs="宋体"/>
                <w:bCs/>
                <w:color w:val="000000"/>
                <w:sz w:val="24"/>
                <w:lang w:eastAsia="zh-CN"/>
              </w:rPr>
              <w:t>杭州市余杭区人民政府</w:t>
            </w:r>
            <w:r>
              <w:rPr>
                <w:rFonts w:hint="eastAsia" w:cs="宋体"/>
                <w:bCs/>
                <w:color w:val="000000"/>
                <w:sz w:val="24"/>
                <w:lang w:eastAsia="zh-CN"/>
              </w:rPr>
              <w:t>仁和街道办事处</w:t>
            </w:r>
            <w:r>
              <w:rPr>
                <w:rFonts w:hint="eastAsia" w:ascii="宋体" w:hAnsi="宋体" w:eastAsia="宋体" w:cs="宋体"/>
                <w:bCs/>
                <w:color w:val="000000"/>
                <w:sz w:val="24"/>
                <w:lang w:eastAsia="zh-CN"/>
              </w:rPr>
              <w:t>湿垃圾就地处置装置</w:t>
            </w:r>
            <w:r>
              <w:rPr>
                <w:rFonts w:hint="eastAsia" w:ascii="宋体" w:hAnsi="宋体" w:eastAsia="宋体" w:cs="宋体"/>
                <w:bCs/>
                <w:color w:val="000000"/>
                <w:sz w:val="24"/>
              </w:rPr>
              <w:t xml:space="preserve">的采购、运输、安装、调试、培训和相关维护等 </w:t>
            </w:r>
          </w:p>
          <w:p>
            <w:pPr>
              <w:snapToGrid w:val="0"/>
              <w:spacing w:line="360" w:lineRule="auto"/>
              <w:rPr>
                <w:rFonts w:hint="eastAsia" w:ascii="宋体" w:hAnsi="宋体" w:eastAsia="宋体" w:cs="宋体"/>
                <w:color w:val="000000"/>
                <w:sz w:val="24"/>
              </w:rPr>
            </w:pPr>
            <w:r>
              <w:rPr>
                <w:rFonts w:hint="eastAsia" w:ascii="宋体" w:hAnsi="宋体" w:eastAsia="宋体" w:cs="宋体"/>
                <w:b/>
                <w:color w:val="000000"/>
                <w:sz w:val="24"/>
              </w:rPr>
              <w:t>三、项目实施地点：</w:t>
            </w:r>
            <w:r>
              <w:rPr>
                <w:rFonts w:hint="eastAsia" w:ascii="宋体" w:hAnsi="宋体" w:eastAsia="宋体" w:cs="宋体"/>
                <w:color w:val="000000"/>
                <w:sz w:val="24"/>
              </w:rPr>
              <w:t>余杭区范围内采购人指定地点。</w:t>
            </w:r>
          </w:p>
          <w:p>
            <w:pPr>
              <w:snapToGrid w:val="0"/>
              <w:spacing w:line="360" w:lineRule="auto"/>
              <w:rPr>
                <w:rFonts w:hint="eastAsia" w:ascii="宋体" w:hAnsi="宋体" w:eastAsia="宋体" w:cs="宋体"/>
                <w:color w:val="000000"/>
                <w:sz w:val="24"/>
              </w:rPr>
            </w:pPr>
            <w:r>
              <w:rPr>
                <w:rFonts w:hint="eastAsia" w:ascii="宋体" w:hAnsi="宋体" w:eastAsia="宋体" w:cs="宋体"/>
                <w:b/>
                <w:color w:val="000000"/>
                <w:sz w:val="24"/>
              </w:rPr>
              <w:t>四、主要功能和性能要求：</w:t>
            </w:r>
            <w:r>
              <w:rPr>
                <w:rFonts w:hint="eastAsia" w:ascii="宋体" w:hAnsi="宋体" w:eastAsia="宋体" w:cs="宋体"/>
                <w:color w:val="000000"/>
                <w:sz w:val="24"/>
              </w:rPr>
              <w:t>详见第三部分— 项目技术规范和服务要求</w:t>
            </w:r>
          </w:p>
          <w:p>
            <w:pPr>
              <w:snapToGrid w:val="0"/>
              <w:spacing w:line="360" w:lineRule="auto"/>
              <w:rPr>
                <w:rFonts w:hint="eastAsia" w:ascii="宋体" w:hAnsi="宋体" w:eastAsia="宋体" w:cs="宋体"/>
                <w:bCs/>
                <w:color w:val="000000"/>
                <w:sz w:val="24"/>
              </w:rPr>
            </w:pPr>
            <w:r>
              <w:rPr>
                <w:rFonts w:hint="eastAsia" w:ascii="宋体" w:hAnsi="宋体" w:eastAsia="宋体" w:cs="宋体"/>
                <w:b/>
                <w:color w:val="000000"/>
                <w:sz w:val="24"/>
              </w:rPr>
              <w:t>五、服务期：</w:t>
            </w:r>
            <w:r>
              <w:rPr>
                <w:rFonts w:hint="eastAsia" w:ascii="宋体" w:hAnsi="宋体" w:eastAsia="宋体" w:cs="宋体"/>
                <w:bCs/>
                <w:color w:val="000000"/>
                <w:sz w:val="24"/>
              </w:rPr>
              <w:t>签订合同之日起30 天内送货并安装、调试完毕。</w:t>
            </w:r>
          </w:p>
          <w:p>
            <w:pPr>
              <w:snapToGrid w:val="0"/>
              <w:spacing w:line="360" w:lineRule="auto"/>
              <w:rPr>
                <w:rFonts w:hint="eastAsia" w:ascii="宋体" w:hAnsi="宋体" w:eastAsia="宋体" w:cs="宋体"/>
                <w:b/>
                <w:bCs/>
                <w:color w:val="000000"/>
                <w:sz w:val="24"/>
              </w:rPr>
            </w:pPr>
            <w:r>
              <w:rPr>
                <w:rFonts w:hint="eastAsia" w:ascii="宋体" w:hAnsi="宋体" w:eastAsia="宋体" w:cs="宋体"/>
                <w:b/>
                <w:color w:val="000000"/>
                <w:sz w:val="24"/>
              </w:rPr>
              <w:t>六、采购预算：</w:t>
            </w:r>
            <w:r>
              <w:rPr>
                <w:rFonts w:hint="eastAsia" w:ascii="宋体" w:hAnsi="宋体" w:eastAsia="宋体" w:cs="宋体"/>
                <w:color w:val="000000"/>
                <w:sz w:val="24"/>
              </w:rPr>
              <w:t>人民币</w:t>
            </w:r>
            <w:r>
              <w:rPr>
                <w:rFonts w:hint="eastAsia" w:ascii="宋体" w:hAnsi="宋体" w:eastAsia="宋体" w:cs="宋体"/>
                <w:color w:val="000000"/>
                <w:sz w:val="24"/>
                <w:lang w:val="en-US" w:eastAsia="zh-CN"/>
              </w:rPr>
              <w:t>800</w:t>
            </w:r>
            <w:r>
              <w:rPr>
                <w:rFonts w:hint="eastAsia" w:ascii="宋体" w:hAnsi="宋体" w:eastAsia="宋体" w:cs="宋体"/>
                <w:color w:val="000000"/>
                <w:sz w:val="24"/>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2</w:t>
            </w:r>
          </w:p>
        </w:tc>
        <w:tc>
          <w:tcPr>
            <w:tcW w:w="1135" w:type="dxa"/>
            <w:tcBorders>
              <w:top w:val="single" w:color="000000" w:sz="2" w:space="0"/>
              <w:left w:val="single" w:color="000000" w:sz="2" w:space="0"/>
              <w:bottom w:val="single" w:color="000000" w:sz="2" w:space="0"/>
              <w:right w:val="single" w:color="000000" w:sz="2" w:space="0"/>
            </w:tcBorders>
            <w:vAlign w:val="center"/>
          </w:tcPr>
          <w:p>
            <w:pPr>
              <w:snapToGrid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合同名称</w:t>
            </w:r>
          </w:p>
        </w:tc>
        <w:tc>
          <w:tcPr>
            <w:tcW w:w="7667" w:type="dxa"/>
            <w:tcBorders>
              <w:top w:val="single" w:color="000000" w:sz="2" w:space="0"/>
              <w:left w:val="single" w:color="000000" w:sz="2" w:space="0"/>
              <w:bottom w:val="single" w:color="000000" w:sz="2" w:space="0"/>
              <w:right w:val="single" w:color="000000" w:sz="8" w:space="0"/>
            </w:tcBorders>
            <w:vAlign w:val="center"/>
          </w:tcPr>
          <w:p>
            <w:pPr>
              <w:snapToGrid w:val="0"/>
              <w:spacing w:line="360" w:lineRule="auto"/>
              <w:rPr>
                <w:rFonts w:hint="eastAsia" w:ascii="宋体" w:hAnsi="宋体" w:eastAsia="宋体" w:cs="宋体"/>
                <w:color w:val="000000"/>
                <w:sz w:val="24"/>
              </w:rPr>
            </w:pPr>
            <w:r>
              <w:rPr>
                <w:rFonts w:hint="eastAsia" w:ascii="宋体" w:hAnsi="宋体" w:eastAsia="宋体" w:cs="宋体"/>
                <w:color w:val="000000"/>
                <w:spacing w:val="-6"/>
                <w:sz w:val="24"/>
              </w:rPr>
              <w:t>《</w:t>
            </w:r>
            <w:r>
              <w:rPr>
                <w:rFonts w:hint="eastAsia" w:ascii="宋体" w:hAnsi="宋体" w:eastAsia="宋体" w:cs="宋体"/>
                <w:sz w:val="24"/>
                <w:lang w:eastAsia="zh-CN"/>
              </w:rPr>
              <w:t>杭州市余杭区人民政府</w:t>
            </w:r>
            <w:r>
              <w:rPr>
                <w:rFonts w:hint="eastAsia" w:cs="宋体"/>
                <w:sz w:val="24"/>
                <w:lang w:eastAsia="zh-CN"/>
              </w:rPr>
              <w:t>仁和街道办事处</w:t>
            </w:r>
            <w:r>
              <w:rPr>
                <w:rFonts w:hint="eastAsia" w:ascii="宋体" w:hAnsi="宋体" w:eastAsia="宋体" w:cs="宋体"/>
                <w:sz w:val="24"/>
                <w:lang w:eastAsia="zh-CN"/>
              </w:rPr>
              <w:t>仁和街道高新农业开发区易腐垃圾集中处置设备采购项目</w:t>
            </w:r>
            <w:r>
              <w:rPr>
                <w:rFonts w:hint="eastAsia" w:ascii="宋体" w:hAnsi="宋体" w:eastAsia="宋体" w:cs="宋体"/>
                <w:bCs/>
                <w:color w:val="000000"/>
                <w:spacing w:val="-5"/>
                <w:kern w:val="20"/>
                <w:sz w:val="24"/>
              </w:rPr>
              <w:t>采购服务</w:t>
            </w:r>
            <w:r>
              <w:rPr>
                <w:rFonts w:hint="eastAsia" w:ascii="宋体" w:hAnsi="宋体" w:eastAsia="宋体" w:cs="宋体"/>
                <w:color w:val="000000"/>
                <w:spacing w:val="-6"/>
                <w:sz w:val="24"/>
              </w:rPr>
              <w:t>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3</w:t>
            </w:r>
          </w:p>
        </w:tc>
        <w:tc>
          <w:tcPr>
            <w:tcW w:w="8802" w:type="dxa"/>
            <w:gridSpan w:val="2"/>
            <w:tcBorders>
              <w:top w:val="single" w:color="000000" w:sz="2" w:space="0"/>
              <w:left w:val="single" w:color="000000" w:sz="2" w:space="0"/>
              <w:bottom w:val="single" w:color="000000" w:sz="2" w:space="0"/>
              <w:right w:val="single" w:color="000000" w:sz="8" w:space="0"/>
            </w:tcBorders>
            <w:vAlign w:val="center"/>
          </w:tcPr>
          <w:p>
            <w:pPr>
              <w:snapToGrid w:val="0"/>
              <w:spacing w:line="360" w:lineRule="auto"/>
              <w:rPr>
                <w:rFonts w:hint="eastAsia" w:ascii="宋体" w:hAnsi="宋体" w:eastAsia="宋体" w:cs="宋体"/>
                <w:color w:val="000000"/>
                <w:sz w:val="24"/>
              </w:rPr>
            </w:pPr>
            <w:r>
              <w:rPr>
                <w:rFonts w:hint="eastAsia" w:ascii="宋体" w:hAnsi="宋体" w:eastAsia="宋体" w:cs="宋体"/>
                <w:b/>
                <w:bCs/>
                <w:color w:val="000000"/>
                <w:sz w:val="24"/>
              </w:rPr>
              <w:t>投标有效期：</w:t>
            </w:r>
            <w:r>
              <w:rPr>
                <w:rFonts w:hint="eastAsia" w:ascii="宋体" w:hAnsi="宋体" w:eastAsia="宋体" w:cs="宋体"/>
                <w:color w:val="000000"/>
                <w:sz w:val="24"/>
              </w:rPr>
              <w:t>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4</w:t>
            </w:r>
          </w:p>
        </w:tc>
        <w:tc>
          <w:tcPr>
            <w:tcW w:w="8802" w:type="dxa"/>
            <w:gridSpan w:val="2"/>
            <w:tcBorders>
              <w:top w:val="single" w:color="000000" w:sz="2" w:space="0"/>
              <w:left w:val="single" w:color="000000" w:sz="2" w:space="0"/>
              <w:bottom w:val="single" w:color="000000" w:sz="2" w:space="0"/>
              <w:right w:val="single" w:color="000000" w:sz="8" w:space="0"/>
            </w:tcBorders>
            <w:vAlign w:val="center"/>
          </w:tcPr>
          <w:p>
            <w:pPr>
              <w:snapToGrid w:val="0"/>
              <w:spacing w:line="360" w:lineRule="auto"/>
              <w:rPr>
                <w:rFonts w:hint="eastAsia" w:ascii="宋体" w:hAnsi="宋体" w:eastAsia="宋体" w:cs="宋体"/>
                <w:color w:val="000000"/>
                <w:sz w:val="24"/>
              </w:rPr>
            </w:pPr>
            <w:r>
              <w:rPr>
                <w:rFonts w:hint="eastAsia" w:ascii="宋体" w:hAnsi="宋体" w:eastAsia="宋体" w:cs="宋体"/>
                <w:b/>
                <w:bCs/>
                <w:color w:val="000000"/>
                <w:sz w:val="24"/>
              </w:rPr>
              <w:t>投标保证金数额：无</w:t>
            </w:r>
            <w:r>
              <w:rPr>
                <w:rFonts w:hint="eastAsia" w:ascii="宋体" w:hAnsi="宋体" w:eastAsia="宋体" w:cs="宋体"/>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5</w:t>
            </w:r>
          </w:p>
        </w:tc>
        <w:tc>
          <w:tcPr>
            <w:tcW w:w="8802" w:type="dxa"/>
            <w:gridSpan w:val="2"/>
            <w:tcBorders>
              <w:top w:val="single" w:color="000000" w:sz="2" w:space="0"/>
              <w:left w:val="single" w:color="000000" w:sz="2" w:space="0"/>
              <w:bottom w:val="single" w:color="000000" w:sz="2" w:space="0"/>
              <w:right w:val="single" w:color="000000" w:sz="8" w:space="0"/>
            </w:tcBorders>
            <w:vAlign w:val="center"/>
          </w:tcPr>
          <w:p>
            <w:pPr>
              <w:autoSpaceDE/>
              <w:autoSpaceDN/>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招标服务费：</w:t>
            </w:r>
            <w:r>
              <w:rPr>
                <w:rFonts w:hint="eastAsia" w:ascii="宋体" w:hAnsi="宋体" w:eastAsia="宋体" w:cs="宋体"/>
                <w:b/>
                <w:bCs/>
                <w:color w:val="000000"/>
                <w:sz w:val="24"/>
                <w:lang w:val="en-US" w:bidi="ar"/>
              </w:rPr>
              <w:t>1、</w:t>
            </w:r>
            <w:r>
              <w:rPr>
                <w:rFonts w:hint="eastAsia" w:ascii="宋体" w:hAnsi="宋体" w:eastAsia="宋体" w:cs="宋体"/>
                <w:b/>
                <w:bCs/>
                <w:color w:val="000000"/>
                <w:sz w:val="24"/>
                <w:lang w:bidi="ar"/>
              </w:rPr>
              <w:t>本次代理服务费由中标人支付，代理服务费按照国家计委印发的《招标代理服务收费管理暂行办法》计价格[2002]1980号、发改办价格[2003]857号和《关于规范余杭区政府投资项目中介服务付费限额标准的通知》余财政〔2018〕24号规定收费</w:t>
            </w:r>
            <w:r>
              <w:rPr>
                <w:rFonts w:hint="eastAsia" w:ascii="宋体" w:hAnsi="宋体" w:eastAsia="宋体" w:cs="宋体"/>
                <w:b/>
                <w:bCs/>
                <w:color w:val="000000"/>
                <w:sz w:val="24"/>
                <w:lang w:eastAsia="zh-CN" w:bidi="ar"/>
              </w:rPr>
              <w:t>，</w:t>
            </w:r>
            <w:r>
              <w:rPr>
                <w:rFonts w:hint="eastAsia" w:ascii="宋体" w:hAnsi="宋体" w:eastAsia="宋体" w:cs="宋体"/>
                <w:b/>
                <w:bCs/>
                <w:color w:val="000000"/>
                <w:sz w:val="24"/>
                <w:lang w:bidi="ar"/>
              </w:rPr>
              <w:t>但不单列进投标总价</w:t>
            </w:r>
            <w:r>
              <w:rPr>
                <w:rFonts w:hint="eastAsia" w:ascii="宋体" w:hAnsi="宋体" w:eastAsia="宋体" w:cs="宋体"/>
                <w:b/>
                <w:bCs/>
                <w:color w:val="000000"/>
                <w:sz w:val="24"/>
                <w:lang w:eastAsia="zh-CN" w:bidi="ar"/>
              </w:rPr>
              <w:t>，</w:t>
            </w:r>
            <w:r>
              <w:rPr>
                <w:rFonts w:hint="eastAsia" w:ascii="宋体" w:hAnsi="宋体" w:eastAsia="宋体" w:cs="宋体"/>
                <w:b/>
                <w:bCs/>
                <w:color w:val="000000"/>
                <w:sz w:val="24"/>
                <w:lang w:bidi="ar"/>
              </w:rPr>
              <w:t>由中标人在领取中标通知书前支付给招标代理机构，各投标人应在投标报价中予以考虑。</w:t>
            </w:r>
            <w:r>
              <w:rPr>
                <w:rFonts w:hint="eastAsia" w:ascii="宋体" w:hAnsi="宋体" w:eastAsia="宋体" w:cs="宋体"/>
                <w:b/>
                <w:bCs/>
                <w:color w:val="000000"/>
                <w:sz w:val="24"/>
              </w:rPr>
              <w:t xml:space="preserve"> </w:t>
            </w:r>
          </w:p>
          <w:p>
            <w:pPr>
              <w:spacing w:line="440" w:lineRule="exact"/>
              <w:rPr>
                <w:rFonts w:hint="eastAsia" w:ascii="宋体" w:hAnsi="宋体" w:eastAsia="宋体" w:cs="宋体"/>
                <w:b/>
                <w:bCs/>
                <w:color w:val="000000"/>
                <w:sz w:val="24"/>
              </w:rPr>
            </w:pPr>
            <w:r>
              <w:rPr>
                <w:rFonts w:hint="eastAsia" w:ascii="宋体" w:hAnsi="宋体" w:eastAsia="宋体" w:cs="宋体"/>
                <w:b/>
                <w:bCs/>
                <w:color w:val="000000"/>
                <w:sz w:val="24"/>
              </w:rPr>
              <w:t>2.评审费按实结算。</w:t>
            </w:r>
          </w:p>
          <w:p>
            <w:pPr>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 xml:space="preserve">收款单位（户名）:杭州鸿顺建设管理有限公司 </w:t>
            </w:r>
          </w:p>
          <w:p>
            <w:pPr>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 xml:space="preserve">开户银行：中国建设银行股份有限公司杭州余杭支行   </w:t>
            </w:r>
          </w:p>
          <w:p>
            <w:pPr>
              <w:pStyle w:val="26"/>
              <w:snapToGrid w:val="0"/>
              <w:spacing w:before="0" w:line="360" w:lineRule="auto"/>
              <w:ind w:firstLine="0" w:firstLineChars="0"/>
              <w:rPr>
                <w:rFonts w:hint="eastAsia" w:ascii="宋体" w:hAnsi="宋体" w:eastAsia="宋体" w:cs="宋体"/>
                <w:color w:val="000000"/>
                <w:szCs w:val="24"/>
              </w:rPr>
            </w:pPr>
            <w:r>
              <w:rPr>
                <w:rFonts w:hint="eastAsia" w:ascii="宋体" w:hAnsi="宋体" w:eastAsia="宋体" w:cs="宋体"/>
                <w:b/>
                <w:bCs/>
                <w:color w:val="000000"/>
              </w:rPr>
              <w:t>银行账号：33001617435053028000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6</w:t>
            </w:r>
          </w:p>
        </w:tc>
        <w:tc>
          <w:tcPr>
            <w:tcW w:w="8802" w:type="dxa"/>
            <w:gridSpan w:val="2"/>
            <w:tcBorders>
              <w:top w:val="single" w:color="000000" w:sz="2" w:space="0"/>
              <w:left w:val="single" w:color="000000" w:sz="2" w:space="0"/>
              <w:bottom w:val="single" w:color="000000" w:sz="2" w:space="0"/>
              <w:right w:val="single" w:color="000000" w:sz="8" w:space="0"/>
            </w:tcBorders>
            <w:vAlign w:val="center"/>
          </w:tcPr>
          <w:p>
            <w:pPr>
              <w:spacing w:line="360" w:lineRule="auto"/>
              <w:rPr>
                <w:rFonts w:hint="eastAsia" w:ascii="宋体" w:hAnsi="宋体" w:eastAsia="宋体" w:cs="宋体"/>
                <w:color w:val="000000"/>
                <w:sz w:val="24"/>
                <w:lang w:bidi="ar"/>
              </w:rPr>
            </w:pPr>
            <w:r>
              <w:rPr>
                <w:rFonts w:hint="eastAsia" w:ascii="宋体" w:hAnsi="宋体" w:eastAsia="宋体" w:cs="宋体"/>
                <w:b/>
                <w:bCs/>
                <w:color w:val="000000"/>
                <w:sz w:val="24"/>
                <w:lang w:bidi="ar"/>
              </w:rPr>
              <w:t>投标文件的组成：</w:t>
            </w:r>
            <w:r>
              <w:rPr>
                <w:rFonts w:hint="eastAsia" w:ascii="宋体" w:hAnsi="宋体" w:eastAsia="宋体" w:cs="宋体"/>
                <w:color w:val="000000"/>
                <w:sz w:val="24"/>
                <w:lang w:bidi="ar"/>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7</w:t>
            </w:r>
          </w:p>
        </w:tc>
        <w:tc>
          <w:tcPr>
            <w:tcW w:w="8802" w:type="dxa"/>
            <w:gridSpan w:val="2"/>
            <w:tcBorders>
              <w:top w:val="single" w:color="000000" w:sz="2" w:space="0"/>
              <w:left w:val="single" w:color="000000" w:sz="2" w:space="0"/>
              <w:bottom w:val="single" w:color="000000" w:sz="2" w:space="0"/>
              <w:right w:val="single" w:color="000000" w:sz="8" w:space="0"/>
            </w:tcBorders>
            <w:vAlign w:val="center"/>
          </w:tcPr>
          <w:p>
            <w:pPr>
              <w:spacing w:line="360" w:lineRule="auto"/>
              <w:rPr>
                <w:rFonts w:hint="eastAsia" w:ascii="宋体" w:hAnsi="宋体" w:eastAsia="宋体" w:cs="宋体"/>
                <w:color w:val="000000"/>
                <w:sz w:val="24"/>
                <w:lang w:bidi="ar"/>
              </w:rPr>
            </w:pPr>
            <w:r>
              <w:rPr>
                <w:rFonts w:hint="eastAsia" w:ascii="宋体" w:hAnsi="宋体" w:eastAsia="宋体" w:cs="宋体"/>
                <w:b/>
                <w:bCs/>
                <w:color w:val="000000"/>
                <w:sz w:val="24"/>
                <w:lang w:bidi="ar"/>
              </w:rPr>
              <w:t>投标文件的编制：</w:t>
            </w:r>
            <w:r>
              <w:rPr>
                <w:rFonts w:hint="eastAsia" w:ascii="宋体" w:hAnsi="宋体" w:eastAsia="宋体" w:cs="宋体"/>
                <w:color w:val="000000"/>
                <w:sz w:val="24"/>
                <w:lang w:bidi="ar"/>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8</w:t>
            </w:r>
          </w:p>
        </w:tc>
        <w:tc>
          <w:tcPr>
            <w:tcW w:w="8802" w:type="dxa"/>
            <w:gridSpan w:val="2"/>
            <w:tcBorders>
              <w:top w:val="single" w:color="000000" w:sz="2" w:space="0"/>
              <w:left w:val="single" w:color="000000" w:sz="2" w:space="0"/>
              <w:bottom w:val="single" w:color="000000" w:sz="2" w:space="0"/>
              <w:right w:val="single" w:color="000000" w:sz="8" w:space="0"/>
            </w:tcBorders>
            <w:vAlign w:val="center"/>
          </w:tcPr>
          <w:p>
            <w:pPr>
              <w:spacing w:line="360" w:lineRule="auto"/>
              <w:rPr>
                <w:rFonts w:hint="eastAsia" w:ascii="宋体" w:hAnsi="宋体" w:eastAsia="宋体" w:cs="宋体"/>
                <w:color w:val="000000"/>
                <w:sz w:val="24"/>
                <w:lang w:bidi="ar"/>
              </w:rPr>
            </w:pPr>
            <w:r>
              <w:rPr>
                <w:rFonts w:hint="eastAsia" w:ascii="宋体" w:hAnsi="宋体" w:eastAsia="宋体" w:cs="宋体"/>
                <w:b/>
                <w:bCs/>
                <w:color w:val="000000"/>
                <w:sz w:val="24"/>
                <w:lang w:bidi="ar"/>
              </w:rPr>
              <w:t>投标文件的签章：电子签章（公章）。其中法定代表人和授权代表签字或盖章可书面签订或盖章后扫描至电子投标文件中上传。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9</w:t>
            </w:r>
          </w:p>
        </w:tc>
        <w:tc>
          <w:tcPr>
            <w:tcW w:w="8802" w:type="dxa"/>
            <w:gridSpan w:val="2"/>
            <w:tcBorders>
              <w:top w:val="single" w:color="000000" w:sz="2" w:space="0"/>
              <w:left w:val="single" w:color="000000" w:sz="2" w:space="0"/>
              <w:bottom w:val="single" w:color="000000" w:sz="2" w:space="0"/>
              <w:right w:val="single" w:color="000000" w:sz="8" w:space="0"/>
            </w:tcBorders>
            <w:vAlign w:val="center"/>
          </w:tcPr>
          <w:p>
            <w:pPr>
              <w:spacing w:line="360" w:lineRule="auto"/>
              <w:rPr>
                <w:rFonts w:hint="eastAsia" w:ascii="宋体" w:hAnsi="宋体" w:eastAsia="宋体" w:cs="宋体"/>
                <w:color w:val="000000"/>
                <w:sz w:val="24"/>
                <w:lang w:bidi="ar"/>
              </w:rPr>
            </w:pPr>
            <w:r>
              <w:rPr>
                <w:rFonts w:hint="eastAsia" w:ascii="宋体" w:hAnsi="宋体" w:eastAsia="宋体" w:cs="宋体"/>
                <w:b/>
                <w:bCs/>
                <w:color w:val="000000"/>
                <w:sz w:val="24"/>
                <w:lang w:bidi="ar"/>
              </w:rPr>
              <w:t>投标文件的形式：</w:t>
            </w:r>
            <w:r>
              <w:rPr>
                <w:rFonts w:hint="eastAsia" w:ascii="宋体" w:hAnsi="宋体" w:eastAsia="宋体" w:cs="宋体"/>
                <w:color w:val="000000"/>
                <w:sz w:val="24"/>
                <w:lang w:bidi="ar"/>
              </w:rPr>
              <w:t>☑电子投标文件（包括“电子加密投标文件”和“备份投标文件”，在投标文件编制完成后同时生成）；</w:t>
            </w:r>
          </w:p>
          <w:p>
            <w:pPr>
              <w:spacing w:line="360" w:lineRule="auto"/>
              <w:rPr>
                <w:rFonts w:hint="eastAsia" w:ascii="宋体" w:hAnsi="宋体" w:eastAsia="宋体" w:cs="宋体"/>
                <w:color w:val="000000"/>
                <w:sz w:val="24"/>
                <w:lang w:bidi="ar"/>
              </w:rPr>
            </w:pPr>
            <w:r>
              <w:rPr>
                <w:rFonts w:hint="eastAsia" w:ascii="宋体" w:hAnsi="宋体" w:eastAsia="宋体" w:cs="宋体"/>
                <w:color w:val="000000"/>
                <w:sz w:val="24"/>
                <w:lang w:bidi="ar"/>
              </w:rPr>
              <w:t>（1）“电子加密投标文件”是指通过“政采云电子交易客户端”完成投标文件编制后生成并加密的数据电文形式的投标文件。</w:t>
            </w:r>
          </w:p>
          <w:p>
            <w:pPr>
              <w:spacing w:line="360" w:lineRule="auto"/>
              <w:rPr>
                <w:rFonts w:hint="eastAsia" w:ascii="宋体" w:hAnsi="宋体" w:eastAsia="宋体" w:cs="宋体"/>
                <w:color w:val="000000"/>
                <w:sz w:val="24"/>
                <w:lang w:bidi="ar"/>
              </w:rPr>
            </w:pPr>
            <w:r>
              <w:rPr>
                <w:rFonts w:hint="eastAsia" w:ascii="宋体" w:hAnsi="宋体" w:eastAsia="宋体" w:cs="宋体"/>
                <w:color w:val="000000"/>
                <w:sz w:val="24"/>
                <w:lang w:bidi="ar"/>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10</w:t>
            </w:r>
          </w:p>
        </w:tc>
        <w:tc>
          <w:tcPr>
            <w:tcW w:w="8802" w:type="dxa"/>
            <w:gridSpan w:val="2"/>
            <w:tcBorders>
              <w:top w:val="single" w:color="000000" w:sz="2" w:space="0"/>
              <w:left w:val="single" w:color="000000" w:sz="2" w:space="0"/>
              <w:bottom w:val="single" w:color="000000" w:sz="2" w:space="0"/>
              <w:right w:val="single" w:color="000000" w:sz="8" w:space="0"/>
            </w:tcBorders>
            <w:vAlign w:val="center"/>
          </w:tcPr>
          <w:p>
            <w:pPr>
              <w:shd w:val="clear" w:color="auto" w:fill="FFFFFF"/>
              <w:snapToGrid w:val="0"/>
              <w:spacing w:line="360" w:lineRule="auto"/>
              <w:ind w:firstLine="482" w:firstLineChars="200"/>
              <w:rPr>
                <w:rFonts w:hint="eastAsia" w:ascii="宋体" w:hAnsi="宋体" w:eastAsia="宋体" w:cs="宋体"/>
                <w:color w:val="000000"/>
                <w:sz w:val="24"/>
              </w:rPr>
            </w:pPr>
            <w:r>
              <w:rPr>
                <w:rFonts w:hint="eastAsia" w:ascii="宋体" w:hAnsi="宋体" w:eastAsia="宋体" w:cs="宋体"/>
                <w:b/>
                <w:bCs/>
                <w:color w:val="000000" w:themeColor="text1"/>
                <w:sz w:val="24"/>
                <w:highlight w:val="none"/>
                <w:lang w:bidi="ar"/>
                <w14:textFill>
                  <w14:solidFill>
                    <w14:schemeClr w14:val="tx1"/>
                  </w14:solidFill>
                </w14:textFill>
              </w:rPr>
              <w:t>投标文件份数：</w:t>
            </w:r>
            <w:r>
              <w:rPr>
                <w:rFonts w:hint="eastAsia" w:ascii="宋体" w:hAnsi="宋体" w:eastAsia="宋体" w:cs="宋体"/>
                <w:color w:val="000000" w:themeColor="text1"/>
                <w:sz w:val="24"/>
                <w:highlight w:val="none"/>
                <w:lang w:bidi="ar"/>
                <w14:textFill>
                  <w14:solidFill>
                    <w14:schemeClr w14:val="tx1"/>
                  </w14:solidFill>
                </w14:textFill>
              </w:rPr>
              <w:t>（1）“电子加密投标文件”：在线上传递交、一份。（2）“备份投标文件”：密封包装后（EMS邮寄形式）</w:t>
            </w:r>
            <w:r>
              <w:rPr>
                <w:rFonts w:hint="eastAsia" w:ascii="宋体" w:hAnsi="宋体" w:eastAsia="宋体" w:cs="宋体"/>
                <w:color w:val="000000" w:themeColor="text1"/>
                <w:sz w:val="24"/>
                <w:highlight w:val="none"/>
                <w:lang w:val="en-US" w:eastAsia="zh-CN" w:bidi="ar"/>
                <w14:textFill>
                  <w14:solidFill>
                    <w14:schemeClr w14:val="tx1"/>
                  </w14:solidFill>
                </w14:textFill>
              </w:rPr>
              <w:t>投标截止时间</w:t>
            </w:r>
            <w:r>
              <w:rPr>
                <w:rFonts w:hint="eastAsia" w:ascii="宋体" w:hAnsi="宋体" w:eastAsia="宋体" w:cs="宋体"/>
                <w:color w:val="000000" w:themeColor="text1"/>
                <w:sz w:val="24"/>
                <w:highlight w:val="none"/>
                <w:lang w:bidi="ar"/>
                <w14:textFill>
                  <w14:solidFill>
                    <w14:schemeClr w14:val="tx1"/>
                  </w14:solidFill>
                </w14:textFill>
              </w:rPr>
              <w:t>前递交、一份（邮寄地址：</w:t>
            </w:r>
            <w:r>
              <w:rPr>
                <w:rFonts w:hint="eastAsia" w:ascii="宋体" w:hAnsi="宋体" w:eastAsia="宋体" w:cs="宋体"/>
                <w:color w:val="000000" w:themeColor="text1"/>
                <w:sz w:val="24"/>
                <w:highlight w:val="none"/>
                <w14:textFill>
                  <w14:solidFill>
                    <w14:schemeClr w14:val="tx1"/>
                  </w14:solidFill>
                </w14:textFill>
              </w:rPr>
              <w:t>杭州市余杭区振兴东路5号三号楼302室</w:t>
            </w:r>
            <w:r>
              <w:rPr>
                <w:rFonts w:hint="eastAsia" w:ascii="宋体" w:hAnsi="宋体" w:eastAsia="宋体" w:cs="宋体"/>
                <w:color w:val="000000" w:themeColor="text1"/>
                <w:sz w:val="24"/>
                <w:highlight w:val="none"/>
                <w:lang w:bidi="ar"/>
                <w14:textFill>
                  <w14:solidFill>
                    <w14:schemeClr w14:val="tx1"/>
                  </w14:solidFill>
                </w14:textFill>
              </w:rPr>
              <w:t>胡丹收）</w:t>
            </w:r>
            <w:r>
              <w:rPr>
                <w:rFonts w:hint="eastAsia" w:ascii="宋体" w:hAnsi="宋体" w:eastAsia="宋体" w:cs="宋体"/>
                <w:b w:val="0"/>
                <w:bCs w:val="0"/>
                <w:color w:val="000000" w:themeColor="text1"/>
                <w:sz w:val="24"/>
                <w:highlight w:val="none"/>
                <w:lang w:bidi="ar"/>
                <w14:textFill>
                  <w14:solidFill>
                    <w14:schemeClr w14:val="tx1"/>
                  </w14:solidFill>
                </w14:textFill>
              </w:rPr>
              <w:t>。</w:t>
            </w:r>
            <w:r>
              <w:rPr>
                <w:rFonts w:hint="eastAsia" w:ascii="宋体" w:hAnsi="宋体" w:eastAsia="宋体" w:cs="宋体"/>
                <w:b w:val="0"/>
                <w:bCs w:val="0"/>
                <w:color w:val="000000" w:themeColor="text1"/>
                <w:sz w:val="24"/>
                <w:highlight w:val="none"/>
                <w:lang w:val="en-US" w:eastAsia="zh-CN" w:bidi="ar"/>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bidi="ar"/>
                <w14:textFill>
                  <w14:solidFill>
                    <w14:schemeClr w14:val="tx1"/>
                  </w14:solidFill>
                </w14:textFill>
              </w:rPr>
              <w:t>（3）投标单位中标后提供一正</w:t>
            </w:r>
            <w:r>
              <w:rPr>
                <w:rFonts w:hint="eastAsia" w:cs="宋体"/>
                <w:b w:val="0"/>
                <w:bCs w:val="0"/>
                <w:color w:val="000000" w:themeColor="text1"/>
                <w:sz w:val="24"/>
                <w:highlight w:val="none"/>
                <w:lang w:eastAsia="zh-CN" w:bidi="ar"/>
                <w14:textFill>
                  <w14:solidFill>
                    <w14:schemeClr w14:val="tx1"/>
                  </w14:solidFill>
                </w14:textFill>
              </w:rPr>
              <w:t>四</w:t>
            </w:r>
            <w:r>
              <w:rPr>
                <w:rFonts w:hint="eastAsia" w:ascii="宋体" w:hAnsi="宋体" w:eastAsia="宋体" w:cs="宋体"/>
                <w:b w:val="0"/>
                <w:bCs w:val="0"/>
                <w:color w:val="000000" w:themeColor="text1"/>
                <w:sz w:val="24"/>
                <w:highlight w:val="none"/>
                <w:lang w:bidi="ar"/>
                <w14:textFill>
                  <w14:solidFill>
                    <w14:schemeClr w14:val="tx1"/>
                  </w14:solidFill>
                </w14:textFill>
              </w:rPr>
              <w:t>副纸质投标文件、一份电子投标文件与纸质投标文件内容一致承诺书给采购代理机构留底。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11</w:t>
            </w:r>
          </w:p>
        </w:tc>
        <w:tc>
          <w:tcPr>
            <w:tcW w:w="8802" w:type="dxa"/>
            <w:gridSpan w:val="2"/>
            <w:tcBorders>
              <w:top w:val="single" w:color="000000" w:sz="2" w:space="0"/>
              <w:left w:val="single" w:color="000000" w:sz="2" w:space="0"/>
              <w:bottom w:val="single" w:color="000000" w:sz="2" w:space="0"/>
              <w:right w:val="single" w:color="000000" w:sz="8" w:space="0"/>
            </w:tcBorders>
            <w:vAlign w:val="center"/>
          </w:tcPr>
          <w:p>
            <w:pPr>
              <w:spacing w:line="360" w:lineRule="auto"/>
              <w:rPr>
                <w:rFonts w:hint="eastAsia" w:ascii="宋体" w:hAnsi="宋体" w:eastAsia="宋体" w:cs="宋体"/>
                <w:b/>
                <w:bCs/>
                <w:color w:val="000000"/>
                <w:sz w:val="24"/>
                <w:lang w:bidi="ar"/>
              </w:rPr>
            </w:pPr>
            <w:r>
              <w:rPr>
                <w:rFonts w:hint="eastAsia" w:ascii="宋体" w:hAnsi="宋体" w:eastAsia="宋体" w:cs="宋体"/>
                <w:b/>
                <w:bCs/>
                <w:color w:val="000000"/>
                <w:sz w:val="24"/>
                <w:lang w:bidi="ar"/>
              </w:rPr>
              <w:t>投标文件的上传和递交：</w:t>
            </w:r>
          </w:p>
          <w:p>
            <w:pPr>
              <w:spacing w:line="360" w:lineRule="auto"/>
              <w:rPr>
                <w:rFonts w:hint="eastAsia" w:ascii="宋体" w:hAnsi="宋体" w:eastAsia="宋体" w:cs="宋体"/>
                <w:color w:val="000000"/>
                <w:sz w:val="24"/>
                <w:lang w:bidi="ar"/>
              </w:rPr>
            </w:pPr>
            <w:r>
              <w:rPr>
                <w:rFonts w:hint="eastAsia" w:ascii="宋体" w:hAnsi="宋体" w:eastAsia="宋体" w:cs="宋体"/>
                <w:color w:val="000000"/>
                <w:sz w:val="24"/>
                <w:lang w:bidi="ar"/>
              </w:rPr>
              <w:t>（1）“电子加密投标文件”的上传、递交：</w:t>
            </w:r>
          </w:p>
          <w:p>
            <w:pPr>
              <w:spacing w:line="360" w:lineRule="auto"/>
              <w:rPr>
                <w:rFonts w:hint="eastAsia" w:ascii="宋体" w:hAnsi="宋体" w:eastAsia="宋体" w:cs="宋体"/>
                <w:color w:val="000000"/>
                <w:sz w:val="24"/>
                <w:lang w:bidi="ar"/>
              </w:rPr>
            </w:pPr>
            <w:r>
              <w:rPr>
                <w:rFonts w:hint="eastAsia" w:ascii="宋体" w:hAnsi="宋体" w:eastAsia="宋体" w:cs="宋体"/>
                <w:color w:val="000000"/>
                <w:sz w:val="24"/>
                <w:lang w:bidi="ar"/>
              </w:rPr>
              <w:t>a.投标供应商应在投标截 止时间前将“电子加密投标文件”成功上传递交至“政府采购云平台”，否则投标无效。</w:t>
            </w:r>
          </w:p>
          <w:p>
            <w:pPr>
              <w:spacing w:line="360" w:lineRule="auto"/>
              <w:rPr>
                <w:rFonts w:hint="eastAsia" w:ascii="宋体" w:hAnsi="宋体" w:eastAsia="宋体" w:cs="宋体"/>
                <w:color w:val="000000"/>
                <w:sz w:val="24"/>
                <w:lang w:bidi="ar"/>
              </w:rPr>
            </w:pPr>
            <w:r>
              <w:rPr>
                <w:rFonts w:hint="eastAsia" w:ascii="宋体" w:hAnsi="宋体" w:eastAsia="宋体" w:cs="宋体"/>
                <w:color w:val="000000"/>
                <w:sz w:val="24"/>
                <w:lang w:bidi="ar"/>
              </w:rPr>
              <w:t>b.“电子加密投标文件”成功上传递交后，供应商可自行打印投标文件接收回执。</w:t>
            </w:r>
          </w:p>
          <w:p>
            <w:pPr>
              <w:spacing w:line="360" w:lineRule="auto"/>
              <w:rPr>
                <w:rFonts w:hint="eastAsia" w:ascii="宋体" w:hAnsi="宋体" w:eastAsia="宋体" w:cs="宋体"/>
                <w:color w:val="000000"/>
                <w:sz w:val="24"/>
                <w:lang w:bidi="ar"/>
              </w:rPr>
            </w:pPr>
            <w:r>
              <w:rPr>
                <w:rFonts w:hint="eastAsia" w:ascii="宋体" w:hAnsi="宋体" w:eastAsia="宋体" w:cs="宋体"/>
                <w:color w:val="000000"/>
                <w:sz w:val="24"/>
                <w:lang w:bidi="ar"/>
              </w:rPr>
              <w:t>（2）“备份投标文件”的密封包装、递交：</w:t>
            </w:r>
          </w:p>
          <w:p>
            <w:pPr>
              <w:pStyle w:val="21"/>
              <w:spacing w:line="360" w:lineRule="auto"/>
              <w:rPr>
                <w:rFonts w:hint="eastAsia" w:ascii="宋体" w:hAnsi="宋体" w:eastAsia="宋体" w:cs="宋体"/>
                <w:color w:val="000000"/>
                <w:sz w:val="24"/>
                <w:lang w:bidi="ar"/>
              </w:rPr>
            </w:pPr>
            <w:r>
              <w:rPr>
                <w:rFonts w:hint="eastAsia" w:ascii="宋体" w:hAnsi="宋体" w:eastAsia="宋体" w:cs="宋体"/>
                <w:color w:val="000000"/>
                <w:sz w:val="24"/>
                <w:lang w:bidi="ar"/>
              </w:rPr>
              <w:t>a.投标供应商在“政府采购云平台”完成“电子加密投标文件”的上传递交后，还可以（EMS</w:t>
            </w:r>
            <w:r>
              <w:rPr>
                <w:rFonts w:hint="eastAsia" w:ascii="宋体" w:hAnsi="宋体" w:eastAsia="宋体" w:cs="宋体"/>
                <w:sz w:val="24"/>
                <w:lang w:bidi="ar"/>
              </w:rPr>
              <w:t>邮寄形式）</w:t>
            </w:r>
            <w:r>
              <w:rPr>
                <w:rFonts w:hint="eastAsia" w:ascii="宋体" w:hAnsi="宋体" w:eastAsia="宋体" w:cs="宋体"/>
                <w:color w:val="000000"/>
                <w:sz w:val="24"/>
                <w:lang w:bidi="ar"/>
              </w:rPr>
              <w:t>在投标截止时间前递交以介质（U盘）存储的 “备份投标文件”（一份）；</w:t>
            </w:r>
            <w:r>
              <w:rPr>
                <w:rFonts w:hint="eastAsia" w:ascii="宋体" w:hAnsi="宋体" w:eastAsia="宋体" w:cs="宋体"/>
                <w:b/>
                <w:bCs/>
                <w:color w:val="000000"/>
                <w:lang w:bidi="ar"/>
              </w:rPr>
              <w:t>解密CA必须是上传并制作电子投标文件CA锁。</w:t>
            </w:r>
          </w:p>
          <w:p>
            <w:pPr>
              <w:spacing w:line="360" w:lineRule="auto"/>
              <w:rPr>
                <w:rFonts w:hint="eastAsia" w:ascii="宋体" w:hAnsi="宋体" w:eastAsia="宋体" w:cs="宋体"/>
                <w:color w:val="000000"/>
                <w:sz w:val="24"/>
                <w:lang w:bidi="ar"/>
              </w:rPr>
            </w:pPr>
            <w:r>
              <w:rPr>
                <w:rFonts w:hint="eastAsia" w:ascii="宋体" w:hAnsi="宋体" w:eastAsia="宋体" w:cs="宋体"/>
                <w:color w:val="000000"/>
                <w:sz w:val="24"/>
                <w:lang w:bidi="ar"/>
              </w:rPr>
              <w:t>b.“备份投标文件”应当密封包装，并在包装上标注投标项目名称、投标单位名称并加盖公章。没有密封包装或者逾期</w:t>
            </w:r>
            <w:r>
              <w:rPr>
                <w:rFonts w:hint="eastAsia" w:ascii="宋体" w:hAnsi="宋体" w:eastAsia="宋体" w:cs="宋体"/>
                <w:sz w:val="24"/>
                <w:lang w:bidi="ar"/>
              </w:rPr>
              <w:t>邮寄</w:t>
            </w:r>
            <w:r>
              <w:rPr>
                <w:rFonts w:hint="eastAsia" w:ascii="宋体" w:hAnsi="宋体" w:eastAsia="宋体" w:cs="宋体"/>
                <w:color w:val="000000"/>
                <w:sz w:val="24"/>
                <w:lang w:bidi="ar"/>
              </w:rPr>
              <w:t>送达至投标地点的“备份投标文件”将不予接收；</w:t>
            </w:r>
          </w:p>
          <w:p>
            <w:pPr>
              <w:spacing w:line="360" w:lineRule="auto"/>
              <w:rPr>
                <w:rFonts w:hint="eastAsia" w:ascii="宋体" w:hAnsi="宋体" w:eastAsia="宋体" w:cs="宋体"/>
                <w:color w:val="000000"/>
                <w:sz w:val="24"/>
                <w:lang w:bidi="ar"/>
              </w:rPr>
            </w:pPr>
            <w:r>
              <w:rPr>
                <w:rFonts w:hint="eastAsia" w:ascii="宋体" w:hAnsi="宋体" w:eastAsia="宋体" w:cs="宋体"/>
                <w:color w:val="000000"/>
                <w:sz w:val="24"/>
                <w:lang w:bidi="ar"/>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12</w:t>
            </w:r>
          </w:p>
        </w:tc>
        <w:tc>
          <w:tcPr>
            <w:tcW w:w="8802" w:type="dxa"/>
            <w:gridSpan w:val="2"/>
            <w:tcBorders>
              <w:top w:val="single" w:color="000000" w:sz="2" w:space="0"/>
              <w:left w:val="single" w:color="000000" w:sz="2" w:space="0"/>
              <w:bottom w:val="single" w:color="000000" w:sz="2" w:space="0"/>
              <w:right w:val="single" w:color="000000" w:sz="8" w:space="0"/>
            </w:tcBorders>
            <w:vAlign w:val="center"/>
          </w:tcPr>
          <w:p>
            <w:pPr>
              <w:spacing w:line="360" w:lineRule="auto"/>
              <w:rPr>
                <w:rFonts w:hint="eastAsia" w:ascii="宋体" w:hAnsi="宋体" w:eastAsia="宋体" w:cs="宋体"/>
                <w:b/>
                <w:bCs/>
                <w:color w:val="000000"/>
                <w:sz w:val="24"/>
                <w:lang w:bidi="ar"/>
              </w:rPr>
            </w:pPr>
            <w:r>
              <w:rPr>
                <w:rFonts w:hint="eastAsia" w:ascii="宋体" w:hAnsi="宋体" w:eastAsia="宋体" w:cs="宋体"/>
                <w:b/>
                <w:bCs/>
                <w:color w:val="000000"/>
                <w:sz w:val="24"/>
                <w:lang w:bidi="ar"/>
              </w:rPr>
              <w:t>电子加密投标文件的解密和异常情况处理：</w:t>
            </w:r>
          </w:p>
          <w:p>
            <w:pPr>
              <w:spacing w:line="360" w:lineRule="auto"/>
              <w:rPr>
                <w:rFonts w:hint="eastAsia" w:ascii="宋体" w:hAnsi="宋体" w:eastAsia="宋体" w:cs="宋体"/>
                <w:color w:val="000000"/>
                <w:sz w:val="24"/>
                <w:lang w:bidi="ar"/>
              </w:rPr>
            </w:pPr>
            <w:r>
              <w:rPr>
                <w:rFonts w:hint="eastAsia" w:ascii="宋体" w:hAnsi="宋体" w:eastAsia="宋体" w:cs="宋体"/>
                <w:color w:val="000000"/>
                <w:sz w:val="24"/>
                <w:lang w:bidi="ar"/>
              </w:rPr>
              <w:t>（1）开标后，采购组织机构将向各投标供应商发出“电子加密投标文件”的解密通知，各投标供应商代表应当在接到解密通知后45分钟内自行完成“电子加密投标文件”的在线解密。</w:t>
            </w:r>
          </w:p>
          <w:p>
            <w:pPr>
              <w:spacing w:line="360" w:lineRule="auto"/>
              <w:rPr>
                <w:rFonts w:hint="eastAsia" w:ascii="宋体" w:hAnsi="宋体" w:eastAsia="宋体" w:cs="宋体"/>
                <w:color w:val="000000"/>
                <w:sz w:val="24"/>
                <w:lang w:bidi="ar"/>
              </w:rPr>
            </w:pPr>
            <w:r>
              <w:rPr>
                <w:rFonts w:hint="eastAsia" w:ascii="宋体" w:hAnsi="宋体" w:eastAsia="宋体" w:cs="宋体"/>
                <w:color w:val="000000"/>
                <w:sz w:val="24"/>
                <w:lang w:bidi="ar"/>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360" w:lineRule="auto"/>
              <w:rPr>
                <w:rFonts w:hint="eastAsia" w:ascii="宋体" w:hAnsi="宋体" w:eastAsia="宋体" w:cs="宋体"/>
                <w:color w:val="000000"/>
                <w:sz w:val="24"/>
                <w:lang w:bidi="ar"/>
              </w:rPr>
            </w:pPr>
            <w:r>
              <w:rPr>
                <w:rFonts w:hint="eastAsia" w:ascii="宋体" w:hAnsi="宋体" w:eastAsia="宋体" w:cs="宋体"/>
                <w:color w:val="000000"/>
                <w:sz w:val="24"/>
                <w:lang w:bidi="ar"/>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13</w:t>
            </w:r>
          </w:p>
        </w:tc>
        <w:tc>
          <w:tcPr>
            <w:tcW w:w="8802" w:type="dxa"/>
            <w:gridSpan w:val="2"/>
            <w:tcBorders>
              <w:top w:val="single" w:color="000000" w:sz="2" w:space="0"/>
              <w:left w:val="single" w:color="000000" w:sz="2" w:space="0"/>
              <w:bottom w:val="single" w:color="000000" w:sz="2" w:space="0"/>
              <w:right w:val="single" w:color="000000" w:sz="8" w:space="0"/>
            </w:tcBorders>
            <w:vAlign w:val="center"/>
          </w:tcPr>
          <w:p>
            <w:pPr>
              <w:rPr>
                <w:rFonts w:hint="eastAsia" w:ascii="宋体" w:hAnsi="宋体" w:eastAsia="宋体" w:cs="宋体"/>
                <w:color w:val="000000"/>
                <w:sz w:val="24"/>
                <w:lang w:bidi="ar"/>
              </w:rPr>
            </w:pPr>
            <w:r>
              <w:rPr>
                <w:rFonts w:hint="eastAsia" w:ascii="宋体" w:hAnsi="宋体" w:eastAsia="宋体" w:cs="宋体"/>
                <w:b/>
                <w:bCs/>
                <w:sz w:val="24"/>
              </w:rPr>
              <w:t>投标截止时间：</w:t>
            </w:r>
            <w:r>
              <w:rPr>
                <w:rFonts w:hint="eastAsia" w:ascii="宋体" w:hAnsi="宋体" w:eastAsia="宋体" w:cs="宋体"/>
                <w:b/>
                <w:bCs/>
                <w:sz w:val="24"/>
                <w:lang w:val="en-US" w:eastAsia="zh-CN"/>
              </w:rPr>
              <w:t>同招标公告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14</w:t>
            </w:r>
          </w:p>
        </w:tc>
        <w:tc>
          <w:tcPr>
            <w:tcW w:w="8802" w:type="dxa"/>
            <w:gridSpan w:val="2"/>
            <w:tcBorders>
              <w:top w:val="single" w:color="000000" w:sz="2" w:space="0"/>
              <w:left w:val="single" w:color="000000" w:sz="2" w:space="0"/>
              <w:bottom w:val="single" w:color="000000" w:sz="2" w:space="0"/>
              <w:right w:val="single" w:color="000000" w:sz="8" w:space="0"/>
            </w:tcBorders>
            <w:vAlign w:val="center"/>
          </w:tcPr>
          <w:p>
            <w:pPr>
              <w:rPr>
                <w:rFonts w:hint="eastAsia" w:ascii="宋体" w:hAnsi="宋体" w:eastAsia="宋体" w:cs="宋体"/>
                <w:color w:val="000000"/>
                <w:sz w:val="24"/>
                <w:lang w:val="en-US" w:eastAsia="zh-CN" w:bidi="ar"/>
              </w:rPr>
            </w:pPr>
            <w:r>
              <w:rPr>
                <w:rFonts w:hint="eastAsia" w:ascii="宋体" w:hAnsi="宋体" w:eastAsia="宋体" w:cs="宋体"/>
                <w:b/>
                <w:bCs/>
                <w:sz w:val="24"/>
              </w:rPr>
              <w:t>投标地点：</w:t>
            </w:r>
            <w:r>
              <w:rPr>
                <w:rFonts w:hint="eastAsia" w:ascii="宋体" w:hAnsi="宋体" w:eastAsia="宋体" w:cs="宋体"/>
                <w:b/>
                <w:bCs/>
                <w:sz w:val="24"/>
                <w:lang w:val="en-US" w:eastAsia="zh-CN"/>
              </w:rPr>
              <w:t>同招标公告</w:t>
            </w:r>
            <w:r>
              <w:rPr>
                <w:rFonts w:hint="eastAsia" w:ascii="宋体" w:hAnsi="宋体" w:eastAsia="宋体" w:cs="宋体"/>
                <w:b/>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0" w:hRule="atLeast"/>
          <w:jc w:val="center"/>
        </w:trPr>
        <w:tc>
          <w:tcPr>
            <w:tcW w:w="655" w:type="dxa"/>
            <w:tcBorders>
              <w:top w:val="single" w:color="000000" w:sz="2"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15</w:t>
            </w:r>
          </w:p>
        </w:tc>
        <w:tc>
          <w:tcPr>
            <w:tcW w:w="8802" w:type="dxa"/>
            <w:gridSpan w:val="2"/>
            <w:tcBorders>
              <w:top w:val="single" w:color="000000" w:sz="2" w:space="0"/>
              <w:left w:val="single" w:color="000000" w:sz="2" w:space="0"/>
              <w:bottom w:val="single" w:color="auto" w:sz="4" w:space="0"/>
              <w:right w:val="single" w:color="000000" w:sz="8" w:space="0"/>
            </w:tcBorders>
            <w:vAlign w:val="center"/>
          </w:tcPr>
          <w:p>
            <w:pPr>
              <w:widowControl/>
              <w:snapToGrid w:val="0"/>
              <w:spacing w:line="360" w:lineRule="auto"/>
              <w:rPr>
                <w:rFonts w:hint="eastAsia" w:ascii="宋体" w:hAnsi="宋体" w:eastAsia="宋体" w:cs="宋体"/>
                <w:color w:val="000000"/>
                <w:sz w:val="24"/>
                <w:lang w:bidi="ar"/>
              </w:rPr>
            </w:pPr>
            <w:r>
              <w:rPr>
                <w:rFonts w:hint="eastAsia" w:ascii="宋体" w:hAnsi="宋体" w:eastAsia="宋体" w:cs="宋体"/>
                <w:b/>
                <w:bCs/>
                <w:color w:val="000000"/>
                <w:sz w:val="24"/>
                <w:lang w:bidi="ar"/>
              </w:rPr>
              <w:t>开标时间和地点：</w:t>
            </w:r>
            <w:r>
              <w:rPr>
                <w:rFonts w:hint="eastAsia" w:ascii="宋体" w:hAnsi="宋体" w:eastAsia="宋体" w:cs="宋体"/>
                <w:color w:val="000000"/>
                <w:sz w:val="24"/>
                <w:lang w:bidi="ar"/>
              </w:rPr>
              <w:t>同投标截止时间与地点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4" w:hRule="atLeast"/>
          <w:jc w:val="center"/>
        </w:trPr>
        <w:tc>
          <w:tcPr>
            <w:tcW w:w="65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16</w:t>
            </w:r>
          </w:p>
        </w:tc>
        <w:tc>
          <w:tcPr>
            <w:tcW w:w="8802" w:type="dxa"/>
            <w:gridSpan w:val="2"/>
            <w:tcBorders>
              <w:top w:val="single" w:color="auto" w:sz="4" w:space="0"/>
              <w:left w:val="single" w:color="000000" w:sz="2" w:space="0"/>
              <w:bottom w:val="single" w:color="auto" w:sz="4" w:space="0"/>
              <w:right w:val="single" w:color="000000" w:sz="8" w:space="0"/>
            </w:tcBorders>
            <w:vAlign w:val="center"/>
          </w:tcPr>
          <w:p>
            <w:pPr>
              <w:snapToGrid w:val="0"/>
              <w:spacing w:line="360" w:lineRule="auto"/>
              <w:rPr>
                <w:rFonts w:hint="eastAsia" w:ascii="宋体" w:hAnsi="宋体" w:eastAsia="宋体" w:cs="宋体"/>
                <w:color w:val="000000"/>
                <w:sz w:val="24"/>
                <w:lang w:bidi="ar"/>
              </w:rPr>
            </w:pPr>
            <w:r>
              <w:rPr>
                <w:rFonts w:hint="eastAsia" w:ascii="宋体" w:hAnsi="宋体" w:eastAsia="宋体" w:cs="宋体"/>
                <w:color w:val="000000"/>
                <w:sz w:val="24"/>
                <w:lang w:bidi="ar"/>
              </w:rPr>
              <w:t>带“▲”条款系指实质性要求条款。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4" w:hRule="atLeast"/>
          <w:jc w:val="center"/>
        </w:trPr>
        <w:tc>
          <w:tcPr>
            <w:tcW w:w="65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17</w:t>
            </w:r>
          </w:p>
        </w:tc>
        <w:tc>
          <w:tcPr>
            <w:tcW w:w="8802" w:type="dxa"/>
            <w:gridSpan w:val="2"/>
            <w:tcBorders>
              <w:top w:val="single" w:color="auto" w:sz="4" w:space="0"/>
              <w:left w:val="single" w:color="000000" w:sz="2" w:space="0"/>
              <w:bottom w:val="single" w:color="auto" w:sz="4" w:space="0"/>
              <w:right w:val="single" w:color="000000" w:sz="8" w:space="0"/>
            </w:tcBorders>
            <w:vAlign w:val="center"/>
          </w:tcPr>
          <w:p>
            <w:pPr>
              <w:snapToGrid w:val="0"/>
              <w:spacing w:line="360" w:lineRule="auto"/>
              <w:rPr>
                <w:rFonts w:hint="eastAsia" w:ascii="宋体" w:hAnsi="宋体" w:eastAsia="宋体" w:cs="宋体"/>
                <w:color w:val="000000"/>
                <w:sz w:val="24"/>
                <w:lang w:bidi="ar"/>
              </w:rPr>
            </w:pPr>
            <w:r>
              <w:rPr>
                <w:rFonts w:hint="eastAsia" w:ascii="宋体" w:hAnsi="宋体" w:eastAsia="宋体" w:cs="宋体"/>
                <w:color w:val="000000"/>
                <w:sz w:val="24"/>
                <w:lang w:bidi="ar"/>
              </w:rPr>
              <w:t>1、投标截止后，在投标有效期内，投标人不能撤销投标文件。投标人强行撤销投标文件的，应按预算金额的2%赔偿对招标代理机构造成的损失。</w:t>
            </w:r>
          </w:p>
          <w:p>
            <w:pPr>
              <w:snapToGrid w:val="0"/>
              <w:spacing w:line="360" w:lineRule="auto"/>
              <w:rPr>
                <w:rFonts w:hint="eastAsia" w:ascii="宋体" w:hAnsi="宋体" w:eastAsia="宋体" w:cs="宋体"/>
                <w:color w:val="000000"/>
                <w:sz w:val="24"/>
                <w:lang w:bidi="ar"/>
              </w:rPr>
            </w:pPr>
            <w:r>
              <w:rPr>
                <w:rFonts w:hint="eastAsia" w:ascii="宋体" w:hAnsi="宋体" w:eastAsia="宋体" w:cs="宋体"/>
                <w:color w:val="000000"/>
                <w:sz w:val="24"/>
                <w:lang w:bidi="ar"/>
              </w:rPr>
              <w:t>2、中标后，投标人拒绝签订合同的，招标人可以按照评审报告推荐的中标候选人名单排序，确定下一候选人为中标供应商，也可以重新开展政府采购活动。投标人中标后拒绝签订合同的，应按预算金额的2%对招标人进行赔偿；赔偿金额不足以弥补招标人损失的，投标人应继续承担超过部分的损失。</w:t>
            </w:r>
          </w:p>
          <w:p>
            <w:pPr>
              <w:snapToGrid w:val="0"/>
              <w:spacing w:line="360" w:lineRule="auto"/>
              <w:rPr>
                <w:rFonts w:hint="eastAsia" w:ascii="宋体" w:hAnsi="宋体" w:eastAsia="宋体" w:cs="宋体"/>
                <w:color w:val="000000"/>
                <w:sz w:val="24"/>
                <w:lang w:bidi="ar"/>
              </w:rPr>
            </w:pPr>
            <w:r>
              <w:rPr>
                <w:rFonts w:hint="eastAsia" w:ascii="宋体" w:hAnsi="宋体" w:eastAsia="宋体" w:cs="宋体"/>
                <w:color w:val="000000"/>
                <w:sz w:val="24"/>
                <w:lang w:bidi="ar"/>
              </w:rPr>
              <w:t>3、存在下列行为的，招标代理机构将其失信行为上报政府采购主管部门，由主管部门按有关规定对其违法失信行为记录进行公开：</w:t>
            </w:r>
          </w:p>
          <w:p>
            <w:pPr>
              <w:snapToGrid w:val="0"/>
              <w:spacing w:line="360" w:lineRule="auto"/>
              <w:rPr>
                <w:rFonts w:hint="eastAsia" w:ascii="宋体" w:hAnsi="宋体" w:eastAsia="宋体" w:cs="宋体"/>
                <w:color w:val="000000"/>
                <w:sz w:val="24"/>
                <w:lang w:bidi="ar"/>
              </w:rPr>
            </w:pPr>
            <w:r>
              <w:rPr>
                <w:rFonts w:hint="eastAsia" w:ascii="宋体" w:hAnsi="宋体" w:eastAsia="宋体" w:cs="宋体"/>
                <w:color w:val="000000"/>
                <w:sz w:val="24"/>
                <w:lang w:bidi="ar"/>
              </w:rPr>
              <w:t>（1）中标或者成交后，拒绝签订政府采购合同的；</w:t>
            </w:r>
          </w:p>
          <w:p>
            <w:pPr>
              <w:snapToGrid w:val="0"/>
              <w:spacing w:line="360" w:lineRule="auto"/>
              <w:rPr>
                <w:rFonts w:hint="eastAsia" w:ascii="宋体" w:hAnsi="宋体" w:eastAsia="宋体" w:cs="宋体"/>
                <w:color w:val="000000"/>
                <w:sz w:val="24"/>
                <w:lang w:bidi="ar"/>
              </w:rPr>
            </w:pPr>
            <w:r>
              <w:rPr>
                <w:rFonts w:hint="eastAsia" w:ascii="宋体" w:hAnsi="宋体" w:eastAsia="宋体" w:cs="宋体"/>
                <w:color w:val="000000"/>
                <w:sz w:val="24"/>
                <w:lang w:bidi="ar"/>
              </w:rPr>
              <w:t>（2）投标有效期内撤销投标文件的。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3" w:hRule="atLeast"/>
          <w:jc w:val="center"/>
        </w:trPr>
        <w:tc>
          <w:tcPr>
            <w:tcW w:w="655" w:type="dxa"/>
            <w:tcBorders>
              <w:top w:val="single" w:color="auto" w:sz="4" w:space="0"/>
              <w:left w:val="single" w:color="000000" w:sz="8" w:space="0"/>
              <w:bottom w:val="single" w:color="auto" w:sz="4" w:space="0"/>
              <w:right w:val="single" w:color="000000" w:sz="2" w:space="0"/>
            </w:tcBorders>
            <w:vAlign w:val="center"/>
          </w:tcPr>
          <w:p>
            <w:pPr>
              <w:widowControl/>
              <w:snapToGrid w:val="0"/>
              <w:spacing w:line="360" w:lineRule="auto"/>
              <w:jc w:val="center"/>
              <w:textAlignment w:val="center"/>
              <w:rPr>
                <w:rFonts w:hint="eastAsia" w:ascii="宋体" w:hAnsi="宋体" w:eastAsia="宋体" w:cs="宋体"/>
                <w:b/>
                <w:bCs/>
                <w:color w:val="000000"/>
                <w:sz w:val="24"/>
              </w:rPr>
            </w:pPr>
            <w:r>
              <w:rPr>
                <w:rFonts w:hint="eastAsia" w:ascii="宋体" w:hAnsi="宋体" w:eastAsia="宋体" w:cs="宋体"/>
                <w:b/>
                <w:bCs/>
                <w:color w:val="000000"/>
                <w:sz w:val="24"/>
                <w:lang w:bidi="ar"/>
              </w:rPr>
              <w:t>18</w:t>
            </w:r>
          </w:p>
        </w:tc>
        <w:tc>
          <w:tcPr>
            <w:tcW w:w="8802" w:type="dxa"/>
            <w:gridSpan w:val="2"/>
            <w:tcBorders>
              <w:top w:val="single" w:color="auto" w:sz="4"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b/>
                <w:bCs/>
                <w:color w:val="000000"/>
                <w:sz w:val="24"/>
              </w:rPr>
            </w:pPr>
            <w:r>
              <w:rPr>
                <w:rFonts w:hint="eastAsia" w:ascii="宋体" w:hAnsi="宋体" w:eastAsia="宋体" w:cs="宋体"/>
                <w:color w:val="000000"/>
                <w:sz w:val="24"/>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360" w:lineRule="auto"/>
              <w:jc w:val="center"/>
              <w:textAlignment w:val="center"/>
              <w:rPr>
                <w:rFonts w:hint="eastAsia" w:ascii="宋体" w:hAnsi="宋体" w:eastAsia="宋体" w:cs="宋体"/>
                <w:b/>
                <w:bCs/>
                <w:color w:val="000000"/>
                <w:sz w:val="24"/>
              </w:rPr>
            </w:pPr>
            <w:r>
              <w:rPr>
                <w:rFonts w:hint="eastAsia" w:ascii="宋体" w:hAnsi="宋体" w:eastAsia="宋体" w:cs="宋体"/>
                <w:b/>
                <w:bCs/>
                <w:color w:val="000000"/>
                <w:sz w:val="24"/>
                <w:lang w:bidi="ar"/>
              </w:rPr>
              <w:t>19</w:t>
            </w:r>
          </w:p>
        </w:tc>
        <w:tc>
          <w:tcPr>
            <w:tcW w:w="8802" w:type="dxa"/>
            <w:gridSpan w:val="2"/>
            <w:tcBorders>
              <w:top w:val="single" w:color="000000" w:sz="2" w:space="0"/>
              <w:left w:val="single" w:color="000000" w:sz="2" w:space="0"/>
              <w:bottom w:val="single" w:color="000000" w:sz="2" w:space="0"/>
              <w:right w:val="single" w:color="000000" w:sz="8" w:space="0"/>
            </w:tcBorders>
            <w:vAlign w:val="center"/>
          </w:tcPr>
          <w:p>
            <w:pPr>
              <w:snapToGrid w:val="0"/>
              <w:spacing w:line="360" w:lineRule="auto"/>
              <w:rPr>
                <w:rFonts w:hint="eastAsia" w:ascii="宋体" w:hAnsi="宋体" w:eastAsia="宋体" w:cs="宋体"/>
                <w:color w:val="000000"/>
                <w:sz w:val="24"/>
              </w:rPr>
            </w:pPr>
            <w:r>
              <w:rPr>
                <w:rFonts w:hint="eastAsia" w:ascii="宋体" w:hAnsi="宋体" w:eastAsia="宋体" w:cs="宋体"/>
                <w:b/>
                <w:color w:val="000000"/>
                <w:kern w:val="10"/>
                <w:sz w:val="24"/>
              </w:rPr>
              <w:t>潜在供应商需在浙江政府采购网</w:t>
            </w:r>
            <w:r>
              <w:rPr>
                <w:rFonts w:hint="eastAsia" w:ascii="宋体" w:hAnsi="宋体" w:eastAsia="宋体" w:cs="宋体"/>
                <w:b/>
                <w:color w:val="000000"/>
                <w:kern w:val="10"/>
                <w:sz w:val="24"/>
              </w:rPr>
              <w:fldChar w:fldCharType="begin"/>
            </w:r>
            <w:r>
              <w:rPr>
                <w:rFonts w:hint="eastAsia" w:ascii="宋体" w:hAnsi="宋体" w:eastAsia="宋体" w:cs="宋体"/>
                <w:b/>
                <w:color w:val="000000"/>
                <w:kern w:val="10"/>
                <w:sz w:val="24"/>
              </w:rPr>
              <w:instrText xml:space="preserve"> INCLUDEPICTURE "D:\\Program Files (x86)\\Tencent\\WeChat\\WeChat Files\\Administrator.SKY-20181128UGH\\Documents\\Tencent Files\\731289318\\Documents\\Tencent Files\\807561008\\Documents\\Tencent Files\\807561008\\Documents\\Tencent Files\\731289318\\Documents\\tencent%20files\\QIYUAN~1\\AppData\\Local\\Temp\\%2525W@GJ$ACOF(TYDYECOKVDYB.png" \* MERGEFORMAT \d </w:instrText>
            </w:r>
            <w:r>
              <w:rPr>
                <w:rFonts w:hint="eastAsia" w:ascii="宋体" w:hAnsi="宋体" w:eastAsia="宋体" w:cs="宋体"/>
                <w:b/>
                <w:color w:val="000000"/>
                <w:kern w:val="10"/>
                <w:sz w:val="24"/>
              </w:rPr>
              <w:fldChar w:fldCharType="separate"/>
            </w:r>
            <w:r>
              <w:rPr>
                <w:rFonts w:hint="eastAsia" w:ascii="宋体" w:hAnsi="宋体" w:eastAsia="宋体" w:cs="宋体"/>
                <w:b/>
                <w:color w:val="000000"/>
                <w:kern w:val="10"/>
                <w:sz w:val="24"/>
                <w:lang w:val="en-US" w:bidi="ar-SA"/>
              </w:rPr>
              <w:drawing>
                <wp:inline distT="0" distB="0" distL="114300" distR="114300">
                  <wp:extent cx="189865" cy="142240"/>
                  <wp:effectExtent l="0" t="0" r="635" b="10160"/>
                  <wp:docPr id="4"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7"/>
                          <pic:cNvPicPr>
                            <a:picLocks noChangeAspect="1"/>
                          </pic:cNvPicPr>
                        </pic:nvPicPr>
                        <pic:blipFill>
                          <a:blip r:embed="rId7"/>
                          <a:stretch>
                            <a:fillRect/>
                          </a:stretch>
                        </pic:blipFill>
                        <pic:spPr>
                          <a:xfrm>
                            <a:off x="0" y="0"/>
                            <a:ext cx="189865" cy="142240"/>
                          </a:xfrm>
                          <a:prstGeom prst="rect">
                            <a:avLst/>
                          </a:prstGeom>
                          <a:noFill/>
                          <a:ln>
                            <a:noFill/>
                          </a:ln>
                        </pic:spPr>
                      </pic:pic>
                    </a:graphicData>
                  </a:graphic>
                </wp:inline>
              </w:drawing>
            </w:r>
            <w:r>
              <w:rPr>
                <w:rFonts w:hint="eastAsia" w:ascii="宋体" w:hAnsi="宋体" w:eastAsia="宋体" w:cs="宋体"/>
                <w:b/>
                <w:color w:val="000000"/>
                <w:kern w:val="10"/>
                <w:sz w:val="24"/>
              </w:rPr>
              <w:fldChar w:fldCharType="end"/>
            </w:r>
            <w:r>
              <w:rPr>
                <w:rFonts w:hint="eastAsia" w:ascii="宋体" w:hAnsi="宋体" w:eastAsia="宋体" w:cs="宋体"/>
                <w:b/>
                <w:color w:val="000000"/>
                <w:kern w:val="10"/>
                <w:sz w:val="24"/>
              </w:rPr>
              <w:t>http://www.ccgp-zhejiang.gov.cn/进行免费注册，具体详见浙江政府采购网供应商注册要求。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360" w:lineRule="auto"/>
              <w:jc w:val="center"/>
              <w:textAlignment w:val="center"/>
              <w:rPr>
                <w:rFonts w:hint="eastAsia" w:ascii="宋体" w:hAnsi="宋体" w:eastAsia="宋体" w:cs="宋体"/>
                <w:b/>
                <w:bCs/>
                <w:color w:val="000000"/>
                <w:sz w:val="24"/>
              </w:rPr>
            </w:pPr>
            <w:r>
              <w:rPr>
                <w:rFonts w:hint="eastAsia" w:ascii="宋体" w:hAnsi="宋体" w:eastAsia="宋体" w:cs="宋体"/>
                <w:b/>
                <w:bCs/>
                <w:color w:val="000000"/>
                <w:sz w:val="24"/>
                <w:lang w:bidi="ar"/>
              </w:rPr>
              <w:t>20</w:t>
            </w:r>
          </w:p>
        </w:tc>
        <w:tc>
          <w:tcPr>
            <w:tcW w:w="8802" w:type="dxa"/>
            <w:gridSpan w:val="2"/>
            <w:tcBorders>
              <w:top w:val="single" w:color="000000" w:sz="2" w:space="0"/>
              <w:left w:val="single" w:color="000000" w:sz="2" w:space="0"/>
              <w:bottom w:val="single" w:color="000000" w:sz="2" w:space="0"/>
              <w:right w:val="single" w:color="000000" w:sz="8" w:space="0"/>
            </w:tcBorders>
            <w:vAlign w:val="center"/>
          </w:tcPr>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1、本项目对符合财政扶持政策的中小企业（小型、微型）、监狱企业、残疾人福利性单位给予价格优惠扶持，价格优惠扶持见《第三章 评分办法》。</w:t>
            </w: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2、满足转发财政部 工业和信息化部关于印发《政府采购促进中小企业发展暂行办法》的通知（浙财采监[2012]11号）的规定的中小企业可享受优惠扶持。</w:t>
            </w: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满足关于政府采购支持监狱企业发展有关问题的通知（财库[2014]68号）的规定的供应商可享受优惠扶持。</w:t>
            </w: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满足关于促进残疾人就业政府采购政策的通知（财库[2017]141号）的规定的供应商可享受优惠扶持。</w:t>
            </w: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3、节能产品、环境标志产品的强制采购政策</w:t>
            </w: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4、节能产品、环境标志产品的优先采购政策</w:t>
            </w:r>
          </w:p>
          <w:p>
            <w:pPr>
              <w:widowControl/>
              <w:snapToGrid w:val="0"/>
              <w:spacing w:line="360" w:lineRule="auto"/>
              <w:ind w:firstLine="480" w:firstLineChars="200"/>
              <w:rPr>
                <w:rFonts w:hint="eastAsia" w:ascii="宋体" w:hAnsi="宋体" w:eastAsia="宋体" w:cs="宋体"/>
                <w:b/>
                <w:color w:val="000000"/>
                <w:kern w:val="10"/>
                <w:sz w:val="24"/>
              </w:rPr>
            </w:pPr>
            <w:r>
              <w:rPr>
                <w:rFonts w:hint="eastAsia" w:ascii="宋体" w:hAnsi="宋体" w:eastAsia="宋体" w:cs="宋体"/>
                <w:color w:val="000000"/>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360" w:lineRule="auto"/>
              <w:jc w:val="center"/>
              <w:textAlignment w:val="center"/>
              <w:rPr>
                <w:rFonts w:hint="eastAsia" w:ascii="宋体" w:hAnsi="宋体" w:eastAsia="宋体" w:cs="宋体"/>
                <w:b/>
                <w:bCs/>
                <w:color w:val="000000"/>
                <w:sz w:val="24"/>
              </w:rPr>
            </w:pPr>
            <w:r>
              <w:rPr>
                <w:rFonts w:hint="eastAsia" w:ascii="宋体" w:hAnsi="宋体" w:eastAsia="宋体" w:cs="宋体"/>
                <w:b/>
                <w:bCs/>
                <w:color w:val="000000"/>
                <w:sz w:val="24"/>
                <w:lang w:bidi="ar"/>
              </w:rPr>
              <w:t>21</w:t>
            </w:r>
          </w:p>
        </w:tc>
        <w:tc>
          <w:tcPr>
            <w:tcW w:w="8802" w:type="dxa"/>
            <w:gridSpan w:val="2"/>
            <w:tcBorders>
              <w:top w:val="single" w:color="000000" w:sz="2" w:space="0"/>
              <w:left w:val="single" w:color="000000" w:sz="2" w:space="0"/>
              <w:bottom w:val="single" w:color="000000" w:sz="2" w:space="0"/>
              <w:right w:val="single" w:color="000000" w:sz="8" w:space="0"/>
            </w:tcBorders>
            <w:vAlign w:val="center"/>
          </w:tcPr>
          <w:p>
            <w:pPr>
              <w:snapToGrid w:val="0"/>
              <w:spacing w:line="360" w:lineRule="auto"/>
              <w:ind w:left="110" w:leftChars="50"/>
              <w:rPr>
                <w:rFonts w:hint="eastAsia" w:ascii="宋体" w:hAnsi="宋体" w:eastAsia="宋体" w:cs="宋体"/>
                <w:color w:val="000000"/>
                <w:sz w:val="24"/>
              </w:rPr>
            </w:pPr>
            <w:r>
              <w:rPr>
                <w:rFonts w:hint="eastAsia" w:ascii="宋体" w:hAnsi="宋体" w:eastAsia="宋体" w:cs="宋体"/>
                <w:color w:val="000000"/>
                <w:sz w:val="24"/>
              </w:rPr>
              <w:t>根据《关于在政府采购活动中查询及使用信用记录有关问题的通知》财库[2016]125号的规定：</w:t>
            </w:r>
          </w:p>
          <w:p>
            <w:pPr>
              <w:snapToGrid w:val="0"/>
              <w:spacing w:line="360" w:lineRule="auto"/>
              <w:ind w:left="110" w:leftChars="50"/>
              <w:rPr>
                <w:rFonts w:hint="eastAsia" w:ascii="宋体" w:hAnsi="宋体" w:eastAsia="宋体" w:cs="宋体"/>
                <w:color w:val="000000"/>
                <w:sz w:val="24"/>
              </w:rPr>
            </w:pPr>
            <w:r>
              <w:rPr>
                <w:rFonts w:hint="eastAsia" w:ascii="宋体" w:hAnsi="宋体" w:eastAsia="宋体" w:cs="宋体"/>
                <w:color w:val="000000"/>
                <w:sz w:val="24"/>
              </w:rPr>
              <w:t>（1）采购人或采购代理机构将对本项目供应商的信用记录进行查询。查询渠道为信用中国网站（www.creditchina.gov.cn）、中国政府采购网（www.ccgp.gov.cn）；</w:t>
            </w:r>
          </w:p>
          <w:p>
            <w:pPr>
              <w:snapToGrid w:val="0"/>
              <w:spacing w:line="360" w:lineRule="auto"/>
              <w:ind w:firstLine="120" w:firstLineChars="50"/>
              <w:rPr>
                <w:rFonts w:hint="eastAsia" w:ascii="宋体" w:hAnsi="宋体" w:eastAsia="宋体" w:cs="宋体"/>
                <w:color w:val="000000"/>
                <w:sz w:val="24"/>
              </w:rPr>
            </w:pPr>
            <w:r>
              <w:rPr>
                <w:rFonts w:hint="eastAsia" w:ascii="宋体" w:hAnsi="宋体" w:eastAsia="宋体" w:cs="宋体"/>
                <w:color w:val="000000"/>
                <w:sz w:val="24"/>
              </w:rPr>
              <w:t>（2）截止时点：提交投标文件（响应文件）截止时间前3年内；</w:t>
            </w:r>
          </w:p>
          <w:p>
            <w:pPr>
              <w:snapToGrid w:val="0"/>
              <w:spacing w:line="360" w:lineRule="auto"/>
              <w:ind w:left="110" w:leftChars="50"/>
              <w:rPr>
                <w:rFonts w:hint="eastAsia" w:ascii="宋体" w:hAnsi="宋体" w:eastAsia="宋体" w:cs="宋体"/>
                <w:color w:val="000000"/>
                <w:sz w:val="24"/>
              </w:rPr>
            </w:pPr>
            <w:r>
              <w:rPr>
                <w:rFonts w:hint="eastAsia" w:ascii="宋体" w:hAnsi="宋体" w:eastAsia="宋体" w:cs="宋体"/>
                <w:color w:val="000000"/>
                <w:sz w:val="24"/>
              </w:rPr>
              <w:t>（3）查询记录和证据的留存：信用信息查询记录和证据以网页截图等方式留存。</w:t>
            </w:r>
          </w:p>
          <w:p>
            <w:pPr>
              <w:snapToGrid w:val="0"/>
              <w:spacing w:line="360" w:lineRule="auto"/>
              <w:ind w:left="110" w:leftChars="50"/>
              <w:rPr>
                <w:rFonts w:hint="eastAsia" w:ascii="宋体" w:hAnsi="宋体" w:eastAsia="宋体" w:cs="宋体"/>
                <w:color w:val="000000"/>
                <w:sz w:val="24"/>
              </w:rPr>
            </w:pPr>
            <w:r>
              <w:rPr>
                <w:rFonts w:hint="eastAsia" w:ascii="宋体" w:hAnsi="宋体" w:eastAsia="宋体" w:cs="宋体"/>
                <w:color w:val="000000"/>
                <w:sz w:val="24"/>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360" w:lineRule="auto"/>
              <w:rPr>
                <w:rFonts w:hint="eastAsia" w:ascii="宋体" w:hAnsi="宋体" w:eastAsia="宋体" w:cs="宋体"/>
                <w:b/>
                <w:color w:val="000000"/>
                <w:kern w:val="10"/>
                <w:sz w:val="24"/>
              </w:rPr>
            </w:pPr>
            <w:r>
              <w:rPr>
                <w:rFonts w:hint="eastAsia" w:ascii="宋体" w:hAnsi="宋体" w:eastAsia="宋体" w:cs="宋体"/>
                <w:color w:val="000000"/>
                <w:sz w:val="24"/>
              </w:rPr>
              <w:t>（5）联合体成员任意一方存在不良信用记录的，视同联合体存在不良信用记录。</w:t>
            </w:r>
          </w:p>
        </w:tc>
      </w:tr>
    </w:tbl>
    <w:p>
      <w:pPr>
        <w:shd w:val="clear" w:color="auto" w:fill="FFFFFF"/>
        <w:snapToGrid w:val="0"/>
        <w:spacing w:line="360" w:lineRule="auto"/>
        <w:jc w:val="center"/>
        <w:outlineLvl w:val="1"/>
        <w:rPr>
          <w:rFonts w:hint="eastAsia" w:ascii="宋体" w:hAnsi="宋体" w:eastAsia="宋体" w:cs="宋体"/>
          <w:b/>
          <w:bCs/>
          <w:color w:val="000000"/>
          <w:sz w:val="24"/>
        </w:rPr>
      </w:pPr>
      <w:r>
        <w:rPr>
          <w:rFonts w:hint="eastAsia" w:ascii="宋体" w:hAnsi="宋体" w:eastAsia="宋体" w:cs="宋体"/>
          <w:color w:val="000000"/>
          <w:sz w:val="24"/>
        </w:rPr>
        <w:br w:type="page"/>
      </w:r>
      <w:bookmarkEnd w:id="5"/>
      <w:bookmarkStart w:id="11" w:name="_Toc33194388"/>
      <w:bookmarkStart w:id="12" w:name="_Toc233618972"/>
      <w:bookmarkStart w:id="13" w:name="_Toc354996696"/>
      <w:r>
        <w:rPr>
          <w:rFonts w:hint="eastAsia" w:ascii="宋体" w:hAnsi="宋体" w:eastAsia="宋体" w:cs="宋体"/>
          <w:b/>
          <w:bCs/>
          <w:color w:val="000000"/>
          <w:sz w:val="24"/>
        </w:rPr>
        <w:t>一、总 则</w:t>
      </w:r>
      <w:bookmarkEnd w:id="11"/>
      <w:bookmarkEnd w:id="12"/>
      <w:bookmarkEnd w:id="13"/>
    </w:p>
    <w:p>
      <w:pPr>
        <w:snapToGrid w:val="0"/>
        <w:spacing w:line="360" w:lineRule="auto"/>
        <w:rPr>
          <w:rFonts w:hint="eastAsia" w:ascii="宋体" w:hAnsi="宋体" w:eastAsia="宋体" w:cs="宋体"/>
          <w:b/>
          <w:color w:val="000000"/>
          <w:sz w:val="24"/>
        </w:rPr>
      </w:pPr>
      <w:bookmarkStart w:id="14" w:name="_Toc91899872"/>
      <w:bookmarkStart w:id="15" w:name="_Hlt74730208"/>
      <w:bookmarkStart w:id="16" w:name="_Hlt74730112"/>
      <w:bookmarkStart w:id="17" w:name="_Toc354996697"/>
      <w:bookmarkStart w:id="18" w:name="_Toc233618973"/>
      <w:r>
        <w:rPr>
          <w:rFonts w:hint="eastAsia" w:ascii="宋体" w:hAnsi="宋体" w:eastAsia="宋体" w:cs="宋体"/>
          <w:b/>
          <w:color w:val="000000"/>
          <w:sz w:val="24"/>
        </w:rPr>
        <w:t>（一）项目说明</w:t>
      </w:r>
      <w:bookmarkEnd w:id="14"/>
    </w:p>
    <w:p>
      <w:pPr>
        <w:pStyle w:val="32"/>
        <w:snapToGrid w:val="0"/>
        <w:ind w:firstLine="480"/>
        <w:rPr>
          <w:rFonts w:hint="eastAsia" w:ascii="宋体" w:hAnsi="宋体" w:eastAsia="宋体" w:cs="宋体"/>
          <w:color w:val="000000"/>
        </w:rPr>
      </w:pPr>
      <w:r>
        <w:rPr>
          <w:rFonts w:hint="eastAsia" w:ascii="宋体" w:hAnsi="宋体" w:eastAsia="宋体" w:cs="宋体"/>
          <w:color w:val="000000"/>
        </w:rPr>
        <w:t>1、项目说明见投标须知前附表(以下称“前附表”)第1项所述。</w:t>
      </w:r>
    </w:p>
    <w:p>
      <w:pPr>
        <w:pStyle w:val="32"/>
        <w:tabs>
          <w:tab w:val="left" w:pos="6510"/>
        </w:tabs>
        <w:snapToGrid w:val="0"/>
        <w:ind w:firstLine="480"/>
        <w:rPr>
          <w:rFonts w:hint="eastAsia" w:ascii="宋体" w:hAnsi="宋体" w:eastAsia="宋体" w:cs="宋体"/>
          <w:color w:val="000000"/>
        </w:rPr>
      </w:pPr>
      <w:r>
        <w:rPr>
          <w:rFonts w:hint="eastAsia" w:ascii="宋体" w:hAnsi="宋体" w:eastAsia="宋体" w:cs="宋体"/>
          <w:color w:val="000000"/>
        </w:rPr>
        <w:t>2、采购单位</w:t>
      </w:r>
      <w:r>
        <w:rPr>
          <w:rFonts w:hint="eastAsia" w:ascii="宋体" w:hAnsi="宋体" w:eastAsia="宋体" w:cs="宋体"/>
          <w:color w:val="000000"/>
          <w:lang w:eastAsia="zh-CN"/>
        </w:rPr>
        <w:t>杭州市余杭区人民政府</w:t>
      </w:r>
      <w:r>
        <w:rPr>
          <w:rFonts w:hint="eastAsia" w:cs="宋体"/>
          <w:color w:val="000000"/>
          <w:lang w:eastAsia="zh-CN"/>
        </w:rPr>
        <w:t>仁和街道办事处</w:t>
      </w:r>
      <w:r>
        <w:rPr>
          <w:rFonts w:hint="eastAsia" w:ascii="宋体" w:hAnsi="宋体" w:eastAsia="宋体" w:cs="宋体"/>
          <w:color w:val="000000"/>
        </w:rPr>
        <w:t>为本项目的招标人（合同中的甲方），杭州鸿顺建设管理有限公司为招标代理机构，杭州市余杭区财政局为政府采购监督管理部门，自愿参加本次项目投标的法人、其他组织为投标人，经评审产生并经批准的投标人为中标供应商，签订合同后的中标供应商为供应商(合同中的乙方)。</w:t>
      </w:r>
    </w:p>
    <w:p>
      <w:pPr>
        <w:pStyle w:val="32"/>
        <w:snapToGrid w:val="0"/>
        <w:ind w:firstLine="480"/>
        <w:rPr>
          <w:rFonts w:hint="eastAsia" w:ascii="宋体" w:hAnsi="宋体" w:eastAsia="宋体" w:cs="宋体"/>
          <w:color w:val="000000"/>
        </w:rPr>
      </w:pPr>
      <w:r>
        <w:rPr>
          <w:rFonts w:hint="eastAsia" w:ascii="宋体" w:hAnsi="宋体" w:eastAsia="宋体" w:cs="宋体"/>
          <w:color w:val="000000"/>
        </w:rPr>
        <w:t>3、投标人一旦参与本次招标活动，即被视为接受了本招标文件的所有内容，如有任何异议，均已在答疑截止时间前提出。</w:t>
      </w:r>
    </w:p>
    <w:p>
      <w:pPr>
        <w:tabs>
          <w:tab w:val="left" w:pos="3780"/>
        </w:tabs>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投标人须对所投产品、方案、技术、服务等拥有合法的占有和处置权，并对涉及项目的所有内容可能侵权行为指控负责，保证不伤害招标人的利益。在法律范围内，如果出现文字、图片、商标和技术等侵权行为而造成的纠纷和产生的一切费用，招标人概不负责，由此给招标人造成损失的，供应商应承担相应后果，并负责赔偿。供应商为执行本项目合同而提供的技术资料等归招标人所有。</w:t>
      </w:r>
      <w:bookmarkStart w:id="19" w:name="_Toc91899873"/>
    </w:p>
    <w:p>
      <w:pPr>
        <w:tabs>
          <w:tab w:val="left" w:pos="3780"/>
        </w:tabs>
        <w:snapToGrid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（二）采购方式</w:t>
      </w:r>
      <w:bookmarkEnd w:id="19"/>
    </w:p>
    <w:p>
      <w:pPr>
        <w:pStyle w:val="32"/>
        <w:snapToGrid w:val="0"/>
        <w:ind w:firstLine="480"/>
        <w:rPr>
          <w:rFonts w:hint="eastAsia" w:ascii="宋体" w:hAnsi="宋体" w:eastAsia="宋体" w:cs="宋体"/>
          <w:color w:val="000000"/>
        </w:rPr>
      </w:pPr>
      <w:r>
        <w:rPr>
          <w:rFonts w:hint="eastAsia" w:ascii="宋体" w:hAnsi="宋体" w:eastAsia="宋体" w:cs="宋体"/>
          <w:color w:val="000000"/>
        </w:rPr>
        <w:t>公开招标。</w:t>
      </w:r>
      <w:bookmarkEnd w:id="15"/>
      <w:bookmarkEnd w:id="16"/>
      <w:bookmarkStart w:id="20" w:name="_Hlt68516771"/>
      <w:bookmarkEnd w:id="20"/>
      <w:bookmarkStart w:id="21" w:name="_Hlt74388212"/>
      <w:bookmarkEnd w:id="21"/>
    </w:p>
    <w:p>
      <w:pPr>
        <w:snapToGrid w:val="0"/>
        <w:spacing w:line="360" w:lineRule="auto"/>
        <w:rPr>
          <w:rFonts w:hint="eastAsia" w:ascii="宋体" w:hAnsi="宋体" w:eastAsia="宋体" w:cs="宋体"/>
          <w:b/>
          <w:color w:val="000000"/>
          <w:sz w:val="24"/>
        </w:rPr>
      </w:pPr>
      <w:bookmarkStart w:id="22" w:name="_Hlt74730303"/>
      <w:bookmarkStart w:id="23" w:name="_Toc91899877"/>
      <w:r>
        <w:rPr>
          <w:rFonts w:hint="eastAsia" w:ascii="宋体" w:hAnsi="宋体" w:eastAsia="宋体" w:cs="宋体"/>
          <w:b/>
          <w:color w:val="000000"/>
          <w:sz w:val="24"/>
        </w:rPr>
        <w:t>（三）定义</w:t>
      </w:r>
    </w:p>
    <w:p>
      <w:pPr>
        <w:snapToGrid w:val="0"/>
        <w:spacing w:line="360" w:lineRule="auto"/>
        <w:ind w:firstLine="481"/>
        <w:rPr>
          <w:rFonts w:hint="eastAsia" w:ascii="宋体" w:hAnsi="宋体" w:eastAsia="宋体" w:cs="宋体"/>
          <w:color w:val="000000"/>
          <w:sz w:val="24"/>
        </w:rPr>
      </w:pPr>
      <w:r>
        <w:rPr>
          <w:rFonts w:hint="eastAsia" w:ascii="宋体" w:hAnsi="宋体" w:eastAsia="宋体" w:cs="宋体"/>
          <w:b/>
          <w:color w:val="000000"/>
          <w:sz w:val="24"/>
        </w:rPr>
        <w:t>合格的投标人应具备的资格要求，</w:t>
      </w:r>
      <w:r>
        <w:rPr>
          <w:rFonts w:hint="eastAsia" w:ascii="宋体" w:hAnsi="宋体" w:eastAsia="宋体" w:cs="宋体"/>
          <w:color w:val="000000"/>
          <w:sz w:val="24"/>
        </w:rPr>
        <w:t>见招标文件第一部分“招标公告”。</w:t>
      </w:r>
    </w:p>
    <w:p>
      <w:pPr>
        <w:pStyle w:val="9"/>
        <w:snapToGrid w:val="0"/>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（四）投标费用</w:t>
      </w:r>
    </w:p>
    <w:p>
      <w:pPr>
        <w:snapToGrid w:val="0"/>
        <w:spacing w:line="360" w:lineRule="auto"/>
        <w:ind w:firstLine="523" w:firstLineChars="218"/>
        <w:rPr>
          <w:rFonts w:hint="eastAsia" w:ascii="宋体" w:hAnsi="宋体" w:eastAsia="宋体" w:cs="宋体"/>
          <w:color w:val="000000"/>
          <w:sz w:val="24"/>
        </w:rPr>
      </w:pPr>
      <w:r>
        <w:rPr>
          <w:rFonts w:hint="eastAsia" w:ascii="宋体" w:hAnsi="宋体" w:eastAsia="宋体" w:cs="宋体"/>
          <w:color w:val="000000"/>
          <w:sz w:val="24"/>
        </w:rPr>
        <w:t>投标人需自行承担涉及投标的一切税、费用。</w:t>
      </w:r>
    </w:p>
    <w:bookmarkEnd w:id="17"/>
    <w:bookmarkEnd w:id="18"/>
    <w:bookmarkEnd w:id="22"/>
    <w:bookmarkEnd w:id="23"/>
    <w:p>
      <w:pPr>
        <w:snapToGrid w:val="0"/>
        <w:spacing w:line="360" w:lineRule="auto"/>
        <w:ind w:firstLine="523" w:firstLineChars="218"/>
        <w:rPr>
          <w:rFonts w:hint="eastAsia" w:ascii="宋体" w:hAnsi="宋体" w:eastAsia="宋体" w:cs="宋体"/>
          <w:color w:val="000000"/>
          <w:sz w:val="24"/>
          <w:lang w:val="zh-CN"/>
        </w:rPr>
      </w:pPr>
      <w:bookmarkStart w:id="24" w:name="_Toc91899903"/>
      <w:bookmarkStart w:id="25" w:name="_Toc354996702"/>
      <w:bookmarkStart w:id="26" w:name="_Toc233618978"/>
      <w:bookmarkStart w:id="27" w:name="_Toc86216994"/>
    </w:p>
    <w:p>
      <w:pPr>
        <w:shd w:val="clear" w:color="auto" w:fill="FFFFFF"/>
        <w:snapToGrid w:val="0"/>
        <w:spacing w:line="360" w:lineRule="auto"/>
        <w:jc w:val="center"/>
        <w:outlineLvl w:val="1"/>
        <w:rPr>
          <w:rFonts w:hint="eastAsia" w:ascii="宋体" w:hAnsi="宋体" w:eastAsia="宋体" w:cs="宋体"/>
          <w:b/>
          <w:bCs/>
          <w:color w:val="000000"/>
          <w:sz w:val="24"/>
        </w:rPr>
      </w:pPr>
      <w:bookmarkStart w:id="28" w:name="_Toc33194389"/>
      <w:r>
        <w:rPr>
          <w:rFonts w:hint="eastAsia" w:ascii="宋体" w:hAnsi="宋体" w:eastAsia="宋体" w:cs="宋体"/>
          <w:b/>
          <w:bCs/>
          <w:color w:val="000000"/>
          <w:sz w:val="24"/>
        </w:rPr>
        <w:t>二、招标文件</w:t>
      </w:r>
      <w:bookmarkEnd w:id="28"/>
    </w:p>
    <w:p>
      <w:pPr>
        <w:shd w:val="clear" w:color="auto" w:fill="FFFFFF"/>
        <w:snapToGrid w:val="0"/>
        <w:spacing w:line="360" w:lineRule="auto"/>
        <w:rPr>
          <w:rFonts w:hint="eastAsia" w:ascii="宋体" w:hAnsi="宋体" w:eastAsia="宋体" w:cs="宋体"/>
          <w:b/>
          <w:bCs/>
          <w:color w:val="000000"/>
          <w:sz w:val="24"/>
        </w:rPr>
      </w:pPr>
      <w:bookmarkStart w:id="29" w:name="_Toc91899880"/>
      <w:bookmarkStart w:id="30" w:name="_Hlt74730307"/>
      <w:r>
        <w:rPr>
          <w:rFonts w:hint="eastAsia" w:ascii="宋体" w:hAnsi="宋体" w:eastAsia="宋体" w:cs="宋体"/>
          <w:b/>
          <w:bCs/>
          <w:color w:val="000000"/>
          <w:sz w:val="24"/>
        </w:rPr>
        <w:t>（一）招标文件的构成</w:t>
      </w:r>
      <w:bookmarkEnd w:id="29"/>
    </w:p>
    <w:bookmarkEnd w:id="30"/>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1、招标文件包括下列文件及附件</w:t>
      </w:r>
    </w:p>
    <w:p>
      <w:pPr>
        <w:numPr>
          <w:ilvl w:val="0"/>
          <w:numId w:val="0"/>
        </w:numPr>
        <w:shd w:val="clear" w:color="auto" w:fill="FFFFFF"/>
        <w:snapToGrid w:val="0"/>
        <w:spacing w:line="360" w:lineRule="auto"/>
        <w:ind w:left="480" w:firstLine="0"/>
        <w:rPr>
          <w:rFonts w:hint="eastAsia" w:ascii="宋体" w:hAnsi="宋体" w:eastAsia="宋体" w:cs="宋体"/>
          <w:color w:val="000000"/>
          <w:sz w:val="24"/>
        </w:rPr>
      </w:pPr>
      <w:r>
        <w:rPr>
          <w:rFonts w:hint="eastAsia" w:ascii="宋体" w:hAnsi="宋体" w:eastAsia="宋体" w:cs="宋体"/>
          <w:color w:val="000000"/>
          <w:sz w:val="24"/>
        </w:rPr>
        <w:t>第一部分  招标公告</w:t>
      </w:r>
    </w:p>
    <w:p>
      <w:pPr>
        <w:numPr>
          <w:ilvl w:val="0"/>
          <w:numId w:val="0"/>
        </w:numPr>
        <w:shd w:val="clear" w:color="auto" w:fill="FFFFFF"/>
        <w:snapToGrid w:val="0"/>
        <w:spacing w:line="360" w:lineRule="auto"/>
        <w:ind w:left="480" w:firstLine="0"/>
        <w:rPr>
          <w:rFonts w:hint="eastAsia" w:ascii="宋体" w:hAnsi="宋体" w:eastAsia="宋体" w:cs="宋体"/>
          <w:color w:val="000000"/>
          <w:sz w:val="24"/>
        </w:rPr>
      </w:pPr>
      <w:r>
        <w:rPr>
          <w:rFonts w:hint="eastAsia" w:ascii="宋体" w:hAnsi="宋体" w:eastAsia="宋体" w:cs="宋体"/>
          <w:color w:val="000000"/>
          <w:sz w:val="24"/>
        </w:rPr>
        <w:t>第二部分  编制和提交投标文件须知</w:t>
      </w:r>
    </w:p>
    <w:p>
      <w:pPr>
        <w:numPr>
          <w:ilvl w:val="0"/>
          <w:numId w:val="0"/>
        </w:numPr>
        <w:shd w:val="clear" w:color="auto" w:fill="FFFFFF"/>
        <w:snapToGrid w:val="0"/>
        <w:spacing w:line="360" w:lineRule="auto"/>
        <w:ind w:left="480" w:firstLine="0"/>
        <w:rPr>
          <w:rFonts w:hint="eastAsia" w:ascii="宋体" w:hAnsi="宋体" w:eastAsia="宋体" w:cs="宋体"/>
          <w:color w:val="000000"/>
          <w:sz w:val="24"/>
        </w:rPr>
      </w:pPr>
      <w:r>
        <w:rPr>
          <w:rFonts w:hint="eastAsia" w:ascii="宋体" w:hAnsi="宋体" w:eastAsia="宋体" w:cs="宋体"/>
          <w:color w:val="000000"/>
          <w:sz w:val="24"/>
        </w:rPr>
        <w:t>第三部分  项目技术规范和服务要求</w:t>
      </w:r>
    </w:p>
    <w:p>
      <w:pPr>
        <w:numPr>
          <w:ilvl w:val="0"/>
          <w:numId w:val="0"/>
        </w:numPr>
        <w:shd w:val="clear" w:color="auto" w:fill="FFFFFF"/>
        <w:snapToGrid w:val="0"/>
        <w:spacing w:line="360" w:lineRule="auto"/>
        <w:ind w:left="480" w:firstLine="0"/>
        <w:rPr>
          <w:rFonts w:hint="eastAsia" w:ascii="宋体" w:hAnsi="宋体" w:eastAsia="宋体" w:cs="宋体"/>
          <w:color w:val="000000"/>
          <w:sz w:val="24"/>
        </w:rPr>
      </w:pPr>
      <w:r>
        <w:rPr>
          <w:rFonts w:hint="eastAsia" w:ascii="宋体" w:hAnsi="宋体" w:eastAsia="宋体" w:cs="宋体"/>
          <w:color w:val="000000"/>
          <w:sz w:val="24"/>
        </w:rPr>
        <w:t>第四部分  合同主要条款</w:t>
      </w:r>
    </w:p>
    <w:p>
      <w:pPr>
        <w:numPr>
          <w:ilvl w:val="0"/>
          <w:numId w:val="0"/>
        </w:numPr>
        <w:shd w:val="clear" w:color="auto" w:fill="FFFFFF"/>
        <w:snapToGrid w:val="0"/>
        <w:spacing w:line="360" w:lineRule="auto"/>
        <w:ind w:left="480" w:firstLine="0"/>
        <w:rPr>
          <w:rFonts w:hint="eastAsia" w:ascii="宋体" w:hAnsi="宋体" w:eastAsia="宋体" w:cs="宋体"/>
          <w:color w:val="000000"/>
          <w:sz w:val="24"/>
        </w:rPr>
      </w:pPr>
      <w:r>
        <w:rPr>
          <w:rFonts w:hint="eastAsia" w:ascii="宋体" w:hAnsi="宋体" w:eastAsia="宋体" w:cs="宋体"/>
          <w:color w:val="000000"/>
          <w:sz w:val="24"/>
        </w:rPr>
        <w:t>第五部分  应提交的有关格式范例</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投标人应认真审阅招标文件中所有的内容，包括编制和提交投标文件须知、项目技术规范和服务要求、采购合同主要条款、应提交的有关格式范例等。如果投标人编制的投标文件没有从实质上响应招标文件的要求，其投标文件将被拒绝。</w:t>
      </w:r>
    </w:p>
    <w:p>
      <w:pPr>
        <w:pStyle w:val="9"/>
        <w:snapToGrid w:val="0"/>
        <w:spacing w:line="360" w:lineRule="auto"/>
        <w:rPr>
          <w:rFonts w:hint="eastAsia" w:ascii="宋体" w:hAnsi="宋体" w:eastAsia="宋体" w:cs="宋体"/>
          <w:color w:val="000000"/>
          <w:sz w:val="24"/>
          <w:szCs w:val="24"/>
        </w:rPr>
      </w:pPr>
      <w:r>
        <w:rPr>
          <w:rFonts w:hint="eastAsia" w:ascii="宋体" w:hAnsi="宋体" w:eastAsia="宋体" w:cs="宋体"/>
          <w:b/>
          <w:color w:val="000000"/>
          <w:sz w:val="24"/>
          <w:szCs w:val="24"/>
        </w:rPr>
        <w:t>（二）招标文件的澄清</w:t>
      </w:r>
    </w:p>
    <w:p>
      <w:pPr>
        <w:pStyle w:val="26"/>
        <w:snapToGrid w:val="0"/>
        <w:spacing w:before="0"/>
        <w:ind w:left="125" w:leftChars="57" w:firstLine="480"/>
        <w:rPr>
          <w:rFonts w:hint="eastAsia" w:ascii="宋体" w:hAnsi="宋体" w:eastAsia="宋体" w:cs="宋体"/>
          <w:color w:val="000000"/>
          <w:szCs w:val="24"/>
        </w:rPr>
      </w:pPr>
      <w:r>
        <w:rPr>
          <w:rFonts w:hint="eastAsia" w:ascii="宋体" w:hAnsi="宋体" w:eastAsia="宋体" w:cs="宋体"/>
          <w:color w:val="000000"/>
          <w:szCs w:val="24"/>
        </w:rPr>
        <w:t>1、供应商认为招标文件使自己的权益受到损害的，可以自获取招标文件之日（获取截止日之后收到招标文件的，以获取截止日为准）起7个工作日内，以书面形式向采购人和采购代理机构提出质疑。</w:t>
      </w:r>
    </w:p>
    <w:p>
      <w:pPr>
        <w:tabs>
          <w:tab w:val="left" w:pos="3780"/>
        </w:tabs>
        <w:snapToGrid w:val="0"/>
        <w:spacing w:line="360" w:lineRule="auto"/>
        <w:ind w:firstLine="600" w:firstLineChars="250"/>
        <w:rPr>
          <w:rFonts w:hint="eastAsia" w:ascii="宋体" w:hAnsi="宋体" w:eastAsia="宋体" w:cs="宋体"/>
          <w:color w:val="000000"/>
          <w:sz w:val="24"/>
        </w:rPr>
      </w:pPr>
      <w:r>
        <w:rPr>
          <w:rFonts w:hint="eastAsia" w:ascii="宋体" w:hAnsi="宋体" w:eastAsia="宋体" w:cs="宋体"/>
          <w:color w:val="000000"/>
          <w:sz w:val="24"/>
        </w:rPr>
        <w:t>2、投标人一旦参与本次采购活动，即被视为接受了本招标文件的所有内容，如有任何异议，均已在答疑截止时间前提出。</w:t>
      </w:r>
    </w:p>
    <w:p>
      <w:pPr>
        <w:shd w:val="clear" w:color="auto" w:fill="FFFFFF"/>
        <w:snapToGrid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（三）招标文件的修改</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1、招标文件澄清、答复、修改、补充的内容为招标文件的组成部分。当招标文件与招标文件的答复、澄清、修改、补充通知就同一内容的表述不一致时，以最后发出的文件为准。</w:t>
      </w:r>
    </w:p>
    <w:p>
      <w:pPr>
        <w:shd w:val="clear" w:color="auto" w:fill="FFFFFF"/>
        <w:snapToGrid w:val="0"/>
        <w:spacing w:line="360" w:lineRule="auto"/>
        <w:ind w:firstLine="480" w:firstLineChars="200"/>
        <w:rPr>
          <w:rFonts w:hint="eastAsia" w:ascii="宋体" w:hAnsi="宋体" w:eastAsia="宋体" w:cs="宋体"/>
          <w:color w:val="000000"/>
          <w:sz w:val="24"/>
          <w:lang w:val="zh-CN"/>
        </w:rPr>
      </w:pPr>
      <w:r>
        <w:rPr>
          <w:rFonts w:hint="eastAsia" w:ascii="宋体" w:hAnsi="宋体" w:eastAsia="宋体" w:cs="宋体"/>
          <w:color w:val="000000"/>
          <w:sz w:val="24"/>
        </w:rPr>
        <w:t>2、若有必要，招标代理机构将酌情延长递交投标文件的截止日期。</w:t>
      </w:r>
    </w:p>
    <w:p>
      <w:pPr>
        <w:shd w:val="clear" w:color="auto" w:fill="FFFFFF"/>
        <w:snapToGrid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（四）投标报价</w:t>
      </w:r>
    </w:p>
    <w:p>
      <w:pPr>
        <w:pStyle w:val="26"/>
        <w:snapToGrid w:val="0"/>
        <w:spacing w:before="0"/>
        <w:ind w:firstLine="480"/>
        <w:rPr>
          <w:rFonts w:hint="eastAsia" w:ascii="宋体" w:hAnsi="宋体" w:eastAsia="宋体" w:cs="宋体"/>
          <w:color w:val="000000"/>
        </w:rPr>
      </w:pPr>
      <w:r>
        <w:rPr>
          <w:rFonts w:hint="eastAsia" w:ascii="宋体" w:hAnsi="宋体" w:eastAsia="宋体" w:cs="宋体"/>
          <w:color w:val="000000"/>
        </w:rPr>
        <w:t>1、报价</w:t>
      </w:r>
    </w:p>
    <w:p>
      <w:pPr>
        <w:pStyle w:val="26"/>
        <w:snapToGrid w:val="0"/>
        <w:spacing w:before="0"/>
        <w:ind w:firstLine="480"/>
        <w:rPr>
          <w:rFonts w:hint="eastAsia" w:ascii="宋体" w:hAnsi="宋体" w:eastAsia="宋体" w:cs="宋体"/>
          <w:color w:val="000000"/>
        </w:rPr>
      </w:pPr>
      <w:r>
        <w:rPr>
          <w:rFonts w:hint="eastAsia" w:ascii="宋体" w:hAnsi="宋体" w:eastAsia="宋体" w:cs="宋体"/>
          <w:color w:val="000000"/>
        </w:rPr>
        <w:t>有关本项目所需的一切费用均计入报价。投标人应根据《开标一览表》填写相关内容。《开标一览表》是报价的唯一载体。</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2、其它费用处理</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招标文件未列明，而投标人认为必需的费用也需列入报价。投标人在投标报价中应充分考虑所有可能发生的费用，否则招标人将视投标总价中已包括所有费用。</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3、投标货币</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投标文件中价格全部采用人民币报价。报价应是唯一的，不接受有选择的报价。</w:t>
      </w:r>
    </w:p>
    <w:p>
      <w:pPr>
        <w:shd w:val="clear" w:color="auto" w:fill="FFFFFF"/>
        <w:snapToGrid w:val="0"/>
        <w:spacing w:line="360" w:lineRule="auto"/>
        <w:ind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4、投标人对在合同执行中，除上述费用及招标文件规定的由中标人负责的工作范围以外需要招标人协调或提供便利的工作应当在投标文件中说明。</w:t>
      </w:r>
    </w:p>
    <w:p>
      <w:pPr>
        <w:tabs>
          <w:tab w:val="left" w:pos="3780"/>
        </w:tabs>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5、其他注意事项：</w:t>
      </w:r>
      <w:r>
        <w:rPr>
          <w:rFonts w:hint="eastAsia" w:ascii="宋体" w:hAnsi="宋体" w:eastAsia="宋体" w:cs="宋体"/>
          <w:color w:val="000000"/>
          <w:sz w:val="24"/>
        </w:rPr>
        <w:br w:type="textWrapping"/>
      </w:r>
      <w:r>
        <w:rPr>
          <w:rFonts w:hint="eastAsia" w:ascii="宋体" w:hAnsi="宋体" w:eastAsia="宋体" w:cs="宋体"/>
          <w:color w:val="000000"/>
          <w:sz w:val="24"/>
        </w:rPr>
        <w:t xml:space="preserve">    投标人在投标活动中提供任何虚假材料，其投标无效，并上报监管部门。</w:t>
      </w:r>
    </w:p>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6、中小企业（含中型、小型、微型）指符合中小企业划分标准（工信部联企业[2011]300号），在本项目政府采购活动中提供本企业提供的服务，或者提供其他中小企业提供的服务的企业。小型、微型企业提供中型企业提供的服务的，视同为中型企业。</w:t>
      </w:r>
    </w:p>
    <w:p>
      <w:pPr>
        <w:tabs>
          <w:tab w:val="left" w:pos="3780"/>
        </w:tabs>
        <w:snapToGrid w:val="0"/>
        <w:spacing w:line="360" w:lineRule="auto"/>
        <w:ind w:firstLine="532" w:firstLineChars="222"/>
        <w:rPr>
          <w:rFonts w:hint="eastAsia" w:ascii="宋体" w:hAnsi="宋体" w:eastAsia="宋体" w:cs="宋体"/>
          <w:color w:val="000000"/>
          <w:sz w:val="24"/>
        </w:rPr>
      </w:pPr>
      <w:r>
        <w:rPr>
          <w:rFonts w:hint="eastAsia" w:ascii="宋体" w:hAnsi="宋体" w:eastAsia="宋体" w:cs="宋体"/>
          <w:color w:val="000000"/>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tabs>
          <w:tab w:val="left" w:pos="3780"/>
        </w:tabs>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残疾人福利性单位：符合《财政部 民政部 中国残疾人联合会关于促进残疾人就业政府采购政策的通知》（财库（2017）141号）的规定单位。</w:t>
      </w:r>
    </w:p>
    <w:p>
      <w:pPr>
        <w:snapToGrid w:val="0"/>
        <w:spacing w:line="360" w:lineRule="auto"/>
        <w:rPr>
          <w:rFonts w:hint="eastAsia" w:ascii="宋体" w:hAnsi="宋体" w:eastAsia="宋体" w:cs="宋体"/>
          <w:color w:val="000000"/>
        </w:rPr>
      </w:pPr>
      <w:r>
        <w:rPr>
          <w:rFonts w:hint="eastAsia" w:ascii="宋体" w:hAnsi="宋体" w:eastAsia="宋体" w:cs="宋体"/>
          <w:color w:val="000000"/>
          <w:sz w:val="24"/>
        </w:rPr>
        <w:t xml:space="preserve">    </w:t>
      </w:r>
    </w:p>
    <w:p>
      <w:pPr>
        <w:shd w:val="clear" w:color="auto" w:fill="FFFFFF"/>
        <w:snapToGrid w:val="0"/>
        <w:spacing w:line="360" w:lineRule="auto"/>
        <w:jc w:val="center"/>
        <w:outlineLvl w:val="1"/>
        <w:rPr>
          <w:rFonts w:hint="eastAsia" w:ascii="宋体" w:hAnsi="宋体" w:eastAsia="宋体" w:cs="宋体"/>
          <w:b/>
          <w:bCs/>
          <w:color w:val="000000"/>
          <w:sz w:val="24"/>
        </w:rPr>
      </w:pPr>
      <w:bookmarkStart w:id="31" w:name="_Toc33194390"/>
      <w:r>
        <w:rPr>
          <w:rFonts w:hint="eastAsia" w:ascii="宋体" w:hAnsi="宋体" w:eastAsia="宋体" w:cs="宋体"/>
          <w:b/>
          <w:bCs/>
          <w:color w:val="000000"/>
          <w:sz w:val="24"/>
        </w:rPr>
        <w:t>三、</w:t>
      </w:r>
      <w:bookmarkStart w:id="32" w:name="_Hlt75236011"/>
      <w:bookmarkEnd w:id="32"/>
      <w:bookmarkStart w:id="33" w:name="_Toc354996698"/>
      <w:bookmarkStart w:id="34" w:name="_Toc91899884"/>
      <w:bookmarkStart w:id="35" w:name="_Toc233618974"/>
      <w:r>
        <w:rPr>
          <w:rFonts w:hint="eastAsia" w:ascii="宋体" w:hAnsi="宋体" w:eastAsia="宋体" w:cs="宋体"/>
          <w:b/>
          <w:bCs/>
          <w:color w:val="000000"/>
          <w:sz w:val="24"/>
        </w:rPr>
        <w:t>投标文件</w:t>
      </w:r>
      <w:bookmarkEnd w:id="31"/>
      <w:bookmarkEnd w:id="33"/>
      <w:bookmarkEnd w:id="34"/>
      <w:bookmarkEnd w:id="35"/>
    </w:p>
    <w:p>
      <w:pPr>
        <w:shd w:val="clear" w:color="auto" w:fill="FFFFFF"/>
        <w:snapToGrid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（一）投标文件的语言</w:t>
      </w:r>
    </w:p>
    <w:p>
      <w:pPr>
        <w:shd w:val="clear" w:color="auto" w:fill="FFFFFF"/>
        <w:snapToGrid w:val="0"/>
        <w:spacing w:line="360" w:lineRule="auto"/>
        <w:ind w:firstLine="480" w:firstLineChars="200"/>
        <w:rPr>
          <w:rFonts w:hint="eastAsia" w:ascii="宋体" w:hAnsi="宋体" w:eastAsia="宋体" w:cs="宋体"/>
          <w:color w:val="000000"/>
          <w:sz w:val="24"/>
          <w:lang w:val="zh-CN"/>
        </w:rPr>
      </w:pPr>
      <w:r>
        <w:rPr>
          <w:rFonts w:hint="eastAsia" w:ascii="宋体" w:hAnsi="宋体" w:eastAsia="宋体" w:cs="宋体"/>
          <w:color w:val="000000"/>
          <w:sz w:val="24"/>
        </w:rPr>
        <w:t>投标文件及投标人与采购有关的来往通知、函件和文件均应使用中文。</w:t>
      </w:r>
    </w:p>
    <w:p>
      <w:pPr>
        <w:pStyle w:val="26"/>
        <w:snapToGrid w:val="0"/>
        <w:spacing w:before="0"/>
        <w:ind w:firstLine="0" w:firstLineChars="0"/>
        <w:rPr>
          <w:rFonts w:hint="eastAsia" w:ascii="宋体" w:hAnsi="宋体" w:eastAsia="宋体" w:cs="宋体"/>
          <w:b/>
          <w:color w:val="000000"/>
          <w:szCs w:val="24"/>
        </w:rPr>
      </w:pPr>
      <w:bookmarkStart w:id="36" w:name="_Toc91899887"/>
      <w:r>
        <w:rPr>
          <w:rFonts w:hint="eastAsia" w:ascii="宋体" w:hAnsi="宋体" w:eastAsia="宋体" w:cs="宋体"/>
          <w:b/>
          <w:color w:val="000000"/>
          <w:szCs w:val="24"/>
        </w:rPr>
        <w:t>（二）投标文件的组成</w:t>
      </w:r>
    </w:p>
    <w:p>
      <w:pPr>
        <w:snapToGrid w:val="0"/>
        <w:spacing w:line="360" w:lineRule="auto"/>
        <w:ind w:firstLine="480" w:firstLineChars="200"/>
        <w:rPr>
          <w:rFonts w:hint="eastAsia" w:ascii="宋体" w:hAnsi="宋体" w:eastAsia="宋体" w:cs="宋体"/>
          <w:b/>
          <w:bCs/>
          <w:color w:val="000000"/>
          <w:kern w:val="0"/>
          <w:sz w:val="24"/>
          <w:lang w:val="zh-CN"/>
        </w:rPr>
      </w:pPr>
      <w:r>
        <w:rPr>
          <w:rFonts w:hint="eastAsia" w:ascii="宋体" w:hAnsi="宋体" w:eastAsia="宋体" w:cs="宋体"/>
          <w:color w:val="000000"/>
          <w:kern w:val="0"/>
          <w:sz w:val="24"/>
        </w:rPr>
        <w:t>投标</w:t>
      </w:r>
      <w:r>
        <w:rPr>
          <w:rFonts w:hint="eastAsia" w:ascii="宋体" w:hAnsi="宋体" w:eastAsia="宋体" w:cs="宋体"/>
          <w:color w:val="000000"/>
          <w:kern w:val="0"/>
          <w:sz w:val="24"/>
          <w:lang w:val="zh-CN"/>
        </w:rPr>
        <w:t>文件应当包括以下主要内容：</w:t>
      </w:r>
      <w:r>
        <w:rPr>
          <w:rFonts w:hint="eastAsia" w:ascii="宋体" w:hAnsi="宋体" w:eastAsia="宋体" w:cs="宋体"/>
          <w:b/>
          <w:bCs/>
          <w:color w:val="000000"/>
          <w:kern w:val="0"/>
          <w:sz w:val="24"/>
          <w:lang w:val="zh-CN"/>
        </w:rPr>
        <w:t>资格文件、报价文件、商务技术文件。</w:t>
      </w:r>
      <w:r>
        <w:rPr>
          <w:rFonts w:hint="eastAsia" w:ascii="宋体" w:hAnsi="宋体" w:eastAsia="宋体" w:cs="宋体"/>
          <w:b/>
          <w:bCs/>
          <w:color w:val="000000"/>
          <w:sz w:val="24"/>
          <w:szCs w:val="21"/>
        </w:rPr>
        <w:t>部分格式详见“第五部分 应提交的有关格式范例”，</w:t>
      </w:r>
      <w:r>
        <w:rPr>
          <w:rFonts w:hint="eastAsia" w:ascii="宋体" w:hAnsi="宋体" w:eastAsia="宋体" w:cs="宋体"/>
          <w:b/>
          <w:sz w:val="24"/>
        </w:rPr>
        <w:t>未提供参考格式的由投标人根据相关要求自行编制。</w:t>
      </w:r>
      <w:r>
        <w:rPr>
          <w:rFonts w:hint="eastAsia" w:ascii="宋体" w:hAnsi="宋体" w:eastAsia="宋体" w:cs="宋体"/>
          <w:b/>
          <w:bCs/>
          <w:color w:val="000000"/>
          <w:sz w:val="24"/>
          <w:szCs w:val="21"/>
        </w:rPr>
        <w:t>）</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lang w:val="zh-CN"/>
        </w:rPr>
        <w:t>1、投标人的</w:t>
      </w:r>
      <w:r>
        <w:rPr>
          <w:rFonts w:hint="eastAsia" w:ascii="宋体" w:hAnsi="宋体" w:eastAsia="宋体" w:cs="宋体"/>
          <w:b/>
          <w:bCs/>
          <w:color w:val="000000"/>
          <w:kern w:val="0"/>
          <w:sz w:val="24"/>
          <w:lang w:val="zh-CN"/>
        </w:rPr>
        <w:t>资格文件</w:t>
      </w:r>
      <w:r>
        <w:rPr>
          <w:rFonts w:hint="eastAsia" w:ascii="宋体" w:hAnsi="宋体" w:eastAsia="宋体" w:cs="宋体"/>
          <w:color w:val="000000"/>
          <w:sz w:val="24"/>
        </w:rPr>
        <w:t xml:space="preserve">至少应包括以下内容： </w:t>
      </w:r>
    </w:p>
    <w:p>
      <w:pPr>
        <w:snapToGrid w:val="0"/>
        <w:spacing w:line="360" w:lineRule="auto"/>
        <w:ind w:left="110" w:leftChars="50"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基本资格条件审查材料：</w:t>
      </w:r>
    </w:p>
    <w:p>
      <w:pPr>
        <w:snapToGrid w:val="0"/>
        <w:spacing w:line="360" w:lineRule="auto"/>
        <w:ind w:left="110" w:leftChars="50"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【即证明其符合《中华人民共和国政府采购法》规定的供应商基本条件的有关资格证明文件。】</w:t>
      </w:r>
    </w:p>
    <w:p>
      <w:pPr>
        <w:snapToGrid w:val="0"/>
        <w:spacing w:line="360" w:lineRule="auto"/>
        <w:ind w:left="110" w:leftChars="50"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包括：</w:t>
      </w:r>
    </w:p>
    <w:p>
      <w:pPr>
        <w:snapToGrid w:val="0"/>
        <w:spacing w:line="360" w:lineRule="auto"/>
        <w:ind w:left="110" w:leftChars="50"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（1）</w:t>
      </w:r>
      <w:r>
        <w:rPr>
          <w:rFonts w:hint="eastAsia" w:ascii="宋体" w:hAnsi="宋体" w:eastAsia="宋体" w:cs="宋体"/>
          <w:b/>
          <w:color w:val="000000"/>
          <w:sz w:val="24"/>
          <w:szCs w:val="21"/>
        </w:rPr>
        <w:t>营业执照</w:t>
      </w:r>
      <w:r>
        <w:rPr>
          <w:rFonts w:hint="eastAsia" w:ascii="宋体" w:hAnsi="宋体" w:eastAsia="宋体" w:cs="宋体"/>
          <w:color w:val="000000"/>
          <w:sz w:val="24"/>
          <w:szCs w:val="21"/>
        </w:rPr>
        <w:t>(或事业法人登记证书或其它工商等登记证明材料</w:t>
      </w:r>
      <w:r>
        <w:rPr>
          <w:rFonts w:hint="eastAsia" w:ascii="宋体" w:hAnsi="宋体" w:eastAsia="宋体" w:cs="宋体"/>
          <w:color w:val="FF0000"/>
          <w:sz w:val="24"/>
          <w:szCs w:val="21"/>
        </w:rPr>
        <w:t>)</w:t>
      </w:r>
      <w:r>
        <w:rPr>
          <w:rFonts w:hint="eastAsia" w:ascii="宋体" w:hAnsi="宋体" w:eastAsia="宋体" w:cs="宋体"/>
          <w:color w:val="000000"/>
          <w:sz w:val="24"/>
          <w:szCs w:val="21"/>
        </w:rPr>
        <w:t xml:space="preserve">； </w:t>
      </w:r>
    </w:p>
    <w:p>
      <w:pPr>
        <w:snapToGrid w:val="0"/>
        <w:spacing w:line="360" w:lineRule="auto"/>
        <w:ind w:left="110" w:leftChars="50"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left="110" w:leftChars="50"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（2）最近一年财务报表(可提供审计报告或资产负责表及利润表，新成立的公司提供情况说明)；</w:t>
      </w:r>
    </w:p>
    <w:p>
      <w:pPr>
        <w:snapToGrid w:val="0"/>
        <w:spacing w:line="360" w:lineRule="auto"/>
        <w:ind w:left="110" w:leftChars="50"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（3）具有履行合同所必需的场地、设备和专业技术能力的承诺函；</w:t>
      </w:r>
    </w:p>
    <w:p>
      <w:pPr>
        <w:snapToGrid w:val="0"/>
        <w:spacing w:line="360" w:lineRule="auto"/>
        <w:ind w:left="110" w:leftChars="50"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（4）依法缴纳税收和社会保障资金的承诺函；</w:t>
      </w:r>
    </w:p>
    <w:p>
      <w:pPr>
        <w:snapToGrid w:val="0"/>
        <w:spacing w:line="360" w:lineRule="auto"/>
        <w:ind w:left="110" w:leftChars="50"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（5）参加政府采购活动前3年内在经营活动中没有重大违法记录的声明函；</w:t>
      </w:r>
    </w:p>
    <w:p>
      <w:pPr>
        <w:snapToGrid w:val="0"/>
        <w:spacing w:line="360" w:lineRule="auto"/>
        <w:ind w:left="110" w:leftChars="50"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（6）单位负责人为同一人或者存在直接控股、管理关系的不同供应商，不得参加同一合同项下的政府采购活动承诺函；</w:t>
      </w:r>
    </w:p>
    <w:p>
      <w:pPr>
        <w:snapToGrid w:val="0"/>
        <w:spacing w:line="360" w:lineRule="auto"/>
        <w:ind w:left="110" w:leftChars="50"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（7）投标供应商没有失信记录承诺函；</w:t>
      </w:r>
    </w:p>
    <w:p>
      <w:pPr>
        <w:snapToGrid w:val="0"/>
        <w:spacing w:line="360" w:lineRule="auto"/>
        <w:ind w:left="110" w:leftChars="50"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（8）标</w:t>
      </w:r>
      <w:r>
        <w:rPr>
          <w:rFonts w:hint="eastAsia" w:ascii="宋体" w:hAnsi="宋体" w:eastAsia="宋体" w:cs="宋体"/>
          <w:color w:val="000000"/>
          <w:sz w:val="24"/>
          <w:szCs w:val="21"/>
          <w:lang w:eastAsia="zh-CN"/>
        </w:rPr>
        <w:t>标</w:t>
      </w:r>
      <w:r>
        <w:rPr>
          <w:rFonts w:hint="eastAsia" w:ascii="宋体" w:hAnsi="宋体" w:eastAsia="宋体" w:cs="宋体"/>
          <w:color w:val="000000"/>
          <w:sz w:val="24"/>
          <w:szCs w:val="21"/>
        </w:rPr>
        <w:t>供应商不属于公益一类事业单位承诺函。</w:t>
      </w:r>
    </w:p>
    <w:p>
      <w:pPr>
        <w:snapToGrid w:val="0"/>
        <w:spacing w:line="360" w:lineRule="auto"/>
        <w:ind w:left="110" w:leftChars="50" w:firstLine="482" w:firstLineChars="200"/>
        <w:rPr>
          <w:rFonts w:hint="eastAsia" w:ascii="宋体" w:hAnsi="宋体" w:eastAsia="宋体" w:cs="宋体"/>
          <w:b/>
          <w:bCs/>
          <w:color w:val="000000"/>
          <w:sz w:val="24"/>
          <w:szCs w:val="21"/>
        </w:rPr>
      </w:pPr>
      <w:r>
        <w:rPr>
          <w:rFonts w:hint="eastAsia" w:ascii="宋体" w:hAnsi="宋体" w:eastAsia="宋体" w:cs="宋体"/>
          <w:b/>
          <w:bCs/>
          <w:color w:val="000000"/>
          <w:sz w:val="24"/>
          <w:szCs w:val="21"/>
        </w:rPr>
        <w:t>上述资格条件审查材料有一项不提供的，视为资格审查不通过。</w:t>
      </w:r>
    </w:p>
    <w:p>
      <w:pPr>
        <w:snapToGrid w:val="0"/>
        <w:spacing w:line="360" w:lineRule="auto"/>
        <w:ind w:firstLine="480" w:firstLineChars="200"/>
        <w:rPr>
          <w:rFonts w:hint="eastAsia" w:ascii="宋体" w:hAnsi="宋体" w:eastAsia="宋体" w:cs="宋体"/>
          <w:color w:val="000000"/>
          <w:sz w:val="24"/>
          <w:u w:val="single"/>
          <w:lang w:val="zh-CN"/>
        </w:rPr>
      </w:pPr>
      <w:bookmarkStart w:id="37" w:name="_Toc500208478"/>
      <w:r>
        <w:rPr>
          <w:rFonts w:hint="eastAsia" w:ascii="宋体" w:hAnsi="宋体" w:eastAsia="宋体" w:cs="宋体"/>
          <w:color w:val="000000"/>
          <w:kern w:val="0"/>
          <w:sz w:val="24"/>
          <w:lang w:val="zh-CN"/>
        </w:rPr>
        <w:t>2、</w:t>
      </w:r>
      <w:r>
        <w:rPr>
          <w:rFonts w:hint="eastAsia" w:ascii="宋体" w:hAnsi="宋体" w:eastAsia="宋体" w:cs="宋体"/>
          <w:color w:val="000000"/>
          <w:sz w:val="24"/>
        </w:rPr>
        <w:t>投标人的</w:t>
      </w:r>
      <w:r>
        <w:rPr>
          <w:rFonts w:hint="eastAsia" w:ascii="宋体" w:hAnsi="宋体" w:eastAsia="宋体" w:cs="宋体"/>
          <w:b/>
          <w:color w:val="000000"/>
          <w:sz w:val="24"/>
        </w:rPr>
        <w:t>报价文件</w:t>
      </w:r>
      <w:r>
        <w:rPr>
          <w:rFonts w:hint="eastAsia" w:ascii="宋体" w:hAnsi="宋体" w:eastAsia="宋体" w:cs="宋体"/>
          <w:color w:val="000000"/>
          <w:sz w:val="24"/>
        </w:rPr>
        <w:t xml:space="preserve">至少应包括以下内容： </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kern w:val="0"/>
          <w:sz w:val="24"/>
        </w:rPr>
        <w:t>投标响应函</w:t>
      </w:r>
      <w:r>
        <w:rPr>
          <w:rFonts w:hint="eastAsia" w:ascii="宋体" w:hAnsi="宋体" w:eastAsia="宋体" w:cs="宋体"/>
          <w:color w:val="000000"/>
          <w:sz w:val="24"/>
        </w:rPr>
        <w:t>；</w:t>
      </w:r>
    </w:p>
    <w:p>
      <w:pPr>
        <w:pStyle w:val="9"/>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（2）开标一览表；</w:t>
      </w:r>
    </w:p>
    <w:p>
      <w:pPr>
        <w:pStyle w:val="9"/>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sz w:val="24"/>
          <w:szCs w:val="24"/>
        </w:rPr>
        <w:t>（3）报价明细清单；</w:t>
      </w:r>
    </w:p>
    <w:p>
      <w:pPr>
        <w:snapToGrid w:val="0"/>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kern w:val="0"/>
          <w:sz w:val="24"/>
        </w:rPr>
        <w:t>（4）中小企业声明函、监狱企业、残疾人福利性单位及其他相关的充分的证明材料。</w:t>
      </w:r>
      <w:r>
        <w:rPr>
          <w:rFonts w:hint="eastAsia" w:ascii="宋体" w:hAnsi="宋体" w:eastAsia="宋体" w:cs="宋体"/>
          <w:b/>
          <w:bCs/>
          <w:color w:val="000000"/>
          <w:sz w:val="24"/>
        </w:rPr>
        <w:t xml:space="preserve"> </w:t>
      </w:r>
    </w:p>
    <w:p>
      <w:pPr>
        <w:snapToGrid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3、投标人的</w:t>
      </w:r>
      <w:r>
        <w:rPr>
          <w:rFonts w:hint="eastAsia" w:ascii="宋体" w:hAnsi="宋体" w:eastAsia="宋体" w:cs="宋体"/>
          <w:b/>
          <w:bCs/>
          <w:color w:val="000000"/>
          <w:kern w:val="0"/>
          <w:sz w:val="24"/>
          <w:lang w:val="zh-CN"/>
        </w:rPr>
        <w:t>商务技术文件</w:t>
      </w:r>
      <w:r>
        <w:rPr>
          <w:rFonts w:hint="eastAsia" w:ascii="宋体" w:hAnsi="宋体" w:eastAsia="宋体" w:cs="宋体"/>
          <w:color w:val="000000"/>
          <w:kern w:val="0"/>
          <w:sz w:val="24"/>
          <w:lang w:val="zh-CN"/>
        </w:rPr>
        <w:t xml:space="preserve">至少应包括以下内容： </w:t>
      </w:r>
    </w:p>
    <w:bookmarkEnd w:id="37"/>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（1）法定代表人授权委托书；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（2）法定代表人及授权委托人的身份证(复印件加盖公章)；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（3）</w:t>
      </w:r>
      <w:r>
        <w:rPr>
          <w:rFonts w:hint="eastAsia" w:ascii="宋体" w:hAnsi="宋体"/>
          <w:color w:val="000000"/>
          <w:sz w:val="24"/>
          <w:u w:val="none" w:color="000000"/>
        </w:rPr>
        <w:t>资质文件（如有）；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000000"/>
          <w:sz w:val="24"/>
          <w:lang w:val="zh-CN"/>
        </w:rPr>
      </w:pPr>
      <w:r>
        <w:rPr>
          <w:rFonts w:hint="eastAsia" w:ascii="宋体" w:hAnsi="宋体" w:cs="宋体"/>
          <w:color w:val="000000"/>
          <w:sz w:val="24"/>
        </w:rPr>
        <w:t>（4）公司介绍及同类项目</w:t>
      </w:r>
      <w:r>
        <w:rPr>
          <w:rFonts w:hint="eastAsia" w:ascii="宋体" w:hAnsi="宋体" w:cs="宋体"/>
          <w:color w:val="000000"/>
          <w:sz w:val="24"/>
          <w:lang w:eastAsia="zh-CN"/>
        </w:rPr>
        <w:t>业绩</w:t>
      </w:r>
      <w:r>
        <w:rPr>
          <w:rFonts w:hint="eastAsia" w:ascii="宋体" w:hAnsi="宋体" w:cs="宋体"/>
          <w:color w:val="000000"/>
          <w:sz w:val="24"/>
        </w:rPr>
        <w:t>经验</w:t>
      </w:r>
      <w:r>
        <w:rPr>
          <w:rFonts w:hint="eastAsia" w:ascii="宋体" w:hAnsi="宋体" w:cs="宋体"/>
          <w:color w:val="000000"/>
          <w:sz w:val="24"/>
          <w:lang w:eastAsia="zh-CN"/>
        </w:rPr>
        <w:t>案例</w:t>
      </w:r>
      <w:r>
        <w:rPr>
          <w:rFonts w:hint="eastAsia" w:ascii="宋体" w:hAnsi="宋体" w:cs="宋体"/>
          <w:color w:val="000000"/>
          <w:sz w:val="24"/>
          <w:lang w:val="zh-CN"/>
        </w:rPr>
        <w:t>（需提供合同扫描件并加盖公章）；</w:t>
      </w:r>
    </w:p>
    <w:p>
      <w:pPr>
        <w:pStyle w:val="9"/>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kern w:val="0"/>
          <w:sz w:val="24"/>
          <w:lang w:eastAsia="zh-CN" w:bidi="ar"/>
        </w:rPr>
      </w:pPr>
      <w:r>
        <w:rPr>
          <w:rFonts w:hint="eastAsia" w:ascii="宋体" w:hAnsi="宋体" w:cs="宋体"/>
          <w:color w:val="000000"/>
          <w:sz w:val="24"/>
        </w:rPr>
        <w:t>（</w:t>
      </w:r>
      <w:r>
        <w:rPr>
          <w:rFonts w:hint="eastAsia" w:ascii="宋体" w:hAnsi="宋体" w:eastAsia="宋体" w:cs="宋体"/>
          <w:color w:val="000000"/>
          <w:sz w:val="24"/>
          <w:lang w:val="en-US" w:eastAsia="zh-CN"/>
        </w:rPr>
        <w:t>5</w:t>
      </w:r>
      <w:r>
        <w:rPr>
          <w:rFonts w:hint="eastAsia" w:ascii="宋体" w:hAnsi="宋体" w:cs="宋体"/>
          <w:color w:val="000000"/>
          <w:sz w:val="24"/>
        </w:rPr>
        <w:t>）</w:t>
      </w:r>
      <w:r>
        <w:rPr>
          <w:rFonts w:hint="eastAsia" w:ascii="宋体" w:hAnsi="宋体" w:cs="宋体"/>
          <w:color w:val="000000"/>
          <w:kern w:val="0"/>
          <w:sz w:val="24"/>
          <w:lang w:bidi="ar"/>
        </w:rPr>
        <w:t>针对本项目详细服务实施计划</w:t>
      </w:r>
      <w:r>
        <w:rPr>
          <w:rFonts w:hint="eastAsia" w:ascii="宋体" w:hAnsi="宋体" w:eastAsia="宋体" w:cs="宋体"/>
          <w:color w:val="000000"/>
          <w:kern w:val="0"/>
          <w:sz w:val="24"/>
          <w:lang w:eastAsia="zh-CN" w:bidi="ar"/>
        </w:rPr>
        <w:t>方案等；</w:t>
      </w:r>
    </w:p>
    <w:p>
      <w:pPr>
        <w:pStyle w:val="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）服务承诺；</w:t>
      </w:r>
    </w:p>
    <w:p>
      <w:pPr>
        <w:pStyle w:val="9"/>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kern w:val="0"/>
          <w:sz w:val="24"/>
          <w:lang w:eastAsia="zh-CN" w:bidi="ar"/>
        </w:rPr>
      </w:pPr>
      <w:r>
        <w:rPr>
          <w:rFonts w:hint="eastAsia" w:ascii="宋体" w:hAnsi="宋体" w:cs="宋体"/>
          <w:color w:val="000000"/>
          <w:sz w:val="24"/>
        </w:rPr>
        <w:t>（</w:t>
      </w:r>
      <w:r>
        <w:rPr>
          <w:rFonts w:hint="eastAsia" w:ascii="宋体" w:hAnsi="宋体" w:eastAsia="宋体" w:cs="宋体"/>
          <w:color w:val="000000"/>
          <w:sz w:val="24"/>
          <w:lang w:val="en-US" w:eastAsia="zh-CN"/>
        </w:rPr>
        <w:t>7</w:t>
      </w:r>
      <w:r>
        <w:rPr>
          <w:rFonts w:hint="eastAsia" w:ascii="宋体" w:hAnsi="宋体" w:cs="宋体"/>
          <w:color w:val="000000"/>
          <w:sz w:val="24"/>
        </w:rPr>
        <w:t>）</w:t>
      </w:r>
      <w:r>
        <w:rPr>
          <w:rFonts w:hint="eastAsia" w:ascii="宋体" w:hAnsi="宋体" w:eastAsia="宋体" w:cs="宋体"/>
          <w:color w:val="000000"/>
          <w:kern w:val="0"/>
          <w:sz w:val="24"/>
          <w:lang w:eastAsia="zh-CN" w:bidi="ar"/>
        </w:rPr>
        <w:t>商务技术偏离表；</w:t>
      </w:r>
    </w:p>
    <w:p>
      <w:pPr>
        <w:pStyle w:val="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color w:val="000000"/>
          <w:sz w:val="24"/>
          <w:szCs w:val="24"/>
        </w:rPr>
      </w:pP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8</w:t>
      </w:r>
      <w:r>
        <w:rPr>
          <w:rFonts w:hint="eastAsia" w:ascii="宋体" w:hAnsi="宋体" w:eastAsia="宋体" w:cs="宋体"/>
          <w:b w:val="0"/>
          <w:bCs w:val="0"/>
          <w:color w:val="000000"/>
          <w:sz w:val="24"/>
          <w:szCs w:val="24"/>
        </w:rPr>
        <w:t>）</w:t>
      </w:r>
      <w:r>
        <w:rPr>
          <w:rFonts w:hint="eastAsia" w:cs="宋体"/>
          <w:color w:val="000000"/>
          <w:kern w:val="0"/>
          <w:sz w:val="24"/>
          <w:lang w:val="en-US" w:eastAsia="zh-CN"/>
        </w:rPr>
        <w:t>实质性内容响应表</w:t>
      </w:r>
      <w:r>
        <w:rPr>
          <w:rFonts w:hint="eastAsia" w:ascii="宋体" w:hAnsi="宋体" w:eastAsia="宋体" w:cs="宋体"/>
          <w:b/>
          <w:bCs/>
          <w:color w:val="000000"/>
          <w:sz w:val="24"/>
          <w:szCs w:val="24"/>
        </w:rPr>
        <w:t>；</w:t>
      </w:r>
    </w:p>
    <w:p>
      <w:pPr>
        <w:pStyle w:val="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w:t>
      </w:r>
      <w:r>
        <w:rPr>
          <w:rFonts w:hint="eastAsia" w:ascii="宋体" w:hAnsi="宋体" w:cs="宋体"/>
          <w:color w:val="000000"/>
          <w:kern w:val="0"/>
          <w:sz w:val="24"/>
        </w:rPr>
        <w:t>对应商务技术评分细则提供相关证明资料</w:t>
      </w:r>
      <w:r>
        <w:rPr>
          <w:rFonts w:hint="eastAsia" w:ascii="宋体" w:hAnsi="宋体" w:eastAsia="宋体" w:cs="宋体"/>
          <w:color w:val="000000"/>
          <w:sz w:val="24"/>
          <w:szCs w:val="24"/>
          <w:lang w:eastAsia="zh-CN"/>
        </w:rPr>
        <w:t>；</w:t>
      </w:r>
    </w:p>
    <w:p>
      <w:pPr>
        <w:pStyle w:val="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（1</w:t>
      </w:r>
      <w:r>
        <w:rPr>
          <w:rFonts w:hint="eastAsia" w:ascii="宋体" w:hAnsi="宋体" w:eastAsia="宋体"/>
          <w:color w:val="000000"/>
          <w:sz w:val="24"/>
          <w:szCs w:val="24"/>
          <w:lang w:val="en-US" w:eastAsia="zh-CN"/>
        </w:rPr>
        <w:t>0</w:t>
      </w:r>
      <w:r>
        <w:rPr>
          <w:rFonts w:hint="eastAsia" w:ascii="宋体" w:hAnsi="宋体"/>
          <w:color w:val="000000"/>
          <w:sz w:val="24"/>
          <w:szCs w:val="24"/>
        </w:rPr>
        <w:t>）</w:t>
      </w:r>
      <w:r>
        <w:rPr>
          <w:rFonts w:hint="eastAsia" w:ascii="宋体" w:hAnsi="宋体" w:cs="宋体"/>
          <w:color w:val="000000"/>
          <w:kern w:val="0"/>
          <w:sz w:val="24"/>
        </w:rPr>
        <w:t>其他必要提供的资料</w:t>
      </w:r>
      <w:r>
        <w:rPr>
          <w:rFonts w:ascii="宋体" w:hAnsi="宋体"/>
          <w:color w:val="000000"/>
          <w:sz w:val="24"/>
          <w:szCs w:val="24"/>
        </w:rPr>
        <w:t>。</w:t>
      </w:r>
    </w:p>
    <w:p>
      <w:pPr>
        <w:pStyle w:val="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投标文件中所需的各种证书、证件、证明资料如是复印件或扫描件，须在复印件、扫描件上加盖有效公章。</w:t>
      </w:r>
    </w:p>
    <w:p>
      <w:pPr>
        <w:pStyle w:val="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投标文件中所需的各种证书、证件、证明资料如是复印件或扫描件，须在复印件、扫描件上加盖有效公章。</w:t>
      </w:r>
    </w:p>
    <w:p>
      <w:pPr>
        <w:pStyle w:val="9"/>
        <w:snapToGrid w:val="0"/>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lang w:val="zh-CN"/>
        </w:rPr>
        <w:t>投标人的</w:t>
      </w:r>
      <w:r>
        <w:rPr>
          <w:rFonts w:hint="eastAsia" w:ascii="宋体" w:hAnsi="宋体" w:eastAsia="宋体" w:cs="宋体"/>
          <w:b/>
          <w:color w:val="000000"/>
          <w:sz w:val="24"/>
          <w:szCs w:val="24"/>
        </w:rPr>
        <w:t>投标文件必须按照招标文件要求制作</w:t>
      </w:r>
      <w:r>
        <w:rPr>
          <w:rFonts w:hint="eastAsia" w:ascii="宋体" w:hAnsi="宋体" w:eastAsia="宋体" w:cs="宋体"/>
          <w:b/>
          <w:bCs/>
          <w:color w:val="000000"/>
          <w:sz w:val="24"/>
          <w:szCs w:val="24"/>
        </w:rPr>
        <w:t>。</w:t>
      </w:r>
    </w:p>
    <w:p>
      <w:pPr>
        <w:shd w:val="clear" w:color="auto" w:fill="FFFFFF"/>
        <w:snapToGrid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（三）投标有效期</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1、投标文件合格投递后，自投标截止日期起，至前附表所列的日期内有效。</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2、在原定投标有效期之前，如果出现特殊情况，招标代理机构可以以书面形式通知投标人延长投标有效期。</w:t>
      </w:r>
    </w:p>
    <w:p>
      <w:pPr>
        <w:shd w:val="clear" w:color="auto" w:fill="FFFFFF"/>
        <w:snapToGrid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（四）投标保证金</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无。</w:t>
      </w:r>
    </w:p>
    <w:p>
      <w:pPr>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（五）</w:t>
      </w:r>
      <w:bookmarkEnd w:id="36"/>
      <w:bookmarkStart w:id="38" w:name="_Hlt68073093"/>
      <w:bookmarkEnd w:id="38"/>
      <w:bookmarkStart w:id="39" w:name="_Hlt68403820"/>
      <w:bookmarkEnd w:id="39"/>
      <w:bookmarkStart w:id="40" w:name="_Hlt68072998"/>
      <w:bookmarkEnd w:id="40"/>
      <w:bookmarkStart w:id="41" w:name="_Toc91899892"/>
      <w:bookmarkStart w:id="42" w:name="_Toc86216991"/>
      <w:bookmarkStart w:id="43" w:name="_Toc233618975"/>
      <w:r>
        <w:rPr>
          <w:rFonts w:hint="eastAsia" w:ascii="宋体" w:hAnsi="宋体" w:eastAsia="宋体" w:cs="宋体"/>
          <w:b/>
          <w:bCs/>
          <w:color w:val="000000"/>
          <w:sz w:val="24"/>
        </w:rPr>
        <w:t>投标文件编制</w:t>
      </w:r>
    </w:p>
    <w:p>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kern w:val="0"/>
          <w:sz w:val="24"/>
        </w:rPr>
        <w:t>5.1</w:t>
      </w:r>
      <w:r>
        <w:rPr>
          <w:rFonts w:hint="eastAsia" w:ascii="宋体" w:hAnsi="宋体" w:eastAsia="宋体" w:cs="宋体"/>
          <w:b/>
          <w:color w:val="000000"/>
          <w:sz w:val="24"/>
        </w:rPr>
        <w:t>本项目通过“政府采购云平台（www.zcygov.cn）”实行在线投标响应（电子投标）。供应商应通过“政采云电子交易客户端”，并按照本招标文件和“政府采购云平台”的要求编制并加密投标文件。</w:t>
      </w:r>
    </w:p>
    <w:p>
      <w:pPr>
        <w:spacing w:line="360" w:lineRule="auto"/>
        <w:ind w:firstLine="422" w:firstLineChars="175"/>
        <w:rPr>
          <w:rFonts w:hint="eastAsia" w:ascii="宋体" w:hAnsi="宋体" w:eastAsia="宋体" w:cs="宋体"/>
          <w:b/>
          <w:color w:val="000000"/>
          <w:kern w:val="0"/>
          <w:sz w:val="24"/>
        </w:rPr>
      </w:pPr>
      <w:r>
        <w:rPr>
          <w:rFonts w:hint="eastAsia" w:ascii="宋体" w:hAnsi="宋体" w:eastAsia="宋体" w:cs="宋体"/>
          <w:b/>
          <w:color w:val="000000"/>
          <w:kern w:val="0"/>
          <w:sz w:val="24"/>
        </w:rPr>
        <w:t>5.2投标供应商应当按照本章节 “投标文件组成”规定的内容及顺序在“政采云电子交易客户端”编制投标文件。其中《资格文件》和《商务技术文件》中不得出现本项目投标报价，如因投标人原因提前泄露投标报价，是投标人的责任。</w:t>
      </w:r>
    </w:p>
    <w:p>
      <w:pPr>
        <w:spacing w:line="360" w:lineRule="auto"/>
        <w:ind w:firstLine="422" w:firstLineChars="175"/>
        <w:rPr>
          <w:rFonts w:hint="eastAsia" w:ascii="宋体" w:hAnsi="宋体" w:eastAsia="宋体" w:cs="宋体"/>
          <w:b/>
          <w:color w:val="000000"/>
          <w:sz w:val="24"/>
        </w:rPr>
      </w:pPr>
      <w:r>
        <w:rPr>
          <w:rFonts w:hint="eastAsia" w:ascii="宋体" w:hAnsi="宋体" w:eastAsia="宋体" w:cs="宋体"/>
          <w:b/>
          <w:color w:val="000000"/>
          <w:sz w:val="24"/>
        </w:rPr>
        <w:t>5.3本文件《第五部分  应提交的有关格式范例》中有提供格式的，投标供应商须参照格式进行编制（格式中要求提供相关证明材料的还需后附相关证明材料），并按格式要求在指定位置根据要求进行签章，否则视为未提供；本文件《第五部分  应提交的有关格式范例》未提供格式的，请各投标单位自行拟定格式，并加盖单位公章并由法定代表人或其授权代表签署（签字或盖章），否则视为未提供。</w:t>
      </w:r>
    </w:p>
    <w:p>
      <w:pPr>
        <w:spacing w:line="360" w:lineRule="auto"/>
        <w:ind w:firstLine="420" w:firstLineChars="175"/>
        <w:rPr>
          <w:rFonts w:hint="eastAsia" w:ascii="宋体" w:hAnsi="宋体" w:eastAsia="宋体" w:cs="宋体"/>
          <w:color w:val="000000"/>
          <w:kern w:val="0"/>
          <w:sz w:val="24"/>
        </w:rPr>
      </w:pPr>
      <w:r>
        <w:rPr>
          <w:rFonts w:hint="eastAsia" w:ascii="宋体" w:hAnsi="宋体" w:eastAsia="宋体" w:cs="宋体"/>
          <w:color w:val="000000"/>
          <w:kern w:val="0"/>
          <w:sz w:val="24"/>
        </w:rPr>
        <w:t>5.4《投标文件》内容不完整、编排混乱导致《投标文件》被误读、漏读或者查找不到相关内容的，是投标供应商的责任。</w:t>
      </w:r>
    </w:p>
    <w:p>
      <w:pPr>
        <w:spacing w:line="360" w:lineRule="auto"/>
        <w:ind w:firstLine="420" w:firstLineChars="175"/>
        <w:rPr>
          <w:rFonts w:hint="eastAsia" w:ascii="宋体" w:hAnsi="宋体" w:eastAsia="宋体" w:cs="宋体"/>
          <w:color w:val="000000"/>
          <w:kern w:val="0"/>
          <w:sz w:val="24"/>
        </w:rPr>
      </w:pPr>
      <w:r>
        <w:rPr>
          <w:rFonts w:hint="eastAsia" w:ascii="宋体" w:hAnsi="宋体" w:eastAsia="宋体" w:cs="宋体"/>
          <w:color w:val="000000"/>
          <w:kern w:val="0"/>
          <w:sz w:val="24"/>
        </w:rPr>
        <w:t>5.5《投标文件》因字迹潦草或表达不清所引起的后果由投标供应商负责。</w:t>
      </w:r>
    </w:p>
    <w:p>
      <w:pPr>
        <w:spacing w:line="360" w:lineRule="auto"/>
        <w:ind w:firstLine="420" w:firstLineChars="175"/>
        <w:rPr>
          <w:rFonts w:hint="eastAsia" w:ascii="宋体" w:hAnsi="宋体" w:eastAsia="宋体" w:cs="宋体"/>
          <w:color w:val="000000"/>
          <w:kern w:val="0"/>
          <w:sz w:val="24"/>
        </w:rPr>
      </w:pPr>
      <w:r>
        <w:rPr>
          <w:rFonts w:hint="eastAsia" w:ascii="宋体" w:hAnsi="宋体" w:eastAsia="宋体" w:cs="宋体"/>
          <w:color w:val="000000"/>
          <w:kern w:val="0"/>
          <w:sz w:val="24"/>
        </w:rPr>
        <w:t>5.6投标供应商没有按照本章节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pPr>
        <w:pStyle w:val="44"/>
        <w:spacing w:line="360" w:lineRule="auto"/>
        <w:ind w:firstLine="480" w:firstLineChars="200"/>
        <w:rPr>
          <w:rFonts w:hint="eastAsia" w:ascii="宋体" w:hAnsi="宋体" w:eastAsia="宋体" w:cs="宋体"/>
          <w:lang w:val="en-US" w:eastAsia="zh-CN"/>
        </w:rPr>
      </w:pPr>
      <w:r>
        <w:rPr>
          <w:rFonts w:hint="eastAsia" w:ascii="宋体" w:hAnsi="宋体" w:eastAsia="宋体" w:cs="宋体"/>
          <w:color w:val="000000"/>
          <w:kern w:val="0"/>
          <w:sz w:val="24"/>
          <w:lang w:val="en-US" w:eastAsia="zh-CN"/>
        </w:rPr>
        <w:t>5.7</w:t>
      </w:r>
      <w:r>
        <w:rPr>
          <w:rFonts w:hint="eastAsia" w:ascii="宋体" w:hAnsi="宋体" w:eastAsia="宋体" w:cs="宋体"/>
          <w:color w:val="auto"/>
          <w:sz w:val="24"/>
          <w:szCs w:val="24"/>
          <w:highlight w:val="none"/>
        </w:rPr>
        <w:t>如采用联合体投标的，须提供联合体协议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联合体各方应当签订共同投标协议，明确约定各方拟承但的工作和责任，同时协议内须明确牵头单位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并将共同投标协议联同投标文件一并提交给招标人，联合体中标的，联合体各方应当共同与招标人签订合同，就中标项目向招标人承担连带责任。</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（六）投标文件的签章</w:t>
      </w:r>
    </w:p>
    <w:p>
      <w:pPr>
        <w:spacing w:line="360" w:lineRule="auto"/>
        <w:ind w:firstLine="463" w:firstLineChars="192"/>
        <w:rPr>
          <w:rFonts w:hint="eastAsia" w:ascii="宋体" w:hAnsi="宋体" w:eastAsia="宋体" w:cs="宋体"/>
          <w:b/>
          <w:color w:val="000000"/>
          <w:kern w:val="0"/>
          <w:sz w:val="24"/>
        </w:rPr>
      </w:pPr>
      <w:r>
        <w:rPr>
          <w:rFonts w:hint="eastAsia" w:ascii="宋体" w:hAnsi="宋体" w:eastAsia="宋体" w:cs="宋体"/>
          <w:b/>
          <w:color w:val="000000"/>
          <w:kern w:val="0"/>
          <w:sz w:val="24"/>
        </w:rPr>
        <w:t>6.1《投标文件》的签章：</w:t>
      </w:r>
      <w:r>
        <w:rPr>
          <w:rFonts w:hint="eastAsia" w:ascii="宋体" w:hAnsi="宋体" w:eastAsia="宋体" w:cs="宋体"/>
          <w:b/>
          <w:color w:val="000000"/>
          <w:sz w:val="24"/>
        </w:rPr>
        <w:t>见《前附表》；</w:t>
      </w:r>
    </w:p>
    <w:p>
      <w:pPr>
        <w:spacing w:line="360" w:lineRule="auto"/>
        <w:ind w:firstLine="463" w:firstLineChars="192"/>
        <w:rPr>
          <w:rFonts w:hint="eastAsia" w:ascii="宋体" w:hAnsi="宋体" w:eastAsia="宋体" w:cs="宋体"/>
          <w:b/>
          <w:color w:val="000000"/>
          <w:kern w:val="0"/>
          <w:sz w:val="24"/>
        </w:rPr>
      </w:pPr>
      <w:r>
        <w:rPr>
          <w:rFonts w:hint="eastAsia" w:ascii="宋体" w:hAnsi="宋体" w:eastAsia="宋体" w:cs="宋体"/>
          <w:b/>
          <w:color w:val="000000"/>
          <w:kern w:val="0"/>
          <w:sz w:val="24"/>
        </w:rPr>
        <w:t>6.2《投标文件》应由投标供应商法定代表人或其授权代表签字（或盖章），并加盖投标供应商公章。</w:t>
      </w:r>
    </w:p>
    <w:p>
      <w:pPr>
        <w:spacing w:line="360" w:lineRule="auto"/>
        <w:ind w:firstLine="424" w:firstLineChars="176"/>
        <w:rPr>
          <w:rFonts w:hint="eastAsia" w:ascii="宋体" w:hAnsi="宋体" w:eastAsia="宋体" w:cs="宋体"/>
          <w:color w:val="000000"/>
          <w:sz w:val="24"/>
        </w:rPr>
      </w:pPr>
      <w:r>
        <w:rPr>
          <w:rFonts w:hint="eastAsia" w:ascii="宋体" w:hAnsi="宋体" w:eastAsia="宋体" w:cs="宋体"/>
          <w:b/>
          <w:color w:val="000000"/>
          <w:kern w:val="0"/>
          <w:sz w:val="24"/>
        </w:rPr>
        <w:t>6.3电子签章操作指南详见:政采云平台</w:t>
      </w:r>
      <w:r>
        <w:rPr>
          <w:rFonts w:hint="eastAsia" w:ascii="宋体" w:hAnsi="宋体" w:eastAsia="宋体" w:cs="宋体"/>
          <w:b/>
          <w:color w:val="000000"/>
          <w:sz w:val="24"/>
        </w:rPr>
        <w:t>《供应商项目采购-电子招投标操作指南》</w:t>
      </w:r>
      <w:r>
        <w:rPr>
          <w:rFonts w:hint="eastAsia" w:ascii="宋体" w:hAnsi="宋体" w:eastAsia="宋体" w:cs="宋体"/>
          <w:color w:val="000000"/>
          <w:sz w:val="24"/>
        </w:rPr>
        <w:t>。</w:t>
      </w:r>
    </w:p>
    <w:p>
      <w:pPr>
        <w:spacing w:before="0" w:line="360" w:lineRule="auto"/>
        <w:ind w:firstLine="480"/>
        <w:rPr>
          <w:rFonts w:hint="eastAsia" w:ascii="宋体" w:hAnsi="宋体" w:eastAsia="宋体" w:cs="宋体"/>
          <w:b w:val="0"/>
          <w:color w:val="auto"/>
          <w:sz w:val="24"/>
          <w:highlight w:val="none"/>
        </w:rPr>
      </w:pPr>
      <w:r>
        <w:rPr>
          <w:rFonts w:hint="eastAsia" w:ascii="宋体" w:hAnsi="宋体" w:eastAsia="宋体" w:cs="宋体"/>
          <w:b/>
          <w:color w:val="000000"/>
          <w:kern w:val="0"/>
          <w:sz w:val="24"/>
        </w:rPr>
        <w:t>6.</w:t>
      </w:r>
      <w:r>
        <w:rPr>
          <w:rFonts w:hint="eastAsia" w:ascii="宋体" w:hAnsi="宋体" w:eastAsia="宋体" w:cs="宋体"/>
          <w:b/>
          <w:color w:val="000000"/>
          <w:kern w:val="0"/>
          <w:sz w:val="24"/>
          <w:lang w:val="en-US" w:eastAsia="zh-CN"/>
        </w:rPr>
        <w:t>4</w:t>
      </w:r>
      <w:r>
        <w:rPr>
          <w:rFonts w:hint="eastAsia" w:ascii="宋体" w:hAnsi="宋体" w:eastAsia="宋体" w:cs="宋体"/>
          <w:b w:val="0"/>
          <w:color w:val="auto"/>
          <w:sz w:val="24"/>
          <w:szCs w:val="24"/>
          <w:highlight w:val="none"/>
        </w:rPr>
        <w:t>如采用联合体投标的，</w:t>
      </w:r>
      <w:r>
        <w:rPr>
          <w:rFonts w:hint="eastAsia" w:ascii="宋体" w:hAnsi="宋体" w:eastAsia="宋体" w:cs="宋体"/>
          <w:b w:val="0"/>
          <w:color w:val="auto"/>
          <w:sz w:val="24"/>
          <w:highlight w:val="none"/>
        </w:rPr>
        <w:t>除投标文件中联合体各方的资格、资信、业绩等文件（如营业执照、荣誉证书、资质证书、人员证书、业绩等）由相应联合体成员加盖各自公章外，其余均</w:t>
      </w:r>
      <w:r>
        <w:rPr>
          <w:rFonts w:hint="eastAsia" w:ascii="宋体" w:hAnsi="宋体" w:eastAsia="宋体" w:cs="宋体"/>
          <w:b w:val="0"/>
          <w:color w:val="auto"/>
          <w:sz w:val="24"/>
          <w:szCs w:val="24"/>
          <w:highlight w:val="none"/>
        </w:rPr>
        <w:t>由联合体牵头人及其</w:t>
      </w:r>
      <w:r>
        <w:rPr>
          <w:rFonts w:hint="eastAsia" w:ascii="宋体" w:hAnsi="宋体" w:eastAsia="宋体" w:cs="宋体"/>
          <w:b w:val="0"/>
          <w:color w:val="auto"/>
          <w:sz w:val="24"/>
          <w:highlight w:val="none"/>
        </w:rPr>
        <w:t>法定代表人（或法定代表人的授权委托人）</w:t>
      </w:r>
      <w:r>
        <w:rPr>
          <w:rFonts w:hint="eastAsia" w:ascii="宋体" w:hAnsi="宋体" w:eastAsia="宋体" w:cs="宋体"/>
          <w:b w:val="0"/>
          <w:color w:val="auto"/>
          <w:sz w:val="24"/>
          <w:szCs w:val="24"/>
          <w:highlight w:val="none"/>
        </w:rPr>
        <w:t>代表联合体各方签署投</w:t>
      </w:r>
      <w:r>
        <w:rPr>
          <w:rFonts w:hint="eastAsia" w:ascii="宋体" w:hAnsi="宋体" w:eastAsia="宋体" w:cs="宋体"/>
          <w:b w:val="0"/>
          <w:color w:val="auto"/>
          <w:sz w:val="24"/>
          <w:highlight w:val="none"/>
        </w:rPr>
        <w:t>标文件。</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（七）投标文件的形式</w:t>
      </w:r>
    </w:p>
    <w:p>
      <w:pPr>
        <w:spacing w:line="360" w:lineRule="auto"/>
        <w:ind w:firstLine="424" w:firstLineChars="176"/>
        <w:rPr>
          <w:rFonts w:hint="eastAsia" w:ascii="宋体" w:hAnsi="宋体" w:eastAsia="宋体" w:cs="宋体"/>
          <w:color w:val="000000"/>
          <w:sz w:val="24"/>
        </w:rPr>
      </w:pPr>
      <w:r>
        <w:rPr>
          <w:rFonts w:hint="eastAsia" w:ascii="宋体" w:hAnsi="宋体" w:eastAsia="宋体" w:cs="宋体"/>
          <w:b/>
          <w:color w:val="000000"/>
          <w:sz w:val="24"/>
        </w:rPr>
        <w:t>7.1投标文件的形式：见《前附表》；</w:t>
      </w:r>
    </w:p>
    <w:p>
      <w:pPr>
        <w:spacing w:line="360" w:lineRule="auto"/>
        <w:ind w:firstLine="424" w:firstLineChars="176"/>
        <w:rPr>
          <w:rFonts w:hint="eastAsia" w:ascii="宋体" w:hAnsi="宋体" w:eastAsia="宋体" w:cs="宋体"/>
          <w:b/>
          <w:color w:val="000000"/>
          <w:sz w:val="24"/>
        </w:rPr>
      </w:pPr>
      <w:r>
        <w:rPr>
          <w:rFonts w:hint="eastAsia" w:ascii="宋体" w:hAnsi="宋体" w:eastAsia="宋体" w:cs="宋体"/>
          <w:b/>
          <w:color w:val="000000"/>
          <w:sz w:val="24"/>
        </w:rPr>
        <w:t>7.2“电子加密投标文件”：“电子加密投标文件”是指通过“政采云电子交易客户端”完成投标文件编制后生成并加密的数据电文形式的投标文件。</w:t>
      </w:r>
    </w:p>
    <w:p>
      <w:pPr>
        <w:spacing w:line="360" w:lineRule="auto"/>
        <w:ind w:firstLine="424" w:firstLineChars="176"/>
        <w:rPr>
          <w:rFonts w:hint="eastAsia" w:ascii="宋体" w:hAnsi="宋体" w:eastAsia="宋体" w:cs="宋体"/>
          <w:b/>
          <w:color w:val="000000"/>
          <w:sz w:val="24"/>
        </w:rPr>
      </w:pPr>
      <w:r>
        <w:rPr>
          <w:rFonts w:hint="eastAsia" w:ascii="宋体" w:hAnsi="宋体" w:eastAsia="宋体" w:cs="宋体"/>
          <w:b/>
          <w:color w:val="000000"/>
          <w:sz w:val="24"/>
        </w:rPr>
        <w:t>7.3“备份投标文件”：“备份投标文件”是指与“电子加密投标文件”同时生成的数据电文形式的电子文件（备份标书），其他方式编制的“备份投标文件”视为无效的“备份投标文件”。</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（八）投标文件的份数</w:t>
      </w:r>
    </w:p>
    <w:p>
      <w:pPr>
        <w:spacing w:line="360" w:lineRule="auto"/>
        <w:ind w:firstLine="424" w:firstLineChars="176"/>
        <w:rPr>
          <w:rFonts w:hint="eastAsia" w:ascii="宋体" w:hAnsi="宋体" w:eastAsia="宋体" w:cs="宋体"/>
          <w:b/>
          <w:color w:val="000000"/>
          <w:kern w:val="0"/>
          <w:sz w:val="24"/>
        </w:rPr>
      </w:pPr>
      <w:r>
        <w:rPr>
          <w:rFonts w:hint="eastAsia" w:ascii="宋体" w:hAnsi="宋体" w:eastAsia="宋体" w:cs="宋体"/>
          <w:b/>
          <w:color w:val="000000"/>
          <w:sz w:val="24"/>
        </w:rPr>
        <w:t>8.1投标文件的份数：见《前附表》。</w:t>
      </w:r>
    </w:p>
    <w:p>
      <w:pPr>
        <w:shd w:val="clear" w:color="auto" w:fill="FFFFFF"/>
        <w:snapToGrid w:val="0"/>
        <w:spacing w:line="360" w:lineRule="auto"/>
        <w:rPr>
          <w:rFonts w:hint="eastAsia" w:ascii="宋体" w:hAnsi="宋体" w:eastAsia="宋体" w:cs="宋体"/>
          <w:b/>
          <w:bCs/>
          <w:color w:val="000000"/>
          <w:sz w:val="24"/>
        </w:rPr>
      </w:pPr>
    </w:p>
    <w:p>
      <w:pPr>
        <w:snapToGrid w:val="0"/>
        <w:spacing w:line="360" w:lineRule="auto"/>
        <w:jc w:val="center"/>
        <w:outlineLvl w:val="1"/>
        <w:rPr>
          <w:rFonts w:hint="eastAsia" w:ascii="宋体" w:hAnsi="宋体" w:eastAsia="宋体" w:cs="宋体"/>
          <w:b/>
          <w:color w:val="000000"/>
          <w:sz w:val="24"/>
        </w:rPr>
      </w:pPr>
      <w:bookmarkStart w:id="44" w:name="_Toc462229099"/>
      <w:bookmarkStart w:id="45" w:name="_Toc33194391"/>
      <w:bookmarkStart w:id="46" w:name="_Toc412730341"/>
      <w:bookmarkStart w:id="47" w:name="_Toc354996699"/>
      <w:r>
        <w:rPr>
          <w:rFonts w:hint="eastAsia" w:ascii="宋体" w:hAnsi="宋体" w:eastAsia="宋体" w:cs="宋体"/>
          <w:b/>
          <w:color w:val="000000"/>
          <w:sz w:val="24"/>
        </w:rPr>
        <w:t>四、投标</w:t>
      </w:r>
      <w:bookmarkEnd w:id="44"/>
      <w:bookmarkEnd w:id="45"/>
      <w:bookmarkEnd w:id="46"/>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（一）投标文件的上传和递交</w:t>
      </w:r>
    </w:p>
    <w:p>
      <w:pPr>
        <w:spacing w:line="360" w:lineRule="auto"/>
        <w:ind w:firstLine="426" w:firstLineChars="177"/>
        <w:rPr>
          <w:rFonts w:hint="eastAsia" w:ascii="宋体" w:hAnsi="宋体" w:eastAsia="宋体" w:cs="宋体"/>
          <w:b/>
          <w:color w:val="000000"/>
          <w:sz w:val="24"/>
        </w:rPr>
      </w:pPr>
      <w:r>
        <w:rPr>
          <w:rFonts w:hint="eastAsia" w:ascii="宋体" w:hAnsi="宋体" w:eastAsia="宋体" w:cs="宋体"/>
          <w:b/>
          <w:color w:val="000000"/>
          <w:kern w:val="0"/>
          <w:sz w:val="24"/>
        </w:rPr>
        <w:t>1.1“投标文件”的上传、递交：</w:t>
      </w:r>
      <w:r>
        <w:rPr>
          <w:rFonts w:hint="eastAsia" w:ascii="宋体" w:hAnsi="宋体" w:eastAsia="宋体" w:cs="宋体"/>
          <w:b/>
          <w:color w:val="000000"/>
          <w:sz w:val="24"/>
        </w:rPr>
        <w:t>见《前附表》。</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（二）“电子加密投标文件”解密和异常情况处理</w:t>
      </w:r>
    </w:p>
    <w:p>
      <w:pPr>
        <w:spacing w:line="360" w:lineRule="auto"/>
        <w:ind w:firstLine="426" w:firstLineChars="177"/>
        <w:rPr>
          <w:rFonts w:hint="eastAsia" w:ascii="宋体" w:hAnsi="宋体" w:eastAsia="宋体" w:cs="宋体"/>
          <w:color w:val="000000"/>
          <w:sz w:val="24"/>
        </w:rPr>
      </w:pPr>
      <w:r>
        <w:rPr>
          <w:rFonts w:hint="eastAsia" w:ascii="宋体" w:hAnsi="宋体" w:eastAsia="宋体" w:cs="宋体"/>
          <w:b/>
          <w:color w:val="000000"/>
          <w:kern w:val="0"/>
          <w:sz w:val="24"/>
        </w:rPr>
        <w:t>2.1“电子加密投标文件”解密：</w:t>
      </w:r>
      <w:r>
        <w:rPr>
          <w:rFonts w:hint="eastAsia" w:ascii="宋体" w:hAnsi="宋体" w:eastAsia="宋体" w:cs="宋体"/>
          <w:b/>
          <w:color w:val="000000"/>
          <w:sz w:val="24"/>
        </w:rPr>
        <w:t>见《前附表》。</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（三）投标文件的补充、修改或撤回</w:t>
      </w:r>
    </w:p>
    <w:p>
      <w:pPr>
        <w:spacing w:line="360" w:lineRule="auto"/>
        <w:ind w:firstLine="426" w:firstLineChars="177"/>
        <w:rPr>
          <w:rFonts w:hint="eastAsia" w:ascii="宋体" w:hAnsi="宋体" w:eastAsia="宋体" w:cs="宋体"/>
          <w:color w:val="000000"/>
          <w:kern w:val="0"/>
          <w:sz w:val="24"/>
        </w:rPr>
      </w:pPr>
      <w:r>
        <w:rPr>
          <w:rFonts w:hint="eastAsia" w:ascii="宋体" w:hAnsi="宋体" w:eastAsia="宋体" w:cs="宋体"/>
          <w:b/>
          <w:color w:val="000000"/>
          <w:kern w:val="0"/>
          <w:sz w:val="24"/>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360" w:lineRule="auto"/>
        <w:ind w:firstLine="426" w:firstLineChars="177"/>
        <w:rPr>
          <w:rFonts w:hint="eastAsia" w:ascii="宋体" w:hAnsi="宋体" w:eastAsia="宋体" w:cs="宋体"/>
          <w:b/>
          <w:color w:val="000000"/>
          <w:kern w:val="0"/>
          <w:sz w:val="24"/>
        </w:rPr>
      </w:pPr>
      <w:r>
        <w:rPr>
          <w:rFonts w:hint="eastAsia" w:ascii="宋体" w:hAnsi="宋体" w:eastAsia="宋体" w:cs="宋体"/>
          <w:b/>
          <w:color w:val="000000"/>
          <w:kern w:val="0"/>
          <w:sz w:val="24"/>
        </w:rPr>
        <w:t>3.2投标截止时间后，投标供应商不得撤回、修改《投标文件》。</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（四）投标文件的备选方案</w:t>
      </w:r>
    </w:p>
    <w:p>
      <w:pPr>
        <w:spacing w:line="360" w:lineRule="auto"/>
        <w:ind w:firstLine="426" w:firstLineChars="177"/>
        <w:rPr>
          <w:rFonts w:hint="eastAsia" w:ascii="宋体" w:hAnsi="宋体" w:eastAsia="宋体" w:cs="宋体"/>
          <w:b/>
          <w:color w:val="000000"/>
          <w:sz w:val="24"/>
        </w:rPr>
      </w:pPr>
      <w:r>
        <w:rPr>
          <w:rFonts w:hint="eastAsia" w:ascii="宋体" w:hAnsi="宋体" w:eastAsia="宋体" w:cs="宋体"/>
          <w:b/>
          <w:color w:val="000000"/>
          <w:sz w:val="24"/>
        </w:rPr>
        <w:t>4.1投标供应商不得递交任何的</w:t>
      </w:r>
      <w:r>
        <w:rPr>
          <w:rFonts w:hint="eastAsia" w:ascii="宋体" w:hAnsi="宋体" w:eastAsia="宋体" w:cs="宋体"/>
          <w:b/>
          <w:color w:val="000000"/>
          <w:kern w:val="0"/>
          <w:sz w:val="24"/>
        </w:rPr>
        <w:t>投标备选（替代）方案</w:t>
      </w:r>
      <w:r>
        <w:rPr>
          <w:rFonts w:hint="eastAsia" w:ascii="宋体" w:hAnsi="宋体" w:eastAsia="宋体" w:cs="宋体"/>
          <w:b/>
          <w:color w:val="000000"/>
          <w:sz w:val="24"/>
        </w:rPr>
        <w:t>，否则其投标文件将作无效标处理。与“电子加密投标文件”同时生成的“备份投标文件”不是投标备选（替代）方案。</w:t>
      </w:r>
      <w:bookmarkStart w:id="48" w:name="_Toc33194392"/>
      <w:bookmarkStart w:id="49" w:name="_Toc462229100"/>
    </w:p>
    <w:p>
      <w:pPr>
        <w:snapToGrid w:val="0"/>
        <w:spacing w:line="360" w:lineRule="auto"/>
        <w:jc w:val="center"/>
        <w:outlineLvl w:val="1"/>
        <w:rPr>
          <w:rFonts w:hint="eastAsia" w:ascii="宋体" w:hAnsi="宋体" w:eastAsia="宋体" w:cs="宋体"/>
          <w:b/>
          <w:color w:val="000000"/>
          <w:sz w:val="24"/>
        </w:rPr>
      </w:pPr>
      <w:r>
        <w:rPr>
          <w:rFonts w:hint="eastAsia" w:ascii="宋体" w:hAnsi="宋体" w:eastAsia="宋体" w:cs="宋体"/>
          <w:b/>
          <w:color w:val="000000"/>
          <w:sz w:val="24"/>
        </w:rPr>
        <w:t>五、开 标</w:t>
      </w:r>
      <w:bookmarkEnd w:id="48"/>
      <w:bookmarkEnd w:id="49"/>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（一）开标形式</w:t>
      </w:r>
    </w:p>
    <w:p>
      <w:pPr>
        <w:spacing w:line="360" w:lineRule="auto"/>
        <w:ind w:firstLine="426" w:firstLineChars="177"/>
        <w:rPr>
          <w:rFonts w:hint="eastAsia" w:ascii="宋体" w:hAnsi="宋体" w:eastAsia="宋体" w:cs="宋体"/>
          <w:b/>
          <w:color w:val="000000"/>
          <w:sz w:val="24"/>
        </w:rPr>
      </w:pPr>
      <w:r>
        <w:rPr>
          <w:rFonts w:hint="eastAsia" w:ascii="宋体" w:hAnsi="宋体" w:eastAsia="宋体" w:cs="宋体"/>
          <w:b/>
          <w:color w:val="000000"/>
          <w:sz w:val="24"/>
        </w:rPr>
        <w:t>1.1 采购组织机构将按照招标文件规定的时间通过“政府采购云平台”组织开标、开启投标文件，所有供应商均应当准时在线参加。</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（二） 开标准备</w:t>
      </w:r>
    </w:p>
    <w:p>
      <w:pPr>
        <w:spacing w:line="360" w:lineRule="auto"/>
        <w:ind w:firstLine="422" w:firstLineChars="176"/>
        <w:rPr>
          <w:rFonts w:hint="eastAsia" w:ascii="宋体" w:hAnsi="宋体" w:eastAsia="宋体" w:cs="宋体"/>
          <w:color w:val="000000"/>
          <w:kern w:val="0"/>
          <w:sz w:val="24"/>
        </w:rPr>
      </w:pPr>
      <w:r>
        <w:rPr>
          <w:rFonts w:hint="eastAsia" w:ascii="宋体" w:hAnsi="宋体" w:eastAsia="宋体" w:cs="宋体"/>
          <w:color w:val="000000"/>
          <w:kern w:val="0"/>
          <w:sz w:val="24"/>
        </w:rPr>
        <w:t>2.1开标的准备工作由采购组织机构负责落实；</w:t>
      </w:r>
    </w:p>
    <w:p>
      <w:pPr>
        <w:spacing w:line="360" w:lineRule="auto"/>
        <w:ind w:firstLine="422" w:firstLineChars="176"/>
        <w:rPr>
          <w:rFonts w:hint="eastAsia" w:ascii="宋体" w:hAnsi="宋体" w:eastAsia="宋体" w:cs="宋体"/>
          <w:b/>
          <w:color w:val="000000"/>
          <w:kern w:val="0"/>
          <w:sz w:val="24"/>
        </w:rPr>
      </w:pPr>
      <w:r>
        <w:rPr>
          <w:rFonts w:hint="eastAsia" w:ascii="宋体" w:hAnsi="宋体" w:eastAsia="宋体" w:cs="宋体"/>
          <w:color w:val="000000"/>
          <w:kern w:val="0"/>
          <w:sz w:val="24"/>
        </w:rPr>
        <w:t>2.2</w:t>
      </w:r>
      <w:r>
        <w:rPr>
          <w:rFonts w:hint="eastAsia" w:ascii="宋体" w:hAnsi="宋体" w:eastAsia="宋体" w:cs="宋体"/>
          <w:b/>
          <w:color w:val="000000"/>
          <w:sz w:val="24"/>
        </w:rPr>
        <w:t>采购组织机构将按照招标文件规定的时间通过“政府采购云平台”组织开标、开启投标文件，所有供应商均应当准时在线参加。</w:t>
      </w:r>
      <w:r>
        <w:rPr>
          <w:rFonts w:hint="eastAsia" w:ascii="宋体" w:hAnsi="宋体" w:eastAsia="宋体" w:cs="宋体"/>
          <w:b/>
          <w:color w:val="000000"/>
          <w:kern w:val="0"/>
          <w:sz w:val="24"/>
        </w:rPr>
        <w:t>投标供应商如不参加开标大会的，视同认可开标结果，事后不得对采购相关人员、开标过程和开标结果提出异议，同时投标供应商因未在线参加开标而导致投标文件无法按时解密等一切后果由供应商自己承担。</w:t>
      </w:r>
    </w:p>
    <w:p>
      <w:pPr>
        <w:spacing w:line="360" w:lineRule="auto"/>
        <w:ind w:firstLine="422" w:firstLineChars="176"/>
        <w:rPr>
          <w:rFonts w:hint="eastAsia" w:ascii="宋体" w:hAnsi="宋体" w:eastAsia="宋体" w:cs="宋体"/>
          <w:b/>
          <w:bCs/>
          <w:color w:val="000000"/>
          <w:kern w:val="0"/>
          <w:sz w:val="24"/>
        </w:rPr>
      </w:pPr>
      <w:r>
        <w:rPr>
          <w:rFonts w:hint="eastAsia" w:ascii="宋体" w:hAnsi="宋体" w:eastAsia="宋体" w:cs="宋体"/>
          <w:color w:val="000000"/>
          <w:kern w:val="0"/>
          <w:sz w:val="24"/>
        </w:rPr>
        <w:t>2.3</w:t>
      </w:r>
      <w:r>
        <w:rPr>
          <w:rFonts w:hint="eastAsia" w:ascii="宋体" w:hAnsi="宋体" w:eastAsia="宋体" w:cs="宋体"/>
          <w:b/>
          <w:bCs/>
          <w:color w:val="000000"/>
          <w:kern w:val="0"/>
          <w:sz w:val="24"/>
        </w:rPr>
        <w:t>开标期间，投标人等交易主体应使用数字证书(CA)在各自的电脑终端上登录不见面开标大厅，并进行相关操作。各电脑终端上的所有操作均被视为各交易主体的行为，并各自承担相应的法律责任。</w:t>
      </w:r>
    </w:p>
    <w:p>
      <w:pPr>
        <w:spacing w:line="360" w:lineRule="auto"/>
        <w:ind w:firstLine="422" w:firstLineChars="176"/>
        <w:rPr>
          <w:rFonts w:hint="eastAsia" w:ascii="宋体" w:hAnsi="宋体" w:eastAsia="宋体" w:cs="宋体"/>
          <w:color w:val="000000"/>
          <w:kern w:val="0"/>
          <w:sz w:val="24"/>
        </w:rPr>
      </w:pPr>
      <w:r>
        <w:rPr>
          <w:rFonts w:hint="eastAsia" w:ascii="宋体" w:hAnsi="宋体" w:eastAsia="宋体" w:cs="宋体"/>
          <w:color w:val="000000"/>
          <w:kern w:val="0"/>
          <w:sz w:val="24"/>
        </w:rPr>
        <w:t>2.4</w:t>
      </w:r>
      <w:r>
        <w:rPr>
          <w:rFonts w:hint="eastAsia" w:ascii="宋体" w:hAnsi="宋体" w:eastAsia="宋体" w:cs="宋体"/>
          <w:b/>
          <w:bCs/>
          <w:color w:val="000000"/>
          <w:kern w:val="0"/>
          <w:sz w:val="24"/>
        </w:rPr>
        <w:t>投标人应在投标截止时间之前使用数字证书(CA)自行登录不见面开标大厅，在线等待开标，并在开标期间保持通讯畅通。</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（三）开标流程（两阶段）</w:t>
      </w:r>
    </w:p>
    <w:p>
      <w:pPr>
        <w:spacing w:line="360" w:lineRule="auto"/>
        <w:ind w:firstLine="426" w:firstLineChars="177"/>
        <w:jc w:val="left"/>
        <w:rPr>
          <w:rFonts w:hint="eastAsia" w:ascii="宋体" w:hAnsi="宋体" w:eastAsia="宋体" w:cs="宋体"/>
          <w:b/>
          <w:color w:val="000000"/>
          <w:kern w:val="0"/>
          <w:sz w:val="24"/>
        </w:rPr>
      </w:pPr>
      <w:r>
        <w:rPr>
          <w:rFonts w:hint="eastAsia" w:ascii="宋体" w:hAnsi="宋体" w:eastAsia="宋体" w:cs="宋体"/>
          <w:b/>
          <w:color w:val="000000"/>
          <w:kern w:val="0"/>
          <w:sz w:val="24"/>
        </w:rPr>
        <w:t>3.1开标第一阶段</w:t>
      </w:r>
    </w:p>
    <w:p>
      <w:pPr>
        <w:spacing w:line="360" w:lineRule="auto"/>
        <w:ind w:firstLine="424" w:firstLineChars="177"/>
        <w:jc w:val="left"/>
        <w:rPr>
          <w:rFonts w:hint="eastAsia" w:ascii="宋体" w:hAnsi="宋体" w:eastAsia="宋体" w:cs="宋体"/>
          <w:color w:val="000000"/>
          <w:kern w:val="0"/>
          <w:sz w:val="24"/>
        </w:rPr>
      </w:pPr>
      <w:r>
        <w:rPr>
          <w:rFonts w:hint="eastAsia" w:ascii="宋体" w:hAnsi="宋体" w:eastAsia="宋体" w:cs="宋体"/>
          <w:color w:val="000000"/>
          <w:kern w:val="0"/>
          <w:sz w:val="24"/>
        </w:rPr>
        <w:t>（1）由招标代理机构登陆“政府采购云平台”在线向各投标供应商发出电子加密投标文件【开始解密】通知，由投标人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424" w:firstLineChars="177"/>
        <w:jc w:val="left"/>
        <w:rPr>
          <w:rFonts w:hint="eastAsia" w:ascii="宋体" w:hAnsi="宋体" w:eastAsia="宋体" w:cs="宋体"/>
          <w:color w:val="000000"/>
          <w:kern w:val="0"/>
          <w:sz w:val="24"/>
        </w:rPr>
      </w:pPr>
      <w:r>
        <w:rPr>
          <w:rFonts w:hint="eastAsia" w:ascii="宋体" w:hAnsi="宋体" w:eastAsia="宋体" w:cs="宋体"/>
          <w:color w:val="000000"/>
          <w:kern w:val="0"/>
          <w:sz w:val="24"/>
        </w:rPr>
        <w:t>（2）投标文件解密结束，</w:t>
      </w:r>
      <w:r>
        <w:rPr>
          <w:rFonts w:hint="eastAsia" w:ascii="宋体" w:hAnsi="宋体" w:eastAsia="宋体" w:cs="宋体"/>
          <w:b/>
          <w:bCs/>
          <w:color w:val="000000"/>
          <w:kern w:val="0"/>
          <w:sz w:val="24"/>
        </w:rPr>
        <w:t>通过邮件形式</w:t>
      </w:r>
      <w:r>
        <w:rPr>
          <w:rFonts w:hint="eastAsia" w:ascii="宋体" w:hAnsi="宋体" w:eastAsia="宋体" w:cs="宋体"/>
          <w:color w:val="000000"/>
          <w:kern w:val="0"/>
          <w:sz w:val="24"/>
        </w:rPr>
        <w:t>发送各投标人组织签署《政府采购活动现场确认声明书》；</w:t>
      </w:r>
    </w:p>
    <w:p>
      <w:pPr>
        <w:spacing w:line="360" w:lineRule="auto"/>
        <w:ind w:firstLine="424" w:firstLineChars="177"/>
        <w:jc w:val="left"/>
        <w:rPr>
          <w:rFonts w:hint="eastAsia" w:ascii="宋体" w:hAnsi="宋体" w:eastAsia="宋体" w:cs="宋体"/>
          <w:color w:val="000000"/>
          <w:kern w:val="0"/>
          <w:sz w:val="24"/>
        </w:rPr>
      </w:pPr>
      <w:r>
        <w:rPr>
          <w:rFonts w:hint="eastAsia" w:ascii="宋体" w:hAnsi="宋体" w:eastAsia="宋体" w:cs="宋体"/>
          <w:color w:val="000000"/>
          <w:kern w:val="0"/>
          <w:sz w:val="24"/>
        </w:rPr>
        <w:t>（3）开启投标文件，进入资格审查；</w:t>
      </w:r>
    </w:p>
    <w:p>
      <w:pPr>
        <w:spacing w:line="360" w:lineRule="auto"/>
        <w:ind w:firstLine="424" w:firstLineChars="177"/>
        <w:jc w:val="left"/>
        <w:rPr>
          <w:rFonts w:hint="eastAsia" w:ascii="宋体" w:hAnsi="宋体" w:eastAsia="宋体" w:cs="宋体"/>
          <w:color w:val="000000"/>
          <w:kern w:val="0"/>
          <w:sz w:val="24"/>
        </w:rPr>
      </w:pPr>
      <w:r>
        <w:rPr>
          <w:rFonts w:hint="eastAsia" w:ascii="宋体" w:hAnsi="宋体" w:eastAsia="宋体" w:cs="宋体"/>
          <w:color w:val="000000"/>
          <w:kern w:val="0"/>
          <w:sz w:val="24"/>
        </w:rPr>
        <w:t>（4）开启资格审查通过的投标供应商的商务技术文件进入符合性审查、商务技术评审；</w:t>
      </w:r>
    </w:p>
    <w:p>
      <w:pPr>
        <w:spacing w:line="360" w:lineRule="auto"/>
        <w:ind w:firstLine="424" w:firstLineChars="177"/>
        <w:jc w:val="left"/>
        <w:rPr>
          <w:rFonts w:hint="eastAsia" w:ascii="宋体" w:hAnsi="宋体" w:eastAsia="宋体" w:cs="宋体"/>
          <w:color w:val="000000"/>
          <w:kern w:val="0"/>
          <w:sz w:val="24"/>
        </w:rPr>
      </w:pPr>
      <w:r>
        <w:rPr>
          <w:rFonts w:hint="eastAsia" w:ascii="宋体" w:hAnsi="宋体" w:eastAsia="宋体" w:cs="宋体"/>
          <w:color w:val="000000"/>
          <w:kern w:val="0"/>
          <w:sz w:val="24"/>
        </w:rPr>
        <w:t>（5）第一阶段开标结束。</w:t>
      </w:r>
    </w:p>
    <w:p>
      <w:pPr>
        <w:spacing w:line="360" w:lineRule="auto"/>
        <w:ind w:firstLine="426" w:firstLineChars="177"/>
        <w:jc w:val="left"/>
        <w:rPr>
          <w:rFonts w:hint="eastAsia" w:ascii="宋体" w:hAnsi="宋体" w:eastAsia="宋体" w:cs="宋体"/>
          <w:b/>
          <w:color w:val="000000"/>
          <w:kern w:val="0"/>
          <w:sz w:val="24"/>
        </w:rPr>
      </w:pPr>
      <w:r>
        <w:rPr>
          <w:rFonts w:hint="eastAsia" w:ascii="宋体" w:hAnsi="宋体" w:eastAsia="宋体" w:cs="宋体"/>
          <w:b/>
          <w:color w:val="000000"/>
          <w:kern w:val="0"/>
          <w:sz w:val="24"/>
        </w:rPr>
        <w:t>备注：开标大会的第一阶段结束后，采购人或采购代理机构将对依法对投标供应商的资格进行审查，资格审查结束后进入符合性审查和商务技术的评审工作，具体见本章节“投标供应商资格审查”相关规定。</w:t>
      </w:r>
    </w:p>
    <w:p>
      <w:pPr>
        <w:spacing w:line="360" w:lineRule="auto"/>
        <w:ind w:firstLine="426" w:firstLineChars="177"/>
        <w:jc w:val="left"/>
        <w:rPr>
          <w:rFonts w:hint="eastAsia" w:ascii="宋体" w:hAnsi="宋体" w:eastAsia="宋体" w:cs="宋体"/>
          <w:b/>
          <w:color w:val="000000"/>
          <w:kern w:val="0"/>
          <w:sz w:val="24"/>
        </w:rPr>
      </w:pPr>
      <w:r>
        <w:rPr>
          <w:rFonts w:hint="eastAsia" w:ascii="宋体" w:hAnsi="宋体" w:eastAsia="宋体" w:cs="宋体"/>
          <w:b/>
          <w:color w:val="000000"/>
          <w:kern w:val="0"/>
          <w:sz w:val="24"/>
        </w:rPr>
        <w:t>3.2开标大会第二阶段</w:t>
      </w:r>
    </w:p>
    <w:p>
      <w:pPr>
        <w:spacing w:line="360" w:lineRule="auto"/>
        <w:ind w:firstLine="424" w:firstLineChars="177"/>
        <w:jc w:val="left"/>
        <w:rPr>
          <w:rFonts w:hint="eastAsia" w:ascii="宋体" w:hAnsi="宋体" w:eastAsia="宋体" w:cs="宋体"/>
          <w:kern w:val="0"/>
          <w:sz w:val="24"/>
        </w:rPr>
      </w:pPr>
      <w:bookmarkStart w:id="50" w:name="_Toc33194393"/>
      <w:bookmarkStart w:id="51" w:name="_Toc24550037"/>
      <w:r>
        <w:rPr>
          <w:rFonts w:hint="eastAsia" w:ascii="宋体" w:hAnsi="宋体" w:eastAsia="宋体" w:cs="宋体"/>
          <w:kern w:val="0"/>
          <w:sz w:val="24"/>
        </w:rPr>
        <w:t>（1）符合性审查、商务技术评审结束后，举行开标大会第二阶段会议。</w:t>
      </w:r>
      <w:r>
        <w:rPr>
          <w:rFonts w:hint="eastAsia" w:ascii="宋体" w:hAnsi="宋体" w:eastAsia="宋体" w:cs="宋体"/>
          <w:kern w:val="0"/>
          <w:sz w:val="24"/>
          <w:lang w:eastAsia="zh-CN"/>
        </w:rPr>
        <w:t>可</w:t>
      </w:r>
      <w:r>
        <w:rPr>
          <w:rFonts w:hint="eastAsia" w:ascii="宋体" w:hAnsi="宋体" w:eastAsia="宋体" w:cs="宋体"/>
          <w:kern w:val="0"/>
          <w:sz w:val="24"/>
        </w:rPr>
        <w:t>通过发送邮件形式公布符合性审查、商务技术评审无效供应商名称及理由；</w:t>
      </w:r>
      <w:r>
        <w:rPr>
          <w:rFonts w:hint="eastAsia" w:ascii="宋体" w:hAnsi="宋体" w:eastAsia="宋体" w:cs="宋体"/>
          <w:kern w:val="0"/>
          <w:sz w:val="24"/>
          <w:lang w:eastAsia="zh-CN"/>
        </w:rPr>
        <w:t>如其他情况，则直接</w:t>
      </w:r>
      <w:r>
        <w:rPr>
          <w:rFonts w:hint="eastAsia" w:ascii="宋体" w:hAnsi="宋体" w:eastAsia="宋体" w:cs="宋体"/>
          <w:b/>
          <w:bCs/>
          <w:kern w:val="0"/>
          <w:sz w:val="24"/>
        </w:rPr>
        <w:t>公布经商务技术评审后有效投标供应商的名单，同时通过</w:t>
      </w:r>
      <w:r>
        <w:rPr>
          <w:rFonts w:hint="eastAsia" w:ascii="宋体" w:hAnsi="宋体" w:eastAsia="宋体" w:cs="宋体"/>
          <w:b/>
          <w:bCs/>
          <w:color w:val="000000"/>
          <w:kern w:val="0"/>
          <w:sz w:val="24"/>
        </w:rPr>
        <w:t>“政府采购云平台”</w:t>
      </w:r>
      <w:r>
        <w:rPr>
          <w:rFonts w:hint="eastAsia" w:ascii="宋体" w:hAnsi="宋体" w:eastAsia="宋体" w:cs="宋体"/>
          <w:b/>
          <w:bCs/>
          <w:kern w:val="0"/>
          <w:sz w:val="24"/>
        </w:rPr>
        <w:t>在线公布其商务技术部分得分情况。</w:t>
      </w:r>
    </w:p>
    <w:p>
      <w:pPr>
        <w:spacing w:line="360" w:lineRule="auto"/>
        <w:ind w:firstLine="424" w:firstLineChars="177"/>
        <w:jc w:val="left"/>
        <w:rPr>
          <w:rFonts w:hint="eastAsia" w:ascii="宋体" w:hAnsi="宋体" w:eastAsia="宋体" w:cs="宋体"/>
          <w:kern w:val="0"/>
          <w:sz w:val="24"/>
        </w:rPr>
      </w:pPr>
      <w:r>
        <w:rPr>
          <w:rFonts w:hint="eastAsia" w:ascii="宋体" w:hAnsi="宋体" w:eastAsia="宋体" w:cs="宋体"/>
          <w:kern w:val="0"/>
          <w:sz w:val="24"/>
        </w:rPr>
        <w:t>（2）开启符合性审查、商务技术评审有效投标供应商的《报价文件》，</w:t>
      </w:r>
      <w:r>
        <w:rPr>
          <w:rFonts w:hint="eastAsia" w:ascii="宋体" w:hAnsi="宋体" w:eastAsia="宋体" w:cs="宋体"/>
          <w:color w:val="000000"/>
          <w:kern w:val="0"/>
          <w:sz w:val="24"/>
        </w:rPr>
        <w:t>由招标代理机构登陆“政府采购云平台”在线</w:t>
      </w:r>
      <w:r>
        <w:rPr>
          <w:rFonts w:hint="eastAsia" w:ascii="宋体" w:hAnsi="宋体" w:eastAsia="宋体" w:cs="宋体"/>
          <w:kern w:val="0"/>
          <w:sz w:val="24"/>
        </w:rPr>
        <w:t>公布开标一览表有关内容，同时制作开标记录表，发送各投标人在线开启签字确认（不予确认的应说明理由，否则视为无异议）。同时，由评标委员会对报价的合理性、准确性等进行审查核实。</w:t>
      </w:r>
    </w:p>
    <w:p>
      <w:pPr>
        <w:spacing w:line="360" w:lineRule="auto"/>
        <w:ind w:firstLine="424" w:firstLineChars="177"/>
        <w:jc w:val="left"/>
        <w:rPr>
          <w:rFonts w:hint="eastAsia" w:ascii="宋体" w:hAnsi="宋体" w:eastAsia="宋体" w:cs="宋体"/>
          <w:kern w:val="0"/>
          <w:sz w:val="24"/>
        </w:rPr>
      </w:pPr>
      <w:r>
        <w:rPr>
          <w:rFonts w:hint="eastAsia" w:ascii="宋体" w:hAnsi="宋体" w:eastAsia="宋体" w:cs="宋体"/>
          <w:kern w:val="0"/>
          <w:sz w:val="24"/>
        </w:rPr>
        <w:t>（3）评审结束后，</w:t>
      </w:r>
      <w:r>
        <w:rPr>
          <w:rFonts w:hint="eastAsia" w:ascii="宋体" w:hAnsi="宋体" w:eastAsia="宋体" w:cs="宋体"/>
          <w:b/>
          <w:bCs/>
          <w:kern w:val="0"/>
          <w:sz w:val="24"/>
        </w:rPr>
        <w:t>通过</w:t>
      </w:r>
      <w:r>
        <w:rPr>
          <w:rFonts w:hint="eastAsia" w:ascii="宋体" w:hAnsi="宋体" w:eastAsia="宋体" w:cs="宋体"/>
          <w:color w:val="000000"/>
          <w:kern w:val="0"/>
          <w:sz w:val="24"/>
        </w:rPr>
        <w:t>“政府采购云平台”</w:t>
      </w:r>
      <w:r>
        <w:rPr>
          <w:rFonts w:hint="eastAsia" w:ascii="宋体" w:hAnsi="宋体" w:eastAsia="宋体" w:cs="宋体"/>
          <w:kern w:val="0"/>
          <w:sz w:val="24"/>
        </w:rPr>
        <w:t>公布中标（成交）候选供应商名单，及采购人最终确定中标或成交供应商名单的时间和公告方式等。</w:t>
      </w:r>
    </w:p>
    <w:p>
      <w:pPr>
        <w:spacing w:line="360" w:lineRule="auto"/>
        <w:ind w:firstLine="426" w:firstLineChars="177"/>
        <w:jc w:val="left"/>
        <w:rPr>
          <w:rFonts w:hint="eastAsia" w:ascii="宋体" w:hAnsi="宋体" w:eastAsia="宋体" w:cs="宋体"/>
          <w:b/>
          <w:color w:val="000000"/>
          <w:kern w:val="0"/>
          <w:sz w:val="24"/>
        </w:rPr>
      </w:pPr>
      <w:r>
        <w:rPr>
          <w:rFonts w:hint="eastAsia" w:ascii="宋体" w:hAnsi="宋体" w:eastAsia="宋体" w:cs="宋体"/>
          <w:b/>
          <w:color w:val="000000"/>
          <w:kern w:val="0"/>
          <w:sz w:val="24"/>
        </w:rPr>
        <w:t>特别说明：如遇“政府采购云平台”电子化开标或评审程序调整的，按调整后程序执行。</w:t>
      </w:r>
    </w:p>
    <w:p>
      <w:pPr>
        <w:pStyle w:val="5"/>
        <w:numPr>
          <w:ilvl w:val="0"/>
          <w:numId w:val="0"/>
        </w:numPr>
        <w:tabs>
          <w:tab w:val="left" w:pos="706"/>
          <w:tab w:val="left" w:pos="1110"/>
        </w:tabs>
        <w:rPr>
          <w:rFonts w:hint="eastAsia" w:ascii="宋体" w:hAnsi="宋体" w:eastAsia="宋体" w:cs="宋体"/>
          <w:color w:val="000000"/>
          <w:sz w:val="24"/>
          <w:szCs w:val="24"/>
        </w:rPr>
      </w:pPr>
      <w:r>
        <w:rPr>
          <w:rFonts w:hint="eastAsia" w:ascii="宋体" w:hAnsi="宋体" w:eastAsia="宋体" w:cs="宋体"/>
          <w:color w:val="000000"/>
          <w:sz w:val="24"/>
          <w:szCs w:val="24"/>
        </w:rPr>
        <w:t>（四）投标供应商资格审查</w:t>
      </w:r>
      <w:bookmarkEnd w:id="50"/>
      <w:bookmarkEnd w:id="51"/>
    </w:p>
    <w:p>
      <w:pPr>
        <w:spacing w:line="360" w:lineRule="auto"/>
        <w:ind w:firstLine="426" w:firstLineChars="177"/>
        <w:rPr>
          <w:rFonts w:hint="eastAsia" w:ascii="宋体" w:hAnsi="宋体" w:eastAsia="宋体" w:cs="宋体"/>
          <w:color w:val="000000"/>
          <w:sz w:val="24"/>
        </w:rPr>
      </w:pPr>
      <w:r>
        <w:rPr>
          <w:rFonts w:hint="eastAsia" w:ascii="宋体" w:hAnsi="宋体" w:eastAsia="宋体" w:cs="宋体"/>
          <w:b/>
          <w:color w:val="000000"/>
          <w:sz w:val="24"/>
        </w:rPr>
        <w:t>4.1开标大会第一阶段结束后，采购人或采购代理机构首先依法对各投标供应商的资格进行审查，审查各投标供应商的资格是否满足招标文件的要求。</w:t>
      </w:r>
      <w:r>
        <w:rPr>
          <w:rFonts w:hint="eastAsia" w:ascii="宋体" w:hAnsi="宋体" w:eastAsia="宋体" w:cs="宋体"/>
          <w:color w:val="000000"/>
          <w:sz w:val="24"/>
        </w:rPr>
        <w:t>采购人或采购代理机构对投标供应商所提交的资格证明材料仅负审核的责任。如发现投标供应商所提交的资格证明材料不合法或与事实不符，采购人可取消其中标资格并追究投标供应商的法律责任。</w:t>
      </w:r>
    </w:p>
    <w:p>
      <w:pPr>
        <w:spacing w:line="360" w:lineRule="auto"/>
        <w:ind w:firstLine="426" w:firstLineChars="177"/>
        <w:rPr>
          <w:rFonts w:hint="eastAsia" w:ascii="宋体" w:hAnsi="宋体" w:eastAsia="宋体" w:cs="宋体"/>
          <w:b/>
          <w:color w:val="000000"/>
          <w:kern w:val="0"/>
          <w:sz w:val="24"/>
        </w:rPr>
      </w:pPr>
      <w:r>
        <w:rPr>
          <w:rFonts w:hint="eastAsia" w:ascii="宋体" w:hAnsi="宋体" w:eastAsia="宋体" w:cs="宋体"/>
          <w:b/>
          <w:color w:val="000000"/>
          <w:sz w:val="24"/>
        </w:rPr>
        <w:t>4.2投标供应商提交的资格证明材料无法证明其符合招标文件规定的“投标供应商资格要求”的，采购人或采购代理机构</w:t>
      </w:r>
      <w:r>
        <w:rPr>
          <w:rFonts w:hint="eastAsia" w:ascii="宋体" w:hAnsi="宋体" w:eastAsia="宋体" w:cs="宋体"/>
          <w:b/>
          <w:color w:val="000000"/>
          <w:kern w:val="0"/>
          <w:sz w:val="24"/>
        </w:rPr>
        <w:t>将对其作资格审查不通过处理（无效投标），并不再将其投标提交评标委员会进行后续评审。</w:t>
      </w:r>
    </w:p>
    <w:p>
      <w:pPr>
        <w:spacing w:line="360" w:lineRule="auto"/>
        <w:ind w:firstLine="426" w:firstLineChars="177"/>
        <w:rPr>
          <w:rFonts w:hint="eastAsia" w:ascii="宋体" w:hAnsi="宋体" w:eastAsia="宋体" w:cs="宋体"/>
          <w:b/>
          <w:color w:val="000000"/>
          <w:kern w:val="0"/>
          <w:sz w:val="24"/>
        </w:rPr>
      </w:pPr>
      <w:r>
        <w:rPr>
          <w:rFonts w:hint="eastAsia" w:ascii="宋体" w:hAnsi="宋体" w:eastAsia="宋体" w:cs="宋体"/>
          <w:b/>
          <w:color w:val="000000"/>
          <w:sz w:val="24"/>
        </w:rPr>
        <w:t>4</w:t>
      </w:r>
      <w:r>
        <w:rPr>
          <w:rFonts w:hint="eastAsia" w:ascii="宋体" w:hAnsi="宋体" w:eastAsia="宋体" w:cs="宋体"/>
          <w:b/>
          <w:color w:val="000000"/>
          <w:kern w:val="0"/>
          <w:sz w:val="24"/>
        </w:rPr>
        <w:t>.3单位负责人为同一人或者存在直接控股、管理关系的不同供应商参加同一合同项下的政府采购活动的，相关投标供应商均作资格无效处理。</w:t>
      </w:r>
    </w:p>
    <w:bookmarkEnd w:id="41"/>
    <w:bookmarkEnd w:id="42"/>
    <w:bookmarkEnd w:id="43"/>
    <w:bookmarkEnd w:id="47"/>
    <w:p>
      <w:pPr>
        <w:snapToGrid w:val="0"/>
        <w:spacing w:line="360" w:lineRule="auto"/>
        <w:jc w:val="center"/>
        <w:outlineLvl w:val="1"/>
        <w:rPr>
          <w:rFonts w:hint="eastAsia" w:ascii="宋体" w:hAnsi="宋体" w:eastAsia="宋体" w:cs="宋体"/>
          <w:b/>
          <w:color w:val="000000"/>
          <w:sz w:val="24"/>
        </w:rPr>
      </w:pPr>
    </w:p>
    <w:p>
      <w:pPr>
        <w:snapToGrid w:val="0"/>
        <w:spacing w:line="360" w:lineRule="auto"/>
        <w:jc w:val="center"/>
        <w:outlineLvl w:val="1"/>
        <w:rPr>
          <w:rFonts w:hint="eastAsia" w:ascii="宋体" w:hAnsi="宋体" w:eastAsia="宋体" w:cs="宋体"/>
          <w:b/>
          <w:color w:val="000000"/>
          <w:sz w:val="24"/>
        </w:rPr>
      </w:pPr>
      <w:r>
        <w:rPr>
          <w:rFonts w:hint="eastAsia" w:ascii="宋体" w:hAnsi="宋体" w:eastAsia="宋体" w:cs="宋体"/>
          <w:b/>
          <w:color w:val="000000"/>
          <w:sz w:val="24"/>
        </w:rPr>
        <w:t>六、评 标</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（一）评审工作的组织</w:t>
      </w:r>
    </w:p>
    <w:p>
      <w:pPr>
        <w:spacing w:line="360" w:lineRule="auto"/>
        <w:ind w:firstLine="422" w:firstLineChars="176"/>
        <w:rPr>
          <w:rFonts w:hint="eastAsia" w:ascii="宋体" w:hAnsi="宋体" w:eastAsia="宋体" w:cs="宋体"/>
          <w:color w:val="000000"/>
          <w:kern w:val="0"/>
          <w:sz w:val="24"/>
        </w:rPr>
      </w:pPr>
      <w:r>
        <w:rPr>
          <w:rFonts w:hint="eastAsia" w:ascii="宋体" w:hAnsi="宋体" w:eastAsia="宋体" w:cs="宋体"/>
          <w:color w:val="000000"/>
          <w:kern w:val="0"/>
          <w:sz w:val="24"/>
        </w:rPr>
        <w:t>1.1采购人或采购代理机构负责组织本项目的评审工作，并依据《政府采购货物和服务招标投标管理办法（财政部第87号令）》第四十五条的相关规定履行职责。</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（二）评标委员会的组建</w:t>
      </w:r>
    </w:p>
    <w:p>
      <w:pPr>
        <w:spacing w:line="360" w:lineRule="auto"/>
        <w:ind w:firstLine="422" w:firstLineChars="176"/>
        <w:rPr>
          <w:rFonts w:hint="eastAsia" w:ascii="宋体" w:hAnsi="宋体" w:eastAsia="宋体" w:cs="宋体"/>
          <w:color w:val="000000"/>
          <w:kern w:val="0"/>
          <w:sz w:val="24"/>
        </w:rPr>
      </w:pPr>
      <w:r>
        <w:rPr>
          <w:rFonts w:hint="eastAsia" w:ascii="宋体" w:hAnsi="宋体" w:eastAsia="宋体" w:cs="宋体"/>
          <w:color w:val="000000"/>
          <w:kern w:val="0"/>
          <w:sz w:val="24"/>
        </w:rPr>
        <w:t>2.1评标委员会由采购人或采购代理机构依法组建，成员包括采购人代表和评审专家，成员人数为五人或以上单数，其中评审专家不少于成员总数的三分之二。</w:t>
      </w:r>
    </w:p>
    <w:p>
      <w:pPr>
        <w:spacing w:line="360" w:lineRule="auto"/>
        <w:ind w:firstLine="422" w:firstLineChars="176"/>
        <w:rPr>
          <w:rFonts w:hint="eastAsia" w:ascii="宋体" w:hAnsi="宋体" w:eastAsia="宋体" w:cs="宋体"/>
          <w:color w:val="000000"/>
          <w:kern w:val="0"/>
          <w:sz w:val="24"/>
        </w:rPr>
      </w:pPr>
      <w:r>
        <w:rPr>
          <w:rFonts w:hint="eastAsia" w:ascii="宋体" w:hAnsi="宋体" w:eastAsia="宋体" w:cs="宋体"/>
          <w:color w:val="000000"/>
          <w:kern w:val="0"/>
          <w:sz w:val="24"/>
        </w:rPr>
        <w:t>2.2评标委员会成员名单在评审结果（采购结果）公告前保密。</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（三）评标委员会的职责</w:t>
      </w:r>
    </w:p>
    <w:p>
      <w:pPr>
        <w:spacing w:line="360" w:lineRule="auto"/>
        <w:ind w:firstLine="424" w:firstLineChars="176"/>
        <w:rPr>
          <w:rFonts w:hint="eastAsia" w:ascii="宋体" w:hAnsi="宋体" w:eastAsia="宋体" w:cs="宋体"/>
          <w:b/>
          <w:color w:val="000000"/>
          <w:kern w:val="0"/>
          <w:sz w:val="24"/>
        </w:rPr>
      </w:pPr>
      <w:r>
        <w:rPr>
          <w:rFonts w:hint="eastAsia" w:ascii="宋体" w:hAnsi="宋体" w:eastAsia="宋体" w:cs="宋体"/>
          <w:b/>
          <w:color w:val="000000"/>
          <w:kern w:val="0"/>
          <w:sz w:val="24"/>
        </w:rPr>
        <w:t>3.1评标委员会负责具体评审事务，并独立履行下列职责：</w:t>
      </w:r>
    </w:p>
    <w:p>
      <w:pPr>
        <w:spacing w:line="360" w:lineRule="auto"/>
        <w:ind w:firstLine="422" w:firstLineChars="176"/>
        <w:rPr>
          <w:rFonts w:hint="eastAsia" w:ascii="宋体" w:hAnsi="宋体" w:eastAsia="宋体" w:cs="宋体"/>
          <w:color w:val="000000"/>
          <w:kern w:val="0"/>
          <w:sz w:val="24"/>
        </w:rPr>
      </w:pPr>
      <w:r>
        <w:rPr>
          <w:rFonts w:hint="eastAsia" w:ascii="宋体" w:hAnsi="宋体" w:eastAsia="宋体" w:cs="宋体"/>
          <w:color w:val="000000"/>
          <w:kern w:val="0"/>
          <w:sz w:val="24"/>
        </w:rPr>
        <w:t>（1）审查、评价投标文件是否符合招标文件的商务、技术等实质性要求；</w:t>
      </w:r>
    </w:p>
    <w:p>
      <w:pPr>
        <w:spacing w:line="360" w:lineRule="auto"/>
        <w:ind w:firstLine="422" w:firstLineChars="176"/>
        <w:rPr>
          <w:rFonts w:hint="eastAsia" w:ascii="宋体" w:hAnsi="宋体" w:eastAsia="宋体" w:cs="宋体"/>
          <w:color w:val="000000"/>
          <w:kern w:val="0"/>
          <w:sz w:val="24"/>
        </w:rPr>
      </w:pPr>
      <w:r>
        <w:rPr>
          <w:rFonts w:hint="eastAsia" w:ascii="宋体" w:hAnsi="宋体" w:eastAsia="宋体" w:cs="宋体"/>
          <w:color w:val="000000"/>
          <w:kern w:val="0"/>
          <w:sz w:val="24"/>
        </w:rPr>
        <w:t>（2）要求投标人对投标文件有关事项作出澄清或者说明；</w:t>
      </w:r>
    </w:p>
    <w:p>
      <w:pPr>
        <w:spacing w:line="360" w:lineRule="auto"/>
        <w:ind w:firstLine="422" w:firstLineChars="176"/>
        <w:rPr>
          <w:rFonts w:hint="eastAsia" w:ascii="宋体" w:hAnsi="宋体" w:eastAsia="宋体" w:cs="宋体"/>
          <w:color w:val="000000"/>
          <w:kern w:val="0"/>
          <w:sz w:val="24"/>
        </w:rPr>
      </w:pPr>
      <w:r>
        <w:rPr>
          <w:rFonts w:hint="eastAsia" w:ascii="宋体" w:hAnsi="宋体" w:eastAsia="宋体" w:cs="宋体"/>
          <w:color w:val="000000"/>
          <w:kern w:val="0"/>
          <w:sz w:val="24"/>
        </w:rPr>
        <w:t>（3）对投标文件进行比较和评价；</w:t>
      </w:r>
    </w:p>
    <w:p>
      <w:pPr>
        <w:spacing w:line="360" w:lineRule="auto"/>
        <w:ind w:firstLine="422" w:firstLineChars="176"/>
        <w:rPr>
          <w:rFonts w:hint="eastAsia" w:ascii="宋体" w:hAnsi="宋体" w:eastAsia="宋体" w:cs="宋体"/>
          <w:color w:val="000000"/>
          <w:kern w:val="0"/>
          <w:sz w:val="24"/>
        </w:rPr>
      </w:pPr>
      <w:r>
        <w:rPr>
          <w:rFonts w:hint="eastAsia" w:ascii="宋体" w:hAnsi="宋体" w:eastAsia="宋体" w:cs="宋体"/>
          <w:color w:val="000000"/>
          <w:kern w:val="0"/>
          <w:sz w:val="24"/>
        </w:rPr>
        <w:t>（4）确定中标候选人名单，以及根据采购人委托直接确定中标人；</w:t>
      </w:r>
    </w:p>
    <w:p>
      <w:pPr>
        <w:numPr>
          <w:ilvl w:val="0"/>
          <w:numId w:val="2"/>
        </w:numPr>
        <w:spacing w:line="360" w:lineRule="auto"/>
        <w:ind w:firstLine="422"/>
        <w:rPr>
          <w:rFonts w:hint="eastAsia" w:ascii="宋体" w:hAnsi="宋体" w:eastAsia="宋体" w:cs="宋体"/>
          <w:color w:val="000000"/>
          <w:kern w:val="0"/>
          <w:sz w:val="24"/>
        </w:rPr>
      </w:pPr>
      <w:r>
        <w:rPr>
          <w:rFonts w:hint="eastAsia" w:ascii="宋体" w:hAnsi="宋体" w:eastAsia="宋体" w:cs="宋体"/>
          <w:color w:val="000000"/>
          <w:kern w:val="0"/>
          <w:sz w:val="24"/>
        </w:rPr>
        <w:t>向采购人、采购代理机构或者有关部门报告评审中发现的违法行为。</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（四）评审原则</w:t>
      </w:r>
    </w:p>
    <w:p>
      <w:pPr>
        <w:spacing w:line="360" w:lineRule="auto"/>
        <w:ind w:firstLine="424" w:firstLineChars="177"/>
        <w:rPr>
          <w:rFonts w:hint="eastAsia" w:ascii="宋体" w:hAnsi="宋体" w:eastAsia="宋体" w:cs="宋体"/>
          <w:color w:val="000000"/>
          <w:sz w:val="24"/>
        </w:rPr>
      </w:pPr>
      <w:r>
        <w:rPr>
          <w:rFonts w:hint="eastAsia" w:ascii="宋体" w:hAnsi="宋体" w:eastAsia="宋体" w:cs="宋体"/>
          <w:color w:val="000000"/>
          <w:sz w:val="24"/>
        </w:rPr>
        <w:t>4.1评审原则：</w:t>
      </w:r>
      <w:r>
        <w:rPr>
          <w:rFonts w:hint="eastAsia" w:ascii="宋体" w:hAnsi="宋体" w:eastAsia="宋体" w:cs="宋体"/>
          <w:color w:val="000000"/>
          <w:kern w:val="0"/>
          <w:sz w:val="24"/>
        </w:rPr>
        <w:t>评标委员会</w:t>
      </w:r>
      <w:r>
        <w:rPr>
          <w:rFonts w:hint="eastAsia" w:ascii="宋体" w:hAnsi="宋体" w:eastAsia="宋体" w:cs="宋体"/>
          <w:color w:val="000000"/>
          <w:sz w:val="24"/>
        </w:rPr>
        <w:t>按照客观、公正、审慎、择优的原则，根据招标文件规定的评审程序、评审方法和评审标准进行独立评审。</w:t>
      </w:r>
    </w:p>
    <w:p>
      <w:pPr>
        <w:spacing w:line="360" w:lineRule="auto"/>
        <w:ind w:firstLine="424" w:firstLineChars="177"/>
        <w:rPr>
          <w:rFonts w:hint="eastAsia" w:ascii="宋体" w:hAnsi="宋体" w:eastAsia="宋体" w:cs="宋体"/>
          <w:color w:val="000000"/>
          <w:sz w:val="24"/>
        </w:rPr>
      </w:pPr>
      <w:r>
        <w:rPr>
          <w:rFonts w:hint="eastAsia" w:ascii="宋体" w:hAnsi="宋体" w:eastAsia="宋体" w:cs="宋体"/>
          <w:color w:val="000000"/>
          <w:sz w:val="24"/>
        </w:rPr>
        <w:t>4.2评审工作将依据</w:t>
      </w:r>
      <w:r>
        <w:rPr>
          <w:rFonts w:hint="eastAsia" w:ascii="宋体" w:hAnsi="宋体" w:eastAsia="宋体" w:cs="宋体"/>
          <w:color w:val="000000"/>
          <w:kern w:val="0"/>
          <w:sz w:val="24"/>
        </w:rPr>
        <w:t>招标文件、投标文件及招标文件中事先已列明的内容进行（如现场</w:t>
      </w:r>
      <w:r>
        <w:rPr>
          <w:rFonts w:hint="eastAsia" w:ascii="宋体" w:hAnsi="宋体" w:eastAsia="宋体" w:cs="宋体"/>
          <w:color w:val="000000"/>
          <w:kern w:val="0"/>
          <w:sz w:val="24"/>
          <w:lang w:eastAsia="zh-CN"/>
        </w:rPr>
        <w:t>提供样品</w:t>
      </w:r>
      <w:r>
        <w:rPr>
          <w:rFonts w:hint="eastAsia" w:ascii="宋体" w:hAnsi="宋体" w:eastAsia="宋体" w:cs="宋体"/>
          <w:color w:val="000000"/>
          <w:kern w:val="0"/>
          <w:sz w:val="24"/>
        </w:rPr>
        <w:t>、演示等）。</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（五）评审意见的争议处理</w:t>
      </w:r>
    </w:p>
    <w:p>
      <w:pPr>
        <w:spacing w:line="360" w:lineRule="auto"/>
        <w:ind w:firstLine="424" w:firstLineChars="177"/>
        <w:rPr>
          <w:rFonts w:hint="eastAsia" w:ascii="宋体" w:hAnsi="宋体" w:eastAsia="宋体" w:cs="宋体"/>
          <w:bCs/>
          <w:color w:val="000000"/>
          <w:sz w:val="24"/>
        </w:rPr>
      </w:pPr>
      <w:r>
        <w:rPr>
          <w:rFonts w:hint="eastAsia" w:ascii="宋体" w:hAnsi="宋体" w:eastAsia="宋体" w:cs="宋体"/>
          <w:bCs/>
          <w:color w:val="000000"/>
          <w:sz w:val="24"/>
        </w:rPr>
        <w:t>5.1评标委员会成员对需要共同认定的事项存在争议的，按照少数服从多数的原则作出结论。持不同意见的评标委员会成员应当在评审报告上签署不同意见及理由，否则视为同意评审报告。</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（六）评委纪律</w:t>
      </w:r>
    </w:p>
    <w:p>
      <w:pPr>
        <w:spacing w:line="360" w:lineRule="auto"/>
        <w:ind w:firstLine="424" w:firstLineChars="177"/>
        <w:rPr>
          <w:rFonts w:hint="eastAsia" w:ascii="宋体" w:hAnsi="宋体" w:eastAsia="宋体" w:cs="宋体"/>
          <w:color w:val="000000"/>
          <w:kern w:val="0"/>
          <w:sz w:val="24"/>
        </w:rPr>
      </w:pPr>
      <w:r>
        <w:rPr>
          <w:rFonts w:hint="eastAsia" w:ascii="宋体" w:hAnsi="宋体" w:eastAsia="宋体" w:cs="宋体"/>
          <w:color w:val="000000"/>
          <w:sz w:val="24"/>
        </w:rPr>
        <w:t>6.1评标委员会成员必须严格遵守保密规定，不得泄露评审的有关情况</w:t>
      </w:r>
      <w:r>
        <w:rPr>
          <w:rFonts w:hint="eastAsia" w:ascii="宋体" w:hAnsi="宋体" w:eastAsia="宋体" w:cs="宋体"/>
          <w:color w:val="000000"/>
          <w:kern w:val="0"/>
          <w:sz w:val="24"/>
        </w:rPr>
        <w:t>，任何单位和个人不得干扰、影响评标的正常进行，评标委员会成员不得私下与投标供应商接触，不得出现浙江省政府采购活动现场组织管理办法中规定的其他禁止行为。</w:t>
      </w:r>
    </w:p>
    <w:p>
      <w:pPr>
        <w:pStyle w:val="5"/>
        <w:numPr>
          <w:ilvl w:val="0"/>
          <w:numId w:val="0"/>
        </w:numPr>
        <w:tabs>
          <w:tab w:val="left" w:pos="706"/>
          <w:tab w:val="left" w:pos="1110"/>
        </w:tabs>
        <w:rPr>
          <w:rFonts w:hint="eastAsia" w:ascii="宋体" w:hAnsi="宋体" w:eastAsia="宋体" w:cs="宋体"/>
          <w:color w:val="000000"/>
          <w:sz w:val="24"/>
          <w:szCs w:val="24"/>
        </w:rPr>
      </w:pPr>
      <w:bookmarkStart w:id="52" w:name="_Toc24550043"/>
      <w:bookmarkStart w:id="53" w:name="_Toc33194395"/>
      <w:r>
        <w:rPr>
          <w:rFonts w:hint="eastAsia" w:ascii="宋体" w:hAnsi="宋体" w:eastAsia="宋体" w:cs="宋体"/>
          <w:color w:val="000000"/>
          <w:sz w:val="24"/>
          <w:szCs w:val="24"/>
        </w:rPr>
        <w:t>（七）</w:t>
      </w:r>
      <w:bookmarkEnd w:id="52"/>
      <w:bookmarkStart w:id="54" w:name="_Toc24550044"/>
      <w:r>
        <w:rPr>
          <w:rFonts w:hint="eastAsia" w:ascii="宋体" w:hAnsi="宋体" w:eastAsia="宋体" w:cs="宋体"/>
          <w:color w:val="000000"/>
          <w:sz w:val="24"/>
          <w:szCs w:val="24"/>
        </w:rPr>
        <w:t>评审流程及内容</w:t>
      </w:r>
      <w:bookmarkEnd w:id="53"/>
      <w:bookmarkEnd w:id="54"/>
    </w:p>
    <w:p>
      <w:pPr>
        <w:spacing w:line="360" w:lineRule="auto"/>
        <w:ind w:firstLine="424" w:firstLineChars="176"/>
        <w:rPr>
          <w:rFonts w:hint="eastAsia" w:ascii="宋体" w:hAnsi="宋体" w:eastAsia="宋体" w:cs="宋体"/>
          <w:color w:val="000000"/>
          <w:sz w:val="24"/>
        </w:rPr>
      </w:pPr>
      <w:r>
        <w:rPr>
          <w:rFonts w:hint="eastAsia" w:ascii="宋体" w:hAnsi="宋体" w:eastAsia="宋体" w:cs="宋体"/>
          <w:b/>
          <w:color w:val="000000"/>
          <w:kern w:val="0"/>
          <w:sz w:val="24"/>
        </w:rPr>
        <w:t>本项目具体的评审事务由评标委员会负责，评审流程及内容如下：</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7.1 评审前准备</w:t>
      </w:r>
    </w:p>
    <w:p>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7.1.1由评审专家推选评审小组组长，采购人代表不得担任评审小组组长。</w:t>
      </w:r>
    </w:p>
    <w:p>
      <w:pPr>
        <w:spacing w:line="360" w:lineRule="auto"/>
        <w:ind w:firstLine="424" w:firstLineChars="177"/>
        <w:rPr>
          <w:rFonts w:hint="eastAsia" w:ascii="宋体" w:hAnsi="宋体" w:eastAsia="宋体" w:cs="宋体"/>
          <w:b/>
          <w:color w:val="000000"/>
          <w:kern w:val="0"/>
          <w:sz w:val="24"/>
        </w:rPr>
      </w:pPr>
      <w:r>
        <w:rPr>
          <w:rFonts w:hint="eastAsia" w:ascii="宋体" w:hAnsi="宋体" w:eastAsia="宋体" w:cs="宋体"/>
          <w:color w:val="000000"/>
          <w:kern w:val="0"/>
          <w:sz w:val="24"/>
        </w:rPr>
        <w:t>7.1.2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7.2投标文件的初步审查、符合性审查</w:t>
      </w:r>
    </w:p>
    <w:p>
      <w:pPr>
        <w:spacing w:line="360" w:lineRule="auto"/>
        <w:ind w:firstLine="426" w:firstLineChars="177"/>
        <w:rPr>
          <w:rFonts w:hint="eastAsia" w:ascii="宋体" w:hAnsi="宋体" w:eastAsia="宋体" w:cs="宋体"/>
          <w:b/>
          <w:color w:val="000000"/>
          <w:kern w:val="0"/>
          <w:sz w:val="24"/>
        </w:rPr>
      </w:pPr>
      <w:r>
        <w:rPr>
          <w:rFonts w:hint="eastAsia" w:ascii="宋体" w:hAnsi="宋体" w:eastAsia="宋体" w:cs="宋体"/>
          <w:b/>
          <w:color w:val="000000"/>
          <w:kern w:val="0"/>
          <w:sz w:val="24"/>
        </w:rPr>
        <w:t>对所有通过资格审查的投标供应商的投标文件进行初步审查，审查、评价投标文件是否符合招标文件的商务、技术、服务等实质性要求。</w:t>
      </w:r>
    </w:p>
    <w:p>
      <w:pPr>
        <w:spacing w:line="360" w:lineRule="auto"/>
        <w:ind w:firstLine="424" w:firstLineChars="177"/>
        <w:rPr>
          <w:rFonts w:hint="eastAsia" w:ascii="宋体" w:hAnsi="宋体" w:eastAsia="宋体" w:cs="宋体"/>
          <w:color w:val="000000"/>
          <w:sz w:val="24"/>
        </w:rPr>
      </w:pPr>
      <w:r>
        <w:rPr>
          <w:rFonts w:hint="eastAsia" w:ascii="宋体" w:hAnsi="宋体" w:eastAsia="宋体" w:cs="宋体"/>
          <w:color w:val="000000"/>
          <w:sz w:val="24"/>
        </w:rPr>
        <w:t>7.2.1评标委员会首先对所有通过资格审查的投标供应商的投标文件进行符合性审查，审查每份投标文件是否实质上响应了招标文件的要求（实质性响应的投标文件是指投标文件符合招标文件规定的实质性内容、条件和规定）。</w:t>
      </w:r>
    </w:p>
    <w:p>
      <w:pPr>
        <w:pStyle w:val="6"/>
        <w:numPr>
          <w:ilvl w:val="2"/>
          <w:numId w:val="0"/>
        </w:numPr>
        <w:spacing w:before="0" w:after="0"/>
        <w:jc w:val="both"/>
        <w:rPr>
          <w:rFonts w:hint="eastAsia" w:ascii="宋体" w:hAnsi="宋体" w:eastAsia="宋体" w:cs="宋体"/>
          <w:sz w:val="24"/>
          <w:szCs w:val="24"/>
        </w:rPr>
      </w:pPr>
      <w:r>
        <w:rPr>
          <w:rFonts w:hint="eastAsia" w:ascii="宋体" w:hAnsi="宋体" w:eastAsia="宋体" w:cs="宋体"/>
          <w:sz w:val="24"/>
          <w:szCs w:val="24"/>
        </w:rPr>
        <w:t>7.3 投标文件的澄清、说明或补正</w:t>
      </w:r>
    </w:p>
    <w:p>
      <w:pPr>
        <w:spacing w:line="360" w:lineRule="auto"/>
        <w:ind w:firstLine="424" w:firstLineChars="177"/>
        <w:rPr>
          <w:rFonts w:hint="eastAsia" w:ascii="宋体" w:hAnsi="宋体" w:eastAsia="宋体" w:cs="宋体"/>
          <w:color w:val="000000"/>
          <w:kern w:val="0"/>
          <w:sz w:val="24"/>
        </w:rPr>
      </w:pPr>
      <w:r>
        <w:rPr>
          <w:rFonts w:hint="eastAsia" w:ascii="宋体" w:hAnsi="宋体" w:eastAsia="宋体" w:cs="宋体"/>
          <w:color w:val="000000"/>
          <w:kern w:val="0"/>
          <w:sz w:val="24"/>
        </w:rPr>
        <w:t>7.3.1对于投标文件中含义不明确、同类问题表述不一致或者有明显文字和计算错误的内容，评标委员会将以书面形式</w:t>
      </w:r>
      <w:r>
        <w:rPr>
          <w:rFonts w:hint="eastAsia" w:ascii="宋体" w:hAnsi="宋体" w:eastAsia="宋体" w:cs="宋体"/>
          <w:b/>
          <w:bCs/>
          <w:color w:val="000000"/>
          <w:kern w:val="0"/>
          <w:sz w:val="24"/>
        </w:rPr>
        <w:t>（或通过“政府采购云平台”在线询标）</w:t>
      </w:r>
      <w:r>
        <w:rPr>
          <w:rFonts w:hint="eastAsia" w:ascii="宋体" w:hAnsi="宋体" w:eastAsia="宋体" w:cs="宋体"/>
          <w:color w:val="000000"/>
          <w:kern w:val="0"/>
          <w:sz w:val="24"/>
        </w:rPr>
        <w:t>的形式要求投标供应商在规定的时间内作出必要的澄清、说明或者补正，投标供应商澄清、说明或补正时间为30分钟。</w:t>
      </w:r>
    </w:p>
    <w:p>
      <w:pPr>
        <w:spacing w:line="360" w:lineRule="auto"/>
        <w:ind w:firstLine="424" w:firstLineChars="177"/>
        <w:rPr>
          <w:rFonts w:hint="eastAsia" w:ascii="宋体" w:hAnsi="宋体" w:eastAsia="宋体" w:cs="宋体"/>
          <w:color w:val="000000"/>
          <w:kern w:val="0"/>
          <w:sz w:val="24"/>
        </w:rPr>
      </w:pPr>
      <w:r>
        <w:rPr>
          <w:rFonts w:hint="eastAsia" w:ascii="宋体" w:hAnsi="宋体" w:eastAsia="宋体" w:cs="宋体"/>
          <w:color w:val="000000"/>
          <w:kern w:val="0"/>
          <w:sz w:val="24"/>
        </w:rPr>
        <w:t>7.3.2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7.4 投标文件的错误修正</w:t>
      </w:r>
    </w:p>
    <w:p>
      <w:pPr>
        <w:spacing w:line="360" w:lineRule="auto"/>
        <w:ind w:firstLine="422" w:firstLineChars="175"/>
        <w:rPr>
          <w:rFonts w:hint="eastAsia" w:ascii="宋体" w:hAnsi="宋体" w:eastAsia="宋体" w:cs="宋体"/>
          <w:b/>
          <w:color w:val="000000"/>
          <w:kern w:val="0"/>
          <w:sz w:val="24"/>
        </w:rPr>
      </w:pPr>
      <w:r>
        <w:rPr>
          <w:rFonts w:hint="eastAsia" w:ascii="宋体" w:hAnsi="宋体" w:eastAsia="宋体" w:cs="宋体"/>
          <w:b/>
          <w:color w:val="000000"/>
          <w:kern w:val="0"/>
          <w:sz w:val="24"/>
        </w:rPr>
        <w:t>7.4.1《投标文件》如果出现计算或表达上的错误，修正错误的原则如下：</w:t>
      </w:r>
    </w:p>
    <w:p>
      <w:pPr>
        <w:spacing w:line="360" w:lineRule="auto"/>
        <w:ind w:firstLine="420" w:firstLineChars="175"/>
        <w:rPr>
          <w:rFonts w:hint="eastAsia" w:ascii="宋体" w:hAnsi="宋体" w:eastAsia="宋体" w:cs="宋体"/>
          <w:color w:val="000000"/>
          <w:kern w:val="0"/>
          <w:sz w:val="24"/>
        </w:rPr>
      </w:pPr>
      <w:r>
        <w:rPr>
          <w:rFonts w:hint="eastAsia" w:ascii="宋体" w:hAnsi="宋体" w:eastAsia="宋体" w:cs="宋体"/>
          <w:color w:val="000000"/>
          <w:kern w:val="0"/>
          <w:sz w:val="24"/>
        </w:rPr>
        <w:t>（1）投标文件中开标一览表（报价表）内容与投标文件中相应内容不一致的，以开标一览表（报价表）为准。</w:t>
      </w:r>
    </w:p>
    <w:p>
      <w:pPr>
        <w:spacing w:line="360" w:lineRule="auto"/>
        <w:ind w:firstLine="420" w:firstLineChars="175"/>
        <w:rPr>
          <w:rFonts w:hint="eastAsia" w:ascii="宋体" w:hAnsi="宋体" w:eastAsia="宋体" w:cs="宋体"/>
          <w:color w:val="000000"/>
          <w:kern w:val="0"/>
          <w:sz w:val="24"/>
        </w:rPr>
      </w:pPr>
      <w:r>
        <w:rPr>
          <w:rFonts w:hint="eastAsia" w:ascii="宋体" w:hAnsi="宋体" w:eastAsia="宋体" w:cs="宋体"/>
          <w:color w:val="000000"/>
          <w:kern w:val="0"/>
          <w:sz w:val="24"/>
        </w:rPr>
        <w:t>（2）《投标文件》的大写金额和小写金额不一致的，以大写金额为准；</w:t>
      </w:r>
    </w:p>
    <w:p>
      <w:pPr>
        <w:spacing w:line="360" w:lineRule="auto"/>
        <w:ind w:firstLine="420" w:firstLineChars="175"/>
        <w:rPr>
          <w:rFonts w:hint="eastAsia" w:ascii="宋体" w:hAnsi="宋体" w:eastAsia="宋体" w:cs="宋体"/>
          <w:color w:val="000000"/>
          <w:kern w:val="0"/>
          <w:sz w:val="24"/>
        </w:rPr>
      </w:pPr>
      <w:r>
        <w:rPr>
          <w:rFonts w:hint="eastAsia" w:ascii="宋体" w:hAnsi="宋体" w:eastAsia="宋体" w:cs="宋体"/>
          <w:color w:val="000000"/>
          <w:kern w:val="0"/>
          <w:sz w:val="24"/>
        </w:rPr>
        <w:t>（3）单价金额小数点或者百分比有明显错位的，应以开标一览表（报价表）的总价为准，并修改单价；</w:t>
      </w:r>
    </w:p>
    <w:p>
      <w:pPr>
        <w:spacing w:line="360" w:lineRule="auto"/>
        <w:ind w:firstLine="420" w:firstLineChars="175"/>
        <w:rPr>
          <w:rFonts w:hint="eastAsia" w:ascii="宋体" w:hAnsi="宋体" w:eastAsia="宋体" w:cs="宋体"/>
          <w:color w:val="000000"/>
          <w:kern w:val="0"/>
          <w:sz w:val="24"/>
        </w:rPr>
      </w:pPr>
      <w:r>
        <w:rPr>
          <w:rFonts w:hint="eastAsia" w:ascii="宋体" w:hAnsi="宋体" w:eastAsia="宋体" w:cs="宋体"/>
          <w:color w:val="000000"/>
          <w:kern w:val="0"/>
          <w:sz w:val="24"/>
        </w:rPr>
        <w:t>（4）总价金额与按单价汇总金额不一致的，以单价金额计算结果为准。</w:t>
      </w:r>
    </w:p>
    <w:p>
      <w:pPr>
        <w:spacing w:line="360" w:lineRule="auto"/>
        <w:ind w:firstLine="420" w:firstLineChars="175"/>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5）电子投标在线报价与在线递交的投标文件报价不一致时，以在线递交的电子投标文件</w:t>
      </w:r>
      <w:r>
        <w:rPr>
          <w:rFonts w:hint="eastAsia" w:ascii="宋体" w:hAnsi="宋体" w:eastAsia="宋体" w:cs="宋体"/>
          <w:color w:val="000000"/>
          <w:kern w:val="0"/>
          <w:sz w:val="24"/>
        </w:rPr>
        <w:t>开标一览表（报价表）</w:t>
      </w:r>
      <w:r>
        <w:rPr>
          <w:rFonts w:hint="eastAsia" w:ascii="宋体" w:hAnsi="宋体" w:eastAsia="宋体" w:cs="宋体"/>
          <w:color w:val="000000"/>
          <w:kern w:val="0"/>
          <w:sz w:val="24"/>
          <w:lang w:val="en-US" w:eastAsia="zh-CN"/>
        </w:rPr>
        <w:t>为准，同时投标单位确认后修正投标在线填报价格。</w:t>
      </w:r>
    </w:p>
    <w:p>
      <w:pPr>
        <w:spacing w:line="360" w:lineRule="auto"/>
        <w:ind w:firstLine="420" w:firstLineChars="175"/>
        <w:rPr>
          <w:rFonts w:hint="eastAsia" w:ascii="宋体" w:hAnsi="宋体" w:eastAsia="宋体" w:cs="宋体"/>
        </w:rPr>
      </w:pPr>
      <w:r>
        <w:rPr>
          <w:rFonts w:hint="eastAsia" w:ascii="宋体" w:hAnsi="宋体" w:eastAsia="宋体" w:cs="宋体"/>
          <w:color w:val="000000"/>
          <w:kern w:val="0"/>
          <w:sz w:val="24"/>
        </w:rPr>
        <w:t>7.4.2对不同文字文本《投标文件》的解释发生异议的，以中文文本为准。</w:t>
      </w:r>
    </w:p>
    <w:p>
      <w:pPr>
        <w:pStyle w:val="33"/>
        <w:autoSpaceDE/>
        <w:adjustRightInd/>
        <w:snapToGrid w:val="0"/>
        <w:spacing w:before="0" w:line="360" w:lineRule="auto"/>
        <w:ind w:left="0" w:firstLine="0"/>
        <w:rPr>
          <w:rFonts w:hint="eastAsia" w:ascii="宋体" w:hAnsi="宋体" w:eastAsia="宋体" w:cs="宋体"/>
          <w:b/>
          <w:color w:val="000000"/>
          <w:kern w:val="2"/>
          <w:sz w:val="24"/>
          <w:szCs w:val="24"/>
        </w:rPr>
      </w:pPr>
      <w:r>
        <w:rPr>
          <w:rFonts w:hint="eastAsia" w:ascii="宋体" w:hAnsi="宋体" w:eastAsia="宋体" w:cs="宋体"/>
          <w:b/>
          <w:color w:val="000000"/>
          <w:kern w:val="2"/>
          <w:sz w:val="24"/>
          <w:szCs w:val="24"/>
        </w:rPr>
        <w:t>（八）投标文件有下列情况之一者将视为无效：</w:t>
      </w:r>
    </w:p>
    <w:p>
      <w:pPr>
        <w:spacing w:line="360" w:lineRule="auto"/>
        <w:ind w:firstLine="424" w:firstLineChars="176"/>
        <w:rPr>
          <w:rFonts w:hint="eastAsia" w:ascii="宋体" w:hAnsi="宋体" w:eastAsia="宋体" w:cs="宋体"/>
          <w:b/>
          <w:color w:val="000000"/>
          <w:kern w:val="0"/>
          <w:sz w:val="24"/>
        </w:rPr>
      </w:pPr>
      <w:bookmarkStart w:id="55" w:name="_Hlk33211013"/>
      <w:r>
        <w:rPr>
          <w:rFonts w:hint="eastAsia" w:ascii="宋体" w:hAnsi="宋体" w:eastAsia="宋体" w:cs="宋体"/>
          <w:b/>
          <w:color w:val="000000"/>
          <w:kern w:val="0"/>
          <w:sz w:val="24"/>
        </w:rPr>
        <w:t>8.1商务、技术文件符合性审查中，存在下列情形之一的，经评标委员会认定后作无效标处理：</w:t>
      </w:r>
    </w:p>
    <w:p>
      <w:pPr>
        <w:pStyle w:val="5"/>
        <w:numPr>
          <w:ilvl w:val="0"/>
          <w:numId w:val="4"/>
        </w:numPr>
        <w:tabs>
          <w:tab w:val="left" w:pos="706"/>
          <w:tab w:val="left" w:pos="1110"/>
        </w:tabs>
        <w:spacing w:line="360" w:lineRule="auto"/>
        <w:ind w:left="106" w:firstLine="241" w:firstLineChars="100"/>
        <w:jc w:val="left"/>
        <w:rPr>
          <w:rFonts w:hint="eastAsia" w:ascii="宋体" w:hAnsi="宋体" w:eastAsia="宋体" w:cs="宋体"/>
          <w:bCs w:val="0"/>
          <w:color w:val="000000"/>
          <w:sz w:val="24"/>
          <w:szCs w:val="24"/>
        </w:rPr>
      </w:pPr>
      <w:bookmarkStart w:id="56" w:name="_Toc33194396"/>
      <w:r>
        <w:rPr>
          <w:rFonts w:hint="eastAsia" w:ascii="宋体" w:hAnsi="宋体" w:eastAsia="宋体" w:cs="宋体"/>
          <w:bCs w:val="0"/>
          <w:color w:val="000000"/>
          <w:sz w:val="24"/>
          <w:szCs w:val="24"/>
        </w:rPr>
        <w:t>投标文件未有效授权，法定代表人授权委托书等填写不完整或有涂改的；</w:t>
      </w:r>
      <w:bookmarkEnd w:id="56"/>
    </w:p>
    <w:p>
      <w:pPr>
        <w:pStyle w:val="5"/>
        <w:numPr>
          <w:ilvl w:val="0"/>
          <w:numId w:val="5"/>
        </w:numPr>
        <w:tabs>
          <w:tab w:val="left" w:pos="706"/>
          <w:tab w:val="left" w:pos="1110"/>
        </w:tabs>
        <w:spacing w:line="360" w:lineRule="auto"/>
        <w:ind w:left="106" w:firstLine="240" w:firstLineChars="100"/>
        <w:jc w:val="left"/>
        <w:rPr>
          <w:rFonts w:hint="eastAsia" w:ascii="宋体" w:hAnsi="宋体" w:eastAsia="宋体" w:cs="宋体"/>
          <w:b w:val="0"/>
          <w:sz w:val="24"/>
        </w:rPr>
      </w:pPr>
      <w:r>
        <w:rPr>
          <w:rFonts w:hint="eastAsia" w:ascii="宋体" w:hAnsi="宋体" w:eastAsia="宋体" w:cs="宋体"/>
          <w:b w:val="0"/>
          <w:sz w:val="24"/>
        </w:rPr>
        <w:t>投标文件没有对本招标文件作出实质性响应的，或不满足（不响应）本招标文件中标注“▲”的实质性要求条款的，或存在招标文件中明确规定的其他无效标情形的；</w:t>
      </w:r>
    </w:p>
    <w:p>
      <w:pPr>
        <w:pStyle w:val="5"/>
        <w:numPr>
          <w:ilvl w:val="0"/>
          <w:numId w:val="6"/>
        </w:numPr>
        <w:tabs>
          <w:tab w:val="left" w:pos="706"/>
          <w:tab w:val="left" w:pos="1110"/>
        </w:tabs>
        <w:spacing w:line="360" w:lineRule="auto"/>
        <w:ind w:left="106" w:firstLine="240" w:firstLineChars="100"/>
        <w:jc w:val="left"/>
        <w:rPr>
          <w:rFonts w:hint="eastAsia" w:ascii="宋体" w:hAnsi="宋体" w:eastAsia="宋体" w:cs="宋体"/>
          <w:b w:val="0"/>
          <w:sz w:val="24"/>
        </w:rPr>
      </w:pPr>
      <w:r>
        <w:rPr>
          <w:rFonts w:hint="eastAsia" w:ascii="宋体" w:hAnsi="宋体" w:eastAsia="宋体" w:cs="宋体"/>
          <w:b w:val="0"/>
          <w:sz w:val="24"/>
        </w:rPr>
        <w:t>投标文件存在一个或一个以上备选（替代）投标方案的；</w:t>
      </w:r>
    </w:p>
    <w:p>
      <w:pPr>
        <w:pStyle w:val="5"/>
        <w:numPr>
          <w:ilvl w:val="0"/>
          <w:numId w:val="7"/>
        </w:numPr>
        <w:tabs>
          <w:tab w:val="left" w:pos="706"/>
          <w:tab w:val="left" w:pos="1110"/>
        </w:tabs>
        <w:spacing w:line="360" w:lineRule="auto"/>
        <w:ind w:left="106" w:firstLine="240" w:firstLineChars="100"/>
        <w:jc w:val="left"/>
        <w:rPr>
          <w:rFonts w:hint="eastAsia" w:ascii="宋体" w:hAnsi="宋体" w:eastAsia="宋体" w:cs="宋体"/>
          <w:b w:val="0"/>
          <w:sz w:val="24"/>
        </w:rPr>
      </w:pPr>
      <w:r>
        <w:rPr>
          <w:rFonts w:hint="eastAsia" w:ascii="宋体" w:hAnsi="宋体" w:eastAsia="宋体" w:cs="宋体"/>
          <w:b w:val="0"/>
          <w:bCs/>
          <w:sz w:val="24"/>
        </w:rPr>
        <w:t>仅</w:t>
      </w:r>
      <w:r>
        <w:rPr>
          <w:rFonts w:hint="eastAsia" w:ascii="宋体" w:hAnsi="宋体" w:eastAsia="宋体" w:cs="宋体"/>
          <w:b w:val="0"/>
          <w:sz w:val="24"/>
        </w:rPr>
        <w:t>提交“备份投标文件”的；</w:t>
      </w:r>
    </w:p>
    <w:p>
      <w:pPr>
        <w:pStyle w:val="5"/>
        <w:numPr>
          <w:ilvl w:val="0"/>
          <w:numId w:val="8"/>
        </w:numPr>
        <w:tabs>
          <w:tab w:val="left" w:pos="706"/>
          <w:tab w:val="left" w:pos="1110"/>
        </w:tabs>
        <w:spacing w:line="360" w:lineRule="auto"/>
        <w:ind w:left="106" w:firstLine="240" w:firstLineChars="100"/>
        <w:jc w:val="left"/>
        <w:rPr>
          <w:rFonts w:hint="eastAsia" w:ascii="宋体" w:hAnsi="宋体" w:eastAsia="宋体" w:cs="宋体"/>
          <w:b w:val="0"/>
          <w:sz w:val="24"/>
        </w:rPr>
      </w:pPr>
      <w:r>
        <w:rPr>
          <w:rFonts w:hint="eastAsia" w:ascii="宋体" w:hAnsi="宋体" w:eastAsia="宋体" w:cs="宋体"/>
          <w:b w:val="0"/>
          <w:sz w:val="24"/>
        </w:rPr>
        <w:t>文件组成内容不齐全，本招标文件规定必须提供而未提供的（属于资格审查范围的除外）；</w:t>
      </w:r>
    </w:p>
    <w:p>
      <w:pPr>
        <w:pStyle w:val="5"/>
        <w:numPr>
          <w:ilvl w:val="0"/>
          <w:numId w:val="9"/>
        </w:numPr>
        <w:tabs>
          <w:tab w:val="left" w:pos="706"/>
          <w:tab w:val="left" w:pos="1110"/>
        </w:tabs>
        <w:spacing w:line="360" w:lineRule="auto"/>
        <w:ind w:left="106" w:firstLine="240" w:firstLineChars="100"/>
        <w:jc w:val="left"/>
        <w:rPr>
          <w:rFonts w:hint="eastAsia" w:ascii="宋体" w:hAnsi="宋体" w:eastAsia="宋体" w:cs="宋体"/>
          <w:b w:val="0"/>
          <w:sz w:val="24"/>
        </w:rPr>
      </w:pPr>
      <w:r>
        <w:rPr>
          <w:rFonts w:hint="eastAsia" w:ascii="宋体" w:hAnsi="宋体" w:eastAsia="宋体" w:cs="宋体"/>
          <w:b w:val="0"/>
          <w:sz w:val="24"/>
        </w:rPr>
        <w:t>投标文件标注的响应或偏离情况与事实不符，或提供了虚假材料的；</w:t>
      </w:r>
    </w:p>
    <w:p>
      <w:pPr>
        <w:pStyle w:val="5"/>
        <w:numPr>
          <w:ilvl w:val="0"/>
          <w:numId w:val="10"/>
        </w:numPr>
        <w:tabs>
          <w:tab w:val="left" w:pos="706"/>
          <w:tab w:val="left" w:pos="1110"/>
        </w:tabs>
        <w:spacing w:line="360" w:lineRule="auto"/>
        <w:ind w:left="106" w:firstLine="240" w:firstLineChars="100"/>
        <w:jc w:val="left"/>
        <w:rPr>
          <w:rFonts w:hint="eastAsia" w:ascii="宋体" w:hAnsi="宋体" w:eastAsia="宋体" w:cs="宋体"/>
          <w:b w:val="0"/>
          <w:sz w:val="24"/>
        </w:rPr>
      </w:pPr>
      <w:r>
        <w:rPr>
          <w:rFonts w:hint="eastAsia" w:ascii="宋体" w:hAnsi="宋体" w:eastAsia="宋体" w:cs="宋体"/>
          <w:b w:val="0"/>
          <w:sz w:val="24"/>
        </w:rPr>
        <w:t>不响应或擅自改变本招标文件要求或投标文件有采购人不能接受的附加条件的；</w:t>
      </w:r>
    </w:p>
    <w:p>
      <w:pPr>
        <w:pStyle w:val="5"/>
        <w:numPr>
          <w:ilvl w:val="0"/>
          <w:numId w:val="11"/>
        </w:numPr>
        <w:tabs>
          <w:tab w:val="left" w:pos="706"/>
          <w:tab w:val="left" w:pos="1110"/>
        </w:tabs>
        <w:spacing w:line="360" w:lineRule="auto"/>
        <w:ind w:left="106" w:firstLine="240" w:firstLineChars="100"/>
        <w:jc w:val="left"/>
        <w:rPr>
          <w:rFonts w:hint="eastAsia" w:ascii="宋体" w:hAnsi="宋体" w:eastAsia="宋体" w:cs="宋体"/>
          <w:b w:val="0"/>
          <w:sz w:val="24"/>
        </w:rPr>
      </w:pPr>
      <w:r>
        <w:rPr>
          <w:rFonts w:hint="eastAsia" w:ascii="宋体" w:hAnsi="宋体" w:eastAsia="宋体" w:cs="宋体"/>
          <w:b w:val="0"/>
          <w:sz w:val="24"/>
        </w:rPr>
        <w:t>参加同一合同项下政府采购活动的不同供应商之间存在利害关系并且存在影响政府采购公平竞争行为的；</w:t>
      </w:r>
    </w:p>
    <w:p>
      <w:pPr>
        <w:pStyle w:val="5"/>
        <w:numPr>
          <w:ilvl w:val="0"/>
          <w:numId w:val="12"/>
        </w:numPr>
        <w:tabs>
          <w:tab w:val="left" w:pos="706"/>
          <w:tab w:val="left" w:pos="1110"/>
        </w:tabs>
        <w:spacing w:line="360" w:lineRule="auto"/>
        <w:ind w:left="106" w:firstLine="241" w:firstLineChars="100"/>
        <w:jc w:val="left"/>
        <w:rPr>
          <w:rFonts w:hint="eastAsia" w:ascii="宋体" w:hAnsi="宋体" w:eastAsia="宋体" w:cs="宋体"/>
          <w:bCs w:val="0"/>
          <w:color w:val="000000"/>
          <w:sz w:val="24"/>
          <w:szCs w:val="24"/>
        </w:rPr>
      </w:pPr>
      <w:bookmarkStart w:id="57" w:name="_Toc33194397"/>
      <w:r>
        <w:rPr>
          <w:rFonts w:hint="eastAsia" w:ascii="宋体" w:hAnsi="宋体" w:eastAsia="宋体" w:cs="宋体"/>
          <w:bCs w:val="0"/>
          <w:color w:val="000000"/>
          <w:sz w:val="24"/>
          <w:szCs w:val="24"/>
        </w:rPr>
        <w:t>招标人拟采购的产品如属于品目清单范围内的强制采购品目的，投标人未</w:t>
      </w:r>
      <w:bookmarkEnd w:id="57"/>
      <w:bookmarkStart w:id="58" w:name="_Toc33194398"/>
      <w:r>
        <w:rPr>
          <w:rFonts w:hint="eastAsia" w:ascii="宋体" w:hAnsi="宋体" w:eastAsia="宋体" w:cs="宋体"/>
          <w:bCs w:val="0"/>
          <w:color w:val="000000"/>
          <w:sz w:val="24"/>
          <w:szCs w:val="24"/>
        </w:rPr>
        <w:t>能在响应文件中提供国家确定的认证机构出具的、处于有效期之内的该产品节能产品、环境标志产品认证证书；</w:t>
      </w:r>
      <w:bookmarkEnd w:id="58"/>
    </w:p>
    <w:p>
      <w:pPr>
        <w:pStyle w:val="5"/>
        <w:numPr>
          <w:ilvl w:val="0"/>
          <w:numId w:val="0"/>
        </w:numPr>
        <w:tabs>
          <w:tab w:val="left" w:pos="706"/>
          <w:tab w:val="left" w:pos="1110"/>
        </w:tabs>
        <w:spacing w:line="360" w:lineRule="auto"/>
        <w:ind w:left="106" w:firstLine="240" w:firstLineChars="100"/>
        <w:jc w:val="left"/>
        <w:rPr>
          <w:rFonts w:hint="eastAsia" w:ascii="宋体" w:hAnsi="宋体" w:eastAsia="宋体" w:cs="宋体"/>
          <w:b w:val="0"/>
          <w:sz w:val="24"/>
        </w:rPr>
      </w:pPr>
      <w:r>
        <w:rPr>
          <w:rFonts w:hint="eastAsia" w:ascii="宋体" w:hAnsi="宋体" w:eastAsia="宋体" w:cs="宋体"/>
          <w:b w:val="0"/>
          <w:sz w:val="24"/>
        </w:rPr>
        <w:t>（10）违反国家或政府部门相关法律、法规、文件规定的。</w:t>
      </w:r>
    </w:p>
    <w:bookmarkEnd w:id="55"/>
    <w:p>
      <w:pPr>
        <w:spacing w:line="360" w:lineRule="auto"/>
        <w:ind w:firstLine="426" w:firstLineChars="177"/>
        <w:rPr>
          <w:rFonts w:hint="eastAsia" w:ascii="宋体" w:hAnsi="宋体" w:eastAsia="宋体" w:cs="宋体"/>
          <w:b/>
          <w:color w:val="000000"/>
          <w:kern w:val="0"/>
          <w:sz w:val="24"/>
        </w:rPr>
      </w:pPr>
      <w:r>
        <w:rPr>
          <w:rFonts w:hint="eastAsia" w:ascii="宋体" w:hAnsi="宋体" w:eastAsia="宋体" w:cs="宋体"/>
          <w:b/>
          <w:color w:val="000000"/>
          <w:kern w:val="0"/>
          <w:sz w:val="24"/>
        </w:rPr>
        <w:t>8.2报价文件符合性审查中，存在下列情形之一的，经评标委员会认定后作无效标处理：</w:t>
      </w:r>
    </w:p>
    <w:p>
      <w:pPr>
        <w:spacing w:line="360" w:lineRule="auto"/>
        <w:ind w:firstLine="426" w:firstLineChars="177"/>
        <w:rPr>
          <w:rFonts w:hint="eastAsia" w:ascii="宋体" w:hAnsi="宋体" w:eastAsia="宋体" w:cs="宋体"/>
          <w:b/>
          <w:sz w:val="24"/>
        </w:rPr>
      </w:pPr>
      <w:r>
        <w:rPr>
          <w:rFonts w:hint="eastAsia" w:ascii="宋体" w:hAnsi="宋体" w:eastAsia="宋体" w:cs="宋体"/>
          <w:b/>
          <w:sz w:val="24"/>
        </w:rPr>
        <w:t>（1）投标文件没有对本招标文件作出实质性响应的，或不满足（不响应）本招标文件中标注“▲”的实质性要求条款的，或存在招标文件中明确规定的其他无效标情形的；</w:t>
      </w:r>
    </w:p>
    <w:p>
      <w:pPr>
        <w:spacing w:line="360" w:lineRule="auto"/>
        <w:ind w:firstLine="426" w:firstLineChars="177"/>
        <w:rPr>
          <w:rFonts w:hint="eastAsia" w:ascii="宋体" w:hAnsi="宋体" w:eastAsia="宋体" w:cs="宋体"/>
          <w:b/>
          <w:sz w:val="24"/>
        </w:rPr>
      </w:pPr>
      <w:r>
        <w:rPr>
          <w:rFonts w:hint="eastAsia" w:ascii="宋体" w:hAnsi="宋体" w:eastAsia="宋体" w:cs="宋体"/>
          <w:b/>
          <w:sz w:val="24"/>
        </w:rPr>
        <w:t>（2）投标文件存在一个或一个以上备选（替代）投标方案的；</w:t>
      </w:r>
    </w:p>
    <w:p>
      <w:pPr>
        <w:spacing w:line="360" w:lineRule="auto"/>
        <w:ind w:firstLine="426" w:firstLineChars="177"/>
        <w:rPr>
          <w:rFonts w:hint="eastAsia" w:ascii="宋体" w:hAnsi="宋体" w:eastAsia="宋体" w:cs="宋体"/>
          <w:b/>
          <w:sz w:val="24"/>
        </w:rPr>
      </w:pPr>
      <w:r>
        <w:rPr>
          <w:rFonts w:hint="eastAsia" w:ascii="宋体" w:hAnsi="宋体" w:eastAsia="宋体" w:cs="宋体"/>
          <w:b/>
          <w:sz w:val="24"/>
        </w:rPr>
        <w:t>（3）未按照招标文件标明的币种报价的，或者投标报价涵盖的内容不符合招标文件要求的；</w:t>
      </w:r>
    </w:p>
    <w:p>
      <w:pPr>
        <w:spacing w:line="360" w:lineRule="auto"/>
        <w:ind w:firstLine="426" w:firstLineChars="177"/>
        <w:rPr>
          <w:rFonts w:hint="eastAsia" w:ascii="宋体" w:hAnsi="宋体" w:eastAsia="宋体" w:cs="宋体"/>
          <w:b/>
          <w:sz w:val="24"/>
        </w:rPr>
      </w:pPr>
      <w:r>
        <w:rPr>
          <w:rFonts w:hint="eastAsia" w:ascii="宋体" w:hAnsi="宋体" w:eastAsia="宋体" w:cs="宋体"/>
          <w:b/>
          <w:sz w:val="24"/>
        </w:rPr>
        <w:t>（4）《开标一览表》内容与《投标报价明细表》内容不一致且拒不接受修正的；</w:t>
      </w:r>
    </w:p>
    <w:p>
      <w:pPr>
        <w:spacing w:line="360" w:lineRule="auto"/>
        <w:ind w:firstLine="426" w:firstLineChars="177"/>
        <w:rPr>
          <w:rFonts w:hint="eastAsia" w:ascii="宋体" w:hAnsi="宋体" w:eastAsia="宋体" w:cs="宋体"/>
          <w:b/>
          <w:sz w:val="24"/>
        </w:rPr>
      </w:pPr>
      <w:r>
        <w:rPr>
          <w:rFonts w:hint="eastAsia" w:ascii="宋体" w:hAnsi="宋体" w:eastAsia="宋体" w:cs="宋体"/>
          <w:b/>
          <w:sz w:val="24"/>
        </w:rPr>
        <w:t>（5）投标报价具有选择性，唱标价格与《投标文件》承诺的优惠（折扣）后价格不一致的；</w:t>
      </w:r>
    </w:p>
    <w:p>
      <w:pPr>
        <w:spacing w:line="360" w:lineRule="auto"/>
        <w:ind w:firstLine="426" w:firstLineChars="177"/>
        <w:rPr>
          <w:rFonts w:hint="eastAsia" w:ascii="宋体" w:hAnsi="宋体" w:eastAsia="宋体" w:cs="宋体"/>
          <w:b/>
          <w:sz w:val="24"/>
        </w:rPr>
      </w:pPr>
      <w:r>
        <w:rPr>
          <w:rFonts w:hint="eastAsia" w:ascii="宋体" w:hAnsi="宋体" w:eastAsia="宋体" w:cs="宋体"/>
          <w:b/>
          <w:sz w:val="24"/>
        </w:rPr>
        <w:t>（6）投标报价超过采购预算（或最高限价）的；</w:t>
      </w:r>
    </w:p>
    <w:p>
      <w:pPr>
        <w:spacing w:line="360" w:lineRule="auto"/>
        <w:ind w:firstLine="426" w:firstLineChars="177"/>
        <w:rPr>
          <w:rFonts w:hint="eastAsia" w:ascii="宋体" w:hAnsi="宋体" w:eastAsia="宋体" w:cs="宋体"/>
          <w:b/>
          <w:sz w:val="24"/>
        </w:rPr>
      </w:pPr>
      <w:r>
        <w:rPr>
          <w:rFonts w:hint="eastAsia" w:ascii="宋体" w:hAnsi="宋体" w:eastAsia="宋体" w:cs="宋体"/>
          <w:b/>
          <w:sz w:val="24"/>
        </w:rPr>
        <w:t>（7）仅提交“备份投标文件”的；</w:t>
      </w:r>
    </w:p>
    <w:p>
      <w:pPr>
        <w:spacing w:line="360" w:lineRule="auto"/>
        <w:ind w:firstLine="426" w:firstLineChars="177"/>
        <w:rPr>
          <w:rFonts w:hint="eastAsia" w:ascii="宋体" w:hAnsi="宋体" w:eastAsia="宋体" w:cs="宋体"/>
          <w:b/>
          <w:sz w:val="24"/>
        </w:rPr>
      </w:pPr>
      <w:r>
        <w:rPr>
          <w:rFonts w:hint="eastAsia" w:ascii="宋体" w:hAnsi="宋体" w:eastAsia="宋体" w:cs="宋体"/>
          <w:b/>
          <w:sz w:val="24"/>
        </w:rPr>
        <w:t>（8）投标文件组成内容不齐全，本招标文件规定必须提供而未提供的（属于资格审查范围的除外）；</w:t>
      </w:r>
    </w:p>
    <w:p>
      <w:pPr>
        <w:spacing w:line="360" w:lineRule="auto"/>
        <w:ind w:firstLine="426" w:firstLineChars="177"/>
        <w:rPr>
          <w:rFonts w:hint="eastAsia" w:ascii="宋体" w:hAnsi="宋体" w:eastAsia="宋体" w:cs="宋体"/>
          <w:b/>
          <w:sz w:val="24"/>
        </w:rPr>
      </w:pPr>
      <w:r>
        <w:rPr>
          <w:rFonts w:hint="eastAsia" w:ascii="宋体" w:hAnsi="宋体" w:eastAsia="宋体" w:cs="宋体"/>
          <w:b/>
          <w:sz w:val="24"/>
        </w:rPr>
        <w:t>（9）投标文件标注的响应或偏离情况与事实不符，或提供了虚假材料的；</w:t>
      </w:r>
    </w:p>
    <w:p>
      <w:pPr>
        <w:spacing w:line="360" w:lineRule="auto"/>
        <w:ind w:firstLine="426" w:firstLineChars="177"/>
        <w:rPr>
          <w:rFonts w:hint="eastAsia" w:ascii="宋体" w:hAnsi="宋体" w:eastAsia="宋体" w:cs="宋体"/>
          <w:b/>
          <w:sz w:val="24"/>
        </w:rPr>
      </w:pPr>
      <w:r>
        <w:rPr>
          <w:rFonts w:hint="eastAsia" w:ascii="宋体" w:hAnsi="宋体" w:eastAsia="宋体" w:cs="宋体"/>
          <w:b/>
          <w:sz w:val="24"/>
        </w:rPr>
        <w:t>（10）不响应或擅自改变本招标文件要求或投标文件有采购人不能接受的附加条件的；</w:t>
      </w:r>
    </w:p>
    <w:p>
      <w:pPr>
        <w:shd w:val="clear" w:color="auto" w:fill="FFFFFF"/>
        <w:autoSpaceDE w:val="0"/>
        <w:autoSpaceDN w:val="0"/>
        <w:snapToGri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sz w:val="24"/>
        </w:rPr>
        <w:t>（11）</w:t>
      </w:r>
      <w:r>
        <w:rPr>
          <w:rFonts w:hint="eastAsia" w:ascii="宋体" w:hAnsi="宋体" w:eastAsia="宋体" w:cs="宋体"/>
          <w:b/>
          <w:color w:val="000000"/>
          <w:sz w:val="24"/>
        </w:rPr>
        <w:t>评审委员会认为供应商报价明显低于其他合格供应商的报价，有可能影响产品质量或者不能诚信履约的，应当要求其在合理时间内提供书面说明，必要时提供相关证明材料；投标人不能证明其报价合理性的，评审委员会应当将其作为无效投标或者无效响应处理；</w:t>
      </w:r>
    </w:p>
    <w:p>
      <w:pPr>
        <w:spacing w:line="360" w:lineRule="auto"/>
        <w:ind w:firstLine="426" w:firstLineChars="177"/>
        <w:rPr>
          <w:rFonts w:hint="eastAsia" w:ascii="宋体" w:hAnsi="宋体" w:eastAsia="宋体" w:cs="宋体"/>
          <w:b/>
          <w:color w:val="000000"/>
          <w:kern w:val="0"/>
          <w:sz w:val="24"/>
        </w:rPr>
      </w:pPr>
      <w:r>
        <w:rPr>
          <w:rFonts w:hint="eastAsia" w:ascii="宋体" w:hAnsi="宋体" w:eastAsia="宋体" w:cs="宋体"/>
          <w:b/>
          <w:sz w:val="24"/>
        </w:rPr>
        <w:t>（12）违反国家或政府部门相关法律、法规、文件规定的。</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（九）投标文件的评估、比较、评分</w:t>
      </w:r>
    </w:p>
    <w:p>
      <w:pPr>
        <w:spacing w:line="360" w:lineRule="auto"/>
        <w:ind w:firstLine="424" w:firstLineChars="177"/>
        <w:rPr>
          <w:rFonts w:hint="eastAsia" w:ascii="宋体" w:hAnsi="宋体" w:eastAsia="宋体" w:cs="宋体"/>
          <w:color w:val="000000"/>
          <w:kern w:val="0"/>
          <w:sz w:val="24"/>
        </w:rPr>
      </w:pPr>
      <w:r>
        <w:rPr>
          <w:rFonts w:hint="eastAsia" w:ascii="宋体" w:hAnsi="宋体" w:eastAsia="宋体" w:cs="宋体"/>
          <w:color w:val="000000"/>
          <w:kern w:val="0"/>
          <w:sz w:val="24"/>
        </w:rPr>
        <w:t>9.1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评审细则详见本章第十三款。</w:t>
      </w:r>
    </w:p>
    <w:p>
      <w:pPr>
        <w:spacing w:line="360" w:lineRule="auto"/>
        <w:ind w:firstLine="424" w:firstLineChars="177"/>
        <w:rPr>
          <w:rFonts w:hint="eastAsia" w:ascii="宋体" w:hAnsi="宋体" w:eastAsia="宋体" w:cs="宋体"/>
          <w:color w:val="000000"/>
          <w:kern w:val="0"/>
          <w:sz w:val="24"/>
        </w:rPr>
      </w:pPr>
      <w:r>
        <w:rPr>
          <w:rFonts w:hint="eastAsia" w:ascii="宋体" w:hAnsi="宋体" w:eastAsia="宋体" w:cs="宋体"/>
          <w:color w:val="000000"/>
          <w:kern w:val="0"/>
          <w:sz w:val="24"/>
        </w:rPr>
        <w:t>9.2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（十）修改评审结果</w:t>
      </w:r>
    </w:p>
    <w:p>
      <w:pPr>
        <w:spacing w:line="360" w:lineRule="auto"/>
        <w:ind w:firstLine="487" w:firstLineChars="202"/>
        <w:rPr>
          <w:rFonts w:hint="eastAsia" w:ascii="宋体" w:hAnsi="宋体" w:eastAsia="宋体" w:cs="宋体"/>
          <w:b/>
          <w:color w:val="000000"/>
          <w:sz w:val="24"/>
        </w:rPr>
      </w:pPr>
      <w:r>
        <w:rPr>
          <w:rFonts w:hint="eastAsia" w:ascii="宋体" w:hAnsi="宋体" w:eastAsia="宋体" w:cs="宋体"/>
          <w:b/>
          <w:color w:val="000000"/>
          <w:sz w:val="24"/>
        </w:rPr>
        <w:t>10.1评标结果汇总完成后，除下列情形外，任何人不得修改评标结果：</w:t>
      </w:r>
    </w:p>
    <w:p>
      <w:pPr>
        <w:spacing w:line="360" w:lineRule="auto"/>
        <w:ind w:firstLine="484" w:firstLineChars="202"/>
        <w:rPr>
          <w:rFonts w:hint="eastAsia" w:ascii="宋体" w:hAnsi="宋体" w:eastAsia="宋体" w:cs="宋体"/>
          <w:color w:val="000000"/>
          <w:sz w:val="24"/>
        </w:rPr>
      </w:pPr>
      <w:r>
        <w:rPr>
          <w:rFonts w:hint="eastAsia" w:ascii="宋体" w:hAnsi="宋体" w:eastAsia="宋体" w:cs="宋体"/>
          <w:color w:val="000000"/>
          <w:sz w:val="24"/>
        </w:rPr>
        <w:t>（1）分值汇总计算错误的；</w:t>
      </w:r>
    </w:p>
    <w:p>
      <w:pPr>
        <w:spacing w:line="360" w:lineRule="auto"/>
        <w:ind w:firstLine="484" w:firstLineChars="202"/>
        <w:rPr>
          <w:rFonts w:hint="eastAsia" w:ascii="宋体" w:hAnsi="宋体" w:eastAsia="宋体" w:cs="宋体"/>
          <w:color w:val="000000"/>
          <w:sz w:val="24"/>
        </w:rPr>
      </w:pPr>
      <w:r>
        <w:rPr>
          <w:rFonts w:hint="eastAsia" w:ascii="宋体" w:hAnsi="宋体" w:eastAsia="宋体" w:cs="宋体"/>
          <w:color w:val="000000"/>
          <w:sz w:val="24"/>
        </w:rPr>
        <w:t>（2）分项评分超出评分标准范围的；</w:t>
      </w:r>
    </w:p>
    <w:p>
      <w:pPr>
        <w:spacing w:line="360" w:lineRule="auto"/>
        <w:ind w:firstLine="484" w:firstLineChars="202"/>
        <w:rPr>
          <w:rFonts w:hint="eastAsia" w:ascii="宋体" w:hAnsi="宋体" w:eastAsia="宋体" w:cs="宋体"/>
          <w:color w:val="000000"/>
          <w:sz w:val="24"/>
        </w:rPr>
      </w:pPr>
      <w:r>
        <w:rPr>
          <w:rFonts w:hint="eastAsia" w:ascii="宋体" w:hAnsi="宋体" w:eastAsia="宋体" w:cs="宋体"/>
          <w:color w:val="000000"/>
          <w:sz w:val="24"/>
        </w:rPr>
        <w:t>（3）评标委员会成员对客观评审因素评分不一致的；</w:t>
      </w:r>
    </w:p>
    <w:p>
      <w:pPr>
        <w:spacing w:line="360" w:lineRule="auto"/>
        <w:ind w:firstLine="484" w:firstLineChars="202"/>
        <w:rPr>
          <w:rFonts w:hint="eastAsia" w:ascii="宋体" w:hAnsi="宋体" w:eastAsia="宋体" w:cs="宋体"/>
          <w:color w:val="000000"/>
          <w:sz w:val="24"/>
        </w:rPr>
      </w:pPr>
      <w:r>
        <w:rPr>
          <w:rFonts w:hint="eastAsia" w:ascii="宋体" w:hAnsi="宋体" w:eastAsia="宋体" w:cs="宋体"/>
          <w:color w:val="000000"/>
          <w:sz w:val="24"/>
        </w:rPr>
        <w:t>（4）经评标委员会认定评分畸高、畸低的。</w:t>
      </w:r>
    </w:p>
    <w:p>
      <w:pPr>
        <w:spacing w:line="360" w:lineRule="auto"/>
        <w:ind w:firstLine="487" w:firstLineChars="202"/>
        <w:rPr>
          <w:rFonts w:hint="eastAsia" w:ascii="宋体" w:hAnsi="宋体" w:eastAsia="宋体" w:cs="宋体"/>
          <w:b/>
          <w:color w:val="000000"/>
          <w:sz w:val="24"/>
        </w:rPr>
      </w:pPr>
      <w:r>
        <w:rPr>
          <w:rFonts w:hint="eastAsia" w:ascii="宋体" w:hAnsi="宋体" w:eastAsia="宋体" w:cs="宋体"/>
          <w:b/>
          <w:color w:val="000000"/>
          <w:sz w:val="24"/>
        </w:rPr>
        <w:t>10.2评标报告签署前，经复核发现存在以上情形之一的，评标委员会将当场修改评标结果，并在评标报告中记载。</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（十一）供应商排序及推荐中标（成交）候选供应商</w:t>
      </w:r>
    </w:p>
    <w:p>
      <w:pPr>
        <w:spacing w:line="360" w:lineRule="auto"/>
        <w:ind w:firstLine="426" w:firstLineChars="177"/>
        <w:rPr>
          <w:rFonts w:hint="eastAsia" w:ascii="宋体" w:hAnsi="宋体" w:eastAsia="宋体" w:cs="宋体"/>
          <w:b/>
          <w:color w:val="000000"/>
          <w:sz w:val="24"/>
        </w:rPr>
      </w:pPr>
      <w:r>
        <w:rPr>
          <w:rFonts w:hint="eastAsia" w:ascii="宋体" w:hAnsi="宋体" w:eastAsia="宋体" w:cs="宋体"/>
          <w:b/>
          <w:color w:val="000000"/>
          <w:sz w:val="24"/>
        </w:rPr>
        <w:t>评标委员会根据以下规定确定供应商排名并推荐中标（成交）候选供应商。</w:t>
      </w:r>
    </w:p>
    <w:p>
      <w:pPr>
        <w:spacing w:line="360" w:lineRule="auto"/>
        <w:ind w:firstLine="465" w:firstLineChars="193"/>
        <w:rPr>
          <w:rFonts w:hint="eastAsia" w:ascii="宋体" w:hAnsi="宋体" w:eastAsia="宋体" w:cs="宋体"/>
          <w:color w:val="000000"/>
          <w:kern w:val="0"/>
          <w:sz w:val="24"/>
        </w:rPr>
      </w:pPr>
      <w:r>
        <w:rPr>
          <w:rFonts w:hint="eastAsia" w:ascii="宋体" w:hAnsi="宋体" w:eastAsia="宋体" w:cs="宋体"/>
          <w:b/>
          <w:color w:val="000000"/>
          <w:sz w:val="24"/>
        </w:rPr>
        <w:t>11.1评标委员会根据各投标供应商的综合得分（商务技术分与报价得分之和）从高到低依次进行排名排序。特殊情形按以下原则处理：</w:t>
      </w:r>
    </w:p>
    <w:p>
      <w:pPr>
        <w:spacing w:line="360" w:lineRule="auto"/>
        <w:ind w:firstLine="463" w:firstLineChars="193"/>
        <w:rPr>
          <w:rFonts w:hint="eastAsia" w:ascii="宋体" w:hAnsi="宋体" w:eastAsia="宋体" w:cs="宋体"/>
          <w:color w:val="000000"/>
          <w:sz w:val="24"/>
        </w:rPr>
      </w:pPr>
      <w:r>
        <w:rPr>
          <w:rFonts w:hint="eastAsia" w:ascii="宋体" w:hAnsi="宋体" w:eastAsia="宋体" w:cs="宋体"/>
          <w:color w:val="000000"/>
          <w:sz w:val="24"/>
        </w:rPr>
        <w:t>（1）综合得分相同的，按投标报价低的优先原则确定排名；</w:t>
      </w:r>
    </w:p>
    <w:p>
      <w:pPr>
        <w:spacing w:line="360" w:lineRule="auto"/>
        <w:ind w:firstLine="463" w:firstLineChars="193"/>
        <w:rPr>
          <w:rFonts w:hint="eastAsia" w:ascii="宋体" w:hAnsi="宋体" w:eastAsia="宋体" w:cs="宋体"/>
          <w:color w:val="000000"/>
          <w:sz w:val="24"/>
        </w:rPr>
      </w:pPr>
      <w:r>
        <w:rPr>
          <w:rFonts w:hint="eastAsia" w:ascii="宋体" w:hAnsi="宋体" w:eastAsia="宋体" w:cs="宋体"/>
          <w:color w:val="000000"/>
          <w:sz w:val="24"/>
        </w:rPr>
        <w:t>（2）综合得分和投标报价均相同的，按商务技术得分从高到低确定排名；</w:t>
      </w:r>
    </w:p>
    <w:p>
      <w:pPr>
        <w:spacing w:line="360" w:lineRule="auto"/>
        <w:ind w:firstLine="463" w:firstLineChars="193"/>
        <w:rPr>
          <w:rFonts w:hint="eastAsia" w:ascii="宋体" w:hAnsi="宋体" w:eastAsia="宋体" w:cs="宋体"/>
          <w:color w:val="000000"/>
          <w:sz w:val="24"/>
        </w:rPr>
      </w:pPr>
      <w:r>
        <w:rPr>
          <w:rFonts w:hint="eastAsia" w:ascii="宋体" w:hAnsi="宋体" w:eastAsia="宋体" w:cs="宋体"/>
          <w:color w:val="000000"/>
          <w:sz w:val="24"/>
        </w:rPr>
        <w:t>（3）综合得分、投标报价和商务技术得分均相同的由评标委员会全体成员记名投票按少数服从多数的原则确定排名。</w:t>
      </w:r>
    </w:p>
    <w:p>
      <w:pPr>
        <w:spacing w:line="360" w:lineRule="auto"/>
        <w:ind w:firstLine="426" w:firstLineChars="177"/>
        <w:rPr>
          <w:rFonts w:hint="eastAsia" w:ascii="宋体" w:hAnsi="宋体" w:eastAsia="宋体" w:cs="宋体"/>
          <w:b/>
          <w:color w:val="000000"/>
          <w:sz w:val="24"/>
        </w:rPr>
      </w:pPr>
      <w:r>
        <w:rPr>
          <w:rFonts w:hint="eastAsia" w:ascii="宋体" w:hAnsi="宋体" w:eastAsia="宋体" w:cs="宋体"/>
          <w:b/>
          <w:color w:val="000000"/>
          <w:sz w:val="24"/>
        </w:rPr>
        <w:t>11.2根据最终得分排序，通过书面评审报告的形式，向采购人推荐</w:t>
      </w:r>
      <w:r>
        <w:rPr>
          <w:rFonts w:hint="eastAsia" w:ascii="宋体" w:hAnsi="宋体" w:eastAsia="宋体" w:cs="宋体"/>
          <w:b/>
          <w:color w:val="000000"/>
          <w:kern w:val="0"/>
          <w:sz w:val="24"/>
        </w:rPr>
        <w:t>排名第一的投标供应商为中标（成交）候选供应商</w:t>
      </w:r>
      <w:r>
        <w:rPr>
          <w:rFonts w:hint="eastAsia" w:ascii="宋体" w:hAnsi="宋体" w:eastAsia="宋体" w:cs="宋体"/>
          <w:b/>
          <w:color w:val="000000"/>
          <w:sz w:val="24"/>
        </w:rPr>
        <w:t>。</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（十二）起草、签署评审报告</w:t>
      </w:r>
    </w:p>
    <w:p>
      <w:pPr>
        <w:spacing w:line="360" w:lineRule="auto"/>
        <w:ind w:firstLine="463" w:firstLineChars="193"/>
        <w:rPr>
          <w:rFonts w:hint="eastAsia" w:ascii="宋体" w:hAnsi="宋体" w:eastAsia="宋体" w:cs="宋体"/>
          <w:color w:val="000000"/>
          <w:sz w:val="24"/>
        </w:rPr>
      </w:pPr>
      <w:r>
        <w:rPr>
          <w:rFonts w:hint="eastAsia" w:ascii="宋体" w:hAnsi="宋体" w:eastAsia="宋体" w:cs="宋体"/>
          <w:color w:val="000000"/>
          <w:sz w:val="24"/>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9"/>
        <w:snapToGrid w:val="0"/>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（十三）评标办法</w:t>
      </w:r>
    </w:p>
    <w:p>
      <w:pPr>
        <w:snapToGrid w:val="0"/>
        <w:spacing w:line="360" w:lineRule="auto"/>
        <w:ind w:firstLine="482" w:firstLineChars="20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w:t>
      </w:r>
      <w:r>
        <w:rPr>
          <w:rFonts w:hint="eastAsia" w:ascii="宋体" w:hAnsi="宋体" w:eastAsia="宋体" w:cs="宋体"/>
          <w:b/>
          <w:color w:val="000000" w:themeColor="text1"/>
          <w:sz w:val="24"/>
          <w:highlight w:val="none"/>
          <w14:textFill>
            <w14:solidFill>
              <w14:schemeClr w14:val="tx1"/>
            </w14:solidFill>
          </w14:textFill>
        </w:rPr>
        <w:t>本项目采用综合评分法</w:t>
      </w:r>
      <w:r>
        <w:rPr>
          <w:rFonts w:hint="eastAsia" w:ascii="宋体" w:hAnsi="宋体" w:eastAsia="宋体" w:cs="宋体"/>
          <w:color w:val="000000" w:themeColor="text1"/>
          <w:sz w:val="24"/>
          <w:highlight w:val="none"/>
          <w14:textFill>
            <w14:solidFill>
              <w14:schemeClr w14:val="tx1"/>
            </w14:solidFill>
          </w14:textFill>
        </w:rPr>
        <w:t>，总分为100分，其中商务、技术</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lang w:val="en-US"/>
          <w14:textFill>
            <w14:solidFill>
              <w14:schemeClr w14:val="tx1"/>
            </w14:solidFill>
          </w14:textFill>
        </w:rPr>
        <w:t>0</w:t>
      </w:r>
      <w:r>
        <w:rPr>
          <w:rFonts w:hint="eastAsia" w:ascii="宋体" w:hAnsi="宋体" w:eastAsia="宋体" w:cs="宋体"/>
          <w:color w:val="000000" w:themeColor="text1"/>
          <w:sz w:val="24"/>
          <w:highlight w:val="none"/>
          <w14:textFill>
            <w14:solidFill>
              <w14:schemeClr w14:val="tx1"/>
            </w14:solidFill>
          </w14:textFill>
        </w:rPr>
        <w:t>分，价格分</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0分。</w:t>
      </w:r>
    </w:p>
    <w:p>
      <w:pPr>
        <w:pStyle w:val="32"/>
        <w:snapToGrid w:val="0"/>
        <w:ind w:left="480" w:firstLine="0" w:firstLineChars="0"/>
        <w:rPr>
          <w:rFonts w:hint="eastAsia" w:ascii="宋体" w:hAnsi="宋体" w:eastAsia="宋体" w:cs="宋体"/>
          <w:b/>
          <w:color w:val="000000"/>
        </w:rPr>
      </w:pPr>
      <w:r>
        <w:rPr>
          <w:rFonts w:hint="eastAsia" w:ascii="宋体" w:hAnsi="宋体" w:eastAsia="宋体" w:cs="宋体"/>
          <w:b/>
          <w:color w:val="000000"/>
        </w:rPr>
        <w:t>2、</w:t>
      </w:r>
      <w:r>
        <w:rPr>
          <w:rFonts w:hint="eastAsia" w:ascii="宋体" w:hAnsi="宋体" w:eastAsia="宋体" w:cs="宋体"/>
          <w:b/>
        </w:rPr>
        <w:t xml:space="preserve"> </w:t>
      </w:r>
      <w:r>
        <w:rPr>
          <w:rFonts w:hint="eastAsia" w:ascii="宋体" w:hAnsi="宋体" w:eastAsia="宋体" w:cs="宋体"/>
          <w:b/>
          <w:color w:val="000000"/>
        </w:rPr>
        <w:t>评分细则如下：</w:t>
      </w:r>
      <w:r>
        <w:rPr>
          <w:rFonts w:hint="eastAsia" w:ascii="宋体" w:hAnsi="宋体" w:eastAsia="宋体" w:cs="宋体"/>
          <w:b/>
          <w:color w:val="000000"/>
          <w:szCs w:val="24"/>
        </w:rPr>
        <w:t>：</w:t>
      </w:r>
    </w:p>
    <w:tbl>
      <w:tblPr>
        <w:tblStyle w:val="16"/>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020"/>
        <w:gridCol w:w="7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7" w:type="dxa"/>
            <w:noWrap w:val="0"/>
            <w:vAlign w:val="center"/>
          </w:tcPr>
          <w:p>
            <w:pPr>
              <w:spacing w:line="276" w:lineRule="auto"/>
              <w:jc w:val="center"/>
              <w:rPr>
                <w:rFonts w:hint="eastAsia" w:ascii="宋体" w:hAnsi="宋体" w:eastAsia="宋体" w:cs="宋体"/>
                <w:b/>
                <w:kern w:val="0"/>
                <w:szCs w:val="21"/>
              </w:rPr>
            </w:pPr>
            <w:r>
              <w:rPr>
                <w:rFonts w:hint="eastAsia" w:ascii="宋体" w:hAnsi="宋体" w:eastAsia="宋体" w:cs="宋体"/>
                <w:b/>
                <w:szCs w:val="21"/>
              </w:rPr>
              <w:t>评标项目</w:t>
            </w:r>
          </w:p>
        </w:tc>
        <w:tc>
          <w:tcPr>
            <w:tcW w:w="1020" w:type="dxa"/>
            <w:noWrap w:val="0"/>
            <w:vAlign w:val="center"/>
          </w:tcPr>
          <w:p>
            <w:pPr>
              <w:spacing w:line="276" w:lineRule="auto"/>
              <w:jc w:val="center"/>
              <w:rPr>
                <w:rFonts w:hint="eastAsia" w:ascii="宋体" w:hAnsi="宋体" w:eastAsia="宋体" w:cs="宋体"/>
                <w:b/>
                <w:kern w:val="0"/>
                <w:szCs w:val="21"/>
              </w:rPr>
            </w:pPr>
            <w:r>
              <w:rPr>
                <w:rFonts w:hint="eastAsia" w:ascii="宋体" w:hAnsi="宋体" w:eastAsia="宋体" w:cs="宋体"/>
                <w:b/>
                <w:szCs w:val="21"/>
              </w:rPr>
              <w:t>分值</w:t>
            </w:r>
          </w:p>
        </w:tc>
        <w:tc>
          <w:tcPr>
            <w:tcW w:w="7987" w:type="dxa"/>
            <w:noWrap w:val="0"/>
            <w:vAlign w:val="center"/>
          </w:tcPr>
          <w:p>
            <w:pPr>
              <w:adjustRightInd w:val="0"/>
              <w:spacing w:line="276" w:lineRule="auto"/>
              <w:jc w:val="center"/>
              <w:rPr>
                <w:rFonts w:hint="eastAsia" w:ascii="宋体" w:hAnsi="宋体" w:eastAsia="宋体" w:cs="宋体"/>
                <w:b/>
                <w:kern w:val="0"/>
                <w:szCs w:val="21"/>
              </w:rPr>
            </w:pPr>
            <w:r>
              <w:rPr>
                <w:rFonts w:hint="eastAsia" w:ascii="宋体" w:hAnsi="宋体" w:eastAsia="宋体" w:cs="宋体"/>
                <w:b/>
                <w:szCs w:val="21"/>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777" w:type="dxa"/>
            <w:vMerge w:val="restart"/>
            <w:noWrap w:val="0"/>
            <w:vAlign w:val="center"/>
          </w:tcPr>
          <w:p>
            <w:pPr>
              <w:spacing w:line="276" w:lineRule="auto"/>
              <w:jc w:val="center"/>
              <w:rPr>
                <w:rFonts w:hint="eastAsia" w:ascii="宋体" w:hAnsi="宋体" w:eastAsia="宋体" w:cs="宋体"/>
                <w:szCs w:val="21"/>
              </w:rPr>
            </w:pPr>
            <w:r>
              <w:rPr>
                <w:rFonts w:hint="eastAsia" w:ascii="宋体" w:hAnsi="宋体" w:eastAsia="宋体" w:cs="宋体"/>
                <w:szCs w:val="21"/>
                <w:lang w:eastAsia="zh-CN"/>
              </w:rPr>
              <w:t>商务资信</w:t>
            </w:r>
            <w:r>
              <w:rPr>
                <w:rFonts w:hint="eastAsia" w:ascii="宋体" w:hAnsi="宋体" w:eastAsia="宋体" w:cs="宋体"/>
                <w:szCs w:val="21"/>
              </w:rPr>
              <w:t>部分</w:t>
            </w:r>
          </w:p>
          <w:p>
            <w:pPr>
              <w:spacing w:line="276" w:lineRule="auto"/>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15</w:t>
            </w:r>
            <w:r>
              <w:rPr>
                <w:rFonts w:hint="eastAsia" w:ascii="宋体" w:hAnsi="宋体" w:eastAsia="宋体" w:cs="宋体"/>
                <w:szCs w:val="21"/>
              </w:rPr>
              <w:t>分)</w:t>
            </w:r>
          </w:p>
        </w:tc>
        <w:tc>
          <w:tcPr>
            <w:tcW w:w="1020" w:type="dxa"/>
            <w:noWrap w:val="0"/>
            <w:vAlign w:val="center"/>
          </w:tcPr>
          <w:p>
            <w:pPr>
              <w:spacing w:line="276" w:lineRule="auto"/>
              <w:jc w:val="center"/>
              <w:rPr>
                <w:rFonts w:hint="eastAsia" w:ascii="宋体" w:hAnsi="宋体" w:eastAsia="宋体" w:cs="宋体"/>
                <w:szCs w:val="21"/>
              </w:rPr>
            </w:pPr>
            <w:r>
              <w:rPr>
                <w:rFonts w:hint="eastAsia" w:ascii="宋体" w:hAnsi="宋体" w:eastAsia="宋体" w:cs="宋体"/>
                <w:kern w:val="0"/>
              </w:rPr>
              <w:t>0-3分</w:t>
            </w:r>
          </w:p>
        </w:tc>
        <w:tc>
          <w:tcPr>
            <w:tcW w:w="7987" w:type="dxa"/>
            <w:noWrap w:val="0"/>
            <w:vAlign w:val="center"/>
          </w:tcPr>
          <w:p>
            <w:pPr>
              <w:spacing w:line="276" w:lineRule="auto"/>
              <w:rPr>
                <w:rFonts w:hint="eastAsia" w:ascii="宋体" w:hAnsi="宋体" w:eastAsia="宋体" w:cs="宋体"/>
                <w:szCs w:val="21"/>
              </w:rPr>
            </w:pPr>
            <w:r>
              <w:rPr>
                <w:rFonts w:hint="eastAsia" w:ascii="宋体" w:hAnsi="宋体" w:eastAsia="宋体" w:cs="宋体"/>
                <w:kern w:val="0"/>
              </w:rPr>
              <w:t>投标人具有质量管理体系认证，环境管理体系认证，职业健康管理体系认证的每个得1分,最高得3分，没有不得分。（认证范围须包括智能有机质垃圾处理设备和水处理设备，否则不得分）。（</w:t>
            </w:r>
            <w:r>
              <w:rPr>
                <w:rFonts w:hint="eastAsia" w:ascii="宋体" w:hAnsi="宋体" w:eastAsia="宋体" w:cs="宋体"/>
                <w:b/>
                <w:bCs/>
                <w:kern w:val="0"/>
                <w:lang w:eastAsia="zh-CN"/>
              </w:rPr>
              <w:t>提供扫描件并加盖有效公章</w:t>
            </w:r>
            <w:r>
              <w:rPr>
                <w:rFonts w:hint="eastAsia" w:ascii="宋体" w:hAnsi="宋体" w:eastAsia="宋体" w:cs="宋体"/>
                <w:b/>
                <w:bCs/>
                <w:kern w:val="0"/>
              </w:rPr>
              <w:t>，不提供不得分，须可在全国认证认可信息公共服务平台查询，且证书有效</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77" w:type="dxa"/>
            <w:vMerge w:val="continue"/>
            <w:noWrap w:val="0"/>
            <w:vAlign w:val="center"/>
          </w:tcPr>
          <w:p>
            <w:pPr>
              <w:spacing w:line="276" w:lineRule="auto"/>
              <w:jc w:val="center"/>
              <w:rPr>
                <w:rFonts w:hint="eastAsia" w:ascii="宋体" w:hAnsi="宋体" w:eastAsia="宋体" w:cs="宋体"/>
                <w:szCs w:val="21"/>
              </w:rPr>
            </w:pPr>
          </w:p>
        </w:tc>
        <w:tc>
          <w:tcPr>
            <w:tcW w:w="1020" w:type="dxa"/>
            <w:noWrap w:val="0"/>
            <w:vAlign w:val="center"/>
          </w:tcPr>
          <w:p>
            <w:pPr>
              <w:spacing w:line="276" w:lineRule="auto"/>
              <w:jc w:val="center"/>
              <w:rPr>
                <w:rFonts w:hint="eastAsia" w:ascii="宋体" w:hAnsi="宋体" w:eastAsia="宋体" w:cs="宋体"/>
                <w:szCs w:val="21"/>
              </w:rPr>
            </w:pPr>
            <w:r>
              <w:rPr>
                <w:rFonts w:hint="eastAsia" w:ascii="宋体" w:hAnsi="宋体" w:eastAsia="宋体" w:cs="宋体"/>
                <w:kern w:val="0"/>
              </w:rPr>
              <w:t>0-3分</w:t>
            </w:r>
          </w:p>
        </w:tc>
        <w:tc>
          <w:tcPr>
            <w:tcW w:w="7987" w:type="dxa"/>
            <w:noWrap w:val="0"/>
            <w:vAlign w:val="center"/>
          </w:tcPr>
          <w:p>
            <w:pPr>
              <w:spacing w:line="276" w:lineRule="auto"/>
              <w:rPr>
                <w:rFonts w:hint="eastAsia" w:ascii="宋体" w:hAnsi="宋体" w:eastAsia="宋体" w:cs="宋体"/>
                <w:szCs w:val="21"/>
              </w:rPr>
            </w:pPr>
            <w:r>
              <w:rPr>
                <w:rFonts w:hint="eastAsia" w:ascii="宋体" w:hAnsi="宋体" w:eastAsia="宋体" w:cs="宋体"/>
                <w:kern w:val="0"/>
              </w:rPr>
              <w:t>投标人具有ISO27001信息安全管理体系认证证书，ISO20000信息技术服务管理体系认证证书，每个得1.5分，最高得3分（认证范围须包括垃圾处理设备的运维服务，否则不得分）。（</w:t>
            </w:r>
            <w:r>
              <w:rPr>
                <w:rFonts w:hint="eastAsia" w:ascii="宋体" w:hAnsi="宋体" w:eastAsia="宋体" w:cs="宋体"/>
                <w:b/>
                <w:bCs/>
                <w:kern w:val="0"/>
                <w:lang w:eastAsia="zh-CN"/>
              </w:rPr>
              <w:t>提供扫描件并加盖有效公章</w:t>
            </w:r>
            <w:r>
              <w:rPr>
                <w:rFonts w:hint="eastAsia" w:ascii="宋体" w:hAnsi="宋体" w:eastAsia="宋体" w:cs="宋体"/>
                <w:b/>
                <w:bCs/>
                <w:kern w:val="0"/>
              </w:rPr>
              <w:t>，不提供不得分，须可在全国认证认可信息公共服务平台查询，且证书有效</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77" w:type="dxa"/>
            <w:vMerge w:val="continue"/>
            <w:noWrap w:val="0"/>
            <w:vAlign w:val="center"/>
          </w:tcPr>
          <w:p>
            <w:pPr>
              <w:spacing w:line="276" w:lineRule="auto"/>
              <w:jc w:val="center"/>
              <w:rPr>
                <w:rFonts w:hint="eastAsia" w:ascii="宋体" w:hAnsi="宋体" w:eastAsia="宋体" w:cs="宋体"/>
                <w:szCs w:val="21"/>
              </w:rPr>
            </w:pPr>
          </w:p>
        </w:tc>
        <w:tc>
          <w:tcPr>
            <w:tcW w:w="1020" w:type="dxa"/>
            <w:noWrap w:val="0"/>
            <w:vAlign w:val="center"/>
          </w:tcPr>
          <w:p>
            <w:pPr>
              <w:spacing w:line="276" w:lineRule="auto"/>
              <w:jc w:val="center"/>
              <w:rPr>
                <w:rFonts w:hint="eastAsia" w:ascii="宋体" w:hAnsi="宋体" w:eastAsia="宋体" w:cs="宋体"/>
                <w:szCs w:val="21"/>
              </w:rPr>
            </w:pPr>
            <w:r>
              <w:rPr>
                <w:rFonts w:hint="eastAsia" w:ascii="宋体" w:hAnsi="宋体" w:eastAsia="宋体" w:cs="宋体"/>
                <w:kern w:val="0"/>
              </w:rPr>
              <w:t>0-</w:t>
            </w:r>
            <w:r>
              <w:rPr>
                <w:rFonts w:hint="eastAsia" w:ascii="宋体" w:hAnsi="宋体" w:eastAsia="宋体" w:cs="宋体"/>
                <w:kern w:val="0"/>
                <w:lang w:val="en-US" w:eastAsia="zh-CN"/>
              </w:rPr>
              <w:t>3</w:t>
            </w:r>
            <w:r>
              <w:rPr>
                <w:rFonts w:hint="eastAsia" w:ascii="宋体" w:hAnsi="宋体" w:eastAsia="宋体" w:cs="宋体"/>
                <w:kern w:val="0"/>
              </w:rPr>
              <w:t>分</w:t>
            </w:r>
          </w:p>
        </w:tc>
        <w:tc>
          <w:tcPr>
            <w:tcW w:w="7987" w:type="dxa"/>
            <w:noWrap w:val="0"/>
            <w:vAlign w:val="center"/>
          </w:tcPr>
          <w:p>
            <w:pPr>
              <w:spacing w:line="276" w:lineRule="auto"/>
              <w:rPr>
                <w:rFonts w:hint="eastAsia" w:ascii="宋体" w:hAnsi="宋体" w:eastAsia="宋体" w:cs="宋体"/>
              </w:rPr>
            </w:pPr>
            <w:r>
              <w:rPr>
                <w:rFonts w:hint="eastAsia" w:ascii="宋体" w:hAnsi="宋体" w:eastAsia="宋体" w:cs="宋体"/>
                <w:kern w:val="0"/>
              </w:rPr>
              <w:t>投标人具有产品相关国家发明专利的（须在国家一级或以上科技查新单位出具的科技查新报告内体现），每提供一项得1分，最高得</w:t>
            </w:r>
            <w:r>
              <w:rPr>
                <w:rFonts w:hint="eastAsia" w:ascii="宋体" w:hAnsi="宋体" w:eastAsia="宋体" w:cs="宋体"/>
                <w:kern w:val="0"/>
                <w:lang w:val="en-US" w:eastAsia="zh-CN"/>
              </w:rPr>
              <w:t>3</w:t>
            </w:r>
            <w:r>
              <w:rPr>
                <w:rFonts w:hint="eastAsia" w:ascii="宋体" w:hAnsi="宋体" w:eastAsia="宋体" w:cs="宋体"/>
                <w:kern w:val="0"/>
              </w:rPr>
              <w:t>分。（</w:t>
            </w:r>
            <w:r>
              <w:rPr>
                <w:rFonts w:hint="eastAsia" w:ascii="宋体" w:hAnsi="宋体" w:eastAsia="宋体" w:cs="宋体"/>
                <w:b/>
                <w:bCs/>
                <w:kern w:val="0"/>
              </w:rPr>
              <w:t>提供发明专利证书及科技查新报告</w:t>
            </w:r>
            <w:r>
              <w:rPr>
                <w:rFonts w:hint="eastAsia" w:ascii="宋体" w:hAnsi="宋体" w:eastAsia="宋体" w:cs="宋体"/>
                <w:b/>
                <w:bCs/>
                <w:kern w:val="0"/>
                <w:lang w:eastAsia="zh-CN"/>
              </w:rPr>
              <w:t>扫描件并加盖有效公章</w:t>
            </w:r>
            <w:r>
              <w:rPr>
                <w:rFonts w:hint="eastAsia" w:ascii="宋体" w:hAnsi="宋体" w:eastAsia="宋体" w:cs="宋体"/>
                <w:b/>
                <w:bCs/>
                <w:kern w:val="0"/>
              </w:rPr>
              <w:t>件，不提供不得分</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77" w:type="dxa"/>
            <w:vMerge w:val="continue"/>
            <w:noWrap w:val="0"/>
            <w:vAlign w:val="center"/>
          </w:tcPr>
          <w:p>
            <w:pPr>
              <w:spacing w:line="276" w:lineRule="auto"/>
              <w:jc w:val="center"/>
              <w:rPr>
                <w:rFonts w:hint="eastAsia" w:ascii="宋体" w:hAnsi="宋体" w:eastAsia="宋体" w:cs="宋体"/>
                <w:szCs w:val="21"/>
              </w:rPr>
            </w:pPr>
          </w:p>
        </w:tc>
        <w:tc>
          <w:tcPr>
            <w:tcW w:w="1020" w:type="dxa"/>
            <w:noWrap w:val="0"/>
            <w:vAlign w:val="center"/>
          </w:tcPr>
          <w:p>
            <w:pPr>
              <w:spacing w:line="276" w:lineRule="auto"/>
              <w:jc w:val="center"/>
              <w:rPr>
                <w:rFonts w:hint="eastAsia" w:ascii="宋体" w:hAnsi="宋体" w:eastAsia="宋体" w:cs="宋体"/>
                <w:szCs w:val="21"/>
              </w:rPr>
            </w:pPr>
            <w:r>
              <w:rPr>
                <w:rFonts w:hint="eastAsia" w:ascii="宋体" w:hAnsi="宋体" w:eastAsia="宋体" w:cs="宋体"/>
                <w:kern w:val="0"/>
              </w:rPr>
              <w:t>0-2分</w:t>
            </w:r>
          </w:p>
        </w:tc>
        <w:tc>
          <w:tcPr>
            <w:tcW w:w="7987" w:type="dxa"/>
            <w:noWrap w:val="0"/>
            <w:vAlign w:val="center"/>
          </w:tcPr>
          <w:p>
            <w:pPr>
              <w:spacing w:line="276" w:lineRule="auto"/>
              <w:rPr>
                <w:rFonts w:hint="eastAsia" w:ascii="宋体" w:hAnsi="宋体" w:eastAsia="宋体" w:cs="宋体"/>
                <w:lang w:eastAsia="zh-CN"/>
              </w:rPr>
            </w:pPr>
            <w:r>
              <w:rPr>
                <w:rFonts w:hint="eastAsia" w:ascii="宋体" w:hAnsi="宋体" w:eastAsia="宋体" w:cs="宋体"/>
                <w:kern w:val="0"/>
              </w:rPr>
              <w:t>投标人具有知识产权管理体系认证证书的（</w:t>
            </w:r>
            <w:r>
              <w:rPr>
                <w:rFonts w:hint="eastAsia" w:ascii="宋体" w:hAnsi="宋体" w:eastAsia="宋体" w:cs="宋体"/>
                <w:b/>
                <w:bCs/>
                <w:kern w:val="0"/>
              </w:rPr>
              <w:t>认证范围需包含垃圾处理的环保设备），得2分。</w:t>
            </w:r>
            <w:r>
              <w:rPr>
                <w:rFonts w:hint="eastAsia" w:ascii="宋体" w:hAnsi="宋体" w:eastAsia="宋体" w:cs="宋体"/>
                <w:b/>
                <w:bCs/>
                <w:kern w:val="0"/>
                <w:lang w:eastAsia="zh-CN"/>
              </w:rPr>
              <w:t>提供扫描件并加盖有效公章，</w:t>
            </w:r>
            <w:r>
              <w:rPr>
                <w:rFonts w:hint="eastAsia" w:ascii="宋体" w:hAnsi="宋体" w:eastAsia="宋体" w:cs="宋体"/>
                <w:b/>
                <w:bCs/>
                <w:kern w:val="0"/>
              </w:rPr>
              <w:t>不提供不得分</w:t>
            </w:r>
            <w:r>
              <w:rPr>
                <w:rFonts w:hint="eastAsia" w:ascii="宋体" w:hAnsi="宋体" w:eastAsia="宋体" w:cs="宋体"/>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77" w:type="dxa"/>
            <w:vMerge w:val="continue"/>
            <w:noWrap w:val="0"/>
            <w:vAlign w:val="center"/>
          </w:tcPr>
          <w:p>
            <w:pPr>
              <w:spacing w:line="276" w:lineRule="auto"/>
              <w:jc w:val="center"/>
              <w:rPr>
                <w:rFonts w:hint="eastAsia" w:ascii="宋体" w:hAnsi="宋体" w:eastAsia="宋体" w:cs="宋体"/>
                <w:szCs w:val="21"/>
              </w:rPr>
            </w:pPr>
          </w:p>
        </w:tc>
        <w:tc>
          <w:tcPr>
            <w:tcW w:w="1020" w:type="dxa"/>
            <w:noWrap w:val="0"/>
            <w:vAlign w:val="center"/>
          </w:tcPr>
          <w:p>
            <w:pPr>
              <w:spacing w:line="276" w:lineRule="auto"/>
              <w:jc w:val="center"/>
              <w:rPr>
                <w:rFonts w:hint="eastAsia" w:ascii="宋体" w:hAnsi="宋体" w:eastAsia="宋体" w:cs="宋体"/>
                <w:szCs w:val="21"/>
              </w:rPr>
            </w:pPr>
            <w:r>
              <w:rPr>
                <w:rFonts w:hint="eastAsia" w:ascii="宋体" w:hAnsi="宋体" w:eastAsia="宋体" w:cs="宋体"/>
                <w:kern w:val="0"/>
              </w:rPr>
              <w:t>0-</w:t>
            </w:r>
            <w:r>
              <w:rPr>
                <w:rFonts w:hint="eastAsia" w:ascii="宋体" w:hAnsi="宋体" w:eastAsia="宋体" w:cs="宋体"/>
                <w:kern w:val="0"/>
                <w:lang w:val="en-US" w:eastAsia="zh-CN"/>
              </w:rPr>
              <w:t>1</w:t>
            </w:r>
            <w:r>
              <w:rPr>
                <w:rFonts w:hint="eastAsia" w:ascii="宋体" w:hAnsi="宋体" w:eastAsia="宋体" w:cs="宋体"/>
                <w:kern w:val="0"/>
              </w:rPr>
              <w:t>分</w:t>
            </w:r>
          </w:p>
        </w:tc>
        <w:tc>
          <w:tcPr>
            <w:tcW w:w="7987" w:type="dxa"/>
            <w:noWrap w:val="0"/>
            <w:vAlign w:val="center"/>
          </w:tcPr>
          <w:p>
            <w:pPr>
              <w:spacing w:line="276" w:lineRule="auto"/>
              <w:rPr>
                <w:rFonts w:hint="eastAsia" w:ascii="宋体" w:hAnsi="宋体" w:eastAsia="宋体" w:cs="宋体"/>
              </w:rPr>
            </w:pPr>
            <w:r>
              <w:rPr>
                <w:rFonts w:hint="eastAsia" w:ascii="宋体" w:hAnsi="宋体" w:eastAsia="宋体" w:cs="宋体"/>
                <w:kern w:val="0"/>
              </w:rPr>
              <w:t>投标人具有由中国质量认证中心颁发的中国环保产品（</w:t>
            </w:r>
            <w:r>
              <w:rPr>
                <w:rFonts w:hint="eastAsia" w:ascii="宋体" w:hAnsi="宋体" w:eastAsia="宋体" w:cs="宋体"/>
                <w:color w:val="333333"/>
                <w:szCs w:val="21"/>
                <w:shd w:val="clear" w:color="auto" w:fill="FFFFFF"/>
              </w:rPr>
              <w:t>II型</w:t>
            </w:r>
            <w:r>
              <w:rPr>
                <w:rFonts w:hint="eastAsia" w:ascii="宋体" w:hAnsi="宋体" w:eastAsia="宋体" w:cs="宋体"/>
                <w:kern w:val="0"/>
              </w:rPr>
              <w:t>）认证证书，且认证设备型号需涵盖本次投标的垃圾处理设备产品型号，得</w:t>
            </w:r>
            <w:r>
              <w:rPr>
                <w:rFonts w:hint="eastAsia" w:ascii="宋体" w:hAnsi="宋体" w:eastAsia="宋体" w:cs="宋体"/>
                <w:kern w:val="0"/>
                <w:lang w:val="en-US" w:eastAsia="zh-CN"/>
              </w:rPr>
              <w:t>1</w:t>
            </w:r>
            <w:r>
              <w:rPr>
                <w:rFonts w:hint="eastAsia" w:ascii="宋体" w:hAnsi="宋体" w:eastAsia="宋体" w:cs="宋体"/>
                <w:kern w:val="0"/>
              </w:rPr>
              <w:t>分。（</w:t>
            </w:r>
            <w:r>
              <w:rPr>
                <w:rFonts w:hint="eastAsia" w:ascii="宋体" w:hAnsi="宋体" w:eastAsia="宋体" w:cs="宋体"/>
                <w:b/>
                <w:bCs/>
                <w:kern w:val="0"/>
                <w:lang w:eastAsia="zh-CN"/>
              </w:rPr>
              <w:t>提供扫描件并加盖有效公章，</w:t>
            </w:r>
            <w:r>
              <w:rPr>
                <w:rFonts w:hint="eastAsia" w:ascii="宋体" w:hAnsi="宋体" w:eastAsia="宋体" w:cs="宋体"/>
                <w:b/>
                <w:bCs/>
                <w:kern w:val="0"/>
              </w:rPr>
              <w:t>不提供不得分</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77" w:type="dxa"/>
            <w:vMerge w:val="continue"/>
            <w:noWrap w:val="0"/>
            <w:vAlign w:val="center"/>
          </w:tcPr>
          <w:p>
            <w:pPr>
              <w:spacing w:line="276" w:lineRule="auto"/>
              <w:jc w:val="center"/>
              <w:rPr>
                <w:rFonts w:hint="eastAsia" w:ascii="宋体" w:hAnsi="宋体" w:eastAsia="宋体" w:cs="宋体"/>
                <w:szCs w:val="21"/>
              </w:rPr>
            </w:pPr>
          </w:p>
        </w:tc>
        <w:tc>
          <w:tcPr>
            <w:tcW w:w="1020" w:type="dxa"/>
            <w:noWrap w:val="0"/>
            <w:vAlign w:val="center"/>
          </w:tcPr>
          <w:p>
            <w:pPr>
              <w:spacing w:line="276" w:lineRule="auto"/>
              <w:jc w:val="center"/>
              <w:rPr>
                <w:rFonts w:hint="eastAsia" w:ascii="宋体" w:hAnsi="宋体" w:eastAsia="宋体" w:cs="宋体"/>
                <w:szCs w:val="21"/>
              </w:rPr>
            </w:pPr>
            <w:r>
              <w:rPr>
                <w:rFonts w:hint="eastAsia" w:ascii="宋体" w:hAnsi="宋体" w:eastAsia="宋体" w:cs="宋体"/>
                <w:kern w:val="0"/>
              </w:rPr>
              <w:t>0-</w:t>
            </w:r>
            <w:r>
              <w:rPr>
                <w:rFonts w:hint="eastAsia" w:ascii="宋体" w:hAnsi="宋体" w:eastAsia="宋体" w:cs="宋体"/>
                <w:kern w:val="0"/>
                <w:lang w:val="en-US" w:eastAsia="zh-CN"/>
              </w:rPr>
              <w:t>3</w:t>
            </w:r>
            <w:r>
              <w:rPr>
                <w:rFonts w:hint="eastAsia" w:ascii="宋体" w:hAnsi="宋体" w:eastAsia="宋体" w:cs="宋体"/>
                <w:kern w:val="0"/>
              </w:rPr>
              <w:t>分</w:t>
            </w:r>
          </w:p>
        </w:tc>
        <w:tc>
          <w:tcPr>
            <w:tcW w:w="7987" w:type="dxa"/>
            <w:noWrap w:val="0"/>
            <w:vAlign w:val="center"/>
          </w:tcPr>
          <w:p>
            <w:pPr>
              <w:spacing w:line="276" w:lineRule="auto"/>
              <w:rPr>
                <w:rFonts w:hint="eastAsia" w:ascii="宋体" w:hAnsi="宋体" w:eastAsia="宋体" w:cs="宋体"/>
              </w:rPr>
            </w:pPr>
            <w:r>
              <w:rPr>
                <w:rFonts w:hint="eastAsia" w:ascii="宋体" w:hAnsi="宋体" w:eastAsia="宋体" w:cs="宋体"/>
                <w:kern w:val="0"/>
              </w:rPr>
              <w:t>2016年1月1日来投标人具有政府采购同类项目，每个得</w:t>
            </w:r>
            <w:r>
              <w:rPr>
                <w:rFonts w:hint="eastAsia" w:ascii="宋体" w:hAnsi="宋体" w:eastAsia="宋体" w:cs="宋体"/>
                <w:kern w:val="0"/>
                <w:lang w:val="en-US" w:eastAsia="zh-CN"/>
              </w:rPr>
              <w:t>1</w:t>
            </w:r>
            <w:r>
              <w:rPr>
                <w:rFonts w:hint="eastAsia" w:ascii="宋体" w:hAnsi="宋体" w:eastAsia="宋体" w:cs="宋体"/>
                <w:kern w:val="0"/>
              </w:rPr>
              <w:t>分，最高得</w:t>
            </w:r>
            <w:r>
              <w:rPr>
                <w:rFonts w:hint="eastAsia" w:ascii="宋体" w:hAnsi="宋体" w:eastAsia="宋体" w:cs="宋体"/>
                <w:kern w:val="0"/>
                <w:lang w:val="en-US" w:eastAsia="zh-CN"/>
              </w:rPr>
              <w:t>3</w:t>
            </w:r>
            <w:r>
              <w:rPr>
                <w:rFonts w:hint="eastAsia" w:ascii="宋体" w:hAnsi="宋体" w:eastAsia="宋体" w:cs="宋体"/>
                <w:kern w:val="0"/>
              </w:rPr>
              <w:t>分（</w:t>
            </w:r>
            <w:r>
              <w:rPr>
                <w:rFonts w:hint="eastAsia" w:ascii="宋体" w:hAnsi="宋体" w:eastAsia="宋体" w:cs="宋体"/>
                <w:b/>
                <w:bCs/>
                <w:kern w:val="0"/>
              </w:rPr>
              <w:t>合同及中标通知书</w:t>
            </w:r>
            <w:r>
              <w:rPr>
                <w:rFonts w:hint="eastAsia" w:ascii="宋体" w:hAnsi="宋体" w:eastAsia="宋体" w:cs="宋体"/>
                <w:b/>
                <w:bCs/>
                <w:kern w:val="0"/>
                <w:lang w:eastAsia="zh-CN"/>
              </w:rPr>
              <w:t>提供扫描件并加盖有效公章，</w:t>
            </w:r>
            <w:r>
              <w:rPr>
                <w:rFonts w:hint="eastAsia" w:ascii="宋体" w:hAnsi="宋体" w:eastAsia="宋体" w:cs="宋体"/>
                <w:b/>
                <w:bCs/>
                <w:kern w:val="0"/>
              </w:rPr>
              <w:t>不提供不得分</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77" w:type="dxa"/>
            <w:vMerge w:val="restart"/>
            <w:noWrap w:val="0"/>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技术部分</w:t>
            </w:r>
          </w:p>
          <w:p>
            <w:pPr>
              <w:spacing w:line="276" w:lineRule="auto"/>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45</w:t>
            </w:r>
            <w:r>
              <w:rPr>
                <w:rFonts w:hint="eastAsia" w:ascii="宋体" w:hAnsi="宋体" w:eastAsia="宋体" w:cs="宋体"/>
                <w:szCs w:val="21"/>
              </w:rPr>
              <w:t>分)</w:t>
            </w:r>
          </w:p>
        </w:tc>
        <w:tc>
          <w:tcPr>
            <w:tcW w:w="1020" w:type="dxa"/>
            <w:noWrap w:val="0"/>
            <w:vAlign w:val="center"/>
          </w:tcPr>
          <w:p>
            <w:pPr>
              <w:spacing w:line="276" w:lineRule="auto"/>
              <w:jc w:val="center"/>
              <w:rPr>
                <w:rFonts w:hint="eastAsia" w:ascii="宋体" w:hAnsi="宋体" w:eastAsia="宋体" w:cs="宋体"/>
                <w:szCs w:val="21"/>
              </w:rPr>
            </w:pPr>
            <w:r>
              <w:rPr>
                <w:rFonts w:hint="eastAsia" w:ascii="宋体" w:hAnsi="宋体" w:eastAsia="宋体" w:cs="宋体"/>
                <w:kern w:val="0"/>
              </w:rPr>
              <w:t>0-1</w:t>
            </w:r>
            <w:r>
              <w:rPr>
                <w:rFonts w:hint="eastAsia" w:ascii="宋体" w:hAnsi="宋体" w:eastAsia="宋体" w:cs="宋体"/>
                <w:kern w:val="0"/>
                <w:lang w:val="en-US" w:eastAsia="zh-CN"/>
              </w:rPr>
              <w:t>6</w:t>
            </w:r>
            <w:r>
              <w:rPr>
                <w:rFonts w:hint="eastAsia" w:ascii="宋体" w:hAnsi="宋体" w:eastAsia="宋体" w:cs="宋体"/>
                <w:kern w:val="0"/>
              </w:rPr>
              <w:t>分</w:t>
            </w:r>
          </w:p>
        </w:tc>
        <w:tc>
          <w:tcPr>
            <w:tcW w:w="7987" w:type="dxa"/>
            <w:noWrap w:val="0"/>
            <w:vAlign w:val="center"/>
          </w:tcPr>
          <w:p>
            <w:pPr>
              <w:spacing w:line="276" w:lineRule="auto"/>
              <w:rPr>
                <w:rFonts w:hint="eastAsia" w:ascii="宋体" w:hAnsi="宋体" w:eastAsia="宋体" w:cs="宋体"/>
              </w:rPr>
            </w:pPr>
            <w:r>
              <w:rPr>
                <w:rFonts w:hint="eastAsia" w:ascii="宋体" w:hAnsi="宋体" w:eastAsia="宋体" w:cs="宋体"/>
                <w:kern w:val="0"/>
              </w:rPr>
              <w:t>评审各投标人所投产品的技术指标和功能与本次项目采购需求的符合程度。完全符合的此项得满分，每一项负偏离扣2分，扣完为止。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777" w:type="dxa"/>
            <w:vMerge w:val="continue"/>
            <w:noWrap w:val="0"/>
            <w:vAlign w:val="center"/>
          </w:tcPr>
          <w:p>
            <w:pPr>
              <w:spacing w:line="276" w:lineRule="auto"/>
              <w:jc w:val="center"/>
              <w:rPr>
                <w:rFonts w:hint="eastAsia" w:ascii="宋体" w:hAnsi="宋体" w:eastAsia="宋体" w:cs="宋体"/>
                <w:szCs w:val="21"/>
              </w:rPr>
            </w:pPr>
          </w:p>
        </w:tc>
        <w:tc>
          <w:tcPr>
            <w:tcW w:w="1020" w:type="dxa"/>
            <w:noWrap w:val="0"/>
            <w:vAlign w:val="center"/>
          </w:tcPr>
          <w:p>
            <w:pPr>
              <w:spacing w:line="276" w:lineRule="auto"/>
              <w:jc w:val="center"/>
              <w:rPr>
                <w:rFonts w:hint="eastAsia" w:ascii="宋体" w:hAnsi="宋体" w:eastAsia="宋体" w:cs="宋体"/>
                <w:b/>
                <w:szCs w:val="21"/>
              </w:rPr>
            </w:pPr>
            <w:r>
              <w:rPr>
                <w:rFonts w:hint="eastAsia" w:ascii="宋体" w:hAnsi="宋体" w:eastAsia="宋体" w:cs="宋体"/>
                <w:kern w:val="0"/>
              </w:rPr>
              <w:t>0-4分</w:t>
            </w:r>
          </w:p>
        </w:tc>
        <w:tc>
          <w:tcPr>
            <w:tcW w:w="7987" w:type="dxa"/>
            <w:noWrap w:val="0"/>
            <w:vAlign w:val="center"/>
          </w:tcPr>
          <w:p>
            <w:pPr>
              <w:spacing w:line="276" w:lineRule="auto"/>
              <w:rPr>
                <w:rFonts w:hint="eastAsia" w:ascii="宋体" w:hAnsi="宋体" w:eastAsia="宋体" w:cs="宋体"/>
              </w:rPr>
            </w:pPr>
            <w:r>
              <w:rPr>
                <w:rFonts w:hint="eastAsia" w:ascii="宋体" w:hAnsi="宋体" w:eastAsia="宋体" w:cs="宋体"/>
                <w:kern w:val="0"/>
              </w:rPr>
              <w:t>投标人需要提供垃圾处理设备性能检测报告，检测内容包含设备额定功率、减量率、耗电量等数据，功能应包括自动提升、自动破碎、发酵处理、自动计量、自动脱油脱水和臭气处理功能，每缺少一项检测内容扣0.5分，</w:t>
            </w:r>
            <w:r>
              <w:rPr>
                <w:rFonts w:hint="eastAsia" w:ascii="宋体" w:hAnsi="宋体" w:eastAsia="宋体" w:cs="宋体"/>
                <w:b/>
                <w:bCs/>
                <w:color w:val="000000" w:themeColor="text1"/>
                <w:kern w:val="0"/>
                <w:highlight w:val="none"/>
                <w:lang w:eastAsia="zh-CN"/>
                <w14:textFill>
                  <w14:solidFill>
                    <w14:schemeClr w14:val="tx1"/>
                  </w14:solidFill>
                </w14:textFill>
              </w:rPr>
              <w:t>提供扫描件并加盖有效公章，</w:t>
            </w:r>
            <w:r>
              <w:rPr>
                <w:rFonts w:hint="eastAsia" w:ascii="宋体" w:hAnsi="宋体" w:eastAsia="宋体" w:cs="宋体"/>
                <w:b/>
                <w:bCs/>
                <w:color w:val="000000" w:themeColor="text1"/>
                <w:kern w:val="0"/>
                <w:highlight w:val="none"/>
                <w14:textFill>
                  <w14:solidFill>
                    <w14:schemeClr w14:val="tx1"/>
                  </w14:solidFill>
                </w14:textFill>
              </w:rPr>
              <w:t>不提供不得分</w:t>
            </w:r>
            <w:r>
              <w:rPr>
                <w:rFonts w:hint="eastAsia" w:ascii="宋体" w:hAnsi="宋体" w:eastAsia="宋体" w:cs="宋体"/>
                <w:kern w:val="0"/>
                <w:highlight w:val="none"/>
                <w:lang w:eastAsia="zh-CN"/>
              </w:rPr>
              <w:t>，</w:t>
            </w:r>
            <w:r>
              <w:rPr>
                <w:rFonts w:hint="eastAsia" w:ascii="宋体" w:hAnsi="宋体" w:eastAsia="宋体" w:cs="宋体"/>
                <w:kern w:val="0"/>
              </w:rPr>
              <w:t>本项最高得4分。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77" w:type="dxa"/>
            <w:vMerge w:val="continue"/>
            <w:noWrap w:val="0"/>
            <w:vAlign w:val="center"/>
          </w:tcPr>
          <w:p>
            <w:pPr>
              <w:spacing w:line="276" w:lineRule="auto"/>
              <w:jc w:val="center"/>
              <w:rPr>
                <w:rFonts w:hint="eastAsia" w:ascii="宋体" w:hAnsi="宋体" w:eastAsia="宋体" w:cs="宋体"/>
                <w:szCs w:val="21"/>
              </w:rPr>
            </w:pPr>
          </w:p>
        </w:tc>
        <w:tc>
          <w:tcPr>
            <w:tcW w:w="1020" w:type="dxa"/>
            <w:noWrap w:val="0"/>
            <w:vAlign w:val="center"/>
          </w:tcPr>
          <w:p>
            <w:pPr>
              <w:spacing w:line="276" w:lineRule="auto"/>
              <w:jc w:val="center"/>
              <w:rPr>
                <w:rFonts w:hint="eastAsia" w:ascii="宋体" w:hAnsi="宋体" w:eastAsia="宋体" w:cs="宋体"/>
                <w:b/>
                <w:szCs w:val="21"/>
              </w:rPr>
            </w:pPr>
            <w:r>
              <w:rPr>
                <w:rFonts w:hint="eastAsia" w:ascii="宋体" w:hAnsi="宋体" w:eastAsia="宋体" w:cs="宋体"/>
                <w:kern w:val="0"/>
              </w:rPr>
              <w:t>0-2分</w:t>
            </w:r>
          </w:p>
        </w:tc>
        <w:tc>
          <w:tcPr>
            <w:tcW w:w="7987" w:type="dxa"/>
            <w:noWrap w:val="0"/>
            <w:vAlign w:val="center"/>
          </w:tcPr>
          <w:p>
            <w:pPr>
              <w:spacing w:line="276" w:lineRule="auto"/>
              <w:rPr>
                <w:rFonts w:hint="eastAsia" w:ascii="宋体" w:hAnsi="宋体" w:eastAsia="宋体" w:cs="宋体"/>
                <w:szCs w:val="21"/>
              </w:rPr>
            </w:pPr>
            <w:r>
              <w:rPr>
                <w:rFonts w:hint="eastAsia" w:ascii="宋体" w:hAnsi="宋体" w:eastAsia="宋体" w:cs="宋体"/>
                <w:kern w:val="0"/>
              </w:rPr>
              <w:t>投标人需要提供具有CMA和CNAS认证的检测机构出具的设备产出物符合NY525和NY884标准的有机肥检测报告，</w:t>
            </w:r>
            <w:r>
              <w:rPr>
                <w:rFonts w:hint="eastAsia" w:ascii="宋体" w:hAnsi="宋体" w:eastAsia="宋体" w:cs="宋体"/>
                <w:b/>
                <w:bCs/>
                <w:kern w:val="0"/>
                <w:lang w:eastAsia="zh-CN"/>
              </w:rPr>
              <w:t>提供扫描件并加盖有效公章，</w:t>
            </w:r>
            <w:r>
              <w:rPr>
                <w:rFonts w:hint="eastAsia" w:ascii="宋体" w:hAnsi="宋体" w:eastAsia="宋体" w:cs="宋体"/>
                <w:b/>
                <w:bCs/>
                <w:kern w:val="0"/>
              </w:rPr>
              <w:t>不提供不得分</w:t>
            </w:r>
            <w:r>
              <w:rPr>
                <w:rFonts w:hint="eastAsia" w:ascii="宋体" w:hAnsi="宋体" w:eastAsia="宋体" w:cs="宋体"/>
                <w:kern w:val="0"/>
                <w:lang w:eastAsia="zh-CN"/>
              </w:rPr>
              <w:t>，</w:t>
            </w:r>
            <w:r>
              <w:rPr>
                <w:rFonts w:hint="eastAsia" w:ascii="宋体" w:hAnsi="宋体" w:eastAsia="宋体" w:cs="宋体"/>
                <w:kern w:val="0"/>
              </w:rPr>
              <w:t>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7" w:type="dxa"/>
            <w:vMerge w:val="continue"/>
            <w:noWrap w:val="0"/>
            <w:vAlign w:val="center"/>
          </w:tcPr>
          <w:p>
            <w:pPr>
              <w:spacing w:line="276" w:lineRule="auto"/>
              <w:jc w:val="center"/>
              <w:rPr>
                <w:rFonts w:hint="eastAsia" w:ascii="宋体" w:hAnsi="宋体" w:eastAsia="宋体" w:cs="宋体"/>
                <w:szCs w:val="21"/>
              </w:rPr>
            </w:pPr>
          </w:p>
        </w:tc>
        <w:tc>
          <w:tcPr>
            <w:tcW w:w="1020" w:type="dxa"/>
            <w:noWrap w:val="0"/>
            <w:vAlign w:val="center"/>
          </w:tcPr>
          <w:p>
            <w:pPr>
              <w:spacing w:line="276" w:lineRule="auto"/>
              <w:jc w:val="center"/>
              <w:rPr>
                <w:rFonts w:hint="eastAsia" w:ascii="宋体" w:hAnsi="宋体" w:eastAsia="宋体" w:cs="宋体"/>
                <w:b/>
                <w:szCs w:val="21"/>
              </w:rPr>
            </w:pPr>
            <w:r>
              <w:rPr>
                <w:rFonts w:hint="eastAsia" w:ascii="宋体" w:hAnsi="宋体" w:eastAsia="宋体" w:cs="宋体"/>
                <w:kern w:val="0"/>
              </w:rPr>
              <w:t>0-</w:t>
            </w:r>
            <w:r>
              <w:rPr>
                <w:rFonts w:hint="eastAsia" w:ascii="宋体" w:hAnsi="宋体" w:eastAsia="宋体" w:cs="宋体"/>
                <w:kern w:val="0"/>
                <w:lang w:val="en-US" w:eastAsia="zh-CN"/>
              </w:rPr>
              <w:t>2</w:t>
            </w:r>
            <w:r>
              <w:rPr>
                <w:rFonts w:hint="eastAsia" w:ascii="宋体" w:hAnsi="宋体" w:eastAsia="宋体" w:cs="宋体"/>
                <w:kern w:val="0"/>
              </w:rPr>
              <w:t>分</w:t>
            </w:r>
          </w:p>
        </w:tc>
        <w:tc>
          <w:tcPr>
            <w:tcW w:w="7987" w:type="dxa"/>
            <w:noWrap w:val="0"/>
            <w:vAlign w:val="center"/>
          </w:tcPr>
          <w:p>
            <w:pPr>
              <w:spacing w:line="276" w:lineRule="auto"/>
              <w:rPr>
                <w:rFonts w:hint="eastAsia" w:ascii="宋体" w:hAnsi="宋体" w:eastAsia="宋体" w:cs="宋体"/>
              </w:rPr>
            </w:pPr>
            <w:r>
              <w:rPr>
                <w:rFonts w:hint="eastAsia" w:ascii="宋体" w:hAnsi="宋体" w:eastAsia="宋体" w:cs="宋体"/>
                <w:kern w:val="0"/>
              </w:rPr>
              <w:t>投标人需要提供具有CMA和CNAS认证的检测机构出具的</w:t>
            </w:r>
            <w:r>
              <w:rPr>
                <w:rFonts w:hint="eastAsia" w:ascii="宋体" w:hAnsi="宋体" w:eastAsia="宋体" w:cs="宋体"/>
                <w:kern w:val="0"/>
                <w:lang w:eastAsia="zh-CN"/>
              </w:rPr>
              <w:t>废水</w:t>
            </w:r>
            <w:r>
              <w:rPr>
                <w:rFonts w:hint="eastAsia" w:ascii="宋体" w:hAnsi="宋体" w:eastAsia="宋体" w:cs="宋体"/>
                <w:kern w:val="0"/>
              </w:rPr>
              <w:t>检测报告、设备废气检测报告，</w:t>
            </w:r>
            <w:r>
              <w:rPr>
                <w:rFonts w:hint="eastAsia" w:ascii="宋体" w:hAnsi="宋体" w:eastAsia="宋体" w:cs="宋体"/>
                <w:b/>
                <w:bCs/>
                <w:kern w:val="0"/>
                <w:lang w:eastAsia="zh-CN"/>
              </w:rPr>
              <w:t>提供扫描件并加盖有效公章</w:t>
            </w:r>
            <w:r>
              <w:rPr>
                <w:rFonts w:hint="eastAsia" w:ascii="宋体" w:hAnsi="宋体" w:eastAsia="宋体" w:cs="宋体"/>
                <w:kern w:val="0"/>
                <w:lang w:eastAsia="zh-CN"/>
              </w:rPr>
              <w:t>，</w:t>
            </w:r>
            <w:r>
              <w:rPr>
                <w:rFonts w:hint="eastAsia" w:ascii="宋体" w:hAnsi="宋体" w:eastAsia="宋体" w:cs="宋体"/>
                <w:kern w:val="0"/>
              </w:rPr>
              <w:t>不提供不得分</w:t>
            </w:r>
            <w:r>
              <w:rPr>
                <w:rFonts w:hint="eastAsia" w:ascii="宋体" w:hAnsi="宋体" w:eastAsia="宋体" w:cs="宋体"/>
                <w:kern w:val="0"/>
                <w:lang w:eastAsia="zh-CN"/>
              </w:rPr>
              <w:t>，</w:t>
            </w:r>
            <w:r>
              <w:rPr>
                <w:rFonts w:hint="eastAsia" w:ascii="宋体" w:hAnsi="宋体" w:eastAsia="宋体" w:cs="宋体"/>
                <w:kern w:val="0"/>
              </w:rPr>
              <w:t>每提供一项得</w:t>
            </w:r>
            <w:r>
              <w:rPr>
                <w:rFonts w:hint="eastAsia" w:ascii="宋体" w:hAnsi="宋体" w:eastAsia="宋体" w:cs="宋体"/>
                <w:kern w:val="0"/>
                <w:lang w:val="en-US" w:eastAsia="zh-CN"/>
              </w:rPr>
              <w:t>1</w:t>
            </w:r>
            <w:r>
              <w:rPr>
                <w:rFonts w:hint="eastAsia" w:ascii="宋体" w:hAnsi="宋体" w:eastAsia="宋体" w:cs="宋体"/>
                <w:kern w:val="0"/>
              </w:rPr>
              <w:t>分，最高得</w:t>
            </w:r>
            <w:r>
              <w:rPr>
                <w:rFonts w:hint="eastAsia" w:ascii="宋体" w:hAnsi="宋体" w:eastAsia="宋体" w:cs="宋体"/>
                <w:kern w:val="0"/>
                <w:lang w:val="en-US" w:eastAsia="zh-CN"/>
              </w:rPr>
              <w:t>2</w:t>
            </w:r>
            <w:r>
              <w:rPr>
                <w:rFonts w:hint="eastAsia" w:ascii="宋体" w:hAnsi="宋体" w:eastAsia="宋体" w:cs="宋体"/>
                <w:kern w:val="0"/>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77" w:type="dxa"/>
            <w:vMerge w:val="continue"/>
            <w:noWrap w:val="0"/>
            <w:vAlign w:val="center"/>
          </w:tcPr>
          <w:p>
            <w:pPr>
              <w:spacing w:line="276" w:lineRule="auto"/>
              <w:jc w:val="center"/>
              <w:rPr>
                <w:rFonts w:hint="eastAsia" w:ascii="宋体" w:hAnsi="宋体" w:eastAsia="宋体" w:cs="宋体"/>
                <w:szCs w:val="21"/>
              </w:rPr>
            </w:pPr>
          </w:p>
        </w:tc>
        <w:tc>
          <w:tcPr>
            <w:tcW w:w="1020" w:type="dxa"/>
            <w:noWrap w:val="0"/>
            <w:vAlign w:val="center"/>
          </w:tcPr>
          <w:p>
            <w:pPr>
              <w:spacing w:line="276" w:lineRule="auto"/>
              <w:jc w:val="center"/>
              <w:rPr>
                <w:rFonts w:hint="eastAsia" w:ascii="宋体" w:hAnsi="宋体" w:eastAsia="宋体" w:cs="宋体"/>
                <w:b/>
                <w:szCs w:val="21"/>
              </w:rPr>
            </w:pPr>
            <w:r>
              <w:rPr>
                <w:rFonts w:hint="eastAsia" w:ascii="宋体" w:hAnsi="宋体" w:eastAsia="宋体" w:cs="宋体"/>
                <w:kern w:val="0"/>
              </w:rPr>
              <w:t>0-4分</w:t>
            </w:r>
          </w:p>
        </w:tc>
        <w:tc>
          <w:tcPr>
            <w:tcW w:w="7987" w:type="dxa"/>
            <w:noWrap w:val="0"/>
            <w:vAlign w:val="center"/>
          </w:tcPr>
          <w:p>
            <w:pPr>
              <w:spacing w:line="276" w:lineRule="auto"/>
              <w:rPr>
                <w:rFonts w:hint="eastAsia" w:ascii="宋体" w:hAnsi="宋体" w:eastAsia="宋体" w:cs="宋体"/>
                <w:szCs w:val="21"/>
              </w:rPr>
            </w:pPr>
            <w:r>
              <w:rPr>
                <w:rFonts w:hint="eastAsia" w:ascii="宋体" w:hAnsi="宋体" w:eastAsia="宋体" w:cs="宋体"/>
                <w:kern w:val="0"/>
              </w:rPr>
              <w:t>投标人需要提供设备产出物毒性检测符合《危险废物鉴别标准急性毒性初筛》(GB5085.2-2007)鉴别标准的经口毒性检测报告和设备产出物经皮毒性检测报告，</w:t>
            </w:r>
            <w:r>
              <w:rPr>
                <w:rFonts w:hint="eastAsia" w:ascii="宋体" w:hAnsi="宋体" w:eastAsia="宋体" w:cs="宋体"/>
                <w:b/>
                <w:bCs/>
                <w:kern w:val="0"/>
                <w:lang w:eastAsia="zh-CN"/>
              </w:rPr>
              <w:t>提供扫描件并加盖有效公章</w:t>
            </w:r>
            <w:r>
              <w:rPr>
                <w:rFonts w:hint="eastAsia" w:ascii="宋体" w:hAnsi="宋体" w:eastAsia="宋体" w:cs="宋体"/>
                <w:kern w:val="0"/>
                <w:lang w:eastAsia="zh-CN"/>
              </w:rPr>
              <w:t>，</w:t>
            </w:r>
            <w:r>
              <w:rPr>
                <w:rFonts w:hint="eastAsia" w:ascii="宋体" w:hAnsi="宋体" w:eastAsia="宋体" w:cs="宋体"/>
                <w:kern w:val="0"/>
              </w:rPr>
              <w:t>不提供不得分</w:t>
            </w:r>
            <w:r>
              <w:rPr>
                <w:rFonts w:hint="eastAsia" w:ascii="宋体" w:hAnsi="宋体" w:eastAsia="宋体" w:cs="宋体"/>
                <w:kern w:val="0"/>
                <w:lang w:eastAsia="zh-CN"/>
              </w:rPr>
              <w:t>，</w:t>
            </w:r>
            <w:r>
              <w:rPr>
                <w:rFonts w:hint="eastAsia" w:ascii="宋体" w:hAnsi="宋体" w:eastAsia="宋体" w:cs="宋体"/>
                <w:kern w:val="0"/>
              </w:rPr>
              <w:t>每提供一项得2分，最高得4分。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77" w:type="dxa"/>
            <w:vMerge w:val="continue"/>
            <w:noWrap w:val="0"/>
            <w:vAlign w:val="center"/>
          </w:tcPr>
          <w:p>
            <w:pPr>
              <w:spacing w:line="276" w:lineRule="auto"/>
              <w:jc w:val="center"/>
              <w:rPr>
                <w:rFonts w:hint="eastAsia" w:ascii="宋体" w:hAnsi="宋体" w:eastAsia="宋体" w:cs="宋体"/>
                <w:szCs w:val="21"/>
              </w:rPr>
            </w:pPr>
          </w:p>
        </w:tc>
        <w:tc>
          <w:tcPr>
            <w:tcW w:w="1020" w:type="dxa"/>
            <w:noWrap w:val="0"/>
            <w:vAlign w:val="center"/>
          </w:tcPr>
          <w:p>
            <w:pPr>
              <w:spacing w:line="276" w:lineRule="auto"/>
              <w:jc w:val="center"/>
              <w:rPr>
                <w:rFonts w:hint="eastAsia" w:ascii="宋体" w:hAnsi="宋体" w:eastAsia="宋体" w:cs="宋体"/>
                <w:b/>
                <w:szCs w:val="21"/>
                <w:lang w:eastAsia="zh-CN"/>
              </w:rPr>
            </w:pPr>
            <w:r>
              <w:rPr>
                <w:rFonts w:hint="eastAsia" w:ascii="宋体" w:hAnsi="宋体" w:eastAsia="宋体" w:cs="宋体"/>
                <w:kern w:val="0"/>
              </w:rPr>
              <w:t>0-</w:t>
            </w:r>
            <w:r>
              <w:rPr>
                <w:rFonts w:hint="eastAsia" w:ascii="宋体" w:hAnsi="宋体" w:eastAsia="宋体" w:cs="宋体"/>
                <w:kern w:val="0"/>
                <w:lang w:val="en-US" w:eastAsia="zh-CN"/>
              </w:rPr>
              <w:t>3</w:t>
            </w:r>
            <w:r>
              <w:rPr>
                <w:rFonts w:hint="eastAsia" w:ascii="宋体" w:hAnsi="宋体" w:eastAsia="宋体" w:cs="宋体"/>
                <w:kern w:val="0"/>
              </w:rPr>
              <w:t>分</w:t>
            </w:r>
          </w:p>
        </w:tc>
        <w:tc>
          <w:tcPr>
            <w:tcW w:w="7987" w:type="dxa"/>
            <w:noWrap w:val="0"/>
            <w:vAlign w:val="center"/>
          </w:tcPr>
          <w:p>
            <w:pPr>
              <w:spacing w:line="276" w:lineRule="auto"/>
              <w:rPr>
                <w:rFonts w:hint="eastAsia" w:ascii="宋体" w:hAnsi="宋体" w:eastAsia="宋体" w:cs="宋体"/>
                <w:szCs w:val="21"/>
              </w:rPr>
            </w:pPr>
            <w:r>
              <w:rPr>
                <w:rFonts w:hint="eastAsia" w:ascii="宋体" w:hAnsi="宋体" w:eastAsia="宋体" w:cs="宋体"/>
                <w:kern w:val="0"/>
              </w:rPr>
              <w:t>微生物菌种做为特殊菌剂类，具有特殊性，为保证使用环境的安全及生态环境安全，所提供的微生物菌剂必须是经过国家相关检验检疫局单位并且具有CMA和CNAS认证的检测合格的产品，并出具有检测报告。检测报告项目应不少于以下内容：①急性经口毒性试验②藻类生长抑制试验③急性经皮毒性试验④急性皮肤刺激性试验⑤鱼类急性毒性试验。⑥急性吸入毒性试验⑦细菌回复突变试验。</w:t>
            </w:r>
            <w:r>
              <w:rPr>
                <w:rFonts w:hint="eastAsia" w:ascii="宋体" w:hAnsi="宋体" w:eastAsia="宋体" w:cs="宋体"/>
                <w:kern w:val="0"/>
                <w:lang w:eastAsia="zh-CN"/>
              </w:rPr>
              <w:t>全部提供报告得</w:t>
            </w:r>
            <w:r>
              <w:rPr>
                <w:rFonts w:hint="eastAsia" w:ascii="宋体" w:hAnsi="宋体" w:eastAsia="宋体" w:cs="宋体"/>
                <w:kern w:val="0"/>
                <w:lang w:val="en-US" w:eastAsia="zh-CN"/>
              </w:rPr>
              <w:t>3分，每缺少一项扣除0.5分，扣完为止</w:t>
            </w:r>
            <w:r>
              <w:rPr>
                <w:rFonts w:hint="eastAsia" w:ascii="宋体" w:hAnsi="宋体" w:eastAsia="宋体" w:cs="宋体"/>
                <w:kern w:val="0"/>
              </w:rPr>
              <w:t>。（</w:t>
            </w:r>
            <w:r>
              <w:rPr>
                <w:rFonts w:hint="eastAsia" w:ascii="宋体" w:hAnsi="宋体" w:eastAsia="宋体" w:cs="宋体"/>
                <w:b/>
                <w:bCs/>
                <w:kern w:val="0"/>
                <w:lang w:eastAsia="zh-CN"/>
              </w:rPr>
              <w:t>提供扫描件并加盖有效公章，</w:t>
            </w:r>
            <w:r>
              <w:rPr>
                <w:rFonts w:hint="eastAsia" w:ascii="宋体" w:hAnsi="宋体" w:eastAsia="宋体" w:cs="宋体"/>
                <w:b/>
                <w:bCs/>
                <w:kern w:val="0"/>
              </w:rPr>
              <w:t>不提供不得分</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77" w:type="dxa"/>
            <w:vMerge w:val="continue"/>
            <w:noWrap w:val="0"/>
            <w:vAlign w:val="center"/>
          </w:tcPr>
          <w:p>
            <w:pPr>
              <w:spacing w:line="276" w:lineRule="auto"/>
              <w:jc w:val="center"/>
              <w:rPr>
                <w:rFonts w:hint="eastAsia" w:ascii="宋体" w:hAnsi="宋体" w:eastAsia="宋体" w:cs="宋体"/>
                <w:szCs w:val="21"/>
              </w:rPr>
            </w:pPr>
          </w:p>
        </w:tc>
        <w:tc>
          <w:tcPr>
            <w:tcW w:w="1020" w:type="dxa"/>
            <w:noWrap w:val="0"/>
            <w:vAlign w:val="center"/>
          </w:tcPr>
          <w:p>
            <w:pPr>
              <w:spacing w:line="276" w:lineRule="auto"/>
              <w:jc w:val="center"/>
              <w:rPr>
                <w:rFonts w:hint="eastAsia" w:ascii="宋体" w:hAnsi="宋体" w:eastAsia="宋体" w:cs="宋体"/>
                <w:szCs w:val="21"/>
              </w:rPr>
            </w:pPr>
            <w:r>
              <w:rPr>
                <w:rFonts w:hint="eastAsia" w:ascii="宋体" w:hAnsi="宋体" w:eastAsia="宋体" w:cs="宋体"/>
                <w:kern w:val="0"/>
              </w:rPr>
              <w:t>0-</w:t>
            </w:r>
            <w:r>
              <w:rPr>
                <w:rFonts w:hint="eastAsia" w:ascii="宋体" w:hAnsi="宋体" w:eastAsia="宋体" w:cs="宋体"/>
                <w:kern w:val="0"/>
                <w:lang w:val="en-US" w:eastAsia="zh-CN"/>
              </w:rPr>
              <w:t>2</w:t>
            </w:r>
            <w:r>
              <w:rPr>
                <w:rFonts w:hint="eastAsia" w:ascii="宋体" w:hAnsi="宋体" w:eastAsia="宋体" w:cs="宋体"/>
                <w:kern w:val="0"/>
              </w:rPr>
              <w:t>分</w:t>
            </w:r>
          </w:p>
        </w:tc>
        <w:tc>
          <w:tcPr>
            <w:tcW w:w="7987" w:type="dxa"/>
            <w:noWrap w:val="0"/>
            <w:vAlign w:val="center"/>
          </w:tcPr>
          <w:p>
            <w:pPr>
              <w:spacing w:line="276" w:lineRule="auto"/>
              <w:rPr>
                <w:rFonts w:hint="eastAsia" w:ascii="宋体" w:hAnsi="宋体" w:eastAsia="宋体" w:cs="宋体"/>
                <w:szCs w:val="21"/>
              </w:rPr>
            </w:pPr>
            <w:r>
              <w:rPr>
                <w:rFonts w:hint="eastAsia" w:ascii="宋体" w:hAnsi="宋体" w:eastAsia="宋体" w:cs="宋体"/>
                <w:kern w:val="0"/>
              </w:rPr>
              <w:t>投标人针对本项目提出的设备供货、验货、安装调试、测试、调优等内容，以及组织机构、实施人员配备，工作时间进度表、工作程序和步骤、管理和协调方法、关键步骤的思路和要点等方案比较，最高得</w:t>
            </w:r>
            <w:r>
              <w:rPr>
                <w:rFonts w:hint="eastAsia" w:ascii="宋体" w:hAnsi="宋体" w:eastAsia="宋体" w:cs="宋体"/>
                <w:kern w:val="0"/>
                <w:lang w:val="en-US" w:eastAsia="zh-CN"/>
              </w:rPr>
              <w:t>2</w:t>
            </w:r>
            <w:r>
              <w:rPr>
                <w:rFonts w:hint="eastAsia" w:ascii="宋体" w:hAnsi="宋体" w:eastAsia="宋体" w:cs="宋体"/>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77" w:type="dxa"/>
            <w:vMerge w:val="continue"/>
            <w:noWrap w:val="0"/>
            <w:vAlign w:val="center"/>
          </w:tcPr>
          <w:p>
            <w:pPr>
              <w:spacing w:line="276" w:lineRule="auto"/>
              <w:jc w:val="center"/>
              <w:rPr>
                <w:rFonts w:hint="eastAsia" w:ascii="宋体" w:hAnsi="宋体" w:eastAsia="宋体" w:cs="宋体"/>
                <w:szCs w:val="21"/>
              </w:rPr>
            </w:pPr>
          </w:p>
        </w:tc>
        <w:tc>
          <w:tcPr>
            <w:tcW w:w="1020" w:type="dxa"/>
            <w:noWrap w:val="0"/>
            <w:vAlign w:val="center"/>
          </w:tcPr>
          <w:p>
            <w:pPr>
              <w:spacing w:line="276" w:lineRule="auto"/>
              <w:jc w:val="center"/>
              <w:rPr>
                <w:rFonts w:hint="eastAsia" w:ascii="宋体" w:hAnsi="宋体" w:eastAsia="宋体" w:cs="宋体"/>
                <w:kern w:val="0"/>
                <w:lang w:val="en-US" w:eastAsia="zh-CN"/>
              </w:rPr>
            </w:pPr>
            <w:r>
              <w:rPr>
                <w:rFonts w:hint="eastAsia" w:ascii="宋体" w:hAnsi="宋体" w:eastAsia="宋体" w:cs="宋体"/>
                <w:kern w:val="0"/>
                <w:lang w:val="en-US" w:eastAsia="zh-CN"/>
              </w:rPr>
              <w:t>0-2分</w:t>
            </w:r>
          </w:p>
        </w:tc>
        <w:tc>
          <w:tcPr>
            <w:tcW w:w="7987" w:type="dxa"/>
            <w:noWrap w:val="0"/>
            <w:vAlign w:val="center"/>
          </w:tcPr>
          <w:p>
            <w:pPr>
              <w:spacing w:line="276" w:lineRule="auto"/>
              <w:rPr>
                <w:rFonts w:hint="eastAsia" w:ascii="宋体" w:hAnsi="宋体" w:eastAsia="宋体" w:cs="宋体"/>
                <w:kern w:val="0"/>
              </w:rPr>
            </w:pPr>
            <w:r>
              <w:rPr>
                <w:rFonts w:hint="eastAsia" w:ascii="宋体" w:hAnsi="宋体" w:eastAsia="宋体" w:cs="宋体"/>
                <w:sz w:val="21"/>
                <w:szCs w:val="21"/>
                <w:lang w:eastAsia="zh-CN"/>
              </w:rPr>
              <w:t>针对</w:t>
            </w:r>
            <w:r>
              <w:rPr>
                <w:rFonts w:hint="eastAsia" w:ascii="宋体" w:hAnsi="宋体" w:eastAsia="宋体" w:cs="宋体"/>
                <w:sz w:val="21"/>
                <w:szCs w:val="21"/>
              </w:rPr>
              <w:t>各投标人所投设备总体设计方案，包括但不限于设备配置是否合理、方便实用，设备的功能设计是否满足本项目的需求等情况：酌情给分（0-</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77" w:type="dxa"/>
            <w:vMerge w:val="continue"/>
            <w:noWrap w:val="0"/>
            <w:vAlign w:val="center"/>
          </w:tcPr>
          <w:p>
            <w:pPr>
              <w:spacing w:line="276" w:lineRule="auto"/>
              <w:jc w:val="center"/>
              <w:rPr>
                <w:rFonts w:hint="eastAsia" w:ascii="宋体" w:hAnsi="宋体" w:eastAsia="宋体" w:cs="宋体"/>
                <w:szCs w:val="21"/>
              </w:rPr>
            </w:pPr>
          </w:p>
        </w:tc>
        <w:tc>
          <w:tcPr>
            <w:tcW w:w="1020" w:type="dxa"/>
            <w:noWrap w:val="0"/>
            <w:vAlign w:val="center"/>
          </w:tcPr>
          <w:p>
            <w:pPr>
              <w:spacing w:line="276" w:lineRule="auto"/>
              <w:jc w:val="center"/>
              <w:rPr>
                <w:rFonts w:hint="eastAsia" w:ascii="宋体" w:hAnsi="宋体" w:eastAsia="宋体" w:cs="宋体"/>
                <w:szCs w:val="21"/>
              </w:rPr>
            </w:pPr>
            <w:r>
              <w:rPr>
                <w:rFonts w:hint="eastAsia" w:ascii="宋体" w:hAnsi="宋体" w:eastAsia="宋体" w:cs="宋体"/>
                <w:kern w:val="0"/>
              </w:rPr>
              <w:t>0-</w:t>
            </w:r>
            <w:r>
              <w:rPr>
                <w:rFonts w:hint="eastAsia" w:ascii="宋体" w:hAnsi="宋体" w:eastAsia="宋体" w:cs="宋体"/>
                <w:kern w:val="0"/>
                <w:lang w:val="en-US" w:eastAsia="zh-CN"/>
              </w:rPr>
              <w:t>10</w:t>
            </w:r>
            <w:r>
              <w:rPr>
                <w:rFonts w:hint="eastAsia" w:ascii="宋体" w:hAnsi="宋体" w:eastAsia="宋体" w:cs="宋体"/>
                <w:kern w:val="0"/>
              </w:rPr>
              <w:t>分</w:t>
            </w:r>
          </w:p>
        </w:tc>
        <w:tc>
          <w:tcPr>
            <w:tcW w:w="7987" w:type="dxa"/>
            <w:noWrap w:val="0"/>
            <w:vAlign w:val="center"/>
          </w:tcPr>
          <w:p>
            <w:pPr>
              <w:spacing w:line="276" w:lineRule="auto"/>
              <w:rPr>
                <w:rFonts w:hint="eastAsia" w:ascii="宋体" w:hAnsi="宋体" w:eastAsia="宋体" w:cs="宋体"/>
              </w:rPr>
            </w:pPr>
            <w:r>
              <w:rPr>
                <w:rFonts w:hint="eastAsia" w:ascii="宋体" w:hAnsi="宋体" w:eastAsia="宋体" w:cs="宋体"/>
              </w:rPr>
              <w:t>售后服务：</w:t>
            </w:r>
          </w:p>
          <w:p>
            <w:pPr>
              <w:spacing w:line="276" w:lineRule="auto"/>
              <w:rPr>
                <w:rFonts w:hint="eastAsia" w:ascii="宋体" w:hAnsi="宋体" w:eastAsia="宋体" w:cs="宋体"/>
              </w:rPr>
            </w:pPr>
            <w:r>
              <w:rPr>
                <w:rFonts w:hint="eastAsia" w:ascii="宋体" w:hAnsi="宋体" w:eastAsia="宋体" w:cs="宋体"/>
              </w:rPr>
              <w:t>1、投标人应具有良好的售后服务能力，具有GB/T27922商品（五★级）</w:t>
            </w:r>
            <w:r>
              <w:rPr>
                <w:rFonts w:hint="eastAsia" w:ascii="宋体" w:hAnsi="宋体" w:eastAsia="宋体" w:cs="宋体"/>
                <w:lang w:eastAsia="zh-CN"/>
              </w:rPr>
              <w:t>及以上</w:t>
            </w:r>
            <w:r>
              <w:rPr>
                <w:rFonts w:hint="eastAsia" w:ascii="宋体" w:hAnsi="宋体" w:eastAsia="宋体" w:cs="宋体"/>
              </w:rPr>
              <w:t>售后服务认证证书的，得</w:t>
            </w:r>
            <w:r>
              <w:rPr>
                <w:rFonts w:hint="eastAsia" w:ascii="宋体" w:hAnsi="宋体" w:eastAsia="宋体" w:cs="宋体"/>
                <w:lang w:val="en-US" w:eastAsia="zh-CN"/>
              </w:rPr>
              <w:t>3</w:t>
            </w:r>
            <w:r>
              <w:rPr>
                <w:rFonts w:hint="eastAsia" w:ascii="宋体" w:hAnsi="宋体" w:eastAsia="宋体" w:cs="宋体"/>
              </w:rPr>
              <w:t>分</w:t>
            </w:r>
            <w:r>
              <w:rPr>
                <w:rFonts w:hint="eastAsia" w:ascii="宋体" w:hAnsi="宋体" w:eastAsia="宋体" w:cs="宋体"/>
                <w:lang w:eastAsia="zh-CN"/>
              </w:rPr>
              <w:t>，</w:t>
            </w:r>
            <w:r>
              <w:rPr>
                <w:rFonts w:hint="eastAsia" w:ascii="宋体" w:hAnsi="宋体" w:eastAsia="宋体" w:cs="宋体"/>
              </w:rPr>
              <w:t>（</w:t>
            </w:r>
            <w:r>
              <w:rPr>
                <w:rFonts w:hint="eastAsia" w:ascii="宋体" w:hAnsi="宋体" w:eastAsia="宋体" w:cs="宋体"/>
                <w:lang w:eastAsia="zh-CN"/>
              </w:rPr>
              <w:t>四</w:t>
            </w:r>
            <w:r>
              <w:rPr>
                <w:rFonts w:hint="eastAsia" w:ascii="宋体" w:hAnsi="宋体" w:eastAsia="宋体" w:cs="宋体"/>
              </w:rPr>
              <w:t>★级）</w:t>
            </w:r>
            <w:r>
              <w:rPr>
                <w:rFonts w:hint="eastAsia" w:ascii="宋体" w:hAnsi="宋体" w:eastAsia="宋体" w:cs="宋体"/>
                <w:lang w:eastAsia="zh-CN"/>
              </w:rPr>
              <w:t>及以下得</w:t>
            </w:r>
            <w:r>
              <w:rPr>
                <w:rFonts w:hint="eastAsia" w:ascii="宋体" w:hAnsi="宋体" w:eastAsia="宋体" w:cs="宋体"/>
                <w:lang w:val="en-US" w:eastAsia="zh-CN"/>
              </w:rPr>
              <w:t>1分</w:t>
            </w:r>
            <w:r>
              <w:rPr>
                <w:rFonts w:hint="eastAsia" w:ascii="宋体" w:hAnsi="宋体" w:eastAsia="宋体" w:cs="宋体"/>
              </w:rPr>
              <w:t>。（认证范围须包括水处理设备和垃圾处理设备，须可在全国认证认可信息公共服务平台查询，且证书有效，</w:t>
            </w:r>
            <w:r>
              <w:rPr>
                <w:rFonts w:hint="eastAsia" w:ascii="宋体" w:hAnsi="宋体" w:eastAsia="宋体" w:cs="宋体"/>
                <w:kern w:val="0"/>
                <w:lang w:eastAsia="zh-CN"/>
              </w:rPr>
              <w:t>提供扫描件并加盖有效公章，</w:t>
            </w:r>
            <w:r>
              <w:rPr>
                <w:rFonts w:hint="eastAsia" w:ascii="宋体" w:hAnsi="宋体" w:eastAsia="宋体" w:cs="宋体"/>
                <w:kern w:val="0"/>
              </w:rPr>
              <w:t>不提供不得分</w:t>
            </w:r>
            <w:r>
              <w:rPr>
                <w:rFonts w:hint="eastAsia" w:ascii="宋体" w:hAnsi="宋体" w:eastAsia="宋体" w:cs="宋体"/>
              </w:rPr>
              <w:t>）</w:t>
            </w:r>
          </w:p>
          <w:p>
            <w:pPr>
              <w:spacing w:line="276" w:lineRule="auto"/>
              <w:rPr>
                <w:rFonts w:hint="eastAsia" w:ascii="宋体" w:hAnsi="宋体" w:eastAsia="宋体" w:cs="宋体"/>
                <w:lang w:val="en-US" w:eastAsia="zh-CN"/>
              </w:rPr>
            </w:pPr>
            <w:r>
              <w:rPr>
                <w:rFonts w:hint="eastAsia" w:ascii="宋体" w:hAnsi="宋体" w:eastAsia="宋体" w:cs="宋体"/>
              </w:rPr>
              <w:t>2、</w:t>
            </w:r>
            <w:r>
              <w:rPr>
                <w:rFonts w:hint="eastAsia" w:ascii="宋体" w:hAnsi="宋体" w:eastAsia="宋体" w:cs="宋体"/>
                <w:lang w:eastAsia="zh-CN"/>
              </w:rPr>
              <w:t>投标人针对本项目废水、废渣料、</w:t>
            </w:r>
            <w:r>
              <w:rPr>
                <w:rFonts w:hint="eastAsia" w:ascii="宋体" w:hAnsi="宋体" w:eastAsia="宋体" w:cs="宋体"/>
                <w:lang w:val="en-US" w:eastAsia="zh-CN"/>
              </w:rPr>
              <w:t>废油</w:t>
            </w:r>
            <w:r>
              <w:rPr>
                <w:rFonts w:hint="eastAsia" w:ascii="宋体" w:hAnsi="宋体" w:eastAsia="宋体" w:cs="宋体"/>
                <w:lang w:eastAsia="zh-CN"/>
              </w:rPr>
              <w:t>的处理方案；</w:t>
            </w:r>
            <w:r>
              <w:rPr>
                <w:rFonts w:hint="eastAsia" w:ascii="宋体" w:hAnsi="宋体" w:eastAsia="宋体" w:cs="宋体"/>
                <w:lang w:val="en-US" w:eastAsia="zh-CN"/>
              </w:rPr>
              <w:t>0-4分</w:t>
            </w:r>
          </w:p>
          <w:p>
            <w:pPr>
              <w:pStyle w:val="2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w:t>
            </w:r>
            <w:r>
              <w:rPr>
                <w:rFonts w:hint="eastAsia" w:ascii="宋体" w:hAnsi="宋体" w:eastAsia="宋体" w:cs="宋体"/>
                <w:sz w:val="21"/>
                <w:szCs w:val="21"/>
              </w:rPr>
              <w:t>售后服务方案，维护保养期的服务、应急方案、备件备品等方案</w:t>
            </w:r>
            <w:r>
              <w:rPr>
                <w:rFonts w:hint="eastAsia" w:ascii="宋体" w:hAnsi="宋体" w:eastAsia="宋体" w:cs="宋体"/>
                <w:sz w:val="21"/>
                <w:szCs w:val="21"/>
                <w:lang w:eastAsia="zh-CN"/>
              </w:rPr>
              <w:t>、</w:t>
            </w:r>
            <w:r>
              <w:rPr>
                <w:rFonts w:hint="eastAsia" w:ascii="宋体" w:hAnsi="宋体" w:eastAsia="宋体" w:cs="宋体"/>
                <w:sz w:val="21"/>
                <w:szCs w:val="21"/>
              </w:rPr>
              <w:t>培训方案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0-3分</w:t>
            </w:r>
          </w:p>
        </w:tc>
      </w:tr>
    </w:tbl>
    <w:p>
      <w:pPr>
        <w:pStyle w:val="32"/>
        <w:snapToGrid w:val="0"/>
        <w:ind w:left="480" w:firstLine="0" w:firstLineChars="0"/>
        <w:rPr>
          <w:rFonts w:hint="eastAsia" w:ascii="宋体" w:hAnsi="宋体" w:eastAsia="宋体" w:cs="宋体"/>
          <w:b/>
          <w:color w:val="000000"/>
        </w:rPr>
      </w:pPr>
      <w:r>
        <w:rPr>
          <w:rFonts w:hint="eastAsia" w:ascii="宋体" w:hAnsi="宋体" w:eastAsia="宋体" w:cs="宋体"/>
          <w:b/>
          <w:color w:val="000000"/>
        </w:rPr>
        <w:t>注：以上所涉及的证明材料，需提供</w:t>
      </w:r>
      <w:r>
        <w:rPr>
          <w:rFonts w:hint="eastAsia" w:ascii="宋体" w:hAnsi="宋体" w:eastAsia="宋体" w:cs="宋体"/>
          <w:b/>
          <w:color w:val="000000"/>
          <w:lang w:val="en-US" w:eastAsia="zh-CN"/>
        </w:rPr>
        <w:t>扫描件</w:t>
      </w:r>
      <w:r>
        <w:rPr>
          <w:rFonts w:hint="eastAsia" w:ascii="宋体" w:hAnsi="宋体" w:eastAsia="宋体" w:cs="宋体"/>
          <w:b/>
          <w:color w:val="000000"/>
        </w:rPr>
        <w:t>并加盖有效公章，未提供</w:t>
      </w:r>
      <w:r>
        <w:rPr>
          <w:rFonts w:hint="eastAsia" w:ascii="宋体" w:hAnsi="宋体" w:eastAsia="宋体" w:cs="宋体"/>
          <w:b/>
          <w:color w:val="000000"/>
          <w:lang w:eastAsia="zh-CN"/>
        </w:rPr>
        <w:t>或未加盖有效公章</w:t>
      </w:r>
      <w:r>
        <w:rPr>
          <w:rFonts w:hint="eastAsia" w:ascii="宋体" w:hAnsi="宋体" w:eastAsia="宋体" w:cs="宋体"/>
          <w:b/>
          <w:color w:val="000000"/>
        </w:rPr>
        <w:t>的不得分。</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3、技术分+商务分=评标委员会所有成员评分合计数/评标委员会组成人员数</w:t>
      </w:r>
    </w:p>
    <w:p>
      <w:pPr>
        <w:snapToGrid w:val="0"/>
        <w:spacing w:line="360" w:lineRule="auto"/>
        <w:ind w:firstLine="480" w:firstLineChars="200"/>
        <w:rPr>
          <w:rFonts w:hint="eastAsia" w:ascii="宋体" w:hAnsi="宋体" w:eastAsia="宋体" w:cs="宋体"/>
          <w:b/>
          <w:bCs/>
          <w:color w:val="000000"/>
          <w:sz w:val="24"/>
          <w:lang w:eastAsia="zh-CN"/>
        </w:rPr>
      </w:pPr>
      <w:r>
        <w:rPr>
          <w:rFonts w:hint="eastAsia" w:ascii="宋体" w:hAnsi="宋体" w:eastAsia="宋体" w:cs="宋体"/>
          <w:color w:val="000000"/>
          <w:sz w:val="24"/>
        </w:rPr>
        <w:t>4、价格分（</w:t>
      </w:r>
      <w:r>
        <w:rPr>
          <w:rFonts w:hint="eastAsia" w:ascii="宋体" w:hAnsi="宋体" w:eastAsia="宋体" w:cs="宋体"/>
          <w:color w:val="000000"/>
          <w:sz w:val="24"/>
          <w:lang w:val="en-US" w:eastAsia="zh-CN"/>
        </w:rPr>
        <w:t>4</w:t>
      </w:r>
      <w:r>
        <w:rPr>
          <w:rFonts w:hint="eastAsia" w:ascii="宋体" w:hAnsi="宋体" w:eastAsia="宋体" w:cs="宋体"/>
          <w:color w:val="000000"/>
          <w:sz w:val="24"/>
        </w:rPr>
        <w:t>0分）采用低价优先法计算，即满足招标文件要求且投标价格最低的投标报价为评标基准价，其他投标人的价格分按照下列公式计算：</w:t>
      </w:r>
      <w:r>
        <w:rPr>
          <w:rFonts w:hint="eastAsia" w:ascii="宋体" w:hAnsi="宋体" w:eastAsia="宋体" w:cs="宋体"/>
          <w:b/>
          <w:bCs/>
          <w:color w:val="000000"/>
          <w:sz w:val="24"/>
          <w:lang w:eastAsia="zh-CN"/>
        </w:rPr>
        <w:t>（精确到小数点后二位）</w:t>
      </w:r>
    </w:p>
    <w:p>
      <w:pPr>
        <w:snapToGrid w:val="0"/>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价格分=（评标基准价/投标报价）×</w:t>
      </w:r>
      <w:r>
        <w:rPr>
          <w:rFonts w:hint="eastAsia" w:ascii="宋体" w:hAnsi="宋体" w:eastAsia="宋体" w:cs="宋体"/>
          <w:b/>
          <w:bCs/>
          <w:color w:val="000000"/>
          <w:sz w:val="24"/>
          <w:lang w:val="en-US" w:eastAsia="zh-CN"/>
        </w:rPr>
        <w:t>40</w:t>
      </w:r>
      <w:r>
        <w:rPr>
          <w:rFonts w:hint="eastAsia" w:ascii="宋体" w:hAnsi="宋体" w:eastAsia="宋体" w:cs="宋体"/>
          <w:b/>
          <w:bCs/>
          <w:color w:val="000000"/>
          <w:sz w:val="24"/>
        </w:rPr>
        <w:t>%×100；</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因落实政府采购政策进行价格调整的，以调整后的价格计算评标基准价和投标报价。</w:t>
      </w:r>
    </w:p>
    <w:p>
      <w:pPr>
        <w:snapToGrid w:val="0"/>
        <w:spacing w:line="360" w:lineRule="auto"/>
        <w:ind w:firstLine="480" w:firstLineChars="200"/>
        <w:rPr>
          <w:rFonts w:hint="eastAsia" w:ascii="宋体" w:hAnsi="宋体" w:eastAsia="宋体" w:cs="宋体"/>
          <w:color w:val="000000"/>
          <w:sz w:val="24"/>
        </w:rPr>
      </w:pPr>
    </w:p>
    <w:bookmarkEnd w:id="24"/>
    <w:p>
      <w:pPr>
        <w:snapToGrid w:val="0"/>
        <w:spacing w:line="360" w:lineRule="auto"/>
        <w:ind w:firstLine="482" w:firstLineChars="200"/>
        <w:rPr>
          <w:rFonts w:hint="eastAsia" w:ascii="宋体" w:hAnsi="宋体" w:eastAsia="宋体" w:cs="宋体"/>
          <w:b/>
          <w:bCs/>
          <w:color w:val="000000"/>
          <w:sz w:val="24"/>
          <w:lang w:eastAsia="zh-CN"/>
        </w:rPr>
      </w:pPr>
      <w:r>
        <w:rPr>
          <w:rFonts w:hint="eastAsia" w:ascii="宋体" w:hAnsi="宋体" w:eastAsia="宋体" w:cs="宋体"/>
          <w:b/>
          <w:bCs/>
          <w:color w:val="000000"/>
          <w:sz w:val="24"/>
        </w:rPr>
        <w:t>5、投标人评标综合得分=价格分+商务分+技术分</w:t>
      </w:r>
      <w:r>
        <w:rPr>
          <w:rFonts w:hint="eastAsia" w:ascii="宋体" w:hAnsi="宋体" w:eastAsia="宋体" w:cs="宋体"/>
          <w:b/>
          <w:bCs/>
          <w:color w:val="000000"/>
          <w:sz w:val="24"/>
          <w:lang w:eastAsia="zh-CN"/>
        </w:rPr>
        <w:t>（精确到小数点后二位）；</w:t>
      </w:r>
    </w:p>
    <w:p>
      <w:pPr>
        <w:pStyle w:val="32"/>
        <w:snapToGrid w:val="0"/>
        <w:ind w:left="480" w:firstLine="0" w:firstLineChars="0"/>
        <w:rPr>
          <w:rFonts w:hint="eastAsia" w:ascii="宋体" w:hAnsi="宋体" w:eastAsia="宋体" w:cs="宋体"/>
          <w:b/>
          <w:color w:val="000000"/>
        </w:rPr>
      </w:pPr>
      <w:r>
        <w:rPr>
          <w:rFonts w:hint="eastAsia" w:ascii="宋体" w:hAnsi="宋体" w:eastAsia="宋体" w:cs="宋体"/>
          <w:b/>
          <w:color w:val="000000"/>
        </w:rPr>
        <w:t>注：以上所涉及的证明材料，需提供</w:t>
      </w:r>
      <w:r>
        <w:rPr>
          <w:rFonts w:hint="eastAsia" w:ascii="宋体" w:hAnsi="宋体" w:eastAsia="宋体" w:cs="宋体"/>
          <w:b/>
          <w:color w:val="000000"/>
          <w:lang w:eastAsia="zh-CN"/>
        </w:rPr>
        <w:t>并</w:t>
      </w:r>
      <w:r>
        <w:rPr>
          <w:rFonts w:hint="eastAsia" w:ascii="宋体" w:hAnsi="宋体" w:eastAsia="宋体" w:cs="宋体"/>
          <w:b/>
          <w:color w:val="000000"/>
        </w:rPr>
        <w:t>制作进投标响应文件内，未提供的不得分。</w:t>
      </w:r>
    </w:p>
    <w:p>
      <w:pPr>
        <w:snapToGrid w:val="0"/>
        <w:spacing w:line="360" w:lineRule="auto"/>
        <w:ind w:firstLine="472" w:firstLineChars="196"/>
        <w:rPr>
          <w:rFonts w:hint="eastAsia" w:ascii="宋体" w:hAnsi="宋体" w:eastAsia="宋体" w:cs="宋体"/>
          <w:b/>
          <w:color w:val="000000"/>
          <w:sz w:val="24"/>
        </w:rPr>
      </w:pPr>
      <w:r>
        <w:rPr>
          <w:rFonts w:hint="eastAsia" w:ascii="宋体" w:hAnsi="宋体" w:eastAsia="宋体" w:cs="宋体"/>
          <w:b/>
          <w:color w:val="000000"/>
          <w:sz w:val="24"/>
        </w:rPr>
        <w:t>报价是中标的一个重要因素，但最低报价不是中标的唯一依据。</w:t>
      </w:r>
    </w:p>
    <w:p>
      <w:pPr>
        <w:snapToGrid w:val="0"/>
        <w:spacing w:line="360" w:lineRule="auto"/>
        <w:ind w:left="110" w:leftChars="50" w:firstLine="480" w:firstLineChars="200"/>
        <w:rPr>
          <w:rFonts w:hint="eastAsia" w:ascii="宋体" w:hAnsi="宋体" w:eastAsia="宋体" w:cs="宋体"/>
          <w:color w:val="000000"/>
          <w:sz w:val="24"/>
        </w:rPr>
      </w:pPr>
      <w:r>
        <w:rPr>
          <w:rFonts w:hint="eastAsia" w:ascii="宋体" w:hAnsi="宋体" w:eastAsia="宋体" w:cs="宋体"/>
          <w:color w:val="000000"/>
          <w:sz w:val="24"/>
        </w:rPr>
        <w:t>注：根据浙江省财政厅、浙江省中小企业局转发财政部、工业和信息化部关于印发《政府采购促进中小企业发展暂行办法》的通知（浙财采监[2012]11号），</w:t>
      </w:r>
      <w:r>
        <w:rPr>
          <w:rFonts w:hint="eastAsia" w:ascii="宋体" w:hAnsi="宋体" w:eastAsia="宋体" w:cs="宋体"/>
          <w:b/>
          <w:bCs/>
          <w:color w:val="000000"/>
          <w:sz w:val="24"/>
        </w:rPr>
        <w:t>对小型或微型企业</w:t>
      </w:r>
      <w:r>
        <w:rPr>
          <w:rFonts w:hint="eastAsia" w:ascii="宋体" w:hAnsi="宋体" w:eastAsia="宋体" w:cs="宋体"/>
          <w:color w:val="000000"/>
          <w:sz w:val="24"/>
        </w:rPr>
        <w:t>的投标报价给予</w:t>
      </w:r>
      <w:r>
        <w:rPr>
          <w:rFonts w:hint="eastAsia" w:ascii="宋体" w:hAnsi="宋体" w:eastAsia="宋体" w:cs="宋体"/>
          <w:b/>
          <w:bCs/>
          <w:color w:val="000000"/>
          <w:sz w:val="24"/>
          <w:u w:val="single"/>
        </w:rPr>
        <w:t>6%</w:t>
      </w:r>
      <w:r>
        <w:rPr>
          <w:rFonts w:hint="eastAsia" w:ascii="宋体" w:hAnsi="宋体" w:eastAsia="宋体" w:cs="宋体"/>
          <w:color w:val="000000"/>
          <w:sz w:val="24"/>
        </w:rPr>
        <w:t>的扣除，并用扣除后的价格计算价格评分。同时符合以下所有要求的投标人被认定为小型、微型企业：</w:t>
      </w:r>
    </w:p>
    <w:p>
      <w:pPr>
        <w:snapToGrid w:val="0"/>
        <w:spacing w:line="360" w:lineRule="auto"/>
        <w:ind w:left="110" w:leftChars="50" w:firstLine="480" w:firstLineChars="200"/>
        <w:rPr>
          <w:rFonts w:hint="eastAsia" w:ascii="宋体" w:hAnsi="宋体" w:eastAsia="宋体" w:cs="宋体"/>
          <w:color w:val="000000"/>
          <w:sz w:val="24"/>
        </w:rPr>
      </w:pPr>
      <w:r>
        <w:rPr>
          <w:rFonts w:hint="eastAsia" w:ascii="宋体" w:hAnsi="宋体" w:eastAsia="宋体" w:cs="宋体"/>
          <w:color w:val="000000"/>
          <w:sz w:val="24"/>
        </w:rPr>
        <w:t>（1）投标人按照《关于印发中小企业划型标准规定的通知》（工信部联企业〔2011〕300号）的所属行业规定为小型、微型企业【注：按《关于印发中小企业划型标准规定的通知》规定提供《中小企业声明函》】。</w:t>
      </w:r>
    </w:p>
    <w:p>
      <w:pPr>
        <w:snapToGrid w:val="0"/>
        <w:spacing w:line="360" w:lineRule="auto"/>
        <w:ind w:left="110" w:leftChars="50" w:firstLine="480" w:firstLineChars="200"/>
        <w:rPr>
          <w:rFonts w:hint="eastAsia" w:ascii="宋体" w:hAnsi="宋体" w:eastAsia="宋体" w:cs="宋体"/>
          <w:color w:val="000000"/>
          <w:sz w:val="24"/>
        </w:rPr>
      </w:pPr>
      <w:r>
        <w:rPr>
          <w:rFonts w:hint="eastAsia" w:ascii="宋体" w:hAnsi="宋体" w:eastAsia="宋体" w:cs="宋体"/>
          <w:color w:val="000000"/>
          <w:sz w:val="24"/>
        </w:rPr>
        <w:t>（2）投标人所投标项内产品均为小型、微型企业提供的服务【注：按《关于印发中小企业划型标准规定的通知》中“工业行业”规定提供制造商出具的《中小企业声明函》】。</w:t>
      </w:r>
    </w:p>
    <w:p>
      <w:pPr>
        <w:snapToGrid w:val="0"/>
        <w:spacing w:line="360" w:lineRule="auto"/>
        <w:ind w:left="110" w:leftChars="50" w:firstLine="480" w:firstLineChars="200"/>
        <w:rPr>
          <w:rFonts w:hint="eastAsia" w:ascii="宋体" w:hAnsi="宋体" w:eastAsia="宋体" w:cs="宋体"/>
          <w:color w:val="000000"/>
          <w:sz w:val="24"/>
        </w:rPr>
      </w:pPr>
      <w:r>
        <w:rPr>
          <w:rFonts w:hint="eastAsia" w:ascii="宋体" w:hAnsi="宋体" w:eastAsia="宋体" w:cs="宋体"/>
          <w:color w:val="000000"/>
          <w:sz w:val="24"/>
        </w:rPr>
        <w:t>（3）联合体参加投标的，联合协议中约定，小型、微型企业的协议合同金额占到联合体协议合同总金额30%以上的，投标报价给予</w:t>
      </w:r>
      <w:r>
        <w:rPr>
          <w:rFonts w:hint="eastAsia" w:ascii="宋体" w:hAnsi="宋体" w:eastAsia="宋体" w:cs="宋体"/>
          <w:color w:val="000000"/>
          <w:sz w:val="24"/>
          <w:u w:val="single"/>
        </w:rPr>
        <w:t xml:space="preserve">2% </w:t>
      </w:r>
      <w:r>
        <w:rPr>
          <w:rFonts w:hint="eastAsia" w:ascii="宋体" w:hAnsi="宋体" w:eastAsia="宋体" w:cs="宋体"/>
          <w:color w:val="000000"/>
          <w:sz w:val="24"/>
        </w:rPr>
        <w:t>的扣除，并用扣除后的价格计算价格评分；如联合体各方均为小型、微型企业的，提供本企业生产的产品或提供其他小型、微型企业的产品的，投标报价给予</w:t>
      </w:r>
      <w:r>
        <w:rPr>
          <w:rFonts w:hint="eastAsia" w:ascii="宋体" w:hAnsi="宋体" w:eastAsia="宋体" w:cs="宋体"/>
          <w:color w:val="000000"/>
          <w:sz w:val="24"/>
          <w:u w:val="single"/>
        </w:rPr>
        <w:t xml:space="preserve">6% </w:t>
      </w:r>
      <w:r>
        <w:rPr>
          <w:rFonts w:hint="eastAsia" w:ascii="宋体" w:hAnsi="宋体" w:eastAsia="宋体" w:cs="宋体"/>
          <w:color w:val="000000"/>
          <w:sz w:val="24"/>
        </w:rPr>
        <w:t>的扣除，并用扣除后的价格计算价格评分。组成联合体的大中型企业和其他自然人、法人或者其他组织，与小型、微型企业之间不得存在投资关系，否则不予价格扣除。</w:t>
      </w:r>
    </w:p>
    <w:p>
      <w:pPr>
        <w:snapToGrid w:val="0"/>
        <w:spacing w:line="360" w:lineRule="auto"/>
        <w:ind w:left="110" w:leftChars="50" w:firstLine="480" w:firstLineChars="200"/>
        <w:rPr>
          <w:rFonts w:hint="eastAsia" w:ascii="宋体" w:hAnsi="宋体" w:eastAsia="宋体" w:cs="宋体"/>
          <w:color w:val="000000"/>
          <w:sz w:val="24"/>
        </w:rPr>
      </w:pPr>
      <w:r>
        <w:rPr>
          <w:rFonts w:hint="eastAsia" w:ascii="宋体" w:hAnsi="宋体" w:eastAsia="宋体" w:cs="宋体"/>
          <w:color w:val="000000"/>
          <w:sz w:val="24"/>
        </w:rPr>
        <w:t>监狱企业视同小微企业，参加本项目投标的，享受小微企业同等的价格扣除。【注：提供《监狱企业声明函》】。</w:t>
      </w:r>
    </w:p>
    <w:p>
      <w:pPr>
        <w:pStyle w:val="22"/>
        <w:spacing w:line="360" w:lineRule="auto"/>
        <w:ind w:left="360" w:firstLine="0" w:firstLineChars="0"/>
        <w:rPr>
          <w:rFonts w:hint="eastAsia" w:ascii="宋体" w:hAnsi="宋体" w:eastAsia="宋体" w:cs="宋体"/>
          <w:color w:val="000000"/>
          <w:szCs w:val="24"/>
        </w:rPr>
      </w:pPr>
      <w:r>
        <w:rPr>
          <w:rFonts w:hint="eastAsia" w:ascii="宋体" w:hAnsi="宋体" w:eastAsia="宋体" w:cs="宋体"/>
          <w:color w:val="000000"/>
          <w:szCs w:val="24"/>
        </w:rPr>
        <w:t>（5）残疾人福利性单位参加投标【提供《残疾人福利性单位声明函》】，视为小</w:t>
      </w:r>
    </w:p>
    <w:p>
      <w:pPr>
        <w:pStyle w:val="22"/>
        <w:spacing w:line="360" w:lineRule="auto"/>
        <w:ind w:firstLine="129" w:firstLineChars="59"/>
        <w:rPr>
          <w:rFonts w:hint="eastAsia" w:ascii="宋体" w:hAnsi="宋体" w:eastAsia="宋体" w:cs="宋体"/>
          <w:color w:val="000000"/>
          <w:szCs w:val="24"/>
        </w:rPr>
      </w:pPr>
      <w:r>
        <w:rPr>
          <w:rFonts w:hint="eastAsia" w:ascii="宋体" w:hAnsi="宋体" w:eastAsia="宋体" w:cs="宋体"/>
          <w:color w:val="000000"/>
          <w:szCs w:val="24"/>
        </w:rPr>
        <w:t>型、微型企业，享受小微企业政策扶持。</w:t>
      </w:r>
    </w:p>
    <w:p>
      <w:pPr>
        <w:shd w:val="clear" w:color="auto" w:fill="FFFFFF"/>
        <w:snapToGrid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（十四）评标内容的保密</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1、公开开标后，直到宣布中标单位止，凡属于审查、澄清、评价和比较投标的所有资料，都不应向投标人或与评标无关的其他人泄露。</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2、在投标文件的审查、澄清、评价和比较以及确定中标人过程中，投标人对招标人、招标代理机构和评标委员会施加影响的任何行为，都将导致取消资格。</w:t>
      </w:r>
    </w:p>
    <w:p>
      <w:pPr>
        <w:shd w:val="clear" w:color="auto" w:fill="FFFFFF"/>
        <w:snapToGrid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（十五）废标</w:t>
      </w:r>
    </w:p>
    <w:p>
      <w:pPr>
        <w:pStyle w:val="3"/>
        <w:snapToGrid w:val="0"/>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在采购中，出现下列情形之一的，应予废标：</w:t>
      </w:r>
    </w:p>
    <w:p>
      <w:pPr>
        <w:pStyle w:val="3"/>
        <w:snapToGrid w:val="0"/>
        <w:spacing w:line="360" w:lineRule="auto"/>
        <w:ind w:firstLine="482"/>
        <w:rPr>
          <w:rFonts w:hint="eastAsia" w:ascii="宋体" w:hAnsi="宋体" w:eastAsia="宋体" w:cs="宋体"/>
          <w:b/>
          <w:color w:val="000000"/>
          <w:sz w:val="24"/>
          <w:szCs w:val="24"/>
        </w:rPr>
      </w:pPr>
      <w:r>
        <w:rPr>
          <w:rFonts w:hint="eastAsia" w:ascii="宋体" w:hAnsi="宋体" w:eastAsia="宋体" w:cs="宋体"/>
          <w:b/>
          <w:color w:val="000000"/>
          <w:sz w:val="24"/>
          <w:szCs w:val="24"/>
        </w:rPr>
        <w:t>(1)符合专业条件的供应商或者对招标文件作实质响应的供应商不足3家的；</w:t>
      </w:r>
    </w:p>
    <w:p>
      <w:pPr>
        <w:pStyle w:val="3"/>
        <w:snapToGrid w:val="0"/>
        <w:spacing w:line="360" w:lineRule="auto"/>
        <w:ind w:firstLine="482"/>
        <w:rPr>
          <w:rFonts w:hint="eastAsia" w:ascii="宋体" w:hAnsi="宋体" w:eastAsia="宋体" w:cs="宋体"/>
          <w:b/>
          <w:color w:val="000000"/>
          <w:sz w:val="24"/>
          <w:szCs w:val="24"/>
        </w:rPr>
      </w:pPr>
      <w:r>
        <w:rPr>
          <w:rFonts w:hint="eastAsia" w:ascii="宋体" w:hAnsi="宋体" w:eastAsia="宋体" w:cs="宋体"/>
          <w:b/>
          <w:color w:val="000000"/>
          <w:sz w:val="24"/>
          <w:szCs w:val="24"/>
        </w:rPr>
        <w:t>(2)出现影响采购公正的违法、违规行为的；</w:t>
      </w:r>
    </w:p>
    <w:p>
      <w:pPr>
        <w:pStyle w:val="3"/>
        <w:snapToGrid w:val="0"/>
        <w:spacing w:line="360" w:lineRule="auto"/>
        <w:ind w:firstLine="482"/>
        <w:rPr>
          <w:rFonts w:hint="eastAsia" w:ascii="宋体" w:hAnsi="宋体" w:eastAsia="宋体" w:cs="宋体"/>
          <w:b/>
          <w:color w:val="000000"/>
          <w:sz w:val="24"/>
          <w:szCs w:val="24"/>
        </w:rPr>
      </w:pPr>
      <w:r>
        <w:rPr>
          <w:rFonts w:hint="eastAsia" w:ascii="宋体" w:hAnsi="宋体" w:eastAsia="宋体" w:cs="宋体"/>
          <w:b/>
          <w:color w:val="000000"/>
          <w:sz w:val="24"/>
          <w:szCs w:val="24"/>
        </w:rPr>
        <w:t>(3)报价均超过预算，不能支付的；</w:t>
      </w:r>
    </w:p>
    <w:p>
      <w:pPr>
        <w:shd w:val="clear" w:color="auto" w:fill="FFFFFF"/>
        <w:snapToGrid w:val="0"/>
        <w:spacing w:line="360" w:lineRule="auto"/>
        <w:rPr>
          <w:rFonts w:hint="eastAsia" w:ascii="宋体" w:hAnsi="宋体" w:eastAsia="宋体" w:cs="宋体"/>
          <w:b/>
          <w:bCs/>
          <w:color w:val="000000"/>
          <w:sz w:val="24"/>
        </w:rPr>
      </w:pPr>
      <w:r>
        <w:rPr>
          <w:rFonts w:hint="eastAsia" w:ascii="宋体" w:hAnsi="宋体" w:eastAsia="宋体" w:cs="宋体"/>
          <w:b/>
          <w:color w:val="000000"/>
          <w:sz w:val="24"/>
        </w:rPr>
        <w:t xml:space="preserve">    (4)因重大变故，采购任务取消的。</w:t>
      </w:r>
    </w:p>
    <w:p>
      <w:pPr>
        <w:pStyle w:val="6"/>
        <w:numPr>
          <w:ilvl w:val="2"/>
          <w:numId w:val="0"/>
        </w:numPr>
        <w:spacing w:before="0" w:after="0"/>
        <w:jc w:val="both"/>
        <w:rPr>
          <w:rFonts w:hint="eastAsia" w:ascii="宋体" w:hAnsi="宋体" w:eastAsia="宋体" w:cs="宋体"/>
          <w:sz w:val="24"/>
          <w:szCs w:val="24"/>
        </w:rPr>
      </w:pPr>
      <w:r>
        <w:rPr>
          <w:rFonts w:hint="eastAsia" w:ascii="宋体" w:hAnsi="宋体" w:eastAsia="宋体" w:cs="宋体"/>
          <w:sz w:val="24"/>
          <w:szCs w:val="24"/>
        </w:rPr>
        <w:t>（十六）可中止电子交易活动的情形</w:t>
      </w:r>
    </w:p>
    <w:p>
      <w:pPr>
        <w:spacing w:line="360" w:lineRule="auto"/>
        <w:ind w:firstLine="424" w:firstLineChars="176"/>
        <w:rPr>
          <w:rFonts w:hint="eastAsia" w:ascii="宋体" w:hAnsi="宋体" w:eastAsia="宋体" w:cs="宋体"/>
          <w:color w:val="000000"/>
          <w:sz w:val="24"/>
        </w:rPr>
      </w:pPr>
      <w:r>
        <w:rPr>
          <w:rFonts w:hint="eastAsia" w:ascii="宋体" w:hAnsi="宋体" w:eastAsia="宋体" w:cs="宋体"/>
          <w:b/>
          <w:color w:val="000000"/>
          <w:sz w:val="24"/>
        </w:rPr>
        <w:t>采购过程中出现以下情形，导致电子交易平台无法正常运行，或者无法保证电子交易的公平、公正和安全时，采购组织机构可中止电子交易活动：</w:t>
      </w:r>
    </w:p>
    <w:p>
      <w:pPr>
        <w:spacing w:line="360" w:lineRule="auto"/>
        <w:ind w:firstLine="422" w:firstLineChars="176"/>
        <w:rPr>
          <w:rFonts w:hint="eastAsia" w:ascii="宋体" w:hAnsi="宋体" w:eastAsia="宋体" w:cs="宋体"/>
          <w:color w:val="000000"/>
          <w:sz w:val="24"/>
        </w:rPr>
      </w:pPr>
      <w:r>
        <w:rPr>
          <w:rFonts w:hint="eastAsia" w:ascii="宋体" w:hAnsi="宋体" w:eastAsia="宋体" w:cs="宋体"/>
          <w:color w:val="000000"/>
          <w:sz w:val="24"/>
        </w:rPr>
        <w:t>1、电子交易平台发生故障而无法登录访问的；</w:t>
      </w:r>
    </w:p>
    <w:p>
      <w:pPr>
        <w:spacing w:line="360" w:lineRule="auto"/>
        <w:ind w:firstLine="422" w:firstLineChars="176"/>
        <w:rPr>
          <w:rFonts w:hint="eastAsia" w:ascii="宋体" w:hAnsi="宋体" w:eastAsia="宋体" w:cs="宋体"/>
          <w:color w:val="000000"/>
          <w:sz w:val="24"/>
        </w:rPr>
      </w:pPr>
      <w:r>
        <w:rPr>
          <w:rFonts w:hint="eastAsia" w:ascii="宋体" w:hAnsi="宋体" w:eastAsia="宋体" w:cs="宋体"/>
          <w:color w:val="000000"/>
          <w:sz w:val="24"/>
        </w:rPr>
        <w:t>2、电子交易平台应用或数据库出现错误，不能进行正常操作的；</w:t>
      </w:r>
    </w:p>
    <w:p>
      <w:pPr>
        <w:spacing w:line="360" w:lineRule="auto"/>
        <w:ind w:firstLine="422" w:firstLineChars="176"/>
        <w:rPr>
          <w:rFonts w:hint="eastAsia" w:ascii="宋体" w:hAnsi="宋体" w:eastAsia="宋体" w:cs="宋体"/>
          <w:color w:val="000000"/>
          <w:sz w:val="24"/>
        </w:rPr>
      </w:pPr>
      <w:r>
        <w:rPr>
          <w:rFonts w:hint="eastAsia" w:ascii="宋体" w:hAnsi="宋体" w:eastAsia="宋体" w:cs="宋体"/>
          <w:color w:val="000000"/>
          <w:sz w:val="24"/>
        </w:rPr>
        <w:t>3、电子交易平台发现严重安全漏洞，有潜在泄密危险的；</w:t>
      </w:r>
    </w:p>
    <w:p>
      <w:pPr>
        <w:spacing w:line="360" w:lineRule="auto"/>
        <w:ind w:firstLine="422" w:firstLineChars="176"/>
        <w:rPr>
          <w:rFonts w:hint="eastAsia" w:ascii="宋体" w:hAnsi="宋体" w:eastAsia="宋体" w:cs="宋体"/>
          <w:color w:val="000000"/>
          <w:sz w:val="24"/>
        </w:rPr>
      </w:pPr>
      <w:r>
        <w:rPr>
          <w:rFonts w:hint="eastAsia" w:ascii="宋体" w:hAnsi="宋体" w:eastAsia="宋体" w:cs="宋体"/>
          <w:color w:val="000000"/>
          <w:sz w:val="24"/>
        </w:rPr>
        <w:t>4、病毒发作导致不能进行正常操作的；</w:t>
      </w:r>
    </w:p>
    <w:p>
      <w:pPr>
        <w:spacing w:line="360" w:lineRule="auto"/>
        <w:ind w:firstLine="422" w:firstLineChars="176"/>
        <w:rPr>
          <w:rFonts w:hint="eastAsia" w:ascii="宋体" w:hAnsi="宋体" w:eastAsia="宋体" w:cs="宋体"/>
          <w:color w:val="000000"/>
          <w:sz w:val="24"/>
        </w:rPr>
      </w:pPr>
      <w:r>
        <w:rPr>
          <w:rFonts w:hint="eastAsia" w:ascii="宋体" w:hAnsi="宋体" w:eastAsia="宋体" w:cs="宋体"/>
          <w:color w:val="000000"/>
          <w:sz w:val="24"/>
        </w:rPr>
        <w:t>5、其他无法保证电子交易的公平、公正和安全的情况。</w:t>
      </w:r>
    </w:p>
    <w:p>
      <w:pPr>
        <w:spacing w:line="360" w:lineRule="auto"/>
        <w:ind w:firstLine="424" w:firstLineChars="176"/>
        <w:rPr>
          <w:rFonts w:hint="eastAsia" w:ascii="宋体" w:hAnsi="宋体" w:eastAsia="宋体" w:cs="宋体"/>
          <w:color w:val="000000"/>
          <w:sz w:val="24"/>
        </w:rPr>
      </w:pPr>
      <w:r>
        <w:rPr>
          <w:rFonts w:hint="eastAsia" w:ascii="宋体" w:hAnsi="宋体" w:eastAsia="宋体" w:cs="宋体"/>
          <w:b/>
          <w:color w:val="000000"/>
          <w:sz w:val="24"/>
        </w:rPr>
        <w:t>出现前款规定情形，不影响采购公平、公正性的，采购组织机构可以待上述情形消除后继续组织电子交易活动；影响或可能影响采购公平、公正性的，应当重新采购。</w:t>
      </w:r>
    </w:p>
    <w:p>
      <w:pPr>
        <w:pStyle w:val="21"/>
        <w:rPr>
          <w:rFonts w:hint="eastAsia" w:ascii="宋体" w:hAnsi="宋体" w:eastAsia="宋体" w:cs="宋体"/>
        </w:rPr>
      </w:pPr>
    </w:p>
    <w:bookmarkEnd w:id="25"/>
    <w:bookmarkEnd w:id="26"/>
    <w:bookmarkEnd w:id="27"/>
    <w:p>
      <w:pPr>
        <w:shd w:val="clear" w:color="auto" w:fill="FFFFFF"/>
        <w:snapToGrid w:val="0"/>
        <w:spacing w:line="360" w:lineRule="auto"/>
        <w:jc w:val="center"/>
        <w:outlineLvl w:val="1"/>
        <w:rPr>
          <w:rFonts w:hint="eastAsia" w:ascii="宋体" w:hAnsi="宋体" w:eastAsia="宋体" w:cs="宋体"/>
          <w:b/>
          <w:bCs/>
          <w:color w:val="000000"/>
          <w:sz w:val="24"/>
        </w:rPr>
      </w:pPr>
      <w:bookmarkStart w:id="59" w:name="_Toc86216995"/>
      <w:bookmarkStart w:id="60" w:name="_Toc354996703"/>
      <w:bookmarkStart w:id="61" w:name="_Toc33194399"/>
      <w:bookmarkStart w:id="62" w:name="_Toc233618979"/>
      <w:bookmarkStart w:id="63" w:name="_Toc91899910"/>
      <w:bookmarkStart w:id="64" w:name="_Toc33194400"/>
      <w:r>
        <w:rPr>
          <w:rFonts w:hint="eastAsia" w:ascii="宋体" w:hAnsi="宋体" w:eastAsia="宋体" w:cs="宋体"/>
          <w:b/>
          <w:bCs/>
          <w:color w:val="000000"/>
          <w:sz w:val="24"/>
        </w:rPr>
        <w:t>七、</w:t>
      </w:r>
      <w:bookmarkEnd w:id="59"/>
      <w:r>
        <w:rPr>
          <w:rFonts w:hint="eastAsia" w:ascii="宋体" w:hAnsi="宋体" w:eastAsia="宋体" w:cs="宋体"/>
          <w:b/>
          <w:bCs/>
          <w:color w:val="000000"/>
          <w:sz w:val="24"/>
        </w:rPr>
        <w:t>合同签订及其他</w:t>
      </w:r>
      <w:bookmarkEnd w:id="60"/>
      <w:bookmarkEnd w:id="61"/>
      <w:bookmarkEnd w:id="62"/>
    </w:p>
    <w:bookmarkEnd w:id="63"/>
    <w:p>
      <w:pPr>
        <w:shd w:val="clear" w:color="auto" w:fill="FFFFFF"/>
        <w:snapToGrid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（一）中标通知书</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1、确定中标人后，招标代理机构将在发布招标公告的网站上公布评标结果。</w:t>
      </w:r>
    </w:p>
    <w:p>
      <w:pPr>
        <w:shd w:val="clear" w:color="auto" w:fill="FFFFFF"/>
        <w:tabs>
          <w:tab w:val="left" w:pos="0"/>
        </w:tabs>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如中标人拒绝承担中标的项目，或提出招标方不能接受的条件，致使合同无法签订，招标方将取消其中标资格，并根据评标委员会推荐的中标候选人先后顺序，将下一顺序的中标候选人作为预中标人进行公示，或由招标方组织评标委员会复议后提出重新组织采购等建议。</w:t>
      </w:r>
    </w:p>
    <w:p>
      <w:pPr>
        <w:shd w:val="clear" w:color="auto" w:fill="FFFFFF"/>
        <w:snapToGrid w:val="0"/>
        <w:spacing w:line="360" w:lineRule="auto"/>
        <w:ind w:firstLine="540"/>
        <w:rPr>
          <w:rFonts w:hint="eastAsia" w:ascii="宋体" w:hAnsi="宋体" w:eastAsia="宋体" w:cs="宋体"/>
          <w:color w:val="000000"/>
          <w:sz w:val="24"/>
        </w:rPr>
      </w:pPr>
      <w:r>
        <w:rPr>
          <w:rFonts w:hint="eastAsia" w:ascii="宋体" w:hAnsi="宋体" w:eastAsia="宋体" w:cs="宋体"/>
          <w:color w:val="000000"/>
          <w:sz w:val="24"/>
          <w:lang w:val="en-US"/>
        </w:rPr>
        <w:t>3</w:t>
      </w:r>
      <w:r>
        <w:rPr>
          <w:rFonts w:hint="eastAsia" w:ascii="宋体" w:hAnsi="宋体" w:eastAsia="宋体" w:cs="宋体"/>
          <w:color w:val="000000"/>
          <w:sz w:val="24"/>
        </w:rPr>
        <w:t>、如签订合同并生效后，供应商无故拒绝或延期，除按照合同条款处罚外，列入不良行为记录一次，并给予通报。</w:t>
      </w:r>
    </w:p>
    <w:p>
      <w:pPr>
        <w:shd w:val="clear" w:color="auto" w:fill="FFFFFF"/>
        <w:snapToGrid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（二）合同的签订</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中标人按规定的日期、时间、地点，由法定代表人或授权代表人与招标人代表签订合同。</w:t>
      </w:r>
    </w:p>
    <w:p>
      <w:pPr>
        <w:shd w:val="clear" w:color="auto" w:fill="FFFFFF"/>
        <w:snapToGrid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（三）履约保证金</w:t>
      </w:r>
    </w:p>
    <w:p>
      <w:pPr>
        <w:snapToGrid w:val="0"/>
        <w:spacing w:line="360" w:lineRule="auto"/>
        <w:ind w:firstLine="480" w:firstLineChars="200"/>
        <w:rPr>
          <w:rFonts w:hint="eastAsia" w:ascii="宋体" w:hAnsi="宋体" w:eastAsia="宋体" w:cs="宋体"/>
          <w:b/>
          <w:bCs/>
          <w:color w:val="000000"/>
          <w:sz w:val="24"/>
        </w:rPr>
      </w:pPr>
      <w:r>
        <w:rPr>
          <w:rFonts w:hint="eastAsia" w:ascii="宋体" w:hAnsi="宋体" w:eastAsia="宋体" w:cs="宋体"/>
          <w:color w:val="000000"/>
          <w:sz w:val="24"/>
        </w:rPr>
        <w:t>1、</w:t>
      </w:r>
      <w:r>
        <w:rPr>
          <w:rFonts w:hint="eastAsia" w:ascii="宋体" w:hAnsi="宋体" w:eastAsia="宋体" w:cs="宋体"/>
          <w:b/>
          <w:bCs/>
          <w:color w:val="000000"/>
          <w:sz w:val="24"/>
        </w:rPr>
        <w:t xml:space="preserve">签订合同后3个工作日内，中标人须向招标人缴纳相当于合同总额5％的履约保证金。  </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2、中标人应以支票、汇票、本票或者金融机构、担保机构出具的保函等非现金形式，提交履约保证金。</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3、履约保证金在合同专用条款约定期间内或者货物质量保证期内不予退还或者应完全有效，待服务期满后，无质量、服务问题，由招标人向中标人无息退还。</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4、中标人如未按时交纳履约保证金，招标代理机构有权撤销其中标资格，并根据评标委员会推荐的中标候选人先后顺序，将下一顺序单位作为预中标公示单位，或由评标委员会提出重新组织采购等建议。</w:t>
      </w:r>
    </w:p>
    <w:p>
      <w:pPr>
        <w:shd w:val="clear" w:color="auto" w:fill="FFFFFF"/>
        <w:snapToGrid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（四）付款结算方式</w:t>
      </w:r>
    </w:p>
    <w:p>
      <w:pPr>
        <w:shd w:val="clear" w:color="auto" w:fill="FFFFFF"/>
        <w:snapToGrid w:val="0"/>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1、预付款金额：合同签订且供应商提供发票按合同金额的30％支付预付款</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预付款不扣回</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w:t>
      </w:r>
    </w:p>
    <w:p>
      <w:pPr>
        <w:shd w:val="clear" w:color="auto" w:fill="FFFFFF"/>
        <w:snapToGrid w:val="0"/>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lang w:val="en-US" w:eastAsia="zh-CN"/>
        </w:rPr>
        <w:t>2、</w:t>
      </w:r>
      <w:r>
        <w:rPr>
          <w:rFonts w:hint="eastAsia" w:ascii="宋体" w:hAnsi="宋体" w:eastAsia="宋体" w:cs="宋体"/>
          <w:b w:val="0"/>
          <w:bCs w:val="0"/>
          <w:color w:val="000000"/>
          <w:sz w:val="24"/>
        </w:rPr>
        <w:t>在供应商根据合同规定将货物交付、验收合格后，供应商提供发票，采购人支付剩余货款。</w:t>
      </w:r>
    </w:p>
    <w:p>
      <w:pPr>
        <w:shd w:val="clear" w:color="auto" w:fill="FFFFFF"/>
        <w:snapToGrid w:val="0"/>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lang w:val="en-US" w:eastAsia="zh-CN"/>
        </w:rPr>
        <w:t>3</w:t>
      </w:r>
      <w:r>
        <w:rPr>
          <w:rFonts w:hint="eastAsia" w:ascii="宋体" w:hAnsi="宋体" w:eastAsia="宋体" w:cs="宋体"/>
          <w:b w:val="0"/>
          <w:bCs w:val="0"/>
          <w:color w:val="000000"/>
          <w:sz w:val="24"/>
        </w:rPr>
        <w:t>、货物交付使用时，须提供货物说明书、质量保证书等相关资料和原配的附件。</w:t>
      </w:r>
    </w:p>
    <w:p>
      <w:pPr>
        <w:shd w:val="clear" w:color="auto" w:fill="FFFFFF"/>
        <w:snapToGrid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（五）服务期限</w:t>
      </w:r>
    </w:p>
    <w:p>
      <w:pPr>
        <w:shd w:val="clear" w:color="auto" w:fill="FFFFFF"/>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kern w:val="2"/>
          <w:sz w:val="24"/>
          <w:szCs w:val="24"/>
          <w:lang w:val="en-US" w:bidi="ar"/>
        </w:rPr>
        <w:t>签订合同之日起30天内项目实施完毕</w:t>
      </w:r>
      <w:r>
        <w:rPr>
          <w:rFonts w:hint="eastAsia" w:ascii="宋体" w:hAnsi="宋体" w:eastAsia="宋体" w:cs="宋体"/>
          <w:bCs/>
          <w:color w:val="000000"/>
          <w:sz w:val="24"/>
        </w:rPr>
        <w:t>。</w:t>
      </w:r>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b/>
          <w:bCs/>
          <w:color w:val="000000"/>
          <w:sz w:val="24"/>
        </w:rPr>
        <w:t>（六）采购方式改变</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在符合资格的投标人不足规定数量或投标人提供的服务及其报价、服务承诺等不能满足采购人要求，以及招标过程中出现其他不正常情况时，经批准，招标代理机构将根据《政府采购货物和服务招标投标管理办法》(财政部第87号令)，重新选择合适的方式进行采购。</w:t>
      </w:r>
    </w:p>
    <w:p>
      <w:pPr>
        <w:shd w:val="clear" w:color="auto" w:fill="FFFFFF"/>
        <w:tabs>
          <w:tab w:val="left" w:pos="0"/>
        </w:tabs>
        <w:snapToGrid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（七）售后服务考核</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将按照《政府采购货物和服务招标投标管理办法》(中华人民共和国财政部第87号令)和《杭州市政府采购履约验收暂行办法》（杭财采监〔2019〕10号 ），对供应商进行考核，发现弄虚作假，偷工减料，以次充好，达不到国家、行业有关标准和技术文件规定的，一经查实，招标代理机构将视情况终止合同，并上报采购监督管理部门。</w:t>
      </w:r>
    </w:p>
    <w:p>
      <w:pPr>
        <w:snapToGrid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（八）质疑和投诉</w:t>
      </w:r>
    </w:p>
    <w:p>
      <w:pPr>
        <w:snapToGrid w:val="0"/>
        <w:spacing w:line="360" w:lineRule="auto"/>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 xml:space="preserve">根据《中华人民共和国政府采购法》和《政府采购质疑和投诉办法》(财政部令第94号)的规定，投标人对政府采购活动事项有疑问的，可以向招标人和招标代理机构提出询问，招标人和招标代理机构应当及时作出答复，但答复的内容不得涉及商业秘密。  </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snapToGrid w:val="0"/>
          <w:color w:val="000000"/>
          <w:sz w:val="24"/>
        </w:rPr>
        <w:t>1、</w:t>
      </w:r>
      <w:r>
        <w:rPr>
          <w:rFonts w:hint="eastAsia" w:ascii="宋体" w:hAnsi="宋体" w:eastAsia="宋体" w:cs="宋体"/>
          <w:color w:val="000000"/>
          <w:sz w:val="24"/>
        </w:rPr>
        <w:t>供应商认为招标文件、采购过程和成交、成交结果使自己的权益受到损害的，可以在知道或者应知其权益受到损害之日起七个工作日内，以书面形式向采购人、采购代理机构提出质疑。</w:t>
      </w:r>
    </w:p>
    <w:p>
      <w:pPr>
        <w:snapToGrid w:val="0"/>
        <w:spacing w:line="360"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（1）对可以质疑的招标文件提出质疑的，为收到招标文件之日或者招标文件公告期限届满之日；</w:t>
      </w:r>
    </w:p>
    <w:p>
      <w:pPr>
        <w:snapToGrid w:val="0"/>
        <w:spacing w:line="360"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（2）对采购过程提出质疑的，为各采购程序环节结束之日；</w:t>
      </w:r>
    </w:p>
    <w:p>
      <w:pPr>
        <w:snapToGrid w:val="0"/>
        <w:spacing w:line="360"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（3）对成交结果提出质疑的，为成交结果公告期限届满之日。</w:t>
      </w:r>
    </w:p>
    <w:p>
      <w:pPr>
        <w:snapToGrid w:val="0"/>
        <w:spacing w:line="360" w:lineRule="auto"/>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2、采购人或者采购代理机构应当在3个工作日内对供应商依法提出的询问作出答复。</w:t>
      </w:r>
    </w:p>
    <w:p>
      <w:pPr>
        <w:snapToGrid w:val="0"/>
        <w:spacing w:line="360" w:lineRule="auto"/>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供应商提出的询问或者质疑超出采购人对采购代理机构委托授权范围的，采购代理机构应当告知供应商向采购人提出。</w:t>
      </w:r>
    </w:p>
    <w:p>
      <w:pPr>
        <w:snapToGrid w:val="0"/>
        <w:spacing w:line="360" w:lineRule="auto"/>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政府采购评审专家应当配合采购人或者采购代理机构答复供应商的询问和质疑。</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snapToGrid w:val="0"/>
          <w:color w:val="000000"/>
          <w:sz w:val="24"/>
        </w:rPr>
        <w:t>3、</w:t>
      </w:r>
      <w:r>
        <w:rPr>
          <w:rFonts w:hint="eastAsia" w:ascii="宋体" w:hAnsi="宋体" w:eastAsia="宋体" w:cs="宋体"/>
          <w:color w:val="000000"/>
          <w:sz w:val="24"/>
        </w:rPr>
        <w:t>质疑供应商对采购人、采购代理机构的答复不满意或者采购人、采购代理机构未在规定时间内作出答复的，可以在答复期满后十五个工作日内向同级政府采购监管部门投诉。</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4、要求投标人在法定质疑期内一次性提出针对同一招标程序环节的质疑。</w:t>
      </w:r>
    </w:p>
    <w:p>
      <w:pPr>
        <w:shd w:val="clear" w:color="auto" w:fill="FFFFFF"/>
        <w:snapToGrid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（九）解释权</w:t>
      </w:r>
    </w:p>
    <w:p>
      <w:pPr>
        <w:shd w:val="clear" w:color="auto" w:fill="FFFFFF"/>
        <w:snapToGrid w:val="0"/>
        <w:spacing w:line="360" w:lineRule="auto"/>
        <w:ind w:firstLine="480" w:firstLineChars="200"/>
        <w:rPr>
          <w:rFonts w:hint="eastAsia" w:ascii="宋体" w:hAnsi="宋体" w:eastAsia="宋体" w:cs="宋体"/>
          <w:color w:val="000000"/>
          <w:spacing w:val="-11"/>
          <w:sz w:val="24"/>
        </w:rPr>
      </w:pPr>
      <w:r>
        <w:rPr>
          <w:rFonts w:hint="eastAsia" w:ascii="宋体" w:hAnsi="宋体" w:eastAsia="宋体" w:cs="宋体"/>
          <w:color w:val="000000"/>
          <w:sz w:val="24"/>
        </w:rPr>
        <w:t>招标文件的解释权均属于招标人和委托招标代理机构</w:t>
      </w:r>
      <w:r>
        <w:rPr>
          <w:rFonts w:hint="eastAsia" w:ascii="宋体" w:hAnsi="宋体" w:eastAsia="宋体" w:cs="宋体"/>
          <w:color w:val="000000"/>
          <w:spacing w:val="-11"/>
          <w:sz w:val="24"/>
        </w:rPr>
        <w:t>。</w:t>
      </w:r>
    </w:p>
    <w:p>
      <w:pPr>
        <w:pStyle w:val="34"/>
        <w:numPr>
          <w:ilvl w:val="0"/>
          <w:numId w:val="0"/>
        </w:numPr>
        <w:spacing w:after="120" w:line="480" w:lineRule="auto"/>
        <w:ind w:firstLine="3534" w:firstLineChars="1100"/>
        <w:jc w:val="both"/>
        <w:rPr>
          <w:rFonts w:hint="eastAsia" w:ascii="宋体" w:hAnsi="宋体" w:eastAsia="宋体" w:cs="宋体"/>
          <w:bCs w:val="0"/>
          <w:color w:val="000000"/>
          <w:sz w:val="32"/>
          <w:szCs w:val="32"/>
        </w:rPr>
      </w:pPr>
    </w:p>
    <w:p>
      <w:pPr>
        <w:pStyle w:val="34"/>
        <w:numPr>
          <w:ilvl w:val="0"/>
          <w:numId w:val="0"/>
        </w:numPr>
        <w:spacing w:after="120" w:line="480" w:lineRule="auto"/>
        <w:ind w:firstLine="3534" w:firstLineChars="1100"/>
        <w:jc w:val="both"/>
        <w:rPr>
          <w:rFonts w:hint="eastAsia" w:ascii="宋体" w:hAnsi="宋体" w:eastAsia="宋体" w:cs="宋体"/>
          <w:bCs w:val="0"/>
          <w:color w:val="000000"/>
          <w:sz w:val="32"/>
          <w:szCs w:val="32"/>
        </w:rPr>
      </w:pPr>
    </w:p>
    <w:p>
      <w:pPr>
        <w:pStyle w:val="34"/>
        <w:numPr>
          <w:ilvl w:val="0"/>
          <w:numId w:val="0"/>
        </w:numPr>
        <w:spacing w:after="120" w:line="480" w:lineRule="auto"/>
        <w:ind w:firstLine="3534" w:firstLineChars="1100"/>
        <w:jc w:val="both"/>
        <w:rPr>
          <w:rFonts w:hint="eastAsia" w:ascii="宋体" w:hAnsi="宋体" w:eastAsia="宋体" w:cs="宋体"/>
          <w:bCs w:val="0"/>
          <w:color w:val="000000"/>
          <w:sz w:val="32"/>
          <w:szCs w:val="32"/>
        </w:rPr>
      </w:pPr>
    </w:p>
    <w:p>
      <w:pPr>
        <w:pStyle w:val="34"/>
        <w:numPr>
          <w:ilvl w:val="0"/>
          <w:numId w:val="0"/>
        </w:numPr>
        <w:spacing w:after="120" w:line="480" w:lineRule="auto"/>
        <w:ind w:firstLine="3534" w:firstLineChars="1100"/>
        <w:jc w:val="both"/>
        <w:rPr>
          <w:rFonts w:hint="eastAsia" w:ascii="宋体" w:hAnsi="宋体" w:eastAsia="宋体" w:cs="宋体"/>
          <w:bCs w:val="0"/>
          <w:color w:val="000000"/>
          <w:sz w:val="32"/>
          <w:szCs w:val="32"/>
        </w:rPr>
      </w:pPr>
    </w:p>
    <w:p>
      <w:pPr>
        <w:pStyle w:val="34"/>
        <w:numPr>
          <w:ilvl w:val="0"/>
          <w:numId w:val="0"/>
        </w:numPr>
        <w:spacing w:after="120" w:line="480" w:lineRule="auto"/>
        <w:ind w:firstLine="3534" w:firstLineChars="1100"/>
        <w:jc w:val="both"/>
        <w:rPr>
          <w:rFonts w:hint="eastAsia" w:ascii="宋体" w:hAnsi="宋体" w:eastAsia="宋体" w:cs="宋体"/>
          <w:bCs w:val="0"/>
          <w:color w:val="000000"/>
          <w:sz w:val="32"/>
          <w:szCs w:val="32"/>
        </w:rPr>
      </w:pPr>
    </w:p>
    <w:p>
      <w:pPr>
        <w:pStyle w:val="34"/>
        <w:numPr>
          <w:ilvl w:val="0"/>
          <w:numId w:val="0"/>
        </w:numPr>
        <w:spacing w:after="120" w:line="480" w:lineRule="auto"/>
        <w:ind w:firstLine="3534" w:firstLineChars="1100"/>
        <w:jc w:val="both"/>
        <w:rPr>
          <w:rFonts w:hint="eastAsia" w:ascii="宋体" w:hAnsi="宋体" w:eastAsia="宋体" w:cs="宋体"/>
          <w:bCs w:val="0"/>
          <w:color w:val="000000"/>
          <w:sz w:val="32"/>
          <w:szCs w:val="32"/>
        </w:rPr>
      </w:pPr>
    </w:p>
    <w:p>
      <w:pPr>
        <w:pStyle w:val="34"/>
        <w:numPr>
          <w:ilvl w:val="0"/>
          <w:numId w:val="0"/>
        </w:numPr>
        <w:spacing w:after="120" w:line="480" w:lineRule="auto"/>
        <w:ind w:firstLine="3534" w:firstLineChars="1100"/>
        <w:jc w:val="both"/>
        <w:rPr>
          <w:rFonts w:hint="eastAsia" w:ascii="宋体" w:hAnsi="宋体" w:eastAsia="宋体" w:cs="宋体"/>
          <w:bCs w:val="0"/>
          <w:color w:val="000000"/>
          <w:sz w:val="32"/>
          <w:szCs w:val="32"/>
        </w:rPr>
      </w:pPr>
    </w:p>
    <w:p>
      <w:pPr>
        <w:pStyle w:val="34"/>
        <w:numPr>
          <w:ilvl w:val="0"/>
          <w:numId w:val="0"/>
        </w:numPr>
        <w:spacing w:after="120" w:line="480" w:lineRule="auto"/>
        <w:ind w:firstLine="3534" w:firstLineChars="1100"/>
        <w:jc w:val="both"/>
        <w:rPr>
          <w:rFonts w:hint="eastAsia" w:ascii="宋体" w:hAnsi="宋体" w:eastAsia="宋体" w:cs="宋体"/>
          <w:bCs w:val="0"/>
          <w:color w:val="000000"/>
          <w:sz w:val="32"/>
          <w:szCs w:val="32"/>
        </w:rPr>
      </w:pPr>
    </w:p>
    <w:p>
      <w:pPr>
        <w:pStyle w:val="34"/>
        <w:numPr>
          <w:ilvl w:val="0"/>
          <w:numId w:val="0"/>
        </w:numPr>
        <w:spacing w:after="120" w:line="480" w:lineRule="auto"/>
        <w:ind w:firstLine="3534" w:firstLineChars="1100"/>
        <w:jc w:val="both"/>
        <w:rPr>
          <w:rFonts w:hint="eastAsia" w:ascii="宋体" w:hAnsi="宋体" w:eastAsia="宋体" w:cs="宋体"/>
          <w:bCs w:val="0"/>
          <w:color w:val="000000"/>
          <w:sz w:val="32"/>
          <w:szCs w:val="32"/>
        </w:rPr>
      </w:pPr>
    </w:p>
    <w:p>
      <w:pPr>
        <w:pStyle w:val="34"/>
        <w:numPr>
          <w:ilvl w:val="0"/>
          <w:numId w:val="0"/>
        </w:numPr>
        <w:spacing w:after="120" w:line="480" w:lineRule="auto"/>
        <w:ind w:firstLine="3534" w:firstLineChars="1100"/>
        <w:jc w:val="both"/>
        <w:rPr>
          <w:rFonts w:hint="eastAsia" w:ascii="宋体" w:hAnsi="宋体" w:eastAsia="宋体" w:cs="宋体"/>
          <w:bCs w:val="0"/>
          <w:color w:val="000000"/>
          <w:sz w:val="32"/>
          <w:szCs w:val="32"/>
        </w:rPr>
      </w:pPr>
    </w:p>
    <w:p>
      <w:pPr>
        <w:pStyle w:val="34"/>
        <w:numPr>
          <w:ilvl w:val="0"/>
          <w:numId w:val="0"/>
        </w:numPr>
        <w:spacing w:after="120" w:line="480" w:lineRule="auto"/>
        <w:ind w:firstLine="3534" w:firstLineChars="1100"/>
        <w:jc w:val="both"/>
        <w:rPr>
          <w:rFonts w:hint="eastAsia" w:ascii="宋体" w:hAnsi="宋体" w:eastAsia="宋体" w:cs="宋体"/>
          <w:bCs w:val="0"/>
          <w:color w:val="000000"/>
          <w:sz w:val="32"/>
          <w:szCs w:val="32"/>
        </w:rPr>
      </w:pPr>
    </w:p>
    <w:p>
      <w:pPr>
        <w:pStyle w:val="34"/>
        <w:numPr>
          <w:ilvl w:val="0"/>
          <w:numId w:val="0"/>
        </w:numPr>
        <w:spacing w:after="120" w:line="480" w:lineRule="auto"/>
        <w:ind w:firstLine="3534" w:firstLineChars="1100"/>
        <w:jc w:val="both"/>
        <w:rPr>
          <w:rFonts w:hint="eastAsia" w:ascii="宋体" w:hAnsi="宋体" w:eastAsia="宋体" w:cs="宋体"/>
        </w:rPr>
      </w:pPr>
      <w:r>
        <w:rPr>
          <w:rFonts w:hint="eastAsia" w:ascii="宋体" w:hAnsi="宋体" w:eastAsia="宋体" w:cs="宋体"/>
          <w:bCs w:val="0"/>
          <w:color w:val="000000"/>
          <w:sz w:val="32"/>
          <w:szCs w:val="32"/>
        </w:rPr>
        <w:t>第三部分</w:t>
      </w:r>
      <w:r>
        <w:rPr>
          <w:rFonts w:hint="eastAsia" w:ascii="宋体" w:hAnsi="宋体" w:eastAsia="宋体" w:cs="宋体"/>
          <w:b w:val="0"/>
          <w:color w:val="000000"/>
          <w:szCs w:val="28"/>
          <w:lang w:val="en-US"/>
        </w:rPr>
        <w:t xml:space="preserve"> </w:t>
      </w:r>
      <w:r>
        <w:rPr>
          <w:rFonts w:hint="eastAsia" w:ascii="宋体" w:hAnsi="宋体" w:eastAsia="宋体" w:cs="宋体"/>
          <w:b w:val="0"/>
          <w:color w:val="000000"/>
          <w:szCs w:val="28"/>
        </w:rPr>
        <w:t xml:space="preserve"> </w:t>
      </w:r>
      <w:bookmarkEnd w:id="64"/>
      <w:r>
        <w:rPr>
          <w:rFonts w:hint="eastAsia" w:ascii="宋体" w:hAnsi="宋体" w:eastAsia="宋体" w:cs="宋体"/>
        </w:rPr>
        <w:t>采购需求</w:t>
      </w:r>
    </w:p>
    <w:p>
      <w:pPr>
        <w:spacing w:line="440" w:lineRule="exact"/>
        <w:rPr>
          <w:rFonts w:hint="eastAsia" w:ascii="宋体" w:hAnsi="宋体" w:eastAsia="宋体" w:cs="宋体"/>
          <w:b/>
          <w:sz w:val="24"/>
          <w:szCs w:val="24"/>
        </w:rPr>
      </w:pPr>
      <w:r>
        <w:rPr>
          <w:rFonts w:hint="eastAsia" w:ascii="宋体" w:hAnsi="宋体" w:eastAsia="宋体" w:cs="宋体"/>
          <w:b/>
          <w:sz w:val="32"/>
          <w:szCs w:val="32"/>
        </w:rPr>
        <w:t>一：</w:t>
      </w:r>
      <w:r>
        <w:rPr>
          <w:rFonts w:hint="eastAsia" w:ascii="宋体" w:hAnsi="宋体" w:eastAsia="宋体" w:cs="宋体"/>
          <w:b/>
          <w:sz w:val="24"/>
          <w:szCs w:val="24"/>
        </w:rPr>
        <w:t>项目概况</w:t>
      </w:r>
    </w:p>
    <w:p>
      <w:pPr>
        <w:rPr>
          <w:rFonts w:hint="eastAsia" w:ascii="宋体" w:hAnsi="宋体" w:eastAsia="宋体" w:cs="宋体"/>
          <w:b/>
          <w:bCs/>
          <w:color w:val="FF0000"/>
          <w:sz w:val="32"/>
          <w:szCs w:val="32"/>
        </w:rPr>
      </w:pPr>
    </w:p>
    <w:p>
      <w:pPr>
        <w:adjustRightInd w:val="0"/>
        <w:snapToGrid w:val="0"/>
        <w:spacing w:line="360" w:lineRule="auto"/>
        <w:ind w:firstLine="352" w:firstLineChars="147"/>
        <w:rPr>
          <w:rFonts w:hint="eastAsia" w:ascii="宋体" w:hAnsi="宋体" w:eastAsia="宋体" w:cs="宋体"/>
          <w:bCs/>
          <w:color w:val="000000"/>
          <w:sz w:val="24"/>
          <w:szCs w:val="24"/>
        </w:rPr>
      </w:pPr>
      <w:r>
        <w:rPr>
          <w:rFonts w:hint="eastAsia" w:ascii="宋体" w:hAnsi="宋体" w:eastAsia="宋体" w:cs="宋体"/>
          <w:bCs/>
          <w:color w:val="000000"/>
          <w:sz w:val="24"/>
          <w:szCs w:val="24"/>
        </w:rPr>
        <w:t>本项目为“交钥匙”项目，采购内容包括采购清单中货物供货、安装调试、货物验收、培训、质保期内的售后服务等。投标报价包括设备费、现场踏勘费、处理排气及截污纳管相关费用、安装调试费、售后服务费、培训费、</w:t>
      </w:r>
      <w:r>
        <w:rPr>
          <w:rFonts w:hint="eastAsia" w:ascii="宋体" w:hAnsi="宋体" w:eastAsia="宋体" w:cs="宋体"/>
          <w:b w:val="0"/>
          <w:bCs/>
          <w:color w:val="000000"/>
          <w:sz w:val="24"/>
          <w:szCs w:val="24"/>
          <w:lang w:val="en-US" w:eastAsia="zh-CN"/>
        </w:rPr>
        <w:t>三年内的菌种费用、</w:t>
      </w:r>
      <w:r>
        <w:rPr>
          <w:rFonts w:hint="eastAsia" w:ascii="宋体" w:hAnsi="宋体" w:eastAsia="宋体" w:cs="宋体"/>
          <w:bCs/>
          <w:color w:val="000000"/>
          <w:sz w:val="24"/>
          <w:szCs w:val="24"/>
        </w:rPr>
        <w:t>有关部门的验收费、政策性文件规定及合同包含的所有风险、责任等完成本项目的各项全部费用。</w:t>
      </w:r>
    </w:p>
    <w:p>
      <w:pPr>
        <w:spacing w:line="440" w:lineRule="exact"/>
        <w:ind w:right="-185" w:rightChars="-84"/>
        <w:jc w:val="left"/>
        <w:outlineLvl w:val="1"/>
        <w:rPr>
          <w:rFonts w:hint="eastAsia" w:ascii="宋体" w:hAnsi="宋体" w:eastAsia="宋体" w:cs="宋体"/>
          <w:b/>
          <w:sz w:val="24"/>
          <w:szCs w:val="24"/>
        </w:rPr>
      </w:pPr>
      <w:r>
        <w:rPr>
          <w:rFonts w:hint="eastAsia" w:ascii="宋体" w:hAnsi="宋体" w:eastAsia="宋体" w:cs="宋体"/>
          <w:b/>
          <w:sz w:val="24"/>
          <w:szCs w:val="24"/>
        </w:rPr>
        <w:t>二、技术参数详细要求</w:t>
      </w:r>
    </w:p>
    <w:p>
      <w:pPr>
        <w:widowControl/>
        <w:autoSpaceDE w:val="0"/>
        <w:autoSpaceDN w:val="0"/>
        <w:spacing w:line="360" w:lineRule="auto"/>
        <w:ind w:right="-55" w:rightChars="-25" w:firstLine="482" w:firstLineChars="200"/>
        <w:textAlignment w:val="bottom"/>
        <w:rPr>
          <w:rFonts w:hint="eastAsia" w:ascii="宋体" w:hAnsi="宋体" w:eastAsia="宋体" w:cs="宋体"/>
          <w:sz w:val="24"/>
          <w:szCs w:val="24"/>
        </w:rPr>
      </w:pPr>
      <w:r>
        <w:rPr>
          <w:rFonts w:hint="eastAsia" w:ascii="宋体" w:hAnsi="宋体" w:eastAsia="宋体" w:cs="宋体"/>
          <w:b/>
          <w:sz w:val="24"/>
          <w:szCs w:val="24"/>
        </w:rPr>
        <w:t>（一）、采购范围：</w:t>
      </w:r>
    </w:p>
    <w:p>
      <w:pPr>
        <w:widowControl/>
        <w:autoSpaceDE w:val="0"/>
        <w:autoSpaceDN w:val="0"/>
        <w:spacing w:line="360" w:lineRule="auto"/>
        <w:ind w:right="-55" w:rightChars="-25" w:firstLine="480" w:firstLineChars="200"/>
        <w:textAlignment w:val="bottom"/>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日处理</w:t>
      </w:r>
      <w:r>
        <w:rPr>
          <w:rFonts w:hint="eastAsia" w:ascii="宋体" w:hAnsi="宋体" w:eastAsia="宋体" w:cs="宋体"/>
          <w:kern w:val="0"/>
          <w:sz w:val="24"/>
          <w:szCs w:val="24"/>
          <w:lang w:val="en-US" w:eastAsia="zh-CN"/>
        </w:rPr>
        <w:t>20吨</w:t>
      </w:r>
      <w:r>
        <w:rPr>
          <w:rFonts w:hint="eastAsia" w:ascii="宋体" w:hAnsi="宋体" w:eastAsia="宋体" w:cs="宋体"/>
          <w:kern w:val="0"/>
          <w:sz w:val="24"/>
          <w:szCs w:val="24"/>
        </w:rPr>
        <w:t xml:space="preserve">有机垃圾处理设备 </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eastAsia="zh-CN"/>
        </w:rPr>
        <w:t>套；</w:t>
      </w:r>
    </w:p>
    <w:p>
      <w:pPr>
        <w:widowControl/>
        <w:autoSpaceDE w:val="0"/>
        <w:autoSpaceDN w:val="0"/>
        <w:spacing w:line="360" w:lineRule="auto"/>
        <w:ind w:right="-55" w:rightChars="-25" w:firstLine="480" w:firstLineChars="200"/>
        <w:textAlignment w:val="bottom"/>
        <w:rPr>
          <w:rFonts w:hint="eastAsia" w:ascii="宋体" w:hAnsi="宋体" w:eastAsia="宋体" w:cs="宋体"/>
          <w:b w:val="0"/>
          <w:bCs/>
          <w:sz w:val="24"/>
          <w:szCs w:val="24"/>
        </w:rPr>
      </w:pPr>
      <w:r>
        <w:rPr>
          <w:rFonts w:hint="eastAsia" w:ascii="宋体" w:hAnsi="宋体" w:eastAsia="宋体" w:cs="宋体"/>
          <w:kern w:val="0"/>
          <w:sz w:val="24"/>
          <w:szCs w:val="24"/>
          <w:lang w:val="en-US" w:eastAsia="zh-CN"/>
        </w:rPr>
        <w:t>2、3年内废渣废水的无害化服务。</w:t>
      </w:r>
      <w:r>
        <w:rPr>
          <w:rFonts w:hint="eastAsia" w:ascii="宋体" w:hAnsi="宋体" w:eastAsia="宋体" w:cs="宋体"/>
          <w:sz w:val="24"/>
          <w:szCs w:val="24"/>
        </w:rPr>
        <w:t>具体内容详见《招标内容与技术要求》）。</w:t>
      </w:r>
    </w:p>
    <w:p>
      <w:pPr>
        <w:widowControl/>
        <w:autoSpaceDE w:val="0"/>
        <w:autoSpaceDN w:val="0"/>
        <w:spacing w:line="360" w:lineRule="auto"/>
        <w:ind w:right="-55" w:rightChars="-25" w:firstLine="482" w:firstLineChars="200"/>
        <w:textAlignment w:val="bottom"/>
        <w:rPr>
          <w:rFonts w:hint="eastAsia" w:ascii="宋体" w:hAnsi="宋体" w:eastAsia="宋体" w:cs="宋体"/>
          <w:b/>
          <w:sz w:val="24"/>
          <w:szCs w:val="24"/>
        </w:rPr>
      </w:pPr>
      <w:r>
        <w:rPr>
          <w:rFonts w:hint="eastAsia" w:ascii="宋体" w:hAnsi="宋体" w:eastAsia="宋体" w:cs="宋体"/>
          <w:b/>
          <w:sz w:val="24"/>
          <w:szCs w:val="24"/>
        </w:rPr>
        <w:t>（二）采购清单</w:t>
      </w:r>
    </w:p>
    <w:tbl>
      <w:tblPr>
        <w:tblStyle w:val="16"/>
        <w:tblW w:w="9322" w:type="dxa"/>
        <w:tblInd w:w="326"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916"/>
        <w:gridCol w:w="3726"/>
        <w:gridCol w:w="1074"/>
        <w:gridCol w:w="1038"/>
        <w:gridCol w:w="1308"/>
        <w:gridCol w:w="126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56" w:hRule="atLeast"/>
        </w:trPr>
        <w:tc>
          <w:tcPr>
            <w:tcW w:w="91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utoSpaceDE w:val="0"/>
              <w:autoSpaceDN w:val="0"/>
              <w:ind w:right="-55" w:rightChars="-25"/>
              <w:jc w:val="center"/>
              <w:textAlignment w:val="bottom"/>
              <w:rPr>
                <w:rFonts w:hint="eastAsia" w:ascii="宋体" w:hAnsi="宋体" w:eastAsia="宋体" w:cs="宋体"/>
                <w:sz w:val="24"/>
                <w:szCs w:val="24"/>
              </w:rPr>
            </w:pPr>
            <w:bookmarkStart w:id="65" w:name="OLE_LINK18"/>
            <w:r>
              <w:rPr>
                <w:rFonts w:hint="eastAsia" w:ascii="宋体" w:hAnsi="宋体" w:eastAsia="宋体" w:cs="宋体"/>
                <w:sz w:val="24"/>
                <w:szCs w:val="24"/>
              </w:rPr>
              <w:t>序号</w:t>
            </w:r>
          </w:p>
        </w:tc>
        <w:tc>
          <w:tcPr>
            <w:tcW w:w="37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utoSpaceDE w:val="0"/>
              <w:autoSpaceDN w:val="0"/>
              <w:ind w:right="-55" w:rightChars="-25" w:firstLine="480" w:firstLineChars="200"/>
              <w:jc w:val="center"/>
              <w:textAlignment w:val="bottom"/>
              <w:rPr>
                <w:rFonts w:hint="eastAsia" w:ascii="宋体" w:hAnsi="宋体" w:eastAsia="宋体" w:cs="宋体"/>
                <w:sz w:val="24"/>
                <w:szCs w:val="24"/>
              </w:rPr>
            </w:pPr>
            <w:r>
              <w:rPr>
                <w:rFonts w:hint="eastAsia" w:ascii="宋体" w:hAnsi="宋体" w:eastAsia="宋体" w:cs="宋体"/>
                <w:sz w:val="24"/>
                <w:szCs w:val="24"/>
              </w:rPr>
              <w:t>采购内容</w:t>
            </w:r>
          </w:p>
        </w:tc>
        <w:tc>
          <w:tcPr>
            <w:tcW w:w="107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utoSpaceDE w:val="0"/>
              <w:autoSpaceDN w:val="0"/>
              <w:ind w:right="-55" w:rightChars="-25"/>
              <w:jc w:val="center"/>
              <w:textAlignment w:val="bottom"/>
              <w:rPr>
                <w:rFonts w:hint="eastAsia" w:ascii="宋体" w:hAnsi="宋体" w:eastAsia="宋体" w:cs="宋体"/>
                <w:sz w:val="24"/>
                <w:szCs w:val="24"/>
              </w:rPr>
            </w:pPr>
            <w:r>
              <w:rPr>
                <w:rFonts w:hint="eastAsia" w:ascii="宋体" w:hAnsi="宋体" w:eastAsia="宋体" w:cs="宋体"/>
                <w:sz w:val="24"/>
                <w:szCs w:val="24"/>
              </w:rPr>
              <w:t>单位</w:t>
            </w:r>
          </w:p>
        </w:tc>
        <w:tc>
          <w:tcPr>
            <w:tcW w:w="10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utoSpaceDE w:val="0"/>
              <w:autoSpaceDN w:val="0"/>
              <w:ind w:right="-55" w:rightChars="-25"/>
              <w:jc w:val="center"/>
              <w:textAlignment w:val="bottom"/>
              <w:rPr>
                <w:rFonts w:hint="eastAsia" w:ascii="宋体" w:hAnsi="宋体" w:eastAsia="宋体" w:cs="宋体"/>
                <w:sz w:val="24"/>
                <w:szCs w:val="24"/>
              </w:rPr>
            </w:pPr>
            <w:r>
              <w:rPr>
                <w:rFonts w:hint="eastAsia" w:ascii="宋体" w:hAnsi="宋体" w:eastAsia="宋体" w:cs="宋体"/>
                <w:sz w:val="24"/>
                <w:szCs w:val="24"/>
              </w:rPr>
              <w:t>数量</w:t>
            </w:r>
          </w:p>
        </w:tc>
        <w:tc>
          <w:tcPr>
            <w:tcW w:w="1308" w:type="dxa"/>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widowControl/>
              <w:autoSpaceDE w:val="0"/>
              <w:autoSpaceDN w:val="0"/>
              <w:ind w:right="-55" w:rightChars="-25"/>
              <w:jc w:val="center"/>
              <w:textAlignment w:val="bottom"/>
              <w:rPr>
                <w:rFonts w:hint="eastAsia" w:ascii="宋体" w:hAnsi="宋体" w:eastAsia="宋体" w:cs="宋体"/>
                <w:sz w:val="24"/>
                <w:szCs w:val="24"/>
              </w:rPr>
            </w:pPr>
          </w:p>
        </w:tc>
        <w:tc>
          <w:tcPr>
            <w:tcW w:w="1260" w:type="dxa"/>
            <w:tcBorders>
              <w:top w:val="single" w:color="auto" w:sz="8" w:space="0"/>
              <w:left w:val="single" w:color="auto" w:sz="4" w:space="0"/>
              <w:bottom w:val="single" w:color="auto" w:sz="8" w:space="0"/>
              <w:right w:val="single" w:color="auto" w:sz="8" w:space="0"/>
            </w:tcBorders>
            <w:vAlign w:val="center"/>
          </w:tcPr>
          <w:p>
            <w:pPr>
              <w:widowControl/>
              <w:autoSpaceDE w:val="0"/>
              <w:autoSpaceDN w:val="0"/>
              <w:ind w:right="-55" w:rightChars="-25"/>
              <w:jc w:val="center"/>
              <w:textAlignment w:val="bottom"/>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6" w:hRule="atLeast"/>
        </w:trPr>
        <w:tc>
          <w:tcPr>
            <w:tcW w:w="91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utoSpaceDE w:val="0"/>
              <w:autoSpaceDN w:val="0"/>
              <w:ind w:right="-55" w:rightChars="-25"/>
              <w:jc w:val="center"/>
              <w:textAlignment w:val="bottom"/>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37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utoSpaceDE w:val="0"/>
              <w:autoSpaceDN w:val="0"/>
              <w:ind w:right="-55" w:rightChars="-25"/>
              <w:jc w:val="center"/>
              <w:textAlignment w:val="bottom"/>
              <w:rPr>
                <w:rFonts w:hint="eastAsia" w:ascii="宋体" w:hAnsi="宋体" w:eastAsia="宋体" w:cs="宋体"/>
                <w:kern w:val="2"/>
                <w:sz w:val="24"/>
                <w:szCs w:val="24"/>
                <w:lang w:val="en-US" w:eastAsia="zh-CN" w:bidi="ar-SA"/>
              </w:rPr>
            </w:pPr>
            <w:r>
              <w:rPr>
                <w:rFonts w:hint="eastAsia" w:ascii="宋体" w:hAnsi="宋体" w:eastAsia="宋体" w:cs="宋体"/>
                <w:sz w:val="24"/>
                <w:szCs w:val="24"/>
              </w:rPr>
              <w:t>日处理</w:t>
            </w:r>
            <w:r>
              <w:rPr>
                <w:rFonts w:hint="eastAsia" w:ascii="宋体" w:hAnsi="宋体" w:eastAsia="宋体" w:cs="宋体"/>
                <w:sz w:val="24"/>
                <w:szCs w:val="24"/>
                <w:lang w:val="en-US" w:eastAsia="zh-CN"/>
              </w:rPr>
              <w:t>20吨</w:t>
            </w:r>
            <w:r>
              <w:rPr>
                <w:rFonts w:hint="eastAsia" w:ascii="宋体" w:hAnsi="宋体" w:eastAsia="宋体" w:cs="宋体"/>
                <w:sz w:val="24"/>
                <w:szCs w:val="24"/>
                <w:lang w:eastAsia="zh-CN"/>
              </w:rPr>
              <w:t>餐厨</w:t>
            </w:r>
            <w:r>
              <w:rPr>
                <w:rFonts w:hint="eastAsia" w:ascii="宋体" w:hAnsi="宋体" w:eastAsia="宋体" w:cs="宋体"/>
                <w:sz w:val="24"/>
                <w:szCs w:val="24"/>
              </w:rPr>
              <w:t>垃圾处理设备</w:t>
            </w:r>
          </w:p>
        </w:tc>
        <w:tc>
          <w:tcPr>
            <w:tcW w:w="107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utoSpaceDE w:val="0"/>
              <w:autoSpaceDN w:val="0"/>
              <w:ind w:right="-55" w:rightChars="-25"/>
              <w:jc w:val="center"/>
              <w:textAlignment w:val="bottom"/>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套</w:t>
            </w:r>
          </w:p>
        </w:tc>
        <w:tc>
          <w:tcPr>
            <w:tcW w:w="10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utoSpaceDE w:val="0"/>
              <w:autoSpaceDN w:val="0"/>
              <w:ind w:right="-55" w:rightChars="-25"/>
              <w:jc w:val="center"/>
              <w:textAlignment w:val="bottom"/>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1308" w:type="dxa"/>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autoSpaceDE w:val="0"/>
              <w:autoSpaceDN w:val="0"/>
              <w:ind w:right="-55" w:rightChars="-25"/>
              <w:jc w:val="center"/>
              <w:textAlignment w:val="bottom"/>
              <w:rPr>
                <w:rFonts w:hint="eastAsia" w:ascii="宋体" w:hAnsi="宋体" w:eastAsia="宋体" w:cs="宋体"/>
                <w:sz w:val="24"/>
                <w:szCs w:val="24"/>
              </w:rPr>
            </w:pPr>
          </w:p>
        </w:tc>
        <w:tc>
          <w:tcPr>
            <w:tcW w:w="1260" w:type="dxa"/>
            <w:tcBorders>
              <w:top w:val="single" w:color="auto" w:sz="8" w:space="0"/>
              <w:left w:val="single" w:color="auto" w:sz="4" w:space="0"/>
              <w:bottom w:val="single" w:color="auto" w:sz="8" w:space="0"/>
              <w:right w:val="single" w:color="auto" w:sz="8" w:space="0"/>
            </w:tcBorders>
            <w:vAlign w:val="center"/>
          </w:tcPr>
          <w:p>
            <w:pPr>
              <w:autoSpaceDE w:val="0"/>
              <w:autoSpaceDN w:val="0"/>
              <w:ind w:right="-55" w:rightChars="-25"/>
              <w:jc w:val="center"/>
              <w:textAlignment w:val="bottom"/>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6" w:hRule="atLeast"/>
        </w:trPr>
        <w:tc>
          <w:tcPr>
            <w:tcW w:w="91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utoSpaceDE w:val="0"/>
              <w:autoSpaceDN w:val="0"/>
              <w:ind w:right="-55" w:rightChars="-25"/>
              <w:jc w:val="center"/>
              <w:textAlignment w:val="bottom"/>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37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utoSpaceDE w:val="0"/>
              <w:autoSpaceDN w:val="0"/>
              <w:ind w:right="-55" w:rightChars="-25"/>
              <w:jc w:val="center"/>
              <w:textAlignment w:val="bottom"/>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3年内废油、废渣、废水的无害化服务。</w:t>
            </w:r>
          </w:p>
        </w:tc>
        <w:tc>
          <w:tcPr>
            <w:tcW w:w="107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utoSpaceDE w:val="0"/>
              <w:autoSpaceDN w:val="0"/>
              <w:ind w:right="-55" w:rightChars="-25"/>
              <w:jc w:val="center"/>
              <w:textAlignment w:val="bottom"/>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10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utoSpaceDE w:val="0"/>
              <w:autoSpaceDN w:val="0"/>
              <w:ind w:right="-55" w:rightChars="-25"/>
              <w:jc w:val="center"/>
              <w:textAlignment w:val="bottom"/>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08" w:type="dxa"/>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autoSpaceDE w:val="0"/>
              <w:autoSpaceDN w:val="0"/>
              <w:ind w:right="-55" w:rightChars="-25"/>
              <w:jc w:val="center"/>
              <w:textAlignment w:val="bottom"/>
              <w:rPr>
                <w:rFonts w:hint="eastAsia" w:ascii="宋体" w:hAnsi="宋体" w:eastAsia="宋体" w:cs="宋体"/>
                <w:sz w:val="24"/>
                <w:szCs w:val="24"/>
              </w:rPr>
            </w:pPr>
          </w:p>
        </w:tc>
        <w:tc>
          <w:tcPr>
            <w:tcW w:w="1260" w:type="dxa"/>
            <w:tcBorders>
              <w:top w:val="single" w:color="auto" w:sz="8" w:space="0"/>
              <w:left w:val="single" w:color="auto" w:sz="4" w:space="0"/>
              <w:bottom w:val="single" w:color="auto" w:sz="8" w:space="0"/>
              <w:right w:val="single" w:color="auto" w:sz="8" w:space="0"/>
            </w:tcBorders>
            <w:vAlign w:val="center"/>
          </w:tcPr>
          <w:p>
            <w:pPr>
              <w:autoSpaceDE w:val="0"/>
              <w:autoSpaceDN w:val="0"/>
              <w:ind w:right="-55" w:rightChars="-25"/>
              <w:jc w:val="center"/>
              <w:textAlignment w:val="bottom"/>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6" w:hRule="atLeast"/>
        </w:trPr>
        <w:tc>
          <w:tcPr>
            <w:tcW w:w="91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utoSpaceDE w:val="0"/>
              <w:autoSpaceDN w:val="0"/>
              <w:ind w:right="-55" w:rightChars="-25"/>
              <w:jc w:val="center"/>
              <w:textAlignment w:val="bottom"/>
              <w:rPr>
                <w:rFonts w:hint="eastAsia" w:ascii="宋体" w:hAnsi="宋体" w:eastAsia="宋体" w:cs="宋体"/>
                <w:sz w:val="24"/>
                <w:szCs w:val="24"/>
              </w:rPr>
            </w:pPr>
          </w:p>
        </w:tc>
        <w:tc>
          <w:tcPr>
            <w:tcW w:w="37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utoSpaceDE w:val="0"/>
              <w:autoSpaceDN w:val="0"/>
              <w:ind w:right="-55" w:rightChars="-25"/>
              <w:jc w:val="center"/>
              <w:textAlignment w:val="bottom"/>
              <w:rPr>
                <w:rFonts w:hint="eastAsia" w:ascii="宋体" w:hAnsi="宋体" w:eastAsia="宋体" w:cs="宋体"/>
                <w:sz w:val="24"/>
                <w:szCs w:val="24"/>
              </w:rPr>
            </w:pPr>
            <w:r>
              <w:rPr>
                <w:rFonts w:hint="eastAsia" w:ascii="宋体" w:hAnsi="宋体" w:eastAsia="宋体" w:cs="宋体"/>
                <w:sz w:val="24"/>
                <w:szCs w:val="24"/>
              </w:rPr>
              <w:t>合计</w:t>
            </w:r>
          </w:p>
        </w:tc>
        <w:tc>
          <w:tcPr>
            <w:tcW w:w="107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utoSpaceDE w:val="0"/>
              <w:autoSpaceDN w:val="0"/>
              <w:ind w:right="-55" w:rightChars="-25"/>
              <w:jc w:val="center"/>
              <w:textAlignment w:val="bottom"/>
              <w:rPr>
                <w:rFonts w:hint="eastAsia" w:ascii="宋体" w:hAnsi="宋体" w:eastAsia="宋体" w:cs="宋体"/>
                <w:sz w:val="24"/>
                <w:szCs w:val="24"/>
              </w:rPr>
            </w:pPr>
          </w:p>
        </w:tc>
        <w:tc>
          <w:tcPr>
            <w:tcW w:w="10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utoSpaceDE w:val="0"/>
              <w:autoSpaceDN w:val="0"/>
              <w:ind w:right="-55" w:rightChars="-25"/>
              <w:jc w:val="center"/>
              <w:textAlignment w:val="bottom"/>
              <w:rPr>
                <w:rFonts w:hint="eastAsia" w:ascii="宋体" w:hAnsi="宋体" w:eastAsia="宋体" w:cs="宋体"/>
                <w:sz w:val="24"/>
                <w:szCs w:val="24"/>
              </w:rPr>
            </w:pPr>
          </w:p>
        </w:tc>
        <w:tc>
          <w:tcPr>
            <w:tcW w:w="1308" w:type="dxa"/>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widowControl/>
              <w:autoSpaceDE w:val="0"/>
              <w:autoSpaceDN w:val="0"/>
              <w:ind w:right="-55" w:rightChars="-25"/>
              <w:jc w:val="center"/>
              <w:textAlignment w:val="bottom"/>
              <w:rPr>
                <w:rFonts w:hint="eastAsia" w:ascii="宋体" w:hAnsi="宋体" w:eastAsia="宋体" w:cs="宋体"/>
                <w:sz w:val="24"/>
                <w:szCs w:val="24"/>
                <w:highlight w:val="yellow"/>
              </w:rPr>
            </w:pPr>
          </w:p>
        </w:tc>
        <w:tc>
          <w:tcPr>
            <w:tcW w:w="1260" w:type="dxa"/>
            <w:tcBorders>
              <w:top w:val="single" w:color="auto" w:sz="8" w:space="0"/>
              <w:left w:val="single" w:color="auto" w:sz="4" w:space="0"/>
              <w:bottom w:val="single" w:color="auto" w:sz="8" w:space="0"/>
              <w:right w:val="single" w:color="auto" w:sz="8" w:space="0"/>
            </w:tcBorders>
            <w:vAlign w:val="center"/>
          </w:tcPr>
          <w:p>
            <w:pPr>
              <w:autoSpaceDE w:val="0"/>
              <w:autoSpaceDN w:val="0"/>
              <w:ind w:right="-55" w:rightChars="-25"/>
              <w:jc w:val="center"/>
              <w:textAlignment w:val="bottom"/>
              <w:rPr>
                <w:rFonts w:hint="eastAsia" w:ascii="宋体" w:hAnsi="宋体" w:eastAsia="宋体" w:cs="宋体"/>
                <w:sz w:val="24"/>
                <w:szCs w:val="24"/>
                <w:highlight w:val="yellow"/>
              </w:rPr>
            </w:pPr>
          </w:p>
        </w:tc>
      </w:tr>
      <w:bookmarkEnd w:id="65"/>
    </w:tbl>
    <w:p>
      <w:pPr>
        <w:widowControl/>
        <w:autoSpaceDE w:val="0"/>
        <w:autoSpaceDN w:val="0"/>
        <w:ind w:left="1094" w:leftChars="114" w:right="-55" w:rightChars="-25" w:hanging="843" w:hangingChars="350"/>
        <w:textAlignment w:val="bottom"/>
        <w:rPr>
          <w:rFonts w:hint="eastAsia" w:ascii="宋体" w:hAnsi="宋体" w:eastAsia="宋体" w:cs="宋体"/>
          <w:kern w:val="0"/>
          <w:sz w:val="24"/>
        </w:rPr>
      </w:pPr>
      <w:r>
        <w:rPr>
          <w:rFonts w:hint="eastAsia" w:ascii="宋体" w:hAnsi="宋体" w:eastAsia="宋体" w:cs="宋体"/>
          <w:b/>
          <w:kern w:val="0"/>
          <w:sz w:val="24"/>
        </w:rPr>
        <w:t>注：</w:t>
      </w:r>
      <w:r>
        <w:rPr>
          <w:rFonts w:hint="eastAsia" w:ascii="宋体" w:hAnsi="宋体" w:eastAsia="宋体" w:cs="宋体"/>
          <w:kern w:val="0"/>
          <w:sz w:val="24"/>
        </w:rPr>
        <w:t>1、以上金额包括</w:t>
      </w:r>
      <w:r>
        <w:rPr>
          <w:rFonts w:hint="eastAsia" w:ascii="宋体" w:hAnsi="宋体" w:eastAsia="宋体" w:cs="宋体"/>
          <w:bCs/>
          <w:sz w:val="24"/>
        </w:rPr>
        <w:t>产品的设计、制造、运输、装卸、安装、产品保护、备品备件、验收、售后服务</w:t>
      </w:r>
      <w:r>
        <w:rPr>
          <w:rFonts w:hint="eastAsia" w:ascii="宋体" w:hAnsi="宋体" w:eastAsia="宋体" w:cs="宋体"/>
          <w:kern w:val="0"/>
          <w:sz w:val="24"/>
          <w:szCs w:val="24"/>
        </w:rPr>
        <w:t>、税费及完成整个项目所需的一切费用</w:t>
      </w:r>
    </w:p>
    <w:p>
      <w:pPr>
        <w:widowControl/>
        <w:autoSpaceDE w:val="0"/>
        <w:autoSpaceDN w:val="0"/>
        <w:ind w:right="-55" w:rightChars="-25" w:firstLine="720" w:firstLineChars="300"/>
        <w:textAlignment w:val="bottom"/>
        <w:rPr>
          <w:rFonts w:hint="eastAsia" w:ascii="宋体" w:hAnsi="宋体" w:eastAsia="宋体" w:cs="宋体"/>
          <w:kern w:val="0"/>
          <w:sz w:val="24"/>
          <w:highlight w:val="none"/>
        </w:rPr>
      </w:pPr>
      <w:r>
        <w:rPr>
          <w:rFonts w:hint="eastAsia" w:ascii="宋体" w:hAnsi="宋体" w:eastAsia="宋体" w:cs="宋体"/>
          <w:kern w:val="0"/>
          <w:sz w:val="24"/>
          <w:highlight w:val="none"/>
        </w:rPr>
        <w:t>2、供货时提供原厂 1 年质保证明材料。</w:t>
      </w:r>
    </w:p>
    <w:p>
      <w:pPr>
        <w:widowControl/>
        <w:autoSpaceDE w:val="0"/>
        <w:autoSpaceDN w:val="0"/>
        <w:spacing w:line="360" w:lineRule="auto"/>
        <w:ind w:right="-55" w:rightChars="-25" w:firstLine="482" w:firstLineChars="200"/>
        <w:textAlignment w:val="bottom"/>
        <w:rPr>
          <w:rFonts w:hint="eastAsia" w:ascii="宋体" w:hAnsi="宋体" w:eastAsia="宋体" w:cs="宋体"/>
          <w:b/>
          <w:sz w:val="24"/>
          <w:szCs w:val="24"/>
        </w:rPr>
      </w:pPr>
      <w:r>
        <w:rPr>
          <w:rFonts w:hint="eastAsia" w:ascii="宋体" w:hAnsi="宋体" w:eastAsia="宋体" w:cs="宋体"/>
          <w:b/>
          <w:sz w:val="24"/>
          <w:szCs w:val="24"/>
        </w:rPr>
        <w:t>（三）主要参数</w:t>
      </w:r>
    </w:p>
    <w:p>
      <w:pPr>
        <w:widowControl/>
        <w:autoSpaceDE w:val="0"/>
        <w:autoSpaceDN w:val="0"/>
        <w:spacing w:line="360" w:lineRule="auto"/>
        <w:ind w:right="-55" w:rightChars="-25"/>
        <w:textAlignment w:val="bottom"/>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1</w:t>
      </w:r>
      <w:r>
        <w:rPr>
          <w:rFonts w:hint="eastAsia" w:ascii="宋体" w:hAnsi="宋体" w:eastAsia="宋体" w:cs="宋体"/>
          <w:b/>
          <w:sz w:val="24"/>
          <w:szCs w:val="24"/>
        </w:rPr>
        <w:t>、 日处理</w:t>
      </w:r>
      <w:r>
        <w:rPr>
          <w:rFonts w:hint="eastAsia" w:ascii="宋体" w:hAnsi="宋体" w:eastAsia="宋体" w:cs="宋体"/>
          <w:b/>
          <w:sz w:val="24"/>
          <w:szCs w:val="24"/>
          <w:lang w:val="en-US" w:eastAsia="zh-CN"/>
        </w:rPr>
        <w:t>20吨</w:t>
      </w:r>
      <w:r>
        <w:rPr>
          <w:rFonts w:hint="eastAsia" w:ascii="宋体" w:hAnsi="宋体" w:eastAsia="宋体" w:cs="宋体"/>
          <w:b/>
          <w:sz w:val="24"/>
          <w:szCs w:val="24"/>
          <w:lang w:eastAsia="zh-CN"/>
        </w:rPr>
        <w:t>餐厨</w:t>
      </w:r>
      <w:r>
        <w:rPr>
          <w:rFonts w:hint="eastAsia" w:ascii="宋体" w:hAnsi="宋体" w:eastAsia="宋体" w:cs="宋体"/>
          <w:b/>
          <w:sz w:val="24"/>
          <w:szCs w:val="24"/>
        </w:rPr>
        <w:t>垃圾处理设备技术参数：</w:t>
      </w:r>
    </w:p>
    <w:tbl>
      <w:tblPr>
        <w:tblStyle w:val="16"/>
        <w:tblW w:w="97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04"/>
        <w:gridCol w:w="1978"/>
        <w:gridCol w:w="53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34" w:type="dxa"/>
            <w:noWrap w:val="0"/>
            <w:vAlign w:val="center"/>
          </w:tcPr>
          <w:p>
            <w:pPr>
              <w:jc w:val="center"/>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序号</w:t>
            </w:r>
          </w:p>
        </w:tc>
        <w:tc>
          <w:tcPr>
            <w:tcW w:w="1704" w:type="dxa"/>
            <w:noWrap w:val="0"/>
            <w:vAlign w:val="center"/>
          </w:tcPr>
          <w:p>
            <w:pPr>
              <w:jc w:val="center"/>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系统</w:t>
            </w:r>
          </w:p>
        </w:tc>
        <w:tc>
          <w:tcPr>
            <w:tcW w:w="1978" w:type="dxa"/>
            <w:noWrap w:val="0"/>
            <w:vAlign w:val="center"/>
          </w:tcPr>
          <w:p>
            <w:pPr>
              <w:jc w:val="center"/>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项目</w:t>
            </w:r>
          </w:p>
        </w:tc>
        <w:tc>
          <w:tcPr>
            <w:tcW w:w="5329" w:type="dxa"/>
            <w:noWrap w:val="0"/>
            <w:vAlign w:val="center"/>
          </w:tcPr>
          <w:p>
            <w:pPr>
              <w:jc w:val="center"/>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功能参数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34" w:type="dxa"/>
            <w:vMerge w:val="restart"/>
            <w:noWrap w:val="0"/>
            <w:vAlign w:val="center"/>
          </w:tcPr>
          <w:p>
            <w:pPr>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1</w:t>
            </w:r>
          </w:p>
        </w:tc>
        <w:tc>
          <w:tcPr>
            <w:tcW w:w="1704" w:type="dxa"/>
            <w:vMerge w:val="restart"/>
            <w:noWrap w:val="0"/>
            <w:vAlign w:val="center"/>
          </w:tcPr>
          <w:p>
            <w:pPr>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预处理系统</w:t>
            </w:r>
          </w:p>
        </w:tc>
        <w:tc>
          <w:tcPr>
            <w:tcW w:w="1978"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接料装置</w:t>
            </w:r>
          </w:p>
        </w:tc>
        <w:tc>
          <w:tcPr>
            <w:tcW w:w="5329" w:type="dxa"/>
            <w:noWrap w:val="0"/>
            <w:vAlign w:val="center"/>
          </w:tcPr>
          <w:p>
            <w:pPr>
              <w:rPr>
                <w:rStyle w:val="40"/>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整机设备容积≥</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0m³，功率≤</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kW，底部螺旋具有渗水功能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34" w:type="dxa"/>
            <w:vMerge w:val="continue"/>
            <w:noWrap w:val="0"/>
            <w:vAlign w:val="center"/>
          </w:tcPr>
          <w:p>
            <w:pPr>
              <w:rPr>
                <w:rStyle w:val="40"/>
                <w:rFonts w:hint="eastAsia" w:ascii="宋体" w:hAnsi="宋体" w:eastAsia="宋体" w:cs="宋体"/>
                <w:color w:val="auto"/>
                <w:sz w:val="24"/>
                <w:szCs w:val="24"/>
                <w:highlight w:val="none"/>
              </w:rPr>
            </w:pPr>
          </w:p>
        </w:tc>
        <w:tc>
          <w:tcPr>
            <w:tcW w:w="1704" w:type="dxa"/>
            <w:vMerge w:val="continue"/>
            <w:noWrap w:val="0"/>
            <w:vAlign w:val="center"/>
          </w:tcPr>
          <w:p>
            <w:pPr>
              <w:rPr>
                <w:rStyle w:val="40"/>
                <w:rFonts w:hint="eastAsia" w:ascii="宋体" w:hAnsi="宋体" w:eastAsia="宋体" w:cs="宋体"/>
                <w:color w:val="auto"/>
                <w:sz w:val="24"/>
                <w:szCs w:val="24"/>
                <w:highlight w:val="none"/>
              </w:rPr>
            </w:pPr>
          </w:p>
        </w:tc>
        <w:tc>
          <w:tcPr>
            <w:tcW w:w="1978" w:type="dxa"/>
            <w:noWrap w:val="0"/>
            <w:vAlign w:val="center"/>
          </w:tcPr>
          <w:p>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破袋磁选装置</w:t>
            </w:r>
          </w:p>
        </w:tc>
        <w:tc>
          <w:tcPr>
            <w:tcW w:w="5329" w:type="dxa"/>
            <w:noWrap w:val="0"/>
            <w:vAlign w:val="center"/>
          </w:tcPr>
          <w:p>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具有自动破袋功能，磁选机皮带带宽</w:t>
            </w:r>
            <w:r>
              <w:rPr>
                <w:rFonts w:hint="eastAsia" w:ascii="宋体" w:hAnsi="宋体" w:eastAsia="宋体" w:cs="宋体"/>
                <w:color w:val="auto"/>
                <w:sz w:val="24"/>
                <w:highlight w:val="none"/>
                <w:lang w:val="en-US" w:eastAsia="zh-CN"/>
              </w:rPr>
              <w:t>800mm，磁场强度70mm，允许的物料厚度为200mm，带速</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1.0m/s，总功率</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12kw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34" w:type="dxa"/>
            <w:vMerge w:val="continue"/>
            <w:noWrap w:val="0"/>
            <w:vAlign w:val="center"/>
          </w:tcPr>
          <w:p>
            <w:pPr>
              <w:rPr>
                <w:rStyle w:val="40"/>
                <w:rFonts w:hint="eastAsia" w:ascii="宋体" w:hAnsi="宋体" w:eastAsia="宋体" w:cs="宋体"/>
                <w:color w:val="auto"/>
                <w:sz w:val="24"/>
                <w:szCs w:val="24"/>
                <w:highlight w:val="none"/>
              </w:rPr>
            </w:pPr>
          </w:p>
        </w:tc>
        <w:tc>
          <w:tcPr>
            <w:tcW w:w="1704" w:type="dxa"/>
            <w:vMerge w:val="continue"/>
            <w:noWrap w:val="0"/>
            <w:vAlign w:val="center"/>
          </w:tcPr>
          <w:p>
            <w:pPr>
              <w:rPr>
                <w:rStyle w:val="40"/>
                <w:rFonts w:hint="eastAsia" w:ascii="宋体" w:hAnsi="宋体" w:eastAsia="宋体" w:cs="宋体"/>
                <w:color w:val="auto"/>
                <w:sz w:val="24"/>
                <w:szCs w:val="24"/>
                <w:highlight w:val="none"/>
              </w:rPr>
            </w:pPr>
          </w:p>
        </w:tc>
        <w:tc>
          <w:tcPr>
            <w:tcW w:w="1978" w:type="dxa"/>
            <w:noWrap w:val="0"/>
            <w:vAlign w:val="center"/>
          </w:tcPr>
          <w:p>
            <w:pPr>
              <w:rPr>
                <w:rStyle w:val="40"/>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粉碎</w:t>
            </w:r>
            <w:r>
              <w:rPr>
                <w:rFonts w:hint="eastAsia" w:ascii="宋体" w:hAnsi="宋体" w:eastAsia="宋体" w:cs="宋体"/>
                <w:color w:val="auto"/>
                <w:sz w:val="24"/>
                <w:highlight w:val="none"/>
                <w:lang w:eastAsia="zh-CN"/>
              </w:rPr>
              <w:t>脱水</w:t>
            </w:r>
            <w:r>
              <w:rPr>
                <w:rFonts w:hint="eastAsia" w:ascii="宋体" w:hAnsi="宋体" w:eastAsia="宋体" w:cs="宋体"/>
                <w:color w:val="auto"/>
                <w:sz w:val="24"/>
                <w:highlight w:val="none"/>
              </w:rPr>
              <w:t>装置</w:t>
            </w:r>
          </w:p>
        </w:tc>
        <w:tc>
          <w:tcPr>
            <w:tcW w:w="5329" w:type="dxa"/>
            <w:noWrap w:val="0"/>
            <w:vAlign w:val="center"/>
          </w:tcPr>
          <w:p>
            <w:pPr>
              <w:rPr>
                <w:rStyle w:val="40"/>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rPr>
              <w:t>处理量≥</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t/h，功率≤</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5kw</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脱水后物料含水率≤</w:t>
            </w:r>
            <w:r>
              <w:rPr>
                <w:rFonts w:hint="eastAsia" w:ascii="宋体" w:hAnsi="宋体" w:eastAsia="宋体" w:cs="宋体"/>
                <w:color w:val="auto"/>
                <w:sz w:val="24"/>
                <w:highlight w:val="none"/>
                <w:lang w:val="en-US" w:eastAsia="zh-CN"/>
              </w:rPr>
              <w:t>65</w:t>
            </w:r>
            <w:r>
              <w:rPr>
                <w:rFonts w:hint="eastAsia" w:ascii="宋体" w:hAnsi="宋体" w:eastAsia="宋体" w:cs="宋体"/>
                <w:color w:val="auto"/>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34" w:type="dxa"/>
            <w:vMerge w:val="continue"/>
            <w:noWrap w:val="0"/>
            <w:vAlign w:val="center"/>
          </w:tcPr>
          <w:p>
            <w:pPr>
              <w:rPr>
                <w:rStyle w:val="40"/>
                <w:rFonts w:hint="eastAsia" w:ascii="宋体" w:hAnsi="宋体" w:eastAsia="宋体" w:cs="宋体"/>
                <w:color w:val="auto"/>
                <w:sz w:val="24"/>
                <w:szCs w:val="24"/>
                <w:highlight w:val="none"/>
              </w:rPr>
            </w:pPr>
          </w:p>
        </w:tc>
        <w:tc>
          <w:tcPr>
            <w:tcW w:w="1704" w:type="dxa"/>
            <w:vMerge w:val="continue"/>
            <w:noWrap w:val="0"/>
            <w:vAlign w:val="center"/>
          </w:tcPr>
          <w:p>
            <w:pPr>
              <w:rPr>
                <w:rStyle w:val="40"/>
                <w:rFonts w:hint="eastAsia" w:ascii="宋体" w:hAnsi="宋体" w:eastAsia="宋体" w:cs="宋体"/>
                <w:color w:val="auto"/>
                <w:sz w:val="24"/>
                <w:szCs w:val="24"/>
                <w:highlight w:val="none"/>
              </w:rPr>
            </w:pPr>
          </w:p>
        </w:tc>
        <w:tc>
          <w:tcPr>
            <w:tcW w:w="1978" w:type="dxa"/>
            <w:noWrap w:val="0"/>
            <w:vAlign w:val="center"/>
          </w:tcPr>
          <w:p>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除油除盐自动分拣装置</w:t>
            </w:r>
          </w:p>
        </w:tc>
        <w:tc>
          <w:tcPr>
            <w:tcW w:w="5329" w:type="dxa"/>
            <w:noWrap w:val="0"/>
            <w:vAlign w:val="center"/>
          </w:tcPr>
          <w:p>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具有自动除油除盐自动分拣功能，</w:t>
            </w:r>
            <w:r>
              <w:rPr>
                <w:rFonts w:hint="eastAsia" w:ascii="宋体" w:hAnsi="宋体" w:eastAsia="宋体" w:cs="宋体"/>
                <w:color w:val="auto"/>
                <w:sz w:val="24"/>
                <w:highlight w:val="none"/>
              </w:rPr>
              <w:t>功率≤</w:t>
            </w:r>
            <w:r>
              <w:rPr>
                <w:rFonts w:hint="eastAsia" w:ascii="宋体" w:hAnsi="宋体" w:eastAsia="宋体" w:cs="宋体"/>
                <w:color w:val="auto"/>
                <w:sz w:val="24"/>
                <w:highlight w:val="none"/>
                <w:lang w:val="en-US" w:eastAsia="zh-CN"/>
              </w:rPr>
              <w:t>22kw</w:t>
            </w:r>
            <w:r>
              <w:rPr>
                <w:rFonts w:hint="eastAsia" w:ascii="宋体" w:hAnsi="宋体" w:eastAsia="宋体" w:cs="宋体"/>
                <w:color w:val="auto"/>
                <w:sz w:val="24"/>
                <w:highlight w:val="none"/>
                <w:lang w:eastAsia="zh-CN"/>
              </w:rPr>
              <w:t>，处理量</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t/h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34" w:type="dxa"/>
            <w:vMerge w:val="continue"/>
            <w:noWrap w:val="0"/>
            <w:vAlign w:val="center"/>
          </w:tcPr>
          <w:p>
            <w:pPr>
              <w:rPr>
                <w:rStyle w:val="40"/>
                <w:rFonts w:hint="eastAsia" w:ascii="宋体" w:hAnsi="宋体" w:eastAsia="宋体" w:cs="宋体"/>
                <w:color w:val="auto"/>
                <w:sz w:val="24"/>
                <w:szCs w:val="24"/>
                <w:highlight w:val="none"/>
              </w:rPr>
            </w:pPr>
          </w:p>
        </w:tc>
        <w:tc>
          <w:tcPr>
            <w:tcW w:w="1704" w:type="dxa"/>
            <w:vMerge w:val="continue"/>
            <w:noWrap w:val="0"/>
            <w:vAlign w:val="center"/>
          </w:tcPr>
          <w:p>
            <w:pPr>
              <w:rPr>
                <w:rStyle w:val="40"/>
                <w:rFonts w:hint="eastAsia" w:ascii="宋体" w:hAnsi="宋体" w:eastAsia="宋体" w:cs="宋体"/>
                <w:color w:val="auto"/>
                <w:sz w:val="24"/>
                <w:szCs w:val="24"/>
                <w:highlight w:val="none"/>
              </w:rPr>
            </w:pPr>
          </w:p>
        </w:tc>
        <w:tc>
          <w:tcPr>
            <w:tcW w:w="1978" w:type="dxa"/>
            <w:noWrap w:val="0"/>
            <w:vAlign w:val="center"/>
          </w:tcPr>
          <w:p>
            <w:pPr>
              <w:rPr>
                <w:rStyle w:val="40"/>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输送系统</w:t>
            </w:r>
          </w:p>
        </w:tc>
        <w:tc>
          <w:tcPr>
            <w:tcW w:w="5329" w:type="dxa"/>
            <w:noWrap w:val="0"/>
            <w:vAlign w:val="center"/>
          </w:tcPr>
          <w:p>
            <w:pPr>
              <w:rPr>
                <w:rStyle w:val="40"/>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rPr>
              <w:t>采用无轴螺旋，最大输送角度为</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每条螺旋输送量≥</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t/h</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功率≤</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kW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34" w:type="dxa"/>
            <w:vMerge w:val="restart"/>
            <w:noWrap w:val="0"/>
            <w:vAlign w:val="center"/>
          </w:tcPr>
          <w:p>
            <w:pPr>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2</w:t>
            </w:r>
          </w:p>
        </w:tc>
        <w:tc>
          <w:tcPr>
            <w:tcW w:w="1704" w:type="dxa"/>
            <w:vMerge w:val="restart"/>
            <w:noWrap w:val="0"/>
            <w:vAlign w:val="center"/>
          </w:tcPr>
          <w:p>
            <w:pPr>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自动控制系统</w:t>
            </w:r>
          </w:p>
        </w:tc>
        <w:tc>
          <w:tcPr>
            <w:tcW w:w="1978" w:type="dxa"/>
            <w:noWrap w:val="0"/>
            <w:vAlign w:val="center"/>
          </w:tcPr>
          <w:p>
            <w:pPr>
              <w:rPr>
                <w:rStyle w:val="40"/>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液晶操作屏幕</w:t>
            </w:r>
          </w:p>
        </w:tc>
        <w:tc>
          <w:tcPr>
            <w:tcW w:w="5329"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尺寸：400mm×260mm（±</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mm），分辨率：</w:t>
            </w:r>
            <w:r>
              <w:rPr>
                <w:rFonts w:hint="eastAsia" w:ascii="宋体" w:hAnsi="宋体" w:eastAsia="宋体" w:cs="宋体"/>
                <w:color w:val="auto"/>
                <w:sz w:val="24"/>
                <w:highlight w:val="none"/>
                <w:lang w:val="en-US" w:eastAsia="zh-CN"/>
              </w:rPr>
              <w:t>1024X600</w:t>
            </w:r>
            <w:r>
              <w:rPr>
                <w:rFonts w:hint="eastAsia" w:ascii="宋体" w:hAnsi="宋体" w:eastAsia="宋体" w:cs="宋体"/>
                <w:color w:val="auto"/>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34" w:type="dxa"/>
            <w:vMerge w:val="continue"/>
            <w:noWrap w:val="0"/>
            <w:vAlign w:val="center"/>
          </w:tcPr>
          <w:p>
            <w:pPr>
              <w:rPr>
                <w:rStyle w:val="40"/>
                <w:rFonts w:hint="eastAsia" w:ascii="宋体" w:hAnsi="宋体" w:eastAsia="宋体" w:cs="宋体"/>
                <w:color w:val="auto"/>
                <w:sz w:val="24"/>
                <w:szCs w:val="24"/>
                <w:highlight w:val="none"/>
              </w:rPr>
            </w:pPr>
          </w:p>
        </w:tc>
        <w:tc>
          <w:tcPr>
            <w:tcW w:w="1704" w:type="dxa"/>
            <w:vMerge w:val="continue"/>
            <w:noWrap w:val="0"/>
            <w:vAlign w:val="center"/>
          </w:tcPr>
          <w:p>
            <w:pPr>
              <w:rPr>
                <w:rStyle w:val="40"/>
                <w:rFonts w:hint="eastAsia" w:ascii="宋体" w:hAnsi="宋体" w:eastAsia="宋体" w:cs="宋体"/>
                <w:color w:val="auto"/>
                <w:sz w:val="24"/>
                <w:szCs w:val="24"/>
                <w:highlight w:val="none"/>
              </w:rPr>
            </w:pPr>
          </w:p>
        </w:tc>
        <w:tc>
          <w:tcPr>
            <w:tcW w:w="1978" w:type="dxa"/>
            <w:noWrap w:val="0"/>
            <w:vAlign w:val="center"/>
          </w:tcPr>
          <w:p>
            <w:pPr>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数据采集及上传</w:t>
            </w:r>
          </w:p>
        </w:tc>
        <w:tc>
          <w:tcPr>
            <w:tcW w:w="5329"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支持通过手机APP、PC端查看和设定运行参数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34" w:type="dxa"/>
            <w:shd w:val="clear" w:color="auto" w:fill="FFFFFF"/>
            <w:noWrap w:val="0"/>
            <w:vAlign w:val="center"/>
          </w:tcPr>
          <w:p>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704" w:type="dxa"/>
            <w:shd w:val="clear" w:color="auto" w:fill="FFFFFF"/>
            <w:noWrap w:val="0"/>
            <w:vAlign w:val="center"/>
          </w:tcPr>
          <w:p>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废气处理系统</w:t>
            </w:r>
          </w:p>
        </w:tc>
        <w:tc>
          <w:tcPr>
            <w:tcW w:w="1978" w:type="dxa"/>
            <w:shd w:val="clear" w:color="auto" w:fill="FFFFFF"/>
            <w:noWrap w:val="0"/>
            <w:vAlign w:val="center"/>
          </w:tcPr>
          <w:p>
            <w:pPr>
              <w:snapToGrid w:val="0"/>
              <w:spacing w:line="400" w:lineRule="exact"/>
              <w:rPr>
                <w:rStyle w:val="40"/>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气体净化设备</w:t>
            </w:r>
          </w:p>
        </w:tc>
        <w:tc>
          <w:tcPr>
            <w:tcW w:w="5329" w:type="dxa"/>
            <w:shd w:val="clear" w:color="auto" w:fill="FFFFFF"/>
            <w:noWrap w:val="0"/>
            <w:vAlign w:val="center"/>
          </w:tcPr>
          <w:p>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功率≤</w:t>
            </w:r>
            <w:r>
              <w:rPr>
                <w:rFonts w:hint="eastAsia" w:ascii="宋体" w:hAnsi="宋体" w:eastAsia="宋体" w:cs="宋体"/>
                <w:color w:val="auto"/>
                <w:sz w:val="24"/>
                <w:szCs w:val="22"/>
                <w:highlight w:val="none"/>
                <w:lang w:val="en-US" w:eastAsia="zh-CN"/>
              </w:rPr>
              <w:t>15</w:t>
            </w:r>
            <w:r>
              <w:rPr>
                <w:rFonts w:hint="eastAsia" w:ascii="宋体" w:hAnsi="宋体" w:eastAsia="宋体" w:cs="宋体"/>
                <w:color w:val="auto"/>
                <w:sz w:val="24"/>
                <w:szCs w:val="22"/>
                <w:highlight w:val="none"/>
              </w:rPr>
              <w:t>kW</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喷淋塔处理工艺+催化工艺，排放达到《恶臭污染物排放标准》（GB14554-93）及《大气污染物综合排放标准》（GB1</w:t>
            </w:r>
            <w:r>
              <w:rPr>
                <w:rFonts w:hint="eastAsia" w:ascii="宋体" w:hAnsi="宋体" w:eastAsia="宋体" w:cs="宋体"/>
                <w:color w:val="auto"/>
                <w:sz w:val="24"/>
                <w:szCs w:val="22"/>
                <w:highlight w:val="none"/>
                <w:lang w:val="en-US" w:eastAsia="zh-CN"/>
              </w:rPr>
              <w:t>6</w:t>
            </w:r>
            <w:r>
              <w:rPr>
                <w:rFonts w:hint="eastAsia" w:ascii="宋体" w:hAnsi="宋体" w:eastAsia="宋体" w:cs="宋体"/>
                <w:color w:val="auto"/>
                <w:sz w:val="24"/>
                <w:szCs w:val="22"/>
                <w:highlight w:val="none"/>
              </w:rPr>
              <w:t>297-96）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34" w:type="dxa"/>
            <w:shd w:val="clear" w:color="auto" w:fill="FFFFFF"/>
            <w:noWrap w:val="0"/>
            <w:vAlign w:val="center"/>
          </w:tcPr>
          <w:p>
            <w:pPr>
              <w:snapToGrid w:val="0"/>
              <w:spacing w:line="40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1704" w:type="dxa"/>
            <w:shd w:val="clear" w:color="auto" w:fill="FFFFFF"/>
            <w:noWrap w:val="0"/>
            <w:vAlign w:val="center"/>
          </w:tcPr>
          <w:p>
            <w:pPr>
              <w:snapToGrid w:val="0"/>
              <w:spacing w:line="40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油水分离系统</w:t>
            </w:r>
          </w:p>
        </w:tc>
        <w:tc>
          <w:tcPr>
            <w:tcW w:w="1978" w:type="dxa"/>
            <w:shd w:val="clear" w:color="auto" w:fill="FFFFFF"/>
            <w:noWrap w:val="0"/>
            <w:vAlign w:val="center"/>
          </w:tcPr>
          <w:p>
            <w:pPr>
              <w:snapToGrid w:val="0"/>
              <w:spacing w:line="40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油水分离装置</w:t>
            </w:r>
          </w:p>
        </w:tc>
        <w:tc>
          <w:tcPr>
            <w:tcW w:w="5329" w:type="dxa"/>
            <w:shd w:val="clear" w:color="auto" w:fill="FFFFFF"/>
            <w:noWrap w:val="0"/>
            <w:vAlign w:val="center"/>
          </w:tcPr>
          <w:p>
            <w:pPr>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yellow"/>
                <w:lang w:eastAsia="zh-CN"/>
              </w:rPr>
              <w:t>尺寸</w:t>
            </w:r>
            <w:r>
              <w:rPr>
                <w:rFonts w:hint="eastAsia" w:ascii="宋体" w:hAnsi="宋体" w:eastAsia="宋体" w:cs="宋体"/>
                <w:color w:val="auto"/>
                <w:sz w:val="24"/>
                <w:szCs w:val="22"/>
                <w:highlight w:val="yellow"/>
              </w:rPr>
              <w:t>≥</w:t>
            </w:r>
            <w:r>
              <w:rPr>
                <w:rFonts w:hint="eastAsia" w:ascii="宋体" w:hAnsi="宋体" w:eastAsia="宋体" w:cs="宋体"/>
                <w:color w:val="auto"/>
                <w:sz w:val="24"/>
                <w:szCs w:val="22"/>
                <w:highlight w:val="yellow"/>
                <w:lang w:val="en-US"/>
              </w:rPr>
              <w:t>192</w:t>
            </w:r>
            <w:r>
              <w:rPr>
                <w:rFonts w:hint="eastAsia" w:ascii="宋体" w:hAnsi="宋体" w:eastAsia="宋体" w:cs="宋体"/>
                <w:color w:val="auto"/>
                <w:sz w:val="24"/>
                <w:szCs w:val="22"/>
                <w:highlight w:val="yellow"/>
              </w:rPr>
              <w:t>0×</w:t>
            </w:r>
            <w:r>
              <w:rPr>
                <w:rFonts w:hint="eastAsia" w:ascii="宋体" w:hAnsi="宋体" w:eastAsia="宋体" w:cs="宋体"/>
                <w:color w:val="auto"/>
                <w:sz w:val="24"/>
                <w:szCs w:val="22"/>
                <w:highlight w:val="yellow"/>
                <w:lang w:val="en-US"/>
              </w:rPr>
              <w:t>88</w:t>
            </w:r>
            <w:r>
              <w:rPr>
                <w:rFonts w:hint="eastAsia" w:ascii="宋体" w:hAnsi="宋体" w:eastAsia="宋体" w:cs="宋体"/>
                <w:color w:val="auto"/>
                <w:sz w:val="24"/>
                <w:szCs w:val="22"/>
                <w:highlight w:val="yellow"/>
              </w:rPr>
              <w:t>0×</w:t>
            </w:r>
            <w:r>
              <w:rPr>
                <w:rFonts w:hint="eastAsia" w:ascii="宋体" w:hAnsi="宋体" w:eastAsia="宋体" w:cs="宋体"/>
                <w:color w:val="auto"/>
                <w:sz w:val="24"/>
                <w:szCs w:val="22"/>
                <w:highlight w:val="yellow"/>
                <w:lang w:val="en-US"/>
              </w:rPr>
              <w:t>7</w:t>
            </w:r>
            <w:r>
              <w:rPr>
                <w:rFonts w:hint="eastAsia" w:ascii="宋体" w:hAnsi="宋体" w:eastAsia="宋体" w:cs="宋体"/>
                <w:color w:val="auto"/>
                <w:sz w:val="24"/>
                <w:szCs w:val="22"/>
                <w:highlight w:val="yellow"/>
              </w:rPr>
              <w:t>00mm</w:t>
            </w:r>
            <w:r>
              <w:rPr>
                <w:rFonts w:hint="eastAsia" w:ascii="宋体" w:hAnsi="宋体" w:eastAsia="宋体" w:cs="宋体"/>
                <w:color w:val="auto"/>
                <w:sz w:val="24"/>
                <w:szCs w:val="22"/>
                <w:highlight w:val="yellow"/>
                <w:lang w:eastAsia="zh-CN"/>
              </w:rPr>
              <w:t>，</w:t>
            </w:r>
            <w:r>
              <w:rPr>
                <w:rFonts w:hint="eastAsia" w:ascii="宋体" w:hAnsi="宋体" w:eastAsia="宋体" w:cs="宋体"/>
                <w:color w:val="auto"/>
                <w:sz w:val="24"/>
                <w:szCs w:val="22"/>
                <w:highlight w:val="none"/>
              </w:rPr>
              <w:t>功率≤</w:t>
            </w:r>
            <w:r>
              <w:rPr>
                <w:rFonts w:hint="eastAsia" w:ascii="宋体" w:hAnsi="宋体" w:eastAsia="宋体" w:cs="宋体"/>
                <w:color w:val="auto"/>
                <w:sz w:val="24"/>
                <w:szCs w:val="22"/>
                <w:highlight w:val="none"/>
                <w:lang w:val="en-US" w:eastAsia="zh-CN"/>
              </w:rPr>
              <w:t>3</w:t>
            </w:r>
            <w:r>
              <w:rPr>
                <w:rFonts w:hint="eastAsia" w:ascii="宋体" w:hAnsi="宋体" w:eastAsia="宋体" w:cs="宋体"/>
                <w:color w:val="auto"/>
                <w:sz w:val="24"/>
                <w:szCs w:val="22"/>
                <w:highlight w:val="none"/>
              </w:rPr>
              <w:t>kW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34" w:type="dxa"/>
            <w:vMerge w:val="restart"/>
            <w:noWrap w:val="0"/>
            <w:vAlign w:val="center"/>
          </w:tcPr>
          <w:p>
            <w:pPr>
              <w:rPr>
                <w:rStyle w:val="40"/>
                <w:rFonts w:hint="eastAsia" w:ascii="宋体" w:hAnsi="宋体" w:eastAsia="宋体" w:cs="宋体"/>
                <w:color w:val="auto"/>
                <w:sz w:val="24"/>
                <w:szCs w:val="24"/>
                <w:highlight w:val="none"/>
                <w:lang w:val="en-US" w:eastAsia="zh-CN"/>
              </w:rPr>
            </w:pPr>
            <w:r>
              <w:rPr>
                <w:rStyle w:val="40"/>
                <w:rFonts w:hint="eastAsia" w:ascii="宋体" w:hAnsi="宋体" w:eastAsia="宋体" w:cs="宋体"/>
                <w:color w:val="auto"/>
                <w:sz w:val="24"/>
                <w:szCs w:val="24"/>
                <w:highlight w:val="none"/>
                <w:lang w:val="en-US" w:eastAsia="zh-CN"/>
              </w:rPr>
              <w:t>5</w:t>
            </w:r>
          </w:p>
        </w:tc>
        <w:tc>
          <w:tcPr>
            <w:tcW w:w="1704" w:type="dxa"/>
            <w:vMerge w:val="restart"/>
            <w:noWrap w:val="0"/>
            <w:vAlign w:val="center"/>
          </w:tcPr>
          <w:p>
            <w:pPr>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lang w:eastAsia="zh-CN"/>
              </w:rPr>
              <w:t>微生物发酵</w:t>
            </w:r>
            <w:r>
              <w:rPr>
                <w:rStyle w:val="40"/>
                <w:rFonts w:hint="eastAsia" w:ascii="宋体" w:hAnsi="宋体" w:eastAsia="宋体" w:cs="宋体"/>
                <w:color w:val="auto"/>
                <w:sz w:val="24"/>
                <w:szCs w:val="24"/>
                <w:highlight w:val="none"/>
              </w:rPr>
              <w:t>系统</w:t>
            </w:r>
          </w:p>
        </w:tc>
        <w:tc>
          <w:tcPr>
            <w:tcW w:w="1978" w:type="dxa"/>
            <w:noWrap w:val="0"/>
            <w:vAlign w:val="center"/>
          </w:tcPr>
          <w:p>
            <w:pPr>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自动出料设备</w:t>
            </w:r>
          </w:p>
        </w:tc>
        <w:tc>
          <w:tcPr>
            <w:tcW w:w="5329"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rPr>
              <w:t>无需人工辅助通过机械方式自动完成仓内物料出料的功能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34" w:type="dxa"/>
            <w:vMerge w:val="continue"/>
            <w:noWrap w:val="0"/>
            <w:vAlign w:val="center"/>
          </w:tcPr>
          <w:p>
            <w:pPr>
              <w:rPr>
                <w:rStyle w:val="40"/>
                <w:rFonts w:hint="eastAsia" w:ascii="宋体" w:hAnsi="宋体" w:eastAsia="宋体" w:cs="宋体"/>
                <w:color w:val="auto"/>
                <w:sz w:val="24"/>
                <w:szCs w:val="24"/>
                <w:highlight w:val="none"/>
              </w:rPr>
            </w:pPr>
          </w:p>
        </w:tc>
        <w:tc>
          <w:tcPr>
            <w:tcW w:w="1704" w:type="dxa"/>
            <w:vMerge w:val="continue"/>
            <w:noWrap w:val="0"/>
            <w:vAlign w:val="center"/>
          </w:tcPr>
          <w:p>
            <w:pPr>
              <w:rPr>
                <w:rStyle w:val="40"/>
                <w:rFonts w:hint="eastAsia" w:ascii="宋体" w:hAnsi="宋体" w:eastAsia="宋体" w:cs="宋体"/>
                <w:color w:val="auto"/>
                <w:sz w:val="24"/>
                <w:szCs w:val="24"/>
                <w:highlight w:val="none"/>
              </w:rPr>
            </w:pPr>
          </w:p>
        </w:tc>
        <w:tc>
          <w:tcPr>
            <w:tcW w:w="1978" w:type="dxa"/>
            <w:noWrap w:val="0"/>
            <w:vAlign w:val="center"/>
          </w:tcPr>
          <w:p>
            <w:pPr>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生化仓体</w:t>
            </w:r>
          </w:p>
        </w:tc>
        <w:tc>
          <w:tcPr>
            <w:tcW w:w="5329" w:type="dxa"/>
            <w:noWrap w:val="0"/>
            <w:vAlign w:val="center"/>
          </w:tcPr>
          <w:p>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发酵仓采用分仓式结构，单个仓体容积不小于</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立方米，仓体数量不</w:t>
            </w:r>
            <w:r>
              <w:rPr>
                <w:rFonts w:hint="eastAsia" w:ascii="宋体" w:hAnsi="宋体" w:eastAsia="宋体" w:cs="宋体"/>
                <w:color w:val="auto"/>
                <w:sz w:val="24"/>
                <w:highlight w:val="none"/>
                <w:lang w:val="en-US" w:eastAsia="zh-CN"/>
              </w:rPr>
              <w:t>多</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个</w:t>
            </w:r>
            <w:r>
              <w:rPr>
                <w:rFonts w:hint="eastAsia" w:ascii="宋体" w:hAnsi="宋体" w:eastAsia="宋体" w:cs="宋体"/>
                <w:color w:val="auto"/>
                <w:sz w:val="24"/>
                <w:highlight w:val="none"/>
                <w:lang w:eastAsia="zh-CN"/>
              </w:rPr>
              <w:t>，单仓体</w:t>
            </w:r>
            <w:r>
              <w:rPr>
                <w:rFonts w:hint="eastAsia" w:ascii="宋体" w:hAnsi="宋体" w:eastAsia="宋体" w:cs="宋体"/>
                <w:color w:val="auto"/>
                <w:sz w:val="24"/>
                <w:highlight w:val="none"/>
              </w:rPr>
              <w:t>功率≤</w:t>
            </w:r>
            <w:r>
              <w:rPr>
                <w:rFonts w:hint="eastAsia" w:ascii="宋体" w:hAnsi="宋体" w:eastAsia="宋体" w:cs="宋体"/>
                <w:color w:val="auto"/>
                <w:sz w:val="24"/>
                <w:highlight w:val="none"/>
                <w:lang w:val="en-US" w:eastAsia="zh-CN"/>
              </w:rPr>
              <w:t>120</w:t>
            </w:r>
            <w:r>
              <w:rPr>
                <w:rFonts w:hint="eastAsia" w:ascii="宋体" w:hAnsi="宋体" w:eastAsia="宋体" w:cs="宋体"/>
                <w:color w:val="auto"/>
                <w:sz w:val="24"/>
                <w:highlight w:val="none"/>
              </w:rPr>
              <w:t>kW</w:t>
            </w:r>
            <w:r>
              <w:rPr>
                <w:rFonts w:hint="eastAsia" w:ascii="宋体" w:hAnsi="宋体" w:eastAsia="宋体" w:cs="宋体"/>
                <w:color w:val="auto"/>
                <w:sz w:val="24"/>
                <w:highlight w:val="none"/>
                <w:lang w:eastAsia="zh-CN"/>
              </w:rPr>
              <w:t>，总功率</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480</w:t>
            </w:r>
            <w:r>
              <w:rPr>
                <w:rFonts w:hint="eastAsia" w:ascii="宋体" w:hAnsi="宋体" w:eastAsia="宋体" w:cs="宋体"/>
                <w:color w:val="auto"/>
                <w:sz w:val="24"/>
                <w:highlight w:val="none"/>
              </w:rPr>
              <w:t>kW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34" w:type="dxa"/>
            <w:vMerge w:val="continue"/>
            <w:noWrap w:val="0"/>
            <w:vAlign w:val="center"/>
          </w:tcPr>
          <w:p>
            <w:pPr>
              <w:rPr>
                <w:rStyle w:val="40"/>
                <w:rFonts w:hint="eastAsia" w:ascii="宋体" w:hAnsi="宋体" w:eastAsia="宋体" w:cs="宋体"/>
                <w:color w:val="auto"/>
                <w:sz w:val="24"/>
                <w:szCs w:val="24"/>
                <w:highlight w:val="none"/>
              </w:rPr>
            </w:pPr>
          </w:p>
        </w:tc>
        <w:tc>
          <w:tcPr>
            <w:tcW w:w="1704" w:type="dxa"/>
            <w:vMerge w:val="continue"/>
            <w:noWrap w:val="0"/>
            <w:vAlign w:val="center"/>
          </w:tcPr>
          <w:p>
            <w:pPr>
              <w:rPr>
                <w:rStyle w:val="40"/>
                <w:rFonts w:hint="eastAsia" w:ascii="宋体" w:hAnsi="宋体" w:eastAsia="宋体" w:cs="宋体"/>
                <w:color w:val="auto"/>
                <w:sz w:val="24"/>
                <w:szCs w:val="24"/>
                <w:highlight w:val="none"/>
              </w:rPr>
            </w:pPr>
          </w:p>
        </w:tc>
        <w:tc>
          <w:tcPr>
            <w:tcW w:w="1978" w:type="dxa"/>
            <w:noWrap w:val="0"/>
            <w:vAlign w:val="center"/>
          </w:tcPr>
          <w:p>
            <w:pPr>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加热设备</w:t>
            </w:r>
          </w:p>
        </w:tc>
        <w:tc>
          <w:tcPr>
            <w:tcW w:w="5329"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采用电加热或油加热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34" w:type="dxa"/>
            <w:vMerge w:val="continue"/>
            <w:noWrap w:val="0"/>
            <w:vAlign w:val="center"/>
          </w:tcPr>
          <w:p>
            <w:pPr>
              <w:rPr>
                <w:rStyle w:val="40"/>
                <w:rFonts w:hint="eastAsia" w:ascii="宋体" w:hAnsi="宋体" w:eastAsia="宋体" w:cs="宋体"/>
                <w:color w:val="auto"/>
                <w:sz w:val="24"/>
                <w:szCs w:val="24"/>
                <w:highlight w:val="none"/>
              </w:rPr>
            </w:pPr>
          </w:p>
        </w:tc>
        <w:tc>
          <w:tcPr>
            <w:tcW w:w="1704" w:type="dxa"/>
            <w:vMerge w:val="continue"/>
            <w:noWrap w:val="0"/>
            <w:vAlign w:val="center"/>
          </w:tcPr>
          <w:p>
            <w:pPr>
              <w:rPr>
                <w:rStyle w:val="40"/>
                <w:rFonts w:hint="eastAsia" w:ascii="宋体" w:hAnsi="宋体" w:eastAsia="宋体" w:cs="宋体"/>
                <w:color w:val="auto"/>
                <w:sz w:val="24"/>
                <w:szCs w:val="24"/>
                <w:highlight w:val="none"/>
              </w:rPr>
            </w:pPr>
          </w:p>
        </w:tc>
        <w:tc>
          <w:tcPr>
            <w:tcW w:w="1978" w:type="dxa"/>
            <w:noWrap w:val="0"/>
            <w:vAlign w:val="center"/>
          </w:tcPr>
          <w:p>
            <w:pPr>
              <w:rPr>
                <w:rStyle w:val="40"/>
                <w:rFonts w:hint="eastAsia" w:ascii="宋体" w:hAnsi="宋体" w:eastAsia="宋体" w:cs="宋体"/>
                <w:color w:val="auto"/>
                <w:sz w:val="24"/>
                <w:szCs w:val="24"/>
                <w:highlight w:val="none"/>
                <w:lang w:eastAsia="zh-CN"/>
              </w:rPr>
            </w:pPr>
            <w:r>
              <w:rPr>
                <w:rStyle w:val="40"/>
                <w:rFonts w:hint="eastAsia" w:ascii="宋体" w:hAnsi="宋体" w:eastAsia="宋体" w:cs="宋体"/>
                <w:color w:val="auto"/>
                <w:sz w:val="24"/>
                <w:szCs w:val="24"/>
                <w:highlight w:val="none"/>
                <w:lang w:eastAsia="zh-CN"/>
              </w:rPr>
              <w:t>二次腐熟罐</w:t>
            </w:r>
          </w:p>
        </w:tc>
        <w:tc>
          <w:tcPr>
            <w:tcW w:w="5329" w:type="dxa"/>
            <w:noWrap w:val="0"/>
            <w:vAlign w:val="center"/>
          </w:tcPr>
          <w:p>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容积不小于</w:t>
            </w:r>
            <w:r>
              <w:rPr>
                <w:rFonts w:hint="eastAsia" w:ascii="宋体" w:hAnsi="宋体" w:eastAsia="宋体" w:cs="宋体"/>
                <w:color w:val="auto"/>
                <w:sz w:val="24"/>
                <w:highlight w:val="none"/>
                <w:lang w:val="en-US" w:eastAsia="zh-CN"/>
              </w:rPr>
              <w:t>70立方米</w:t>
            </w:r>
          </w:p>
        </w:tc>
      </w:tr>
    </w:tbl>
    <w:p>
      <w:pPr>
        <w:widowControl/>
        <w:autoSpaceDE w:val="0"/>
        <w:autoSpaceDN w:val="0"/>
        <w:spacing w:line="360" w:lineRule="auto"/>
        <w:ind w:right="-55" w:rightChars="-25" w:firstLine="480" w:firstLineChars="200"/>
        <w:textAlignment w:val="bottom"/>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b/>
          <w:sz w:val="24"/>
          <w:szCs w:val="24"/>
          <w:highlight w:val="none"/>
        </w:rPr>
        <w:t xml:space="preserve"> （四）、垃圾处理设备主要性能</w:t>
      </w:r>
    </w:p>
    <w:p>
      <w:pPr>
        <w:spacing w:line="312"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4.1自动控制功能：通过PLC电器控制模块或软件指令按照设备预设的工作流程无需人工干预实现自动化运行的功能,可远程/就地切换，自动报警提醒；</w:t>
      </w:r>
    </w:p>
    <w:p>
      <w:pPr>
        <w:spacing w:line="312"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4.2液晶操作屏幕界面功能：能够通过液晶显示端直观的反映设备即时运行状态，并进行有效操作的功能；可对</w:t>
      </w:r>
      <w:r>
        <w:rPr>
          <w:rFonts w:hint="eastAsia" w:ascii="宋体" w:hAnsi="宋体" w:eastAsia="宋体" w:cs="宋体"/>
          <w:sz w:val="24"/>
          <w:highlight w:val="none"/>
          <w:lang w:eastAsia="zh-CN"/>
        </w:rPr>
        <w:t>微生物发酵</w:t>
      </w:r>
      <w:r>
        <w:rPr>
          <w:rFonts w:hint="eastAsia" w:ascii="宋体" w:hAnsi="宋体" w:eastAsia="宋体" w:cs="宋体"/>
          <w:sz w:val="24"/>
          <w:highlight w:val="none"/>
        </w:rPr>
        <w:t>系统、废气处理系统、加热系统、破碎系统、脱水系统、油水分离系统、二氧化碳浓度等运行状态进行监控。</w:t>
      </w:r>
    </w:p>
    <w:p>
      <w:pPr>
        <w:spacing w:line="312"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4.3接料装置：外形尺寸采用不锈钢接料斗加</w:t>
      </w:r>
      <w:r>
        <w:rPr>
          <w:rFonts w:hint="eastAsia" w:ascii="宋体" w:hAnsi="宋体" w:eastAsia="宋体" w:cs="宋体"/>
          <w:sz w:val="24"/>
          <w:highlight w:val="none"/>
          <w:lang w:eastAsia="zh-CN"/>
        </w:rPr>
        <w:t>双</w:t>
      </w:r>
      <w:r>
        <w:rPr>
          <w:rFonts w:hint="eastAsia" w:ascii="宋体" w:hAnsi="宋体" w:eastAsia="宋体" w:cs="宋体"/>
          <w:sz w:val="24"/>
          <w:highlight w:val="none"/>
        </w:rPr>
        <w:t>螺旋传动设计，面板不锈钢厚度不小于6mm；料门由不锈钢板与不锈钢型钢拼焊，不锈钢面板厚度不小于2mm，型钢规格采用方管，型号不低于4#方管，料门由液压站驱动两个液压缸实现开启、关闭。整个系统运行过程中全封闭，无臭气逃逸，整机设备容积不小于</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0m³。</w:t>
      </w:r>
      <w:r>
        <w:rPr>
          <w:rFonts w:hint="eastAsia" w:ascii="宋体" w:hAnsi="宋体" w:eastAsia="宋体" w:cs="宋体"/>
          <w:sz w:val="24"/>
          <w:highlight w:val="none"/>
          <w:lang w:val="en-US" w:eastAsia="zh-CN"/>
        </w:rPr>
        <w:t>接料装置满足</w:t>
      </w:r>
      <w:r>
        <w:rPr>
          <w:rFonts w:hint="eastAsia" w:ascii="宋体" w:hAnsi="宋体" w:eastAsia="宋体" w:cs="宋体"/>
          <w:sz w:val="24"/>
          <w:highlight w:val="none"/>
        </w:rPr>
        <w:t>匹配 120L/240L 垃圾桶</w:t>
      </w:r>
      <w:r>
        <w:rPr>
          <w:rFonts w:hint="eastAsia" w:ascii="宋体" w:hAnsi="宋体" w:eastAsia="宋体" w:cs="宋体"/>
          <w:sz w:val="24"/>
          <w:highlight w:val="none"/>
          <w:lang w:val="en-US" w:eastAsia="zh-CN"/>
        </w:rPr>
        <w:t xml:space="preserve">的提桶接料，         </w:t>
      </w:r>
    </w:p>
    <w:p>
      <w:pPr>
        <w:spacing w:line="312" w:lineRule="auto"/>
        <w:ind w:firstLine="480" w:firstLineChars="200"/>
        <w:rPr>
          <w:rFonts w:hint="eastAsia" w:ascii="宋体" w:hAnsi="宋体" w:eastAsia="宋体" w:cs="宋体"/>
          <w:b w:val="0"/>
          <w:bCs/>
          <w:sz w:val="24"/>
          <w:szCs w:val="22"/>
          <w:lang w:eastAsia="zh-CN"/>
        </w:rPr>
      </w:pPr>
      <w:r>
        <w:rPr>
          <w:rFonts w:hint="eastAsia" w:ascii="宋体" w:hAnsi="宋体" w:eastAsia="宋体" w:cs="宋体"/>
          <w:b w:val="0"/>
          <w:bCs/>
          <w:sz w:val="24"/>
          <w:szCs w:val="22"/>
          <w:lang w:val="en-US" w:eastAsia="zh-CN"/>
        </w:rPr>
        <w:t>4.4破袋</w:t>
      </w:r>
      <w:r>
        <w:rPr>
          <w:rFonts w:hint="eastAsia" w:ascii="宋体" w:hAnsi="宋体" w:eastAsia="宋体" w:cs="宋体"/>
          <w:b w:val="0"/>
          <w:bCs/>
          <w:sz w:val="24"/>
          <w:szCs w:val="22"/>
          <w:lang w:eastAsia="zh-CN"/>
        </w:rPr>
        <w:t>磁选装置：物料通过破袋磁选装置后，可自动破袋分选出金属物，便于保护破碎装置。</w:t>
      </w:r>
    </w:p>
    <w:p>
      <w:pPr>
        <w:spacing w:line="312" w:lineRule="auto"/>
        <w:ind w:firstLine="480" w:firstLineChars="200"/>
        <w:rPr>
          <w:rFonts w:hint="eastAsia" w:ascii="宋体" w:hAnsi="宋体" w:eastAsia="宋体" w:cs="宋体"/>
          <w:sz w:val="24"/>
          <w:lang w:val="en-US" w:eastAsia="zh-CN"/>
        </w:rPr>
      </w:pPr>
      <w:r>
        <w:rPr>
          <w:rFonts w:hint="eastAsia" w:ascii="宋体" w:hAnsi="宋体" w:eastAsia="宋体" w:cs="宋体"/>
          <w:b w:val="0"/>
          <w:bCs/>
          <w:sz w:val="24"/>
          <w:szCs w:val="22"/>
          <w:lang w:val="en-US" w:eastAsia="zh-CN"/>
        </w:rPr>
        <w:t>4.5</w:t>
      </w:r>
      <w:r>
        <w:rPr>
          <w:rFonts w:hint="eastAsia" w:ascii="宋体" w:hAnsi="宋体" w:eastAsia="宋体" w:cs="宋体"/>
          <w:sz w:val="24"/>
          <w:lang w:eastAsia="zh-CN"/>
        </w:rPr>
        <w:t>除油除盐自动分拣</w:t>
      </w:r>
      <w:r>
        <w:rPr>
          <w:rFonts w:hint="eastAsia" w:ascii="宋体" w:hAnsi="宋体" w:eastAsia="宋体" w:cs="宋体"/>
          <w:sz w:val="24"/>
        </w:rPr>
        <w:t>装置：</w:t>
      </w:r>
      <w:r>
        <w:rPr>
          <w:rFonts w:hint="eastAsia" w:ascii="宋体" w:hAnsi="宋体" w:eastAsia="宋体" w:cs="宋体"/>
          <w:sz w:val="24"/>
          <w:lang w:eastAsia="zh-CN"/>
        </w:rPr>
        <w:t>利用水冲洗，降低物料的油盐的含量</w:t>
      </w:r>
      <w:r>
        <w:rPr>
          <w:rFonts w:hint="eastAsia" w:ascii="宋体" w:hAnsi="宋体" w:eastAsia="宋体" w:cs="宋体"/>
          <w:sz w:val="24"/>
        </w:rPr>
        <w:t>，</w:t>
      </w:r>
      <w:r>
        <w:rPr>
          <w:rFonts w:hint="eastAsia" w:ascii="宋体" w:hAnsi="宋体" w:eastAsia="宋体" w:cs="宋体"/>
          <w:sz w:val="24"/>
          <w:lang w:eastAsia="zh-CN"/>
        </w:rPr>
        <w:t>并具有自动分拣功能，</w:t>
      </w:r>
      <w:r>
        <w:rPr>
          <w:rFonts w:hint="eastAsia" w:ascii="宋体" w:hAnsi="宋体" w:eastAsia="宋体" w:cs="宋体"/>
          <w:sz w:val="24"/>
        </w:rPr>
        <w:t>处理量不小于</w:t>
      </w:r>
      <w:r>
        <w:rPr>
          <w:rFonts w:hint="eastAsia" w:ascii="宋体" w:hAnsi="宋体" w:eastAsia="宋体" w:cs="宋体"/>
          <w:sz w:val="24"/>
          <w:lang w:val="en-US" w:eastAsia="zh-CN"/>
        </w:rPr>
        <w:t>5</w:t>
      </w:r>
      <w:r>
        <w:rPr>
          <w:rFonts w:hint="eastAsia" w:ascii="宋体" w:hAnsi="宋体" w:eastAsia="宋体" w:cs="宋体"/>
          <w:sz w:val="24"/>
        </w:rPr>
        <w:t>t/h。</w:t>
      </w:r>
    </w:p>
    <w:p>
      <w:pPr>
        <w:spacing w:line="312" w:lineRule="auto"/>
        <w:ind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4.6</w:t>
      </w:r>
      <w:r>
        <w:rPr>
          <w:rFonts w:hint="eastAsia" w:ascii="宋体" w:hAnsi="宋体" w:eastAsia="宋体" w:cs="宋体"/>
          <w:b w:val="0"/>
          <w:bCs/>
          <w:sz w:val="24"/>
          <w:szCs w:val="22"/>
          <w:lang w:val="en-US" w:eastAsia="zh-CN"/>
        </w:rPr>
        <w:t>粉碎装置：</w:t>
      </w:r>
      <w:r>
        <w:rPr>
          <w:rFonts w:hint="eastAsia" w:ascii="宋体" w:hAnsi="宋体" w:eastAsia="宋体" w:cs="宋体"/>
          <w:sz w:val="24"/>
        </w:rPr>
        <w:t>采用差速剪切结构，PLC自动控制，过载保护，破碎能力强，效率高</w:t>
      </w:r>
      <w:r>
        <w:rPr>
          <w:rFonts w:hint="eastAsia" w:ascii="宋体" w:hAnsi="宋体" w:eastAsia="宋体" w:cs="宋体"/>
          <w:sz w:val="24"/>
          <w:lang w:eastAsia="zh-CN"/>
        </w:rPr>
        <w:t>，最终出料粒径为</w:t>
      </w:r>
      <w:r>
        <w:rPr>
          <w:rFonts w:hint="eastAsia" w:ascii="宋体" w:hAnsi="宋体" w:eastAsia="宋体" w:cs="宋体"/>
          <w:sz w:val="24"/>
          <w:lang w:val="en-US" w:eastAsia="zh-CN"/>
        </w:rPr>
        <w:t>15-20mm。处理量不小于5t/h。</w:t>
      </w:r>
    </w:p>
    <w:p>
      <w:pPr>
        <w:spacing w:line="312" w:lineRule="auto"/>
        <w:ind w:firstLine="480" w:firstLineChars="200"/>
        <w:rPr>
          <w:rFonts w:hint="eastAsia" w:ascii="宋体" w:hAnsi="宋体" w:eastAsia="宋体" w:cs="宋体"/>
          <w:sz w:val="24"/>
          <w:szCs w:val="22"/>
        </w:rPr>
      </w:pPr>
      <w:r>
        <w:rPr>
          <w:rFonts w:hint="eastAsia" w:ascii="宋体" w:hAnsi="宋体" w:eastAsia="宋体" w:cs="宋体"/>
          <w:sz w:val="24"/>
        </w:rPr>
        <w:t>4.</w:t>
      </w:r>
      <w:r>
        <w:rPr>
          <w:rFonts w:hint="eastAsia" w:ascii="宋体" w:hAnsi="宋体" w:eastAsia="宋体" w:cs="宋体"/>
          <w:sz w:val="24"/>
          <w:lang w:val="en-US" w:eastAsia="zh-CN"/>
        </w:rPr>
        <w:t>7</w:t>
      </w:r>
      <w:r>
        <w:rPr>
          <w:rFonts w:hint="eastAsia" w:ascii="宋体" w:hAnsi="宋体" w:eastAsia="宋体" w:cs="宋体"/>
          <w:sz w:val="24"/>
          <w:szCs w:val="22"/>
        </w:rPr>
        <w:t>脱</w:t>
      </w:r>
      <w:r>
        <w:rPr>
          <w:rFonts w:hint="eastAsia" w:ascii="宋体" w:hAnsi="宋体" w:eastAsia="宋体" w:cs="宋体"/>
          <w:sz w:val="24"/>
          <w:szCs w:val="24"/>
          <w:highlight w:val="none"/>
        </w:rPr>
        <w:t>水装置：采用双头螺旋挤压、格栅条网滤水、气功压力可调、变螺旋设计，出渣含水率低</w:t>
      </w:r>
      <w:r>
        <w:rPr>
          <w:rFonts w:hint="eastAsia" w:ascii="宋体" w:hAnsi="宋体" w:eastAsia="宋体" w:cs="宋体"/>
          <w:b w:val="0"/>
          <w:bCs w:val="0"/>
          <w:sz w:val="24"/>
          <w:szCs w:val="24"/>
          <w:highlight w:val="none"/>
        </w:rPr>
        <w:t>于</w:t>
      </w:r>
      <w:r>
        <w:rPr>
          <w:rFonts w:hint="eastAsia" w:ascii="宋体" w:hAnsi="宋体" w:eastAsia="宋体" w:cs="宋体"/>
          <w:b w:val="0"/>
          <w:bCs w:val="0"/>
          <w:sz w:val="24"/>
          <w:szCs w:val="24"/>
          <w:highlight w:val="none"/>
          <w:lang w:val="en-US" w:eastAsia="zh-CN"/>
        </w:rPr>
        <w:t>65</w:t>
      </w:r>
      <w:r>
        <w:rPr>
          <w:rFonts w:hint="eastAsia" w:ascii="宋体" w:hAnsi="宋体" w:eastAsia="宋体" w:cs="宋体"/>
          <w:b w:val="0"/>
          <w:bCs w:val="0"/>
          <w:sz w:val="24"/>
          <w:szCs w:val="24"/>
          <w:highlight w:val="none"/>
        </w:rPr>
        <w:t>%</w:t>
      </w:r>
      <w:r>
        <w:rPr>
          <w:rFonts w:hint="eastAsia" w:ascii="宋体" w:hAnsi="宋体" w:eastAsia="宋体" w:cs="宋体"/>
          <w:sz w:val="24"/>
          <w:szCs w:val="24"/>
          <w:highlight w:val="none"/>
        </w:rPr>
        <w:t>，保证有机质得到充分的循环利用，并减少了后续工艺的处理难度，进一步减少浪费与损耗，</w:t>
      </w:r>
      <w:r>
        <w:rPr>
          <w:rFonts w:hint="eastAsia" w:ascii="宋体" w:hAnsi="宋体" w:eastAsia="宋体" w:cs="宋体"/>
          <w:sz w:val="24"/>
          <w:szCs w:val="22"/>
        </w:rPr>
        <w:t>脱水机螺旋直径不小于</w:t>
      </w:r>
      <w:r>
        <w:rPr>
          <w:rFonts w:hint="eastAsia" w:ascii="宋体" w:hAnsi="宋体" w:eastAsia="宋体" w:cs="宋体"/>
          <w:sz w:val="24"/>
          <w:szCs w:val="22"/>
          <w:lang w:val="en-US" w:eastAsia="zh-CN"/>
        </w:rPr>
        <w:t>4</w:t>
      </w:r>
      <w:r>
        <w:rPr>
          <w:rFonts w:hint="eastAsia" w:ascii="宋体" w:hAnsi="宋体" w:eastAsia="宋体" w:cs="宋体"/>
          <w:sz w:val="24"/>
          <w:szCs w:val="22"/>
        </w:rPr>
        <w:t>00mm，处理量不小于</w:t>
      </w:r>
      <w:r>
        <w:rPr>
          <w:rFonts w:hint="eastAsia" w:ascii="宋体" w:hAnsi="宋体" w:eastAsia="宋体" w:cs="宋体"/>
          <w:sz w:val="24"/>
          <w:szCs w:val="22"/>
          <w:lang w:val="en-US" w:eastAsia="zh-CN"/>
        </w:rPr>
        <w:t>5</w:t>
      </w:r>
      <w:r>
        <w:rPr>
          <w:rFonts w:hint="eastAsia" w:ascii="宋体" w:hAnsi="宋体" w:eastAsia="宋体" w:cs="宋体"/>
          <w:sz w:val="24"/>
          <w:szCs w:val="22"/>
        </w:rPr>
        <w:t>t/h。</w:t>
      </w:r>
    </w:p>
    <w:p>
      <w:pPr>
        <w:spacing w:line="312"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8</w:t>
      </w:r>
      <w:r>
        <w:rPr>
          <w:rFonts w:hint="eastAsia" w:ascii="宋体" w:hAnsi="宋体" w:eastAsia="宋体" w:cs="宋体"/>
          <w:sz w:val="24"/>
        </w:rPr>
        <w:t>输送装置：通过无轴螺旋转送装置使各个功能模块之间无需人工辅助实现自动送料，且无轴螺旋杜绝了物料缠绕，部分螺旋采用筛孔衬板，将油水进一步去除，每条螺旋输送量不小于</w:t>
      </w:r>
      <w:r>
        <w:rPr>
          <w:rFonts w:hint="eastAsia" w:ascii="宋体" w:hAnsi="宋体" w:eastAsia="宋体" w:cs="宋体"/>
          <w:sz w:val="24"/>
          <w:lang w:val="en-US" w:eastAsia="zh-CN"/>
        </w:rPr>
        <w:t>5</w:t>
      </w:r>
      <w:r>
        <w:rPr>
          <w:rFonts w:hint="eastAsia" w:ascii="宋体" w:hAnsi="宋体" w:eastAsia="宋体" w:cs="宋体"/>
          <w:sz w:val="24"/>
        </w:rPr>
        <w:t>t/h；</w:t>
      </w:r>
    </w:p>
    <w:p>
      <w:pPr>
        <w:pStyle w:val="20"/>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4.</w:t>
      </w:r>
      <w:r>
        <w:rPr>
          <w:rFonts w:hint="eastAsia" w:ascii="宋体" w:hAnsi="宋体" w:eastAsia="宋体" w:cs="宋体"/>
          <w:kern w:val="2"/>
          <w:sz w:val="24"/>
          <w:szCs w:val="24"/>
          <w:lang w:val="en-US" w:eastAsia="zh-CN"/>
        </w:rPr>
        <w:t>9</w:t>
      </w:r>
      <w:r>
        <w:rPr>
          <w:rFonts w:hint="eastAsia" w:ascii="宋体" w:hAnsi="宋体" w:eastAsia="宋体" w:cs="宋体"/>
          <w:kern w:val="2"/>
          <w:sz w:val="24"/>
          <w:szCs w:val="24"/>
        </w:rPr>
        <w:t>油水分离系统：具有自动排渣、自动排油等功能，同时油水分离器中需有加热装置，防止在冬天温度低时油脂冻住，经油水分离系统处理后的出水动植物油含量低于</w:t>
      </w:r>
      <w:r>
        <w:rPr>
          <w:rFonts w:hint="eastAsia" w:ascii="宋体" w:hAnsi="宋体" w:eastAsia="宋体" w:cs="宋体"/>
          <w:b w:val="0"/>
          <w:bCs w:val="0"/>
          <w:kern w:val="2"/>
          <w:sz w:val="24"/>
          <w:szCs w:val="24"/>
          <w:highlight w:val="none"/>
          <w:lang w:val="en-US" w:eastAsia="zh-CN"/>
        </w:rPr>
        <w:t>80</w:t>
      </w:r>
      <w:r>
        <w:rPr>
          <w:rFonts w:hint="eastAsia" w:ascii="宋体" w:hAnsi="宋体" w:eastAsia="宋体" w:cs="宋体"/>
          <w:b w:val="0"/>
          <w:bCs w:val="0"/>
          <w:kern w:val="2"/>
          <w:sz w:val="24"/>
          <w:szCs w:val="24"/>
          <w:highlight w:val="none"/>
        </w:rPr>
        <w:t>mg/L</w:t>
      </w:r>
      <w:r>
        <w:rPr>
          <w:rFonts w:hint="eastAsia" w:ascii="宋体" w:hAnsi="宋体" w:eastAsia="宋体" w:cs="宋体"/>
          <w:b/>
          <w:bCs/>
          <w:kern w:val="2"/>
          <w:sz w:val="28"/>
          <w:szCs w:val="28"/>
        </w:rPr>
        <w:t>。</w:t>
      </w:r>
    </w:p>
    <w:p>
      <w:pPr>
        <w:spacing w:line="312"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10</w:t>
      </w:r>
      <w:r>
        <w:rPr>
          <w:rFonts w:hint="eastAsia" w:ascii="宋体" w:hAnsi="宋体" w:eastAsia="宋体" w:cs="宋体"/>
          <w:sz w:val="24"/>
        </w:rPr>
        <w:t>自动出料功能：无需人工辅助通过机械方式自动完成仓内物料出料的功能；</w:t>
      </w:r>
    </w:p>
    <w:p>
      <w:pPr>
        <w:spacing w:line="312"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11</w:t>
      </w:r>
      <w:r>
        <w:rPr>
          <w:rFonts w:hint="eastAsia" w:ascii="宋体" w:hAnsi="宋体" w:eastAsia="宋体" w:cs="宋体"/>
          <w:sz w:val="24"/>
        </w:rPr>
        <w:t>气体净化设备：鉴于餐厨垃圾易腐烂变质，在处理过程中更需严格控制臭气的扩散带来的环境污染，主要产气点源都采用密闭结构处理，餐厨垃圾处理流程和收集运输必须在密闭的空间或设施内进行，故采用喷淋塔处理工艺对臭气进行控制，使臭气排放达到《恶臭污染物排放标准》（GB14554-</w:t>
      </w:r>
      <w:r>
        <w:rPr>
          <w:rFonts w:hint="eastAsia" w:ascii="宋体" w:hAnsi="宋体" w:eastAsia="宋体" w:cs="宋体"/>
          <w:sz w:val="24"/>
          <w:lang w:val="en-US" w:eastAsia="zh-CN"/>
        </w:rPr>
        <w:t>19</w:t>
      </w:r>
      <w:r>
        <w:rPr>
          <w:rFonts w:hint="eastAsia" w:ascii="宋体" w:hAnsi="宋体" w:eastAsia="宋体" w:cs="宋体"/>
          <w:sz w:val="24"/>
        </w:rPr>
        <w:t>93）及《大气污染物综合排放标准》（GB1</w:t>
      </w:r>
      <w:r>
        <w:rPr>
          <w:rFonts w:hint="eastAsia" w:ascii="宋体" w:hAnsi="宋体" w:eastAsia="宋体" w:cs="宋体"/>
          <w:sz w:val="24"/>
          <w:lang w:val="en-US" w:eastAsia="zh-CN"/>
        </w:rPr>
        <w:t>6</w:t>
      </w:r>
      <w:r>
        <w:rPr>
          <w:rFonts w:hint="eastAsia" w:ascii="宋体" w:hAnsi="宋体" w:eastAsia="宋体" w:cs="宋体"/>
          <w:sz w:val="24"/>
        </w:rPr>
        <w:t>297-</w:t>
      </w:r>
      <w:r>
        <w:rPr>
          <w:rFonts w:hint="eastAsia" w:ascii="宋体" w:hAnsi="宋体" w:eastAsia="宋体" w:cs="宋体"/>
          <w:sz w:val="24"/>
          <w:lang w:val="en-US" w:eastAsia="zh-CN"/>
        </w:rPr>
        <w:t>19</w:t>
      </w:r>
      <w:r>
        <w:rPr>
          <w:rFonts w:hint="eastAsia" w:ascii="宋体" w:hAnsi="宋体" w:eastAsia="宋体" w:cs="宋体"/>
          <w:sz w:val="24"/>
        </w:rPr>
        <w:t>96）；</w:t>
      </w:r>
    </w:p>
    <w:p>
      <w:pPr>
        <w:pStyle w:val="20"/>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4.1</w:t>
      </w: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rPr>
        <w:t>设备具有和管理平台对接的数据接口，上告设备相关数据，必须可以上传设备的进料称重数据、设备运行状态、告警提醒、能耗、运转时间、二氧化碳浓度、生化仓内温度等基础数据，接口要支持无线和有线方式，必须提供APP软件和PC端软件查看和设定运行参数。</w:t>
      </w:r>
    </w:p>
    <w:p>
      <w:pPr>
        <w:widowControl/>
        <w:numPr>
          <w:ilvl w:val="0"/>
          <w:numId w:val="0"/>
        </w:numPr>
        <w:autoSpaceDE w:val="0"/>
        <w:autoSpaceDN w:val="0"/>
        <w:spacing w:line="360" w:lineRule="auto"/>
        <w:ind w:right="-55" w:rightChars="-25"/>
        <w:textAlignment w:val="bottom"/>
        <w:rPr>
          <w:rFonts w:hint="eastAsia" w:ascii="宋体" w:hAnsi="宋体" w:eastAsia="宋体" w:cs="宋体"/>
          <w:b/>
          <w:sz w:val="24"/>
          <w:highlight w:val="none"/>
        </w:rPr>
      </w:pPr>
      <w:r>
        <w:rPr>
          <w:rFonts w:hint="eastAsia" w:ascii="宋体" w:hAnsi="宋体" w:eastAsia="宋体" w:cs="宋体"/>
          <w:b/>
          <w:sz w:val="24"/>
          <w:szCs w:val="24"/>
        </w:rPr>
        <w:t>（</w:t>
      </w:r>
      <w:r>
        <w:rPr>
          <w:rFonts w:hint="eastAsia" w:ascii="宋体" w:hAnsi="宋体" w:eastAsia="宋体" w:cs="宋体"/>
          <w:b/>
          <w:sz w:val="24"/>
          <w:szCs w:val="24"/>
          <w:lang w:eastAsia="zh-CN"/>
        </w:rPr>
        <w:t>五</w:t>
      </w:r>
      <w:r>
        <w:rPr>
          <w:rFonts w:hint="eastAsia" w:ascii="宋体" w:hAnsi="宋体" w:eastAsia="宋体" w:cs="宋体"/>
          <w:b/>
          <w:sz w:val="24"/>
          <w:szCs w:val="24"/>
        </w:rPr>
        <w:t>）、</w:t>
      </w:r>
      <w:r>
        <w:rPr>
          <w:rFonts w:hint="eastAsia" w:ascii="宋体" w:hAnsi="宋体" w:eastAsia="宋体" w:cs="宋体"/>
          <w:b/>
          <w:sz w:val="24"/>
          <w:highlight w:val="none"/>
          <w:lang w:eastAsia="zh-CN"/>
        </w:rPr>
        <w:t>微生物发酵</w:t>
      </w:r>
      <w:r>
        <w:rPr>
          <w:rFonts w:hint="eastAsia" w:ascii="宋体" w:hAnsi="宋体" w:eastAsia="宋体" w:cs="宋体"/>
          <w:b/>
          <w:sz w:val="24"/>
          <w:highlight w:val="none"/>
        </w:rPr>
        <w:t>系统</w:t>
      </w:r>
    </w:p>
    <w:p>
      <w:pPr>
        <w:spacing w:line="312"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5.1经发酵系统处理后的物料减量率应</w:t>
      </w:r>
      <w:r>
        <w:rPr>
          <w:rFonts w:hint="eastAsia" w:ascii="宋体" w:hAnsi="宋体" w:eastAsia="宋体" w:cs="宋体"/>
          <w:b w:val="0"/>
          <w:bCs w:val="0"/>
          <w:sz w:val="24"/>
          <w:szCs w:val="24"/>
          <w:highlight w:val="none"/>
        </w:rPr>
        <w:t>≥80%。</w:t>
      </w:r>
    </w:p>
    <w:p>
      <w:pPr>
        <w:spacing w:line="312"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5.2发酵系统由进出料口、反应器、搅拌器、加热器、通风和废气处理装置组成，并具有保温、自动运行和运行状况显示功能。处理设备设计使用寿命应≥10年。</w:t>
      </w:r>
    </w:p>
    <w:p>
      <w:pPr>
        <w:spacing w:line="312"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5.3处理设备应密闭，不应出现渗漏现象，废气应经废气处理装置处理后达标排出。</w:t>
      </w:r>
    </w:p>
    <w:p>
      <w:pPr>
        <w:spacing w:line="312"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5.4搅拌器主电机应有过载保护装置，运行模式应可调节，并具有手动、自动操作和出料功能。</w:t>
      </w:r>
    </w:p>
    <w:p>
      <w:pPr>
        <w:spacing w:line="312"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5.5发酵仓表面应平整，采用耐腐蚀不锈钢材料，无明显凹凸痕、划痕、毛刺及无尖锐棱角等。</w:t>
      </w:r>
    </w:p>
    <w:p>
      <w:pPr>
        <w:spacing w:line="312"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5.6 发酵仓外壳及与物料接触的部件，应采用耐腐蚀的不锈钢材料。</w:t>
      </w:r>
    </w:p>
    <w:p>
      <w:pPr>
        <w:spacing w:line="312"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★5.7 发酵仓采用分仓式结构，单个仓体容积不小于</w:t>
      </w:r>
      <w:r>
        <w:rPr>
          <w:rFonts w:hint="eastAsia" w:ascii="宋体" w:hAnsi="宋体" w:eastAsia="宋体" w:cs="宋体"/>
          <w:color w:val="000000"/>
          <w:sz w:val="24"/>
          <w:highlight w:val="none"/>
          <w:lang w:val="en-US" w:eastAsia="zh-CN"/>
        </w:rPr>
        <w:t>20</w:t>
      </w:r>
      <w:r>
        <w:rPr>
          <w:rFonts w:hint="eastAsia" w:ascii="宋体" w:hAnsi="宋体" w:eastAsia="宋体" w:cs="宋体"/>
          <w:color w:val="000000"/>
          <w:sz w:val="24"/>
          <w:highlight w:val="none"/>
        </w:rPr>
        <w:t>个立方米，仓体</w:t>
      </w:r>
      <w:r>
        <w:rPr>
          <w:rFonts w:hint="eastAsia" w:ascii="宋体" w:hAnsi="宋体" w:eastAsia="宋体" w:cs="宋体"/>
          <w:color w:val="000000"/>
          <w:sz w:val="24"/>
          <w:highlight w:val="none"/>
          <w:lang w:eastAsia="zh-CN"/>
        </w:rPr>
        <w:t>总</w:t>
      </w:r>
      <w:r>
        <w:rPr>
          <w:rFonts w:hint="eastAsia" w:ascii="宋体" w:hAnsi="宋体" w:eastAsia="宋体" w:cs="宋体"/>
          <w:color w:val="000000"/>
          <w:sz w:val="24"/>
          <w:highlight w:val="none"/>
        </w:rPr>
        <w:t>数量不</w:t>
      </w:r>
      <w:r>
        <w:rPr>
          <w:rFonts w:hint="eastAsia" w:ascii="宋体" w:hAnsi="宋体" w:eastAsia="宋体" w:cs="宋体"/>
          <w:color w:val="000000"/>
          <w:sz w:val="24"/>
          <w:highlight w:val="none"/>
          <w:lang w:val="en-US" w:eastAsia="zh-CN"/>
        </w:rPr>
        <w:t>多</w:t>
      </w:r>
      <w:r>
        <w:rPr>
          <w:rFonts w:hint="eastAsia" w:ascii="宋体" w:hAnsi="宋体" w:eastAsia="宋体" w:cs="宋体"/>
          <w:color w:val="000000"/>
          <w:sz w:val="24"/>
          <w:highlight w:val="none"/>
        </w:rPr>
        <w:t>于</w:t>
      </w:r>
      <w:r>
        <w:rPr>
          <w:rFonts w:hint="eastAsia" w:ascii="宋体" w:hAnsi="宋体" w:eastAsia="宋体" w:cs="宋体"/>
          <w:color w:val="000000"/>
          <w:sz w:val="24"/>
          <w:highlight w:val="none"/>
          <w:lang w:val="en-US" w:eastAsia="zh-CN"/>
        </w:rPr>
        <w:t>4</w:t>
      </w:r>
      <w:r>
        <w:rPr>
          <w:rFonts w:hint="eastAsia" w:ascii="宋体" w:hAnsi="宋体" w:eastAsia="宋体" w:cs="宋体"/>
          <w:color w:val="000000"/>
          <w:sz w:val="24"/>
          <w:highlight w:val="none"/>
        </w:rPr>
        <w:t>个。</w:t>
      </w:r>
    </w:p>
    <w:p>
      <w:pPr>
        <w:widowControl/>
        <w:autoSpaceDE w:val="0"/>
        <w:autoSpaceDN w:val="0"/>
        <w:spacing w:line="360" w:lineRule="auto"/>
        <w:ind w:right="-55" w:rightChars="-25" w:firstLine="482" w:firstLineChars="200"/>
        <w:textAlignment w:val="bottom"/>
        <w:rPr>
          <w:rFonts w:hint="eastAsia" w:ascii="宋体" w:hAnsi="宋体" w:eastAsia="宋体" w:cs="宋体"/>
          <w:b/>
          <w:sz w:val="24"/>
        </w:rPr>
      </w:pPr>
      <w:r>
        <w:rPr>
          <w:rFonts w:hint="eastAsia" w:ascii="宋体" w:hAnsi="宋体" w:eastAsia="宋体" w:cs="宋体"/>
          <w:b/>
          <w:sz w:val="24"/>
          <w:szCs w:val="24"/>
        </w:rPr>
        <w:t>（</w:t>
      </w:r>
      <w:r>
        <w:rPr>
          <w:rFonts w:hint="eastAsia" w:ascii="宋体" w:hAnsi="宋体" w:eastAsia="宋体" w:cs="宋体"/>
          <w:b/>
          <w:sz w:val="24"/>
          <w:szCs w:val="24"/>
          <w:lang w:eastAsia="zh-CN"/>
        </w:rPr>
        <w:t>六</w:t>
      </w:r>
      <w:r>
        <w:rPr>
          <w:rFonts w:hint="eastAsia" w:ascii="宋体" w:hAnsi="宋体" w:eastAsia="宋体" w:cs="宋体"/>
          <w:b/>
          <w:sz w:val="24"/>
          <w:szCs w:val="24"/>
        </w:rPr>
        <w:t>）、</w:t>
      </w:r>
      <w:r>
        <w:rPr>
          <w:rFonts w:hint="eastAsia" w:ascii="宋体" w:hAnsi="宋体" w:eastAsia="宋体" w:cs="宋体"/>
          <w:b/>
          <w:sz w:val="24"/>
        </w:rPr>
        <w:t>环保指标</w:t>
      </w:r>
    </w:p>
    <w:p>
      <w:pPr>
        <w:spacing w:line="312" w:lineRule="auto"/>
        <w:ind w:firstLine="480" w:firstLineChars="200"/>
        <w:rPr>
          <w:rFonts w:hint="eastAsia" w:ascii="宋体" w:hAnsi="宋体" w:eastAsia="宋体" w:cs="宋体"/>
          <w:sz w:val="24"/>
        </w:rPr>
      </w:pPr>
      <w:bookmarkStart w:id="66" w:name="_Toc387912088"/>
      <w:bookmarkStart w:id="67" w:name="_Toc384814795"/>
      <w:r>
        <w:rPr>
          <w:rFonts w:hint="eastAsia" w:ascii="宋体" w:hAnsi="宋体" w:eastAsia="宋体" w:cs="宋体"/>
          <w:sz w:val="24"/>
        </w:rPr>
        <w:t>6.1处理设备废气排放应符合GB16297的规定，具体指标符合表1规定，臭气浓度≤20(无量纲)。</w:t>
      </w:r>
      <w:bookmarkEnd w:id="66"/>
      <w:bookmarkEnd w:id="67"/>
    </w:p>
    <w:p>
      <w:pPr>
        <w:pStyle w:val="20"/>
        <w:rPr>
          <w:rFonts w:hint="eastAsia" w:ascii="宋体" w:hAnsi="宋体" w:eastAsia="宋体" w:cs="宋体"/>
        </w:rPr>
      </w:pPr>
    </w:p>
    <w:p>
      <w:pPr>
        <w:pStyle w:val="41"/>
        <w:numPr>
          <w:ilvl w:val="0"/>
          <w:numId w:val="13"/>
        </w:numPr>
        <w:tabs>
          <w:tab w:val="left" w:pos="1021"/>
          <w:tab w:val="left" w:pos="4395"/>
        </w:tabs>
        <w:spacing w:beforeLines="0" w:afterLines="0"/>
        <w:ind w:left="0" w:firstLine="0"/>
        <w:rPr>
          <w:rFonts w:hint="eastAsia" w:ascii="宋体" w:hAnsi="宋体" w:eastAsia="宋体" w:cs="宋体"/>
          <w:szCs w:val="21"/>
        </w:rPr>
      </w:pPr>
      <w:r>
        <w:rPr>
          <w:rFonts w:hint="eastAsia" w:ascii="宋体" w:hAnsi="宋体" w:eastAsia="宋体" w:cs="宋体"/>
          <w:szCs w:val="21"/>
        </w:rPr>
        <w:t>处理设备排气筒废气排放指标</w:t>
      </w:r>
    </w:p>
    <w:p>
      <w:pPr>
        <w:pStyle w:val="41"/>
        <w:tabs>
          <w:tab w:val="left" w:pos="1021"/>
          <w:tab w:val="left" w:pos="4395"/>
        </w:tabs>
        <w:snapToGrid w:val="0"/>
        <w:spacing w:beforeLines="0" w:afterLines="0"/>
        <w:ind w:left="0" w:right="839" w:firstLine="0"/>
        <w:jc w:val="right"/>
        <w:rPr>
          <w:rFonts w:hint="eastAsia" w:ascii="宋体" w:hAnsi="宋体" w:eastAsia="宋体" w:cs="宋体"/>
          <w:szCs w:val="21"/>
        </w:rPr>
      </w:pPr>
      <w:r>
        <w:rPr>
          <w:rFonts w:hint="eastAsia" w:ascii="宋体" w:hAnsi="宋体" w:eastAsia="宋体" w:cs="宋体"/>
          <w:szCs w:val="21"/>
        </w:rPr>
        <w:t>单位：mg/m</w:t>
      </w:r>
      <w:r>
        <w:rPr>
          <w:rFonts w:hint="eastAsia" w:ascii="宋体" w:hAnsi="宋体" w:eastAsia="宋体" w:cs="宋体"/>
          <w:szCs w:val="21"/>
          <w:vertAlign w:val="superscript"/>
        </w:rPr>
        <w:t>3</w:t>
      </w:r>
    </w:p>
    <w:tbl>
      <w:tblPr>
        <w:tblStyle w:val="16"/>
        <w:tblW w:w="89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1491"/>
        <w:gridCol w:w="1491"/>
        <w:gridCol w:w="1491"/>
        <w:gridCol w:w="1491"/>
        <w:gridCol w:w="14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2" w:type="dxa"/>
            <w:tcBorders>
              <w:top w:val="single" w:color="auto" w:sz="8" w:space="0"/>
              <w:bottom w:val="single" w:color="auto" w:sz="8" w:space="0"/>
            </w:tcBorders>
            <w:noWrap w:val="0"/>
            <w:vAlign w:val="top"/>
          </w:tcPr>
          <w:p>
            <w:pPr>
              <w:spacing w:line="312" w:lineRule="atLeast"/>
              <w:jc w:val="center"/>
              <w:rPr>
                <w:rFonts w:hint="eastAsia" w:ascii="宋体" w:hAnsi="宋体" w:eastAsia="宋体" w:cs="宋体"/>
                <w:szCs w:val="21"/>
              </w:rPr>
            </w:pPr>
            <w:r>
              <w:rPr>
                <w:rFonts w:hint="eastAsia" w:ascii="宋体" w:hAnsi="宋体" w:eastAsia="宋体" w:cs="宋体"/>
                <w:szCs w:val="21"/>
              </w:rPr>
              <w:t>指标</w:t>
            </w:r>
          </w:p>
        </w:tc>
        <w:tc>
          <w:tcPr>
            <w:tcW w:w="1491" w:type="dxa"/>
            <w:tcBorders>
              <w:top w:val="single" w:color="auto" w:sz="8" w:space="0"/>
              <w:bottom w:val="single" w:color="auto" w:sz="8" w:space="0"/>
            </w:tcBorders>
            <w:noWrap w:val="0"/>
            <w:vAlign w:val="center"/>
          </w:tcPr>
          <w:p>
            <w:pPr>
              <w:snapToGrid w:val="0"/>
              <w:jc w:val="center"/>
              <w:rPr>
                <w:rFonts w:hint="eastAsia" w:ascii="宋体" w:hAnsi="宋体" w:eastAsia="宋体" w:cs="宋体"/>
                <w:szCs w:val="21"/>
              </w:rPr>
            </w:pPr>
            <w:r>
              <w:rPr>
                <w:rFonts w:hint="eastAsia" w:ascii="宋体" w:hAnsi="宋体" w:eastAsia="宋体" w:cs="宋体"/>
                <w:szCs w:val="21"/>
              </w:rPr>
              <w:t>氨</w:t>
            </w:r>
          </w:p>
        </w:tc>
        <w:tc>
          <w:tcPr>
            <w:tcW w:w="1491" w:type="dxa"/>
            <w:tcBorders>
              <w:top w:val="single" w:color="auto" w:sz="8" w:space="0"/>
              <w:bottom w:val="single" w:color="auto" w:sz="8" w:space="0"/>
            </w:tcBorders>
            <w:noWrap w:val="0"/>
            <w:vAlign w:val="center"/>
          </w:tcPr>
          <w:p>
            <w:pPr>
              <w:snapToGrid w:val="0"/>
              <w:jc w:val="center"/>
              <w:rPr>
                <w:rFonts w:hint="eastAsia" w:ascii="宋体" w:hAnsi="宋体" w:eastAsia="宋体" w:cs="宋体"/>
                <w:szCs w:val="21"/>
              </w:rPr>
            </w:pPr>
            <w:r>
              <w:rPr>
                <w:rFonts w:hint="eastAsia" w:ascii="宋体" w:hAnsi="宋体" w:eastAsia="宋体" w:cs="宋体"/>
                <w:szCs w:val="21"/>
              </w:rPr>
              <w:t>硫化氢</w:t>
            </w:r>
          </w:p>
        </w:tc>
        <w:tc>
          <w:tcPr>
            <w:tcW w:w="1491" w:type="dxa"/>
            <w:tcBorders>
              <w:top w:val="single" w:color="auto" w:sz="8" w:space="0"/>
              <w:bottom w:val="single" w:color="auto" w:sz="8" w:space="0"/>
            </w:tcBorders>
            <w:noWrap w:val="0"/>
            <w:vAlign w:val="center"/>
          </w:tcPr>
          <w:p>
            <w:pPr>
              <w:snapToGrid w:val="0"/>
              <w:jc w:val="center"/>
              <w:rPr>
                <w:rFonts w:hint="eastAsia" w:ascii="宋体" w:hAnsi="宋体" w:eastAsia="宋体" w:cs="宋体"/>
                <w:szCs w:val="21"/>
              </w:rPr>
            </w:pPr>
            <w:r>
              <w:rPr>
                <w:rFonts w:hint="eastAsia" w:ascii="宋体" w:hAnsi="宋体" w:eastAsia="宋体" w:cs="宋体"/>
                <w:szCs w:val="21"/>
              </w:rPr>
              <w:t>氮氧化物</w:t>
            </w:r>
          </w:p>
        </w:tc>
        <w:tc>
          <w:tcPr>
            <w:tcW w:w="1491" w:type="dxa"/>
            <w:tcBorders>
              <w:top w:val="single" w:color="auto" w:sz="8" w:space="0"/>
              <w:bottom w:val="single" w:color="auto" w:sz="8" w:space="0"/>
            </w:tcBorders>
            <w:noWrap w:val="0"/>
            <w:vAlign w:val="center"/>
          </w:tcPr>
          <w:p>
            <w:pPr>
              <w:snapToGrid w:val="0"/>
              <w:jc w:val="center"/>
              <w:rPr>
                <w:rFonts w:hint="eastAsia" w:ascii="宋体" w:hAnsi="宋体" w:eastAsia="宋体" w:cs="宋体"/>
                <w:szCs w:val="21"/>
              </w:rPr>
            </w:pPr>
            <w:r>
              <w:rPr>
                <w:rFonts w:hint="eastAsia" w:ascii="宋体" w:hAnsi="宋体" w:eastAsia="宋体" w:cs="宋体"/>
                <w:szCs w:val="21"/>
              </w:rPr>
              <w:t>二氧化硫</w:t>
            </w:r>
          </w:p>
        </w:tc>
        <w:tc>
          <w:tcPr>
            <w:tcW w:w="1491" w:type="dxa"/>
            <w:tcBorders>
              <w:top w:val="single" w:color="auto" w:sz="8" w:space="0"/>
              <w:bottom w:val="single" w:color="auto" w:sz="8" w:space="0"/>
            </w:tcBorders>
            <w:noWrap w:val="0"/>
            <w:vAlign w:val="center"/>
          </w:tcPr>
          <w:p>
            <w:pPr>
              <w:widowControl/>
              <w:jc w:val="center"/>
              <w:rPr>
                <w:rFonts w:hint="eastAsia" w:ascii="宋体" w:hAnsi="宋体" w:eastAsia="宋体" w:cs="宋体"/>
                <w:szCs w:val="21"/>
              </w:rPr>
            </w:pPr>
            <w:r>
              <w:rPr>
                <w:rFonts w:hint="eastAsia" w:ascii="宋体" w:hAnsi="宋体" w:eastAsia="宋体" w:cs="宋体"/>
                <w:szCs w:val="21"/>
              </w:rPr>
              <w:t>颗粒物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2" w:type="dxa"/>
            <w:tcBorders>
              <w:top w:val="single" w:color="auto" w:sz="8" w:space="0"/>
            </w:tcBorders>
            <w:noWrap w:val="0"/>
            <w:vAlign w:val="center"/>
          </w:tcPr>
          <w:p>
            <w:pPr>
              <w:spacing w:line="312" w:lineRule="atLeast"/>
              <w:jc w:val="center"/>
              <w:rPr>
                <w:rFonts w:hint="eastAsia" w:ascii="宋体" w:hAnsi="宋体" w:eastAsia="宋体" w:cs="宋体"/>
                <w:szCs w:val="21"/>
              </w:rPr>
            </w:pPr>
            <w:r>
              <w:rPr>
                <w:rFonts w:hint="eastAsia" w:ascii="宋体" w:hAnsi="宋体" w:eastAsia="宋体" w:cs="宋体"/>
                <w:szCs w:val="21"/>
              </w:rPr>
              <w:t>限值</w:t>
            </w:r>
          </w:p>
        </w:tc>
        <w:tc>
          <w:tcPr>
            <w:tcW w:w="1491" w:type="dxa"/>
            <w:tcBorders>
              <w:top w:val="single" w:color="auto" w:sz="8" w:space="0"/>
            </w:tcBorders>
            <w:noWrap w:val="0"/>
            <w:vAlign w:val="center"/>
          </w:tcPr>
          <w:p>
            <w:pPr>
              <w:spacing w:line="312" w:lineRule="atLeast"/>
              <w:jc w:val="center"/>
              <w:rPr>
                <w:rFonts w:hint="eastAsia" w:ascii="宋体" w:hAnsi="宋体" w:eastAsia="宋体" w:cs="宋体"/>
                <w:szCs w:val="21"/>
              </w:rPr>
            </w:pPr>
            <w:r>
              <w:rPr>
                <w:rFonts w:hint="eastAsia" w:ascii="宋体" w:hAnsi="宋体" w:eastAsia="宋体" w:cs="宋体"/>
                <w:szCs w:val="21"/>
              </w:rPr>
              <w:t>≤1.0</w:t>
            </w:r>
          </w:p>
        </w:tc>
        <w:tc>
          <w:tcPr>
            <w:tcW w:w="1491" w:type="dxa"/>
            <w:tcBorders>
              <w:top w:val="single" w:color="auto" w:sz="8" w:space="0"/>
            </w:tcBorders>
            <w:noWrap w:val="0"/>
            <w:vAlign w:val="center"/>
          </w:tcPr>
          <w:p>
            <w:pPr>
              <w:spacing w:line="312" w:lineRule="atLeast"/>
              <w:jc w:val="center"/>
              <w:rPr>
                <w:rFonts w:hint="eastAsia" w:ascii="宋体" w:hAnsi="宋体" w:eastAsia="宋体" w:cs="宋体"/>
                <w:szCs w:val="21"/>
              </w:rPr>
            </w:pPr>
            <w:r>
              <w:rPr>
                <w:rFonts w:hint="eastAsia" w:ascii="宋体" w:hAnsi="宋体" w:eastAsia="宋体" w:cs="宋体"/>
                <w:szCs w:val="21"/>
              </w:rPr>
              <w:t>≤0.03</w:t>
            </w:r>
          </w:p>
        </w:tc>
        <w:tc>
          <w:tcPr>
            <w:tcW w:w="1491" w:type="dxa"/>
            <w:tcBorders>
              <w:top w:val="single" w:color="auto" w:sz="8" w:space="0"/>
            </w:tcBorders>
            <w:noWrap w:val="0"/>
            <w:vAlign w:val="center"/>
          </w:tcPr>
          <w:p>
            <w:pPr>
              <w:spacing w:line="312" w:lineRule="atLeast"/>
              <w:jc w:val="center"/>
              <w:rPr>
                <w:rFonts w:hint="eastAsia" w:ascii="宋体" w:hAnsi="宋体" w:eastAsia="宋体" w:cs="宋体"/>
                <w:szCs w:val="21"/>
              </w:rPr>
            </w:pPr>
            <w:r>
              <w:rPr>
                <w:rFonts w:hint="eastAsia" w:ascii="宋体" w:hAnsi="宋体" w:eastAsia="宋体" w:cs="宋体"/>
                <w:szCs w:val="21"/>
              </w:rPr>
              <w:t>≤0.12</w:t>
            </w:r>
          </w:p>
        </w:tc>
        <w:tc>
          <w:tcPr>
            <w:tcW w:w="1491" w:type="dxa"/>
            <w:tcBorders>
              <w:top w:val="single" w:color="auto" w:sz="8" w:space="0"/>
            </w:tcBorders>
            <w:noWrap w:val="0"/>
            <w:vAlign w:val="center"/>
          </w:tcPr>
          <w:p>
            <w:pPr>
              <w:spacing w:line="312" w:lineRule="atLeast"/>
              <w:jc w:val="center"/>
              <w:rPr>
                <w:rFonts w:hint="eastAsia" w:ascii="宋体" w:hAnsi="宋体" w:eastAsia="宋体" w:cs="宋体"/>
                <w:szCs w:val="21"/>
              </w:rPr>
            </w:pPr>
            <w:r>
              <w:rPr>
                <w:rFonts w:hint="eastAsia" w:ascii="宋体" w:hAnsi="宋体" w:eastAsia="宋体" w:cs="宋体"/>
                <w:szCs w:val="21"/>
              </w:rPr>
              <w:t>≤0.4</w:t>
            </w:r>
          </w:p>
        </w:tc>
        <w:tc>
          <w:tcPr>
            <w:tcW w:w="1491" w:type="dxa"/>
            <w:tcBorders>
              <w:top w:val="single" w:color="auto" w:sz="8" w:space="0"/>
            </w:tcBorders>
            <w:noWrap w:val="0"/>
            <w:vAlign w:val="center"/>
          </w:tcPr>
          <w:p>
            <w:pPr>
              <w:widowControl/>
              <w:jc w:val="center"/>
              <w:rPr>
                <w:rFonts w:hint="eastAsia" w:ascii="宋体" w:hAnsi="宋体" w:eastAsia="宋体" w:cs="宋体"/>
                <w:szCs w:val="21"/>
              </w:rPr>
            </w:pPr>
            <w:r>
              <w:rPr>
                <w:rFonts w:hint="eastAsia" w:ascii="宋体" w:hAnsi="宋体" w:eastAsia="宋体" w:cs="宋体"/>
                <w:szCs w:val="21"/>
              </w:rPr>
              <w:t>≤1.0</w:t>
            </w:r>
          </w:p>
        </w:tc>
      </w:tr>
    </w:tbl>
    <w:p>
      <w:pPr>
        <w:rPr>
          <w:rFonts w:hint="eastAsia" w:ascii="宋体" w:hAnsi="宋体" w:eastAsia="宋体" w:cs="宋体"/>
        </w:rPr>
      </w:pPr>
      <w:bookmarkStart w:id="68" w:name="_Toc384814797"/>
      <w:bookmarkStart w:id="69" w:name="_Toc387912090"/>
    </w:p>
    <w:p>
      <w:pPr>
        <w:spacing w:line="312" w:lineRule="auto"/>
        <w:ind w:firstLine="480" w:firstLineChars="200"/>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sz w:val="24"/>
          <w:lang w:val="en-US" w:eastAsia="zh-CN"/>
        </w:rPr>
        <w:t>2</w:t>
      </w:r>
      <w:r>
        <w:rPr>
          <w:rFonts w:hint="eastAsia" w:ascii="宋体" w:hAnsi="宋体" w:eastAsia="宋体" w:cs="宋体"/>
          <w:sz w:val="24"/>
        </w:rPr>
        <w:t>发酵产物无害化指标应符合必须符合《有机肥料》（NY525-2012）标准的要求或NY884-2012的要求，具体要符合表3规定。</w:t>
      </w:r>
      <w:bookmarkEnd w:id="68"/>
      <w:bookmarkEnd w:id="69"/>
    </w:p>
    <w:p>
      <w:pPr>
        <w:pStyle w:val="41"/>
        <w:numPr>
          <w:ilvl w:val="0"/>
          <w:numId w:val="13"/>
        </w:numPr>
        <w:tabs>
          <w:tab w:val="left" w:pos="1021"/>
          <w:tab w:val="left" w:pos="4395"/>
        </w:tabs>
        <w:spacing w:beforeLines="0" w:afterLines="0"/>
        <w:ind w:left="0" w:firstLine="0"/>
        <w:rPr>
          <w:rFonts w:hint="eastAsia" w:ascii="宋体" w:hAnsi="宋体" w:eastAsia="宋体" w:cs="宋体"/>
          <w:szCs w:val="21"/>
        </w:rPr>
      </w:pPr>
      <w:r>
        <w:rPr>
          <w:rFonts w:hint="eastAsia" w:ascii="宋体" w:hAnsi="宋体" w:eastAsia="宋体" w:cs="宋体"/>
          <w:szCs w:val="21"/>
        </w:rPr>
        <w:t>发酵产物无害化指标</w:t>
      </w:r>
    </w:p>
    <w:tbl>
      <w:tblPr>
        <w:tblStyle w:val="16"/>
        <w:tblW w:w="8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2954"/>
        <w:gridCol w:w="1679"/>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774" w:type="dxa"/>
            <w:gridSpan w:val="2"/>
            <w:noWrap w:val="0"/>
            <w:vAlign w:val="center"/>
          </w:tcPr>
          <w:p>
            <w:pPr>
              <w:widowControl/>
              <w:snapToGrid w:val="0"/>
              <w:spacing w:line="320" w:lineRule="exact"/>
              <w:jc w:val="center"/>
              <w:rPr>
                <w:rFonts w:hint="eastAsia" w:ascii="宋体" w:hAnsi="宋体" w:eastAsia="宋体" w:cs="宋体"/>
                <w:color w:val="000000"/>
                <w:szCs w:val="21"/>
              </w:rPr>
            </w:pPr>
            <w:bookmarkStart w:id="70" w:name="_Toc387912091"/>
            <w:bookmarkStart w:id="71" w:name="_Toc384814798"/>
            <w:r>
              <w:rPr>
                <w:rFonts w:hint="eastAsia" w:ascii="宋体" w:hAnsi="宋体" w:eastAsia="宋体" w:cs="宋体"/>
                <w:color w:val="000000"/>
                <w:szCs w:val="21"/>
              </w:rPr>
              <w:t>项目</w:t>
            </w:r>
          </w:p>
        </w:tc>
        <w:tc>
          <w:tcPr>
            <w:tcW w:w="1679" w:type="dxa"/>
            <w:noWrap w:val="0"/>
            <w:vAlign w:val="center"/>
          </w:tcPr>
          <w:p>
            <w:pPr>
              <w:widowControl/>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单位</w:t>
            </w:r>
          </w:p>
        </w:tc>
        <w:tc>
          <w:tcPr>
            <w:tcW w:w="1847" w:type="dxa"/>
            <w:noWrap w:val="0"/>
            <w:vAlign w:val="center"/>
          </w:tcPr>
          <w:p>
            <w:pPr>
              <w:widowControl/>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774" w:type="dxa"/>
            <w:gridSpan w:val="2"/>
            <w:noWrap w:val="0"/>
            <w:vAlign w:val="center"/>
          </w:tcPr>
          <w:p>
            <w:pPr>
              <w:widowControl/>
              <w:snapToGrid w:val="0"/>
              <w:spacing w:line="320" w:lineRule="exact"/>
              <w:jc w:val="center"/>
              <w:rPr>
                <w:rFonts w:hint="eastAsia" w:ascii="宋体" w:hAnsi="宋体" w:eastAsia="宋体" w:cs="宋体"/>
                <w:color w:val="000000"/>
                <w:szCs w:val="21"/>
              </w:rPr>
            </w:pPr>
            <w:r>
              <w:rPr>
                <w:rFonts w:hint="eastAsia" w:ascii="宋体" w:hAnsi="宋体" w:eastAsia="宋体" w:cs="宋体"/>
                <w:bCs/>
                <w:color w:val="000000"/>
                <w:szCs w:val="21"/>
              </w:rPr>
              <w:t>有机质的质量分数（以烘干基计）</w:t>
            </w:r>
          </w:p>
        </w:tc>
        <w:tc>
          <w:tcPr>
            <w:tcW w:w="1679" w:type="dxa"/>
            <w:noWrap w:val="0"/>
            <w:vAlign w:val="center"/>
          </w:tcPr>
          <w:p>
            <w:pPr>
              <w:widowControl/>
              <w:snapToGrid w:val="0"/>
              <w:spacing w:line="320" w:lineRule="exact"/>
              <w:jc w:val="center"/>
              <w:rPr>
                <w:rFonts w:hint="eastAsia" w:ascii="宋体" w:hAnsi="宋体" w:eastAsia="宋体" w:cs="宋体"/>
                <w:color w:val="000000"/>
                <w:szCs w:val="21"/>
              </w:rPr>
            </w:pPr>
            <w:r>
              <w:rPr>
                <w:rFonts w:hint="eastAsia" w:ascii="宋体" w:hAnsi="宋体" w:eastAsia="宋体" w:cs="宋体"/>
                <w:bCs/>
                <w:color w:val="000000"/>
                <w:szCs w:val="21"/>
              </w:rPr>
              <w:t>%</w:t>
            </w:r>
          </w:p>
        </w:tc>
        <w:tc>
          <w:tcPr>
            <w:tcW w:w="1847" w:type="dxa"/>
            <w:noWrap w:val="0"/>
            <w:vAlign w:val="center"/>
          </w:tcPr>
          <w:p>
            <w:pPr>
              <w:widowControl/>
              <w:snapToGrid w:val="0"/>
              <w:spacing w:line="320" w:lineRule="exact"/>
              <w:jc w:val="center"/>
              <w:rPr>
                <w:rFonts w:hint="eastAsia" w:ascii="宋体" w:hAnsi="宋体" w:eastAsia="宋体" w:cs="宋体"/>
                <w:color w:val="000000"/>
                <w:szCs w:val="21"/>
              </w:rPr>
            </w:pPr>
            <w:r>
              <w:rPr>
                <w:rFonts w:hint="eastAsia" w:ascii="宋体" w:hAnsi="宋体" w:eastAsia="宋体" w:cs="宋体"/>
                <w:bCs/>
                <w:color w:val="00000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774" w:type="dxa"/>
            <w:gridSpan w:val="2"/>
            <w:noWrap w:val="0"/>
            <w:vAlign w:val="center"/>
          </w:tcPr>
          <w:p>
            <w:pPr>
              <w:widowControl/>
              <w:snapToGrid w:val="0"/>
              <w:spacing w:line="320" w:lineRule="exact"/>
              <w:jc w:val="center"/>
              <w:rPr>
                <w:rFonts w:hint="eastAsia" w:ascii="宋体" w:hAnsi="宋体" w:eastAsia="宋体" w:cs="宋体"/>
                <w:color w:val="000000"/>
                <w:szCs w:val="21"/>
              </w:rPr>
            </w:pPr>
            <w:r>
              <w:rPr>
                <w:rFonts w:hint="eastAsia" w:ascii="宋体" w:hAnsi="宋体" w:eastAsia="宋体" w:cs="宋体"/>
                <w:bCs/>
                <w:color w:val="000000"/>
                <w:szCs w:val="21"/>
              </w:rPr>
              <w:t>总养分（氮+五氧化二磷+氧化钾）的质量分数（以烘干基计）</w:t>
            </w:r>
          </w:p>
        </w:tc>
        <w:tc>
          <w:tcPr>
            <w:tcW w:w="1679" w:type="dxa"/>
            <w:noWrap w:val="0"/>
            <w:vAlign w:val="center"/>
          </w:tcPr>
          <w:p>
            <w:pPr>
              <w:widowControl/>
              <w:snapToGrid w:val="0"/>
              <w:spacing w:line="320" w:lineRule="exact"/>
              <w:jc w:val="center"/>
              <w:rPr>
                <w:rFonts w:hint="eastAsia" w:ascii="宋体" w:hAnsi="宋体" w:eastAsia="宋体" w:cs="宋体"/>
                <w:color w:val="000000"/>
                <w:szCs w:val="21"/>
              </w:rPr>
            </w:pPr>
            <w:r>
              <w:rPr>
                <w:rFonts w:hint="eastAsia" w:ascii="宋体" w:hAnsi="宋体" w:eastAsia="宋体" w:cs="宋体"/>
                <w:bCs/>
                <w:color w:val="000000"/>
                <w:szCs w:val="21"/>
              </w:rPr>
              <w:t>%</w:t>
            </w:r>
          </w:p>
        </w:tc>
        <w:tc>
          <w:tcPr>
            <w:tcW w:w="1847" w:type="dxa"/>
            <w:noWrap w:val="0"/>
            <w:vAlign w:val="center"/>
          </w:tcPr>
          <w:p>
            <w:pPr>
              <w:widowControl/>
              <w:snapToGrid w:val="0"/>
              <w:spacing w:line="32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774" w:type="dxa"/>
            <w:gridSpan w:val="2"/>
            <w:noWrap w:val="0"/>
            <w:vAlign w:val="center"/>
          </w:tcPr>
          <w:p>
            <w:pPr>
              <w:widowControl/>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大肠菌值</w:t>
            </w:r>
          </w:p>
        </w:tc>
        <w:tc>
          <w:tcPr>
            <w:tcW w:w="1679" w:type="dxa"/>
            <w:noWrap w:val="0"/>
            <w:vAlign w:val="center"/>
          </w:tcPr>
          <w:p>
            <w:pPr>
              <w:pStyle w:val="42"/>
              <w:snapToGrid w:val="0"/>
              <w:spacing w:before="0" w:line="320" w:lineRule="exact"/>
              <w:rPr>
                <w:rFonts w:hint="eastAsia" w:ascii="宋体" w:hAnsi="宋体" w:eastAsia="宋体" w:cs="宋体"/>
                <w:color w:val="000000"/>
                <w:kern w:val="2"/>
                <w:szCs w:val="21"/>
              </w:rPr>
            </w:pPr>
            <w:r>
              <w:rPr>
                <w:rFonts w:hint="eastAsia" w:ascii="宋体" w:hAnsi="宋体" w:eastAsia="宋体" w:cs="宋体"/>
                <w:color w:val="000000"/>
                <w:kern w:val="2"/>
                <w:szCs w:val="21"/>
              </w:rPr>
              <w:t>-</w:t>
            </w:r>
          </w:p>
        </w:tc>
        <w:tc>
          <w:tcPr>
            <w:tcW w:w="1847" w:type="dxa"/>
            <w:noWrap w:val="0"/>
            <w:vAlign w:val="center"/>
          </w:tcPr>
          <w:p>
            <w:pPr>
              <w:widowControl/>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774" w:type="dxa"/>
            <w:gridSpan w:val="2"/>
            <w:noWrap w:val="0"/>
            <w:vAlign w:val="center"/>
          </w:tcPr>
          <w:p>
            <w:pPr>
              <w:widowControl/>
              <w:snapToGrid w:val="0"/>
              <w:spacing w:line="320" w:lineRule="exact"/>
              <w:jc w:val="center"/>
              <w:rPr>
                <w:rFonts w:hint="eastAsia" w:ascii="宋体" w:hAnsi="宋体" w:eastAsia="宋体" w:cs="宋体"/>
                <w:color w:val="000000"/>
                <w:szCs w:val="21"/>
              </w:rPr>
            </w:pPr>
            <w:r>
              <w:rPr>
                <w:rFonts w:hint="eastAsia" w:ascii="宋体" w:hAnsi="宋体" w:eastAsia="宋体" w:cs="宋体"/>
                <w:bCs/>
                <w:color w:val="000000"/>
                <w:szCs w:val="21"/>
              </w:rPr>
              <w:t>酸碱度（pH）</w:t>
            </w:r>
          </w:p>
        </w:tc>
        <w:tc>
          <w:tcPr>
            <w:tcW w:w="1679" w:type="dxa"/>
            <w:noWrap w:val="0"/>
            <w:vAlign w:val="center"/>
          </w:tcPr>
          <w:p>
            <w:pPr>
              <w:widowControl/>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w:t>
            </w:r>
          </w:p>
        </w:tc>
        <w:tc>
          <w:tcPr>
            <w:tcW w:w="1847" w:type="dxa"/>
            <w:noWrap w:val="0"/>
            <w:vAlign w:val="center"/>
          </w:tcPr>
          <w:p>
            <w:pPr>
              <w:widowControl/>
              <w:snapToGrid w:val="0"/>
              <w:spacing w:line="320" w:lineRule="exact"/>
              <w:jc w:val="center"/>
              <w:rPr>
                <w:rFonts w:hint="eastAsia" w:ascii="宋体" w:hAnsi="宋体" w:eastAsia="宋体" w:cs="宋体"/>
                <w:color w:val="000000"/>
                <w:szCs w:val="21"/>
              </w:rPr>
            </w:pPr>
            <w:r>
              <w:rPr>
                <w:rFonts w:hint="eastAsia" w:ascii="宋体" w:hAnsi="宋体" w:eastAsia="宋体" w:cs="宋体"/>
                <w:bCs/>
                <w:color w:val="000000"/>
                <w:szCs w:val="21"/>
              </w:rPr>
              <w:t>5.5～8.5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774" w:type="dxa"/>
            <w:gridSpan w:val="2"/>
            <w:noWrap w:val="0"/>
            <w:vAlign w:val="center"/>
          </w:tcPr>
          <w:p>
            <w:pPr>
              <w:widowControl/>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水分（鲜样）的质量分数</w:t>
            </w:r>
          </w:p>
        </w:tc>
        <w:tc>
          <w:tcPr>
            <w:tcW w:w="1679" w:type="dxa"/>
            <w:noWrap w:val="0"/>
            <w:vAlign w:val="center"/>
          </w:tcPr>
          <w:p>
            <w:pPr>
              <w:spacing w:line="360" w:lineRule="auto"/>
              <w:ind w:left="-112" w:leftChars="-51" w:right="-119" w:rightChars="-54"/>
              <w:jc w:val="center"/>
              <w:rPr>
                <w:rFonts w:hint="eastAsia" w:ascii="宋体" w:hAnsi="宋体" w:eastAsia="宋体" w:cs="宋体"/>
                <w:color w:val="000000"/>
                <w:szCs w:val="21"/>
              </w:rPr>
            </w:pPr>
            <w:r>
              <w:rPr>
                <w:rFonts w:hint="eastAsia" w:ascii="宋体" w:hAnsi="宋体" w:eastAsia="宋体" w:cs="宋体"/>
                <w:color w:val="000000"/>
                <w:szCs w:val="21"/>
              </w:rPr>
              <w:t>%</w:t>
            </w:r>
          </w:p>
        </w:tc>
        <w:tc>
          <w:tcPr>
            <w:tcW w:w="1847" w:type="dxa"/>
            <w:noWrap w:val="0"/>
            <w:vAlign w:val="center"/>
          </w:tcPr>
          <w:p>
            <w:pPr>
              <w:widowControl/>
              <w:snapToGrid w:val="0"/>
              <w:spacing w:line="320" w:lineRule="exact"/>
              <w:jc w:val="center"/>
              <w:rPr>
                <w:rFonts w:hint="eastAsia" w:ascii="宋体" w:hAnsi="宋体" w:eastAsia="宋体" w:cs="宋体"/>
                <w:color w:val="000000"/>
                <w:szCs w:val="21"/>
              </w:rPr>
            </w:pPr>
            <w:r>
              <w:rPr>
                <w:rFonts w:hint="eastAsia" w:ascii="宋体" w:hAnsi="宋体" w:eastAsia="宋体" w:cs="宋体"/>
                <w:bCs/>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0" w:type="dxa"/>
            <w:vMerge w:val="restart"/>
            <w:noWrap w:val="0"/>
            <w:vAlign w:val="center"/>
          </w:tcPr>
          <w:p>
            <w:pPr>
              <w:pStyle w:val="42"/>
              <w:snapToGrid w:val="0"/>
              <w:spacing w:before="0" w:line="320" w:lineRule="exact"/>
              <w:rPr>
                <w:rFonts w:hint="eastAsia" w:ascii="宋体" w:hAnsi="宋体" w:eastAsia="宋体" w:cs="宋体"/>
                <w:color w:val="000000"/>
                <w:kern w:val="2"/>
                <w:szCs w:val="21"/>
              </w:rPr>
            </w:pPr>
            <w:r>
              <w:rPr>
                <w:rFonts w:hint="eastAsia" w:ascii="宋体" w:hAnsi="宋体" w:eastAsia="宋体" w:cs="宋体"/>
                <w:color w:val="000000"/>
                <w:kern w:val="2"/>
                <w:szCs w:val="21"/>
              </w:rPr>
              <w:t>重金属指标</w:t>
            </w:r>
          </w:p>
        </w:tc>
        <w:tc>
          <w:tcPr>
            <w:tcW w:w="2954" w:type="dxa"/>
            <w:noWrap w:val="0"/>
            <w:vAlign w:val="center"/>
          </w:tcPr>
          <w:p>
            <w:pPr>
              <w:widowControl/>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As（以As计）</w:t>
            </w:r>
          </w:p>
        </w:tc>
        <w:tc>
          <w:tcPr>
            <w:tcW w:w="1679" w:type="dxa"/>
            <w:noWrap w:val="0"/>
            <w:vAlign w:val="center"/>
          </w:tcPr>
          <w:p>
            <w:pPr>
              <w:widowControl/>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mg/kg</w:t>
            </w:r>
          </w:p>
        </w:tc>
        <w:tc>
          <w:tcPr>
            <w:tcW w:w="1847" w:type="dxa"/>
            <w:noWrap w:val="0"/>
            <w:vAlign w:val="center"/>
          </w:tcPr>
          <w:p>
            <w:pPr>
              <w:widowControl/>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0" w:type="dxa"/>
            <w:vMerge w:val="continue"/>
            <w:noWrap w:val="0"/>
            <w:vAlign w:val="center"/>
          </w:tcPr>
          <w:p>
            <w:pPr>
              <w:pStyle w:val="42"/>
              <w:snapToGrid w:val="0"/>
              <w:spacing w:before="0" w:line="320" w:lineRule="exact"/>
              <w:rPr>
                <w:rFonts w:hint="eastAsia" w:ascii="宋体" w:hAnsi="宋体" w:eastAsia="宋体" w:cs="宋体"/>
                <w:color w:val="000000"/>
                <w:kern w:val="2"/>
                <w:szCs w:val="21"/>
              </w:rPr>
            </w:pPr>
          </w:p>
        </w:tc>
        <w:tc>
          <w:tcPr>
            <w:tcW w:w="2954" w:type="dxa"/>
            <w:noWrap w:val="0"/>
            <w:vAlign w:val="center"/>
          </w:tcPr>
          <w:p>
            <w:pPr>
              <w:widowControl/>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Cd（以Cd计）</w:t>
            </w:r>
          </w:p>
        </w:tc>
        <w:tc>
          <w:tcPr>
            <w:tcW w:w="1679" w:type="dxa"/>
            <w:noWrap w:val="0"/>
            <w:vAlign w:val="center"/>
          </w:tcPr>
          <w:p>
            <w:pPr>
              <w:widowControl/>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mg/kg</w:t>
            </w:r>
          </w:p>
        </w:tc>
        <w:tc>
          <w:tcPr>
            <w:tcW w:w="1847" w:type="dxa"/>
            <w:noWrap w:val="0"/>
            <w:vAlign w:val="center"/>
          </w:tcPr>
          <w:p>
            <w:pPr>
              <w:widowControl/>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0" w:type="dxa"/>
            <w:vMerge w:val="continue"/>
            <w:noWrap w:val="0"/>
            <w:vAlign w:val="center"/>
          </w:tcPr>
          <w:p>
            <w:pPr>
              <w:pStyle w:val="42"/>
              <w:snapToGrid w:val="0"/>
              <w:spacing w:before="0" w:line="320" w:lineRule="exact"/>
              <w:rPr>
                <w:rFonts w:hint="eastAsia" w:ascii="宋体" w:hAnsi="宋体" w:eastAsia="宋体" w:cs="宋体"/>
                <w:color w:val="000000"/>
                <w:kern w:val="2"/>
                <w:szCs w:val="21"/>
              </w:rPr>
            </w:pPr>
          </w:p>
        </w:tc>
        <w:tc>
          <w:tcPr>
            <w:tcW w:w="2954" w:type="dxa"/>
            <w:noWrap w:val="0"/>
            <w:vAlign w:val="center"/>
          </w:tcPr>
          <w:p>
            <w:pPr>
              <w:widowControl/>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Pb（以Pb计）</w:t>
            </w:r>
          </w:p>
        </w:tc>
        <w:tc>
          <w:tcPr>
            <w:tcW w:w="1679" w:type="dxa"/>
            <w:noWrap w:val="0"/>
            <w:vAlign w:val="center"/>
          </w:tcPr>
          <w:p>
            <w:pPr>
              <w:widowControl/>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mg/kg</w:t>
            </w:r>
          </w:p>
        </w:tc>
        <w:tc>
          <w:tcPr>
            <w:tcW w:w="1847" w:type="dxa"/>
            <w:noWrap w:val="0"/>
            <w:vAlign w:val="center"/>
          </w:tcPr>
          <w:p>
            <w:pPr>
              <w:widowControl/>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0" w:type="dxa"/>
            <w:vMerge w:val="continue"/>
            <w:noWrap w:val="0"/>
            <w:vAlign w:val="center"/>
          </w:tcPr>
          <w:p>
            <w:pPr>
              <w:pStyle w:val="42"/>
              <w:snapToGrid w:val="0"/>
              <w:spacing w:before="0" w:line="320" w:lineRule="exact"/>
              <w:rPr>
                <w:rFonts w:hint="eastAsia" w:ascii="宋体" w:hAnsi="宋体" w:eastAsia="宋体" w:cs="宋体"/>
                <w:color w:val="000000"/>
                <w:kern w:val="2"/>
                <w:szCs w:val="21"/>
              </w:rPr>
            </w:pPr>
          </w:p>
        </w:tc>
        <w:tc>
          <w:tcPr>
            <w:tcW w:w="2954" w:type="dxa"/>
            <w:noWrap w:val="0"/>
            <w:vAlign w:val="center"/>
          </w:tcPr>
          <w:p>
            <w:pPr>
              <w:widowControl/>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Cr（以Cr计）</w:t>
            </w:r>
          </w:p>
        </w:tc>
        <w:tc>
          <w:tcPr>
            <w:tcW w:w="1679" w:type="dxa"/>
            <w:noWrap w:val="0"/>
            <w:vAlign w:val="center"/>
          </w:tcPr>
          <w:p>
            <w:pPr>
              <w:widowControl/>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mg/kg</w:t>
            </w:r>
          </w:p>
        </w:tc>
        <w:tc>
          <w:tcPr>
            <w:tcW w:w="1847" w:type="dxa"/>
            <w:noWrap w:val="0"/>
            <w:vAlign w:val="center"/>
          </w:tcPr>
          <w:p>
            <w:pPr>
              <w:widowControl/>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820" w:type="dxa"/>
            <w:vMerge w:val="continue"/>
            <w:noWrap w:val="0"/>
            <w:vAlign w:val="center"/>
          </w:tcPr>
          <w:p>
            <w:pPr>
              <w:pStyle w:val="42"/>
              <w:snapToGrid w:val="0"/>
              <w:spacing w:before="0" w:line="320" w:lineRule="exact"/>
              <w:rPr>
                <w:rFonts w:hint="eastAsia" w:ascii="宋体" w:hAnsi="宋体" w:eastAsia="宋体" w:cs="宋体"/>
                <w:color w:val="000000"/>
                <w:kern w:val="2"/>
                <w:szCs w:val="21"/>
              </w:rPr>
            </w:pPr>
          </w:p>
        </w:tc>
        <w:tc>
          <w:tcPr>
            <w:tcW w:w="2954" w:type="dxa"/>
            <w:noWrap w:val="0"/>
            <w:vAlign w:val="center"/>
          </w:tcPr>
          <w:p>
            <w:pPr>
              <w:widowControl/>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Hg （以Hg计）</w:t>
            </w:r>
          </w:p>
        </w:tc>
        <w:tc>
          <w:tcPr>
            <w:tcW w:w="1679" w:type="dxa"/>
            <w:noWrap w:val="0"/>
            <w:vAlign w:val="center"/>
          </w:tcPr>
          <w:p>
            <w:pPr>
              <w:widowControl/>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mg/kg</w:t>
            </w:r>
          </w:p>
        </w:tc>
        <w:tc>
          <w:tcPr>
            <w:tcW w:w="1847" w:type="dxa"/>
            <w:noWrap w:val="0"/>
            <w:vAlign w:val="center"/>
          </w:tcPr>
          <w:p>
            <w:pPr>
              <w:widowControl/>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≤2</w:t>
            </w:r>
          </w:p>
        </w:tc>
      </w:tr>
    </w:tbl>
    <w:p>
      <w:pPr>
        <w:rPr>
          <w:rFonts w:hint="eastAsia" w:ascii="宋体" w:hAnsi="宋体" w:eastAsia="宋体" w:cs="宋体"/>
        </w:rPr>
      </w:pPr>
    </w:p>
    <w:p>
      <w:pPr>
        <w:spacing w:line="312" w:lineRule="auto"/>
        <w:ind w:firstLine="480" w:firstLineChars="200"/>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sz w:val="24"/>
          <w:lang w:val="en-US" w:eastAsia="zh-CN"/>
        </w:rPr>
        <w:t>3</w:t>
      </w:r>
      <w:r>
        <w:rPr>
          <w:rFonts w:hint="eastAsia" w:ascii="宋体" w:hAnsi="宋体" w:eastAsia="宋体" w:cs="宋体"/>
          <w:sz w:val="24"/>
        </w:rPr>
        <w:t>噪音应符合GB12348规定，处理现场的建筑围护结构外的噪音≤55db(A)。</w:t>
      </w:r>
      <w:bookmarkEnd w:id="70"/>
      <w:bookmarkEnd w:id="71"/>
    </w:p>
    <w:p>
      <w:pPr>
        <w:spacing w:line="312" w:lineRule="auto"/>
        <w:ind w:firstLine="480" w:firstLineChars="200"/>
        <w:rPr>
          <w:rFonts w:hint="eastAsia" w:ascii="宋体" w:hAnsi="宋体" w:eastAsia="宋体" w:cs="宋体"/>
          <w:sz w:val="24"/>
        </w:rPr>
      </w:pPr>
      <w:bookmarkStart w:id="72" w:name="_Toc387912092"/>
      <w:bookmarkStart w:id="73" w:name="_Toc384814785"/>
      <w:r>
        <w:rPr>
          <w:rFonts w:hint="eastAsia" w:ascii="宋体" w:hAnsi="宋体" w:eastAsia="宋体" w:cs="宋体"/>
          <w:sz w:val="24"/>
        </w:rPr>
        <w:t>6.</w:t>
      </w:r>
      <w:r>
        <w:rPr>
          <w:rFonts w:hint="eastAsia" w:ascii="宋体" w:hAnsi="宋体" w:eastAsia="宋体" w:cs="宋体"/>
          <w:sz w:val="24"/>
          <w:lang w:val="en-US" w:eastAsia="zh-CN"/>
        </w:rPr>
        <w:t>4</w:t>
      </w:r>
      <w:r>
        <w:rPr>
          <w:rFonts w:hint="eastAsia" w:ascii="宋体" w:hAnsi="宋体" w:eastAsia="宋体" w:cs="宋体"/>
          <w:sz w:val="24"/>
        </w:rPr>
        <w:t>微生物菌剂应安全、有效，并具备菌种检测报告。</w:t>
      </w:r>
      <w:bookmarkEnd w:id="72"/>
      <w:bookmarkEnd w:id="73"/>
    </w:p>
    <w:p>
      <w:pPr>
        <w:spacing w:line="312" w:lineRule="auto"/>
        <w:ind w:firstLine="480" w:firstLineChars="200"/>
        <w:rPr>
          <w:rFonts w:hint="eastAsia" w:ascii="宋体" w:hAnsi="宋体" w:eastAsia="宋体" w:cs="宋体"/>
          <w:sz w:val="24"/>
        </w:rPr>
      </w:pPr>
      <w:r>
        <w:rPr>
          <w:rFonts w:hint="eastAsia" w:ascii="宋体" w:hAnsi="宋体" w:eastAsia="宋体" w:cs="宋体"/>
          <w:sz w:val="24"/>
        </w:rPr>
        <w:t>检测内容包括：①急性经口毒性试验②藻类生长抑制试验③急性经皮毒性试验④急性皮肤刺激性⑤鱼类急性毒性试验。⑥急性吸入毒性试验⑦细菌回复突变试验。</w:t>
      </w:r>
    </w:p>
    <w:p>
      <w:pPr>
        <w:spacing w:line="312" w:lineRule="auto"/>
        <w:ind w:firstLine="480" w:firstLineChars="200"/>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sz w:val="24"/>
          <w:lang w:val="en-US" w:eastAsia="zh-CN"/>
        </w:rPr>
        <w:t>5</w:t>
      </w:r>
      <w:r>
        <w:rPr>
          <w:rFonts w:hint="eastAsia" w:ascii="宋体" w:hAnsi="宋体" w:eastAsia="宋体" w:cs="宋体"/>
          <w:sz w:val="24"/>
        </w:rPr>
        <w:t>产出物应安全、有效，并具备产出物安全性评价报告。</w:t>
      </w:r>
    </w:p>
    <w:p>
      <w:pPr>
        <w:spacing w:line="312" w:lineRule="auto"/>
        <w:ind w:firstLine="480" w:firstLineChars="200"/>
        <w:rPr>
          <w:rFonts w:hint="eastAsia" w:ascii="宋体" w:hAnsi="宋体" w:eastAsia="宋体" w:cs="宋体"/>
          <w:sz w:val="24"/>
        </w:rPr>
      </w:pPr>
      <w:r>
        <w:rPr>
          <w:rFonts w:hint="eastAsia" w:ascii="宋体" w:hAnsi="宋体" w:eastAsia="宋体" w:cs="宋体"/>
          <w:sz w:val="24"/>
        </w:rPr>
        <w:t>产出物检测应符合相应标准，其中毒性检测必须符合《危险废物鉴别标准急性毒性初筛》(GB5085.2-2007)中4鉴别标准要求并符合相关标准。</w:t>
      </w:r>
    </w:p>
    <w:p>
      <w:pPr>
        <w:spacing w:line="312" w:lineRule="auto"/>
        <w:ind w:firstLine="480" w:firstLineChars="200"/>
        <w:rPr>
          <w:rFonts w:hint="eastAsia" w:ascii="宋体" w:hAnsi="宋体" w:eastAsia="宋体" w:cs="宋体"/>
          <w:sz w:val="24"/>
        </w:rPr>
      </w:pPr>
      <w:r>
        <w:rPr>
          <w:rFonts w:hint="eastAsia" w:ascii="宋体" w:hAnsi="宋体" w:eastAsia="宋体" w:cs="宋体"/>
          <w:sz w:val="24"/>
        </w:rPr>
        <w:t>检测内容包括：产出物经口毒性检测报告、产出物经皮毒性检测报告。</w:t>
      </w:r>
    </w:p>
    <w:p>
      <w:pPr>
        <w:spacing w:line="440" w:lineRule="exact"/>
        <w:ind w:right="-185" w:rightChars="-84"/>
        <w:jc w:val="left"/>
        <w:outlineLvl w:val="1"/>
        <w:rPr>
          <w:rFonts w:hint="eastAsia" w:ascii="宋体" w:hAnsi="宋体" w:eastAsia="宋体" w:cs="宋体"/>
          <w:b/>
          <w:sz w:val="24"/>
          <w:szCs w:val="24"/>
        </w:rPr>
      </w:pPr>
      <w:r>
        <w:rPr>
          <w:rFonts w:hint="eastAsia" w:ascii="宋体" w:hAnsi="宋体" w:eastAsia="宋体" w:cs="宋体"/>
          <w:b/>
          <w:bCs/>
          <w:sz w:val="24"/>
          <w:szCs w:val="24"/>
        </w:rPr>
        <w:t>●</w:t>
      </w:r>
      <w:r>
        <w:rPr>
          <w:rFonts w:hint="eastAsia" w:ascii="宋体" w:hAnsi="宋体" w:eastAsia="宋体" w:cs="宋体"/>
          <w:b/>
          <w:sz w:val="24"/>
          <w:szCs w:val="24"/>
        </w:rPr>
        <w:t>三、其他要求</w:t>
      </w:r>
    </w:p>
    <w:p>
      <w:pPr>
        <w:spacing w:line="312"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eastAsia="zh-CN"/>
        </w:rPr>
        <w:t>设备具备自动称重功能，数据须接入区城管局管理系统</w:t>
      </w:r>
      <w:r>
        <w:rPr>
          <w:rFonts w:hint="eastAsia" w:ascii="宋体" w:hAnsi="宋体" w:eastAsia="宋体" w:cs="宋体"/>
          <w:b/>
          <w:bCs/>
          <w:sz w:val="24"/>
          <w:szCs w:val="24"/>
        </w:rPr>
        <w:t>。</w:t>
      </w:r>
    </w:p>
    <w:p>
      <w:pPr>
        <w:spacing w:line="312"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eastAsia="zh-CN"/>
        </w:rPr>
        <w:t>二次腐熟的出料、</w:t>
      </w:r>
      <w:r>
        <w:rPr>
          <w:rFonts w:hint="eastAsia" w:ascii="宋体" w:hAnsi="宋体" w:eastAsia="宋体" w:cs="宋体"/>
          <w:b/>
          <w:bCs/>
          <w:sz w:val="24"/>
          <w:szCs w:val="24"/>
          <w:lang w:val="en-US" w:eastAsia="zh-CN"/>
        </w:rPr>
        <w:t>废水、废油</w:t>
      </w:r>
      <w:r>
        <w:rPr>
          <w:rFonts w:hint="eastAsia" w:ascii="宋体" w:hAnsi="宋体" w:eastAsia="宋体" w:cs="宋体"/>
          <w:b/>
          <w:bCs/>
          <w:sz w:val="24"/>
          <w:szCs w:val="24"/>
          <w:lang w:eastAsia="zh-CN"/>
        </w:rPr>
        <w:t>需设备厂商负责</w:t>
      </w:r>
      <w:r>
        <w:rPr>
          <w:rFonts w:hint="eastAsia" w:ascii="宋体" w:hAnsi="宋体" w:eastAsia="宋体" w:cs="宋体"/>
          <w:b/>
          <w:bCs/>
          <w:sz w:val="24"/>
          <w:szCs w:val="24"/>
          <w:lang w:val="en-US" w:eastAsia="zh-CN"/>
        </w:rPr>
        <w:t>三年</w:t>
      </w:r>
      <w:r>
        <w:rPr>
          <w:rFonts w:hint="eastAsia" w:ascii="宋体" w:hAnsi="宋体" w:eastAsia="宋体" w:cs="宋体"/>
          <w:b/>
          <w:bCs/>
          <w:sz w:val="24"/>
          <w:szCs w:val="24"/>
          <w:lang w:eastAsia="zh-CN"/>
        </w:rPr>
        <w:t>合规处理</w:t>
      </w:r>
      <w:r>
        <w:rPr>
          <w:rFonts w:hint="eastAsia" w:ascii="宋体" w:hAnsi="宋体" w:eastAsia="宋体" w:cs="宋体"/>
          <w:b/>
          <w:bCs/>
          <w:sz w:val="24"/>
          <w:szCs w:val="24"/>
        </w:rPr>
        <w:t>。</w:t>
      </w:r>
    </w:p>
    <w:p>
      <w:pPr>
        <w:spacing w:line="312"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3、设备排气口（</w:t>
      </w:r>
      <w:r>
        <w:rPr>
          <w:rFonts w:hint="eastAsia" w:ascii="宋体" w:hAnsi="宋体" w:eastAsia="宋体" w:cs="宋体"/>
          <w:b/>
          <w:bCs/>
          <w:sz w:val="24"/>
          <w:szCs w:val="24"/>
          <w:lang w:val="en-US" w:eastAsia="zh-CN"/>
        </w:rPr>
        <w:t>30米范围内</w:t>
      </w:r>
      <w:r>
        <w:rPr>
          <w:rFonts w:hint="eastAsia" w:ascii="宋体" w:hAnsi="宋体" w:eastAsia="宋体" w:cs="宋体"/>
          <w:b/>
          <w:bCs/>
          <w:sz w:val="24"/>
          <w:szCs w:val="24"/>
          <w:lang w:eastAsia="zh-CN"/>
        </w:rPr>
        <w:t>）无明显人感异味。</w:t>
      </w:r>
    </w:p>
    <w:p>
      <w:pPr>
        <w:spacing w:line="312"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4、设备三年内的微生物菌剂费用需供应商自理，报价时自行考虑。</w:t>
      </w:r>
    </w:p>
    <w:p>
      <w:pPr>
        <w:spacing w:line="312" w:lineRule="auto"/>
        <w:ind w:firstLine="482" w:firstLineChars="200"/>
        <w:rPr>
          <w:rFonts w:hint="eastAsia" w:ascii="宋体" w:hAnsi="宋体" w:eastAsia="宋体" w:cs="宋体"/>
          <w:b/>
          <w:bCs/>
          <w:sz w:val="24"/>
          <w:szCs w:val="24"/>
          <w:lang w:val="en-US" w:eastAsia="zh-CN"/>
        </w:rPr>
        <w:sectPr>
          <w:headerReference r:id="rId3" w:type="default"/>
          <w:footerReference r:id="rId4" w:type="default"/>
          <w:pgSz w:w="11906" w:h="16838"/>
          <w:pgMar w:top="1091" w:right="1134" w:bottom="1361" w:left="1134" w:header="851" w:footer="992" w:gutter="0"/>
          <w:cols w:space="720" w:num="1"/>
          <w:docGrid w:linePitch="312" w:charSpace="0"/>
        </w:sectPr>
      </w:pPr>
      <w:r>
        <w:rPr>
          <w:rFonts w:hint="eastAsia" w:ascii="宋体" w:hAnsi="宋体" w:eastAsia="宋体" w:cs="宋体"/>
          <w:b/>
          <w:bCs/>
          <w:sz w:val="24"/>
          <w:szCs w:val="24"/>
          <w:lang w:val="en-US" w:eastAsia="zh-CN"/>
        </w:rPr>
        <w:t xml:space="preserve"> </w:t>
      </w:r>
    </w:p>
    <w:p>
      <w:pPr>
        <w:spacing w:line="48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四</w:t>
      </w:r>
      <w:r>
        <w:rPr>
          <w:rFonts w:hint="eastAsia" w:ascii="宋体" w:hAnsi="宋体" w:eastAsia="宋体" w:cs="宋体"/>
          <w:b/>
          <w:bCs/>
          <w:sz w:val="24"/>
          <w:szCs w:val="24"/>
        </w:rPr>
        <w:t>、项目实施要求：</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1、签订合同后，供应商按照其与采购人的事先约定将所供货物免费上门送货至采购人指定地点后拆箱，负责免费安装调试，正常运行后交用户单位验收。</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2、售后服务按国家和我省相关规定以及生产厂家或投标人的承诺执行，并提供上门免费服务。</w:t>
      </w:r>
    </w:p>
    <w:p>
      <w:pPr>
        <w:spacing w:line="48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五</w:t>
      </w:r>
      <w:r>
        <w:rPr>
          <w:rFonts w:hint="eastAsia" w:ascii="宋体" w:hAnsi="宋体" w:eastAsia="宋体" w:cs="宋体"/>
          <w:b/>
          <w:bCs/>
          <w:sz w:val="24"/>
          <w:szCs w:val="24"/>
        </w:rPr>
        <w:t>、要求质量标准：</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1、供方所供的货物必须为全新的，符合国家标准的合格产品；</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2、必所供货物不会侵犯任何第三方知识产权；</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3、送货地址：招标人要求；</w:t>
      </w:r>
    </w:p>
    <w:p>
      <w:pPr>
        <w:spacing w:line="48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六</w:t>
      </w:r>
      <w:r>
        <w:rPr>
          <w:rFonts w:hint="eastAsia" w:ascii="宋体" w:hAnsi="宋体" w:eastAsia="宋体" w:cs="宋体"/>
          <w:b/>
          <w:bCs/>
          <w:sz w:val="24"/>
          <w:szCs w:val="24"/>
        </w:rPr>
        <w:t>、售后服务要求：</w:t>
      </w:r>
    </w:p>
    <w:p>
      <w:pPr>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1、质保期：从验收合格之日起两年；</w:t>
      </w:r>
    </w:p>
    <w:p>
      <w:pPr>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2、质保期内的维修费用（包括配件）全部由供货方负责；</w:t>
      </w:r>
    </w:p>
    <w:p>
      <w:pPr>
        <w:spacing w:line="480" w:lineRule="auto"/>
        <w:ind w:firstLine="241" w:firstLineChars="100"/>
        <w:rPr>
          <w:rFonts w:hint="eastAsia" w:ascii="宋体" w:hAnsi="宋体" w:eastAsia="宋体" w:cs="宋体"/>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3、技术支持要求：质保期内出现问题，</w:t>
      </w:r>
      <w:r>
        <w:rPr>
          <w:rFonts w:hint="eastAsia" w:ascii="宋体" w:hAnsi="宋体" w:eastAsia="宋体" w:cs="宋体"/>
          <w:b/>
          <w:bCs/>
          <w:sz w:val="24"/>
          <w:szCs w:val="24"/>
          <w:highlight w:val="none"/>
          <w:lang w:eastAsia="zh-CN"/>
        </w:rPr>
        <w:t>半小时</w:t>
      </w:r>
      <w:r>
        <w:rPr>
          <w:rFonts w:hint="eastAsia" w:ascii="宋体" w:hAnsi="宋体" w:eastAsia="宋体" w:cs="宋体"/>
          <w:b/>
          <w:bCs/>
          <w:sz w:val="24"/>
          <w:szCs w:val="24"/>
          <w:highlight w:val="none"/>
        </w:rPr>
        <w:t>内响应，</w:t>
      </w: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 xml:space="preserve"> 小时内</w:t>
      </w:r>
      <w:r>
        <w:rPr>
          <w:rFonts w:hint="eastAsia" w:ascii="宋体" w:hAnsi="宋体" w:eastAsia="宋体" w:cs="宋体"/>
          <w:b/>
          <w:bCs/>
          <w:sz w:val="24"/>
          <w:szCs w:val="24"/>
          <w:highlight w:val="none"/>
          <w:lang w:eastAsia="zh-CN"/>
        </w:rPr>
        <w:t>必须</w:t>
      </w:r>
      <w:r>
        <w:rPr>
          <w:rFonts w:hint="eastAsia" w:ascii="宋体" w:hAnsi="宋体" w:eastAsia="宋体" w:cs="宋体"/>
          <w:b/>
          <w:bCs/>
          <w:sz w:val="24"/>
          <w:szCs w:val="24"/>
          <w:highlight w:val="none"/>
        </w:rPr>
        <w:t>到达现场</w:t>
      </w:r>
      <w:r>
        <w:rPr>
          <w:rFonts w:hint="eastAsia" w:ascii="宋体" w:hAnsi="宋体" w:eastAsia="宋体" w:cs="宋体"/>
          <w:sz w:val="24"/>
          <w:szCs w:val="24"/>
          <w:highlight w:val="none"/>
        </w:rPr>
        <w:t>，12 小时内解决问题，对于现场解决不了的故障，中标单位应提供采购人同型号、同规格的备用设备使用，直至故障设备修复；</w:t>
      </w:r>
    </w:p>
    <w:p>
      <w:pPr>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4、在保修期内供方必须不得以任何理由影响用户的正常使用。投标方必须对所供产品实行终身维修，配件按市场价格收取。</w:t>
      </w:r>
    </w:p>
    <w:p>
      <w:pPr>
        <w:spacing w:line="48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七</w:t>
      </w:r>
      <w:r>
        <w:rPr>
          <w:rFonts w:hint="eastAsia" w:ascii="宋体" w:hAnsi="宋体" w:eastAsia="宋体" w:cs="宋体"/>
          <w:b/>
          <w:bCs/>
          <w:sz w:val="24"/>
          <w:szCs w:val="24"/>
          <w:highlight w:val="none"/>
        </w:rPr>
        <w:t>、培训要求：</w:t>
      </w:r>
    </w:p>
    <w:p>
      <w:pPr>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安装调试后，对设备使用人员进行现场实地培训，直至会熟练使用。</w:t>
      </w:r>
    </w:p>
    <w:p>
      <w:pPr>
        <w:spacing w:line="48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eastAsia="zh-CN"/>
        </w:rPr>
        <w:t>八</w:t>
      </w:r>
      <w:r>
        <w:rPr>
          <w:rFonts w:hint="eastAsia" w:ascii="宋体" w:hAnsi="宋体" w:eastAsia="宋体" w:cs="宋体"/>
          <w:b/>
          <w:bCs/>
          <w:sz w:val="24"/>
          <w:szCs w:val="24"/>
          <w:highlight w:val="none"/>
        </w:rPr>
        <w:t>、工期要求：</w:t>
      </w:r>
    </w:p>
    <w:p>
      <w:pPr>
        <w:spacing w:line="48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highlight w:val="none"/>
        </w:rPr>
        <w:t>中标单位与采购人签订合同后</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由采购人发出设备安装要求后，</w:t>
      </w:r>
      <w:r>
        <w:rPr>
          <w:rFonts w:hint="eastAsia" w:ascii="宋体" w:hAnsi="宋体" w:eastAsia="宋体" w:cs="宋体"/>
          <w:b/>
          <w:bCs/>
          <w:sz w:val="24"/>
          <w:szCs w:val="24"/>
          <w:highlight w:val="none"/>
        </w:rPr>
        <w:t xml:space="preserve"> 30 </w:t>
      </w:r>
      <w:r>
        <w:rPr>
          <w:rFonts w:hint="eastAsia" w:ascii="宋体" w:hAnsi="宋体" w:eastAsia="宋体" w:cs="宋体"/>
          <w:b/>
          <w:bCs/>
          <w:sz w:val="24"/>
          <w:szCs w:val="24"/>
        </w:rPr>
        <w:t>天内送货并安装、调试完毕。</w:t>
      </w:r>
    </w:p>
    <w:p>
      <w:pPr>
        <w:spacing w:line="48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九</w:t>
      </w:r>
      <w:r>
        <w:rPr>
          <w:rFonts w:hint="eastAsia" w:ascii="宋体" w:hAnsi="宋体" w:eastAsia="宋体" w:cs="宋体"/>
          <w:b/>
          <w:bCs/>
          <w:sz w:val="24"/>
          <w:szCs w:val="24"/>
        </w:rPr>
        <w:t>、履约保证金和质量保证金：</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在签订合同前向采购人缴纳合同价 5%的履约保证金（以支票、汇票、本票或者金融机构、担保机构出具的保函等非现金形式提交），该履约保证金在中标单位按合同约定交货验收合格后自行转为质保金。质保金在质保期满后无发现质量问题，采购人予以无息退还。</w:t>
      </w:r>
    </w:p>
    <w:p>
      <w:pPr>
        <w:spacing w:line="48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十</w:t>
      </w:r>
      <w:r>
        <w:rPr>
          <w:rFonts w:hint="eastAsia" w:ascii="宋体" w:hAnsi="宋体" w:eastAsia="宋体" w:cs="宋体"/>
          <w:b/>
          <w:bCs/>
          <w:sz w:val="24"/>
          <w:szCs w:val="24"/>
        </w:rPr>
        <w:t>、货款结算方式：</w:t>
      </w:r>
    </w:p>
    <w:p>
      <w:pPr>
        <w:shd w:val="clear" w:color="auto" w:fill="FFFFFF"/>
        <w:snapToGrid w:val="0"/>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1、预付款金额：合同签订且供应商提供发票按合同金额的</w:t>
      </w:r>
      <w:r>
        <w:rPr>
          <w:rFonts w:hint="eastAsia" w:ascii="宋体" w:hAnsi="宋体" w:eastAsia="宋体" w:cs="宋体"/>
          <w:b w:val="0"/>
          <w:bCs w:val="0"/>
          <w:color w:val="000000"/>
          <w:sz w:val="24"/>
          <w:lang w:val="en-US" w:eastAsia="zh-CN"/>
        </w:rPr>
        <w:t>30</w:t>
      </w:r>
      <w:r>
        <w:rPr>
          <w:rFonts w:hint="eastAsia" w:ascii="宋体" w:hAnsi="宋体" w:eastAsia="宋体" w:cs="宋体"/>
          <w:b w:val="0"/>
          <w:bCs w:val="0"/>
          <w:color w:val="000000"/>
          <w:sz w:val="24"/>
        </w:rPr>
        <w:t>％支付预付款</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预付款不扣回</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w:t>
      </w:r>
    </w:p>
    <w:p>
      <w:pPr>
        <w:shd w:val="clear" w:color="auto" w:fill="FFFFFF"/>
        <w:snapToGrid w:val="0"/>
        <w:spacing w:line="360" w:lineRule="auto"/>
        <w:ind w:firstLine="480" w:firstLineChars="200"/>
        <w:rPr>
          <w:rFonts w:hint="eastAsia" w:ascii="宋体" w:hAnsi="宋体" w:eastAsia="宋体" w:cs="宋体"/>
          <w:b/>
          <w:bCs/>
          <w:color w:val="000000"/>
          <w:sz w:val="24"/>
          <w:lang w:eastAsia="zh-CN"/>
        </w:rPr>
      </w:pPr>
      <w:r>
        <w:rPr>
          <w:rFonts w:hint="eastAsia" w:ascii="宋体" w:hAnsi="宋体" w:eastAsia="宋体" w:cs="宋体"/>
          <w:b w:val="0"/>
          <w:bCs w:val="0"/>
          <w:color w:val="000000"/>
          <w:sz w:val="24"/>
          <w:lang w:val="en-US" w:eastAsia="zh-CN"/>
        </w:rPr>
        <w:t>2、</w:t>
      </w:r>
      <w:r>
        <w:rPr>
          <w:rFonts w:hint="eastAsia" w:ascii="宋体" w:hAnsi="宋体" w:eastAsia="宋体" w:cs="宋体"/>
          <w:b/>
          <w:bCs/>
          <w:color w:val="000000"/>
          <w:sz w:val="24"/>
        </w:rPr>
        <w:t>在供应商根据合同规定将货物交付、验收合格后，供应商提供发票，采购人支付</w:t>
      </w:r>
      <w:r>
        <w:rPr>
          <w:rFonts w:hint="eastAsia" w:ascii="宋体" w:hAnsi="宋体" w:eastAsia="宋体" w:cs="宋体"/>
          <w:b/>
          <w:bCs/>
          <w:color w:val="000000"/>
          <w:sz w:val="24"/>
          <w:lang w:val="en-US" w:eastAsia="zh-CN"/>
        </w:rPr>
        <w:t>剩余</w:t>
      </w:r>
      <w:r>
        <w:rPr>
          <w:rFonts w:hint="eastAsia" w:ascii="宋体" w:hAnsi="宋体" w:eastAsia="宋体" w:cs="宋体"/>
          <w:b/>
          <w:bCs/>
          <w:color w:val="000000"/>
          <w:sz w:val="24"/>
        </w:rPr>
        <w:t>货款</w:t>
      </w:r>
      <w:r>
        <w:rPr>
          <w:rFonts w:hint="eastAsia" w:ascii="宋体" w:hAnsi="宋体" w:eastAsia="宋体" w:cs="宋体"/>
          <w:b/>
          <w:bCs/>
          <w:color w:val="000000"/>
          <w:sz w:val="24"/>
          <w:lang w:eastAsia="zh-CN"/>
        </w:rPr>
        <w:t>。</w:t>
      </w:r>
    </w:p>
    <w:p>
      <w:pPr>
        <w:shd w:val="clear" w:color="auto" w:fill="FFFFFF"/>
        <w:snapToGrid w:val="0"/>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lang w:val="en-US" w:eastAsia="zh-CN"/>
        </w:rPr>
        <w:t>3</w:t>
      </w:r>
      <w:r>
        <w:rPr>
          <w:rFonts w:hint="eastAsia" w:ascii="宋体" w:hAnsi="宋体" w:eastAsia="宋体" w:cs="宋体"/>
          <w:b w:val="0"/>
          <w:bCs w:val="0"/>
          <w:color w:val="000000"/>
          <w:sz w:val="24"/>
        </w:rPr>
        <w:t>、货物交付使用时，须提供货物说明书、质量保证书等相关资料和原配的附件。</w:t>
      </w:r>
    </w:p>
    <w:p>
      <w:pPr>
        <w:pStyle w:val="20"/>
        <w:rPr>
          <w:rFonts w:hint="eastAsia" w:ascii="宋体" w:hAnsi="宋体" w:eastAsia="宋体" w:cs="宋体"/>
          <w:lang w:val="en-US" w:eastAsia="zh-CN"/>
        </w:rPr>
      </w:pPr>
      <w:r>
        <w:rPr>
          <w:rFonts w:hint="eastAsia" w:ascii="宋体" w:hAnsi="宋体" w:eastAsia="宋体" w:cs="宋体"/>
          <w:b w:val="0"/>
          <w:bCs w:val="0"/>
          <w:color w:val="000000"/>
          <w:sz w:val="24"/>
          <w:lang w:val="en-US" w:eastAsia="zh-CN"/>
        </w:rPr>
        <w:t xml:space="preserve">  </w:t>
      </w:r>
    </w:p>
    <w:p>
      <w:pPr>
        <w:spacing w:line="48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eastAsia="zh-CN"/>
        </w:rPr>
        <w:t>一</w:t>
      </w:r>
      <w:r>
        <w:rPr>
          <w:rFonts w:hint="eastAsia" w:ascii="宋体" w:hAnsi="宋体" w:eastAsia="宋体" w:cs="宋体"/>
          <w:b/>
          <w:bCs/>
          <w:sz w:val="24"/>
          <w:szCs w:val="24"/>
        </w:rPr>
        <w:t>、采购人认为必须说明的其他内容：</w:t>
      </w:r>
    </w:p>
    <w:p>
      <w:pPr>
        <w:spacing w:line="480" w:lineRule="auto"/>
        <w:ind w:firstLine="480" w:firstLineChars="200"/>
        <w:rPr>
          <w:rFonts w:hint="eastAsia" w:ascii="宋体" w:hAnsi="宋体" w:eastAsia="宋体" w:cs="宋体"/>
        </w:rPr>
      </w:pPr>
      <w:r>
        <w:rPr>
          <w:rFonts w:hint="eastAsia" w:ascii="宋体" w:hAnsi="宋体" w:eastAsia="宋体" w:cs="宋体"/>
          <w:sz w:val="24"/>
          <w:szCs w:val="24"/>
        </w:rPr>
        <w:t>带“●”条款为实质性条款，投标人须提供《采购需求实质性内容响应表》（格式见第五部分 投标文件格式六），如有任意一条未响应或不满足，将被视为无效。</w:t>
      </w:r>
      <w:r>
        <w:rPr>
          <w:rFonts w:hint="eastAsia" w:ascii="宋体" w:hAnsi="宋体" w:eastAsia="宋体" w:cs="宋体"/>
        </w:rPr>
        <w:br w:type="page"/>
      </w:r>
    </w:p>
    <w:p>
      <w:pPr>
        <w:pStyle w:val="15"/>
        <w:rPr>
          <w:rFonts w:hint="eastAsia" w:ascii="宋体" w:hAnsi="宋体" w:eastAsia="宋体" w:cs="宋体"/>
          <w:sz w:val="28"/>
        </w:rPr>
      </w:pPr>
      <w:bookmarkStart w:id="74" w:name="_Toc354996706"/>
      <w:bookmarkStart w:id="75" w:name="_Toc86217003"/>
      <w:bookmarkStart w:id="76" w:name="_Toc233618986"/>
      <w:r>
        <w:rPr>
          <w:rFonts w:hint="eastAsia" w:ascii="宋体" w:hAnsi="宋体" w:eastAsia="宋体" w:cs="宋体"/>
          <w:sz w:val="28"/>
        </w:rPr>
        <w:t>第四部分  合同样本</w:t>
      </w:r>
    </w:p>
    <w:p>
      <w:pPr>
        <w:pStyle w:val="9"/>
        <w:wordWrap w:val="0"/>
        <w:snapToGrid w:val="0"/>
        <w:spacing w:line="600" w:lineRule="exact"/>
        <w:jc w:val="right"/>
        <w:rPr>
          <w:rFonts w:hint="eastAsia" w:ascii="宋体" w:hAnsi="宋体" w:eastAsia="宋体" w:cs="宋体"/>
          <w:b/>
          <w:sz w:val="28"/>
          <w:szCs w:val="28"/>
        </w:rPr>
      </w:pPr>
      <w:r>
        <w:rPr>
          <w:rFonts w:hint="eastAsia" w:ascii="宋体" w:hAnsi="宋体" w:eastAsia="宋体" w:cs="宋体"/>
          <w:sz w:val="24"/>
          <w:szCs w:val="24"/>
        </w:rPr>
        <w:t xml:space="preserve">合同编号：            </w:t>
      </w:r>
    </w:p>
    <w:p>
      <w:pPr>
        <w:pStyle w:val="9"/>
        <w:snapToGrid w:val="0"/>
        <w:spacing w:line="600" w:lineRule="exact"/>
        <w:rPr>
          <w:rFonts w:hint="eastAsia" w:ascii="宋体" w:hAnsi="宋体" w:eastAsia="宋体" w:cs="宋体"/>
          <w:sz w:val="24"/>
          <w:szCs w:val="24"/>
        </w:rPr>
      </w:pPr>
      <w:r>
        <w:rPr>
          <w:rFonts w:hint="eastAsia" w:ascii="宋体" w:hAnsi="宋体" w:eastAsia="宋体" w:cs="宋体"/>
          <w:sz w:val="24"/>
          <w:szCs w:val="24"/>
        </w:rPr>
        <w:t>甲方：（买方）</w:t>
      </w:r>
    </w:p>
    <w:p>
      <w:pPr>
        <w:pStyle w:val="9"/>
        <w:snapToGrid w:val="0"/>
        <w:spacing w:line="600" w:lineRule="exact"/>
        <w:rPr>
          <w:rFonts w:hint="eastAsia" w:ascii="宋体" w:hAnsi="宋体" w:eastAsia="宋体" w:cs="宋体"/>
          <w:sz w:val="24"/>
          <w:szCs w:val="24"/>
        </w:rPr>
      </w:pPr>
      <w:r>
        <w:rPr>
          <w:rFonts w:hint="eastAsia" w:ascii="宋体" w:hAnsi="宋体" w:eastAsia="宋体" w:cs="宋体"/>
          <w:sz w:val="24"/>
          <w:szCs w:val="24"/>
        </w:rPr>
        <w:t>乙方：（卖方）</w:t>
      </w:r>
    </w:p>
    <w:p>
      <w:pPr>
        <w:pStyle w:val="9"/>
        <w:snapToGrid w:val="0"/>
        <w:spacing w:line="600" w:lineRule="exact"/>
        <w:rPr>
          <w:rFonts w:hint="eastAsia" w:ascii="宋体" w:hAnsi="宋体" w:eastAsia="宋体" w:cs="宋体"/>
          <w:sz w:val="24"/>
          <w:szCs w:val="24"/>
        </w:rPr>
      </w:pPr>
      <w:r>
        <w:rPr>
          <w:rFonts w:hint="eastAsia" w:ascii="宋体" w:hAnsi="宋体" w:eastAsia="宋体" w:cs="宋体"/>
          <w:sz w:val="24"/>
          <w:szCs w:val="24"/>
        </w:rPr>
        <w:t>鉴证方：</w:t>
      </w:r>
    </w:p>
    <w:p>
      <w:pPr>
        <w:pStyle w:val="9"/>
        <w:snapToGrid w:val="0"/>
        <w:spacing w:line="60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甲、乙双方根据</w:t>
      </w:r>
      <w:r>
        <w:rPr>
          <w:rFonts w:hint="eastAsia" w:ascii="宋体" w:hAnsi="宋体" w:eastAsia="宋体" w:cs="宋体"/>
          <w:sz w:val="24"/>
          <w:szCs w:val="24"/>
          <w:u w:val="single"/>
        </w:rPr>
        <w:t xml:space="preserve">                  </w:t>
      </w:r>
      <w:r>
        <w:rPr>
          <w:rFonts w:hint="eastAsia" w:ascii="宋体" w:hAnsi="宋体" w:eastAsia="宋体" w:cs="宋体"/>
          <w:sz w:val="24"/>
          <w:szCs w:val="24"/>
        </w:rPr>
        <w:t>项目（项目编号：</w:t>
      </w:r>
      <w:r>
        <w:rPr>
          <w:rFonts w:hint="eastAsia" w:ascii="宋体" w:hAnsi="宋体" w:eastAsia="宋体" w:cs="宋体"/>
          <w:sz w:val="24"/>
          <w:lang w:val="en-US"/>
        </w:rPr>
        <w:t xml:space="preserve"> </w:t>
      </w:r>
      <w:r>
        <w:rPr>
          <w:rFonts w:hint="eastAsia" w:ascii="宋体" w:hAnsi="宋体" w:eastAsia="宋体" w:cs="宋体"/>
          <w:sz w:val="24"/>
        </w:rPr>
        <w:t xml:space="preserve"> </w:t>
      </w:r>
      <w:r>
        <w:rPr>
          <w:rFonts w:hint="eastAsia" w:ascii="宋体" w:hAnsi="宋体" w:eastAsia="宋体" w:cs="宋体"/>
          <w:sz w:val="24"/>
          <w:szCs w:val="24"/>
        </w:rPr>
        <w:t>）公开招标的结果，签署本合同。</w:t>
      </w:r>
    </w:p>
    <w:p>
      <w:pPr>
        <w:pStyle w:val="9"/>
        <w:snapToGrid w:val="0"/>
        <w:spacing w:line="600" w:lineRule="exact"/>
        <w:rPr>
          <w:rFonts w:hint="eastAsia" w:ascii="宋体" w:hAnsi="宋体" w:eastAsia="宋体" w:cs="宋体"/>
          <w:b/>
          <w:sz w:val="24"/>
          <w:szCs w:val="24"/>
        </w:rPr>
      </w:pPr>
      <w:r>
        <w:rPr>
          <w:rFonts w:hint="eastAsia" w:ascii="宋体" w:hAnsi="宋体" w:eastAsia="宋体" w:cs="宋体"/>
          <w:b/>
          <w:sz w:val="24"/>
          <w:szCs w:val="24"/>
        </w:rPr>
        <w:t>一、货物名称、型号、规格、配置、技术参数、数量及合同价款</w:t>
      </w:r>
    </w:p>
    <w:tbl>
      <w:tblPr>
        <w:tblStyle w:val="16"/>
        <w:tblW w:w="9180" w:type="dxa"/>
        <w:tblInd w:w="108" w:type="dxa"/>
        <w:tblLayout w:type="fixed"/>
        <w:tblCellMar>
          <w:top w:w="0" w:type="dxa"/>
          <w:left w:w="108" w:type="dxa"/>
          <w:bottom w:w="0" w:type="dxa"/>
          <w:right w:w="108" w:type="dxa"/>
        </w:tblCellMar>
      </w:tblPr>
      <w:tblGrid>
        <w:gridCol w:w="689"/>
        <w:gridCol w:w="1516"/>
        <w:gridCol w:w="2940"/>
        <w:gridCol w:w="832"/>
        <w:gridCol w:w="987"/>
        <w:gridCol w:w="936"/>
        <w:gridCol w:w="1280"/>
      </w:tblGrid>
      <w:tr>
        <w:tblPrEx>
          <w:tblCellMar>
            <w:top w:w="0" w:type="dxa"/>
            <w:left w:w="108" w:type="dxa"/>
            <w:bottom w:w="0" w:type="dxa"/>
            <w:right w:w="108" w:type="dxa"/>
          </w:tblCellMar>
        </w:tblPrEx>
        <w:trPr>
          <w:trHeight w:val="738" w:hRule="atLeast"/>
        </w:trPr>
        <w:tc>
          <w:tcPr>
            <w:tcW w:w="689"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hint="eastAsia" w:ascii="宋体" w:hAnsi="宋体" w:eastAsia="宋体" w:cs="宋体"/>
                <w:sz w:val="24"/>
                <w:szCs w:val="24"/>
                <w:lang w:val="en-US"/>
              </w:rPr>
            </w:pPr>
            <w:r>
              <w:rPr>
                <w:rFonts w:hint="eastAsia" w:ascii="宋体" w:hAnsi="宋体" w:eastAsia="宋体" w:cs="宋体"/>
                <w:sz w:val="24"/>
                <w:szCs w:val="24"/>
                <w:lang w:val="en-US"/>
              </w:rPr>
              <w:t>序号</w:t>
            </w:r>
          </w:p>
        </w:tc>
        <w:tc>
          <w:tcPr>
            <w:tcW w:w="1516"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hint="eastAsia" w:ascii="宋体" w:hAnsi="宋体" w:eastAsia="宋体" w:cs="宋体"/>
                <w:sz w:val="24"/>
                <w:szCs w:val="24"/>
                <w:lang w:val="en-US"/>
              </w:rPr>
            </w:pPr>
            <w:r>
              <w:rPr>
                <w:rFonts w:hint="eastAsia" w:ascii="宋体" w:hAnsi="宋体" w:eastAsia="宋体" w:cs="宋体"/>
                <w:sz w:val="24"/>
                <w:szCs w:val="24"/>
                <w:lang w:val="en-US"/>
              </w:rPr>
              <w:t>货物名称</w:t>
            </w:r>
          </w:p>
        </w:tc>
        <w:tc>
          <w:tcPr>
            <w:tcW w:w="2940"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hint="eastAsia" w:ascii="宋体" w:hAnsi="宋体" w:eastAsia="宋体" w:cs="宋体"/>
                <w:sz w:val="24"/>
                <w:szCs w:val="24"/>
                <w:lang w:val="en-US"/>
              </w:rPr>
            </w:pPr>
            <w:r>
              <w:rPr>
                <w:rFonts w:hint="eastAsia" w:ascii="宋体" w:hAnsi="宋体" w:eastAsia="宋体" w:cs="宋体"/>
                <w:sz w:val="24"/>
                <w:szCs w:val="24"/>
                <w:lang w:val="en-US"/>
              </w:rPr>
              <w:t>型号规格配置</w:t>
            </w:r>
          </w:p>
          <w:p>
            <w:pPr>
              <w:pStyle w:val="9"/>
              <w:spacing w:line="600" w:lineRule="exact"/>
              <w:jc w:val="center"/>
              <w:rPr>
                <w:rFonts w:hint="eastAsia" w:ascii="宋体" w:hAnsi="宋体" w:eastAsia="宋体" w:cs="宋体"/>
                <w:sz w:val="24"/>
                <w:szCs w:val="24"/>
                <w:lang w:val="en-US"/>
              </w:rPr>
            </w:pPr>
            <w:r>
              <w:rPr>
                <w:rFonts w:hint="eastAsia" w:ascii="宋体" w:hAnsi="宋体" w:eastAsia="宋体" w:cs="宋体"/>
                <w:sz w:val="24"/>
                <w:szCs w:val="24"/>
                <w:lang w:val="en-US"/>
              </w:rPr>
              <w:t>及技术参数</w:t>
            </w:r>
          </w:p>
        </w:tc>
        <w:tc>
          <w:tcPr>
            <w:tcW w:w="832"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hint="eastAsia" w:ascii="宋体" w:hAnsi="宋体" w:eastAsia="宋体" w:cs="宋体"/>
                <w:sz w:val="24"/>
                <w:szCs w:val="24"/>
                <w:lang w:val="en-US"/>
              </w:rPr>
            </w:pPr>
            <w:r>
              <w:rPr>
                <w:rFonts w:hint="eastAsia" w:ascii="宋体" w:hAnsi="宋体" w:eastAsia="宋体" w:cs="宋体"/>
                <w:sz w:val="24"/>
                <w:szCs w:val="24"/>
                <w:lang w:val="en-US"/>
              </w:rPr>
              <w:t>单价(元)</w:t>
            </w:r>
          </w:p>
        </w:tc>
        <w:tc>
          <w:tcPr>
            <w:tcW w:w="987"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hint="eastAsia" w:ascii="宋体" w:hAnsi="宋体" w:eastAsia="宋体" w:cs="宋体"/>
                <w:sz w:val="24"/>
                <w:szCs w:val="24"/>
                <w:lang w:val="en-US"/>
              </w:rPr>
            </w:pPr>
            <w:r>
              <w:rPr>
                <w:rFonts w:hint="eastAsia" w:ascii="宋体" w:hAnsi="宋体" w:eastAsia="宋体" w:cs="宋体"/>
                <w:sz w:val="24"/>
                <w:szCs w:val="24"/>
                <w:lang w:val="en-US"/>
              </w:rPr>
              <w:t>数量(台)</w:t>
            </w:r>
          </w:p>
        </w:tc>
        <w:tc>
          <w:tcPr>
            <w:tcW w:w="936"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hint="eastAsia" w:ascii="宋体" w:hAnsi="宋体" w:eastAsia="宋体" w:cs="宋体"/>
                <w:sz w:val="24"/>
                <w:szCs w:val="24"/>
                <w:lang w:val="en-US"/>
              </w:rPr>
            </w:pPr>
            <w:r>
              <w:rPr>
                <w:rFonts w:hint="eastAsia" w:ascii="宋体" w:hAnsi="宋体" w:eastAsia="宋体" w:cs="宋体"/>
                <w:sz w:val="24"/>
                <w:szCs w:val="24"/>
                <w:lang w:val="en-US"/>
              </w:rPr>
              <w:t>合价(元)</w:t>
            </w:r>
          </w:p>
        </w:tc>
        <w:tc>
          <w:tcPr>
            <w:tcW w:w="1280" w:type="dxa"/>
            <w:tcBorders>
              <w:top w:val="single" w:color="auto" w:sz="4" w:space="0"/>
              <w:left w:val="single" w:color="auto" w:sz="4" w:space="0"/>
              <w:bottom w:val="single" w:color="auto" w:sz="4" w:space="0"/>
              <w:right w:val="single" w:color="auto" w:sz="4" w:space="0"/>
            </w:tcBorders>
            <w:vAlign w:val="center"/>
          </w:tcPr>
          <w:p>
            <w:pPr>
              <w:pStyle w:val="9"/>
              <w:spacing w:line="600" w:lineRule="exact"/>
              <w:jc w:val="center"/>
              <w:rPr>
                <w:rFonts w:hint="eastAsia" w:ascii="宋体" w:hAnsi="宋体" w:eastAsia="宋体" w:cs="宋体"/>
                <w:sz w:val="24"/>
                <w:szCs w:val="24"/>
                <w:lang w:val="en-US"/>
              </w:rPr>
            </w:pPr>
            <w:r>
              <w:rPr>
                <w:rFonts w:hint="eastAsia" w:ascii="宋体" w:hAnsi="宋体" w:eastAsia="宋体" w:cs="宋体"/>
                <w:sz w:val="24"/>
                <w:szCs w:val="24"/>
                <w:lang w:val="en-US"/>
              </w:rPr>
              <w:t>备注</w:t>
            </w:r>
          </w:p>
        </w:tc>
      </w:tr>
      <w:tr>
        <w:tblPrEx>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pPr>
              <w:pStyle w:val="9"/>
              <w:spacing w:line="600" w:lineRule="exact"/>
              <w:ind w:firstLine="600" w:firstLineChars="250"/>
              <w:jc w:val="center"/>
              <w:rPr>
                <w:rFonts w:hint="eastAsia" w:ascii="宋体" w:hAnsi="宋体" w:eastAsia="宋体" w:cs="宋体"/>
                <w:sz w:val="24"/>
                <w:szCs w:val="24"/>
                <w:lang w:val="en-US"/>
              </w:rPr>
            </w:pPr>
          </w:p>
        </w:tc>
        <w:tc>
          <w:tcPr>
            <w:tcW w:w="1516" w:type="dxa"/>
            <w:tcBorders>
              <w:top w:val="single" w:color="auto" w:sz="4" w:space="0"/>
              <w:left w:val="single" w:color="auto" w:sz="4" w:space="0"/>
              <w:bottom w:val="single" w:color="auto" w:sz="4" w:space="0"/>
              <w:right w:val="single" w:color="auto" w:sz="4" w:space="0"/>
            </w:tcBorders>
            <w:vAlign w:val="center"/>
          </w:tcPr>
          <w:p>
            <w:pPr>
              <w:pStyle w:val="9"/>
              <w:spacing w:line="600" w:lineRule="exact"/>
              <w:ind w:firstLine="600" w:firstLineChars="250"/>
              <w:jc w:val="center"/>
              <w:rPr>
                <w:rFonts w:hint="eastAsia" w:ascii="宋体" w:hAnsi="宋体" w:eastAsia="宋体" w:cs="宋体"/>
                <w:sz w:val="24"/>
                <w:szCs w:val="24"/>
                <w:lang w:val="en-US"/>
              </w:rPr>
            </w:pPr>
          </w:p>
        </w:tc>
        <w:tc>
          <w:tcPr>
            <w:tcW w:w="2940" w:type="dxa"/>
            <w:tcBorders>
              <w:top w:val="single" w:color="auto" w:sz="4" w:space="0"/>
              <w:left w:val="single" w:color="auto" w:sz="4" w:space="0"/>
              <w:bottom w:val="single" w:color="auto" w:sz="4" w:space="0"/>
              <w:right w:val="single" w:color="auto" w:sz="4" w:space="0"/>
            </w:tcBorders>
            <w:vAlign w:val="center"/>
          </w:tcPr>
          <w:p>
            <w:pPr>
              <w:pStyle w:val="9"/>
              <w:spacing w:line="600" w:lineRule="exact"/>
              <w:ind w:firstLine="600" w:firstLineChars="250"/>
              <w:jc w:val="center"/>
              <w:rPr>
                <w:rFonts w:hint="eastAsia" w:ascii="宋体" w:hAnsi="宋体" w:eastAsia="宋体" w:cs="宋体"/>
                <w:sz w:val="24"/>
                <w:szCs w:val="24"/>
                <w:lang w:val="en-US"/>
              </w:rPr>
            </w:pPr>
          </w:p>
        </w:tc>
        <w:tc>
          <w:tcPr>
            <w:tcW w:w="832" w:type="dxa"/>
            <w:tcBorders>
              <w:top w:val="single" w:color="auto" w:sz="4" w:space="0"/>
              <w:left w:val="single" w:color="auto" w:sz="4" w:space="0"/>
              <w:bottom w:val="single" w:color="auto" w:sz="4" w:space="0"/>
              <w:right w:val="single" w:color="auto" w:sz="4" w:space="0"/>
            </w:tcBorders>
            <w:vAlign w:val="center"/>
          </w:tcPr>
          <w:p>
            <w:pPr>
              <w:pStyle w:val="9"/>
              <w:spacing w:line="600" w:lineRule="exact"/>
              <w:ind w:firstLine="600" w:firstLineChars="250"/>
              <w:jc w:val="center"/>
              <w:rPr>
                <w:rFonts w:hint="eastAsia" w:ascii="宋体" w:hAnsi="宋体" w:eastAsia="宋体" w:cs="宋体"/>
                <w:sz w:val="24"/>
                <w:szCs w:val="24"/>
                <w:lang w:val="en-US"/>
              </w:rPr>
            </w:pPr>
          </w:p>
        </w:tc>
        <w:tc>
          <w:tcPr>
            <w:tcW w:w="987" w:type="dxa"/>
            <w:tcBorders>
              <w:top w:val="single" w:color="auto" w:sz="4" w:space="0"/>
              <w:left w:val="single" w:color="auto" w:sz="4" w:space="0"/>
              <w:bottom w:val="single" w:color="auto" w:sz="4" w:space="0"/>
              <w:right w:val="single" w:color="auto" w:sz="4" w:space="0"/>
            </w:tcBorders>
            <w:vAlign w:val="center"/>
          </w:tcPr>
          <w:p>
            <w:pPr>
              <w:pStyle w:val="9"/>
              <w:spacing w:line="600" w:lineRule="exact"/>
              <w:ind w:firstLine="600" w:firstLineChars="250"/>
              <w:jc w:val="center"/>
              <w:rPr>
                <w:rFonts w:hint="eastAsia" w:ascii="宋体" w:hAnsi="宋体" w:eastAsia="宋体" w:cs="宋体"/>
                <w:sz w:val="24"/>
                <w:szCs w:val="24"/>
                <w:lang w:val="en-US"/>
              </w:rPr>
            </w:pPr>
          </w:p>
        </w:tc>
        <w:tc>
          <w:tcPr>
            <w:tcW w:w="936" w:type="dxa"/>
            <w:tcBorders>
              <w:top w:val="single" w:color="auto" w:sz="4" w:space="0"/>
              <w:left w:val="single" w:color="auto" w:sz="4" w:space="0"/>
              <w:bottom w:val="single" w:color="auto" w:sz="4" w:space="0"/>
              <w:right w:val="single" w:color="auto" w:sz="4" w:space="0"/>
            </w:tcBorders>
            <w:vAlign w:val="center"/>
          </w:tcPr>
          <w:p>
            <w:pPr>
              <w:pStyle w:val="9"/>
              <w:spacing w:line="600" w:lineRule="exact"/>
              <w:ind w:firstLine="600" w:firstLineChars="250"/>
              <w:jc w:val="center"/>
              <w:rPr>
                <w:rFonts w:hint="eastAsia" w:ascii="宋体" w:hAnsi="宋体" w:eastAsia="宋体" w:cs="宋体"/>
                <w:sz w:val="24"/>
                <w:szCs w:val="24"/>
                <w:lang w:val="en-US"/>
              </w:rPr>
            </w:pPr>
          </w:p>
        </w:tc>
        <w:tc>
          <w:tcPr>
            <w:tcW w:w="1280" w:type="dxa"/>
            <w:tcBorders>
              <w:top w:val="single" w:color="auto" w:sz="4" w:space="0"/>
              <w:left w:val="single" w:color="auto" w:sz="4" w:space="0"/>
              <w:bottom w:val="single" w:color="auto" w:sz="4" w:space="0"/>
              <w:right w:val="single" w:color="auto" w:sz="4" w:space="0"/>
            </w:tcBorders>
            <w:vAlign w:val="center"/>
          </w:tcPr>
          <w:p>
            <w:pPr>
              <w:pStyle w:val="9"/>
              <w:spacing w:line="600" w:lineRule="exact"/>
              <w:ind w:firstLine="600" w:firstLineChars="250"/>
              <w:jc w:val="center"/>
              <w:rPr>
                <w:rFonts w:hint="eastAsia" w:ascii="宋体" w:hAnsi="宋体" w:eastAsia="宋体" w:cs="宋体"/>
                <w:sz w:val="24"/>
                <w:szCs w:val="24"/>
                <w:lang w:val="en-US"/>
              </w:rPr>
            </w:pPr>
          </w:p>
        </w:tc>
      </w:tr>
      <w:tr>
        <w:tblPrEx>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pPr>
              <w:pStyle w:val="9"/>
              <w:spacing w:line="600" w:lineRule="exact"/>
              <w:ind w:firstLine="600" w:firstLineChars="250"/>
              <w:jc w:val="center"/>
              <w:rPr>
                <w:rFonts w:hint="eastAsia" w:ascii="宋体" w:hAnsi="宋体" w:eastAsia="宋体" w:cs="宋体"/>
                <w:sz w:val="24"/>
                <w:szCs w:val="24"/>
                <w:lang w:val="en-US"/>
              </w:rPr>
            </w:pPr>
          </w:p>
        </w:tc>
        <w:tc>
          <w:tcPr>
            <w:tcW w:w="1516" w:type="dxa"/>
            <w:tcBorders>
              <w:top w:val="single" w:color="auto" w:sz="4" w:space="0"/>
              <w:left w:val="single" w:color="auto" w:sz="4" w:space="0"/>
              <w:bottom w:val="single" w:color="auto" w:sz="4" w:space="0"/>
              <w:right w:val="single" w:color="auto" w:sz="4" w:space="0"/>
            </w:tcBorders>
            <w:vAlign w:val="center"/>
          </w:tcPr>
          <w:p>
            <w:pPr>
              <w:pStyle w:val="9"/>
              <w:spacing w:line="600" w:lineRule="exact"/>
              <w:ind w:firstLine="600" w:firstLineChars="250"/>
              <w:jc w:val="center"/>
              <w:rPr>
                <w:rFonts w:hint="eastAsia" w:ascii="宋体" w:hAnsi="宋体" w:eastAsia="宋体" w:cs="宋体"/>
                <w:sz w:val="24"/>
                <w:szCs w:val="24"/>
                <w:lang w:val="en-US"/>
              </w:rPr>
            </w:pPr>
          </w:p>
        </w:tc>
        <w:tc>
          <w:tcPr>
            <w:tcW w:w="2940" w:type="dxa"/>
            <w:tcBorders>
              <w:top w:val="single" w:color="auto" w:sz="4" w:space="0"/>
              <w:left w:val="single" w:color="auto" w:sz="4" w:space="0"/>
              <w:bottom w:val="single" w:color="auto" w:sz="4" w:space="0"/>
              <w:right w:val="single" w:color="auto" w:sz="4" w:space="0"/>
            </w:tcBorders>
            <w:vAlign w:val="center"/>
          </w:tcPr>
          <w:p>
            <w:pPr>
              <w:pStyle w:val="9"/>
              <w:spacing w:line="600" w:lineRule="exact"/>
              <w:ind w:firstLine="600" w:firstLineChars="250"/>
              <w:jc w:val="center"/>
              <w:rPr>
                <w:rFonts w:hint="eastAsia" w:ascii="宋体" w:hAnsi="宋体" w:eastAsia="宋体" w:cs="宋体"/>
                <w:sz w:val="24"/>
                <w:szCs w:val="24"/>
                <w:lang w:val="en-US"/>
              </w:rPr>
            </w:pPr>
          </w:p>
        </w:tc>
        <w:tc>
          <w:tcPr>
            <w:tcW w:w="832" w:type="dxa"/>
            <w:tcBorders>
              <w:top w:val="single" w:color="auto" w:sz="4" w:space="0"/>
              <w:left w:val="single" w:color="auto" w:sz="4" w:space="0"/>
              <w:bottom w:val="single" w:color="auto" w:sz="4" w:space="0"/>
              <w:right w:val="single" w:color="auto" w:sz="4" w:space="0"/>
            </w:tcBorders>
            <w:vAlign w:val="center"/>
          </w:tcPr>
          <w:p>
            <w:pPr>
              <w:pStyle w:val="9"/>
              <w:spacing w:line="600" w:lineRule="exact"/>
              <w:ind w:firstLine="600" w:firstLineChars="250"/>
              <w:jc w:val="center"/>
              <w:rPr>
                <w:rFonts w:hint="eastAsia" w:ascii="宋体" w:hAnsi="宋体" w:eastAsia="宋体" w:cs="宋体"/>
                <w:sz w:val="24"/>
                <w:szCs w:val="24"/>
                <w:lang w:val="en-US"/>
              </w:rPr>
            </w:pPr>
          </w:p>
        </w:tc>
        <w:tc>
          <w:tcPr>
            <w:tcW w:w="987" w:type="dxa"/>
            <w:tcBorders>
              <w:top w:val="single" w:color="auto" w:sz="4" w:space="0"/>
              <w:left w:val="single" w:color="auto" w:sz="4" w:space="0"/>
              <w:bottom w:val="single" w:color="auto" w:sz="4" w:space="0"/>
              <w:right w:val="single" w:color="auto" w:sz="4" w:space="0"/>
            </w:tcBorders>
            <w:vAlign w:val="center"/>
          </w:tcPr>
          <w:p>
            <w:pPr>
              <w:pStyle w:val="9"/>
              <w:spacing w:line="600" w:lineRule="exact"/>
              <w:ind w:firstLine="600" w:firstLineChars="250"/>
              <w:jc w:val="center"/>
              <w:rPr>
                <w:rFonts w:hint="eastAsia" w:ascii="宋体" w:hAnsi="宋体" w:eastAsia="宋体" w:cs="宋体"/>
                <w:sz w:val="24"/>
                <w:szCs w:val="24"/>
                <w:lang w:val="en-US"/>
              </w:rPr>
            </w:pPr>
          </w:p>
        </w:tc>
        <w:tc>
          <w:tcPr>
            <w:tcW w:w="936" w:type="dxa"/>
            <w:tcBorders>
              <w:top w:val="single" w:color="auto" w:sz="4" w:space="0"/>
              <w:left w:val="single" w:color="auto" w:sz="4" w:space="0"/>
              <w:bottom w:val="single" w:color="auto" w:sz="4" w:space="0"/>
              <w:right w:val="single" w:color="auto" w:sz="4" w:space="0"/>
            </w:tcBorders>
            <w:vAlign w:val="center"/>
          </w:tcPr>
          <w:p>
            <w:pPr>
              <w:pStyle w:val="9"/>
              <w:spacing w:line="600" w:lineRule="exact"/>
              <w:ind w:firstLine="600" w:firstLineChars="250"/>
              <w:jc w:val="center"/>
              <w:rPr>
                <w:rFonts w:hint="eastAsia" w:ascii="宋体" w:hAnsi="宋体" w:eastAsia="宋体" w:cs="宋体"/>
                <w:sz w:val="24"/>
                <w:szCs w:val="24"/>
                <w:lang w:val="en-US"/>
              </w:rPr>
            </w:pPr>
          </w:p>
        </w:tc>
        <w:tc>
          <w:tcPr>
            <w:tcW w:w="1280" w:type="dxa"/>
            <w:tcBorders>
              <w:top w:val="single" w:color="auto" w:sz="4" w:space="0"/>
              <w:left w:val="single" w:color="auto" w:sz="4" w:space="0"/>
              <w:bottom w:val="single" w:color="auto" w:sz="4" w:space="0"/>
              <w:right w:val="single" w:color="auto" w:sz="4" w:space="0"/>
            </w:tcBorders>
            <w:vAlign w:val="center"/>
          </w:tcPr>
          <w:p>
            <w:pPr>
              <w:pStyle w:val="9"/>
              <w:spacing w:line="600" w:lineRule="exact"/>
              <w:ind w:firstLine="600" w:firstLineChars="250"/>
              <w:jc w:val="center"/>
              <w:rPr>
                <w:rFonts w:hint="eastAsia" w:ascii="宋体" w:hAnsi="宋体" w:eastAsia="宋体" w:cs="宋体"/>
                <w:sz w:val="24"/>
                <w:szCs w:val="24"/>
                <w:lang w:val="en-US"/>
              </w:rPr>
            </w:pPr>
          </w:p>
        </w:tc>
      </w:tr>
      <w:tr>
        <w:tblPrEx>
          <w:tblCellMar>
            <w:top w:w="0" w:type="dxa"/>
            <w:left w:w="108" w:type="dxa"/>
            <w:bottom w:w="0" w:type="dxa"/>
            <w:right w:w="108" w:type="dxa"/>
          </w:tblCellMar>
        </w:tblPrEx>
        <w:tc>
          <w:tcPr>
            <w:tcW w:w="5977" w:type="dxa"/>
            <w:gridSpan w:val="4"/>
            <w:tcBorders>
              <w:top w:val="single" w:color="auto" w:sz="4" w:space="0"/>
              <w:left w:val="single" w:color="auto" w:sz="4" w:space="0"/>
              <w:bottom w:val="single" w:color="auto" w:sz="4" w:space="0"/>
              <w:right w:val="single" w:color="auto" w:sz="4" w:space="0"/>
            </w:tcBorders>
            <w:vAlign w:val="center"/>
          </w:tcPr>
          <w:p>
            <w:pPr>
              <w:pStyle w:val="9"/>
              <w:spacing w:line="600" w:lineRule="exact"/>
              <w:ind w:firstLine="600" w:firstLineChars="250"/>
              <w:jc w:val="center"/>
              <w:rPr>
                <w:rFonts w:hint="eastAsia" w:ascii="宋体" w:hAnsi="宋体" w:eastAsia="宋体" w:cs="宋体"/>
                <w:sz w:val="24"/>
                <w:szCs w:val="24"/>
                <w:lang w:val="en-US"/>
              </w:rPr>
            </w:pPr>
            <w:r>
              <w:rPr>
                <w:rFonts w:hint="eastAsia" w:ascii="宋体" w:hAnsi="宋体" w:eastAsia="宋体" w:cs="宋体"/>
                <w:sz w:val="24"/>
                <w:szCs w:val="24"/>
                <w:lang w:val="en-US"/>
              </w:rPr>
              <w:t>合计</w:t>
            </w:r>
          </w:p>
        </w:tc>
        <w:tc>
          <w:tcPr>
            <w:tcW w:w="1923" w:type="dxa"/>
            <w:gridSpan w:val="2"/>
            <w:tcBorders>
              <w:top w:val="single" w:color="auto" w:sz="4" w:space="0"/>
              <w:left w:val="single" w:color="auto" w:sz="4" w:space="0"/>
              <w:bottom w:val="single" w:color="auto" w:sz="4" w:space="0"/>
              <w:right w:val="single" w:color="auto" w:sz="4" w:space="0"/>
            </w:tcBorders>
            <w:vAlign w:val="center"/>
          </w:tcPr>
          <w:p>
            <w:pPr>
              <w:pStyle w:val="9"/>
              <w:spacing w:line="600" w:lineRule="exact"/>
              <w:ind w:firstLine="600" w:firstLineChars="250"/>
              <w:jc w:val="center"/>
              <w:rPr>
                <w:rFonts w:hint="eastAsia" w:ascii="宋体" w:hAnsi="宋体" w:eastAsia="宋体" w:cs="宋体"/>
                <w:sz w:val="24"/>
                <w:szCs w:val="24"/>
                <w:lang w:val="en-US"/>
              </w:rPr>
            </w:pPr>
          </w:p>
        </w:tc>
        <w:tc>
          <w:tcPr>
            <w:tcW w:w="1280" w:type="dxa"/>
            <w:tcBorders>
              <w:top w:val="single" w:color="auto" w:sz="4" w:space="0"/>
              <w:left w:val="single" w:color="auto" w:sz="4" w:space="0"/>
              <w:bottom w:val="single" w:color="auto" w:sz="4" w:space="0"/>
              <w:right w:val="single" w:color="auto" w:sz="4" w:space="0"/>
            </w:tcBorders>
            <w:vAlign w:val="center"/>
          </w:tcPr>
          <w:p>
            <w:pPr>
              <w:pStyle w:val="9"/>
              <w:spacing w:line="600" w:lineRule="exact"/>
              <w:rPr>
                <w:rFonts w:hint="eastAsia" w:ascii="宋体" w:hAnsi="宋体" w:eastAsia="宋体" w:cs="宋体"/>
                <w:sz w:val="24"/>
                <w:szCs w:val="24"/>
                <w:lang w:val="en-US"/>
              </w:rPr>
            </w:pPr>
            <w:r>
              <w:rPr>
                <w:rFonts w:hint="eastAsia" w:ascii="宋体" w:hAnsi="宋体" w:eastAsia="宋体" w:cs="宋体"/>
                <w:sz w:val="24"/>
                <w:szCs w:val="24"/>
                <w:lang w:val="en-US"/>
              </w:rPr>
              <w:t>----</w:t>
            </w:r>
          </w:p>
        </w:tc>
      </w:tr>
      <w:tr>
        <w:tblPrEx>
          <w:tblCellMar>
            <w:top w:w="0" w:type="dxa"/>
            <w:left w:w="108" w:type="dxa"/>
            <w:bottom w:w="0" w:type="dxa"/>
            <w:right w:w="108" w:type="dxa"/>
          </w:tblCellMar>
        </w:tblPrEx>
        <w:tc>
          <w:tcPr>
            <w:tcW w:w="5977" w:type="dxa"/>
            <w:gridSpan w:val="4"/>
            <w:tcBorders>
              <w:top w:val="single" w:color="auto" w:sz="4" w:space="0"/>
              <w:left w:val="single" w:color="auto" w:sz="4" w:space="0"/>
              <w:bottom w:val="single" w:color="auto" w:sz="4" w:space="0"/>
              <w:right w:val="single" w:color="auto" w:sz="4" w:space="0"/>
            </w:tcBorders>
            <w:vAlign w:val="center"/>
          </w:tcPr>
          <w:p>
            <w:pPr>
              <w:pStyle w:val="9"/>
              <w:spacing w:line="600" w:lineRule="exact"/>
              <w:rPr>
                <w:rFonts w:hint="eastAsia" w:ascii="宋体" w:hAnsi="宋体" w:eastAsia="宋体" w:cs="宋体"/>
                <w:sz w:val="24"/>
                <w:szCs w:val="24"/>
                <w:lang w:val="en-US"/>
              </w:rPr>
            </w:pPr>
            <w:r>
              <w:rPr>
                <w:rFonts w:hint="eastAsia" w:ascii="宋体" w:hAnsi="宋体" w:eastAsia="宋体" w:cs="宋体"/>
                <w:sz w:val="24"/>
                <w:szCs w:val="24"/>
                <w:lang w:val="en-US"/>
              </w:rPr>
              <w:t>合同价款大写：</w:t>
            </w:r>
          </w:p>
        </w:tc>
        <w:tc>
          <w:tcPr>
            <w:tcW w:w="3203" w:type="dxa"/>
            <w:gridSpan w:val="3"/>
            <w:tcBorders>
              <w:top w:val="single" w:color="auto" w:sz="4" w:space="0"/>
              <w:left w:val="single" w:color="auto" w:sz="4" w:space="0"/>
              <w:bottom w:val="single" w:color="auto" w:sz="4" w:space="0"/>
              <w:right w:val="single" w:color="auto" w:sz="4" w:space="0"/>
            </w:tcBorders>
            <w:vAlign w:val="center"/>
          </w:tcPr>
          <w:p>
            <w:pPr>
              <w:pStyle w:val="9"/>
              <w:spacing w:line="600" w:lineRule="exact"/>
              <w:rPr>
                <w:rFonts w:hint="eastAsia" w:ascii="宋体" w:hAnsi="宋体" w:eastAsia="宋体" w:cs="宋体"/>
                <w:sz w:val="24"/>
                <w:szCs w:val="24"/>
                <w:lang w:val="en-US"/>
              </w:rPr>
            </w:pPr>
          </w:p>
        </w:tc>
      </w:tr>
    </w:tbl>
    <w:p>
      <w:pPr>
        <w:spacing w:line="600" w:lineRule="exact"/>
        <w:rPr>
          <w:rFonts w:hint="eastAsia" w:ascii="宋体" w:hAnsi="宋体" w:eastAsia="宋体" w:cs="宋体"/>
          <w:sz w:val="24"/>
          <w:szCs w:val="24"/>
        </w:rPr>
      </w:pPr>
      <w:r>
        <w:rPr>
          <w:rFonts w:hint="eastAsia" w:ascii="宋体" w:hAnsi="宋体" w:eastAsia="宋体" w:cs="宋体"/>
          <w:sz w:val="24"/>
        </w:rPr>
        <w:t>合同价款：</w:t>
      </w:r>
      <w:r>
        <w:rPr>
          <w:rFonts w:hint="eastAsia" w:ascii="宋体" w:hAnsi="宋体" w:eastAsia="宋体" w:cs="宋体"/>
          <w:sz w:val="24"/>
          <w:u w:val="single"/>
        </w:rPr>
        <w:t xml:space="preserve"> </w:t>
      </w:r>
      <w:r>
        <w:rPr>
          <w:rFonts w:hint="eastAsia" w:ascii="宋体" w:hAnsi="宋体" w:eastAsia="宋体" w:cs="宋体"/>
          <w:sz w:val="24"/>
          <w:u w:val="single"/>
          <w:lang w:val="en-US"/>
        </w:rPr>
        <w:t xml:space="preserve">   </w:t>
      </w:r>
      <w:r>
        <w:rPr>
          <w:rFonts w:hint="eastAsia" w:ascii="宋体" w:hAnsi="宋体" w:eastAsia="宋体" w:cs="宋体"/>
          <w:sz w:val="24"/>
          <w:lang w:val="en-US"/>
        </w:rPr>
        <w:t>；乙方为甲方的供应商，为降低运营成本，增进双方合作伙伴关系，甲方同意支付合同价的</w:t>
      </w:r>
      <w:r>
        <w:rPr>
          <w:rFonts w:hint="eastAsia" w:ascii="宋体" w:hAnsi="宋体" w:eastAsia="宋体" w:cs="宋体"/>
          <w:sz w:val="24"/>
          <w:lang w:val="en-US" w:eastAsia="zh-CN"/>
        </w:rPr>
        <w:t>3</w:t>
      </w:r>
      <w:r>
        <w:rPr>
          <w:rFonts w:hint="eastAsia" w:ascii="宋体" w:hAnsi="宋体" w:eastAsia="宋体" w:cs="宋体"/>
          <w:sz w:val="24"/>
          <w:lang w:val="en-US"/>
        </w:rPr>
        <w:t>0%预付货款______元，用于乙方为履行对甲方服务义务而进行的相应服务的货款支付。</w:t>
      </w:r>
    </w:p>
    <w:p>
      <w:pPr>
        <w:pStyle w:val="9"/>
        <w:snapToGrid w:val="0"/>
        <w:spacing w:line="600" w:lineRule="exact"/>
        <w:rPr>
          <w:rFonts w:hint="eastAsia" w:ascii="宋体" w:hAnsi="宋体" w:eastAsia="宋体" w:cs="宋体"/>
          <w:sz w:val="24"/>
          <w:szCs w:val="24"/>
        </w:rPr>
      </w:pPr>
      <w:r>
        <w:rPr>
          <w:rFonts w:hint="eastAsia" w:ascii="宋体" w:hAnsi="宋体" w:eastAsia="宋体" w:cs="宋体"/>
          <w:sz w:val="24"/>
          <w:szCs w:val="24"/>
        </w:rPr>
        <w:t>（合同价款包括</w:t>
      </w:r>
      <w:r>
        <w:rPr>
          <w:rFonts w:hint="eastAsia" w:ascii="宋体" w:hAnsi="宋体" w:eastAsia="宋体" w:cs="宋体"/>
          <w:bCs/>
          <w:sz w:val="24"/>
          <w:szCs w:val="24"/>
        </w:rPr>
        <w:t>含</w:t>
      </w:r>
      <w:r>
        <w:rPr>
          <w:rFonts w:hint="eastAsia" w:ascii="宋体" w:hAnsi="宋体" w:eastAsia="宋体" w:cs="宋体"/>
          <w:sz w:val="24"/>
          <w:szCs w:val="24"/>
        </w:rPr>
        <w:t>货款、标准附件、备品备件、专用工具、包装、运输、装卸、保险、税金、货到就位以及安装、调试、培训、保修等一切税金和费用及其他因本项目而产生的一切费用）。</w:t>
      </w:r>
    </w:p>
    <w:p>
      <w:pPr>
        <w:pStyle w:val="9"/>
        <w:snapToGrid w:val="0"/>
        <w:spacing w:line="600" w:lineRule="exact"/>
        <w:rPr>
          <w:rFonts w:hint="eastAsia" w:ascii="宋体" w:hAnsi="宋体" w:eastAsia="宋体" w:cs="宋体"/>
          <w:b/>
          <w:sz w:val="24"/>
          <w:szCs w:val="24"/>
        </w:rPr>
      </w:pPr>
      <w:r>
        <w:rPr>
          <w:rFonts w:hint="eastAsia" w:ascii="宋体" w:hAnsi="宋体" w:eastAsia="宋体" w:cs="宋体"/>
          <w:b/>
          <w:sz w:val="24"/>
          <w:szCs w:val="24"/>
        </w:rPr>
        <w:t>二、技术资料</w:t>
      </w:r>
    </w:p>
    <w:p>
      <w:pPr>
        <w:pStyle w:val="9"/>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1. 乙方应按招标文件规定的时间向甲方提供使用货物的有关技术资料。</w:t>
      </w:r>
    </w:p>
    <w:p>
      <w:pPr>
        <w:pStyle w:val="9"/>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9"/>
        <w:snapToGrid w:val="0"/>
        <w:spacing w:line="600" w:lineRule="exact"/>
        <w:ind w:left="412" w:hanging="412" w:hangingChars="171"/>
        <w:rPr>
          <w:rFonts w:hint="eastAsia" w:ascii="宋体" w:hAnsi="宋体" w:eastAsia="宋体" w:cs="宋体"/>
          <w:b/>
          <w:sz w:val="24"/>
          <w:szCs w:val="24"/>
        </w:rPr>
      </w:pPr>
      <w:r>
        <w:rPr>
          <w:rFonts w:hint="eastAsia" w:ascii="宋体" w:hAnsi="宋体" w:eastAsia="宋体" w:cs="宋体"/>
          <w:b/>
          <w:sz w:val="24"/>
          <w:szCs w:val="24"/>
        </w:rPr>
        <w:t>三、权利担保</w:t>
      </w:r>
    </w:p>
    <w:p>
      <w:pPr>
        <w:pStyle w:val="9"/>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1、乙方应保证所提供的货物或其任何一部分均不会侵犯任何第三方的知识产权。</w:t>
      </w:r>
    </w:p>
    <w:p>
      <w:pPr>
        <w:pStyle w:val="9"/>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2、乙方保证所交付的货物的所有权完全属于乙方且无任何抵押、查封等产权瑕疵。</w:t>
      </w:r>
    </w:p>
    <w:p>
      <w:pPr>
        <w:pStyle w:val="9"/>
        <w:snapToGrid w:val="0"/>
        <w:spacing w:line="600" w:lineRule="exact"/>
        <w:ind w:left="410" w:hanging="410" w:hangingChars="170"/>
        <w:rPr>
          <w:rFonts w:hint="eastAsia" w:ascii="宋体" w:hAnsi="宋体" w:eastAsia="宋体" w:cs="宋体"/>
          <w:b/>
          <w:sz w:val="24"/>
          <w:szCs w:val="24"/>
        </w:rPr>
      </w:pPr>
      <w:r>
        <w:rPr>
          <w:rFonts w:hint="eastAsia" w:ascii="宋体" w:hAnsi="宋体" w:eastAsia="宋体" w:cs="宋体"/>
          <w:b/>
          <w:sz w:val="24"/>
          <w:szCs w:val="24"/>
        </w:rPr>
        <w:t>四、履约保证金</w:t>
      </w:r>
    </w:p>
    <w:p>
      <w:pPr>
        <w:pStyle w:val="9"/>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乙方支付中标总额   的履约保证金。</w:t>
      </w:r>
    </w:p>
    <w:p>
      <w:pPr>
        <w:pStyle w:val="9"/>
        <w:snapToGrid w:val="0"/>
        <w:spacing w:line="600" w:lineRule="exact"/>
        <w:ind w:left="410" w:hanging="410" w:hangingChars="170"/>
        <w:rPr>
          <w:rFonts w:hint="eastAsia" w:ascii="宋体" w:hAnsi="宋体" w:eastAsia="宋体" w:cs="宋体"/>
          <w:b/>
          <w:sz w:val="24"/>
          <w:szCs w:val="24"/>
        </w:rPr>
      </w:pPr>
      <w:r>
        <w:rPr>
          <w:rFonts w:hint="eastAsia" w:ascii="宋体" w:hAnsi="宋体" w:eastAsia="宋体" w:cs="宋体"/>
          <w:b/>
          <w:sz w:val="24"/>
          <w:szCs w:val="24"/>
        </w:rPr>
        <w:t>五、转包或分包</w:t>
      </w:r>
    </w:p>
    <w:p>
      <w:pPr>
        <w:pStyle w:val="9"/>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1.本合同范围的货物，应由乙方直接供应，不得转让他人供应；</w:t>
      </w:r>
    </w:p>
    <w:p>
      <w:pPr>
        <w:pStyle w:val="9"/>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2.除非得到甲方的书面同意，乙方不得将本合同范围的货物全部或部分分包给他人供应；</w:t>
      </w:r>
    </w:p>
    <w:p>
      <w:pPr>
        <w:pStyle w:val="9"/>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3.如有转让和未经甲方同意的分包行为，甲方有权解除合同，没收履约保证金并追究乙方的违约责任。</w:t>
      </w:r>
    </w:p>
    <w:p>
      <w:pPr>
        <w:pStyle w:val="9"/>
        <w:snapToGrid w:val="0"/>
        <w:spacing w:line="600" w:lineRule="exact"/>
        <w:rPr>
          <w:rFonts w:hint="eastAsia" w:ascii="宋体" w:hAnsi="宋体" w:eastAsia="宋体" w:cs="宋体"/>
          <w:sz w:val="24"/>
          <w:szCs w:val="24"/>
        </w:rPr>
      </w:pPr>
      <w:r>
        <w:rPr>
          <w:rFonts w:hint="eastAsia" w:ascii="宋体" w:hAnsi="宋体" w:eastAsia="宋体" w:cs="宋体"/>
          <w:b/>
          <w:sz w:val="24"/>
          <w:szCs w:val="24"/>
        </w:rPr>
        <w:t>六、质保期和质保金</w:t>
      </w:r>
    </w:p>
    <w:p>
      <w:pPr>
        <w:pStyle w:val="9"/>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1. 质保期   年。质保期内，因人为因素出现的故障不在免费保修范围内，超过保修期的机器设备，终生维修，维修时只收部件成本费。</w:t>
      </w:r>
    </w:p>
    <w:p>
      <w:pPr>
        <w:pStyle w:val="9"/>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2. 质保金       元。（履约保证金在中标投标人按合同约定交货验收合格后自行转为质保金）</w:t>
      </w:r>
    </w:p>
    <w:p>
      <w:pPr>
        <w:pStyle w:val="9"/>
        <w:snapToGrid w:val="0"/>
        <w:spacing w:line="600" w:lineRule="exact"/>
        <w:rPr>
          <w:rFonts w:hint="eastAsia" w:ascii="宋体" w:hAnsi="宋体" w:eastAsia="宋体" w:cs="宋体"/>
          <w:b/>
          <w:sz w:val="24"/>
          <w:szCs w:val="24"/>
        </w:rPr>
      </w:pPr>
      <w:r>
        <w:rPr>
          <w:rFonts w:hint="eastAsia" w:ascii="宋体" w:hAnsi="宋体" w:eastAsia="宋体" w:cs="宋体"/>
          <w:b/>
          <w:sz w:val="24"/>
          <w:szCs w:val="24"/>
        </w:rPr>
        <w:t>七、交货期、交货方式及交货地点</w:t>
      </w:r>
    </w:p>
    <w:p>
      <w:pPr>
        <w:pStyle w:val="9"/>
        <w:snapToGrid w:val="0"/>
        <w:spacing w:line="6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 交货期：</w:t>
      </w:r>
    </w:p>
    <w:p>
      <w:pPr>
        <w:pStyle w:val="9"/>
        <w:snapToGrid w:val="0"/>
        <w:spacing w:line="6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2. 交货方式： </w:t>
      </w:r>
    </w:p>
    <w:p>
      <w:pPr>
        <w:pStyle w:val="9"/>
        <w:snapToGrid w:val="0"/>
        <w:spacing w:line="600" w:lineRule="exact"/>
        <w:ind w:firstLine="480" w:firstLineChars="200"/>
        <w:rPr>
          <w:rFonts w:hint="eastAsia" w:ascii="宋体" w:hAnsi="宋体" w:eastAsia="宋体" w:cs="宋体"/>
          <w:b/>
          <w:sz w:val="24"/>
          <w:szCs w:val="24"/>
        </w:rPr>
      </w:pPr>
      <w:r>
        <w:rPr>
          <w:rFonts w:hint="eastAsia" w:ascii="宋体" w:hAnsi="宋体" w:eastAsia="宋体" w:cs="宋体"/>
          <w:bCs/>
          <w:sz w:val="24"/>
          <w:szCs w:val="24"/>
        </w:rPr>
        <w:t>3. 交货地点：</w:t>
      </w:r>
    </w:p>
    <w:p>
      <w:pPr>
        <w:pStyle w:val="9"/>
        <w:snapToGrid w:val="0"/>
        <w:spacing w:line="600" w:lineRule="exact"/>
        <w:rPr>
          <w:rFonts w:hint="eastAsia" w:ascii="宋体" w:hAnsi="宋体" w:eastAsia="宋体" w:cs="宋体"/>
          <w:b/>
          <w:sz w:val="24"/>
          <w:szCs w:val="24"/>
        </w:rPr>
      </w:pPr>
      <w:r>
        <w:rPr>
          <w:rFonts w:hint="eastAsia" w:ascii="宋体" w:hAnsi="宋体" w:eastAsia="宋体" w:cs="宋体"/>
          <w:b/>
          <w:sz w:val="24"/>
          <w:szCs w:val="24"/>
        </w:rPr>
        <w:t>八、货款支付</w:t>
      </w:r>
    </w:p>
    <w:p>
      <w:pPr>
        <w:pStyle w:val="9"/>
        <w:snapToGrid w:val="0"/>
        <w:spacing w:line="600" w:lineRule="exact"/>
        <w:ind w:firstLine="482" w:firstLineChars="200"/>
        <w:rPr>
          <w:rFonts w:hint="eastAsia" w:ascii="宋体" w:hAnsi="宋体" w:eastAsia="宋体" w:cs="宋体"/>
          <w:bCs/>
          <w:sz w:val="24"/>
          <w:szCs w:val="24"/>
        </w:rPr>
      </w:pPr>
      <w:r>
        <w:rPr>
          <w:rFonts w:hint="eastAsia" w:ascii="宋体" w:hAnsi="宋体" w:eastAsia="宋体" w:cs="宋体"/>
          <w:b/>
          <w:bCs/>
          <w:sz w:val="24"/>
          <w:szCs w:val="24"/>
        </w:rPr>
        <w:t>1. 付款方式：</w:t>
      </w:r>
      <w:r>
        <w:rPr>
          <w:rFonts w:hint="eastAsia" w:ascii="宋体" w:hAnsi="宋体" w:eastAsia="宋体" w:cs="宋体"/>
          <w:bCs/>
          <w:sz w:val="24"/>
          <w:szCs w:val="24"/>
        </w:rPr>
        <w:t xml:space="preserve"> </w:t>
      </w:r>
    </w:p>
    <w:p>
      <w:pPr>
        <w:snapToGrid w:val="0"/>
        <w:spacing w:line="600" w:lineRule="exact"/>
        <w:rPr>
          <w:rFonts w:hint="eastAsia" w:ascii="宋体" w:hAnsi="宋体" w:eastAsia="宋体" w:cs="宋体"/>
          <w:b/>
          <w:sz w:val="24"/>
        </w:rPr>
      </w:pPr>
      <w:r>
        <w:rPr>
          <w:rFonts w:hint="eastAsia" w:ascii="宋体" w:hAnsi="宋体" w:eastAsia="宋体" w:cs="宋体"/>
          <w:b/>
          <w:sz w:val="24"/>
        </w:rPr>
        <w:t>九、税费</w:t>
      </w:r>
    </w:p>
    <w:p>
      <w:pPr>
        <w:pStyle w:val="9"/>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本合同执行中相关的一切税费均由乙方负担。</w:t>
      </w:r>
    </w:p>
    <w:p>
      <w:pPr>
        <w:pStyle w:val="9"/>
        <w:snapToGrid w:val="0"/>
        <w:spacing w:line="600" w:lineRule="exact"/>
        <w:ind w:left="412" w:hanging="412" w:hangingChars="171"/>
        <w:rPr>
          <w:rFonts w:hint="eastAsia" w:ascii="宋体" w:hAnsi="宋体" w:eastAsia="宋体" w:cs="宋体"/>
          <w:sz w:val="24"/>
          <w:szCs w:val="24"/>
        </w:rPr>
      </w:pPr>
      <w:r>
        <w:rPr>
          <w:rFonts w:hint="eastAsia" w:ascii="宋体" w:hAnsi="宋体" w:eastAsia="宋体" w:cs="宋体"/>
          <w:b/>
          <w:sz w:val="24"/>
          <w:szCs w:val="24"/>
        </w:rPr>
        <w:t>十、质量保证及售后服务</w:t>
      </w:r>
    </w:p>
    <w:p>
      <w:pPr>
        <w:pStyle w:val="9"/>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1. 乙方应按招标文件规定的货物性能、技术要求、质量标准向甲方提供未经使用的全新产品。</w:t>
      </w:r>
    </w:p>
    <w:p>
      <w:pPr>
        <w:pStyle w:val="9"/>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2. 乙方提供的货物在质保期内因货物本身的质量问题发生故障，乙方应负责免费更换。对达不到技术要求者，根据实际情况，经双方协商，可按以下办法处理：</w:t>
      </w:r>
    </w:p>
    <w:p>
      <w:pPr>
        <w:pStyle w:val="9"/>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⑴更换：由乙方承担所发生的全部费用。</w:t>
      </w:r>
    </w:p>
    <w:p>
      <w:pPr>
        <w:pStyle w:val="9"/>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⑵贬值处理：由甲乙双方合议定价。</w:t>
      </w:r>
    </w:p>
    <w:p>
      <w:pPr>
        <w:pStyle w:val="9"/>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⑶退货处理：乙方应退还甲方支付的合同款，同时应承担该货物的直接费用（运输、保险、检验、货款利息及银行手续费等）。</w:t>
      </w:r>
    </w:p>
    <w:p>
      <w:pPr>
        <w:pStyle w:val="9"/>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3. 如在使用过程中发生质量问题，乙方在接到甲方通知后在（）小时内到达甲方现场。</w:t>
      </w:r>
    </w:p>
    <w:p>
      <w:pPr>
        <w:pStyle w:val="9"/>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4. 在质保期内，乙方应对货物出现的质量及安全问题负责处理解决并承担一切费用。</w:t>
      </w:r>
    </w:p>
    <w:p>
      <w:pPr>
        <w:pStyle w:val="9"/>
        <w:snapToGrid w:val="0"/>
        <w:spacing w:line="600" w:lineRule="exact"/>
        <w:rPr>
          <w:rFonts w:hint="eastAsia" w:ascii="宋体" w:hAnsi="宋体" w:eastAsia="宋体" w:cs="宋体"/>
          <w:b/>
          <w:sz w:val="24"/>
          <w:szCs w:val="24"/>
        </w:rPr>
      </w:pPr>
      <w:r>
        <w:rPr>
          <w:rFonts w:hint="eastAsia" w:ascii="宋体" w:hAnsi="宋体" w:eastAsia="宋体" w:cs="宋体"/>
          <w:b/>
          <w:sz w:val="24"/>
          <w:szCs w:val="24"/>
        </w:rPr>
        <w:t>十一、货物包装、发运及运输</w:t>
      </w:r>
    </w:p>
    <w:p>
      <w:pPr>
        <w:pStyle w:val="9"/>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1. 乙方应在货物发运前对其进行满足运输距离、防潮、防震、防锈和防破损装卸等要求包装，以保证货物安全运达甲方指定地点。</w:t>
      </w:r>
    </w:p>
    <w:p>
      <w:pPr>
        <w:pStyle w:val="9"/>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2. 使用说明书、质量检验证明书、随配附件和工具以及清单一并附于货物内。</w:t>
      </w:r>
    </w:p>
    <w:p>
      <w:pPr>
        <w:pStyle w:val="9"/>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3. 乙方在货物发运手续办理完毕后24小时内或货到甲方48小时前通知甲方，以准备接货。</w:t>
      </w:r>
    </w:p>
    <w:p>
      <w:pPr>
        <w:pStyle w:val="9"/>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4. 货物在交付甲方前发生的风险均由乙方负责。</w:t>
      </w:r>
    </w:p>
    <w:p>
      <w:pPr>
        <w:pStyle w:val="9"/>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5. 货物在规定的交付期限内由乙方送达甲方指定的地点视为交付，乙方同时需</w:t>
      </w:r>
    </w:p>
    <w:p>
      <w:pPr>
        <w:pStyle w:val="9"/>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通知甲方货物已送达。</w:t>
      </w:r>
    </w:p>
    <w:p>
      <w:pPr>
        <w:pStyle w:val="9"/>
        <w:snapToGrid w:val="0"/>
        <w:spacing w:line="600" w:lineRule="exact"/>
        <w:rPr>
          <w:rFonts w:hint="eastAsia" w:ascii="宋体" w:hAnsi="宋体" w:eastAsia="宋体" w:cs="宋体"/>
          <w:b/>
          <w:sz w:val="24"/>
          <w:szCs w:val="24"/>
        </w:rPr>
      </w:pPr>
      <w:r>
        <w:rPr>
          <w:rFonts w:hint="eastAsia" w:ascii="宋体" w:hAnsi="宋体" w:eastAsia="宋体" w:cs="宋体"/>
          <w:b/>
          <w:sz w:val="24"/>
          <w:szCs w:val="24"/>
        </w:rPr>
        <w:t>十二、调试和验收</w:t>
      </w:r>
    </w:p>
    <w:p>
      <w:pPr>
        <w:pStyle w:val="9"/>
        <w:snapToGrid w:val="0"/>
        <w:spacing w:line="600" w:lineRule="exact"/>
        <w:ind w:firstLine="412" w:firstLineChars="171"/>
        <w:rPr>
          <w:rFonts w:hint="eastAsia" w:ascii="宋体" w:hAnsi="宋体" w:eastAsia="宋体" w:cs="宋体"/>
          <w:b/>
          <w:sz w:val="24"/>
        </w:rPr>
      </w:pPr>
      <w:r>
        <w:rPr>
          <w:rFonts w:hint="eastAsia" w:ascii="宋体" w:hAnsi="宋体" w:eastAsia="宋体" w:cs="宋体"/>
          <w:b/>
          <w:sz w:val="24"/>
          <w:szCs w:val="24"/>
        </w:rPr>
        <w:t>甲方</w:t>
      </w:r>
      <w:r>
        <w:rPr>
          <w:rFonts w:hint="eastAsia" w:ascii="宋体" w:hAnsi="宋体" w:eastAsia="宋体" w:cs="宋体"/>
          <w:b/>
          <w:sz w:val="24"/>
        </w:rPr>
        <w:t>委托质检余杭分局监测中心进行验收：</w:t>
      </w:r>
    </w:p>
    <w:p>
      <w:pPr>
        <w:pStyle w:val="9"/>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rPr>
        <w:t>根据余财采〔2018〕5号《关于进一步规范政府采购验收工作的通知》要求，对单次采购金额在30万元（含）以上的货物类采购项目进行验收。</w:t>
      </w:r>
    </w:p>
    <w:p>
      <w:pPr>
        <w:pStyle w:val="9"/>
        <w:snapToGrid w:val="0"/>
        <w:spacing w:line="600" w:lineRule="exact"/>
        <w:ind w:firstLine="410"/>
        <w:rPr>
          <w:rFonts w:hint="eastAsia" w:ascii="宋体" w:hAnsi="宋体" w:eastAsia="宋体" w:cs="宋体"/>
          <w:sz w:val="24"/>
          <w:szCs w:val="24"/>
        </w:rPr>
      </w:pPr>
      <w:r>
        <w:rPr>
          <w:rFonts w:hint="eastAsia" w:ascii="宋体" w:hAnsi="宋体" w:eastAsia="宋体" w:cs="宋体"/>
          <w:sz w:val="24"/>
          <w:szCs w:val="24"/>
        </w:rPr>
        <w:t>质检余杭分局监测中心对乙方提交的货物将依据招标文件、投标文件及其补充变更文件上的技术规格要求和国家有关质量标准进行验收。</w:t>
      </w:r>
    </w:p>
    <w:p>
      <w:pPr>
        <w:pStyle w:val="9"/>
        <w:snapToGrid w:val="0"/>
        <w:spacing w:line="600" w:lineRule="exact"/>
        <w:rPr>
          <w:rFonts w:hint="eastAsia" w:ascii="宋体" w:hAnsi="宋体" w:eastAsia="宋体" w:cs="宋体"/>
          <w:b/>
          <w:sz w:val="24"/>
          <w:szCs w:val="24"/>
        </w:rPr>
      </w:pPr>
      <w:r>
        <w:rPr>
          <w:rFonts w:hint="eastAsia" w:ascii="宋体" w:hAnsi="宋体" w:eastAsia="宋体" w:cs="宋体"/>
          <w:b/>
          <w:sz w:val="24"/>
          <w:szCs w:val="24"/>
        </w:rPr>
        <w:t>十三、违约责任</w:t>
      </w:r>
    </w:p>
    <w:p>
      <w:pPr>
        <w:pStyle w:val="9"/>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1. 甲方无正当理由拒收货物的，甲方向乙方偿付拒收货款总值的()%违约金。</w:t>
      </w:r>
    </w:p>
    <w:p>
      <w:pPr>
        <w:pStyle w:val="9"/>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2. 甲方无故逾期验收和办理货款支付手续的,甲方应按逾期付款总额每日千分之（）向乙方支付违约金。</w:t>
      </w:r>
    </w:p>
    <w:p>
      <w:pPr>
        <w:pStyle w:val="9"/>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 xml:space="preserve">3. 乙方逾期交付货物的，乙方应按逾期交货总额每日千分之（）向甲方支付违约金，由甲方从待付货款中扣除。逾期超过约定日期10个工作日不能交货的，甲方可解除本合同。乙方因逾期交货或因其他违约行为导致甲方解除合同的，乙方应向甲方支付合同总值（）%的违约金，如造成甲方损失超过违约金的，超出部分由乙方继续承担赔偿责任。 </w:t>
      </w:r>
    </w:p>
    <w:p>
      <w:pPr>
        <w:pStyle w:val="9"/>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9"/>
        <w:snapToGrid w:val="0"/>
        <w:spacing w:line="600" w:lineRule="exact"/>
        <w:rPr>
          <w:rFonts w:hint="eastAsia" w:ascii="宋体" w:hAnsi="宋体" w:eastAsia="宋体" w:cs="宋体"/>
          <w:b/>
          <w:sz w:val="24"/>
          <w:szCs w:val="24"/>
        </w:rPr>
      </w:pPr>
      <w:r>
        <w:rPr>
          <w:rFonts w:hint="eastAsia" w:ascii="宋体" w:hAnsi="宋体" w:eastAsia="宋体" w:cs="宋体"/>
          <w:b/>
          <w:sz w:val="24"/>
          <w:szCs w:val="24"/>
        </w:rPr>
        <w:t>十四、不可抗力事件处理</w:t>
      </w:r>
    </w:p>
    <w:p>
      <w:pPr>
        <w:pStyle w:val="9"/>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1. 在合同有效期内，任何一方因不可抗力事件导致不能履行合同，则合同履行期可延长，其延长期与不可抗力影响期相同。</w:t>
      </w:r>
    </w:p>
    <w:p>
      <w:pPr>
        <w:pStyle w:val="9"/>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2. 不可抗力事件发生后，应立即通知对方，并寄送有关权威机构出具的证明。</w:t>
      </w:r>
    </w:p>
    <w:p>
      <w:pPr>
        <w:pStyle w:val="9"/>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3. 不可抗力事件延续120天以上，双方应通过友好协商，确定是否继续履行合同。</w:t>
      </w:r>
    </w:p>
    <w:p>
      <w:pPr>
        <w:pStyle w:val="9"/>
        <w:snapToGrid w:val="0"/>
        <w:spacing w:line="600" w:lineRule="exact"/>
        <w:rPr>
          <w:rFonts w:hint="eastAsia" w:ascii="宋体" w:hAnsi="宋体" w:eastAsia="宋体" w:cs="宋体"/>
          <w:b/>
          <w:sz w:val="24"/>
          <w:szCs w:val="24"/>
        </w:rPr>
      </w:pPr>
      <w:r>
        <w:rPr>
          <w:rFonts w:hint="eastAsia" w:ascii="宋体" w:hAnsi="宋体" w:eastAsia="宋体" w:cs="宋体"/>
          <w:b/>
          <w:sz w:val="24"/>
          <w:szCs w:val="24"/>
        </w:rPr>
        <w:t>十五、诉讼</w:t>
      </w:r>
    </w:p>
    <w:p>
      <w:pPr>
        <w:pStyle w:val="9"/>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 xml:space="preserve"> 双方在执行合同中所发生的一切争议，应通过协商解决。如协商不成，可向甲方所在地法院起诉。</w:t>
      </w:r>
    </w:p>
    <w:p>
      <w:pPr>
        <w:pStyle w:val="9"/>
        <w:snapToGrid w:val="0"/>
        <w:spacing w:line="600" w:lineRule="exact"/>
        <w:rPr>
          <w:rFonts w:hint="eastAsia" w:ascii="宋体" w:hAnsi="宋体" w:eastAsia="宋体" w:cs="宋体"/>
          <w:b/>
          <w:sz w:val="24"/>
          <w:szCs w:val="24"/>
        </w:rPr>
      </w:pPr>
      <w:r>
        <w:rPr>
          <w:rFonts w:hint="eastAsia" w:ascii="宋体" w:hAnsi="宋体" w:eastAsia="宋体" w:cs="宋体"/>
          <w:b/>
          <w:sz w:val="24"/>
          <w:szCs w:val="24"/>
        </w:rPr>
        <w:t>十六、合同生效及其它</w:t>
      </w:r>
    </w:p>
    <w:p>
      <w:pPr>
        <w:pStyle w:val="9"/>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1.招标文件、投标文件、更正公告、中标通知书、承诺函等均作为本合同组成部分，具有同等效力。</w:t>
      </w:r>
    </w:p>
    <w:p>
      <w:pPr>
        <w:pStyle w:val="9"/>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2.合同经双方法定代表人或其授权代表签字并加盖单位公章经杭州瑞拓工程咨询有限公司鉴证后方可生效。</w:t>
      </w:r>
    </w:p>
    <w:p>
      <w:pPr>
        <w:pStyle w:val="9"/>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3.合同执行中涉及采购资金和采购内容修改或补充的，须经财政部门审批，并签书面补充协议报政府采购监督管理部门备案，作为主合同不可分割的一部分。</w:t>
      </w:r>
    </w:p>
    <w:p>
      <w:pPr>
        <w:pStyle w:val="9"/>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4.本合同未尽事宜，遵照《合同法》有关条文执行。</w:t>
      </w:r>
    </w:p>
    <w:p>
      <w:pPr>
        <w:pStyle w:val="9"/>
        <w:snapToGrid w:val="0"/>
        <w:spacing w:line="6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5.本合同一式多份，具有同等法律效力，甲乙双方、杭州瑞拓工程咨询有限公司、余杭区财政局</w:t>
      </w:r>
      <w:r>
        <w:rPr>
          <w:rFonts w:hint="eastAsia" w:ascii="宋体" w:hAnsi="宋体" w:eastAsia="宋体" w:cs="宋体"/>
          <w:sz w:val="24"/>
        </w:rPr>
        <w:t>采购监管科</w:t>
      </w:r>
      <w:r>
        <w:rPr>
          <w:rFonts w:hint="eastAsia" w:ascii="宋体" w:hAnsi="宋体" w:eastAsia="宋体" w:cs="宋体"/>
          <w:sz w:val="24"/>
          <w:szCs w:val="24"/>
        </w:rPr>
        <w:t xml:space="preserve">、验收单位，各执一份。 </w:t>
      </w:r>
    </w:p>
    <w:p>
      <w:pPr>
        <w:spacing w:line="600" w:lineRule="exact"/>
        <w:rPr>
          <w:rFonts w:hint="eastAsia" w:ascii="宋体" w:hAnsi="宋体" w:eastAsia="宋体" w:cs="宋体"/>
          <w:sz w:val="24"/>
        </w:rPr>
      </w:pP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 xml:space="preserve">甲方（盖章）：                          乙方（盖章）：                 </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 xml:space="preserve">法定代表人：                           法定代表人：                </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 xml:space="preserve">或授权代表（签字）：                    或授权代表（签字）：           </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 xml:space="preserve">地址：                                 地址：    </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 xml:space="preserve">邮编：                                 邮编：                     </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 xml:space="preserve">电话：                                 电话：             </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 xml:space="preserve">传真：                                 传真：         </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 xml:space="preserve">开户银行：                             开户银行：    </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 xml:space="preserve">帐号：                                 帐号：     </w:t>
      </w:r>
    </w:p>
    <w:p>
      <w:pPr>
        <w:spacing w:line="600" w:lineRule="exact"/>
        <w:ind w:firstLine="480" w:firstLineChars="200"/>
        <w:rPr>
          <w:rFonts w:hint="eastAsia" w:ascii="宋体" w:hAnsi="宋体" w:eastAsia="宋体" w:cs="宋体"/>
          <w:sz w:val="24"/>
        </w:rPr>
      </w:pPr>
    </w:p>
    <w:p>
      <w:pPr>
        <w:spacing w:line="600" w:lineRule="exact"/>
        <w:ind w:firstLine="360" w:firstLineChars="150"/>
        <w:rPr>
          <w:rFonts w:hint="eastAsia" w:ascii="宋体" w:hAnsi="宋体" w:eastAsia="宋体" w:cs="宋体"/>
          <w:sz w:val="24"/>
        </w:rPr>
      </w:pPr>
      <w:r>
        <w:rPr>
          <w:rFonts w:hint="eastAsia" w:ascii="宋体" w:hAnsi="宋体" w:eastAsia="宋体" w:cs="宋体"/>
          <w:sz w:val="24"/>
        </w:rPr>
        <w:t xml:space="preserve">鉴证方（盖章）：                                         </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 xml:space="preserve">法定代表人或授权代表（签字）：  </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 xml:space="preserve">地址：    </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 xml:space="preserve">邮编：                                                     </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 xml:space="preserve">电话：                                              </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 xml:space="preserve">传真：                                         </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 xml:space="preserve">                                    </w:t>
      </w:r>
    </w:p>
    <w:p>
      <w:pPr>
        <w:spacing w:line="600" w:lineRule="exact"/>
        <w:ind w:firstLine="480" w:firstLineChars="200"/>
        <w:rPr>
          <w:rFonts w:hint="eastAsia" w:ascii="宋体" w:hAnsi="宋体" w:eastAsia="宋体" w:cs="宋体"/>
          <w:sz w:val="24"/>
        </w:rPr>
      </w:pPr>
    </w:p>
    <w:p>
      <w:pPr>
        <w:spacing w:line="600" w:lineRule="exact"/>
        <w:ind w:firstLine="480" w:firstLineChars="200"/>
        <w:rPr>
          <w:rFonts w:hint="eastAsia" w:ascii="宋体" w:hAnsi="宋体" w:eastAsia="宋体" w:cs="宋体"/>
          <w:sz w:val="24"/>
        </w:rPr>
      </w:pPr>
    </w:p>
    <w:p>
      <w:pPr>
        <w:spacing w:line="600" w:lineRule="exact"/>
        <w:ind w:right="120"/>
        <w:jc w:val="right"/>
        <w:rPr>
          <w:rFonts w:hint="eastAsia" w:ascii="宋体" w:hAnsi="宋体" w:eastAsia="宋体" w:cs="宋体"/>
          <w:sz w:val="24"/>
        </w:rPr>
      </w:pPr>
      <w:r>
        <w:rPr>
          <w:rFonts w:hint="eastAsia" w:ascii="宋体" w:hAnsi="宋体" w:eastAsia="宋体" w:cs="宋体"/>
          <w:sz w:val="24"/>
        </w:rPr>
        <w:t>签约时间：      年    月   日</w:t>
      </w:r>
    </w:p>
    <w:p>
      <w:pPr>
        <w:wordWrap w:val="0"/>
        <w:spacing w:line="600" w:lineRule="exact"/>
        <w:jc w:val="right"/>
        <w:rPr>
          <w:rFonts w:hint="eastAsia" w:ascii="宋体" w:hAnsi="宋体" w:eastAsia="宋体" w:cs="宋体"/>
          <w:sz w:val="24"/>
        </w:rPr>
      </w:pPr>
      <w:r>
        <w:rPr>
          <w:rFonts w:hint="eastAsia" w:ascii="宋体" w:hAnsi="宋体" w:eastAsia="宋体" w:cs="宋体"/>
          <w:sz w:val="24"/>
        </w:rPr>
        <w:t xml:space="preserve">签约地点：                    </w:t>
      </w:r>
    </w:p>
    <w:p>
      <w:pPr>
        <w:spacing w:line="600" w:lineRule="exact"/>
        <w:jc w:val="center"/>
        <w:rPr>
          <w:rFonts w:hint="eastAsia" w:ascii="宋体" w:hAnsi="宋体" w:eastAsia="宋体" w:cs="宋体"/>
          <w:b/>
          <w:bCs/>
          <w:sz w:val="24"/>
        </w:rPr>
      </w:pPr>
      <w:bookmarkStart w:id="77" w:name="_Toc350327365"/>
      <w:bookmarkStart w:id="78" w:name="_Toc339872468"/>
      <w:bookmarkStart w:id="79" w:name="_Toc326765771"/>
      <w:bookmarkStart w:id="80" w:name="_Toc349721554"/>
      <w:bookmarkStart w:id="81" w:name="_Toc328381300"/>
      <w:r>
        <w:rPr>
          <w:rFonts w:hint="eastAsia" w:ascii="宋体" w:hAnsi="宋体" w:eastAsia="宋体" w:cs="宋体"/>
          <w:b/>
          <w:bCs/>
          <w:sz w:val="24"/>
        </w:rPr>
        <w:t>★ 此仅为合同书样本，中标单位需根据实际情况和采购人签订相应的合同！</w:t>
      </w:r>
      <w:bookmarkEnd w:id="77"/>
      <w:bookmarkEnd w:id="78"/>
      <w:bookmarkEnd w:id="79"/>
      <w:bookmarkEnd w:id="80"/>
      <w:bookmarkEnd w:id="81"/>
    </w:p>
    <w:p>
      <w:pPr>
        <w:shd w:val="clear" w:color="auto" w:fill="FFFFFF"/>
        <w:snapToGrid w:val="0"/>
        <w:spacing w:line="360" w:lineRule="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 </w:t>
      </w:r>
    </w:p>
    <w:bookmarkEnd w:id="74"/>
    <w:bookmarkEnd w:id="75"/>
    <w:bookmarkEnd w:id="76"/>
    <w:p>
      <w:pPr>
        <w:pageBreakBefore/>
        <w:shd w:val="clear" w:color="auto" w:fill="FFFFFF"/>
        <w:snapToGrid w:val="0"/>
        <w:spacing w:line="360" w:lineRule="auto"/>
        <w:jc w:val="center"/>
        <w:outlineLvl w:val="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第五部分  应提交的有关格式范例</w:t>
      </w:r>
    </w:p>
    <w:p>
      <w:pPr>
        <w:shd w:val="clear" w:color="auto" w:fill="FFFFFF"/>
        <w:snapToGrid w:val="0"/>
        <w:spacing w:line="360" w:lineRule="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 </w:t>
      </w:r>
    </w:p>
    <w:p>
      <w:pPr>
        <w:snapToGrid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一、投标人提交投标文件须知：</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2、所附表格中要求回答的全部问题和/或信息都必须正面回答。</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3、本声明书的签字人应保证全部声明和问题的回答是真实的和准确的。</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4、评标委员会将应用投标人提交的资料作出自己的判断。</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5、投标人提交的材料将在一定期限内被保密保存，但不退还。</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6、全部文件应按投标人须知中规定的语言和份数提交。投标文件组成漏项或未按规定的格式编制，内容不全或内容字迹模糊辨认不清的情况，</w:t>
      </w:r>
      <w:r>
        <w:rPr>
          <w:rFonts w:hint="eastAsia" w:ascii="宋体" w:hAnsi="宋体" w:eastAsia="宋体" w:cs="宋体"/>
          <w:b/>
          <w:color w:val="000000"/>
          <w:sz w:val="24"/>
        </w:rPr>
        <w:t>将有可能被评标委员会认定为投标无效。</w:t>
      </w: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pStyle w:val="21"/>
        <w:rPr>
          <w:rFonts w:hint="eastAsia" w:ascii="宋体" w:hAnsi="宋体" w:eastAsia="宋体" w:cs="宋体"/>
          <w:color w:val="000000"/>
        </w:rPr>
      </w:pPr>
    </w:p>
    <w:p>
      <w:pPr>
        <w:pStyle w:val="21"/>
        <w:rPr>
          <w:rFonts w:hint="eastAsia" w:ascii="宋体" w:hAnsi="宋体" w:eastAsia="宋体" w:cs="宋体"/>
          <w:color w:val="000000"/>
        </w:rPr>
      </w:pPr>
    </w:p>
    <w:p>
      <w:pPr>
        <w:pStyle w:val="21"/>
        <w:rPr>
          <w:rFonts w:hint="eastAsia" w:ascii="宋体" w:hAnsi="宋体" w:eastAsia="宋体" w:cs="宋体"/>
          <w:color w:val="000000"/>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w:t>
      </w:r>
    </w:p>
    <w:p>
      <w:pPr>
        <w:pStyle w:val="4"/>
        <w:snapToGrid w:val="0"/>
        <w:spacing w:after="120"/>
        <w:rPr>
          <w:rFonts w:hint="eastAsia" w:ascii="宋体" w:hAnsi="宋体" w:eastAsia="宋体" w:cs="宋体"/>
          <w:color w:val="000000"/>
        </w:rPr>
      </w:pPr>
      <w:bookmarkStart w:id="82" w:name="_Toc33194403"/>
      <w:r>
        <w:rPr>
          <w:rFonts w:hint="eastAsia" w:ascii="宋体" w:hAnsi="宋体" w:eastAsia="宋体" w:cs="宋体"/>
          <w:color w:val="000000"/>
        </w:rPr>
        <w:t>资格文件</w:t>
      </w:r>
      <w:bookmarkEnd w:id="82"/>
      <w:r>
        <w:rPr>
          <w:rFonts w:hint="eastAsia" w:ascii="宋体" w:hAnsi="宋体" w:eastAsia="宋体" w:cs="宋体"/>
          <w:color w:val="000000"/>
        </w:rPr>
        <w:t> </w:t>
      </w:r>
    </w:p>
    <w:p>
      <w:pPr>
        <w:shd w:val="clear" w:color="auto" w:fill="FFFFFF"/>
        <w:snapToGrid w:val="0"/>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目录</w:t>
      </w:r>
    </w:p>
    <w:p>
      <w:pPr>
        <w:shd w:val="clear" w:color="auto" w:fill="FFFFFF"/>
        <w:snapToGrid w:val="0"/>
        <w:spacing w:line="360" w:lineRule="auto"/>
        <w:rPr>
          <w:rFonts w:hint="eastAsia" w:ascii="宋体" w:hAnsi="宋体" w:eastAsia="宋体" w:cs="宋体"/>
          <w:color w:val="000000"/>
          <w:sz w:val="24"/>
        </w:rPr>
      </w:pPr>
      <w:bookmarkStart w:id="83" w:name="_Hlk33176655"/>
      <w:r>
        <w:rPr>
          <w:rFonts w:hint="eastAsia" w:ascii="宋体" w:hAnsi="宋体" w:eastAsia="宋体" w:cs="宋体"/>
          <w:color w:val="000000"/>
          <w:sz w:val="24"/>
        </w:rPr>
        <w:t>（1）营业执照…………………………………………………………………………（页码）</w:t>
      </w:r>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（2）最近一年度财务报表……………………………………………………………（页码）</w:t>
      </w:r>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（3）具有履行合同所必需的场地、设备和专业技术能力的承诺函………………（页码）</w:t>
      </w:r>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（4）依法缴纳税收和社会保障资金的承诺函………………………………………（页码）</w:t>
      </w:r>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（5）参加政府采购活动前3年内在经营活动中没有重大违法记录的声明函……（页码）</w:t>
      </w:r>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（6）单位负责人为同一人或者存在直接控股、管理关系的不同供应商，不得参加同一合同项下的政府采购活动承诺函……………………………………………………（页码）</w:t>
      </w:r>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（7）投标供应商没有失信记录承诺函………………………………………………（页码）</w:t>
      </w:r>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（8）标供应商不属于公益一类事业单位承诺函……………………………………（页码）</w:t>
      </w:r>
    </w:p>
    <w:bookmarkEnd w:id="83"/>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rPr>
          <w:rFonts w:hint="eastAsia" w:ascii="宋体" w:hAnsi="宋体" w:eastAsia="宋体" w:cs="宋体"/>
          <w:color w:val="000000"/>
          <w:sz w:val="24"/>
        </w:rPr>
      </w:pPr>
    </w:p>
    <w:p>
      <w:pPr>
        <w:pStyle w:val="5"/>
        <w:tabs>
          <w:tab w:val="left" w:pos="706"/>
          <w:tab w:val="left" w:pos="1110"/>
        </w:tabs>
        <w:ind w:left="106" w:firstLine="454"/>
        <w:rPr>
          <w:rFonts w:hint="eastAsia" w:ascii="宋体" w:hAnsi="宋体" w:eastAsia="宋体" w:cs="宋体"/>
        </w:rPr>
      </w:pPr>
    </w:p>
    <w:p>
      <w:pPr>
        <w:spacing w:line="360" w:lineRule="auto"/>
        <w:rPr>
          <w:rFonts w:hint="eastAsia" w:ascii="宋体" w:hAnsi="宋体" w:eastAsia="宋体" w:cs="宋体"/>
        </w:rPr>
      </w:pPr>
    </w:p>
    <w:p>
      <w:pPr>
        <w:pStyle w:val="5"/>
        <w:tabs>
          <w:tab w:val="left" w:pos="706"/>
          <w:tab w:val="left" w:pos="1110"/>
        </w:tabs>
        <w:ind w:left="560"/>
        <w:rPr>
          <w:rFonts w:hint="eastAsia" w:ascii="宋体" w:hAnsi="宋体" w:eastAsia="宋体" w:cs="宋体"/>
        </w:rPr>
      </w:pPr>
    </w:p>
    <w:p>
      <w:pPr>
        <w:rPr>
          <w:rFonts w:hint="eastAsia" w:ascii="宋体" w:hAnsi="宋体" w:eastAsia="宋体" w:cs="宋体"/>
        </w:rPr>
      </w:pPr>
    </w:p>
    <w:p>
      <w:pPr>
        <w:pStyle w:val="3"/>
        <w:rPr>
          <w:rFonts w:hint="eastAsia" w:ascii="宋体" w:hAnsi="宋体" w:eastAsia="宋体" w:cs="宋体"/>
        </w:rPr>
      </w:pPr>
    </w:p>
    <w:p>
      <w:pPr>
        <w:pStyle w:val="3"/>
        <w:rPr>
          <w:rFonts w:hint="eastAsia" w:ascii="宋体" w:hAnsi="宋体" w:eastAsia="宋体" w:cs="宋体"/>
        </w:rPr>
      </w:pPr>
    </w:p>
    <w:p>
      <w:pPr>
        <w:pStyle w:val="4"/>
        <w:numPr>
          <w:ilvl w:val="0"/>
          <w:numId w:val="14"/>
        </w:numPr>
        <w:snapToGrid w:val="0"/>
        <w:spacing w:after="120"/>
        <w:rPr>
          <w:rFonts w:hint="eastAsia" w:ascii="宋体" w:hAnsi="宋体" w:eastAsia="宋体" w:cs="宋体"/>
          <w:color w:val="000000"/>
        </w:rPr>
      </w:pPr>
      <w:bookmarkStart w:id="84" w:name="_Toc5464"/>
      <w:bookmarkStart w:id="85" w:name="_Toc21301"/>
      <w:bookmarkStart w:id="86" w:name="_Toc20141"/>
      <w:bookmarkStart w:id="87" w:name="_Toc27479"/>
      <w:bookmarkStart w:id="88" w:name="_Toc27119252"/>
      <w:bookmarkStart w:id="89" w:name="_Toc14043"/>
      <w:bookmarkStart w:id="90" w:name="_Toc6616"/>
      <w:bookmarkStart w:id="91" w:name="_Toc14356"/>
      <w:bookmarkStart w:id="92" w:name="_Toc5698"/>
      <w:bookmarkStart w:id="93" w:name="_Toc26100"/>
      <w:bookmarkStart w:id="94" w:name="_Toc20581"/>
      <w:bookmarkStart w:id="95" w:name="_Toc33194404"/>
      <w:r>
        <w:rPr>
          <w:rFonts w:hint="eastAsia" w:ascii="宋体" w:hAnsi="宋体" w:eastAsia="宋体" w:cs="宋体"/>
          <w:color w:val="000000"/>
        </w:rPr>
        <w:t>营业执照</w:t>
      </w:r>
      <w:bookmarkEnd w:id="84"/>
      <w:bookmarkEnd w:id="85"/>
      <w:bookmarkEnd w:id="86"/>
      <w:bookmarkEnd w:id="87"/>
      <w:bookmarkEnd w:id="88"/>
      <w:bookmarkEnd w:id="89"/>
      <w:bookmarkEnd w:id="90"/>
      <w:bookmarkEnd w:id="91"/>
      <w:bookmarkEnd w:id="92"/>
      <w:bookmarkEnd w:id="93"/>
      <w:bookmarkEnd w:id="94"/>
      <w:r>
        <w:rPr>
          <w:rFonts w:hint="eastAsia" w:ascii="宋体" w:hAnsi="宋体" w:eastAsia="宋体" w:cs="宋体"/>
          <w:color w:val="000000"/>
        </w:rPr>
        <w:t>（复印件）</w:t>
      </w:r>
      <w:bookmarkEnd w:id="95"/>
    </w:p>
    <w:p>
      <w:pPr>
        <w:snapToGrid w:val="0"/>
        <w:spacing w:line="360" w:lineRule="auto"/>
        <w:rPr>
          <w:rFonts w:hint="eastAsia" w:ascii="宋体" w:hAnsi="宋体" w:eastAsia="宋体" w:cs="宋体"/>
          <w:color w:val="000000"/>
        </w:rPr>
      </w:pPr>
    </w:p>
    <w:p>
      <w:pPr>
        <w:snapToGrid w:val="0"/>
        <w:spacing w:line="360" w:lineRule="auto"/>
        <w:rPr>
          <w:rFonts w:hint="eastAsia" w:ascii="宋体" w:hAnsi="宋体" w:eastAsia="宋体" w:cs="宋体"/>
          <w:color w:val="000000"/>
        </w:rPr>
      </w:pPr>
    </w:p>
    <w:p>
      <w:pPr>
        <w:spacing w:line="360" w:lineRule="auto"/>
        <w:jc w:val="center"/>
        <w:rPr>
          <w:rFonts w:hint="eastAsia" w:ascii="宋体" w:hAnsi="宋体" w:eastAsia="宋体" w:cs="宋体"/>
          <w:b/>
          <w:color w:val="000000"/>
          <w:kern w:val="36"/>
          <w:sz w:val="32"/>
          <w:szCs w:val="28"/>
        </w:rPr>
      </w:pPr>
      <w:r>
        <w:rPr>
          <w:rFonts w:hint="eastAsia" w:ascii="宋体" w:hAnsi="宋体" w:eastAsia="宋体" w:cs="宋体"/>
          <w:b/>
          <w:color w:val="000000"/>
          <w:kern w:val="36"/>
          <w:sz w:val="32"/>
          <w:szCs w:val="28"/>
        </w:rPr>
        <w:t>二、最近一年度财务报表（复印件，新成立的公司提供相关说明）</w:t>
      </w:r>
    </w:p>
    <w:p>
      <w:pPr>
        <w:snapToGrid w:val="0"/>
        <w:spacing w:line="360" w:lineRule="auto"/>
        <w:rPr>
          <w:rFonts w:hint="eastAsia" w:ascii="宋体" w:hAnsi="宋体" w:eastAsia="宋体" w:cs="宋体"/>
          <w:color w:val="000000"/>
        </w:rPr>
      </w:pPr>
    </w:p>
    <w:p>
      <w:pPr>
        <w:snapToGrid w:val="0"/>
        <w:spacing w:line="360" w:lineRule="auto"/>
        <w:rPr>
          <w:rFonts w:hint="eastAsia" w:ascii="宋体" w:hAnsi="宋体" w:eastAsia="宋体" w:cs="宋体"/>
          <w:color w:val="000000"/>
        </w:rPr>
      </w:pPr>
    </w:p>
    <w:p>
      <w:pPr>
        <w:snapToGrid w:val="0"/>
        <w:spacing w:line="360" w:lineRule="auto"/>
        <w:rPr>
          <w:rFonts w:hint="eastAsia" w:ascii="宋体" w:hAnsi="宋体" w:eastAsia="宋体" w:cs="宋体"/>
          <w:color w:val="000000"/>
        </w:rPr>
      </w:pPr>
    </w:p>
    <w:p>
      <w:pPr>
        <w:pStyle w:val="4"/>
        <w:snapToGrid w:val="0"/>
        <w:spacing w:after="120"/>
        <w:rPr>
          <w:rFonts w:hint="eastAsia" w:ascii="宋体" w:hAnsi="宋体" w:eastAsia="宋体" w:cs="宋体"/>
          <w:color w:val="000000"/>
        </w:rPr>
      </w:pPr>
      <w:bookmarkStart w:id="96" w:name="_Toc27119254"/>
      <w:bookmarkStart w:id="97" w:name="_Toc33194405"/>
      <w:r>
        <w:rPr>
          <w:rFonts w:hint="eastAsia" w:ascii="宋体" w:hAnsi="宋体" w:eastAsia="宋体" w:cs="宋体"/>
          <w:color w:val="000000"/>
        </w:rPr>
        <w:t>三、具有履行合同所必需的场地、设备和专业技术能力的承诺函</w:t>
      </w:r>
      <w:bookmarkEnd w:id="96"/>
      <w:bookmarkEnd w:id="97"/>
    </w:p>
    <w:p>
      <w:pPr>
        <w:snapToGrid w:val="0"/>
        <w:spacing w:line="360" w:lineRule="auto"/>
        <w:rPr>
          <w:rFonts w:hint="eastAsia" w:ascii="宋体" w:hAnsi="宋体" w:eastAsia="宋体" w:cs="宋体"/>
          <w:color w:val="000000"/>
        </w:rPr>
      </w:pPr>
    </w:p>
    <w:p>
      <w:pPr>
        <w:snapToGrid w:val="0"/>
        <w:spacing w:line="360" w:lineRule="auto"/>
        <w:rPr>
          <w:rFonts w:hint="eastAsia" w:ascii="宋体" w:hAnsi="宋体" w:eastAsia="宋体" w:cs="宋体"/>
          <w:color w:val="000000"/>
        </w:rPr>
      </w:pPr>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lang w:eastAsia="zh-CN"/>
        </w:rPr>
        <w:t>杭州市余杭区人民政府</w:t>
      </w:r>
      <w:r>
        <w:rPr>
          <w:rFonts w:hint="eastAsia" w:cs="宋体"/>
          <w:color w:val="000000"/>
          <w:sz w:val="24"/>
          <w:lang w:eastAsia="zh-CN"/>
        </w:rPr>
        <w:t>仁和街道办事处</w:t>
      </w:r>
      <w:r>
        <w:rPr>
          <w:rFonts w:hint="eastAsia" w:ascii="宋体" w:hAnsi="宋体" w:eastAsia="宋体" w:cs="宋体"/>
          <w:color w:val="000000"/>
          <w:sz w:val="24"/>
        </w:rPr>
        <w:t>、杭州鸿顺建设管理有限公司：</w:t>
      </w: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我方</w:t>
      </w:r>
      <w:r>
        <w:rPr>
          <w:rFonts w:hint="eastAsia" w:ascii="宋体" w:hAnsi="宋体" w:eastAsia="宋体" w:cs="宋体"/>
          <w:color w:val="000000"/>
          <w:sz w:val="24"/>
          <w:u w:val="single"/>
        </w:rPr>
        <w:t xml:space="preserve"> （供应商）</w:t>
      </w:r>
      <w:r>
        <w:rPr>
          <w:rFonts w:hint="eastAsia" w:ascii="宋体" w:hAnsi="宋体" w:eastAsia="宋体" w:cs="宋体"/>
          <w:color w:val="000000"/>
          <w:sz w:val="24"/>
        </w:rPr>
        <w:t>承诺具有履行合同所必需的场地、设备和专业技术能力，如有虚假，采购人可取消我方任何资格（投标/中标/签订合同），我方对此无任何异议。</w:t>
      </w:r>
    </w:p>
    <w:p>
      <w:pPr>
        <w:widowControl/>
        <w:snapToGrid w:val="0"/>
        <w:spacing w:line="360" w:lineRule="auto"/>
        <w:ind w:firstLine="480" w:firstLineChars="200"/>
        <w:rPr>
          <w:rFonts w:hint="eastAsia" w:ascii="宋体" w:hAnsi="宋体" w:eastAsia="宋体" w:cs="宋体"/>
          <w:color w:val="000000"/>
          <w:sz w:val="24"/>
        </w:rPr>
      </w:pP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特此承诺！</w:t>
      </w:r>
    </w:p>
    <w:p>
      <w:pPr>
        <w:widowControl/>
        <w:snapToGrid w:val="0"/>
        <w:spacing w:line="360" w:lineRule="auto"/>
        <w:ind w:firstLine="480" w:firstLineChars="200"/>
        <w:rPr>
          <w:rFonts w:hint="eastAsia" w:ascii="宋体" w:hAnsi="宋体" w:eastAsia="宋体" w:cs="宋体"/>
          <w:color w:val="000000"/>
          <w:sz w:val="24"/>
        </w:rPr>
      </w:pP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供应商名称（盖章） ：</w:t>
      </w: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法定代表人或其授权代表（签字或盖章）：</w:t>
      </w:r>
    </w:p>
    <w:p>
      <w:pPr>
        <w:widowControl/>
        <w:snapToGrid w:val="0"/>
        <w:spacing w:line="360" w:lineRule="auto"/>
        <w:ind w:firstLine="480" w:firstLineChars="200"/>
        <w:rPr>
          <w:rFonts w:hint="eastAsia" w:ascii="宋体" w:hAnsi="宋体" w:eastAsia="宋体" w:cs="宋体"/>
          <w:color w:val="000000"/>
          <w:sz w:val="24"/>
        </w:rPr>
      </w:pP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日期：     年  月  日</w:t>
      </w:r>
    </w:p>
    <w:p>
      <w:pPr>
        <w:widowControl/>
        <w:snapToGrid w:val="0"/>
        <w:spacing w:line="360" w:lineRule="auto"/>
        <w:ind w:firstLine="440" w:firstLineChars="200"/>
        <w:rPr>
          <w:rFonts w:hint="eastAsia" w:ascii="宋体" w:hAnsi="宋体" w:eastAsia="宋体" w:cs="宋体"/>
          <w:color w:val="000000"/>
          <w:szCs w:val="21"/>
        </w:rPr>
      </w:pPr>
    </w:p>
    <w:p>
      <w:pPr>
        <w:widowControl/>
        <w:snapToGrid w:val="0"/>
        <w:spacing w:line="360" w:lineRule="auto"/>
        <w:ind w:firstLine="440" w:firstLineChars="200"/>
        <w:rPr>
          <w:rFonts w:hint="eastAsia" w:ascii="宋体" w:hAnsi="宋体" w:eastAsia="宋体" w:cs="宋体"/>
          <w:color w:val="000000"/>
          <w:szCs w:val="21"/>
        </w:rPr>
      </w:pPr>
    </w:p>
    <w:p>
      <w:pPr>
        <w:widowControl/>
        <w:snapToGrid w:val="0"/>
        <w:spacing w:line="360" w:lineRule="auto"/>
        <w:ind w:firstLine="440" w:firstLineChars="200"/>
        <w:rPr>
          <w:rFonts w:hint="eastAsia" w:ascii="宋体" w:hAnsi="宋体" w:eastAsia="宋体" w:cs="宋体"/>
          <w:color w:val="000000"/>
          <w:szCs w:val="21"/>
        </w:rPr>
      </w:pPr>
    </w:p>
    <w:p>
      <w:pPr>
        <w:pStyle w:val="5"/>
        <w:tabs>
          <w:tab w:val="left" w:pos="706"/>
          <w:tab w:val="left" w:pos="1110"/>
        </w:tabs>
        <w:ind w:left="560"/>
        <w:rPr>
          <w:rFonts w:hint="eastAsia" w:ascii="宋体" w:hAnsi="宋体" w:eastAsia="宋体" w:cs="宋体"/>
        </w:rPr>
      </w:pPr>
    </w:p>
    <w:p>
      <w:pPr>
        <w:spacing w:line="360" w:lineRule="auto"/>
        <w:rPr>
          <w:rFonts w:hint="eastAsia" w:ascii="宋体" w:hAnsi="宋体" w:eastAsia="宋体" w:cs="宋体"/>
        </w:rPr>
      </w:pPr>
    </w:p>
    <w:p>
      <w:pPr>
        <w:pStyle w:val="5"/>
        <w:tabs>
          <w:tab w:val="left" w:pos="706"/>
          <w:tab w:val="left" w:pos="1110"/>
        </w:tabs>
        <w:ind w:left="106" w:firstLine="454"/>
        <w:rPr>
          <w:rFonts w:hint="eastAsia" w:ascii="宋体" w:hAnsi="宋体" w:eastAsia="宋体" w:cs="宋体"/>
        </w:rPr>
      </w:pPr>
    </w:p>
    <w:p>
      <w:pPr>
        <w:spacing w:line="360" w:lineRule="auto"/>
        <w:rPr>
          <w:rFonts w:hint="eastAsia" w:ascii="宋体" w:hAnsi="宋体" w:eastAsia="宋体" w:cs="宋体"/>
        </w:rPr>
      </w:pPr>
    </w:p>
    <w:p>
      <w:pPr>
        <w:pStyle w:val="5"/>
        <w:tabs>
          <w:tab w:val="left" w:pos="706"/>
          <w:tab w:val="left" w:pos="1110"/>
        </w:tabs>
        <w:ind w:left="106" w:firstLine="454"/>
        <w:rPr>
          <w:rFonts w:hint="eastAsia" w:ascii="宋体" w:hAnsi="宋体" w:eastAsia="宋体" w:cs="宋体"/>
        </w:rPr>
      </w:pPr>
    </w:p>
    <w:p>
      <w:pPr>
        <w:spacing w:line="360" w:lineRule="auto"/>
        <w:rPr>
          <w:rFonts w:hint="eastAsia" w:ascii="宋体" w:hAnsi="宋体" w:eastAsia="宋体" w:cs="宋体"/>
        </w:rPr>
      </w:pPr>
    </w:p>
    <w:p>
      <w:pPr>
        <w:widowControl/>
        <w:snapToGrid w:val="0"/>
        <w:spacing w:line="360" w:lineRule="auto"/>
        <w:rPr>
          <w:rFonts w:hint="eastAsia" w:ascii="宋体" w:hAnsi="宋体" w:eastAsia="宋体" w:cs="宋体"/>
          <w:color w:val="000000"/>
          <w:szCs w:val="21"/>
        </w:rPr>
      </w:pPr>
    </w:p>
    <w:p>
      <w:pPr>
        <w:spacing w:line="360" w:lineRule="auto"/>
        <w:jc w:val="center"/>
        <w:rPr>
          <w:rFonts w:hint="eastAsia" w:ascii="宋体" w:hAnsi="宋体" w:eastAsia="宋体" w:cs="宋体"/>
          <w:b/>
          <w:color w:val="000000"/>
          <w:kern w:val="36"/>
          <w:sz w:val="32"/>
          <w:szCs w:val="28"/>
        </w:rPr>
      </w:pPr>
      <w:r>
        <w:rPr>
          <w:rFonts w:hint="eastAsia" w:ascii="宋体" w:hAnsi="宋体" w:eastAsia="宋体" w:cs="宋体"/>
          <w:b/>
          <w:color w:val="000000"/>
          <w:kern w:val="36"/>
          <w:sz w:val="32"/>
          <w:szCs w:val="28"/>
        </w:rPr>
        <w:t>四、依法缴纳税收和社会保障资金的承诺函</w:t>
      </w:r>
    </w:p>
    <w:p>
      <w:pPr>
        <w:spacing w:line="360" w:lineRule="auto"/>
        <w:rPr>
          <w:rFonts w:hint="eastAsia" w:ascii="宋体" w:hAnsi="宋体" w:eastAsia="宋体" w:cs="宋体"/>
          <w:b/>
          <w:color w:val="000000"/>
          <w:sz w:val="24"/>
          <w:szCs w:val="28"/>
          <w:u w:val="single"/>
        </w:rPr>
      </w:pPr>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lang w:eastAsia="zh-CN"/>
        </w:rPr>
        <w:t>杭州市余杭区人民政府</w:t>
      </w:r>
      <w:r>
        <w:rPr>
          <w:rFonts w:hint="eastAsia" w:cs="宋体"/>
          <w:color w:val="000000"/>
          <w:sz w:val="24"/>
          <w:lang w:eastAsia="zh-CN"/>
        </w:rPr>
        <w:t>仁和街道办事处</w:t>
      </w:r>
      <w:r>
        <w:rPr>
          <w:rFonts w:hint="eastAsia" w:ascii="宋体" w:hAnsi="宋体" w:eastAsia="宋体" w:cs="宋体"/>
          <w:color w:val="000000"/>
          <w:sz w:val="24"/>
        </w:rPr>
        <w:t>、杭州鸿顺建设管理有限公司：</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我公司郑重声明，我公司严格依法缴纳税收和社会保障资金，本文件中所提供的相关材料均真实有效，不存在虚假、造假行为。如有违反，愿承担一切责任。</w:t>
      </w:r>
    </w:p>
    <w:p>
      <w:pPr>
        <w:spacing w:line="360" w:lineRule="auto"/>
        <w:ind w:firstLine="480" w:firstLineChars="200"/>
        <w:rPr>
          <w:rFonts w:hint="eastAsia" w:ascii="宋体" w:hAnsi="宋体" w:eastAsia="宋体" w:cs="宋体"/>
          <w:color w:val="000000"/>
          <w:sz w:val="24"/>
        </w:rPr>
      </w:pP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特此承诺！</w:t>
      </w:r>
    </w:p>
    <w:p>
      <w:pPr>
        <w:widowControl/>
        <w:snapToGrid w:val="0"/>
        <w:spacing w:line="360" w:lineRule="auto"/>
        <w:ind w:firstLine="480" w:firstLineChars="200"/>
        <w:rPr>
          <w:rFonts w:hint="eastAsia" w:ascii="宋体" w:hAnsi="宋体" w:eastAsia="宋体" w:cs="宋体"/>
          <w:color w:val="000000"/>
          <w:sz w:val="24"/>
        </w:rPr>
      </w:pP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供应商名称（盖章） ：</w:t>
      </w: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法定代表人或其授权代表（签字或盖章）：</w:t>
      </w:r>
    </w:p>
    <w:p>
      <w:pPr>
        <w:widowControl/>
        <w:snapToGrid w:val="0"/>
        <w:spacing w:line="360" w:lineRule="auto"/>
        <w:ind w:firstLine="480" w:firstLineChars="200"/>
        <w:rPr>
          <w:rFonts w:hint="eastAsia" w:ascii="宋体" w:hAnsi="宋体" w:eastAsia="宋体" w:cs="宋体"/>
          <w:color w:val="000000"/>
          <w:sz w:val="24"/>
        </w:rPr>
      </w:pP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日期：     年  月  日</w:t>
      </w:r>
    </w:p>
    <w:p>
      <w:pPr>
        <w:widowControl/>
        <w:snapToGrid w:val="0"/>
        <w:spacing w:line="360" w:lineRule="auto"/>
        <w:ind w:firstLine="480" w:firstLineChars="200"/>
        <w:rPr>
          <w:rFonts w:hint="eastAsia" w:ascii="宋体" w:hAnsi="宋体" w:eastAsia="宋体" w:cs="宋体"/>
          <w:color w:val="000000"/>
          <w:sz w:val="24"/>
        </w:rPr>
      </w:pPr>
    </w:p>
    <w:p>
      <w:pPr>
        <w:widowControl/>
        <w:snapToGrid w:val="0"/>
        <w:spacing w:line="360" w:lineRule="auto"/>
        <w:rPr>
          <w:rFonts w:hint="eastAsia" w:ascii="宋体" w:hAnsi="宋体" w:eastAsia="宋体" w:cs="宋体"/>
          <w:color w:val="000000"/>
          <w:szCs w:val="21"/>
        </w:rPr>
      </w:pPr>
    </w:p>
    <w:p>
      <w:pPr>
        <w:pStyle w:val="4"/>
        <w:snapToGrid w:val="0"/>
        <w:spacing w:after="120"/>
        <w:rPr>
          <w:rFonts w:hint="eastAsia" w:ascii="宋体" w:hAnsi="宋体" w:eastAsia="宋体" w:cs="宋体"/>
          <w:color w:val="000000"/>
        </w:rPr>
      </w:pPr>
      <w:bookmarkStart w:id="98" w:name="_Toc28957"/>
      <w:bookmarkStart w:id="99" w:name="_Toc14988"/>
      <w:bookmarkStart w:id="100" w:name="_Toc6606"/>
      <w:bookmarkStart w:id="101" w:name="_Toc31544"/>
      <w:bookmarkStart w:id="102" w:name="_Toc18304"/>
      <w:bookmarkStart w:id="103" w:name="_Toc27119255"/>
      <w:bookmarkStart w:id="104" w:name="_Toc31784"/>
      <w:bookmarkStart w:id="105" w:name="_Toc14589"/>
      <w:bookmarkStart w:id="106" w:name="_Toc13669"/>
      <w:bookmarkStart w:id="107" w:name="_Toc33194406"/>
      <w:bookmarkStart w:id="108" w:name="_Toc11360"/>
      <w:bookmarkStart w:id="109" w:name="_Toc10630"/>
      <w:r>
        <w:rPr>
          <w:rFonts w:hint="eastAsia" w:ascii="宋体" w:hAnsi="宋体" w:eastAsia="宋体" w:cs="宋体"/>
          <w:color w:val="000000"/>
        </w:rPr>
        <w:t>五、参加政府采购活动前3年内在经营活动中没有重大违法记录的声明函</w:t>
      </w:r>
      <w:bookmarkEnd w:id="98"/>
      <w:bookmarkEnd w:id="99"/>
      <w:bookmarkEnd w:id="100"/>
      <w:bookmarkEnd w:id="101"/>
      <w:bookmarkEnd w:id="102"/>
      <w:bookmarkEnd w:id="103"/>
      <w:bookmarkEnd w:id="104"/>
      <w:bookmarkEnd w:id="105"/>
      <w:bookmarkEnd w:id="106"/>
      <w:bookmarkEnd w:id="107"/>
      <w:bookmarkEnd w:id="108"/>
      <w:bookmarkEnd w:id="109"/>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lang w:eastAsia="zh-CN"/>
        </w:rPr>
        <w:t>杭州市余杭区人民政府</w:t>
      </w:r>
      <w:r>
        <w:rPr>
          <w:rFonts w:hint="eastAsia" w:cs="宋体"/>
          <w:color w:val="000000"/>
          <w:sz w:val="24"/>
          <w:lang w:eastAsia="zh-CN"/>
        </w:rPr>
        <w:t>仁和街道办事处</w:t>
      </w:r>
      <w:r>
        <w:rPr>
          <w:rFonts w:hint="eastAsia" w:ascii="宋体" w:hAnsi="宋体" w:eastAsia="宋体" w:cs="宋体"/>
          <w:color w:val="000000"/>
          <w:sz w:val="24"/>
        </w:rPr>
        <w:t>、杭州鸿顺建设管理有限公司：</w:t>
      </w: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我方</w:t>
      </w:r>
      <w:r>
        <w:rPr>
          <w:rFonts w:hint="eastAsia" w:ascii="宋体" w:hAnsi="宋体" w:eastAsia="宋体" w:cs="宋体"/>
          <w:color w:val="000000"/>
          <w:sz w:val="24"/>
          <w:u w:val="single"/>
        </w:rPr>
        <w:t xml:space="preserve"> （供应商）</w:t>
      </w:r>
      <w:r>
        <w:rPr>
          <w:rFonts w:hint="eastAsia" w:ascii="宋体" w:hAnsi="宋体" w:eastAsia="宋体" w:cs="宋体"/>
          <w:color w:val="000000"/>
          <w:sz w:val="24"/>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特此承诺！</w:t>
      </w: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供应商名称（盖章） ：</w:t>
      </w: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法定代表人或其授权代表（签字或盖章）：</w:t>
      </w:r>
    </w:p>
    <w:p>
      <w:pPr>
        <w:widowControl/>
        <w:snapToGrid w:val="0"/>
        <w:spacing w:line="360" w:lineRule="auto"/>
        <w:ind w:firstLine="480" w:firstLineChars="200"/>
        <w:rPr>
          <w:rFonts w:hint="eastAsia" w:ascii="宋体" w:hAnsi="宋体" w:eastAsia="宋体" w:cs="宋体"/>
          <w:color w:val="000000"/>
          <w:sz w:val="24"/>
        </w:rPr>
      </w:pP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日期：     年  月  日</w:t>
      </w:r>
    </w:p>
    <w:p>
      <w:pPr>
        <w:pStyle w:val="5"/>
        <w:tabs>
          <w:tab w:val="left" w:pos="706"/>
          <w:tab w:val="left" w:pos="1110"/>
        </w:tabs>
        <w:ind w:left="106" w:firstLine="454"/>
        <w:rPr>
          <w:rFonts w:hint="eastAsia" w:ascii="宋体" w:hAnsi="宋体" w:eastAsia="宋体" w:cs="宋体"/>
        </w:rPr>
      </w:pPr>
    </w:p>
    <w:p>
      <w:pPr>
        <w:rPr>
          <w:rFonts w:hint="eastAsia" w:ascii="宋体" w:hAnsi="宋体" w:eastAsia="宋体" w:cs="宋体"/>
        </w:rPr>
      </w:pPr>
    </w:p>
    <w:p>
      <w:pPr>
        <w:spacing w:line="360" w:lineRule="auto"/>
        <w:jc w:val="center"/>
        <w:rPr>
          <w:rFonts w:hint="eastAsia" w:ascii="宋体" w:hAnsi="宋体" w:eastAsia="宋体" w:cs="宋体"/>
          <w:b/>
          <w:color w:val="000000"/>
          <w:sz w:val="32"/>
          <w:szCs w:val="32"/>
        </w:rPr>
      </w:pPr>
      <w:r>
        <w:rPr>
          <w:rFonts w:hint="eastAsia" w:ascii="宋体" w:hAnsi="宋体" w:eastAsia="宋体" w:cs="宋体"/>
          <w:b/>
          <w:color w:val="000000"/>
          <w:kern w:val="36"/>
          <w:sz w:val="32"/>
          <w:szCs w:val="28"/>
        </w:rPr>
        <w:t>六、</w:t>
      </w:r>
      <w:r>
        <w:rPr>
          <w:rFonts w:hint="eastAsia" w:ascii="宋体" w:hAnsi="宋体" w:eastAsia="宋体" w:cs="宋体"/>
          <w:b/>
          <w:color w:val="000000"/>
          <w:sz w:val="32"/>
          <w:szCs w:val="32"/>
        </w:rPr>
        <w:t>与参加本次项目同一合同项下政府采购活动的其他供应商不存在单位负责人为同一人或者直接控股、管理关系的</w:t>
      </w:r>
    </w:p>
    <w:p>
      <w:pPr>
        <w:spacing w:line="360" w:lineRule="auto"/>
        <w:jc w:val="center"/>
        <w:rPr>
          <w:rFonts w:hint="eastAsia" w:ascii="宋体" w:hAnsi="宋体" w:eastAsia="宋体" w:cs="宋体"/>
          <w:b/>
          <w:color w:val="000000"/>
          <w:w w:val="80"/>
          <w:sz w:val="32"/>
          <w:szCs w:val="32"/>
        </w:rPr>
      </w:pPr>
      <w:r>
        <w:rPr>
          <w:rFonts w:hint="eastAsia" w:ascii="宋体" w:hAnsi="宋体" w:eastAsia="宋体" w:cs="宋体"/>
          <w:b/>
          <w:color w:val="000000"/>
          <w:sz w:val="32"/>
          <w:szCs w:val="32"/>
        </w:rPr>
        <w:t>承诺函</w:t>
      </w:r>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lang w:eastAsia="zh-CN"/>
        </w:rPr>
        <w:t>杭州市余杭区人民政府</w:t>
      </w:r>
      <w:r>
        <w:rPr>
          <w:rFonts w:hint="eastAsia" w:cs="宋体"/>
          <w:color w:val="000000"/>
          <w:sz w:val="24"/>
          <w:lang w:eastAsia="zh-CN"/>
        </w:rPr>
        <w:t>仁和街道办事处</w:t>
      </w:r>
      <w:r>
        <w:rPr>
          <w:rFonts w:hint="eastAsia" w:ascii="宋体" w:hAnsi="宋体" w:eastAsia="宋体" w:cs="宋体"/>
          <w:color w:val="000000"/>
          <w:sz w:val="24"/>
        </w:rPr>
        <w:t>、杭州鸿顺建设管理有限公司：</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我方郑重承诺，我方此次参加</w:t>
      </w:r>
      <w:r>
        <w:rPr>
          <w:rFonts w:hint="eastAsia" w:ascii="宋体" w:hAnsi="宋体" w:eastAsia="宋体" w:cs="宋体"/>
          <w:color w:val="000000"/>
          <w:sz w:val="24"/>
          <w:lang w:eastAsia="zh-CN"/>
        </w:rPr>
        <w:t>杭州市余杭区人民政府</w:t>
      </w:r>
      <w:r>
        <w:rPr>
          <w:rFonts w:hint="eastAsia" w:cs="宋体"/>
          <w:color w:val="000000"/>
          <w:sz w:val="24"/>
          <w:lang w:eastAsia="zh-CN"/>
        </w:rPr>
        <w:t>仁和街道办事处</w:t>
      </w:r>
      <w:r>
        <w:rPr>
          <w:rFonts w:hint="eastAsia" w:ascii="宋体" w:hAnsi="宋体" w:eastAsia="宋体" w:cs="宋体"/>
          <w:color w:val="000000"/>
          <w:sz w:val="24"/>
          <w:lang w:eastAsia="zh-CN"/>
        </w:rPr>
        <w:t>仁和街道高新农业开发区易腐垃圾集中处置设备采购项目</w:t>
      </w:r>
      <w:r>
        <w:rPr>
          <w:rFonts w:hint="eastAsia" w:ascii="宋体" w:hAnsi="宋体" w:eastAsia="宋体" w:cs="宋体"/>
          <w:color w:val="000000"/>
          <w:sz w:val="24"/>
        </w:rPr>
        <w:t>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360" w:lineRule="auto"/>
        <w:jc w:val="center"/>
        <w:rPr>
          <w:rFonts w:hint="eastAsia" w:ascii="宋体" w:hAnsi="宋体" w:eastAsia="宋体" w:cs="宋体"/>
          <w:b/>
          <w:color w:val="000000"/>
          <w:kern w:val="36"/>
          <w:sz w:val="24"/>
        </w:rPr>
      </w:pP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特此承诺！</w:t>
      </w:r>
    </w:p>
    <w:p>
      <w:pPr>
        <w:widowControl/>
        <w:snapToGrid w:val="0"/>
        <w:spacing w:line="360" w:lineRule="auto"/>
        <w:ind w:firstLine="480" w:firstLineChars="200"/>
        <w:rPr>
          <w:rFonts w:hint="eastAsia" w:ascii="宋体" w:hAnsi="宋体" w:eastAsia="宋体" w:cs="宋体"/>
          <w:color w:val="000000"/>
          <w:sz w:val="24"/>
        </w:rPr>
      </w:pP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供应商名称（盖章） ：</w:t>
      </w: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法定代表人或其授权代表（签字或盖章）：</w:t>
      </w:r>
    </w:p>
    <w:p>
      <w:pPr>
        <w:widowControl/>
        <w:adjustRightInd w:val="0"/>
        <w:snapToGrid w:val="0"/>
        <w:spacing w:line="360" w:lineRule="auto"/>
        <w:ind w:firstLine="480" w:firstLineChars="200"/>
        <w:rPr>
          <w:rFonts w:hint="eastAsia" w:ascii="宋体" w:hAnsi="宋体" w:eastAsia="宋体" w:cs="宋体"/>
          <w:color w:val="000000"/>
          <w:sz w:val="24"/>
        </w:rPr>
      </w:pPr>
    </w:p>
    <w:p>
      <w:pPr>
        <w:widowControl/>
        <w:adjustRightInd w:val="0"/>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日期：     年  月  日</w:t>
      </w:r>
    </w:p>
    <w:p>
      <w:pPr>
        <w:shd w:val="clear" w:color="auto" w:fill="FFFFFF"/>
        <w:snapToGrid w:val="0"/>
        <w:spacing w:line="360" w:lineRule="auto"/>
        <w:rPr>
          <w:rFonts w:hint="eastAsia" w:ascii="宋体" w:hAnsi="宋体" w:eastAsia="宋体" w:cs="宋体"/>
          <w:color w:val="000000"/>
          <w:sz w:val="24"/>
        </w:rPr>
      </w:pPr>
    </w:p>
    <w:p>
      <w:pPr>
        <w:shd w:val="clear" w:color="auto" w:fill="FFFFFF"/>
        <w:snapToGrid w:val="0"/>
        <w:spacing w:line="360" w:lineRule="auto"/>
        <w:jc w:val="center"/>
        <w:rPr>
          <w:rFonts w:hint="eastAsia" w:ascii="宋体" w:hAnsi="宋体" w:eastAsia="宋体" w:cs="宋体"/>
          <w:color w:val="000000"/>
          <w:sz w:val="24"/>
        </w:rPr>
      </w:pPr>
    </w:p>
    <w:p>
      <w:pPr>
        <w:pStyle w:val="3"/>
        <w:rPr>
          <w:rFonts w:hint="eastAsia" w:ascii="宋体" w:hAnsi="宋体" w:eastAsia="宋体" w:cs="宋体"/>
          <w:color w:val="000000"/>
          <w:sz w:val="24"/>
        </w:rPr>
      </w:pPr>
    </w:p>
    <w:p>
      <w:pPr>
        <w:pStyle w:val="3"/>
        <w:rPr>
          <w:rFonts w:hint="eastAsia" w:ascii="宋体" w:hAnsi="宋体" w:eastAsia="宋体" w:cs="宋体"/>
          <w:color w:val="000000"/>
          <w:sz w:val="24"/>
        </w:rPr>
      </w:pPr>
    </w:p>
    <w:p>
      <w:pPr>
        <w:pStyle w:val="3"/>
        <w:rPr>
          <w:rFonts w:hint="eastAsia" w:ascii="宋体" w:hAnsi="宋体" w:eastAsia="宋体" w:cs="宋体"/>
          <w:color w:val="000000"/>
          <w:sz w:val="24"/>
        </w:rPr>
      </w:pPr>
    </w:p>
    <w:p>
      <w:pPr>
        <w:pStyle w:val="3"/>
        <w:rPr>
          <w:rFonts w:hint="eastAsia" w:ascii="宋体" w:hAnsi="宋体" w:eastAsia="宋体" w:cs="宋体"/>
          <w:color w:val="000000"/>
          <w:sz w:val="24"/>
        </w:rPr>
      </w:pPr>
    </w:p>
    <w:p>
      <w:pPr>
        <w:pStyle w:val="3"/>
        <w:rPr>
          <w:rFonts w:hint="eastAsia" w:ascii="宋体" w:hAnsi="宋体" w:eastAsia="宋体" w:cs="宋体"/>
          <w:color w:val="000000"/>
          <w:sz w:val="24"/>
        </w:rPr>
      </w:pPr>
    </w:p>
    <w:p>
      <w:pPr>
        <w:pStyle w:val="3"/>
        <w:rPr>
          <w:rFonts w:hint="eastAsia" w:ascii="宋体" w:hAnsi="宋体" w:eastAsia="宋体" w:cs="宋体"/>
          <w:color w:val="000000"/>
          <w:sz w:val="24"/>
        </w:rPr>
      </w:pPr>
    </w:p>
    <w:p>
      <w:pPr>
        <w:pStyle w:val="3"/>
        <w:rPr>
          <w:rFonts w:hint="eastAsia" w:ascii="宋体" w:hAnsi="宋体" w:eastAsia="宋体" w:cs="宋体"/>
          <w:color w:val="000000"/>
          <w:sz w:val="24"/>
        </w:rPr>
      </w:pPr>
    </w:p>
    <w:p>
      <w:pPr>
        <w:pStyle w:val="3"/>
        <w:rPr>
          <w:rFonts w:hint="eastAsia" w:ascii="宋体" w:hAnsi="宋体" w:eastAsia="宋体" w:cs="宋体"/>
          <w:color w:val="000000"/>
          <w:sz w:val="24"/>
        </w:rPr>
      </w:pPr>
    </w:p>
    <w:p>
      <w:pPr>
        <w:pStyle w:val="3"/>
        <w:rPr>
          <w:rFonts w:hint="eastAsia" w:ascii="宋体" w:hAnsi="宋体" w:eastAsia="宋体" w:cs="宋体"/>
          <w:color w:val="000000"/>
          <w:sz w:val="24"/>
        </w:rPr>
      </w:pPr>
    </w:p>
    <w:p>
      <w:pPr>
        <w:pStyle w:val="3"/>
        <w:rPr>
          <w:rFonts w:hint="eastAsia" w:ascii="宋体" w:hAnsi="宋体" w:eastAsia="宋体" w:cs="宋体"/>
          <w:color w:val="000000"/>
          <w:sz w:val="24"/>
        </w:rPr>
      </w:pPr>
    </w:p>
    <w:p>
      <w:pPr>
        <w:pStyle w:val="3"/>
        <w:rPr>
          <w:rFonts w:hint="eastAsia" w:ascii="宋体" w:hAnsi="宋体" w:eastAsia="宋体" w:cs="宋体"/>
          <w:color w:val="000000"/>
          <w:sz w:val="24"/>
        </w:rPr>
      </w:pPr>
    </w:p>
    <w:p>
      <w:pPr>
        <w:pStyle w:val="3"/>
        <w:rPr>
          <w:rFonts w:hint="eastAsia" w:ascii="宋体" w:hAnsi="宋体" w:eastAsia="宋体" w:cs="宋体"/>
          <w:color w:val="000000"/>
          <w:sz w:val="24"/>
        </w:rPr>
      </w:pPr>
    </w:p>
    <w:p>
      <w:pPr>
        <w:pStyle w:val="3"/>
        <w:rPr>
          <w:rFonts w:hint="eastAsia" w:ascii="宋体" w:hAnsi="宋体" w:eastAsia="宋体" w:cs="宋体"/>
          <w:color w:val="000000"/>
          <w:sz w:val="24"/>
        </w:rPr>
      </w:pPr>
    </w:p>
    <w:p>
      <w:pPr>
        <w:pStyle w:val="3"/>
        <w:rPr>
          <w:rFonts w:hint="eastAsia" w:ascii="宋体" w:hAnsi="宋体" w:eastAsia="宋体" w:cs="宋体"/>
          <w:color w:val="000000"/>
          <w:sz w:val="24"/>
        </w:rPr>
      </w:pPr>
    </w:p>
    <w:p>
      <w:pPr>
        <w:pStyle w:val="3"/>
        <w:rPr>
          <w:rFonts w:hint="eastAsia" w:ascii="宋体" w:hAnsi="宋体" w:eastAsia="宋体" w:cs="宋体"/>
          <w:color w:val="000000"/>
          <w:sz w:val="24"/>
        </w:rPr>
      </w:pPr>
    </w:p>
    <w:p>
      <w:pPr>
        <w:pStyle w:val="3"/>
        <w:rPr>
          <w:rFonts w:hint="eastAsia" w:ascii="宋体" w:hAnsi="宋体" w:eastAsia="宋体" w:cs="宋体"/>
          <w:color w:val="000000"/>
          <w:sz w:val="24"/>
        </w:rPr>
      </w:pPr>
    </w:p>
    <w:p>
      <w:pPr>
        <w:pStyle w:val="3"/>
        <w:ind w:firstLine="0"/>
        <w:rPr>
          <w:rFonts w:hint="eastAsia" w:ascii="宋体" w:hAnsi="宋体" w:eastAsia="宋体" w:cs="宋体"/>
          <w:color w:val="000000"/>
          <w:sz w:val="24"/>
        </w:rPr>
      </w:pPr>
    </w:p>
    <w:p>
      <w:pPr>
        <w:spacing w:line="360" w:lineRule="auto"/>
        <w:jc w:val="center"/>
        <w:rPr>
          <w:rFonts w:hint="eastAsia" w:ascii="宋体" w:hAnsi="宋体" w:eastAsia="宋体" w:cs="宋体"/>
          <w:b/>
          <w:color w:val="000000"/>
          <w:kern w:val="36"/>
          <w:sz w:val="32"/>
          <w:szCs w:val="28"/>
        </w:rPr>
      </w:pPr>
      <w:r>
        <w:rPr>
          <w:rFonts w:hint="eastAsia" w:ascii="宋体" w:hAnsi="宋体" w:eastAsia="宋体" w:cs="宋体"/>
          <w:b/>
          <w:color w:val="000000"/>
          <w:sz w:val="32"/>
          <w:szCs w:val="32"/>
        </w:rPr>
        <w:t>七、</w:t>
      </w:r>
      <w:r>
        <w:rPr>
          <w:rFonts w:hint="eastAsia" w:ascii="宋体" w:hAnsi="宋体" w:eastAsia="宋体" w:cs="宋体"/>
          <w:b/>
          <w:color w:val="000000"/>
          <w:kern w:val="36"/>
          <w:sz w:val="32"/>
          <w:szCs w:val="28"/>
        </w:rPr>
        <w:t>投标供应商没有失信记录承诺函</w:t>
      </w:r>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lang w:eastAsia="zh-CN"/>
        </w:rPr>
        <w:t>杭州市余杭区人民政府</w:t>
      </w:r>
      <w:r>
        <w:rPr>
          <w:rFonts w:hint="eastAsia" w:cs="宋体"/>
          <w:color w:val="000000"/>
          <w:sz w:val="24"/>
          <w:lang w:eastAsia="zh-CN"/>
        </w:rPr>
        <w:t>仁和街道办事处</w:t>
      </w:r>
      <w:r>
        <w:rPr>
          <w:rFonts w:hint="eastAsia" w:ascii="宋体" w:hAnsi="宋体" w:eastAsia="宋体" w:cs="宋体"/>
          <w:color w:val="000000"/>
          <w:sz w:val="24"/>
        </w:rPr>
        <w:t>、杭州鸿顺建设管理有限公司：</w:t>
      </w:r>
    </w:p>
    <w:p>
      <w:pPr>
        <w:spacing w:line="360" w:lineRule="auto"/>
        <w:ind w:firstLine="484" w:firstLineChars="202"/>
        <w:rPr>
          <w:rFonts w:hint="eastAsia" w:ascii="宋体" w:hAnsi="宋体" w:eastAsia="宋体" w:cs="宋体"/>
          <w:color w:val="000000"/>
          <w:sz w:val="24"/>
        </w:rPr>
      </w:pPr>
      <w:r>
        <w:rPr>
          <w:rFonts w:hint="eastAsia" w:ascii="宋体" w:hAnsi="宋体" w:eastAsia="宋体" w:cs="宋体"/>
          <w:color w:val="000000"/>
          <w:sz w:val="24"/>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pPr>
        <w:shd w:val="clear" w:color="auto" w:fill="FFFFFF"/>
        <w:snapToGrid w:val="0"/>
        <w:spacing w:line="360" w:lineRule="auto"/>
        <w:rPr>
          <w:rFonts w:hint="eastAsia" w:ascii="宋体" w:hAnsi="宋体" w:eastAsia="宋体" w:cs="宋体"/>
          <w:color w:val="000000"/>
          <w:sz w:val="24"/>
        </w:rPr>
      </w:pP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特此承诺！</w:t>
      </w:r>
    </w:p>
    <w:p>
      <w:pPr>
        <w:widowControl/>
        <w:snapToGrid w:val="0"/>
        <w:spacing w:line="360" w:lineRule="auto"/>
        <w:ind w:firstLine="480" w:firstLineChars="200"/>
        <w:rPr>
          <w:rFonts w:hint="eastAsia" w:ascii="宋体" w:hAnsi="宋体" w:eastAsia="宋体" w:cs="宋体"/>
          <w:color w:val="000000"/>
          <w:sz w:val="24"/>
        </w:rPr>
      </w:pP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供应商名称（盖章） ：</w:t>
      </w: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法定代表人或其授权代表（签字或盖章）：</w:t>
      </w:r>
    </w:p>
    <w:p>
      <w:pPr>
        <w:widowControl/>
        <w:adjustRightInd w:val="0"/>
        <w:snapToGrid w:val="0"/>
        <w:spacing w:line="360" w:lineRule="auto"/>
        <w:ind w:firstLine="480" w:firstLineChars="200"/>
        <w:rPr>
          <w:rFonts w:hint="eastAsia" w:ascii="宋体" w:hAnsi="宋体" w:eastAsia="宋体" w:cs="宋体"/>
          <w:color w:val="000000"/>
          <w:sz w:val="24"/>
        </w:rPr>
      </w:pPr>
    </w:p>
    <w:p>
      <w:pPr>
        <w:widowControl/>
        <w:adjustRightInd w:val="0"/>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日期：     年  月  日</w:t>
      </w:r>
    </w:p>
    <w:p>
      <w:pPr>
        <w:pStyle w:val="5"/>
        <w:tabs>
          <w:tab w:val="left" w:pos="706"/>
          <w:tab w:val="left" w:pos="1110"/>
        </w:tabs>
        <w:ind w:left="0"/>
        <w:rPr>
          <w:rFonts w:hint="eastAsia" w:ascii="宋体" w:hAnsi="宋体" w:eastAsia="宋体" w:cs="宋体"/>
        </w:rPr>
      </w:pPr>
    </w:p>
    <w:p>
      <w:pPr>
        <w:pStyle w:val="5"/>
        <w:tabs>
          <w:tab w:val="left" w:pos="706"/>
          <w:tab w:val="left" w:pos="1110"/>
        </w:tabs>
        <w:ind w:left="560"/>
        <w:rPr>
          <w:rFonts w:hint="eastAsia" w:ascii="宋体" w:hAnsi="宋体" w:eastAsia="宋体" w:cs="宋体"/>
        </w:rPr>
      </w:pPr>
    </w:p>
    <w:p>
      <w:pPr>
        <w:shd w:val="clear" w:color="auto" w:fill="FFFFFF"/>
        <w:snapToGrid w:val="0"/>
        <w:spacing w:line="360" w:lineRule="auto"/>
        <w:jc w:val="center"/>
        <w:rPr>
          <w:rFonts w:hint="eastAsia" w:ascii="宋体" w:hAnsi="宋体" w:eastAsia="宋体" w:cs="宋体"/>
          <w:b/>
          <w:color w:val="000000"/>
          <w:sz w:val="32"/>
          <w:szCs w:val="32"/>
        </w:rPr>
      </w:pPr>
    </w:p>
    <w:p>
      <w:pPr>
        <w:pStyle w:val="3"/>
        <w:rPr>
          <w:rFonts w:hint="eastAsia" w:ascii="宋体" w:hAnsi="宋体" w:eastAsia="宋体" w:cs="宋体"/>
          <w:b/>
          <w:color w:val="000000"/>
          <w:sz w:val="32"/>
          <w:szCs w:val="32"/>
        </w:rPr>
      </w:pPr>
    </w:p>
    <w:p>
      <w:pPr>
        <w:pStyle w:val="3"/>
        <w:rPr>
          <w:rFonts w:hint="eastAsia" w:ascii="宋体" w:hAnsi="宋体" w:eastAsia="宋体" w:cs="宋体"/>
          <w:b/>
          <w:color w:val="000000"/>
          <w:sz w:val="32"/>
          <w:szCs w:val="32"/>
        </w:rPr>
      </w:pPr>
    </w:p>
    <w:p>
      <w:pPr>
        <w:pStyle w:val="3"/>
        <w:rPr>
          <w:rFonts w:hint="eastAsia" w:ascii="宋体" w:hAnsi="宋体" w:eastAsia="宋体" w:cs="宋体"/>
          <w:b/>
          <w:color w:val="000000"/>
          <w:sz w:val="32"/>
          <w:szCs w:val="32"/>
        </w:rPr>
      </w:pPr>
    </w:p>
    <w:p>
      <w:pPr>
        <w:pStyle w:val="3"/>
        <w:rPr>
          <w:rFonts w:hint="eastAsia" w:ascii="宋体" w:hAnsi="宋体" w:eastAsia="宋体" w:cs="宋体"/>
          <w:b/>
          <w:color w:val="000000"/>
          <w:sz w:val="32"/>
          <w:szCs w:val="32"/>
        </w:rPr>
      </w:pPr>
    </w:p>
    <w:p>
      <w:pPr>
        <w:pStyle w:val="3"/>
        <w:rPr>
          <w:rFonts w:hint="eastAsia" w:ascii="宋体" w:hAnsi="宋体" w:eastAsia="宋体" w:cs="宋体"/>
          <w:b/>
          <w:color w:val="000000"/>
          <w:sz w:val="32"/>
          <w:szCs w:val="32"/>
        </w:rPr>
      </w:pPr>
    </w:p>
    <w:p>
      <w:pPr>
        <w:pStyle w:val="3"/>
        <w:rPr>
          <w:rFonts w:hint="eastAsia" w:ascii="宋体" w:hAnsi="宋体" w:eastAsia="宋体" w:cs="宋体"/>
          <w:b/>
          <w:color w:val="000000"/>
          <w:sz w:val="32"/>
          <w:szCs w:val="32"/>
        </w:rPr>
      </w:pPr>
    </w:p>
    <w:p>
      <w:pPr>
        <w:pStyle w:val="3"/>
        <w:rPr>
          <w:rFonts w:hint="eastAsia" w:ascii="宋体" w:hAnsi="宋体" w:eastAsia="宋体" w:cs="宋体"/>
          <w:b/>
          <w:color w:val="000000"/>
          <w:sz w:val="32"/>
          <w:szCs w:val="32"/>
        </w:rPr>
      </w:pPr>
    </w:p>
    <w:p>
      <w:pPr>
        <w:pStyle w:val="3"/>
        <w:rPr>
          <w:rFonts w:hint="eastAsia" w:ascii="宋体" w:hAnsi="宋体" w:eastAsia="宋体" w:cs="宋体"/>
          <w:b/>
          <w:color w:val="000000"/>
          <w:sz w:val="32"/>
          <w:szCs w:val="32"/>
        </w:rPr>
      </w:pPr>
    </w:p>
    <w:p>
      <w:pPr>
        <w:pStyle w:val="3"/>
        <w:rPr>
          <w:rFonts w:hint="eastAsia" w:ascii="宋体" w:hAnsi="宋体" w:eastAsia="宋体" w:cs="宋体"/>
          <w:b/>
          <w:color w:val="000000"/>
          <w:sz w:val="32"/>
          <w:szCs w:val="32"/>
        </w:rPr>
      </w:pPr>
    </w:p>
    <w:p>
      <w:pPr>
        <w:pStyle w:val="3"/>
        <w:rPr>
          <w:rFonts w:hint="eastAsia" w:ascii="宋体" w:hAnsi="宋体" w:eastAsia="宋体" w:cs="宋体"/>
          <w:b/>
          <w:color w:val="000000"/>
          <w:sz w:val="32"/>
          <w:szCs w:val="32"/>
        </w:rPr>
      </w:pPr>
    </w:p>
    <w:p>
      <w:pPr>
        <w:pStyle w:val="3"/>
        <w:rPr>
          <w:rFonts w:hint="eastAsia" w:ascii="宋体" w:hAnsi="宋体" w:eastAsia="宋体" w:cs="宋体"/>
          <w:b/>
          <w:color w:val="000000"/>
          <w:sz w:val="32"/>
          <w:szCs w:val="32"/>
        </w:rPr>
      </w:pPr>
    </w:p>
    <w:p>
      <w:pPr>
        <w:pStyle w:val="3"/>
        <w:rPr>
          <w:rFonts w:hint="eastAsia" w:ascii="宋体" w:hAnsi="宋体" w:eastAsia="宋体" w:cs="宋体"/>
          <w:b/>
          <w:color w:val="000000"/>
          <w:sz w:val="32"/>
          <w:szCs w:val="32"/>
        </w:rPr>
      </w:pPr>
    </w:p>
    <w:p>
      <w:pPr>
        <w:pStyle w:val="3"/>
        <w:rPr>
          <w:rFonts w:hint="eastAsia" w:ascii="宋体" w:hAnsi="宋体" w:eastAsia="宋体" w:cs="宋体"/>
          <w:b/>
          <w:color w:val="000000"/>
          <w:sz w:val="32"/>
          <w:szCs w:val="32"/>
        </w:rPr>
      </w:pPr>
    </w:p>
    <w:p>
      <w:pPr>
        <w:pStyle w:val="3"/>
        <w:ind w:firstLine="0"/>
        <w:rPr>
          <w:rFonts w:hint="eastAsia" w:ascii="宋体" w:hAnsi="宋体" w:eastAsia="宋体" w:cs="宋体"/>
          <w:b/>
          <w:color w:val="000000"/>
          <w:sz w:val="32"/>
          <w:szCs w:val="32"/>
        </w:rPr>
      </w:pPr>
    </w:p>
    <w:p>
      <w:pPr>
        <w:pStyle w:val="3"/>
        <w:ind w:firstLine="0"/>
        <w:rPr>
          <w:rFonts w:hint="eastAsia" w:ascii="宋体" w:hAnsi="宋体" w:eastAsia="宋体" w:cs="宋体"/>
          <w:b/>
          <w:color w:val="000000"/>
          <w:sz w:val="32"/>
          <w:szCs w:val="32"/>
        </w:rPr>
      </w:pPr>
    </w:p>
    <w:p>
      <w:pPr>
        <w:shd w:val="clear" w:color="auto" w:fill="FFFFFF"/>
        <w:snapToGrid w:val="0"/>
        <w:spacing w:line="360" w:lineRule="auto"/>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八、投标供应商不属于</w:t>
      </w:r>
      <w:r>
        <w:rPr>
          <w:rFonts w:hint="eastAsia" w:ascii="宋体" w:hAnsi="宋体" w:eastAsia="宋体" w:cs="宋体"/>
          <w:b/>
          <w:color w:val="000000"/>
          <w:spacing w:val="-6"/>
          <w:sz w:val="32"/>
          <w:szCs w:val="32"/>
        </w:rPr>
        <w:t>公益一类事业单位承诺函</w:t>
      </w:r>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lang w:eastAsia="zh-CN"/>
        </w:rPr>
        <w:t>杭州市余杭区人民政府</w:t>
      </w:r>
      <w:r>
        <w:rPr>
          <w:rFonts w:hint="eastAsia" w:cs="宋体"/>
          <w:color w:val="000000"/>
          <w:sz w:val="24"/>
          <w:lang w:eastAsia="zh-CN"/>
        </w:rPr>
        <w:t>仁和街道办事处</w:t>
      </w:r>
      <w:r>
        <w:rPr>
          <w:rFonts w:hint="eastAsia" w:ascii="宋体" w:hAnsi="宋体" w:eastAsia="宋体" w:cs="宋体"/>
          <w:color w:val="000000"/>
          <w:sz w:val="24"/>
        </w:rPr>
        <w:t>、杭州鸿顺建设管理有限公司：</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我方郑重承诺，我单位不属于</w:t>
      </w:r>
      <w:r>
        <w:rPr>
          <w:rFonts w:hint="eastAsia" w:ascii="宋体" w:hAnsi="宋体" w:eastAsia="宋体" w:cs="宋体"/>
          <w:color w:val="000000"/>
          <w:spacing w:val="-6"/>
          <w:sz w:val="24"/>
        </w:rPr>
        <w:t>公益一类事业单位，可承接</w:t>
      </w:r>
      <w:r>
        <w:rPr>
          <w:rFonts w:hint="eastAsia" w:ascii="宋体" w:hAnsi="宋体" w:eastAsia="宋体" w:cs="宋体"/>
          <w:color w:val="000000"/>
          <w:sz w:val="24"/>
          <w:lang w:eastAsia="zh-CN"/>
        </w:rPr>
        <w:t>杭州市余杭区人民政府</w:t>
      </w:r>
      <w:r>
        <w:rPr>
          <w:rFonts w:hint="eastAsia" w:cs="宋体"/>
          <w:color w:val="000000"/>
          <w:sz w:val="24"/>
          <w:lang w:eastAsia="zh-CN"/>
        </w:rPr>
        <w:t>仁和街道办事处</w:t>
      </w:r>
      <w:r>
        <w:rPr>
          <w:rFonts w:hint="eastAsia" w:ascii="宋体" w:hAnsi="宋体" w:eastAsia="宋体" w:cs="宋体"/>
          <w:color w:val="000000"/>
          <w:sz w:val="24"/>
          <w:lang w:eastAsia="zh-CN"/>
        </w:rPr>
        <w:t>仁和街道高新农业开发区易腐垃圾集中处置设备采购项目</w:t>
      </w:r>
      <w:r>
        <w:rPr>
          <w:rFonts w:hint="eastAsia" w:ascii="宋体" w:hAnsi="宋体" w:eastAsia="宋体" w:cs="宋体"/>
          <w:color w:val="000000"/>
          <w:sz w:val="24"/>
        </w:rPr>
        <w:t>的相关服务内容。如有虚假或隐瞒，愿意承担一切后果。</w:t>
      </w:r>
    </w:p>
    <w:p>
      <w:pPr>
        <w:shd w:val="clear" w:color="auto" w:fill="FFFFFF"/>
        <w:snapToGrid w:val="0"/>
        <w:spacing w:line="360" w:lineRule="auto"/>
        <w:jc w:val="center"/>
        <w:rPr>
          <w:rFonts w:hint="eastAsia" w:ascii="宋体" w:hAnsi="宋体" w:eastAsia="宋体" w:cs="宋体"/>
          <w:b/>
          <w:color w:val="000000"/>
          <w:kern w:val="36"/>
          <w:sz w:val="24"/>
        </w:rPr>
      </w:pP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特此承诺！</w:t>
      </w:r>
    </w:p>
    <w:p>
      <w:pPr>
        <w:widowControl/>
        <w:snapToGrid w:val="0"/>
        <w:spacing w:line="360" w:lineRule="auto"/>
        <w:ind w:firstLine="480" w:firstLineChars="200"/>
        <w:rPr>
          <w:rFonts w:hint="eastAsia" w:ascii="宋体" w:hAnsi="宋体" w:eastAsia="宋体" w:cs="宋体"/>
          <w:color w:val="000000"/>
          <w:sz w:val="24"/>
        </w:rPr>
      </w:pP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供应商名称（盖章） ：</w:t>
      </w: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法定代表人或其授权代表（签字或盖章）：</w:t>
      </w:r>
    </w:p>
    <w:p>
      <w:pPr>
        <w:widowControl/>
        <w:adjustRightInd w:val="0"/>
        <w:snapToGrid w:val="0"/>
        <w:spacing w:line="360" w:lineRule="auto"/>
        <w:ind w:firstLine="480" w:firstLineChars="200"/>
        <w:rPr>
          <w:rFonts w:hint="eastAsia" w:ascii="宋体" w:hAnsi="宋体" w:eastAsia="宋体" w:cs="宋体"/>
          <w:color w:val="000000"/>
          <w:sz w:val="24"/>
        </w:rPr>
      </w:pPr>
    </w:p>
    <w:p>
      <w:pPr>
        <w:widowControl/>
        <w:adjustRightInd w:val="0"/>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日期：     年  月  日</w:t>
      </w: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pageBreakBefore/>
        <w:shd w:val="clear" w:color="auto" w:fill="FFFFFF"/>
        <w:snapToGrid w:val="0"/>
        <w:spacing w:line="360" w:lineRule="auto"/>
        <w:jc w:val="center"/>
        <w:outlineLvl w:val="1"/>
        <w:rPr>
          <w:rFonts w:hint="eastAsia" w:ascii="宋体" w:hAnsi="宋体" w:eastAsia="宋体" w:cs="宋体"/>
          <w:b/>
          <w:bCs/>
          <w:color w:val="000000"/>
          <w:sz w:val="24"/>
        </w:rPr>
      </w:pPr>
      <w:bookmarkStart w:id="110" w:name="_Toc33194407"/>
      <w:bookmarkStart w:id="111" w:name="_Toc354996707"/>
      <w:bookmarkStart w:id="112" w:name="_Toc233618989"/>
      <w:r>
        <w:rPr>
          <w:rFonts w:hint="eastAsia" w:ascii="宋体" w:hAnsi="宋体" w:eastAsia="宋体" w:cs="宋体"/>
          <w:b/>
          <w:bCs/>
          <w:color w:val="000000"/>
          <w:sz w:val="24"/>
        </w:rPr>
        <w:t>报价文件</w:t>
      </w:r>
      <w:bookmarkEnd w:id="110"/>
      <w:bookmarkEnd w:id="111"/>
    </w:p>
    <w:p>
      <w:pPr>
        <w:shd w:val="clear" w:color="auto" w:fill="FFFFFF"/>
        <w:snapToGrid w:val="0"/>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 </w:t>
      </w:r>
    </w:p>
    <w:p>
      <w:pPr>
        <w:shd w:val="clear" w:color="auto" w:fill="FFFFFF"/>
        <w:snapToGrid w:val="0"/>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目录</w:t>
      </w:r>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（1）投标响应函…………………………………………………………………（页码）</w:t>
      </w:r>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（2）开标一览表…………………………………………………………………（页码）</w:t>
      </w:r>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（3）报价明细清单………………………………………………………………（页码）</w:t>
      </w:r>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（4）中小企业声明函、监狱企业、残疾人福利性单位及其他相关的充分的证明材料…………………………………………………………………………………（页码）</w:t>
      </w:r>
    </w:p>
    <w:p>
      <w:pPr>
        <w:pageBreakBefore/>
        <w:shd w:val="clear" w:color="auto" w:fill="FFFFFF"/>
        <w:snapToGrid w:val="0"/>
        <w:spacing w:line="360" w:lineRule="auto"/>
        <w:ind w:firstLine="482" w:firstLineChars="200"/>
        <w:jc w:val="center"/>
        <w:outlineLvl w:val="2"/>
        <w:rPr>
          <w:rFonts w:hint="eastAsia" w:ascii="宋体" w:hAnsi="宋体" w:eastAsia="宋体" w:cs="宋体"/>
          <w:b/>
          <w:bCs/>
          <w:color w:val="000000"/>
          <w:sz w:val="24"/>
        </w:rPr>
      </w:pPr>
      <w:bookmarkStart w:id="113" w:name="_Toc233618990"/>
      <w:r>
        <w:rPr>
          <w:rFonts w:hint="eastAsia" w:ascii="宋体" w:hAnsi="宋体" w:eastAsia="宋体" w:cs="宋体"/>
          <w:b/>
          <w:bCs/>
          <w:color w:val="000000"/>
          <w:sz w:val="24"/>
        </w:rPr>
        <w:t>一、投标响应函</w:t>
      </w:r>
      <w:bookmarkEnd w:id="113"/>
    </w:p>
    <w:p>
      <w:pPr>
        <w:shd w:val="clear" w:color="auto" w:fill="FFFFFF"/>
        <w:snapToGrid w:val="0"/>
        <w:spacing w:line="360" w:lineRule="auto"/>
        <w:rPr>
          <w:rFonts w:hint="eastAsia" w:ascii="宋体" w:hAnsi="宋体" w:eastAsia="宋体" w:cs="宋体"/>
          <w:color w:val="000000"/>
          <w:sz w:val="24"/>
          <w:lang w:eastAsia="zh-CN"/>
        </w:rPr>
      </w:pPr>
      <w:r>
        <w:rPr>
          <w:rFonts w:hint="eastAsia" w:ascii="宋体" w:hAnsi="宋体" w:eastAsia="宋体" w:cs="宋体"/>
          <w:color w:val="000000"/>
          <w:sz w:val="24"/>
          <w:lang w:eastAsia="zh-CN"/>
        </w:rPr>
        <w:t>杭州市余杭区人民政府</w:t>
      </w:r>
      <w:r>
        <w:rPr>
          <w:rFonts w:hint="eastAsia" w:cs="宋体"/>
          <w:color w:val="000000"/>
          <w:sz w:val="24"/>
          <w:lang w:eastAsia="zh-CN"/>
        </w:rPr>
        <w:t>仁和街道办事处</w:t>
      </w:r>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杭州鸿顺建设管理有限公司：</w:t>
      </w:r>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(投标人全称)授权</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(全权代表姓名)</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(职务、职称)为全权代表，参加贵方组织的</w:t>
      </w:r>
      <w:r>
        <w:rPr>
          <w:rFonts w:hint="eastAsia" w:ascii="宋体" w:hAnsi="宋体" w:eastAsia="宋体" w:cs="宋体"/>
          <w:color w:val="000000"/>
          <w:sz w:val="24"/>
          <w:u w:val="single"/>
          <w:lang w:eastAsia="zh-CN"/>
        </w:rPr>
        <w:t>杭州市余杭区人民政府</w:t>
      </w:r>
      <w:r>
        <w:rPr>
          <w:rFonts w:hint="eastAsia" w:cs="宋体"/>
          <w:color w:val="000000"/>
          <w:sz w:val="24"/>
          <w:u w:val="single"/>
          <w:lang w:eastAsia="zh-CN"/>
        </w:rPr>
        <w:t>仁和街道办事处</w:t>
      </w:r>
      <w:r>
        <w:rPr>
          <w:rFonts w:hint="eastAsia" w:ascii="宋体" w:hAnsi="宋体" w:eastAsia="宋体" w:cs="宋体"/>
          <w:color w:val="000000"/>
          <w:sz w:val="24"/>
          <w:u w:val="single"/>
          <w:lang w:eastAsia="zh-CN"/>
        </w:rPr>
        <w:t>仁和街道高新农业开发区易腐垃圾集中处置设备采购项目</w:t>
      </w:r>
      <w:r>
        <w:rPr>
          <w:rFonts w:hint="eastAsia" w:ascii="宋体" w:hAnsi="宋体" w:eastAsia="宋体" w:cs="宋体"/>
          <w:color w:val="000000"/>
          <w:sz w:val="24"/>
        </w:rPr>
        <w:t>(招标编号：</w:t>
      </w:r>
      <w:r>
        <w:rPr>
          <w:rFonts w:hint="eastAsia" w:ascii="宋体" w:hAnsi="宋体" w:eastAsia="宋体" w:cs="宋体"/>
          <w:color w:val="000000"/>
          <w:sz w:val="24"/>
          <w:lang w:val="en-US"/>
        </w:rPr>
        <w:t xml:space="preserve">      </w:t>
      </w:r>
      <w:r>
        <w:rPr>
          <w:rFonts w:hint="eastAsia" w:ascii="宋体" w:hAnsi="宋体" w:eastAsia="宋体" w:cs="宋体"/>
          <w:color w:val="000000"/>
          <w:sz w:val="24"/>
        </w:rPr>
        <w:t>)招标的有关活动，并对此项目进行投标。为此：</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1、我方同意在投标人</w:t>
      </w:r>
      <w:r>
        <w:rPr>
          <w:rFonts w:hint="eastAsia" w:ascii="宋体" w:hAnsi="宋体" w:eastAsia="宋体" w:cs="宋体"/>
          <w:color w:val="000000"/>
          <w:kern w:val="44"/>
          <w:sz w:val="24"/>
        </w:rPr>
        <w:t>编制和提交投标文件须知</w:t>
      </w:r>
      <w:r>
        <w:rPr>
          <w:rFonts w:hint="eastAsia" w:ascii="宋体" w:hAnsi="宋体" w:eastAsia="宋体" w:cs="宋体"/>
          <w:color w:val="000000"/>
          <w:sz w:val="24"/>
        </w:rPr>
        <w:t>规定的开标日期起遵守本投标书中的承诺且在投标有效期满之前均具有约束力。</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2、我方承诺已经具备《中华人民共和国政府采购法》中规定的参加政府采购活动的供应商应当具备的条件：</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(1)具有独立承担民事责任的能力；</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(2)遵守国家法律、行政法规，具有良好的信誉和商业道德；</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(3)具有履行合同的能力和良好的履行合同记录；</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(4)良好的资金、财务状况；</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(5)提供的产品和服务符合中国政府规定的相应标准和环保标准；</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(6)没有违反政府采购法规、政策的记录；</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(7)没有发生重大经济纠纷和走私犯罪记录。</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3、提供</w:t>
      </w:r>
      <w:r>
        <w:rPr>
          <w:rFonts w:hint="eastAsia" w:ascii="宋体" w:hAnsi="宋体" w:eastAsia="宋体" w:cs="宋体"/>
          <w:color w:val="000000"/>
          <w:kern w:val="44"/>
          <w:sz w:val="24"/>
        </w:rPr>
        <w:t>编制和提交投标文件须知</w:t>
      </w:r>
      <w:r>
        <w:rPr>
          <w:rFonts w:hint="eastAsia" w:ascii="宋体" w:hAnsi="宋体" w:eastAsia="宋体" w:cs="宋体"/>
          <w:color w:val="000000"/>
          <w:sz w:val="24"/>
        </w:rPr>
        <w:t>规定的全部投标文件，包括资格文件、报价文件、商务技术文件。具体内容为：</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(1)资格文件</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(2)报价文件；</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(3)商务技术文件；</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w:t>
      </w:r>
      <w:r>
        <w:rPr>
          <w:rFonts w:hint="eastAsia" w:ascii="宋体" w:hAnsi="宋体" w:eastAsia="宋体" w:cs="宋体"/>
          <w:color w:val="000000"/>
          <w:kern w:val="44"/>
          <w:sz w:val="24"/>
        </w:rPr>
        <w:t>编制和提交投标文件须知</w:t>
      </w:r>
      <w:r>
        <w:rPr>
          <w:rFonts w:hint="eastAsia" w:ascii="宋体" w:hAnsi="宋体" w:eastAsia="宋体" w:cs="宋体"/>
          <w:color w:val="000000"/>
          <w:sz w:val="24"/>
        </w:rPr>
        <w:t>要求投标人提交的全部文件；</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(5)按招标文件要求提供和交付的货物和服务的投标报价详见开标一览表；</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(6)保证忠实地执行双方所签订的合同，并承担合同规定的责任和义务；</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(7)保证遵守招标文件中的其他有关规定。</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4、投标有效期内不撤销投标文件；强行撤销的，承诺按本项目预算金额的2%赔偿对招标代理机构造成的损失。</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5、我方完全理解贵方不一定要接受最低价的投标。</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7、如中标，按招标文件规定的招标代理服务费标准，承诺在签订合同前向招标代理机构支付招标代理服务费。</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(1)提供虚假材料谋取中标、成交的；</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(2)采取不正当手段诋毁、排挤其他供应商的；</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(3)与采购人、其它供应商或者招标代理机构恶意串通的；</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(4)向采购人、招标代理机构行贿或者提供其他不正当利益的；</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(5)在招标采购过程中与采购人进行协商谈判的；</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(6)拒绝有关部门监督检查或提供虚假情况的。</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供应商有前款第(1)至(5)项情形之一的，中标、成交无效。</w:t>
      </w:r>
    </w:p>
    <w:p>
      <w:pPr>
        <w:shd w:val="clear" w:color="auto" w:fill="FFFFFF"/>
        <w:snapToGrid w:val="0"/>
        <w:spacing w:line="360" w:lineRule="auto"/>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法定（授权）代表人（签字）：</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ab/>
      </w:r>
    </w:p>
    <w:p>
      <w:pPr>
        <w:shd w:val="clear" w:color="auto" w:fill="FFFFFF"/>
        <w:snapToGrid w:val="0"/>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投标人盖 章：</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ab/>
      </w:r>
      <w:r>
        <w:rPr>
          <w:rFonts w:hint="eastAsia" w:ascii="宋体" w:hAnsi="宋体" w:eastAsia="宋体" w:cs="宋体"/>
          <w:color w:val="000000"/>
          <w:sz w:val="24"/>
          <w:u w:val="single"/>
        </w:rPr>
        <w:t xml:space="preserve">                      </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联系电话：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传真：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电子邮件：  </w:t>
      </w:r>
      <w:r>
        <w:rPr>
          <w:rFonts w:hint="eastAsia" w:ascii="宋体" w:hAnsi="宋体" w:eastAsia="宋体" w:cs="宋体"/>
          <w:color w:val="000000"/>
          <w:sz w:val="24"/>
          <w:u w:val="single"/>
        </w:rPr>
        <w:t xml:space="preserve">              </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联系地址：</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ab/>
      </w:r>
      <w:r>
        <w:rPr>
          <w:rFonts w:hint="eastAsia" w:ascii="宋体" w:hAnsi="宋体" w:eastAsia="宋体" w:cs="宋体"/>
          <w:color w:val="000000"/>
          <w:sz w:val="24"/>
          <w:u w:val="single"/>
        </w:rPr>
        <w:t xml:space="preserve">                                                    </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邮政编码：</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传真号码：</w:t>
      </w:r>
      <w:r>
        <w:rPr>
          <w:rFonts w:hint="eastAsia" w:ascii="宋体" w:hAnsi="宋体" w:eastAsia="宋体" w:cs="宋体"/>
          <w:color w:val="000000"/>
          <w:sz w:val="24"/>
          <w:u w:val="single"/>
        </w:rPr>
        <w:t xml:space="preserve">                     </w:t>
      </w:r>
    </w:p>
    <w:p>
      <w:pPr>
        <w:shd w:val="clear" w:color="auto" w:fill="FFFFFF"/>
        <w:snapToGrid w:val="0"/>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 xml:space="preserve">日    期：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rPr>
        <w:tab/>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w:t>
      </w:r>
    </w:p>
    <w:p>
      <w:pPr>
        <w:shd w:val="clear" w:color="auto" w:fill="FFFFFF"/>
        <w:snapToGrid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注：未按照本投标响应函要求填报的将被视为非实质性响应，从而可能导致该投标文件被拒绝。</w:t>
      </w:r>
    </w:p>
    <w:p>
      <w:pPr>
        <w:pageBreakBefore/>
        <w:shd w:val="clear" w:color="auto" w:fill="FFFFFF"/>
        <w:snapToGrid w:val="0"/>
        <w:spacing w:line="360" w:lineRule="auto"/>
        <w:ind w:firstLine="482" w:firstLineChars="200"/>
        <w:jc w:val="center"/>
        <w:outlineLvl w:val="2"/>
        <w:rPr>
          <w:rFonts w:hint="eastAsia" w:ascii="宋体" w:hAnsi="宋体" w:eastAsia="宋体" w:cs="宋体"/>
          <w:b/>
          <w:bCs/>
          <w:color w:val="000000"/>
          <w:sz w:val="24"/>
        </w:rPr>
      </w:pPr>
      <w:bookmarkStart w:id="114" w:name="_Toc233618991"/>
      <w:bookmarkStart w:id="115" w:name="_Toc354859475"/>
      <w:bookmarkStart w:id="116" w:name="_Toc354859551"/>
      <w:bookmarkStart w:id="117" w:name="_Toc354859632"/>
      <w:r>
        <w:rPr>
          <w:rFonts w:hint="eastAsia" w:ascii="宋体" w:hAnsi="宋体" w:eastAsia="宋体" w:cs="宋体"/>
          <w:b/>
          <w:bCs/>
          <w:color w:val="000000"/>
          <w:sz w:val="24"/>
        </w:rPr>
        <w:t>二、开标一览表</w:t>
      </w:r>
      <w:bookmarkEnd w:id="114"/>
      <w:bookmarkEnd w:id="115"/>
      <w:bookmarkEnd w:id="116"/>
      <w:bookmarkEnd w:id="117"/>
    </w:p>
    <w:p>
      <w:pPr>
        <w:shd w:val="clear" w:color="auto" w:fill="FFFFFF"/>
        <w:snapToGrid w:val="0"/>
        <w:spacing w:line="360" w:lineRule="auto"/>
        <w:rPr>
          <w:rFonts w:hint="eastAsia" w:ascii="宋体" w:hAnsi="宋体" w:eastAsia="宋体" w:cs="宋体"/>
          <w:color w:val="000000"/>
          <w:sz w:val="24"/>
          <w:lang w:eastAsia="zh-CN"/>
        </w:rPr>
      </w:pPr>
      <w:r>
        <w:rPr>
          <w:rFonts w:hint="eastAsia" w:ascii="宋体" w:hAnsi="宋体" w:eastAsia="宋体" w:cs="宋体"/>
          <w:color w:val="000000"/>
          <w:sz w:val="24"/>
          <w:lang w:eastAsia="zh-CN"/>
        </w:rPr>
        <w:t>杭州市余杭区人民政府</w:t>
      </w:r>
      <w:r>
        <w:rPr>
          <w:rFonts w:hint="eastAsia" w:cs="宋体"/>
          <w:color w:val="000000"/>
          <w:sz w:val="24"/>
          <w:lang w:eastAsia="zh-CN"/>
        </w:rPr>
        <w:t>仁和街道办事处</w:t>
      </w:r>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杭州鸿顺建设管理有限公司：</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按你方招标文件要求，我们，本投标文件签字方，谨此向你方发出要约如下：如你方接受本投标文件，我方承诺按照如下开标一览表的价格完成编号为</w:t>
      </w:r>
      <w:r>
        <w:rPr>
          <w:rFonts w:hint="eastAsia" w:ascii="宋体" w:hAnsi="宋体" w:eastAsia="宋体" w:cs="宋体"/>
          <w:color w:val="000000"/>
          <w:sz w:val="24"/>
          <w:highlight w:val="yellow"/>
          <w:lang w:val="en-US"/>
        </w:rPr>
        <w:t xml:space="preserve">        </w:t>
      </w:r>
      <w:r>
        <w:rPr>
          <w:rFonts w:hint="eastAsia" w:ascii="宋体" w:hAnsi="宋体" w:eastAsia="宋体" w:cs="宋体"/>
          <w:color w:val="000000"/>
          <w:sz w:val="24"/>
        </w:rPr>
        <w:t xml:space="preserve">的招标文件[项目名称： </w:t>
      </w:r>
      <w:r>
        <w:rPr>
          <w:rFonts w:hint="eastAsia" w:ascii="宋体" w:hAnsi="宋体" w:eastAsia="宋体" w:cs="宋体"/>
          <w:color w:val="000000"/>
          <w:sz w:val="24"/>
          <w:lang w:eastAsia="zh-CN"/>
        </w:rPr>
        <w:t>杭州市余杭区人民政府</w:t>
      </w:r>
      <w:r>
        <w:rPr>
          <w:rFonts w:hint="eastAsia" w:cs="宋体"/>
          <w:color w:val="000000"/>
          <w:sz w:val="24"/>
          <w:lang w:eastAsia="zh-CN"/>
        </w:rPr>
        <w:t>仁和街道办事处</w:t>
      </w:r>
      <w:r>
        <w:rPr>
          <w:rFonts w:hint="eastAsia" w:ascii="宋体" w:hAnsi="宋体" w:eastAsia="宋体" w:cs="宋体"/>
          <w:color w:val="000000"/>
          <w:sz w:val="24"/>
          <w:lang w:eastAsia="zh-CN"/>
        </w:rPr>
        <w:t>仁和街道高新农业开发区易腐垃圾集中处置设备采购项目</w:t>
      </w:r>
      <w:r>
        <w:rPr>
          <w:rFonts w:hint="eastAsia" w:ascii="宋体" w:hAnsi="宋体" w:eastAsia="宋体" w:cs="宋体"/>
          <w:color w:val="000000"/>
          <w:sz w:val="24"/>
        </w:rPr>
        <w:t>]实施。</w:t>
      </w:r>
    </w:p>
    <w:p>
      <w:pPr>
        <w:shd w:val="clear" w:color="auto" w:fill="FFFFFF"/>
        <w:snapToGrid w:val="0"/>
        <w:spacing w:line="360" w:lineRule="auto"/>
        <w:ind w:firstLine="3990" w:firstLineChars="1656"/>
        <w:rPr>
          <w:rFonts w:hint="eastAsia" w:ascii="宋体" w:hAnsi="宋体" w:eastAsia="宋体" w:cs="宋体"/>
          <w:b/>
          <w:bCs/>
          <w:color w:val="000000"/>
          <w:sz w:val="24"/>
        </w:rPr>
      </w:pPr>
      <w:r>
        <w:rPr>
          <w:rFonts w:hint="eastAsia" w:ascii="宋体" w:hAnsi="宋体" w:eastAsia="宋体" w:cs="宋体"/>
          <w:b/>
          <w:bCs/>
          <w:color w:val="000000"/>
          <w:sz w:val="24"/>
        </w:rPr>
        <w:t>开标一览表</w:t>
      </w:r>
    </w:p>
    <w:tbl>
      <w:tblPr>
        <w:tblStyle w:val="16"/>
        <w:tblW w:w="913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98"/>
        <w:gridCol w:w="2366"/>
        <w:gridCol w:w="23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4398" w:type="dxa"/>
            <w:tcBorders>
              <w:right w:val="single" w:color="auto" w:sz="4" w:space="0"/>
            </w:tcBorders>
            <w:vAlign w:val="center"/>
          </w:tcPr>
          <w:p>
            <w:pPr>
              <w:spacing w:line="360" w:lineRule="auto"/>
              <w:jc w:val="center"/>
              <w:rPr>
                <w:rFonts w:hint="eastAsia" w:ascii="宋体" w:hAnsi="宋体" w:eastAsia="宋体" w:cs="宋体"/>
                <w:color w:val="000000"/>
                <w:sz w:val="24"/>
                <w:lang w:val="en-GB"/>
              </w:rPr>
            </w:pPr>
            <w:r>
              <w:rPr>
                <w:rFonts w:hint="eastAsia" w:ascii="宋体" w:hAnsi="宋体" w:eastAsia="宋体" w:cs="宋体"/>
                <w:color w:val="000000"/>
                <w:sz w:val="24"/>
                <w:lang w:val="en-GB"/>
              </w:rPr>
              <w:t>项目名称</w:t>
            </w:r>
          </w:p>
        </w:tc>
        <w:tc>
          <w:tcPr>
            <w:tcW w:w="2366" w:type="dxa"/>
            <w:tcBorders>
              <w:left w:val="single" w:color="auto" w:sz="4" w:space="0"/>
              <w:right w:val="single" w:color="auto" w:sz="4" w:space="0"/>
            </w:tcBorders>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服务期</w:t>
            </w:r>
          </w:p>
        </w:tc>
        <w:tc>
          <w:tcPr>
            <w:tcW w:w="2366" w:type="dxa"/>
            <w:tcBorders>
              <w:left w:val="single" w:color="auto" w:sz="4" w:space="0"/>
              <w:right w:val="single" w:color="auto" w:sz="4" w:space="0"/>
            </w:tcBorders>
            <w:vAlign w:val="center"/>
          </w:tcPr>
          <w:p>
            <w:pPr>
              <w:spacing w:line="360" w:lineRule="auto"/>
              <w:jc w:val="center"/>
              <w:rPr>
                <w:rFonts w:hint="eastAsia" w:ascii="宋体" w:hAnsi="宋体" w:eastAsia="宋体" w:cs="宋体"/>
                <w:color w:val="000000"/>
                <w:sz w:val="24"/>
                <w:lang w:val="en-GB"/>
              </w:rPr>
            </w:pPr>
            <w:r>
              <w:rPr>
                <w:rFonts w:hint="eastAsia" w:ascii="宋体" w:hAnsi="宋体" w:eastAsia="宋体" w:cs="宋体"/>
                <w:color w:val="000000"/>
                <w:sz w:val="24"/>
                <w:lang w:val="en-GB"/>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4398" w:type="dxa"/>
            <w:tcBorders>
              <w:right w:val="single" w:color="auto" w:sz="4" w:space="0"/>
            </w:tcBorders>
            <w:vAlign w:val="center"/>
          </w:tcPr>
          <w:p>
            <w:pPr>
              <w:spacing w:line="360" w:lineRule="auto"/>
              <w:jc w:val="center"/>
              <w:rPr>
                <w:rFonts w:hint="eastAsia" w:ascii="宋体" w:hAnsi="宋体" w:eastAsia="宋体" w:cs="宋体"/>
                <w:color w:val="000000"/>
                <w:sz w:val="24"/>
                <w:lang w:val="en-GB" w:eastAsia="zh-CN"/>
              </w:rPr>
            </w:pPr>
            <w:r>
              <w:rPr>
                <w:rFonts w:hint="eastAsia" w:ascii="宋体" w:hAnsi="宋体" w:eastAsia="宋体" w:cs="宋体"/>
                <w:color w:val="000000"/>
                <w:sz w:val="24"/>
                <w:lang w:eastAsia="zh-CN"/>
              </w:rPr>
              <w:t>杭州市余杭区人民政府</w:t>
            </w:r>
            <w:r>
              <w:rPr>
                <w:rFonts w:hint="eastAsia" w:cs="宋体"/>
                <w:color w:val="000000"/>
                <w:sz w:val="24"/>
                <w:lang w:eastAsia="zh-CN"/>
              </w:rPr>
              <w:t>仁和街道办事处</w:t>
            </w:r>
            <w:r>
              <w:rPr>
                <w:rFonts w:hint="eastAsia" w:ascii="宋体" w:hAnsi="宋体" w:eastAsia="宋体" w:cs="宋体"/>
                <w:color w:val="000000"/>
                <w:sz w:val="24"/>
                <w:lang w:eastAsia="zh-CN"/>
              </w:rPr>
              <w:t>仁和街道高新农业开发区易腐垃圾集中处置设备采购项目</w:t>
            </w:r>
          </w:p>
        </w:tc>
        <w:tc>
          <w:tcPr>
            <w:tcW w:w="2366" w:type="dxa"/>
            <w:tcBorders>
              <w:left w:val="single" w:color="auto" w:sz="4" w:space="0"/>
              <w:right w:val="single" w:color="auto" w:sz="4" w:space="0"/>
            </w:tcBorders>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响应招标文件要求</w:t>
            </w:r>
          </w:p>
        </w:tc>
        <w:tc>
          <w:tcPr>
            <w:tcW w:w="2366" w:type="dxa"/>
            <w:tcBorders>
              <w:left w:val="single" w:color="auto" w:sz="4" w:space="0"/>
              <w:right w:val="single" w:color="auto" w:sz="4" w:space="0"/>
            </w:tcBorders>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1" w:hRule="atLeast"/>
          <w:jc w:val="center"/>
        </w:trPr>
        <w:tc>
          <w:tcPr>
            <w:tcW w:w="4398" w:type="dxa"/>
            <w:tcBorders>
              <w:right w:val="single" w:color="auto" w:sz="4" w:space="0"/>
            </w:tcBorders>
            <w:vAlign w:val="center"/>
          </w:tcPr>
          <w:p>
            <w:pPr>
              <w:spacing w:line="360" w:lineRule="auto"/>
              <w:jc w:val="center"/>
              <w:rPr>
                <w:rFonts w:hint="eastAsia" w:ascii="宋体" w:hAnsi="宋体" w:eastAsia="宋体" w:cs="宋体"/>
                <w:color w:val="000000"/>
                <w:sz w:val="24"/>
                <w:lang w:val="en-GB"/>
              </w:rPr>
            </w:pPr>
            <w:r>
              <w:rPr>
                <w:rFonts w:hint="eastAsia" w:ascii="宋体" w:hAnsi="宋体" w:eastAsia="宋体" w:cs="宋体"/>
                <w:color w:val="000000"/>
                <w:sz w:val="24"/>
                <w:lang w:val="en-GB"/>
              </w:rPr>
              <w:t>总价</w:t>
            </w:r>
          </w:p>
        </w:tc>
        <w:tc>
          <w:tcPr>
            <w:tcW w:w="4732" w:type="dxa"/>
            <w:gridSpan w:val="2"/>
            <w:tcBorders>
              <w:left w:val="single" w:color="auto" w:sz="4" w:space="0"/>
            </w:tcBorders>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（大写）</w:t>
            </w:r>
          </w:p>
        </w:tc>
      </w:tr>
    </w:tbl>
    <w:p>
      <w:pPr>
        <w:shd w:val="clear" w:color="auto" w:fill="FFFFFF"/>
        <w:snapToGrid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1、本投标文件及其所附文件涵盖了我方要约的全部内容。</w:t>
      </w:r>
    </w:p>
    <w:p>
      <w:pPr>
        <w:shd w:val="clear" w:color="auto" w:fill="FFFFFF"/>
        <w:snapToGrid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(1)我方要约有效期为自投标截止；日起90天；</w:t>
      </w:r>
    </w:p>
    <w:p>
      <w:pPr>
        <w:shd w:val="clear" w:color="auto" w:fill="FFFFFF"/>
        <w:snapToGrid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(2)在投标有效标期内，我方受投标文件之价目表上我方要约金额的约束。</w:t>
      </w:r>
    </w:p>
    <w:p>
      <w:pPr>
        <w:shd w:val="clear" w:color="auto" w:fill="FFFFFF"/>
        <w:snapToGrid w:val="0"/>
        <w:spacing w:line="360" w:lineRule="auto"/>
        <w:ind w:firstLine="480"/>
        <w:rPr>
          <w:rFonts w:hint="eastAsia" w:ascii="宋体" w:hAnsi="宋体" w:eastAsia="宋体" w:cs="宋体"/>
          <w:color w:val="000000"/>
          <w:sz w:val="24"/>
        </w:rPr>
      </w:pPr>
    </w:p>
    <w:p>
      <w:pPr>
        <w:shd w:val="clear" w:color="auto" w:fill="FFFFFF"/>
        <w:snapToGrid w:val="0"/>
        <w:spacing w:line="360" w:lineRule="auto"/>
        <w:ind w:firstLine="360" w:firstLineChars="150"/>
        <w:rPr>
          <w:rFonts w:hint="eastAsia" w:ascii="宋体" w:hAnsi="宋体" w:eastAsia="宋体" w:cs="宋体"/>
          <w:color w:val="000000"/>
          <w:sz w:val="24"/>
          <w:u w:val="single"/>
        </w:rPr>
      </w:pPr>
      <w:r>
        <w:rPr>
          <w:rFonts w:hint="eastAsia" w:ascii="宋体" w:hAnsi="宋体" w:eastAsia="宋体" w:cs="宋体"/>
          <w:color w:val="000000"/>
          <w:sz w:val="24"/>
        </w:rPr>
        <w:t>法定（授权）代表人（签字）：</w:t>
      </w:r>
      <w:r>
        <w:rPr>
          <w:rFonts w:hint="eastAsia" w:ascii="宋体" w:hAnsi="宋体" w:eastAsia="宋体" w:cs="宋体"/>
          <w:color w:val="000000"/>
          <w:sz w:val="24"/>
          <w:u w:val="single"/>
        </w:rPr>
        <w:t xml:space="preserve">                </w:t>
      </w:r>
    </w:p>
    <w:p>
      <w:pPr>
        <w:shd w:val="clear" w:color="auto" w:fill="FFFFFF"/>
        <w:snapToGrid w:val="0"/>
        <w:spacing w:line="360"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投标人名称（公章）:</w:t>
      </w:r>
      <w:r>
        <w:rPr>
          <w:rFonts w:hint="eastAsia" w:ascii="宋体" w:hAnsi="宋体" w:eastAsia="宋体" w:cs="宋体"/>
          <w:color w:val="000000"/>
          <w:sz w:val="24"/>
          <w:u w:val="single"/>
        </w:rPr>
        <w:t xml:space="preserve">                </w:t>
      </w:r>
    </w:p>
    <w:p>
      <w:pPr>
        <w:shd w:val="clear" w:color="auto" w:fill="FFFFFF"/>
        <w:snapToGrid w:val="0"/>
        <w:spacing w:line="360"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日期：</w:t>
      </w:r>
      <w:r>
        <w:rPr>
          <w:rFonts w:hint="eastAsia" w:ascii="宋体" w:hAnsi="宋体" w:eastAsia="宋体" w:cs="宋体"/>
          <w:color w:val="000000"/>
          <w:sz w:val="24"/>
          <w:u w:val="single"/>
        </w:rPr>
        <w:t xml:space="preserve">                </w:t>
      </w:r>
    </w:p>
    <w:p>
      <w:pPr>
        <w:shd w:val="clear" w:color="auto" w:fill="FFFFFF"/>
        <w:snapToGrid w:val="0"/>
        <w:spacing w:line="360" w:lineRule="auto"/>
        <w:rPr>
          <w:rFonts w:hint="eastAsia" w:ascii="宋体" w:hAnsi="宋体" w:eastAsia="宋体" w:cs="宋体"/>
          <w:color w:val="000000"/>
          <w:sz w:val="24"/>
        </w:rPr>
      </w:pPr>
    </w:p>
    <w:p>
      <w:pPr>
        <w:shd w:val="clear" w:color="auto" w:fill="FFFFFF"/>
        <w:snapToGrid w:val="0"/>
        <w:spacing w:line="360" w:lineRule="auto"/>
        <w:rPr>
          <w:rFonts w:hint="eastAsia" w:ascii="宋体" w:hAnsi="宋体" w:eastAsia="宋体" w:cs="宋体"/>
          <w:color w:val="000000"/>
          <w:sz w:val="24"/>
        </w:rPr>
      </w:pPr>
    </w:p>
    <w:p>
      <w:pPr>
        <w:shd w:val="clear" w:color="auto" w:fill="FFFFFF"/>
        <w:snapToGrid w:val="0"/>
        <w:spacing w:line="360" w:lineRule="auto"/>
        <w:rPr>
          <w:rFonts w:hint="eastAsia" w:ascii="宋体" w:hAnsi="宋体" w:eastAsia="宋体" w:cs="宋体"/>
          <w:color w:val="000000"/>
          <w:sz w:val="24"/>
        </w:rPr>
      </w:pPr>
    </w:p>
    <w:p>
      <w:pPr>
        <w:shd w:val="clear" w:color="auto" w:fill="FFFFFF"/>
        <w:snapToGrid w:val="0"/>
        <w:spacing w:line="360" w:lineRule="auto"/>
        <w:rPr>
          <w:rFonts w:hint="eastAsia" w:ascii="宋体" w:hAnsi="宋体" w:eastAsia="宋体" w:cs="宋体"/>
          <w:color w:val="000000"/>
          <w:sz w:val="24"/>
        </w:rPr>
      </w:pPr>
    </w:p>
    <w:p>
      <w:pPr>
        <w:shd w:val="clear" w:color="auto" w:fill="FFFFFF"/>
        <w:snapToGrid w:val="0"/>
        <w:spacing w:line="360" w:lineRule="auto"/>
        <w:rPr>
          <w:rFonts w:hint="eastAsia" w:ascii="宋体" w:hAnsi="宋体" w:eastAsia="宋体" w:cs="宋体"/>
          <w:color w:val="000000"/>
          <w:sz w:val="24"/>
        </w:rPr>
      </w:pPr>
    </w:p>
    <w:p>
      <w:pPr>
        <w:spacing w:line="360" w:lineRule="auto"/>
        <w:rPr>
          <w:rFonts w:hint="eastAsia" w:ascii="宋体" w:hAnsi="宋体" w:eastAsia="宋体" w:cs="宋体"/>
          <w:color w:val="000000"/>
        </w:rPr>
      </w:pPr>
    </w:p>
    <w:p>
      <w:pPr>
        <w:pageBreakBefore/>
        <w:shd w:val="clear" w:color="auto" w:fill="FFFFFF"/>
        <w:snapToGrid w:val="0"/>
        <w:spacing w:line="600" w:lineRule="exact"/>
        <w:ind w:firstLine="562" w:firstLineChars="200"/>
        <w:jc w:val="center"/>
        <w:outlineLvl w:val="2"/>
        <w:rPr>
          <w:rFonts w:hint="eastAsia" w:ascii="宋体" w:hAnsi="宋体" w:eastAsia="宋体" w:cs="宋体"/>
          <w:b/>
          <w:color w:val="000000"/>
          <w:sz w:val="24"/>
          <w:szCs w:val="24"/>
        </w:rPr>
      </w:pPr>
      <w:bookmarkStart w:id="118" w:name="_Toc233618992"/>
      <w:r>
        <w:rPr>
          <w:rFonts w:hint="eastAsia" w:ascii="宋体" w:hAnsi="宋体" w:eastAsia="宋体" w:cs="宋体"/>
          <w:b/>
          <w:bCs/>
          <w:color w:val="000000"/>
          <w:kern w:val="2"/>
          <w:sz w:val="28"/>
          <w:szCs w:val="28"/>
          <w:lang w:val="en-US" w:bidi="ar-SA"/>
        </w:rPr>
        <w:t>三、报价明细清单</w:t>
      </w:r>
      <w:bookmarkEnd w:id="118"/>
    </w:p>
    <w:p>
      <w:pPr>
        <w:snapToGrid w:val="0"/>
        <w:spacing w:line="600" w:lineRule="exact"/>
        <w:rPr>
          <w:rFonts w:hint="eastAsia" w:ascii="宋体" w:hAnsi="宋体" w:eastAsia="宋体" w:cs="宋体"/>
          <w:color w:val="000000"/>
          <w:sz w:val="24"/>
          <w:szCs w:val="24"/>
        </w:rPr>
      </w:pPr>
    </w:p>
    <w:tbl>
      <w:tblPr>
        <w:tblStyle w:val="16"/>
        <w:tblW w:w="8083"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902"/>
        <w:gridCol w:w="815"/>
        <w:gridCol w:w="1436"/>
        <w:gridCol w:w="1340"/>
        <w:gridCol w:w="1904"/>
        <w:gridCol w:w="1686"/>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902" w:type="dxa"/>
            <w:tcBorders>
              <w:top w:val="single" w:color="auto" w:sz="8" w:space="0"/>
              <w:left w:val="single" w:color="auto" w:sz="8" w:space="0"/>
              <w:bottom w:val="single" w:color="auto" w:sz="2" w:space="0"/>
              <w:right w:val="single" w:color="auto" w:sz="2" w:space="0"/>
            </w:tcBorders>
            <w:vAlign w:val="center"/>
          </w:tcPr>
          <w:p>
            <w:pPr>
              <w:snapToGrid w:val="0"/>
              <w:spacing w:line="6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3591" w:type="dxa"/>
            <w:gridSpan w:val="3"/>
            <w:tcBorders>
              <w:top w:val="single" w:color="auto" w:sz="8" w:space="0"/>
              <w:left w:val="single" w:color="auto" w:sz="2" w:space="0"/>
              <w:bottom w:val="single" w:color="auto" w:sz="2" w:space="0"/>
              <w:right w:val="single" w:color="auto" w:sz="2" w:space="0"/>
            </w:tcBorders>
            <w:vAlign w:val="center"/>
          </w:tcPr>
          <w:p>
            <w:pPr>
              <w:snapToGrid w:val="0"/>
              <w:spacing w:line="6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名称</w:t>
            </w:r>
          </w:p>
        </w:tc>
        <w:tc>
          <w:tcPr>
            <w:tcW w:w="1904" w:type="dxa"/>
            <w:tcBorders>
              <w:top w:val="single" w:color="auto" w:sz="8" w:space="0"/>
              <w:left w:val="single" w:color="auto" w:sz="2" w:space="0"/>
              <w:bottom w:val="single" w:color="auto" w:sz="2" w:space="0"/>
              <w:right w:val="single" w:color="auto" w:sz="4" w:space="0"/>
            </w:tcBorders>
            <w:vAlign w:val="center"/>
          </w:tcPr>
          <w:p>
            <w:pPr>
              <w:snapToGrid w:val="0"/>
              <w:spacing w:line="6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价格</w:t>
            </w:r>
          </w:p>
        </w:tc>
        <w:tc>
          <w:tcPr>
            <w:tcW w:w="1686" w:type="dxa"/>
            <w:tcBorders>
              <w:top w:val="single" w:color="auto" w:sz="8" w:space="0"/>
              <w:left w:val="single" w:color="auto" w:sz="4" w:space="0"/>
              <w:bottom w:val="single" w:color="auto" w:sz="2" w:space="0"/>
              <w:right w:val="single" w:color="auto" w:sz="8" w:space="0"/>
            </w:tcBorders>
            <w:vAlign w:val="center"/>
          </w:tcPr>
          <w:p>
            <w:pPr>
              <w:snapToGrid w:val="0"/>
              <w:spacing w:line="6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5" w:hRule="atLeast"/>
          <w:jc w:val="center"/>
        </w:trPr>
        <w:tc>
          <w:tcPr>
            <w:tcW w:w="902" w:type="dxa"/>
            <w:tcBorders>
              <w:top w:val="single" w:color="auto" w:sz="2" w:space="0"/>
              <w:left w:val="single" w:color="auto" w:sz="8" w:space="0"/>
              <w:bottom w:val="single" w:color="auto" w:sz="4" w:space="0"/>
              <w:right w:val="single" w:color="auto" w:sz="2" w:space="0"/>
            </w:tcBorders>
            <w:vAlign w:val="center"/>
          </w:tcPr>
          <w:p>
            <w:pPr>
              <w:snapToGrid w:val="0"/>
              <w:spacing w:line="6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591" w:type="dxa"/>
            <w:gridSpan w:val="3"/>
            <w:tcBorders>
              <w:top w:val="single" w:color="auto" w:sz="2" w:space="0"/>
              <w:left w:val="single" w:color="auto" w:sz="2" w:space="0"/>
              <w:bottom w:val="single" w:color="auto" w:sz="4" w:space="0"/>
              <w:right w:val="single" w:color="auto" w:sz="2" w:space="0"/>
            </w:tcBorders>
          </w:tcPr>
          <w:p>
            <w:pPr>
              <w:snapToGrid w:val="0"/>
              <w:spacing w:line="600" w:lineRule="exact"/>
              <w:rPr>
                <w:rFonts w:hint="eastAsia" w:ascii="宋体" w:hAnsi="宋体" w:eastAsia="宋体" w:cs="宋体"/>
                <w:b/>
                <w:color w:val="000000"/>
                <w:sz w:val="24"/>
                <w:szCs w:val="24"/>
              </w:rPr>
            </w:pPr>
          </w:p>
        </w:tc>
        <w:tc>
          <w:tcPr>
            <w:tcW w:w="1904" w:type="dxa"/>
            <w:tcBorders>
              <w:top w:val="single" w:color="auto" w:sz="2" w:space="0"/>
              <w:left w:val="single" w:color="auto" w:sz="2" w:space="0"/>
              <w:bottom w:val="single" w:color="auto" w:sz="4" w:space="0"/>
              <w:right w:val="single" w:color="auto" w:sz="4" w:space="0"/>
            </w:tcBorders>
            <w:vAlign w:val="center"/>
          </w:tcPr>
          <w:p>
            <w:pPr>
              <w:snapToGrid w:val="0"/>
              <w:spacing w:line="600" w:lineRule="exact"/>
              <w:jc w:val="center"/>
              <w:rPr>
                <w:rFonts w:hint="eastAsia" w:ascii="宋体" w:hAnsi="宋体" w:eastAsia="宋体" w:cs="宋体"/>
                <w:color w:val="000000"/>
                <w:sz w:val="24"/>
                <w:szCs w:val="24"/>
              </w:rPr>
            </w:pPr>
          </w:p>
        </w:tc>
        <w:tc>
          <w:tcPr>
            <w:tcW w:w="1686" w:type="dxa"/>
            <w:tcBorders>
              <w:top w:val="single" w:color="auto" w:sz="2" w:space="0"/>
              <w:left w:val="single" w:color="auto" w:sz="4" w:space="0"/>
              <w:bottom w:val="single" w:color="auto" w:sz="4" w:space="0"/>
              <w:right w:val="single" w:color="auto" w:sz="8" w:space="0"/>
            </w:tcBorders>
            <w:vAlign w:val="center"/>
          </w:tcPr>
          <w:p>
            <w:pPr>
              <w:snapToGrid w:val="0"/>
              <w:spacing w:line="600" w:lineRule="exact"/>
              <w:jc w:val="center"/>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70" w:hRule="atLeast"/>
          <w:jc w:val="center"/>
        </w:trPr>
        <w:tc>
          <w:tcPr>
            <w:tcW w:w="902" w:type="dxa"/>
            <w:tcBorders>
              <w:top w:val="single" w:color="auto" w:sz="4" w:space="0"/>
              <w:left w:val="single" w:color="auto" w:sz="8" w:space="0"/>
              <w:bottom w:val="single" w:color="auto" w:sz="4" w:space="0"/>
              <w:right w:val="single" w:color="auto" w:sz="2" w:space="0"/>
            </w:tcBorders>
            <w:vAlign w:val="center"/>
          </w:tcPr>
          <w:p>
            <w:pPr>
              <w:snapToGrid w:val="0"/>
              <w:spacing w:line="6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3591" w:type="dxa"/>
            <w:gridSpan w:val="3"/>
            <w:tcBorders>
              <w:top w:val="single" w:color="auto" w:sz="4" w:space="0"/>
              <w:left w:val="single" w:color="auto" w:sz="2" w:space="0"/>
              <w:bottom w:val="single" w:color="auto" w:sz="4" w:space="0"/>
              <w:right w:val="single" w:color="auto" w:sz="2" w:space="0"/>
            </w:tcBorders>
          </w:tcPr>
          <w:p>
            <w:pPr>
              <w:snapToGrid w:val="0"/>
              <w:spacing w:line="600" w:lineRule="exact"/>
              <w:rPr>
                <w:rFonts w:hint="eastAsia" w:ascii="宋体" w:hAnsi="宋体" w:eastAsia="宋体" w:cs="宋体"/>
                <w:color w:val="000000"/>
                <w:sz w:val="24"/>
                <w:szCs w:val="24"/>
              </w:rPr>
            </w:pPr>
          </w:p>
        </w:tc>
        <w:tc>
          <w:tcPr>
            <w:tcW w:w="1904" w:type="dxa"/>
            <w:tcBorders>
              <w:top w:val="single" w:color="auto" w:sz="4" w:space="0"/>
              <w:left w:val="single" w:color="auto" w:sz="2" w:space="0"/>
              <w:bottom w:val="single" w:color="auto" w:sz="4" w:space="0"/>
              <w:right w:val="single" w:color="auto" w:sz="4" w:space="0"/>
            </w:tcBorders>
            <w:vAlign w:val="center"/>
          </w:tcPr>
          <w:p>
            <w:pPr>
              <w:snapToGrid w:val="0"/>
              <w:spacing w:line="600" w:lineRule="exact"/>
              <w:jc w:val="center"/>
              <w:rPr>
                <w:rFonts w:hint="eastAsia" w:ascii="宋体" w:hAnsi="宋体" w:eastAsia="宋体" w:cs="宋体"/>
                <w:color w:val="000000"/>
                <w:sz w:val="24"/>
                <w:szCs w:val="24"/>
              </w:rPr>
            </w:pPr>
          </w:p>
        </w:tc>
        <w:tc>
          <w:tcPr>
            <w:tcW w:w="1686" w:type="dxa"/>
            <w:tcBorders>
              <w:top w:val="single" w:color="auto" w:sz="4" w:space="0"/>
              <w:left w:val="single" w:color="auto" w:sz="4" w:space="0"/>
              <w:bottom w:val="single" w:color="auto" w:sz="4" w:space="0"/>
              <w:right w:val="single" w:color="auto" w:sz="8" w:space="0"/>
            </w:tcBorders>
            <w:vAlign w:val="center"/>
          </w:tcPr>
          <w:p>
            <w:pPr>
              <w:snapToGrid w:val="0"/>
              <w:spacing w:line="600" w:lineRule="exact"/>
              <w:jc w:val="center"/>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902" w:type="dxa"/>
            <w:tcBorders>
              <w:top w:val="single" w:color="auto" w:sz="4" w:space="0"/>
              <w:left w:val="single" w:color="auto" w:sz="8" w:space="0"/>
              <w:bottom w:val="single" w:color="auto" w:sz="4" w:space="0"/>
              <w:right w:val="single" w:color="auto" w:sz="2" w:space="0"/>
            </w:tcBorders>
            <w:vAlign w:val="center"/>
          </w:tcPr>
          <w:p>
            <w:pPr>
              <w:snapToGrid w:val="0"/>
              <w:spacing w:line="6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3591" w:type="dxa"/>
            <w:gridSpan w:val="3"/>
            <w:tcBorders>
              <w:top w:val="single" w:color="auto" w:sz="4" w:space="0"/>
              <w:left w:val="single" w:color="auto" w:sz="2" w:space="0"/>
              <w:bottom w:val="single" w:color="auto" w:sz="4" w:space="0"/>
              <w:right w:val="single" w:color="auto" w:sz="2" w:space="0"/>
            </w:tcBorders>
          </w:tcPr>
          <w:p>
            <w:pPr>
              <w:snapToGrid w:val="0"/>
              <w:spacing w:line="600" w:lineRule="exact"/>
              <w:rPr>
                <w:rFonts w:hint="eastAsia" w:ascii="宋体" w:hAnsi="宋体" w:eastAsia="宋体" w:cs="宋体"/>
                <w:color w:val="000000"/>
                <w:sz w:val="24"/>
                <w:szCs w:val="24"/>
              </w:rPr>
            </w:pPr>
          </w:p>
        </w:tc>
        <w:tc>
          <w:tcPr>
            <w:tcW w:w="1904" w:type="dxa"/>
            <w:tcBorders>
              <w:top w:val="single" w:color="auto" w:sz="4" w:space="0"/>
              <w:left w:val="single" w:color="auto" w:sz="2" w:space="0"/>
              <w:bottom w:val="single" w:color="auto" w:sz="4" w:space="0"/>
              <w:right w:val="single" w:color="auto" w:sz="4" w:space="0"/>
            </w:tcBorders>
            <w:vAlign w:val="center"/>
          </w:tcPr>
          <w:p>
            <w:pPr>
              <w:snapToGrid w:val="0"/>
              <w:spacing w:line="600" w:lineRule="exact"/>
              <w:jc w:val="center"/>
              <w:rPr>
                <w:rFonts w:hint="eastAsia" w:ascii="宋体" w:hAnsi="宋体" w:eastAsia="宋体" w:cs="宋体"/>
                <w:color w:val="000000"/>
                <w:sz w:val="24"/>
                <w:szCs w:val="24"/>
              </w:rPr>
            </w:pPr>
          </w:p>
        </w:tc>
        <w:tc>
          <w:tcPr>
            <w:tcW w:w="1686" w:type="dxa"/>
            <w:tcBorders>
              <w:top w:val="single" w:color="auto" w:sz="4" w:space="0"/>
              <w:left w:val="single" w:color="auto" w:sz="4" w:space="0"/>
              <w:bottom w:val="single" w:color="auto" w:sz="4" w:space="0"/>
              <w:right w:val="single" w:color="auto" w:sz="8" w:space="0"/>
            </w:tcBorders>
            <w:vAlign w:val="center"/>
          </w:tcPr>
          <w:p>
            <w:pPr>
              <w:snapToGrid w:val="0"/>
              <w:spacing w:line="600" w:lineRule="exact"/>
              <w:jc w:val="center"/>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902" w:type="dxa"/>
            <w:tcBorders>
              <w:top w:val="single" w:color="auto" w:sz="4" w:space="0"/>
              <w:left w:val="single" w:color="auto" w:sz="8" w:space="0"/>
              <w:bottom w:val="single" w:color="auto" w:sz="4" w:space="0"/>
              <w:right w:val="single" w:color="auto" w:sz="2" w:space="0"/>
            </w:tcBorders>
            <w:vAlign w:val="center"/>
          </w:tcPr>
          <w:p>
            <w:pPr>
              <w:snapToGrid w:val="0"/>
              <w:spacing w:line="6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3591" w:type="dxa"/>
            <w:gridSpan w:val="3"/>
            <w:tcBorders>
              <w:top w:val="single" w:color="auto" w:sz="4" w:space="0"/>
              <w:left w:val="single" w:color="auto" w:sz="2" w:space="0"/>
              <w:bottom w:val="single" w:color="auto" w:sz="4" w:space="0"/>
              <w:right w:val="single" w:color="auto" w:sz="2" w:space="0"/>
            </w:tcBorders>
          </w:tcPr>
          <w:p>
            <w:pPr>
              <w:snapToGrid w:val="0"/>
              <w:spacing w:line="600" w:lineRule="exact"/>
              <w:rPr>
                <w:rFonts w:hint="eastAsia" w:ascii="宋体" w:hAnsi="宋体" w:eastAsia="宋体" w:cs="宋体"/>
                <w:color w:val="000000"/>
                <w:sz w:val="24"/>
                <w:szCs w:val="24"/>
              </w:rPr>
            </w:pPr>
          </w:p>
        </w:tc>
        <w:tc>
          <w:tcPr>
            <w:tcW w:w="1904" w:type="dxa"/>
            <w:tcBorders>
              <w:top w:val="single" w:color="auto" w:sz="4" w:space="0"/>
              <w:left w:val="single" w:color="auto" w:sz="2" w:space="0"/>
              <w:bottom w:val="single" w:color="auto" w:sz="4" w:space="0"/>
              <w:right w:val="single" w:color="auto" w:sz="4" w:space="0"/>
            </w:tcBorders>
            <w:vAlign w:val="center"/>
          </w:tcPr>
          <w:p>
            <w:pPr>
              <w:snapToGrid w:val="0"/>
              <w:spacing w:line="600" w:lineRule="exact"/>
              <w:jc w:val="center"/>
              <w:rPr>
                <w:rFonts w:hint="eastAsia" w:ascii="宋体" w:hAnsi="宋体" w:eastAsia="宋体" w:cs="宋体"/>
                <w:color w:val="000000"/>
                <w:sz w:val="24"/>
                <w:szCs w:val="24"/>
              </w:rPr>
            </w:pPr>
          </w:p>
        </w:tc>
        <w:tc>
          <w:tcPr>
            <w:tcW w:w="1686" w:type="dxa"/>
            <w:tcBorders>
              <w:top w:val="single" w:color="auto" w:sz="4" w:space="0"/>
              <w:left w:val="single" w:color="auto" w:sz="4" w:space="0"/>
              <w:bottom w:val="single" w:color="auto" w:sz="4" w:space="0"/>
              <w:right w:val="single" w:color="auto" w:sz="8" w:space="0"/>
            </w:tcBorders>
            <w:vAlign w:val="center"/>
          </w:tcPr>
          <w:p>
            <w:pPr>
              <w:snapToGrid w:val="0"/>
              <w:spacing w:line="600" w:lineRule="exact"/>
              <w:jc w:val="center"/>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902" w:type="dxa"/>
            <w:tcBorders>
              <w:top w:val="single" w:color="auto" w:sz="4" w:space="0"/>
              <w:left w:val="single" w:color="auto" w:sz="8" w:space="0"/>
              <w:bottom w:val="single" w:color="auto" w:sz="4" w:space="0"/>
              <w:right w:val="single" w:color="auto" w:sz="2" w:space="0"/>
            </w:tcBorders>
            <w:vAlign w:val="center"/>
          </w:tcPr>
          <w:p>
            <w:pPr>
              <w:snapToGrid w:val="0"/>
              <w:spacing w:line="6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3591" w:type="dxa"/>
            <w:gridSpan w:val="3"/>
            <w:tcBorders>
              <w:top w:val="single" w:color="auto" w:sz="4" w:space="0"/>
              <w:left w:val="single" w:color="auto" w:sz="2" w:space="0"/>
              <w:bottom w:val="single" w:color="auto" w:sz="4" w:space="0"/>
              <w:right w:val="single" w:color="auto" w:sz="2" w:space="0"/>
            </w:tcBorders>
          </w:tcPr>
          <w:p>
            <w:pPr>
              <w:snapToGrid w:val="0"/>
              <w:spacing w:line="600" w:lineRule="exact"/>
              <w:rPr>
                <w:rFonts w:hint="eastAsia" w:ascii="宋体" w:hAnsi="宋体" w:eastAsia="宋体" w:cs="宋体"/>
                <w:color w:val="000000"/>
                <w:sz w:val="24"/>
                <w:szCs w:val="24"/>
              </w:rPr>
            </w:pPr>
          </w:p>
        </w:tc>
        <w:tc>
          <w:tcPr>
            <w:tcW w:w="1904" w:type="dxa"/>
            <w:tcBorders>
              <w:top w:val="single" w:color="auto" w:sz="4" w:space="0"/>
              <w:left w:val="single" w:color="auto" w:sz="2" w:space="0"/>
              <w:bottom w:val="single" w:color="auto" w:sz="4" w:space="0"/>
              <w:right w:val="single" w:color="auto" w:sz="4" w:space="0"/>
            </w:tcBorders>
            <w:vAlign w:val="center"/>
          </w:tcPr>
          <w:p>
            <w:pPr>
              <w:snapToGrid w:val="0"/>
              <w:spacing w:line="600" w:lineRule="exact"/>
              <w:jc w:val="center"/>
              <w:rPr>
                <w:rFonts w:hint="eastAsia" w:ascii="宋体" w:hAnsi="宋体" w:eastAsia="宋体" w:cs="宋体"/>
                <w:color w:val="000000"/>
                <w:sz w:val="24"/>
                <w:szCs w:val="24"/>
              </w:rPr>
            </w:pPr>
          </w:p>
        </w:tc>
        <w:tc>
          <w:tcPr>
            <w:tcW w:w="1686" w:type="dxa"/>
            <w:tcBorders>
              <w:top w:val="single" w:color="auto" w:sz="4" w:space="0"/>
              <w:left w:val="single" w:color="auto" w:sz="4" w:space="0"/>
              <w:bottom w:val="single" w:color="auto" w:sz="4" w:space="0"/>
              <w:right w:val="single" w:color="auto" w:sz="8" w:space="0"/>
            </w:tcBorders>
            <w:vAlign w:val="center"/>
          </w:tcPr>
          <w:p>
            <w:pPr>
              <w:snapToGrid w:val="0"/>
              <w:spacing w:line="600" w:lineRule="exact"/>
              <w:jc w:val="center"/>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902" w:type="dxa"/>
            <w:tcBorders>
              <w:top w:val="single" w:color="auto" w:sz="4" w:space="0"/>
              <w:left w:val="single" w:color="auto" w:sz="8" w:space="0"/>
              <w:right w:val="single" w:color="auto" w:sz="2" w:space="0"/>
            </w:tcBorders>
            <w:vAlign w:val="center"/>
          </w:tcPr>
          <w:p>
            <w:pPr>
              <w:snapToGrid w:val="0"/>
              <w:spacing w:line="600" w:lineRule="exact"/>
              <w:jc w:val="center"/>
              <w:rPr>
                <w:rFonts w:hint="eastAsia" w:ascii="宋体" w:hAnsi="宋体" w:eastAsia="宋体" w:cs="宋体"/>
                <w:color w:val="000000"/>
                <w:sz w:val="24"/>
                <w:szCs w:val="24"/>
              </w:rPr>
            </w:pPr>
          </w:p>
        </w:tc>
        <w:tc>
          <w:tcPr>
            <w:tcW w:w="3591" w:type="dxa"/>
            <w:gridSpan w:val="3"/>
            <w:tcBorders>
              <w:top w:val="single" w:color="auto" w:sz="4" w:space="0"/>
              <w:left w:val="single" w:color="auto" w:sz="2" w:space="0"/>
              <w:bottom w:val="single" w:color="auto" w:sz="4" w:space="0"/>
              <w:right w:val="single" w:color="auto" w:sz="2" w:space="0"/>
            </w:tcBorders>
            <w:vAlign w:val="center"/>
          </w:tcPr>
          <w:p>
            <w:pPr>
              <w:tabs>
                <w:tab w:val="left" w:pos="6135"/>
              </w:tabs>
              <w:snapToGrid w:val="0"/>
              <w:spacing w:line="6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1904" w:type="dxa"/>
            <w:tcBorders>
              <w:top w:val="single" w:color="auto" w:sz="4" w:space="0"/>
              <w:left w:val="single" w:color="auto" w:sz="2" w:space="0"/>
              <w:bottom w:val="single" w:color="auto" w:sz="4" w:space="0"/>
              <w:right w:val="single" w:color="auto" w:sz="4" w:space="0"/>
            </w:tcBorders>
            <w:vAlign w:val="center"/>
          </w:tcPr>
          <w:p>
            <w:pPr>
              <w:snapToGrid w:val="0"/>
              <w:spacing w:line="600" w:lineRule="exact"/>
              <w:jc w:val="center"/>
              <w:rPr>
                <w:rFonts w:hint="eastAsia" w:ascii="宋体" w:hAnsi="宋体" w:eastAsia="宋体" w:cs="宋体"/>
                <w:color w:val="000000"/>
                <w:sz w:val="24"/>
                <w:szCs w:val="24"/>
              </w:rPr>
            </w:pPr>
          </w:p>
        </w:tc>
        <w:tc>
          <w:tcPr>
            <w:tcW w:w="1686" w:type="dxa"/>
            <w:tcBorders>
              <w:top w:val="single" w:color="auto" w:sz="4" w:space="0"/>
              <w:left w:val="single" w:color="auto" w:sz="4" w:space="0"/>
              <w:bottom w:val="single" w:color="auto" w:sz="4" w:space="0"/>
              <w:right w:val="single" w:color="auto" w:sz="8" w:space="0"/>
            </w:tcBorders>
            <w:vAlign w:val="center"/>
          </w:tcPr>
          <w:p>
            <w:pPr>
              <w:snapToGrid w:val="0"/>
              <w:spacing w:line="600" w:lineRule="exact"/>
              <w:jc w:val="center"/>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1717" w:type="dxa"/>
            <w:gridSpan w:val="2"/>
            <w:vMerge w:val="restart"/>
            <w:tcBorders>
              <w:top w:val="single" w:color="auto" w:sz="2" w:space="0"/>
              <w:left w:val="single" w:color="auto" w:sz="8" w:space="0"/>
              <w:bottom w:val="single" w:color="auto" w:sz="8" w:space="0"/>
              <w:right w:val="single" w:color="auto" w:sz="4" w:space="0"/>
            </w:tcBorders>
            <w:vAlign w:val="center"/>
          </w:tcPr>
          <w:p>
            <w:pPr>
              <w:snapToGrid w:val="0"/>
              <w:spacing w:line="6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总计</w:t>
            </w:r>
          </w:p>
        </w:tc>
        <w:tc>
          <w:tcPr>
            <w:tcW w:w="1436" w:type="dxa"/>
            <w:tcBorders>
              <w:top w:val="single" w:color="auto" w:sz="2" w:space="0"/>
              <w:left w:val="single" w:color="auto" w:sz="4" w:space="0"/>
              <w:bottom w:val="single" w:color="auto" w:sz="2" w:space="0"/>
              <w:right w:val="single" w:color="auto" w:sz="2" w:space="0"/>
            </w:tcBorders>
            <w:vAlign w:val="center"/>
          </w:tcPr>
          <w:p>
            <w:pPr>
              <w:snapToGrid w:val="0"/>
              <w:spacing w:line="6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大写</w:t>
            </w:r>
          </w:p>
        </w:tc>
        <w:tc>
          <w:tcPr>
            <w:tcW w:w="4930" w:type="dxa"/>
            <w:gridSpan w:val="3"/>
            <w:tcBorders>
              <w:top w:val="single" w:color="auto" w:sz="2" w:space="0"/>
              <w:left w:val="single" w:color="auto" w:sz="4" w:space="0"/>
              <w:bottom w:val="single" w:color="auto" w:sz="2" w:space="0"/>
              <w:right w:val="single" w:color="auto" w:sz="8" w:space="0"/>
            </w:tcBorders>
            <w:vAlign w:val="center"/>
          </w:tcPr>
          <w:p>
            <w:pPr>
              <w:snapToGrid w:val="0"/>
              <w:spacing w:line="600" w:lineRule="exact"/>
              <w:jc w:val="center"/>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1717" w:type="dxa"/>
            <w:gridSpan w:val="2"/>
            <w:vMerge w:val="continue"/>
            <w:tcBorders>
              <w:top w:val="single" w:color="auto" w:sz="2" w:space="0"/>
              <w:left w:val="single" w:color="auto" w:sz="8" w:space="0"/>
              <w:bottom w:val="single" w:color="auto" w:sz="8" w:space="0"/>
              <w:right w:val="single" w:color="auto" w:sz="4" w:space="0"/>
            </w:tcBorders>
            <w:vAlign w:val="center"/>
          </w:tcPr>
          <w:p>
            <w:pPr>
              <w:widowControl/>
              <w:snapToGrid w:val="0"/>
              <w:spacing w:line="600" w:lineRule="exact"/>
              <w:jc w:val="center"/>
              <w:rPr>
                <w:rFonts w:hint="eastAsia" w:ascii="宋体" w:hAnsi="宋体" w:eastAsia="宋体" w:cs="宋体"/>
                <w:color w:val="000000"/>
                <w:sz w:val="24"/>
                <w:szCs w:val="24"/>
              </w:rPr>
            </w:pPr>
          </w:p>
        </w:tc>
        <w:tc>
          <w:tcPr>
            <w:tcW w:w="1436" w:type="dxa"/>
            <w:tcBorders>
              <w:top w:val="single" w:color="auto" w:sz="2" w:space="0"/>
              <w:left w:val="single" w:color="auto" w:sz="4" w:space="0"/>
              <w:bottom w:val="single" w:color="auto" w:sz="8" w:space="0"/>
              <w:right w:val="single" w:color="auto" w:sz="2" w:space="0"/>
            </w:tcBorders>
            <w:vAlign w:val="center"/>
          </w:tcPr>
          <w:p>
            <w:pPr>
              <w:snapToGrid w:val="0"/>
              <w:spacing w:line="6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小写</w:t>
            </w:r>
          </w:p>
        </w:tc>
        <w:tc>
          <w:tcPr>
            <w:tcW w:w="4930" w:type="dxa"/>
            <w:gridSpan w:val="3"/>
            <w:tcBorders>
              <w:top w:val="single" w:color="auto" w:sz="2" w:space="0"/>
              <w:left w:val="single" w:color="auto" w:sz="4" w:space="0"/>
              <w:bottom w:val="single" w:color="auto" w:sz="8" w:space="0"/>
              <w:right w:val="single" w:color="auto" w:sz="8" w:space="0"/>
            </w:tcBorders>
            <w:vAlign w:val="center"/>
          </w:tcPr>
          <w:p>
            <w:pPr>
              <w:snapToGrid w:val="0"/>
              <w:spacing w:line="600" w:lineRule="exact"/>
              <w:jc w:val="center"/>
              <w:rPr>
                <w:rFonts w:hint="eastAsia" w:ascii="宋体" w:hAnsi="宋体" w:eastAsia="宋体" w:cs="宋体"/>
                <w:color w:val="000000"/>
                <w:sz w:val="24"/>
                <w:szCs w:val="24"/>
              </w:rPr>
            </w:pPr>
          </w:p>
        </w:tc>
      </w:tr>
    </w:tbl>
    <w:p>
      <w:pPr>
        <w:pStyle w:val="9"/>
        <w:snapToGrid w:val="0"/>
        <w:spacing w:line="6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注：可根据具体情况调整报价明细清单格式，但应包括项目涉及的一切相关税、费等费用。</w:t>
      </w:r>
    </w:p>
    <w:p>
      <w:pPr>
        <w:pStyle w:val="3"/>
        <w:rPr>
          <w:rFonts w:hint="eastAsia" w:ascii="宋体" w:hAnsi="宋体" w:eastAsia="宋体" w:cs="宋体"/>
          <w:color w:val="000000"/>
          <w:sz w:val="24"/>
        </w:rPr>
      </w:pPr>
    </w:p>
    <w:p>
      <w:pPr>
        <w:pStyle w:val="3"/>
        <w:rPr>
          <w:rFonts w:hint="eastAsia" w:ascii="宋体" w:hAnsi="宋体" w:eastAsia="宋体" w:cs="宋体"/>
          <w:color w:val="000000"/>
          <w:sz w:val="24"/>
        </w:rPr>
      </w:pPr>
    </w:p>
    <w:p>
      <w:pPr>
        <w:pStyle w:val="3"/>
        <w:rPr>
          <w:rFonts w:hint="eastAsia" w:ascii="宋体" w:hAnsi="宋体" w:eastAsia="宋体" w:cs="宋体"/>
          <w:color w:val="000000"/>
          <w:sz w:val="24"/>
        </w:rPr>
      </w:pPr>
    </w:p>
    <w:p>
      <w:pPr>
        <w:shd w:val="clear" w:color="auto" w:fill="FFFFFF"/>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投标人名称(公章)：</w:t>
      </w:r>
    </w:p>
    <w:p>
      <w:pPr>
        <w:shd w:val="clear" w:color="auto" w:fill="FFFFFF"/>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授权代表人(签字)：</w:t>
      </w:r>
    </w:p>
    <w:p>
      <w:pPr>
        <w:shd w:val="clear" w:color="auto" w:fill="FFFFFF"/>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日期：    年  月   日</w:t>
      </w:r>
    </w:p>
    <w:p>
      <w:pPr>
        <w:pStyle w:val="3"/>
        <w:rPr>
          <w:rFonts w:hint="eastAsia" w:ascii="宋体" w:hAnsi="宋体" w:eastAsia="宋体" w:cs="宋体"/>
          <w:color w:val="000000"/>
          <w:sz w:val="24"/>
        </w:rPr>
      </w:pPr>
    </w:p>
    <w:p>
      <w:pPr>
        <w:pStyle w:val="3"/>
        <w:ind w:firstLine="0"/>
        <w:rPr>
          <w:rFonts w:hint="eastAsia" w:ascii="宋体" w:hAnsi="宋体" w:eastAsia="宋体" w:cs="宋体"/>
          <w:color w:val="000000"/>
          <w:sz w:val="24"/>
        </w:rPr>
      </w:pPr>
    </w:p>
    <w:p>
      <w:pPr>
        <w:pageBreakBefore/>
        <w:shd w:val="clear" w:color="auto" w:fill="FFFFFF"/>
        <w:snapToGrid w:val="0"/>
        <w:spacing w:line="360" w:lineRule="auto"/>
        <w:jc w:val="center"/>
        <w:outlineLvl w:val="2"/>
        <w:rPr>
          <w:rFonts w:hint="eastAsia" w:ascii="宋体" w:hAnsi="宋体" w:eastAsia="宋体" w:cs="宋体"/>
          <w:color w:val="000000"/>
          <w:sz w:val="28"/>
          <w:szCs w:val="28"/>
        </w:rPr>
      </w:pPr>
      <w:r>
        <w:rPr>
          <w:rFonts w:hint="eastAsia" w:ascii="宋体" w:hAnsi="宋体" w:eastAsia="宋体" w:cs="宋体"/>
          <w:b/>
          <w:bCs/>
          <w:color w:val="000000"/>
          <w:sz w:val="28"/>
          <w:szCs w:val="28"/>
        </w:rPr>
        <w:t>四、中小企业声明函、监狱企业、残疾人福利性单位及其他相关的充分的证明材料</w:t>
      </w:r>
    </w:p>
    <w:p>
      <w:pPr>
        <w:widowControl/>
        <w:snapToGrid w:val="0"/>
        <w:spacing w:line="360" w:lineRule="auto"/>
        <w:jc w:val="center"/>
        <w:rPr>
          <w:rFonts w:hint="eastAsia" w:ascii="宋体" w:hAnsi="宋体" w:eastAsia="宋体" w:cs="宋体"/>
          <w:color w:val="000000"/>
          <w:sz w:val="28"/>
          <w:szCs w:val="28"/>
        </w:rPr>
      </w:pPr>
      <w:r>
        <w:rPr>
          <w:rFonts w:hint="eastAsia" w:ascii="宋体" w:hAnsi="宋体" w:eastAsia="宋体" w:cs="宋体"/>
          <w:b/>
          <w:color w:val="000000"/>
          <w:sz w:val="28"/>
          <w:szCs w:val="28"/>
        </w:rPr>
        <w:t>中小企业声明函及其相关的充分的证明材料</w:t>
      </w:r>
    </w:p>
    <w:p>
      <w:pPr>
        <w:widowControl/>
        <w:snapToGrid w:val="0"/>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中小企业声明函</w:t>
      </w:r>
    </w:p>
    <w:p>
      <w:pPr>
        <w:widowControl/>
        <w:snapToGrid w:val="0"/>
        <w:spacing w:line="360" w:lineRule="auto"/>
        <w:ind w:firstLine="480" w:firstLineChars="200"/>
        <w:jc w:val="center"/>
        <w:rPr>
          <w:rFonts w:hint="eastAsia" w:ascii="宋体" w:hAnsi="宋体" w:eastAsia="宋体" w:cs="宋体"/>
          <w:color w:val="000000"/>
          <w:sz w:val="24"/>
        </w:rPr>
      </w:pPr>
      <w:r>
        <w:rPr>
          <w:rFonts w:hint="eastAsia" w:ascii="宋体" w:hAnsi="宋体" w:eastAsia="宋体" w:cs="宋体"/>
          <w:color w:val="000000"/>
          <w:sz w:val="24"/>
        </w:rPr>
        <w:t>【不属于中小企业的无需填写、递交】</w:t>
      </w: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本公司郑重声明，根据《政府采购促进中小企业发展暂行办法》（财库[2011]181 号）的规定，本公司为的______（请填写：中型、小型、微型）企业。即，本公司同时满足以下条件：</w:t>
      </w: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1、根据《工业和信息化部、国家统计局、国家发展和改革委员会、财政部关于印发中小企业划型标准规定的通知》（工信部联企业[2011]300号）规定的划分标准，本公司为</w:t>
      </w:r>
      <w:r>
        <w:rPr>
          <w:rFonts w:hint="eastAsia" w:ascii="宋体" w:hAnsi="宋体" w:eastAsia="宋体" w:cs="宋体"/>
          <w:color w:val="000000"/>
          <w:sz w:val="24"/>
          <w:u w:val="single"/>
        </w:rPr>
        <w:t>______</w:t>
      </w:r>
      <w:r>
        <w:rPr>
          <w:rFonts w:hint="eastAsia" w:ascii="宋体" w:hAnsi="宋体" w:eastAsia="宋体" w:cs="宋体"/>
          <w:color w:val="000000"/>
          <w:sz w:val="24"/>
        </w:rPr>
        <w:t>（请填写：中型、小型、微型）企业。</w:t>
      </w: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本公司参加______（采购人）的______（项目名称）______（标项名称）采购活动提供本企业提供服务，或者提供其他______（请填写：中型、小型、微型）企业提供服务（制造商的中小企业声明函另附）。本条所称货物不包括使用大型企业注册商标的货物。</w:t>
      </w: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本公司对上述声明的真实性负责。如有虚假，将依法承担相应责任。</w:t>
      </w:r>
    </w:p>
    <w:p>
      <w:pPr>
        <w:widowControl/>
        <w:snapToGrid w:val="0"/>
        <w:spacing w:line="360" w:lineRule="auto"/>
        <w:ind w:firstLine="480" w:firstLineChars="200"/>
        <w:rPr>
          <w:rFonts w:hint="eastAsia" w:ascii="宋体" w:hAnsi="宋体" w:eastAsia="宋体" w:cs="宋体"/>
          <w:color w:val="000000"/>
          <w:sz w:val="24"/>
        </w:rPr>
      </w:pP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投标人名称（盖章）：</w:t>
      </w: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日期：    年  月  日</w:t>
      </w:r>
    </w:p>
    <w:p>
      <w:pPr>
        <w:widowControl/>
        <w:pBdr>
          <w:bottom w:val="single" w:color="auto" w:sz="6" w:space="1"/>
        </w:pBdr>
        <w:snapToGrid w:val="0"/>
        <w:spacing w:line="360" w:lineRule="auto"/>
        <w:ind w:firstLine="480" w:firstLineChars="200"/>
        <w:rPr>
          <w:rFonts w:hint="eastAsia" w:ascii="宋体" w:hAnsi="宋体" w:eastAsia="宋体" w:cs="宋体"/>
          <w:color w:val="000000"/>
          <w:sz w:val="24"/>
        </w:rPr>
      </w:pPr>
    </w:p>
    <w:p>
      <w:pPr>
        <w:widowControl/>
        <w:snapToGrid w:val="0"/>
        <w:spacing w:line="360" w:lineRule="auto"/>
        <w:ind w:firstLine="480" w:firstLineChars="200"/>
        <w:rPr>
          <w:rFonts w:hint="eastAsia" w:ascii="宋体" w:hAnsi="宋体" w:eastAsia="宋体" w:cs="宋体"/>
          <w:color w:val="000000"/>
          <w:sz w:val="24"/>
        </w:rPr>
      </w:pPr>
    </w:p>
    <w:p>
      <w:pPr>
        <w:widowControl/>
        <w:snapToGrid w:val="0"/>
        <w:spacing w:line="360" w:lineRule="auto"/>
        <w:ind w:firstLine="440" w:firstLineChars="200"/>
        <w:rPr>
          <w:rFonts w:hint="eastAsia" w:ascii="宋体" w:hAnsi="宋体" w:eastAsia="宋体" w:cs="宋体"/>
          <w:color w:val="000000"/>
          <w:szCs w:val="21"/>
        </w:rPr>
      </w:pPr>
      <w:r>
        <w:rPr>
          <w:rFonts w:hint="eastAsia" w:ascii="宋体" w:hAnsi="宋体" w:eastAsia="宋体" w:cs="宋体"/>
          <w:color w:val="000000"/>
          <w:szCs w:val="21"/>
        </w:rPr>
        <w:t>填写说明：</w:t>
      </w:r>
    </w:p>
    <w:p>
      <w:pPr>
        <w:widowControl/>
        <w:snapToGrid w:val="0"/>
        <w:spacing w:line="360" w:lineRule="auto"/>
        <w:ind w:firstLine="440" w:firstLineChars="200"/>
        <w:rPr>
          <w:rFonts w:hint="eastAsia" w:ascii="宋体" w:hAnsi="宋体" w:eastAsia="宋体" w:cs="宋体"/>
          <w:color w:val="000000"/>
          <w:szCs w:val="21"/>
        </w:rPr>
      </w:pPr>
      <w:r>
        <w:rPr>
          <w:rFonts w:hint="eastAsia" w:ascii="宋体" w:hAnsi="宋体" w:eastAsia="宋体" w:cs="宋体"/>
          <w:color w:val="000000"/>
          <w:szCs w:val="21"/>
        </w:rPr>
        <w:t>1）投标人为中型、小型、微型企业的提供此函；</w:t>
      </w:r>
    </w:p>
    <w:p>
      <w:pPr>
        <w:widowControl/>
        <w:snapToGrid w:val="0"/>
        <w:spacing w:line="360" w:lineRule="auto"/>
        <w:ind w:firstLine="440" w:firstLineChars="200"/>
        <w:rPr>
          <w:rFonts w:hint="eastAsia" w:ascii="宋体" w:hAnsi="宋体" w:eastAsia="宋体" w:cs="宋体"/>
          <w:color w:val="000000"/>
          <w:szCs w:val="21"/>
        </w:rPr>
      </w:pPr>
      <w:r>
        <w:rPr>
          <w:rFonts w:hint="eastAsia" w:ascii="宋体" w:hAnsi="宋体" w:eastAsia="宋体" w:cs="宋体"/>
          <w:color w:val="000000"/>
          <w:szCs w:val="21"/>
        </w:rPr>
        <w:t>2）中型企业不享受价格扣除，小型、微型企业的行业类别由评审专家结合投标人出具的证明材料认定；经认定不符合小型、微型企业标准的，不享受价格扣除；</w:t>
      </w:r>
    </w:p>
    <w:p>
      <w:pPr>
        <w:widowControl/>
        <w:snapToGrid w:val="0"/>
        <w:spacing w:line="360" w:lineRule="auto"/>
        <w:ind w:firstLine="440" w:firstLineChars="200"/>
        <w:rPr>
          <w:rFonts w:hint="eastAsia" w:ascii="宋体" w:hAnsi="宋体" w:eastAsia="宋体" w:cs="宋体"/>
          <w:color w:val="000000"/>
          <w:szCs w:val="21"/>
        </w:rPr>
      </w:pPr>
      <w:r>
        <w:rPr>
          <w:rFonts w:hint="eastAsia" w:ascii="宋体" w:hAnsi="宋体" w:eastAsia="宋体" w:cs="宋体"/>
          <w:color w:val="000000"/>
          <w:szCs w:val="21"/>
        </w:rPr>
        <w:t>3）所投标项内的产品如由多个企业制造的，在填写企业类型时，按产品生产企业中规模最大的企业类型填写；</w:t>
      </w:r>
    </w:p>
    <w:p>
      <w:pPr>
        <w:widowControl/>
        <w:snapToGrid w:val="0"/>
        <w:spacing w:line="360" w:lineRule="auto"/>
        <w:ind w:firstLine="440" w:firstLineChars="200"/>
        <w:rPr>
          <w:rFonts w:hint="eastAsia" w:ascii="宋体" w:hAnsi="宋体" w:eastAsia="宋体" w:cs="宋体"/>
          <w:color w:val="000000"/>
          <w:szCs w:val="21"/>
        </w:rPr>
      </w:pPr>
      <w:r>
        <w:rPr>
          <w:rFonts w:hint="eastAsia" w:ascii="宋体" w:hAnsi="宋体" w:eastAsia="宋体" w:cs="宋体"/>
          <w:color w:val="000000"/>
          <w:szCs w:val="21"/>
        </w:rPr>
        <w:t xml:space="preserve">4）投标产品制造商投标，提供投标人出具的《中小企业声明函》及其相关的充分的证明材料；代理商投标，提供投标人及产品制造商出具的《中小企业声明函》及其相关的充分的证明材料； </w:t>
      </w:r>
    </w:p>
    <w:p>
      <w:pPr>
        <w:widowControl/>
        <w:snapToGrid w:val="0"/>
        <w:spacing w:line="360" w:lineRule="auto"/>
        <w:ind w:firstLine="440" w:firstLineChars="200"/>
        <w:rPr>
          <w:rFonts w:hint="eastAsia" w:ascii="宋体" w:hAnsi="宋体" w:eastAsia="宋体" w:cs="宋体"/>
          <w:b/>
          <w:color w:val="000000"/>
          <w:szCs w:val="21"/>
        </w:rPr>
      </w:pPr>
      <w:r>
        <w:rPr>
          <w:rFonts w:hint="eastAsia" w:ascii="宋体" w:hAnsi="宋体" w:eastAsia="宋体" w:cs="宋体"/>
          <w:color w:val="000000"/>
          <w:szCs w:val="21"/>
        </w:rPr>
        <w:t>5）注：小型、微型企业参加政府采购活动时，应提供：a）《中小企业声明函》；上述证明材料提供不齐全的，不能享受价格扣除。</w:t>
      </w:r>
    </w:p>
    <w:p>
      <w:pPr>
        <w:widowControl/>
        <w:snapToGrid w:val="0"/>
        <w:spacing w:line="360" w:lineRule="auto"/>
        <w:ind w:firstLine="480" w:firstLineChars="200"/>
        <w:rPr>
          <w:rFonts w:hint="eastAsia" w:ascii="宋体" w:hAnsi="宋体" w:eastAsia="宋体" w:cs="宋体"/>
          <w:color w:val="000000"/>
          <w:sz w:val="24"/>
        </w:rPr>
      </w:pPr>
    </w:p>
    <w:p>
      <w:pPr>
        <w:widowControl/>
        <w:snapToGrid w:val="0"/>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▲投标人提供的中小企业声明函与实际情况不符的，视为投标人提供虚假材料投标的，投标无效。</w:t>
      </w:r>
    </w:p>
    <w:p>
      <w:pPr>
        <w:widowControl/>
        <w:snapToGrid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监狱企业声明函</w:t>
      </w:r>
    </w:p>
    <w:p>
      <w:pPr>
        <w:widowControl/>
        <w:snapToGrid w:val="0"/>
        <w:spacing w:line="360" w:lineRule="auto"/>
        <w:ind w:firstLine="480" w:firstLineChars="200"/>
        <w:jc w:val="center"/>
        <w:rPr>
          <w:rFonts w:hint="eastAsia" w:ascii="宋体" w:hAnsi="宋体" w:eastAsia="宋体" w:cs="宋体"/>
          <w:color w:val="000000"/>
          <w:sz w:val="24"/>
        </w:rPr>
      </w:pPr>
      <w:r>
        <w:rPr>
          <w:rFonts w:hint="eastAsia" w:ascii="宋体" w:hAnsi="宋体" w:eastAsia="宋体" w:cs="宋体"/>
          <w:color w:val="000000"/>
          <w:sz w:val="24"/>
        </w:rPr>
        <w:t>【不属于监狱企业的无需填写、递交】</w:t>
      </w: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本公司郑重声明，根据《关于政府采购支持监狱企业发展有关问题的通知》 （财库[2014]68 号）的规定，本公司为</w:t>
      </w:r>
      <w:r>
        <w:rPr>
          <w:rFonts w:hint="eastAsia" w:ascii="宋体" w:hAnsi="宋体" w:eastAsia="宋体" w:cs="宋体"/>
          <w:color w:val="000000"/>
          <w:sz w:val="24"/>
          <w:u w:val="single"/>
        </w:rPr>
        <w:t>监狱企业</w:t>
      </w:r>
      <w:r>
        <w:rPr>
          <w:rFonts w:hint="eastAsia" w:ascii="宋体" w:hAnsi="宋体" w:eastAsia="宋体" w:cs="宋体"/>
          <w:color w:val="000000"/>
          <w:sz w:val="24"/>
        </w:rPr>
        <w:t>。</w:t>
      </w: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根据上述标准，我公司属于监狱企业的理由为：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本公司为参加（</w:t>
      </w:r>
      <w:r>
        <w:rPr>
          <w:rFonts w:hint="eastAsia" w:ascii="宋体" w:hAnsi="宋体" w:eastAsia="宋体" w:cs="宋体"/>
          <w:color w:val="000000"/>
          <w:sz w:val="24"/>
          <w:u w:val="single"/>
        </w:rPr>
        <w:t xml:space="preserve">    项目名称    </w:t>
      </w:r>
      <w:r>
        <w:rPr>
          <w:rFonts w:hint="eastAsia" w:ascii="宋体" w:hAnsi="宋体" w:eastAsia="宋体" w:cs="宋体"/>
          <w:color w:val="000000"/>
          <w:sz w:val="24"/>
        </w:rPr>
        <w:t>） （项目编号：</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）采购活动提供本企业提供服务。</w:t>
      </w: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本公司对上述声明的真实性负责。如有虚假，将依法承担相应责任。</w:t>
      </w:r>
    </w:p>
    <w:p>
      <w:pPr>
        <w:widowControl/>
        <w:snapToGrid w:val="0"/>
        <w:spacing w:line="360" w:lineRule="auto"/>
        <w:ind w:firstLine="480" w:firstLineChars="200"/>
        <w:rPr>
          <w:rFonts w:hint="eastAsia" w:ascii="宋体" w:hAnsi="宋体" w:eastAsia="宋体" w:cs="宋体"/>
          <w:color w:val="000000"/>
          <w:sz w:val="24"/>
        </w:rPr>
      </w:pP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投标人名称（盖章）：</w:t>
      </w:r>
    </w:p>
    <w:p>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日期：    年  月  日</w:t>
      </w:r>
    </w:p>
    <w:p>
      <w:pPr>
        <w:widowControl/>
        <w:snapToGrid w:val="0"/>
        <w:spacing w:line="360" w:lineRule="auto"/>
        <w:ind w:firstLine="480" w:firstLineChars="200"/>
        <w:rPr>
          <w:rFonts w:hint="eastAsia" w:ascii="宋体" w:hAnsi="宋体" w:eastAsia="宋体" w:cs="宋体"/>
          <w:color w:val="000000"/>
          <w:sz w:val="24"/>
        </w:rPr>
      </w:pPr>
    </w:p>
    <w:p>
      <w:pPr>
        <w:widowControl/>
        <w:snapToGrid w:val="0"/>
        <w:spacing w:line="360" w:lineRule="auto"/>
        <w:ind w:firstLine="480" w:firstLineChars="200"/>
        <w:rPr>
          <w:rFonts w:hint="eastAsia" w:ascii="宋体" w:hAnsi="宋体" w:eastAsia="宋体" w:cs="宋体"/>
          <w:color w:val="000000"/>
          <w:sz w:val="24"/>
        </w:rPr>
      </w:pPr>
    </w:p>
    <w:p>
      <w:pPr>
        <w:widowControl/>
        <w:snapToGrid w:val="0"/>
        <w:spacing w:line="360" w:lineRule="auto"/>
        <w:ind w:firstLine="480" w:firstLineChars="200"/>
        <w:rPr>
          <w:rFonts w:hint="eastAsia" w:ascii="宋体" w:hAnsi="宋体" w:eastAsia="宋体" w:cs="宋体"/>
          <w:color w:val="000000"/>
          <w:sz w:val="24"/>
        </w:rPr>
      </w:pPr>
    </w:p>
    <w:p>
      <w:pPr>
        <w:widowControl/>
        <w:snapToGrid w:val="0"/>
        <w:spacing w:line="360" w:lineRule="auto"/>
        <w:ind w:firstLine="480" w:firstLineChars="200"/>
        <w:rPr>
          <w:rFonts w:hint="eastAsia" w:ascii="宋体" w:hAnsi="宋体" w:eastAsia="宋体" w:cs="宋体"/>
          <w:color w:val="000000"/>
          <w:sz w:val="24"/>
        </w:rPr>
      </w:pPr>
    </w:p>
    <w:p>
      <w:pPr>
        <w:widowControl/>
        <w:snapToGrid w:val="0"/>
        <w:spacing w:line="360" w:lineRule="auto"/>
        <w:ind w:firstLine="480" w:firstLineChars="200"/>
        <w:rPr>
          <w:rFonts w:hint="eastAsia" w:ascii="宋体" w:hAnsi="宋体" w:eastAsia="宋体" w:cs="宋体"/>
          <w:color w:val="000000"/>
          <w:sz w:val="24"/>
        </w:rPr>
      </w:pPr>
    </w:p>
    <w:p>
      <w:pPr>
        <w:widowControl/>
        <w:snapToGrid w:val="0"/>
        <w:spacing w:line="360" w:lineRule="auto"/>
        <w:ind w:firstLine="480" w:firstLineChars="200"/>
        <w:rPr>
          <w:rFonts w:hint="eastAsia" w:ascii="宋体" w:hAnsi="宋体" w:eastAsia="宋体" w:cs="宋体"/>
          <w:color w:val="000000"/>
          <w:sz w:val="24"/>
        </w:rPr>
      </w:pPr>
    </w:p>
    <w:p>
      <w:pPr>
        <w:snapToGrid w:val="0"/>
        <w:spacing w:line="360" w:lineRule="auto"/>
        <w:rPr>
          <w:rFonts w:hint="eastAsia" w:ascii="宋体" w:hAnsi="宋体" w:eastAsia="宋体" w:cs="宋体"/>
          <w:b/>
          <w:color w:val="000000"/>
          <w:spacing w:val="6"/>
          <w:sz w:val="24"/>
        </w:rPr>
      </w:pPr>
      <w:bookmarkStart w:id="119" w:name="OLE_LINK14"/>
      <w:bookmarkStart w:id="120" w:name="OLE_LINK13"/>
    </w:p>
    <w:p>
      <w:pPr>
        <w:snapToGrid w:val="0"/>
        <w:spacing w:line="360" w:lineRule="auto"/>
        <w:rPr>
          <w:rFonts w:hint="eastAsia" w:ascii="宋体" w:hAnsi="宋体" w:eastAsia="宋体" w:cs="宋体"/>
          <w:b/>
          <w:color w:val="000000"/>
          <w:spacing w:val="6"/>
          <w:sz w:val="24"/>
        </w:rPr>
      </w:pPr>
    </w:p>
    <w:p>
      <w:pPr>
        <w:snapToGrid w:val="0"/>
        <w:spacing w:line="360" w:lineRule="auto"/>
        <w:jc w:val="center"/>
        <w:rPr>
          <w:rFonts w:hint="eastAsia" w:ascii="宋体" w:hAnsi="宋体" w:eastAsia="宋体" w:cs="宋体"/>
          <w:b/>
          <w:color w:val="000000"/>
          <w:spacing w:val="6"/>
          <w:sz w:val="24"/>
        </w:rPr>
      </w:pPr>
    </w:p>
    <w:p>
      <w:pPr>
        <w:snapToGrid w:val="0"/>
        <w:spacing w:line="360" w:lineRule="auto"/>
        <w:jc w:val="center"/>
        <w:rPr>
          <w:rFonts w:hint="eastAsia" w:ascii="宋体" w:hAnsi="宋体" w:eastAsia="宋体" w:cs="宋体"/>
          <w:b/>
          <w:color w:val="000000"/>
          <w:spacing w:val="6"/>
          <w:sz w:val="24"/>
        </w:rPr>
      </w:pPr>
    </w:p>
    <w:p>
      <w:pPr>
        <w:pageBreakBefore/>
        <w:snapToGrid w:val="0"/>
        <w:spacing w:line="360" w:lineRule="auto"/>
        <w:jc w:val="center"/>
        <w:rPr>
          <w:rFonts w:hint="eastAsia" w:ascii="宋体" w:hAnsi="宋体" w:eastAsia="宋体" w:cs="宋体"/>
          <w:b/>
          <w:color w:val="000000"/>
          <w:spacing w:val="6"/>
          <w:sz w:val="24"/>
        </w:rPr>
      </w:pPr>
      <w:r>
        <w:rPr>
          <w:rFonts w:hint="eastAsia" w:ascii="宋体" w:hAnsi="宋体" w:eastAsia="宋体" w:cs="宋体"/>
          <w:b/>
          <w:color w:val="000000"/>
          <w:spacing w:val="6"/>
          <w:sz w:val="24"/>
        </w:rPr>
        <w:t>残疾人福利性单位声明函</w:t>
      </w:r>
      <w:bookmarkEnd w:id="119"/>
      <w:bookmarkEnd w:id="120"/>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本单位对上述声明的真实性负责。如有虚假，将依法承担相应责任。</w:t>
      </w:r>
    </w:p>
    <w:p>
      <w:pPr>
        <w:snapToGrid w:val="0"/>
        <w:spacing w:line="360" w:lineRule="auto"/>
        <w:ind w:firstLine="480" w:firstLineChars="200"/>
        <w:rPr>
          <w:rFonts w:hint="eastAsia" w:ascii="宋体" w:hAnsi="宋体" w:eastAsia="宋体" w:cs="宋体"/>
          <w:color w:val="000000"/>
          <w:sz w:val="24"/>
        </w:rPr>
      </w:pPr>
    </w:p>
    <w:p>
      <w:pPr>
        <w:snapToGrid w:val="0"/>
        <w:spacing w:line="360" w:lineRule="auto"/>
        <w:ind w:firstLine="480" w:firstLineChars="200"/>
        <w:rPr>
          <w:rFonts w:hint="eastAsia" w:ascii="宋体" w:hAnsi="宋体" w:eastAsia="宋体" w:cs="宋体"/>
          <w:color w:val="000000"/>
          <w:sz w:val="24"/>
        </w:rPr>
      </w:pPr>
    </w:p>
    <w:p>
      <w:pPr>
        <w:tabs>
          <w:tab w:val="left" w:pos="4860"/>
        </w:tabs>
        <w:snapToGrid w:val="0"/>
        <w:spacing w:line="360" w:lineRule="auto"/>
        <w:ind w:right="1560"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       单位名称（盖章）：</w:t>
      </w:r>
    </w:p>
    <w:p>
      <w:pPr>
        <w:tabs>
          <w:tab w:val="left" w:pos="4860"/>
        </w:tabs>
        <w:snapToGrid w:val="0"/>
        <w:spacing w:line="360" w:lineRule="auto"/>
        <w:ind w:right="1560"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       日  期：</w:t>
      </w:r>
    </w:p>
    <w:p>
      <w:pPr>
        <w:pStyle w:val="36"/>
        <w:snapToGrid w:val="0"/>
        <w:spacing w:line="360" w:lineRule="auto"/>
        <w:ind w:left="36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扶持政策说明：</w:t>
      </w:r>
    </w:p>
    <w:p>
      <w:pPr>
        <w:pStyle w:val="36"/>
        <w:snapToGrid w:val="0"/>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1、根据财政部、工业和信息化部制定的《政府采购促进中小企业发展暂行办法》和转发财政部工业和信息化部关于印发《政府采购促进中小企业发展暂行办法》的通知（浙财采监[2012]11号），对小型或微型企业的投标报价给予</w:t>
      </w:r>
      <w:r>
        <w:rPr>
          <w:rFonts w:hint="eastAsia" w:ascii="宋体" w:hAnsi="宋体" w:eastAsia="宋体" w:cs="宋体"/>
          <w:color w:val="000000"/>
          <w:sz w:val="24"/>
          <w:szCs w:val="24"/>
          <w:u w:val="single"/>
        </w:rPr>
        <w:t>6%</w:t>
      </w:r>
      <w:r>
        <w:rPr>
          <w:rFonts w:hint="eastAsia" w:ascii="宋体" w:hAnsi="宋体" w:eastAsia="宋体" w:cs="宋体"/>
          <w:color w:val="000000"/>
          <w:sz w:val="24"/>
          <w:szCs w:val="24"/>
        </w:rPr>
        <w:t>的扣除，并用扣除后的价格计算价格评分。</w:t>
      </w:r>
    </w:p>
    <w:p>
      <w:pPr>
        <w:snapToGrid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2、监狱企业视同小微企业，参加本项目投标的，享受小微企业同等的价格扣除。【注：提供《监狱企业声明函》及其相关的充分的证明材料】。</w:t>
      </w:r>
    </w:p>
    <w:p>
      <w:pPr>
        <w:pStyle w:val="36"/>
        <w:snapToGrid w:val="0"/>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3、残疾人福利性单位参加投标【提供《残疾人福利性单位声明函》】，视为小型、微型企业，享受小微企业政策扶持。</w:t>
      </w:r>
    </w:p>
    <w:p>
      <w:pPr>
        <w:pStyle w:val="36"/>
        <w:snapToGrid w:val="0"/>
        <w:spacing w:line="360" w:lineRule="auto"/>
        <w:ind w:left="360" w:firstLine="240" w:firstLineChars="100"/>
        <w:jc w:val="center"/>
        <w:rPr>
          <w:rFonts w:hint="eastAsia" w:ascii="宋体" w:hAnsi="宋体" w:eastAsia="宋体" w:cs="宋体"/>
          <w:color w:val="000000"/>
          <w:sz w:val="24"/>
          <w:szCs w:val="24"/>
        </w:rPr>
      </w:pPr>
    </w:p>
    <w:p>
      <w:pPr>
        <w:pStyle w:val="4"/>
        <w:snapToGrid w:val="0"/>
        <w:spacing w:after="120"/>
        <w:rPr>
          <w:rFonts w:hint="eastAsia" w:ascii="宋体" w:hAnsi="宋体" w:eastAsia="宋体" w:cs="宋体"/>
          <w:color w:val="000000"/>
        </w:rPr>
      </w:pPr>
      <w:r>
        <w:rPr>
          <w:rFonts w:hint="eastAsia" w:ascii="宋体" w:hAnsi="宋体" w:eastAsia="宋体" w:cs="宋体"/>
          <w:color w:val="000000"/>
          <w:sz w:val="24"/>
        </w:rPr>
        <w:br w:type="page"/>
      </w:r>
      <w:bookmarkStart w:id="121" w:name="_Toc354996708"/>
      <w:bookmarkStart w:id="122" w:name="_Toc33194408"/>
      <w:r>
        <w:rPr>
          <w:rFonts w:hint="eastAsia" w:ascii="宋体" w:hAnsi="宋体" w:eastAsia="宋体" w:cs="宋体"/>
          <w:color w:val="000000"/>
        </w:rPr>
        <w:t>商务</w:t>
      </w:r>
      <w:bookmarkEnd w:id="121"/>
      <w:bookmarkStart w:id="123" w:name="_Toc354996709"/>
      <w:r>
        <w:rPr>
          <w:rFonts w:hint="eastAsia" w:ascii="宋体" w:hAnsi="宋体" w:eastAsia="宋体" w:cs="宋体"/>
          <w:color w:val="000000"/>
        </w:rPr>
        <w:t>技术文件</w:t>
      </w:r>
      <w:bookmarkEnd w:id="122"/>
    </w:p>
    <w:p>
      <w:pPr>
        <w:shd w:val="clear" w:color="auto" w:fill="FFFFFF"/>
        <w:snapToGrid w:val="0"/>
        <w:spacing w:line="360" w:lineRule="auto"/>
        <w:jc w:val="center"/>
        <w:rPr>
          <w:rFonts w:hint="eastAsia" w:ascii="宋体" w:hAnsi="宋体" w:eastAsia="宋体" w:cs="宋体"/>
          <w:b/>
          <w:color w:val="000000"/>
          <w:sz w:val="28"/>
          <w:szCs w:val="28"/>
        </w:rPr>
      </w:pPr>
      <w:bookmarkStart w:id="124" w:name="_Toc31837"/>
      <w:bookmarkStart w:id="125" w:name="_Toc20721"/>
      <w:bookmarkStart w:id="126" w:name="_Toc25554"/>
      <w:bookmarkStart w:id="127" w:name="_Toc3604"/>
      <w:bookmarkStart w:id="128" w:name="_Toc20650"/>
      <w:bookmarkStart w:id="129" w:name="_Toc27129"/>
      <w:bookmarkStart w:id="130" w:name="_Toc10347"/>
      <w:bookmarkStart w:id="131" w:name="_Toc7049"/>
      <w:bookmarkStart w:id="132" w:name="_Toc7803"/>
      <w:bookmarkStart w:id="133" w:name="_Toc13349"/>
      <w:bookmarkStart w:id="134" w:name="_Toc13194"/>
      <w:r>
        <w:rPr>
          <w:rFonts w:hint="eastAsia" w:ascii="宋体" w:hAnsi="宋体" w:eastAsia="宋体" w:cs="宋体"/>
          <w:b/>
          <w:color w:val="000000"/>
          <w:sz w:val="28"/>
          <w:szCs w:val="28"/>
        </w:rPr>
        <w:t>目录</w:t>
      </w:r>
      <w:bookmarkEnd w:id="124"/>
      <w:bookmarkEnd w:id="125"/>
      <w:bookmarkEnd w:id="126"/>
      <w:bookmarkEnd w:id="127"/>
      <w:bookmarkEnd w:id="128"/>
      <w:bookmarkEnd w:id="129"/>
      <w:bookmarkEnd w:id="130"/>
      <w:bookmarkEnd w:id="131"/>
      <w:bookmarkEnd w:id="132"/>
      <w:bookmarkEnd w:id="133"/>
      <w:bookmarkEnd w:id="134"/>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（1）法定代表人授权委托书…………………………………………………………（页码）</w:t>
      </w:r>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（2）法定代表人及授权代表人的身份证……………………………………………（页码）</w:t>
      </w:r>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（3）资质文件…………………………………………………………………………（页码）</w:t>
      </w:r>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（4）公司介绍及同类项目业绩经验案例……………………………………………（页码）</w:t>
      </w:r>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（5）</w:t>
      </w:r>
      <w:r>
        <w:rPr>
          <w:rFonts w:hint="eastAsia" w:ascii="宋体" w:hAnsi="宋体" w:eastAsia="宋体" w:cs="宋体"/>
          <w:color w:val="000000"/>
          <w:sz w:val="24"/>
          <w:lang w:bidi="ar"/>
        </w:rPr>
        <w:t>针对本项目的详细服务实施计划方案等</w:t>
      </w:r>
      <w:r>
        <w:rPr>
          <w:rFonts w:hint="eastAsia" w:ascii="宋体" w:hAnsi="宋体" w:eastAsia="宋体" w:cs="宋体"/>
          <w:color w:val="000000"/>
          <w:sz w:val="24"/>
        </w:rPr>
        <w:t>……………………………………（页码）</w:t>
      </w:r>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val="en-US"/>
        </w:rPr>
        <w:t>6</w:t>
      </w:r>
      <w:r>
        <w:rPr>
          <w:rFonts w:hint="eastAsia" w:ascii="宋体" w:hAnsi="宋体" w:eastAsia="宋体" w:cs="宋体"/>
          <w:color w:val="000000"/>
          <w:sz w:val="24"/>
        </w:rPr>
        <w:t>）服务承诺…………………………………………………………………………（页码）</w:t>
      </w:r>
    </w:p>
    <w:p>
      <w:pPr>
        <w:shd w:val="clear" w:color="auto" w:fill="FFFFFF"/>
        <w:autoSpaceDE/>
        <w:autoSpaceDN/>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val="en-US"/>
        </w:rPr>
        <w:t>7</w:t>
      </w:r>
      <w:r>
        <w:rPr>
          <w:rFonts w:hint="eastAsia" w:ascii="宋体" w:hAnsi="宋体" w:eastAsia="宋体" w:cs="宋体"/>
          <w:color w:val="000000"/>
          <w:sz w:val="24"/>
        </w:rPr>
        <w:t>）商务技术偏离表…………………………………………………………………（页码）</w:t>
      </w:r>
    </w:p>
    <w:p>
      <w:pPr>
        <w:pStyle w:val="21"/>
        <w:spacing w:line="360" w:lineRule="auto"/>
        <w:rPr>
          <w:rFonts w:hint="eastAsia" w:ascii="宋体" w:hAnsi="宋体" w:eastAsia="宋体" w:cs="宋体"/>
          <w:lang w:val="en-US"/>
        </w:rPr>
      </w:pPr>
      <w:r>
        <w:rPr>
          <w:rFonts w:hint="eastAsia" w:ascii="宋体" w:hAnsi="宋体" w:eastAsia="宋体" w:cs="宋体"/>
          <w:color w:val="000000"/>
          <w:lang w:val="en-US"/>
        </w:rPr>
        <w:t>（8）实质性内容响应表……………………………………………………………（页码）</w:t>
      </w:r>
    </w:p>
    <w:p>
      <w:pPr>
        <w:shd w:val="clear" w:color="auto" w:fill="FFFFFF"/>
        <w:autoSpaceDE/>
        <w:autoSpaceDN/>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val="en-US"/>
        </w:rPr>
        <w:t>9</w:t>
      </w:r>
      <w:r>
        <w:rPr>
          <w:rFonts w:hint="eastAsia" w:ascii="宋体" w:hAnsi="宋体" w:eastAsia="宋体" w:cs="宋体"/>
          <w:color w:val="000000"/>
          <w:sz w:val="24"/>
        </w:rPr>
        <w:t>）对应商务技术评分细则提供相关证明资料…………………………………（页码）</w:t>
      </w:r>
    </w:p>
    <w:p>
      <w:pPr>
        <w:shd w:val="clear" w:color="auto" w:fill="FFFFFF"/>
        <w:autoSpaceDE/>
        <w:autoSpaceDN/>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val="en-US"/>
        </w:rPr>
        <w:t>10</w:t>
      </w:r>
      <w:r>
        <w:rPr>
          <w:rFonts w:hint="eastAsia" w:ascii="宋体" w:hAnsi="宋体" w:eastAsia="宋体" w:cs="宋体"/>
          <w:color w:val="000000"/>
          <w:sz w:val="24"/>
        </w:rPr>
        <w:t>）其他必要提供的资料…………………………………………………………（页码）</w:t>
      </w:r>
    </w:p>
    <w:p>
      <w:pPr>
        <w:shd w:val="clear" w:color="auto" w:fill="FFFFFF"/>
        <w:snapToGrid w:val="0"/>
        <w:spacing w:line="360" w:lineRule="auto"/>
        <w:rPr>
          <w:rFonts w:hint="eastAsia" w:ascii="宋体" w:hAnsi="宋体" w:eastAsia="宋体" w:cs="宋体"/>
          <w:color w:val="000000"/>
          <w:sz w:val="24"/>
        </w:rPr>
      </w:pPr>
    </w:p>
    <w:p>
      <w:pPr>
        <w:shd w:val="clear" w:color="auto" w:fill="FFFFFF"/>
        <w:snapToGrid w:val="0"/>
        <w:spacing w:line="360" w:lineRule="auto"/>
        <w:rPr>
          <w:rFonts w:hint="eastAsia" w:ascii="宋体" w:hAnsi="宋体" w:eastAsia="宋体" w:cs="宋体"/>
          <w:color w:val="000000"/>
          <w:sz w:val="24"/>
          <w:szCs w:val="21"/>
        </w:rPr>
      </w:pPr>
      <w:r>
        <w:rPr>
          <w:rFonts w:hint="eastAsia" w:ascii="宋体" w:hAnsi="宋体" w:eastAsia="宋体" w:cs="宋体"/>
          <w:color w:val="000000"/>
          <w:sz w:val="24"/>
          <w:szCs w:val="21"/>
        </w:rPr>
        <w:t>注：以上目录是编制投标技术文件的基本格式要求，各投标人可根据自身情况进一步细化。</w:t>
      </w:r>
    </w:p>
    <w:p>
      <w:pPr>
        <w:pStyle w:val="9"/>
        <w:snapToGrid w:val="0"/>
        <w:spacing w:line="360" w:lineRule="auto"/>
        <w:ind w:firstLine="440" w:firstLineChars="200"/>
        <w:jc w:val="center"/>
        <w:outlineLvl w:val="2"/>
        <w:rPr>
          <w:rFonts w:hint="eastAsia" w:ascii="宋体" w:hAnsi="宋体" w:eastAsia="宋体" w:cs="宋体"/>
          <w:b/>
          <w:color w:val="000000"/>
          <w:sz w:val="32"/>
          <w:szCs w:val="32"/>
        </w:rPr>
      </w:pPr>
      <w:r>
        <w:rPr>
          <w:rFonts w:hint="eastAsia" w:ascii="宋体" w:hAnsi="宋体" w:eastAsia="宋体" w:cs="宋体"/>
          <w:szCs w:val="24"/>
          <w:lang w:val="en-US"/>
        </w:rPr>
        <w:t xml:space="preserve"> </w:t>
      </w:r>
      <w:r>
        <w:rPr>
          <w:rFonts w:hint="eastAsia" w:ascii="宋体" w:hAnsi="宋体" w:eastAsia="宋体" w:cs="宋体"/>
          <w:color w:val="000000"/>
          <w:sz w:val="24"/>
        </w:rPr>
        <w:br w:type="page"/>
      </w:r>
      <w:bookmarkEnd w:id="123"/>
      <w:r>
        <w:rPr>
          <w:rFonts w:hint="eastAsia" w:ascii="宋体" w:hAnsi="宋体" w:eastAsia="宋体" w:cs="宋体"/>
          <w:b/>
          <w:color w:val="000000"/>
          <w:sz w:val="32"/>
          <w:szCs w:val="32"/>
        </w:rPr>
        <w:t>一、法定代表人授权委托书</w:t>
      </w:r>
    </w:p>
    <w:p>
      <w:pPr>
        <w:shd w:val="clear" w:color="auto" w:fill="FFFFFF"/>
        <w:snapToGrid w:val="0"/>
        <w:spacing w:line="360" w:lineRule="auto"/>
        <w:rPr>
          <w:rFonts w:hint="eastAsia" w:ascii="宋体" w:hAnsi="宋体" w:eastAsia="宋体" w:cs="宋体"/>
          <w:color w:val="000000"/>
          <w:sz w:val="24"/>
          <w:lang w:eastAsia="zh-CN"/>
        </w:rPr>
      </w:pPr>
      <w:r>
        <w:rPr>
          <w:rFonts w:hint="eastAsia" w:ascii="宋体" w:hAnsi="宋体" w:eastAsia="宋体" w:cs="宋体"/>
          <w:color w:val="000000"/>
          <w:sz w:val="24"/>
          <w:lang w:eastAsia="zh-CN"/>
        </w:rPr>
        <w:t>杭州市余杭区人民政府</w:t>
      </w:r>
      <w:r>
        <w:rPr>
          <w:rFonts w:hint="eastAsia" w:cs="宋体"/>
          <w:color w:val="000000"/>
          <w:sz w:val="24"/>
          <w:lang w:eastAsia="zh-CN"/>
        </w:rPr>
        <w:t>仁和街道办事处</w:t>
      </w:r>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杭州鸿顺建设管理有限公司：</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兹委派我公司</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先生/女士(其在本公司的职务是：</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，联系电话：</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手机：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传真：</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)，代表我公司全权处理</w:t>
      </w:r>
      <w:r>
        <w:rPr>
          <w:rFonts w:hint="eastAsia" w:ascii="宋体" w:hAnsi="宋体" w:eastAsia="宋体" w:cs="宋体"/>
          <w:color w:val="000000"/>
          <w:sz w:val="24"/>
          <w:u w:val="single"/>
          <w:lang w:eastAsia="zh-CN"/>
        </w:rPr>
        <w:t>杭州市余杭区人民政府</w:t>
      </w:r>
      <w:r>
        <w:rPr>
          <w:rFonts w:hint="eastAsia" w:cs="宋体"/>
          <w:color w:val="000000"/>
          <w:sz w:val="24"/>
          <w:u w:val="single"/>
          <w:lang w:eastAsia="zh-CN"/>
        </w:rPr>
        <w:t>仁和街道办事处</w:t>
      </w:r>
      <w:r>
        <w:rPr>
          <w:rFonts w:hint="eastAsia" w:ascii="宋体" w:hAnsi="宋体" w:eastAsia="宋体" w:cs="宋体"/>
          <w:color w:val="000000"/>
          <w:sz w:val="24"/>
          <w:u w:val="single"/>
          <w:lang w:eastAsia="zh-CN"/>
        </w:rPr>
        <w:t>仁和街道高新农业开发区易腐垃圾集中处置设备采购项目</w:t>
      </w:r>
      <w:r>
        <w:rPr>
          <w:rFonts w:hint="eastAsia" w:ascii="宋体" w:hAnsi="宋体" w:eastAsia="宋体" w:cs="宋体"/>
          <w:color w:val="000000"/>
          <w:sz w:val="24"/>
        </w:rPr>
        <w:t>(编号：</w:t>
      </w:r>
      <w:r>
        <w:rPr>
          <w:rFonts w:hint="eastAsia" w:ascii="宋体" w:hAnsi="宋体" w:eastAsia="宋体" w:cs="宋体"/>
          <w:color w:val="000000"/>
          <w:sz w:val="24"/>
          <w:lang w:val="en-US"/>
        </w:rPr>
        <w:t xml:space="preserve">   </w:t>
      </w:r>
      <w:r>
        <w:rPr>
          <w:rFonts w:hint="eastAsia" w:ascii="宋体" w:hAnsi="宋体" w:eastAsia="宋体" w:cs="宋体"/>
          <w:color w:val="000000"/>
          <w:sz w:val="24"/>
        </w:rPr>
        <w:t>)政府采购投标的一切事项，若中标则全权代表本公司签订相关合同，并负责处理合同履行等事宜。</w:t>
      </w:r>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特此告知。</w:t>
      </w:r>
    </w:p>
    <w:p>
      <w:pPr>
        <w:shd w:val="clear" w:color="auto" w:fill="FFFFFF"/>
        <w:snapToGrid w:val="0"/>
        <w:spacing w:line="360" w:lineRule="auto"/>
        <w:rPr>
          <w:rFonts w:hint="eastAsia" w:ascii="宋体" w:hAnsi="宋体" w:eastAsia="宋体" w:cs="宋体"/>
          <w:color w:val="000000"/>
          <w:sz w:val="24"/>
        </w:rPr>
      </w:pPr>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投标人名称(公章)：</w:t>
      </w:r>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法定代表人(签字或盖章)：</w:t>
      </w:r>
    </w:p>
    <w:p>
      <w:pPr>
        <w:shd w:val="clear" w:color="auto" w:fill="FFFFFF"/>
        <w:snapToGrid w:val="0"/>
        <w:spacing w:line="360" w:lineRule="auto"/>
        <w:ind w:firstLine="5160" w:firstLineChars="2150"/>
        <w:rPr>
          <w:rFonts w:hint="eastAsia" w:ascii="宋体" w:hAnsi="宋体" w:eastAsia="宋体" w:cs="宋体"/>
          <w:color w:val="000000"/>
          <w:sz w:val="24"/>
        </w:rPr>
      </w:pPr>
      <w:r>
        <w:rPr>
          <w:rFonts w:hint="eastAsia" w:ascii="宋体" w:hAnsi="宋体" w:eastAsia="宋体" w:cs="宋体"/>
          <w:color w:val="000000"/>
          <w:sz w:val="24"/>
        </w:rPr>
        <w:t>日期：   年  月   日</w:t>
      </w:r>
    </w:p>
    <w:p>
      <w:pPr>
        <w:shd w:val="clear" w:color="auto" w:fill="FFFFFF"/>
        <w:snapToGrid w:val="0"/>
        <w:spacing w:line="360" w:lineRule="auto"/>
        <w:ind w:right="480"/>
        <w:jc w:val="center"/>
        <w:rPr>
          <w:rFonts w:hint="eastAsia" w:ascii="宋体" w:hAnsi="宋体" w:eastAsia="宋体" w:cs="宋体"/>
          <w:b/>
          <w:bCs/>
          <w:color w:val="000000"/>
          <w:sz w:val="24"/>
        </w:rPr>
      </w:pPr>
    </w:p>
    <w:p>
      <w:pPr>
        <w:shd w:val="clear" w:color="auto" w:fill="FFFFFF"/>
        <w:snapToGrid w:val="0"/>
        <w:spacing w:line="360" w:lineRule="auto"/>
        <w:ind w:firstLine="482" w:firstLineChars="200"/>
        <w:rPr>
          <w:rFonts w:hint="eastAsia" w:ascii="宋体" w:hAnsi="宋体" w:eastAsia="宋体" w:cs="宋体"/>
          <w:b/>
          <w:bCs/>
          <w:color w:val="000000"/>
          <w:sz w:val="24"/>
        </w:rPr>
      </w:pPr>
    </w:p>
    <w:p>
      <w:pPr>
        <w:pStyle w:val="9"/>
        <w:snapToGrid w:val="0"/>
        <w:spacing w:line="360" w:lineRule="auto"/>
        <w:ind w:firstLine="643" w:firstLineChars="200"/>
        <w:jc w:val="center"/>
        <w:outlineLvl w:val="2"/>
        <w:rPr>
          <w:rFonts w:hint="eastAsia" w:ascii="宋体" w:hAnsi="宋体" w:eastAsia="宋体" w:cs="宋体"/>
          <w:b/>
          <w:color w:val="000000"/>
          <w:sz w:val="32"/>
          <w:szCs w:val="32"/>
        </w:rPr>
      </w:pPr>
      <w:r>
        <w:rPr>
          <w:rFonts w:hint="eastAsia" w:ascii="宋体" w:hAnsi="宋体" w:eastAsia="宋体" w:cs="宋体"/>
          <w:b/>
          <w:color w:val="000000"/>
          <w:sz w:val="32"/>
          <w:szCs w:val="32"/>
        </w:rPr>
        <w:t>二、法定代表人及授权代表人的身份证 (扫描件加盖公章)</w:t>
      </w:r>
    </w:p>
    <w:p>
      <w:pPr>
        <w:shd w:val="clear" w:color="auto" w:fill="FFFFFF"/>
        <w:snapToGrid w:val="0"/>
        <w:spacing w:line="360" w:lineRule="auto"/>
        <w:ind w:right="480"/>
        <w:rPr>
          <w:rFonts w:hint="eastAsia" w:ascii="宋体" w:hAnsi="宋体" w:eastAsia="宋体" w:cs="宋体"/>
          <w:b/>
          <w:bCs/>
          <w:color w:val="000000"/>
          <w:sz w:val="24"/>
        </w:rPr>
      </w:pPr>
    </w:p>
    <w:p>
      <w:pPr>
        <w:pStyle w:val="9"/>
        <w:snapToGrid w:val="0"/>
        <w:spacing w:line="360" w:lineRule="auto"/>
        <w:ind w:firstLine="643" w:firstLineChars="200"/>
        <w:jc w:val="both"/>
        <w:outlineLvl w:val="2"/>
        <w:rPr>
          <w:rFonts w:hint="eastAsia" w:ascii="宋体" w:hAnsi="宋体" w:eastAsia="宋体" w:cs="宋体"/>
          <w:color w:val="000000"/>
          <w:sz w:val="24"/>
        </w:rPr>
      </w:pPr>
      <w:r>
        <w:rPr>
          <w:rFonts w:hint="eastAsia" w:ascii="宋体" w:hAnsi="宋体" w:eastAsia="宋体" w:cs="宋体"/>
          <w:b/>
          <w:color w:val="000000"/>
          <w:sz w:val="32"/>
          <w:szCs w:val="32"/>
        </w:rPr>
        <w:t>三、资质文件（如有）</w:t>
      </w:r>
      <w:r>
        <w:rPr>
          <w:rFonts w:hint="eastAsia" w:ascii="宋体" w:hAnsi="宋体" w:eastAsia="宋体" w:cs="宋体"/>
          <w:color w:val="000000"/>
          <w:sz w:val="24"/>
        </w:rPr>
        <w:t xml:space="preserve"> </w:t>
      </w:r>
    </w:p>
    <w:p>
      <w:pPr>
        <w:pStyle w:val="9"/>
        <w:snapToGrid w:val="0"/>
        <w:spacing w:line="360" w:lineRule="auto"/>
        <w:jc w:val="both"/>
        <w:outlineLvl w:val="2"/>
        <w:rPr>
          <w:rFonts w:hint="eastAsia" w:ascii="宋体" w:hAnsi="宋体" w:eastAsia="宋体" w:cs="宋体"/>
          <w:color w:val="000000"/>
          <w:sz w:val="24"/>
        </w:rPr>
      </w:pPr>
    </w:p>
    <w:p>
      <w:pPr>
        <w:pStyle w:val="9"/>
        <w:snapToGrid w:val="0"/>
        <w:spacing w:line="360" w:lineRule="auto"/>
        <w:jc w:val="center"/>
        <w:outlineLvl w:val="2"/>
        <w:rPr>
          <w:rFonts w:hint="eastAsia" w:ascii="宋体" w:hAnsi="宋体" w:eastAsia="宋体" w:cs="宋体"/>
          <w:color w:val="000000"/>
        </w:rPr>
      </w:pPr>
      <w:r>
        <w:rPr>
          <w:rFonts w:hint="eastAsia" w:ascii="宋体" w:hAnsi="宋体" w:eastAsia="宋体" w:cs="宋体"/>
          <w:b/>
          <w:color w:val="000000"/>
          <w:sz w:val="32"/>
          <w:szCs w:val="32"/>
          <w:lang w:val="en-US"/>
        </w:rPr>
        <w:t xml:space="preserve">    </w:t>
      </w:r>
      <w:r>
        <w:rPr>
          <w:rFonts w:hint="eastAsia" w:ascii="宋体" w:hAnsi="宋体" w:eastAsia="宋体" w:cs="宋体"/>
          <w:b/>
          <w:color w:val="000000"/>
          <w:sz w:val="32"/>
          <w:szCs w:val="32"/>
        </w:rPr>
        <w:t>四、公司介绍及同类项目业绩经验案例（需提供合同扫描件并加盖公章）</w:t>
      </w:r>
    </w:p>
    <w:p>
      <w:pPr>
        <w:pStyle w:val="3"/>
        <w:snapToGrid w:val="0"/>
        <w:spacing w:line="360" w:lineRule="auto"/>
        <w:rPr>
          <w:rFonts w:hint="eastAsia" w:ascii="宋体" w:hAnsi="宋体" w:eastAsia="宋体" w:cs="宋体"/>
          <w:color w:val="000000"/>
        </w:rPr>
      </w:pPr>
    </w:p>
    <w:p>
      <w:pPr>
        <w:pStyle w:val="9"/>
        <w:snapToGrid w:val="0"/>
        <w:spacing w:line="360" w:lineRule="auto"/>
        <w:ind w:firstLine="643" w:firstLineChars="200"/>
        <w:jc w:val="both"/>
        <w:outlineLvl w:val="2"/>
        <w:rPr>
          <w:rFonts w:hint="eastAsia" w:ascii="宋体" w:hAnsi="宋体" w:eastAsia="宋体" w:cs="宋体"/>
          <w:b/>
          <w:color w:val="000000"/>
          <w:sz w:val="32"/>
          <w:szCs w:val="32"/>
        </w:rPr>
      </w:pPr>
      <w:r>
        <w:rPr>
          <w:rFonts w:hint="eastAsia" w:ascii="宋体" w:hAnsi="宋体" w:eastAsia="宋体" w:cs="宋体"/>
          <w:b/>
          <w:color w:val="000000"/>
          <w:sz w:val="32"/>
          <w:szCs w:val="32"/>
        </w:rPr>
        <w:t>五、</w:t>
      </w:r>
      <w:r>
        <w:rPr>
          <w:rFonts w:hint="eastAsia" w:ascii="宋体" w:hAnsi="宋体" w:eastAsia="宋体" w:cs="宋体"/>
          <w:b/>
          <w:color w:val="000000"/>
          <w:sz w:val="32"/>
          <w:szCs w:val="32"/>
          <w:lang w:bidi="ar"/>
        </w:rPr>
        <w:t>针对本项目的详细服务实施计划方案等</w:t>
      </w:r>
    </w:p>
    <w:p>
      <w:pPr>
        <w:pStyle w:val="2"/>
        <w:ind w:left="0" w:leftChars="0" w:firstLine="0" w:firstLineChars="0"/>
        <w:rPr>
          <w:rFonts w:hint="eastAsia" w:ascii="宋体" w:hAnsi="宋体" w:eastAsia="宋体" w:cs="宋体"/>
        </w:rPr>
      </w:pPr>
    </w:p>
    <w:p>
      <w:pPr>
        <w:pStyle w:val="2"/>
        <w:ind w:left="440"/>
        <w:rPr>
          <w:rFonts w:hint="eastAsia" w:ascii="宋体" w:hAnsi="宋体" w:eastAsia="宋体" w:cs="宋体"/>
        </w:rPr>
      </w:pPr>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投标人名称(公章)：</w:t>
      </w:r>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法定代表人(签字或盖章)：</w:t>
      </w:r>
    </w:p>
    <w:p>
      <w:pPr>
        <w:shd w:val="clear" w:color="auto" w:fill="FFFFFF"/>
        <w:snapToGrid w:val="0"/>
        <w:spacing w:line="360" w:lineRule="auto"/>
        <w:ind w:firstLine="5160" w:firstLineChars="2150"/>
        <w:rPr>
          <w:rFonts w:hint="eastAsia" w:ascii="宋体" w:hAnsi="宋体" w:eastAsia="宋体" w:cs="宋体"/>
          <w:color w:val="000000"/>
          <w:sz w:val="24"/>
        </w:rPr>
      </w:pPr>
      <w:r>
        <w:rPr>
          <w:rFonts w:hint="eastAsia" w:ascii="宋体" w:hAnsi="宋体" w:eastAsia="宋体" w:cs="宋体"/>
          <w:color w:val="000000"/>
          <w:sz w:val="24"/>
        </w:rPr>
        <w:t>日期：   年  月   日</w:t>
      </w:r>
    </w:p>
    <w:p>
      <w:pPr>
        <w:shd w:val="clear" w:color="auto" w:fill="FFFFFF"/>
        <w:snapToGrid w:val="0"/>
        <w:spacing w:line="360" w:lineRule="auto"/>
        <w:rPr>
          <w:rFonts w:hint="eastAsia" w:ascii="宋体" w:hAnsi="宋体" w:eastAsia="宋体" w:cs="宋体"/>
          <w:color w:val="000000"/>
          <w:sz w:val="24"/>
        </w:rPr>
      </w:pPr>
    </w:p>
    <w:p>
      <w:pPr>
        <w:pStyle w:val="9"/>
        <w:snapToGrid w:val="0"/>
        <w:spacing w:line="360" w:lineRule="auto"/>
        <w:ind w:firstLine="643" w:firstLineChars="200"/>
        <w:jc w:val="center"/>
        <w:outlineLvl w:val="2"/>
        <w:rPr>
          <w:rFonts w:hint="eastAsia" w:ascii="宋体" w:hAnsi="宋体" w:eastAsia="宋体" w:cs="宋体"/>
          <w:b/>
          <w:color w:val="000000"/>
          <w:sz w:val="32"/>
          <w:szCs w:val="32"/>
        </w:rPr>
      </w:pPr>
    </w:p>
    <w:p>
      <w:pPr>
        <w:pStyle w:val="9"/>
        <w:snapToGrid w:val="0"/>
        <w:spacing w:line="360" w:lineRule="auto"/>
        <w:ind w:firstLine="643" w:firstLineChars="200"/>
        <w:jc w:val="center"/>
        <w:outlineLvl w:val="2"/>
        <w:rPr>
          <w:rFonts w:hint="eastAsia" w:ascii="宋体" w:hAnsi="宋体" w:eastAsia="宋体" w:cs="宋体"/>
          <w:b/>
          <w:color w:val="000000"/>
          <w:sz w:val="32"/>
          <w:szCs w:val="32"/>
        </w:rPr>
      </w:pPr>
      <w:r>
        <w:rPr>
          <w:rFonts w:hint="eastAsia" w:ascii="宋体" w:hAnsi="宋体" w:eastAsia="宋体" w:cs="宋体"/>
          <w:b/>
          <w:color w:val="000000"/>
          <w:sz w:val="32"/>
          <w:szCs w:val="32"/>
        </w:rPr>
        <w:t>六、服务承诺</w:t>
      </w:r>
    </w:p>
    <w:p>
      <w:pPr>
        <w:tabs>
          <w:tab w:val="left" w:pos="930"/>
        </w:tabs>
        <w:snapToGrid w:val="0"/>
        <w:spacing w:line="360" w:lineRule="auto"/>
        <w:rPr>
          <w:rFonts w:hint="eastAsia" w:ascii="宋体" w:hAnsi="宋体" w:eastAsia="宋体" w:cs="宋体"/>
          <w:color w:val="000000"/>
          <w:sz w:val="24"/>
        </w:rPr>
      </w:pPr>
    </w:p>
    <w:p>
      <w:pPr>
        <w:pStyle w:val="3"/>
        <w:snapToGrid w:val="0"/>
        <w:spacing w:line="360" w:lineRule="auto"/>
        <w:ind w:firstLine="0"/>
        <w:jc w:val="center"/>
        <w:rPr>
          <w:rFonts w:hint="eastAsia" w:ascii="宋体" w:hAnsi="宋体" w:eastAsia="宋体" w:cs="宋体"/>
          <w:color w:val="000000"/>
          <w:sz w:val="24"/>
        </w:rPr>
      </w:pPr>
    </w:p>
    <w:p>
      <w:pPr>
        <w:snapToGrid w:val="0"/>
        <w:spacing w:line="360" w:lineRule="auto"/>
        <w:ind w:firstLine="5160" w:firstLineChars="2150"/>
        <w:rPr>
          <w:rFonts w:hint="eastAsia" w:ascii="宋体" w:hAnsi="宋体" w:eastAsia="宋体" w:cs="宋体"/>
          <w:color w:val="000000"/>
          <w:sz w:val="24"/>
        </w:rPr>
      </w:pPr>
      <w:r>
        <w:rPr>
          <w:rFonts w:hint="eastAsia" w:ascii="宋体" w:hAnsi="宋体" w:eastAsia="宋体" w:cs="宋体"/>
          <w:color w:val="000000"/>
          <w:sz w:val="24"/>
        </w:rPr>
        <w:t xml:space="preserve">投标人名称（公章）：      </w:t>
      </w:r>
    </w:p>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授权代表人（签字）：</w:t>
      </w:r>
    </w:p>
    <w:p>
      <w:pPr>
        <w:snapToGrid w:val="0"/>
        <w:spacing w:line="360" w:lineRule="auto"/>
        <w:ind w:firstLine="5160" w:firstLineChars="2150"/>
        <w:rPr>
          <w:rFonts w:hint="eastAsia" w:ascii="宋体" w:hAnsi="宋体" w:eastAsia="宋体" w:cs="宋体"/>
          <w:color w:val="000000"/>
          <w:sz w:val="24"/>
        </w:rPr>
      </w:pPr>
      <w:r>
        <w:rPr>
          <w:rFonts w:hint="eastAsia" w:ascii="宋体" w:hAnsi="宋体" w:eastAsia="宋体" w:cs="宋体"/>
          <w:color w:val="000000"/>
          <w:sz w:val="24"/>
        </w:rPr>
        <w:t>日期： 年  月   日</w:t>
      </w:r>
    </w:p>
    <w:p>
      <w:pPr>
        <w:pStyle w:val="3"/>
        <w:snapToGrid w:val="0"/>
        <w:spacing w:line="360" w:lineRule="auto"/>
        <w:rPr>
          <w:rFonts w:hint="eastAsia" w:ascii="宋体" w:hAnsi="宋体" w:eastAsia="宋体" w:cs="宋体"/>
          <w:color w:val="000000"/>
        </w:rPr>
      </w:pPr>
    </w:p>
    <w:p>
      <w:pPr>
        <w:snapToGrid w:val="0"/>
        <w:spacing w:line="360" w:lineRule="auto"/>
        <w:ind w:left="570"/>
        <w:jc w:val="center"/>
        <w:outlineLvl w:val="2"/>
        <w:rPr>
          <w:rFonts w:hint="eastAsia" w:ascii="宋体" w:hAnsi="宋体" w:eastAsia="宋体" w:cs="宋体"/>
          <w:b/>
          <w:color w:val="000000"/>
          <w:sz w:val="32"/>
          <w:szCs w:val="32"/>
        </w:rPr>
      </w:pPr>
      <w:r>
        <w:rPr>
          <w:rFonts w:hint="eastAsia" w:ascii="宋体" w:hAnsi="宋体" w:eastAsia="宋体" w:cs="宋体"/>
          <w:b/>
          <w:color w:val="000000"/>
          <w:sz w:val="32"/>
          <w:szCs w:val="32"/>
        </w:rPr>
        <w:t>七、商务技术偏离表</w:t>
      </w:r>
    </w:p>
    <w:p>
      <w:pPr>
        <w:snapToGrid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 xml:space="preserve">招标编号：                                                          </w:t>
      </w:r>
    </w:p>
    <w:tbl>
      <w:tblPr>
        <w:tblStyle w:val="16"/>
        <w:tblW w:w="87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65"/>
        <w:gridCol w:w="1680"/>
        <w:gridCol w:w="1960"/>
        <w:gridCol w:w="22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招标文件要求</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招标文件响应</w:t>
            </w:r>
          </w:p>
        </w:tc>
        <w:tc>
          <w:tcPr>
            <w:tcW w:w="19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偏离</w:t>
            </w:r>
          </w:p>
        </w:tc>
        <w:tc>
          <w:tcPr>
            <w:tcW w:w="22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65"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000000"/>
                <w:sz w:val="24"/>
              </w:rPr>
            </w:pPr>
          </w:p>
        </w:tc>
        <w:tc>
          <w:tcPr>
            <w:tcW w:w="168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000000"/>
                <w:sz w:val="24"/>
              </w:rPr>
            </w:pPr>
          </w:p>
        </w:tc>
        <w:tc>
          <w:tcPr>
            <w:tcW w:w="19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000000"/>
                <w:sz w:val="24"/>
              </w:rPr>
            </w:pPr>
          </w:p>
        </w:tc>
        <w:tc>
          <w:tcPr>
            <w:tcW w:w="22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65"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000000"/>
                <w:sz w:val="24"/>
              </w:rPr>
            </w:pPr>
          </w:p>
        </w:tc>
        <w:tc>
          <w:tcPr>
            <w:tcW w:w="168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000000"/>
                <w:sz w:val="24"/>
              </w:rPr>
            </w:pPr>
          </w:p>
        </w:tc>
        <w:tc>
          <w:tcPr>
            <w:tcW w:w="19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000000"/>
                <w:sz w:val="24"/>
              </w:rPr>
            </w:pPr>
          </w:p>
        </w:tc>
        <w:tc>
          <w:tcPr>
            <w:tcW w:w="22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865"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000000"/>
                <w:sz w:val="24"/>
              </w:rPr>
            </w:pPr>
          </w:p>
        </w:tc>
        <w:tc>
          <w:tcPr>
            <w:tcW w:w="168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000000"/>
                <w:sz w:val="24"/>
              </w:rPr>
            </w:pPr>
          </w:p>
        </w:tc>
        <w:tc>
          <w:tcPr>
            <w:tcW w:w="19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000000"/>
                <w:sz w:val="24"/>
              </w:rPr>
            </w:pPr>
          </w:p>
        </w:tc>
        <w:tc>
          <w:tcPr>
            <w:tcW w:w="22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000000"/>
                <w:sz w:val="24"/>
              </w:rPr>
            </w:pPr>
          </w:p>
        </w:tc>
      </w:tr>
    </w:tbl>
    <w:p>
      <w:pPr>
        <w:snapToGrid w:val="0"/>
        <w:spacing w:line="360" w:lineRule="auto"/>
        <w:ind w:firstLine="221" w:firstLineChars="100"/>
        <w:rPr>
          <w:rFonts w:hint="eastAsia" w:ascii="宋体" w:hAnsi="宋体" w:eastAsia="宋体" w:cs="宋体"/>
          <w:b/>
          <w:bCs/>
          <w:color w:val="000000"/>
        </w:rPr>
      </w:pPr>
      <w:r>
        <w:rPr>
          <w:rFonts w:hint="eastAsia" w:ascii="宋体" w:hAnsi="宋体" w:eastAsia="宋体" w:cs="宋体"/>
          <w:b/>
          <w:bCs/>
          <w:color w:val="000000"/>
        </w:rPr>
        <w:t>注：商务和技术可分开填写，也可合并填写，无偏离的可不填写，只盖章确认即可。</w:t>
      </w:r>
    </w:p>
    <w:p>
      <w:pPr>
        <w:snapToGrid w:val="0"/>
        <w:spacing w:line="360" w:lineRule="auto"/>
        <w:ind w:firstLine="5160" w:firstLineChars="2150"/>
        <w:rPr>
          <w:rFonts w:hint="eastAsia" w:ascii="宋体" w:hAnsi="宋体" w:eastAsia="宋体" w:cs="宋体"/>
          <w:color w:val="000000"/>
          <w:sz w:val="24"/>
        </w:rPr>
      </w:pPr>
    </w:p>
    <w:p>
      <w:pPr>
        <w:snapToGrid w:val="0"/>
        <w:spacing w:line="360" w:lineRule="auto"/>
        <w:ind w:firstLine="5160" w:firstLineChars="2150"/>
        <w:rPr>
          <w:rFonts w:hint="eastAsia" w:ascii="宋体" w:hAnsi="宋体" w:eastAsia="宋体" w:cs="宋体"/>
          <w:color w:val="000000"/>
          <w:sz w:val="24"/>
        </w:rPr>
      </w:pPr>
      <w:r>
        <w:rPr>
          <w:rFonts w:hint="eastAsia" w:ascii="宋体" w:hAnsi="宋体" w:eastAsia="宋体" w:cs="宋体"/>
          <w:color w:val="000000"/>
          <w:sz w:val="24"/>
        </w:rPr>
        <w:t xml:space="preserve">投标人名称（公章）：      </w:t>
      </w:r>
    </w:p>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授权代表人（签字）：</w:t>
      </w:r>
    </w:p>
    <w:p>
      <w:pPr>
        <w:snapToGrid w:val="0"/>
        <w:spacing w:line="360" w:lineRule="auto"/>
        <w:ind w:firstLine="5160" w:firstLineChars="2150"/>
        <w:rPr>
          <w:rFonts w:hint="eastAsia" w:ascii="宋体" w:hAnsi="宋体" w:eastAsia="宋体" w:cs="宋体"/>
          <w:color w:val="000000"/>
          <w:sz w:val="24"/>
        </w:rPr>
      </w:pPr>
      <w:r>
        <w:rPr>
          <w:rFonts w:hint="eastAsia" w:ascii="宋体" w:hAnsi="宋体" w:eastAsia="宋体" w:cs="宋体"/>
          <w:color w:val="000000"/>
          <w:sz w:val="24"/>
        </w:rPr>
        <w:t>日期：   年  月   日</w:t>
      </w:r>
    </w:p>
    <w:p>
      <w:pPr>
        <w:spacing w:line="360" w:lineRule="auto"/>
        <w:rPr>
          <w:rFonts w:hint="eastAsia" w:ascii="宋体" w:hAnsi="宋体" w:eastAsia="宋体" w:cs="宋体"/>
          <w:b/>
          <w:sz w:val="32"/>
          <w:szCs w:val="32"/>
        </w:rPr>
      </w:pPr>
      <w:r>
        <w:rPr>
          <w:rFonts w:hint="eastAsia" w:ascii="宋体" w:hAnsi="宋体" w:eastAsia="宋体" w:cs="宋体"/>
          <w:b/>
          <w:sz w:val="32"/>
          <w:szCs w:val="32"/>
        </w:rPr>
        <w:t>八、实质性内容响应表</w:t>
      </w:r>
    </w:p>
    <w:tbl>
      <w:tblPr>
        <w:tblStyle w:val="16"/>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2414"/>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实质性条款</w:t>
            </w: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招标文件要求</w:t>
            </w: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sz w:val="24"/>
              </w:rPr>
            </w:pPr>
            <w:r>
              <w:rPr>
                <w:rFonts w:hint="eastAsia" w:ascii="宋体" w:hAnsi="宋体" w:eastAsia="宋体" w:cs="宋体"/>
                <w:b/>
                <w:sz w:val="24"/>
              </w:rPr>
              <w:t>投标承诺或说明</w:t>
            </w: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满足情况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w:t>
            </w:r>
          </w:p>
        </w:tc>
        <w:tc>
          <w:tcPr>
            <w:tcW w:w="185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w:t>
            </w:r>
          </w:p>
        </w:tc>
        <w:tc>
          <w:tcPr>
            <w:tcW w:w="185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3</w:t>
            </w:r>
          </w:p>
        </w:tc>
        <w:tc>
          <w:tcPr>
            <w:tcW w:w="185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4</w:t>
            </w:r>
          </w:p>
        </w:tc>
        <w:tc>
          <w:tcPr>
            <w:tcW w:w="185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5</w:t>
            </w:r>
          </w:p>
        </w:tc>
        <w:tc>
          <w:tcPr>
            <w:tcW w:w="185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rPr>
            </w:pPr>
          </w:p>
        </w:tc>
        <w:tc>
          <w:tcPr>
            <w:tcW w:w="1855"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rPr>
            </w:pPr>
          </w:p>
        </w:tc>
        <w:tc>
          <w:tcPr>
            <w:tcW w:w="195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rPr>
            </w:pPr>
          </w:p>
        </w:tc>
        <w:tc>
          <w:tcPr>
            <w:tcW w:w="241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rPr>
            </w:pPr>
          </w:p>
        </w:tc>
        <w:tc>
          <w:tcPr>
            <w:tcW w:w="173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rPr>
            </w:pPr>
          </w:p>
        </w:tc>
      </w:tr>
    </w:tbl>
    <w:p>
      <w:pPr>
        <w:adjustRightInd w:val="0"/>
        <w:snapToGrid w:val="0"/>
        <w:spacing w:line="500" w:lineRule="exact"/>
        <w:rPr>
          <w:rFonts w:hint="eastAsia" w:ascii="宋体" w:hAnsi="宋体" w:eastAsia="宋体" w:cs="宋体"/>
          <w:color w:val="000000"/>
          <w:sz w:val="24"/>
        </w:rPr>
      </w:pPr>
      <w:r>
        <w:rPr>
          <w:rFonts w:hint="eastAsia" w:ascii="宋体" w:hAnsi="宋体" w:eastAsia="宋体" w:cs="宋体"/>
          <w:color w:val="000000"/>
          <w:sz w:val="24"/>
        </w:rPr>
        <w:t>填表说明：</w:t>
      </w:r>
    </w:p>
    <w:p>
      <w:pPr>
        <w:adjustRightInd w:val="0"/>
        <w:snapToGrid w:val="0"/>
        <w:spacing w:line="500" w:lineRule="exact"/>
        <w:ind w:firstLine="480" w:firstLineChars="200"/>
        <w:rPr>
          <w:rFonts w:hint="eastAsia" w:ascii="宋体" w:hAnsi="宋体" w:eastAsia="宋体" w:cs="宋体"/>
          <w:sz w:val="24"/>
        </w:rPr>
      </w:pPr>
      <w:r>
        <w:rPr>
          <w:rFonts w:hint="eastAsia" w:ascii="宋体" w:hAnsi="宋体" w:eastAsia="宋体" w:cs="宋体"/>
          <w:color w:val="000000"/>
          <w:sz w:val="24"/>
        </w:rPr>
        <w:t>1、</w:t>
      </w:r>
      <w:r>
        <w:rPr>
          <w:rFonts w:hint="eastAsia" w:ascii="宋体" w:hAnsi="宋体" w:eastAsia="宋体" w:cs="宋体"/>
          <w:sz w:val="24"/>
        </w:rPr>
        <w:t>“实质性条款”详见“第三部分 项目技术规范和服务要求”中带“</w:t>
      </w:r>
      <w:r>
        <w:rPr>
          <w:rFonts w:hint="eastAsia" w:ascii="宋体" w:hAnsi="宋体" w:eastAsia="宋体" w:cs="宋体"/>
        </w:rPr>
        <w:t>●</w:t>
      </w:r>
      <w:r>
        <w:rPr>
          <w:rFonts w:hint="eastAsia" w:ascii="宋体" w:hAnsi="宋体" w:eastAsia="宋体" w:cs="宋体"/>
          <w:sz w:val="24"/>
        </w:rPr>
        <w:t>”条款，本表中所列条款仅供参考；</w:t>
      </w:r>
    </w:p>
    <w:p>
      <w:pPr>
        <w:adjustRightInd w:val="0"/>
        <w:snapToGrid w:val="0"/>
        <w:spacing w:line="500" w:lineRule="exact"/>
        <w:ind w:firstLine="480" w:firstLineChars="200"/>
        <w:rPr>
          <w:rFonts w:hint="eastAsia" w:ascii="宋体" w:hAnsi="宋体" w:eastAsia="宋体" w:cs="宋体"/>
          <w:color w:val="000000"/>
          <w:sz w:val="24"/>
        </w:rPr>
      </w:pPr>
      <w:r>
        <w:rPr>
          <w:rFonts w:hint="eastAsia" w:ascii="宋体" w:hAnsi="宋体" w:eastAsia="宋体" w:cs="宋体"/>
          <w:sz w:val="24"/>
        </w:rPr>
        <w:t>2、</w:t>
      </w:r>
      <w:r>
        <w:rPr>
          <w:rFonts w:hint="eastAsia" w:ascii="宋体" w:hAnsi="宋体" w:eastAsia="宋体" w:cs="宋体"/>
          <w:color w:val="000000"/>
          <w:sz w:val="24"/>
        </w:rPr>
        <w:t>投标人应根据投标承诺或说明、对照招标文件要求在“满足情况”栏注明“满足”或“不满足”；</w:t>
      </w:r>
    </w:p>
    <w:p>
      <w:pPr>
        <w:pStyle w:val="3"/>
        <w:rPr>
          <w:rFonts w:hint="eastAsia" w:ascii="宋体" w:hAnsi="宋体" w:eastAsia="宋体" w:cs="宋体"/>
        </w:rPr>
      </w:pPr>
      <w:r>
        <w:rPr>
          <w:rFonts w:hint="eastAsia" w:ascii="宋体" w:hAnsi="宋体" w:eastAsia="宋体" w:cs="宋体"/>
          <w:color w:val="000000"/>
          <w:sz w:val="24"/>
        </w:rPr>
        <w:t>3、</w:t>
      </w:r>
      <w:r>
        <w:rPr>
          <w:rFonts w:hint="eastAsia" w:ascii="宋体" w:hAnsi="宋体" w:eastAsia="宋体" w:cs="宋体"/>
          <w:sz w:val="24"/>
        </w:rPr>
        <w:t>本项目“第三部分 项目技术规范和服务要求”中所有带“</w:t>
      </w:r>
      <w:r>
        <w:rPr>
          <w:rFonts w:hint="eastAsia" w:ascii="宋体" w:hAnsi="宋体" w:eastAsia="宋体" w:cs="宋体"/>
        </w:rPr>
        <w:t>●</w:t>
      </w:r>
      <w:r>
        <w:rPr>
          <w:rFonts w:hint="eastAsia" w:ascii="宋体" w:hAnsi="宋体" w:eastAsia="宋体" w:cs="宋体"/>
          <w:sz w:val="24"/>
        </w:rPr>
        <w:t>”条款，投标人必须作出实质性响应，如有任意一条未响应或不满足，将被视为无效。</w:t>
      </w:r>
    </w:p>
    <w:p>
      <w:pPr>
        <w:snapToGrid w:val="0"/>
        <w:spacing w:line="360" w:lineRule="auto"/>
        <w:ind w:firstLine="5160" w:firstLineChars="2150"/>
        <w:rPr>
          <w:rFonts w:hint="eastAsia" w:ascii="宋体" w:hAnsi="宋体" w:eastAsia="宋体" w:cs="宋体"/>
          <w:color w:val="000000"/>
          <w:sz w:val="24"/>
        </w:rPr>
      </w:pPr>
      <w:r>
        <w:rPr>
          <w:rFonts w:hint="eastAsia" w:ascii="宋体" w:hAnsi="宋体" w:eastAsia="宋体" w:cs="宋体"/>
          <w:color w:val="000000"/>
          <w:sz w:val="24"/>
        </w:rPr>
        <w:t xml:space="preserve">投标人名称（公章）：      </w:t>
      </w:r>
    </w:p>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授权代表人（签字）：</w:t>
      </w:r>
    </w:p>
    <w:p>
      <w:pPr>
        <w:snapToGrid w:val="0"/>
        <w:spacing w:line="360" w:lineRule="auto"/>
        <w:ind w:firstLine="5160" w:firstLineChars="2150"/>
        <w:rPr>
          <w:rFonts w:hint="eastAsia" w:ascii="宋体" w:hAnsi="宋体" w:eastAsia="宋体" w:cs="宋体"/>
          <w:color w:val="000000"/>
          <w:sz w:val="24"/>
        </w:rPr>
      </w:pPr>
      <w:r>
        <w:rPr>
          <w:rFonts w:hint="eastAsia" w:ascii="宋体" w:hAnsi="宋体" w:eastAsia="宋体" w:cs="宋体"/>
          <w:color w:val="000000"/>
          <w:sz w:val="24"/>
        </w:rPr>
        <w:t>日期：   年  月   日</w:t>
      </w:r>
    </w:p>
    <w:p>
      <w:pPr>
        <w:pStyle w:val="9"/>
        <w:snapToGrid w:val="0"/>
        <w:spacing w:line="360" w:lineRule="auto"/>
        <w:jc w:val="both"/>
        <w:outlineLvl w:val="2"/>
        <w:rPr>
          <w:rFonts w:hint="eastAsia" w:ascii="宋体" w:hAnsi="宋体" w:eastAsia="宋体" w:cs="宋体"/>
          <w:b/>
          <w:color w:val="000000"/>
          <w:sz w:val="32"/>
          <w:szCs w:val="32"/>
        </w:rPr>
      </w:pPr>
    </w:p>
    <w:p>
      <w:pPr>
        <w:pStyle w:val="9"/>
        <w:snapToGrid w:val="0"/>
        <w:spacing w:line="360" w:lineRule="auto"/>
        <w:ind w:firstLine="643" w:firstLineChars="200"/>
        <w:jc w:val="center"/>
        <w:outlineLvl w:val="2"/>
        <w:rPr>
          <w:rFonts w:hint="eastAsia" w:ascii="宋体" w:hAnsi="宋体" w:eastAsia="宋体" w:cs="宋体"/>
          <w:b/>
          <w:color w:val="000000"/>
          <w:sz w:val="32"/>
          <w:szCs w:val="32"/>
        </w:rPr>
      </w:pPr>
      <w:r>
        <w:rPr>
          <w:rFonts w:hint="eastAsia" w:ascii="宋体" w:hAnsi="宋体" w:eastAsia="宋体" w:cs="宋体"/>
          <w:b/>
          <w:color w:val="000000"/>
          <w:sz w:val="32"/>
          <w:szCs w:val="32"/>
        </w:rPr>
        <w:t>九、对应商务技术评分细则提供相关证明资料；</w:t>
      </w:r>
    </w:p>
    <w:p>
      <w:pPr>
        <w:pStyle w:val="9"/>
        <w:snapToGrid w:val="0"/>
        <w:spacing w:line="360" w:lineRule="auto"/>
        <w:ind w:firstLine="643" w:firstLineChars="200"/>
        <w:jc w:val="center"/>
        <w:outlineLvl w:val="2"/>
        <w:rPr>
          <w:rFonts w:hint="eastAsia" w:ascii="宋体" w:hAnsi="宋体" w:eastAsia="宋体" w:cs="宋体"/>
          <w:b/>
          <w:color w:val="000000"/>
          <w:sz w:val="32"/>
          <w:szCs w:val="32"/>
        </w:rPr>
      </w:pPr>
      <w:r>
        <w:rPr>
          <w:rFonts w:hint="eastAsia" w:ascii="宋体" w:hAnsi="宋体" w:eastAsia="宋体" w:cs="宋体"/>
          <w:b/>
          <w:color w:val="000000"/>
          <w:sz w:val="32"/>
          <w:szCs w:val="32"/>
        </w:rPr>
        <w:t>十、投标人认为需要提供的与本项目有关的其他文件和说明</w:t>
      </w:r>
    </w:p>
    <w:p>
      <w:pPr>
        <w:shd w:val="clear" w:color="auto" w:fill="FFFFFF"/>
        <w:snapToGrid w:val="0"/>
        <w:spacing w:line="360" w:lineRule="auto"/>
        <w:jc w:val="center"/>
        <w:rPr>
          <w:rFonts w:hint="eastAsia" w:ascii="宋体" w:hAnsi="宋体" w:eastAsia="宋体" w:cs="宋体"/>
          <w:b/>
          <w:bCs/>
          <w:color w:val="000000"/>
          <w:sz w:val="24"/>
        </w:rPr>
      </w:pPr>
    </w:p>
    <w:p>
      <w:pPr>
        <w:shd w:val="clear" w:color="auto" w:fill="FFFFFF"/>
        <w:snapToGrid w:val="0"/>
        <w:spacing w:line="360" w:lineRule="auto"/>
        <w:ind w:firstLine="5160" w:firstLineChars="2150"/>
        <w:rPr>
          <w:rFonts w:hint="eastAsia" w:ascii="宋体" w:hAnsi="宋体" w:eastAsia="宋体" w:cs="宋体"/>
          <w:color w:val="000000"/>
          <w:sz w:val="24"/>
        </w:rPr>
      </w:pPr>
      <w:r>
        <w:rPr>
          <w:rFonts w:hint="eastAsia" w:ascii="宋体" w:hAnsi="宋体" w:eastAsia="宋体" w:cs="宋体"/>
          <w:color w:val="000000"/>
          <w:sz w:val="24"/>
        </w:rPr>
        <w:t xml:space="preserve">投标人名称（公章）：      </w:t>
      </w:r>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授权代表人（签字）：</w:t>
      </w:r>
    </w:p>
    <w:p>
      <w:pPr>
        <w:shd w:val="clear" w:color="auto" w:fill="FFFFFF"/>
        <w:snapToGrid w:val="0"/>
        <w:spacing w:line="360" w:lineRule="auto"/>
        <w:ind w:firstLine="5160" w:firstLineChars="2150"/>
        <w:rPr>
          <w:rFonts w:hint="eastAsia" w:ascii="宋体" w:hAnsi="宋体" w:eastAsia="宋体" w:cs="宋体"/>
          <w:color w:val="000000"/>
          <w:sz w:val="24"/>
        </w:rPr>
      </w:pPr>
      <w:r>
        <w:rPr>
          <w:rFonts w:hint="eastAsia" w:ascii="宋体" w:hAnsi="宋体" w:eastAsia="宋体" w:cs="宋体"/>
          <w:color w:val="000000"/>
          <w:sz w:val="24"/>
        </w:rPr>
        <w:t>日期：   年  月   日</w:t>
      </w:r>
    </w:p>
    <w:p>
      <w:pPr>
        <w:pageBreakBefore/>
        <w:shd w:val="clear" w:color="auto" w:fill="FFFFFF"/>
        <w:snapToGrid w:val="0"/>
        <w:spacing w:line="360" w:lineRule="auto"/>
        <w:outlineLvl w:val="2"/>
        <w:rPr>
          <w:rFonts w:hint="eastAsia" w:ascii="宋体" w:hAnsi="宋体" w:eastAsia="宋体" w:cs="宋体"/>
          <w:b/>
          <w:bCs/>
          <w:color w:val="000000"/>
          <w:sz w:val="32"/>
          <w:szCs w:val="32"/>
        </w:rPr>
      </w:pPr>
      <w:r>
        <w:rPr>
          <w:rFonts w:hint="eastAsia" w:ascii="宋体" w:hAnsi="宋体" w:eastAsia="宋体" w:cs="宋体"/>
          <w:b/>
          <w:bCs/>
          <w:color w:val="000000"/>
          <w:sz w:val="32"/>
          <w:szCs w:val="32"/>
        </w:rPr>
        <w:t>投标文件封面</w:t>
      </w:r>
    </w:p>
    <w:p>
      <w:pPr>
        <w:shd w:val="clear" w:color="auto" w:fill="FFFFFF"/>
        <w:snapToGrid w:val="0"/>
        <w:spacing w:line="360" w:lineRule="auto"/>
        <w:ind w:firstLine="7040" w:firstLineChars="2200"/>
        <w:rPr>
          <w:rFonts w:hint="eastAsia" w:ascii="宋体" w:hAnsi="宋体" w:eastAsia="宋体" w:cs="宋体"/>
          <w:color w:val="000000"/>
          <w:sz w:val="32"/>
          <w:szCs w:val="32"/>
        </w:rPr>
      </w:pPr>
      <w:r>
        <w:rPr>
          <w:rFonts w:hint="eastAsia" w:ascii="宋体" w:hAnsi="宋体" w:eastAsia="宋体" w:cs="宋体"/>
          <w:color w:val="000000"/>
          <w:sz w:val="32"/>
          <w:szCs w:val="32"/>
        </w:rPr>
        <w:t>正（副）本</w:t>
      </w:r>
    </w:p>
    <w:p>
      <w:pPr>
        <w:shd w:val="clear" w:color="auto" w:fill="FFFFFF"/>
        <w:snapToGrid w:val="0"/>
        <w:spacing w:line="360" w:lineRule="auto"/>
        <w:jc w:val="center"/>
        <w:rPr>
          <w:rFonts w:hint="eastAsia" w:ascii="宋体" w:hAnsi="宋体" w:eastAsia="宋体" w:cs="宋体"/>
          <w:b/>
          <w:bCs/>
          <w:color w:val="000000"/>
          <w:sz w:val="44"/>
          <w:szCs w:val="44"/>
          <w:lang w:eastAsia="zh-CN"/>
        </w:rPr>
      </w:pPr>
      <w:r>
        <w:rPr>
          <w:rFonts w:hint="eastAsia" w:ascii="宋体" w:hAnsi="宋体" w:eastAsia="宋体" w:cs="宋体"/>
          <w:b/>
          <w:bCs/>
          <w:color w:val="000000"/>
          <w:sz w:val="44"/>
          <w:szCs w:val="44"/>
          <w:lang w:eastAsia="zh-CN"/>
        </w:rPr>
        <w:t>杭州市余杭区人民政府</w:t>
      </w:r>
      <w:r>
        <w:rPr>
          <w:rFonts w:hint="eastAsia" w:cs="宋体"/>
          <w:b/>
          <w:bCs/>
          <w:color w:val="000000"/>
          <w:sz w:val="44"/>
          <w:szCs w:val="44"/>
          <w:lang w:eastAsia="zh-CN"/>
        </w:rPr>
        <w:t>仁和街道办事处</w:t>
      </w:r>
      <w:r>
        <w:rPr>
          <w:rFonts w:hint="eastAsia" w:ascii="宋体" w:hAnsi="宋体" w:eastAsia="宋体" w:cs="宋体"/>
          <w:b/>
          <w:bCs/>
          <w:color w:val="000000"/>
          <w:sz w:val="44"/>
          <w:szCs w:val="44"/>
          <w:lang w:eastAsia="zh-CN"/>
        </w:rPr>
        <w:t>仁和街道高新农业开发区易腐垃圾集中处置设备采购项目</w:t>
      </w:r>
    </w:p>
    <w:p>
      <w:pPr>
        <w:shd w:val="clear" w:color="auto" w:fill="FFFFFF"/>
        <w:snapToGrid w:val="0"/>
        <w:spacing w:line="360" w:lineRule="auto"/>
        <w:rPr>
          <w:rFonts w:hint="eastAsia" w:ascii="宋体" w:hAnsi="宋体" w:eastAsia="宋体" w:cs="宋体"/>
          <w:b/>
          <w:bCs/>
          <w:color w:val="000000"/>
          <w:sz w:val="44"/>
          <w:szCs w:val="44"/>
        </w:rPr>
      </w:pPr>
      <w:r>
        <w:rPr>
          <w:rFonts w:hint="eastAsia" w:ascii="宋体" w:hAnsi="宋体" w:eastAsia="宋体" w:cs="宋体"/>
          <w:b/>
          <w:bCs/>
          <w:color w:val="000000"/>
          <w:sz w:val="44"/>
          <w:szCs w:val="44"/>
        </w:rPr>
        <w:t xml:space="preserve">   （资格文件/报价文件/商务技术文件）</w:t>
      </w:r>
    </w:p>
    <w:p>
      <w:pPr>
        <w:shd w:val="clear" w:color="auto" w:fill="FFFFFF"/>
        <w:snapToGrid w:val="0"/>
        <w:spacing w:line="360" w:lineRule="auto"/>
        <w:ind w:firstLine="1325" w:firstLineChars="300"/>
        <w:rPr>
          <w:rFonts w:hint="eastAsia" w:ascii="宋体" w:hAnsi="宋体" w:eastAsia="宋体" w:cs="宋体"/>
          <w:b/>
          <w:bCs/>
          <w:color w:val="000000"/>
          <w:sz w:val="44"/>
          <w:szCs w:val="44"/>
        </w:rPr>
      </w:pPr>
      <w:r>
        <w:rPr>
          <w:rFonts w:hint="eastAsia" w:ascii="宋体" w:hAnsi="宋体" w:eastAsia="宋体" w:cs="宋体"/>
          <w:b/>
          <w:bCs/>
          <w:color w:val="000000"/>
          <w:sz w:val="44"/>
          <w:szCs w:val="44"/>
        </w:rPr>
        <w:t>项目编号：</w:t>
      </w:r>
      <w:r>
        <w:rPr>
          <w:rFonts w:hint="eastAsia" w:ascii="宋体" w:hAnsi="宋体" w:eastAsia="宋体" w:cs="宋体"/>
          <w:b/>
          <w:bCs/>
          <w:color w:val="000000"/>
          <w:sz w:val="44"/>
          <w:szCs w:val="44"/>
          <w:lang w:val="en-US"/>
        </w:rPr>
        <w:t xml:space="preserve">  </w:t>
      </w:r>
    </w:p>
    <w:bookmarkEnd w:id="112"/>
    <w:p>
      <w:pPr>
        <w:snapToGrid w:val="0"/>
        <w:spacing w:line="360" w:lineRule="auto"/>
        <w:jc w:val="center"/>
        <w:rPr>
          <w:rFonts w:hint="eastAsia" w:ascii="宋体" w:hAnsi="宋体" w:eastAsia="宋体" w:cs="宋体"/>
          <w:color w:val="000000"/>
          <w:sz w:val="72"/>
          <w:szCs w:val="72"/>
        </w:rPr>
      </w:pPr>
      <w:r>
        <w:rPr>
          <w:rFonts w:hint="eastAsia" w:ascii="宋体" w:hAnsi="宋体" w:eastAsia="宋体" w:cs="宋体"/>
          <w:color w:val="000000"/>
          <w:sz w:val="72"/>
          <w:szCs w:val="72"/>
        </w:rPr>
        <w:t>投</w:t>
      </w:r>
    </w:p>
    <w:p>
      <w:pPr>
        <w:snapToGrid w:val="0"/>
        <w:spacing w:line="360" w:lineRule="auto"/>
        <w:jc w:val="center"/>
        <w:rPr>
          <w:rFonts w:hint="eastAsia" w:ascii="宋体" w:hAnsi="宋体" w:eastAsia="宋体" w:cs="宋体"/>
          <w:color w:val="000000"/>
          <w:sz w:val="72"/>
          <w:szCs w:val="72"/>
        </w:rPr>
      </w:pPr>
      <w:r>
        <w:rPr>
          <w:rFonts w:hint="eastAsia" w:ascii="宋体" w:hAnsi="宋体" w:eastAsia="宋体" w:cs="宋体"/>
          <w:color w:val="000000"/>
          <w:sz w:val="72"/>
          <w:szCs w:val="72"/>
        </w:rPr>
        <w:t>标</w:t>
      </w:r>
    </w:p>
    <w:p>
      <w:pPr>
        <w:snapToGrid w:val="0"/>
        <w:spacing w:line="360" w:lineRule="auto"/>
        <w:jc w:val="center"/>
        <w:rPr>
          <w:rFonts w:hint="eastAsia" w:ascii="宋体" w:hAnsi="宋体" w:eastAsia="宋体" w:cs="宋体"/>
          <w:color w:val="000000"/>
          <w:sz w:val="72"/>
          <w:szCs w:val="72"/>
        </w:rPr>
      </w:pPr>
      <w:r>
        <w:rPr>
          <w:rFonts w:hint="eastAsia" w:ascii="宋体" w:hAnsi="宋体" w:eastAsia="宋体" w:cs="宋体"/>
          <w:color w:val="000000"/>
          <w:sz w:val="72"/>
          <w:szCs w:val="72"/>
        </w:rPr>
        <w:t>文</w:t>
      </w:r>
    </w:p>
    <w:p>
      <w:pPr>
        <w:snapToGrid w:val="0"/>
        <w:spacing w:line="360" w:lineRule="auto"/>
        <w:jc w:val="center"/>
        <w:rPr>
          <w:rFonts w:hint="eastAsia" w:ascii="宋体" w:hAnsi="宋体" w:eastAsia="宋体" w:cs="宋体"/>
          <w:color w:val="000000"/>
          <w:sz w:val="72"/>
          <w:szCs w:val="72"/>
        </w:rPr>
      </w:pPr>
      <w:r>
        <w:rPr>
          <w:rFonts w:hint="eastAsia" w:ascii="宋体" w:hAnsi="宋体" w:eastAsia="宋体" w:cs="宋体"/>
          <w:color w:val="000000"/>
          <w:sz w:val="72"/>
          <w:szCs w:val="72"/>
        </w:rPr>
        <w:t>件</w:t>
      </w:r>
    </w:p>
    <w:p>
      <w:pPr>
        <w:snapToGrid w:val="0"/>
        <w:spacing w:line="360" w:lineRule="auto"/>
        <w:jc w:val="center"/>
        <w:rPr>
          <w:rFonts w:hint="eastAsia" w:ascii="宋体" w:hAnsi="宋体" w:eastAsia="宋体" w:cs="宋体"/>
          <w:color w:val="000000"/>
          <w:sz w:val="24"/>
        </w:rPr>
      </w:pPr>
    </w:p>
    <w:p>
      <w:pPr>
        <w:snapToGrid w:val="0"/>
        <w:spacing w:line="360" w:lineRule="auto"/>
        <w:ind w:firstLine="2160" w:firstLineChars="600"/>
        <w:rPr>
          <w:rFonts w:hint="eastAsia" w:ascii="宋体" w:hAnsi="宋体" w:eastAsia="宋体" w:cs="宋体"/>
          <w:color w:val="000000"/>
          <w:sz w:val="36"/>
          <w:szCs w:val="36"/>
        </w:rPr>
      </w:pPr>
      <w:r>
        <w:rPr>
          <w:rFonts w:hint="eastAsia" w:ascii="宋体" w:hAnsi="宋体" w:eastAsia="宋体" w:cs="宋体"/>
          <w:color w:val="000000"/>
          <w:sz w:val="36"/>
          <w:szCs w:val="36"/>
        </w:rPr>
        <w:t>投标人全称：（加盖单位公章）</w:t>
      </w:r>
    </w:p>
    <w:p>
      <w:pPr>
        <w:snapToGrid w:val="0"/>
        <w:spacing w:line="360" w:lineRule="auto"/>
        <w:jc w:val="center"/>
        <w:rPr>
          <w:rFonts w:hint="eastAsia" w:ascii="宋体" w:hAnsi="宋体" w:eastAsia="宋体" w:cs="宋体"/>
          <w:color w:val="000000"/>
          <w:sz w:val="36"/>
          <w:szCs w:val="36"/>
        </w:rPr>
      </w:pPr>
      <w:r>
        <w:rPr>
          <w:rFonts w:hint="eastAsia" w:ascii="宋体" w:hAnsi="宋体" w:eastAsia="宋体" w:cs="宋体"/>
          <w:color w:val="000000"/>
          <w:sz w:val="36"/>
          <w:szCs w:val="36"/>
        </w:rPr>
        <w:t>年   月   日</w:t>
      </w:r>
    </w:p>
    <w:p>
      <w:pPr>
        <w:spacing w:line="360" w:lineRule="auto"/>
        <w:rPr>
          <w:rFonts w:hint="eastAsia" w:ascii="宋体" w:hAnsi="宋体" w:eastAsia="宋体" w:cs="宋体"/>
          <w:color w:val="000000"/>
        </w:rPr>
      </w:pPr>
    </w:p>
    <w:p>
      <w:pPr>
        <w:spacing w:line="360" w:lineRule="auto"/>
        <w:rPr>
          <w:rFonts w:hint="eastAsia" w:ascii="宋体" w:hAnsi="宋体" w:eastAsia="宋体" w:cs="宋体"/>
          <w:color w:val="000000"/>
        </w:rPr>
      </w:pPr>
    </w:p>
    <w:p>
      <w:pPr>
        <w:pageBreakBefore/>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政府采购支持中小企业信用融资相关事项通知</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为支持和促进中小企业发展，进一步发挥政府采购政策功能，杭州市财政局与省银保监局、市金融办、市经信局共同出台了《杭州市政府采购支持中小企业信用融资管理办法》，现将相关事项通知如下：</w:t>
      </w:r>
    </w:p>
    <w:p>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一、适用对象</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在浙江政府采购网注册入库，并取得杭州市政府采购合同的杭州市内中小企业供应商。</w:t>
      </w:r>
    </w:p>
    <w:p>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二、相关信息获取方式</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请登陆杭州市政府采购网“中小企业信用融资”模块，查看信用融资政策文件及各相关银行服务方案。</w:t>
      </w:r>
    </w:p>
    <w:p>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三、申请方式和步骤</w:t>
      </w:r>
    </w:p>
    <w:p>
      <w:pPr>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（一）“云采贷”融资</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1、供应商先与银行对接，办理融资前期手续；</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2、供应商中标后，登陆“中小企业信用融资”模块测算授信额度，并向银行发出融资申请；</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3、银行线上审批通过后，办理放贷手续。</w:t>
      </w:r>
    </w:p>
    <w:p>
      <w:pPr>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（二）一般融资</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1、供应商先与银行对接，办理融资前期手续；</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2、供应商中标后，登陆杭州市政府采购网“中小企业信用融资”模块，向相关合作银行发出融资申请；</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3、银行在“中小企业信用融资”模块受理申请；</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4、银行、供应商线下办理审批、放贷事宜。</w:t>
      </w:r>
    </w:p>
    <w:p>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四、注意事项</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1、供应商需确保政府采购合同的收款银行与融资银行一致。</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2、请各采购单位积极支持和配合政府采购信用融资工作，在合同备案环节仔细核对收款银行、账号信息等内容，一旦录入将无法修改。</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3、技术服务热线：87210880；如有业务问题可与各合作银行联系。</w:t>
      </w:r>
    </w:p>
    <w:p>
      <w:pPr>
        <w:pStyle w:val="21"/>
        <w:spacing w:line="480" w:lineRule="auto"/>
        <w:rPr>
          <w:rFonts w:hint="eastAsia" w:ascii="宋体" w:hAnsi="宋体" w:eastAsia="宋体" w:cs="宋体"/>
        </w:rPr>
      </w:pPr>
    </w:p>
    <w:sectPr>
      <w:footerReference r:id="rId5" w:type="default"/>
      <w:pgSz w:w="11911" w:h="16838"/>
      <w:pgMar w:top="1440" w:right="1080" w:bottom="1440" w:left="1080" w:header="0" w:footer="527"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35</w:t>
    </w:r>
    <w:r>
      <w:fldChar w:fldCharType="end"/>
    </w:r>
  </w:p>
  <w:p>
    <w:pPr>
      <w:pStyle w:val="11"/>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lang w:val="en-US" w:bidi="ar-SA"/>
      </w:rPr>
      <mc:AlternateContent>
        <mc:Choice Requires="wps">
          <w:drawing>
            <wp:anchor distT="0" distB="0" distL="114300" distR="114300" simplePos="0" relativeHeight="2430566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430566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fZPs7hcCAAAXBAAADgAAAAAA&#10;AAABACAAAAAfAQAAZHJzL2Uyb0RvYy54bWxQSwUGAAAAAAYABgBZAQAAqAUAAAAA&#10;">
              <v:fill on="f" focussize="0,0"/>
              <v:stroke on="f" weight="0.5pt"/>
              <v:imagedata o:title=""/>
              <o:lock v:ext="edit" aspectratio="f"/>
              <v:textbox inset="0mm,0mm,0mm,0mm" style="mso-fit-shape-to-text:t;">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86</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84583F"/>
    <w:multiLevelType w:val="singleLevel"/>
    <w:tmpl w:val="8384583F"/>
    <w:lvl w:ilvl="0" w:tentative="0">
      <w:start w:val="7"/>
      <w:numFmt w:val="decimal"/>
      <w:suff w:val="nothing"/>
      <w:lvlText w:val="（%1）"/>
      <w:lvlJc w:val="left"/>
    </w:lvl>
  </w:abstractNum>
  <w:abstractNum w:abstractNumId="1">
    <w:nsid w:val="A0ABBE94"/>
    <w:multiLevelType w:val="singleLevel"/>
    <w:tmpl w:val="A0ABBE94"/>
    <w:lvl w:ilvl="0" w:tentative="0">
      <w:start w:val="1"/>
      <w:numFmt w:val="decimal"/>
      <w:suff w:val="nothing"/>
      <w:lvlText w:val="（%1）"/>
      <w:lvlJc w:val="left"/>
    </w:lvl>
  </w:abstractNum>
  <w:abstractNum w:abstractNumId="2">
    <w:nsid w:val="A7742D1F"/>
    <w:multiLevelType w:val="singleLevel"/>
    <w:tmpl w:val="A7742D1F"/>
    <w:lvl w:ilvl="0" w:tentative="0">
      <w:start w:val="1"/>
      <w:numFmt w:val="decimal"/>
      <w:suff w:val="nothing"/>
      <w:lvlText w:val="%1、"/>
      <w:lvlJc w:val="left"/>
    </w:lvl>
  </w:abstractNum>
  <w:abstractNum w:abstractNumId="3">
    <w:nsid w:val="AAE875C1"/>
    <w:multiLevelType w:val="singleLevel"/>
    <w:tmpl w:val="AAE875C1"/>
    <w:lvl w:ilvl="0" w:tentative="0">
      <w:start w:val="3"/>
      <w:numFmt w:val="decimal"/>
      <w:suff w:val="nothing"/>
      <w:lvlText w:val="（%1）"/>
      <w:lvlJc w:val="left"/>
    </w:lvl>
  </w:abstractNum>
  <w:abstractNum w:abstractNumId="4">
    <w:nsid w:val="B3385566"/>
    <w:multiLevelType w:val="singleLevel"/>
    <w:tmpl w:val="B3385566"/>
    <w:lvl w:ilvl="0" w:tentative="0">
      <w:start w:val="8"/>
      <w:numFmt w:val="decimal"/>
      <w:suff w:val="nothing"/>
      <w:lvlText w:val="（%1）"/>
      <w:lvlJc w:val="left"/>
    </w:lvl>
  </w:abstractNum>
  <w:abstractNum w:abstractNumId="5">
    <w:nsid w:val="CBE2189A"/>
    <w:multiLevelType w:val="singleLevel"/>
    <w:tmpl w:val="CBE2189A"/>
    <w:lvl w:ilvl="0" w:tentative="0">
      <w:start w:val="6"/>
      <w:numFmt w:val="decimal"/>
      <w:suff w:val="nothing"/>
      <w:lvlText w:val="（%1）"/>
      <w:lvlJc w:val="left"/>
    </w:lvl>
  </w:abstractNum>
  <w:abstractNum w:abstractNumId="6">
    <w:nsid w:val="D9C7C4F1"/>
    <w:multiLevelType w:val="singleLevel"/>
    <w:tmpl w:val="D9C7C4F1"/>
    <w:lvl w:ilvl="0" w:tentative="0">
      <w:start w:val="5"/>
      <w:numFmt w:val="decimal"/>
      <w:suff w:val="nothing"/>
      <w:lvlText w:val="（%1）"/>
      <w:lvlJc w:val="left"/>
    </w:lvl>
  </w:abstractNum>
  <w:abstractNum w:abstractNumId="7">
    <w:nsid w:val="DAEC4CBD"/>
    <w:multiLevelType w:val="singleLevel"/>
    <w:tmpl w:val="DAEC4CBD"/>
    <w:lvl w:ilvl="0" w:tentative="0">
      <w:start w:val="2"/>
      <w:numFmt w:val="decimal"/>
      <w:suff w:val="nothing"/>
      <w:lvlText w:val="（%1）"/>
      <w:lvlJc w:val="left"/>
    </w:lvl>
  </w:abstractNum>
  <w:abstractNum w:abstractNumId="8">
    <w:nsid w:val="0000000A"/>
    <w:multiLevelType w:val="singleLevel"/>
    <w:tmpl w:val="0000000A"/>
    <w:lvl w:ilvl="0" w:tentative="0">
      <w:start w:val="1"/>
      <w:numFmt w:val="decimal"/>
      <w:lvlText w:val="%1."/>
      <w:lvlJc w:val="left"/>
      <w:pPr>
        <w:tabs>
          <w:tab w:val="left" w:pos="360"/>
        </w:tabs>
        <w:ind w:left="360" w:hanging="360"/>
      </w:pPr>
      <w:rPr>
        <w:rFonts w:cs="Times New Roman"/>
      </w:rPr>
    </w:lvl>
  </w:abstractNum>
  <w:abstractNum w:abstractNumId="9">
    <w:nsid w:val="08E8035D"/>
    <w:multiLevelType w:val="singleLevel"/>
    <w:tmpl w:val="08E8035D"/>
    <w:lvl w:ilvl="0" w:tentative="0">
      <w:start w:val="4"/>
      <w:numFmt w:val="decimal"/>
      <w:suff w:val="nothing"/>
      <w:lvlText w:val="（%1）"/>
      <w:lvlJc w:val="left"/>
    </w:lvl>
  </w:abstractNum>
  <w:abstractNum w:abstractNumId="10">
    <w:nsid w:val="393A62CC"/>
    <w:multiLevelType w:val="singleLevel"/>
    <w:tmpl w:val="393A62CC"/>
    <w:lvl w:ilvl="0" w:tentative="0">
      <w:start w:val="9"/>
      <w:numFmt w:val="decimal"/>
      <w:suff w:val="nothing"/>
      <w:lvlText w:val="（%1）"/>
      <w:lvlJc w:val="left"/>
    </w:lvl>
  </w:abstractNum>
  <w:abstractNum w:abstractNumId="11">
    <w:nsid w:val="51BFD583"/>
    <w:multiLevelType w:val="multilevel"/>
    <w:tmpl w:val="51BFD583"/>
    <w:lvl w:ilvl="0" w:tentative="0">
      <w:start w:val="1"/>
      <w:numFmt w:val="decimal"/>
      <w:suff w:val="nothing"/>
      <w:lvlText w:val="（%1）"/>
      <w:lvlJc w:val="left"/>
    </w:lvl>
    <w:lvl w:ilvl="1" w:tentative="0">
      <w:start w:val="1"/>
      <w:numFmt w:val="none"/>
      <w:lvlText w:val=" "/>
      <w:lvlJc w:val="left"/>
      <w:pPr>
        <w:tabs>
          <w:tab w:val="left" w:pos="576"/>
        </w:tabs>
        <w:ind w:left="576" w:hanging="576"/>
      </w:p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2">
    <w:nsid w:val="59F84D04"/>
    <w:multiLevelType w:val="singleLevel"/>
    <w:tmpl w:val="59F84D04"/>
    <w:lvl w:ilvl="0" w:tentative="0">
      <w:start w:val="1"/>
      <w:numFmt w:val="chineseCounting"/>
      <w:suff w:val="nothing"/>
      <w:lvlText w:val="%1、"/>
      <w:lvlJc w:val="left"/>
    </w:lvl>
  </w:abstractNum>
  <w:abstractNum w:abstractNumId="13">
    <w:nsid w:val="60AE39CC"/>
    <w:multiLevelType w:val="multilevel"/>
    <w:tmpl w:val="60AE39CC"/>
    <w:lvl w:ilvl="0" w:tentative="0">
      <w:start w:val="1"/>
      <w:numFmt w:val="chineseCountingThousand"/>
      <w:pStyle w:val="34"/>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
      <w:lvlJc w:val="left"/>
      <w:pPr>
        <w:tabs>
          <w:tab w:val="left" w:pos="576"/>
        </w:tabs>
        <w:ind w:left="576" w:hanging="576"/>
      </w:p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
  </w:num>
  <w:num w:numId="4">
    <w:abstractNumId w:val="1"/>
  </w:num>
  <w:num w:numId="5">
    <w:abstractNumId w:val="7"/>
  </w:num>
  <w:num w:numId="6">
    <w:abstractNumId w:val="3"/>
  </w:num>
  <w:num w:numId="7">
    <w:abstractNumId w:val="9"/>
  </w:num>
  <w:num w:numId="8">
    <w:abstractNumId w:val="6"/>
  </w:num>
  <w:num w:numId="9">
    <w:abstractNumId w:val="5"/>
  </w:num>
  <w:num w:numId="10">
    <w:abstractNumId w:val="0"/>
  </w:num>
  <w:num w:numId="11">
    <w:abstractNumId w:val="4"/>
  </w:num>
  <w:num w:numId="12">
    <w:abstractNumId w:val="10"/>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2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663DD"/>
    <w:rsid w:val="001711F0"/>
    <w:rsid w:val="001E2CF0"/>
    <w:rsid w:val="001F7C39"/>
    <w:rsid w:val="004D0E75"/>
    <w:rsid w:val="0057688F"/>
    <w:rsid w:val="00582378"/>
    <w:rsid w:val="005C5B3C"/>
    <w:rsid w:val="00647A44"/>
    <w:rsid w:val="00656EF1"/>
    <w:rsid w:val="00782C84"/>
    <w:rsid w:val="00794838"/>
    <w:rsid w:val="00800AE5"/>
    <w:rsid w:val="00805064"/>
    <w:rsid w:val="008F6EE1"/>
    <w:rsid w:val="00A5057D"/>
    <w:rsid w:val="00CF7542"/>
    <w:rsid w:val="00DA3436"/>
    <w:rsid w:val="00E4380A"/>
    <w:rsid w:val="00E56CA3"/>
    <w:rsid w:val="00E91702"/>
    <w:rsid w:val="00F407C0"/>
    <w:rsid w:val="00F91C5C"/>
    <w:rsid w:val="00FE08E8"/>
    <w:rsid w:val="016319DD"/>
    <w:rsid w:val="01947232"/>
    <w:rsid w:val="01AE4608"/>
    <w:rsid w:val="01F212BD"/>
    <w:rsid w:val="022274BA"/>
    <w:rsid w:val="026139D2"/>
    <w:rsid w:val="03066F23"/>
    <w:rsid w:val="036947ED"/>
    <w:rsid w:val="03AF5785"/>
    <w:rsid w:val="03BA6973"/>
    <w:rsid w:val="040920CA"/>
    <w:rsid w:val="045320D2"/>
    <w:rsid w:val="04891ABC"/>
    <w:rsid w:val="04DA205D"/>
    <w:rsid w:val="05EE5BAE"/>
    <w:rsid w:val="06046EA6"/>
    <w:rsid w:val="06336023"/>
    <w:rsid w:val="066966C0"/>
    <w:rsid w:val="0695192F"/>
    <w:rsid w:val="06CC2F3E"/>
    <w:rsid w:val="071F3577"/>
    <w:rsid w:val="073362FA"/>
    <w:rsid w:val="0779764A"/>
    <w:rsid w:val="08653B59"/>
    <w:rsid w:val="087D6CF1"/>
    <w:rsid w:val="088A363C"/>
    <w:rsid w:val="08C56454"/>
    <w:rsid w:val="08F83691"/>
    <w:rsid w:val="093E1D53"/>
    <w:rsid w:val="093E44AD"/>
    <w:rsid w:val="0BBB0B95"/>
    <w:rsid w:val="0C930BF7"/>
    <w:rsid w:val="0E6E44C1"/>
    <w:rsid w:val="0E794FC8"/>
    <w:rsid w:val="0EEC1A95"/>
    <w:rsid w:val="0F6C19F0"/>
    <w:rsid w:val="0FB364C9"/>
    <w:rsid w:val="0FCD671D"/>
    <w:rsid w:val="108C293C"/>
    <w:rsid w:val="11285FE4"/>
    <w:rsid w:val="114019D6"/>
    <w:rsid w:val="121C0ABC"/>
    <w:rsid w:val="12796BD5"/>
    <w:rsid w:val="1285080F"/>
    <w:rsid w:val="12BE49E2"/>
    <w:rsid w:val="13143949"/>
    <w:rsid w:val="135A470F"/>
    <w:rsid w:val="135E289D"/>
    <w:rsid w:val="137E0B56"/>
    <w:rsid w:val="13C80A73"/>
    <w:rsid w:val="14803136"/>
    <w:rsid w:val="14E16A03"/>
    <w:rsid w:val="150B457D"/>
    <w:rsid w:val="151D27EC"/>
    <w:rsid w:val="15606094"/>
    <w:rsid w:val="15824EAF"/>
    <w:rsid w:val="15830CAA"/>
    <w:rsid w:val="15934710"/>
    <w:rsid w:val="16D378B6"/>
    <w:rsid w:val="16FF1520"/>
    <w:rsid w:val="172D7C66"/>
    <w:rsid w:val="174154B8"/>
    <w:rsid w:val="179160D3"/>
    <w:rsid w:val="17991B4C"/>
    <w:rsid w:val="18605761"/>
    <w:rsid w:val="191F4AB1"/>
    <w:rsid w:val="19DD03B6"/>
    <w:rsid w:val="1AB609CD"/>
    <w:rsid w:val="1B09434D"/>
    <w:rsid w:val="1C0B630C"/>
    <w:rsid w:val="1C135848"/>
    <w:rsid w:val="1C285ABD"/>
    <w:rsid w:val="1CEA7136"/>
    <w:rsid w:val="1D4D1B10"/>
    <w:rsid w:val="1D7B088B"/>
    <w:rsid w:val="1D9E0283"/>
    <w:rsid w:val="1DB915BB"/>
    <w:rsid w:val="1DC407D8"/>
    <w:rsid w:val="1F0E3217"/>
    <w:rsid w:val="1F2E0B39"/>
    <w:rsid w:val="1F8E208D"/>
    <w:rsid w:val="1FF638F2"/>
    <w:rsid w:val="1FFA1DCE"/>
    <w:rsid w:val="210752AF"/>
    <w:rsid w:val="21855047"/>
    <w:rsid w:val="22221B70"/>
    <w:rsid w:val="22B819A6"/>
    <w:rsid w:val="23C83DD8"/>
    <w:rsid w:val="240245E6"/>
    <w:rsid w:val="24074070"/>
    <w:rsid w:val="24180093"/>
    <w:rsid w:val="244F23FD"/>
    <w:rsid w:val="247D608F"/>
    <w:rsid w:val="24891132"/>
    <w:rsid w:val="25153E65"/>
    <w:rsid w:val="2597356D"/>
    <w:rsid w:val="26582A27"/>
    <w:rsid w:val="26824451"/>
    <w:rsid w:val="27030F7F"/>
    <w:rsid w:val="2709074F"/>
    <w:rsid w:val="27366F13"/>
    <w:rsid w:val="27597769"/>
    <w:rsid w:val="27EA6F1A"/>
    <w:rsid w:val="280B3BCB"/>
    <w:rsid w:val="292D551B"/>
    <w:rsid w:val="29350219"/>
    <w:rsid w:val="299B5A4D"/>
    <w:rsid w:val="299E19F5"/>
    <w:rsid w:val="2A831B13"/>
    <w:rsid w:val="2A971C01"/>
    <w:rsid w:val="2AA96420"/>
    <w:rsid w:val="2AAF006D"/>
    <w:rsid w:val="2ACF05E3"/>
    <w:rsid w:val="2AF40B18"/>
    <w:rsid w:val="2BA95496"/>
    <w:rsid w:val="2CB57C88"/>
    <w:rsid w:val="2CDD4773"/>
    <w:rsid w:val="2CF83BC3"/>
    <w:rsid w:val="2DBB42F9"/>
    <w:rsid w:val="2DD36666"/>
    <w:rsid w:val="2DF462C3"/>
    <w:rsid w:val="2EC85DE4"/>
    <w:rsid w:val="2F366B56"/>
    <w:rsid w:val="2F5738B9"/>
    <w:rsid w:val="3000137C"/>
    <w:rsid w:val="304E385A"/>
    <w:rsid w:val="30FF6F2A"/>
    <w:rsid w:val="31913C5D"/>
    <w:rsid w:val="31C37BDE"/>
    <w:rsid w:val="320F6A40"/>
    <w:rsid w:val="322D3420"/>
    <w:rsid w:val="32495007"/>
    <w:rsid w:val="325D688A"/>
    <w:rsid w:val="32713324"/>
    <w:rsid w:val="32D32A4D"/>
    <w:rsid w:val="32E96FC0"/>
    <w:rsid w:val="32EC56D2"/>
    <w:rsid w:val="333B6BDD"/>
    <w:rsid w:val="33A24F96"/>
    <w:rsid w:val="33AE62FB"/>
    <w:rsid w:val="34246634"/>
    <w:rsid w:val="348E15AC"/>
    <w:rsid w:val="3503497D"/>
    <w:rsid w:val="35553995"/>
    <w:rsid w:val="355B0747"/>
    <w:rsid w:val="355D3491"/>
    <w:rsid w:val="355D384B"/>
    <w:rsid w:val="35776355"/>
    <w:rsid w:val="359576CF"/>
    <w:rsid w:val="36080A9B"/>
    <w:rsid w:val="36367D38"/>
    <w:rsid w:val="36720E60"/>
    <w:rsid w:val="36B6749C"/>
    <w:rsid w:val="36E0650C"/>
    <w:rsid w:val="36FE29D1"/>
    <w:rsid w:val="37895C88"/>
    <w:rsid w:val="38177A87"/>
    <w:rsid w:val="38424FC5"/>
    <w:rsid w:val="38BB24E1"/>
    <w:rsid w:val="39703209"/>
    <w:rsid w:val="397D6150"/>
    <w:rsid w:val="39A95E63"/>
    <w:rsid w:val="39DF4428"/>
    <w:rsid w:val="3B3C7A89"/>
    <w:rsid w:val="3BA603A2"/>
    <w:rsid w:val="3C5064D1"/>
    <w:rsid w:val="3D61709B"/>
    <w:rsid w:val="3D7B7F46"/>
    <w:rsid w:val="3DA10267"/>
    <w:rsid w:val="3DC53F3F"/>
    <w:rsid w:val="3DED60F0"/>
    <w:rsid w:val="3DF11C8C"/>
    <w:rsid w:val="3E3E448F"/>
    <w:rsid w:val="3E581039"/>
    <w:rsid w:val="3F034C4D"/>
    <w:rsid w:val="3F57672C"/>
    <w:rsid w:val="3FFD1827"/>
    <w:rsid w:val="3FFE760C"/>
    <w:rsid w:val="4080136D"/>
    <w:rsid w:val="415E52BD"/>
    <w:rsid w:val="423B00E8"/>
    <w:rsid w:val="429846D9"/>
    <w:rsid w:val="429A49CC"/>
    <w:rsid w:val="42A04296"/>
    <w:rsid w:val="43094E6D"/>
    <w:rsid w:val="431A12D7"/>
    <w:rsid w:val="433C64AC"/>
    <w:rsid w:val="43775F63"/>
    <w:rsid w:val="44C43228"/>
    <w:rsid w:val="44EA0657"/>
    <w:rsid w:val="4673007B"/>
    <w:rsid w:val="46B33F98"/>
    <w:rsid w:val="47482588"/>
    <w:rsid w:val="475D5527"/>
    <w:rsid w:val="48017A06"/>
    <w:rsid w:val="48427CF2"/>
    <w:rsid w:val="484C10B2"/>
    <w:rsid w:val="48992097"/>
    <w:rsid w:val="48F0272E"/>
    <w:rsid w:val="49D571BE"/>
    <w:rsid w:val="4A046E2B"/>
    <w:rsid w:val="4B16092B"/>
    <w:rsid w:val="4BD85BBC"/>
    <w:rsid w:val="4CC7690E"/>
    <w:rsid w:val="4CF107CF"/>
    <w:rsid w:val="4D1F7B40"/>
    <w:rsid w:val="4D492D94"/>
    <w:rsid w:val="4D4E273F"/>
    <w:rsid w:val="4D581098"/>
    <w:rsid w:val="4DAF4B8F"/>
    <w:rsid w:val="4DC12E0A"/>
    <w:rsid w:val="4DD44E23"/>
    <w:rsid w:val="4DE81F31"/>
    <w:rsid w:val="4EA33ED9"/>
    <w:rsid w:val="4FFE3355"/>
    <w:rsid w:val="50087D48"/>
    <w:rsid w:val="501E6EDD"/>
    <w:rsid w:val="503831CA"/>
    <w:rsid w:val="506F168E"/>
    <w:rsid w:val="50D640B7"/>
    <w:rsid w:val="515520EA"/>
    <w:rsid w:val="515733AC"/>
    <w:rsid w:val="51813123"/>
    <w:rsid w:val="51A833B0"/>
    <w:rsid w:val="51BE3247"/>
    <w:rsid w:val="521628BD"/>
    <w:rsid w:val="524C6BA5"/>
    <w:rsid w:val="52FD569E"/>
    <w:rsid w:val="535E6912"/>
    <w:rsid w:val="5364786F"/>
    <w:rsid w:val="53B82CB4"/>
    <w:rsid w:val="54021AD6"/>
    <w:rsid w:val="54343435"/>
    <w:rsid w:val="54694AB8"/>
    <w:rsid w:val="549001A1"/>
    <w:rsid w:val="54E10D20"/>
    <w:rsid w:val="554151F6"/>
    <w:rsid w:val="555A7E1B"/>
    <w:rsid w:val="558B4B64"/>
    <w:rsid w:val="55C41554"/>
    <w:rsid w:val="56752089"/>
    <w:rsid w:val="572B2206"/>
    <w:rsid w:val="58A370FA"/>
    <w:rsid w:val="5A207918"/>
    <w:rsid w:val="5A2D7230"/>
    <w:rsid w:val="5A341B40"/>
    <w:rsid w:val="5A664366"/>
    <w:rsid w:val="5AA85FD8"/>
    <w:rsid w:val="5AB60911"/>
    <w:rsid w:val="5B4C0A56"/>
    <w:rsid w:val="5B602BFA"/>
    <w:rsid w:val="5B6550A8"/>
    <w:rsid w:val="5B787B3C"/>
    <w:rsid w:val="5C2868A4"/>
    <w:rsid w:val="5CAE7E77"/>
    <w:rsid w:val="5CC716AC"/>
    <w:rsid w:val="5D562ED9"/>
    <w:rsid w:val="5DB25F24"/>
    <w:rsid w:val="5DBB1530"/>
    <w:rsid w:val="5DDA77E7"/>
    <w:rsid w:val="5E22427A"/>
    <w:rsid w:val="5E2D3398"/>
    <w:rsid w:val="5E4D676D"/>
    <w:rsid w:val="60614D55"/>
    <w:rsid w:val="608C099A"/>
    <w:rsid w:val="60BC5068"/>
    <w:rsid w:val="60BC5DAB"/>
    <w:rsid w:val="618E5C32"/>
    <w:rsid w:val="62287C01"/>
    <w:rsid w:val="62D764C3"/>
    <w:rsid w:val="63430BB2"/>
    <w:rsid w:val="635734C7"/>
    <w:rsid w:val="63EE79E6"/>
    <w:rsid w:val="63FE05F5"/>
    <w:rsid w:val="64937E55"/>
    <w:rsid w:val="649F75D0"/>
    <w:rsid w:val="658A726C"/>
    <w:rsid w:val="65DC4C4C"/>
    <w:rsid w:val="66123C35"/>
    <w:rsid w:val="66247A39"/>
    <w:rsid w:val="666A62D3"/>
    <w:rsid w:val="66F630A1"/>
    <w:rsid w:val="67140EE4"/>
    <w:rsid w:val="671604F4"/>
    <w:rsid w:val="671C4091"/>
    <w:rsid w:val="675556B2"/>
    <w:rsid w:val="67921248"/>
    <w:rsid w:val="68CA4079"/>
    <w:rsid w:val="690E45C2"/>
    <w:rsid w:val="69D97FE7"/>
    <w:rsid w:val="6A513B85"/>
    <w:rsid w:val="6A5A1B5E"/>
    <w:rsid w:val="6A7A7A20"/>
    <w:rsid w:val="6A986E57"/>
    <w:rsid w:val="6C102BDD"/>
    <w:rsid w:val="6C461E56"/>
    <w:rsid w:val="6CC302B3"/>
    <w:rsid w:val="6D110AF1"/>
    <w:rsid w:val="6DCE56F1"/>
    <w:rsid w:val="6E2E7E52"/>
    <w:rsid w:val="6F965D97"/>
    <w:rsid w:val="704A0E24"/>
    <w:rsid w:val="704B1CCB"/>
    <w:rsid w:val="70CB06DD"/>
    <w:rsid w:val="70E72CEF"/>
    <w:rsid w:val="70EA12B5"/>
    <w:rsid w:val="7127569D"/>
    <w:rsid w:val="71476813"/>
    <w:rsid w:val="719620E9"/>
    <w:rsid w:val="72562C46"/>
    <w:rsid w:val="740C191A"/>
    <w:rsid w:val="742D7BDB"/>
    <w:rsid w:val="745C6B9D"/>
    <w:rsid w:val="74A47CD9"/>
    <w:rsid w:val="75A9138C"/>
    <w:rsid w:val="766C37B7"/>
    <w:rsid w:val="769A3439"/>
    <w:rsid w:val="76CA26DD"/>
    <w:rsid w:val="76CA49AC"/>
    <w:rsid w:val="76F91330"/>
    <w:rsid w:val="770D7B10"/>
    <w:rsid w:val="77372405"/>
    <w:rsid w:val="779D4D64"/>
    <w:rsid w:val="77D148E5"/>
    <w:rsid w:val="77FB31EE"/>
    <w:rsid w:val="781B3920"/>
    <w:rsid w:val="78C26E3E"/>
    <w:rsid w:val="78DB15AB"/>
    <w:rsid w:val="798F62CA"/>
    <w:rsid w:val="79D9676F"/>
    <w:rsid w:val="79E04CB0"/>
    <w:rsid w:val="7A4736F4"/>
    <w:rsid w:val="7A655D78"/>
    <w:rsid w:val="7A8E70C0"/>
    <w:rsid w:val="7B1913AA"/>
    <w:rsid w:val="7B623F55"/>
    <w:rsid w:val="7BB50094"/>
    <w:rsid w:val="7C3307BC"/>
    <w:rsid w:val="7CD95701"/>
    <w:rsid w:val="7D7C151B"/>
    <w:rsid w:val="7D8B0C89"/>
    <w:rsid w:val="7DEC723C"/>
    <w:rsid w:val="7E0B3050"/>
    <w:rsid w:val="7F2E5621"/>
    <w:rsid w:val="7F5B5029"/>
    <w:rsid w:val="7F601B22"/>
    <w:rsid w:val="7F7E5B7B"/>
    <w:rsid w:val="7F8D476D"/>
    <w:rsid w:val="7FD76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1"/>
    <w:pPr>
      <w:spacing w:after="50" w:afterLines="50" w:line="360" w:lineRule="auto"/>
      <w:jc w:val="center"/>
      <w:outlineLvl w:val="0"/>
    </w:pPr>
    <w:rPr>
      <w:rFonts w:ascii="Microsoft JhengHei" w:hAnsi="Microsoft JhengHei" w:cs="Microsoft JhengHei"/>
      <w:b/>
      <w:bCs/>
      <w:sz w:val="28"/>
      <w:szCs w:val="44"/>
    </w:rPr>
  </w:style>
  <w:style w:type="paragraph" w:styleId="5">
    <w:name w:val="heading 2"/>
    <w:basedOn w:val="1"/>
    <w:next w:val="1"/>
    <w:qFormat/>
    <w:uiPriority w:val="1"/>
    <w:pPr>
      <w:ind w:left="221"/>
      <w:outlineLvl w:val="1"/>
    </w:pPr>
    <w:rPr>
      <w:rFonts w:ascii="Microsoft JhengHei" w:hAnsi="Microsoft JhengHei" w:eastAsia="Microsoft JhengHei" w:cs="Microsoft JhengHei"/>
      <w:b/>
      <w:bCs/>
      <w:sz w:val="24"/>
      <w:szCs w:val="24"/>
    </w:rPr>
  </w:style>
  <w:style w:type="paragraph" w:styleId="6">
    <w:name w:val="heading 3"/>
    <w:basedOn w:val="1"/>
    <w:next w:val="1"/>
    <w:qFormat/>
    <w:uiPriority w:val="0"/>
    <w:pPr>
      <w:keepNext/>
      <w:keepLines/>
      <w:widowControl/>
      <w:numPr>
        <w:ilvl w:val="2"/>
        <w:numId w:val="1"/>
      </w:numPr>
      <w:spacing w:before="120" w:after="120" w:line="360" w:lineRule="auto"/>
      <w:jc w:val="center"/>
      <w:outlineLvl w:val="2"/>
    </w:pPr>
    <w:rPr>
      <w:rFonts w:ascii="Calibri" w:hAnsi="Calibri" w:eastAsia="??"/>
      <w:b/>
      <w:sz w:val="32"/>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rFonts w:ascii="Times New Roman" w:hAnsi="Times New Roman" w:cs="Times New Roman"/>
      <w:sz w:val="21"/>
    </w:rPr>
  </w:style>
  <w:style w:type="paragraph" w:styleId="3">
    <w:name w:val="Body Text Indent"/>
    <w:basedOn w:val="1"/>
    <w:next w:val="2"/>
    <w:qFormat/>
    <w:uiPriority w:val="0"/>
    <w:pPr>
      <w:ind w:firstLine="645"/>
    </w:pPr>
    <w:rPr>
      <w:rFonts w:ascii="Calibri" w:hAnsi="Calibri"/>
      <w:sz w:val="28"/>
      <w:szCs w:val="20"/>
    </w:rPr>
  </w:style>
  <w:style w:type="paragraph" w:styleId="7">
    <w:name w:val="annotation text"/>
    <w:basedOn w:val="1"/>
    <w:qFormat/>
    <w:uiPriority w:val="0"/>
    <w:rPr>
      <w:rFonts w:ascii="仿宋_GB2312" w:eastAsia="仿宋_GB2312"/>
      <w:b/>
      <w:szCs w:val="24"/>
    </w:rPr>
  </w:style>
  <w:style w:type="paragraph" w:styleId="8">
    <w:name w:val="Body Text"/>
    <w:basedOn w:val="1"/>
    <w:qFormat/>
    <w:uiPriority w:val="1"/>
    <w:rPr>
      <w:sz w:val="24"/>
      <w:szCs w:val="24"/>
    </w:rPr>
  </w:style>
  <w:style w:type="paragraph" w:styleId="9">
    <w:name w:val="Plain Text"/>
    <w:basedOn w:val="1"/>
    <w:next w:val="1"/>
    <w:qFormat/>
    <w:uiPriority w:val="0"/>
    <w:rPr>
      <w:rFonts w:ascii="??" w:hAnsi="??" w:eastAsia="??"/>
      <w:szCs w:val="21"/>
    </w:rPr>
  </w:style>
  <w:style w:type="paragraph" w:styleId="10">
    <w:name w:val="Balloon Text"/>
    <w:basedOn w:val="1"/>
    <w:link w:val="37"/>
    <w:qFormat/>
    <w:uiPriority w:val="0"/>
    <w:rPr>
      <w:sz w:val="18"/>
      <w:szCs w:val="18"/>
    </w:rPr>
  </w:style>
  <w:style w:type="paragraph" w:styleId="11">
    <w:name w:val="footer"/>
    <w:basedOn w:val="1"/>
    <w:qFormat/>
    <w:uiPriority w:val="0"/>
    <w:pPr>
      <w:tabs>
        <w:tab w:val="center" w:pos="4153"/>
        <w:tab w:val="right" w:pos="8306"/>
      </w:tabs>
      <w:snapToGrid w:val="0"/>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toc 1"/>
    <w:basedOn w:val="1"/>
    <w:next w:val="1"/>
    <w:qFormat/>
    <w:uiPriority w:val="1"/>
    <w:pPr>
      <w:spacing w:before="393"/>
      <w:ind w:left="281"/>
    </w:pPr>
    <w:rPr>
      <w:sz w:val="24"/>
      <w:szCs w:val="24"/>
    </w:rPr>
  </w:style>
  <w:style w:type="paragraph" w:styleId="14">
    <w:name w:val="toc 2"/>
    <w:basedOn w:val="1"/>
    <w:next w:val="1"/>
    <w:qFormat/>
    <w:uiPriority w:val="39"/>
    <w:pPr>
      <w:ind w:left="210"/>
    </w:pPr>
    <w:rPr>
      <w:smallCaps/>
      <w:sz w:val="20"/>
      <w:szCs w:val="20"/>
    </w:rPr>
  </w:style>
  <w:style w:type="paragraph" w:styleId="15">
    <w:name w:val="Title"/>
    <w:basedOn w:val="1"/>
    <w:qFormat/>
    <w:uiPriority w:val="0"/>
    <w:pPr>
      <w:widowControl/>
      <w:overflowPunct w:val="0"/>
      <w:adjustRightInd w:val="0"/>
      <w:jc w:val="center"/>
      <w:textAlignment w:val="baseline"/>
    </w:pPr>
    <w:rPr>
      <w:rFonts w:ascii="Calibri" w:hAnsi="Calibri" w:eastAsia="??"/>
      <w:b/>
      <w:sz w:val="24"/>
      <w:szCs w:val="28"/>
      <w:lang w:val="en-GB"/>
    </w:rPr>
  </w:style>
  <w:style w:type="character" w:styleId="18">
    <w:name w:val="page number"/>
    <w:basedOn w:val="17"/>
    <w:qFormat/>
    <w:uiPriority w:val="0"/>
  </w:style>
  <w:style w:type="character" w:styleId="19">
    <w:name w:val="Hyperlink"/>
    <w:qFormat/>
    <w:uiPriority w:val="99"/>
    <w:rPr>
      <w:color w:val="0000FF"/>
      <w:u w:val="single"/>
    </w:rPr>
  </w:style>
  <w:style w:type="paragraph" w:customStyle="1" w:styleId="20">
    <w:name w:val="正文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21">
    <w:name w:val="[Normal]"/>
    <w:qFormat/>
    <w:uiPriority w:val="0"/>
    <w:rPr>
      <w:rFonts w:ascii="宋体" w:hAnsi="宋体" w:eastAsia="宋体" w:cs="Times New Roman"/>
      <w:sz w:val="24"/>
      <w:szCs w:val="22"/>
      <w:lang w:val="zh-CN" w:eastAsia="zh-CN" w:bidi="ar-SA"/>
    </w:rPr>
  </w:style>
  <w:style w:type="paragraph" w:customStyle="1" w:styleId="22">
    <w:name w:val="列出段落1"/>
    <w:basedOn w:val="1"/>
    <w:qFormat/>
    <w:uiPriority w:val="1"/>
    <w:pPr>
      <w:ind w:left="281" w:firstLine="480"/>
    </w:pPr>
  </w:style>
  <w:style w:type="paragraph" w:customStyle="1" w:styleId="23">
    <w:name w:val="Table Paragraph"/>
    <w:basedOn w:val="1"/>
    <w:qFormat/>
    <w:uiPriority w:val="1"/>
  </w:style>
  <w:style w:type="character" w:customStyle="1" w:styleId="24">
    <w:name w:val="font41"/>
    <w:basedOn w:val="17"/>
    <w:qFormat/>
    <w:uiPriority w:val="0"/>
    <w:rPr>
      <w:rFonts w:hint="eastAsia" w:ascii="宋体" w:hAnsi="宋体" w:eastAsia="宋体" w:cs="宋体"/>
      <w:color w:val="000000"/>
      <w:sz w:val="22"/>
      <w:szCs w:val="22"/>
      <w:u w:val="none"/>
    </w:rPr>
  </w:style>
  <w:style w:type="character" w:customStyle="1" w:styleId="25">
    <w:name w:val="font71"/>
    <w:basedOn w:val="17"/>
    <w:qFormat/>
    <w:uiPriority w:val="0"/>
    <w:rPr>
      <w:rFonts w:hint="eastAsia" w:ascii="宋体" w:hAnsi="宋体" w:eastAsia="宋体" w:cs="宋体"/>
      <w:color w:val="FF0000"/>
      <w:sz w:val="22"/>
      <w:szCs w:val="22"/>
      <w:u w:val="none"/>
    </w:rPr>
  </w:style>
  <w:style w:type="paragraph" w:customStyle="1" w:styleId="26">
    <w:name w:val="正文2"/>
    <w:basedOn w:val="1"/>
    <w:qFormat/>
    <w:uiPriority w:val="0"/>
    <w:pPr>
      <w:spacing w:before="156" w:line="360" w:lineRule="auto"/>
      <w:ind w:firstLine="510" w:firstLineChars="200"/>
    </w:pPr>
    <w:rPr>
      <w:rFonts w:ascii="Calibri" w:hAnsi="Calibri"/>
      <w:sz w:val="24"/>
      <w:szCs w:val="20"/>
    </w:rPr>
  </w:style>
  <w:style w:type="character" w:customStyle="1" w:styleId="27">
    <w:name w:val="font81"/>
    <w:basedOn w:val="17"/>
    <w:qFormat/>
    <w:uiPriority w:val="0"/>
    <w:rPr>
      <w:rFonts w:hint="eastAsia" w:ascii="宋体" w:hAnsi="宋体" w:eastAsia="宋体" w:cs="宋体"/>
      <w:color w:val="000000"/>
      <w:sz w:val="23"/>
      <w:szCs w:val="23"/>
      <w:u w:val="none"/>
    </w:rPr>
  </w:style>
  <w:style w:type="character" w:customStyle="1" w:styleId="28">
    <w:name w:val="font61"/>
    <w:basedOn w:val="17"/>
    <w:qFormat/>
    <w:uiPriority w:val="0"/>
    <w:rPr>
      <w:rFonts w:hint="eastAsia" w:ascii="宋体" w:hAnsi="宋体" w:eastAsia="宋体" w:cs="宋体"/>
      <w:color w:val="000000"/>
      <w:sz w:val="20"/>
      <w:szCs w:val="20"/>
      <w:u w:val="none"/>
    </w:rPr>
  </w:style>
  <w:style w:type="character" w:customStyle="1" w:styleId="29">
    <w:name w:val="font91"/>
    <w:basedOn w:val="17"/>
    <w:qFormat/>
    <w:uiPriority w:val="0"/>
    <w:rPr>
      <w:rFonts w:hint="eastAsia" w:ascii="宋体" w:hAnsi="宋体" w:eastAsia="宋体" w:cs="宋体"/>
      <w:color w:val="FF0000"/>
      <w:sz w:val="22"/>
      <w:szCs w:val="22"/>
      <w:u w:val="none"/>
    </w:rPr>
  </w:style>
  <w:style w:type="paragraph" w:customStyle="1" w:styleId="30">
    <w:name w:val="_Style 10"/>
    <w:basedOn w:val="1"/>
    <w:next w:val="1"/>
    <w:qFormat/>
    <w:uiPriority w:val="0"/>
    <w:pPr>
      <w:pBdr>
        <w:bottom w:val="single" w:color="auto" w:sz="6" w:space="1"/>
      </w:pBdr>
      <w:jc w:val="center"/>
    </w:pPr>
    <w:rPr>
      <w:rFonts w:ascii="Arial"/>
      <w:vanish/>
      <w:sz w:val="16"/>
    </w:rPr>
  </w:style>
  <w:style w:type="paragraph" w:customStyle="1" w:styleId="31">
    <w:name w:val="_Style 11"/>
    <w:basedOn w:val="1"/>
    <w:next w:val="1"/>
    <w:qFormat/>
    <w:uiPriority w:val="0"/>
    <w:pPr>
      <w:pBdr>
        <w:top w:val="single" w:color="auto" w:sz="6" w:space="1"/>
      </w:pBdr>
      <w:jc w:val="center"/>
    </w:pPr>
    <w:rPr>
      <w:rFonts w:ascii="Arial"/>
      <w:vanish/>
      <w:sz w:val="16"/>
    </w:rPr>
  </w:style>
  <w:style w:type="paragraph" w:customStyle="1" w:styleId="32">
    <w:name w:val="样式 宋体 小四 行距: 1.5 倍行距 首行缩进:  2 字符"/>
    <w:basedOn w:val="1"/>
    <w:qFormat/>
    <w:uiPriority w:val="0"/>
    <w:pPr>
      <w:spacing w:line="360" w:lineRule="auto"/>
      <w:ind w:firstLine="200" w:firstLineChars="200"/>
    </w:pPr>
    <w:rPr>
      <w:sz w:val="24"/>
    </w:rPr>
  </w:style>
  <w:style w:type="paragraph" w:customStyle="1" w:styleId="33">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 w:cs="Times New Roman"/>
      <w:szCs w:val="28"/>
      <w:lang w:val="en-US" w:eastAsia="zh-CN" w:bidi="ar-SA"/>
    </w:rPr>
  </w:style>
  <w:style w:type="paragraph" w:customStyle="1" w:styleId="34">
    <w:name w:val="样式1"/>
    <w:basedOn w:val="4"/>
    <w:qFormat/>
    <w:uiPriority w:val="0"/>
    <w:pPr>
      <w:numPr>
        <w:ilvl w:val="0"/>
        <w:numId w:val="1"/>
      </w:numPr>
    </w:pPr>
  </w:style>
  <w:style w:type="paragraph" w:customStyle="1" w:styleId="35">
    <w:name w:val="无间隔1"/>
    <w:qFormat/>
    <w:uiPriority w:val="0"/>
    <w:rPr>
      <w:rFonts w:ascii="Calibri" w:hAnsi="Calibri" w:eastAsia="??" w:cs="宋体"/>
      <w:sz w:val="22"/>
      <w:szCs w:val="22"/>
      <w:lang w:val="en-US" w:eastAsia="en-US" w:bidi="ar-SA"/>
    </w:rPr>
  </w:style>
  <w:style w:type="paragraph" w:customStyle="1" w:styleId="36">
    <w:name w:val="列出段落2"/>
    <w:basedOn w:val="1"/>
    <w:qFormat/>
    <w:uiPriority w:val="0"/>
    <w:pPr>
      <w:ind w:firstLine="420" w:firstLineChars="200"/>
    </w:pPr>
    <w:rPr>
      <w:szCs w:val="20"/>
    </w:rPr>
  </w:style>
  <w:style w:type="character" w:customStyle="1" w:styleId="37">
    <w:name w:val="批注框文本 Char"/>
    <w:basedOn w:val="17"/>
    <w:link w:val="10"/>
    <w:qFormat/>
    <w:uiPriority w:val="0"/>
    <w:rPr>
      <w:rFonts w:ascii="宋体" w:hAnsi="宋体" w:cs="宋体"/>
      <w:sz w:val="18"/>
      <w:szCs w:val="18"/>
      <w:lang w:val="zh-CN" w:bidi="zh-CN"/>
    </w:rPr>
  </w:style>
  <w:style w:type="paragraph" w:customStyle="1" w:styleId="38">
    <w:name w:val="List Paragraph"/>
    <w:basedOn w:val="1"/>
    <w:qFormat/>
    <w:uiPriority w:val="0"/>
    <w:pPr>
      <w:widowControl/>
      <w:ind w:firstLine="420" w:firstLineChars="200"/>
      <w:jc w:val="left"/>
    </w:pPr>
    <w:rPr>
      <w:rFonts w:ascii="宋体" w:hAnsi="宋体"/>
      <w:kern w:val="0"/>
      <w:sz w:val="28"/>
      <w:szCs w:val="24"/>
    </w:rPr>
  </w:style>
  <w:style w:type="paragraph" w:customStyle="1" w:styleId="39">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character" w:customStyle="1" w:styleId="40">
    <w:name w:val="so-ask-best"/>
    <w:basedOn w:val="17"/>
    <w:qFormat/>
    <w:uiPriority w:val="0"/>
  </w:style>
  <w:style w:type="paragraph" w:customStyle="1" w:styleId="41">
    <w:name w:val="正文表标题"/>
    <w:next w:val="1"/>
    <w:qFormat/>
    <w:uiPriority w:val="0"/>
    <w:pPr>
      <w:tabs>
        <w:tab w:val="left" w:pos="360"/>
        <w:tab w:val="left" w:pos="1620"/>
      </w:tabs>
      <w:spacing w:beforeLines="50" w:afterLines="50"/>
      <w:ind w:left="1620" w:hanging="1620"/>
      <w:jc w:val="center"/>
    </w:pPr>
    <w:rPr>
      <w:rFonts w:ascii="黑体" w:hAnsi="Times New Roman" w:eastAsia="黑体" w:cs="Times New Roman"/>
      <w:sz w:val="21"/>
      <w:szCs w:val="22"/>
      <w:lang w:val="en-US" w:eastAsia="zh-CN" w:bidi="ar-SA"/>
    </w:rPr>
  </w:style>
  <w:style w:type="paragraph" w:customStyle="1" w:styleId="4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character" w:customStyle="1" w:styleId="43">
    <w:name w:val="标题 1 Char Char"/>
    <w:qFormat/>
    <w:uiPriority w:val="0"/>
    <w:rPr>
      <w:rFonts w:eastAsia="宋体"/>
      <w:b/>
      <w:spacing w:val="-2"/>
      <w:sz w:val="24"/>
      <w:lang w:val="en-US" w:eastAsia="zh-CN" w:bidi="ar-SA"/>
    </w:rPr>
  </w:style>
  <w:style w:type="paragraph" w:customStyle="1" w:styleId="44">
    <w:name w:val="_Style 3"/>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86</Pages>
  <Words>9979</Words>
  <Characters>56882</Characters>
  <Lines>474</Lines>
  <Paragraphs>133</Paragraphs>
  <TotalTime>3</TotalTime>
  <ScaleCrop>false</ScaleCrop>
  <LinksUpToDate>false</LinksUpToDate>
  <CharactersWithSpaces>66728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2019-12-17T05:35:00Z</dcterms:created>
  <dc:creator>邓玉</dc:creator>
  <cp:lastModifiedBy>邓玉</cp:lastModifiedBy>
  <cp:lastPrinted>2020-04-29T09:28:00Z</cp:lastPrinted>
  <dcterms:modified xsi:type="dcterms:W3CDTF">2020-05-06T03:30:34Z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