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ascii="宋体" w:hAnsi="宋体" w:cs="宋体"/>
          <w:b/>
          <w:color w:val="000000"/>
          <w:sz w:val="24"/>
          <w:highlight w:val="none"/>
        </w:rPr>
      </w:pPr>
    </w:p>
    <w:p>
      <w:pPr>
        <w:spacing w:line="360" w:lineRule="auto"/>
        <w:jc w:val="center"/>
        <w:rPr>
          <w:rFonts w:ascii="宋体" w:hAnsi="宋体" w:cs="宋体"/>
          <w:b/>
          <w:color w:val="000000"/>
          <w:sz w:val="24"/>
          <w:highlight w:val="none"/>
        </w:rPr>
      </w:pPr>
    </w:p>
    <w:p>
      <w:pPr>
        <w:adjustRightInd/>
        <w:spacing w:line="360" w:lineRule="auto"/>
        <w:jc w:val="both"/>
        <w:rPr>
          <w:rFonts w:ascii="宋体" w:hAnsi="宋体" w:cs="宋体"/>
          <w:b/>
          <w:color w:val="000000"/>
          <w:sz w:val="48"/>
          <w:szCs w:val="48"/>
          <w:highlight w:val="none"/>
        </w:rPr>
      </w:pPr>
    </w:p>
    <w:p>
      <w:pPr>
        <w:adjustRightInd/>
        <w:spacing w:line="360" w:lineRule="auto"/>
        <w:jc w:val="center"/>
        <w:rPr>
          <w:rFonts w:ascii="宋体" w:hAnsi="宋体" w:cs="宋体"/>
          <w:color w:val="000000"/>
          <w:sz w:val="48"/>
          <w:szCs w:val="48"/>
          <w:highlight w:val="none"/>
        </w:rPr>
      </w:pPr>
      <w:r>
        <w:rPr>
          <w:rFonts w:hint="eastAsia" w:ascii="宋体" w:hAnsi="宋体" w:cs="宋体"/>
          <w:color w:val="000000"/>
          <w:sz w:val="48"/>
          <w:szCs w:val="48"/>
          <w:highlight w:val="none"/>
          <w:lang w:eastAsia="zh-CN"/>
        </w:rPr>
        <w:t>良渚消防站电力配电项目</w:t>
      </w:r>
    </w:p>
    <w:p>
      <w:pPr>
        <w:adjustRightInd/>
        <w:spacing w:line="360" w:lineRule="auto"/>
        <w:jc w:val="center"/>
        <w:rPr>
          <w:rFonts w:ascii="宋体" w:hAnsi="宋体" w:cs="宋体"/>
          <w:color w:val="000000"/>
          <w:sz w:val="48"/>
          <w:szCs w:val="48"/>
          <w:highlight w:val="none"/>
        </w:rPr>
      </w:pPr>
      <w:r>
        <w:rPr>
          <w:rFonts w:hint="eastAsia" w:ascii="宋体" w:hAnsi="宋体" w:cs="宋体"/>
          <w:color w:val="000000"/>
          <w:sz w:val="48"/>
          <w:szCs w:val="48"/>
          <w:highlight w:val="none"/>
        </w:rPr>
        <w:t xml:space="preserve">招标文件 </w:t>
      </w:r>
    </w:p>
    <w:p>
      <w:pPr>
        <w:adjustRightInd/>
        <w:spacing w:line="360" w:lineRule="auto"/>
        <w:jc w:val="center"/>
        <w:rPr>
          <w:rFonts w:ascii="宋体" w:hAnsi="宋体" w:cs="宋体"/>
          <w:b/>
          <w:color w:val="000000"/>
          <w:sz w:val="44"/>
          <w:szCs w:val="44"/>
          <w:highlight w:val="none"/>
        </w:rPr>
      </w:pPr>
      <w:r>
        <w:rPr>
          <w:rFonts w:hint="eastAsia" w:ascii="宋体" w:hAnsi="宋体" w:cs="宋体"/>
          <w:b/>
          <w:color w:val="000000"/>
          <w:sz w:val="44"/>
          <w:szCs w:val="44"/>
          <w:highlight w:val="none"/>
        </w:rPr>
        <w:t xml:space="preserve"> （电子招投标）</w:t>
      </w:r>
    </w:p>
    <w:p>
      <w:pPr>
        <w:snapToGrid w:val="0"/>
        <w:spacing w:line="360" w:lineRule="auto"/>
        <w:jc w:val="center"/>
        <w:rPr>
          <w:rFonts w:ascii="宋体" w:hAnsi="宋体" w:cs="宋体"/>
          <w:color w:val="000000"/>
          <w:sz w:val="30"/>
          <w:szCs w:val="30"/>
          <w:highlight w:val="none"/>
        </w:rPr>
      </w:pPr>
      <w:r>
        <w:rPr>
          <w:rFonts w:hint="eastAsia" w:ascii="宋体" w:hAnsi="宋体" w:cs="宋体"/>
          <w:color w:val="000000"/>
          <w:sz w:val="30"/>
          <w:szCs w:val="30"/>
          <w:highlight w:val="none"/>
        </w:rPr>
        <w:t>编号:（</w:t>
      </w:r>
      <w:r>
        <w:rPr>
          <w:rFonts w:hint="eastAsia" w:ascii="宋体" w:hAnsi="宋体" w:cs="宋体"/>
          <w:color w:val="000000"/>
          <w:sz w:val="30"/>
          <w:szCs w:val="30"/>
          <w:highlight w:val="none"/>
          <w:lang w:eastAsia="zh-CN"/>
        </w:rPr>
        <w:t>HZHZCG2024-019</w:t>
      </w:r>
      <w:r>
        <w:rPr>
          <w:rFonts w:hint="eastAsia" w:ascii="宋体" w:hAnsi="宋体" w:cs="宋体"/>
          <w:color w:val="000000"/>
          <w:sz w:val="30"/>
          <w:szCs w:val="30"/>
          <w:highlight w:val="none"/>
        </w:rPr>
        <w:t>）</w:t>
      </w:r>
    </w:p>
    <w:p>
      <w:pPr>
        <w:adjustRightInd/>
        <w:spacing w:line="360" w:lineRule="auto"/>
        <w:rPr>
          <w:rFonts w:ascii="宋体" w:hAnsi="宋体" w:cs="宋体"/>
          <w:color w:val="000000"/>
          <w:sz w:val="28"/>
          <w:szCs w:val="20"/>
          <w:highlight w:val="none"/>
        </w:rPr>
      </w:pPr>
    </w:p>
    <w:p>
      <w:pPr>
        <w:spacing w:line="360" w:lineRule="auto"/>
        <w:jc w:val="center"/>
        <w:rPr>
          <w:rFonts w:ascii="宋体" w:hAnsi="宋体" w:cs="宋体"/>
          <w:b/>
          <w:color w:val="000000"/>
          <w:sz w:val="44"/>
          <w:szCs w:val="44"/>
          <w:highlight w:val="none"/>
        </w:rPr>
      </w:pPr>
      <w:r>
        <w:rPr>
          <w:rFonts w:hint="eastAsia" w:ascii="宋体" w:hAnsi="宋体" w:cs="宋体"/>
          <w:b/>
          <w:color w:val="000000"/>
          <w:sz w:val="44"/>
          <w:szCs w:val="44"/>
          <w:highlight w:val="none"/>
        </w:rPr>
        <w:t xml:space="preserve"> </w:t>
      </w:r>
    </w:p>
    <w:p>
      <w:pPr>
        <w:spacing w:line="360" w:lineRule="auto"/>
        <w:jc w:val="center"/>
        <w:rPr>
          <w:rFonts w:ascii="宋体" w:hAnsi="宋体" w:cs="宋体"/>
          <w:b/>
          <w:color w:val="000000"/>
          <w:sz w:val="44"/>
          <w:szCs w:val="44"/>
          <w:highlight w:val="none"/>
        </w:rPr>
      </w:pPr>
    </w:p>
    <w:p>
      <w:pPr>
        <w:pStyle w:val="3"/>
        <w:rPr>
          <w:rFonts w:ascii="宋体" w:hAnsi="宋体" w:cs="宋体"/>
          <w:b/>
          <w:color w:val="000000"/>
          <w:sz w:val="44"/>
          <w:szCs w:val="44"/>
          <w:highlight w:val="none"/>
        </w:rPr>
      </w:pPr>
    </w:p>
    <w:p>
      <w:pPr>
        <w:rPr>
          <w:color w:val="000000"/>
          <w:highlight w:val="none"/>
        </w:rPr>
      </w:pPr>
    </w:p>
    <w:p>
      <w:pPr>
        <w:spacing w:line="360" w:lineRule="auto"/>
        <w:jc w:val="center"/>
        <w:rPr>
          <w:rFonts w:ascii="宋体" w:hAnsi="宋体" w:cs="宋体"/>
          <w:color w:val="000000"/>
          <w:sz w:val="24"/>
          <w:highlight w:val="none"/>
        </w:rPr>
      </w:pPr>
    </w:p>
    <w:p>
      <w:pPr>
        <w:spacing w:line="360" w:lineRule="auto"/>
        <w:jc w:val="center"/>
        <w:rPr>
          <w:rFonts w:ascii="宋体" w:hAnsi="宋体" w:cs="宋体"/>
          <w:color w:val="000000"/>
          <w:sz w:val="24"/>
          <w:highlight w:val="none"/>
        </w:rPr>
      </w:pPr>
    </w:p>
    <w:p>
      <w:pPr>
        <w:spacing w:line="360" w:lineRule="auto"/>
        <w:rPr>
          <w:rFonts w:ascii="宋体" w:hAnsi="宋体" w:cs="宋体"/>
          <w:color w:val="000000"/>
          <w:sz w:val="32"/>
          <w:szCs w:val="32"/>
          <w:highlight w:val="none"/>
        </w:rPr>
      </w:pPr>
    </w:p>
    <w:p>
      <w:pPr>
        <w:snapToGrid w:val="0"/>
        <w:spacing w:line="360" w:lineRule="auto"/>
        <w:jc w:val="center"/>
        <w:rPr>
          <w:rFonts w:ascii="宋体" w:hAnsi="宋体" w:cs="宋体"/>
          <w:color w:val="000000"/>
          <w:sz w:val="32"/>
          <w:szCs w:val="32"/>
          <w:highlight w:val="none"/>
        </w:rPr>
      </w:pPr>
      <w:r>
        <w:rPr>
          <w:rFonts w:hint="eastAsia" w:ascii="宋体" w:hAnsi="宋体" w:cs="宋体"/>
          <w:color w:val="000000"/>
          <w:sz w:val="32"/>
          <w:szCs w:val="32"/>
          <w:highlight w:val="none"/>
          <w:lang w:val="en-US" w:eastAsia="zh-CN"/>
        </w:rPr>
        <w:t>杭州市余杭区消防救援大队</w:t>
      </w:r>
    </w:p>
    <w:p>
      <w:pPr>
        <w:spacing w:line="360" w:lineRule="auto"/>
        <w:jc w:val="center"/>
        <w:rPr>
          <w:rFonts w:ascii="宋体" w:hAnsi="宋体" w:cs="宋体"/>
          <w:bCs/>
          <w:color w:val="000000"/>
          <w:sz w:val="32"/>
          <w:szCs w:val="32"/>
          <w:highlight w:val="none"/>
        </w:rPr>
      </w:pPr>
      <w:r>
        <w:rPr>
          <w:rFonts w:hint="eastAsia" w:ascii="宋体" w:hAnsi="宋体" w:cs="宋体"/>
          <w:bCs/>
          <w:color w:val="000000"/>
          <w:sz w:val="32"/>
          <w:szCs w:val="32"/>
          <w:highlight w:val="none"/>
          <w:lang w:val="en-US" w:eastAsia="zh-CN"/>
        </w:rPr>
        <w:t>杭州恒正造价工程师事务所</w:t>
      </w:r>
    </w:p>
    <w:p>
      <w:pPr>
        <w:snapToGrid w:val="0"/>
        <w:spacing w:line="360" w:lineRule="auto"/>
        <w:jc w:val="center"/>
        <w:rPr>
          <w:rFonts w:ascii="宋体" w:hAnsi="宋体" w:cs="宋体"/>
          <w:bCs/>
          <w:color w:val="000000"/>
          <w:sz w:val="32"/>
          <w:szCs w:val="32"/>
          <w:highlight w:val="none"/>
        </w:rPr>
      </w:pPr>
      <w:r>
        <w:rPr>
          <w:rFonts w:hint="eastAsia" w:ascii="宋体" w:hAnsi="宋体" w:cs="宋体"/>
          <w:bCs/>
          <w:color w:val="000000"/>
          <w:sz w:val="32"/>
          <w:szCs w:val="32"/>
          <w:highlight w:val="none"/>
        </w:rPr>
        <w:t>二〇二</w:t>
      </w:r>
      <w:r>
        <w:rPr>
          <w:rFonts w:hint="eastAsia" w:ascii="宋体" w:hAnsi="宋体" w:cs="宋体"/>
          <w:bCs/>
          <w:color w:val="000000"/>
          <w:sz w:val="32"/>
          <w:szCs w:val="32"/>
          <w:highlight w:val="none"/>
          <w:lang w:val="en-US" w:eastAsia="zh-CN"/>
        </w:rPr>
        <w:t>四</w:t>
      </w:r>
      <w:r>
        <w:rPr>
          <w:rFonts w:hint="eastAsia" w:ascii="宋体" w:hAnsi="宋体" w:cs="宋体"/>
          <w:bCs/>
          <w:color w:val="000000"/>
          <w:sz w:val="32"/>
          <w:szCs w:val="32"/>
          <w:highlight w:val="none"/>
        </w:rPr>
        <w:t>年</w:t>
      </w:r>
      <w:r>
        <w:rPr>
          <w:rFonts w:hint="eastAsia" w:ascii="宋体" w:hAnsi="宋体" w:cs="宋体"/>
          <w:bCs/>
          <w:color w:val="000000"/>
          <w:sz w:val="32"/>
          <w:szCs w:val="32"/>
          <w:highlight w:val="none"/>
          <w:lang w:val="en-US" w:eastAsia="zh-CN"/>
        </w:rPr>
        <w:t>五</w:t>
      </w:r>
      <w:r>
        <w:rPr>
          <w:rFonts w:hint="eastAsia" w:ascii="宋体" w:hAnsi="宋体" w:cs="宋体"/>
          <w:bCs/>
          <w:color w:val="000000"/>
          <w:sz w:val="32"/>
          <w:szCs w:val="32"/>
          <w:highlight w:val="none"/>
        </w:rPr>
        <w:t>月</w:t>
      </w:r>
      <w:r>
        <w:rPr>
          <w:rFonts w:hint="eastAsia" w:ascii="宋体" w:hAnsi="宋体" w:cs="宋体"/>
          <w:bCs/>
          <w:color w:val="000000"/>
          <w:sz w:val="32"/>
          <w:szCs w:val="32"/>
          <w:highlight w:val="none"/>
          <w:lang w:val="en-US" w:eastAsia="zh-CN"/>
        </w:rPr>
        <w:t>十三</w:t>
      </w:r>
      <w:r>
        <w:rPr>
          <w:rFonts w:hint="eastAsia" w:ascii="宋体" w:hAnsi="宋体" w:cs="宋体"/>
          <w:bCs/>
          <w:color w:val="000000"/>
          <w:sz w:val="32"/>
          <w:szCs w:val="32"/>
          <w:highlight w:val="none"/>
        </w:rPr>
        <w:t>日</w:t>
      </w:r>
    </w:p>
    <w:p>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br w:type="page"/>
      </w:r>
      <w:bookmarkStart w:id="0" w:name="_Hlt67893495"/>
      <w:bookmarkEnd w:id="0"/>
    </w:p>
    <w:p>
      <w:pPr>
        <w:pStyle w:val="409"/>
        <w:rPr>
          <w:color w:val="000000"/>
          <w:highlight w:val="none"/>
        </w:rPr>
      </w:pPr>
    </w:p>
    <w:p>
      <w:pPr>
        <w:spacing w:line="360" w:lineRule="auto"/>
        <w:jc w:val="center"/>
        <w:rPr>
          <w:rFonts w:ascii="宋体" w:hAnsi="宋体" w:cs="宋体"/>
          <w:b/>
          <w:color w:val="000000"/>
          <w:sz w:val="48"/>
          <w:szCs w:val="48"/>
          <w:highlight w:val="none"/>
        </w:rPr>
      </w:pPr>
      <w:r>
        <w:rPr>
          <w:rFonts w:hint="eastAsia" w:ascii="宋体" w:hAnsi="宋体" w:cs="宋体"/>
          <w:b/>
          <w:color w:val="000000"/>
          <w:sz w:val="48"/>
          <w:szCs w:val="48"/>
          <w:highlight w:val="none"/>
        </w:rPr>
        <w:t>目  录</w:t>
      </w:r>
    </w:p>
    <w:p>
      <w:pPr>
        <w:spacing w:line="360" w:lineRule="auto"/>
        <w:rPr>
          <w:rFonts w:ascii="宋体" w:hAnsi="宋体" w:cs="宋体"/>
          <w:color w:val="000000"/>
          <w:sz w:val="32"/>
          <w:szCs w:val="32"/>
          <w:highlight w:val="none"/>
        </w:rPr>
      </w:pPr>
    </w:p>
    <w:p>
      <w:pPr>
        <w:spacing w:line="360" w:lineRule="auto"/>
        <w:rPr>
          <w:rFonts w:ascii="宋体" w:hAnsi="宋体" w:cs="宋体"/>
          <w:color w:val="000000"/>
          <w:sz w:val="32"/>
          <w:szCs w:val="32"/>
          <w:highlight w:val="none"/>
        </w:rPr>
      </w:pPr>
    </w:p>
    <w:p>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第一部分      招标公告</w:t>
      </w:r>
    </w:p>
    <w:p>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第二部分      投标人须知</w:t>
      </w:r>
    </w:p>
    <w:p>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第三部分      采购需求</w:t>
      </w:r>
    </w:p>
    <w:p>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第四部分      评标办法</w:t>
      </w:r>
    </w:p>
    <w:p>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第五部分      拟签订的合同文本</w:t>
      </w:r>
    </w:p>
    <w:p>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第六部分      应提交的有关格式范例</w:t>
      </w:r>
    </w:p>
    <w:p>
      <w:pPr>
        <w:spacing w:line="360" w:lineRule="auto"/>
        <w:ind w:firstLine="549" w:firstLineChars="229"/>
        <w:rPr>
          <w:rFonts w:ascii="宋体" w:hAnsi="宋体" w:cs="宋体"/>
          <w:color w:val="000000"/>
          <w:sz w:val="24"/>
          <w:highlight w:val="none"/>
        </w:rPr>
      </w:pPr>
      <w:bookmarkStart w:id="1" w:name="_Hlt91233176"/>
      <w:bookmarkEnd w:id="1"/>
      <w:bookmarkStart w:id="2" w:name="_Toc91899869"/>
    </w:p>
    <w:p>
      <w:pPr>
        <w:spacing w:line="360" w:lineRule="auto"/>
        <w:ind w:firstLine="549" w:firstLineChars="229"/>
        <w:rPr>
          <w:rFonts w:ascii="宋体" w:hAnsi="宋体" w:cs="宋体"/>
          <w:color w:val="000000"/>
          <w:sz w:val="24"/>
          <w:highlight w:val="none"/>
        </w:rPr>
      </w:pPr>
    </w:p>
    <w:p>
      <w:pPr>
        <w:spacing w:line="360" w:lineRule="auto"/>
        <w:ind w:firstLine="549" w:firstLineChars="229"/>
        <w:rPr>
          <w:rFonts w:ascii="宋体" w:hAnsi="宋体" w:cs="宋体"/>
          <w:color w:val="000000"/>
          <w:sz w:val="24"/>
          <w:highlight w:val="none"/>
        </w:rPr>
      </w:pPr>
    </w:p>
    <w:p>
      <w:pPr>
        <w:spacing w:line="360" w:lineRule="auto"/>
        <w:ind w:firstLine="549" w:firstLineChars="229"/>
        <w:rPr>
          <w:rFonts w:ascii="宋体" w:hAnsi="宋体" w:cs="宋体"/>
          <w:color w:val="000000"/>
          <w:sz w:val="24"/>
          <w:highlight w:val="none"/>
        </w:rPr>
      </w:pPr>
    </w:p>
    <w:p>
      <w:pPr>
        <w:spacing w:line="360" w:lineRule="auto"/>
        <w:ind w:firstLine="549" w:firstLineChars="229"/>
        <w:rPr>
          <w:rFonts w:ascii="宋体" w:hAnsi="宋体" w:cs="宋体"/>
          <w:color w:val="000000"/>
          <w:sz w:val="24"/>
          <w:highlight w:val="none"/>
        </w:rPr>
      </w:pPr>
    </w:p>
    <w:p>
      <w:pPr>
        <w:spacing w:line="360" w:lineRule="auto"/>
        <w:ind w:firstLine="549" w:firstLineChars="229"/>
        <w:rPr>
          <w:rFonts w:ascii="宋体" w:hAnsi="宋体" w:cs="宋体"/>
          <w:color w:val="000000"/>
          <w:sz w:val="24"/>
          <w:highlight w:val="none"/>
        </w:rPr>
      </w:pPr>
    </w:p>
    <w:p>
      <w:pPr>
        <w:spacing w:line="360" w:lineRule="auto"/>
        <w:ind w:firstLine="549" w:firstLineChars="229"/>
        <w:rPr>
          <w:rFonts w:ascii="宋体" w:hAnsi="宋体" w:cs="宋体"/>
          <w:color w:val="000000"/>
          <w:sz w:val="24"/>
          <w:highlight w:val="none"/>
        </w:rPr>
      </w:pPr>
    </w:p>
    <w:p>
      <w:pPr>
        <w:spacing w:line="360" w:lineRule="auto"/>
        <w:ind w:firstLine="549" w:firstLineChars="229"/>
        <w:rPr>
          <w:rFonts w:ascii="宋体" w:hAnsi="宋体" w:cs="宋体"/>
          <w:color w:val="000000"/>
          <w:sz w:val="24"/>
          <w:highlight w:val="none"/>
        </w:rPr>
      </w:pPr>
    </w:p>
    <w:p>
      <w:pPr>
        <w:spacing w:line="360" w:lineRule="auto"/>
        <w:ind w:firstLine="549" w:firstLineChars="229"/>
        <w:rPr>
          <w:rFonts w:ascii="宋体" w:hAnsi="宋体" w:cs="宋体"/>
          <w:color w:val="000000"/>
          <w:sz w:val="24"/>
          <w:highlight w:val="none"/>
        </w:rPr>
      </w:pPr>
    </w:p>
    <w:p>
      <w:pPr>
        <w:spacing w:line="360" w:lineRule="auto"/>
        <w:ind w:firstLine="549" w:firstLineChars="229"/>
        <w:rPr>
          <w:rFonts w:ascii="宋体" w:hAnsi="宋体" w:cs="宋体"/>
          <w:color w:val="000000"/>
          <w:sz w:val="24"/>
          <w:highlight w:val="none"/>
        </w:rPr>
      </w:pPr>
    </w:p>
    <w:p>
      <w:pPr>
        <w:spacing w:line="360" w:lineRule="auto"/>
        <w:ind w:firstLine="549" w:firstLineChars="229"/>
        <w:rPr>
          <w:rFonts w:ascii="宋体" w:hAnsi="宋体" w:cs="宋体"/>
          <w:color w:val="000000"/>
          <w:sz w:val="24"/>
          <w:highlight w:val="none"/>
        </w:rPr>
      </w:pPr>
    </w:p>
    <w:p>
      <w:pPr>
        <w:spacing w:line="360" w:lineRule="auto"/>
        <w:ind w:firstLine="549" w:firstLineChars="229"/>
        <w:rPr>
          <w:rFonts w:ascii="宋体" w:hAnsi="宋体" w:cs="宋体"/>
          <w:color w:val="000000"/>
          <w:sz w:val="24"/>
          <w:highlight w:val="none"/>
        </w:rPr>
      </w:pPr>
    </w:p>
    <w:p>
      <w:pPr>
        <w:spacing w:line="360" w:lineRule="auto"/>
        <w:ind w:firstLine="549" w:firstLineChars="229"/>
        <w:rPr>
          <w:rFonts w:ascii="宋体" w:hAnsi="宋体" w:cs="宋体"/>
          <w:color w:val="000000"/>
          <w:sz w:val="24"/>
          <w:highlight w:val="none"/>
        </w:rPr>
      </w:pPr>
    </w:p>
    <w:p>
      <w:pPr>
        <w:spacing w:line="360" w:lineRule="auto"/>
        <w:rPr>
          <w:rFonts w:ascii="宋体" w:hAnsi="宋体" w:cs="宋体"/>
          <w:color w:val="000000"/>
          <w:sz w:val="24"/>
          <w:highlight w:val="none"/>
        </w:rPr>
      </w:pPr>
    </w:p>
    <w:p>
      <w:pPr>
        <w:adjustRightInd/>
        <w:spacing w:line="360" w:lineRule="auto"/>
        <w:jc w:val="center"/>
        <w:outlineLvl w:val="0"/>
        <w:rPr>
          <w:rFonts w:ascii="宋体" w:hAnsi="宋体" w:cs="宋体"/>
          <w:b/>
          <w:color w:val="000000"/>
          <w:sz w:val="36"/>
          <w:szCs w:val="20"/>
          <w:highlight w:val="none"/>
        </w:rPr>
      </w:pPr>
      <w:bookmarkStart w:id="3" w:name="第一部分"/>
      <w:r>
        <w:rPr>
          <w:rFonts w:hint="eastAsia" w:ascii="宋体" w:hAnsi="宋体" w:cs="宋体"/>
          <w:b/>
          <w:color w:val="000000"/>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000000"/>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sz w:val="24"/>
          <w:highlight w:val="none"/>
          <w:u w:val="single"/>
        </w:rPr>
      </w:pPr>
      <w:r>
        <w:rPr>
          <w:rFonts w:hint="eastAsia" w:ascii="宋体" w:hAnsi="宋体" w:cs="宋体"/>
          <w:color w:val="000000"/>
          <w:sz w:val="24"/>
          <w:highlight w:val="none"/>
          <w:u w:val="single"/>
        </w:rPr>
        <w:t>（</w:t>
      </w:r>
      <w:r>
        <w:rPr>
          <w:rFonts w:hint="eastAsia" w:ascii="宋体" w:hAnsi="宋体" w:cs="宋体"/>
          <w:color w:val="000000"/>
          <w:sz w:val="24"/>
          <w:highlight w:val="none"/>
          <w:u w:val="single"/>
          <w:lang w:eastAsia="zh-CN"/>
        </w:rPr>
        <w:t>良渚消防站电力配电项目</w:t>
      </w:r>
      <w:r>
        <w:rPr>
          <w:rFonts w:hint="eastAsia" w:ascii="宋体" w:hAnsi="宋体" w:cs="宋体"/>
          <w:color w:val="000000"/>
          <w:sz w:val="24"/>
          <w:highlight w:val="none"/>
          <w:u w:val="single"/>
        </w:rPr>
        <w:t>）</w:t>
      </w:r>
      <w:r>
        <w:rPr>
          <w:rFonts w:hint="eastAsia" w:ascii="宋体" w:hAnsi="宋体" w:cs="宋体"/>
          <w:color w:val="000000"/>
          <w:sz w:val="24"/>
          <w:highlight w:val="none"/>
        </w:rPr>
        <w:t>招标项目的潜在投标人应在政采云平台（</w:t>
      </w:r>
      <w:r>
        <w:rPr>
          <w:color w:val="000000"/>
          <w:highlight w:val="none"/>
        </w:rPr>
        <w:fldChar w:fldCharType="begin"/>
      </w:r>
      <w:r>
        <w:rPr>
          <w:color w:val="000000"/>
          <w:highlight w:val="none"/>
        </w:rPr>
        <w:instrText xml:space="preserve"> HYPERLINK "https://www.zcygov.cn/）获取（下载）招标文件，并于202%20年%20月%20日%20点%20分00秒" </w:instrText>
      </w:r>
      <w:r>
        <w:rPr>
          <w:color w:val="000000"/>
          <w:highlight w:val="none"/>
        </w:rPr>
        <w:fldChar w:fldCharType="separate"/>
      </w:r>
      <w:r>
        <w:rPr>
          <w:rStyle w:val="71"/>
          <w:rFonts w:hint="eastAsia" w:ascii="宋体" w:hAnsi="宋体" w:eastAsia="宋体" w:cs="宋体"/>
          <w:color w:val="000000"/>
          <w:kern w:val="2"/>
          <w:sz w:val="24"/>
          <w:szCs w:val="24"/>
          <w:highlight w:val="none"/>
        </w:rPr>
        <w:t>https://www.zcygov.cn/）获取（下载）招标文件，并于</w:t>
      </w:r>
      <w:r>
        <w:rPr>
          <w:rStyle w:val="71"/>
          <w:rFonts w:hint="eastAsia" w:ascii="宋体" w:hAnsi="宋体" w:cs="宋体"/>
          <w:color w:val="000000"/>
          <w:kern w:val="2"/>
          <w:sz w:val="24"/>
          <w:szCs w:val="24"/>
          <w:highlight w:val="none"/>
          <w:lang w:eastAsia="zh-CN"/>
        </w:rPr>
        <w:t>2024</w:t>
      </w:r>
      <w:r>
        <w:rPr>
          <w:rStyle w:val="71"/>
          <w:rFonts w:hint="eastAsia" w:ascii="宋体" w:hAnsi="宋体" w:eastAsia="宋体" w:cs="宋体"/>
          <w:color w:val="000000"/>
          <w:kern w:val="2"/>
          <w:sz w:val="24"/>
          <w:szCs w:val="24"/>
          <w:highlight w:val="none"/>
        </w:rPr>
        <w:t>年</w:t>
      </w:r>
      <w:r>
        <w:rPr>
          <w:rStyle w:val="71"/>
          <w:rFonts w:hint="eastAsia" w:ascii="宋体" w:hAnsi="宋体" w:cs="宋体"/>
          <w:color w:val="000000"/>
          <w:kern w:val="2"/>
          <w:sz w:val="24"/>
          <w:szCs w:val="24"/>
          <w:highlight w:val="none"/>
          <w:lang w:val="en-US" w:eastAsia="zh-CN"/>
        </w:rPr>
        <w:t xml:space="preserve"> 6</w:t>
      </w:r>
      <w:r>
        <w:rPr>
          <w:rStyle w:val="71"/>
          <w:rFonts w:hint="eastAsia" w:ascii="宋体" w:hAnsi="宋体" w:eastAsia="宋体" w:cs="宋体"/>
          <w:color w:val="000000"/>
          <w:kern w:val="2"/>
          <w:sz w:val="24"/>
          <w:szCs w:val="24"/>
          <w:highlight w:val="none"/>
        </w:rPr>
        <w:t>月</w:t>
      </w:r>
      <w:r>
        <w:rPr>
          <w:rStyle w:val="71"/>
          <w:rFonts w:hint="eastAsia" w:ascii="宋体" w:hAnsi="宋体" w:cs="宋体"/>
          <w:color w:val="000000"/>
          <w:kern w:val="2"/>
          <w:sz w:val="24"/>
          <w:szCs w:val="24"/>
          <w:highlight w:val="none"/>
          <w:lang w:val="en-US" w:eastAsia="zh-CN"/>
        </w:rPr>
        <w:t xml:space="preserve"> 3</w:t>
      </w:r>
      <w:r>
        <w:rPr>
          <w:rStyle w:val="71"/>
          <w:rFonts w:hint="eastAsia" w:ascii="宋体" w:hAnsi="宋体" w:eastAsia="宋体" w:cs="宋体"/>
          <w:color w:val="000000"/>
          <w:kern w:val="2"/>
          <w:sz w:val="24"/>
          <w:szCs w:val="24"/>
          <w:highlight w:val="none"/>
        </w:rPr>
        <w:t>日</w:t>
      </w:r>
      <w:r>
        <w:rPr>
          <w:rStyle w:val="71"/>
          <w:rFonts w:hint="eastAsia" w:ascii="宋体" w:hAnsi="宋体" w:cs="宋体"/>
          <w:color w:val="000000"/>
          <w:kern w:val="2"/>
          <w:sz w:val="24"/>
          <w:szCs w:val="24"/>
          <w:highlight w:val="none"/>
          <w:lang w:val="en-US" w:eastAsia="zh-CN"/>
        </w:rPr>
        <w:t>14</w:t>
      </w:r>
      <w:r>
        <w:rPr>
          <w:rStyle w:val="71"/>
          <w:rFonts w:hint="eastAsia" w:ascii="宋体" w:hAnsi="宋体" w:eastAsia="宋体" w:cs="宋体"/>
          <w:color w:val="000000"/>
          <w:kern w:val="2"/>
          <w:sz w:val="24"/>
          <w:szCs w:val="24"/>
          <w:highlight w:val="none"/>
        </w:rPr>
        <w:t>点</w:t>
      </w:r>
      <w:r>
        <w:rPr>
          <w:rStyle w:val="71"/>
          <w:rFonts w:hint="eastAsia" w:ascii="宋体" w:hAnsi="宋体" w:cs="宋体"/>
          <w:color w:val="000000"/>
          <w:kern w:val="2"/>
          <w:sz w:val="24"/>
          <w:szCs w:val="24"/>
          <w:highlight w:val="none"/>
          <w:lang w:val="en-US" w:eastAsia="zh-CN"/>
        </w:rPr>
        <w:t>00</w:t>
      </w:r>
      <w:r>
        <w:rPr>
          <w:rStyle w:val="71"/>
          <w:rFonts w:hint="eastAsia" w:ascii="宋体" w:hAnsi="宋体" w:eastAsia="宋体" w:cs="宋体"/>
          <w:color w:val="000000"/>
          <w:kern w:val="2"/>
          <w:sz w:val="24"/>
          <w:szCs w:val="24"/>
          <w:highlight w:val="none"/>
        </w:rPr>
        <w:t>分</w:t>
      </w:r>
      <w:r>
        <w:rPr>
          <w:rStyle w:val="71"/>
          <w:rFonts w:hint="eastAsia" w:ascii="宋体" w:hAnsi="宋体" w:eastAsia="宋体" w:cs="宋体"/>
          <w:bCs/>
          <w:color w:val="000000"/>
          <w:kern w:val="2"/>
          <w:sz w:val="24"/>
          <w:szCs w:val="24"/>
          <w:highlight w:val="none"/>
        </w:rPr>
        <w:t>00秒</w:t>
      </w:r>
      <w:r>
        <w:rPr>
          <w:rFonts w:hint="eastAsia" w:ascii="宋体" w:hAnsi="宋体" w:eastAsia="宋体" w:cs="宋体"/>
          <w:bCs/>
          <w:color w:val="000000"/>
          <w:kern w:val="2"/>
          <w:sz w:val="24"/>
          <w:szCs w:val="24"/>
          <w:highlight w:val="none"/>
        </w:rPr>
        <w:fldChar w:fldCharType="end"/>
      </w:r>
      <w:r>
        <w:rPr>
          <w:rFonts w:hint="eastAsia" w:ascii="宋体" w:hAnsi="宋体" w:cs="宋体"/>
          <w:bCs/>
          <w:color w:val="000000"/>
          <w:sz w:val="24"/>
          <w:highlight w:val="none"/>
        </w:rPr>
        <w:t>（北京时间）前</w:t>
      </w:r>
      <w:r>
        <w:rPr>
          <w:rFonts w:hint="eastAsia" w:ascii="宋体" w:hAnsi="宋体" w:cs="宋体"/>
          <w:color w:val="000000"/>
          <w:sz w:val="24"/>
          <w:highlight w:val="none"/>
        </w:rPr>
        <w:t>递交（上传）投标文件。</w:t>
      </w:r>
    </w:p>
    <w:p>
      <w:pPr>
        <w:spacing w:line="360" w:lineRule="auto"/>
        <w:rPr>
          <w:rFonts w:ascii="宋体" w:hAnsi="宋体" w:cs="宋体"/>
          <w:b/>
          <w:color w:val="000000"/>
          <w:sz w:val="24"/>
          <w:highlight w:val="none"/>
        </w:rPr>
      </w:pPr>
      <w:r>
        <w:rPr>
          <w:rFonts w:hint="eastAsia" w:ascii="宋体" w:hAnsi="宋体" w:cs="宋体"/>
          <w:b/>
          <w:color w:val="000000"/>
          <w:sz w:val="24"/>
          <w:highlight w:val="none"/>
        </w:rPr>
        <w:t xml:space="preserve">一、项目基本情况                                            </w:t>
      </w:r>
    </w:p>
    <w:p>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w:t>
      </w:r>
      <w:r>
        <w:rPr>
          <w:rFonts w:hint="eastAsia" w:ascii="宋体" w:hAnsi="宋体" w:cs="宋体"/>
          <w:b/>
          <w:color w:val="000000"/>
          <w:sz w:val="24"/>
          <w:highlight w:val="none"/>
        </w:rPr>
        <w:t>项目编号：</w:t>
      </w:r>
      <w:r>
        <w:rPr>
          <w:rFonts w:hint="eastAsia" w:ascii="宋体" w:hAnsi="宋体" w:cs="宋体"/>
          <w:color w:val="000000"/>
          <w:sz w:val="24"/>
          <w:highlight w:val="none"/>
        </w:rPr>
        <w:t>（</w:t>
      </w:r>
      <w:r>
        <w:rPr>
          <w:rFonts w:hint="eastAsia" w:ascii="宋体" w:hAnsi="宋体" w:cs="宋体"/>
          <w:color w:val="000000"/>
          <w:sz w:val="24"/>
          <w:highlight w:val="none"/>
          <w:lang w:eastAsia="zh-CN"/>
        </w:rPr>
        <w:t>HZHZCG2024-019</w:t>
      </w:r>
      <w:r>
        <w:rPr>
          <w:rFonts w:hint="eastAsia" w:ascii="宋体" w:hAnsi="宋体" w:cs="宋体"/>
          <w:color w:val="000000"/>
          <w:sz w:val="24"/>
          <w:highlight w:val="none"/>
        </w:rPr>
        <w:t>）</w:t>
      </w:r>
    </w:p>
    <w:p>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w:t>
      </w:r>
      <w:r>
        <w:rPr>
          <w:rFonts w:hint="eastAsia" w:ascii="宋体" w:hAnsi="宋体" w:cs="宋体"/>
          <w:b/>
          <w:color w:val="000000"/>
          <w:sz w:val="24"/>
          <w:highlight w:val="none"/>
        </w:rPr>
        <w:t xml:space="preserve"> </w:t>
      </w:r>
      <w:r>
        <w:rPr>
          <w:rFonts w:hint="eastAsia" w:ascii="宋体" w:hAnsi="宋体" w:cs="宋体"/>
          <w:b/>
          <w:color w:val="000000"/>
          <w:sz w:val="24"/>
          <w:highlight w:val="none"/>
          <w:lang w:val="en-US" w:eastAsia="zh-CN"/>
        </w:rPr>
        <w:t>项目名称</w:t>
      </w:r>
      <w:r>
        <w:rPr>
          <w:rFonts w:hint="eastAsia" w:ascii="宋体" w:hAnsi="宋体" w:cs="宋体"/>
          <w:b/>
          <w:color w:val="000000"/>
          <w:sz w:val="24"/>
          <w:highlight w:val="none"/>
        </w:rPr>
        <w:t>：</w:t>
      </w:r>
      <w:r>
        <w:rPr>
          <w:rFonts w:hint="eastAsia" w:ascii="宋体" w:hAnsi="宋体" w:cs="宋体"/>
          <w:color w:val="000000"/>
          <w:sz w:val="24"/>
          <w:highlight w:val="none"/>
        </w:rPr>
        <w:t>（</w:t>
      </w:r>
      <w:r>
        <w:rPr>
          <w:rFonts w:hint="eastAsia" w:ascii="宋体" w:hAnsi="宋体" w:cs="宋体"/>
          <w:color w:val="000000"/>
          <w:sz w:val="24"/>
          <w:highlight w:val="none"/>
          <w:lang w:eastAsia="zh-CN"/>
        </w:rPr>
        <w:t>良渚消防站电力配电项目</w:t>
      </w:r>
      <w:r>
        <w:rPr>
          <w:rFonts w:hint="eastAsia" w:ascii="宋体" w:hAnsi="宋体" w:cs="宋体"/>
          <w:color w:val="000000"/>
          <w:sz w:val="24"/>
          <w:highlight w:val="none"/>
        </w:rPr>
        <w:t>）</w:t>
      </w:r>
    </w:p>
    <w:p>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w:t>
      </w:r>
      <w:r>
        <w:rPr>
          <w:rFonts w:hint="eastAsia" w:ascii="宋体" w:hAnsi="宋体" w:cs="宋体"/>
          <w:b/>
          <w:color w:val="000000"/>
          <w:sz w:val="24"/>
          <w:highlight w:val="none"/>
        </w:rPr>
        <w:t xml:space="preserve"> 预算金额（元）：</w:t>
      </w:r>
      <w:r>
        <w:rPr>
          <w:rFonts w:hint="eastAsia" w:ascii="宋体" w:hAnsi="宋体" w:cs="宋体"/>
          <w:b/>
          <w:color w:val="000000"/>
          <w:sz w:val="24"/>
          <w:highlight w:val="none"/>
          <w:lang w:val="en-US" w:eastAsia="zh-CN"/>
        </w:rPr>
        <w:t>1096080</w:t>
      </w:r>
    </w:p>
    <w:p>
      <w:pPr>
        <w:spacing w:line="360" w:lineRule="auto"/>
        <w:ind w:firstLine="480"/>
        <w:rPr>
          <w:rFonts w:ascii="宋体" w:hAnsi="宋体" w:cs="宋体"/>
          <w:color w:val="000000"/>
          <w:sz w:val="24"/>
          <w:highlight w:val="none"/>
        </w:rPr>
      </w:pPr>
      <w:r>
        <w:rPr>
          <w:rFonts w:hint="eastAsia" w:ascii="宋体" w:hAnsi="宋体" w:cs="宋体"/>
          <w:b/>
          <w:color w:val="000000"/>
          <w:sz w:val="24"/>
          <w:highlight w:val="none"/>
        </w:rPr>
        <w:t>最高限价（元）：</w:t>
      </w:r>
      <w:r>
        <w:rPr>
          <w:rFonts w:hint="eastAsia" w:ascii="宋体" w:hAnsi="宋体" w:cs="宋体"/>
          <w:b/>
          <w:color w:val="000000"/>
          <w:sz w:val="24"/>
          <w:highlight w:val="none"/>
          <w:lang w:val="en-US" w:eastAsia="zh-CN"/>
        </w:rPr>
        <w:t>1096080</w:t>
      </w:r>
    </w:p>
    <w:p>
      <w:pPr>
        <w:pStyle w:val="5"/>
        <w:spacing w:line="360" w:lineRule="auto"/>
        <w:ind w:firstLine="480"/>
        <w:rPr>
          <w:rFonts w:hAnsi="宋体" w:cs="宋体"/>
          <w:bCs/>
          <w:color w:val="000000"/>
          <w:kern w:val="2"/>
          <w:sz w:val="24"/>
          <w:szCs w:val="24"/>
          <w:highlight w:val="none"/>
        </w:rPr>
      </w:pPr>
      <w:r>
        <w:rPr>
          <w:rFonts w:hint="eastAsia" w:hAnsi="宋体" w:cs="宋体"/>
          <w:b/>
          <w:color w:val="000000"/>
          <w:sz w:val="24"/>
          <w:highlight w:val="none"/>
        </w:rPr>
        <w:t>采购需求：</w:t>
      </w:r>
      <w:r>
        <w:rPr>
          <w:rFonts w:hint="eastAsia" w:hAnsi="宋体" w:cs="宋体"/>
          <w:bCs/>
          <w:color w:val="000000"/>
          <w:kern w:val="2"/>
          <w:sz w:val="24"/>
          <w:szCs w:val="24"/>
          <w:highlight w:val="none"/>
          <w:lang w:eastAsia="zh-CN"/>
        </w:rPr>
        <w:t>良渚消防站电力配电项目</w:t>
      </w:r>
      <w:r>
        <w:rPr>
          <w:rFonts w:hint="eastAsia" w:hAnsi="宋体" w:cs="宋体"/>
          <w:bCs/>
          <w:color w:val="000000"/>
          <w:kern w:val="2"/>
          <w:sz w:val="24"/>
          <w:szCs w:val="24"/>
          <w:highlight w:val="none"/>
        </w:rPr>
        <w:t>主要内容</w:t>
      </w:r>
      <w:r>
        <w:rPr>
          <w:rFonts w:hint="eastAsia" w:ascii="宋体" w:hAnsi="宋体" w:eastAsia="宋体"/>
          <w:color w:val="000000"/>
          <w:kern w:val="2"/>
          <w:sz w:val="24"/>
          <w:szCs w:val="24"/>
          <w:highlight w:val="none"/>
        </w:rPr>
        <w:t>具体以招标文件第三部分采购需求为准，供应商可点击本公告下方“浏览采购文件”查看采购需求。</w:t>
      </w:r>
    </w:p>
    <w:p>
      <w:pPr>
        <w:pStyle w:val="153"/>
        <w:ind w:firstLine="482"/>
        <w:outlineLvl w:val="2"/>
        <w:rPr>
          <w:rFonts w:ascii="宋体" w:hAnsi="宋体" w:cs="宋体"/>
          <w:color w:val="000000"/>
          <w:highlight w:val="none"/>
        </w:rPr>
      </w:pPr>
      <w:r>
        <w:rPr>
          <w:rFonts w:hint="eastAsia" w:ascii="宋体" w:hAnsi="宋体" w:cs="宋体"/>
          <w:b/>
          <w:color w:val="000000"/>
          <w:highlight w:val="none"/>
        </w:rPr>
        <w:t>合同履约期限：</w:t>
      </w:r>
      <w:r>
        <w:rPr>
          <w:rFonts w:hint="eastAsia" w:ascii="宋体" w:hAnsi="宋体" w:cs="宋体"/>
          <w:b/>
          <w:color w:val="000000"/>
          <w:highlight w:val="none"/>
          <w:lang w:val="en-US" w:eastAsia="zh-CN"/>
        </w:rPr>
        <w:t>详见第三部分采购需求</w:t>
      </w:r>
      <w:r>
        <w:rPr>
          <w:rFonts w:ascii="宋体" w:hAnsi="宋体" w:cs="宋体"/>
          <w:color w:val="000000"/>
          <w:highlight w:val="none"/>
        </w:rPr>
        <w:t xml:space="preserve"> </w:t>
      </w:r>
    </w:p>
    <w:p>
      <w:pPr>
        <w:pStyle w:val="5"/>
        <w:spacing w:line="360" w:lineRule="auto"/>
        <w:ind w:firstLine="480"/>
        <w:rPr>
          <w:rFonts w:hAnsi="宋体" w:cs="宋体"/>
          <w:b/>
          <w:color w:val="000000"/>
          <w:highlight w:val="none"/>
        </w:rPr>
      </w:pPr>
      <w:r>
        <w:rPr>
          <w:rFonts w:hint="eastAsia" w:hAnsi="宋体" w:cs="宋体"/>
          <w:b/>
          <w:color w:val="000000"/>
          <w:sz w:val="24"/>
          <w:highlight w:val="none"/>
        </w:rPr>
        <w:t>本项目接受联合体投标：</w:t>
      </w:r>
      <w:r>
        <w:rPr>
          <w:rFonts w:hAnsi="宋体" w:cs="宋体"/>
          <w:color w:val="auto"/>
          <w:kern w:val="0"/>
          <w:sz w:val="24"/>
          <w:highlight w:val="none"/>
        </w:rPr>
        <w:t xml:space="preserve"> </w:t>
      </w:r>
      <w:r>
        <w:rPr>
          <w:rFonts w:hAnsi="宋体" w:cs="宋体"/>
          <w:color w:val="auto"/>
          <w:kern w:val="0"/>
          <w:sz w:val="24"/>
          <w:highlight w:val="none"/>
        </w:rPr>
        <w:sym w:font="Wingdings" w:char="00FE"/>
      </w:r>
      <w:r>
        <w:rPr>
          <w:rFonts w:hint="eastAsia" w:hAnsi="宋体" w:cs="宋体"/>
          <w:b/>
          <w:color w:val="auto"/>
          <w:sz w:val="24"/>
          <w:highlight w:val="none"/>
        </w:rPr>
        <w:t>是</w:t>
      </w:r>
      <w:r>
        <w:rPr>
          <w:rFonts w:hint="eastAsia" w:hAnsi="宋体" w:cs="宋体"/>
          <w:b/>
          <w:color w:val="000000"/>
          <w:sz w:val="24"/>
          <w:highlight w:val="none"/>
        </w:rPr>
        <w:t>；</w:t>
      </w:r>
      <w:r>
        <w:rPr>
          <w:rFonts w:hint="eastAsia" w:ascii="宋体" w:hAnsi="宋体" w:cs="宋体"/>
          <w:snapToGrid w:val="0"/>
          <w:color w:val="000000"/>
          <w:kern w:val="28"/>
          <w:sz w:val="24"/>
          <w:szCs w:val="20"/>
          <w:highlight w:val="none"/>
        </w:rPr>
        <w:t>☐</w:t>
      </w:r>
      <w:r>
        <w:rPr>
          <w:rFonts w:hint="eastAsia" w:hAnsi="宋体" w:cs="宋体"/>
          <w:b/>
          <w:color w:val="auto"/>
          <w:sz w:val="24"/>
          <w:highlight w:val="none"/>
        </w:rPr>
        <w:t>否</w:t>
      </w:r>
      <w:r>
        <w:rPr>
          <w:rFonts w:hint="eastAsia" w:hAnsi="宋体" w:cs="宋体"/>
          <w:color w:val="C00000"/>
          <w:kern w:val="0"/>
          <w:sz w:val="24"/>
          <w:highlight w:val="none"/>
        </w:rPr>
        <w:t>。</w:t>
      </w:r>
    </w:p>
    <w:p>
      <w:pPr>
        <w:spacing w:line="360" w:lineRule="auto"/>
        <w:rPr>
          <w:rFonts w:ascii="宋体" w:hAnsi="宋体" w:cs="宋体"/>
          <w:b/>
          <w:color w:val="000000"/>
          <w:sz w:val="24"/>
          <w:highlight w:val="none"/>
        </w:rPr>
      </w:pPr>
      <w:r>
        <w:rPr>
          <w:rFonts w:hint="eastAsia" w:ascii="宋体" w:hAnsi="宋体" w:cs="宋体"/>
          <w:b/>
          <w:color w:val="000000"/>
          <w:sz w:val="24"/>
          <w:highlight w:val="none"/>
        </w:rPr>
        <w:t>二、申请人的资格要求：</w:t>
      </w:r>
    </w:p>
    <w:p>
      <w:pPr>
        <w:spacing w:line="360" w:lineRule="auto"/>
        <w:ind w:firstLine="480"/>
        <w:rPr>
          <w:rFonts w:ascii="宋体" w:hAnsi="宋体" w:cs="宋体"/>
          <w:snapToGrid w:val="0"/>
          <w:color w:val="000000"/>
          <w:kern w:val="28"/>
          <w:sz w:val="24"/>
          <w:szCs w:val="20"/>
          <w:highlight w:val="none"/>
        </w:rPr>
      </w:pPr>
      <w:r>
        <w:rPr>
          <w:rFonts w:hint="eastAsia" w:ascii="宋体" w:hAnsi="宋体" w:cs="宋体"/>
          <w:snapToGrid w:val="0"/>
          <w:color w:val="000000"/>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000000"/>
          <w:kern w:val="28"/>
          <w:sz w:val="24"/>
          <w:szCs w:val="20"/>
          <w:highlight w:val="none"/>
        </w:rPr>
      </w:pPr>
      <w:r>
        <w:rPr>
          <w:rFonts w:hint="eastAsia" w:ascii="宋体" w:hAnsi="宋体" w:cs="宋体"/>
          <w:snapToGrid w:val="0"/>
          <w:color w:val="000000"/>
          <w:kern w:val="28"/>
          <w:sz w:val="24"/>
          <w:szCs w:val="20"/>
          <w:highlight w:val="none"/>
        </w:rPr>
        <w:t xml:space="preserve">    </w:t>
      </w:r>
      <w:r>
        <w:rPr>
          <w:rFonts w:ascii="宋体" w:hAnsi="宋体" w:cs="宋体"/>
          <w:snapToGrid w:val="0"/>
          <w:color w:val="000000"/>
          <w:kern w:val="28"/>
          <w:sz w:val="24"/>
          <w:szCs w:val="20"/>
          <w:highlight w:val="none"/>
        </w:rPr>
        <w:t>2</w:t>
      </w:r>
      <w:r>
        <w:rPr>
          <w:rFonts w:hint="eastAsia" w:ascii="宋体" w:hAnsi="宋体" w:cs="宋体"/>
          <w:snapToGrid w:val="0"/>
          <w:color w:val="000000"/>
          <w:kern w:val="28"/>
          <w:sz w:val="24"/>
          <w:szCs w:val="20"/>
          <w:highlight w:val="none"/>
        </w:rPr>
        <w:t>.以联合体形式投标的，提供联合协议(本项目不接受联合体投标或者投标人不以联合体形式投标的，则不需要提供) ；</w:t>
      </w:r>
    </w:p>
    <w:p>
      <w:pPr>
        <w:spacing w:line="360" w:lineRule="auto"/>
        <w:ind w:firstLine="480"/>
        <w:rPr>
          <w:rFonts w:hint="eastAsia" w:ascii="宋体" w:hAnsi="宋体" w:cs="宋体"/>
          <w:snapToGrid w:val="0"/>
          <w:color w:val="000000"/>
          <w:kern w:val="28"/>
          <w:sz w:val="24"/>
          <w:szCs w:val="20"/>
          <w:highlight w:val="none"/>
        </w:rPr>
      </w:pPr>
      <w:r>
        <w:rPr>
          <w:rFonts w:hint="eastAsia" w:ascii="宋体" w:hAnsi="宋体" w:cs="宋体"/>
          <w:snapToGrid w:val="0"/>
          <w:color w:val="000000"/>
          <w:kern w:val="28"/>
          <w:sz w:val="24"/>
          <w:szCs w:val="20"/>
          <w:highlight w:val="none"/>
        </w:rPr>
        <w:t>3.落实政府采购政策需满足的资格要求：</w:t>
      </w:r>
    </w:p>
    <w:p>
      <w:pPr>
        <w:spacing w:line="360" w:lineRule="auto"/>
        <w:rPr>
          <w:rFonts w:hint="eastAsia" w:ascii="宋体" w:hAnsi="宋体" w:cs="宋体"/>
          <w:snapToGrid w:val="0"/>
          <w:color w:val="000000"/>
          <w:kern w:val="28"/>
          <w:sz w:val="24"/>
          <w:szCs w:val="20"/>
          <w:highlight w:val="none"/>
        </w:rPr>
      </w:pPr>
      <w:r>
        <w:rPr>
          <w:rFonts w:hint="eastAsia" w:ascii="宋体" w:hAnsi="宋体" w:cs="宋体"/>
          <w:snapToGrid w:val="0"/>
          <w:color w:val="000000"/>
          <w:kern w:val="28"/>
          <w:sz w:val="24"/>
          <w:szCs w:val="20"/>
          <w:highlight w:val="none"/>
          <w:lang w:val="en-US" w:eastAsia="zh-CN"/>
        </w:rPr>
        <w:t xml:space="preserve">    </w:t>
      </w:r>
      <w:r>
        <w:rPr>
          <w:rFonts w:hint="eastAsia" w:ascii="宋体" w:hAnsi="宋体" w:cs="宋体"/>
          <w:snapToGrid w:val="0"/>
          <w:color w:val="000000"/>
          <w:kern w:val="28"/>
          <w:sz w:val="24"/>
          <w:szCs w:val="20"/>
          <w:highlight w:val="none"/>
        </w:rPr>
        <w:t>☐无（注：不得限制大中型企业与小微企业组成联合体参与投标）；</w:t>
      </w:r>
    </w:p>
    <w:p>
      <w:pPr>
        <w:spacing w:line="360" w:lineRule="auto"/>
        <w:ind w:firstLine="480" w:firstLineChars="200"/>
        <w:rPr>
          <w:rFonts w:ascii="宋体" w:hAnsi="宋体" w:cs="宋体"/>
          <w:color w:val="000000"/>
          <w:sz w:val="24"/>
          <w:highlight w:val="none"/>
        </w:rPr>
      </w:pPr>
      <w:r>
        <w:rPr>
          <w:rFonts w:ascii="Wingdings" w:hAnsi="Wingdings" w:cs="宋体"/>
          <w:color w:val="000000"/>
          <w:kern w:val="0"/>
          <w:sz w:val="24"/>
          <w:highlight w:val="none"/>
        </w:rPr>
        <w:t></w:t>
      </w:r>
      <w:r>
        <w:rPr>
          <w:rFonts w:hint="eastAsia" w:ascii="宋体" w:hAnsi="宋体" w:cs="宋体"/>
          <w:color w:val="000000"/>
          <w:kern w:val="0"/>
          <w:sz w:val="24"/>
          <w:highlight w:val="none"/>
        </w:rPr>
        <w:t>专</w:t>
      </w:r>
      <w:r>
        <w:rPr>
          <w:rFonts w:hint="eastAsia" w:ascii="宋体" w:hAnsi="宋体" w:cs="宋体"/>
          <w:color w:val="000000"/>
          <w:sz w:val="24"/>
          <w:highlight w:val="none"/>
        </w:rPr>
        <w:t>门面向中小企业</w:t>
      </w:r>
    </w:p>
    <w:p>
      <w:pPr>
        <w:spacing w:line="360" w:lineRule="auto"/>
        <w:ind w:firstLine="897" w:firstLineChars="374"/>
        <w:rPr>
          <w:rFonts w:ascii="宋体" w:hAnsi="宋体" w:cs="宋体"/>
          <w:color w:val="000000"/>
          <w:sz w:val="24"/>
          <w:highlight w:val="none"/>
        </w:rPr>
      </w:pPr>
      <w:r>
        <w:rPr>
          <w:rFonts w:ascii="Wingdings" w:hAnsi="Wingdings" w:cs="宋体"/>
          <w:color w:val="000000"/>
          <w:kern w:val="0"/>
          <w:sz w:val="24"/>
          <w:highlight w:val="none"/>
        </w:rPr>
        <w:t></w:t>
      </w:r>
      <w:r>
        <w:rPr>
          <w:rFonts w:hint="eastAsia" w:ascii="宋体" w:hAnsi="宋体" w:cs="宋体"/>
          <w:color w:val="000000"/>
          <w:sz w:val="24"/>
          <w:highlight w:val="none"/>
        </w:rPr>
        <w:t>服务全部由符合政策要求的中小企业承接，提供中小企业声明函；</w:t>
      </w:r>
    </w:p>
    <w:p>
      <w:pPr>
        <w:spacing w:line="360" w:lineRule="auto"/>
        <w:ind w:firstLine="480"/>
        <w:rPr>
          <w:rFonts w:hint="eastAsia" w:ascii="宋体" w:hAnsi="宋体" w:cs="宋体"/>
          <w:color w:val="000000"/>
          <w:sz w:val="24"/>
          <w:highlight w:val="none"/>
        </w:rPr>
      </w:pPr>
      <w:r>
        <w:rPr>
          <w:rFonts w:hint="eastAsia" w:ascii="MS Gothic" w:hAnsi="MS Gothic" w:cs="宋体"/>
          <w:color w:val="000000"/>
          <w:kern w:val="0"/>
          <w:sz w:val="24"/>
          <w:highlight w:val="none"/>
          <w:lang w:val="en-US" w:eastAsia="zh-CN"/>
        </w:rPr>
        <w:t xml:space="preserve">   </w:t>
      </w:r>
      <w:r>
        <w:rPr>
          <w:rFonts w:ascii="Wingdings" w:hAnsi="Wingdings" w:cs="宋体"/>
          <w:color w:val="000000"/>
          <w:kern w:val="0"/>
          <w:sz w:val="24"/>
          <w:highlight w:val="none"/>
        </w:rPr>
        <w:t></w:t>
      </w:r>
      <w:r>
        <w:rPr>
          <w:rFonts w:hint="eastAsia" w:ascii="宋体" w:hAnsi="宋体" w:cs="宋体"/>
          <w:color w:val="000000"/>
          <w:sz w:val="24"/>
          <w:highlight w:val="none"/>
        </w:rPr>
        <w:t>服务全部由符合政策要求的小微企业承接，提供中小企业声明函；</w:t>
      </w:r>
    </w:p>
    <w:p>
      <w:pPr>
        <w:spacing w:line="360" w:lineRule="auto"/>
        <w:ind w:firstLine="480"/>
        <w:rPr>
          <w:rFonts w:ascii="宋体" w:hAnsi="宋体" w:cs="宋体"/>
          <w:color w:val="000000"/>
          <w:sz w:val="24"/>
          <w:highlight w:val="none"/>
        </w:rPr>
      </w:pPr>
      <w:r>
        <w:rPr>
          <w:rFonts w:hint="eastAsia" w:ascii="宋体" w:hAnsi="宋体" w:cs="宋体"/>
          <w:snapToGrid w:val="0"/>
          <w:color w:val="000000"/>
          <w:kern w:val="28"/>
          <w:sz w:val="24"/>
          <w:szCs w:val="20"/>
          <w:highlight w:val="none"/>
        </w:rPr>
        <w:t>☐要求以联合体形式参加，提供联合协议和中小企业声明函，联合协议中中小企业合同金额应当达到  %，其中小微企业合同金额应当达</w:t>
      </w:r>
      <w:r>
        <w:rPr>
          <w:rFonts w:hint="eastAsia" w:ascii="宋体" w:hAnsi="宋体" w:cs="宋体"/>
          <w:color w:val="000000"/>
          <w:sz w:val="24"/>
          <w:highlight w:val="none"/>
        </w:rPr>
        <w:t>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sz w:val="24"/>
          <w:highlight w:val="none"/>
        </w:rPr>
        <w:t>；</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kern w:val="0"/>
          <w:sz w:val="24"/>
          <w:highlight w:val="none"/>
        </w:rPr>
        <w:t>☐</w:t>
      </w:r>
      <w:r>
        <w:rPr>
          <w:rFonts w:hint="eastAsia" w:ascii="宋体" w:hAnsi="宋体" w:cs="宋体"/>
          <w:color w:val="000000"/>
          <w:sz w:val="24"/>
          <w:highlight w:val="none"/>
        </w:rPr>
        <w:t>要求合同分包，提供分包意向协议和中小企业声明函，分包意向协议中中小企业合同金额应当达到达到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，其中小微企业合同金额应当达到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w:t>
      </w:r>
      <w:r>
        <w:rPr>
          <w:rFonts w:hint="eastAsia" w:ascii="宋体" w:hAnsi="宋体" w:cs="宋体"/>
          <w:color w:val="000000"/>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sz w:val="24"/>
          <w:highlight w:val="none"/>
        </w:rPr>
        <w:t>；</w:t>
      </w:r>
    </w:p>
    <w:p>
      <w:pPr>
        <w:spacing w:line="360" w:lineRule="auto"/>
        <w:ind w:firstLine="480" w:firstLineChars="200"/>
        <w:rPr>
          <w:rFonts w:hint="eastAsia" w:ascii="宋体" w:hAnsi="宋体" w:cs="宋体"/>
          <w:sz w:val="24"/>
          <w:highlight w:val="none"/>
          <w:lang w:val="en-US" w:eastAsia="zh-CN"/>
        </w:rPr>
      </w:pPr>
      <w:r>
        <w:rPr>
          <w:rFonts w:hint="eastAsia" w:ascii="宋体" w:hAnsi="宋体" w:cs="宋体"/>
          <w:color w:val="000000"/>
          <w:sz w:val="24"/>
          <w:highlight w:val="none"/>
          <w:lang w:val="en-US" w:eastAsia="zh-CN"/>
        </w:rPr>
        <w:t>4.</w:t>
      </w:r>
      <w:r>
        <w:rPr>
          <w:rFonts w:hint="eastAsia" w:ascii="宋体" w:hAnsi="宋体" w:cs="宋体"/>
          <w:color w:val="000000"/>
          <w:sz w:val="24"/>
          <w:highlight w:val="none"/>
        </w:rPr>
        <w:t>本项目的特定资格要求：</w:t>
      </w:r>
      <w:r>
        <w:rPr>
          <w:rFonts w:hint="eastAsia" w:ascii="宋体" w:hAnsi="宋体" w:cs="宋体"/>
          <w:sz w:val="24"/>
          <w:highlight w:val="none"/>
          <w:lang w:val="en-US" w:eastAsia="zh-CN"/>
        </w:rPr>
        <w:t>同时具有</w:t>
      </w:r>
      <w:r>
        <w:rPr>
          <w:rFonts w:hint="eastAsia" w:ascii="宋体" w:hAnsi="宋体" w:cs="宋体"/>
          <w:sz w:val="24"/>
          <w:highlight w:val="none"/>
        </w:rPr>
        <w:t>电力工程</w:t>
      </w:r>
      <w:r>
        <w:rPr>
          <w:rFonts w:hint="eastAsia" w:ascii="宋体" w:hAnsi="宋体" w:cs="宋体"/>
          <w:sz w:val="24"/>
          <w:highlight w:val="none"/>
          <w:lang w:eastAsia="zh-CN"/>
        </w:rPr>
        <w:t>（</w:t>
      </w:r>
      <w:r>
        <w:rPr>
          <w:rFonts w:hint="eastAsia" w:ascii="宋体" w:hAnsi="宋体" w:cs="宋体"/>
          <w:sz w:val="24"/>
          <w:highlight w:val="none"/>
          <w:lang w:val="en-US" w:eastAsia="zh-CN"/>
        </w:rPr>
        <w:t>新</w:t>
      </w:r>
      <w:r>
        <w:rPr>
          <w:rFonts w:hint="eastAsia" w:ascii="宋体" w:hAnsi="宋体" w:cs="宋体"/>
          <w:sz w:val="24"/>
          <w:highlight w:val="none"/>
          <w:lang w:eastAsia="zh-CN"/>
        </w:rPr>
        <w:t>）</w:t>
      </w:r>
      <w:r>
        <w:rPr>
          <w:rFonts w:hint="eastAsia" w:ascii="宋体" w:hAnsi="宋体" w:cs="宋体"/>
          <w:sz w:val="24"/>
          <w:highlight w:val="none"/>
        </w:rPr>
        <w:t>施工总承包</w:t>
      </w:r>
      <w:r>
        <w:rPr>
          <w:rFonts w:hint="eastAsia" w:ascii="宋体" w:hAnsi="宋体" w:cs="宋体"/>
          <w:sz w:val="24"/>
          <w:highlight w:val="none"/>
          <w:lang w:val="en-US" w:eastAsia="zh-CN"/>
        </w:rPr>
        <w:t>三</w:t>
      </w:r>
      <w:r>
        <w:rPr>
          <w:rFonts w:hint="eastAsia" w:ascii="宋体" w:hAnsi="宋体" w:cs="宋体"/>
          <w:sz w:val="24"/>
          <w:highlight w:val="none"/>
        </w:rPr>
        <w:t>级</w:t>
      </w:r>
      <w:r>
        <w:rPr>
          <w:rFonts w:hint="eastAsia" w:ascii="宋体" w:hAnsi="宋体" w:cs="宋体"/>
          <w:sz w:val="24"/>
          <w:highlight w:val="none"/>
          <w:lang w:val="en-US" w:eastAsia="zh-CN"/>
        </w:rPr>
        <w:t>及以上</w:t>
      </w:r>
      <w:r>
        <w:rPr>
          <w:rFonts w:hint="eastAsia" w:ascii="宋体" w:hAnsi="宋体" w:cs="宋体"/>
          <w:sz w:val="24"/>
          <w:highlight w:val="none"/>
        </w:rPr>
        <w:t>资质</w:t>
      </w:r>
      <w:r>
        <w:rPr>
          <w:rFonts w:hint="eastAsia" w:ascii="宋体" w:hAnsi="宋体" w:cs="宋体"/>
          <w:sz w:val="24"/>
          <w:highlight w:val="none"/>
          <w:lang w:val="en-US" w:eastAsia="zh-CN"/>
        </w:rPr>
        <w:t>和国家电力监管委员会颁发的</w:t>
      </w:r>
      <w:r>
        <w:rPr>
          <w:rFonts w:hint="eastAsia" w:ascii="宋体" w:hAnsi="宋体" w:cs="宋体"/>
          <w:sz w:val="24"/>
          <w:highlight w:val="none"/>
        </w:rPr>
        <w:t>承装</w:t>
      </w:r>
      <w:r>
        <w:rPr>
          <w:rFonts w:hint="eastAsia" w:ascii="宋体" w:hAnsi="宋体" w:cs="宋体"/>
          <w:sz w:val="24"/>
          <w:highlight w:val="none"/>
          <w:lang w:eastAsia="zh-CN"/>
        </w:rPr>
        <w:t>（</w:t>
      </w:r>
      <w:r>
        <w:rPr>
          <w:rFonts w:hint="eastAsia" w:ascii="宋体" w:hAnsi="宋体" w:cs="宋体"/>
          <w:sz w:val="24"/>
          <w:highlight w:val="none"/>
          <w:lang w:val="en-US" w:eastAsia="zh-CN"/>
        </w:rPr>
        <w:t>修、试</w:t>
      </w:r>
      <w:r>
        <w:rPr>
          <w:rFonts w:hint="eastAsia" w:ascii="宋体" w:hAnsi="宋体" w:cs="宋体"/>
          <w:sz w:val="24"/>
          <w:highlight w:val="none"/>
          <w:lang w:eastAsia="zh-CN"/>
        </w:rPr>
        <w:t>）</w:t>
      </w:r>
      <w:r>
        <w:rPr>
          <w:rFonts w:hint="eastAsia" w:ascii="宋体" w:hAnsi="宋体" w:cs="宋体"/>
          <w:sz w:val="24"/>
          <w:highlight w:val="none"/>
        </w:rPr>
        <w:t>电力设施许可证</w:t>
      </w:r>
      <w:r>
        <w:rPr>
          <w:rFonts w:hint="eastAsia" w:ascii="宋体" w:hAnsi="宋体" w:cs="宋体"/>
          <w:sz w:val="24"/>
          <w:highlight w:val="none"/>
          <w:lang w:val="en-US" w:eastAsia="zh-CN"/>
        </w:rPr>
        <w:t>四</w:t>
      </w:r>
      <w:r>
        <w:rPr>
          <w:rFonts w:hint="eastAsia" w:ascii="宋体" w:hAnsi="宋体" w:cs="宋体"/>
          <w:sz w:val="24"/>
          <w:highlight w:val="none"/>
        </w:rPr>
        <w:t>级及以上</w:t>
      </w:r>
      <w:r>
        <w:rPr>
          <w:rFonts w:hint="eastAsia" w:ascii="宋体" w:hAnsi="宋体" w:cs="宋体"/>
          <w:sz w:val="24"/>
          <w:highlight w:val="none"/>
          <w:lang w:val="en-US" w:eastAsia="zh-CN"/>
        </w:rPr>
        <w:t>或同时具有输变电工程（新）专业承包三</w:t>
      </w:r>
      <w:r>
        <w:rPr>
          <w:rFonts w:hint="eastAsia" w:ascii="宋体" w:hAnsi="宋体" w:cs="宋体"/>
          <w:sz w:val="24"/>
          <w:highlight w:val="none"/>
        </w:rPr>
        <w:t>级</w:t>
      </w:r>
      <w:r>
        <w:rPr>
          <w:rFonts w:hint="eastAsia" w:ascii="宋体" w:hAnsi="宋体" w:cs="宋体"/>
          <w:sz w:val="24"/>
          <w:highlight w:val="none"/>
          <w:lang w:val="en-US" w:eastAsia="zh-CN"/>
        </w:rPr>
        <w:t>及以上</w:t>
      </w:r>
      <w:r>
        <w:rPr>
          <w:rFonts w:hint="eastAsia" w:ascii="宋体" w:hAnsi="宋体" w:cs="宋体"/>
          <w:sz w:val="24"/>
          <w:highlight w:val="none"/>
        </w:rPr>
        <w:t>资质</w:t>
      </w:r>
      <w:r>
        <w:rPr>
          <w:rFonts w:hint="eastAsia" w:ascii="宋体" w:hAnsi="宋体" w:cs="宋体"/>
          <w:sz w:val="24"/>
          <w:highlight w:val="none"/>
          <w:lang w:val="en-US" w:eastAsia="zh-CN"/>
        </w:rPr>
        <w:t>和国家电力监管委员会颁发的</w:t>
      </w:r>
      <w:r>
        <w:rPr>
          <w:rFonts w:hint="eastAsia" w:ascii="宋体" w:hAnsi="宋体" w:cs="宋体"/>
          <w:sz w:val="24"/>
          <w:highlight w:val="none"/>
        </w:rPr>
        <w:t>承装</w:t>
      </w:r>
      <w:r>
        <w:rPr>
          <w:rFonts w:hint="eastAsia" w:ascii="宋体" w:hAnsi="宋体" w:cs="宋体"/>
          <w:sz w:val="24"/>
          <w:highlight w:val="none"/>
          <w:lang w:eastAsia="zh-CN"/>
        </w:rPr>
        <w:t>（</w:t>
      </w:r>
      <w:r>
        <w:rPr>
          <w:rFonts w:hint="eastAsia" w:ascii="宋体" w:hAnsi="宋体" w:cs="宋体"/>
          <w:sz w:val="24"/>
          <w:highlight w:val="none"/>
          <w:lang w:val="en-US" w:eastAsia="zh-CN"/>
        </w:rPr>
        <w:t>修、试</w:t>
      </w:r>
      <w:r>
        <w:rPr>
          <w:rFonts w:hint="eastAsia" w:ascii="宋体" w:hAnsi="宋体" w:cs="宋体"/>
          <w:sz w:val="24"/>
          <w:highlight w:val="none"/>
          <w:lang w:eastAsia="zh-CN"/>
        </w:rPr>
        <w:t>）</w:t>
      </w:r>
      <w:r>
        <w:rPr>
          <w:rFonts w:hint="eastAsia" w:ascii="宋体" w:hAnsi="宋体" w:cs="宋体"/>
          <w:sz w:val="24"/>
          <w:highlight w:val="none"/>
        </w:rPr>
        <w:t>电力设施许可证</w:t>
      </w:r>
      <w:r>
        <w:rPr>
          <w:rFonts w:hint="eastAsia" w:ascii="宋体" w:hAnsi="宋体" w:cs="宋体"/>
          <w:sz w:val="24"/>
          <w:highlight w:val="none"/>
          <w:lang w:val="en-US" w:eastAsia="zh-CN"/>
        </w:rPr>
        <w:t>四</w:t>
      </w:r>
      <w:r>
        <w:rPr>
          <w:rFonts w:hint="eastAsia" w:ascii="宋体" w:hAnsi="宋体" w:cs="宋体"/>
          <w:sz w:val="24"/>
          <w:highlight w:val="none"/>
        </w:rPr>
        <w:t>级及以上</w:t>
      </w:r>
      <w:r>
        <w:rPr>
          <w:rFonts w:hint="eastAsia" w:ascii="宋体" w:hAnsi="宋体" w:cs="宋体"/>
          <w:sz w:val="24"/>
          <w:highlight w:val="none"/>
          <w:lang w:eastAsia="zh-CN"/>
        </w:rPr>
        <w:t>，</w:t>
      </w:r>
      <w:r>
        <w:rPr>
          <w:rFonts w:hint="eastAsia" w:ascii="宋体" w:hAnsi="宋体" w:cs="宋体"/>
          <w:sz w:val="24"/>
          <w:highlight w:val="none"/>
        </w:rPr>
        <w:t>且具有有效的安全生产许可证</w:t>
      </w:r>
      <w:r>
        <w:rPr>
          <w:rFonts w:hint="eastAsia" w:ascii="宋体" w:hAnsi="宋体" w:cs="宋体"/>
          <w:sz w:val="24"/>
          <w:highlight w:val="none"/>
          <w:lang w:eastAsia="zh-CN"/>
        </w:rPr>
        <w:t>；</w:t>
      </w:r>
      <w:r>
        <w:rPr>
          <w:rFonts w:hint="eastAsia" w:ascii="宋体" w:hAnsi="宋体" w:cs="宋体"/>
          <w:sz w:val="24"/>
          <w:highlight w:val="none"/>
          <w:lang w:val="en-US" w:eastAsia="zh-CN"/>
        </w:rPr>
        <w:t>项目负责人具有机电工程专业贰级及以上建造师资格，具有“三类人员”B类证书，且无在建工程（在建工程是指项目负责人在投标截止日时原承担的合同工程项目未通过验收）</w:t>
      </w:r>
    </w:p>
    <w:p>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lang w:val="en-US" w:eastAsia="zh-CN"/>
        </w:rPr>
        <w:t xml:space="preserve">    </w:t>
      </w:r>
      <w:r>
        <w:rPr>
          <w:rFonts w:ascii="宋体" w:hAnsi="宋体" w:cs="宋体"/>
          <w:color w:val="000000"/>
          <w:sz w:val="24"/>
          <w:highlight w:val="none"/>
        </w:rPr>
        <w:t>5</w:t>
      </w:r>
      <w:r>
        <w:rPr>
          <w:rFonts w:hint="eastAsia" w:ascii="宋体" w:hAnsi="宋体" w:cs="宋体"/>
          <w:color w:val="000000"/>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000000"/>
          <w:sz w:val="24"/>
          <w:highlight w:val="none"/>
        </w:rPr>
      </w:pPr>
      <w:r>
        <w:rPr>
          <w:rFonts w:hint="eastAsia" w:ascii="宋体" w:hAnsi="宋体" w:cs="宋体"/>
          <w:b/>
          <w:color w:val="000000"/>
          <w:sz w:val="24"/>
          <w:highlight w:val="none"/>
        </w:rPr>
        <w:t xml:space="preserve">三、获取招标文件 </w:t>
      </w:r>
    </w:p>
    <w:p>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时间：</w:t>
      </w:r>
      <w:r>
        <w:rPr>
          <w:rFonts w:hint="eastAsia" w:ascii="宋体" w:hAnsi="宋体" w:cs="宋体"/>
          <w:color w:val="000000"/>
          <w:sz w:val="24"/>
          <w:highlight w:val="none"/>
        </w:rPr>
        <w:t>/至</w:t>
      </w:r>
      <w:r>
        <w:rPr>
          <w:rFonts w:hint="eastAsia" w:ascii="宋体" w:hAnsi="宋体" w:cs="宋体"/>
          <w:color w:val="000000"/>
          <w:sz w:val="24"/>
          <w:highlight w:val="none"/>
          <w:u w:val="single"/>
          <w:lang w:eastAsia="zh-CN"/>
        </w:rPr>
        <w:t>2024</w:t>
      </w:r>
      <w:r>
        <w:rPr>
          <w:rFonts w:hint="eastAsia" w:ascii="宋体" w:hAnsi="宋体" w:cs="宋体"/>
          <w:color w:val="000000"/>
          <w:sz w:val="24"/>
          <w:highlight w:val="none"/>
          <w:u w:val="single"/>
        </w:rPr>
        <w:t xml:space="preserve"> 年</w:t>
      </w:r>
      <w:r>
        <w:rPr>
          <w:rFonts w:hint="eastAsia" w:ascii="宋体" w:hAnsi="宋体" w:cs="宋体"/>
          <w:color w:val="000000"/>
          <w:sz w:val="24"/>
          <w:highlight w:val="none"/>
          <w:u w:val="single"/>
          <w:lang w:val="en-US" w:eastAsia="zh-CN"/>
        </w:rPr>
        <w:t xml:space="preserve"> 6</w:t>
      </w:r>
      <w:r>
        <w:rPr>
          <w:rFonts w:hint="eastAsia" w:ascii="宋体" w:hAnsi="宋体" w:cs="宋体"/>
          <w:color w:val="000000"/>
          <w:sz w:val="24"/>
          <w:highlight w:val="none"/>
          <w:u w:val="single"/>
        </w:rPr>
        <w:t>月</w:t>
      </w:r>
      <w:r>
        <w:rPr>
          <w:rFonts w:hint="eastAsia" w:ascii="宋体" w:hAnsi="宋体" w:cs="宋体"/>
          <w:color w:val="000000"/>
          <w:sz w:val="24"/>
          <w:highlight w:val="none"/>
          <w:u w:val="single"/>
          <w:lang w:val="en-US" w:eastAsia="zh-CN"/>
        </w:rPr>
        <w:t xml:space="preserve"> 3 </w:t>
      </w:r>
      <w:r>
        <w:rPr>
          <w:rFonts w:hint="eastAsia" w:ascii="宋体" w:hAnsi="宋体" w:cs="宋体"/>
          <w:color w:val="000000"/>
          <w:sz w:val="24"/>
          <w:highlight w:val="none"/>
          <w:u w:val="single"/>
        </w:rPr>
        <w:t>日</w:t>
      </w:r>
      <w:r>
        <w:rPr>
          <w:rFonts w:hint="eastAsia" w:ascii="宋体" w:hAnsi="宋体" w:cs="宋体"/>
          <w:color w:val="000000"/>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地点（网址）：</w:t>
      </w:r>
      <w:r>
        <w:rPr>
          <w:rFonts w:hint="eastAsia" w:ascii="宋体" w:hAnsi="宋体" w:cs="宋体"/>
          <w:color w:val="000000"/>
          <w:sz w:val="24"/>
          <w:highlight w:val="none"/>
        </w:rPr>
        <w:t xml:space="preserve">政采云平台（https://www.zcygov.cn/） </w:t>
      </w:r>
    </w:p>
    <w:p>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方式：</w:t>
      </w:r>
      <w:r>
        <w:rPr>
          <w:rFonts w:hint="eastAsia" w:ascii="宋体" w:hAnsi="宋体" w:cs="宋体"/>
          <w:color w:val="000000"/>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售价（元）：</w:t>
      </w:r>
      <w:r>
        <w:rPr>
          <w:rFonts w:hint="eastAsia" w:ascii="宋体" w:hAnsi="宋体" w:cs="宋体"/>
          <w:color w:val="000000"/>
          <w:sz w:val="24"/>
          <w:highlight w:val="none"/>
        </w:rPr>
        <w:t xml:space="preserve">0 </w:t>
      </w:r>
      <w:r>
        <w:rPr>
          <w:rFonts w:hint="eastAsia" w:ascii="宋体" w:hAnsi="宋体" w:cs="宋体"/>
          <w:color w:val="000000"/>
          <w:sz w:val="24"/>
          <w:highlight w:val="none"/>
        </w:rPr>
        <w:tab/>
      </w:r>
    </w:p>
    <w:p>
      <w:pPr>
        <w:spacing w:line="360" w:lineRule="auto"/>
        <w:rPr>
          <w:rFonts w:ascii="宋体" w:hAnsi="宋体" w:cs="宋体"/>
          <w:b/>
          <w:color w:val="000000"/>
          <w:sz w:val="24"/>
          <w:highlight w:val="none"/>
        </w:rPr>
      </w:pPr>
      <w:r>
        <w:rPr>
          <w:rFonts w:hint="eastAsia" w:ascii="宋体" w:hAnsi="宋体" w:cs="宋体"/>
          <w:b/>
          <w:color w:val="000000"/>
          <w:sz w:val="24"/>
          <w:highlight w:val="none"/>
        </w:rPr>
        <w:t>四、提交投标文件截止时间、开标时间和地点</w:t>
      </w:r>
    </w:p>
    <w:p>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提交投标文件截止时间：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eastAsia="zh-CN"/>
        </w:rPr>
        <w:t>2024</w:t>
      </w:r>
      <w:r>
        <w:rPr>
          <w:rFonts w:hint="eastAsia" w:ascii="宋体" w:hAnsi="宋体" w:cs="宋体"/>
          <w:color w:val="000000"/>
          <w:sz w:val="24"/>
          <w:highlight w:val="none"/>
          <w:u w:val="single"/>
        </w:rPr>
        <w:t xml:space="preserve"> 年</w:t>
      </w:r>
      <w:r>
        <w:rPr>
          <w:rFonts w:hint="eastAsia" w:ascii="宋体" w:hAnsi="宋体" w:cs="宋体"/>
          <w:color w:val="000000"/>
          <w:sz w:val="24"/>
          <w:highlight w:val="none"/>
          <w:u w:val="single"/>
          <w:lang w:val="en-US" w:eastAsia="zh-CN"/>
        </w:rPr>
        <w:t xml:space="preserve"> 6</w:t>
      </w:r>
      <w:r>
        <w:rPr>
          <w:rFonts w:hint="eastAsia" w:ascii="宋体" w:hAnsi="宋体" w:cs="宋体"/>
          <w:color w:val="000000"/>
          <w:sz w:val="24"/>
          <w:highlight w:val="none"/>
          <w:u w:val="single"/>
        </w:rPr>
        <w:t xml:space="preserve">月 </w:t>
      </w:r>
      <w:r>
        <w:rPr>
          <w:rFonts w:hint="eastAsia" w:ascii="宋体" w:hAnsi="宋体" w:cs="宋体"/>
          <w:color w:val="000000"/>
          <w:sz w:val="24"/>
          <w:highlight w:val="none"/>
          <w:u w:val="single"/>
          <w:lang w:val="en-US" w:eastAsia="zh-CN"/>
        </w:rPr>
        <w:t xml:space="preserve">3 </w:t>
      </w:r>
      <w:r>
        <w:rPr>
          <w:rFonts w:hint="eastAsia" w:ascii="宋体" w:hAnsi="宋体" w:cs="宋体"/>
          <w:color w:val="000000"/>
          <w:sz w:val="24"/>
          <w:highlight w:val="none"/>
          <w:u w:val="single"/>
        </w:rPr>
        <w:t>日</w:t>
      </w:r>
      <w:r>
        <w:rPr>
          <w:rFonts w:hint="eastAsia" w:ascii="宋体" w:hAnsi="宋体" w:cs="宋体"/>
          <w:color w:val="000000"/>
          <w:sz w:val="24"/>
          <w:highlight w:val="none"/>
          <w:u w:val="single"/>
          <w:lang w:val="en-US" w:eastAsia="zh-CN"/>
        </w:rPr>
        <w:t>14</w:t>
      </w:r>
      <w:r>
        <w:rPr>
          <w:rFonts w:hint="eastAsia" w:ascii="宋体" w:hAnsi="宋体" w:cs="宋体"/>
          <w:color w:val="000000"/>
          <w:sz w:val="24"/>
          <w:highlight w:val="none"/>
          <w:u w:val="single"/>
        </w:rPr>
        <w:t xml:space="preserve"> 点 </w:t>
      </w:r>
      <w:r>
        <w:rPr>
          <w:rFonts w:hint="eastAsia" w:ascii="宋体" w:hAnsi="宋体" w:cs="宋体"/>
          <w:color w:val="000000"/>
          <w:sz w:val="24"/>
          <w:highlight w:val="none"/>
          <w:u w:val="single"/>
          <w:lang w:val="en-US" w:eastAsia="zh-CN"/>
        </w:rPr>
        <w:t>00</w:t>
      </w:r>
      <w:r>
        <w:rPr>
          <w:rFonts w:hint="eastAsia" w:ascii="宋体" w:hAnsi="宋体" w:cs="宋体"/>
          <w:color w:val="000000"/>
          <w:sz w:val="24"/>
          <w:highlight w:val="none"/>
          <w:u w:val="single"/>
        </w:rPr>
        <w:t>分00秒</w:t>
      </w:r>
      <w:r>
        <w:rPr>
          <w:rFonts w:hint="eastAsia" w:ascii="宋体" w:hAnsi="宋体" w:cs="宋体"/>
          <w:bCs/>
          <w:color w:val="000000"/>
          <w:sz w:val="24"/>
          <w:highlight w:val="none"/>
          <w:u w:val="single"/>
        </w:rPr>
        <w:t xml:space="preserve"> </w:t>
      </w:r>
      <w:r>
        <w:rPr>
          <w:rFonts w:hint="eastAsia" w:ascii="宋体" w:hAnsi="宋体" w:cs="宋体"/>
          <w:color w:val="000000"/>
          <w:sz w:val="24"/>
          <w:highlight w:val="none"/>
        </w:rPr>
        <w:t>（北京时间）</w:t>
      </w:r>
    </w:p>
    <w:p>
      <w:pPr>
        <w:spacing w:line="360" w:lineRule="auto"/>
        <w:ind w:firstLine="482" w:firstLineChars="200"/>
        <w:rPr>
          <w:rFonts w:ascii="宋体" w:hAnsi="宋体" w:cs="宋体"/>
          <w:b/>
          <w:color w:val="000000"/>
          <w:sz w:val="24"/>
          <w:highlight w:val="none"/>
        </w:rPr>
      </w:pPr>
      <w:r>
        <w:rPr>
          <w:rFonts w:hint="eastAsia" w:ascii="宋体" w:hAnsi="宋体" w:cs="宋体"/>
          <w:b/>
          <w:color w:val="000000"/>
          <w:sz w:val="24"/>
          <w:highlight w:val="none"/>
        </w:rPr>
        <w:t>投标地点（网址）：</w:t>
      </w:r>
      <w:r>
        <w:rPr>
          <w:rFonts w:hint="eastAsia" w:ascii="宋体" w:hAnsi="宋体" w:cs="宋体"/>
          <w:color w:val="000000"/>
          <w:sz w:val="24"/>
          <w:highlight w:val="none"/>
        </w:rPr>
        <w:t xml:space="preserve">政采云平台（https://www.zcygov.cn/） </w:t>
      </w:r>
    </w:p>
    <w:p>
      <w:pPr>
        <w:spacing w:line="360" w:lineRule="auto"/>
        <w:ind w:firstLine="482" w:firstLineChars="200"/>
        <w:rPr>
          <w:rFonts w:ascii="宋体" w:hAnsi="宋体" w:cs="宋体"/>
          <w:bCs/>
          <w:color w:val="000000"/>
          <w:sz w:val="24"/>
          <w:highlight w:val="none"/>
          <w:u w:val="single"/>
        </w:rPr>
      </w:pPr>
      <w:r>
        <w:rPr>
          <w:rFonts w:hint="eastAsia" w:ascii="宋体" w:hAnsi="宋体" w:cs="宋体"/>
          <w:b/>
          <w:color w:val="000000"/>
          <w:sz w:val="24"/>
          <w:highlight w:val="none"/>
        </w:rPr>
        <w:t>开标时间：</w:t>
      </w:r>
      <w:r>
        <w:rPr>
          <w:rFonts w:hint="eastAsia" w:ascii="宋体" w:hAnsi="宋体" w:cs="宋体"/>
          <w:color w:val="000000"/>
          <w:sz w:val="24"/>
          <w:highlight w:val="none"/>
          <w:u w:val="single"/>
          <w:lang w:eastAsia="zh-CN"/>
        </w:rPr>
        <w:t>2024</w:t>
      </w:r>
      <w:r>
        <w:rPr>
          <w:rFonts w:hint="eastAsia" w:ascii="宋体" w:hAnsi="宋体" w:cs="宋体"/>
          <w:color w:val="000000"/>
          <w:sz w:val="24"/>
          <w:highlight w:val="none"/>
          <w:u w:val="single"/>
        </w:rPr>
        <w:t>年</w:t>
      </w:r>
      <w:r>
        <w:rPr>
          <w:rFonts w:hint="eastAsia" w:ascii="宋体" w:hAnsi="宋体" w:cs="宋体"/>
          <w:color w:val="000000"/>
          <w:sz w:val="24"/>
          <w:highlight w:val="none"/>
          <w:u w:val="single"/>
          <w:lang w:val="en-US" w:eastAsia="zh-CN"/>
        </w:rPr>
        <w:t xml:space="preserve"> 6</w:t>
      </w:r>
      <w:r>
        <w:rPr>
          <w:rFonts w:hint="eastAsia" w:ascii="宋体" w:hAnsi="宋体" w:cs="宋体"/>
          <w:color w:val="000000"/>
          <w:sz w:val="24"/>
          <w:highlight w:val="none"/>
          <w:u w:val="single"/>
        </w:rPr>
        <w:t xml:space="preserve">月 </w:t>
      </w:r>
      <w:r>
        <w:rPr>
          <w:rFonts w:hint="eastAsia" w:ascii="宋体" w:hAnsi="宋体" w:cs="宋体"/>
          <w:color w:val="000000"/>
          <w:sz w:val="24"/>
          <w:highlight w:val="none"/>
          <w:u w:val="single"/>
          <w:lang w:val="en-US" w:eastAsia="zh-CN"/>
        </w:rPr>
        <w:t xml:space="preserve">3 </w:t>
      </w:r>
      <w:r>
        <w:rPr>
          <w:rFonts w:hint="eastAsia" w:ascii="宋体" w:hAnsi="宋体" w:cs="宋体"/>
          <w:color w:val="000000"/>
          <w:sz w:val="24"/>
          <w:highlight w:val="none"/>
          <w:u w:val="single"/>
        </w:rPr>
        <w:t>日</w:t>
      </w:r>
      <w:r>
        <w:rPr>
          <w:rFonts w:hint="eastAsia" w:ascii="宋体" w:hAnsi="宋体" w:cs="宋体"/>
          <w:color w:val="000000"/>
          <w:sz w:val="24"/>
          <w:highlight w:val="none"/>
          <w:u w:val="single"/>
          <w:lang w:val="en-US" w:eastAsia="zh-CN"/>
        </w:rPr>
        <w:t>14</w:t>
      </w:r>
      <w:r>
        <w:rPr>
          <w:rFonts w:hint="eastAsia" w:ascii="宋体" w:hAnsi="宋体" w:cs="宋体"/>
          <w:color w:val="000000"/>
          <w:sz w:val="24"/>
          <w:highlight w:val="none"/>
          <w:u w:val="single"/>
        </w:rPr>
        <w:t xml:space="preserve"> 点</w:t>
      </w:r>
      <w:r>
        <w:rPr>
          <w:rFonts w:hint="eastAsia" w:ascii="宋体" w:hAnsi="宋体" w:cs="宋体"/>
          <w:color w:val="000000"/>
          <w:sz w:val="24"/>
          <w:highlight w:val="none"/>
          <w:u w:val="single"/>
          <w:lang w:val="en-US" w:eastAsia="zh-CN"/>
        </w:rPr>
        <w:t>00</w:t>
      </w:r>
      <w:r>
        <w:rPr>
          <w:rFonts w:hint="eastAsia" w:ascii="宋体" w:hAnsi="宋体" w:cs="宋体"/>
          <w:color w:val="000000"/>
          <w:sz w:val="24"/>
          <w:highlight w:val="none"/>
          <w:u w:val="single"/>
        </w:rPr>
        <w:t xml:space="preserve"> 分00秒</w:t>
      </w:r>
      <w:r>
        <w:rPr>
          <w:rFonts w:hint="eastAsia" w:ascii="宋体" w:hAnsi="宋体" w:cs="宋体"/>
          <w:bCs/>
          <w:color w:val="000000"/>
          <w:sz w:val="24"/>
          <w:highlight w:val="none"/>
          <w:u w:val="single"/>
        </w:rPr>
        <w:t xml:space="preserve">  </w:t>
      </w:r>
    </w:p>
    <w:p>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开标地点（网址）：</w:t>
      </w:r>
      <w:r>
        <w:rPr>
          <w:rFonts w:hint="eastAsia" w:ascii="宋体" w:hAnsi="宋体" w:cs="宋体"/>
          <w:color w:val="000000"/>
          <w:sz w:val="24"/>
          <w:highlight w:val="none"/>
        </w:rPr>
        <w:t>政采云平台（https://www.zcygov.cn/）</w:t>
      </w:r>
    </w:p>
    <w:p>
      <w:pPr>
        <w:spacing w:line="360" w:lineRule="auto"/>
        <w:rPr>
          <w:rFonts w:ascii="宋体" w:hAnsi="宋体" w:cs="宋体"/>
          <w:color w:val="000000"/>
          <w:sz w:val="24"/>
          <w:highlight w:val="none"/>
        </w:rPr>
      </w:pPr>
      <w:r>
        <w:rPr>
          <w:rFonts w:hint="eastAsia" w:ascii="宋体" w:hAnsi="宋体" w:cs="宋体"/>
          <w:b/>
          <w:color w:val="000000"/>
          <w:sz w:val="24"/>
          <w:highlight w:val="none"/>
        </w:rPr>
        <w:t xml:space="preserve">五、公告期限 </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自本公告发布之日起5个工作日。</w:t>
      </w:r>
    </w:p>
    <w:p>
      <w:pPr>
        <w:spacing w:line="360" w:lineRule="auto"/>
        <w:rPr>
          <w:rFonts w:ascii="宋体" w:hAnsi="宋体" w:cs="宋体"/>
          <w:b/>
          <w:color w:val="000000"/>
          <w:sz w:val="24"/>
          <w:highlight w:val="none"/>
        </w:rPr>
      </w:pPr>
      <w:r>
        <w:rPr>
          <w:rFonts w:hint="eastAsia" w:ascii="宋体" w:hAnsi="宋体" w:cs="宋体"/>
          <w:b/>
          <w:color w:val="000000"/>
          <w:sz w:val="24"/>
          <w:highlight w:val="none"/>
        </w:rPr>
        <w:t>六、其他补充事宜</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 1.</w:t>
      </w:r>
      <w:r>
        <w:rPr>
          <w:rFonts w:ascii="宋体" w:hAnsi="宋体" w:cs="宋体"/>
          <w:color w:val="000000"/>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000000"/>
          <w:sz w:val="24"/>
          <w:highlight w:val="none"/>
        </w:rPr>
        <w:t>。</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000000"/>
          <w:sz w:val="24"/>
          <w:highlight w:val="none"/>
          <w:lang w:eastAsia="zh-CN"/>
        </w:rPr>
        <w:t>采购代理机构</w:t>
      </w:r>
      <w:r>
        <w:rPr>
          <w:rFonts w:hint="eastAsia" w:ascii="宋体" w:hAnsi="宋体" w:cs="宋体"/>
          <w:color w:val="000000"/>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000000"/>
          <w:sz w:val="24"/>
          <w:highlight w:val="none"/>
        </w:rPr>
      </w:pPr>
      <w:r>
        <w:rPr>
          <w:rFonts w:hint="eastAsia" w:ascii="宋体" w:hAnsi="宋体" w:cs="宋体"/>
          <w:b/>
          <w:color w:val="000000"/>
          <w:sz w:val="24"/>
          <w:highlight w:val="none"/>
        </w:rPr>
        <w:t>七、对本次采购提出询问、质疑、投诉，请按以下方式联系</w:t>
      </w:r>
    </w:p>
    <w:p>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1.采购人信息</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    名    称：</w:t>
      </w:r>
      <w:r>
        <w:rPr>
          <w:rFonts w:hint="eastAsia" w:ascii="宋体" w:hAnsi="宋体" w:cs="宋体"/>
          <w:color w:val="000000"/>
          <w:sz w:val="24"/>
          <w:highlight w:val="none"/>
          <w:lang w:eastAsia="zh-CN"/>
        </w:rPr>
        <w:t>杭州市余杭区消防救援大队</w:t>
      </w:r>
      <w:r>
        <w:rPr>
          <w:rFonts w:hint="eastAsia" w:ascii="宋体" w:hAnsi="宋体" w:cs="宋体"/>
          <w:color w:val="000000"/>
          <w:sz w:val="24"/>
          <w:highlight w:val="none"/>
        </w:rPr>
        <w:t xml:space="preserve"> </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    地    址：杭州市余杭区       </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rPr>
        <w:t>传    真： /</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rPr>
        <w:t xml:space="preserve">项目联系人（询问）： </w:t>
      </w:r>
      <w:r>
        <w:rPr>
          <w:rFonts w:hint="eastAsia" w:ascii="宋体" w:hAnsi="宋体" w:cs="宋体"/>
          <w:color w:val="000000"/>
          <w:sz w:val="24"/>
          <w:highlight w:val="none"/>
          <w:lang w:val="en-US" w:eastAsia="zh-CN"/>
        </w:rPr>
        <w:t>许荣峰</w:t>
      </w:r>
      <w:r>
        <w:rPr>
          <w:rFonts w:hint="eastAsia" w:ascii="宋体" w:hAnsi="宋体" w:cs="宋体"/>
          <w:color w:val="000000"/>
          <w:sz w:val="24"/>
          <w:highlight w:val="none"/>
        </w:rPr>
        <w:t xml:space="preserve"> </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    项目联系方式（询问）：</w:t>
      </w:r>
      <w:r>
        <w:rPr>
          <w:rFonts w:hint="eastAsia" w:ascii="宋体" w:hAnsi="宋体" w:cs="宋体"/>
          <w:sz w:val="24"/>
          <w:lang w:val="en-US" w:eastAsia="zh-CN"/>
        </w:rPr>
        <w:t>0571-89262306</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质疑联系人： </w:t>
      </w:r>
      <w:r>
        <w:rPr>
          <w:rFonts w:hint="eastAsia" w:ascii="宋体" w:hAnsi="宋体" w:cs="宋体"/>
          <w:color w:val="auto"/>
          <w:sz w:val="24"/>
          <w:lang w:eastAsia="zh-CN"/>
        </w:rPr>
        <w:t>韩迪</w:t>
      </w:r>
    </w:p>
    <w:p>
      <w:pPr>
        <w:spacing w:line="360" w:lineRule="auto"/>
        <w:rPr>
          <w:rFonts w:ascii="宋体" w:hAnsi="宋体" w:cs="宋体"/>
          <w:color w:val="auto"/>
          <w:sz w:val="24"/>
        </w:rPr>
      </w:pPr>
      <w:r>
        <w:rPr>
          <w:rFonts w:hint="eastAsia" w:ascii="宋体" w:hAnsi="宋体" w:cs="宋体"/>
          <w:color w:val="auto"/>
          <w:sz w:val="24"/>
        </w:rPr>
        <w:t xml:space="preserve">    质疑联系方式：0571-890518</w:t>
      </w:r>
      <w:r>
        <w:rPr>
          <w:rFonts w:hint="eastAsia" w:ascii="宋体" w:hAnsi="宋体" w:cs="宋体"/>
          <w:color w:val="auto"/>
          <w:sz w:val="24"/>
          <w:lang w:val="en-US" w:eastAsia="zh-CN"/>
        </w:rPr>
        <w:t>79</w:t>
      </w:r>
    </w:p>
    <w:p>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2.采购代理机构信息            </w:t>
      </w:r>
    </w:p>
    <w:p>
      <w:pPr>
        <w:spacing w:line="360" w:lineRule="auto"/>
        <w:ind w:firstLine="480"/>
        <w:rPr>
          <w:rFonts w:ascii="宋体" w:hAnsi="宋体" w:cs="宋体"/>
          <w:color w:val="000000"/>
          <w:sz w:val="24"/>
          <w:highlight w:val="none"/>
        </w:rPr>
      </w:pPr>
      <w:r>
        <w:rPr>
          <w:rFonts w:hint="eastAsia" w:ascii="宋体" w:hAnsi="宋体" w:cs="宋体"/>
          <w:color w:val="000000"/>
          <w:sz w:val="24"/>
          <w:highlight w:val="none"/>
        </w:rPr>
        <w:t>名    称：</w:t>
      </w:r>
      <w:r>
        <w:rPr>
          <w:rFonts w:hint="eastAsia" w:ascii="宋体" w:hAnsi="宋体" w:cs="宋体"/>
          <w:color w:val="000000"/>
          <w:sz w:val="24"/>
          <w:highlight w:val="none"/>
          <w:lang w:val="en-US" w:eastAsia="zh-CN"/>
        </w:rPr>
        <w:t>杭州恒正造价工程师事务所</w:t>
      </w:r>
    </w:p>
    <w:p>
      <w:pPr>
        <w:spacing w:line="360" w:lineRule="auto"/>
        <w:ind w:firstLine="480"/>
        <w:rPr>
          <w:rFonts w:ascii="宋体" w:hAnsi="宋体" w:cs="宋体"/>
          <w:color w:val="000000"/>
          <w:sz w:val="24"/>
          <w:highlight w:val="none"/>
        </w:rPr>
      </w:pPr>
      <w:r>
        <w:rPr>
          <w:rFonts w:hint="eastAsia" w:ascii="宋体" w:hAnsi="宋体" w:cs="宋体"/>
          <w:color w:val="000000"/>
          <w:sz w:val="24"/>
          <w:highlight w:val="none"/>
        </w:rPr>
        <w:t>地    址：</w:t>
      </w:r>
      <w:r>
        <w:rPr>
          <w:rFonts w:hint="eastAsia" w:ascii="宋体" w:hAnsi="宋体" w:cs="宋体"/>
          <w:color w:val="000000"/>
          <w:sz w:val="24"/>
          <w:highlight w:val="none"/>
          <w:lang w:val="en-US" w:eastAsia="zh-CN"/>
        </w:rPr>
        <w:t>杭州市临平区九洲大厦703室</w:t>
      </w:r>
    </w:p>
    <w:p>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传    真： </w:t>
      </w:r>
    </w:p>
    <w:p>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项目联系人（询问）：</w:t>
      </w:r>
      <w:r>
        <w:rPr>
          <w:rFonts w:hint="eastAsia" w:ascii="宋体" w:hAnsi="宋体" w:cs="宋体"/>
          <w:color w:val="000000"/>
          <w:sz w:val="24"/>
          <w:highlight w:val="none"/>
          <w:lang w:val="en-US" w:eastAsia="zh-CN"/>
        </w:rPr>
        <w:t>陈卉</w:t>
      </w:r>
      <w:r>
        <w:rPr>
          <w:rFonts w:hint="eastAsia" w:ascii="宋体" w:hAnsi="宋体" w:cs="宋体"/>
          <w:color w:val="000000"/>
          <w:sz w:val="24"/>
          <w:highlight w:val="none"/>
        </w:rPr>
        <w:t xml:space="preserve"> </w:t>
      </w:r>
    </w:p>
    <w:p>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项目联系方式（询问）：</w:t>
      </w:r>
      <w:r>
        <w:rPr>
          <w:rFonts w:hint="eastAsia" w:ascii="宋体" w:hAnsi="宋体" w:cs="宋体"/>
          <w:color w:val="000000"/>
          <w:sz w:val="24"/>
          <w:highlight w:val="none"/>
          <w:lang w:val="en-US" w:eastAsia="zh-CN"/>
        </w:rPr>
        <w:t>0571-89265552</w:t>
      </w:r>
    </w:p>
    <w:p>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质疑联系人：</w:t>
      </w:r>
      <w:r>
        <w:rPr>
          <w:rFonts w:hint="eastAsia" w:ascii="宋体" w:hAnsi="宋体" w:cs="宋体"/>
          <w:color w:val="000000"/>
          <w:sz w:val="24"/>
          <w:highlight w:val="none"/>
          <w:lang w:val="en-US" w:eastAsia="zh-CN"/>
        </w:rPr>
        <w:t>张一丹</w:t>
      </w:r>
      <w:r>
        <w:rPr>
          <w:rFonts w:hint="eastAsia" w:ascii="宋体" w:hAnsi="宋体" w:cs="宋体"/>
          <w:color w:val="000000"/>
          <w:sz w:val="24"/>
          <w:highlight w:val="none"/>
        </w:rPr>
        <w:t xml:space="preserve"> </w:t>
      </w:r>
    </w:p>
    <w:p>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质疑联系方式：</w:t>
      </w:r>
      <w:r>
        <w:rPr>
          <w:rFonts w:hint="eastAsia" w:ascii="宋体" w:hAnsi="宋体" w:cs="宋体"/>
          <w:color w:val="000000"/>
          <w:sz w:val="24"/>
          <w:highlight w:val="none"/>
          <w:lang w:val="en-US" w:eastAsia="zh-CN"/>
        </w:rPr>
        <w:t>0571-89265553</w:t>
      </w:r>
    </w:p>
    <w:p>
      <w:pPr>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3..同级政府采购监督管理部门</w:t>
      </w:r>
    </w:p>
    <w:p>
      <w:pPr>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名称：杭州市余杭区财政局、浙江省政府采购行政裁决服务中心（杭州）</w:t>
      </w:r>
    </w:p>
    <w:p>
      <w:pPr>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地址：杭州市上城区四季青街道新业路市民之家G03办公室（快递仅限ems或顺丰）</w:t>
      </w:r>
    </w:p>
    <w:p>
      <w:pPr>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联系人：朱女士、王女士</w:t>
      </w:r>
    </w:p>
    <w:p>
      <w:pPr>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 xml:space="preserve">监督投诉电话：0571-85252453    </w:t>
      </w:r>
    </w:p>
    <w:p>
      <w:pPr>
        <w:spacing w:line="360" w:lineRule="auto"/>
        <w:ind w:firstLine="480"/>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政策咨询：陈先生、厉先生，0571-89580460、89580456</w:t>
      </w:r>
    </w:p>
    <w:p>
      <w:pPr>
        <w:spacing w:line="360" w:lineRule="auto"/>
        <w:ind w:firstLine="480"/>
        <w:rPr>
          <w:rFonts w:ascii="宋体" w:hAnsi="宋体" w:cs="宋体"/>
          <w:color w:val="000000"/>
          <w:sz w:val="24"/>
          <w:highlight w:val="none"/>
        </w:rPr>
      </w:pPr>
      <w:r>
        <w:rPr>
          <w:rFonts w:hint="eastAsia" w:ascii="宋体" w:hAnsi="宋体" w:cs="宋体"/>
          <w:color w:val="000000"/>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CA问题联系电话（人工）：汇信CA 400-888-4636；天谷CA 400-087-8198。</w:t>
      </w:r>
    </w:p>
    <w:p>
      <w:pPr>
        <w:widowControl/>
        <w:adjustRightInd/>
        <w:jc w:val="center"/>
        <w:rPr>
          <w:rFonts w:ascii="宋体" w:hAnsi="宋体" w:cs="宋体"/>
          <w:b/>
          <w:color w:val="000000"/>
          <w:sz w:val="36"/>
          <w:szCs w:val="20"/>
          <w:highlight w:val="none"/>
        </w:rPr>
      </w:pPr>
      <w:r>
        <w:rPr>
          <w:rFonts w:ascii="宋体" w:hAnsi="宋体" w:cs="宋体"/>
          <w:b/>
          <w:color w:val="000000"/>
          <w:sz w:val="36"/>
          <w:szCs w:val="20"/>
          <w:highlight w:val="none"/>
        </w:rPr>
        <w:br w:type="page"/>
      </w:r>
      <w:r>
        <w:rPr>
          <w:rFonts w:hint="eastAsia" w:ascii="宋体" w:hAnsi="宋体" w:cs="宋体"/>
          <w:b/>
          <w:color w:val="000000"/>
          <w:sz w:val="36"/>
          <w:szCs w:val="20"/>
          <w:highlight w:val="none"/>
        </w:rPr>
        <w:t>第二部分</w:t>
      </w:r>
      <w:bookmarkEnd w:id="8"/>
      <w:r>
        <w:rPr>
          <w:rFonts w:hint="eastAsia" w:ascii="宋体" w:hAnsi="宋体" w:cs="宋体"/>
          <w:b/>
          <w:color w:val="000000"/>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000000"/>
          <w:sz w:val="32"/>
          <w:szCs w:val="20"/>
          <w:highlight w:val="none"/>
        </w:rPr>
      </w:pPr>
      <w:r>
        <w:rPr>
          <w:rFonts w:hint="eastAsia" w:ascii="宋体" w:hAnsi="宋体" w:cs="宋体"/>
          <w:b/>
          <w:color w:val="000000"/>
          <w:sz w:val="32"/>
          <w:szCs w:val="20"/>
          <w:highlight w:val="none"/>
        </w:rPr>
        <w:t>前附表</w:t>
      </w:r>
    </w:p>
    <w:tbl>
      <w:tblPr>
        <w:tblStyle w:val="74"/>
        <w:tblW w:w="924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gridCol w:w="6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56"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事项</w:t>
            </w:r>
          </w:p>
        </w:tc>
        <w:tc>
          <w:tcPr>
            <w:tcW w:w="6776" w:type="dxa"/>
            <w:gridSpan w:val="2"/>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365" w:hRule="exac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项目属性</w:t>
            </w:r>
          </w:p>
        </w:tc>
        <w:tc>
          <w:tcPr>
            <w:tcW w:w="6776" w:type="dxa"/>
            <w:gridSpan w:val="2"/>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ascii="宋体" w:hAnsi="宋体" w:cs="宋体"/>
                <w:color w:val="000000"/>
                <w:sz w:val="24"/>
                <w:highlight w:val="none"/>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279" w:hRule="exac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采购标的及其对应的中小企业划分标准所属行业</w:t>
            </w:r>
          </w:p>
        </w:tc>
        <w:tc>
          <w:tcPr>
            <w:tcW w:w="6776" w:type="dxa"/>
            <w:gridSpan w:val="2"/>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default" w:ascii="宋体" w:hAnsi="宋体" w:eastAsia="仿宋_GB2312" w:cs="宋体"/>
                <w:color w:val="000000"/>
                <w:highlight w:val="none"/>
                <w:lang w:val="en-US" w:eastAsia="zh-CN"/>
              </w:rPr>
            </w:pPr>
            <w:r>
              <w:rPr>
                <w:rFonts w:hint="eastAsia" w:ascii="宋体" w:hAnsi="宋体" w:cs="宋体"/>
                <w:color w:val="000000"/>
                <w:kern w:val="0"/>
                <w:sz w:val="24"/>
                <w:highlight w:val="none"/>
              </w:rPr>
              <w:t>（1）标的：</w:t>
            </w:r>
            <w:r>
              <w:rPr>
                <w:rFonts w:hint="eastAsia" w:ascii="宋体" w:hAnsi="宋体" w:cs="宋体"/>
                <w:color w:val="auto"/>
                <w:kern w:val="0"/>
                <w:sz w:val="24"/>
                <w:u w:val="single"/>
                <w:lang w:val="en-US" w:eastAsia="zh-CN"/>
              </w:rPr>
              <w:t>电力配电采购</w:t>
            </w:r>
            <w:r>
              <w:rPr>
                <w:rFonts w:hint="eastAsia" w:ascii="宋体" w:hAnsi="宋体" w:cs="宋体"/>
                <w:color w:val="auto"/>
                <w:kern w:val="0"/>
                <w:sz w:val="24"/>
                <w:u w:val="single"/>
              </w:rPr>
              <w:t xml:space="preserve"> </w:t>
            </w:r>
            <w:r>
              <w:rPr>
                <w:rFonts w:hint="eastAsia" w:ascii="宋体" w:hAnsi="宋体" w:cs="宋体"/>
                <w:color w:val="auto"/>
                <w:kern w:val="0"/>
                <w:sz w:val="24"/>
              </w:rPr>
              <w:t>，属于</w:t>
            </w:r>
            <w:r>
              <w:rPr>
                <w:rFonts w:hint="eastAsia" w:ascii="宋体" w:hAnsi="宋体" w:cs="宋体"/>
                <w:color w:val="auto"/>
                <w:kern w:val="0"/>
                <w:sz w:val="24"/>
                <w:u w:val="single"/>
                <w:lang w:val="en-US" w:eastAsia="zh-CN"/>
              </w:rPr>
              <w:t>工业</w:t>
            </w:r>
            <w:r>
              <w:rPr>
                <w:rFonts w:hint="eastAsia" w:ascii="宋体" w:hAnsi="宋体" w:cs="宋体"/>
                <w:color w:val="auto"/>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842" w:hRule="exac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是否允许采购进口产品</w:t>
            </w:r>
          </w:p>
        </w:tc>
        <w:tc>
          <w:tcPr>
            <w:tcW w:w="6776" w:type="dxa"/>
            <w:gridSpan w:val="2"/>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sym w:font="Wingdings" w:char="F0FE"/>
            </w:r>
            <w:r>
              <w:rPr>
                <w:rFonts w:hint="eastAsia" w:ascii="宋体" w:hAnsi="宋体" w:cs="宋体"/>
                <w:color w:val="000000"/>
                <w:kern w:val="0"/>
                <w:sz w:val="24"/>
                <w:highlight w:val="none"/>
              </w:rPr>
              <w:t>本项目不允许采购进口产品。</w:t>
            </w:r>
          </w:p>
          <w:p>
            <w:pPr>
              <w:spacing w:line="360" w:lineRule="auto"/>
              <w:rPr>
                <w:rFonts w:hint="default" w:ascii="宋体" w:hAnsi="宋体" w:eastAsia="宋体" w:cs="宋体"/>
                <w:color w:val="000000"/>
                <w:highlight w:val="none"/>
                <w:lang w:val="en-US" w:eastAsia="zh-CN"/>
              </w:rPr>
            </w:pPr>
            <w:r>
              <w:rPr>
                <w:rFonts w:hint="eastAsia" w:ascii="宋体" w:hAnsi="宋体" w:cs="宋体"/>
                <w:color w:val="000000"/>
                <w:kern w:val="0"/>
                <w:sz w:val="24"/>
                <w:highlight w:val="none"/>
              </w:rPr>
              <w:t>☐可以就</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794" w:hRule="exac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jc w:val="both"/>
              <w:rPr>
                <w:rFonts w:ascii="宋体" w:hAnsi="宋体" w:cs="宋体"/>
                <w:b/>
                <w:color w:val="000000"/>
                <w:sz w:val="24"/>
                <w:highlight w:val="none"/>
              </w:rPr>
            </w:pPr>
            <w:r>
              <w:rPr>
                <w:rFonts w:hint="eastAsia" w:ascii="宋体" w:hAnsi="宋体" w:cs="宋体"/>
                <w:b/>
                <w:color w:val="000000"/>
                <w:sz w:val="24"/>
                <w:highlight w:val="none"/>
              </w:rPr>
              <w:t>分包</w:t>
            </w:r>
          </w:p>
        </w:tc>
        <w:tc>
          <w:tcPr>
            <w:tcW w:w="6776" w:type="dxa"/>
            <w:gridSpan w:val="2"/>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sz w:val="24"/>
                <w:highlight w:val="none"/>
              </w:rPr>
            </w:pPr>
            <w:r>
              <w:rPr>
                <w:rFonts w:hint="eastAsia" w:ascii="MS Gothic" w:hAnsi="MS Gothic" w:eastAsia="MS Gothic" w:cs="宋体"/>
                <w:color w:val="000000"/>
                <w:kern w:val="0"/>
                <w:sz w:val="24"/>
                <w:highlight w:val="none"/>
              </w:rPr>
              <w:t>☐</w:t>
            </w:r>
            <w:r>
              <w:rPr>
                <w:rFonts w:hint="eastAsia" w:ascii="宋体" w:hAnsi="宋体" w:cs="宋体"/>
                <w:color w:val="000000"/>
                <w:kern w:val="0"/>
                <w:sz w:val="24"/>
                <w:highlight w:val="none"/>
              </w:rPr>
              <w:t xml:space="preserve"> A</w:t>
            </w:r>
            <w:r>
              <w:rPr>
                <w:rFonts w:hint="eastAsia" w:ascii="宋体" w:hAnsi="宋体" w:cs="宋体"/>
                <w:color w:val="000000"/>
                <w:sz w:val="24"/>
                <w:highlight w:val="none"/>
              </w:rPr>
              <w:t>同意将非主体、非关键性的</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工作分包。</w:t>
            </w:r>
            <w:r>
              <w:rPr>
                <w:rFonts w:ascii="Wingdings" w:hAnsi="Wingdings" w:cs="宋体"/>
                <w:color w:val="000000"/>
                <w:kern w:val="0"/>
                <w:sz w:val="24"/>
                <w:highlight w:val="none"/>
              </w:rPr>
              <w:t></w:t>
            </w:r>
            <w:r>
              <w:rPr>
                <w:rFonts w:hint="eastAsia" w:ascii="宋体" w:hAnsi="宋体" w:cs="宋体"/>
                <w:color w:val="000000"/>
                <w:kern w:val="0"/>
                <w:sz w:val="24"/>
                <w:highlight w:val="none"/>
              </w:rPr>
              <w:t xml:space="preserve"> B</w:t>
            </w:r>
            <w:r>
              <w:rPr>
                <w:rFonts w:hint="eastAsia" w:ascii="宋体" w:hAnsi="宋体" w:cs="宋体"/>
                <w:color w:val="000000"/>
                <w:sz w:val="24"/>
                <w:highlight w:val="none"/>
              </w:rPr>
              <w:t>不同意分包。</w:t>
            </w:r>
          </w:p>
          <w:p>
            <w:pPr>
              <w:spacing w:line="360" w:lineRule="auto"/>
              <w:rPr>
                <w:rFonts w:ascii="宋体" w:hAnsi="宋体" w:cs="宋体"/>
                <w:color w:val="000000"/>
                <w:sz w:val="24"/>
                <w:highlight w:val="none"/>
              </w:rPr>
            </w:pPr>
            <w:r>
              <w:rPr>
                <w:rFonts w:hint="eastAsia" w:ascii="宋体" w:hAnsi="宋体" w:cs="宋体"/>
                <w:color w:val="000000"/>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284" w:hRule="exac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开标前答疑会或现场考察</w:t>
            </w:r>
          </w:p>
        </w:tc>
        <w:tc>
          <w:tcPr>
            <w:tcW w:w="6776" w:type="dxa"/>
            <w:gridSpan w:val="2"/>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sz w:val="24"/>
                <w:highlight w:val="none"/>
              </w:rPr>
            </w:pPr>
            <w:r>
              <w:rPr>
                <w:rFonts w:ascii="Wingdings" w:hAnsi="Wingdings" w:cs="宋体"/>
                <w:color w:val="000000"/>
                <w:kern w:val="0"/>
                <w:sz w:val="24"/>
                <w:highlight w:val="none"/>
              </w:rPr>
              <w:t></w:t>
            </w:r>
            <w:r>
              <w:rPr>
                <w:rFonts w:hint="eastAsia" w:ascii="宋体" w:hAnsi="宋体" w:cs="宋体"/>
                <w:color w:val="000000"/>
                <w:kern w:val="0"/>
                <w:sz w:val="24"/>
                <w:highlight w:val="none"/>
              </w:rPr>
              <w:t>A</w:t>
            </w:r>
            <w:r>
              <w:rPr>
                <w:rFonts w:hint="eastAsia" w:ascii="宋体" w:hAnsi="宋体" w:cs="宋体"/>
                <w:color w:val="000000"/>
                <w:sz w:val="24"/>
                <w:highlight w:val="none"/>
              </w:rPr>
              <w:t>不组织。</w:t>
            </w:r>
          </w:p>
          <w:p>
            <w:pPr>
              <w:spacing w:line="360" w:lineRule="auto"/>
              <w:rPr>
                <w:rFonts w:ascii="宋体" w:hAnsi="宋体" w:cs="宋体"/>
                <w:color w:val="000000"/>
                <w:sz w:val="24"/>
                <w:szCs w:val="20"/>
                <w:highlight w:val="none"/>
              </w:rPr>
            </w:pPr>
            <w:r>
              <w:rPr>
                <w:rFonts w:hint="eastAsia" w:ascii="宋体" w:hAnsi="宋体" w:cs="宋体"/>
                <w:color w:val="000000"/>
                <w:kern w:val="0"/>
                <w:sz w:val="24"/>
                <w:highlight w:val="none"/>
              </w:rPr>
              <w:t>☐B组织，</w:t>
            </w:r>
            <w:r>
              <w:rPr>
                <w:rFonts w:hint="eastAsia" w:ascii="宋体" w:hAnsi="宋体" w:cs="宋体"/>
                <w:color w:val="000000"/>
                <w:sz w:val="24"/>
                <w:highlight w:val="none"/>
              </w:rPr>
              <w:t>时间：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,地点：</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，联系人：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，联系方式：</w:t>
            </w:r>
            <w:r>
              <w:rPr>
                <w:rFonts w:hint="eastAsia" w:ascii="宋体" w:hAnsi="宋体" w:cs="宋体"/>
                <w:color w:val="000000"/>
                <w:sz w:val="24"/>
                <w:highlight w:val="none"/>
                <w:u w:val="single"/>
              </w:rPr>
              <w:t xml:space="preserve">      </w:t>
            </w:r>
            <w:r>
              <w:rPr>
                <w:rFonts w:hint="eastAsia" w:ascii="宋体" w:hAnsi="宋体" w:cs="宋体"/>
                <w:color w:val="000000"/>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23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样品提供</w:t>
            </w:r>
          </w:p>
        </w:tc>
        <w:tc>
          <w:tcPr>
            <w:tcW w:w="6776" w:type="dxa"/>
            <w:gridSpan w:val="2"/>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sz w:val="24"/>
                <w:highlight w:val="none"/>
              </w:rPr>
            </w:pPr>
            <w:r>
              <w:rPr>
                <w:rFonts w:ascii="Wingdings" w:hAnsi="Wingdings" w:cs="宋体"/>
                <w:color w:val="000000"/>
                <w:kern w:val="0"/>
                <w:sz w:val="24"/>
                <w:highlight w:val="none"/>
              </w:rPr>
              <w:t></w:t>
            </w:r>
            <w:r>
              <w:rPr>
                <w:rFonts w:hint="eastAsia" w:ascii="宋体" w:hAnsi="宋体" w:cs="宋体"/>
                <w:color w:val="000000"/>
                <w:kern w:val="0"/>
                <w:sz w:val="24"/>
                <w:highlight w:val="none"/>
              </w:rPr>
              <w:t>A</w:t>
            </w:r>
            <w:r>
              <w:rPr>
                <w:rFonts w:hint="eastAsia" w:ascii="宋体" w:hAnsi="宋体" w:cs="宋体"/>
                <w:color w:val="000000"/>
                <w:sz w:val="24"/>
                <w:highlight w:val="none"/>
              </w:rPr>
              <w:t>不要求提供。</w:t>
            </w:r>
          </w:p>
          <w:p>
            <w:pPr>
              <w:spacing w:line="360" w:lineRule="auto"/>
              <w:rPr>
                <w:rFonts w:ascii="宋体" w:hAnsi="宋体" w:cs="宋体"/>
                <w:color w:val="000000"/>
                <w:kern w:val="0"/>
                <w:sz w:val="24"/>
                <w:highlight w:val="none"/>
              </w:rPr>
            </w:pPr>
            <w:r>
              <w:rPr>
                <w:rFonts w:hint="eastAsia" w:ascii="MS Gothic" w:hAnsi="MS Gothic" w:eastAsia="MS Gothic" w:cs="宋体"/>
                <w:color w:val="000000"/>
                <w:kern w:val="0"/>
                <w:sz w:val="24"/>
                <w:highlight w:val="none"/>
              </w:rPr>
              <w:t>☐</w:t>
            </w:r>
            <w:r>
              <w:rPr>
                <w:rFonts w:hint="eastAsia" w:ascii="宋体" w:hAnsi="宋体" w:cs="宋体"/>
                <w:color w:val="000000"/>
                <w:kern w:val="0"/>
                <w:sz w:val="24"/>
                <w:highlight w:val="none"/>
              </w:rPr>
              <w:t>B要求提供，</w:t>
            </w:r>
          </w:p>
          <w:p>
            <w:pPr>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（1）</w:t>
            </w:r>
            <w:r>
              <w:rPr>
                <w:rFonts w:hint="eastAsia" w:ascii="宋体" w:hAnsi="宋体" w:cs="宋体"/>
                <w:snapToGrid w:val="0"/>
                <w:color w:val="000000"/>
                <w:kern w:val="28"/>
                <w:sz w:val="24"/>
                <w:highlight w:val="none"/>
              </w:rPr>
              <w:t>样品：</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w:t>
            </w:r>
          </w:p>
          <w:p>
            <w:pPr>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（2）</w:t>
            </w:r>
            <w:r>
              <w:rPr>
                <w:rFonts w:hint="eastAsia" w:ascii="宋体" w:hAnsi="宋体" w:cs="宋体"/>
                <w:snapToGrid w:val="0"/>
                <w:color w:val="000000"/>
                <w:kern w:val="28"/>
                <w:sz w:val="24"/>
                <w:highlight w:val="none"/>
              </w:rPr>
              <w:t>样品制作的标准和要求：</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w:t>
            </w:r>
          </w:p>
          <w:p>
            <w:pPr>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（3）样品的评审方法以及评审标准</w:t>
            </w:r>
            <w:r>
              <w:rPr>
                <w:rFonts w:hint="eastAsia" w:ascii="宋体" w:hAnsi="宋体" w:cs="宋体"/>
                <w:snapToGrid w:val="0"/>
                <w:color w:val="000000"/>
                <w:kern w:val="28"/>
                <w:sz w:val="24"/>
                <w:highlight w:val="none"/>
              </w:rPr>
              <w:t>：详见</w:t>
            </w:r>
            <w:r>
              <w:rPr>
                <w:rFonts w:hint="eastAsia" w:ascii="宋体" w:hAnsi="宋体" w:cs="宋体"/>
                <w:color w:val="000000"/>
                <w:sz w:val="24"/>
                <w:highlight w:val="none"/>
                <w:u w:val="single"/>
              </w:rPr>
              <w:t>评标办法</w:t>
            </w:r>
            <w:r>
              <w:rPr>
                <w:rFonts w:hint="eastAsia" w:ascii="宋体" w:hAnsi="宋体" w:cs="宋体"/>
                <w:color w:val="000000"/>
                <w:kern w:val="0"/>
                <w:sz w:val="24"/>
                <w:highlight w:val="none"/>
              </w:rPr>
              <w:t>；</w:t>
            </w:r>
          </w:p>
          <w:p>
            <w:pPr>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（4）是否需要随样品提交检测报告：</w:t>
            </w:r>
            <w:r>
              <w:rPr>
                <w:rFonts w:hint="eastAsia" w:ascii="MS Gothic" w:hAnsi="MS Gothic" w:eastAsia="MS Gothic" w:cs="宋体"/>
                <w:color w:val="000000"/>
                <w:kern w:val="0"/>
                <w:sz w:val="24"/>
                <w:highlight w:val="none"/>
              </w:rPr>
              <w:t>☐</w:t>
            </w:r>
            <w:r>
              <w:rPr>
                <w:rFonts w:hint="eastAsia" w:ascii="宋体" w:hAnsi="宋体" w:cs="宋体"/>
                <w:color w:val="000000"/>
                <w:kern w:val="0"/>
                <w:sz w:val="24"/>
                <w:highlight w:val="none"/>
              </w:rPr>
              <w:t>否；☐是，检测机构的要求</w:t>
            </w:r>
            <w:r>
              <w:rPr>
                <w:rFonts w:hint="eastAsia" w:ascii="宋体" w:hAnsi="宋体" w:cs="宋体"/>
                <w:color w:val="000000"/>
                <w:sz w:val="24"/>
                <w:highlight w:val="none"/>
              </w:rPr>
              <w:t>：</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；检测内容</w:t>
            </w:r>
            <w:r>
              <w:rPr>
                <w:rFonts w:hint="eastAsia" w:ascii="宋体" w:hAnsi="宋体" w:cs="宋体"/>
                <w:color w:val="000000"/>
                <w:sz w:val="24"/>
                <w:highlight w:val="none"/>
              </w:rPr>
              <w:t>：</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w:t>
            </w:r>
          </w:p>
          <w:p>
            <w:pPr>
              <w:spacing w:line="360" w:lineRule="auto"/>
              <w:rPr>
                <w:rFonts w:ascii="宋体" w:hAnsi="宋体" w:cs="宋体"/>
                <w:color w:val="000000"/>
                <w:sz w:val="24"/>
                <w:highlight w:val="none"/>
              </w:rPr>
            </w:pPr>
            <w:r>
              <w:rPr>
                <w:rFonts w:hint="eastAsia" w:ascii="宋体" w:hAnsi="宋体" w:cs="宋体"/>
                <w:color w:val="000000"/>
                <w:sz w:val="24"/>
                <w:highlight w:val="none"/>
              </w:rPr>
              <w:t>（5）提供样品的时间：</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；地点：</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；联系人</w:t>
            </w:r>
            <w:r>
              <w:rPr>
                <w:rFonts w:hint="eastAsia" w:ascii="宋体" w:hAnsi="宋体" w:cs="宋体"/>
                <w:color w:val="000000"/>
                <w:sz w:val="24"/>
                <w:highlight w:val="none"/>
              </w:rPr>
              <w:t>：</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kern w:val="28"/>
                <w:sz w:val="24"/>
                <w:highlight w:val="none"/>
              </w:rPr>
              <w:t>联系电话：</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。请投标人在上述时间内提供样品并按规定位置安装完毕。超过截止时间的，采购人或采购代理机构将不予接收，并将清场并封闭样品现场。</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(6)采购活动结束后，对于未中标人提供的样品，采购人、</w:t>
            </w:r>
            <w:r>
              <w:rPr>
                <w:rFonts w:hint="eastAsia" w:ascii="宋体" w:hAnsi="宋体" w:cs="宋体"/>
                <w:color w:val="000000"/>
                <w:sz w:val="24"/>
                <w:highlight w:val="none"/>
                <w:lang w:eastAsia="zh-CN"/>
              </w:rPr>
              <w:t>采购代理机构</w:t>
            </w:r>
            <w:r>
              <w:rPr>
                <w:rFonts w:hint="eastAsia" w:ascii="宋体" w:hAnsi="宋体" w:cs="宋体"/>
                <w:color w:val="000000"/>
                <w:sz w:val="24"/>
                <w:highlight w:val="none"/>
              </w:rPr>
              <w:t>将通知未中标人在规定的时间内取回，逾期未取回的，采购人、</w:t>
            </w:r>
            <w:r>
              <w:rPr>
                <w:rFonts w:hint="eastAsia" w:ascii="宋体" w:hAnsi="宋体" w:cs="宋体"/>
                <w:color w:val="000000"/>
                <w:sz w:val="24"/>
                <w:highlight w:val="none"/>
                <w:lang w:eastAsia="zh-CN"/>
              </w:rPr>
              <w:t>采购代理机构</w:t>
            </w:r>
            <w:r>
              <w:rPr>
                <w:rFonts w:hint="eastAsia" w:ascii="宋体" w:hAnsi="宋体" w:cs="宋体"/>
                <w:color w:val="000000"/>
                <w:sz w:val="24"/>
                <w:highlight w:val="none"/>
              </w:rPr>
              <w:t>不负保管义务；对于中标人提供的样品，采购人将进行保管、封存，并作为履约验收的参考。</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8679"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000000"/>
                <w:sz w:val="24"/>
                <w:highlight w:val="none"/>
              </w:rPr>
            </w:pPr>
            <w:r>
              <w:rPr>
                <w:rFonts w:hint="eastAsia" w:ascii="宋体" w:hAnsi="宋体" w:cs="宋体"/>
                <w:b/>
                <w:color w:val="000000"/>
                <w:sz w:val="24"/>
                <w:highlight w:val="none"/>
              </w:rPr>
              <w:t>方案讲解演示</w:t>
            </w:r>
          </w:p>
        </w:tc>
        <w:tc>
          <w:tcPr>
            <w:tcW w:w="6776" w:type="dxa"/>
            <w:gridSpan w:val="2"/>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sz w:val="24"/>
                <w:highlight w:val="none"/>
              </w:rPr>
            </w:pPr>
            <w:r>
              <w:rPr>
                <w:rFonts w:ascii="Wingdings" w:hAnsi="Wingdings" w:cs="宋体"/>
                <w:color w:val="000000"/>
                <w:kern w:val="0"/>
                <w:sz w:val="24"/>
                <w:highlight w:val="none"/>
              </w:rPr>
              <w:t></w:t>
            </w:r>
            <w:r>
              <w:rPr>
                <w:rFonts w:hint="eastAsia" w:ascii="宋体" w:hAnsi="宋体" w:cs="宋体"/>
                <w:color w:val="000000"/>
                <w:kern w:val="0"/>
                <w:sz w:val="24"/>
                <w:highlight w:val="none"/>
              </w:rPr>
              <w:t>A</w:t>
            </w:r>
            <w:r>
              <w:rPr>
                <w:rFonts w:hint="eastAsia" w:ascii="宋体" w:hAnsi="宋体" w:cs="宋体"/>
                <w:color w:val="000000"/>
                <w:sz w:val="24"/>
                <w:highlight w:val="none"/>
              </w:rPr>
              <w:t>不组织。</w:t>
            </w:r>
          </w:p>
          <w:p>
            <w:pPr>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☐B组织。</w:t>
            </w:r>
          </w:p>
          <w:p>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（1）在评标时安排每个投标人进行方案讲解演示。每个投标人时间不超过</w:t>
            </w:r>
            <w:r>
              <w:rPr>
                <w:rFonts w:hint="eastAsia" w:ascii="宋体" w:hAnsi="宋体" w:cs="宋体"/>
                <w:color w:val="000000"/>
                <w:kern w:val="0"/>
                <w:sz w:val="24"/>
                <w:highlight w:val="none"/>
                <w:u w:val="single"/>
              </w:rPr>
              <w:t>20</w:t>
            </w:r>
            <w:r>
              <w:rPr>
                <w:rFonts w:hint="eastAsia" w:ascii="宋体" w:hAnsi="宋体" w:cs="宋体"/>
                <w:color w:val="000000"/>
                <w:kern w:val="0"/>
                <w:sz w:val="24"/>
                <w:highlight w:val="none"/>
                <w:u w:val="single"/>
                <w:lang w:eastAsia="zh-CN"/>
              </w:rPr>
              <w:t>（</w:t>
            </w:r>
            <w:r>
              <w:rPr>
                <w:rFonts w:hint="eastAsia" w:ascii="宋体" w:hAnsi="宋体" w:cs="宋体"/>
                <w:color w:val="000000"/>
                <w:kern w:val="0"/>
                <w:sz w:val="24"/>
                <w:highlight w:val="none"/>
                <w:u w:val="single"/>
                <w:lang w:val="en-US" w:eastAsia="zh-CN"/>
              </w:rPr>
              <w:t>编制时可根据项目情况进行调整</w:t>
            </w:r>
            <w:r>
              <w:rPr>
                <w:rFonts w:hint="eastAsia" w:ascii="宋体" w:hAnsi="宋体" w:cs="宋体"/>
                <w:color w:val="000000"/>
                <w:kern w:val="0"/>
                <w:sz w:val="24"/>
                <w:highlight w:val="none"/>
                <w:u w:val="single"/>
                <w:lang w:eastAsia="zh-CN"/>
              </w:rPr>
              <w:t>）</w:t>
            </w:r>
            <w:r>
              <w:rPr>
                <w:rFonts w:hint="eastAsia" w:ascii="宋体" w:hAnsi="宋体" w:cs="宋体"/>
                <w:color w:val="000000"/>
                <w:kern w:val="0"/>
                <w:sz w:val="24"/>
                <w:highlight w:val="none"/>
              </w:rPr>
              <w:t>分钟，讲解次序以投标文件解密时间先后次序为准，讲解演示人员不超过</w:t>
            </w:r>
            <w:r>
              <w:rPr>
                <w:rFonts w:hint="eastAsia" w:ascii="宋体" w:hAnsi="宋体" w:cs="宋体"/>
                <w:color w:val="000000"/>
                <w:kern w:val="0"/>
                <w:sz w:val="24"/>
                <w:highlight w:val="none"/>
                <w:u w:val="single"/>
              </w:rPr>
              <w:t>3</w:t>
            </w:r>
            <w:r>
              <w:rPr>
                <w:rFonts w:hint="eastAsia" w:ascii="宋体" w:hAnsi="宋体" w:cs="宋体"/>
                <w:color w:val="000000"/>
                <w:kern w:val="0"/>
                <w:sz w:val="24"/>
                <w:highlight w:val="none"/>
                <w:u w:val="single"/>
                <w:lang w:eastAsia="zh-CN"/>
              </w:rPr>
              <w:t>（</w:t>
            </w:r>
            <w:r>
              <w:rPr>
                <w:rFonts w:hint="eastAsia" w:ascii="宋体" w:hAnsi="宋体" w:cs="宋体"/>
                <w:color w:val="000000"/>
                <w:kern w:val="0"/>
                <w:sz w:val="24"/>
                <w:highlight w:val="none"/>
                <w:u w:val="single"/>
                <w:lang w:val="en-US" w:eastAsia="zh-CN"/>
              </w:rPr>
              <w:t>编制时可根据项目情况进行调整</w:t>
            </w:r>
            <w:r>
              <w:rPr>
                <w:rFonts w:hint="eastAsia" w:ascii="宋体" w:hAnsi="宋体" w:cs="宋体"/>
                <w:color w:val="000000"/>
                <w:kern w:val="0"/>
                <w:sz w:val="24"/>
                <w:highlight w:val="none"/>
                <w:u w:val="single"/>
                <w:lang w:eastAsia="zh-CN"/>
              </w:rPr>
              <w:t>）</w:t>
            </w:r>
            <w:r>
              <w:rPr>
                <w:rFonts w:hint="eastAsia" w:ascii="宋体" w:hAnsi="宋体" w:cs="宋体"/>
                <w:color w:val="000000"/>
                <w:kern w:val="0"/>
                <w:sz w:val="24"/>
                <w:highlight w:val="none"/>
              </w:rPr>
              <w:t>人。讲解演示结束后按要求解答评标委员会提问。</w:t>
            </w:r>
          </w:p>
          <w:p>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（2）方案讲解演示可选择以下其中一种方式：</w:t>
            </w:r>
          </w:p>
          <w:p>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方式二：交易中心现场讲解演示。现场讲解地点为</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000000"/>
                <w:kern w:val="0"/>
                <w:sz w:val="24"/>
                <w:highlight w:val="none"/>
                <w:lang w:val="zh-CN"/>
              </w:rPr>
            </w:pPr>
            <w:r>
              <w:rPr>
                <w:rFonts w:hint="eastAsia" w:ascii="宋体" w:hAnsi="宋体" w:cs="宋体"/>
                <w:color w:val="000000"/>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投标人应当提供的资格、资信证明文件</w:t>
            </w:r>
          </w:p>
        </w:tc>
        <w:tc>
          <w:tcPr>
            <w:tcW w:w="6776" w:type="dxa"/>
            <w:gridSpan w:val="2"/>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000000"/>
                <w:sz w:val="24"/>
                <w:highlight w:val="none"/>
              </w:rPr>
            </w:pPr>
            <w:r>
              <w:rPr>
                <w:rFonts w:hint="eastAsia" w:ascii="宋体" w:hAnsi="宋体" w:cs="宋体"/>
                <w:color w:val="000000"/>
                <w:sz w:val="24"/>
                <w:highlight w:val="none"/>
              </w:rPr>
              <w:t>（1）资格证明文件：见招标文件第二部分11.1。</w:t>
            </w:r>
          </w:p>
          <w:p>
            <w:pPr>
              <w:spacing w:line="360" w:lineRule="auto"/>
              <w:rPr>
                <w:rFonts w:ascii="宋体" w:hAnsi="宋体" w:cs="宋体"/>
                <w:snapToGrid w:val="0"/>
                <w:color w:val="000000"/>
                <w:kern w:val="0"/>
                <w:szCs w:val="21"/>
                <w:highlight w:val="none"/>
              </w:rPr>
            </w:pPr>
            <w:r>
              <w:rPr>
                <w:rFonts w:hint="eastAsia" w:ascii="宋体" w:hAnsi="宋体" w:cs="宋体"/>
                <w:color w:val="000000"/>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58"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000000"/>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sz w:val="24"/>
                <w:highlight w:val="none"/>
              </w:rPr>
            </w:pPr>
          </w:p>
        </w:tc>
        <w:tc>
          <w:tcPr>
            <w:tcW w:w="6776" w:type="dxa"/>
            <w:gridSpan w:val="2"/>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sz w:val="24"/>
                <w:highlight w:val="none"/>
              </w:rPr>
            </w:pPr>
            <w:r>
              <w:rPr>
                <w:rFonts w:hint="eastAsia" w:ascii="宋体" w:hAnsi="宋体" w:cs="宋体"/>
                <w:color w:val="000000"/>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节能产品、环境标志产品</w:t>
            </w:r>
          </w:p>
        </w:tc>
        <w:tc>
          <w:tcPr>
            <w:tcW w:w="6776" w:type="dxa"/>
            <w:gridSpan w:val="2"/>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000000"/>
                <w:highlight w:val="none"/>
              </w:rPr>
            </w:pPr>
            <w:r>
              <w:rPr>
                <w:rFonts w:hint="eastAsia" w:ascii="宋体" w:hAnsi="宋体" w:cs="宋体"/>
                <w:color w:val="000000"/>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gridAfter w:val="1"/>
          <w:wAfter w:w="681" w:type="dxa"/>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000000"/>
                <w:kern w:val="0"/>
                <w:sz w:val="24"/>
                <w:highlight w:val="none"/>
                <w:lang w:val="zh-CN"/>
              </w:rPr>
            </w:pPr>
            <w:r>
              <w:rPr>
                <w:rFonts w:hint="eastAsia" w:ascii="宋体" w:hAnsi="宋体" w:cs="宋体"/>
                <w:color w:val="000000"/>
                <w:kern w:val="0"/>
                <w:sz w:val="24"/>
                <w:highlight w:val="none"/>
                <w:lang w:val="zh-CN"/>
              </w:rPr>
              <w:t>有关本项目实施所需的所有费用（含税费）均计入报价。</w:t>
            </w:r>
            <w:r>
              <w:rPr>
                <w:rFonts w:hint="eastAsia" w:ascii="宋体" w:hAnsi="宋体" w:cs="宋体"/>
                <w:b/>
                <w:bCs/>
                <w:color w:val="000000"/>
                <w:kern w:val="0"/>
                <w:sz w:val="24"/>
                <w:highlight w:val="none"/>
                <w:lang w:val="zh-CN"/>
              </w:rPr>
              <w:t>投标文件</w:t>
            </w:r>
            <w:r>
              <w:rPr>
                <w:rFonts w:hint="eastAsia" w:ascii="宋体" w:hAnsi="宋体" w:cs="宋体"/>
                <w:b/>
                <w:bCs/>
                <w:color w:val="000000"/>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kern w:val="0"/>
                <w:sz w:val="24"/>
                <w:highlight w:val="none"/>
                <w:lang w:val="zh-CN"/>
              </w:rPr>
              <w:t>投标文件中价格全部采用人民币报价。招标文件未列明，而投标人认为必需的费用也需列入报价。</w:t>
            </w:r>
            <w:r>
              <w:rPr>
                <w:rFonts w:hint="eastAsia" w:ascii="宋体" w:hAnsi="宋体" w:cs="宋体"/>
                <w:b/>
                <w:color w:val="000000"/>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000000"/>
                <w:kern w:val="0"/>
                <w:sz w:val="24"/>
                <w:highlight w:val="none"/>
                <w:lang w:val="zh-CN"/>
              </w:rPr>
            </w:pPr>
            <w:r>
              <w:rPr>
                <w:rFonts w:hint="eastAsia" w:ascii="宋体" w:hAnsi="宋体" w:cs="宋体"/>
                <w:b/>
                <w:color w:val="000000"/>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000000"/>
                <w:kern w:val="0"/>
                <w:sz w:val="24"/>
                <w:highlight w:val="none"/>
                <w:lang w:val="zh-CN"/>
              </w:rPr>
            </w:pPr>
            <w:r>
              <w:rPr>
                <w:rFonts w:hint="eastAsia" w:ascii="宋体" w:hAnsi="宋体" w:cs="宋体"/>
                <w:b/>
                <w:color w:val="000000"/>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000000"/>
                <w:kern w:val="0"/>
                <w:sz w:val="24"/>
                <w:highlight w:val="none"/>
                <w:lang w:val="zh-CN"/>
              </w:rPr>
            </w:pPr>
            <w:r>
              <w:rPr>
                <w:rFonts w:hint="eastAsia" w:ascii="宋体" w:hAnsi="宋体" w:cs="宋体"/>
                <w:b/>
                <w:color w:val="000000"/>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000000"/>
                <w:sz w:val="24"/>
                <w:highlight w:val="none"/>
              </w:rPr>
            </w:pPr>
            <w:r>
              <w:rPr>
                <w:rFonts w:hint="eastAsia" w:ascii="宋体" w:hAnsi="宋体" w:cs="宋体"/>
                <w:b/>
                <w:color w:val="000000"/>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sz w:val="24"/>
                <w:szCs w:val="21"/>
                <w:highlight w:val="none"/>
              </w:rPr>
              <w:t>;</w:t>
            </w:r>
          </w:p>
          <w:p>
            <w:pPr>
              <w:spacing w:line="360" w:lineRule="auto"/>
              <w:ind w:firstLine="241" w:firstLineChars="100"/>
              <w:rPr>
                <w:rFonts w:ascii="宋体" w:hAnsi="宋体" w:cs="宋体"/>
                <w:color w:val="000000"/>
                <w:sz w:val="24"/>
                <w:highlight w:val="none"/>
              </w:rPr>
            </w:pPr>
            <w:r>
              <w:rPr>
                <w:rFonts w:hint="eastAsia" w:ascii="宋体" w:hAnsi="宋体" w:cs="宋体"/>
                <w:b/>
                <w:color w:val="000000"/>
                <w:kern w:val="0"/>
                <w:sz w:val="24"/>
                <w:highlight w:val="none"/>
              </w:rPr>
              <w:t>投标人对根据修正原则修正后的报价不确认的</w:t>
            </w:r>
            <w:r>
              <w:rPr>
                <w:rFonts w:hint="eastAsia" w:ascii="宋体" w:hAnsi="宋体" w:cs="宋体"/>
                <w:b/>
                <w:color w:val="00000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gridAfter w:val="1"/>
          <w:wAfter w:w="681" w:type="dxa"/>
          <w:trHeight w:val="2309" w:hRule="atLeast"/>
          <w:tblHeader/>
        </w:trPr>
        <w:tc>
          <w:tcPr>
            <w:tcW w:w="629" w:type="dxa"/>
            <w:tcBorders>
              <w:top w:val="single" w:color="auto" w:sz="4" w:space="0"/>
              <w:left w:val="single" w:color="000000" w:sz="8" w:space="0"/>
              <w:right w:val="single" w:color="000000" w:sz="2" w:space="0"/>
            </w:tcBorders>
            <w:vAlign w:val="top"/>
          </w:tcPr>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000000"/>
                <w:sz w:val="24"/>
                <w:highlight w:val="none"/>
              </w:rPr>
            </w:pPr>
            <w:r>
              <w:rPr>
                <w:rFonts w:hint="eastAsia" w:ascii="宋体" w:hAnsi="宋体" w:cs="宋体"/>
                <w:snapToGrid w:val="0"/>
                <w:color w:val="00000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gridAfter w:val="1"/>
          <w:wAfter w:w="681" w:type="dxa"/>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Ansi="宋体" w:cs="宋体"/>
                <w:color w:val="000000"/>
                <w:kern w:val="28"/>
                <w:sz w:val="24"/>
                <w:highlight w:val="none"/>
              </w:rPr>
            </w:pPr>
            <w:r>
              <w:rPr>
                <w:rFonts w:hint="eastAsia" w:hAnsi="宋体" w:cs="宋体"/>
                <w:color w:val="000000"/>
                <w:kern w:val="28"/>
                <w:sz w:val="24"/>
                <w:szCs w:val="24"/>
                <w:highlight w:val="none"/>
              </w:rPr>
              <w:t>备份投标文件送达地点：</w:t>
            </w:r>
            <w:r>
              <w:rPr>
                <w:rFonts w:hint="eastAsia" w:hAnsi="宋体" w:cs="宋体"/>
                <w:color w:val="000000"/>
                <w:sz w:val="24"/>
                <w:highlight w:val="none"/>
                <w:u w:val="single"/>
                <w:lang w:val="en-US" w:eastAsia="zh-CN"/>
              </w:rPr>
              <w:t>杭州市余杭区仓前街道仓兴路1390号数字健康小镇10幢A座502室</w:t>
            </w:r>
            <w:r>
              <w:rPr>
                <w:rFonts w:hint="eastAsia" w:hAnsi="宋体" w:cs="宋体"/>
                <w:color w:val="000000"/>
                <w:sz w:val="24"/>
                <w:highlight w:val="none"/>
                <w:u w:val="single"/>
              </w:rPr>
              <w:t xml:space="preserve"> </w:t>
            </w:r>
            <w:r>
              <w:rPr>
                <w:rFonts w:hint="eastAsia" w:hAnsi="宋体" w:cs="宋体"/>
                <w:color w:val="000000"/>
                <w:kern w:val="28"/>
                <w:sz w:val="24"/>
                <w:szCs w:val="24"/>
                <w:highlight w:val="none"/>
              </w:rPr>
              <w:t>；备份投标文件签收人员联系电话：</w:t>
            </w:r>
            <w:r>
              <w:rPr>
                <w:rFonts w:hint="eastAsia" w:hAnsi="宋体" w:cs="宋体"/>
                <w:color w:val="000000"/>
                <w:sz w:val="24"/>
                <w:highlight w:val="none"/>
                <w:u w:val="single"/>
                <w:lang w:val="en-US" w:eastAsia="zh-CN"/>
              </w:rPr>
              <w:t>陈卉  13646861897</w:t>
            </w:r>
            <w:r>
              <w:rPr>
                <w:rFonts w:hint="eastAsia" w:hAnsi="宋体" w:cs="宋体"/>
                <w:color w:val="000000"/>
                <w:sz w:val="24"/>
                <w:highlight w:val="none"/>
                <w:u w:val="single"/>
              </w:rPr>
              <w:t xml:space="preserve"> </w:t>
            </w:r>
            <w:r>
              <w:rPr>
                <w:rFonts w:hint="eastAsia" w:hAnsi="宋体" w:cs="宋体"/>
                <w:color w:val="000000"/>
                <w:sz w:val="24"/>
                <w:szCs w:val="24"/>
                <w:highlight w:val="none"/>
              </w:rPr>
              <w:t>。</w:t>
            </w:r>
            <w:r>
              <w:rPr>
                <w:rFonts w:hint="eastAsia" w:hAnsi="宋体" w:cs="宋体"/>
                <w:b/>
                <w:color w:val="000000"/>
                <w:sz w:val="24"/>
                <w:szCs w:val="24"/>
                <w:highlight w:val="none"/>
              </w:rPr>
              <w:t>采购人、</w:t>
            </w:r>
            <w:r>
              <w:rPr>
                <w:rFonts w:hint="eastAsia" w:hAnsi="宋体" w:cs="宋体"/>
                <w:b/>
                <w:color w:val="000000"/>
                <w:sz w:val="24"/>
                <w:szCs w:val="24"/>
                <w:highlight w:val="none"/>
                <w:lang w:eastAsia="zh-CN"/>
              </w:rPr>
              <w:t>采购代理机构</w:t>
            </w:r>
            <w:r>
              <w:rPr>
                <w:rFonts w:hint="eastAsia" w:hAnsi="宋体" w:cs="宋体"/>
                <w:b/>
                <w:color w:val="000000"/>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gridAfter w:val="1"/>
          <w:wAfter w:w="681" w:type="dxa"/>
          <w:trHeight w:val="935"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000000"/>
                <w:sz w:val="24"/>
                <w:highlight w:val="none"/>
              </w:rPr>
            </w:pPr>
            <w:r>
              <w:rPr>
                <w:rFonts w:hint="eastAsia" w:ascii="宋体" w:hAnsi="宋体" w:eastAsia="宋体" w:cs="仿宋_GB2312"/>
                <w:b/>
                <w:color w:val="000000"/>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000000"/>
                <w:kern w:val="28"/>
                <w:sz w:val="24"/>
                <w:highlight w:val="none"/>
              </w:rPr>
            </w:pPr>
            <w:r>
              <w:rPr>
                <w:rFonts w:hint="eastAsia" w:ascii="宋体" w:hAnsi="宋体" w:cs="宋体"/>
                <w:snapToGrid w:val="0"/>
                <w:color w:val="000000"/>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gridAfter w:val="1"/>
          <w:wAfter w:w="681" w:type="dxa"/>
          <w:trHeight w:val="935" w:hRule="atLeast"/>
          <w:tblHeader/>
        </w:trPr>
        <w:tc>
          <w:tcPr>
            <w:tcW w:w="629" w:type="dxa"/>
            <w:vMerge w:val="continue"/>
            <w:tcBorders>
              <w:left w:val="single" w:color="000000" w:sz="8" w:space="0"/>
              <w:right w:val="single" w:color="000000" w:sz="2" w:space="0"/>
            </w:tcBorders>
            <w:vAlign w:val="top"/>
          </w:tcPr>
          <w:p>
            <w:pPr>
              <w:snapToGrid w:val="0"/>
              <w:spacing w:line="360" w:lineRule="auto"/>
              <w:jc w:val="center"/>
              <w:rPr>
                <w:rFonts w:ascii="宋体" w:hAnsi="宋体" w:cs="宋体"/>
                <w:color w:val="000000"/>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000000"/>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000000"/>
                <w:kern w:val="28"/>
                <w:sz w:val="24"/>
                <w:highlight w:val="none"/>
              </w:rPr>
            </w:pPr>
            <w:r>
              <w:rPr>
                <w:rFonts w:hint="eastAsia" w:ascii="MS Mincho" w:hAnsi="MS Mincho" w:eastAsia="MS Mincho" w:cs="MS Mincho"/>
                <w:color w:val="000000"/>
                <w:kern w:val="0"/>
                <w:sz w:val="24"/>
                <w:highlight w:val="none"/>
              </w:rPr>
              <w:t>☐</w:t>
            </w:r>
            <w:r>
              <w:rPr>
                <w:rFonts w:hint="eastAsia" w:ascii="宋体" w:hAnsi="宋体" w:cs="宋体"/>
                <w:snapToGrid w:val="0"/>
                <w:color w:val="000000"/>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000000"/>
                <w:kern w:val="28"/>
                <w:sz w:val="24"/>
                <w:highlight w:val="none"/>
              </w:rPr>
            </w:pPr>
            <w:r>
              <w:rPr>
                <w:rFonts w:hint="eastAsia" w:ascii="宋体" w:hAnsi="宋体" w:eastAsia="宋体" w:cs="Arial"/>
                <w:color w:val="000000"/>
                <w:kern w:val="0"/>
                <w:sz w:val="24"/>
                <w:highlight w:val="none"/>
              </w:rPr>
              <w:sym w:font="Wingdings" w:char="F0FE"/>
            </w:r>
            <w:r>
              <w:rPr>
                <w:rFonts w:hint="eastAsia" w:ascii="宋体" w:hAnsi="宋体" w:cs="宋体"/>
                <w:snapToGrid w:val="0"/>
                <w:color w:val="000000"/>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gridAfter w:val="1"/>
          <w:wAfter w:w="681" w:type="dxa"/>
          <w:trHeight w:val="935" w:hRule="atLeast"/>
          <w:tblHeader/>
        </w:trPr>
        <w:tc>
          <w:tcPr>
            <w:tcW w:w="629" w:type="dxa"/>
            <w:tcBorders>
              <w:left w:val="single" w:color="000000" w:sz="8" w:space="0"/>
              <w:right w:val="single" w:color="000000" w:sz="2" w:space="0"/>
            </w:tcBorders>
            <w:vAlign w:val="top"/>
          </w:tcPr>
          <w:p>
            <w:pPr>
              <w:spacing w:line="360" w:lineRule="auto"/>
              <w:rPr>
                <w:rFonts w:hint="eastAsia" w:ascii="宋体" w:hAnsi="宋体" w:cs="宋体"/>
                <w:snapToGrid w:val="0"/>
                <w:color w:val="000000"/>
                <w:kern w:val="28"/>
                <w:sz w:val="24"/>
                <w:highlight w:val="none"/>
                <w:lang w:val="en-US" w:eastAsia="zh-CN"/>
              </w:rPr>
            </w:pPr>
          </w:p>
          <w:p>
            <w:pPr>
              <w:spacing w:line="360" w:lineRule="auto"/>
              <w:rPr>
                <w:rFonts w:hint="eastAsia" w:ascii="宋体" w:hAnsi="宋体" w:cs="宋体"/>
                <w:snapToGrid w:val="0"/>
                <w:color w:val="000000"/>
                <w:kern w:val="28"/>
                <w:sz w:val="24"/>
                <w:highlight w:val="none"/>
                <w:lang w:val="en-US" w:eastAsia="zh-CN"/>
              </w:rPr>
            </w:pPr>
          </w:p>
          <w:p>
            <w:pPr>
              <w:spacing w:line="360" w:lineRule="auto"/>
              <w:rPr>
                <w:rFonts w:hint="eastAsia" w:ascii="宋体" w:hAnsi="宋体" w:cs="宋体"/>
                <w:snapToGrid w:val="0"/>
                <w:color w:val="000000"/>
                <w:kern w:val="28"/>
                <w:sz w:val="24"/>
                <w:highlight w:val="none"/>
                <w:lang w:val="en-US" w:eastAsia="zh-CN"/>
              </w:rPr>
            </w:pPr>
          </w:p>
          <w:p>
            <w:pPr>
              <w:spacing w:line="360" w:lineRule="auto"/>
              <w:rPr>
                <w:rFonts w:hint="eastAsia" w:ascii="宋体" w:hAnsi="宋体" w:cs="宋体"/>
                <w:snapToGrid w:val="0"/>
                <w:color w:val="000000"/>
                <w:kern w:val="28"/>
                <w:sz w:val="24"/>
                <w:highlight w:val="none"/>
                <w:lang w:val="en-US" w:eastAsia="zh-CN"/>
              </w:rPr>
            </w:pPr>
          </w:p>
          <w:p>
            <w:pPr>
              <w:spacing w:line="360" w:lineRule="auto"/>
              <w:rPr>
                <w:rFonts w:hint="eastAsia" w:ascii="宋体" w:hAnsi="宋体" w:cs="宋体"/>
                <w:snapToGrid w:val="0"/>
                <w:color w:val="000000"/>
                <w:kern w:val="28"/>
                <w:sz w:val="24"/>
                <w:highlight w:val="none"/>
              </w:rPr>
            </w:pPr>
            <w:r>
              <w:rPr>
                <w:rFonts w:hint="eastAsia" w:ascii="宋体" w:hAnsi="宋体" w:cs="宋体"/>
                <w:snapToGrid w:val="0"/>
                <w:color w:val="000000"/>
                <w:kern w:val="28"/>
                <w:sz w:val="24"/>
                <w:highlight w:val="none"/>
                <w:lang w:val="en-US" w:eastAsia="zh-CN"/>
              </w:rPr>
              <w:t>13</w:t>
            </w:r>
          </w:p>
        </w:tc>
        <w:tc>
          <w:tcPr>
            <w:tcW w:w="1843" w:type="dxa"/>
            <w:tcBorders>
              <w:left w:val="single" w:color="000000" w:sz="2" w:space="0"/>
              <w:right w:val="single" w:color="000000" w:sz="8" w:space="0"/>
            </w:tcBorders>
            <w:vAlign w:val="center"/>
          </w:tcPr>
          <w:p>
            <w:pPr>
              <w:spacing w:line="360" w:lineRule="auto"/>
              <w:rPr>
                <w:rFonts w:hint="eastAsia" w:ascii="宋体" w:hAnsi="宋体" w:cs="宋体"/>
                <w:snapToGrid w:val="0"/>
                <w:color w:val="000000"/>
                <w:kern w:val="28"/>
                <w:sz w:val="24"/>
                <w:highlight w:val="none"/>
              </w:rPr>
            </w:pPr>
            <w:r>
              <w:rPr>
                <w:rFonts w:hint="eastAsia" w:ascii="宋体" w:hAnsi="宋体" w:cs="宋体"/>
                <w:snapToGrid w:val="0"/>
                <w:color w:val="000000"/>
                <w:kern w:val="28"/>
                <w:sz w:val="24"/>
                <w:highlight w:val="none"/>
                <w:lang w:val="en-US" w:eastAsia="zh-CN"/>
              </w:rPr>
              <w:t>代理</w:t>
            </w:r>
            <w:r>
              <w:rPr>
                <w:rFonts w:hint="eastAsia" w:ascii="宋体" w:hAnsi="宋体" w:cs="宋体"/>
                <w:snapToGrid w:val="0"/>
                <w:color w:val="000000"/>
                <w:kern w:val="28"/>
                <w:sz w:val="24"/>
                <w:highlight w:val="none"/>
              </w:rPr>
              <w:t>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snapToGrid w:val="0"/>
                <w:color w:val="000000"/>
                <w:kern w:val="28"/>
                <w:sz w:val="24"/>
                <w:highlight w:val="none"/>
              </w:rPr>
            </w:pPr>
            <w:r>
              <w:rPr>
                <w:rFonts w:hint="eastAsia" w:ascii="宋体" w:hAnsi="宋体" w:cs="宋体"/>
                <w:snapToGrid w:val="0"/>
                <w:color w:val="000000"/>
                <w:kern w:val="28"/>
                <w:sz w:val="24"/>
                <w:highlight w:val="none"/>
              </w:rPr>
              <w:t>招标服务费：中标人在领取中标通知书前需向招标代理机构支付</w:t>
            </w:r>
            <w:r>
              <w:rPr>
                <w:rFonts w:hint="eastAsia" w:ascii="宋体" w:hAnsi="宋体" w:cs="宋体"/>
                <w:snapToGrid w:val="0"/>
                <w:color w:val="000000"/>
                <w:kern w:val="28"/>
                <w:sz w:val="24"/>
                <w:highlight w:val="none"/>
                <w:lang w:val="en-US" w:eastAsia="zh-CN"/>
              </w:rPr>
              <w:t>人民币</w:t>
            </w:r>
            <w:r>
              <w:rPr>
                <w:rFonts w:hint="eastAsia" w:ascii="宋体" w:hAnsi="宋体" w:cs="宋体"/>
                <w:snapToGrid w:val="0"/>
                <w:color w:val="000000"/>
                <w:kern w:val="28"/>
                <w:sz w:val="24"/>
                <w:highlight w:val="none"/>
              </w:rPr>
              <w:t>招标代理服务费，</w:t>
            </w:r>
            <w:r>
              <w:rPr>
                <w:rFonts w:hint="eastAsia" w:ascii="宋体" w:hAnsi="宋体" w:cs="宋体"/>
                <w:snapToGrid w:val="0"/>
                <w:color w:val="000000"/>
                <w:kern w:val="28"/>
                <w:sz w:val="24"/>
                <w:highlight w:val="none"/>
                <w:lang w:val="en-US" w:eastAsia="zh-CN"/>
              </w:rPr>
              <w:t>招标代理费按照原国家计委《关于印发招标代理服务收费管理暂行办法的通知》（计价格[2002]1980号）的80%结算，</w:t>
            </w:r>
            <w:r>
              <w:rPr>
                <w:rFonts w:hint="eastAsia" w:ascii="宋体" w:hAnsi="宋体" w:cs="宋体"/>
                <w:snapToGrid w:val="0"/>
                <w:color w:val="000000"/>
                <w:kern w:val="28"/>
                <w:sz w:val="24"/>
                <w:highlight w:val="none"/>
              </w:rPr>
              <w:t>费用包含在总报价中，不单独列项报价。</w:t>
            </w:r>
          </w:p>
          <w:p>
            <w:pPr>
              <w:spacing w:line="360" w:lineRule="auto"/>
              <w:rPr>
                <w:rFonts w:hint="eastAsia" w:ascii="宋体" w:hAnsi="宋体" w:cs="宋体"/>
                <w:snapToGrid w:val="0"/>
                <w:color w:val="000000"/>
                <w:kern w:val="28"/>
                <w:sz w:val="24"/>
                <w:highlight w:val="none"/>
              </w:rPr>
            </w:pPr>
            <w:r>
              <w:rPr>
                <w:rFonts w:hint="eastAsia" w:ascii="宋体" w:hAnsi="宋体" w:cs="宋体"/>
                <w:snapToGrid w:val="0"/>
                <w:color w:val="000000"/>
                <w:kern w:val="28"/>
                <w:sz w:val="24"/>
                <w:highlight w:val="none"/>
              </w:rPr>
              <w:t>中标服务费的交纳方式：以转帐或支票的形式支付，开户名：</w:t>
            </w:r>
            <w:r>
              <w:rPr>
                <w:rFonts w:hint="eastAsia" w:ascii="宋体" w:hAnsi="宋体" w:cs="宋体"/>
                <w:snapToGrid w:val="0"/>
                <w:color w:val="000000"/>
                <w:kern w:val="28"/>
                <w:sz w:val="24"/>
                <w:highlight w:val="none"/>
                <w:lang w:val="en-US" w:eastAsia="zh-CN"/>
              </w:rPr>
              <w:t>杭州恒正造价工程师事务所</w:t>
            </w:r>
            <w:r>
              <w:rPr>
                <w:rFonts w:hint="eastAsia" w:ascii="宋体" w:hAnsi="宋体" w:cs="宋体"/>
                <w:snapToGrid w:val="0"/>
                <w:color w:val="000000"/>
                <w:kern w:val="28"/>
                <w:sz w:val="24"/>
                <w:highlight w:val="none"/>
              </w:rPr>
              <w:t>；开户行名称：</w:t>
            </w:r>
            <w:r>
              <w:rPr>
                <w:rFonts w:hint="eastAsia" w:ascii="宋体" w:hAnsi="宋体" w:cs="宋体"/>
                <w:snapToGrid w:val="0"/>
                <w:color w:val="000000"/>
                <w:kern w:val="28"/>
                <w:sz w:val="24"/>
                <w:highlight w:val="none"/>
                <w:lang w:val="en-US" w:eastAsia="zh-CN"/>
              </w:rPr>
              <w:t>中信银行临平支行</w:t>
            </w:r>
          </w:p>
          <w:p>
            <w:pPr>
              <w:spacing w:line="360" w:lineRule="auto"/>
              <w:rPr>
                <w:rFonts w:hint="default" w:ascii="宋体" w:hAnsi="宋体" w:cs="宋体"/>
                <w:snapToGrid w:val="0"/>
                <w:color w:val="000000"/>
                <w:kern w:val="28"/>
                <w:sz w:val="24"/>
                <w:highlight w:val="none"/>
                <w:lang w:val="en-US" w:eastAsia="zh-CN"/>
              </w:rPr>
            </w:pPr>
            <w:r>
              <w:rPr>
                <w:rFonts w:hint="eastAsia" w:ascii="宋体" w:hAnsi="宋体" w:cs="宋体"/>
                <w:snapToGrid w:val="0"/>
                <w:color w:val="000000"/>
                <w:kern w:val="28"/>
                <w:sz w:val="24"/>
                <w:highlight w:val="none"/>
              </w:rPr>
              <w:t>帐号：</w:t>
            </w:r>
            <w:r>
              <w:rPr>
                <w:rFonts w:hint="eastAsia" w:ascii="宋体" w:hAnsi="宋体" w:cs="宋体"/>
                <w:snapToGrid w:val="0"/>
                <w:color w:val="000000"/>
                <w:kern w:val="28"/>
                <w:sz w:val="24"/>
                <w:highlight w:val="none"/>
                <w:lang w:val="en-US" w:eastAsia="zh-CN"/>
              </w:rPr>
              <w:t>7331410182600048646</w:t>
            </w:r>
          </w:p>
          <w:p>
            <w:pPr>
              <w:spacing w:line="360" w:lineRule="auto"/>
              <w:rPr>
                <w:rFonts w:hint="eastAsia" w:ascii="宋体" w:hAnsi="宋体" w:cs="宋体"/>
                <w:snapToGrid w:val="0"/>
                <w:color w:val="000000"/>
                <w:kern w:val="28"/>
                <w:sz w:val="24"/>
                <w:highlight w:val="none"/>
              </w:rPr>
            </w:pPr>
            <w:r>
              <w:rPr>
                <w:rFonts w:hint="eastAsia" w:ascii="宋体" w:hAnsi="宋体" w:cs="宋体"/>
                <w:snapToGrid w:val="0"/>
                <w:color w:val="000000"/>
                <w:kern w:val="28"/>
                <w:sz w:val="24"/>
                <w:highlight w:val="none"/>
              </w:rPr>
              <w:t>中标单位需在领取中标通知书时缴纳中标服务费，缴纳时注明招标编号。</w:t>
            </w:r>
          </w:p>
          <w:p>
            <w:pPr>
              <w:spacing w:line="360" w:lineRule="auto"/>
              <w:rPr>
                <w:rFonts w:hint="eastAsia"/>
              </w:rPr>
            </w:pPr>
            <w:r>
              <w:rPr>
                <w:rFonts w:hint="eastAsia" w:ascii="宋体" w:hAnsi="宋体" w:cs="宋体"/>
                <w:snapToGrid w:val="0"/>
                <w:color w:val="000000"/>
                <w:kern w:val="28"/>
                <w:sz w:val="24"/>
                <w:highlight w:val="none"/>
                <w:lang w:val="en-US" w:eastAsia="zh-CN"/>
              </w:rPr>
              <w:t>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gridAfter w:val="1"/>
          <w:wAfter w:w="681" w:type="dxa"/>
          <w:trHeight w:val="935" w:hRule="atLeast"/>
          <w:tblHeader/>
        </w:trPr>
        <w:tc>
          <w:tcPr>
            <w:tcW w:w="629" w:type="dxa"/>
            <w:tcBorders>
              <w:left w:val="single" w:color="000000" w:sz="8" w:space="0"/>
              <w:bottom w:val="single" w:color="auto" w:sz="4" w:space="0"/>
              <w:right w:val="single" w:color="000000" w:sz="2" w:space="0"/>
            </w:tcBorders>
            <w:vAlign w:val="top"/>
          </w:tcPr>
          <w:p>
            <w:pPr>
              <w:spacing w:line="360" w:lineRule="auto"/>
              <w:rPr>
                <w:rFonts w:hint="eastAsia" w:ascii="宋体" w:hAnsi="宋体" w:cs="宋体"/>
                <w:snapToGrid w:val="0"/>
                <w:color w:val="000000"/>
                <w:kern w:val="28"/>
                <w:sz w:val="24"/>
                <w:highlight w:val="none"/>
                <w:lang w:val="en-US" w:eastAsia="zh-CN"/>
              </w:rPr>
            </w:pPr>
          </w:p>
          <w:p>
            <w:pPr>
              <w:spacing w:line="360" w:lineRule="auto"/>
              <w:rPr>
                <w:rFonts w:hint="eastAsia" w:ascii="宋体" w:hAnsi="宋体" w:cs="宋体"/>
                <w:snapToGrid w:val="0"/>
                <w:color w:val="000000"/>
                <w:kern w:val="28"/>
                <w:sz w:val="24"/>
                <w:highlight w:val="none"/>
                <w:lang w:val="en-US" w:eastAsia="zh-CN"/>
              </w:rPr>
            </w:pPr>
          </w:p>
          <w:p>
            <w:pPr>
              <w:spacing w:line="360" w:lineRule="auto"/>
              <w:rPr>
                <w:rFonts w:hint="eastAsia" w:ascii="宋体" w:hAnsi="宋体" w:cs="宋体"/>
                <w:snapToGrid w:val="0"/>
                <w:color w:val="000000"/>
                <w:kern w:val="28"/>
                <w:sz w:val="24"/>
                <w:highlight w:val="none"/>
              </w:rPr>
            </w:pPr>
            <w:r>
              <w:rPr>
                <w:rFonts w:hint="eastAsia" w:ascii="宋体" w:hAnsi="宋体" w:cs="宋体"/>
                <w:snapToGrid w:val="0"/>
                <w:color w:val="000000"/>
                <w:kern w:val="28"/>
                <w:sz w:val="24"/>
                <w:highlight w:val="none"/>
                <w:lang w:val="en-US" w:eastAsia="zh-CN"/>
              </w:rPr>
              <w:t>14</w:t>
            </w:r>
          </w:p>
        </w:tc>
        <w:tc>
          <w:tcPr>
            <w:tcW w:w="1843" w:type="dxa"/>
            <w:tcBorders>
              <w:left w:val="single" w:color="000000" w:sz="2" w:space="0"/>
              <w:bottom w:val="single" w:color="000000" w:sz="8" w:space="0"/>
              <w:right w:val="single" w:color="000000" w:sz="8" w:space="0"/>
            </w:tcBorders>
            <w:vAlign w:val="center"/>
          </w:tcPr>
          <w:p>
            <w:pPr>
              <w:spacing w:line="360" w:lineRule="auto"/>
              <w:rPr>
                <w:rFonts w:hint="eastAsia" w:ascii="宋体" w:hAnsi="宋体" w:cs="宋体"/>
                <w:snapToGrid w:val="0"/>
                <w:color w:val="000000"/>
                <w:kern w:val="28"/>
                <w:sz w:val="24"/>
                <w:highlight w:val="none"/>
              </w:rPr>
            </w:pPr>
            <w:r>
              <w:rPr>
                <w:rFonts w:hint="eastAsia" w:ascii="宋体" w:hAnsi="宋体" w:cs="宋体"/>
                <w:snapToGrid w:val="0"/>
                <w:color w:val="000000"/>
                <w:kern w:val="28"/>
                <w:sz w:val="24"/>
                <w:highlight w:val="none"/>
              </w:rPr>
              <w:t>书面投标文件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snapToGrid w:val="0"/>
                <w:color w:val="000000"/>
                <w:kern w:val="28"/>
                <w:sz w:val="24"/>
                <w:highlight w:val="none"/>
              </w:rPr>
            </w:pPr>
            <w:r>
              <w:rPr>
                <w:rFonts w:hint="eastAsia" w:ascii="宋体" w:hAnsi="宋体" w:cs="宋体"/>
                <w:snapToGrid w:val="0"/>
                <w:color w:val="000000"/>
                <w:kern w:val="28"/>
                <w:sz w:val="24"/>
                <w:highlight w:val="none"/>
              </w:rPr>
              <w:t>中标单位需在</w:t>
            </w:r>
            <w:r>
              <w:rPr>
                <w:rFonts w:hint="eastAsia" w:ascii="宋体" w:hAnsi="宋体" w:cs="宋体"/>
                <w:snapToGrid w:val="0"/>
                <w:color w:val="000000"/>
                <w:kern w:val="28"/>
                <w:sz w:val="24"/>
                <w:highlight w:val="none"/>
                <w:lang w:val="en-US" w:eastAsia="zh-CN"/>
              </w:rPr>
              <w:t>中标公示结束之后三日内</w:t>
            </w:r>
            <w:r>
              <w:rPr>
                <w:rFonts w:hint="eastAsia" w:ascii="宋体" w:hAnsi="宋体" w:cs="宋体"/>
                <w:snapToGrid w:val="0"/>
                <w:color w:val="000000"/>
                <w:kern w:val="28"/>
                <w:sz w:val="24"/>
                <w:highlight w:val="none"/>
              </w:rPr>
              <w:t>，提供本项目纸质投标文件（资格文件”、“报价文件”和“商务技术文件”）</w:t>
            </w:r>
            <w:r>
              <w:rPr>
                <w:rFonts w:hint="eastAsia" w:ascii="宋体" w:hAnsi="宋体" w:cs="宋体"/>
                <w:snapToGrid w:val="0"/>
                <w:color w:val="000000"/>
                <w:kern w:val="28"/>
                <w:sz w:val="24"/>
                <w:highlight w:val="none"/>
                <w:lang w:val="en-US" w:eastAsia="zh-CN"/>
              </w:rPr>
              <w:t>五</w:t>
            </w:r>
            <w:r>
              <w:rPr>
                <w:rFonts w:hint="eastAsia" w:ascii="宋体" w:hAnsi="宋体" w:cs="宋体"/>
                <w:snapToGrid w:val="0"/>
                <w:color w:val="000000"/>
                <w:kern w:val="28"/>
                <w:sz w:val="24"/>
                <w:highlight w:val="none"/>
              </w:rPr>
              <w:t>份（正本一份，副本</w:t>
            </w:r>
            <w:r>
              <w:rPr>
                <w:rFonts w:hint="eastAsia" w:ascii="宋体" w:hAnsi="宋体" w:cs="宋体"/>
                <w:snapToGrid w:val="0"/>
                <w:color w:val="000000"/>
                <w:kern w:val="28"/>
                <w:sz w:val="24"/>
                <w:highlight w:val="none"/>
                <w:lang w:val="en-US" w:eastAsia="zh-CN"/>
              </w:rPr>
              <w:t>四</w:t>
            </w:r>
            <w:r>
              <w:rPr>
                <w:rFonts w:hint="eastAsia" w:ascii="宋体" w:hAnsi="宋体" w:cs="宋体"/>
                <w:snapToGrid w:val="0"/>
                <w:color w:val="000000"/>
                <w:kern w:val="28"/>
                <w:sz w:val="24"/>
                <w:highlight w:val="none"/>
              </w:rPr>
              <w:t>份）并提供电子投标文件与纸质投标文件内容一致承诺书</w:t>
            </w:r>
            <w:r>
              <w:rPr>
                <w:rFonts w:hint="eastAsia" w:ascii="宋体" w:hAnsi="宋体" w:cs="宋体"/>
                <w:snapToGrid w:val="0"/>
                <w:color w:val="000000"/>
                <w:kern w:val="28"/>
                <w:sz w:val="24"/>
                <w:highlight w:val="none"/>
                <w:lang w:val="en-US" w:eastAsia="zh-CN"/>
              </w:rPr>
              <w:t>三</w:t>
            </w:r>
            <w:r>
              <w:rPr>
                <w:rFonts w:hint="eastAsia" w:ascii="宋体" w:hAnsi="宋体" w:cs="宋体"/>
                <w:snapToGrid w:val="0"/>
                <w:color w:val="000000"/>
                <w:kern w:val="28"/>
                <w:sz w:val="24"/>
                <w:highlight w:val="none"/>
              </w:rPr>
              <w:t>份</w:t>
            </w:r>
            <w:r>
              <w:rPr>
                <w:rFonts w:hint="eastAsia" w:ascii="宋体" w:hAnsi="宋体" w:cs="宋体"/>
                <w:snapToGrid w:val="0"/>
                <w:color w:val="000000"/>
                <w:kern w:val="28"/>
                <w:sz w:val="24"/>
                <w:highlight w:val="none"/>
                <w:lang w:eastAsia="zh-CN"/>
              </w:rPr>
              <w:t>，</w:t>
            </w:r>
            <w:r>
              <w:rPr>
                <w:rFonts w:hint="eastAsia" w:ascii="宋体" w:hAnsi="宋体" w:cs="宋体"/>
                <w:snapToGrid w:val="0"/>
                <w:color w:val="000000"/>
                <w:kern w:val="28"/>
                <w:sz w:val="24"/>
                <w:highlight w:val="none"/>
                <w:lang w:val="en-US" w:eastAsia="zh-CN"/>
              </w:rPr>
              <w:t>送至代理公司</w:t>
            </w:r>
            <w:r>
              <w:rPr>
                <w:rFonts w:hint="eastAsia" w:ascii="宋体" w:hAnsi="宋体" w:cs="宋体"/>
                <w:snapToGrid w:val="0"/>
                <w:color w:val="000000"/>
                <w:kern w:val="28"/>
                <w:sz w:val="24"/>
                <w:highlight w:val="none"/>
              </w:rPr>
              <w:t>。</w:t>
            </w:r>
          </w:p>
        </w:tc>
      </w:tr>
    </w:tbl>
    <w:p>
      <w:pPr>
        <w:snapToGrid w:val="0"/>
        <w:spacing w:line="360" w:lineRule="auto"/>
        <w:jc w:val="center"/>
        <w:rPr>
          <w:rFonts w:ascii="宋体" w:hAnsi="宋体" w:cs="宋体"/>
          <w:b/>
          <w:color w:val="000000"/>
          <w:sz w:val="32"/>
          <w:szCs w:val="20"/>
          <w:highlight w:val="none"/>
        </w:rPr>
      </w:pPr>
    </w:p>
    <w:bookmarkEnd w:id="10"/>
    <w:p>
      <w:pPr>
        <w:adjustRightInd/>
        <w:spacing w:line="360" w:lineRule="auto"/>
        <w:ind w:firstLine="3845" w:firstLineChars="1197"/>
        <w:outlineLvl w:val="0"/>
        <w:rPr>
          <w:rFonts w:hint="eastAsia" w:ascii="宋体" w:hAnsi="宋体" w:cs="宋体"/>
          <w:b/>
          <w:color w:val="000000"/>
          <w:sz w:val="32"/>
          <w:szCs w:val="20"/>
          <w:highlight w:val="none"/>
        </w:rPr>
        <w:sectPr>
          <w:headerReference r:id="rId5" w:type="first"/>
          <w:footerReference r:id="rId8" w:type="first"/>
          <w:headerReference r:id="rId4" w:type="default"/>
          <w:footerReference r:id="rId6" w:type="default"/>
          <w:footerReference r:id="rId7" w:type="even"/>
          <w:pgSz w:w="11906" w:h="16838"/>
          <w:pgMar w:top="680" w:right="1418" w:bottom="468" w:left="1418" w:header="851" w:footer="992" w:gutter="0"/>
          <w:cols w:space="720" w:num="1"/>
          <w:titlePg/>
          <w:docGrid w:linePitch="312" w:charSpace="0"/>
        </w:sectPr>
      </w:pPr>
      <w:bookmarkStart w:id="11" w:name="第三部分"/>
      <w:bookmarkStart w:id="12" w:name="_Toc164416483"/>
    </w:p>
    <w:p>
      <w:pPr>
        <w:adjustRightInd/>
        <w:spacing w:line="360" w:lineRule="auto"/>
        <w:ind w:firstLine="3845" w:firstLineChars="1197"/>
        <w:outlineLvl w:val="0"/>
        <w:rPr>
          <w:rFonts w:ascii="宋体" w:hAnsi="宋体" w:cs="宋体"/>
          <w:b/>
          <w:color w:val="000000"/>
          <w:sz w:val="32"/>
          <w:szCs w:val="20"/>
          <w:highlight w:val="none"/>
        </w:rPr>
      </w:pPr>
      <w:r>
        <w:rPr>
          <w:rFonts w:hint="eastAsia" w:ascii="宋体" w:hAnsi="宋体" w:cs="宋体"/>
          <w:b/>
          <w:color w:val="000000"/>
          <w:sz w:val="32"/>
          <w:szCs w:val="20"/>
          <w:highlight w:val="none"/>
        </w:rPr>
        <w:t>一、总则</w:t>
      </w:r>
    </w:p>
    <w:p>
      <w:pPr>
        <w:snapToGrid w:val="0"/>
        <w:spacing w:line="360" w:lineRule="auto"/>
        <w:ind w:firstLine="361" w:firstLineChars="150"/>
        <w:jc w:val="left"/>
        <w:outlineLvl w:val="1"/>
        <w:rPr>
          <w:rFonts w:ascii="宋体" w:hAnsi="宋体" w:cs="宋体"/>
          <w:b/>
          <w:color w:val="000000"/>
          <w:sz w:val="24"/>
          <w:highlight w:val="none"/>
        </w:rPr>
      </w:pPr>
      <w:r>
        <w:rPr>
          <w:rFonts w:hint="eastAsia" w:ascii="宋体" w:hAnsi="宋体" w:cs="宋体"/>
          <w:b/>
          <w:color w:val="000000"/>
          <w:sz w:val="24"/>
          <w:highlight w:val="none"/>
        </w:rPr>
        <w:t>1. 适用范围</w:t>
      </w:r>
    </w:p>
    <w:p>
      <w:pPr>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000000"/>
          <w:sz w:val="24"/>
          <w:highlight w:val="none"/>
        </w:rPr>
      </w:pPr>
      <w:r>
        <w:rPr>
          <w:rFonts w:hint="eastAsia" w:ascii="宋体" w:hAnsi="宋体" w:cs="宋体"/>
          <w:b/>
          <w:color w:val="000000"/>
          <w:sz w:val="24"/>
          <w:highlight w:val="none"/>
        </w:rPr>
        <w:t xml:space="preserve">   2.定义</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2.1 “采购人”系指招标公告中载明的本项目的采购人。</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2.2 “</w:t>
      </w:r>
      <w:r>
        <w:rPr>
          <w:rFonts w:hint="eastAsia" w:ascii="宋体" w:hAnsi="宋体" w:cs="宋体"/>
          <w:color w:val="000000"/>
          <w:sz w:val="24"/>
          <w:highlight w:val="none"/>
          <w:lang w:eastAsia="zh-CN"/>
        </w:rPr>
        <w:t>采购代理机构</w:t>
      </w:r>
      <w:r>
        <w:rPr>
          <w:rFonts w:hint="eastAsia" w:ascii="宋体" w:hAnsi="宋体" w:cs="宋体"/>
          <w:color w:val="000000"/>
          <w:sz w:val="24"/>
          <w:highlight w:val="none"/>
        </w:rPr>
        <w:t>”系指招标公告中载明的本项目的</w:t>
      </w:r>
      <w:r>
        <w:rPr>
          <w:rFonts w:hint="eastAsia" w:ascii="宋体" w:hAnsi="宋体" w:cs="宋体"/>
          <w:color w:val="000000"/>
          <w:sz w:val="24"/>
          <w:highlight w:val="none"/>
          <w:lang w:eastAsia="zh-CN"/>
        </w:rPr>
        <w:t>采购代理机构</w:t>
      </w:r>
      <w:r>
        <w:rPr>
          <w:rFonts w:hint="eastAsia" w:ascii="宋体" w:hAnsi="宋体" w:cs="宋体"/>
          <w:color w:val="000000"/>
          <w:sz w:val="24"/>
          <w:highlight w:val="none"/>
        </w:rPr>
        <w:t>。</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2.3 “投标人”系指是指响应招标、参加投标竞争的法人、其他组织或者自然人。</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2.6“电子交易平台”</w:t>
      </w:r>
      <w:r>
        <w:rPr>
          <w:rFonts w:hint="eastAsia" w:ascii="宋体" w:hAnsi="宋体" w:cs="宋体"/>
          <w:color w:val="000000"/>
          <w:sz w:val="24"/>
          <w:highlight w:val="none"/>
          <w:lang w:val="en-US" w:eastAsia="zh-CN"/>
        </w:rPr>
        <w:t>系</w:t>
      </w:r>
      <w:r>
        <w:rPr>
          <w:rFonts w:hint="eastAsia" w:ascii="宋体" w:hAnsi="宋体" w:cs="宋体"/>
          <w:color w:val="000000"/>
          <w:sz w:val="24"/>
          <w:highlight w:val="none"/>
        </w:rPr>
        <w:t>指本项目政府采购活动所依托的政府采购云平台（https://www.zcygov.cn/）。</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2.7 “▲” 系指实质性要求条款，“</w:t>
      </w:r>
      <w:r>
        <w:rPr>
          <w:rFonts w:ascii="Wingdings" w:hAnsi="Wingdings" w:cs="宋体"/>
          <w:color w:val="000000"/>
          <w:kern w:val="0"/>
          <w:sz w:val="24"/>
          <w:highlight w:val="none"/>
        </w:rPr>
        <w:t></w:t>
      </w:r>
      <w:r>
        <w:rPr>
          <w:rFonts w:hint="eastAsia" w:ascii="宋体" w:hAnsi="宋体" w:cs="宋体"/>
          <w:color w:val="000000"/>
          <w:sz w:val="24"/>
          <w:highlight w:val="none"/>
        </w:rPr>
        <w:t>” 系指适用本项目的要求，“</w:t>
      </w:r>
      <w:r>
        <w:rPr>
          <w:rFonts w:hint="eastAsia" w:ascii="宋体" w:hAnsi="宋体" w:cs="宋体"/>
          <w:color w:val="000000"/>
          <w:kern w:val="0"/>
          <w:sz w:val="24"/>
          <w:highlight w:val="none"/>
        </w:rPr>
        <w:t>☐</w:t>
      </w:r>
      <w:r>
        <w:rPr>
          <w:rFonts w:hint="eastAsia" w:ascii="宋体" w:hAnsi="宋体" w:cs="宋体"/>
          <w:color w:val="000000"/>
          <w:sz w:val="24"/>
          <w:highlight w:val="none"/>
        </w:rPr>
        <w:t>” 系指不适用本项目的要求。</w:t>
      </w:r>
    </w:p>
    <w:p>
      <w:pPr>
        <w:spacing w:line="360" w:lineRule="auto"/>
        <w:ind w:firstLine="241" w:firstLineChars="100"/>
        <w:rPr>
          <w:rFonts w:ascii="宋体" w:hAnsi="宋体" w:cs="宋体"/>
          <w:b/>
          <w:color w:val="000000"/>
          <w:sz w:val="24"/>
          <w:highlight w:val="none"/>
        </w:rPr>
      </w:pPr>
      <w:r>
        <w:rPr>
          <w:rFonts w:hint="eastAsia" w:ascii="宋体" w:hAnsi="宋体" w:cs="宋体"/>
          <w:b/>
          <w:color w:val="000000"/>
          <w:sz w:val="24"/>
          <w:highlight w:val="none"/>
        </w:rPr>
        <w:t>3.</w:t>
      </w:r>
      <w:r>
        <w:rPr>
          <w:rFonts w:hint="eastAsia" w:ascii="宋体" w:hAnsi="宋体" w:cs="宋体"/>
          <w:color w:val="000000"/>
          <w:highlight w:val="none"/>
        </w:rPr>
        <w:t xml:space="preserve"> </w:t>
      </w:r>
      <w:r>
        <w:rPr>
          <w:rFonts w:hint="eastAsia" w:ascii="宋体" w:hAnsi="宋体" w:cs="宋体"/>
          <w:b/>
          <w:color w:val="000000"/>
          <w:sz w:val="24"/>
          <w:highlight w:val="none"/>
        </w:rPr>
        <w:t>采购项目需要落实的政府采购政策</w:t>
      </w:r>
    </w:p>
    <w:p>
      <w:pPr>
        <w:spacing w:line="360" w:lineRule="auto"/>
        <w:ind w:firstLine="240" w:firstLineChars="100"/>
        <w:rPr>
          <w:rFonts w:ascii="宋体" w:hAnsi="宋体" w:cs="宋体"/>
          <w:color w:val="000000"/>
          <w:sz w:val="24"/>
          <w:highlight w:val="none"/>
        </w:rPr>
      </w:pPr>
      <w:r>
        <w:rPr>
          <w:rFonts w:hint="eastAsia" w:ascii="宋体" w:hAnsi="宋体" w:cs="宋体"/>
          <w:color w:val="000000"/>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000000"/>
          <w:sz w:val="24"/>
          <w:highlight w:val="none"/>
          <w:lang w:eastAsia="zh-CN"/>
        </w:rPr>
        <w:t>采购代理机构</w:t>
      </w:r>
      <w:r>
        <w:rPr>
          <w:rFonts w:hint="eastAsia" w:ascii="宋体" w:hAnsi="宋体" w:cs="宋体"/>
          <w:color w:val="000000"/>
          <w:sz w:val="24"/>
          <w:highlight w:val="none"/>
        </w:rPr>
        <w:t>不会对其加以限制，仍将按照公平竞争原则实施采购）；</w:t>
      </w:r>
      <w:r>
        <w:rPr>
          <w:rFonts w:hint="eastAsia" w:ascii="宋体" w:hAnsi="宋体" w:cs="宋体"/>
          <w:color w:val="000000"/>
          <w:kern w:val="0"/>
          <w:sz w:val="24"/>
          <w:highlight w:val="none"/>
        </w:rPr>
        <w:t>优先采购向我国企业转让技术、与我国企业签订消化吸收再创新方案的供应商的进口产品</w:t>
      </w:r>
      <w:r>
        <w:rPr>
          <w:rFonts w:hint="eastAsia" w:ascii="宋体" w:hAnsi="宋体" w:cs="宋体"/>
          <w:color w:val="000000"/>
          <w:sz w:val="24"/>
          <w:highlight w:val="none"/>
        </w:rPr>
        <w:t>。</w:t>
      </w:r>
    </w:p>
    <w:p>
      <w:pPr>
        <w:spacing w:line="360" w:lineRule="auto"/>
        <w:ind w:firstLine="240" w:firstLineChars="100"/>
        <w:rPr>
          <w:rFonts w:ascii="宋体" w:hAnsi="宋体" w:cs="宋体"/>
          <w:color w:val="000000"/>
          <w:sz w:val="24"/>
          <w:highlight w:val="none"/>
        </w:rPr>
      </w:pPr>
      <w:r>
        <w:rPr>
          <w:rFonts w:hint="eastAsia" w:ascii="宋体" w:hAnsi="宋体" w:cs="宋体"/>
          <w:color w:val="000000"/>
          <w:sz w:val="24"/>
          <w:highlight w:val="none"/>
        </w:rPr>
        <w:t>3.2 支持绿色发展</w:t>
      </w:r>
    </w:p>
    <w:p>
      <w:pPr>
        <w:spacing w:line="360" w:lineRule="auto"/>
        <w:ind w:firstLine="480" w:firstLineChars="200"/>
        <w:rPr>
          <w:rFonts w:ascii="宋体" w:hAnsi="宋体" w:cs="宋体"/>
          <w:b/>
          <w:color w:val="000000"/>
          <w:sz w:val="24"/>
          <w:highlight w:val="none"/>
        </w:rPr>
      </w:pPr>
      <w:r>
        <w:rPr>
          <w:rFonts w:hint="eastAsia" w:ascii="宋体" w:hAnsi="宋体" w:cs="宋体"/>
          <w:color w:val="000000"/>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 xml:space="preserve">3.2.4 </w:t>
      </w:r>
      <w:r>
        <w:rPr>
          <w:rFonts w:hint="eastAsia" w:ascii="宋体" w:hAnsi="宋体" w:cs="宋体"/>
          <w:color w:val="000000"/>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000000"/>
          <w:sz w:val="24"/>
          <w:highlight w:val="none"/>
        </w:rPr>
      </w:pPr>
      <w:r>
        <w:rPr>
          <w:rFonts w:hint="eastAsia" w:ascii="宋体" w:hAnsi="宋体" w:cs="宋体"/>
          <w:color w:val="000000"/>
          <w:sz w:val="24"/>
          <w:highlight w:val="none"/>
        </w:rPr>
        <w:t>3.3支持中小企业发展</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000000"/>
          <w:kern w:val="0"/>
          <w:sz w:val="24"/>
          <w:highlight w:val="none"/>
        </w:rPr>
      </w:pPr>
      <w:r>
        <w:rPr>
          <w:rFonts w:ascii="宋体" w:hAnsi="宋体" w:cs="宋体"/>
          <w:bCs/>
          <w:color w:val="000000"/>
          <w:sz w:val="24"/>
          <w:highlight w:val="none"/>
        </w:rPr>
        <w:t>3.3.2</w:t>
      </w:r>
      <w:r>
        <w:rPr>
          <w:rFonts w:hint="eastAsia" w:ascii="宋体" w:hAnsi="宋体" w:cs="宋体"/>
          <w:color w:val="000000"/>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000000"/>
          <w:sz w:val="24"/>
          <w:highlight w:val="none"/>
        </w:rPr>
        <w:t>20</w:t>
      </w:r>
      <w:r>
        <w:rPr>
          <w:rFonts w:hint="eastAsia" w:ascii="宋体" w:hAnsi="宋体" w:cs="宋体"/>
          <w:color w:val="000000"/>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000000"/>
          <w:sz w:val="24"/>
          <w:highlight w:val="none"/>
        </w:rPr>
        <w:t>6</w:t>
      </w:r>
      <w:r>
        <w:rPr>
          <w:rFonts w:hint="eastAsia" w:ascii="宋体" w:hAnsi="宋体" w:cs="宋体"/>
          <w:color w:val="000000"/>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000000"/>
          <w:sz w:val="24"/>
          <w:highlight w:val="none"/>
        </w:rPr>
      </w:pPr>
      <w:r>
        <w:rPr>
          <w:rFonts w:hint="eastAsia" w:ascii="宋体" w:hAnsi="宋体" w:cs="宋体"/>
          <w:color w:val="000000"/>
          <w:sz w:val="24"/>
          <w:highlight w:val="none"/>
        </w:rPr>
        <w:t>3.4</w:t>
      </w:r>
      <w:r>
        <w:rPr>
          <w:rFonts w:hint="eastAsia" w:ascii="宋体" w:hAnsi="宋体" w:cs="宋体"/>
          <w:bCs/>
          <w:color w:val="000000"/>
          <w:sz w:val="24"/>
          <w:highlight w:val="none"/>
        </w:rPr>
        <w:t>支持创新发展</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3.4.1 采购人优先采购被认定为首台套产品和“制造精品”的自主创新产品。</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3.4.2首台套产品被纳入《首台套产品推广应用指导目录》之日起</w:t>
      </w:r>
      <w:r>
        <w:rPr>
          <w:rFonts w:ascii="宋体" w:hAnsi="宋体" w:cs="宋体"/>
          <w:color w:val="000000"/>
          <w:sz w:val="24"/>
          <w:highlight w:val="none"/>
        </w:rPr>
        <w:t>3</w:t>
      </w:r>
      <w:r>
        <w:rPr>
          <w:rFonts w:hint="eastAsia" w:ascii="宋体" w:hAnsi="宋体" w:cs="宋体"/>
          <w:color w:val="000000"/>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000000"/>
          <w:sz w:val="24"/>
          <w:highlight w:val="none"/>
        </w:rPr>
      </w:pPr>
      <w:r>
        <w:rPr>
          <w:rFonts w:hint="eastAsia" w:ascii="宋体" w:hAnsi="宋体" w:cs="宋体"/>
          <w:color w:val="000000"/>
          <w:sz w:val="24"/>
          <w:highlight w:val="none"/>
        </w:rPr>
        <w:t>3.5平等对待内外资企业和符合条件的破产重整企业</w:t>
      </w:r>
    </w:p>
    <w:p>
      <w:pPr>
        <w:spacing w:line="360" w:lineRule="auto"/>
        <w:ind w:firstLine="240" w:firstLineChars="100"/>
        <w:rPr>
          <w:rFonts w:ascii="宋体" w:hAnsi="宋体" w:cs="宋体"/>
          <w:b/>
          <w:color w:val="000000"/>
          <w:sz w:val="24"/>
          <w:highlight w:val="none"/>
        </w:rPr>
      </w:pPr>
      <w:r>
        <w:rPr>
          <w:rFonts w:hint="eastAsia" w:ascii="宋体" w:hAnsi="宋体" w:cs="宋体"/>
          <w:color w:val="000000"/>
          <w:sz w:val="24"/>
          <w:highlight w:val="none"/>
        </w:rPr>
        <w:t>平等对待内外资企业和符合条件的破产重整企业，切实保障企业公平竞争，平等维护企业的合法利益。</w:t>
      </w:r>
      <w:r>
        <w:rPr>
          <w:rFonts w:hint="eastAsia" w:ascii="宋体" w:hAnsi="宋体" w:cs="宋体"/>
          <w:color w:val="000000"/>
          <w:sz w:val="24"/>
          <w:highlight w:val="none"/>
        </w:rPr>
        <w:cr/>
      </w:r>
      <w:r>
        <w:rPr>
          <w:rFonts w:hint="eastAsia" w:ascii="宋体" w:hAnsi="宋体" w:cs="宋体"/>
          <w:b/>
          <w:color w:val="000000"/>
          <w:sz w:val="24"/>
          <w:highlight w:val="none"/>
        </w:rPr>
        <w:t>4. 询问、质疑、投诉</w:t>
      </w:r>
    </w:p>
    <w:p>
      <w:pPr>
        <w:autoSpaceDE w:val="0"/>
        <w:autoSpaceDN w:val="0"/>
        <w:spacing w:line="360" w:lineRule="auto"/>
        <w:ind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4.3供应商质疑</w:t>
      </w:r>
    </w:p>
    <w:p>
      <w:pPr>
        <w:pStyle w:val="35"/>
        <w:wordWrap/>
        <w:adjustRightInd w:val="0"/>
        <w:spacing w:line="360" w:lineRule="auto"/>
        <w:ind w:right="0" w:firstLine="480" w:firstLineChars="200"/>
        <w:jc w:val="both"/>
        <w:textAlignment w:val="auto"/>
        <w:outlineLvl w:val="9"/>
        <w:rPr>
          <w:rFonts w:hAnsi="宋体" w:cs="宋体"/>
          <w:color w:val="000000"/>
          <w:sz w:val="24"/>
          <w:highlight w:val="none"/>
        </w:rPr>
      </w:pPr>
      <w:r>
        <w:rPr>
          <w:rFonts w:hint="eastAsia" w:hAnsi="宋体" w:cs="宋体"/>
          <w:color w:val="000000"/>
          <w:kern w:val="0"/>
          <w:sz w:val="24"/>
          <w:highlight w:val="none"/>
          <w:lang w:val="zh-CN"/>
        </w:rPr>
        <w:t>4.3</w:t>
      </w:r>
      <w:r>
        <w:rPr>
          <w:rFonts w:hint="eastAsia" w:hAnsi="宋体" w:cs="宋体"/>
          <w:color w:val="000000"/>
          <w:sz w:val="24"/>
          <w:highlight w:val="none"/>
        </w:rPr>
        <w:t>.1提出质疑的供应商应当是参与所质疑项目采购活动的供应商。潜在供应商已依法获取其可质疑的招标文件的，可以对该文件提出质疑。</w:t>
      </w:r>
    </w:p>
    <w:p>
      <w:pPr>
        <w:pStyle w:val="35"/>
        <w:wordWrap/>
        <w:adjustRightInd w:val="0"/>
        <w:spacing w:line="360" w:lineRule="auto"/>
        <w:ind w:right="0" w:firstLine="480" w:firstLineChars="200"/>
        <w:jc w:val="both"/>
        <w:textAlignment w:val="auto"/>
        <w:outlineLvl w:val="9"/>
        <w:rPr>
          <w:rFonts w:hAnsi="宋体" w:cs="宋体"/>
          <w:color w:val="000000"/>
          <w:sz w:val="24"/>
          <w:highlight w:val="none"/>
        </w:rPr>
      </w:pPr>
      <w:r>
        <w:rPr>
          <w:rFonts w:hint="eastAsia" w:hAnsi="宋体" w:cs="宋体"/>
          <w:color w:val="000000"/>
          <w:kern w:val="0"/>
          <w:sz w:val="24"/>
          <w:highlight w:val="none"/>
          <w:lang w:val="zh-CN"/>
        </w:rPr>
        <w:t>4.3</w:t>
      </w:r>
      <w:r>
        <w:rPr>
          <w:rFonts w:hint="eastAsia" w:hAnsi="宋体" w:cs="宋体"/>
          <w:color w:val="000000"/>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000000"/>
          <w:sz w:val="24"/>
          <w:highlight w:val="none"/>
          <w:lang w:eastAsia="zh-CN"/>
        </w:rPr>
        <w:t>采购代理机构</w:t>
      </w:r>
      <w:r>
        <w:rPr>
          <w:rFonts w:hint="eastAsia" w:hAnsi="宋体" w:cs="宋体"/>
          <w:color w:val="000000"/>
          <w:sz w:val="24"/>
          <w:highlight w:val="none"/>
        </w:rPr>
        <w:t>提出质疑，否则，采购人或者</w:t>
      </w:r>
      <w:r>
        <w:rPr>
          <w:rFonts w:hint="eastAsia" w:hAnsi="宋体" w:cs="宋体"/>
          <w:color w:val="000000"/>
          <w:sz w:val="24"/>
          <w:highlight w:val="none"/>
          <w:lang w:eastAsia="zh-CN"/>
        </w:rPr>
        <w:t>采购代理机构</w:t>
      </w:r>
      <w:r>
        <w:rPr>
          <w:rFonts w:hint="eastAsia" w:hAnsi="宋体" w:cs="宋体"/>
          <w:color w:val="000000"/>
          <w:sz w:val="24"/>
          <w:highlight w:val="none"/>
        </w:rPr>
        <w:t>不予受理：</w:t>
      </w:r>
    </w:p>
    <w:p>
      <w:pPr>
        <w:pStyle w:val="5"/>
        <w:wordWrap/>
        <w:adjustRightInd w:val="0"/>
        <w:spacing w:beforeAutospacing="0" w:line="360" w:lineRule="auto"/>
        <w:ind w:right="0" w:firstLine="480" w:firstLineChars="200"/>
        <w:jc w:val="both"/>
        <w:textAlignment w:val="auto"/>
        <w:outlineLvl w:val="9"/>
        <w:rPr>
          <w:rFonts w:hAnsi="宋体" w:cs="宋体"/>
          <w:color w:val="000000"/>
          <w:kern w:val="2"/>
          <w:sz w:val="24"/>
          <w:highlight w:val="none"/>
        </w:rPr>
      </w:pPr>
      <w:r>
        <w:rPr>
          <w:rFonts w:hint="eastAsia" w:hAnsi="宋体" w:cs="宋体"/>
          <w:color w:val="000000"/>
          <w:kern w:val="2"/>
          <w:sz w:val="24"/>
          <w:highlight w:val="none"/>
        </w:rPr>
        <w:t>4.3.2.1对招标文件提出质疑的，质疑期限为供应商获得招标文件之日或者招标文件公告期限届满之日起计算。</w:t>
      </w:r>
    </w:p>
    <w:p>
      <w:pPr>
        <w:pStyle w:val="35"/>
        <w:wordWrap/>
        <w:adjustRightInd w:val="0"/>
        <w:spacing w:beforeAutospacing="0" w:line="360" w:lineRule="auto"/>
        <w:ind w:left="479" w:leftChars="228" w:right="0"/>
        <w:jc w:val="both"/>
        <w:textAlignment w:val="auto"/>
        <w:outlineLvl w:val="9"/>
        <w:rPr>
          <w:rFonts w:hAnsi="宋体" w:cs="宋体"/>
          <w:color w:val="000000"/>
          <w:sz w:val="24"/>
          <w:highlight w:val="none"/>
        </w:rPr>
      </w:pPr>
      <w:r>
        <w:rPr>
          <w:rFonts w:hint="eastAsia" w:hAnsi="宋体" w:cs="宋体"/>
          <w:color w:val="000000"/>
          <w:sz w:val="24"/>
          <w:highlight w:val="none"/>
        </w:rPr>
        <w:t>4.3.2.2对采购过程提出质疑的，质疑期限为各采购程序环节结束之日起计算。4.3.2.3对采购结果提出质疑的，质疑期限自采购结果公告期限届满之日起计算。</w:t>
      </w:r>
    </w:p>
    <w:p>
      <w:pPr>
        <w:pStyle w:val="35"/>
        <w:wordWrap/>
        <w:adjustRightInd w:val="0"/>
        <w:spacing w:beforeAutospacing="0" w:line="360" w:lineRule="auto"/>
        <w:ind w:right="0" w:firstLine="480" w:firstLineChars="200"/>
        <w:jc w:val="both"/>
        <w:textAlignment w:val="auto"/>
        <w:outlineLvl w:val="9"/>
        <w:rPr>
          <w:rFonts w:hAnsi="宋体" w:cs="宋体"/>
          <w:color w:val="000000"/>
          <w:kern w:val="0"/>
          <w:sz w:val="24"/>
          <w:highlight w:val="none"/>
          <w:lang w:val="zh-CN"/>
        </w:rPr>
      </w:pPr>
      <w:r>
        <w:rPr>
          <w:rFonts w:hint="eastAsia" w:hAnsi="宋体" w:cs="宋体"/>
          <w:color w:val="000000"/>
          <w:kern w:val="0"/>
          <w:sz w:val="24"/>
          <w:highlight w:val="none"/>
          <w:lang w:val="zh-CN"/>
        </w:rPr>
        <w:t>4.3.3</w:t>
      </w:r>
      <w:r>
        <w:rPr>
          <w:rFonts w:hint="eastAsia" w:hAnsi="宋体" w:cs="宋体"/>
          <w:color w:val="000000"/>
          <w:sz w:val="24"/>
          <w:highlight w:val="none"/>
        </w:rPr>
        <w:t>供应商提出质疑应当提交质疑函和必要的证明材料。质疑函应当包括下列内容：</w:t>
      </w:r>
    </w:p>
    <w:p>
      <w:pPr>
        <w:pStyle w:val="35"/>
        <w:wordWrap/>
        <w:spacing w:beforeAutospacing="0" w:line="360" w:lineRule="auto"/>
        <w:ind w:right="0" w:firstLine="480" w:firstLineChars="200"/>
        <w:textAlignment w:val="auto"/>
        <w:outlineLvl w:val="9"/>
        <w:rPr>
          <w:rFonts w:hAnsi="宋体" w:cs="宋体"/>
          <w:color w:val="000000"/>
          <w:kern w:val="0"/>
          <w:sz w:val="24"/>
          <w:highlight w:val="none"/>
          <w:lang w:val="zh-CN"/>
        </w:rPr>
      </w:pPr>
      <w:r>
        <w:rPr>
          <w:rFonts w:hint="eastAsia" w:hAnsi="宋体" w:cs="宋体"/>
          <w:color w:val="000000"/>
          <w:kern w:val="0"/>
          <w:sz w:val="24"/>
          <w:highlight w:val="none"/>
          <w:lang w:val="zh-CN"/>
        </w:rPr>
        <w:t>　　4.3.3.1供应商的姓名或者名称、地址、邮编、联系人及联系电话；</w:t>
      </w:r>
    </w:p>
    <w:p>
      <w:pPr>
        <w:pStyle w:val="35"/>
        <w:wordWrap/>
        <w:spacing w:beforeAutospacing="0" w:line="360" w:lineRule="auto"/>
        <w:ind w:right="0" w:firstLine="480" w:firstLineChars="200"/>
        <w:textAlignment w:val="auto"/>
        <w:outlineLvl w:val="9"/>
        <w:rPr>
          <w:rFonts w:hAnsi="宋体" w:cs="宋体"/>
          <w:color w:val="000000"/>
          <w:kern w:val="0"/>
          <w:sz w:val="24"/>
          <w:highlight w:val="none"/>
          <w:lang w:val="zh-CN"/>
        </w:rPr>
      </w:pPr>
      <w:r>
        <w:rPr>
          <w:rFonts w:hint="eastAsia" w:hAnsi="宋体" w:cs="宋体"/>
          <w:color w:val="000000"/>
          <w:kern w:val="0"/>
          <w:sz w:val="24"/>
          <w:highlight w:val="none"/>
          <w:lang w:val="zh-CN"/>
        </w:rPr>
        <w:t>　　4.3.3.2质疑项目的名称、编号；</w:t>
      </w:r>
    </w:p>
    <w:p>
      <w:pPr>
        <w:pStyle w:val="35"/>
        <w:wordWrap/>
        <w:spacing w:beforeAutospacing="0" w:line="360" w:lineRule="auto"/>
        <w:ind w:right="0" w:firstLine="480" w:firstLineChars="200"/>
        <w:textAlignment w:val="auto"/>
        <w:outlineLvl w:val="9"/>
        <w:rPr>
          <w:rFonts w:hAnsi="宋体" w:cs="宋体"/>
          <w:color w:val="000000"/>
          <w:kern w:val="0"/>
          <w:sz w:val="24"/>
          <w:highlight w:val="none"/>
          <w:lang w:val="zh-CN"/>
        </w:rPr>
      </w:pPr>
      <w:r>
        <w:rPr>
          <w:rFonts w:hint="eastAsia" w:hAnsi="宋体" w:cs="宋体"/>
          <w:color w:val="000000"/>
          <w:kern w:val="0"/>
          <w:sz w:val="24"/>
          <w:highlight w:val="none"/>
          <w:lang w:val="zh-CN"/>
        </w:rPr>
        <w:t>　　4.3.3.3具体、明确的质疑事项和与质疑事项相关的请求；</w:t>
      </w:r>
    </w:p>
    <w:p>
      <w:pPr>
        <w:pStyle w:val="35"/>
        <w:wordWrap/>
        <w:spacing w:beforeAutospacing="0" w:line="360" w:lineRule="auto"/>
        <w:ind w:right="0" w:firstLine="480" w:firstLineChars="200"/>
        <w:textAlignment w:val="auto"/>
        <w:outlineLvl w:val="9"/>
        <w:rPr>
          <w:rFonts w:hAnsi="宋体" w:cs="宋体"/>
          <w:color w:val="000000"/>
          <w:kern w:val="0"/>
          <w:sz w:val="24"/>
          <w:highlight w:val="none"/>
          <w:lang w:val="zh-CN"/>
        </w:rPr>
      </w:pPr>
      <w:r>
        <w:rPr>
          <w:rFonts w:hint="eastAsia" w:hAnsi="宋体" w:cs="宋体"/>
          <w:color w:val="000000"/>
          <w:kern w:val="0"/>
          <w:sz w:val="24"/>
          <w:highlight w:val="none"/>
          <w:lang w:val="zh-CN"/>
        </w:rPr>
        <w:t>　　4.3.3.4事实依据；</w:t>
      </w:r>
    </w:p>
    <w:p>
      <w:pPr>
        <w:pStyle w:val="35"/>
        <w:wordWrap/>
        <w:spacing w:beforeAutospacing="0" w:line="360" w:lineRule="auto"/>
        <w:ind w:right="0" w:firstLine="480" w:firstLineChars="200"/>
        <w:textAlignment w:val="auto"/>
        <w:outlineLvl w:val="9"/>
        <w:rPr>
          <w:rFonts w:hAnsi="宋体" w:cs="宋体"/>
          <w:color w:val="000000"/>
          <w:kern w:val="0"/>
          <w:sz w:val="24"/>
          <w:highlight w:val="none"/>
          <w:lang w:val="zh-CN"/>
        </w:rPr>
      </w:pPr>
      <w:r>
        <w:rPr>
          <w:rFonts w:hint="eastAsia" w:hAnsi="宋体" w:cs="宋体"/>
          <w:color w:val="000000"/>
          <w:kern w:val="0"/>
          <w:sz w:val="24"/>
          <w:highlight w:val="none"/>
          <w:lang w:val="zh-CN"/>
        </w:rPr>
        <w:t>　　4.3.3.5必要的法律依据；</w:t>
      </w:r>
    </w:p>
    <w:p>
      <w:pPr>
        <w:pStyle w:val="35"/>
        <w:wordWrap/>
        <w:spacing w:beforeAutospacing="0" w:line="360" w:lineRule="auto"/>
        <w:ind w:right="0" w:firstLine="960" w:firstLineChars="400"/>
        <w:textAlignment w:val="auto"/>
        <w:outlineLvl w:val="9"/>
        <w:rPr>
          <w:rFonts w:hAnsi="宋体" w:cs="宋体"/>
          <w:color w:val="000000"/>
          <w:kern w:val="0"/>
          <w:sz w:val="24"/>
          <w:highlight w:val="none"/>
          <w:lang w:val="zh-CN"/>
        </w:rPr>
      </w:pPr>
      <w:r>
        <w:rPr>
          <w:rFonts w:hint="eastAsia" w:hAnsi="宋体" w:cs="宋体"/>
          <w:color w:val="000000"/>
          <w:kern w:val="0"/>
          <w:sz w:val="24"/>
          <w:highlight w:val="none"/>
          <w:lang w:val="zh-CN"/>
        </w:rPr>
        <w:t>4.3.3.6提出质疑的日期。</w:t>
      </w:r>
    </w:p>
    <w:p>
      <w:pPr>
        <w:pStyle w:val="243"/>
        <w:shd w:val="clear" w:color="auto" w:fill="FFFFFF"/>
        <w:wordWrap/>
        <w:snapToGrid w:val="0"/>
        <w:spacing w:before="0" w:beforeAutospacing="0" w:after="0" w:afterAutospacing="0" w:line="360" w:lineRule="auto"/>
        <w:ind w:right="0" w:firstLine="400"/>
        <w:contextualSpacing/>
        <w:textAlignment w:val="auto"/>
        <w:outlineLvl w:val="9"/>
        <w:rPr>
          <w:color w:val="000000"/>
          <w:highlight w:val="none"/>
        </w:rPr>
      </w:pPr>
      <w:r>
        <w:rPr>
          <w:rFonts w:hint="eastAsia"/>
          <w:color w:val="000000"/>
          <w:highlight w:val="none"/>
        </w:rPr>
        <w:t>供应商提交的质疑函需一式三份。供应商为自然人的，应当由本人签字；供应商为法人或者其他组织的，应当由法定代表人、主要负责人，或者其授权代表签字或者盖章，并加盖公章。</w:t>
      </w:r>
    </w:p>
    <w:p>
      <w:pPr>
        <w:pStyle w:val="243"/>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质疑函范本及制作说明详见附件2。</w:t>
      </w:r>
    </w:p>
    <w:p>
      <w:pPr>
        <w:pStyle w:val="243"/>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4.3.4对同一采购程序环节的质疑，供应商须在法定质疑期内一次性提出。</w:t>
      </w:r>
    </w:p>
    <w:p>
      <w:pPr>
        <w:pStyle w:val="243"/>
        <w:shd w:val="clear" w:color="auto" w:fill="FFFFFF"/>
        <w:snapToGrid w:val="0"/>
        <w:spacing w:after="240" w:afterAutospacing="0" w:line="360" w:lineRule="auto"/>
        <w:ind w:firstLine="400"/>
        <w:contextualSpacing/>
        <w:rPr>
          <w:color w:val="000000"/>
          <w:highlight w:val="none"/>
        </w:rPr>
      </w:pPr>
      <w:r>
        <w:rPr>
          <w:rFonts w:hint="eastAsia"/>
          <w:color w:val="000000"/>
          <w:highlight w:val="none"/>
          <w:lang w:val="zh-CN"/>
        </w:rPr>
        <w:t>4.3</w:t>
      </w:r>
      <w:r>
        <w:rPr>
          <w:rFonts w:hint="eastAsia"/>
          <w:color w:val="000000"/>
          <w:highlight w:val="none"/>
        </w:rPr>
        <w:t>.5采购人或者</w:t>
      </w:r>
      <w:r>
        <w:rPr>
          <w:rFonts w:hint="eastAsia"/>
          <w:color w:val="000000"/>
          <w:highlight w:val="none"/>
          <w:lang w:eastAsia="zh-CN"/>
        </w:rPr>
        <w:t>采购代理机构</w:t>
      </w:r>
      <w:r>
        <w:rPr>
          <w:rFonts w:hint="eastAsia"/>
          <w:color w:val="000000"/>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000000"/>
          <w:highlight w:val="none"/>
          <w:lang w:eastAsia="zh-CN"/>
        </w:rPr>
        <w:t>采购代理机构</w:t>
      </w:r>
      <w:r>
        <w:rPr>
          <w:rFonts w:hint="eastAsia"/>
          <w:color w:val="000000"/>
          <w:highlight w:val="none"/>
        </w:rPr>
        <w:t>在质疑回复后5个工作日内，在浙江政府采购网的“其他公告”栏目公开质疑答复，答复内容应当完整。质疑函作为附件上传。</w:t>
      </w:r>
    </w:p>
    <w:p>
      <w:pPr>
        <w:pStyle w:val="243"/>
        <w:shd w:val="clear" w:color="auto" w:fill="FFFFFF"/>
        <w:snapToGrid w:val="0"/>
        <w:spacing w:after="240" w:afterAutospacing="0" w:line="360" w:lineRule="auto"/>
        <w:ind w:firstLine="400"/>
        <w:contextualSpacing/>
        <w:rPr>
          <w:color w:val="000000"/>
          <w:highlight w:val="none"/>
        </w:rPr>
      </w:pPr>
      <w:r>
        <w:rPr>
          <w:rFonts w:hint="eastAsia"/>
          <w:color w:val="000000"/>
          <w:highlight w:val="none"/>
          <w:lang w:val="zh-CN"/>
        </w:rPr>
        <w:t>4.3</w:t>
      </w:r>
      <w:r>
        <w:rPr>
          <w:rFonts w:hint="eastAsia"/>
          <w:color w:val="000000"/>
          <w:highlight w:val="none"/>
        </w:rPr>
        <w:t>.6询问或者质疑事项可能影响采购结果的，采购人应当暂停签订合同，已经签订合同的，应当中止履行合同。</w:t>
      </w:r>
    </w:p>
    <w:p>
      <w:pPr>
        <w:pStyle w:val="243"/>
        <w:shd w:val="clear" w:color="auto" w:fill="FFFFFF"/>
        <w:snapToGrid w:val="0"/>
        <w:spacing w:after="240" w:afterAutospacing="0" w:line="360" w:lineRule="auto"/>
        <w:ind w:firstLine="480" w:firstLineChars="200"/>
        <w:contextualSpacing/>
        <w:rPr>
          <w:color w:val="000000"/>
          <w:highlight w:val="none"/>
          <w:lang w:val="zh-CN"/>
        </w:rPr>
      </w:pPr>
      <w:r>
        <w:rPr>
          <w:rFonts w:hint="eastAsia"/>
          <w:color w:val="000000"/>
          <w:highlight w:val="none"/>
          <w:lang w:val="zh-CN"/>
        </w:rPr>
        <w:t>4.4供应商投诉</w:t>
      </w:r>
    </w:p>
    <w:p>
      <w:pPr>
        <w:pStyle w:val="243"/>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4.4.1质疑供应商对采购人、</w:t>
      </w:r>
      <w:r>
        <w:rPr>
          <w:rFonts w:hint="eastAsia"/>
          <w:color w:val="000000"/>
          <w:highlight w:val="none"/>
          <w:lang w:eastAsia="zh-CN"/>
        </w:rPr>
        <w:t>采购代理机构</w:t>
      </w:r>
      <w:r>
        <w:rPr>
          <w:rFonts w:hint="eastAsia"/>
          <w:color w:val="000000"/>
          <w:highlight w:val="none"/>
        </w:rPr>
        <w:t>的答复不满意或者采购人、</w:t>
      </w:r>
      <w:r>
        <w:rPr>
          <w:rFonts w:hint="eastAsia"/>
          <w:color w:val="000000"/>
          <w:highlight w:val="none"/>
          <w:lang w:eastAsia="zh-CN"/>
        </w:rPr>
        <w:t>采购代理机构</w:t>
      </w:r>
      <w:r>
        <w:rPr>
          <w:rFonts w:hint="eastAsia"/>
          <w:color w:val="000000"/>
          <w:highlight w:val="none"/>
        </w:rPr>
        <w:t>未在规定的时间内作出答复的，可以在答复期满后十五个工作日内向同级政府采购监督管理部门提出投诉。</w:t>
      </w:r>
    </w:p>
    <w:p>
      <w:pPr>
        <w:pStyle w:val="243"/>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4.4.</w:t>
      </w:r>
      <w:r>
        <w:rPr>
          <w:rFonts w:hint="eastAsia"/>
          <w:color w:val="000000"/>
          <w:highlight w:val="none"/>
          <w:lang w:val="zh-CN"/>
        </w:rPr>
        <w:t>2</w:t>
      </w:r>
      <w:r>
        <w:rPr>
          <w:rFonts w:hint="eastAsia"/>
          <w:color w:val="000000"/>
          <w:highlight w:val="none"/>
        </w:rPr>
        <w:t>供应商投诉的事项不得超出已质疑事项的范围，基于质疑答复内容提出的投诉事项除外。</w:t>
      </w:r>
    </w:p>
    <w:p>
      <w:pPr>
        <w:pStyle w:val="243"/>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4.4.3供应商投诉应当有明确的请求和必要的证明材料。</w:t>
      </w:r>
    </w:p>
    <w:p>
      <w:pPr>
        <w:pStyle w:val="243"/>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4.4.4以联合体形式参加政府采购活动的，其投诉应当由组成联合体的所有供应商共同提出。</w:t>
      </w:r>
    </w:p>
    <w:p>
      <w:pPr>
        <w:pStyle w:val="243"/>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243"/>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投诉书范本及制作说明详见附件3。</w:t>
      </w:r>
    </w:p>
    <w:p>
      <w:pPr>
        <w:pStyle w:val="153"/>
        <w:snapToGrid w:val="0"/>
        <w:spacing w:before="0"/>
        <w:ind w:firstLine="360"/>
        <w:rPr>
          <w:rFonts w:ascii="宋体" w:hAnsi="宋体" w:cs="宋体"/>
          <w:color w:val="000000"/>
          <w:sz w:val="18"/>
          <w:szCs w:val="18"/>
          <w:highlight w:val="none"/>
        </w:rPr>
      </w:pPr>
    </w:p>
    <w:p>
      <w:pPr>
        <w:adjustRightInd/>
        <w:spacing w:line="360" w:lineRule="auto"/>
        <w:jc w:val="center"/>
        <w:outlineLvl w:val="0"/>
        <w:rPr>
          <w:rFonts w:ascii="宋体" w:hAnsi="宋体" w:cs="宋体"/>
          <w:b/>
          <w:color w:val="000000"/>
          <w:sz w:val="32"/>
          <w:szCs w:val="20"/>
          <w:highlight w:val="none"/>
        </w:rPr>
      </w:pPr>
      <w:r>
        <w:rPr>
          <w:rFonts w:hint="eastAsia" w:ascii="宋体" w:hAnsi="宋体" w:cs="宋体"/>
          <w:b/>
          <w:color w:val="000000"/>
          <w:sz w:val="32"/>
          <w:szCs w:val="20"/>
          <w:highlight w:val="none"/>
        </w:rPr>
        <w:t xml:space="preserve">      二、招标文件的构成、澄清、修改</w:t>
      </w:r>
    </w:p>
    <w:p>
      <w:pPr>
        <w:pStyle w:val="35"/>
        <w:spacing w:line="360" w:lineRule="auto"/>
        <w:rPr>
          <w:rFonts w:hAnsi="宋体" w:cs="宋体"/>
          <w:b/>
          <w:color w:val="000000"/>
          <w:sz w:val="24"/>
          <w:szCs w:val="24"/>
          <w:highlight w:val="none"/>
        </w:rPr>
      </w:pPr>
      <w:r>
        <w:rPr>
          <w:rFonts w:hint="eastAsia" w:hAnsi="宋体" w:cs="宋体"/>
          <w:b/>
          <w:color w:val="000000"/>
          <w:sz w:val="24"/>
          <w:szCs w:val="24"/>
          <w:highlight w:val="none"/>
        </w:rPr>
        <w:t>5．招标文件的构成</w:t>
      </w:r>
    </w:p>
    <w:p>
      <w:pPr>
        <w:pStyle w:val="35"/>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5.1 招标文件包括下列文件及附件：</w:t>
      </w:r>
    </w:p>
    <w:p>
      <w:pPr>
        <w:pStyle w:val="35"/>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szCs w:val="24"/>
          <w:highlight w:val="none"/>
        </w:rPr>
        <w:t>5.1.1招标公告；</w:t>
      </w:r>
    </w:p>
    <w:p>
      <w:pPr>
        <w:pStyle w:val="35"/>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szCs w:val="24"/>
          <w:highlight w:val="none"/>
        </w:rPr>
        <w:t>5.1.2投标人须知；</w:t>
      </w:r>
    </w:p>
    <w:p>
      <w:pPr>
        <w:pStyle w:val="35"/>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szCs w:val="24"/>
          <w:highlight w:val="none"/>
        </w:rPr>
        <w:t>5.1.3采购需求；</w:t>
      </w:r>
    </w:p>
    <w:p>
      <w:pPr>
        <w:pStyle w:val="35"/>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szCs w:val="24"/>
          <w:highlight w:val="none"/>
        </w:rPr>
        <w:t>5.1.4评标办法；</w:t>
      </w:r>
    </w:p>
    <w:p>
      <w:pPr>
        <w:pStyle w:val="35"/>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szCs w:val="24"/>
          <w:highlight w:val="none"/>
        </w:rPr>
        <w:t>5.1.5拟签订的合同文本；</w:t>
      </w:r>
    </w:p>
    <w:p>
      <w:pPr>
        <w:pStyle w:val="35"/>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highlight w:val="none"/>
        </w:rPr>
        <w:t>5.1.6</w:t>
      </w:r>
      <w:r>
        <w:rPr>
          <w:rFonts w:hint="eastAsia" w:hAnsi="宋体" w:cs="宋体"/>
          <w:color w:val="000000"/>
          <w:sz w:val="24"/>
          <w:szCs w:val="24"/>
          <w:highlight w:val="none"/>
        </w:rPr>
        <w:t>应提交的有关格式范例。</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5.2与本项目有关的</w:t>
      </w:r>
      <w:r>
        <w:rPr>
          <w:rFonts w:hint="eastAsia" w:ascii="宋体" w:hAnsi="宋体" w:cs="宋体"/>
          <w:bCs/>
          <w:color w:val="000000"/>
          <w:sz w:val="24"/>
          <w:highlight w:val="none"/>
        </w:rPr>
        <w:t>澄清或者修改的内容为招标文件的组成部分</w:t>
      </w:r>
      <w:r>
        <w:rPr>
          <w:rFonts w:hint="eastAsia" w:ascii="宋体" w:hAnsi="宋体" w:cs="宋体"/>
          <w:color w:val="000000"/>
          <w:sz w:val="24"/>
          <w:highlight w:val="none"/>
        </w:rPr>
        <w:t>。</w:t>
      </w:r>
    </w:p>
    <w:p>
      <w:pPr>
        <w:pStyle w:val="35"/>
        <w:spacing w:line="360" w:lineRule="auto"/>
        <w:rPr>
          <w:rFonts w:hAnsi="宋体" w:cs="宋体"/>
          <w:b/>
          <w:color w:val="000000"/>
          <w:sz w:val="24"/>
          <w:szCs w:val="24"/>
          <w:highlight w:val="none"/>
        </w:rPr>
      </w:pPr>
      <w:r>
        <w:rPr>
          <w:rFonts w:hint="eastAsia" w:hAnsi="宋体" w:cs="宋体"/>
          <w:b/>
          <w:color w:val="000000"/>
          <w:sz w:val="24"/>
          <w:szCs w:val="24"/>
          <w:highlight w:val="none"/>
        </w:rPr>
        <w:t>6. 招标文件的澄清、修改</w:t>
      </w:r>
    </w:p>
    <w:p>
      <w:pPr>
        <w:pStyle w:val="153"/>
        <w:snapToGrid w:val="0"/>
        <w:spacing w:before="0"/>
        <w:ind w:firstLine="480"/>
        <w:rPr>
          <w:rFonts w:ascii="宋体" w:hAnsi="宋体" w:cs="宋体"/>
          <w:color w:val="000000"/>
          <w:highlight w:val="none"/>
        </w:rPr>
      </w:pPr>
      <w:r>
        <w:rPr>
          <w:rFonts w:hint="eastAsia" w:ascii="宋体" w:hAnsi="宋体" w:cs="宋体"/>
          <w:color w:val="000000"/>
          <w:highlight w:val="none"/>
        </w:rPr>
        <w:t>6.1已获取招标文件的潜在投标人，若有问题需要澄清，应于投标截止时间前，以书面形式向</w:t>
      </w:r>
      <w:r>
        <w:rPr>
          <w:rFonts w:hint="eastAsia" w:ascii="宋体" w:hAnsi="宋体" w:cs="宋体"/>
          <w:color w:val="000000"/>
          <w:highlight w:val="none"/>
          <w:lang w:eastAsia="zh-CN"/>
        </w:rPr>
        <w:t>采购代理机构</w:t>
      </w:r>
      <w:r>
        <w:rPr>
          <w:rFonts w:hint="eastAsia" w:ascii="宋体" w:hAnsi="宋体" w:cs="宋体"/>
          <w:color w:val="000000"/>
          <w:highlight w:val="none"/>
        </w:rPr>
        <w:t>提出。</w:t>
      </w:r>
    </w:p>
    <w:p>
      <w:pPr>
        <w:pStyle w:val="153"/>
        <w:snapToGrid w:val="0"/>
        <w:spacing w:before="0"/>
        <w:ind w:firstLine="480"/>
        <w:rPr>
          <w:rFonts w:ascii="宋体" w:hAnsi="宋体" w:cs="宋体"/>
          <w:color w:val="000000"/>
          <w:highlight w:val="none"/>
        </w:rPr>
      </w:pPr>
      <w:r>
        <w:rPr>
          <w:rFonts w:hint="eastAsia" w:ascii="宋体" w:hAnsi="宋体" w:cs="宋体"/>
          <w:color w:val="000000"/>
          <w:highlight w:val="none"/>
        </w:rPr>
        <w:t xml:space="preserve">6.2 </w:t>
      </w:r>
      <w:r>
        <w:rPr>
          <w:rFonts w:hint="eastAsia" w:ascii="宋体" w:hAnsi="宋体" w:cs="宋体"/>
          <w:color w:val="000000"/>
          <w:highlight w:val="none"/>
          <w:lang w:eastAsia="zh-CN"/>
        </w:rPr>
        <w:t>采购代理机构</w:t>
      </w:r>
      <w:r>
        <w:rPr>
          <w:rFonts w:hint="eastAsia" w:ascii="宋体" w:hAnsi="宋体" w:cs="宋体"/>
          <w:color w:val="000000"/>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6"/>
        <w:rPr>
          <w:rFonts w:hAnsi="宋体" w:cs="宋体"/>
          <w:color w:val="000000"/>
          <w:sz w:val="18"/>
          <w:szCs w:val="18"/>
          <w:highlight w:val="none"/>
          <w:lang w:val="en-US"/>
        </w:rPr>
      </w:pPr>
      <w:r>
        <w:rPr>
          <w:rFonts w:hint="eastAsia" w:hAnsi="宋体" w:cs="宋体"/>
          <w:color w:val="000000"/>
          <w:szCs w:val="24"/>
          <w:highlight w:val="none"/>
          <w:lang w:val="en-US"/>
        </w:rPr>
        <w:t xml:space="preserve">    </w:t>
      </w:r>
    </w:p>
    <w:p>
      <w:pPr>
        <w:adjustRightInd/>
        <w:spacing w:line="360" w:lineRule="auto"/>
        <w:jc w:val="center"/>
        <w:outlineLvl w:val="0"/>
        <w:rPr>
          <w:rFonts w:ascii="宋体" w:hAnsi="宋体" w:cs="宋体"/>
          <w:b/>
          <w:color w:val="000000"/>
          <w:sz w:val="30"/>
          <w:szCs w:val="20"/>
          <w:highlight w:val="none"/>
        </w:rPr>
      </w:pPr>
      <w:r>
        <w:rPr>
          <w:rFonts w:hint="eastAsia" w:ascii="宋体" w:hAnsi="宋体" w:cs="宋体"/>
          <w:b/>
          <w:color w:val="000000"/>
          <w:sz w:val="30"/>
          <w:szCs w:val="20"/>
          <w:highlight w:val="none"/>
        </w:rPr>
        <w:t>三、投标</w:t>
      </w:r>
    </w:p>
    <w:p>
      <w:pPr>
        <w:pStyle w:val="35"/>
        <w:spacing w:line="360" w:lineRule="auto"/>
        <w:rPr>
          <w:rFonts w:hAnsi="宋体" w:cs="宋体"/>
          <w:b/>
          <w:color w:val="000000"/>
          <w:sz w:val="24"/>
          <w:szCs w:val="24"/>
          <w:highlight w:val="none"/>
        </w:rPr>
      </w:pPr>
      <w:r>
        <w:rPr>
          <w:rFonts w:hint="eastAsia" w:hAnsi="宋体" w:cs="宋体"/>
          <w:b/>
          <w:color w:val="000000"/>
          <w:sz w:val="24"/>
          <w:szCs w:val="24"/>
          <w:highlight w:val="none"/>
        </w:rPr>
        <w:t>7. 招标文件的获取</w:t>
      </w:r>
    </w:p>
    <w:p>
      <w:pPr>
        <w:spacing w:line="360" w:lineRule="auto"/>
        <w:ind w:firstLine="480" w:firstLineChars="200"/>
        <w:rPr>
          <w:rFonts w:ascii="宋体" w:hAnsi="宋体" w:cs="宋体"/>
          <w:snapToGrid w:val="0"/>
          <w:color w:val="000000"/>
          <w:kern w:val="28"/>
          <w:sz w:val="24"/>
          <w:highlight w:val="none"/>
        </w:rPr>
      </w:pPr>
      <w:r>
        <w:rPr>
          <w:rFonts w:hint="eastAsia" w:ascii="宋体" w:hAnsi="宋体" w:cs="宋体"/>
          <w:snapToGrid w:val="0"/>
          <w:color w:val="000000"/>
          <w:kern w:val="28"/>
          <w:sz w:val="24"/>
          <w:highlight w:val="none"/>
        </w:rPr>
        <w:t>详见招标公告中获取招标文件的时间期限、地点、方式及招标文件售价。</w:t>
      </w:r>
    </w:p>
    <w:p>
      <w:pPr>
        <w:pStyle w:val="35"/>
        <w:spacing w:line="360" w:lineRule="auto"/>
        <w:rPr>
          <w:rFonts w:hAnsi="宋体" w:cs="宋体"/>
          <w:b/>
          <w:color w:val="000000"/>
          <w:sz w:val="24"/>
          <w:szCs w:val="24"/>
          <w:highlight w:val="none"/>
        </w:rPr>
      </w:pPr>
      <w:r>
        <w:rPr>
          <w:rFonts w:hint="eastAsia" w:hAnsi="宋体" w:cs="宋体"/>
          <w:b/>
          <w:color w:val="000000"/>
          <w:sz w:val="24"/>
          <w:szCs w:val="24"/>
          <w:highlight w:val="none"/>
        </w:rPr>
        <w:t>8.开标前答疑会或现场考察</w:t>
      </w:r>
    </w:p>
    <w:p>
      <w:pPr>
        <w:pStyle w:val="35"/>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采购人组织潜在投标人现场考察或者召开开标前答疑会的，潜在投标人按第二部分投标人须知前附表的规定参加现场考察或者开标前答疑会。</w:t>
      </w:r>
    </w:p>
    <w:p>
      <w:pPr>
        <w:pStyle w:val="35"/>
        <w:spacing w:line="360" w:lineRule="auto"/>
        <w:rPr>
          <w:rFonts w:hAnsi="宋体" w:cs="宋体"/>
          <w:b/>
          <w:color w:val="000000"/>
          <w:szCs w:val="24"/>
          <w:highlight w:val="none"/>
        </w:rPr>
      </w:pPr>
      <w:r>
        <w:rPr>
          <w:rFonts w:hint="eastAsia" w:hAnsi="宋体" w:cs="宋体"/>
          <w:b/>
          <w:color w:val="000000"/>
          <w:kern w:val="28"/>
          <w:sz w:val="24"/>
          <w:szCs w:val="24"/>
          <w:highlight w:val="none"/>
        </w:rPr>
        <w:t>9.投标保证金</w:t>
      </w:r>
    </w:p>
    <w:p>
      <w:pPr>
        <w:pStyle w:val="5"/>
        <w:spacing w:line="360" w:lineRule="auto"/>
        <w:ind w:firstLine="470" w:firstLineChars="196"/>
        <w:rPr>
          <w:rFonts w:hAnsi="宋体" w:cs="宋体"/>
          <w:color w:val="000000"/>
          <w:sz w:val="24"/>
          <w:highlight w:val="none"/>
        </w:rPr>
      </w:pPr>
      <w:r>
        <w:rPr>
          <w:rFonts w:hint="eastAsia" w:hAnsi="宋体" w:cs="宋体"/>
          <w:color w:val="000000"/>
          <w:sz w:val="24"/>
          <w:highlight w:val="none"/>
        </w:rPr>
        <w:t>本项目不需缴纳投标保证金。</w:t>
      </w:r>
    </w:p>
    <w:p>
      <w:pPr>
        <w:pStyle w:val="35"/>
        <w:spacing w:line="360" w:lineRule="auto"/>
        <w:rPr>
          <w:rFonts w:hAnsi="宋体" w:cs="宋体"/>
          <w:b/>
          <w:color w:val="000000"/>
          <w:sz w:val="24"/>
          <w:szCs w:val="24"/>
          <w:highlight w:val="none"/>
        </w:rPr>
      </w:pPr>
      <w:r>
        <w:rPr>
          <w:rFonts w:hint="eastAsia" w:hAnsi="宋体" w:cs="宋体"/>
          <w:b/>
          <w:color w:val="000000"/>
          <w:sz w:val="24"/>
          <w:szCs w:val="24"/>
          <w:highlight w:val="none"/>
        </w:rPr>
        <w:t>10. 投标文件的语言</w:t>
      </w:r>
    </w:p>
    <w:p>
      <w:pPr>
        <w:autoSpaceDE w:val="0"/>
        <w:autoSpaceDN w:val="0"/>
        <w:spacing w:line="360" w:lineRule="auto"/>
        <w:ind w:firstLine="480" w:firstLineChars="200"/>
        <w:rPr>
          <w:rFonts w:ascii="宋体" w:hAnsi="宋体" w:cs="宋体"/>
          <w:color w:val="000000"/>
          <w:sz w:val="24"/>
          <w:highlight w:val="none"/>
          <w:lang w:val="zh-CN"/>
        </w:rPr>
      </w:pPr>
      <w:r>
        <w:rPr>
          <w:rFonts w:hint="eastAsia" w:ascii="宋体" w:hAnsi="宋体" w:cs="宋体"/>
          <w:color w:val="000000"/>
          <w:sz w:val="24"/>
          <w:highlight w:val="none"/>
        </w:rPr>
        <w:t>投标文件及投标人与采购有关的来往通知、函件和文件均应使用中文。</w:t>
      </w:r>
    </w:p>
    <w:p>
      <w:pPr>
        <w:pStyle w:val="35"/>
        <w:spacing w:line="360" w:lineRule="auto"/>
        <w:rPr>
          <w:rFonts w:hAnsi="宋体" w:cs="宋体"/>
          <w:b/>
          <w:color w:val="000000"/>
          <w:sz w:val="24"/>
          <w:szCs w:val="24"/>
          <w:highlight w:val="none"/>
        </w:rPr>
      </w:pPr>
      <w:r>
        <w:rPr>
          <w:rFonts w:hint="eastAsia" w:hAnsi="宋体" w:cs="宋体"/>
          <w:b/>
          <w:color w:val="000000"/>
          <w:sz w:val="24"/>
          <w:szCs w:val="24"/>
          <w:highlight w:val="none"/>
        </w:rPr>
        <w:t>11. 投标文件的组成</w:t>
      </w:r>
    </w:p>
    <w:p>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11.1</w:t>
      </w:r>
      <w:r>
        <w:rPr>
          <w:rFonts w:hint="eastAsia" w:ascii="宋体" w:hAnsi="宋体" w:cs="宋体"/>
          <w:b/>
          <w:color w:val="000000"/>
          <w:sz w:val="24"/>
          <w:highlight w:val="none"/>
        </w:rPr>
        <w:t>资格文件</w:t>
      </w:r>
      <w:r>
        <w:rPr>
          <w:rFonts w:hint="eastAsia" w:ascii="宋体" w:hAnsi="宋体" w:cs="宋体"/>
          <w:color w:val="000000"/>
          <w:sz w:val="24"/>
          <w:highlight w:val="none"/>
        </w:rPr>
        <w:t>：</w:t>
      </w:r>
    </w:p>
    <w:p>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11.1.1符合参加政府采购活动应当具备的一般条件的承诺函；</w:t>
      </w:r>
    </w:p>
    <w:p>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w:t>
      </w:r>
      <w:r>
        <w:rPr>
          <w:rFonts w:ascii="宋体" w:hAnsi="宋体" w:cs="宋体"/>
          <w:color w:val="000000"/>
          <w:sz w:val="24"/>
          <w:highlight w:val="none"/>
        </w:rPr>
        <w:t>1.1.2</w:t>
      </w:r>
      <w:r>
        <w:rPr>
          <w:rFonts w:hint="eastAsia" w:ascii="宋体" w:hAnsi="宋体" w:cs="宋体"/>
          <w:snapToGrid w:val="0"/>
          <w:color w:val="000000"/>
          <w:kern w:val="28"/>
          <w:sz w:val="24"/>
          <w:szCs w:val="20"/>
          <w:highlight w:val="none"/>
        </w:rPr>
        <w:t>联合协议（如果有)；</w:t>
      </w:r>
    </w:p>
    <w:p>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11.1.</w:t>
      </w:r>
      <w:r>
        <w:rPr>
          <w:rFonts w:ascii="宋体" w:hAnsi="宋体" w:cs="宋体"/>
          <w:color w:val="000000"/>
          <w:sz w:val="24"/>
          <w:highlight w:val="none"/>
        </w:rPr>
        <w:t>3</w:t>
      </w:r>
      <w:r>
        <w:rPr>
          <w:rFonts w:hint="eastAsia" w:ascii="宋体" w:hAnsi="宋体" w:cs="宋体"/>
          <w:color w:val="000000"/>
          <w:sz w:val="24"/>
          <w:highlight w:val="none"/>
        </w:rPr>
        <w:t>落实政府采购政策需满足的资格要求</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11.1.</w:t>
      </w:r>
      <w:r>
        <w:rPr>
          <w:rFonts w:ascii="宋体" w:hAnsi="宋体" w:cs="宋体"/>
          <w:color w:val="000000"/>
          <w:sz w:val="24"/>
          <w:highlight w:val="none"/>
        </w:rPr>
        <w:t>4</w:t>
      </w:r>
      <w:r>
        <w:rPr>
          <w:rFonts w:hint="eastAsia" w:ascii="宋体" w:hAnsi="宋体" w:cs="宋体"/>
          <w:color w:val="000000"/>
          <w:sz w:val="24"/>
          <w:highlight w:val="none"/>
        </w:rPr>
        <w:t>本项目的特定资格要求</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pPr>
        <w:snapToGrid w:val="0"/>
        <w:spacing w:line="360" w:lineRule="auto"/>
        <w:ind w:firstLine="480" w:firstLineChars="200"/>
        <w:rPr>
          <w:rFonts w:ascii="宋体" w:hAnsi="宋体" w:cs="宋体"/>
          <w:color w:val="000000"/>
          <w:sz w:val="24"/>
          <w:highlight w:val="none"/>
          <w:lang w:val="zh-CN"/>
        </w:rPr>
      </w:pPr>
      <w:r>
        <w:rPr>
          <w:rFonts w:hint="eastAsia" w:ascii="宋体" w:hAnsi="宋体" w:cs="宋体"/>
          <w:color w:val="000000"/>
          <w:sz w:val="24"/>
          <w:highlight w:val="none"/>
          <w:lang w:val="zh-CN"/>
        </w:rPr>
        <w:t>11.</w:t>
      </w:r>
      <w:r>
        <w:rPr>
          <w:rFonts w:hint="eastAsia" w:ascii="宋体" w:hAnsi="宋体" w:cs="宋体"/>
          <w:color w:val="000000"/>
          <w:sz w:val="24"/>
          <w:highlight w:val="none"/>
        </w:rPr>
        <w:t>2</w:t>
      </w:r>
      <w:r>
        <w:rPr>
          <w:rFonts w:hint="eastAsia" w:ascii="宋体" w:hAnsi="宋体" w:cs="宋体"/>
          <w:color w:val="000000"/>
          <w:sz w:val="24"/>
          <w:highlight w:val="none"/>
          <w:lang w:val="zh-CN"/>
        </w:rPr>
        <w:t xml:space="preserve">  </w:t>
      </w:r>
      <w:r>
        <w:rPr>
          <w:rFonts w:hint="eastAsia" w:ascii="宋体" w:hAnsi="宋体" w:cs="宋体"/>
          <w:color w:val="000000"/>
          <w:sz w:val="24"/>
          <w:highlight w:val="none"/>
        </w:rPr>
        <w:t>商务技术</w:t>
      </w:r>
      <w:r>
        <w:rPr>
          <w:rFonts w:hint="eastAsia" w:ascii="宋体" w:hAnsi="宋体" w:cs="宋体"/>
          <w:color w:val="000000"/>
          <w:sz w:val="24"/>
          <w:highlight w:val="none"/>
          <w:lang w:val="zh-CN"/>
        </w:rPr>
        <w:t>文件：</w:t>
      </w:r>
    </w:p>
    <w:p>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11.2.1投标函；</w:t>
      </w:r>
      <w:r>
        <w:rPr>
          <w:rFonts w:hint="eastAsia" w:ascii="宋体" w:hAnsi="宋体" w:cs="宋体"/>
          <w:color w:val="000000"/>
          <w:sz w:val="24"/>
          <w:highlight w:val="none"/>
          <w:lang w:val="zh-CN"/>
        </w:rPr>
        <w:t xml:space="preserve"> </w:t>
      </w:r>
    </w:p>
    <w:p>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3</w:t>
      </w:r>
      <w:r>
        <w:rPr>
          <w:rFonts w:hint="eastAsia" w:ascii="宋体" w:hAnsi="宋体" w:cs="宋体"/>
          <w:color w:val="000000"/>
          <w:sz w:val="24"/>
          <w:highlight w:val="none"/>
        </w:rPr>
        <w:t>分包意向协议</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4</w:t>
      </w:r>
      <w:r>
        <w:rPr>
          <w:rFonts w:hint="eastAsia" w:ascii="宋体" w:hAnsi="宋体" w:cs="宋体"/>
          <w:color w:val="000000"/>
          <w:sz w:val="24"/>
          <w:highlight w:val="none"/>
        </w:rPr>
        <w:t>符合性审查资料；</w:t>
      </w:r>
    </w:p>
    <w:p>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5</w:t>
      </w:r>
      <w:r>
        <w:rPr>
          <w:rFonts w:hint="eastAsia" w:ascii="宋体" w:hAnsi="宋体" w:cs="宋体"/>
          <w:color w:val="000000"/>
          <w:sz w:val="24"/>
          <w:highlight w:val="none"/>
        </w:rPr>
        <w:t>评标标准相应的商务技术资料；</w:t>
      </w:r>
    </w:p>
    <w:p>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6</w:t>
      </w:r>
      <w:r>
        <w:rPr>
          <w:rFonts w:hint="eastAsia" w:ascii="宋体" w:hAnsi="宋体" w:cs="宋体"/>
          <w:color w:val="000000"/>
          <w:sz w:val="24"/>
          <w:highlight w:val="none"/>
        </w:rPr>
        <w:t>投标标的清单；</w:t>
      </w:r>
    </w:p>
    <w:p>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7</w:t>
      </w:r>
      <w:r>
        <w:rPr>
          <w:rFonts w:hint="eastAsia" w:ascii="宋体" w:hAnsi="宋体" w:cs="宋体"/>
          <w:color w:val="000000"/>
          <w:sz w:val="24"/>
          <w:highlight w:val="none"/>
        </w:rPr>
        <w:t>商务技术偏离表；</w:t>
      </w:r>
    </w:p>
    <w:p>
      <w:pPr>
        <w:snapToGrid w:val="0"/>
        <w:spacing w:line="360" w:lineRule="auto"/>
        <w:ind w:firstLine="960" w:firstLineChars="400"/>
        <w:rPr>
          <w:rFonts w:ascii="宋体" w:hAnsi="宋体" w:cs="宋体"/>
          <w:color w:val="000000"/>
          <w:sz w:val="24"/>
          <w:highlight w:val="none"/>
          <w:lang w:val="zh-CN"/>
        </w:rPr>
      </w:pPr>
      <w:r>
        <w:rPr>
          <w:rFonts w:hint="eastAsia" w:ascii="宋体" w:hAnsi="宋体" w:cs="宋体"/>
          <w:color w:val="000000"/>
          <w:sz w:val="24"/>
          <w:highlight w:val="none"/>
          <w:lang w:val="zh-CN"/>
        </w:rPr>
        <w:t>11.</w:t>
      </w: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ascii="宋体" w:hAnsi="宋体" w:cs="宋体"/>
          <w:color w:val="000000"/>
          <w:sz w:val="24"/>
          <w:highlight w:val="none"/>
        </w:rPr>
        <w:t>8</w:t>
      </w:r>
      <w:r>
        <w:rPr>
          <w:rFonts w:hint="eastAsia" w:ascii="宋体" w:hAnsi="宋体" w:cs="宋体"/>
          <w:color w:val="000000"/>
          <w:sz w:val="24"/>
          <w:highlight w:val="none"/>
          <w:lang w:val="zh-CN"/>
        </w:rPr>
        <w:t>政府采购供应商廉洁自律承诺书；</w:t>
      </w:r>
    </w:p>
    <w:p>
      <w:pPr>
        <w:snapToGrid w:val="0"/>
        <w:spacing w:line="360" w:lineRule="auto"/>
        <w:ind w:firstLine="480" w:firstLineChars="200"/>
        <w:rPr>
          <w:rFonts w:ascii="宋体" w:hAnsi="宋体" w:cs="宋体"/>
          <w:color w:val="000000"/>
          <w:sz w:val="24"/>
          <w:highlight w:val="none"/>
          <w:u w:val="single"/>
          <w:lang w:val="zh-CN"/>
        </w:rPr>
      </w:pPr>
      <w:r>
        <w:rPr>
          <w:rFonts w:hint="eastAsia" w:ascii="宋体" w:hAnsi="宋体" w:cs="宋体"/>
          <w:color w:val="000000"/>
          <w:kern w:val="0"/>
          <w:sz w:val="24"/>
          <w:highlight w:val="none"/>
          <w:lang w:val="zh-CN"/>
        </w:rPr>
        <w:t>11.</w:t>
      </w:r>
      <w:r>
        <w:rPr>
          <w:rFonts w:hint="eastAsia" w:ascii="宋体" w:hAnsi="宋体" w:cs="宋体"/>
          <w:color w:val="000000"/>
          <w:kern w:val="0"/>
          <w:sz w:val="24"/>
          <w:highlight w:val="none"/>
        </w:rPr>
        <w:t>3</w:t>
      </w:r>
      <w:r>
        <w:rPr>
          <w:rFonts w:hint="eastAsia" w:ascii="宋体" w:hAnsi="宋体" w:cs="宋体"/>
          <w:b/>
          <w:color w:val="000000"/>
          <w:sz w:val="24"/>
          <w:highlight w:val="none"/>
        </w:rPr>
        <w:t>报价文件：</w:t>
      </w:r>
      <w:r>
        <w:rPr>
          <w:rFonts w:hint="eastAsia" w:ascii="宋体" w:hAnsi="宋体" w:cs="宋体"/>
          <w:color w:val="000000"/>
          <w:sz w:val="24"/>
          <w:highlight w:val="none"/>
        </w:rPr>
        <w:t xml:space="preserve"> </w:t>
      </w:r>
    </w:p>
    <w:p>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11.3.1开标一览表（报价表）；</w:t>
      </w:r>
    </w:p>
    <w:p>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11.3.2中小企业声明函。</w:t>
      </w:r>
    </w:p>
    <w:p>
      <w:pPr>
        <w:spacing w:line="360" w:lineRule="auto"/>
        <w:ind w:firstLine="723" w:firstLineChars="300"/>
        <w:rPr>
          <w:rFonts w:ascii="宋体" w:hAnsi="宋体" w:cs="宋体"/>
          <w:b/>
          <w:color w:val="000000"/>
          <w:sz w:val="24"/>
          <w:highlight w:val="none"/>
        </w:rPr>
      </w:pPr>
      <w:r>
        <w:rPr>
          <w:rFonts w:hint="eastAsia" w:ascii="宋体" w:hAnsi="宋体" w:cs="宋体"/>
          <w:b/>
          <w:color w:val="000000"/>
          <w:sz w:val="24"/>
          <w:highlight w:val="none"/>
        </w:rPr>
        <w:t>投标文件含有采购人不能接受的附加条件的，投标无效；</w:t>
      </w:r>
    </w:p>
    <w:p>
      <w:pPr>
        <w:spacing w:line="360" w:lineRule="auto"/>
        <w:ind w:firstLine="723" w:firstLineChars="300"/>
        <w:rPr>
          <w:rFonts w:ascii="宋体" w:hAnsi="宋体" w:cs="宋体"/>
          <w:b/>
          <w:color w:val="000000"/>
          <w:sz w:val="24"/>
          <w:szCs w:val="21"/>
          <w:highlight w:val="none"/>
        </w:rPr>
      </w:pPr>
      <w:r>
        <w:rPr>
          <w:rFonts w:hint="eastAsia" w:ascii="宋体" w:hAnsi="宋体" w:cs="宋体"/>
          <w:b/>
          <w:color w:val="000000"/>
          <w:sz w:val="24"/>
          <w:highlight w:val="none"/>
        </w:rPr>
        <w:t>投标人提供虚假材料投标的，投标无效。</w:t>
      </w:r>
    </w:p>
    <w:p>
      <w:pPr>
        <w:pStyle w:val="153"/>
        <w:snapToGrid w:val="0"/>
        <w:spacing w:before="0"/>
        <w:ind w:firstLine="0" w:firstLineChars="0"/>
        <w:outlineLvl w:val="0"/>
        <w:rPr>
          <w:rFonts w:ascii="宋体" w:hAnsi="宋体" w:cs="宋体"/>
          <w:b/>
          <w:color w:val="000000"/>
          <w:szCs w:val="24"/>
          <w:highlight w:val="none"/>
        </w:rPr>
      </w:pPr>
      <w:r>
        <w:rPr>
          <w:rFonts w:hint="eastAsia" w:ascii="宋体" w:hAnsi="宋体" w:cs="宋体"/>
          <w:b/>
          <w:color w:val="000000"/>
          <w:szCs w:val="24"/>
          <w:highlight w:val="none"/>
        </w:rPr>
        <w:t>12</w:t>
      </w:r>
      <w:r>
        <w:rPr>
          <w:rFonts w:hint="eastAsia" w:ascii="宋体" w:hAnsi="宋体" w:cs="宋体"/>
          <w:b/>
          <w:color w:val="000000"/>
          <w:kern w:val="0"/>
          <w:szCs w:val="24"/>
          <w:highlight w:val="none"/>
          <w:lang w:val="zh-CN"/>
        </w:rPr>
        <w:t xml:space="preserve">. </w:t>
      </w:r>
      <w:r>
        <w:rPr>
          <w:rFonts w:hint="eastAsia" w:ascii="宋体" w:hAnsi="宋体" w:cs="宋体"/>
          <w:b/>
          <w:color w:val="000000"/>
          <w:szCs w:val="24"/>
          <w:highlight w:val="none"/>
        </w:rPr>
        <w:t>投标文件的编制</w:t>
      </w:r>
    </w:p>
    <w:p>
      <w:pPr>
        <w:spacing w:line="360" w:lineRule="auto"/>
        <w:ind w:firstLine="480" w:firstLineChars="200"/>
        <w:rPr>
          <w:rFonts w:ascii="宋体" w:hAnsi="宋体" w:cs="宋体"/>
          <w:b/>
          <w:color w:val="000000"/>
          <w:sz w:val="24"/>
          <w:highlight w:val="none"/>
        </w:rPr>
      </w:pPr>
      <w:r>
        <w:rPr>
          <w:rFonts w:hint="eastAsia" w:ascii="宋体" w:hAnsi="宋体" w:cs="宋体"/>
          <w:color w:val="000000"/>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12.3使用“政采云电子交易客户端”需要提前申领CA数字证书，申领流程请自行前往“浙江政府采购网-下载专区-电子交易客户端-CA驱动和申领流程”进行查阅。</w:t>
      </w:r>
    </w:p>
    <w:p>
      <w:pPr>
        <w:widowControl w:val="0"/>
        <w:wordWrap/>
        <w:adjustRightInd w:val="0"/>
        <w:snapToGrid w:val="0"/>
        <w:spacing w:line="360" w:lineRule="auto"/>
        <w:ind w:left="0" w:leftChars="0" w:right="0"/>
        <w:jc w:val="both"/>
        <w:textAlignment w:val="auto"/>
        <w:outlineLvl w:val="9"/>
        <w:rPr>
          <w:rFonts w:ascii="宋体" w:hAnsi="宋体" w:cs="宋体"/>
          <w:b/>
          <w:color w:val="000000"/>
          <w:sz w:val="24"/>
          <w:highlight w:val="none"/>
        </w:rPr>
      </w:pPr>
      <w:r>
        <w:rPr>
          <w:rFonts w:hint="eastAsia" w:ascii="宋体" w:hAnsi="宋体" w:cs="宋体"/>
          <w:b/>
          <w:color w:val="000000"/>
          <w:sz w:val="24"/>
          <w:highlight w:val="none"/>
        </w:rPr>
        <w:t>13.投标文件的签署、盖章</w:t>
      </w:r>
    </w:p>
    <w:p>
      <w:pPr>
        <w:pStyle w:val="153"/>
        <w:widowControl w:val="0"/>
        <w:wordWrap/>
        <w:adjustRightInd w:val="0"/>
        <w:snapToGrid w:val="0"/>
        <w:spacing w:before="0" w:line="360" w:lineRule="auto"/>
        <w:ind w:left="0" w:leftChars="0" w:right="0" w:firstLine="480"/>
        <w:jc w:val="both"/>
        <w:textAlignment w:val="auto"/>
        <w:outlineLvl w:val="9"/>
        <w:rPr>
          <w:rFonts w:ascii="宋体" w:hAnsi="宋体" w:cs="宋体"/>
          <w:b/>
          <w:color w:val="000000"/>
          <w:highlight w:val="none"/>
        </w:rPr>
      </w:pPr>
      <w:r>
        <w:rPr>
          <w:rFonts w:hint="eastAsia" w:ascii="宋体" w:hAnsi="宋体" w:cs="宋体"/>
          <w:color w:val="000000"/>
          <w:szCs w:val="24"/>
          <w:highlight w:val="none"/>
        </w:rPr>
        <w:t>13.1投标文件按照招标文件第六部分格式要</w:t>
      </w:r>
      <w:r>
        <w:rPr>
          <w:rFonts w:hint="eastAsia" w:ascii="宋体" w:hAnsi="宋体" w:cs="宋体"/>
          <w:color w:val="000000"/>
          <w:highlight w:val="none"/>
        </w:rPr>
        <w:t>求进行签署、盖章。</w:t>
      </w:r>
      <w:r>
        <w:rPr>
          <w:rFonts w:hint="eastAsia" w:ascii="宋体" w:hAnsi="宋体" w:cs="宋体"/>
          <w:b/>
          <w:color w:val="000000"/>
          <w:highlight w:val="none"/>
        </w:rPr>
        <w:t>▲投标人的投标文件未按照招标文件要求签署、盖章的，其投标无效</w:t>
      </w:r>
      <w:r>
        <w:rPr>
          <w:rFonts w:hint="eastAsia" w:ascii="宋体" w:hAnsi="宋体" w:cs="宋体"/>
          <w:color w:val="000000"/>
          <w:szCs w:val="24"/>
          <w:highlight w:val="none"/>
        </w:rPr>
        <w:t>。</w:t>
      </w:r>
    </w:p>
    <w:p>
      <w:pPr>
        <w:pStyle w:val="153"/>
        <w:widowControl w:val="0"/>
        <w:wordWrap/>
        <w:adjustRightInd w:val="0"/>
        <w:snapToGrid w:val="0"/>
        <w:spacing w:before="0" w:line="360" w:lineRule="auto"/>
        <w:ind w:left="0" w:leftChars="0" w:right="0" w:firstLine="480"/>
        <w:jc w:val="both"/>
        <w:textAlignment w:val="auto"/>
        <w:outlineLvl w:val="9"/>
        <w:rPr>
          <w:rFonts w:ascii="宋体" w:hAnsi="宋体" w:cs="宋体"/>
          <w:color w:val="000000"/>
          <w:highlight w:val="none"/>
        </w:rPr>
      </w:pPr>
      <w:r>
        <w:rPr>
          <w:rFonts w:hint="eastAsia" w:ascii="宋体" w:hAnsi="宋体" w:cs="宋体"/>
          <w:color w:val="000000"/>
          <w:highlight w:val="none"/>
        </w:rPr>
        <w:t>13.2为确保网上操作合法、有效和安全，投标人应当在投标截止时间前完成在“政府采购云平台”的身份认证，确保在电子投标过程中能够对相关数据电文进行加密和使用电子签名。</w:t>
      </w:r>
    </w:p>
    <w:p>
      <w:pPr>
        <w:pStyle w:val="153"/>
        <w:widowControl w:val="0"/>
        <w:wordWrap/>
        <w:adjustRightInd w:val="0"/>
        <w:snapToGrid w:val="0"/>
        <w:spacing w:before="0" w:line="360" w:lineRule="auto"/>
        <w:ind w:left="0" w:leftChars="0" w:right="0" w:firstLine="480"/>
        <w:jc w:val="both"/>
        <w:textAlignment w:val="auto"/>
        <w:outlineLvl w:val="9"/>
        <w:rPr>
          <w:rFonts w:ascii="宋体" w:hAnsi="宋体" w:cs="宋体"/>
          <w:color w:val="000000"/>
          <w:szCs w:val="24"/>
          <w:highlight w:val="none"/>
        </w:rPr>
      </w:pPr>
      <w:r>
        <w:rPr>
          <w:rFonts w:hint="eastAsia" w:ascii="宋体" w:hAnsi="宋体" w:cs="宋体"/>
          <w:color w:val="000000"/>
          <w:highlight w:val="none"/>
        </w:rPr>
        <w:t>13.3招标文件对投标文件签署、盖章的要求适用于电子签名。</w:t>
      </w:r>
    </w:p>
    <w:p>
      <w:pPr>
        <w:pStyle w:val="153"/>
        <w:widowControl w:val="0"/>
        <w:wordWrap/>
        <w:adjustRightInd w:val="0"/>
        <w:spacing w:before="0" w:line="360" w:lineRule="auto"/>
        <w:ind w:left="0" w:leftChars="0" w:right="0" w:firstLine="0" w:firstLineChars="0"/>
        <w:jc w:val="both"/>
        <w:textAlignment w:val="auto"/>
        <w:outlineLvl w:val="9"/>
        <w:rPr>
          <w:rFonts w:ascii="宋体" w:hAnsi="宋体" w:cs="宋体"/>
          <w:b/>
          <w:color w:val="000000"/>
          <w:szCs w:val="24"/>
          <w:highlight w:val="none"/>
        </w:rPr>
      </w:pPr>
      <w:r>
        <w:rPr>
          <w:rFonts w:hint="eastAsia" w:ascii="宋体" w:hAnsi="宋体" w:cs="宋体"/>
          <w:b/>
          <w:color w:val="000000"/>
          <w:szCs w:val="24"/>
          <w:highlight w:val="none"/>
        </w:rPr>
        <w:t>14. 投标文件的提交、补充、修改、撤回</w:t>
      </w:r>
    </w:p>
    <w:p>
      <w:pPr>
        <w:pStyle w:val="153"/>
        <w:widowControl w:val="0"/>
        <w:wordWrap/>
        <w:adjustRightInd w:val="0"/>
        <w:spacing w:before="0" w:line="360" w:lineRule="auto"/>
        <w:ind w:left="0" w:leftChars="0" w:right="0" w:firstLine="480"/>
        <w:jc w:val="both"/>
        <w:textAlignment w:val="auto"/>
        <w:outlineLvl w:val="9"/>
        <w:rPr>
          <w:rFonts w:ascii="宋体" w:hAnsi="宋体" w:cs="宋体"/>
          <w:color w:val="000000"/>
          <w:szCs w:val="24"/>
          <w:highlight w:val="none"/>
        </w:rPr>
      </w:pPr>
      <w:r>
        <w:rPr>
          <w:rFonts w:hint="eastAsia" w:ascii="宋体" w:hAnsi="宋体" w:cs="宋体"/>
          <w:color w:val="000000"/>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53"/>
        <w:widowControl w:val="0"/>
        <w:wordWrap/>
        <w:adjustRightInd w:val="0"/>
        <w:spacing w:before="0" w:line="360" w:lineRule="auto"/>
        <w:ind w:left="0" w:leftChars="0" w:right="0" w:firstLine="480"/>
        <w:jc w:val="both"/>
        <w:textAlignment w:val="auto"/>
        <w:outlineLvl w:val="9"/>
        <w:rPr>
          <w:rFonts w:ascii="宋体" w:hAnsi="宋体" w:cs="宋体"/>
          <w:color w:val="000000"/>
          <w:szCs w:val="24"/>
          <w:highlight w:val="none"/>
        </w:rPr>
      </w:pPr>
      <w:r>
        <w:rPr>
          <w:rFonts w:hint="eastAsia" w:ascii="宋体" w:hAnsi="宋体" w:cs="宋体"/>
          <w:color w:val="000000"/>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53"/>
        <w:widowControl w:val="0"/>
        <w:wordWrap/>
        <w:adjustRightInd w:val="0"/>
        <w:spacing w:before="0" w:line="360" w:lineRule="auto"/>
        <w:ind w:left="0" w:leftChars="0" w:right="0" w:firstLine="480"/>
        <w:jc w:val="both"/>
        <w:textAlignment w:val="auto"/>
        <w:outlineLvl w:val="9"/>
        <w:rPr>
          <w:rFonts w:ascii="宋体" w:hAnsi="宋体" w:cs="宋体"/>
          <w:color w:val="000000"/>
          <w:szCs w:val="24"/>
          <w:highlight w:val="none"/>
        </w:rPr>
      </w:pPr>
      <w:r>
        <w:rPr>
          <w:rFonts w:hint="eastAsia" w:ascii="宋体" w:hAnsi="宋体" w:cs="宋体"/>
          <w:color w:val="000000"/>
          <w:szCs w:val="24"/>
          <w:highlight w:val="none"/>
        </w:rPr>
        <w:t>14.3采购人、</w:t>
      </w:r>
      <w:r>
        <w:rPr>
          <w:rFonts w:hint="eastAsia" w:ascii="宋体" w:hAnsi="宋体" w:cs="宋体"/>
          <w:color w:val="000000"/>
          <w:szCs w:val="24"/>
          <w:highlight w:val="none"/>
          <w:lang w:eastAsia="zh-CN"/>
        </w:rPr>
        <w:t>采购代理机构</w:t>
      </w:r>
      <w:r>
        <w:rPr>
          <w:rFonts w:hint="eastAsia" w:ascii="宋体" w:hAnsi="宋体" w:cs="宋体"/>
          <w:color w:val="000000"/>
          <w:szCs w:val="24"/>
          <w:highlight w:val="none"/>
        </w:rPr>
        <w:t>可以视情况延长投标文件提交的截止时间。在上述情况下，</w:t>
      </w:r>
      <w:r>
        <w:rPr>
          <w:rFonts w:hint="eastAsia" w:ascii="宋体" w:hAnsi="宋体" w:cs="宋体"/>
          <w:color w:val="000000"/>
          <w:szCs w:val="24"/>
          <w:highlight w:val="none"/>
          <w:lang w:eastAsia="zh-CN"/>
        </w:rPr>
        <w:t>采购代理机构</w:t>
      </w:r>
      <w:r>
        <w:rPr>
          <w:rFonts w:hint="eastAsia" w:ascii="宋体" w:hAnsi="宋体" w:cs="宋体"/>
          <w:color w:val="000000"/>
          <w:szCs w:val="24"/>
          <w:highlight w:val="none"/>
        </w:rPr>
        <w:t>与投标人以前在投标截止期方面的全部权利、责任和义务，将适用于延长至新的投标截止期。</w:t>
      </w:r>
    </w:p>
    <w:p>
      <w:pPr>
        <w:pStyle w:val="35"/>
        <w:spacing w:line="360" w:lineRule="auto"/>
        <w:rPr>
          <w:rFonts w:hAnsi="宋体" w:cs="宋体"/>
          <w:b/>
          <w:color w:val="000000"/>
          <w:sz w:val="24"/>
          <w:szCs w:val="24"/>
          <w:highlight w:val="none"/>
        </w:rPr>
      </w:pPr>
      <w:r>
        <w:rPr>
          <w:rFonts w:hint="eastAsia" w:hAnsi="宋体" w:cs="宋体"/>
          <w:b/>
          <w:color w:val="000000"/>
          <w:sz w:val="24"/>
          <w:szCs w:val="24"/>
          <w:highlight w:val="none"/>
        </w:rPr>
        <w:t>15.备份投标文件</w:t>
      </w:r>
    </w:p>
    <w:p>
      <w:pPr>
        <w:pStyle w:val="35"/>
        <w:spacing w:line="360" w:lineRule="auto"/>
        <w:ind w:firstLine="360" w:firstLineChars="150"/>
        <w:rPr>
          <w:rFonts w:hAnsi="宋体" w:cs="宋体"/>
          <w:b/>
          <w:color w:val="000000"/>
          <w:sz w:val="24"/>
          <w:szCs w:val="24"/>
          <w:highlight w:val="none"/>
        </w:rPr>
      </w:pPr>
      <w:r>
        <w:rPr>
          <w:rFonts w:hint="eastAsia" w:hAnsi="宋体" w:cs="宋体"/>
          <w:color w:val="000000"/>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000000"/>
          <w:sz w:val="24"/>
          <w:szCs w:val="24"/>
          <w:highlight w:val="none"/>
        </w:rPr>
        <w:t>但采购人、</w:t>
      </w:r>
      <w:r>
        <w:rPr>
          <w:rFonts w:hint="eastAsia" w:hAnsi="宋体" w:cs="宋体"/>
          <w:b/>
          <w:color w:val="000000"/>
          <w:sz w:val="24"/>
          <w:szCs w:val="24"/>
          <w:highlight w:val="none"/>
          <w:lang w:eastAsia="zh-CN"/>
        </w:rPr>
        <w:t>采购代理机构</w:t>
      </w:r>
      <w:r>
        <w:rPr>
          <w:rFonts w:hint="eastAsia" w:hAnsi="宋体" w:cs="宋体"/>
          <w:b/>
          <w:color w:val="000000"/>
          <w:sz w:val="24"/>
          <w:szCs w:val="24"/>
          <w:highlight w:val="none"/>
        </w:rPr>
        <w:t>不强制或变相强制投标人提交备份投标文件。</w:t>
      </w:r>
    </w:p>
    <w:p>
      <w:pPr>
        <w:pStyle w:val="35"/>
        <w:spacing w:line="360" w:lineRule="auto"/>
        <w:ind w:firstLine="480" w:firstLineChars="200"/>
        <w:rPr>
          <w:rFonts w:hAnsi="宋体" w:cs="宋体"/>
          <w:b/>
          <w:color w:val="000000"/>
          <w:sz w:val="24"/>
          <w:szCs w:val="24"/>
          <w:highlight w:val="none"/>
        </w:rPr>
      </w:pPr>
      <w:r>
        <w:rPr>
          <w:rFonts w:hint="eastAsia" w:hAnsi="宋体" w:cs="宋体"/>
          <w:color w:val="000000"/>
          <w:sz w:val="24"/>
          <w:szCs w:val="24"/>
          <w:highlight w:val="none"/>
        </w:rPr>
        <w:t>15.2备份投标文件须在“政采云投标客户端”制作生成，并储存在</w:t>
      </w:r>
      <w:r>
        <w:rPr>
          <w:rFonts w:hint="eastAsia" w:hAnsi="宋体" w:cs="宋体"/>
          <w:color w:val="000000"/>
          <w:sz w:val="24"/>
          <w:highlight w:val="none"/>
        </w:rPr>
        <w:t>DVD光盘</w:t>
      </w:r>
      <w:r>
        <w:rPr>
          <w:rFonts w:hint="eastAsia" w:hAnsi="宋体" w:cs="宋体"/>
          <w:color w:val="000000"/>
          <w:sz w:val="24"/>
          <w:highlight w:val="none"/>
          <w:lang w:val="en-US" w:eastAsia="zh-CN"/>
        </w:rPr>
        <w:t>等存储介质</w:t>
      </w:r>
      <w:r>
        <w:rPr>
          <w:rFonts w:hint="eastAsia" w:hAnsi="宋体" w:cs="宋体"/>
          <w:color w:val="000000"/>
          <w:sz w:val="24"/>
          <w:szCs w:val="24"/>
          <w:highlight w:val="none"/>
        </w:rPr>
        <w:t>中。备份投标文件应当密封包装并在包装上加盖公章并注明投标</w:t>
      </w:r>
      <w:r>
        <w:rPr>
          <w:rFonts w:hint="eastAsia" w:hAnsi="宋体" w:cs="宋体"/>
          <w:color w:val="000000"/>
          <w:sz w:val="24"/>
          <w:szCs w:val="24"/>
          <w:highlight w:val="none"/>
          <w:lang w:val="en-US" w:eastAsia="zh-CN"/>
        </w:rPr>
        <w:t>项目名称</w:t>
      </w:r>
      <w:r>
        <w:rPr>
          <w:rFonts w:hint="eastAsia" w:hAnsi="宋体" w:cs="宋体"/>
          <w:color w:val="000000"/>
          <w:sz w:val="24"/>
          <w:szCs w:val="24"/>
          <w:highlight w:val="none"/>
        </w:rPr>
        <w:t>，投标人名称(联合体投标的，包装物封面需注明联合体投标，并注明联合体成员各方的名称和联合协议中约定的牵头人的名称)。</w:t>
      </w:r>
      <w:r>
        <w:rPr>
          <w:rFonts w:hint="eastAsia" w:hAnsi="宋体" w:cs="宋体"/>
          <w:b/>
          <w:color w:val="000000"/>
          <w:sz w:val="24"/>
          <w:highlight w:val="none"/>
        </w:rPr>
        <w:t>不符合上述制作、</w:t>
      </w:r>
      <w:r>
        <w:rPr>
          <w:rFonts w:hint="eastAsia" w:hAnsi="宋体" w:cs="宋体"/>
          <w:b/>
          <w:color w:val="000000"/>
          <w:sz w:val="24"/>
          <w:szCs w:val="24"/>
          <w:highlight w:val="none"/>
        </w:rPr>
        <w:t>存储、密封规定的备份投标文件将被视为无效或者被拒绝接收。</w:t>
      </w:r>
    </w:p>
    <w:p>
      <w:pPr>
        <w:pStyle w:val="35"/>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15.3直接提交备份投标文件的，投标人应于投标截止时间前在招标公告中载明的开标地点将备份投标文件提交给</w:t>
      </w:r>
      <w:r>
        <w:rPr>
          <w:rFonts w:hint="eastAsia" w:hAnsi="宋体" w:cs="宋体"/>
          <w:color w:val="000000"/>
          <w:sz w:val="24"/>
          <w:szCs w:val="24"/>
          <w:highlight w:val="none"/>
          <w:lang w:eastAsia="zh-CN"/>
        </w:rPr>
        <w:t>采购代理机构</w:t>
      </w:r>
      <w:r>
        <w:rPr>
          <w:rFonts w:hint="eastAsia" w:hAnsi="宋体" w:cs="宋体"/>
          <w:color w:val="000000"/>
          <w:sz w:val="24"/>
          <w:szCs w:val="24"/>
          <w:highlight w:val="none"/>
        </w:rPr>
        <w:t>，</w:t>
      </w:r>
      <w:r>
        <w:rPr>
          <w:rFonts w:hint="eastAsia" w:hAnsi="宋体" w:cs="宋体"/>
          <w:color w:val="000000"/>
          <w:sz w:val="24"/>
          <w:szCs w:val="24"/>
          <w:highlight w:val="none"/>
          <w:lang w:eastAsia="zh-CN"/>
        </w:rPr>
        <w:t>采购代理机构</w:t>
      </w:r>
      <w:r>
        <w:rPr>
          <w:rFonts w:hint="eastAsia" w:hAnsi="宋体" w:cs="宋体"/>
          <w:color w:val="000000"/>
          <w:sz w:val="24"/>
          <w:szCs w:val="24"/>
          <w:highlight w:val="none"/>
        </w:rPr>
        <w:t>将拒绝接受逾期送达的备份投标文件。</w:t>
      </w:r>
    </w:p>
    <w:p>
      <w:pPr>
        <w:pStyle w:val="35"/>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hAnsi="宋体" w:cs="宋体"/>
          <w:color w:val="000000"/>
          <w:sz w:val="24"/>
          <w:szCs w:val="24"/>
          <w:highlight w:val="none"/>
          <w:lang w:eastAsia="zh-CN"/>
        </w:rPr>
        <w:t>采购代理机构</w:t>
      </w:r>
      <w:r>
        <w:rPr>
          <w:rFonts w:hint="eastAsia" w:hAnsi="宋体" w:cs="宋体"/>
          <w:color w:val="000000"/>
          <w:sz w:val="24"/>
          <w:szCs w:val="24"/>
          <w:highlight w:val="none"/>
        </w:rPr>
        <w:t>将拒绝接受逾期送达的备份投标文件。邮寄过程中，电子备份投标文件发生泄露、遗失、损坏或延期送达等情况的，由投标人自行负责。</w:t>
      </w:r>
    </w:p>
    <w:p>
      <w:pPr>
        <w:pStyle w:val="35"/>
        <w:spacing w:line="360" w:lineRule="auto"/>
        <w:ind w:firstLine="479" w:firstLineChars="199"/>
        <w:rPr>
          <w:rFonts w:hAnsi="宋体" w:cs="宋体"/>
          <w:b/>
          <w:color w:val="000000"/>
          <w:sz w:val="24"/>
          <w:szCs w:val="24"/>
          <w:highlight w:val="none"/>
        </w:rPr>
      </w:pPr>
      <w:r>
        <w:rPr>
          <w:rFonts w:hint="eastAsia" w:hAnsi="宋体" w:cs="宋体"/>
          <w:b/>
          <w:color w:val="000000"/>
          <w:sz w:val="24"/>
          <w:szCs w:val="24"/>
          <w:highlight w:val="none"/>
        </w:rPr>
        <w:t>15.5投标人仅提交备份投标文件，未在电子交易平台传输递交投标文件的，投标无效。</w:t>
      </w:r>
    </w:p>
    <w:p>
      <w:pPr>
        <w:pStyle w:val="153"/>
        <w:spacing w:before="0"/>
        <w:ind w:firstLine="0" w:firstLineChars="0"/>
        <w:rPr>
          <w:rFonts w:ascii="宋体" w:hAnsi="宋体" w:cs="宋体"/>
          <w:b/>
          <w:color w:val="000000"/>
          <w:szCs w:val="24"/>
          <w:highlight w:val="none"/>
        </w:rPr>
      </w:pPr>
      <w:r>
        <w:rPr>
          <w:rFonts w:hint="eastAsia" w:ascii="宋体" w:hAnsi="宋体" w:cs="宋体"/>
          <w:b/>
          <w:color w:val="000000"/>
          <w:szCs w:val="24"/>
          <w:highlight w:val="none"/>
        </w:rPr>
        <w:t>16.投标文件的无效处理</w:t>
      </w:r>
    </w:p>
    <w:p>
      <w:pPr>
        <w:pStyle w:val="26"/>
        <w:spacing w:line="360" w:lineRule="auto"/>
        <w:ind w:firstLine="360" w:firstLineChars="150"/>
        <w:rPr>
          <w:rFonts w:cs="宋体"/>
          <w:color w:val="000000"/>
          <w:szCs w:val="21"/>
          <w:highlight w:val="none"/>
        </w:rPr>
      </w:pPr>
      <w:r>
        <w:rPr>
          <w:rFonts w:hint="eastAsia" w:cs="宋体"/>
          <w:color w:val="000000"/>
          <w:szCs w:val="21"/>
          <w:highlight w:val="none"/>
        </w:rPr>
        <w:t>有招标文件第四部分</w:t>
      </w:r>
      <w:r>
        <w:rPr>
          <w:rFonts w:cs="宋体"/>
          <w:color w:val="000000"/>
          <w:szCs w:val="21"/>
          <w:highlight w:val="none"/>
        </w:rPr>
        <w:t>4.2规定</w:t>
      </w:r>
      <w:r>
        <w:rPr>
          <w:rFonts w:hint="eastAsia" w:cs="宋体"/>
          <w:color w:val="000000"/>
          <w:szCs w:val="21"/>
          <w:highlight w:val="none"/>
        </w:rPr>
        <w:t>的情形之一的，投标无效：</w:t>
      </w:r>
    </w:p>
    <w:p>
      <w:pPr>
        <w:pStyle w:val="153"/>
        <w:spacing w:before="0"/>
        <w:ind w:firstLine="0" w:firstLineChars="0"/>
        <w:rPr>
          <w:rFonts w:ascii="宋体" w:hAnsi="宋体" w:cs="宋体"/>
          <w:b/>
          <w:color w:val="000000"/>
          <w:szCs w:val="24"/>
          <w:highlight w:val="none"/>
        </w:rPr>
      </w:pPr>
      <w:r>
        <w:rPr>
          <w:rFonts w:hint="eastAsia" w:ascii="宋体" w:hAnsi="宋体" w:cs="宋体"/>
          <w:b/>
          <w:color w:val="000000"/>
          <w:szCs w:val="24"/>
          <w:highlight w:val="none"/>
        </w:rPr>
        <w:t>17.投标有效期</w:t>
      </w:r>
    </w:p>
    <w:p>
      <w:pPr>
        <w:spacing w:line="360" w:lineRule="auto"/>
        <w:ind w:firstLine="480" w:firstLineChars="200"/>
        <w:rPr>
          <w:rFonts w:ascii="宋体" w:hAnsi="宋体" w:cs="宋体"/>
          <w:b/>
          <w:color w:val="000000"/>
          <w:sz w:val="24"/>
          <w:szCs w:val="21"/>
          <w:highlight w:val="none"/>
        </w:rPr>
      </w:pPr>
      <w:r>
        <w:rPr>
          <w:rFonts w:hint="eastAsia" w:ascii="宋体" w:hAnsi="宋体" w:cs="宋体"/>
          <w:color w:val="000000"/>
          <w:sz w:val="24"/>
          <w:szCs w:val="20"/>
          <w:highlight w:val="none"/>
        </w:rPr>
        <w:t>17.1投标有效期为从提交投标文件的截止之日起90天。▲</w:t>
      </w:r>
      <w:r>
        <w:rPr>
          <w:rFonts w:hint="eastAsia" w:ascii="宋体" w:hAnsi="宋体" w:cs="宋体"/>
          <w:b/>
          <w:color w:val="000000"/>
          <w:sz w:val="24"/>
          <w:szCs w:val="20"/>
          <w:highlight w:val="none"/>
        </w:rPr>
        <w:t>投标人的投标文件中承</w:t>
      </w:r>
      <w:r>
        <w:rPr>
          <w:rFonts w:hint="eastAsia" w:ascii="宋体" w:hAnsi="宋体" w:cs="宋体"/>
          <w:b/>
          <w:color w:val="000000"/>
          <w:sz w:val="24"/>
          <w:szCs w:val="21"/>
          <w:highlight w:val="none"/>
        </w:rPr>
        <w:t>诺的投标有效期少于招标文件中载明的投标有效期的，投标无效。</w:t>
      </w:r>
    </w:p>
    <w:p>
      <w:pPr>
        <w:pStyle w:val="153"/>
        <w:spacing w:before="0"/>
        <w:ind w:firstLine="480"/>
        <w:rPr>
          <w:rFonts w:ascii="宋体" w:hAnsi="宋体" w:cs="宋体"/>
          <w:color w:val="000000"/>
          <w:highlight w:val="none"/>
        </w:rPr>
      </w:pPr>
      <w:r>
        <w:rPr>
          <w:rFonts w:hint="eastAsia" w:ascii="宋体" w:hAnsi="宋体" w:cs="宋体"/>
          <w:color w:val="000000"/>
          <w:highlight w:val="none"/>
        </w:rPr>
        <w:t>17.2投标文件合格投递后，自投标截止日期起，在投标有效期内有效。</w:t>
      </w:r>
    </w:p>
    <w:p>
      <w:pPr>
        <w:pStyle w:val="153"/>
        <w:spacing w:before="0"/>
        <w:ind w:firstLine="480"/>
        <w:rPr>
          <w:rFonts w:ascii="宋体" w:hAnsi="宋体" w:cs="宋体"/>
          <w:color w:val="000000"/>
          <w:highlight w:val="none"/>
        </w:rPr>
      </w:pPr>
      <w:r>
        <w:rPr>
          <w:rFonts w:hint="eastAsia" w:ascii="宋体" w:hAnsi="宋体" w:cs="宋体"/>
          <w:color w:val="000000"/>
          <w:highlight w:val="none"/>
        </w:rPr>
        <w:t>17.3在原定投标有效期满之前，如果出现特殊情况，</w:t>
      </w:r>
      <w:r>
        <w:rPr>
          <w:rFonts w:hint="eastAsia" w:ascii="宋体" w:hAnsi="宋体" w:cs="宋体"/>
          <w:color w:val="000000"/>
          <w:highlight w:val="none"/>
          <w:lang w:eastAsia="zh-CN"/>
        </w:rPr>
        <w:t>采购代理机构</w:t>
      </w:r>
      <w:r>
        <w:rPr>
          <w:rFonts w:hint="eastAsia" w:ascii="宋体" w:hAnsi="宋体" w:cs="宋体"/>
          <w:color w:val="000000"/>
          <w:highlight w:val="none"/>
        </w:rPr>
        <w:t>可以以书面形式通知投标人延长投标有效期。投标人同意延长的，不得要求或被允许修改其投标文件，投标人拒绝延长的，其投标无效。</w:t>
      </w:r>
    </w:p>
    <w:p>
      <w:pPr>
        <w:pStyle w:val="153"/>
        <w:spacing w:before="0"/>
        <w:ind w:firstLine="643"/>
        <w:rPr>
          <w:rFonts w:ascii="宋体" w:hAnsi="宋体" w:cs="宋体"/>
          <w:b/>
          <w:color w:val="000000"/>
          <w:sz w:val="32"/>
          <w:highlight w:val="none"/>
        </w:rPr>
      </w:pPr>
    </w:p>
    <w:p>
      <w:pPr>
        <w:pStyle w:val="153"/>
        <w:spacing w:before="0"/>
        <w:ind w:firstLine="1928" w:firstLineChars="600"/>
        <w:rPr>
          <w:rFonts w:ascii="宋体" w:hAnsi="宋体" w:cs="宋体"/>
          <w:b/>
          <w:color w:val="000000"/>
          <w:sz w:val="32"/>
          <w:highlight w:val="none"/>
        </w:rPr>
      </w:pPr>
      <w:r>
        <w:rPr>
          <w:rFonts w:hint="eastAsia" w:ascii="宋体" w:hAnsi="宋体" w:cs="宋体"/>
          <w:b/>
          <w:color w:val="000000"/>
          <w:sz w:val="32"/>
          <w:highlight w:val="none"/>
        </w:rPr>
        <w:t>四、开标、资格审查与信用信息查询</w:t>
      </w:r>
    </w:p>
    <w:p>
      <w:pPr>
        <w:pStyle w:val="258"/>
        <w:spacing w:before="0" w:line="360" w:lineRule="auto"/>
        <w:ind w:left="0" w:firstLine="241" w:firstLineChars="100"/>
        <w:contextualSpacing/>
        <w:rPr>
          <w:rFonts w:ascii="宋体" w:hAnsi="宋体" w:cs="宋体"/>
          <w:color w:val="000000"/>
          <w:sz w:val="24"/>
          <w:highlight w:val="none"/>
        </w:rPr>
      </w:pPr>
      <w:r>
        <w:rPr>
          <w:rFonts w:hint="eastAsia" w:ascii="宋体" w:hAnsi="宋体" w:cs="宋体"/>
          <w:b/>
          <w:color w:val="000000"/>
          <w:sz w:val="24"/>
          <w:szCs w:val="24"/>
          <w:highlight w:val="none"/>
        </w:rPr>
        <w:t>18.开标</w:t>
      </w:r>
      <w:r>
        <w:rPr>
          <w:rFonts w:hint="eastAsia" w:ascii="宋体" w:hAnsi="宋体" w:cs="宋体"/>
          <w:color w:val="000000"/>
          <w:sz w:val="24"/>
          <w:highlight w:val="none"/>
        </w:rPr>
        <w:t xml:space="preserve"> </w:t>
      </w:r>
    </w:p>
    <w:p>
      <w:pPr>
        <w:pStyle w:val="258"/>
        <w:wordWrap/>
        <w:adjustRightInd w:val="0"/>
        <w:spacing w:before="0" w:beforeAutospacing="0" w:line="360" w:lineRule="auto"/>
        <w:ind w:left="0" w:leftChars="0" w:right="0" w:firstLine="480" w:firstLineChars="200"/>
        <w:contextualSpacing/>
        <w:textAlignment w:val="auto"/>
        <w:outlineLvl w:val="9"/>
        <w:rPr>
          <w:rFonts w:ascii="宋体" w:hAnsi="宋体" w:cs="宋体"/>
          <w:color w:val="000000"/>
          <w:sz w:val="24"/>
          <w:highlight w:val="none"/>
        </w:rPr>
      </w:pPr>
      <w:r>
        <w:rPr>
          <w:rFonts w:hint="eastAsia" w:ascii="宋体" w:hAnsi="宋体" w:cs="宋体"/>
          <w:color w:val="000000"/>
          <w:sz w:val="24"/>
          <w:highlight w:val="none"/>
        </w:rPr>
        <w:t>18.1</w:t>
      </w:r>
      <w:r>
        <w:rPr>
          <w:rFonts w:hint="eastAsia" w:ascii="宋体" w:hAnsi="宋体" w:cs="宋体"/>
          <w:color w:val="000000"/>
          <w:sz w:val="24"/>
          <w:highlight w:val="none"/>
          <w:lang w:eastAsia="zh-CN"/>
        </w:rPr>
        <w:t>采购代理机构</w:t>
      </w:r>
      <w:r>
        <w:rPr>
          <w:rFonts w:hint="eastAsia" w:ascii="宋体" w:hAnsi="宋体" w:cs="宋体"/>
          <w:color w:val="000000"/>
          <w:sz w:val="24"/>
          <w:highlight w:val="none"/>
        </w:rPr>
        <w:t>按照招标文件规定的时间通过电子交易平台组织开标，所有投标人均应当准时在线参加。投标人不足3家的，不得开标。</w:t>
      </w:r>
    </w:p>
    <w:p>
      <w:pPr>
        <w:pStyle w:val="258"/>
        <w:wordWrap/>
        <w:adjustRightInd w:val="0"/>
        <w:spacing w:before="0" w:beforeAutospacing="0" w:line="360" w:lineRule="auto"/>
        <w:ind w:left="0" w:leftChars="0" w:right="0" w:firstLine="240" w:firstLineChars="100"/>
        <w:contextualSpacing/>
        <w:textAlignment w:val="auto"/>
        <w:outlineLvl w:val="9"/>
        <w:rPr>
          <w:rFonts w:ascii="宋体" w:hAnsi="宋体" w:cs="宋体"/>
          <w:color w:val="000000"/>
          <w:sz w:val="24"/>
          <w:highlight w:val="none"/>
        </w:rPr>
      </w:pPr>
      <w:r>
        <w:rPr>
          <w:rFonts w:hint="eastAsia" w:ascii="宋体" w:hAnsi="宋体" w:cs="宋体"/>
          <w:color w:val="000000"/>
          <w:sz w:val="24"/>
          <w:highlight w:val="none"/>
        </w:rPr>
        <w:t>　18.2开标时，电子交易平台按开标时间自动提取所有投标文件。</w:t>
      </w:r>
      <w:r>
        <w:rPr>
          <w:rFonts w:hint="eastAsia" w:ascii="宋体" w:hAnsi="宋体" w:cs="宋体"/>
          <w:color w:val="000000"/>
          <w:sz w:val="24"/>
          <w:highlight w:val="none"/>
          <w:lang w:eastAsia="zh-CN"/>
        </w:rPr>
        <w:t>采购代理机构</w:t>
      </w:r>
      <w:r>
        <w:rPr>
          <w:rFonts w:hint="eastAsia" w:ascii="宋体" w:hAnsi="宋体" w:cs="宋体"/>
          <w:color w:val="000000"/>
          <w:sz w:val="24"/>
          <w:highlight w:val="none"/>
        </w:rPr>
        <w:t>依托电子交易平台发起开始解密指令，投标人按照平台提示和招标文件的规定在半小时内完成在线解密。</w:t>
      </w:r>
    </w:p>
    <w:p>
      <w:pPr>
        <w:pStyle w:val="258"/>
        <w:wordWrap/>
        <w:adjustRightInd w:val="0"/>
        <w:spacing w:before="0" w:beforeAutospacing="0" w:line="360" w:lineRule="auto"/>
        <w:ind w:left="0" w:leftChars="0" w:right="0" w:firstLine="240" w:firstLineChars="100"/>
        <w:contextualSpacing/>
        <w:textAlignment w:val="auto"/>
        <w:outlineLvl w:val="9"/>
        <w:rPr>
          <w:rFonts w:ascii="宋体" w:hAnsi="宋体" w:cs="宋体"/>
          <w:b/>
          <w:color w:val="000000"/>
          <w:sz w:val="24"/>
          <w:highlight w:val="none"/>
        </w:rPr>
      </w:pPr>
      <w:r>
        <w:rPr>
          <w:rFonts w:hint="eastAsia" w:ascii="宋体" w:hAnsi="宋体" w:cs="宋体"/>
          <w:color w:val="000000"/>
          <w:sz w:val="24"/>
          <w:highlight w:val="none"/>
        </w:rPr>
        <w:t>　18.3</w:t>
      </w:r>
      <w:r>
        <w:rPr>
          <w:rFonts w:hint="eastAsia" w:ascii="宋体" w:hAnsi="宋体" w:cs="宋体"/>
          <w:b/>
          <w:color w:val="000000"/>
          <w:sz w:val="24"/>
          <w:highlight w:val="none"/>
        </w:rPr>
        <w:t>投标文件未按时解密，投标人提供了备份投标文件的，以备份投标文件作为依据，否则视为投标文件撤回。投标文件已按时解密的，备份投标文件自动失效。</w:t>
      </w:r>
    </w:p>
    <w:p>
      <w:pPr>
        <w:widowControl/>
        <w:wordWrap/>
        <w:adjustRightInd w:val="0"/>
        <w:spacing w:beforeAutospacing="0" w:line="360" w:lineRule="auto"/>
        <w:ind w:left="0" w:leftChars="0" w:right="0"/>
        <w:jc w:val="left"/>
        <w:textAlignment w:val="auto"/>
        <w:outlineLvl w:val="9"/>
        <w:rPr>
          <w:rFonts w:ascii="宋体" w:hAnsi="宋体" w:cs="宋体"/>
          <w:b/>
          <w:color w:val="000000"/>
          <w:sz w:val="24"/>
          <w:szCs w:val="20"/>
          <w:highlight w:val="none"/>
        </w:rPr>
      </w:pPr>
      <w:r>
        <w:rPr>
          <w:rFonts w:hint="eastAsia" w:ascii="宋体" w:hAnsi="宋体" w:cs="宋体"/>
          <w:b/>
          <w:color w:val="000000"/>
          <w:sz w:val="24"/>
          <w:szCs w:val="20"/>
          <w:highlight w:val="none"/>
        </w:rPr>
        <w:t>　19、资格审查</w:t>
      </w:r>
    </w:p>
    <w:p>
      <w:pPr>
        <w:wordWrap/>
        <w:adjustRightInd w:val="0"/>
        <w:snapToGrid w:val="0"/>
        <w:spacing w:beforeAutospacing="0" w:line="360" w:lineRule="auto"/>
        <w:ind w:left="0" w:leftChars="0" w:right="0" w:firstLine="480" w:firstLineChars="200"/>
        <w:textAlignment w:val="auto"/>
        <w:outlineLvl w:val="9"/>
        <w:rPr>
          <w:rFonts w:ascii="宋体" w:hAnsi="宋体" w:cs="宋体"/>
          <w:color w:val="000000"/>
          <w:sz w:val="24"/>
          <w:highlight w:val="none"/>
        </w:rPr>
      </w:pPr>
      <w:r>
        <w:rPr>
          <w:rFonts w:hint="eastAsia" w:ascii="宋体" w:hAnsi="宋体" w:cs="宋体"/>
          <w:color w:val="000000"/>
          <w:kern w:val="0"/>
          <w:sz w:val="24"/>
          <w:highlight w:val="none"/>
        </w:rPr>
        <w:t>19.</w:t>
      </w:r>
      <w:r>
        <w:rPr>
          <w:rFonts w:hint="eastAsia" w:ascii="宋体" w:hAnsi="宋体" w:cs="宋体"/>
          <w:color w:val="000000"/>
          <w:kern w:val="0"/>
          <w:sz w:val="24"/>
          <w:highlight w:val="none"/>
          <w:lang w:val="en-US" w:eastAsia="zh-CN"/>
        </w:rPr>
        <w:t>1</w:t>
      </w:r>
      <w:r>
        <w:rPr>
          <w:rFonts w:hint="eastAsia" w:ascii="宋体" w:hAnsi="宋体" w:cs="宋体"/>
          <w:color w:val="000000"/>
          <w:sz w:val="24"/>
          <w:highlight w:val="none"/>
        </w:rPr>
        <w:t>采购人或</w:t>
      </w:r>
      <w:r>
        <w:rPr>
          <w:rFonts w:hint="eastAsia" w:ascii="宋体" w:hAnsi="宋体" w:cs="宋体"/>
          <w:color w:val="000000"/>
          <w:sz w:val="24"/>
          <w:highlight w:val="none"/>
          <w:lang w:eastAsia="zh-CN"/>
        </w:rPr>
        <w:t>采购代理机构</w:t>
      </w:r>
      <w:r>
        <w:rPr>
          <w:rFonts w:hint="eastAsia" w:ascii="宋体" w:hAnsi="宋体" w:cs="宋体"/>
          <w:color w:val="000000"/>
          <w:sz w:val="24"/>
          <w:highlight w:val="none"/>
        </w:rPr>
        <w:t>依据法律法规和招标文件的规定，对投标人的资格进行审查。</w:t>
      </w:r>
    </w:p>
    <w:p>
      <w:pPr>
        <w:pStyle w:val="153"/>
        <w:wordWrap/>
        <w:adjustRightInd w:val="0"/>
        <w:spacing w:before="0" w:beforeAutospacing="0" w:line="360" w:lineRule="auto"/>
        <w:ind w:left="0" w:leftChars="0" w:right="0" w:firstLine="480"/>
        <w:textAlignment w:val="auto"/>
        <w:outlineLvl w:val="9"/>
        <w:rPr>
          <w:rFonts w:ascii="宋体" w:hAnsi="宋体" w:cs="宋体"/>
          <w:color w:val="000000"/>
          <w:highlight w:val="none"/>
        </w:rPr>
      </w:pPr>
      <w:r>
        <w:rPr>
          <w:rFonts w:hint="eastAsia" w:ascii="宋体" w:hAnsi="宋体" w:cs="宋体"/>
          <w:color w:val="000000"/>
          <w:kern w:val="0"/>
          <w:szCs w:val="24"/>
          <w:highlight w:val="none"/>
        </w:rPr>
        <w:t>19.</w:t>
      </w:r>
      <w:r>
        <w:rPr>
          <w:rFonts w:hint="eastAsia" w:ascii="宋体" w:hAnsi="宋体" w:cs="宋体"/>
          <w:color w:val="000000"/>
          <w:kern w:val="0"/>
          <w:szCs w:val="24"/>
          <w:highlight w:val="none"/>
          <w:lang w:val="en-US" w:eastAsia="zh-CN"/>
        </w:rPr>
        <w:t>2</w:t>
      </w:r>
      <w:r>
        <w:rPr>
          <w:rFonts w:hint="eastAsia" w:ascii="宋体" w:hAnsi="宋体" w:cs="宋体"/>
          <w:color w:val="000000"/>
          <w:kern w:val="0"/>
          <w:szCs w:val="24"/>
          <w:highlight w:val="none"/>
        </w:rPr>
        <w:t>投标人未按照招标文件要求提供与</w:t>
      </w:r>
      <w:r>
        <w:rPr>
          <w:rFonts w:hint="eastAsia" w:ascii="宋体" w:hAnsi="宋体" w:cs="宋体"/>
          <w:color w:val="000000"/>
          <w:highlight w:val="none"/>
        </w:rPr>
        <w:t>资格条件相应的</w:t>
      </w:r>
      <w:r>
        <w:rPr>
          <w:rFonts w:hint="eastAsia" w:ascii="宋体" w:hAnsi="宋体" w:cs="宋体"/>
          <w:color w:val="000000"/>
          <w:kern w:val="0"/>
          <w:szCs w:val="24"/>
          <w:highlight w:val="none"/>
        </w:rPr>
        <w:t>有效资格证明材料的，视为</w:t>
      </w:r>
      <w:r>
        <w:rPr>
          <w:rFonts w:hint="eastAsia" w:ascii="宋体" w:hAnsi="宋体" w:cs="宋体"/>
          <w:color w:val="000000"/>
          <w:highlight w:val="none"/>
        </w:rPr>
        <w:t>投标人不具备招标文件中规定的资格要求，其投标无效。</w:t>
      </w:r>
    </w:p>
    <w:p>
      <w:pPr>
        <w:pStyle w:val="153"/>
        <w:wordWrap/>
        <w:adjustRightInd w:val="0"/>
        <w:spacing w:before="0" w:beforeAutospacing="0" w:line="360" w:lineRule="auto"/>
        <w:ind w:left="0" w:leftChars="0" w:right="0" w:firstLine="480"/>
        <w:textAlignment w:val="auto"/>
        <w:outlineLvl w:val="9"/>
        <w:rPr>
          <w:rFonts w:ascii="宋体" w:hAnsi="宋体" w:cs="宋体"/>
          <w:color w:val="000000"/>
          <w:highlight w:val="none"/>
        </w:rPr>
      </w:pPr>
      <w:r>
        <w:rPr>
          <w:rFonts w:hint="eastAsia" w:ascii="宋体" w:hAnsi="宋体" w:cs="宋体"/>
          <w:color w:val="000000"/>
          <w:kern w:val="0"/>
          <w:szCs w:val="24"/>
          <w:highlight w:val="none"/>
        </w:rPr>
        <w:t>19.</w:t>
      </w:r>
      <w:r>
        <w:rPr>
          <w:rFonts w:hint="eastAsia" w:ascii="宋体" w:hAnsi="宋体" w:cs="宋体"/>
          <w:color w:val="000000"/>
          <w:highlight w:val="none"/>
          <w:lang w:val="en-US" w:eastAsia="zh-CN"/>
        </w:rPr>
        <w:t>3</w:t>
      </w:r>
      <w:r>
        <w:rPr>
          <w:rFonts w:hint="eastAsia" w:ascii="宋体" w:hAnsi="宋体" w:cs="宋体"/>
          <w:color w:val="000000"/>
          <w:highlight w:val="none"/>
        </w:rPr>
        <w:t>对未通过资格审查的投标人，采购人或</w:t>
      </w:r>
      <w:r>
        <w:rPr>
          <w:rFonts w:hint="eastAsia" w:ascii="宋体" w:hAnsi="宋体" w:cs="宋体"/>
          <w:color w:val="000000"/>
          <w:highlight w:val="none"/>
          <w:lang w:eastAsia="zh-CN"/>
        </w:rPr>
        <w:t>采购代理机构</w:t>
      </w:r>
      <w:r>
        <w:rPr>
          <w:rFonts w:hint="eastAsia" w:ascii="宋体" w:hAnsi="宋体" w:cs="宋体"/>
          <w:color w:val="000000"/>
          <w:highlight w:val="none"/>
        </w:rPr>
        <w:t>告知其未通过的原因。</w:t>
      </w:r>
    </w:p>
    <w:p>
      <w:pPr>
        <w:pStyle w:val="153"/>
        <w:wordWrap/>
        <w:adjustRightInd w:val="0"/>
        <w:spacing w:before="0" w:beforeAutospacing="0" w:line="360" w:lineRule="auto"/>
        <w:ind w:left="0" w:leftChars="0" w:right="0" w:firstLine="480"/>
        <w:textAlignment w:val="auto"/>
        <w:outlineLvl w:val="9"/>
        <w:rPr>
          <w:rFonts w:ascii="宋体" w:hAnsi="宋体" w:cs="宋体"/>
          <w:color w:val="000000"/>
          <w:highlight w:val="none"/>
        </w:rPr>
      </w:pPr>
      <w:r>
        <w:rPr>
          <w:rFonts w:hint="eastAsia" w:ascii="宋体" w:hAnsi="宋体" w:cs="宋体"/>
          <w:color w:val="000000"/>
          <w:kern w:val="0"/>
          <w:szCs w:val="24"/>
          <w:highlight w:val="none"/>
        </w:rPr>
        <w:t>19.</w:t>
      </w:r>
      <w:r>
        <w:rPr>
          <w:rFonts w:hint="eastAsia" w:ascii="宋体" w:hAnsi="宋体" w:cs="宋体"/>
          <w:color w:val="000000"/>
          <w:highlight w:val="none"/>
          <w:lang w:val="en-US" w:eastAsia="zh-CN"/>
        </w:rPr>
        <w:t>4</w:t>
      </w:r>
      <w:r>
        <w:rPr>
          <w:rFonts w:hint="eastAsia" w:ascii="宋体" w:hAnsi="宋体" w:cs="宋体"/>
          <w:color w:val="000000"/>
          <w:highlight w:val="none"/>
        </w:rPr>
        <w:t>合格投标人不足3家的，不再评标。</w:t>
      </w:r>
    </w:p>
    <w:p>
      <w:pPr>
        <w:pStyle w:val="153"/>
        <w:wordWrap/>
        <w:adjustRightInd w:val="0"/>
        <w:spacing w:before="0" w:beforeAutospacing="0" w:line="360" w:lineRule="auto"/>
        <w:ind w:left="0" w:leftChars="0" w:right="0" w:firstLine="0" w:firstLineChars="0"/>
        <w:textAlignment w:val="auto"/>
        <w:outlineLvl w:val="9"/>
        <w:rPr>
          <w:rFonts w:ascii="宋体" w:hAnsi="宋体" w:cs="宋体"/>
          <w:b/>
          <w:color w:val="000000"/>
          <w:szCs w:val="24"/>
          <w:highlight w:val="none"/>
        </w:rPr>
      </w:pPr>
      <w:r>
        <w:rPr>
          <w:rFonts w:hint="eastAsia" w:ascii="宋体" w:hAnsi="宋体" w:cs="宋体"/>
          <w:b/>
          <w:color w:val="000000"/>
          <w:szCs w:val="24"/>
          <w:highlight w:val="none"/>
        </w:rPr>
        <w:t>20、信用信息查询</w:t>
      </w:r>
    </w:p>
    <w:p>
      <w:pPr>
        <w:pStyle w:val="153"/>
        <w:wordWrap/>
        <w:adjustRightInd w:val="0"/>
        <w:spacing w:before="0" w:beforeAutospacing="0" w:line="360" w:lineRule="auto"/>
        <w:ind w:left="0" w:leftChars="0" w:right="0" w:firstLine="495" w:firstLineChars="0"/>
        <w:textAlignment w:val="auto"/>
        <w:outlineLvl w:val="9"/>
        <w:rPr>
          <w:rFonts w:ascii="宋体" w:hAnsi="宋体" w:cs="宋体"/>
          <w:color w:val="000000"/>
          <w:kern w:val="0"/>
          <w:szCs w:val="24"/>
          <w:highlight w:val="none"/>
        </w:rPr>
      </w:pPr>
      <w:r>
        <w:rPr>
          <w:rFonts w:hint="eastAsia" w:ascii="宋体" w:hAnsi="宋体" w:cs="宋体"/>
          <w:color w:val="000000"/>
          <w:kern w:val="0"/>
          <w:szCs w:val="24"/>
          <w:highlight w:val="none"/>
        </w:rPr>
        <w:t>20.1信用信息查询渠道及截止时间：</w:t>
      </w:r>
      <w:r>
        <w:rPr>
          <w:rFonts w:hint="eastAsia" w:ascii="宋体" w:hAnsi="宋体" w:cs="宋体"/>
          <w:color w:val="000000"/>
          <w:kern w:val="0"/>
          <w:szCs w:val="24"/>
          <w:highlight w:val="none"/>
          <w:lang w:eastAsia="zh-CN"/>
        </w:rPr>
        <w:t>采购代理机构</w:t>
      </w:r>
      <w:r>
        <w:rPr>
          <w:rFonts w:hint="eastAsia" w:ascii="宋体" w:hAnsi="宋体" w:cs="宋体"/>
          <w:color w:val="000000"/>
          <w:kern w:val="0"/>
          <w:szCs w:val="24"/>
          <w:highlight w:val="none"/>
        </w:rPr>
        <w:t>将在资格审查时通过“信用中国”网站(www.creditchina.gov.cn)、中国政府采购网(www.ccgp.gov.cn)渠道查询投标人接受资格时的信用记录。</w:t>
      </w:r>
    </w:p>
    <w:p>
      <w:pPr>
        <w:pStyle w:val="153"/>
        <w:spacing w:before="0"/>
        <w:ind w:firstLine="495" w:firstLineChars="0"/>
        <w:rPr>
          <w:rFonts w:ascii="宋体" w:hAnsi="宋体" w:cs="宋体"/>
          <w:color w:val="000000"/>
          <w:kern w:val="0"/>
          <w:szCs w:val="24"/>
          <w:highlight w:val="none"/>
        </w:rPr>
      </w:pPr>
      <w:r>
        <w:rPr>
          <w:rFonts w:hint="eastAsia" w:ascii="宋体" w:hAnsi="宋体" w:cs="宋体"/>
          <w:color w:val="000000"/>
          <w:kern w:val="0"/>
          <w:szCs w:val="24"/>
          <w:highlight w:val="none"/>
        </w:rPr>
        <w:t>20.2信用信息查询记录和证据留存的具体方式：现场查询的投标人的信用记录、查询结果经确认后将与采购文件一起存档。</w:t>
      </w:r>
    </w:p>
    <w:p>
      <w:pPr>
        <w:pStyle w:val="153"/>
        <w:spacing w:before="0"/>
        <w:ind w:firstLine="495" w:firstLineChars="0"/>
        <w:rPr>
          <w:rFonts w:ascii="宋体" w:hAnsi="宋体" w:cs="宋体"/>
          <w:color w:val="000000"/>
          <w:kern w:val="0"/>
          <w:szCs w:val="24"/>
          <w:highlight w:val="none"/>
        </w:rPr>
      </w:pPr>
      <w:r>
        <w:rPr>
          <w:rFonts w:hint="eastAsia" w:ascii="宋体" w:hAnsi="宋体" w:cs="宋体"/>
          <w:color w:val="000000"/>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53"/>
        <w:spacing w:before="0"/>
        <w:ind w:firstLine="480"/>
        <w:rPr>
          <w:rFonts w:ascii="宋体" w:hAnsi="宋体" w:cs="宋体"/>
          <w:color w:val="000000"/>
          <w:highlight w:val="none"/>
        </w:rPr>
      </w:pPr>
      <w:r>
        <w:rPr>
          <w:rFonts w:hint="eastAsia" w:ascii="宋体" w:hAnsi="宋体" w:cs="宋体"/>
          <w:color w:val="000000"/>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highlight w:val="none"/>
        </w:rPr>
        <w:t>。</w:t>
      </w:r>
    </w:p>
    <w:p>
      <w:pPr>
        <w:pStyle w:val="153"/>
        <w:spacing w:before="0"/>
        <w:ind w:firstLine="0" w:firstLineChars="0"/>
        <w:rPr>
          <w:rFonts w:ascii="宋体" w:hAnsi="宋体" w:cs="宋体"/>
          <w:color w:val="000000"/>
          <w:kern w:val="0"/>
          <w:szCs w:val="24"/>
          <w:highlight w:val="none"/>
        </w:rPr>
      </w:pPr>
    </w:p>
    <w:p>
      <w:pPr>
        <w:snapToGrid w:val="0"/>
        <w:spacing w:line="360" w:lineRule="auto"/>
        <w:jc w:val="center"/>
        <w:outlineLvl w:val="0"/>
        <w:rPr>
          <w:rFonts w:ascii="宋体" w:hAnsi="宋体" w:cs="宋体"/>
          <w:b/>
          <w:color w:val="000000"/>
          <w:sz w:val="36"/>
          <w:szCs w:val="36"/>
          <w:highlight w:val="none"/>
        </w:rPr>
      </w:pPr>
      <w:r>
        <w:rPr>
          <w:rFonts w:hint="eastAsia" w:ascii="宋体" w:hAnsi="宋体" w:cs="宋体"/>
          <w:b/>
          <w:color w:val="000000"/>
          <w:sz w:val="36"/>
          <w:szCs w:val="36"/>
          <w:highlight w:val="none"/>
        </w:rPr>
        <w:t>五、评标</w:t>
      </w:r>
    </w:p>
    <w:p>
      <w:pPr>
        <w:spacing w:line="360" w:lineRule="auto"/>
        <w:rPr>
          <w:rFonts w:ascii="宋体" w:hAnsi="宋体" w:cs="宋体"/>
          <w:b/>
          <w:color w:val="000000"/>
          <w:sz w:val="24"/>
          <w:highlight w:val="none"/>
        </w:rPr>
      </w:pPr>
      <w:bookmarkStart w:id="13" w:name="_Toc91899903"/>
      <w:r>
        <w:rPr>
          <w:rFonts w:hint="eastAsia" w:ascii="宋体" w:hAnsi="宋体" w:cs="宋体"/>
          <w:b/>
          <w:color w:val="000000"/>
          <w:sz w:val="24"/>
          <w:highlight w:val="none"/>
        </w:rPr>
        <w:t>21.</w:t>
      </w:r>
      <w:r>
        <w:rPr>
          <w:rFonts w:hint="eastAsia" w:ascii="宋体" w:hAnsi="宋体" w:cs="宋体"/>
          <w:color w:val="000000"/>
          <w:highlight w:val="none"/>
        </w:rPr>
        <w:t xml:space="preserve"> </w:t>
      </w:r>
      <w:r>
        <w:rPr>
          <w:rFonts w:hint="eastAsia" w:ascii="宋体" w:hAnsi="宋体" w:cs="宋体"/>
          <w:color w:val="000000"/>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sz w:val="24"/>
          <w:highlight w:val="none"/>
        </w:rPr>
        <w:t>详见招标文件第四部分评标办法。</w:t>
      </w:r>
    </w:p>
    <w:p>
      <w:pPr>
        <w:spacing w:line="360" w:lineRule="auto"/>
        <w:rPr>
          <w:rFonts w:ascii="宋体" w:hAnsi="宋体" w:cs="宋体"/>
          <w:b/>
          <w:color w:val="000000"/>
          <w:sz w:val="24"/>
          <w:highlight w:val="none"/>
        </w:rPr>
      </w:pPr>
    </w:p>
    <w:p>
      <w:pPr>
        <w:snapToGrid w:val="0"/>
        <w:spacing w:line="360" w:lineRule="auto"/>
        <w:jc w:val="center"/>
        <w:outlineLvl w:val="0"/>
        <w:rPr>
          <w:rFonts w:ascii="宋体" w:hAnsi="宋体" w:cs="宋体"/>
          <w:b/>
          <w:color w:val="000000"/>
          <w:sz w:val="36"/>
          <w:szCs w:val="36"/>
          <w:highlight w:val="none"/>
        </w:rPr>
      </w:pPr>
      <w:r>
        <w:rPr>
          <w:rFonts w:hint="eastAsia" w:ascii="宋体" w:hAnsi="宋体" w:cs="宋体"/>
          <w:b/>
          <w:color w:val="000000"/>
          <w:sz w:val="36"/>
          <w:szCs w:val="36"/>
          <w:highlight w:val="none"/>
        </w:rPr>
        <w:t>六、定 标</w:t>
      </w:r>
    </w:p>
    <w:p>
      <w:pPr>
        <w:pStyle w:val="26"/>
        <w:spacing w:line="360" w:lineRule="auto"/>
        <w:ind w:left="479" w:hanging="479" w:hangingChars="199"/>
        <w:rPr>
          <w:rFonts w:cs="宋体"/>
          <w:b/>
          <w:color w:val="000000"/>
          <w:highlight w:val="none"/>
        </w:rPr>
      </w:pPr>
      <w:r>
        <w:rPr>
          <w:rFonts w:hint="eastAsia" w:cs="宋体"/>
          <w:b/>
          <w:color w:val="000000"/>
          <w:highlight w:val="none"/>
        </w:rPr>
        <w:t>22. 确定中标供应商</w:t>
      </w:r>
    </w:p>
    <w:p>
      <w:pPr>
        <w:pStyle w:val="153"/>
        <w:snapToGrid w:val="0"/>
        <w:spacing w:before="0"/>
        <w:ind w:firstLine="480"/>
        <w:rPr>
          <w:rFonts w:ascii="宋体" w:hAnsi="宋体" w:cs="宋体"/>
          <w:b/>
          <w:color w:val="000000"/>
          <w:szCs w:val="24"/>
          <w:highlight w:val="none"/>
        </w:rPr>
      </w:pPr>
      <w:r>
        <w:rPr>
          <w:rFonts w:hint="eastAsia" w:ascii="宋体" w:hAnsi="宋体" w:cs="宋体"/>
          <w:color w:val="000000"/>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53"/>
        <w:snapToGrid w:val="0"/>
        <w:spacing w:before="0"/>
        <w:ind w:firstLine="0" w:firstLineChars="0"/>
        <w:rPr>
          <w:rFonts w:ascii="宋体" w:hAnsi="宋体" w:cs="宋体"/>
          <w:b/>
          <w:color w:val="000000"/>
          <w:szCs w:val="24"/>
          <w:highlight w:val="none"/>
        </w:rPr>
      </w:pPr>
      <w:r>
        <w:rPr>
          <w:rFonts w:hint="eastAsia" w:ascii="宋体" w:hAnsi="宋体" w:cs="宋体"/>
          <w:b/>
          <w:color w:val="000000"/>
          <w:szCs w:val="24"/>
          <w:highlight w:val="none"/>
        </w:rPr>
        <w:t>23. 中标通知与中标结果公告</w:t>
      </w:r>
    </w:p>
    <w:p>
      <w:pPr>
        <w:widowControl/>
        <w:shd w:val="clear" w:color="auto" w:fill="FFFFFF"/>
        <w:spacing w:line="360" w:lineRule="auto"/>
        <w:ind w:firstLine="480"/>
        <w:jc w:val="left"/>
        <w:rPr>
          <w:rFonts w:ascii="宋体" w:hAnsi="宋体" w:cs="宋体"/>
          <w:color w:val="000000"/>
          <w:sz w:val="24"/>
          <w:highlight w:val="none"/>
        </w:rPr>
      </w:pPr>
      <w:r>
        <w:rPr>
          <w:rFonts w:hint="eastAsia" w:ascii="宋体" w:hAnsi="宋体" w:cs="宋体"/>
          <w:color w:val="000000"/>
          <w:sz w:val="24"/>
          <w:highlight w:val="none"/>
        </w:rPr>
        <w:t>23.1自中标人确定之日起2个工作日内，</w:t>
      </w:r>
      <w:r>
        <w:rPr>
          <w:rFonts w:hint="eastAsia" w:ascii="宋体" w:hAnsi="宋体" w:cs="宋体"/>
          <w:color w:val="000000"/>
          <w:sz w:val="24"/>
          <w:highlight w:val="none"/>
          <w:lang w:eastAsia="zh-CN"/>
        </w:rPr>
        <w:t>采购代理机构</w:t>
      </w:r>
      <w:r>
        <w:rPr>
          <w:rFonts w:hint="eastAsia" w:ascii="宋体" w:hAnsi="宋体" w:cs="宋体"/>
          <w:color w:val="000000"/>
          <w:sz w:val="24"/>
          <w:highlight w:val="none"/>
        </w:rPr>
        <w:t>通过电子交易平台向中标人发出中标通知书，同时编制发布采购结果公告。</w:t>
      </w:r>
      <w:r>
        <w:rPr>
          <w:rFonts w:hint="eastAsia" w:ascii="宋体" w:hAnsi="宋体" w:cs="宋体"/>
          <w:color w:val="000000"/>
          <w:sz w:val="24"/>
          <w:highlight w:val="none"/>
          <w:lang w:eastAsia="zh-CN"/>
        </w:rPr>
        <w:t>采购代理机构</w:t>
      </w:r>
      <w:r>
        <w:rPr>
          <w:rFonts w:hint="eastAsia" w:ascii="宋体" w:hAnsi="宋体" w:cs="宋体"/>
          <w:color w:val="000000"/>
          <w:sz w:val="24"/>
          <w:highlight w:val="none"/>
        </w:rPr>
        <w:t>也可以以纸质形式进行中标通知。</w:t>
      </w:r>
    </w:p>
    <w:p>
      <w:pPr>
        <w:widowControl/>
        <w:shd w:val="clear" w:color="auto" w:fill="FFFFFF"/>
        <w:spacing w:line="360" w:lineRule="auto"/>
        <w:ind w:firstLine="480"/>
        <w:jc w:val="left"/>
        <w:rPr>
          <w:rFonts w:ascii="宋体" w:hAnsi="宋体" w:cs="宋体"/>
          <w:color w:val="000000"/>
          <w:sz w:val="24"/>
          <w:highlight w:val="none"/>
        </w:rPr>
      </w:pPr>
      <w:r>
        <w:rPr>
          <w:rFonts w:hint="eastAsia" w:ascii="宋体" w:hAnsi="宋体" w:cs="宋体"/>
          <w:color w:val="000000"/>
          <w:sz w:val="24"/>
          <w:highlight w:val="none"/>
        </w:rPr>
        <w:t>23.2中标结果公告内容包括采购人及其委托的</w:t>
      </w:r>
      <w:r>
        <w:rPr>
          <w:rFonts w:hint="eastAsia" w:ascii="宋体" w:hAnsi="宋体" w:cs="宋体"/>
          <w:color w:val="000000"/>
          <w:sz w:val="24"/>
          <w:highlight w:val="none"/>
          <w:lang w:eastAsia="zh-CN"/>
        </w:rPr>
        <w:t>采购代理机构</w:t>
      </w:r>
      <w:r>
        <w:rPr>
          <w:rFonts w:hint="eastAsia" w:ascii="宋体" w:hAnsi="宋体" w:cs="宋体"/>
          <w:color w:val="000000"/>
          <w:sz w:val="24"/>
          <w:highlight w:val="none"/>
        </w:rPr>
        <w:t>的名称、地址、联系方式，</w:t>
      </w:r>
      <w:r>
        <w:rPr>
          <w:rFonts w:hint="eastAsia" w:ascii="宋体" w:hAnsi="宋体" w:cs="宋体"/>
          <w:color w:val="000000"/>
          <w:sz w:val="24"/>
          <w:highlight w:val="none"/>
          <w:lang w:eastAsia="zh-CN"/>
        </w:rPr>
        <w:t>良渚消防站电力配电项目</w:t>
      </w:r>
      <w:r>
        <w:rPr>
          <w:rFonts w:hint="eastAsia" w:ascii="宋体" w:hAnsi="宋体" w:cs="宋体"/>
          <w:color w:val="000000"/>
          <w:sz w:val="24"/>
          <w:highlight w:val="none"/>
        </w:rPr>
        <w:t>和项目编号，中标人名称、地址和中标金额，主要中标标的的名称、规格型号、数量、单价、服务要求，开标记录、</w:t>
      </w:r>
      <w:bookmarkStart w:id="14" w:name="_Hlk101184471"/>
      <w:r>
        <w:rPr>
          <w:rFonts w:hint="eastAsia" w:ascii="宋体" w:hAnsi="宋体" w:cs="宋体"/>
          <w:color w:val="000000"/>
          <w:sz w:val="24"/>
          <w:highlight w:val="none"/>
        </w:rPr>
        <w:t>资格审查情况、评审专家抽取规则、符合性审查情况、</w:t>
      </w:r>
      <w:bookmarkEnd w:id="14"/>
      <w:r>
        <w:rPr>
          <w:rFonts w:hint="eastAsia" w:ascii="宋体" w:hAnsi="宋体" w:cs="宋体"/>
          <w:color w:val="000000"/>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000000"/>
          <w:sz w:val="24"/>
          <w:highlight w:val="none"/>
        </w:rPr>
      </w:pPr>
      <w:r>
        <w:rPr>
          <w:rFonts w:hint="eastAsia" w:ascii="宋体" w:hAnsi="宋体" w:cs="宋体"/>
          <w:color w:val="000000"/>
          <w:sz w:val="24"/>
          <w:highlight w:val="none"/>
        </w:rPr>
        <w:t>23.3公告期限为1个工作日。</w:t>
      </w:r>
    </w:p>
    <w:p>
      <w:pPr>
        <w:snapToGrid w:val="0"/>
        <w:spacing w:line="360" w:lineRule="auto"/>
        <w:ind w:left="120" w:leftChars="57" w:firstLine="482" w:firstLineChars="150"/>
        <w:jc w:val="center"/>
        <w:rPr>
          <w:rFonts w:ascii="宋体" w:hAnsi="宋体" w:cs="宋体"/>
          <w:b/>
          <w:color w:val="000000"/>
          <w:sz w:val="32"/>
          <w:highlight w:val="none"/>
        </w:rPr>
      </w:pPr>
    </w:p>
    <w:p>
      <w:pPr>
        <w:snapToGrid w:val="0"/>
        <w:spacing w:line="360" w:lineRule="auto"/>
        <w:ind w:left="120" w:leftChars="57" w:firstLine="482" w:firstLineChars="150"/>
        <w:jc w:val="center"/>
        <w:rPr>
          <w:rFonts w:ascii="宋体" w:hAnsi="宋体" w:cs="宋体"/>
          <w:b/>
          <w:color w:val="000000"/>
          <w:sz w:val="32"/>
          <w:highlight w:val="none"/>
        </w:rPr>
      </w:pPr>
      <w:r>
        <w:rPr>
          <w:rFonts w:hint="eastAsia" w:ascii="宋体" w:hAnsi="宋体" w:cs="宋体"/>
          <w:b/>
          <w:color w:val="000000"/>
          <w:sz w:val="32"/>
          <w:highlight w:val="none"/>
        </w:rPr>
        <w:t>七、合同授予</w:t>
      </w:r>
    </w:p>
    <w:p>
      <w:pPr>
        <w:pStyle w:val="26"/>
        <w:spacing w:line="360" w:lineRule="auto"/>
        <w:ind w:left="479" w:hanging="479" w:hangingChars="199"/>
        <w:rPr>
          <w:rFonts w:cs="宋体"/>
          <w:b/>
          <w:color w:val="000000"/>
          <w:highlight w:val="none"/>
        </w:rPr>
      </w:pPr>
      <w:r>
        <w:rPr>
          <w:rFonts w:hint="eastAsia" w:cs="宋体"/>
          <w:b/>
          <w:color w:val="000000"/>
          <w:highlight w:val="none"/>
        </w:rPr>
        <w:t xml:space="preserve">24. </w:t>
      </w:r>
      <w:r>
        <w:rPr>
          <w:rFonts w:hint="eastAsia" w:cs="宋体"/>
          <w:color w:val="000000"/>
          <w:highlight w:val="none"/>
        </w:rPr>
        <w:t>合同主要条款详见第五部分拟签订的合同文本。</w:t>
      </w:r>
    </w:p>
    <w:p>
      <w:pPr>
        <w:pStyle w:val="26"/>
        <w:spacing w:line="360" w:lineRule="auto"/>
        <w:ind w:left="479" w:hanging="479" w:hangingChars="199"/>
        <w:rPr>
          <w:rFonts w:cs="宋体"/>
          <w:b/>
          <w:color w:val="000000"/>
          <w:highlight w:val="none"/>
        </w:rPr>
      </w:pPr>
      <w:r>
        <w:rPr>
          <w:rFonts w:hint="eastAsia" w:cs="宋体"/>
          <w:b/>
          <w:color w:val="000000"/>
          <w:highlight w:val="none"/>
        </w:rPr>
        <w:t>25. 合同的签订</w:t>
      </w:r>
    </w:p>
    <w:p>
      <w:pPr>
        <w:widowControl/>
        <w:shd w:val="clear" w:color="auto" w:fill="FFFFFF"/>
        <w:spacing w:line="360" w:lineRule="auto"/>
        <w:ind w:firstLine="480"/>
        <w:jc w:val="left"/>
        <w:rPr>
          <w:rFonts w:ascii="宋体" w:hAnsi="宋体" w:cs="宋体"/>
          <w:color w:val="000000"/>
          <w:kern w:val="0"/>
          <w:sz w:val="24"/>
          <w:highlight w:val="none"/>
        </w:rPr>
      </w:pPr>
      <w:r>
        <w:rPr>
          <w:rFonts w:hint="eastAsia" w:ascii="宋体" w:hAnsi="宋体" w:cs="宋体"/>
          <w:color w:val="000000"/>
          <w:sz w:val="24"/>
          <w:highlight w:val="none"/>
        </w:rPr>
        <w:t>25.1</w:t>
      </w:r>
      <w:r>
        <w:rPr>
          <w:rFonts w:hint="eastAsia" w:ascii="宋体" w:hAnsi="宋体" w:cs="宋体"/>
          <w:color w:val="000000"/>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53"/>
        <w:snapToGrid w:val="0"/>
        <w:spacing w:before="0"/>
        <w:ind w:firstLine="480"/>
        <w:rPr>
          <w:rFonts w:ascii="宋体" w:hAnsi="宋体" w:cs="宋体"/>
          <w:color w:val="000000"/>
          <w:kern w:val="0"/>
          <w:highlight w:val="none"/>
        </w:rPr>
      </w:pPr>
      <w:r>
        <w:rPr>
          <w:rFonts w:hint="eastAsia" w:ascii="宋体" w:hAnsi="宋体" w:cs="宋体"/>
          <w:color w:val="000000"/>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53"/>
        <w:snapToGrid w:val="0"/>
        <w:spacing w:before="0"/>
        <w:ind w:firstLine="480"/>
        <w:rPr>
          <w:rFonts w:ascii="宋体" w:hAnsi="宋体" w:cs="宋体"/>
          <w:color w:val="000000"/>
          <w:highlight w:val="none"/>
        </w:rPr>
      </w:pPr>
      <w:r>
        <w:rPr>
          <w:rFonts w:hint="eastAsia" w:ascii="宋体" w:hAnsi="宋体" w:cs="宋体"/>
          <w:color w:val="000000"/>
          <w:highlight w:val="none"/>
        </w:rPr>
        <w:t>25.3如签订合同并生效后，供应商无故拒绝或延期，除按照合同条款处理外，列入不良行为记录一次，并给予通报。</w:t>
      </w:r>
    </w:p>
    <w:p>
      <w:pPr>
        <w:pStyle w:val="153"/>
        <w:snapToGrid w:val="0"/>
        <w:spacing w:before="0"/>
        <w:ind w:firstLine="480"/>
        <w:rPr>
          <w:rFonts w:ascii="宋体" w:hAnsi="宋体" w:cs="宋体"/>
          <w:color w:val="000000"/>
          <w:highlight w:val="none"/>
        </w:rPr>
      </w:pPr>
      <w:r>
        <w:rPr>
          <w:rFonts w:hint="eastAsia" w:ascii="宋体" w:hAnsi="宋体" w:cs="宋体"/>
          <w:color w:val="000000"/>
          <w:highlight w:val="none"/>
        </w:rPr>
        <w:t>25.4中标供应商拒绝与采购人签订合同的，采购人可以按照评审报告推荐的中标或者成交候选人名单排序，确定下一候选人为中标供应商，也可以重新开展政府采购活动。</w:t>
      </w:r>
    </w:p>
    <w:p>
      <w:pPr>
        <w:pStyle w:val="153"/>
        <w:snapToGrid w:val="0"/>
        <w:spacing w:before="0" w:after="120"/>
        <w:ind w:firstLine="480"/>
        <w:rPr>
          <w:rFonts w:ascii="宋体" w:hAnsi="宋体" w:cs="宋体"/>
          <w:color w:val="000000"/>
          <w:highlight w:val="none"/>
        </w:rPr>
      </w:pPr>
      <w:r>
        <w:rPr>
          <w:rFonts w:hint="eastAsia" w:ascii="宋体" w:hAnsi="宋体" w:cs="宋体"/>
          <w:color w:val="000000"/>
          <w:highlight w:val="none"/>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color w:val="000000"/>
          <w:highlight w:val="none"/>
        </w:rPr>
      </w:pPr>
      <w:r>
        <w:rPr>
          <w:rFonts w:hint="eastAsia" w:cs="宋体"/>
          <w:b/>
          <w:color w:val="000000"/>
          <w:highlight w:val="none"/>
        </w:rPr>
        <w:t>26. 履约保证金</w:t>
      </w:r>
    </w:p>
    <w:p>
      <w:pPr>
        <w:tabs>
          <w:tab w:val="left" w:pos="0"/>
        </w:tabs>
        <w:spacing w:line="360" w:lineRule="auto"/>
        <w:ind w:firstLine="482"/>
        <w:rPr>
          <w:rFonts w:ascii="宋体" w:hAnsi="宋体" w:cs="宋体"/>
          <w:color w:val="000000"/>
          <w:sz w:val="24"/>
          <w:highlight w:val="none"/>
        </w:rPr>
      </w:pPr>
      <w:r>
        <w:rPr>
          <w:rFonts w:hint="eastAsia" w:ascii="宋体" w:hAnsi="宋体" w:cs="宋体"/>
          <w:color w:val="000000"/>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000000"/>
          <w:sz w:val="24"/>
          <w:highlight w:val="none"/>
        </w:rPr>
        <w:t>。履约保证金的数额不得超过政府采购合同金额的</w:t>
      </w:r>
      <w:r>
        <w:rPr>
          <w:rFonts w:hint="eastAsia" w:ascii="宋体" w:hAnsi="宋体" w:cs="宋体"/>
          <w:color w:val="000000"/>
          <w:sz w:val="24"/>
          <w:highlight w:val="none"/>
          <w:lang w:val="en-US" w:eastAsia="zh-CN"/>
        </w:rPr>
        <w:t>1</w:t>
      </w:r>
      <w:r>
        <w:rPr>
          <w:rFonts w:hint="eastAsia" w:ascii="宋体" w:hAnsi="宋体" w:cs="宋体"/>
          <w:color w:val="000000"/>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000000"/>
          <w:sz w:val="24"/>
          <w:highlight w:val="none"/>
        </w:rPr>
        <w:t>延迟退还的，应当按照合同约定和法律规定承担相应的赔偿责任</w:t>
      </w:r>
      <w:r>
        <w:rPr>
          <w:rFonts w:hint="eastAsia" w:ascii="宋体" w:hAnsi="宋体" w:cs="宋体"/>
          <w:color w:val="000000"/>
          <w:sz w:val="24"/>
          <w:highlight w:val="none"/>
        </w:rPr>
        <w:t>。</w:t>
      </w:r>
    </w:p>
    <w:p>
      <w:pPr>
        <w:pStyle w:val="3"/>
        <w:ind w:left="0" w:firstLine="480" w:firstLineChars="200"/>
        <w:rPr>
          <w:rFonts w:ascii="宋体" w:hAnsi="宋体" w:eastAsia="宋体" w:cs="宋体"/>
          <w:b w:val="0"/>
          <w:bCs w:val="0"/>
          <w:snapToGrid w:val="0"/>
          <w:color w:val="000000"/>
          <w:kern w:val="28"/>
          <w:sz w:val="24"/>
          <w:highlight w:val="none"/>
        </w:rPr>
      </w:pPr>
      <w:r>
        <w:rPr>
          <w:rFonts w:hint="eastAsia" w:ascii="宋体" w:hAnsi="宋体" w:eastAsia="宋体" w:cs="宋体"/>
          <w:b w:val="0"/>
          <w:bCs w:val="0"/>
          <w:snapToGrid w:val="0"/>
          <w:color w:val="000000"/>
          <w:kern w:val="28"/>
          <w:sz w:val="24"/>
          <w:highlight w:val="none"/>
        </w:rPr>
        <w:t>供应商</w:t>
      </w:r>
      <w:r>
        <w:rPr>
          <w:rFonts w:hint="eastAsia" w:ascii="宋体" w:hAnsi="宋体" w:eastAsia="宋体" w:cs="宋体"/>
          <w:b w:val="0"/>
          <w:bCs w:val="0"/>
          <w:snapToGrid w:val="0"/>
          <w:color w:val="000000"/>
          <w:kern w:val="28"/>
          <w:sz w:val="24"/>
          <w:highlight w:val="none"/>
          <w:lang w:val="en-US"/>
        </w:rPr>
        <w:t>可</w:t>
      </w:r>
      <w:r>
        <w:rPr>
          <w:rFonts w:hint="eastAsia" w:ascii="宋体" w:hAnsi="宋体" w:eastAsia="宋体" w:cs="宋体"/>
          <w:b w:val="0"/>
          <w:bCs w:val="0"/>
          <w:snapToGrid w:val="0"/>
          <w:color w:val="00000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color w:val="000000"/>
          <w:highlight w:val="none"/>
        </w:rPr>
      </w:pPr>
      <w:r>
        <w:rPr>
          <w:rFonts w:ascii="宋体" w:hAnsi="宋体" w:eastAsia="宋体"/>
          <w:b/>
          <w:bCs/>
          <w:color w:val="000000"/>
          <w:sz w:val="24"/>
          <w:szCs w:val="32"/>
          <w:highlight w:val="none"/>
          <w:lang w:val="en-US"/>
        </w:rPr>
        <w:t>27.预付款</w:t>
      </w:r>
    </w:p>
    <w:p>
      <w:pPr>
        <w:adjustRightInd/>
        <w:spacing w:line="360" w:lineRule="auto"/>
        <w:ind w:firstLine="480" w:firstLineChars="200"/>
        <w:rPr>
          <w:color w:val="000000"/>
          <w:highlight w:val="none"/>
        </w:rPr>
      </w:pPr>
      <w:r>
        <w:rPr>
          <w:rFonts w:hint="eastAsia" w:ascii="宋体" w:hAnsi="宋体"/>
          <w:color w:val="000000"/>
          <w:sz w:val="24"/>
          <w:highlight w:val="none"/>
        </w:rPr>
        <w:t>采购单位应当在政府采购合同中约定预付款，对中小企业合同预付款比例原则上不低于合同金额的</w:t>
      </w:r>
      <w:r>
        <w:rPr>
          <w:rFonts w:ascii="宋体" w:hAnsi="宋体"/>
          <w:color w:val="000000"/>
          <w:sz w:val="24"/>
          <w:highlight w:val="none"/>
        </w:rPr>
        <w:t>40％</w:t>
      </w:r>
      <w:r>
        <w:rPr>
          <w:rFonts w:hint="eastAsia" w:ascii="宋体" w:hAnsi="宋体"/>
          <w:color w:val="000000"/>
          <w:sz w:val="24"/>
          <w:highlight w:val="none"/>
        </w:rPr>
        <w:t>，不高于合同金额的</w:t>
      </w:r>
      <w:r>
        <w:rPr>
          <w:rFonts w:ascii="宋体" w:hAnsi="宋体"/>
          <w:color w:val="000000"/>
          <w:sz w:val="24"/>
          <w:highlight w:val="none"/>
        </w:rPr>
        <w:t>70%；项目分年安排预算的，每年预付款比例</w:t>
      </w:r>
      <w:r>
        <w:rPr>
          <w:rFonts w:hint="eastAsia" w:ascii="宋体" w:hAnsi="宋体"/>
          <w:color w:val="000000"/>
          <w:sz w:val="24"/>
          <w:highlight w:val="none"/>
        </w:rPr>
        <w:t>不低于</w:t>
      </w:r>
      <w:r>
        <w:rPr>
          <w:rFonts w:ascii="宋体" w:hAnsi="宋体"/>
          <w:color w:val="000000"/>
          <w:sz w:val="24"/>
          <w:highlight w:val="none"/>
        </w:rPr>
        <w:t>项目年度计划支付资金额的40％</w:t>
      </w:r>
      <w:r>
        <w:rPr>
          <w:rFonts w:hint="eastAsia" w:ascii="宋体" w:hAnsi="宋体"/>
          <w:color w:val="000000"/>
          <w:sz w:val="24"/>
          <w:highlight w:val="none"/>
        </w:rPr>
        <w:t>，不高于合同金额的</w:t>
      </w:r>
      <w:r>
        <w:rPr>
          <w:rFonts w:ascii="宋体" w:hAnsi="宋体"/>
          <w:color w:val="000000"/>
          <w:sz w:val="24"/>
          <w:highlight w:val="none"/>
        </w:rPr>
        <w:t>70%；采购项目实施以人工投入为主的，</w:t>
      </w:r>
      <w:r>
        <w:rPr>
          <w:rFonts w:hint="eastAsia" w:ascii="宋体" w:hAnsi="宋体"/>
          <w:color w:val="000000"/>
          <w:sz w:val="24"/>
          <w:highlight w:val="none"/>
        </w:rPr>
        <w:t>可适当降低预付款比例，但不得低于</w:t>
      </w:r>
      <w:r>
        <w:rPr>
          <w:rFonts w:ascii="宋体" w:hAnsi="宋体"/>
          <w:color w:val="000000"/>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000000"/>
          <w:sz w:val="24"/>
          <w:highlight w:val="none"/>
        </w:rPr>
        <w:t>供应商</w:t>
      </w:r>
      <w:r>
        <w:rPr>
          <w:rFonts w:ascii="宋体" w:hAnsi="宋体"/>
          <w:color w:val="000000"/>
          <w:sz w:val="24"/>
          <w:highlight w:val="none"/>
        </w:rPr>
        <w:t>明确表示无需预付款或者主动要求降低预付</w:t>
      </w:r>
      <w:r>
        <w:rPr>
          <w:rFonts w:ascii="宋体" w:hAnsi="宋体"/>
          <w:color w:val="auto"/>
          <w:sz w:val="24"/>
          <w:highlight w:val="none"/>
        </w:rPr>
        <w:t>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w:t>
      </w:r>
      <w:r>
        <w:rPr>
          <w:rFonts w:ascii="宋体" w:hAnsi="宋体"/>
          <w:b/>
          <w:bCs/>
          <w:color w:val="auto"/>
          <w:sz w:val="24"/>
          <w:highlight w:val="none"/>
          <w:shd w:val="clear" w:color="auto" w:fill="auto"/>
        </w:rPr>
        <w:t>可以要求</w:t>
      </w:r>
      <w:r>
        <w:rPr>
          <w:rFonts w:hint="eastAsia" w:ascii="宋体" w:hAnsi="宋体"/>
          <w:b/>
          <w:bCs/>
          <w:color w:val="auto"/>
          <w:sz w:val="24"/>
          <w:highlight w:val="none"/>
          <w:shd w:val="clear" w:color="auto" w:fill="auto"/>
        </w:rPr>
        <w:t>供应商</w:t>
      </w:r>
      <w:r>
        <w:rPr>
          <w:rFonts w:ascii="宋体" w:hAnsi="宋体"/>
          <w:b/>
          <w:bCs/>
          <w:color w:val="auto"/>
          <w:sz w:val="24"/>
          <w:highlight w:val="none"/>
          <w:shd w:val="clear" w:color="auto" w:fill="auto"/>
        </w:rPr>
        <w:t>提交银行、保险公司等金融机构出具的预付款保函或其他担保措施</w:t>
      </w:r>
      <w:r>
        <w:rPr>
          <w:rFonts w:ascii="宋体" w:hAnsi="宋体"/>
          <w:color w:val="auto"/>
          <w:sz w:val="24"/>
          <w:highlight w:val="none"/>
          <w:shd w:val="clear" w:color="auto" w:fill="auto"/>
        </w:rPr>
        <w:t>。政府采购预付款应在合同生效以及具备实施条件后5个工作日内支付。</w:t>
      </w:r>
      <w:r>
        <w:rPr>
          <w:rFonts w:hint="eastAsia" w:ascii="宋体" w:hAnsi="宋体"/>
          <w:b/>
          <w:bCs/>
          <w:color w:val="auto"/>
          <w:sz w:val="24"/>
          <w:highlight w:val="none"/>
          <w:shd w:val="clear" w:color="auto" w:fill="auto"/>
        </w:rPr>
        <w:t>政府采购工程以及与工程建设有关的货物、服务，采用招标方式采购的，预付款从其相关规定。</w:t>
      </w:r>
      <w:r>
        <w:rPr>
          <w:rFonts w:hint="eastAsia" w:ascii="宋体" w:hAnsi="宋体"/>
          <w:color w:val="auto"/>
          <w:sz w:val="24"/>
          <w:highlight w:val="none"/>
          <w:shd w:val="clear" w:color="auto" w:fill="auto"/>
        </w:rPr>
        <w:t>供应商</w:t>
      </w:r>
      <w:r>
        <w:rPr>
          <w:rFonts w:hint="eastAsia" w:ascii="宋体" w:hAnsi="宋体"/>
          <w:color w:val="000000"/>
          <w:sz w:val="24"/>
          <w:highlight w:val="none"/>
          <w:shd w:val="clear" w:color="auto" w:fill="auto"/>
        </w:rPr>
        <w:t>可登录</w:t>
      </w:r>
      <w:r>
        <w:rPr>
          <w:rFonts w:hint="eastAsia" w:ascii="宋体" w:hAnsi="宋体"/>
          <w:color w:val="000000"/>
          <w:sz w:val="24"/>
          <w:highlight w:val="none"/>
        </w:rPr>
        <w:t>政采云前台大厅选择金融服务</w:t>
      </w:r>
      <w:r>
        <w:rPr>
          <w:rFonts w:ascii="宋体" w:hAnsi="宋体"/>
          <w:color w:val="000000"/>
          <w:sz w:val="24"/>
          <w:highlight w:val="none"/>
        </w:rPr>
        <w:t xml:space="preserve"> - </w:t>
      </w:r>
      <w:r>
        <w:rPr>
          <w:rFonts w:hint="eastAsia" w:ascii="宋体" w:hAnsi="宋体"/>
          <w:color w:val="000000"/>
          <w:sz w:val="24"/>
          <w:highlight w:val="none"/>
        </w:rPr>
        <w:t>【保函保险服务】出具预付款保函，具体步骤：选择产品—填写供应商信息—选择中标项目—确认信息—等待保险</w:t>
      </w:r>
      <w:r>
        <w:rPr>
          <w:rFonts w:ascii="宋体" w:hAnsi="宋体"/>
          <w:color w:val="000000"/>
          <w:sz w:val="24"/>
          <w:highlight w:val="none"/>
        </w:rPr>
        <w:t>/保函受理—确认保单—支付保费—成功出单。政</w:t>
      </w:r>
      <w:r>
        <w:rPr>
          <w:rFonts w:hint="eastAsia" w:ascii="宋体" w:hAnsi="宋体"/>
          <w:color w:val="000000"/>
          <w:sz w:val="24"/>
          <w:highlight w:val="none"/>
        </w:rPr>
        <w:t>采云金融专线</w:t>
      </w:r>
      <w:r>
        <w:rPr>
          <w:rFonts w:ascii="宋体" w:hAnsi="宋体"/>
          <w:color w:val="000000"/>
          <w:sz w:val="24"/>
          <w:highlight w:val="none"/>
        </w:rPr>
        <w:t>400-903-9583。</w:t>
      </w:r>
    </w:p>
    <w:p>
      <w:pPr>
        <w:rPr>
          <w:color w:val="000000"/>
          <w:highlight w:val="none"/>
        </w:rPr>
      </w:pPr>
    </w:p>
    <w:p>
      <w:pPr>
        <w:snapToGrid w:val="0"/>
        <w:spacing w:line="360" w:lineRule="auto"/>
        <w:ind w:firstLine="3357" w:firstLineChars="1045"/>
        <w:rPr>
          <w:rFonts w:ascii="宋体" w:hAnsi="宋体" w:cs="宋体"/>
          <w:b/>
          <w:color w:val="000000"/>
          <w:sz w:val="32"/>
          <w:highlight w:val="none"/>
        </w:rPr>
      </w:pPr>
    </w:p>
    <w:p>
      <w:pPr>
        <w:snapToGrid w:val="0"/>
        <w:spacing w:line="360" w:lineRule="auto"/>
        <w:ind w:firstLine="3357" w:firstLineChars="1045"/>
        <w:rPr>
          <w:rFonts w:ascii="宋体" w:hAnsi="宋体" w:cs="宋体"/>
          <w:b/>
          <w:color w:val="000000"/>
          <w:sz w:val="24"/>
          <w:highlight w:val="none"/>
        </w:rPr>
      </w:pPr>
      <w:r>
        <w:rPr>
          <w:rFonts w:hint="eastAsia" w:ascii="宋体" w:hAnsi="宋体" w:cs="宋体"/>
          <w:b/>
          <w:color w:val="000000"/>
          <w:sz w:val="32"/>
          <w:highlight w:val="none"/>
        </w:rPr>
        <w:t>八、电子交易活动的中止</w:t>
      </w:r>
    </w:p>
    <w:p>
      <w:pPr>
        <w:pStyle w:val="153"/>
        <w:snapToGrid w:val="0"/>
        <w:spacing w:before="0"/>
        <w:ind w:firstLine="0" w:firstLineChars="0"/>
        <w:rPr>
          <w:rFonts w:ascii="宋体" w:hAnsi="宋体" w:cs="宋体"/>
          <w:color w:val="000000"/>
          <w:highlight w:val="none"/>
        </w:rPr>
      </w:pPr>
      <w:r>
        <w:rPr>
          <w:rFonts w:ascii="宋体" w:hAnsi="宋体" w:cs="宋体"/>
          <w:b/>
          <w:bCs/>
          <w:color w:val="000000"/>
          <w:sz w:val="24"/>
          <w:szCs w:val="20"/>
          <w:highlight w:val="none"/>
        </w:rPr>
        <w:t>2</w:t>
      </w:r>
      <w:r>
        <w:rPr>
          <w:rFonts w:ascii="宋体" w:hAnsi="宋体" w:cs="宋体"/>
          <w:b/>
          <w:bCs/>
          <w:color w:val="000000"/>
          <w:sz w:val="24"/>
          <w:szCs w:val="24"/>
          <w:highlight w:val="none"/>
        </w:rPr>
        <w:t>8</w:t>
      </w:r>
      <w:r>
        <w:rPr>
          <w:rFonts w:hint="eastAsia" w:ascii="宋体" w:hAnsi="宋体" w:cs="宋体"/>
          <w:b/>
          <w:color w:val="000000"/>
          <w:szCs w:val="24"/>
          <w:highlight w:val="none"/>
        </w:rPr>
        <w:t>. 电子交易活动的中止。</w:t>
      </w:r>
      <w:r>
        <w:rPr>
          <w:rFonts w:hint="eastAsia" w:ascii="宋体" w:hAnsi="宋体" w:cs="宋体"/>
          <w:color w:val="000000"/>
          <w:highlight w:val="none"/>
        </w:rPr>
        <w:t>采购过程中出现以下情形，导致电子交易平台无法正常运行，或者无法保证电子交易的公平、公正和安全时，</w:t>
      </w:r>
      <w:r>
        <w:rPr>
          <w:rFonts w:hint="eastAsia" w:ascii="宋体" w:hAnsi="宋体" w:cs="宋体"/>
          <w:color w:val="000000"/>
          <w:highlight w:val="none"/>
          <w:lang w:eastAsia="zh-CN"/>
        </w:rPr>
        <w:t>采购代理机构</w:t>
      </w:r>
      <w:r>
        <w:rPr>
          <w:rFonts w:hint="eastAsia" w:ascii="宋体" w:hAnsi="宋体" w:cs="宋体"/>
          <w:color w:val="000000"/>
          <w:highlight w:val="none"/>
        </w:rPr>
        <w:t>可中止电子交易活动：</w:t>
      </w:r>
    </w:p>
    <w:p>
      <w:pPr>
        <w:pStyle w:val="153"/>
        <w:snapToGrid w:val="0"/>
        <w:spacing w:before="0"/>
        <w:ind w:firstLine="480"/>
        <w:rPr>
          <w:rFonts w:ascii="宋体" w:hAnsi="宋体" w:cs="宋体"/>
          <w:color w:val="000000"/>
          <w:highlight w:val="none"/>
        </w:rPr>
      </w:pPr>
      <w:r>
        <w:rPr>
          <w:rFonts w:hint="eastAsia" w:ascii="宋体" w:hAnsi="宋体" w:cs="宋体"/>
          <w:color w:val="000000"/>
          <w:highlight w:val="none"/>
        </w:rPr>
        <w:t xml:space="preserve">28.1电子交易平台发生故障而无法登录访问的； </w:t>
      </w:r>
    </w:p>
    <w:p>
      <w:pPr>
        <w:pStyle w:val="153"/>
        <w:snapToGrid w:val="0"/>
        <w:spacing w:before="0"/>
        <w:ind w:firstLine="480"/>
        <w:rPr>
          <w:rFonts w:ascii="宋体" w:hAnsi="宋体" w:cs="宋体"/>
          <w:color w:val="000000"/>
          <w:highlight w:val="none"/>
        </w:rPr>
      </w:pPr>
      <w:r>
        <w:rPr>
          <w:rFonts w:hint="eastAsia" w:ascii="宋体" w:hAnsi="宋体" w:cs="宋体"/>
          <w:color w:val="000000"/>
          <w:highlight w:val="none"/>
        </w:rPr>
        <w:t>28.2电子交易平台应用或数据库出现错误，不能进行正常操作的；</w:t>
      </w:r>
    </w:p>
    <w:p>
      <w:pPr>
        <w:pStyle w:val="153"/>
        <w:snapToGrid w:val="0"/>
        <w:spacing w:before="0"/>
        <w:ind w:firstLine="480"/>
        <w:rPr>
          <w:rFonts w:ascii="宋体" w:hAnsi="宋体" w:cs="宋体"/>
          <w:color w:val="000000"/>
          <w:highlight w:val="none"/>
        </w:rPr>
      </w:pPr>
      <w:r>
        <w:rPr>
          <w:rFonts w:hint="eastAsia" w:ascii="宋体" w:hAnsi="宋体" w:cs="宋体"/>
          <w:color w:val="000000"/>
          <w:highlight w:val="none"/>
        </w:rPr>
        <w:t>28.3电子交易平台发现严重安全漏洞，有潜在泄密危险的；</w:t>
      </w:r>
    </w:p>
    <w:p>
      <w:pPr>
        <w:pStyle w:val="153"/>
        <w:snapToGrid w:val="0"/>
        <w:spacing w:before="0"/>
        <w:ind w:firstLine="480"/>
        <w:rPr>
          <w:rFonts w:ascii="宋体" w:hAnsi="宋体" w:cs="宋体"/>
          <w:color w:val="000000"/>
          <w:highlight w:val="none"/>
        </w:rPr>
      </w:pPr>
      <w:r>
        <w:rPr>
          <w:rFonts w:hint="eastAsia" w:ascii="宋体" w:hAnsi="宋体" w:cs="宋体"/>
          <w:color w:val="000000"/>
          <w:highlight w:val="none"/>
        </w:rPr>
        <w:t xml:space="preserve">28.4病毒发作导致不能进行正常操作的； </w:t>
      </w:r>
    </w:p>
    <w:p>
      <w:pPr>
        <w:pStyle w:val="153"/>
        <w:snapToGrid w:val="0"/>
        <w:spacing w:before="0"/>
        <w:ind w:firstLine="480"/>
        <w:rPr>
          <w:rFonts w:ascii="宋体" w:hAnsi="宋体" w:cs="宋体"/>
          <w:color w:val="000000"/>
          <w:highlight w:val="none"/>
        </w:rPr>
      </w:pPr>
      <w:r>
        <w:rPr>
          <w:rFonts w:hint="eastAsia" w:ascii="宋体" w:hAnsi="宋体" w:cs="宋体"/>
          <w:color w:val="000000"/>
          <w:highlight w:val="none"/>
        </w:rPr>
        <w:t>28.5其他无法保证电子交易的公平、公正和安全的情况。</w:t>
      </w:r>
    </w:p>
    <w:p>
      <w:pPr>
        <w:pStyle w:val="153"/>
        <w:snapToGrid w:val="0"/>
        <w:spacing w:before="0"/>
        <w:ind w:firstLine="0" w:firstLineChars="0"/>
        <w:rPr>
          <w:rFonts w:ascii="宋体" w:hAnsi="宋体" w:cs="宋体"/>
          <w:color w:val="000000"/>
          <w:highlight w:val="none"/>
        </w:rPr>
      </w:pPr>
      <w:r>
        <w:rPr>
          <w:rFonts w:hint="eastAsia" w:ascii="宋体" w:hAnsi="宋体" w:cs="宋体"/>
          <w:color w:val="000000"/>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000000"/>
          <w:sz w:val="24"/>
          <w:highlight w:val="none"/>
        </w:rPr>
      </w:pPr>
    </w:p>
    <w:p>
      <w:pPr>
        <w:snapToGrid w:val="0"/>
        <w:spacing w:line="360" w:lineRule="auto"/>
        <w:ind w:left="120" w:leftChars="57" w:firstLine="482" w:firstLineChars="150"/>
        <w:jc w:val="center"/>
        <w:rPr>
          <w:rFonts w:ascii="宋体" w:hAnsi="宋体" w:cs="宋体"/>
          <w:b/>
          <w:color w:val="000000"/>
          <w:sz w:val="32"/>
          <w:highlight w:val="none"/>
        </w:rPr>
      </w:pPr>
      <w:r>
        <w:rPr>
          <w:rFonts w:hint="eastAsia" w:ascii="宋体" w:hAnsi="宋体" w:cs="宋体"/>
          <w:b/>
          <w:color w:val="000000"/>
          <w:sz w:val="32"/>
          <w:highlight w:val="none"/>
        </w:rPr>
        <w:t>九、验收</w:t>
      </w:r>
    </w:p>
    <w:p>
      <w:pPr>
        <w:pStyle w:val="26"/>
        <w:spacing w:line="360" w:lineRule="auto"/>
        <w:ind w:firstLine="0" w:firstLineChars="0"/>
        <w:rPr>
          <w:rFonts w:cs="宋体"/>
          <w:b/>
          <w:color w:val="000000"/>
          <w:highlight w:val="none"/>
        </w:rPr>
      </w:pPr>
      <w:r>
        <w:rPr>
          <w:rFonts w:hint="eastAsia" w:cs="宋体"/>
          <w:b/>
          <w:color w:val="000000"/>
          <w:highlight w:val="none"/>
        </w:rPr>
        <w:t>30.验收</w:t>
      </w:r>
    </w:p>
    <w:p>
      <w:pPr>
        <w:tabs>
          <w:tab w:val="left" w:pos="0"/>
        </w:tabs>
        <w:spacing w:line="360" w:lineRule="auto"/>
        <w:ind w:firstLine="480"/>
        <w:rPr>
          <w:rFonts w:ascii="宋体" w:hAnsi="宋体" w:cs="宋体"/>
          <w:color w:val="000000"/>
          <w:kern w:val="0"/>
          <w:sz w:val="24"/>
          <w:highlight w:val="none"/>
        </w:rPr>
      </w:pPr>
      <w:r>
        <w:rPr>
          <w:rFonts w:hint="eastAsia" w:ascii="宋体" w:hAnsi="宋体" w:cs="宋体"/>
          <w:color w:val="000000"/>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000000"/>
          <w:kern w:val="0"/>
          <w:sz w:val="24"/>
          <w:highlight w:val="none"/>
        </w:rPr>
      </w:pPr>
      <w:r>
        <w:rPr>
          <w:rFonts w:hint="eastAsia" w:ascii="宋体" w:hAnsi="宋体" w:cs="宋体"/>
          <w:color w:val="000000"/>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000000"/>
          <w:kern w:val="0"/>
          <w:sz w:val="24"/>
          <w:highlight w:val="none"/>
        </w:rPr>
      </w:pPr>
      <w:r>
        <w:rPr>
          <w:rFonts w:hint="eastAsia" w:ascii="宋体" w:hAnsi="宋体" w:cs="宋体"/>
          <w:color w:val="000000"/>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000000"/>
          <w:sz w:val="18"/>
          <w:szCs w:val="18"/>
          <w:highlight w:val="none"/>
        </w:rPr>
      </w:pPr>
      <w:r>
        <w:rPr>
          <w:rFonts w:hint="eastAsia" w:ascii="宋体" w:hAnsi="宋体" w:cs="宋体"/>
          <w:color w:val="000000"/>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000000"/>
          <w:kern w:val="0"/>
          <w:sz w:val="24"/>
          <w:highlight w:val="none"/>
        </w:rPr>
        <w:sectPr>
          <w:pgSz w:w="11906" w:h="16838"/>
          <w:pgMar w:top="680" w:right="1418" w:bottom="468" w:left="1418" w:header="851" w:footer="992" w:gutter="0"/>
          <w:cols w:space="720" w:num="1"/>
          <w:titlePg/>
          <w:docGrid w:linePitch="312" w:charSpace="0"/>
        </w:sectPr>
      </w:pPr>
      <w:bookmarkStart w:id="15" w:name="_Hlt74729768"/>
      <w:bookmarkEnd w:id="15"/>
      <w:bookmarkStart w:id="16" w:name="_Hlt68073093"/>
      <w:bookmarkEnd w:id="16"/>
      <w:bookmarkStart w:id="17" w:name="_Hlt75236101"/>
      <w:bookmarkEnd w:id="17"/>
      <w:bookmarkStart w:id="18" w:name="_Hlt74714665"/>
      <w:bookmarkEnd w:id="18"/>
      <w:bookmarkStart w:id="19" w:name="_Hlt68072998"/>
      <w:bookmarkEnd w:id="19"/>
      <w:bookmarkStart w:id="20" w:name="_Hlt74730295"/>
      <w:bookmarkEnd w:id="20"/>
      <w:bookmarkStart w:id="21" w:name="_Hlt75236290"/>
      <w:bookmarkEnd w:id="21"/>
      <w:bookmarkStart w:id="22" w:name="_Hlt74707468"/>
      <w:bookmarkEnd w:id="22"/>
      <w:bookmarkStart w:id="23" w:name="_Hlt68403820"/>
      <w:bookmarkEnd w:id="23"/>
      <w:bookmarkStart w:id="24" w:name="_Hlt75236011"/>
      <w:bookmarkEnd w:id="24"/>
      <w:bookmarkStart w:id="25" w:name="_Hlt68057669"/>
      <w:bookmarkEnd w:id="25"/>
      <w:bookmarkStart w:id="26" w:name="_Hlt68072990"/>
      <w:bookmarkEnd w:id="26"/>
    </w:p>
    <w:bookmarkEnd w:id="11"/>
    <w:bookmarkEnd w:id="12"/>
    <w:p>
      <w:pPr>
        <w:spacing w:line="360" w:lineRule="auto"/>
        <w:jc w:val="center"/>
        <w:outlineLvl w:val="0"/>
        <w:rPr>
          <w:rFonts w:ascii="宋体" w:hAnsi="宋体" w:cs="宋体"/>
          <w:b/>
          <w:color w:val="000000"/>
          <w:sz w:val="36"/>
          <w:szCs w:val="36"/>
          <w:highlight w:val="none"/>
        </w:rPr>
      </w:pPr>
      <w:bookmarkStart w:id="27" w:name="第四部分"/>
      <w:r>
        <w:rPr>
          <w:rFonts w:hint="eastAsia" w:ascii="宋体" w:hAnsi="宋体" w:cs="宋体"/>
          <w:b/>
          <w:color w:val="000000"/>
          <w:sz w:val="36"/>
          <w:szCs w:val="36"/>
          <w:highlight w:val="none"/>
        </w:rPr>
        <w:t>第三部分   采购需求</w:t>
      </w:r>
    </w:p>
    <w:p>
      <w:pPr>
        <w:widowControl w:val="0"/>
        <w:tabs>
          <w:tab w:val="left" w:pos="5490"/>
        </w:tabs>
        <w:wordWrap/>
        <w:adjustRightInd/>
        <w:snapToGrid/>
        <w:spacing w:line="360" w:lineRule="auto"/>
        <w:ind w:left="0" w:leftChars="0" w:right="0" w:firstLine="0" w:firstLineChars="0"/>
        <w:jc w:val="both"/>
        <w:textAlignment w:val="auto"/>
        <w:outlineLvl w:val="9"/>
        <w:rPr>
          <w:rFonts w:hint="eastAsia" w:ascii="宋体" w:hAnsi="宋体"/>
          <w:b/>
          <w:bCs/>
          <w:sz w:val="24"/>
          <w:highlight w:val="none"/>
        </w:rPr>
      </w:pPr>
      <w:r>
        <w:rPr>
          <w:rFonts w:hint="eastAsia" w:ascii="宋体" w:hAnsi="宋体"/>
          <w:b/>
          <w:bCs/>
          <w:sz w:val="24"/>
          <w:highlight w:val="none"/>
        </w:rPr>
        <w:t>一、项目概述：</w:t>
      </w:r>
    </w:p>
    <w:p>
      <w:pPr>
        <w:widowControl w:val="0"/>
        <w:wordWrap/>
        <w:adjustRightInd/>
        <w:snapToGrid/>
        <w:spacing w:line="360" w:lineRule="auto"/>
        <w:ind w:left="0" w:leftChars="0" w:right="0" w:firstLine="0" w:firstLineChars="0"/>
        <w:jc w:val="both"/>
        <w:textAlignment w:val="auto"/>
        <w:outlineLvl w:val="9"/>
        <w:rPr>
          <w:rFonts w:hint="eastAsia" w:ascii="宋体" w:hAnsi="宋体"/>
          <w:b w:val="0"/>
          <w:bCs w:val="0"/>
          <w:sz w:val="24"/>
          <w:highlight w:val="none"/>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本项目为“交钥匙”项目，采购内容包括变压器、高压配电柜、低压开关柜等，具体详见施工图及清单内容。投标报价应包括设备费、材料费、配件费、保管费、运费、安装调试费、培训、货物验收、保险、税收、售后服务、</w:t>
      </w:r>
      <w:r>
        <w:rPr>
          <w:rFonts w:hint="eastAsia" w:ascii="宋体" w:hAnsi="宋体" w:cs="宋体"/>
          <w:color w:val="000000"/>
          <w:sz w:val="24"/>
          <w:szCs w:val="24"/>
          <w:highlight w:val="none"/>
          <w:lang w:eastAsia="zh-CN"/>
        </w:rPr>
        <w:t>总包配合、项目验收、</w:t>
      </w:r>
      <w:r>
        <w:rPr>
          <w:rFonts w:hint="eastAsia" w:ascii="宋体" w:hAnsi="宋体" w:eastAsia="宋体" w:cs="宋体"/>
          <w:color w:val="000000"/>
          <w:sz w:val="24"/>
          <w:szCs w:val="24"/>
          <w:highlight w:val="none"/>
        </w:rPr>
        <w:t>采购需求中未提到但在实际采购和安装过程中需要配置的各种设备、材料及其他费用等须由投标单位支付的所有费用。</w:t>
      </w:r>
    </w:p>
    <w:p>
      <w:pPr>
        <w:numPr>
          <w:ilvl w:val="0"/>
          <w:numId w:val="1"/>
        </w:numPr>
        <w:adjustRightInd w:val="0"/>
        <w:snapToGrid w:val="0"/>
        <w:spacing w:line="360" w:lineRule="auto"/>
        <w:rPr>
          <w:rFonts w:hint="eastAsia" w:ascii="宋体" w:hAnsi="宋体"/>
          <w:b/>
          <w:bCs/>
          <w:sz w:val="24"/>
          <w:highlight w:val="none"/>
        </w:rPr>
      </w:pPr>
      <w:r>
        <w:rPr>
          <w:rFonts w:hint="eastAsia" w:ascii="宋体" w:hAnsi="宋体"/>
          <w:b/>
          <w:bCs/>
          <w:sz w:val="24"/>
          <w:highlight w:val="none"/>
        </w:rPr>
        <w:t>清单：</w:t>
      </w:r>
    </w:p>
    <w:tbl>
      <w:tblPr>
        <w:tblStyle w:val="74"/>
        <w:tblW w:w="89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1"/>
        <w:gridCol w:w="2057"/>
        <w:gridCol w:w="622"/>
        <w:gridCol w:w="3368"/>
        <w:gridCol w:w="877"/>
        <w:gridCol w:w="189"/>
        <w:gridCol w:w="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6968" w:type="dxa"/>
            <w:gridSpan w:val="4"/>
            <w:tcBorders>
              <w:top w:val="nil"/>
              <w:left w:val="nil"/>
              <w:bottom w:val="nil"/>
              <w:right w:val="nil"/>
            </w:tcBorders>
            <w:shd w:val="clear" w:color="auto" w:fill="FFFFFF"/>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1、单位工程及专业工程名称：单项工程-变配电工程</w:t>
            </w:r>
          </w:p>
        </w:tc>
        <w:tc>
          <w:tcPr>
            <w:tcW w:w="2017" w:type="dxa"/>
            <w:gridSpan w:val="3"/>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序号</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项目名称</w:t>
            </w:r>
          </w:p>
        </w:tc>
        <w:tc>
          <w:tcPr>
            <w:tcW w:w="39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项目特征描述</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计量单位</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w:t>
            </w:r>
          </w:p>
        </w:tc>
        <w:tc>
          <w:tcPr>
            <w:tcW w:w="20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干式变压器</w:t>
            </w:r>
          </w:p>
        </w:tc>
        <w:tc>
          <w:tcPr>
            <w:tcW w:w="3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干式变压器SCB14-315kVA（NX2) 10 ±2x2.5%/0.4kV D，yn11，Uk=4%安装，含干变外壳、温控风机、槽钢基础接地及防腐除锈。</w:t>
            </w: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台</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w:t>
            </w:r>
          </w:p>
        </w:tc>
        <w:tc>
          <w:tcPr>
            <w:tcW w:w="20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高压成套配电柜</w:t>
            </w:r>
          </w:p>
        </w:tc>
        <w:tc>
          <w:tcPr>
            <w:tcW w:w="3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10kV配电设备1G1、2G1进线柜安装，含基础接地及防腐除锈，</w:t>
            </w:r>
            <w:r>
              <w:rPr>
                <w:rFonts w:hint="eastAsia" w:ascii="宋体" w:hAnsi="宋体" w:eastAsia="宋体" w:cs="宋体"/>
                <w:i w:val="0"/>
                <w:color w:val="000000"/>
                <w:spacing w:val="0"/>
                <w:kern w:val="0"/>
                <w:position w:val="0"/>
                <w:sz w:val="20"/>
                <w:szCs w:val="20"/>
                <w:u w:val="none"/>
                <w:lang w:val="en-US" w:eastAsia="zh-CN" w:bidi="ar-SA"/>
              </w:rPr>
              <w:t>具体详见图纸</w:t>
            </w:r>
            <w:r>
              <w:rPr>
                <w:rFonts w:hint="eastAsia" w:ascii="宋体" w:hAnsi="宋体" w:eastAsia="宋体" w:cs="宋体"/>
                <w:i w:val="0"/>
                <w:iCs w:val="0"/>
                <w:color w:val="000000"/>
                <w:kern w:val="0"/>
                <w:sz w:val="20"/>
                <w:szCs w:val="20"/>
                <w:u w:val="none"/>
                <w:lang w:val="en-US" w:eastAsia="zh-CN"/>
              </w:rPr>
              <w:t>。</w:t>
            </w: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台</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w:t>
            </w:r>
          </w:p>
        </w:tc>
        <w:tc>
          <w:tcPr>
            <w:tcW w:w="20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高压成套配电柜</w:t>
            </w:r>
          </w:p>
        </w:tc>
        <w:tc>
          <w:tcPr>
            <w:tcW w:w="3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10kV配电设备1G2、2G2计量柜安装，含基础接地及防腐除锈，</w:t>
            </w:r>
            <w:r>
              <w:rPr>
                <w:rFonts w:hint="eastAsia" w:ascii="宋体" w:hAnsi="宋体" w:eastAsia="宋体" w:cs="宋体"/>
                <w:i w:val="0"/>
                <w:color w:val="000000"/>
                <w:spacing w:val="0"/>
                <w:kern w:val="0"/>
                <w:position w:val="0"/>
                <w:sz w:val="20"/>
                <w:szCs w:val="20"/>
                <w:u w:val="none"/>
                <w:lang w:val="en-US" w:eastAsia="zh-CN" w:bidi="ar-SA"/>
              </w:rPr>
              <w:t>，具体详见图纸</w:t>
            </w:r>
            <w:r>
              <w:rPr>
                <w:rFonts w:hint="eastAsia" w:ascii="宋体" w:hAnsi="宋体" w:eastAsia="宋体" w:cs="宋体"/>
                <w:i w:val="0"/>
                <w:iCs w:val="0"/>
                <w:color w:val="000000"/>
                <w:kern w:val="0"/>
                <w:sz w:val="20"/>
                <w:szCs w:val="20"/>
                <w:u w:val="none"/>
                <w:lang w:val="en-US" w:eastAsia="zh-CN"/>
              </w:rPr>
              <w:t>。</w:t>
            </w: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台</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w:t>
            </w:r>
          </w:p>
        </w:tc>
        <w:tc>
          <w:tcPr>
            <w:tcW w:w="20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高压成套配电柜</w:t>
            </w:r>
          </w:p>
        </w:tc>
        <w:tc>
          <w:tcPr>
            <w:tcW w:w="3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10kV配电设备1G3、2G3出线柜安装，含基础接地及防腐除锈，</w:t>
            </w:r>
            <w:r>
              <w:rPr>
                <w:rFonts w:hint="eastAsia" w:ascii="宋体" w:hAnsi="宋体" w:eastAsia="宋体" w:cs="宋体"/>
                <w:i w:val="0"/>
                <w:color w:val="000000"/>
                <w:spacing w:val="0"/>
                <w:kern w:val="0"/>
                <w:position w:val="0"/>
                <w:sz w:val="20"/>
                <w:szCs w:val="20"/>
                <w:u w:val="none"/>
                <w:lang w:val="en-US" w:eastAsia="zh-CN" w:bidi="ar-SA"/>
              </w:rPr>
              <w:t>，具体详见图纸</w:t>
            </w:r>
            <w:r>
              <w:rPr>
                <w:rFonts w:hint="eastAsia" w:ascii="宋体" w:hAnsi="宋体" w:eastAsia="宋体" w:cs="宋体"/>
                <w:i w:val="0"/>
                <w:iCs w:val="0"/>
                <w:color w:val="000000"/>
                <w:kern w:val="0"/>
                <w:sz w:val="20"/>
                <w:szCs w:val="20"/>
                <w:u w:val="none"/>
                <w:lang w:val="en-US" w:eastAsia="zh-CN"/>
              </w:rPr>
              <w:t>。</w:t>
            </w: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台</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w:t>
            </w:r>
          </w:p>
        </w:tc>
        <w:tc>
          <w:tcPr>
            <w:tcW w:w="20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低压开关柜（屏）</w:t>
            </w:r>
          </w:p>
        </w:tc>
        <w:tc>
          <w:tcPr>
            <w:tcW w:w="3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0.4kV配电设备1D1、2D1进线总柜安装，含基础接地及防腐除锈</w:t>
            </w:r>
            <w:r>
              <w:rPr>
                <w:rFonts w:hint="eastAsia" w:ascii="宋体" w:hAnsi="宋体" w:eastAsia="宋体" w:cs="宋体"/>
                <w:i w:val="0"/>
                <w:color w:val="000000"/>
                <w:spacing w:val="0"/>
                <w:kern w:val="0"/>
                <w:position w:val="0"/>
                <w:sz w:val="20"/>
                <w:szCs w:val="20"/>
                <w:u w:val="none"/>
                <w:lang w:val="en-US" w:eastAsia="zh-CN" w:bidi="ar-SA"/>
              </w:rPr>
              <w:t>，具体详见图纸</w:t>
            </w:r>
            <w:r>
              <w:rPr>
                <w:rFonts w:hint="eastAsia" w:ascii="宋体" w:hAnsi="宋体" w:eastAsia="宋体" w:cs="宋体"/>
                <w:i w:val="0"/>
                <w:iCs w:val="0"/>
                <w:color w:val="000000"/>
                <w:kern w:val="0"/>
                <w:sz w:val="20"/>
                <w:szCs w:val="20"/>
                <w:u w:val="none"/>
                <w:lang w:val="en-US" w:eastAsia="zh-CN"/>
              </w:rPr>
              <w:t>。</w:t>
            </w: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台</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w:t>
            </w:r>
          </w:p>
        </w:tc>
        <w:tc>
          <w:tcPr>
            <w:tcW w:w="20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低压开关柜（屏）</w:t>
            </w:r>
          </w:p>
        </w:tc>
        <w:tc>
          <w:tcPr>
            <w:tcW w:w="3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0.4kV配电设备1D2、2D2电容补偿柜安装，含基础接地及防腐除锈</w:t>
            </w:r>
            <w:r>
              <w:rPr>
                <w:rFonts w:hint="eastAsia" w:ascii="宋体" w:hAnsi="宋体" w:eastAsia="宋体" w:cs="宋体"/>
                <w:i w:val="0"/>
                <w:color w:val="000000"/>
                <w:spacing w:val="0"/>
                <w:kern w:val="0"/>
                <w:position w:val="0"/>
                <w:sz w:val="20"/>
                <w:szCs w:val="20"/>
                <w:u w:val="none"/>
                <w:lang w:val="en-US" w:eastAsia="zh-CN" w:bidi="ar-SA"/>
              </w:rPr>
              <w:t>，具体详见图纸</w:t>
            </w:r>
            <w:r>
              <w:rPr>
                <w:rFonts w:hint="eastAsia" w:ascii="宋体" w:hAnsi="宋体" w:eastAsia="宋体" w:cs="宋体"/>
                <w:i w:val="0"/>
                <w:iCs w:val="0"/>
                <w:color w:val="000000"/>
                <w:kern w:val="0"/>
                <w:sz w:val="20"/>
                <w:szCs w:val="20"/>
                <w:u w:val="none"/>
                <w:lang w:val="en-US" w:eastAsia="zh-CN"/>
              </w:rPr>
              <w:t>。</w:t>
            </w: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台</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w:t>
            </w:r>
          </w:p>
        </w:tc>
        <w:tc>
          <w:tcPr>
            <w:tcW w:w="20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低压开关柜（屏）</w:t>
            </w:r>
          </w:p>
        </w:tc>
        <w:tc>
          <w:tcPr>
            <w:tcW w:w="3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0.4kV配电设备1D3、2D3联络柜安装，含基础接地及防腐除锈</w:t>
            </w:r>
            <w:r>
              <w:rPr>
                <w:rFonts w:hint="eastAsia" w:ascii="宋体" w:hAnsi="宋体" w:eastAsia="宋体" w:cs="宋体"/>
                <w:i w:val="0"/>
                <w:color w:val="000000"/>
                <w:spacing w:val="0"/>
                <w:kern w:val="0"/>
                <w:position w:val="0"/>
                <w:sz w:val="20"/>
                <w:szCs w:val="20"/>
                <w:u w:val="none"/>
                <w:lang w:val="en-US" w:eastAsia="zh-CN" w:bidi="ar-SA"/>
              </w:rPr>
              <w:t>，具体详见图纸</w:t>
            </w:r>
            <w:r>
              <w:rPr>
                <w:rFonts w:hint="eastAsia" w:ascii="宋体" w:hAnsi="宋体" w:eastAsia="宋体" w:cs="宋体"/>
                <w:i w:val="0"/>
                <w:iCs w:val="0"/>
                <w:color w:val="000000"/>
                <w:kern w:val="0"/>
                <w:sz w:val="20"/>
                <w:szCs w:val="20"/>
                <w:u w:val="none"/>
                <w:lang w:val="en-US" w:eastAsia="zh-CN"/>
              </w:rPr>
              <w:t>。</w:t>
            </w: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台</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w:t>
            </w:r>
          </w:p>
        </w:tc>
        <w:tc>
          <w:tcPr>
            <w:tcW w:w="20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低压开关柜（屏）</w:t>
            </w:r>
          </w:p>
        </w:tc>
        <w:tc>
          <w:tcPr>
            <w:tcW w:w="3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0.4kV配电设备1D4馈线柜安装，含基础接地及防腐除锈</w:t>
            </w:r>
            <w:r>
              <w:rPr>
                <w:rFonts w:hint="eastAsia" w:ascii="宋体" w:hAnsi="宋体" w:eastAsia="宋体" w:cs="宋体"/>
                <w:i w:val="0"/>
                <w:color w:val="000000"/>
                <w:spacing w:val="0"/>
                <w:kern w:val="0"/>
                <w:position w:val="0"/>
                <w:sz w:val="20"/>
                <w:szCs w:val="20"/>
                <w:u w:val="none"/>
                <w:lang w:val="en-US" w:eastAsia="zh-CN" w:bidi="ar-SA"/>
              </w:rPr>
              <w:t>，具体详见图纸</w:t>
            </w:r>
            <w:r>
              <w:rPr>
                <w:rFonts w:hint="eastAsia" w:ascii="宋体" w:hAnsi="宋体" w:eastAsia="宋体" w:cs="宋体"/>
                <w:i w:val="0"/>
                <w:iCs w:val="0"/>
                <w:color w:val="000000"/>
                <w:kern w:val="0"/>
                <w:sz w:val="20"/>
                <w:szCs w:val="20"/>
                <w:u w:val="none"/>
                <w:lang w:val="en-US" w:eastAsia="zh-CN"/>
              </w:rPr>
              <w:t>。</w:t>
            </w: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台</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9</w:t>
            </w:r>
          </w:p>
        </w:tc>
        <w:tc>
          <w:tcPr>
            <w:tcW w:w="20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低压开关柜（屏）</w:t>
            </w:r>
          </w:p>
        </w:tc>
        <w:tc>
          <w:tcPr>
            <w:tcW w:w="3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0.4kV配电设备2D4馈线柜安装，含基础接地及防腐除锈</w:t>
            </w:r>
            <w:r>
              <w:rPr>
                <w:rFonts w:hint="eastAsia" w:ascii="宋体" w:hAnsi="宋体" w:eastAsia="宋体" w:cs="宋体"/>
                <w:i w:val="0"/>
                <w:color w:val="000000"/>
                <w:spacing w:val="0"/>
                <w:kern w:val="0"/>
                <w:position w:val="0"/>
                <w:sz w:val="20"/>
                <w:szCs w:val="20"/>
                <w:u w:val="none"/>
                <w:lang w:val="en-US" w:eastAsia="zh-CN" w:bidi="ar-SA"/>
              </w:rPr>
              <w:t>，具体详见图纸</w:t>
            </w:r>
            <w:r>
              <w:rPr>
                <w:rFonts w:hint="eastAsia" w:ascii="宋体" w:hAnsi="宋体" w:eastAsia="宋体" w:cs="宋体"/>
                <w:i w:val="0"/>
                <w:iCs w:val="0"/>
                <w:color w:val="000000"/>
                <w:kern w:val="0"/>
                <w:sz w:val="20"/>
                <w:szCs w:val="20"/>
                <w:u w:val="none"/>
                <w:lang w:val="en-US" w:eastAsia="zh-CN"/>
              </w:rPr>
              <w:t>。</w:t>
            </w: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台</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w:t>
            </w:r>
          </w:p>
        </w:tc>
        <w:tc>
          <w:tcPr>
            <w:tcW w:w="20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低压开关柜（屏）</w:t>
            </w:r>
          </w:p>
        </w:tc>
        <w:tc>
          <w:tcPr>
            <w:tcW w:w="3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0.4kV配电设备1D5馈线柜安装，含基础接地及防腐除锈</w:t>
            </w:r>
            <w:r>
              <w:rPr>
                <w:rFonts w:hint="eastAsia" w:ascii="宋体" w:hAnsi="宋体" w:eastAsia="宋体" w:cs="宋体"/>
                <w:i w:val="0"/>
                <w:color w:val="000000"/>
                <w:spacing w:val="0"/>
                <w:kern w:val="0"/>
                <w:position w:val="0"/>
                <w:sz w:val="20"/>
                <w:szCs w:val="20"/>
                <w:u w:val="none"/>
                <w:lang w:val="en-US" w:eastAsia="zh-CN" w:bidi="ar-SA"/>
              </w:rPr>
              <w:t>，具体详见图纸</w:t>
            </w:r>
            <w:r>
              <w:rPr>
                <w:rFonts w:hint="eastAsia" w:ascii="宋体" w:hAnsi="宋体" w:eastAsia="宋体" w:cs="宋体"/>
                <w:i w:val="0"/>
                <w:iCs w:val="0"/>
                <w:color w:val="000000"/>
                <w:kern w:val="0"/>
                <w:sz w:val="20"/>
                <w:szCs w:val="20"/>
                <w:u w:val="none"/>
                <w:lang w:val="en-US" w:eastAsia="zh-CN"/>
              </w:rPr>
              <w:t>。</w:t>
            </w: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台</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11</w:t>
            </w:r>
          </w:p>
        </w:tc>
        <w:tc>
          <w:tcPr>
            <w:tcW w:w="20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直流馈电屏</w:t>
            </w:r>
          </w:p>
        </w:tc>
        <w:tc>
          <w:tcPr>
            <w:tcW w:w="3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壁挂式直流屏24AH/DC110V安装，含基础接地、连接电缆及防腐除锈</w:t>
            </w:r>
            <w:r>
              <w:rPr>
                <w:rFonts w:hint="eastAsia" w:ascii="宋体" w:hAnsi="宋体" w:eastAsia="宋体" w:cs="宋体"/>
                <w:i w:val="0"/>
                <w:color w:val="000000"/>
                <w:spacing w:val="0"/>
                <w:kern w:val="0"/>
                <w:position w:val="0"/>
                <w:sz w:val="20"/>
                <w:szCs w:val="20"/>
                <w:u w:val="none"/>
                <w:lang w:val="en-US" w:eastAsia="zh-CN" w:bidi="ar-SA"/>
              </w:rPr>
              <w:t>，具体详见图纸</w:t>
            </w:r>
            <w:r>
              <w:rPr>
                <w:rFonts w:hint="eastAsia" w:ascii="宋体" w:hAnsi="宋体" w:eastAsia="宋体" w:cs="宋体"/>
                <w:i w:val="0"/>
                <w:iCs w:val="0"/>
                <w:color w:val="000000"/>
                <w:kern w:val="0"/>
                <w:sz w:val="20"/>
                <w:szCs w:val="20"/>
                <w:u w:val="none"/>
                <w:lang w:val="en-US" w:eastAsia="zh-CN"/>
              </w:rPr>
              <w:t>。</w:t>
            </w: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台</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12</w:t>
            </w:r>
          </w:p>
        </w:tc>
        <w:tc>
          <w:tcPr>
            <w:tcW w:w="20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铁构件</w:t>
            </w:r>
          </w:p>
        </w:tc>
        <w:tc>
          <w:tcPr>
            <w:tcW w:w="3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变配电设备10#基础槽钢制安，需刷防腐防锈漆</w:t>
            </w:r>
            <w:r>
              <w:rPr>
                <w:rFonts w:hint="eastAsia" w:ascii="宋体" w:hAnsi="宋体" w:eastAsia="宋体" w:cs="宋体"/>
                <w:i w:val="0"/>
                <w:color w:val="000000"/>
                <w:spacing w:val="0"/>
                <w:kern w:val="0"/>
                <w:position w:val="0"/>
                <w:sz w:val="20"/>
                <w:szCs w:val="20"/>
                <w:u w:val="none"/>
                <w:lang w:val="en-US" w:eastAsia="zh-CN" w:bidi="ar-SA"/>
              </w:rPr>
              <w:t>，具体详见图纸</w:t>
            </w:r>
            <w:r>
              <w:rPr>
                <w:rFonts w:hint="eastAsia" w:ascii="宋体" w:hAnsi="宋体" w:eastAsia="宋体" w:cs="宋体"/>
                <w:i w:val="0"/>
                <w:iCs w:val="0"/>
                <w:color w:val="000000"/>
                <w:kern w:val="0"/>
                <w:sz w:val="20"/>
                <w:szCs w:val="20"/>
                <w:u w:val="none"/>
                <w:lang w:val="en-US" w:eastAsia="zh-CN"/>
              </w:rPr>
              <w:t>。</w:t>
            </w: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kg</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13</w:t>
            </w:r>
          </w:p>
        </w:tc>
        <w:tc>
          <w:tcPr>
            <w:tcW w:w="20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防火堵洞</w:t>
            </w:r>
          </w:p>
        </w:tc>
        <w:tc>
          <w:tcPr>
            <w:tcW w:w="3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防火堵洞，包括盘柜下等的防火堵洞，综合报价</w:t>
            </w: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项</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14</w:t>
            </w:r>
          </w:p>
        </w:tc>
        <w:tc>
          <w:tcPr>
            <w:tcW w:w="20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带形母线</w:t>
            </w:r>
          </w:p>
        </w:tc>
        <w:tc>
          <w:tcPr>
            <w:tcW w:w="3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变压器连接母线TMY-50*5制安</w:t>
            </w:r>
            <w:r>
              <w:rPr>
                <w:rFonts w:hint="eastAsia" w:ascii="宋体" w:hAnsi="宋体" w:eastAsia="宋体" w:cs="宋体"/>
                <w:i w:val="0"/>
                <w:color w:val="000000"/>
                <w:spacing w:val="0"/>
                <w:kern w:val="0"/>
                <w:position w:val="0"/>
                <w:sz w:val="20"/>
                <w:szCs w:val="20"/>
                <w:u w:val="none"/>
                <w:lang w:val="en-US" w:eastAsia="zh-CN" w:bidi="ar-SA"/>
              </w:rPr>
              <w:t>，具体详见图纸</w:t>
            </w:r>
            <w:r>
              <w:rPr>
                <w:rFonts w:hint="eastAsia" w:ascii="宋体" w:hAnsi="宋体" w:eastAsia="宋体" w:cs="宋体"/>
                <w:i w:val="0"/>
                <w:iCs w:val="0"/>
                <w:color w:val="000000"/>
                <w:kern w:val="0"/>
                <w:sz w:val="20"/>
                <w:szCs w:val="20"/>
                <w:u w:val="none"/>
                <w:lang w:val="en-US" w:eastAsia="zh-CN"/>
              </w:rPr>
              <w:t>。</w:t>
            </w: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15</w:t>
            </w:r>
          </w:p>
        </w:tc>
        <w:tc>
          <w:tcPr>
            <w:tcW w:w="20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低压封闭式插接母线槽</w:t>
            </w:r>
          </w:p>
        </w:tc>
        <w:tc>
          <w:tcPr>
            <w:tcW w:w="3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密集型母线槽630A三相四线IP54制安，含连接器等辅材</w:t>
            </w:r>
            <w:r>
              <w:rPr>
                <w:rFonts w:hint="eastAsia" w:ascii="宋体" w:hAnsi="宋体" w:eastAsia="宋体" w:cs="宋体"/>
                <w:i w:val="0"/>
                <w:color w:val="000000"/>
                <w:spacing w:val="0"/>
                <w:kern w:val="0"/>
                <w:position w:val="0"/>
                <w:sz w:val="20"/>
                <w:szCs w:val="20"/>
                <w:u w:val="none"/>
                <w:lang w:val="en-US" w:eastAsia="zh-CN" w:bidi="ar-SA"/>
              </w:rPr>
              <w:t>，具体详见图纸</w:t>
            </w:r>
            <w:r>
              <w:rPr>
                <w:rFonts w:hint="eastAsia" w:ascii="宋体" w:hAnsi="宋体" w:eastAsia="宋体" w:cs="宋体"/>
                <w:i w:val="0"/>
                <w:iCs w:val="0"/>
                <w:color w:val="000000"/>
                <w:kern w:val="0"/>
                <w:sz w:val="20"/>
                <w:szCs w:val="20"/>
                <w:u w:val="none"/>
                <w:lang w:val="en-US" w:eastAsia="zh-CN"/>
              </w:rPr>
              <w:t>。</w:t>
            </w: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16</w:t>
            </w:r>
          </w:p>
        </w:tc>
        <w:tc>
          <w:tcPr>
            <w:tcW w:w="20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电力电缆</w:t>
            </w:r>
          </w:p>
        </w:tc>
        <w:tc>
          <w:tcPr>
            <w:tcW w:w="3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10kV电力电缆YJV22-8.7/15kV-3*50mm2敷设</w:t>
            </w:r>
            <w:r>
              <w:rPr>
                <w:rFonts w:hint="eastAsia" w:ascii="宋体" w:hAnsi="宋体" w:eastAsia="宋体" w:cs="宋体"/>
                <w:i w:val="0"/>
                <w:color w:val="000000"/>
                <w:spacing w:val="0"/>
                <w:kern w:val="0"/>
                <w:position w:val="0"/>
                <w:sz w:val="20"/>
                <w:szCs w:val="20"/>
                <w:u w:val="none"/>
                <w:lang w:val="en-US" w:eastAsia="zh-CN" w:bidi="ar-SA"/>
              </w:rPr>
              <w:t>，具体详见图纸。</w:t>
            </w: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17</w:t>
            </w:r>
          </w:p>
        </w:tc>
        <w:tc>
          <w:tcPr>
            <w:tcW w:w="20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电力电缆头</w:t>
            </w:r>
          </w:p>
        </w:tc>
        <w:tc>
          <w:tcPr>
            <w:tcW w:w="3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户内电缆终端头3*50mm2制安，含铜接头制安</w:t>
            </w:r>
            <w:r>
              <w:rPr>
                <w:rFonts w:hint="eastAsia" w:ascii="宋体" w:hAnsi="宋体" w:eastAsia="宋体" w:cs="宋体"/>
                <w:i w:val="0"/>
                <w:color w:val="000000"/>
                <w:spacing w:val="0"/>
                <w:kern w:val="0"/>
                <w:position w:val="0"/>
                <w:sz w:val="20"/>
                <w:szCs w:val="20"/>
                <w:u w:val="none"/>
                <w:lang w:val="en-US" w:eastAsia="zh-CN" w:bidi="ar-SA"/>
              </w:rPr>
              <w:t>，具体详见图纸</w:t>
            </w:r>
            <w:r>
              <w:rPr>
                <w:rFonts w:hint="eastAsia" w:ascii="宋体" w:hAnsi="宋体" w:eastAsia="宋体" w:cs="宋体"/>
                <w:i w:val="0"/>
                <w:iCs w:val="0"/>
                <w:color w:val="000000"/>
                <w:kern w:val="0"/>
                <w:sz w:val="20"/>
                <w:szCs w:val="20"/>
                <w:u w:val="none"/>
                <w:lang w:val="en-US" w:eastAsia="zh-CN"/>
              </w:rPr>
              <w:t>。</w:t>
            </w: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个</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18</w:t>
            </w:r>
          </w:p>
        </w:tc>
        <w:tc>
          <w:tcPr>
            <w:tcW w:w="20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接地母线</w:t>
            </w:r>
          </w:p>
        </w:tc>
        <w:tc>
          <w:tcPr>
            <w:tcW w:w="3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-50*5镀锌接地扁铁制安</w:t>
            </w:r>
            <w:r>
              <w:rPr>
                <w:rFonts w:hint="eastAsia" w:ascii="宋体" w:hAnsi="宋体" w:eastAsia="宋体" w:cs="宋体"/>
                <w:i w:val="0"/>
                <w:color w:val="000000"/>
                <w:spacing w:val="0"/>
                <w:kern w:val="0"/>
                <w:position w:val="0"/>
                <w:sz w:val="20"/>
                <w:szCs w:val="20"/>
                <w:u w:val="none"/>
                <w:lang w:val="en-US" w:eastAsia="zh-CN" w:bidi="ar-SA"/>
              </w:rPr>
              <w:t>，具体详见图纸</w:t>
            </w: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m</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19</w:t>
            </w:r>
          </w:p>
        </w:tc>
        <w:tc>
          <w:tcPr>
            <w:tcW w:w="20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电力变压器系统</w:t>
            </w:r>
          </w:p>
        </w:tc>
        <w:tc>
          <w:tcPr>
            <w:tcW w:w="3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10kV以下电力变压器系统调试满足招标要求、图纸设计及验收规范</w:t>
            </w: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系统</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w:t>
            </w:r>
          </w:p>
        </w:tc>
        <w:tc>
          <w:tcPr>
            <w:tcW w:w="20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送配电装置系统</w:t>
            </w:r>
          </w:p>
        </w:tc>
        <w:tc>
          <w:tcPr>
            <w:tcW w:w="3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送配电装置系统调试 1kV以下交流供电(综合)</w:t>
            </w:r>
            <w:r>
              <w:rPr>
                <w:rFonts w:hint="eastAsia" w:ascii="宋体" w:hAnsi="宋体" w:eastAsia="宋体" w:cs="宋体"/>
                <w:i w:val="0"/>
                <w:color w:val="000000"/>
                <w:spacing w:val="0"/>
                <w:kern w:val="0"/>
                <w:position w:val="0"/>
                <w:sz w:val="20"/>
                <w:szCs w:val="20"/>
                <w:u w:val="none"/>
                <w:lang w:val="en-US" w:eastAsia="zh-CN" w:bidi="ar-SA"/>
              </w:rPr>
              <w:t>，具体详见图纸</w:t>
            </w: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系统</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21</w:t>
            </w:r>
          </w:p>
        </w:tc>
        <w:tc>
          <w:tcPr>
            <w:tcW w:w="20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送配电装置系统</w:t>
            </w:r>
          </w:p>
        </w:tc>
        <w:tc>
          <w:tcPr>
            <w:tcW w:w="3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10kV以下交流供电系统调试满足招标要求、图纸设计及验收规范</w:t>
            </w: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系统</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22</w:t>
            </w:r>
          </w:p>
        </w:tc>
        <w:tc>
          <w:tcPr>
            <w:tcW w:w="20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送配电装置系统</w:t>
            </w:r>
          </w:p>
        </w:tc>
        <w:tc>
          <w:tcPr>
            <w:tcW w:w="3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直流供电(V以下)500满足招标要求、图纸设计及验收规范</w:t>
            </w: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系统</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23</w:t>
            </w:r>
          </w:p>
        </w:tc>
        <w:tc>
          <w:tcPr>
            <w:tcW w:w="20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母线</w:t>
            </w:r>
          </w:p>
        </w:tc>
        <w:tc>
          <w:tcPr>
            <w:tcW w:w="3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母线系统调试  1kV以下</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满足招标要求、图纸设计及验收规范</w:t>
            </w: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段</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24</w:t>
            </w:r>
          </w:p>
        </w:tc>
        <w:tc>
          <w:tcPr>
            <w:tcW w:w="20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母线</w:t>
            </w:r>
          </w:p>
        </w:tc>
        <w:tc>
          <w:tcPr>
            <w:tcW w:w="3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母线系统调试  10kV以下</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满足招标要求、图纸设计及验收规范</w:t>
            </w: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段</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25</w:t>
            </w:r>
          </w:p>
        </w:tc>
        <w:tc>
          <w:tcPr>
            <w:tcW w:w="20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避雷器</w:t>
            </w:r>
          </w:p>
        </w:tc>
        <w:tc>
          <w:tcPr>
            <w:tcW w:w="3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避雷器调试  10kV以下</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满足招标要求、图纸设计及验收规范</w:t>
            </w: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组</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26</w:t>
            </w:r>
          </w:p>
        </w:tc>
        <w:tc>
          <w:tcPr>
            <w:tcW w:w="20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电容器</w:t>
            </w:r>
          </w:p>
        </w:tc>
        <w:tc>
          <w:tcPr>
            <w:tcW w:w="3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电容器调试 1KV以下</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满足招标要求、图纸设计及验收规范</w:t>
            </w: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组</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27</w:t>
            </w:r>
          </w:p>
        </w:tc>
        <w:tc>
          <w:tcPr>
            <w:tcW w:w="20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接地装置</w:t>
            </w:r>
          </w:p>
        </w:tc>
        <w:tc>
          <w:tcPr>
            <w:tcW w:w="3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接地调试</w:t>
            </w:r>
          </w:p>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满足招标要求、图纸设计及验收规范</w:t>
            </w: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系统</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28</w:t>
            </w:r>
          </w:p>
        </w:tc>
        <w:tc>
          <w:tcPr>
            <w:tcW w:w="20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后台监控系统</w:t>
            </w:r>
          </w:p>
        </w:tc>
        <w:tc>
          <w:tcPr>
            <w:tcW w:w="3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含边缘计算工控机、IXMS综合能源管理云平台、通讯机柜、交换机、光纤交换机、辅材工具及系统、设备调试费用。</w:t>
            </w: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套</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c>
          <w:tcPr>
            <w:tcW w:w="8064"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配电房标准化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29</w:t>
            </w:r>
          </w:p>
        </w:tc>
        <w:tc>
          <w:tcPr>
            <w:tcW w:w="20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风扇</w:t>
            </w:r>
          </w:p>
        </w:tc>
        <w:tc>
          <w:tcPr>
            <w:tcW w:w="3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轴流风机安装 下进上出,可定时控制,采用≥450W轴流风机,噪音低于50DB</w:t>
            </w: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台</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30</w:t>
            </w:r>
          </w:p>
        </w:tc>
        <w:tc>
          <w:tcPr>
            <w:tcW w:w="20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铝合金挡鼠板</w:t>
            </w:r>
          </w:p>
        </w:tc>
        <w:tc>
          <w:tcPr>
            <w:tcW w:w="3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每一扇门配400MM高度,长度根据现场而定,并在最上方一块用黄黑标识区分,安装合成为插入式</w:t>
            </w: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块</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31</w:t>
            </w:r>
          </w:p>
        </w:tc>
        <w:tc>
          <w:tcPr>
            <w:tcW w:w="20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变电所内操作工具</w:t>
            </w:r>
          </w:p>
        </w:tc>
        <w:tc>
          <w:tcPr>
            <w:tcW w:w="3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绝缘地毯宽800mm,厚5mm,长度根据现场而定、绝缘工具一套，绝缘鞋2双，绝缘手套2付，高压验电笔1支，接地棒1根</w:t>
            </w: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套</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32</w:t>
            </w:r>
          </w:p>
        </w:tc>
        <w:tc>
          <w:tcPr>
            <w:tcW w:w="20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灭火器</w:t>
            </w:r>
          </w:p>
        </w:tc>
        <w:tc>
          <w:tcPr>
            <w:tcW w:w="3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rPr>
              <w:t>组灭火器（箱体，2-MF/ABC/4KG）</w:t>
            </w: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套</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33</w:t>
            </w:r>
          </w:p>
        </w:tc>
        <w:tc>
          <w:tcPr>
            <w:tcW w:w="20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工具箱</w:t>
            </w:r>
          </w:p>
        </w:tc>
        <w:tc>
          <w:tcPr>
            <w:tcW w:w="3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工具箱</w:t>
            </w: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套</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34</w:t>
            </w:r>
          </w:p>
        </w:tc>
        <w:tc>
          <w:tcPr>
            <w:tcW w:w="20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除湿机</w:t>
            </w:r>
          </w:p>
        </w:tc>
        <w:tc>
          <w:tcPr>
            <w:tcW w:w="3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除湿机</w:t>
            </w: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套</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35</w:t>
            </w:r>
          </w:p>
        </w:tc>
        <w:tc>
          <w:tcPr>
            <w:tcW w:w="20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空调器</w:t>
            </w:r>
          </w:p>
        </w:tc>
        <w:tc>
          <w:tcPr>
            <w:tcW w:w="3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5P成套分体式空调落地安装，含铜管、开孔、保温等</w:t>
            </w:r>
          </w:p>
        </w:tc>
        <w:tc>
          <w:tcPr>
            <w:tcW w:w="106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台</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p>
        </w:tc>
        <w:tc>
          <w:tcPr>
            <w:tcW w:w="8064"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外线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36</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电力电缆</w:t>
            </w:r>
          </w:p>
        </w:tc>
        <w:tc>
          <w:tcPr>
            <w:tcW w:w="3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排管内铜芯电力电缆敷设 YJV22-8.7/15-3*70</w:t>
            </w:r>
          </w:p>
        </w:tc>
        <w:tc>
          <w:tcPr>
            <w:tcW w:w="10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SA"/>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SA"/>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37</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电力电缆头</w:t>
            </w:r>
          </w:p>
        </w:tc>
        <w:tc>
          <w:tcPr>
            <w:tcW w:w="3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户外预制式10kV冷缩电缆终端头70mm2</w:t>
            </w:r>
          </w:p>
        </w:tc>
        <w:tc>
          <w:tcPr>
            <w:tcW w:w="10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SA"/>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38</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塑料管</w:t>
            </w:r>
          </w:p>
        </w:tc>
        <w:tc>
          <w:tcPr>
            <w:tcW w:w="3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4孔MPP管 DS 150*6000 SN24 MPP,埋深1.19m，100mmC15砼垫层，560*560mmC25商品砼方包；具体详见设计施工图</w:t>
            </w:r>
          </w:p>
        </w:tc>
        <w:tc>
          <w:tcPr>
            <w:tcW w:w="10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SA"/>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SA"/>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1"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39</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混凝土井</w:t>
            </w:r>
          </w:p>
        </w:tc>
        <w:tc>
          <w:tcPr>
            <w:tcW w:w="3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电缆工作井:内径2020*1520mm，井深1100mm;100mm厚C15砼垫层，200mm厚C30商品砼垫层，砖墙采用Mu25蒸压灰砂转,M10水泥砂浆砌筑，砖墙两侧、底板均抹1:2水泥砂浆20厚，预制C30砼盖板共4块，预埋铁件、混凝土基础木模等具体详见图纸</w:t>
            </w:r>
          </w:p>
        </w:tc>
        <w:tc>
          <w:tcPr>
            <w:tcW w:w="10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SA"/>
              </w:rPr>
              <w:t>座</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现浇构件钢筋</w:t>
            </w:r>
          </w:p>
        </w:tc>
        <w:tc>
          <w:tcPr>
            <w:tcW w:w="3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普通钢筋制作、安装 HRB400</w:t>
            </w:r>
          </w:p>
        </w:tc>
        <w:tc>
          <w:tcPr>
            <w:tcW w:w="10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SA"/>
              </w:rPr>
              <w:t>t</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SA"/>
              </w:rPr>
              <w:t>0.209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41</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预制构件钢筋</w:t>
            </w:r>
          </w:p>
        </w:tc>
        <w:tc>
          <w:tcPr>
            <w:tcW w:w="3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普通钢筋制作、安装 HPB300</w:t>
            </w:r>
          </w:p>
        </w:tc>
        <w:tc>
          <w:tcPr>
            <w:tcW w:w="10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SA"/>
              </w:rPr>
              <w:t>t</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SA"/>
              </w:rPr>
              <w:t>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42</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管道封堵</w:t>
            </w:r>
          </w:p>
        </w:tc>
        <w:tc>
          <w:tcPr>
            <w:tcW w:w="3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1.管道封堵</w:t>
            </w:r>
          </w:p>
        </w:tc>
        <w:tc>
          <w:tcPr>
            <w:tcW w:w="10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SA"/>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SA"/>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43</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电缆井改造</w:t>
            </w:r>
          </w:p>
        </w:tc>
        <w:tc>
          <w:tcPr>
            <w:tcW w:w="3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1.电缆井改造</w:t>
            </w:r>
          </w:p>
        </w:tc>
        <w:tc>
          <w:tcPr>
            <w:tcW w:w="10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SA"/>
              </w:rPr>
              <w:t>座</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44</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挖沟槽土方</w:t>
            </w:r>
          </w:p>
        </w:tc>
        <w:tc>
          <w:tcPr>
            <w:tcW w:w="3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挖沟槽（基坑）土方；土壤类别根据实际自行考虑，湿土比例由投标单位现场踏看自行考虑，平均挖土深度1.5米以内</w:t>
            </w:r>
          </w:p>
        </w:tc>
        <w:tc>
          <w:tcPr>
            <w:tcW w:w="10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SA"/>
              </w:rPr>
              <w:t>m3</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SA"/>
              </w:rPr>
              <w:t>29.44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45</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回填方</w:t>
            </w:r>
          </w:p>
        </w:tc>
        <w:tc>
          <w:tcPr>
            <w:tcW w:w="3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利用开挖方回填，分层压实，压实度满足设计要求</w:t>
            </w:r>
          </w:p>
        </w:tc>
        <w:tc>
          <w:tcPr>
            <w:tcW w:w="10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SA"/>
              </w:rPr>
              <w:t>m3</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SA"/>
              </w:rPr>
              <w:t>29.44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6968" w:type="dxa"/>
            <w:gridSpan w:val="4"/>
            <w:tcBorders>
              <w:top w:val="nil"/>
              <w:left w:val="nil"/>
              <w:bottom w:val="nil"/>
              <w:right w:val="nil"/>
            </w:tcBorders>
            <w:shd w:val="clear" w:color="auto" w:fill="FFFFFF"/>
            <w:vAlign w:val="bottom"/>
          </w:tcPr>
          <w:p>
            <w:pPr>
              <w:widowControl/>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2、单位工程及专业工程名称：单项工程-土建工程</w:t>
            </w:r>
          </w:p>
        </w:tc>
        <w:tc>
          <w:tcPr>
            <w:tcW w:w="2017" w:type="dxa"/>
            <w:gridSpan w:val="3"/>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序号</w:t>
            </w:r>
          </w:p>
        </w:tc>
        <w:tc>
          <w:tcPr>
            <w:tcW w:w="26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项目名称</w:t>
            </w:r>
          </w:p>
        </w:tc>
        <w:tc>
          <w:tcPr>
            <w:tcW w:w="3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项目特征描述</w:t>
            </w:r>
          </w:p>
        </w:tc>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计量单位</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c>
          <w:tcPr>
            <w:tcW w:w="2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挖基坑土方</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挖沟槽（基坑）土方；土壤类别根据实际自行考虑，湿土比例由投标单位现场踏看自行考虑，平均挖土深度1.2米以内</w:t>
            </w:r>
          </w:p>
        </w:tc>
        <w:tc>
          <w:tcPr>
            <w:tcW w:w="8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SA"/>
              </w:rPr>
              <w:t>m3</w:t>
            </w:r>
          </w:p>
        </w:tc>
        <w:tc>
          <w:tcPr>
            <w:tcW w:w="11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color w:val="000000"/>
                <w:kern w:val="0"/>
                <w:sz w:val="20"/>
                <w:szCs w:val="20"/>
                <w:u w:val="none"/>
                <w:lang w:val="en-US" w:eastAsia="zh-CN" w:bidi="ar-SA"/>
              </w:rPr>
              <w:t>113.79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w:t>
            </w:r>
          </w:p>
        </w:tc>
        <w:tc>
          <w:tcPr>
            <w:tcW w:w="2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余方弃置</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余方消纳运距及渣土处置及消纳费用等由投标单位自行考虑；</w:t>
            </w:r>
          </w:p>
        </w:tc>
        <w:tc>
          <w:tcPr>
            <w:tcW w:w="8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SA"/>
              </w:rPr>
              <w:t>m3</w:t>
            </w:r>
          </w:p>
        </w:tc>
        <w:tc>
          <w:tcPr>
            <w:tcW w:w="11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color w:val="000000"/>
                <w:kern w:val="0"/>
                <w:sz w:val="20"/>
                <w:szCs w:val="20"/>
                <w:u w:val="none"/>
                <w:lang w:val="en-US" w:eastAsia="zh-CN" w:bidi="ar-SA"/>
              </w:rPr>
              <w:t>82.06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3"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w:t>
            </w:r>
          </w:p>
        </w:tc>
        <w:tc>
          <w:tcPr>
            <w:tcW w:w="2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回填方</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塘渣回填</w:t>
            </w:r>
          </w:p>
        </w:tc>
        <w:tc>
          <w:tcPr>
            <w:tcW w:w="8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SA"/>
              </w:rPr>
              <w:t>m3</w:t>
            </w:r>
          </w:p>
        </w:tc>
        <w:tc>
          <w:tcPr>
            <w:tcW w:w="11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color w:val="000000"/>
                <w:kern w:val="0"/>
                <w:sz w:val="20"/>
                <w:szCs w:val="20"/>
                <w:u w:val="none"/>
                <w:lang w:val="en-US" w:eastAsia="zh-CN" w:bidi="ar-SA"/>
              </w:rPr>
              <w:t>27.59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w:t>
            </w:r>
          </w:p>
        </w:tc>
        <w:tc>
          <w:tcPr>
            <w:tcW w:w="2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垫层</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塘渣回填表面100mm碎石垫层灌浆</w:t>
            </w:r>
          </w:p>
        </w:tc>
        <w:tc>
          <w:tcPr>
            <w:tcW w:w="8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18"/>
                <w:szCs w:val="18"/>
                <w:u w:val="none"/>
                <w:lang w:val="en-US" w:eastAsia="zh-CN" w:bidi="ar-SA"/>
              </w:rPr>
              <w:t>m3</w:t>
            </w:r>
          </w:p>
        </w:tc>
        <w:tc>
          <w:tcPr>
            <w:tcW w:w="11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18"/>
                <w:szCs w:val="18"/>
                <w:u w:val="none"/>
                <w:lang w:val="en-US" w:eastAsia="zh-CN" w:bidi="ar-SA"/>
              </w:rPr>
              <w:t>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w:t>
            </w:r>
          </w:p>
        </w:tc>
        <w:tc>
          <w:tcPr>
            <w:tcW w:w="2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圈梁</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商品混凝土 强度等级C25</w:t>
            </w:r>
          </w:p>
        </w:tc>
        <w:tc>
          <w:tcPr>
            <w:tcW w:w="8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SA"/>
              </w:rPr>
              <w:t>m3</w:t>
            </w:r>
          </w:p>
        </w:tc>
        <w:tc>
          <w:tcPr>
            <w:tcW w:w="11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SA"/>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w:t>
            </w:r>
          </w:p>
        </w:tc>
        <w:tc>
          <w:tcPr>
            <w:tcW w:w="2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无梁板</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塘渣回填表面c25混凝土覆盖</w:t>
            </w:r>
          </w:p>
        </w:tc>
        <w:tc>
          <w:tcPr>
            <w:tcW w:w="8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SA"/>
              </w:rPr>
              <w:t>m3</w:t>
            </w:r>
          </w:p>
        </w:tc>
        <w:tc>
          <w:tcPr>
            <w:tcW w:w="11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SA"/>
              </w:rPr>
              <w:t>35.75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7</w:t>
            </w:r>
          </w:p>
        </w:tc>
        <w:tc>
          <w:tcPr>
            <w:tcW w:w="2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现浇构件钢筋</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钢筋HRB400 φ6</w:t>
            </w:r>
          </w:p>
        </w:tc>
        <w:tc>
          <w:tcPr>
            <w:tcW w:w="8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SA"/>
              </w:rPr>
              <w:t>t</w:t>
            </w:r>
          </w:p>
        </w:tc>
        <w:tc>
          <w:tcPr>
            <w:tcW w:w="11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SA"/>
              </w:rPr>
              <w:t>0.139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8</w:t>
            </w:r>
          </w:p>
        </w:tc>
        <w:tc>
          <w:tcPr>
            <w:tcW w:w="2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现浇构件钢筋</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钢筋HRB400 φ8</w:t>
            </w:r>
          </w:p>
        </w:tc>
        <w:tc>
          <w:tcPr>
            <w:tcW w:w="8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SA"/>
              </w:rPr>
              <w:t>t</w:t>
            </w:r>
          </w:p>
        </w:tc>
        <w:tc>
          <w:tcPr>
            <w:tcW w:w="11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SA"/>
              </w:rPr>
              <w:t>0.365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w:t>
            </w:r>
          </w:p>
        </w:tc>
        <w:tc>
          <w:tcPr>
            <w:tcW w:w="2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现浇构件钢筋</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热轧带肋钢筋HRB400φ14；</w:t>
            </w:r>
          </w:p>
        </w:tc>
        <w:tc>
          <w:tcPr>
            <w:tcW w:w="8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SA"/>
              </w:rPr>
              <w:t>t</w:t>
            </w:r>
          </w:p>
        </w:tc>
        <w:tc>
          <w:tcPr>
            <w:tcW w:w="11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SA"/>
              </w:rPr>
              <w:t>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w:t>
            </w:r>
          </w:p>
        </w:tc>
        <w:tc>
          <w:tcPr>
            <w:tcW w:w="2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预埋铁件</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含制作、安装、镀锌，具体详见施工图</w:t>
            </w:r>
          </w:p>
        </w:tc>
        <w:tc>
          <w:tcPr>
            <w:tcW w:w="8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SA"/>
              </w:rPr>
              <w:t>t</w:t>
            </w:r>
          </w:p>
        </w:tc>
        <w:tc>
          <w:tcPr>
            <w:tcW w:w="11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SA"/>
              </w:rPr>
              <w:t>1.444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11</w:t>
            </w:r>
          </w:p>
        </w:tc>
        <w:tc>
          <w:tcPr>
            <w:tcW w:w="2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砖基础</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混凝土实心砖，DM M10水泥砂浆砌筑</w:t>
            </w:r>
          </w:p>
        </w:tc>
        <w:tc>
          <w:tcPr>
            <w:tcW w:w="8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SA"/>
              </w:rPr>
              <w:t>m3</w:t>
            </w:r>
          </w:p>
        </w:tc>
        <w:tc>
          <w:tcPr>
            <w:tcW w:w="11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color w:val="000000"/>
                <w:kern w:val="0"/>
                <w:sz w:val="20"/>
                <w:szCs w:val="20"/>
                <w:u w:val="none"/>
                <w:lang w:val="en-US" w:eastAsia="zh-CN" w:bidi="ar-SA"/>
              </w:rPr>
              <w:t>43.57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12</w:t>
            </w:r>
          </w:p>
        </w:tc>
        <w:tc>
          <w:tcPr>
            <w:tcW w:w="2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墙面一般抹灰</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电缆沟1：2水泥砂浆抹灰</w:t>
            </w:r>
          </w:p>
        </w:tc>
        <w:tc>
          <w:tcPr>
            <w:tcW w:w="8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SA"/>
              </w:rPr>
              <w:t>m2</w:t>
            </w:r>
          </w:p>
        </w:tc>
        <w:tc>
          <w:tcPr>
            <w:tcW w:w="11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SA"/>
              </w:rPr>
              <w:t>51.09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13</w:t>
            </w:r>
          </w:p>
        </w:tc>
        <w:tc>
          <w:tcPr>
            <w:tcW w:w="2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电缆沟盖板</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花纹钢盖板</w:t>
            </w:r>
          </w:p>
        </w:tc>
        <w:tc>
          <w:tcPr>
            <w:tcW w:w="8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SA"/>
              </w:rPr>
              <w:t>m2</w:t>
            </w:r>
          </w:p>
        </w:tc>
        <w:tc>
          <w:tcPr>
            <w:tcW w:w="11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SA"/>
              </w:rPr>
              <w:t>19.36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14</w:t>
            </w:r>
          </w:p>
        </w:tc>
        <w:tc>
          <w:tcPr>
            <w:tcW w:w="2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电缆支架</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电缆支架</w:t>
            </w:r>
          </w:p>
        </w:tc>
        <w:tc>
          <w:tcPr>
            <w:tcW w:w="8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SA"/>
              </w:rPr>
              <w:t>t</w:t>
            </w:r>
          </w:p>
        </w:tc>
        <w:tc>
          <w:tcPr>
            <w:tcW w:w="11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SA"/>
              </w:rPr>
              <w:t>0.051</w:t>
            </w:r>
          </w:p>
        </w:tc>
      </w:tr>
    </w:tbl>
    <w:p>
      <w:pPr>
        <w:rPr>
          <w:rFonts w:hint="eastAsia"/>
        </w:rPr>
      </w:pPr>
    </w:p>
    <w:p>
      <w:pPr>
        <w:wordWrap/>
        <w:adjustRightInd/>
        <w:spacing w:line="360" w:lineRule="auto"/>
        <w:rPr>
          <w:rFonts w:ascii="宋体" w:hAnsi="宋体" w:eastAsia="宋体" w:cs="宋体"/>
          <w:b/>
          <w:sz w:val="28"/>
          <w:szCs w:val="28"/>
        </w:rPr>
      </w:pPr>
      <w:r>
        <w:rPr>
          <w:rFonts w:hint="eastAsia" w:ascii="宋体" w:hAnsi="宋体" w:eastAsia="宋体" w:cs="宋体"/>
          <w:b/>
          <w:sz w:val="28"/>
          <w:szCs w:val="28"/>
        </w:rPr>
        <w:t>技术要求</w:t>
      </w:r>
    </w:p>
    <w:p>
      <w:pPr>
        <w:keepNext/>
        <w:keepLines/>
        <w:widowControl w:val="0"/>
        <w:wordWrap/>
        <w:spacing w:before="0" w:beforeLines="0" w:after="0" w:afterLines="0" w:line="360" w:lineRule="auto"/>
        <w:jc w:val="both"/>
        <w:outlineLvl w:val="1"/>
        <w:rPr>
          <w:rFonts w:ascii="宋体" w:hAnsi="宋体" w:eastAsia="宋体" w:cs="宋体"/>
          <w:b/>
          <w:bCs/>
          <w:kern w:val="2"/>
          <w:sz w:val="24"/>
          <w:szCs w:val="21"/>
          <w:lang w:val="en-US" w:eastAsia="zh-CN" w:bidi="ar-SA"/>
        </w:rPr>
      </w:pPr>
      <w:bookmarkStart w:id="28" w:name="_Toc69204970"/>
      <w:r>
        <w:rPr>
          <w:rFonts w:hint="eastAsia" w:ascii="宋体" w:hAnsi="宋体" w:eastAsia="宋体" w:cs="宋体"/>
          <w:b/>
          <w:bCs/>
          <w:kern w:val="2"/>
          <w:sz w:val="24"/>
          <w:szCs w:val="21"/>
          <w:lang w:val="en-US" w:eastAsia="zh-CN" w:bidi="ar-SA"/>
        </w:rPr>
        <w:t>（一）10kv开关柜</w:t>
      </w:r>
    </w:p>
    <w:p>
      <w:pPr>
        <w:wordWrap/>
        <w:adjustRightInd/>
        <w:spacing w:line="360" w:lineRule="auto"/>
        <w:ind w:firstLine="482" w:firstLineChars="200"/>
        <w:rPr>
          <w:rFonts w:ascii="宋体" w:hAnsi="宋体" w:eastAsia="宋体"/>
          <w:b/>
          <w:sz w:val="24"/>
        </w:rPr>
      </w:pPr>
      <w:r>
        <w:rPr>
          <w:rFonts w:hint="eastAsia" w:ascii="宋体" w:hAnsi="宋体" w:eastAsia="宋体"/>
          <w:b/>
          <w:sz w:val="24"/>
        </w:rPr>
        <w:t>1.执行的标准</w:t>
      </w:r>
    </w:p>
    <w:p>
      <w:pPr>
        <w:wordWrap/>
        <w:adjustRightInd/>
        <w:spacing w:line="360" w:lineRule="auto"/>
        <w:ind w:firstLine="480" w:firstLineChars="200"/>
        <w:rPr>
          <w:rFonts w:ascii="宋体" w:hAnsi="宋体" w:eastAsia="宋体"/>
          <w:bCs/>
          <w:sz w:val="24"/>
        </w:rPr>
      </w:pPr>
      <w:r>
        <w:rPr>
          <w:rFonts w:hint="eastAsia" w:ascii="宋体" w:hAnsi="宋体" w:eastAsia="宋体"/>
          <w:bCs/>
          <w:sz w:val="24"/>
        </w:rPr>
        <w:t>DL/T402-20</w:t>
      </w:r>
      <w:r>
        <w:rPr>
          <w:rFonts w:hint="eastAsia" w:ascii="宋体" w:hAnsi="宋体" w:eastAsia="宋体"/>
          <w:bCs/>
          <w:sz w:val="24"/>
          <w:lang w:val="en-US" w:eastAsia="zh-CN"/>
        </w:rPr>
        <w:t>16</w:t>
      </w:r>
      <w:r>
        <w:rPr>
          <w:rFonts w:hint="eastAsia" w:ascii="宋体" w:hAnsi="宋体" w:eastAsia="宋体"/>
          <w:bCs/>
          <w:sz w:val="24"/>
        </w:rPr>
        <w:t>高压交流断路器</w:t>
      </w:r>
    </w:p>
    <w:p>
      <w:pPr>
        <w:wordWrap/>
        <w:adjustRightInd/>
        <w:spacing w:line="360" w:lineRule="auto"/>
        <w:ind w:firstLine="480" w:firstLineChars="200"/>
        <w:rPr>
          <w:rFonts w:ascii="宋体" w:hAnsi="宋体" w:eastAsia="宋体"/>
          <w:bCs/>
          <w:sz w:val="24"/>
        </w:rPr>
      </w:pPr>
      <w:r>
        <w:rPr>
          <w:rFonts w:hint="eastAsia" w:ascii="宋体" w:hAnsi="宋体" w:eastAsia="宋体"/>
          <w:bCs/>
          <w:sz w:val="24"/>
        </w:rPr>
        <w:t>DL/T404</w:t>
      </w:r>
      <w:r>
        <w:rPr>
          <w:rFonts w:hint="eastAsia" w:ascii="宋体" w:hAnsi="宋体" w:eastAsia="宋体"/>
          <w:bCs/>
          <w:sz w:val="24"/>
          <w:lang w:val="en-US" w:eastAsia="zh-CN"/>
        </w:rPr>
        <w:t xml:space="preserve">-2018 </w:t>
      </w:r>
      <w:r>
        <w:rPr>
          <w:rFonts w:hint="eastAsia" w:ascii="宋体" w:hAnsi="宋体" w:eastAsia="宋体"/>
          <w:bCs/>
          <w:sz w:val="24"/>
        </w:rPr>
        <w:t>3.6kV-40.5kV交流金属封闭开关设备和控制设备</w:t>
      </w:r>
    </w:p>
    <w:p>
      <w:pPr>
        <w:wordWrap/>
        <w:adjustRightInd/>
        <w:spacing w:line="360" w:lineRule="auto"/>
        <w:ind w:firstLine="480" w:firstLineChars="200"/>
        <w:rPr>
          <w:rFonts w:hint="eastAsia" w:ascii="宋体" w:hAnsi="宋体" w:eastAsia="宋体" w:cs="Times New Roman"/>
          <w:bCs/>
          <w:sz w:val="24"/>
        </w:rPr>
      </w:pPr>
      <w:r>
        <w:rPr>
          <w:rFonts w:hint="eastAsia" w:ascii="宋体" w:hAnsi="宋体" w:eastAsia="宋体"/>
          <w:bCs/>
          <w:sz w:val="24"/>
        </w:rPr>
        <w:t>DL/T486</w:t>
      </w:r>
      <w:r>
        <w:rPr>
          <w:rFonts w:hint="eastAsia" w:ascii="宋体" w:hAnsi="宋体" w:eastAsia="宋体"/>
          <w:bCs/>
          <w:sz w:val="24"/>
          <w:lang w:val="en-US" w:eastAsia="zh-CN"/>
        </w:rPr>
        <w:t>-2021</w:t>
      </w:r>
      <w:r>
        <w:rPr>
          <w:rFonts w:hint="eastAsia" w:ascii="宋体" w:hAnsi="宋体" w:eastAsia="宋体"/>
          <w:bCs/>
          <w:sz w:val="24"/>
        </w:rPr>
        <w:t>高压交</w:t>
      </w:r>
      <w:r>
        <w:rPr>
          <w:rFonts w:hint="eastAsia" w:ascii="宋体" w:hAnsi="宋体" w:eastAsia="宋体" w:cs="Times New Roman"/>
          <w:bCs/>
          <w:sz w:val="24"/>
        </w:rPr>
        <w:t>流隔离开关和接地开关</w:t>
      </w:r>
    </w:p>
    <w:p>
      <w:pPr>
        <w:wordWrap/>
        <w:adjustRightInd/>
        <w:spacing w:line="360" w:lineRule="auto"/>
        <w:ind w:firstLine="480" w:firstLineChars="200"/>
        <w:rPr>
          <w:rFonts w:hint="eastAsia" w:ascii="宋体" w:hAnsi="宋体" w:eastAsia="宋体" w:cs="Times New Roman"/>
          <w:bCs/>
          <w:sz w:val="24"/>
        </w:rPr>
      </w:pPr>
      <w:r>
        <w:rPr>
          <w:rFonts w:hint="eastAsia" w:ascii="宋体" w:hAnsi="宋体" w:eastAsia="宋体" w:cs="Times New Roman"/>
          <w:bCs/>
          <w:sz w:val="24"/>
        </w:rPr>
        <w:t>DL/T728-20</w:t>
      </w:r>
      <w:r>
        <w:rPr>
          <w:rFonts w:hint="eastAsia" w:ascii="宋体" w:hAnsi="宋体" w:eastAsia="宋体" w:cs="Times New Roman"/>
          <w:bCs/>
          <w:sz w:val="24"/>
          <w:lang w:val="en-US" w:eastAsia="zh-CN"/>
        </w:rPr>
        <w:t>13</w:t>
      </w:r>
      <w:r>
        <w:rPr>
          <w:rFonts w:hint="eastAsia" w:ascii="宋体" w:hAnsi="宋体" w:eastAsia="宋体" w:cs="Times New Roman"/>
          <w:bCs/>
          <w:sz w:val="24"/>
        </w:rPr>
        <w:t>气体绝缘金属封闭开关设备</w:t>
      </w:r>
      <w:r>
        <w:rPr>
          <w:rFonts w:hint="eastAsia" w:ascii="宋体" w:hAnsi="宋体" w:eastAsia="宋体" w:cs="Times New Roman"/>
          <w:bCs/>
          <w:sz w:val="24"/>
          <w:lang w:val="en-US" w:eastAsia="zh-CN"/>
        </w:rPr>
        <w:t>选用</w:t>
      </w:r>
      <w:r>
        <w:rPr>
          <w:rFonts w:hint="eastAsia" w:ascii="宋体" w:hAnsi="宋体" w:eastAsia="宋体" w:cs="Times New Roman"/>
          <w:bCs/>
          <w:sz w:val="24"/>
        </w:rPr>
        <w:t>导则</w:t>
      </w:r>
    </w:p>
    <w:p>
      <w:pPr>
        <w:wordWrap/>
        <w:adjustRightInd/>
        <w:spacing w:line="360" w:lineRule="auto"/>
        <w:ind w:firstLine="480" w:firstLineChars="200"/>
        <w:rPr>
          <w:rFonts w:hint="eastAsia" w:ascii="宋体" w:hAnsi="宋体" w:eastAsia="宋体" w:cs="Times New Roman"/>
          <w:bCs/>
          <w:sz w:val="24"/>
        </w:rPr>
      </w:pPr>
      <w:r>
        <w:rPr>
          <w:rFonts w:hint="eastAsia" w:ascii="宋体" w:hAnsi="宋体" w:eastAsia="宋体" w:cs="Times New Roman"/>
          <w:bCs/>
          <w:sz w:val="24"/>
        </w:rPr>
        <w:fldChar w:fldCharType="begin"/>
      </w:r>
      <w:r>
        <w:rPr>
          <w:rFonts w:hint="eastAsia" w:ascii="宋体" w:hAnsi="宋体" w:eastAsia="宋体" w:cs="Times New Roman"/>
          <w:bCs/>
          <w:sz w:val="24"/>
        </w:rPr>
        <w:instrText xml:space="preserve"> HYPERLINK "http://www.csres.com/detail/267634.html" \t "http://www.csres.com/_blank" </w:instrText>
      </w:r>
      <w:r>
        <w:rPr>
          <w:rFonts w:hint="eastAsia" w:ascii="宋体" w:hAnsi="宋体" w:eastAsia="宋体" w:cs="Times New Roman"/>
          <w:bCs/>
          <w:sz w:val="24"/>
        </w:rPr>
        <w:fldChar w:fldCharType="separate"/>
      </w:r>
      <w:r>
        <w:rPr>
          <w:rFonts w:hint="default" w:ascii="宋体" w:hAnsi="宋体" w:eastAsia="宋体" w:cs="Times New Roman"/>
          <w:bCs/>
          <w:sz w:val="24"/>
        </w:rPr>
        <w:t>DL/T 866-2015</w:t>
      </w:r>
      <w:r>
        <w:rPr>
          <w:rFonts w:hint="default" w:ascii="宋体" w:hAnsi="宋体" w:eastAsia="宋体" w:cs="Times New Roman"/>
          <w:bCs/>
          <w:sz w:val="24"/>
        </w:rPr>
        <w:fldChar w:fldCharType="end"/>
      </w:r>
      <w:r>
        <w:rPr>
          <w:rFonts w:hint="eastAsia" w:ascii="宋体" w:hAnsi="宋体" w:eastAsia="宋体" w:cs="Times New Roman"/>
          <w:bCs/>
          <w:sz w:val="24"/>
        </w:rPr>
        <w:t>电流互感器和电压互感器选择及计算规程</w:t>
      </w:r>
    </w:p>
    <w:p>
      <w:pPr>
        <w:wordWrap/>
        <w:adjustRightInd/>
        <w:spacing w:line="360" w:lineRule="auto"/>
        <w:ind w:firstLine="480" w:firstLineChars="200"/>
        <w:rPr>
          <w:rFonts w:hint="eastAsia" w:ascii="宋体" w:hAnsi="宋体" w:eastAsia="宋体" w:cs="Times New Roman"/>
          <w:bCs/>
          <w:sz w:val="24"/>
        </w:rPr>
      </w:pPr>
      <w:r>
        <w:rPr>
          <w:rFonts w:hint="eastAsia" w:ascii="宋体" w:hAnsi="宋体" w:eastAsia="宋体" w:cs="Times New Roman"/>
          <w:bCs/>
          <w:sz w:val="24"/>
        </w:rPr>
        <w:t>GB1984-20</w:t>
      </w:r>
      <w:r>
        <w:rPr>
          <w:rFonts w:hint="eastAsia" w:ascii="宋体" w:hAnsi="宋体" w:eastAsia="宋体" w:cs="Times New Roman"/>
          <w:bCs/>
          <w:sz w:val="24"/>
          <w:lang w:val="en-US" w:eastAsia="zh-CN"/>
        </w:rPr>
        <w:t>14</w:t>
      </w:r>
      <w:r>
        <w:rPr>
          <w:rFonts w:hint="eastAsia" w:ascii="宋体" w:hAnsi="宋体" w:eastAsia="宋体" w:cs="Times New Roman"/>
          <w:bCs/>
          <w:sz w:val="24"/>
        </w:rPr>
        <w:t>高压交流断路器</w:t>
      </w:r>
    </w:p>
    <w:p>
      <w:pPr>
        <w:wordWrap/>
        <w:adjustRightInd/>
        <w:spacing w:line="360" w:lineRule="auto"/>
        <w:ind w:firstLine="480" w:firstLineChars="200"/>
        <w:rPr>
          <w:rFonts w:hint="eastAsia" w:ascii="宋体" w:hAnsi="宋体" w:eastAsia="宋体" w:cs="Times New Roman"/>
          <w:bCs/>
          <w:sz w:val="24"/>
        </w:rPr>
      </w:pPr>
      <w:r>
        <w:rPr>
          <w:rFonts w:hint="default" w:ascii="宋体" w:hAnsi="宋体" w:eastAsia="宋体" w:cs="Times New Roman"/>
          <w:bCs/>
          <w:sz w:val="24"/>
        </w:rPr>
        <w:fldChar w:fldCharType="begin"/>
      </w:r>
      <w:r>
        <w:rPr>
          <w:rFonts w:hint="default" w:ascii="宋体" w:hAnsi="宋体" w:eastAsia="宋体" w:cs="Times New Roman"/>
          <w:bCs/>
          <w:sz w:val="24"/>
        </w:rPr>
        <w:instrText xml:space="preserve"> HYPERLINK "http://www.csres.com/detail/304292.html" \t "http://www.csres.com/_blank" </w:instrText>
      </w:r>
      <w:r>
        <w:rPr>
          <w:rFonts w:hint="default" w:ascii="宋体" w:hAnsi="宋体" w:eastAsia="宋体" w:cs="Times New Roman"/>
          <w:bCs/>
          <w:sz w:val="24"/>
        </w:rPr>
        <w:fldChar w:fldCharType="separate"/>
      </w:r>
      <w:r>
        <w:rPr>
          <w:rFonts w:hint="default" w:ascii="宋体" w:hAnsi="宋体" w:eastAsia="宋体" w:cs="Times New Roman"/>
          <w:bCs/>
          <w:sz w:val="24"/>
        </w:rPr>
        <w:t>GB/T 3804-2017</w:t>
      </w:r>
      <w:r>
        <w:rPr>
          <w:rFonts w:hint="default" w:ascii="宋体" w:hAnsi="宋体" w:eastAsia="宋体" w:cs="Times New Roman"/>
          <w:bCs/>
          <w:sz w:val="24"/>
        </w:rPr>
        <w:fldChar w:fldCharType="end"/>
      </w:r>
      <w:r>
        <w:rPr>
          <w:rFonts w:hint="eastAsia" w:ascii="宋体" w:hAnsi="宋体" w:eastAsia="宋体" w:cs="Times New Roman"/>
          <w:bCs/>
          <w:sz w:val="24"/>
          <w:lang w:val="en-US" w:eastAsia="zh-CN"/>
        </w:rPr>
        <w:t xml:space="preserve"> </w:t>
      </w:r>
      <w:r>
        <w:rPr>
          <w:rFonts w:hint="eastAsia" w:ascii="宋体" w:hAnsi="宋体" w:eastAsia="宋体" w:cs="Times New Roman"/>
          <w:bCs/>
          <w:sz w:val="24"/>
        </w:rPr>
        <w:t>6kV-40.5kV高压交流负荷开关</w:t>
      </w:r>
    </w:p>
    <w:p>
      <w:pPr>
        <w:wordWrap/>
        <w:adjustRightInd/>
        <w:spacing w:line="360" w:lineRule="auto"/>
        <w:ind w:firstLine="480" w:firstLineChars="200"/>
        <w:rPr>
          <w:rFonts w:hint="eastAsia" w:ascii="宋体" w:hAnsi="宋体" w:eastAsia="宋体" w:cs="Times New Roman"/>
          <w:bCs/>
          <w:sz w:val="24"/>
        </w:rPr>
      </w:pPr>
      <w:r>
        <w:rPr>
          <w:rFonts w:hint="eastAsia" w:ascii="宋体" w:hAnsi="宋体" w:eastAsia="宋体" w:cs="Times New Roman"/>
          <w:bCs/>
          <w:sz w:val="24"/>
        </w:rPr>
        <w:t>GB16926-2009高压交流负荷开关熔断器组合电器</w:t>
      </w:r>
    </w:p>
    <w:p>
      <w:pPr>
        <w:wordWrap/>
        <w:adjustRightInd/>
        <w:spacing w:line="360" w:lineRule="auto"/>
        <w:ind w:firstLine="480" w:firstLineChars="200"/>
        <w:rPr>
          <w:rFonts w:hint="eastAsia" w:ascii="宋体" w:hAnsi="宋体" w:eastAsia="宋体" w:cs="Times New Roman"/>
          <w:bCs/>
          <w:sz w:val="24"/>
        </w:rPr>
      </w:pPr>
      <w:r>
        <w:rPr>
          <w:rFonts w:hint="eastAsia" w:ascii="宋体" w:hAnsi="宋体" w:eastAsia="宋体" w:cs="Times New Roman"/>
          <w:bCs/>
          <w:sz w:val="24"/>
        </w:rPr>
        <w:t>GB1985-20</w:t>
      </w:r>
      <w:r>
        <w:rPr>
          <w:rFonts w:hint="eastAsia" w:ascii="宋体" w:hAnsi="宋体" w:eastAsia="宋体" w:cs="Times New Roman"/>
          <w:bCs/>
          <w:sz w:val="24"/>
          <w:lang w:val="en-US" w:eastAsia="zh-CN"/>
        </w:rPr>
        <w:t>14</w:t>
      </w:r>
      <w:r>
        <w:rPr>
          <w:rFonts w:hint="eastAsia" w:ascii="宋体" w:hAnsi="宋体" w:eastAsia="宋体" w:cs="Times New Roman"/>
          <w:bCs/>
          <w:sz w:val="24"/>
        </w:rPr>
        <w:t>高压交流隔离开关和接地开关</w:t>
      </w:r>
    </w:p>
    <w:p>
      <w:pPr>
        <w:wordWrap/>
        <w:adjustRightInd/>
        <w:spacing w:line="360" w:lineRule="auto"/>
        <w:ind w:firstLine="480" w:firstLineChars="200"/>
        <w:rPr>
          <w:rFonts w:hint="eastAsia" w:ascii="宋体" w:hAnsi="宋体" w:eastAsia="宋体" w:cs="Times New Roman"/>
          <w:bCs/>
          <w:sz w:val="24"/>
        </w:rPr>
      </w:pPr>
      <w:r>
        <w:rPr>
          <w:rFonts w:hint="eastAsia" w:ascii="宋体" w:hAnsi="宋体" w:eastAsia="宋体" w:cs="Times New Roman"/>
          <w:bCs/>
          <w:sz w:val="24"/>
        </w:rPr>
        <w:t>GB/T</w:t>
      </w:r>
      <w:r>
        <w:rPr>
          <w:rFonts w:hint="eastAsia" w:ascii="宋体" w:hAnsi="宋体" w:eastAsia="宋体" w:cs="Times New Roman"/>
          <w:bCs/>
          <w:sz w:val="24"/>
          <w:lang w:val="en-US" w:eastAsia="zh-CN"/>
        </w:rPr>
        <w:t xml:space="preserve"> </w:t>
      </w:r>
      <w:r>
        <w:rPr>
          <w:rFonts w:hint="eastAsia" w:ascii="宋体" w:hAnsi="宋体" w:eastAsia="宋体" w:cs="Times New Roman"/>
          <w:bCs/>
          <w:sz w:val="24"/>
        </w:rPr>
        <w:t>11022</w:t>
      </w:r>
      <w:r>
        <w:rPr>
          <w:rFonts w:hint="eastAsia" w:ascii="宋体" w:hAnsi="宋体" w:eastAsia="宋体" w:cs="Times New Roman"/>
          <w:bCs/>
          <w:sz w:val="24"/>
          <w:lang w:val="en-US" w:eastAsia="zh-CN"/>
        </w:rPr>
        <w:t>-2020</w:t>
      </w:r>
      <w:r>
        <w:rPr>
          <w:rFonts w:hint="eastAsia" w:ascii="宋体" w:hAnsi="宋体" w:eastAsia="宋体" w:cs="Times New Roman"/>
          <w:bCs/>
          <w:sz w:val="24"/>
        </w:rPr>
        <w:t>高压开关设备和控制设备标准的共用技术要求</w:t>
      </w:r>
    </w:p>
    <w:p>
      <w:pPr>
        <w:wordWrap/>
        <w:adjustRightInd/>
        <w:spacing w:line="360" w:lineRule="auto"/>
        <w:ind w:firstLine="482" w:firstLineChars="200"/>
        <w:rPr>
          <w:rFonts w:ascii="宋体" w:hAnsi="宋体" w:eastAsia="宋体"/>
          <w:b/>
          <w:sz w:val="24"/>
        </w:rPr>
      </w:pPr>
      <w:r>
        <w:rPr>
          <w:rFonts w:hint="eastAsia" w:ascii="宋体" w:hAnsi="宋体" w:eastAsia="宋体"/>
          <w:b/>
          <w:sz w:val="24"/>
        </w:rPr>
        <w:t>2.使用环境条件</w:t>
      </w:r>
    </w:p>
    <w:p>
      <w:pPr>
        <w:wordWrap/>
        <w:adjustRightInd/>
        <w:spacing w:line="360" w:lineRule="auto"/>
        <w:ind w:firstLine="480" w:firstLineChars="200"/>
        <w:rPr>
          <w:rFonts w:ascii="宋体" w:hAnsi="宋体" w:eastAsia="宋体"/>
          <w:bCs/>
          <w:sz w:val="24"/>
        </w:rPr>
      </w:pPr>
      <w:r>
        <w:rPr>
          <w:rFonts w:hint="eastAsia" w:ascii="宋体" w:hAnsi="宋体" w:eastAsia="宋体"/>
          <w:bCs/>
          <w:sz w:val="24"/>
        </w:rPr>
        <w:t>安装地点：户内</w:t>
      </w:r>
    </w:p>
    <w:p>
      <w:pPr>
        <w:wordWrap/>
        <w:adjustRightInd/>
        <w:spacing w:line="360" w:lineRule="auto"/>
        <w:ind w:firstLine="480" w:firstLineChars="200"/>
        <w:rPr>
          <w:rFonts w:ascii="宋体" w:hAnsi="宋体" w:eastAsia="宋体"/>
          <w:bCs/>
          <w:sz w:val="24"/>
        </w:rPr>
      </w:pPr>
      <w:r>
        <w:rPr>
          <w:rFonts w:hint="eastAsia" w:ascii="宋体" w:hAnsi="宋体" w:eastAsia="宋体"/>
          <w:bCs/>
          <w:sz w:val="24"/>
        </w:rPr>
        <w:t>海拔高度：1000m以下</w:t>
      </w:r>
    </w:p>
    <w:p>
      <w:pPr>
        <w:wordWrap/>
        <w:adjustRightInd/>
        <w:spacing w:line="360" w:lineRule="auto"/>
        <w:ind w:firstLine="480" w:firstLineChars="200"/>
        <w:rPr>
          <w:rFonts w:ascii="宋体" w:hAnsi="宋体" w:eastAsia="宋体"/>
          <w:bCs/>
          <w:sz w:val="24"/>
        </w:rPr>
      </w:pPr>
      <w:r>
        <w:rPr>
          <w:rFonts w:hint="eastAsia" w:ascii="宋体" w:hAnsi="宋体" w:eastAsia="宋体"/>
          <w:bCs/>
          <w:sz w:val="24"/>
        </w:rPr>
        <w:t>环境气温：-10℃～+40℃</w:t>
      </w:r>
    </w:p>
    <w:p>
      <w:pPr>
        <w:wordWrap/>
        <w:adjustRightInd/>
        <w:spacing w:line="360" w:lineRule="auto"/>
        <w:ind w:firstLine="480" w:firstLineChars="200"/>
        <w:rPr>
          <w:rFonts w:ascii="宋体" w:hAnsi="宋体" w:eastAsia="宋体"/>
          <w:bCs/>
          <w:sz w:val="24"/>
        </w:rPr>
      </w:pPr>
      <w:r>
        <w:rPr>
          <w:rFonts w:hint="eastAsia" w:ascii="宋体" w:hAnsi="宋体" w:eastAsia="宋体"/>
          <w:bCs/>
          <w:sz w:val="24"/>
        </w:rPr>
        <w:t>最大日温差：15K</w:t>
      </w:r>
    </w:p>
    <w:p>
      <w:pPr>
        <w:wordWrap/>
        <w:adjustRightInd/>
        <w:spacing w:line="360" w:lineRule="auto"/>
        <w:ind w:firstLine="480" w:firstLineChars="200"/>
        <w:rPr>
          <w:rFonts w:ascii="宋体" w:hAnsi="宋体" w:eastAsia="宋体"/>
          <w:bCs/>
          <w:sz w:val="24"/>
        </w:rPr>
      </w:pPr>
      <w:r>
        <w:rPr>
          <w:rFonts w:hint="eastAsia" w:ascii="宋体" w:hAnsi="宋体" w:eastAsia="宋体"/>
          <w:bCs/>
          <w:sz w:val="24"/>
        </w:rPr>
        <w:t>最大相对湿度：日平均不大于95%（25℃）；月平均不大于90%（25℃）。</w:t>
      </w:r>
    </w:p>
    <w:p>
      <w:pPr>
        <w:wordWrap/>
        <w:adjustRightInd/>
        <w:spacing w:line="360" w:lineRule="auto"/>
        <w:ind w:firstLine="480" w:firstLineChars="200"/>
        <w:rPr>
          <w:rFonts w:ascii="宋体" w:hAnsi="宋体" w:eastAsia="宋体"/>
          <w:bCs/>
          <w:sz w:val="24"/>
        </w:rPr>
      </w:pPr>
      <w:r>
        <w:rPr>
          <w:rFonts w:hint="eastAsia" w:ascii="宋体" w:hAnsi="宋体" w:eastAsia="宋体"/>
          <w:bCs/>
          <w:sz w:val="24"/>
        </w:rPr>
        <w:t>耐地震能力：地震烈度不大于里氏8度，地面水平加速度0.15g。</w:t>
      </w:r>
    </w:p>
    <w:p>
      <w:pPr>
        <w:wordWrap/>
        <w:adjustRightInd/>
        <w:spacing w:line="360" w:lineRule="auto"/>
        <w:ind w:firstLine="482" w:firstLineChars="200"/>
        <w:rPr>
          <w:rFonts w:ascii="宋体" w:hAnsi="宋体" w:eastAsia="宋体"/>
          <w:b/>
          <w:sz w:val="24"/>
        </w:rPr>
      </w:pPr>
      <w:r>
        <w:rPr>
          <w:rFonts w:hint="eastAsia" w:ascii="宋体" w:hAnsi="宋体" w:eastAsia="宋体"/>
          <w:b/>
          <w:sz w:val="24"/>
        </w:rPr>
        <w:t>3.主要技术参数</w:t>
      </w:r>
    </w:p>
    <w:p>
      <w:pPr>
        <w:wordWrap/>
        <w:adjustRightInd/>
        <w:spacing w:line="360" w:lineRule="auto"/>
        <w:ind w:firstLine="480" w:firstLineChars="200"/>
        <w:rPr>
          <w:rFonts w:ascii="宋体" w:hAnsi="宋体" w:eastAsia="宋体"/>
          <w:bCs/>
          <w:sz w:val="24"/>
        </w:rPr>
      </w:pPr>
      <w:r>
        <w:rPr>
          <w:rFonts w:hint="eastAsia" w:ascii="宋体" w:hAnsi="宋体" w:eastAsia="宋体"/>
          <w:bCs/>
          <w:sz w:val="24"/>
        </w:rPr>
        <w:t>型式：空气绝缘金属封闭型高压环网柜，负荷开关和高压</w:t>
      </w:r>
      <w:r>
        <w:rPr>
          <w:rFonts w:hint="eastAsia" w:ascii="宋体" w:hAnsi="宋体" w:eastAsia="宋体"/>
          <w:bCs/>
          <w:sz w:val="24"/>
          <w:lang w:val="en-US" w:eastAsia="zh-CN"/>
        </w:rPr>
        <w:t>真空断路器</w:t>
      </w:r>
      <w:r>
        <w:rPr>
          <w:rFonts w:hint="eastAsia" w:ascii="宋体" w:hAnsi="宋体" w:eastAsia="宋体"/>
          <w:bCs/>
          <w:sz w:val="24"/>
        </w:rPr>
        <w:t>必须采用相同品牌产品。负荷开关要求30年密封和免维护，使用年限到期后，供货厂商应对其SF6气体进行回收。</w:t>
      </w:r>
    </w:p>
    <w:p>
      <w:pPr>
        <w:wordWrap/>
        <w:adjustRightInd/>
        <w:spacing w:line="360" w:lineRule="auto"/>
        <w:ind w:firstLine="480" w:firstLineChars="200"/>
        <w:rPr>
          <w:rFonts w:ascii="宋体" w:hAnsi="宋体" w:eastAsia="宋体"/>
          <w:bCs/>
          <w:sz w:val="24"/>
        </w:rPr>
      </w:pPr>
      <w:r>
        <w:rPr>
          <w:rFonts w:hint="eastAsia" w:ascii="宋体" w:hAnsi="宋体" w:eastAsia="宋体"/>
          <w:bCs/>
          <w:sz w:val="24"/>
        </w:rPr>
        <w:t>柜型要求</w:t>
      </w:r>
    </w:p>
    <w:p>
      <w:pPr>
        <w:wordWrap/>
        <w:adjustRightInd/>
        <w:spacing w:line="360" w:lineRule="auto"/>
        <w:ind w:firstLine="480" w:firstLineChars="200"/>
        <w:rPr>
          <w:rFonts w:hint="eastAsia" w:ascii="宋体" w:hAnsi="宋体" w:eastAsia="宋体"/>
          <w:bCs/>
          <w:sz w:val="24"/>
        </w:rPr>
      </w:pPr>
      <w:r>
        <w:rPr>
          <w:rFonts w:hint="eastAsia" w:ascii="宋体" w:hAnsi="宋体" w:eastAsia="宋体"/>
          <w:bCs/>
          <w:sz w:val="24"/>
        </w:rPr>
        <w:t>环网柜壳体采用2mm敷铝锌板，按终身使用设计,能抗各种侵蚀和老化,防护等级≥IP</w:t>
      </w:r>
      <w:r>
        <w:rPr>
          <w:rFonts w:hint="eastAsia" w:ascii="宋体" w:hAnsi="宋体" w:eastAsia="宋体"/>
          <w:bCs/>
          <w:sz w:val="24"/>
          <w:lang w:val="en-US" w:eastAsia="zh-CN"/>
        </w:rPr>
        <w:t>3</w:t>
      </w:r>
      <w:r>
        <w:rPr>
          <w:rFonts w:hint="eastAsia" w:ascii="宋体" w:hAnsi="宋体" w:eastAsia="宋体"/>
          <w:bCs/>
          <w:sz w:val="24"/>
        </w:rPr>
        <w:t>X。壳体应有足够的机械强度，在起吊、运输、安装中不得变形或者损伤。</w:t>
      </w:r>
    </w:p>
    <w:p>
      <w:pPr>
        <w:wordWrap/>
        <w:adjustRightInd/>
        <w:spacing w:line="360" w:lineRule="auto"/>
        <w:ind w:firstLine="480" w:firstLineChars="200"/>
        <w:rPr>
          <w:rFonts w:hint="eastAsia" w:ascii="宋体" w:hAnsi="宋体" w:eastAsia="宋体"/>
          <w:bCs/>
          <w:sz w:val="24"/>
        </w:rPr>
      </w:pPr>
      <w:r>
        <w:rPr>
          <w:rFonts w:hint="eastAsia" w:ascii="宋体" w:hAnsi="宋体" w:eastAsia="宋体"/>
          <w:bCs/>
          <w:sz w:val="24"/>
        </w:rPr>
        <w:t>柜体尺寸：满足设计要求</w:t>
      </w:r>
    </w:p>
    <w:p>
      <w:pPr>
        <w:wordWrap/>
        <w:adjustRightInd/>
        <w:spacing w:line="360" w:lineRule="auto"/>
        <w:ind w:firstLine="482" w:firstLineChars="200"/>
        <w:rPr>
          <w:rFonts w:ascii="宋体" w:hAnsi="宋体" w:eastAsia="宋体"/>
          <w:b/>
          <w:sz w:val="24"/>
        </w:rPr>
      </w:pPr>
      <w:r>
        <w:rPr>
          <w:rFonts w:hint="eastAsia" w:ascii="宋体" w:hAnsi="宋体"/>
          <w:b/>
          <w:sz w:val="24"/>
          <w:lang w:val="en-US" w:eastAsia="zh-CN"/>
        </w:rPr>
        <w:t>3.1</w:t>
      </w:r>
      <w:r>
        <w:rPr>
          <w:rFonts w:hint="eastAsia" w:ascii="宋体" w:hAnsi="宋体" w:eastAsia="宋体"/>
          <w:b/>
          <w:sz w:val="24"/>
        </w:rPr>
        <w:t>断路器主要技术参数</w:t>
      </w:r>
    </w:p>
    <w:p>
      <w:pPr>
        <w:tabs>
          <w:tab w:val="left" w:pos="482"/>
          <w:tab w:val="left" w:pos="2183"/>
          <w:tab w:val="left" w:pos="3884"/>
          <w:tab w:val="left" w:pos="5585"/>
        </w:tabs>
        <w:wordWrap/>
        <w:adjustRightInd/>
        <w:spacing w:line="360" w:lineRule="auto"/>
        <w:ind w:firstLine="480" w:firstLineChars="200"/>
        <w:contextualSpacing/>
        <w:textAlignment w:val="baseline"/>
        <w:rPr>
          <w:rFonts w:ascii="宋体" w:hAnsi="宋体" w:eastAsia="宋体" w:cs="宋体"/>
          <w:kern w:val="0"/>
          <w:sz w:val="24"/>
        </w:rPr>
      </w:pPr>
      <w:r>
        <w:rPr>
          <w:rFonts w:hint="eastAsia" w:ascii="宋体" w:hAnsi="宋体" w:eastAsia="宋体" w:cs="宋体"/>
          <w:sz w:val="24"/>
        </w:rPr>
        <w:t>1）</w:t>
      </w:r>
      <w:r>
        <w:rPr>
          <w:rFonts w:hint="eastAsia" w:ascii="宋体" w:hAnsi="宋体" w:eastAsia="宋体" w:cs="宋体"/>
          <w:kern w:val="0"/>
          <w:sz w:val="24"/>
        </w:rPr>
        <w:t>母线额定电流：630A</w:t>
      </w:r>
    </w:p>
    <w:p>
      <w:pPr>
        <w:tabs>
          <w:tab w:val="left" w:pos="482"/>
          <w:tab w:val="left" w:pos="2183"/>
          <w:tab w:val="left" w:pos="3884"/>
          <w:tab w:val="left" w:pos="5585"/>
        </w:tabs>
        <w:wordWrap/>
        <w:adjustRightInd/>
        <w:spacing w:line="360" w:lineRule="auto"/>
        <w:ind w:firstLine="480" w:firstLineChars="200"/>
        <w:contextualSpacing/>
        <w:textAlignment w:val="baseline"/>
        <w:rPr>
          <w:rFonts w:ascii="宋体" w:hAnsi="宋体" w:eastAsia="宋体" w:cs="宋体"/>
          <w:kern w:val="0"/>
          <w:sz w:val="24"/>
        </w:rPr>
      </w:pPr>
      <w:r>
        <w:rPr>
          <w:rFonts w:hint="eastAsia" w:ascii="宋体" w:hAnsi="宋体" w:eastAsia="宋体" w:cs="宋体"/>
          <w:sz w:val="24"/>
        </w:rPr>
        <w:t>2）</w:t>
      </w:r>
      <w:r>
        <w:rPr>
          <w:rFonts w:hint="eastAsia" w:ascii="宋体" w:hAnsi="宋体" w:eastAsia="宋体" w:cs="宋体"/>
          <w:kern w:val="0"/>
          <w:sz w:val="24"/>
        </w:rPr>
        <w:t>额定电压：12kV</w:t>
      </w:r>
    </w:p>
    <w:p>
      <w:pPr>
        <w:tabs>
          <w:tab w:val="left" w:pos="482"/>
          <w:tab w:val="left" w:pos="2183"/>
          <w:tab w:val="left" w:pos="3884"/>
          <w:tab w:val="left" w:pos="5585"/>
        </w:tabs>
        <w:wordWrap/>
        <w:adjustRightInd/>
        <w:spacing w:line="360" w:lineRule="auto"/>
        <w:ind w:firstLine="480" w:firstLineChars="200"/>
        <w:contextualSpacing/>
        <w:textAlignment w:val="baseline"/>
        <w:rPr>
          <w:rFonts w:ascii="宋体" w:hAnsi="宋体" w:eastAsia="宋体" w:cs="宋体"/>
          <w:kern w:val="0"/>
          <w:sz w:val="24"/>
        </w:rPr>
      </w:pPr>
      <w:r>
        <w:rPr>
          <w:rFonts w:hint="eastAsia" w:ascii="宋体" w:hAnsi="宋体" w:eastAsia="宋体" w:cs="宋体"/>
          <w:sz w:val="24"/>
        </w:rPr>
        <w:t>3）</w:t>
      </w:r>
      <w:r>
        <w:rPr>
          <w:rFonts w:hint="eastAsia" w:ascii="宋体" w:hAnsi="宋体" w:eastAsia="宋体" w:cs="宋体"/>
          <w:kern w:val="0"/>
          <w:sz w:val="24"/>
        </w:rPr>
        <w:t>额定频率：50Hz</w:t>
      </w:r>
    </w:p>
    <w:p>
      <w:pPr>
        <w:tabs>
          <w:tab w:val="left" w:pos="482"/>
          <w:tab w:val="left" w:pos="2183"/>
          <w:tab w:val="left" w:pos="3884"/>
          <w:tab w:val="left" w:pos="5585"/>
        </w:tabs>
        <w:wordWrap/>
        <w:adjustRightInd/>
        <w:spacing w:line="360" w:lineRule="auto"/>
        <w:ind w:firstLine="480" w:firstLineChars="200"/>
        <w:contextualSpacing/>
        <w:textAlignment w:val="baseline"/>
        <w:rPr>
          <w:rFonts w:hint="default" w:ascii="宋体" w:hAnsi="宋体" w:eastAsia="宋体" w:cs="宋体"/>
          <w:kern w:val="0"/>
          <w:sz w:val="24"/>
          <w:lang w:val="en-US" w:eastAsia="zh-CN"/>
        </w:rPr>
      </w:pPr>
      <w:r>
        <w:rPr>
          <w:rFonts w:hint="eastAsia" w:ascii="宋体" w:hAnsi="宋体" w:eastAsia="宋体" w:cs="宋体"/>
          <w:sz w:val="24"/>
        </w:rPr>
        <w:t>4）</w:t>
      </w:r>
      <w:r>
        <w:rPr>
          <w:rFonts w:hint="eastAsia" w:ascii="宋体" w:hAnsi="宋体" w:eastAsia="宋体" w:cs="宋体"/>
          <w:kern w:val="0"/>
          <w:sz w:val="24"/>
        </w:rPr>
        <w:t>额定电流：</w:t>
      </w:r>
      <w:r>
        <w:rPr>
          <w:rFonts w:hint="eastAsia" w:ascii="宋体" w:hAnsi="宋体" w:cs="宋体"/>
          <w:kern w:val="0"/>
          <w:sz w:val="24"/>
          <w:lang w:val="en-US" w:eastAsia="zh-CN"/>
        </w:rPr>
        <w:t>630A</w:t>
      </w:r>
    </w:p>
    <w:p>
      <w:pPr>
        <w:tabs>
          <w:tab w:val="left" w:pos="482"/>
          <w:tab w:val="left" w:pos="2183"/>
          <w:tab w:val="left" w:pos="3884"/>
          <w:tab w:val="left" w:pos="5585"/>
        </w:tabs>
        <w:wordWrap/>
        <w:adjustRightInd/>
        <w:spacing w:line="360" w:lineRule="auto"/>
        <w:ind w:firstLine="480" w:firstLineChars="200"/>
        <w:contextualSpacing/>
        <w:textAlignment w:val="baseline"/>
        <w:rPr>
          <w:rFonts w:hint="default"/>
          <w:lang w:val="en-US" w:eastAsia="zh-CN"/>
        </w:rPr>
      </w:pPr>
      <w:r>
        <w:rPr>
          <w:rFonts w:hint="eastAsia" w:ascii="宋体" w:hAnsi="宋体" w:eastAsia="宋体" w:cs="宋体"/>
          <w:sz w:val="24"/>
        </w:rPr>
        <w:t>5）</w:t>
      </w:r>
      <w:r>
        <w:rPr>
          <w:rFonts w:hint="eastAsia" w:ascii="宋体" w:hAnsi="宋体" w:cs="宋体"/>
          <w:sz w:val="24"/>
          <w:lang w:val="en-US" w:eastAsia="zh-CN"/>
        </w:rPr>
        <w:t>额定短路开断电流：25kA</w:t>
      </w:r>
    </w:p>
    <w:p>
      <w:pPr>
        <w:tabs>
          <w:tab w:val="left" w:pos="482"/>
          <w:tab w:val="left" w:pos="2183"/>
          <w:tab w:val="left" w:pos="3884"/>
          <w:tab w:val="left" w:pos="5585"/>
        </w:tabs>
        <w:wordWrap/>
        <w:adjustRightInd/>
        <w:spacing w:line="360" w:lineRule="auto"/>
        <w:ind w:firstLine="480" w:firstLineChars="200"/>
        <w:contextualSpacing/>
        <w:textAlignment w:val="baseline"/>
        <w:rPr>
          <w:rFonts w:hint="default" w:ascii="宋体" w:hAnsi="宋体" w:eastAsia="宋体" w:cs="宋体"/>
          <w:kern w:val="0"/>
          <w:sz w:val="24"/>
          <w:lang w:val="en-US" w:eastAsia="zh-CN"/>
        </w:rPr>
      </w:pPr>
      <w:r>
        <w:rPr>
          <w:rFonts w:hint="eastAsia" w:ascii="宋体" w:hAnsi="宋体" w:eastAsia="宋体" w:cs="宋体"/>
          <w:sz w:val="24"/>
        </w:rPr>
        <w:t>6）</w:t>
      </w:r>
      <w:r>
        <w:rPr>
          <w:rFonts w:hint="eastAsia" w:ascii="宋体" w:hAnsi="宋体" w:cs="宋体"/>
          <w:sz w:val="24"/>
          <w:lang w:val="en-US" w:eastAsia="zh-CN"/>
        </w:rPr>
        <w:t>额定短时耐受电流：25kA,4S</w:t>
      </w:r>
    </w:p>
    <w:p>
      <w:pPr>
        <w:tabs>
          <w:tab w:val="left" w:pos="482"/>
          <w:tab w:val="left" w:pos="2183"/>
          <w:tab w:val="left" w:pos="3884"/>
          <w:tab w:val="left" w:pos="5585"/>
        </w:tabs>
        <w:wordWrap/>
        <w:adjustRightInd/>
        <w:spacing w:line="360" w:lineRule="auto"/>
        <w:ind w:firstLine="480" w:firstLineChars="200"/>
        <w:contextualSpacing/>
        <w:textAlignment w:val="baseline"/>
        <w:rPr>
          <w:rFonts w:hint="eastAsia" w:ascii="宋体" w:hAnsi="宋体" w:eastAsia="宋体" w:cs="宋体"/>
          <w:kern w:val="0"/>
          <w:sz w:val="24"/>
        </w:rPr>
      </w:pPr>
      <w:r>
        <w:rPr>
          <w:rFonts w:hint="eastAsia" w:ascii="宋体" w:hAnsi="宋体" w:eastAsia="宋体" w:cs="宋体"/>
          <w:sz w:val="24"/>
        </w:rPr>
        <w:t>7）</w:t>
      </w:r>
      <w:r>
        <w:rPr>
          <w:rFonts w:hint="eastAsia" w:ascii="宋体" w:hAnsi="宋体" w:eastAsia="宋体" w:cs="宋体"/>
          <w:kern w:val="0"/>
          <w:sz w:val="24"/>
        </w:rPr>
        <w:t>动稳定短路关合电流（峰值）：</w:t>
      </w:r>
      <w:r>
        <w:rPr>
          <w:rFonts w:hint="eastAsia" w:ascii="宋体" w:hAnsi="宋体" w:cs="宋体"/>
          <w:kern w:val="0"/>
          <w:sz w:val="24"/>
          <w:lang w:val="en-US" w:eastAsia="zh-CN"/>
        </w:rPr>
        <w:t>63</w:t>
      </w:r>
      <w:r>
        <w:rPr>
          <w:rFonts w:hint="eastAsia" w:ascii="宋体" w:hAnsi="宋体" w:eastAsia="宋体" w:cs="宋体"/>
          <w:kern w:val="0"/>
          <w:sz w:val="24"/>
        </w:rPr>
        <w:t>kA</w:t>
      </w:r>
    </w:p>
    <w:p>
      <w:pPr>
        <w:pStyle w:val="254"/>
        <w:spacing w:line="360" w:lineRule="auto"/>
        <w:ind w:firstLine="480" w:firstLineChars="200"/>
        <w:rPr>
          <w:rFonts w:hint="default" w:eastAsia="宋体"/>
          <w:lang w:val="en-US" w:eastAsia="zh-CN"/>
        </w:rPr>
      </w:pPr>
      <w:r>
        <w:rPr>
          <w:rFonts w:hint="eastAsia" w:ascii="宋体" w:hAnsi="宋体" w:eastAsia="宋体" w:cs="宋体"/>
          <w:sz w:val="24"/>
          <w:lang w:val="en-US" w:eastAsia="zh-CN"/>
        </w:rPr>
        <w:t>8</w:t>
      </w:r>
      <w:r>
        <w:rPr>
          <w:rFonts w:hint="eastAsia" w:ascii="宋体" w:hAnsi="宋体" w:eastAsia="宋体" w:cs="宋体"/>
          <w:sz w:val="24"/>
        </w:rPr>
        <w:t>）</w:t>
      </w:r>
      <w:r>
        <w:rPr>
          <w:rFonts w:hint="eastAsia" w:eastAsia="宋体"/>
          <w:lang w:val="en-US" w:eastAsia="zh-CN"/>
        </w:rPr>
        <w:t>额定峰值耐受电流：63kA</w:t>
      </w:r>
    </w:p>
    <w:p>
      <w:pPr>
        <w:tabs>
          <w:tab w:val="left" w:pos="482"/>
          <w:tab w:val="left" w:pos="2183"/>
          <w:tab w:val="left" w:pos="3884"/>
          <w:tab w:val="left" w:pos="5585"/>
        </w:tabs>
        <w:wordWrap/>
        <w:adjustRightInd/>
        <w:spacing w:line="360" w:lineRule="auto"/>
        <w:ind w:firstLine="480" w:firstLineChars="200"/>
        <w:contextualSpacing/>
        <w:textAlignment w:val="baseline"/>
        <w:rPr>
          <w:rFonts w:ascii="宋体" w:hAnsi="宋体" w:eastAsia="宋体" w:cs="宋体"/>
          <w:kern w:val="0"/>
          <w:sz w:val="24"/>
        </w:rPr>
      </w:pPr>
      <w:r>
        <w:rPr>
          <w:rFonts w:hint="eastAsia" w:ascii="宋体" w:hAnsi="宋体" w:cs="宋体"/>
          <w:sz w:val="24"/>
          <w:lang w:val="en-US" w:eastAsia="zh-CN"/>
        </w:rPr>
        <w:t>9</w:t>
      </w:r>
      <w:r>
        <w:rPr>
          <w:rFonts w:hint="eastAsia" w:ascii="宋体" w:hAnsi="宋体" w:eastAsia="宋体" w:cs="宋体"/>
          <w:sz w:val="24"/>
        </w:rPr>
        <w:t>）</w:t>
      </w:r>
      <w:r>
        <w:rPr>
          <w:rFonts w:hint="eastAsia" w:ascii="宋体" w:hAnsi="宋体" w:eastAsia="宋体" w:cs="宋体"/>
          <w:kern w:val="0"/>
          <w:sz w:val="24"/>
        </w:rPr>
        <w:t>一分钟工频耐压（有效值）：42kV（相间、对地）；48kV（断口间）</w:t>
      </w:r>
    </w:p>
    <w:p>
      <w:pPr>
        <w:tabs>
          <w:tab w:val="left" w:pos="482"/>
          <w:tab w:val="left" w:pos="2183"/>
          <w:tab w:val="left" w:pos="3884"/>
          <w:tab w:val="left" w:pos="5585"/>
        </w:tabs>
        <w:wordWrap/>
        <w:adjustRightInd/>
        <w:spacing w:line="360" w:lineRule="auto"/>
        <w:ind w:firstLine="480" w:firstLineChars="200"/>
        <w:contextualSpacing/>
        <w:textAlignment w:val="baseline"/>
        <w:rPr>
          <w:rFonts w:ascii="宋体" w:hAnsi="宋体" w:eastAsia="宋体" w:cs="宋体"/>
          <w:kern w:val="0"/>
          <w:sz w:val="24"/>
        </w:rPr>
      </w:pPr>
      <w:r>
        <w:rPr>
          <w:rFonts w:hint="eastAsia" w:ascii="宋体" w:hAnsi="宋体" w:cs="宋体"/>
          <w:sz w:val="24"/>
          <w:lang w:val="en-US" w:eastAsia="zh-CN"/>
        </w:rPr>
        <w:t>10</w:t>
      </w:r>
      <w:r>
        <w:rPr>
          <w:rFonts w:hint="eastAsia" w:ascii="宋体" w:hAnsi="宋体" w:eastAsia="宋体" w:cs="宋体"/>
          <w:sz w:val="24"/>
        </w:rPr>
        <w:t>）</w:t>
      </w:r>
      <w:r>
        <w:rPr>
          <w:rFonts w:hint="eastAsia" w:ascii="宋体" w:hAnsi="宋体" w:eastAsia="宋体" w:cs="宋体"/>
          <w:kern w:val="0"/>
          <w:sz w:val="24"/>
        </w:rPr>
        <w:t>冲击耐压（峰值）：75kV（相间、对地）；85kV（断口间）</w:t>
      </w:r>
    </w:p>
    <w:p>
      <w:pPr>
        <w:tabs>
          <w:tab w:val="left" w:pos="482"/>
          <w:tab w:val="left" w:pos="2183"/>
          <w:tab w:val="left" w:pos="3884"/>
          <w:tab w:val="left" w:pos="5585"/>
        </w:tabs>
        <w:wordWrap/>
        <w:adjustRightInd/>
        <w:spacing w:line="360" w:lineRule="auto"/>
        <w:ind w:firstLine="480" w:firstLineChars="200"/>
        <w:contextualSpacing/>
        <w:textAlignment w:val="baseline"/>
        <w:rPr>
          <w:rFonts w:ascii="宋体" w:hAnsi="宋体" w:eastAsia="宋体" w:cs="宋体"/>
          <w:kern w:val="0"/>
          <w:sz w:val="24"/>
        </w:rPr>
      </w:pPr>
      <w:r>
        <w:rPr>
          <w:rFonts w:hint="eastAsia" w:ascii="宋体" w:hAnsi="宋体"/>
          <w:bCs/>
          <w:sz w:val="24"/>
          <w:lang w:val="en-US" w:eastAsia="zh-CN"/>
        </w:rPr>
        <w:t>11</w:t>
      </w:r>
      <w:r>
        <w:rPr>
          <w:rFonts w:hint="eastAsia" w:ascii="宋体" w:hAnsi="宋体" w:eastAsia="宋体" w:cs="宋体"/>
          <w:sz w:val="24"/>
        </w:rPr>
        <w:t>）</w:t>
      </w:r>
      <w:r>
        <w:rPr>
          <w:rFonts w:hint="eastAsia" w:ascii="宋体" w:hAnsi="宋体" w:eastAsia="宋体" w:cs="宋体"/>
          <w:kern w:val="0"/>
          <w:sz w:val="24"/>
        </w:rPr>
        <w:t>机械寿命：</w:t>
      </w:r>
      <w:r>
        <w:rPr>
          <w:rFonts w:hint="eastAsia" w:ascii="宋体" w:hAnsi="宋体" w:cs="宋体"/>
          <w:kern w:val="0"/>
          <w:sz w:val="24"/>
          <w:lang w:val="en-US" w:eastAsia="zh-CN"/>
        </w:rPr>
        <w:t>3</w:t>
      </w:r>
      <w:r>
        <w:rPr>
          <w:rFonts w:hint="eastAsia" w:ascii="宋体" w:hAnsi="宋体" w:eastAsia="宋体" w:cs="宋体"/>
          <w:kern w:val="0"/>
          <w:sz w:val="24"/>
        </w:rPr>
        <w:t>000次</w:t>
      </w:r>
    </w:p>
    <w:p>
      <w:pPr>
        <w:tabs>
          <w:tab w:val="left" w:pos="482"/>
          <w:tab w:val="left" w:pos="2183"/>
          <w:tab w:val="left" w:pos="3884"/>
          <w:tab w:val="left" w:pos="5585"/>
        </w:tabs>
        <w:wordWrap/>
        <w:adjustRightInd/>
        <w:spacing w:line="360" w:lineRule="auto"/>
        <w:ind w:firstLine="480" w:firstLineChars="200"/>
        <w:contextualSpacing/>
        <w:textAlignment w:val="baseline"/>
        <w:rPr>
          <w:rFonts w:ascii="宋体" w:hAnsi="宋体" w:eastAsia="宋体" w:cs="宋体"/>
          <w:kern w:val="0"/>
          <w:sz w:val="24"/>
        </w:rPr>
      </w:pPr>
      <w:r>
        <w:rPr>
          <w:rFonts w:hint="eastAsia" w:ascii="宋体" w:hAnsi="宋体" w:eastAsia="宋体" w:cs="宋体"/>
          <w:sz w:val="24"/>
        </w:rPr>
        <w:t>1</w:t>
      </w:r>
      <w:r>
        <w:rPr>
          <w:rFonts w:hint="eastAsia" w:ascii="宋体" w:hAnsi="宋体" w:cs="宋体"/>
          <w:sz w:val="24"/>
          <w:lang w:val="en-US" w:eastAsia="zh-CN"/>
        </w:rPr>
        <w:t>2</w:t>
      </w:r>
      <w:r>
        <w:rPr>
          <w:rFonts w:hint="eastAsia" w:ascii="宋体" w:hAnsi="宋体" w:eastAsia="宋体" w:cs="宋体"/>
          <w:sz w:val="24"/>
        </w:rPr>
        <w:t>）</w:t>
      </w:r>
      <w:r>
        <w:rPr>
          <w:rFonts w:hint="eastAsia" w:ascii="宋体" w:hAnsi="宋体" w:eastAsia="宋体" w:cs="宋体"/>
          <w:kern w:val="0"/>
          <w:sz w:val="24"/>
        </w:rPr>
        <w:t>外绝缘污秽等级：IV</w:t>
      </w:r>
    </w:p>
    <w:p>
      <w:pPr>
        <w:wordWrap/>
        <w:adjustRightInd/>
        <w:spacing w:line="360" w:lineRule="auto"/>
        <w:ind w:firstLine="482" w:firstLineChars="200"/>
        <w:rPr>
          <w:rFonts w:ascii="宋体" w:hAnsi="宋体" w:eastAsia="宋体"/>
          <w:b/>
          <w:sz w:val="24"/>
        </w:rPr>
      </w:pPr>
      <w:r>
        <w:rPr>
          <w:rFonts w:hint="eastAsia" w:ascii="宋体" w:hAnsi="宋体"/>
          <w:b/>
          <w:sz w:val="24"/>
          <w:lang w:val="en-US" w:eastAsia="zh-CN"/>
        </w:rPr>
        <w:t>3.2</w:t>
      </w:r>
      <w:r>
        <w:rPr>
          <w:rFonts w:hint="eastAsia" w:ascii="宋体" w:hAnsi="宋体" w:eastAsia="宋体"/>
          <w:b/>
          <w:sz w:val="24"/>
        </w:rPr>
        <w:t>电流互感器：</w:t>
      </w:r>
    </w:p>
    <w:p>
      <w:pPr>
        <w:tabs>
          <w:tab w:val="left" w:pos="482"/>
          <w:tab w:val="left" w:pos="2183"/>
          <w:tab w:val="left" w:pos="3884"/>
          <w:tab w:val="left" w:pos="5585"/>
        </w:tabs>
        <w:wordWrap/>
        <w:adjustRightInd/>
        <w:spacing w:line="360" w:lineRule="auto"/>
        <w:ind w:firstLine="480" w:firstLineChars="200"/>
        <w:contextualSpacing/>
        <w:textAlignment w:val="baseline"/>
        <w:rPr>
          <w:rFonts w:ascii="宋体" w:hAnsi="宋体" w:eastAsia="宋体" w:cs="宋体"/>
          <w:sz w:val="24"/>
        </w:rPr>
      </w:pPr>
      <w:r>
        <w:rPr>
          <w:rFonts w:hint="eastAsia" w:ascii="宋体" w:hAnsi="宋体" w:eastAsia="宋体" w:cs="宋体"/>
          <w:sz w:val="24"/>
        </w:rPr>
        <w:t>1）型式：按设计要求</w:t>
      </w:r>
    </w:p>
    <w:p>
      <w:pPr>
        <w:tabs>
          <w:tab w:val="left" w:pos="482"/>
          <w:tab w:val="left" w:pos="2183"/>
          <w:tab w:val="left" w:pos="3884"/>
          <w:tab w:val="left" w:pos="5585"/>
        </w:tabs>
        <w:wordWrap/>
        <w:adjustRightInd/>
        <w:spacing w:line="360" w:lineRule="auto"/>
        <w:ind w:firstLine="480" w:firstLineChars="200"/>
        <w:contextualSpacing/>
        <w:textAlignment w:val="baseline"/>
        <w:rPr>
          <w:rFonts w:ascii="宋体" w:hAnsi="宋体" w:eastAsia="宋体" w:cs="宋体"/>
          <w:sz w:val="24"/>
        </w:rPr>
      </w:pPr>
      <w:r>
        <w:rPr>
          <w:rFonts w:hint="eastAsia" w:ascii="宋体" w:hAnsi="宋体" w:eastAsia="宋体" w:cs="宋体"/>
          <w:sz w:val="24"/>
        </w:rPr>
        <w:t>2）额定二次负荷:20VA</w:t>
      </w:r>
    </w:p>
    <w:p>
      <w:pPr>
        <w:tabs>
          <w:tab w:val="left" w:pos="482"/>
          <w:tab w:val="left" w:pos="2183"/>
          <w:tab w:val="left" w:pos="3884"/>
          <w:tab w:val="left" w:pos="5585"/>
        </w:tabs>
        <w:wordWrap/>
        <w:adjustRightInd/>
        <w:spacing w:line="360" w:lineRule="auto"/>
        <w:ind w:firstLine="480" w:firstLineChars="200"/>
        <w:contextualSpacing/>
        <w:textAlignment w:val="baseline"/>
        <w:rPr>
          <w:rFonts w:ascii="宋体" w:hAnsi="宋体" w:eastAsia="宋体" w:cs="宋体"/>
          <w:sz w:val="24"/>
        </w:rPr>
      </w:pPr>
      <w:r>
        <w:rPr>
          <w:rFonts w:hint="eastAsia" w:ascii="宋体" w:hAnsi="宋体" w:eastAsia="宋体" w:cs="宋体"/>
          <w:sz w:val="24"/>
        </w:rPr>
        <w:t>3）额定短时耐受电流:25kA/2S</w:t>
      </w:r>
    </w:p>
    <w:p>
      <w:pPr>
        <w:tabs>
          <w:tab w:val="left" w:pos="482"/>
          <w:tab w:val="left" w:pos="2183"/>
          <w:tab w:val="left" w:pos="3884"/>
          <w:tab w:val="left" w:pos="5585"/>
        </w:tabs>
        <w:wordWrap/>
        <w:adjustRightInd/>
        <w:spacing w:line="360" w:lineRule="auto"/>
        <w:ind w:firstLine="480" w:firstLineChars="200"/>
        <w:contextualSpacing/>
        <w:textAlignment w:val="baseline"/>
        <w:rPr>
          <w:rFonts w:ascii="宋体" w:hAnsi="宋体" w:eastAsia="宋体" w:cs="宋体"/>
          <w:sz w:val="24"/>
        </w:rPr>
      </w:pPr>
      <w:r>
        <w:rPr>
          <w:rFonts w:hint="eastAsia" w:ascii="宋体" w:hAnsi="宋体" w:eastAsia="宋体" w:cs="宋体"/>
          <w:sz w:val="24"/>
        </w:rPr>
        <w:t>4）额定峰值耐受电流:63kA</w:t>
      </w:r>
    </w:p>
    <w:p>
      <w:pPr>
        <w:tabs>
          <w:tab w:val="left" w:pos="482"/>
          <w:tab w:val="left" w:pos="2183"/>
          <w:tab w:val="left" w:pos="3884"/>
          <w:tab w:val="left" w:pos="5585"/>
        </w:tabs>
        <w:wordWrap/>
        <w:adjustRightInd/>
        <w:spacing w:line="360" w:lineRule="auto"/>
        <w:ind w:firstLine="480" w:firstLineChars="200"/>
        <w:contextualSpacing/>
        <w:textAlignment w:val="baseline"/>
        <w:rPr>
          <w:rFonts w:ascii="宋体" w:hAnsi="宋体" w:eastAsia="宋体" w:cs="宋体"/>
          <w:sz w:val="24"/>
        </w:rPr>
      </w:pPr>
      <w:r>
        <w:rPr>
          <w:rFonts w:hint="eastAsia" w:ascii="宋体" w:hAnsi="宋体" w:eastAsia="宋体" w:cs="宋体"/>
          <w:sz w:val="24"/>
        </w:rPr>
        <w:t>5）仪表保安系数FS≤5</w:t>
      </w:r>
    </w:p>
    <w:p>
      <w:pPr>
        <w:tabs>
          <w:tab w:val="left" w:pos="482"/>
          <w:tab w:val="left" w:pos="2183"/>
          <w:tab w:val="left" w:pos="3884"/>
          <w:tab w:val="left" w:pos="5585"/>
        </w:tabs>
        <w:wordWrap/>
        <w:adjustRightInd/>
        <w:spacing w:line="360" w:lineRule="auto"/>
        <w:ind w:firstLine="480" w:firstLineChars="200"/>
        <w:contextualSpacing/>
        <w:textAlignment w:val="baseline"/>
        <w:rPr>
          <w:rFonts w:ascii="宋体" w:hAnsi="宋体" w:eastAsia="宋体" w:cs="宋体"/>
          <w:sz w:val="24"/>
        </w:rPr>
      </w:pPr>
      <w:r>
        <w:rPr>
          <w:rFonts w:hint="eastAsia" w:ascii="宋体" w:hAnsi="宋体" w:eastAsia="宋体" w:cs="宋体"/>
          <w:sz w:val="24"/>
        </w:rPr>
        <w:t>6）局部放电量≤20PC</w:t>
      </w:r>
    </w:p>
    <w:p>
      <w:pPr>
        <w:wordWrap/>
        <w:adjustRightInd/>
        <w:spacing w:line="360" w:lineRule="auto"/>
        <w:ind w:firstLine="482" w:firstLineChars="200"/>
        <w:rPr>
          <w:rFonts w:ascii="宋体" w:hAnsi="宋体" w:eastAsia="宋体"/>
          <w:b/>
          <w:sz w:val="24"/>
        </w:rPr>
      </w:pPr>
      <w:r>
        <w:rPr>
          <w:rFonts w:hint="eastAsia" w:ascii="宋体" w:hAnsi="宋体"/>
          <w:b/>
          <w:sz w:val="24"/>
          <w:lang w:val="en-US" w:eastAsia="zh-CN"/>
        </w:rPr>
        <w:t>3.3</w:t>
      </w:r>
      <w:r>
        <w:rPr>
          <w:rFonts w:hint="eastAsia" w:ascii="宋体" w:hAnsi="宋体" w:eastAsia="宋体"/>
          <w:b/>
          <w:sz w:val="24"/>
        </w:rPr>
        <w:t>电压互感器：</w:t>
      </w:r>
    </w:p>
    <w:p>
      <w:pPr>
        <w:tabs>
          <w:tab w:val="left" w:pos="482"/>
          <w:tab w:val="left" w:pos="2183"/>
          <w:tab w:val="left" w:pos="3884"/>
          <w:tab w:val="left" w:pos="5585"/>
        </w:tabs>
        <w:wordWrap/>
        <w:adjustRightInd/>
        <w:spacing w:line="360" w:lineRule="auto"/>
        <w:ind w:firstLine="480" w:firstLineChars="200"/>
        <w:contextualSpacing/>
        <w:textAlignment w:val="baseline"/>
        <w:rPr>
          <w:rFonts w:ascii="宋体" w:hAnsi="宋体" w:eastAsia="宋体" w:cs="宋体"/>
          <w:sz w:val="24"/>
        </w:rPr>
      </w:pPr>
      <w:r>
        <w:rPr>
          <w:rFonts w:hint="eastAsia" w:ascii="宋体" w:hAnsi="宋体" w:eastAsia="宋体" w:cs="宋体"/>
          <w:sz w:val="24"/>
        </w:rPr>
        <w:t>1）型式：采用环氧浇注型，单相式电压互感器</w:t>
      </w:r>
    </w:p>
    <w:p>
      <w:pPr>
        <w:tabs>
          <w:tab w:val="left" w:pos="482"/>
          <w:tab w:val="left" w:pos="2183"/>
          <w:tab w:val="left" w:pos="3884"/>
          <w:tab w:val="left" w:pos="5585"/>
        </w:tabs>
        <w:wordWrap/>
        <w:adjustRightInd/>
        <w:spacing w:line="360" w:lineRule="auto"/>
        <w:ind w:firstLine="480" w:firstLineChars="200"/>
        <w:contextualSpacing/>
        <w:textAlignment w:val="baseline"/>
        <w:rPr>
          <w:rFonts w:ascii="宋体" w:hAnsi="宋体" w:eastAsia="宋体" w:cs="宋体"/>
          <w:sz w:val="24"/>
        </w:rPr>
      </w:pPr>
      <w:r>
        <w:rPr>
          <w:rFonts w:hint="eastAsia" w:ascii="宋体" w:hAnsi="宋体" w:eastAsia="宋体" w:cs="宋体"/>
          <w:sz w:val="24"/>
        </w:rPr>
        <w:t>2）额定电压比及容量：见图</w:t>
      </w:r>
    </w:p>
    <w:p>
      <w:pPr>
        <w:tabs>
          <w:tab w:val="left" w:pos="482"/>
          <w:tab w:val="left" w:pos="2183"/>
          <w:tab w:val="left" w:pos="3884"/>
          <w:tab w:val="left" w:pos="5585"/>
        </w:tabs>
        <w:wordWrap/>
        <w:adjustRightInd/>
        <w:spacing w:line="360" w:lineRule="auto"/>
        <w:ind w:firstLine="480" w:firstLineChars="200"/>
        <w:contextualSpacing/>
        <w:textAlignment w:val="baseline"/>
        <w:rPr>
          <w:rFonts w:ascii="宋体" w:hAnsi="宋体" w:eastAsia="宋体" w:cs="宋体"/>
          <w:sz w:val="24"/>
        </w:rPr>
      </w:pPr>
      <w:r>
        <w:rPr>
          <w:rFonts w:hint="eastAsia" w:ascii="宋体" w:hAnsi="宋体" w:eastAsia="宋体" w:cs="宋体"/>
          <w:sz w:val="24"/>
        </w:rPr>
        <w:t>3）励磁特性:1.2倍额定电压时不饱和</w:t>
      </w:r>
    </w:p>
    <w:p>
      <w:pPr>
        <w:tabs>
          <w:tab w:val="left" w:pos="482"/>
          <w:tab w:val="left" w:pos="2183"/>
          <w:tab w:val="left" w:pos="3884"/>
          <w:tab w:val="left" w:pos="5585"/>
        </w:tabs>
        <w:wordWrap/>
        <w:adjustRightInd/>
        <w:spacing w:line="360" w:lineRule="auto"/>
        <w:ind w:firstLine="480" w:firstLineChars="200"/>
        <w:contextualSpacing/>
        <w:textAlignment w:val="baseline"/>
        <w:rPr>
          <w:rFonts w:ascii="宋体" w:hAnsi="宋体" w:eastAsia="宋体" w:cs="宋体"/>
          <w:sz w:val="24"/>
        </w:rPr>
      </w:pPr>
      <w:r>
        <w:rPr>
          <w:rFonts w:hint="eastAsia" w:ascii="宋体" w:hAnsi="宋体" w:eastAsia="宋体" w:cs="宋体"/>
          <w:sz w:val="24"/>
        </w:rPr>
        <w:t>4）局部放电量≤20PC</w:t>
      </w:r>
    </w:p>
    <w:p>
      <w:pPr>
        <w:wordWrap/>
        <w:adjustRightInd/>
        <w:spacing w:line="360" w:lineRule="auto"/>
        <w:ind w:firstLine="482" w:firstLineChars="200"/>
        <w:rPr>
          <w:rFonts w:ascii="宋体" w:hAnsi="宋体" w:eastAsia="宋体"/>
          <w:b/>
          <w:sz w:val="24"/>
        </w:rPr>
      </w:pPr>
      <w:r>
        <w:rPr>
          <w:rFonts w:hint="eastAsia" w:ascii="宋体" w:hAnsi="宋体"/>
          <w:b/>
          <w:sz w:val="24"/>
          <w:lang w:val="en-US" w:eastAsia="zh-CN"/>
        </w:rPr>
        <w:t>3.4</w:t>
      </w:r>
      <w:r>
        <w:rPr>
          <w:rFonts w:hint="eastAsia" w:ascii="宋体" w:hAnsi="宋体" w:eastAsia="宋体"/>
          <w:b/>
          <w:sz w:val="24"/>
        </w:rPr>
        <w:t>避雷器：</w:t>
      </w:r>
    </w:p>
    <w:p>
      <w:pPr>
        <w:tabs>
          <w:tab w:val="left" w:pos="482"/>
          <w:tab w:val="left" w:pos="2183"/>
          <w:tab w:val="left" w:pos="3884"/>
          <w:tab w:val="left" w:pos="5585"/>
        </w:tabs>
        <w:wordWrap/>
        <w:adjustRightInd/>
        <w:spacing w:line="360" w:lineRule="auto"/>
        <w:ind w:firstLine="480" w:firstLineChars="200"/>
        <w:contextualSpacing/>
        <w:textAlignment w:val="baseline"/>
        <w:rPr>
          <w:rFonts w:ascii="宋体" w:hAnsi="宋体" w:eastAsia="宋体" w:cs="宋体"/>
          <w:sz w:val="24"/>
        </w:rPr>
      </w:pPr>
      <w:r>
        <w:rPr>
          <w:rFonts w:hint="eastAsia" w:ascii="宋体" w:hAnsi="宋体" w:eastAsia="宋体" w:cs="宋体"/>
          <w:sz w:val="24"/>
        </w:rPr>
        <w:t>1）型式：无间隙金属氧化锌避雷器</w:t>
      </w:r>
    </w:p>
    <w:p>
      <w:pPr>
        <w:tabs>
          <w:tab w:val="left" w:pos="482"/>
          <w:tab w:val="left" w:pos="2183"/>
          <w:tab w:val="left" w:pos="3884"/>
          <w:tab w:val="left" w:pos="5585"/>
        </w:tabs>
        <w:wordWrap/>
        <w:adjustRightInd/>
        <w:spacing w:line="360" w:lineRule="auto"/>
        <w:ind w:firstLine="480" w:firstLineChars="200"/>
        <w:contextualSpacing/>
        <w:textAlignment w:val="baseline"/>
        <w:rPr>
          <w:rFonts w:ascii="宋体" w:hAnsi="宋体" w:eastAsia="宋体" w:cs="宋体"/>
          <w:sz w:val="24"/>
        </w:rPr>
      </w:pPr>
      <w:r>
        <w:rPr>
          <w:rFonts w:hint="eastAsia" w:ascii="宋体" w:hAnsi="宋体" w:eastAsia="宋体" w:cs="宋体"/>
          <w:sz w:val="24"/>
        </w:rPr>
        <w:t>2）额定电压17kV</w:t>
      </w:r>
    </w:p>
    <w:p>
      <w:pPr>
        <w:tabs>
          <w:tab w:val="left" w:pos="482"/>
          <w:tab w:val="left" w:pos="2183"/>
          <w:tab w:val="left" w:pos="3884"/>
          <w:tab w:val="left" w:pos="5585"/>
        </w:tabs>
        <w:wordWrap/>
        <w:adjustRightInd/>
        <w:spacing w:line="360" w:lineRule="auto"/>
        <w:ind w:firstLine="480" w:firstLineChars="200"/>
        <w:contextualSpacing/>
        <w:textAlignment w:val="baseline"/>
        <w:rPr>
          <w:rFonts w:ascii="宋体" w:hAnsi="宋体" w:eastAsia="宋体" w:cs="宋体"/>
          <w:sz w:val="24"/>
        </w:rPr>
      </w:pPr>
      <w:r>
        <w:rPr>
          <w:rFonts w:hint="eastAsia" w:ascii="宋体" w:hAnsi="宋体" w:eastAsia="宋体" w:cs="宋体"/>
          <w:sz w:val="24"/>
        </w:rPr>
        <w:t>3）最大持续运行电压13.6V</w:t>
      </w:r>
    </w:p>
    <w:p>
      <w:pPr>
        <w:tabs>
          <w:tab w:val="left" w:pos="482"/>
          <w:tab w:val="left" w:pos="2183"/>
          <w:tab w:val="left" w:pos="3884"/>
          <w:tab w:val="left" w:pos="5585"/>
        </w:tabs>
        <w:wordWrap/>
        <w:adjustRightInd/>
        <w:spacing w:line="360" w:lineRule="auto"/>
        <w:ind w:firstLine="480" w:firstLineChars="200"/>
        <w:contextualSpacing/>
        <w:textAlignment w:val="baseline"/>
        <w:rPr>
          <w:rFonts w:ascii="宋体" w:hAnsi="宋体" w:eastAsia="宋体" w:cs="宋体"/>
          <w:sz w:val="24"/>
        </w:rPr>
      </w:pPr>
      <w:r>
        <w:rPr>
          <w:rFonts w:hint="eastAsia" w:ascii="宋体" w:hAnsi="宋体" w:eastAsia="宋体" w:cs="宋体"/>
          <w:sz w:val="24"/>
        </w:rPr>
        <w:t>4）标称放电电流5kA</w:t>
      </w:r>
    </w:p>
    <w:p>
      <w:pPr>
        <w:tabs>
          <w:tab w:val="left" w:pos="482"/>
          <w:tab w:val="left" w:pos="2183"/>
          <w:tab w:val="left" w:pos="3884"/>
          <w:tab w:val="left" w:pos="5585"/>
        </w:tabs>
        <w:wordWrap/>
        <w:adjustRightInd/>
        <w:spacing w:line="360" w:lineRule="auto"/>
        <w:ind w:firstLine="480" w:firstLineChars="200"/>
        <w:contextualSpacing/>
        <w:textAlignment w:val="baseline"/>
        <w:rPr>
          <w:rFonts w:ascii="宋体" w:hAnsi="宋体" w:eastAsia="宋体" w:cs="宋体"/>
          <w:sz w:val="24"/>
        </w:rPr>
      </w:pPr>
      <w:r>
        <w:rPr>
          <w:rFonts w:hint="eastAsia" w:ascii="宋体" w:hAnsi="宋体" w:eastAsia="宋体" w:cs="宋体"/>
          <w:sz w:val="24"/>
        </w:rPr>
        <w:t>5）陡坡冲击残压(1/3μs,5kA):51.8kV(峰值)</w:t>
      </w:r>
    </w:p>
    <w:p>
      <w:pPr>
        <w:tabs>
          <w:tab w:val="left" w:pos="482"/>
          <w:tab w:val="left" w:pos="2183"/>
          <w:tab w:val="left" w:pos="3884"/>
          <w:tab w:val="left" w:pos="5585"/>
        </w:tabs>
        <w:wordWrap/>
        <w:adjustRightInd/>
        <w:spacing w:line="360" w:lineRule="auto"/>
        <w:ind w:firstLine="480" w:firstLineChars="200"/>
        <w:contextualSpacing/>
        <w:textAlignment w:val="baseline"/>
        <w:rPr>
          <w:rFonts w:ascii="宋体" w:hAnsi="宋体" w:eastAsia="宋体" w:cs="宋体"/>
          <w:sz w:val="24"/>
        </w:rPr>
      </w:pPr>
      <w:r>
        <w:rPr>
          <w:rFonts w:hint="eastAsia" w:ascii="宋体" w:hAnsi="宋体" w:eastAsia="宋体" w:cs="宋体"/>
          <w:sz w:val="24"/>
        </w:rPr>
        <w:t>6）雷电冲击残压:(8/20μs,5kA):45kV(峰值)</w:t>
      </w:r>
    </w:p>
    <w:p>
      <w:pPr>
        <w:tabs>
          <w:tab w:val="left" w:pos="482"/>
          <w:tab w:val="left" w:pos="2183"/>
          <w:tab w:val="left" w:pos="3884"/>
          <w:tab w:val="left" w:pos="5585"/>
        </w:tabs>
        <w:wordWrap/>
        <w:adjustRightInd/>
        <w:spacing w:line="360" w:lineRule="auto"/>
        <w:ind w:firstLine="480" w:firstLineChars="200"/>
        <w:contextualSpacing/>
        <w:textAlignment w:val="baseline"/>
        <w:rPr>
          <w:rFonts w:ascii="宋体" w:hAnsi="宋体" w:eastAsia="宋体" w:cs="宋体"/>
          <w:sz w:val="24"/>
        </w:rPr>
      </w:pPr>
      <w:r>
        <w:rPr>
          <w:rFonts w:hint="eastAsia" w:ascii="宋体" w:hAnsi="宋体" w:eastAsia="宋体" w:cs="宋体"/>
          <w:sz w:val="24"/>
        </w:rPr>
        <w:t>7）操作冲击残压(30/100μs,500kA):38.3kV</w:t>
      </w:r>
    </w:p>
    <w:p>
      <w:pPr>
        <w:tabs>
          <w:tab w:val="left" w:pos="482"/>
          <w:tab w:val="left" w:pos="2183"/>
          <w:tab w:val="left" w:pos="3884"/>
          <w:tab w:val="left" w:pos="5585"/>
        </w:tabs>
        <w:wordWrap/>
        <w:adjustRightInd/>
        <w:spacing w:line="360" w:lineRule="auto"/>
        <w:ind w:firstLine="480" w:firstLineChars="200"/>
        <w:contextualSpacing/>
        <w:textAlignment w:val="baseline"/>
        <w:rPr>
          <w:rFonts w:ascii="宋体" w:hAnsi="宋体" w:eastAsia="宋体" w:cs="宋体"/>
          <w:sz w:val="24"/>
        </w:rPr>
      </w:pPr>
      <w:r>
        <w:rPr>
          <w:rFonts w:hint="eastAsia" w:ascii="宋体" w:hAnsi="宋体" w:eastAsia="宋体" w:cs="宋体"/>
          <w:sz w:val="24"/>
        </w:rPr>
        <w:t>8）直流参考电压≥25kV</w:t>
      </w:r>
    </w:p>
    <w:p>
      <w:pPr>
        <w:tabs>
          <w:tab w:val="left" w:pos="482"/>
          <w:tab w:val="left" w:pos="2183"/>
          <w:tab w:val="left" w:pos="3884"/>
          <w:tab w:val="left" w:pos="5585"/>
        </w:tabs>
        <w:wordWrap/>
        <w:adjustRightInd/>
        <w:spacing w:line="360" w:lineRule="auto"/>
        <w:ind w:firstLine="480" w:firstLineChars="200"/>
        <w:contextualSpacing/>
        <w:textAlignment w:val="baseline"/>
        <w:rPr>
          <w:rFonts w:ascii="宋体" w:hAnsi="宋体" w:eastAsia="宋体" w:cs="宋体"/>
          <w:sz w:val="24"/>
        </w:rPr>
      </w:pPr>
      <w:r>
        <w:rPr>
          <w:rFonts w:hint="eastAsia" w:ascii="宋体" w:hAnsi="宋体" w:eastAsia="宋体" w:cs="宋体"/>
          <w:sz w:val="24"/>
        </w:rPr>
        <w:t>9）长持续时间小电流耐受能力距形波,(2000/μs,20次冲击):200A</w:t>
      </w:r>
    </w:p>
    <w:p>
      <w:pPr>
        <w:wordWrap/>
        <w:adjustRightInd/>
        <w:spacing w:line="360" w:lineRule="auto"/>
        <w:ind w:firstLine="482" w:firstLineChars="200"/>
        <w:rPr>
          <w:rFonts w:hint="eastAsia" w:ascii="宋体" w:hAnsi="宋体" w:eastAsia="宋体" w:cs="Times New Roman"/>
          <w:b/>
          <w:sz w:val="24"/>
        </w:rPr>
      </w:pPr>
      <w:r>
        <w:rPr>
          <w:rFonts w:hint="eastAsia" w:ascii="宋体" w:hAnsi="宋体" w:cs="Times New Roman"/>
          <w:b/>
          <w:sz w:val="24"/>
          <w:lang w:val="en-US" w:eastAsia="zh-CN"/>
        </w:rPr>
        <w:t>3.5</w:t>
      </w:r>
      <w:r>
        <w:rPr>
          <w:rFonts w:hint="eastAsia" w:ascii="宋体" w:hAnsi="宋体" w:eastAsia="宋体" w:cs="Times New Roman"/>
          <w:b/>
          <w:sz w:val="24"/>
        </w:rPr>
        <w:t>分、合闸线圈：</w:t>
      </w:r>
    </w:p>
    <w:p>
      <w:pPr>
        <w:wordWrap/>
        <w:adjustRightInd/>
        <w:spacing w:line="360" w:lineRule="auto"/>
        <w:ind w:firstLine="480" w:firstLineChars="200"/>
        <w:rPr>
          <w:rFonts w:ascii="宋体" w:hAnsi="宋体" w:eastAsia="宋体"/>
          <w:bCs/>
          <w:sz w:val="24"/>
        </w:rPr>
      </w:pPr>
      <w:r>
        <w:rPr>
          <w:rFonts w:hint="eastAsia" w:ascii="宋体" w:hAnsi="宋体" w:eastAsia="宋体"/>
          <w:bCs/>
          <w:sz w:val="24"/>
        </w:rPr>
        <w:t>DC</w:t>
      </w:r>
      <w:r>
        <w:rPr>
          <w:rFonts w:hint="eastAsia" w:ascii="宋体" w:hAnsi="宋体" w:eastAsia="宋体"/>
          <w:bCs/>
          <w:sz w:val="24"/>
          <w:lang w:val="en-US" w:eastAsia="zh-CN"/>
        </w:rPr>
        <w:t>110</w:t>
      </w:r>
      <w:r>
        <w:rPr>
          <w:rFonts w:hint="eastAsia" w:ascii="宋体" w:hAnsi="宋体" w:eastAsia="宋体"/>
          <w:bCs/>
          <w:sz w:val="24"/>
        </w:rPr>
        <w:t>V或按图纸要求选用</w:t>
      </w:r>
    </w:p>
    <w:p>
      <w:pPr>
        <w:wordWrap/>
        <w:adjustRightInd/>
        <w:spacing w:line="360" w:lineRule="auto"/>
        <w:ind w:firstLine="482" w:firstLineChars="200"/>
        <w:rPr>
          <w:rFonts w:hint="eastAsia" w:ascii="宋体" w:hAnsi="宋体" w:eastAsia="宋体" w:cs="Times New Roman"/>
          <w:b/>
          <w:sz w:val="24"/>
        </w:rPr>
      </w:pPr>
      <w:r>
        <w:rPr>
          <w:rFonts w:hint="eastAsia" w:ascii="宋体" w:hAnsi="宋体" w:eastAsia="宋体" w:cs="Times New Roman"/>
          <w:b/>
          <w:sz w:val="24"/>
        </w:rPr>
        <w:t>3.</w:t>
      </w:r>
      <w:r>
        <w:rPr>
          <w:rFonts w:hint="eastAsia" w:ascii="宋体" w:hAnsi="宋体" w:cs="Times New Roman"/>
          <w:b/>
          <w:sz w:val="24"/>
          <w:lang w:val="en-US" w:eastAsia="zh-CN"/>
        </w:rPr>
        <w:t>6</w:t>
      </w:r>
      <w:r>
        <w:rPr>
          <w:rFonts w:hint="eastAsia" w:ascii="宋体" w:hAnsi="宋体" w:eastAsia="宋体" w:cs="Times New Roman"/>
          <w:b/>
          <w:sz w:val="24"/>
        </w:rPr>
        <w:t>操作机构电机：</w:t>
      </w:r>
    </w:p>
    <w:p>
      <w:pPr>
        <w:wordWrap/>
        <w:adjustRightInd/>
        <w:spacing w:line="360" w:lineRule="auto"/>
        <w:ind w:firstLine="480" w:firstLineChars="200"/>
        <w:rPr>
          <w:rFonts w:ascii="宋体" w:hAnsi="宋体" w:eastAsia="宋体"/>
          <w:bCs/>
          <w:sz w:val="24"/>
        </w:rPr>
      </w:pPr>
      <w:r>
        <w:rPr>
          <w:rFonts w:hint="eastAsia" w:ascii="宋体" w:hAnsi="宋体" w:eastAsia="宋体"/>
          <w:bCs/>
          <w:sz w:val="24"/>
        </w:rPr>
        <w:t>DC</w:t>
      </w:r>
      <w:r>
        <w:rPr>
          <w:rFonts w:hint="eastAsia" w:ascii="宋体" w:hAnsi="宋体" w:eastAsia="宋体"/>
          <w:bCs/>
          <w:sz w:val="24"/>
          <w:lang w:val="en-US" w:eastAsia="zh-CN"/>
        </w:rPr>
        <w:t>110</w:t>
      </w:r>
      <w:r>
        <w:rPr>
          <w:rFonts w:hint="eastAsia" w:ascii="宋体" w:hAnsi="宋体" w:eastAsia="宋体"/>
          <w:bCs/>
          <w:sz w:val="24"/>
        </w:rPr>
        <w:t>V或按图纸要求选用</w:t>
      </w:r>
    </w:p>
    <w:p>
      <w:pPr>
        <w:wordWrap/>
        <w:adjustRightInd/>
        <w:spacing w:line="360" w:lineRule="auto"/>
        <w:ind w:firstLine="482" w:firstLineChars="200"/>
        <w:rPr>
          <w:rFonts w:hint="eastAsia" w:ascii="宋体" w:hAnsi="宋体" w:eastAsia="宋体" w:cs="Times New Roman"/>
          <w:b/>
          <w:sz w:val="24"/>
          <w:lang w:eastAsia="zh-CN"/>
        </w:rPr>
      </w:pPr>
      <w:r>
        <w:rPr>
          <w:rFonts w:hint="eastAsia" w:ascii="宋体" w:hAnsi="宋体" w:eastAsia="宋体" w:cs="Times New Roman"/>
          <w:b/>
          <w:sz w:val="24"/>
        </w:rPr>
        <w:t>3.</w:t>
      </w:r>
      <w:r>
        <w:rPr>
          <w:rFonts w:hint="eastAsia" w:ascii="宋体" w:hAnsi="宋体" w:cs="Times New Roman"/>
          <w:b/>
          <w:sz w:val="24"/>
          <w:lang w:val="en-US" w:eastAsia="zh-CN"/>
        </w:rPr>
        <w:t>7</w:t>
      </w:r>
      <w:r>
        <w:rPr>
          <w:rFonts w:hint="eastAsia" w:ascii="宋体" w:hAnsi="宋体" w:eastAsia="宋体" w:cs="Times New Roman"/>
          <w:b/>
          <w:sz w:val="24"/>
        </w:rPr>
        <w:t>所有元器件</w:t>
      </w:r>
      <w:r>
        <w:rPr>
          <w:rFonts w:hint="eastAsia" w:ascii="宋体" w:hAnsi="宋体" w:eastAsia="宋体" w:cs="Times New Roman"/>
          <w:b/>
          <w:sz w:val="24"/>
          <w:lang w:eastAsia="zh-CN"/>
        </w:rPr>
        <w:t>：</w:t>
      </w:r>
    </w:p>
    <w:p>
      <w:pPr>
        <w:wordWrap/>
        <w:adjustRightInd/>
        <w:spacing w:line="360" w:lineRule="auto"/>
        <w:ind w:firstLine="480" w:firstLineChars="200"/>
        <w:rPr>
          <w:rFonts w:ascii="宋体" w:hAnsi="宋体" w:eastAsia="宋体"/>
          <w:bCs/>
          <w:sz w:val="24"/>
        </w:rPr>
      </w:pPr>
      <w:r>
        <w:rPr>
          <w:rFonts w:hint="eastAsia" w:ascii="宋体" w:hAnsi="宋体" w:eastAsia="宋体"/>
          <w:bCs/>
          <w:sz w:val="24"/>
        </w:rPr>
        <w:t>选用档次、技术参数及容量不得低于设计图纸要求。</w:t>
      </w:r>
    </w:p>
    <w:p>
      <w:pPr>
        <w:wordWrap/>
        <w:adjustRightInd/>
        <w:spacing w:line="360" w:lineRule="auto"/>
        <w:ind w:firstLine="482" w:firstLineChars="200"/>
        <w:rPr>
          <w:rFonts w:ascii="宋体" w:hAnsi="宋体" w:eastAsia="宋体"/>
          <w:b/>
          <w:sz w:val="24"/>
        </w:rPr>
      </w:pPr>
      <w:r>
        <w:rPr>
          <w:rFonts w:hint="eastAsia" w:ascii="宋体" w:hAnsi="宋体" w:eastAsia="宋体"/>
          <w:b/>
          <w:sz w:val="24"/>
        </w:rPr>
        <w:t>4.总体要求</w:t>
      </w:r>
    </w:p>
    <w:p>
      <w:pPr>
        <w:tabs>
          <w:tab w:val="left" w:pos="482"/>
          <w:tab w:val="left" w:pos="2183"/>
          <w:tab w:val="left" w:pos="3884"/>
          <w:tab w:val="left" w:pos="5585"/>
        </w:tabs>
        <w:wordWrap/>
        <w:adjustRightInd/>
        <w:spacing w:line="360" w:lineRule="auto"/>
        <w:ind w:firstLine="480" w:firstLineChars="200"/>
        <w:contextualSpacing/>
        <w:textAlignment w:val="baseline"/>
        <w:rPr>
          <w:rFonts w:ascii="宋体" w:hAnsi="宋体" w:eastAsia="宋体" w:cs="宋体"/>
          <w:sz w:val="24"/>
        </w:rPr>
      </w:pPr>
      <w:r>
        <w:rPr>
          <w:rFonts w:hint="eastAsia" w:ascii="宋体" w:hAnsi="宋体" w:eastAsia="宋体" w:cs="宋体"/>
          <w:sz w:val="24"/>
        </w:rPr>
        <w:t>4.1开关柜的外壳必须具有可靠的强度；整个开关装置不受外部环境条件影响，可安装于潮湿、盐污、多尘等不良环境场所。能确保人身安全及运行可靠。</w:t>
      </w:r>
    </w:p>
    <w:p>
      <w:pPr>
        <w:tabs>
          <w:tab w:val="left" w:pos="482"/>
          <w:tab w:val="left" w:pos="2183"/>
          <w:tab w:val="left" w:pos="3884"/>
          <w:tab w:val="left" w:pos="5585"/>
        </w:tabs>
        <w:wordWrap/>
        <w:adjustRightInd/>
        <w:spacing w:line="360" w:lineRule="auto"/>
        <w:ind w:firstLine="480" w:firstLineChars="200"/>
        <w:contextualSpacing/>
        <w:textAlignment w:val="baseline"/>
        <w:rPr>
          <w:rFonts w:ascii="宋体" w:hAnsi="宋体" w:eastAsia="宋体" w:cs="宋体"/>
          <w:sz w:val="24"/>
        </w:rPr>
      </w:pPr>
      <w:r>
        <w:rPr>
          <w:rFonts w:hint="eastAsia" w:ascii="宋体" w:hAnsi="宋体" w:eastAsia="宋体" w:cs="宋体"/>
          <w:sz w:val="24"/>
        </w:rPr>
        <w:t>4.2防误功能</w:t>
      </w:r>
    </w:p>
    <w:p>
      <w:pPr>
        <w:tabs>
          <w:tab w:val="left" w:pos="482"/>
          <w:tab w:val="left" w:pos="2183"/>
          <w:tab w:val="left" w:pos="3884"/>
          <w:tab w:val="left" w:pos="5585"/>
        </w:tabs>
        <w:wordWrap/>
        <w:adjustRightInd/>
        <w:spacing w:line="360" w:lineRule="auto"/>
        <w:ind w:firstLine="480" w:firstLineChars="200"/>
        <w:contextualSpacing/>
        <w:textAlignment w:val="baseline"/>
        <w:rPr>
          <w:rFonts w:ascii="宋体" w:hAnsi="宋体" w:eastAsia="宋体" w:cs="宋体"/>
          <w:sz w:val="24"/>
        </w:rPr>
      </w:pPr>
      <w:r>
        <w:rPr>
          <w:rFonts w:hint="eastAsia" w:ascii="宋体" w:hAnsi="宋体" w:eastAsia="宋体" w:cs="宋体"/>
          <w:sz w:val="24"/>
        </w:rPr>
        <w:t>4.2.1所有开关柜优先采用简单、可靠的机械“五防”结构。对难以实现机械“五防”的部分，可采用其他闭锁形式。</w:t>
      </w:r>
    </w:p>
    <w:p>
      <w:pPr>
        <w:tabs>
          <w:tab w:val="left" w:pos="482"/>
          <w:tab w:val="left" w:pos="2183"/>
          <w:tab w:val="left" w:pos="3884"/>
          <w:tab w:val="left" w:pos="5585"/>
        </w:tabs>
        <w:wordWrap/>
        <w:adjustRightInd/>
        <w:spacing w:line="360" w:lineRule="auto"/>
        <w:ind w:firstLine="480" w:firstLineChars="200"/>
        <w:contextualSpacing/>
        <w:textAlignment w:val="baseline"/>
        <w:rPr>
          <w:rFonts w:ascii="宋体" w:hAnsi="宋体" w:eastAsia="宋体" w:cs="宋体"/>
          <w:sz w:val="24"/>
        </w:rPr>
      </w:pPr>
      <w:r>
        <w:rPr>
          <w:rFonts w:hint="eastAsia" w:ascii="宋体" w:hAnsi="宋体" w:eastAsia="宋体" w:cs="宋体"/>
          <w:sz w:val="24"/>
        </w:rPr>
        <w:t>4.2.2所有开关柜前面应装有能反映线路侧有无电压的带电显示装置。当线路侧带电时，应闭锁柜的封板或柜门。熔丝熔断电气闭锁(电气拒动)；接地和熔丝盖板及电缆室盖板的闭锁；远方就地合分闸的闭锁；接地刀与电缆带电的强制电磁闭锁。</w:t>
      </w:r>
    </w:p>
    <w:p>
      <w:pPr>
        <w:tabs>
          <w:tab w:val="left" w:pos="482"/>
          <w:tab w:val="left" w:pos="2183"/>
          <w:tab w:val="left" w:pos="3884"/>
          <w:tab w:val="left" w:pos="5585"/>
        </w:tabs>
        <w:wordWrap/>
        <w:adjustRightInd/>
        <w:spacing w:line="360" w:lineRule="auto"/>
        <w:ind w:firstLine="480" w:firstLineChars="200"/>
        <w:contextualSpacing/>
        <w:textAlignment w:val="baseline"/>
        <w:rPr>
          <w:rFonts w:ascii="宋体" w:hAnsi="宋体" w:eastAsia="宋体" w:cs="宋体"/>
          <w:sz w:val="24"/>
        </w:rPr>
      </w:pPr>
      <w:r>
        <w:rPr>
          <w:rFonts w:hint="eastAsia" w:ascii="宋体" w:hAnsi="宋体" w:eastAsia="宋体" w:cs="宋体"/>
          <w:sz w:val="24"/>
        </w:rPr>
        <w:t>4.2.3开关柜操作面应带有显示运行状态的一次模拟图，所有电量信号均至端子排，预留配网自动化接口。</w:t>
      </w:r>
    </w:p>
    <w:p>
      <w:pPr>
        <w:tabs>
          <w:tab w:val="left" w:pos="482"/>
          <w:tab w:val="left" w:pos="2183"/>
          <w:tab w:val="left" w:pos="3884"/>
          <w:tab w:val="left" w:pos="5585"/>
        </w:tabs>
        <w:wordWrap/>
        <w:adjustRightInd/>
        <w:spacing w:line="360" w:lineRule="auto"/>
        <w:ind w:firstLine="482" w:firstLineChars="200"/>
        <w:contextualSpacing/>
        <w:textAlignment w:val="baseline"/>
        <w:rPr>
          <w:rFonts w:ascii="宋体" w:hAnsi="宋体" w:eastAsia="宋体" w:cs="宋体"/>
          <w:b/>
          <w:bCs/>
          <w:sz w:val="24"/>
        </w:rPr>
      </w:pPr>
      <w:r>
        <w:rPr>
          <w:rFonts w:hint="eastAsia" w:ascii="宋体" w:hAnsi="宋体" w:eastAsia="宋体" w:cs="宋体"/>
          <w:b/>
          <w:bCs/>
          <w:sz w:val="24"/>
        </w:rPr>
        <w:t>4.2.4开关柜面板上应有熔断器跳闸指示。</w:t>
      </w:r>
    </w:p>
    <w:p>
      <w:pPr>
        <w:tabs>
          <w:tab w:val="left" w:pos="482"/>
          <w:tab w:val="left" w:pos="2183"/>
          <w:tab w:val="left" w:pos="3884"/>
          <w:tab w:val="left" w:pos="5585"/>
        </w:tabs>
        <w:wordWrap/>
        <w:adjustRightInd/>
        <w:spacing w:line="360" w:lineRule="auto"/>
        <w:ind w:firstLine="480" w:firstLineChars="200"/>
        <w:contextualSpacing/>
        <w:textAlignment w:val="baseline"/>
        <w:rPr>
          <w:rFonts w:ascii="宋体" w:hAnsi="宋体" w:eastAsia="宋体" w:cs="宋体"/>
          <w:sz w:val="24"/>
        </w:rPr>
      </w:pPr>
      <w:r>
        <w:rPr>
          <w:rFonts w:hint="eastAsia" w:ascii="宋体" w:hAnsi="宋体" w:eastAsia="宋体" w:cs="宋体"/>
          <w:sz w:val="24"/>
        </w:rPr>
        <w:t>4.2.5操作机构可以在开关柜送电状态下升级换代：手动改电动，现场操作改为远程控制等。</w:t>
      </w:r>
    </w:p>
    <w:p>
      <w:pPr>
        <w:tabs>
          <w:tab w:val="left" w:pos="482"/>
          <w:tab w:val="left" w:pos="2183"/>
          <w:tab w:val="left" w:pos="3884"/>
          <w:tab w:val="left" w:pos="5585"/>
        </w:tabs>
        <w:wordWrap/>
        <w:adjustRightInd/>
        <w:spacing w:line="360" w:lineRule="auto"/>
        <w:ind w:firstLine="480" w:firstLineChars="200"/>
        <w:contextualSpacing/>
        <w:textAlignment w:val="baseline"/>
        <w:rPr>
          <w:rFonts w:ascii="宋体" w:hAnsi="宋体" w:eastAsia="宋体" w:cs="宋体"/>
          <w:sz w:val="24"/>
        </w:rPr>
      </w:pPr>
      <w:r>
        <w:rPr>
          <w:rFonts w:hint="eastAsia" w:ascii="宋体" w:hAnsi="宋体" w:eastAsia="宋体" w:cs="宋体"/>
          <w:sz w:val="24"/>
        </w:rPr>
        <w:t>4.2.6每只开关柜应设置铭牌，铭牌的位置应易于运行操作人员观察。</w:t>
      </w:r>
    </w:p>
    <w:p>
      <w:pPr>
        <w:wordWrap/>
        <w:adjustRightInd/>
        <w:spacing w:line="360" w:lineRule="auto"/>
        <w:ind w:firstLine="482" w:firstLineChars="200"/>
        <w:rPr>
          <w:rFonts w:ascii="宋体" w:hAnsi="宋体" w:eastAsia="宋体"/>
          <w:b/>
          <w:sz w:val="24"/>
        </w:rPr>
      </w:pPr>
      <w:r>
        <w:rPr>
          <w:rFonts w:hint="eastAsia" w:ascii="宋体" w:hAnsi="宋体" w:eastAsia="宋体"/>
          <w:b/>
          <w:sz w:val="24"/>
        </w:rPr>
        <w:t>5.柜体结构</w:t>
      </w:r>
    </w:p>
    <w:p>
      <w:pPr>
        <w:tabs>
          <w:tab w:val="left" w:pos="482"/>
          <w:tab w:val="left" w:pos="2183"/>
          <w:tab w:val="left" w:pos="3884"/>
          <w:tab w:val="left" w:pos="5585"/>
        </w:tabs>
        <w:wordWrap/>
        <w:adjustRightInd/>
        <w:spacing w:line="360" w:lineRule="auto"/>
        <w:ind w:firstLine="480" w:firstLineChars="200"/>
        <w:contextualSpacing/>
        <w:textAlignment w:val="baseline"/>
        <w:rPr>
          <w:rFonts w:ascii="宋体" w:hAnsi="宋体" w:eastAsia="宋体" w:cs="宋体"/>
          <w:sz w:val="24"/>
        </w:rPr>
      </w:pPr>
      <w:r>
        <w:rPr>
          <w:rFonts w:hint="eastAsia" w:ascii="宋体" w:hAnsi="宋体" w:eastAsia="宋体" w:cs="宋体"/>
          <w:sz w:val="24"/>
        </w:rPr>
        <w:t>5.1柜体材料采用敷铝锌板或优质冷轧板，</w:t>
      </w:r>
      <w:r>
        <w:rPr>
          <w:rFonts w:hint="eastAsia" w:ascii="宋体" w:hAnsi="宋体"/>
          <w:sz w:val="24"/>
          <w:szCs w:val="24"/>
        </w:rPr>
        <w:t>钢板厚度不小于2</w:t>
      </w:r>
      <w:r>
        <w:rPr>
          <w:rFonts w:ascii="宋体" w:hAnsi="宋体"/>
          <w:sz w:val="24"/>
          <w:szCs w:val="24"/>
        </w:rPr>
        <w:t>mm</w:t>
      </w:r>
      <w:r>
        <w:rPr>
          <w:rFonts w:hint="eastAsia" w:ascii="宋体" w:hAnsi="宋体"/>
          <w:sz w:val="24"/>
          <w:szCs w:val="24"/>
        </w:rPr>
        <w:t>，有足够的机械和耐火强度</w:t>
      </w:r>
      <w:r>
        <w:rPr>
          <w:rFonts w:hint="eastAsia" w:ascii="宋体" w:hAnsi="宋体" w:eastAsia="宋体" w:cs="宋体"/>
          <w:sz w:val="24"/>
        </w:rPr>
        <w:t>。</w:t>
      </w:r>
    </w:p>
    <w:p>
      <w:pPr>
        <w:tabs>
          <w:tab w:val="left" w:pos="482"/>
          <w:tab w:val="left" w:pos="2183"/>
          <w:tab w:val="left" w:pos="3884"/>
          <w:tab w:val="left" w:pos="5585"/>
        </w:tabs>
        <w:wordWrap/>
        <w:adjustRightInd/>
        <w:spacing w:line="360" w:lineRule="auto"/>
        <w:ind w:firstLine="480" w:firstLineChars="200"/>
        <w:contextualSpacing/>
        <w:textAlignment w:val="baseline"/>
        <w:rPr>
          <w:rFonts w:ascii="宋体" w:hAnsi="宋体" w:eastAsia="宋体" w:cs="宋体"/>
          <w:sz w:val="24"/>
        </w:rPr>
      </w:pPr>
      <w:r>
        <w:rPr>
          <w:rFonts w:hint="eastAsia" w:ascii="宋体" w:hAnsi="宋体" w:eastAsia="宋体" w:cs="宋体"/>
          <w:sz w:val="24"/>
        </w:rPr>
        <w:t>5.2柜体外形尺寸：以设计图纸要求为准，如有变化，要求能满足配电房土建布置要求；</w:t>
      </w:r>
    </w:p>
    <w:p>
      <w:pPr>
        <w:tabs>
          <w:tab w:val="left" w:pos="482"/>
          <w:tab w:val="left" w:pos="2183"/>
          <w:tab w:val="left" w:pos="3884"/>
          <w:tab w:val="left" w:pos="5585"/>
        </w:tabs>
        <w:wordWrap/>
        <w:adjustRightInd/>
        <w:spacing w:line="360" w:lineRule="auto"/>
        <w:ind w:firstLine="480" w:firstLineChars="200"/>
        <w:contextualSpacing/>
        <w:textAlignment w:val="baseline"/>
        <w:rPr>
          <w:rFonts w:ascii="宋体" w:hAnsi="宋体" w:eastAsia="宋体" w:cs="宋体"/>
          <w:sz w:val="24"/>
        </w:rPr>
      </w:pPr>
      <w:r>
        <w:rPr>
          <w:rFonts w:hint="eastAsia" w:ascii="宋体" w:hAnsi="宋体" w:eastAsia="宋体" w:cs="宋体"/>
          <w:sz w:val="24"/>
        </w:rPr>
        <w:t>5.3当开关柜采用电缆出线时，电缆室应提供足够的空间（保证电缆三相在柜内分叉安装），电缆头的安装位置应使检修和试验时便于拆、接线。</w:t>
      </w:r>
    </w:p>
    <w:p>
      <w:pPr>
        <w:tabs>
          <w:tab w:val="left" w:pos="482"/>
          <w:tab w:val="left" w:pos="2183"/>
          <w:tab w:val="left" w:pos="3884"/>
          <w:tab w:val="left" w:pos="5585"/>
        </w:tabs>
        <w:wordWrap/>
        <w:adjustRightInd/>
        <w:spacing w:line="360" w:lineRule="auto"/>
        <w:ind w:firstLine="480" w:firstLineChars="200"/>
        <w:contextualSpacing/>
        <w:textAlignment w:val="baseline"/>
        <w:rPr>
          <w:rFonts w:hint="eastAsia" w:ascii="宋体" w:hAnsi="宋体" w:eastAsia="宋体" w:cs="宋体"/>
          <w:sz w:val="24"/>
        </w:rPr>
      </w:pPr>
      <w:r>
        <w:rPr>
          <w:rFonts w:hint="eastAsia" w:ascii="宋体" w:hAnsi="宋体" w:eastAsia="宋体" w:cs="宋体"/>
          <w:sz w:val="24"/>
        </w:rPr>
        <w:t>5.</w:t>
      </w:r>
      <w:r>
        <w:rPr>
          <w:rFonts w:hint="eastAsia" w:ascii="宋体" w:hAnsi="宋体" w:cs="宋体"/>
          <w:sz w:val="24"/>
          <w:lang w:val="en-US" w:eastAsia="zh-CN"/>
        </w:rPr>
        <w:t>4</w:t>
      </w:r>
      <w:r>
        <w:rPr>
          <w:rFonts w:hint="eastAsia" w:ascii="宋体" w:hAnsi="宋体" w:eastAsia="宋体" w:cs="宋体"/>
          <w:sz w:val="24"/>
        </w:rPr>
        <w:t>开关柜外壳防护等级为IP3X</w:t>
      </w:r>
    </w:p>
    <w:p>
      <w:pPr>
        <w:tabs>
          <w:tab w:val="left" w:pos="482"/>
          <w:tab w:val="left" w:pos="2183"/>
          <w:tab w:val="left" w:pos="3884"/>
          <w:tab w:val="left" w:pos="5585"/>
        </w:tabs>
        <w:wordWrap/>
        <w:adjustRightInd/>
        <w:spacing w:line="360" w:lineRule="auto"/>
        <w:ind w:firstLine="480" w:firstLineChars="200"/>
        <w:contextualSpacing/>
        <w:textAlignment w:val="baseline"/>
        <w:rPr>
          <w:rFonts w:hint="eastAsia" w:ascii="宋体" w:hAnsi="宋体" w:eastAsia="宋体" w:cs="宋体"/>
          <w:sz w:val="24"/>
        </w:rPr>
      </w:pPr>
    </w:p>
    <w:p>
      <w:pPr>
        <w:keepNext/>
        <w:keepLines/>
        <w:widowControl w:val="0"/>
        <w:wordWrap/>
        <w:spacing w:before="0" w:beforeLines="0" w:after="0" w:afterLines="0" w:line="360" w:lineRule="auto"/>
        <w:jc w:val="both"/>
        <w:outlineLvl w:val="1"/>
        <w:rPr>
          <w:rFonts w:ascii="宋体" w:hAnsi="宋体" w:eastAsia="宋体" w:cs="宋体"/>
          <w:b/>
          <w:bCs/>
          <w:kern w:val="2"/>
          <w:sz w:val="24"/>
          <w:szCs w:val="32"/>
          <w:lang w:val="en-US" w:eastAsia="zh-CN" w:bidi="ar-SA"/>
        </w:rPr>
      </w:pPr>
      <w:r>
        <w:rPr>
          <w:rFonts w:hint="eastAsia" w:ascii="宋体" w:hAnsi="宋体" w:eastAsia="宋体" w:cs="宋体"/>
          <w:b/>
          <w:bCs/>
          <w:kern w:val="2"/>
          <w:sz w:val="24"/>
          <w:szCs w:val="24"/>
          <w:lang w:val="en-US" w:eastAsia="zh-CN" w:bidi="ar-SA"/>
        </w:rPr>
        <w:t>（二）变压器</w:t>
      </w:r>
      <w:bookmarkEnd w:id="28"/>
    </w:p>
    <w:p>
      <w:pPr>
        <w:tabs>
          <w:tab w:val="left" w:pos="482"/>
          <w:tab w:val="left" w:pos="2183"/>
          <w:tab w:val="left" w:pos="3884"/>
          <w:tab w:val="left" w:pos="5585"/>
        </w:tabs>
        <w:wordWrap/>
        <w:adjustRightInd/>
        <w:spacing w:line="360" w:lineRule="auto"/>
        <w:ind w:firstLine="482" w:firstLineChars="200"/>
        <w:contextualSpacing/>
        <w:textAlignment w:val="baseline"/>
        <w:rPr>
          <w:rFonts w:hint="eastAsia" w:ascii="宋体" w:hAnsi="宋体" w:eastAsia="宋体" w:cs="宋体"/>
          <w:sz w:val="24"/>
        </w:rPr>
      </w:pPr>
      <w:r>
        <w:rPr>
          <w:rFonts w:hint="eastAsia" w:ascii="宋体" w:hAnsi="宋体" w:eastAsia="宋体" w:cs="宋体"/>
          <w:b/>
          <w:bCs/>
          <w:sz w:val="24"/>
        </w:rPr>
        <w:t>1、变压器使用环境要求</w:t>
      </w:r>
    </w:p>
    <w:p>
      <w:pPr>
        <w:tabs>
          <w:tab w:val="left" w:pos="482"/>
          <w:tab w:val="left" w:pos="2183"/>
          <w:tab w:val="left" w:pos="3884"/>
          <w:tab w:val="left" w:pos="5585"/>
        </w:tabs>
        <w:wordWrap/>
        <w:adjustRightInd/>
        <w:spacing w:line="360" w:lineRule="auto"/>
        <w:ind w:firstLine="480" w:firstLineChars="200"/>
        <w:contextualSpacing/>
        <w:textAlignment w:val="baseline"/>
        <w:rPr>
          <w:rFonts w:hint="eastAsia" w:ascii="宋体" w:hAnsi="宋体" w:eastAsia="宋体" w:cs="宋体"/>
          <w:sz w:val="24"/>
        </w:rPr>
      </w:pPr>
      <w:r>
        <w:rPr>
          <w:rFonts w:hint="eastAsia" w:ascii="宋体" w:hAnsi="宋体" w:eastAsia="宋体" w:cs="宋体"/>
          <w:sz w:val="24"/>
        </w:rPr>
        <w:t>1.1环境温度</w:t>
      </w:r>
    </w:p>
    <w:p>
      <w:pPr>
        <w:tabs>
          <w:tab w:val="left" w:pos="482"/>
          <w:tab w:val="left" w:pos="2183"/>
          <w:tab w:val="left" w:pos="5585"/>
          <w:tab w:val="left" w:pos="7491"/>
        </w:tabs>
        <w:wordWrap/>
        <w:adjustRightInd/>
        <w:spacing w:line="360" w:lineRule="auto"/>
        <w:ind w:firstLine="480" w:firstLineChars="200"/>
        <w:contextualSpacing/>
        <w:textAlignment w:val="baseline"/>
        <w:rPr>
          <w:rFonts w:hint="default" w:ascii="宋体" w:hAnsi="宋体" w:eastAsia="宋体" w:cs="宋体"/>
          <w:sz w:val="24"/>
          <w:lang w:val="en-US" w:eastAsia="zh-CN"/>
        </w:rPr>
      </w:pPr>
      <w:r>
        <w:rPr>
          <w:rFonts w:hint="eastAsia" w:ascii="宋体" w:hAnsi="宋体" w:eastAsia="宋体" w:cs="宋体"/>
          <w:sz w:val="24"/>
        </w:rPr>
        <w:t>最高日温度40℃</w:t>
      </w:r>
      <w:r>
        <w:rPr>
          <w:rFonts w:hint="eastAsia" w:ascii="宋体" w:hAnsi="宋体" w:eastAsia="宋体" w:cs="宋体"/>
          <w:sz w:val="24"/>
          <w:lang w:eastAsia="zh-CN"/>
        </w:rPr>
        <w:tab/>
      </w:r>
      <w:r>
        <w:rPr>
          <w:rFonts w:hint="eastAsia" w:ascii="宋体" w:hAnsi="宋体" w:eastAsia="宋体" w:cs="宋体"/>
          <w:sz w:val="24"/>
          <w:lang w:eastAsia="zh-CN"/>
        </w:rPr>
        <w:tab/>
      </w:r>
      <w:r>
        <w:rPr>
          <w:rFonts w:hint="eastAsia" w:ascii="宋体" w:hAnsi="宋体" w:eastAsia="宋体" w:cs="宋体"/>
          <w:sz w:val="24"/>
          <w:lang w:val="en-US" w:eastAsia="zh-CN"/>
        </w:rPr>
        <w:t xml:space="preserve"> </w:t>
      </w:r>
    </w:p>
    <w:p>
      <w:pPr>
        <w:tabs>
          <w:tab w:val="left" w:pos="482"/>
          <w:tab w:val="left" w:pos="2183"/>
          <w:tab w:val="left" w:pos="3884"/>
          <w:tab w:val="left" w:pos="5585"/>
        </w:tabs>
        <w:wordWrap/>
        <w:adjustRightInd/>
        <w:spacing w:line="360" w:lineRule="auto"/>
        <w:ind w:firstLine="480" w:firstLineChars="200"/>
        <w:contextualSpacing/>
        <w:textAlignment w:val="baseline"/>
        <w:rPr>
          <w:rFonts w:hint="eastAsia" w:ascii="宋体" w:hAnsi="宋体" w:eastAsia="宋体" w:cs="宋体"/>
          <w:sz w:val="24"/>
        </w:rPr>
      </w:pPr>
      <w:r>
        <w:rPr>
          <w:rFonts w:hint="eastAsia" w:ascii="宋体" w:hAnsi="宋体" w:eastAsia="宋体" w:cs="宋体"/>
          <w:sz w:val="24"/>
        </w:rPr>
        <w:t>最低日温度-25℃</w:t>
      </w:r>
    </w:p>
    <w:p>
      <w:pPr>
        <w:tabs>
          <w:tab w:val="left" w:pos="482"/>
          <w:tab w:val="left" w:pos="2183"/>
          <w:tab w:val="left" w:pos="3884"/>
          <w:tab w:val="left" w:pos="5585"/>
        </w:tabs>
        <w:wordWrap/>
        <w:adjustRightInd/>
        <w:spacing w:line="360" w:lineRule="auto"/>
        <w:ind w:firstLine="480" w:firstLineChars="200"/>
        <w:contextualSpacing/>
        <w:textAlignment w:val="baseline"/>
        <w:rPr>
          <w:rFonts w:hint="eastAsia" w:ascii="宋体" w:hAnsi="宋体" w:eastAsia="宋体" w:cs="宋体"/>
          <w:sz w:val="24"/>
        </w:rPr>
      </w:pPr>
      <w:r>
        <w:rPr>
          <w:rFonts w:hint="eastAsia" w:ascii="宋体" w:hAnsi="宋体" w:eastAsia="宋体" w:cs="宋体"/>
          <w:sz w:val="24"/>
        </w:rPr>
        <w:t>1.2湿度</w:t>
      </w:r>
    </w:p>
    <w:p>
      <w:pPr>
        <w:tabs>
          <w:tab w:val="left" w:pos="482"/>
          <w:tab w:val="left" w:pos="2183"/>
          <w:tab w:val="left" w:pos="3884"/>
          <w:tab w:val="left" w:pos="5585"/>
        </w:tabs>
        <w:wordWrap/>
        <w:adjustRightInd/>
        <w:spacing w:line="360" w:lineRule="auto"/>
        <w:ind w:firstLine="480" w:firstLineChars="200"/>
        <w:contextualSpacing/>
        <w:textAlignment w:val="baseline"/>
        <w:rPr>
          <w:rFonts w:hint="eastAsia" w:ascii="宋体" w:hAnsi="宋体" w:eastAsia="宋体" w:cs="宋体"/>
          <w:sz w:val="24"/>
        </w:rPr>
      </w:pPr>
      <w:r>
        <w:rPr>
          <w:rFonts w:hint="eastAsia" w:ascii="宋体" w:hAnsi="宋体" w:eastAsia="宋体" w:cs="宋体"/>
          <w:sz w:val="24"/>
        </w:rPr>
        <w:t>日相对湿度平均值≤95%</w:t>
      </w:r>
    </w:p>
    <w:p>
      <w:pPr>
        <w:tabs>
          <w:tab w:val="left" w:pos="482"/>
          <w:tab w:val="left" w:pos="2183"/>
          <w:tab w:val="left" w:pos="3884"/>
          <w:tab w:val="left" w:pos="5585"/>
        </w:tabs>
        <w:wordWrap/>
        <w:adjustRightInd/>
        <w:spacing w:line="360" w:lineRule="auto"/>
        <w:ind w:firstLine="480" w:firstLineChars="200"/>
        <w:contextualSpacing/>
        <w:textAlignment w:val="baseline"/>
        <w:rPr>
          <w:rFonts w:hint="eastAsia" w:ascii="宋体" w:hAnsi="宋体" w:eastAsia="宋体" w:cs="宋体"/>
          <w:sz w:val="24"/>
        </w:rPr>
      </w:pPr>
      <w:r>
        <w:rPr>
          <w:rFonts w:hint="eastAsia" w:ascii="宋体" w:hAnsi="宋体" w:eastAsia="宋体" w:cs="宋体"/>
          <w:sz w:val="24"/>
        </w:rPr>
        <w:t>月相对湿度平均值≤90%</w:t>
      </w:r>
    </w:p>
    <w:p>
      <w:pPr>
        <w:tabs>
          <w:tab w:val="left" w:pos="482"/>
          <w:tab w:val="left" w:pos="2183"/>
          <w:tab w:val="left" w:pos="3884"/>
          <w:tab w:val="left" w:pos="5585"/>
        </w:tabs>
        <w:wordWrap/>
        <w:adjustRightInd/>
        <w:spacing w:line="360" w:lineRule="auto"/>
        <w:ind w:firstLine="480" w:firstLineChars="200"/>
        <w:contextualSpacing/>
        <w:textAlignment w:val="baseline"/>
        <w:rPr>
          <w:rFonts w:hint="eastAsia" w:ascii="宋体" w:hAnsi="宋体" w:eastAsia="宋体" w:cs="宋体"/>
          <w:sz w:val="24"/>
        </w:rPr>
      </w:pPr>
      <w:r>
        <w:rPr>
          <w:rFonts w:hint="eastAsia" w:ascii="宋体" w:hAnsi="宋体" w:eastAsia="宋体" w:cs="宋体"/>
          <w:sz w:val="24"/>
        </w:rPr>
        <w:t>1.3海拔</w:t>
      </w:r>
    </w:p>
    <w:p>
      <w:pPr>
        <w:tabs>
          <w:tab w:val="left" w:pos="482"/>
          <w:tab w:val="left" w:pos="2183"/>
          <w:tab w:val="left" w:pos="3884"/>
          <w:tab w:val="left" w:pos="5585"/>
        </w:tabs>
        <w:wordWrap/>
        <w:adjustRightInd/>
        <w:spacing w:line="360" w:lineRule="auto"/>
        <w:ind w:firstLine="480" w:firstLineChars="200"/>
        <w:contextualSpacing/>
        <w:textAlignment w:val="baseline"/>
        <w:rPr>
          <w:rFonts w:hint="eastAsia" w:ascii="宋体" w:hAnsi="宋体" w:eastAsia="宋体" w:cs="宋体"/>
          <w:sz w:val="24"/>
        </w:rPr>
      </w:pPr>
      <w:r>
        <w:rPr>
          <w:rFonts w:hint="eastAsia" w:ascii="宋体" w:hAnsi="宋体" w:eastAsia="宋体" w:cs="宋体"/>
          <w:sz w:val="24"/>
        </w:rPr>
        <w:t>海拔高度≤1000m</w:t>
      </w:r>
    </w:p>
    <w:p>
      <w:pPr>
        <w:tabs>
          <w:tab w:val="left" w:pos="482"/>
          <w:tab w:val="left" w:pos="2183"/>
          <w:tab w:val="left" w:pos="3884"/>
          <w:tab w:val="left" w:pos="5585"/>
        </w:tabs>
        <w:wordWrap/>
        <w:adjustRightInd/>
        <w:spacing w:line="360" w:lineRule="auto"/>
        <w:ind w:firstLine="480" w:firstLineChars="200"/>
        <w:contextualSpacing/>
        <w:textAlignment w:val="baseline"/>
        <w:rPr>
          <w:rFonts w:hint="eastAsia" w:ascii="宋体" w:hAnsi="宋体" w:eastAsia="宋体" w:cs="宋体"/>
          <w:sz w:val="24"/>
        </w:rPr>
      </w:pPr>
      <w:r>
        <w:rPr>
          <w:rFonts w:hint="eastAsia" w:ascii="宋体" w:hAnsi="宋体" w:eastAsia="宋体" w:cs="宋体"/>
          <w:sz w:val="24"/>
        </w:rPr>
        <w:t>1.4风速（m/s ）</w:t>
      </w:r>
    </w:p>
    <w:p>
      <w:pPr>
        <w:tabs>
          <w:tab w:val="left" w:pos="482"/>
          <w:tab w:val="left" w:pos="2183"/>
          <w:tab w:val="left" w:pos="3884"/>
          <w:tab w:val="left" w:pos="5585"/>
        </w:tabs>
        <w:wordWrap/>
        <w:adjustRightInd/>
        <w:spacing w:line="360" w:lineRule="auto"/>
        <w:ind w:firstLine="480" w:firstLineChars="200"/>
        <w:contextualSpacing/>
        <w:textAlignment w:val="baseline"/>
        <w:rPr>
          <w:rFonts w:hint="eastAsia" w:ascii="宋体" w:hAnsi="宋体" w:eastAsia="宋体" w:cs="宋体"/>
          <w:sz w:val="24"/>
        </w:rPr>
      </w:pPr>
      <w:r>
        <w:rPr>
          <w:rFonts w:hint="eastAsia" w:ascii="宋体" w:hAnsi="宋体" w:eastAsia="宋体" w:cs="宋体"/>
          <w:sz w:val="24"/>
        </w:rPr>
        <w:t>最大风速21.3m/s</w:t>
      </w:r>
    </w:p>
    <w:p>
      <w:pPr>
        <w:tabs>
          <w:tab w:val="left" w:pos="482"/>
          <w:tab w:val="left" w:pos="2183"/>
          <w:tab w:val="left" w:pos="3884"/>
          <w:tab w:val="left" w:pos="5585"/>
        </w:tabs>
        <w:wordWrap/>
        <w:adjustRightInd/>
        <w:spacing w:line="360" w:lineRule="auto"/>
        <w:ind w:firstLine="480" w:firstLineChars="200"/>
        <w:contextualSpacing/>
        <w:textAlignment w:val="baseline"/>
        <w:rPr>
          <w:rFonts w:hint="eastAsia" w:ascii="宋体" w:hAnsi="宋体" w:eastAsia="宋体" w:cs="宋体"/>
          <w:sz w:val="24"/>
        </w:rPr>
      </w:pPr>
      <w:r>
        <w:rPr>
          <w:rFonts w:hint="eastAsia" w:ascii="宋体" w:hAnsi="宋体" w:eastAsia="宋体" w:cs="宋体"/>
          <w:sz w:val="24"/>
        </w:rPr>
        <w:t>平均风速5.0m/m</w:t>
      </w:r>
    </w:p>
    <w:p>
      <w:pPr>
        <w:tabs>
          <w:tab w:val="left" w:pos="482"/>
          <w:tab w:val="left" w:pos="2183"/>
          <w:tab w:val="left" w:pos="3884"/>
          <w:tab w:val="left" w:pos="5585"/>
        </w:tabs>
        <w:wordWrap/>
        <w:adjustRightInd/>
        <w:spacing w:line="360" w:lineRule="auto"/>
        <w:ind w:firstLine="480" w:firstLineChars="200"/>
        <w:contextualSpacing/>
        <w:textAlignment w:val="baseline"/>
        <w:rPr>
          <w:rFonts w:hint="eastAsia" w:ascii="宋体" w:hAnsi="宋体" w:eastAsia="宋体" w:cs="宋体"/>
          <w:sz w:val="24"/>
        </w:rPr>
      </w:pPr>
      <w:r>
        <w:rPr>
          <w:rFonts w:hint="eastAsia" w:ascii="宋体" w:hAnsi="宋体" w:eastAsia="宋体" w:cs="宋体"/>
          <w:sz w:val="24"/>
        </w:rPr>
        <w:t xml:space="preserve">设计风速42.0m/s </w:t>
      </w:r>
    </w:p>
    <w:p>
      <w:pPr>
        <w:tabs>
          <w:tab w:val="left" w:pos="482"/>
          <w:tab w:val="left" w:pos="2183"/>
          <w:tab w:val="left" w:pos="3884"/>
          <w:tab w:val="left" w:pos="5585"/>
        </w:tabs>
        <w:wordWrap/>
        <w:adjustRightInd/>
        <w:spacing w:line="360" w:lineRule="auto"/>
        <w:ind w:firstLine="480" w:firstLineChars="200"/>
        <w:contextualSpacing/>
        <w:textAlignment w:val="baseline"/>
        <w:rPr>
          <w:rFonts w:hint="eastAsia" w:ascii="宋体" w:hAnsi="宋体" w:eastAsia="宋体" w:cs="宋体"/>
          <w:sz w:val="24"/>
        </w:rPr>
      </w:pPr>
      <w:bookmarkStart w:id="29" w:name="_Toc423024910"/>
      <w:r>
        <w:rPr>
          <w:rFonts w:hint="eastAsia" w:ascii="宋体" w:hAnsi="宋体" w:eastAsia="宋体" w:cs="宋体"/>
          <w:sz w:val="24"/>
        </w:rPr>
        <w:t>1.5地震基本烈度</w:t>
      </w:r>
    </w:p>
    <w:p>
      <w:pPr>
        <w:tabs>
          <w:tab w:val="left" w:pos="482"/>
          <w:tab w:val="left" w:pos="2183"/>
          <w:tab w:val="left" w:pos="3884"/>
          <w:tab w:val="left" w:pos="5585"/>
        </w:tabs>
        <w:wordWrap/>
        <w:adjustRightInd/>
        <w:spacing w:line="360" w:lineRule="auto"/>
        <w:ind w:firstLine="480" w:firstLineChars="200"/>
        <w:contextualSpacing/>
        <w:textAlignment w:val="baseline"/>
        <w:rPr>
          <w:rFonts w:hint="eastAsia" w:ascii="宋体" w:hAnsi="宋体" w:eastAsia="宋体" w:cs="宋体"/>
          <w:sz w:val="24"/>
        </w:rPr>
      </w:pPr>
      <w:r>
        <w:rPr>
          <w:rFonts w:hint="eastAsia" w:ascii="宋体" w:hAnsi="宋体" w:eastAsia="宋体" w:cs="宋体"/>
          <w:sz w:val="24"/>
        </w:rPr>
        <w:t>地震基本烈度为7 度</w:t>
      </w:r>
      <w:bookmarkEnd w:id="29"/>
    </w:p>
    <w:p>
      <w:pPr>
        <w:tabs>
          <w:tab w:val="left" w:pos="482"/>
          <w:tab w:val="left" w:pos="2183"/>
          <w:tab w:val="left" w:pos="3884"/>
          <w:tab w:val="left" w:pos="5585"/>
        </w:tabs>
        <w:wordWrap/>
        <w:adjustRightInd/>
        <w:spacing w:line="360" w:lineRule="auto"/>
        <w:ind w:firstLine="480" w:firstLineChars="200"/>
        <w:contextualSpacing/>
        <w:textAlignment w:val="baseline"/>
        <w:rPr>
          <w:rFonts w:hint="eastAsia" w:ascii="宋体" w:hAnsi="宋体" w:eastAsia="宋体" w:cs="宋体"/>
          <w:sz w:val="24"/>
        </w:rPr>
      </w:pPr>
      <w:r>
        <w:rPr>
          <w:rFonts w:hint="eastAsia" w:ascii="宋体" w:hAnsi="宋体" w:eastAsia="宋体" w:cs="宋体"/>
          <w:sz w:val="24"/>
        </w:rPr>
        <w:t>水平加速度0.1g</w:t>
      </w:r>
    </w:p>
    <w:p>
      <w:pPr>
        <w:tabs>
          <w:tab w:val="left" w:pos="482"/>
          <w:tab w:val="left" w:pos="2183"/>
          <w:tab w:val="left" w:pos="3884"/>
          <w:tab w:val="left" w:pos="5585"/>
        </w:tabs>
        <w:wordWrap/>
        <w:adjustRightInd/>
        <w:spacing w:line="360" w:lineRule="auto"/>
        <w:ind w:firstLine="482" w:firstLineChars="200"/>
        <w:contextualSpacing/>
        <w:textAlignment w:val="baseline"/>
        <w:rPr>
          <w:rFonts w:hint="eastAsia" w:ascii="宋体" w:hAnsi="宋体" w:eastAsia="宋体" w:cs="宋体"/>
          <w:b/>
          <w:bCs/>
          <w:sz w:val="24"/>
        </w:rPr>
      </w:pPr>
      <w:r>
        <w:rPr>
          <w:rFonts w:hint="eastAsia" w:ascii="宋体" w:hAnsi="宋体" w:eastAsia="宋体" w:cs="宋体"/>
          <w:b/>
          <w:bCs/>
          <w:sz w:val="24"/>
        </w:rPr>
        <w:t>2、采用标准</w:t>
      </w:r>
    </w:p>
    <w:p>
      <w:pPr>
        <w:tabs>
          <w:tab w:val="left" w:pos="482"/>
          <w:tab w:val="left" w:pos="2183"/>
          <w:tab w:val="left" w:pos="3884"/>
          <w:tab w:val="left" w:pos="5585"/>
        </w:tabs>
        <w:wordWrap/>
        <w:adjustRightInd/>
        <w:spacing w:line="360" w:lineRule="auto"/>
        <w:ind w:firstLine="480" w:firstLineChars="200"/>
        <w:contextualSpacing/>
        <w:textAlignment w:val="baseline"/>
        <w:rPr>
          <w:rFonts w:hint="eastAsia" w:ascii="宋体" w:hAnsi="宋体" w:eastAsia="宋体" w:cs="宋体"/>
          <w:sz w:val="24"/>
        </w:rPr>
      </w:pPr>
      <w:r>
        <w:rPr>
          <w:rFonts w:hint="eastAsia" w:ascii="宋体" w:hAnsi="宋体" w:eastAsia="宋体" w:cs="宋体"/>
          <w:sz w:val="24"/>
        </w:rPr>
        <w:t>本设备的制造、试验和验收符合但不限于如下标准，所有采用的标准都考虑采用最新版本。</w:t>
      </w:r>
    </w:p>
    <w:p>
      <w:pPr>
        <w:tabs>
          <w:tab w:val="left" w:pos="482"/>
          <w:tab w:val="left" w:pos="2183"/>
          <w:tab w:val="left" w:pos="3884"/>
          <w:tab w:val="left" w:pos="5585"/>
        </w:tabs>
        <w:wordWrap/>
        <w:adjustRightInd/>
        <w:spacing w:line="360" w:lineRule="auto"/>
        <w:ind w:firstLine="480" w:firstLineChars="200"/>
        <w:contextualSpacing/>
        <w:textAlignment w:val="baseline"/>
        <w:rPr>
          <w:rFonts w:hint="eastAsia" w:ascii="宋体" w:hAnsi="宋体" w:eastAsia="宋体" w:cs="宋体"/>
          <w:sz w:val="24"/>
        </w:rPr>
      </w:pPr>
      <w:r>
        <w:rPr>
          <w:rFonts w:hint="eastAsia" w:ascii="宋体" w:hAnsi="宋体" w:eastAsia="宋体" w:cs="宋体"/>
          <w:sz w:val="24"/>
        </w:rPr>
        <w:t>GB1094.1《电力变压器》第1部分总则</w:t>
      </w:r>
    </w:p>
    <w:p>
      <w:pPr>
        <w:tabs>
          <w:tab w:val="left" w:pos="482"/>
          <w:tab w:val="left" w:pos="2183"/>
          <w:tab w:val="left" w:pos="3884"/>
          <w:tab w:val="left" w:pos="5585"/>
        </w:tabs>
        <w:wordWrap/>
        <w:adjustRightInd/>
        <w:spacing w:line="360" w:lineRule="auto"/>
        <w:ind w:firstLine="480" w:firstLineChars="200"/>
        <w:contextualSpacing/>
        <w:textAlignment w:val="baseline"/>
        <w:rPr>
          <w:rFonts w:hint="eastAsia" w:ascii="宋体" w:hAnsi="宋体" w:eastAsia="宋体" w:cs="宋体"/>
          <w:sz w:val="24"/>
        </w:rPr>
      </w:pPr>
      <w:r>
        <w:rPr>
          <w:rFonts w:hint="eastAsia" w:ascii="宋体" w:hAnsi="宋体" w:eastAsia="宋体" w:cs="宋体"/>
          <w:sz w:val="24"/>
        </w:rPr>
        <w:t>GB1094.2《电力变压器》第2部分温升</w:t>
      </w:r>
    </w:p>
    <w:p>
      <w:pPr>
        <w:tabs>
          <w:tab w:val="left" w:pos="482"/>
          <w:tab w:val="left" w:pos="2183"/>
          <w:tab w:val="left" w:pos="3884"/>
          <w:tab w:val="left" w:pos="5585"/>
        </w:tabs>
        <w:wordWrap/>
        <w:adjustRightInd/>
        <w:spacing w:line="360" w:lineRule="auto"/>
        <w:ind w:firstLine="480" w:firstLineChars="200"/>
        <w:contextualSpacing/>
        <w:textAlignment w:val="baseline"/>
        <w:rPr>
          <w:rFonts w:hint="eastAsia" w:ascii="宋体" w:hAnsi="宋体" w:eastAsia="宋体" w:cs="宋体"/>
          <w:sz w:val="24"/>
        </w:rPr>
      </w:pPr>
      <w:r>
        <w:rPr>
          <w:rFonts w:hint="eastAsia" w:ascii="宋体" w:hAnsi="宋体" w:eastAsia="宋体" w:cs="宋体"/>
          <w:sz w:val="24"/>
        </w:rPr>
        <w:t>GB1094.3《电力变压器》第3部分绝缘水平、绝缘试验和外绝缘空气间隙</w:t>
      </w:r>
    </w:p>
    <w:p>
      <w:pPr>
        <w:tabs>
          <w:tab w:val="left" w:pos="482"/>
          <w:tab w:val="left" w:pos="2183"/>
          <w:tab w:val="left" w:pos="3884"/>
          <w:tab w:val="left" w:pos="5585"/>
        </w:tabs>
        <w:wordWrap/>
        <w:adjustRightInd/>
        <w:spacing w:line="360" w:lineRule="auto"/>
        <w:ind w:firstLine="480" w:firstLineChars="200"/>
        <w:contextualSpacing/>
        <w:textAlignment w:val="baseline"/>
        <w:rPr>
          <w:rFonts w:hint="eastAsia" w:ascii="宋体" w:hAnsi="宋体" w:eastAsia="宋体" w:cs="宋体"/>
          <w:sz w:val="24"/>
        </w:rPr>
      </w:pPr>
      <w:r>
        <w:rPr>
          <w:rFonts w:hint="eastAsia" w:ascii="宋体" w:hAnsi="宋体" w:eastAsia="宋体" w:cs="宋体"/>
          <w:sz w:val="24"/>
        </w:rPr>
        <w:t>GB/T 1094.4   《电力变压器》第4部分雷电和操作耐压试验</w:t>
      </w:r>
    </w:p>
    <w:p>
      <w:pPr>
        <w:tabs>
          <w:tab w:val="left" w:pos="482"/>
          <w:tab w:val="left" w:pos="2183"/>
          <w:tab w:val="left" w:pos="3884"/>
          <w:tab w:val="left" w:pos="5585"/>
        </w:tabs>
        <w:wordWrap/>
        <w:adjustRightInd/>
        <w:spacing w:line="360" w:lineRule="auto"/>
        <w:ind w:firstLine="480" w:firstLineChars="200"/>
        <w:contextualSpacing/>
        <w:textAlignment w:val="baseline"/>
        <w:rPr>
          <w:rFonts w:hint="eastAsia" w:ascii="宋体" w:hAnsi="宋体" w:eastAsia="宋体" w:cs="宋体"/>
          <w:sz w:val="24"/>
        </w:rPr>
      </w:pPr>
      <w:r>
        <w:rPr>
          <w:rFonts w:hint="eastAsia" w:ascii="宋体" w:hAnsi="宋体" w:eastAsia="宋体" w:cs="宋体"/>
          <w:sz w:val="24"/>
        </w:rPr>
        <w:t>GB1094.5《电力变压器》第5部分承受短路的能力</w:t>
      </w:r>
    </w:p>
    <w:p>
      <w:pPr>
        <w:tabs>
          <w:tab w:val="left" w:pos="482"/>
          <w:tab w:val="left" w:pos="2183"/>
          <w:tab w:val="left" w:pos="3884"/>
          <w:tab w:val="left" w:pos="5585"/>
        </w:tabs>
        <w:wordWrap/>
        <w:adjustRightInd/>
        <w:spacing w:line="360" w:lineRule="auto"/>
        <w:ind w:firstLine="480" w:firstLineChars="200"/>
        <w:contextualSpacing/>
        <w:textAlignment w:val="baseline"/>
        <w:rPr>
          <w:rFonts w:hint="eastAsia" w:ascii="宋体" w:hAnsi="宋体" w:eastAsia="宋体" w:cs="宋体"/>
          <w:sz w:val="24"/>
        </w:rPr>
      </w:pPr>
      <w:r>
        <w:rPr>
          <w:rFonts w:hint="eastAsia" w:ascii="宋体" w:hAnsi="宋体" w:eastAsia="宋体" w:cs="宋体"/>
          <w:sz w:val="24"/>
        </w:rPr>
        <w:t>GB/T 1094.10《电力变压器》第10部分声级测定</w:t>
      </w:r>
    </w:p>
    <w:p>
      <w:pPr>
        <w:tabs>
          <w:tab w:val="left" w:pos="482"/>
          <w:tab w:val="left" w:pos="2183"/>
          <w:tab w:val="left" w:pos="3884"/>
          <w:tab w:val="left" w:pos="5585"/>
        </w:tabs>
        <w:wordWrap/>
        <w:adjustRightInd/>
        <w:spacing w:line="360" w:lineRule="auto"/>
        <w:ind w:firstLine="480" w:firstLineChars="200"/>
        <w:contextualSpacing/>
        <w:textAlignment w:val="baseline"/>
        <w:rPr>
          <w:rFonts w:hint="eastAsia" w:ascii="宋体" w:hAnsi="宋体" w:eastAsia="宋体" w:cs="宋体"/>
          <w:sz w:val="24"/>
        </w:rPr>
      </w:pPr>
      <w:r>
        <w:rPr>
          <w:rFonts w:hint="eastAsia" w:ascii="宋体" w:hAnsi="宋体" w:eastAsia="宋体" w:cs="宋体"/>
          <w:sz w:val="24"/>
        </w:rPr>
        <w:t>GB1094.11《电力变压器》第11部分干式变压器</w:t>
      </w:r>
    </w:p>
    <w:p>
      <w:pPr>
        <w:tabs>
          <w:tab w:val="left" w:pos="482"/>
          <w:tab w:val="left" w:pos="2183"/>
          <w:tab w:val="left" w:pos="3884"/>
          <w:tab w:val="left" w:pos="5585"/>
        </w:tabs>
        <w:wordWrap/>
        <w:adjustRightInd/>
        <w:spacing w:line="360" w:lineRule="auto"/>
        <w:ind w:firstLine="480" w:firstLineChars="200"/>
        <w:contextualSpacing/>
        <w:textAlignment w:val="baseline"/>
        <w:rPr>
          <w:rFonts w:hint="eastAsia" w:ascii="宋体" w:hAnsi="宋体" w:eastAsia="宋体" w:cs="宋体"/>
          <w:sz w:val="24"/>
        </w:rPr>
      </w:pPr>
      <w:r>
        <w:rPr>
          <w:rFonts w:hint="eastAsia" w:ascii="宋体" w:hAnsi="宋体" w:eastAsia="宋体" w:cs="宋体"/>
          <w:sz w:val="24"/>
        </w:rPr>
        <w:t>GB/T1094.12《干式电力变压器负载导则》</w:t>
      </w:r>
    </w:p>
    <w:p>
      <w:pPr>
        <w:tabs>
          <w:tab w:val="left" w:pos="482"/>
          <w:tab w:val="left" w:pos="2183"/>
          <w:tab w:val="left" w:pos="3884"/>
          <w:tab w:val="left" w:pos="5585"/>
        </w:tabs>
        <w:wordWrap/>
        <w:adjustRightInd/>
        <w:spacing w:line="360" w:lineRule="auto"/>
        <w:ind w:firstLine="480" w:firstLineChars="200"/>
        <w:contextualSpacing/>
        <w:textAlignment w:val="baseline"/>
        <w:rPr>
          <w:rFonts w:hint="eastAsia" w:ascii="宋体" w:hAnsi="宋体" w:eastAsia="宋体" w:cs="宋体"/>
          <w:sz w:val="24"/>
        </w:rPr>
      </w:pPr>
      <w:r>
        <w:rPr>
          <w:rFonts w:hint="eastAsia" w:ascii="宋体" w:hAnsi="宋体" w:eastAsia="宋体" w:cs="宋体"/>
          <w:sz w:val="24"/>
        </w:rPr>
        <w:t>JB/T10088《6kV～500kV级电力变压器声级》</w:t>
      </w:r>
    </w:p>
    <w:p>
      <w:pPr>
        <w:tabs>
          <w:tab w:val="left" w:pos="482"/>
          <w:tab w:val="left" w:pos="2183"/>
          <w:tab w:val="left" w:pos="3884"/>
          <w:tab w:val="left" w:pos="5585"/>
        </w:tabs>
        <w:wordWrap/>
        <w:adjustRightInd/>
        <w:spacing w:line="360" w:lineRule="auto"/>
        <w:ind w:firstLine="480" w:firstLineChars="200"/>
        <w:contextualSpacing/>
        <w:textAlignment w:val="baseline"/>
        <w:rPr>
          <w:rFonts w:hint="eastAsia" w:ascii="宋体" w:hAnsi="宋体" w:eastAsia="宋体" w:cs="宋体"/>
          <w:sz w:val="24"/>
        </w:rPr>
      </w:pPr>
      <w:r>
        <w:rPr>
          <w:rFonts w:hint="eastAsia" w:ascii="宋体" w:hAnsi="宋体" w:eastAsia="宋体" w:cs="宋体"/>
          <w:sz w:val="24"/>
        </w:rPr>
        <w:t>GB4208《外壳防护等级（IP代码）》</w:t>
      </w:r>
    </w:p>
    <w:p>
      <w:pPr>
        <w:tabs>
          <w:tab w:val="left" w:pos="482"/>
          <w:tab w:val="left" w:pos="2183"/>
          <w:tab w:val="left" w:pos="3884"/>
          <w:tab w:val="left" w:pos="5585"/>
        </w:tabs>
        <w:wordWrap/>
        <w:adjustRightInd/>
        <w:spacing w:line="360" w:lineRule="auto"/>
        <w:ind w:firstLine="480" w:firstLineChars="200"/>
        <w:contextualSpacing/>
        <w:textAlignment w:val="baseline"/>
        <w:rPr>
          <w:rFonts w:hint="eastAsia" w:ascii="宋体" w:hAnsi="宋体" w:eastAsia="宋体" w:cs="宋体"/>
          <w:sz w:val="24"/>
        </w:rPr>
      </w:pPr>
      <w:r>
        <w:rPr>
          <w:rFonts w:hint="eastAsia" w:ascii="宋体" w:hAnsi="宋体" w:eastAsia="宋体" w:cs="宋体"/>
          <w:sz w:val="24"/>
        </w:rPr>
        <w:t>JB/T7631《变压器用电子温控器》</w:t>
      </w:r>
    </w:p>
    <w:p>
      <w:pPr>
        <w:tabs>
          <w:tab w:val="left" w:pos="482"/>
          <w:tab w:val="left" w:pos="2183"/>
          <w:tab w:val="left" w:pos="3884"/>
          <w:tab w:val="left" w:pos="5585"/>
        </w:tabs>
        <w:wordWrap/>
        <w:adjustRightInd/>
        <w:spacing w:line="360" w:lineRule="auto"/>
        <w:ind w:firstLine="480" w:firstLineChars="200"/>
        <w:contextualSpacing/>
        <w:textAlignment w:val="baseline"/>
        <w:rPr>
          <w:rFonts w:hint="eastAsia" w:ascii="宋体" w:hAnsi="宋体" w:eastAsia="宋体" w:cs="宋体"/>
          <w:sz w:val="24"/>
        </w:rPr>
      </w:pPr>
      <w:r>
        <w:rPr>
          <w:rFonts w:hint="eastAsia" w:ascii="宋体" w:hAnsi="宋体" w:eastAsia="宋体" w:cs="宋体"/>
          <w:sz w:val="24"/>
        </w:rPr>
        <w:t>GB/T17626《电磁兼容试验和测量技术》</w:t>
      </w:r>
    </w:p>
    <w:p>
      <w:pPr>
        <w:tabs>
          <w:tab w:val="left" w:pos="482"/>
          <w:tab w:val="left" w:pos="2183"/>
          <w:tab w:val="left" w:pos="3884"/>
          <w:tab w:val="left" w:pos="5585"/>
        </w:tabs>
        <w:wordWrap/>
        <w:adjustRightInd/>
        <w:spacing w:line="360" w:lineRule="auto"/>
        <w:ind w:firstLine="482" w:firstLineChars="200"/>
        <w:contextualSpacing/>
        <w:textAlignment w:val="baseline"/>
        <w:rPr>
          <w:rFonts w:hint="eastAsia" w:ascii="宋体" w:hAnsi="宋体" w:eastAsia="宋体" w:cs="宋体"/>
          <w:b/>
          <w:bCs/>
          <w:sz w:val="24"/>
        </w:rPr>
      </w:pPr>
      <w:r>
        <w:rPr>
          <w:rFonts w:hint="eastAsia" w:ascii="宋体" w:hAnsi="宋体" w:eastAsia="宋体" w:cs="宋体"/>
          <w:b/>
          <w:bCs/>
          <w:sz w:val="24"/>
        </w:rPr>
        <w:t>3、变压器技术要求</w:t>
      </w:r>
    </w:p>
    <w:p>
      <w:pPr>
        <w:tabs>
          <w:tab w:val="left" w:pos="482"/>
          <w:tab w:val="left" w:pos="2183"/>
          <w:tab w:val="left" w:pos="3884"/>
          <w:tab w:val="left" w:pos="5585"/>
        </w:tabs>
        <w:wordWrap/>
        <w:adjustRightInd/>
        <w:spacing w:line="360" w:lineRule="auto"/>
        <w:ind w:firstLine="480" w:firstLineChars="200"/>
        <w:contextualSpacing/>
        <w:textAlignment w:val="baseline"/>
        <w:rPr>
          <w:rFonts w:hint="eastAsia" w:ascii="宋体" w:hAnsi="宋体" w:eastAsia="宋体" w:cs="宋体"/>
          <w:sz w:val="24"/>
        </w:rPr>
      </w:pPr>
      <w:r>
        <w:rPr>
          <w:rFonts w:hint="eastAsia" w:ascii="宋体" w:hAnsi="宋体" w:eastAsia="宋体" w:cs="宋体"/>
          <w:sz w:val="24"/>
        </w:rPr>
        <w:t>3.1铁心</w:t>
      </w:r>
    </w:p>
    <w:p>
      <w:pPr>
        <w:tabs>
          <w:tab w:val="left" w:pos="482"/>
          <w:tab w:val="left" w:pos="2183"/>
          <w:tab w:val="left" w:pos="3884"/>
          <w:tab w:val="left" w:pos="5585"/>
        </w:tabs>
        <w:wordWrap/>
        <w:adjustRightInd/>
        <w:spacing w:line="360" w:lineRule="auto"/>
        <w:ind w:firstLine="480" w:firstLineChars="200"/>
        <w:contextualSpacing/>
        <w:textAlignment w:val="baseline"/>
        <w:rPr>
          <w:rFonts w:hint="eastAsia" w:ascii="宋体" w:hAnsi="宋体" w:eastAsia="宋体" w:cs="宋体"/>
          <w:sz w:val="24"/>
        </w:rPr>
      </w:pPr>
      <w:r>
        <w:rPr>
          <w:rFonts w:hint="eastAsia" w:ascii="宋体" w:hAnsi="宋体" w:eastAsia="宋体" w:cs="宋体"/>
          <w:sz w:val="24"/>
        </w:rPr>
        <w:t>铁芯采用高导磁冷轧取向硅钢片，通过比利时索能横剪线按设计要求进行裁剪，剪切毛刺控制在工艺标准要求范围内，并按等效圆形叠码，采用45°全斜接缝5级或7级步进, 铁芯整体刷环氧树脂绝缘黑漆，防止铁芯受潮、腐蚀。铁芯与夹件间配置特制的绝缘件，降低变压器铁芯产生的噪声。</w:t>
      </w:r>
    </w:p>
    <w:p>
      <w:pPr>
        <w:tabs>
          <w:tab w:val="left" w:pos="482"/>
          <w:tab w:val="left" w:pos="2183"/>
          <w:tab w:val="left" w:pos="3884"/>
          <w:tab w:val="left" w:pos="5585"/>
        </w:tabs>
        <w:wordWrap/>
        <w:adjustRightInd/>
        <w:spacing w:line="360" w:lineRule="auto"/>
        <w:ind w:firstLine="480" w:firstLineChars="200"/>
        <w:contextualSpacing/>
        <w:textAlignment w:val="baseline"/>
        <w:rPr>
          <w:rFonts w:hint="eastAsia" w:ascii="宋体" w:hAnsi="宋体" w:eastAsia="宋体" w:cs="宋体"/>
          <w:sz w:val="24"/>
        </w:rPr>
      </w:pPr>
      <w:r>
        <w:rPr>
          <w:rFonts w:hint="eastAsia" w:ascii="宋体" w:hAnsi="宋体" w:eastAsia="宋体" w:cs="宋体"/>
          <w:sz w:val="24"/>
        </w:rPr>
        <w:t>3.2 线绕线圈</w:t>
      </w:r>
    </w:p>
    <w:p>
      <w:pPr>
        <w:tabs>
          <w:tab w:val="left" w:pos="482"/>
          <w:tab w:val="left" w:pos="2183"/>
          <w:tab w:val="left" w:pos="3884"/>
          <w:tab w:val="left" w:pos="5585"/>
        </w:tabs>
        <w:wordWrap/>
        <w:adjustRightInd/>
        <w:spacing w:line="360" w:lineRule="auto"/>
        <w:ind w:firstLine="480" w:firstLineChars="200"/>
        <w:contextualSpacing/>
        <w:textAlignment w:val="baseline"/>
        <w:rPr>
          <w:rFonts w:hint="eastAsia" w:ascii="宋体" w:hAnsi="宋体" w:eastAsia="宋体" w:cs="宋体"/>
          <w:sz w:val="24"/>
        </w:rPr>
      </w:pPr>
      <w:r>
        <w:rPr>
          <w:rFonts w:hint="eastAsia" w:ascii="宋体" w:hAnsi="宋体" w:eastAsia="宋体" w:cs="宋体"/>
          <w:sz w:val="24"/>
        </w:rPr>
        <w:t>线圈采用分段圆筒式结构，有效的降低了层间和段间电场强度，采用高强度的玻璃纤维网格作为层间和段间的绝缘，线圈可设置多个轴向通风的散热气道，提高线圈的整体散热能力，线圈层间仍采用高强度的玻璃纤维网格，整体绕制完成后进行组模，通过德国旭百世真空浇注设备进行抽真空浇注、固化，形成类似钢筋混凝土的结构，线圈采用的薄绝缘的浇注结构，避免了因散热不佳导致的开裂问题，保证了线圈整体的机械强度和抗短路能力，同时真空状态下的浇注有效降低了产品的局放。</w:t>
      </w:r>
    </w:p>
    <w:p>
      <w:pPr>
        <w:tabs>
          <w:tab w:val="left" w:pos="482"/>
          <w:tab w:val="left" w:pos="2183"/>
          <w:tab w:val="left" w:pos="3884"/>
          <w:tab w:val="left" w:pos="5585"/>
        </w:tabs>
        <w:wordWrap/>
        <w:adjustRightInd/>
        <w:spacing w:line="360" w:lineRule="auto"/>
        <w:ind w:firstLine="480" w:firstLineChars="200"/>
        <w:contextualSpacing/>
        <w:textAlignment w:val="baseline"/>
        <w:rPr>
          <w:rFonts w:hint="eastAsia" w:ascii="宋体" w:hAnsi="宋体" w:eastAsia="宋体" w:cs="宋体"/>
          <w:sz w:val="24"/>
        </w:rPr>
      </w:pPr>
      <w:r>
        <w:rPr>
          <w:rFonts w:hint="eastAsia" w:ascii="宋体" w:hAnsi="宋体" w:eastAsia="宋体" w:cs="宋体"/>
          <w:sz w:val="24"/>
        </w:rPr>
        <w:t>3.3 箔式线圈</w:t>
      </w:r>
    </w:p>
    <w:p>
      <w:pPr>
        <w:tabs>
          <w:tab w:val="left" w:pos="482"/>
          <w:tab w:val="left" w:pos="2183"/>
          <w:tab w:val="left" w:pos="3884"/>
          <w:tab w:val="left" w:pos="5585"/>
        </w:tabs>
        <w:wordWrap/>
        <w:adjustRightInd/>
        <w:spacing w:line="360" w:lineRule="auto"/>
        <w:ind w:firstLine="480" w:firstLineChars="200"/>
        <w:contextualSpacing/>
        <w:textAlignment w:val="baseline"/>
        <w:rPr>
          <w:rFonts w:hint="eastAsia" w:ascii="宋体" w:hAnsi="宋体" w:eastAsia="宋体" w:cs="宋体"/>
          <w:sz w:val="24"/>
        </w:rPr>
      </w:pPr>
      <w:r>
        <w:rPr>
          <w:rFonts w:hint="eastAsia" w:ascii="宋体" w:hAnsi="宋体" w:eastAsia="宋体" w:cs="宋体"/>
          <w:sz w:val="24"/>
        </w:rPr>
        <w:t>3.3.1多用于低电压、大电流的产品，该结构的线圈采用DMD/SHS做为层间绝缘，绕制完毕后用树脂固化封端。由于箔材很薄，可以有效地降低变压器运行时的附加负载损耗值（附加涡流损耗与导体沿径向宽度的四次方成正比）。</w:t>
      </w:r>
    </w:p>
    <w:p>
      <w:pPr>
        <w:tabs>
          <w:tab w:val="left" w:pos="482"/>
          <w:tab w:val="left" w:pos="2183"/>
          <w:tab w:val="left" w:pos="3884"/>
          <w:tab w:val="left" w:pos="5585"/>
        </w:tabs>
        <w:wordWrap/>
        <w:adjustRightInd/>
        <w:spacing w:line="360" w:lineRule="auto"/>
        <w:ind w:firstLine="480" w:firstLineChars="200"/>
        <w:contextualSpacing/>
        <w:textAlignment w:val="baseline"/>
        <w:rPr>
          <w:rFonts w:hint="eastAsia" w:ascii="宋体" w:hAnsi="宋体" w:eastAsia="宋体" w:cs="宋体"/>
          <w:sz w:val="24"/>
        </w:rPr>
      </w:pPr>
      <w:r>
        <w:rPr>
          <w:rFonts w:hint="eastAsia" w:ascii="宋体" w:hAnsi="宋体" w:eastAsia="宋体" w:cs="宋体"/>
          <w:sz w:val="24"/>
        </w:rPr>
        <w:t>3.3.2箔式线圈的层间电压即是匝间电压，层间电压很低，从绝缘的角度来看处理起来要简单得多，也可靠得多。</w:t>
      </w:r>
    </w:p>
    <w:p>
      <w:pPr>
        <w:tabs>
          <w:tab w:val="left" w:pos="482"/>
          <w:tab w:val="left" w:pos="2183"/>
          <w:tab w:val="left" w:pos="3884"/>
          <w:tab w:val="left" w:pos="5585"/>
        </w:tabs>
        <w:wordWrap/>
        <w:adjustRightInd/>
        <w:spacing w:line="360" w:lineRule="auto"/>
        <w:ind w:firstLine="480" w:firstLineChars="200"/>
        <w:contextualSpacing/>
        <w:textAlignment w:val="baseline"/>
        <w:rPr>
          <w:rFonts w:hint="eastAsia" w:ascii="宋体" w:hAnsi="宋体" w:eastAsia="宋体" w:cs="宋体"/>
          <w:sz w:val="24"/>
        </w:rPr>
      </w:pPr>
      <w:r>
        <w:rPr>
          <w:rFonts w:hint="eastAsia" w:ascii="宋体" w:hAnsi="宋体" w:eastAsia="宋体" w:cs="宋体"/>
          <w:sz w:val="24"/>
        </w:rPr>
        <w:t>3.3.3箔式线圈的散热效果好，即使是在全电压短路的情况下，也可以将迅速产生的大量热量传导开来，线圈内部的温度分布比较均匀，避免局部温度过高的热点致使线圈绝缘破坏。</w:t>
      </w:r>
    </w:p>
    <w:p>
      <w:pPr>
        <w:tabs>
          <w:tab w:val="left" w:pos="482"/>
          <w:tab w:val="left" w:pos="2183"/>
          <w:tab w:val="left" w:pos="3884"/>
          <w:tab w:val="left" w:pos="5585"/>
        </w:tabs>
        <w:wordWrap/>
        <w:adjustRightInd/>
        <w:spacing w:line="360" w:lineRule="auto"/>
        <w:ind w:firstLine="480" w:firstLineChars="200"/>
        <w:contextualSpacing/>
        <w:textAlignment w:val="baseline"/>
        <w:rPr>
          <w:rFonts w:hint="eastAsia" w:ascii="宋体" w:hAnsi="宋体" w:eastAsia="宋体" w:cs="宋体"/>
          <w:sz w:val="24"/>
        </w:rPr>
      </w:pPr>
      <w:r>
        <w:rPr>
          <w:rFonts w:hint="eastAsia" w:ascii="宋体" w:hAnsi="宋体" w:eastAsia="宋体" w:cs="宋体"/>
          <w:sz w:val="24"/>
        </w:rPr>
        <w:t>3.4 结构</w:t>
      </w:r>
    </w:p>
    <w:p>
      <w:pPr>
        <w:tabs>
          <w:tab w:val="left" w:pos="482"/>
          <w:tab w:val="left" w:pos="2183"/>
          <w:tab w:val="left" w:pos="3884"/>
          <w:tab w:val="left" w:pos="5585"/>
        </w:tabs>
        <w:wordWrap/>
        <w:adjustRightInd/>
        <w:spacing w:line="360" w:lineRule="auto"/>
        <w:ind w:firstLine="480" w:firstLineChars="200"/>
        <w:contextualSpacing/>
        <w:textAlignment w:val="baseline"/>
        <w:rPr>
          <w:rFonts w:hint="eastAsia" w:ascii="宋体" w:hAnsi="宋体" w:eastAsia="宋体" w:cs="宋体"/>
          <w:sz w:val="24"/>
        </w:rPr>
      </w:pPr>
      <w:r>
        <w:rPr>
          <w:rFonts w:hint="eastAsia" w:ascii="宋体" w:hAnsi="宋体" w:eastAsia="宋体" w:cs="宋体"/>
          <w:sz w:val="24"/>
        </w:rPr>
        <w:t>3.4.1变压器高、低压绕组及其辅助设备如支持绝缘子等，在变压器高压侧系统阻抗为零(电源为无穷大)，在1.05倍额定最高分接电压下，变压器低压侧绕组出口发生三相金属性短路变压器不致出现有害的机械和热应力以及电气性能损伤。</w:t>
      </w:r>
    </w:p>
    <w:p>
      <w:pPr>
        <w:tabs>
          <w:tab w:val="left" w:pos="482"/>
          <w:tab w:val="left" w:pos="2183"/>
          <w:tab w:val="left" w:pos="3884"/>
          <w:tab w:val="left" w:pos="5585"/>
        </w:tabs>
        <w:wordWrap/>
        <w:adjustRightInd/>
        <w:spacing w:line="360" w:lineRule="auto"/>
        <w:ind w:firstLine="480" w:firstLineChars="200"/>
        <w:contextualSpacing/>
        <w:textAlignment w:val="baseline"/>
        <w:rPr>
          <w:rFonts w:hint="eastAsia" w:ascii="宋体" w:hAnsi="宋体" w:eastAsia="宋体" w:cs="宋体"/>
          <w:sz w:val="24"/>
        </w:rPr>
      </w:pPr>
      <w:r>
        <w:rPr>
          <w:rFonts w:hint="eastAsia" w:ascii="宋体" w:hAnsi="宋体" w:eastAsia="宋体" w:cs="宋体"/>
          <w:sz w:val="24"/>
        </w:rPr>
        <w:t>3.4.2产品散热性能好,机械强度高,不会因温度骤变，而在变压器运行寿命期限内导致线圈表面龟裂。</w:t>
      </w:r>
    </w:p>
    <w:p>
      <w:pPr>
        <w:tabs>
          <w:tab w:val="left" w:pos="482"/>
          <w:tab w:val="left" w:pos="2183"/>
          <w:tab w:val="left" w:pos="3884"/>
          <w:tab w:val="left" w:pos="5585"/>
        </w:tabs>
        <w:wordWrap/>
        <w:adjustRightInd/>
        <w:spacing w:line="360" w:lineRule="auto"/>
        <w:ind w:firstLine="480" w:firstLineChars="200"/>
        <w:contextualSpacing/>
        <w:textAlignment w:val="baseline"/>
        <w:rPr>
          <w:rFonts w:hint="eastAsia" w:ascii="宋体" w:hAnsi="宋体" w:eastAsia="宋体" w:cs="宋体"/>
          <w:sz w:val="24"/>
        </w:rPr>
      </w:pPr>
      <w:bookmarkStart w:id="30" w:name="_Toc267486280"/>
      <w:bookmarkStart w:id="31" w:name="_Toc267899737"/>
      <w:bookmarkStart w:id="32" w:name="_Toc267483834"/>
      <w:r>
        <w:rPr>
          <w:rFonts w:hint="eastAsia" w:ascii="宋体" w:hAnsi="宋体" w:eastAsia="宋体" w:cs="宋体"/>
          <w:sz w:val="24"/>
        </w:rPr>
        <w:t>3.4.3变压器的钢结构及所有不载流部件均应与接地母线连接。</w:t>
      </w:r>
      <w:bookmarkEnd w:id="30"/>
      <w:bookmarkEnd w:id="31"/>
      <w:bookmarkEnd w:id="32"/>
      <w:r>
        <w:rPr>
          <w:rFonts w:hint="eastAsia" w:ascii="宋体" w:hAnsi="宋体" w:eastAsia="宋体" w:cs="宋体"/>
          <w:sz w:val="24"/>
        </w:rPr>
        <w:t>接地装置应有防锈镀层，并有明显的接地标志，铁芯和金属件需有防锈保护层。</w:t>
      </w:r>
    </w:p>
    <w:p>
      <w:pPr>
        <w:tabs>
          <w:tab w:val="left" w:pos="482"/>
          <w:tab w:val="left" w:pos="2183"/>
          <w:tab w:val="left" w:pos="3884"/>
          <w:tab w:val="left" w:pos="5585"/>
        </w:tabs>
        <w:wordWrap/>
        <w:adjustRightInd/>
        <w:spacing w:line="360" w:lineRule="auto"/>
        <w:ind w:firstLine="480" w:firstLineChars="200"/>
        <w:contextualSpacing/>
        <w:textAlignment w:val="baseline"/>
        <w:rPr>
          <w:rFonts w:hint="eastAsia" w:ascii="宋体" w:hAnsi="宋体" w:eastAsia="宋体" w:cs="宋体"/>
          <w:sz w:val="24"/>
        </w:rPr>
      </w:pPr>
      <w:bookmarkStart w:id="33" w:name="_Toc267483835"/>
      <w:bookmarkStart w:id="34" w:name="_Toc267899738"/>
      <w:bookmarkStart w:id="35" w:name="_Toc267486281"/>
      <w:r>
        <w:rPr>
          <w:rFonts w:hint="eastAsia" w:ascii="宋体" w:hAnsi="宋体" w:eastAsia="宋体" w:cs="宋体"/>
          <w:sz w:val="24"/>
        </w:rPr>
        <w:t>3.4.4变压器的钢结构除应有足够的强度和刚度外，还应有有效的减震措施，降低空气间隙的共鸣和变压器的振动。</w:t>
      </w:r>
      <w:bookmarkEnd w:id="33"/>
      <w:bookmarkEnd w:id="34"/>
      <w:bookmarkEnd w:id="35"/>
    </w:p>
    <w:p>
      <w:pPr>
        <w:tabs>
          <w:tab w:val="left" w:pos="482"/>
          <w:tab w:val="left" w:pos="2183"/>
          <w:tab w:val="left" w:pos="3884"/>
          <w:tab w:val="left" w:pos="5585"/>
        </w:tabs>
        <w:wordWrap/>
        <w:adjustRightInd/>
        <w:spacing w:line="360" w:lineRule="auto"/>
        <w:ind w:firstLine="480" w:firstLineChars="200"/>
        <w:contextualSpacing/>
        <w:textAlignment w:val="baseline"/>
        <w:rPr>
          <w:rFonts w:hint="eastAsia" w:ascii="宋体" w:hAnsi="宋体" w:eastAsia="宋体" w:cs="宋体"/>
          <w:sz w:val="24"/>
        </w:rPr>
      </w:pPr>
      <w:bookmarkStart w:id="36" w:name="_Toc267483836"/>
      <w:bookmarkStart w:id="37" w:name="_Toc267486282"/>
      <w:bookmarkStart w:id="38" w:name="_Toc267899739"/>
      <w:r>
        <w:rPr>
          <w:rFonts w:hint="eastAsia" w:ascii="宋体" w:hAnsi="宋体" w:eastAsia="宋体" w:cs="宋体"/>
          <w:sz w:val="24"/>
        </w:rPr>
        <w:t>3.4.5变压器配备起重用吊环。</w:t>
      </w:r>
      <w:bookmarkEnd w:id="36"/>
      <w:bookmarkEnd w:id="37"/>
      <w:bookmarkEnd w:id="38"/>
    </w:p>
    <w:p>
      <w:pPr>
        <w:numPr>
          <w:ilvl w:val="0"/>
          <w:numId w:val="2"/>
        </w:numPr>
        <w:tabs>
          <w:tab w:val="left" w:pos="482"/>
          <w:tab w:val="left" w:pos="2183"/>
          <w:tab w:val="left" w:pos="3884"/>
          <w:tab w:val="left" w:pos="5585"/>
        </w:tabs>
        <w:wordWrap/>
        <w:adjustRightInd/>
        <w:spacing w:line="360" w:lineRule="auto"/>
        <w:ind w:firstLine="482" w:firstLineChars="200"/>
        <w:contextualSpacing/>
        <w:textAlignment w:val="baseline"/>
        <w:rPr>
          <w:rFonts w:hint="eastAsia" w:ascii="宋体" w:hAnsi="宋体" w:eastAsia="宋体" w:cs="宋体"/>
          <w:b/>
          <w:bCs/>
          <w:sz w:val="24"/>
        </w:rPr>
      </w:pPr>
      <w:r>
        <w:rPr>
          <w:rFonts w:hint="eastAsia" w:ascii="宋体" w:hAnsi="宋体" w:eastAsia="宋体" w:cs="宋体"/>
          <w:b/>
          <w:bCs/>
          <w:sz w:val="24"/>
        </w:rPr>
        <w:t>变压器性能参数</w:t>
      </w:r>
    </w:p>
    <w:tbl>
      <w:tblPr>
        <w:tblStyle w:val="74"/>
        <w:tblW w:w="945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5"/>
        <w:gridCol w:w="3381"/>
        <w:gridCol w:w="1081"/>
        <w:gridCol w:w="41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jc w:val="center"/>
        </w:trPr>
        <w:tc>
          <w:tcPr>
            <w:tcW w:w="885" w:type="dxa"/>
            <w:vAlign w:val="center"/>
          </w:tcPr>
          <w:p>
            <w:pPr>
              <w:snapToGrid w:val="0"/>
              <w:spacing w:before="62" w:beforeLines="20" w:after="62" w:afterLines="20"/>
              <w:jc w:val="center"/>
              <w:rPr>
                <w:rFonts w:hint="eastAsia"/>
                <w:b/>
                <w:szCs w:val="21"/>
              </w:rPr>
            </w:pPr>
            <w:r>
              <w:rPr>
                <w:b/>
                <w:szCs w:val="21"/>
              </w:rPr>
              <w:t>序号</w:t>
            </w:r>
          </w:p>
        </w:tc>
        <w:tc>
          <w:tcPr>
            <w:tcW w:w="3381" w:type="dxa"/>
            <w:vAlign w:val="center"/>
          </w:tcPr>
          <w:p>
            <w:pPr>
              <w:snapToGrid w:val="0"/>
              <w:spacing w:before="62" w:beforeLines="20" w:after="62" w:afterLines="20"/>
              <w:ind w:left="1260" w:leftChars="600" w:right="1260" w:rightChars="600"/>
              <w:jc w:val="center"/>
              <w:rPr>
                <w:rFonts w:hint="eastAsia"/>
                <w:b/>
                <w:szCs w:val="21"/>
              </w:rPr>
            </w:pPr>
            <w:r>
              <w:rPr>
                <w:b/>
                <w:szCs w:val="21"/>
              </w:rPr>
              <w:t>名称</w:t>
            </w:r>
          </w:p>
        </w:tc>
        <w:tc>
          <w:tcPr>
            <w:tcW w:w="1081" w:type="dxa"/>
            <w:vAlign w:val="center"/>
          </w:tcPr>
          <w:p>
            <w:pPr>
              <w:snapToGrid w:val="0"/>
              <w:spacing w:before="62" w:beforeLines="20" w:after="62" w:afterLines="20"/>
              <w:jc w:val="center"/>
              <w:rPr>
                <w:rFonts w:hint="eastAsia"/>
                <w:b/>
                <w:szCs w:val="21"/>
              </w:rPr>
            </w:pPr>
            <w:r>
              <w:rPr>
                <w:b/>
                <w:szCs w:val="21"/>
              </w:rPr>
              <w:t>单位</w:t>
            </w:r>
          </w:p>
        </w:tc>
        <w:tc>
          <w:tcPr>
            <w:tcW w:w="4104" w:type="dxa"/>
            <w:vAlign w:val="center"/>
          </w:tcPr>
          <w:p>
            <w:pPr>
              <w:snapToGrid w:val="0"/>
              <w:spacing w:before="62" w:beforeLines="20" w:after="62" w:afterLines="20"/>
              <w:jc w:val="center"/>
              <w:rPr>
                <w:rFonts w:hint="default" w:eastAsia="宋体"/>
                <w:b/>
                <w:szCs w:val="21"/>
                <w:lang w:val="en-US" w:eastAsia="zh-CN"/>
              </w:rPr>
            </w:pPr>
            <w:r>
              <w:rPr>
                <w:rFonts w:hint="eastAsia"/>
                <w:b/>
                <w:szCs w:val="21"/>
                <w:lang w:val="en-US" w:eastAsia="zh-CN"/>
              </w:rPr>
              <w:t>参数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jc w:val="center"/>
        </w:trPr>
        <w:tc>
          <w:tcPr>
            <w:tcW w:w="885" w:type="dxa"/>
            <w:vAlign w:val="center"/>
          </w:tcPr>
          <w:p>
            <w:pPr>
              <w:snapToGrid w:val="0"/>
              <w:spacing w:before="62" w:beforeLines="20" w:after="62" w:afterLines="20"/>
              <w:jc w:val="center"/>
              <w:rPr>
                <w:rFonts w:hint="eastAsia"/>
                <w:b/>
                <w:szCs w:val="21"/>
              </w:rPr>
            </w:pPr>
            <w:r>
              <w:rPr>
                <w:rFonts w:hint="eastAsia"/>
                <w:b/>
                <w:szCs w:val="21"/>
              </w:rPr>
              <w:t>一</w:t>
            </w:r>
          </w:p>
        </w:tc>
        <w:tc>
          <w:tcPr>
            <w:tcW w:w="8566" w:type="dxa"/>
            <w:gridSpan w:val="3"/>
            <w:vAlign w:val="center"/>
          </w:tcPr>
          <w:p>
            <w:pPr>
              <w:snapToGrid w:val="0"/>
              <w:spacing w:before="62" w:beforeLines="20" w:after="62" w:afterLines="20"/>
              <w:jc w:val="center"/>
              <w:rPr>
                <w:rFonts w:hint="eastAsia"/>
                <w:b/>
                <w:szCs w:val="21"/>
              </w:rPr>
            </w:pPr>
            <w:r>
              <w:rPr>
                <w:rFonts w:hint="eastAsia"/>
                <w:b/>
                <w:szCs w:val="21"/>
              </w:rPr>
              <w:t>额定值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885" w:type="dxa"/>
            <w:vAlign w:val="center"/>
          </w:tcPr>
          <w:p>
            <w:pPr>
              <w:snapToGrid w:val="0"/>
              <w:spacing w:before="62" w:beforeLines="20" w:after="62" w:afterLines="20"/>
              <w:jc w:val="center"/>
              <w:rPr>
                <w:rFonts w:hAnsi="宋体"/>
                <w:szCs w:val="21"/>
              </w:rPr>
            </w:pPr>
            <w:r>
              <w:rPr>
                <w:rFonts w:hint="eastAsia" w:hAnsi="宋体"/>
                <w:szCs w:val="21"/>
              </w:rPr>
              <w:t>1</w:t>
            </w:r>
          </w:p>
        </w:tc>
        <w:tc>
          <w:tcPr>
            <w:tcW w:w="3381" w:type="dxa"/>
            <w:vAlign w:val="center"/>
          </w:tcPr>
          <w:p>
            <w:pPr>
              <w:pStyle w:val="41"/>
              <w:snapToGrid w:val="0"/>
              <w:spacing w:before="62" w:beforeLines="20" w:after="62" w:afterLines="20"/>
              <w:jc w:val="center"/>
              <w:rPr>
                <w:rFonts w:hAnsi="宋体"/>
                <w:sz w:val="21"/>
                <w:szCs w:val="21"/>
                <w:lang w:val="en-US" w:eastAsia="zh-CN"/>
              </w:rPr>
            </w:pPr>
            <w:r>
              <w:rPr>
                <w:rFonts w:hint="eastAsia" w:hAnsi="宋体"/>
                <w:sz w:val="21"/>
                <w:szCs w:val="21"/>
                <w:lang w:val="en-US" w:eastAsia="zh-CN"/>
              </w:rPr>
              <w:t>变压器型号</w:t>
            </w:r>
          </w:p>
        </w:tc>
        <w:tc>
          <w:tcPr>
            <w:tcW w:w="1081" w:type="dxa"/>
            <w:vAlign w:val="center"/>
          </w:tcPr>
          <w:p>
            <w:pPr>
              <w:snapToGrid w:val="0"/>
              <w:spacing w:before="62" w:beforeLines="20" w:after="62" w:afterLines="20"/>
              <w:jc w:val="center"/>
              <w:rPr>
                <w:rFonts w:hAnsi="宋体"/>
                <w:szCs w:val="21"/>
              </w:rPr>
            </w:pPr>
          </w:p>
        </w:tc>
        <w:tc>
          <w:tcPr>
            <w:tcW w:w="4104" w:type="dxa"/>
            <w:vAlign w:val="center"/>
          </w:tcPr>
          <w:p>
            <w:pPr>
              <w:snapToGrid w:val="0"/>
              <w:spacing w:before="62" w:beforeLines="20" w:after="62" w:afterLines="20"/>
              <w:jc w:val="center"/>
              <w:rPr>
                <w:rFonts w:hAnsi="宋体"/>
                <w:szCs w:val="21"/>
              </w:rPr>
            </w:pPr>
            <w:r>
              <w:rPr>
                <w:rFonts w:hint="eastAsia" w:hAnsi="宋体"/>
                <w:szCs w:val="21"/>
              </w:rPr>
              <w:t>SCB14-</w:t>
            </w:r>
            <w:r>
              <w:rPr>
                <w:rFonts w:hint="eastAsia" w:hAnsi="宋体"/>
                <w:szCs w:val="21"/>
                <w:lang w:val="en-US" w:eastAsia="zh-CN"/>
              </w:rPr>
              <w:t>315</w:t>
            </w:r>
            <w:r>
              <w:rPr>
                <w:rFonts w:hint="eastAsia" w:hAnsi="宋体"/>
                <w:szCs w:val="21"/>
              </w:rPr>
              <w:t>/10-NX2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885" w:type="dxa"/>
            <w:vAlign w:val="center"/>
          </w:tcPr>
          <w:p>
            <w:pPr>
              <w:snapToGrid w:val="0"/>
              <w:spacing w:before="62" w:beforeLines="20" w:after="62" w:afterLines="20"/>
              <w:jc w:val="center"/>
              <w:rPr>
                <w:rFonts w:hAnsi="宋体"/>
                <w:szCs w:val="21"/>
              </w:rPr>
            </w:pPr>
            <w:r>
              <w:rPr>
                <w:rFonts w:hint="eastAsia" w:hAnsi="宋体"/>
                <w:szCs w:val="21"/>
              </w:rPr>
              <w:t>2</w:t>
            </w:r>
          </w:p>
        </w:tc>
        <w:tc>
          <w:tcPr>
            <w:tcW w:w="3381" w:type="dxa"/>
            <w:vAlign w:val="center"/>
          </w:tcPr>
          <w:p>
            <w:pPr>
              <w:snapToGrid w:val="0"/>
              <w:spacing w:line="400" w:lineRule="atLeast"/>
              <w:jc w:val="center"/>
              <w:rPr>
                <w:rFonts w:hAnsi="宋体"/>
                <w:szCs w:val="21"/>
              </w:rPr>
            </w:pPr>
            <w:r>
              <w:rPr>
                <w:rFonts w:hint="eastAsia" w:hAnsi="宋体"/>
                <w:szCs w:val="21"/>
              </w:rPr>
              <w:t>铁心材质</w:t>
            </w:r>
          </w:p>
        </w:tc>
        <w:tc>
          <w:tcPr>
            <w:tcW w:w="1081" w:type="dxa"/>
            <w:vAlign w:val="center"/>
          </w:tcPr>
          <w:p>
            <w:pPr>
              <w:snapToGrid w:val="0"/>
              <w:spacing w:before="62" w:beforeLines="20" w:after="62" w:afterLines="20"/>
              <w:jc w:val="center"/>
              <w:rPr>
                <w:rFonts w:hAnsi="宋体"/>
                <w:szCs w:val="21"/>
              </w:rPr>
            </w:pPr>
          </w:p>
        </w:tc>
        <w:tc>
          <w:tcPr>
            <w:tcW w:w="4104" w:type="dxa"/>
            <w:vAlign w:val="center"/>
          </w:tcPr>
          <w:p>
            <w:pPr>
              <w:snapToGrid w:val="0"/>
              <w:spacing w:before="62" w:beforeLines="20" w:after="62" w:afterLines="20"/>
              <w:jc w:val="center"/>
              <w:rPr>
                <w:rFonts w:hAnsi="宋体"/>
                <w:szCs w:val="21"/>
              </w:rPr>
            </w:pPr>
            <w:r>
              <w:rPr>
                <w:rFonts w:hint="eastAsia" w:hAnsi="宋体"/>
                <w:szCs w:val="21"/>
              </w:rPr>
              <w:t>冷轧取向硅钢片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885" w:type="dxa"/>
            <w:vAlign w:val="center"/>
          </w:tcPr>
          <w:p>
            <w:pPr>
              <w:snapToGrid w:val="0"/>
              <w:spacing w:before="62" w:beforeLines="20" w:after="62" w:afterLines="20"/>
              <w:jc w:val="center"/>
              <w:rPr>
                <w:rFonts w:hAnsi="宋体"/>
                <w:szCs w:val="21"/>
              </w:rPr>
            </w:pPr>
            <w:r>
              <w:rPr>
                <w:rFonts w:hint="eastAsia" w:hAnsi="宋体"/>
                <w:szCs w:val="21"/>
              </w:rPr>
              <w:t>3</w:t>
            </w:r>
          </w:p>
        </w:tc>
        <w:tc>
          <w:tcPr>
            <w:tcW w:w="3381" w:type="dxa"/>
            <w:vAlign w:val="center"/>
          </w:tcPr>
          <w:p>
            <w:pPr>
              <w:snapToGrid w:val="0"/>
              <w:spacing w:line="400" w:lineRule="atLeast"/>
              <w:jc w:val="center"/>
              <w:rPr>
                <w:rFonts w:hAnsi="宋体"/>
                <w:szCs w:val="21"/>
              </w:rPr>
            </w:pPr>
            <w:r>
              <w:rPr>
                <w:rFonts w:hint="eastAsia" w:hAnsi="宋体"/>
                <w:szCs w:val="21"/>
              </w:rPr>
              <w:t>线圈结构</w:t>
            </w:r>
          </w:p>
        </w:tc>
        <w:tc>
          <w:tcPr>
            <w:tcW w:w="1081" w:type="dxa"/>
            <w:vAlign w:val="center"/>
          </w:tcPr>
          <w:p>
            <w:pPr>
              <w:jc w:val="center"/>
              <w:rPr>
                <w:rFonts w:hint="eastAsia"/>
                <w:szCs w:val="21"/>
              </w:rPr>
            </w:pPr>
          </w:p>
        </w:tc>
        <w:tc>
          <w:tcPr>
            <w:tcW w:w="4104" w:type="dxa"/>
            <w:vAlign w:val="top"/>
          </w:tcPr>
          <w:p>
            <w:pPr>
              <w:jc w:val="center"/>
              <w:rPr>
                <w:rFonts w:hint="eastAsia"/>
                <w:szCs w:val="21"/>
              </w:rPr>
            </w:pPr>
            <w:r>
              <w:rPr>
                <w:rFonts w:hint="eastAsia"/>
                <w:szCs w:val="21"/>
              </w:rPr>
              <w:t>环氧浇注式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885" w:type="dxa"/>
            <w:vAlign w:val="center"/>
          </w:tcPr>
          <w:p>
            <w:pPr>
              <w:snapToGrid w:val="0"/>
              <w:spacing w:before="62" w:beforeLines="20" w:after="62" w:afterLines="20"/>
              <w:jc w:val="center"/>
              <w:rPr>
                <w:rFonts w:hAnsi="宋体"/>
                <w:szCs w:val="21"/>
              </w:rPr>
            </w:pPr>
            <w:r>
              <w:rPr>
                <w:rFonts w:hint="eastAsia" w:hAnsi="宋体"/>
                <w:szCs w:val="21"/>
              </w:rPr>
              <w:t>4</w:t>
            </w:r>
          </w:p>
        </w:tc>
        <w:tc>
          <w:tcPr>
            <w:tcW w:w="3381" w:type="dxa"/>
            <w:vAlign w:val="center"/>
          </w:tcPr>
          <w:p>
            <w:pPr>
              <w:snapToGrid w:val="0"/>
              <w:spacing w:line="400" w:lineRule="atLeast"/>
              <w:jc w:val="center"/>
              <w:rPr>
                <w:rFonts w:hAnsi="宋体"/>
                <w:szCs w:val="21"/>
              </w:rPr>
            </w:pPr>
            <w:r>
              <w:rPr>
                <w:rFonts w:hint="eastAsia" w:hAnsi="宋体"/>
                <w:szCs w:val="21"/>
              </w:rPr>
              <w:t>高压绕组</w:t>
            </w:r>
          </w:p>
        </w:tc>
        <w:tc>
          <w:tcPr>
            <w:tcW w:w="1081" w:type="dxa"/>
            <w:vAlign w:val="center"/>
          </w:tcPr>
          <w:p>
            <w:pPr>
              <w:snapToGrid w:val="0"/>
              <w:spacing w:before="62" w:beforeLines="20" w:after="62" w:afterLines="20"/>
              <w:jc w:val="center"/>
              <w:rPr>
                <w:rFonts w:hAnsi="宋体"/>
                <w:szCs w:val="21"/>
              </w:rPr>
            </w:pPr>
            <w:r>
              <w:rPr>
                <w:rFonts w:hint="eastAsia" w:hAnsi="宋体"/>
                <w:szCs w:val="21"/>
              </w:rPr>
              <w:t>kV</w:t>
            </w:r>
          </w:p>
        </w:tc>
        <w:tc>
          <w:tcPr>
            <w:tcW w:w="4104" w:type="dxa"/>
            <w:vAlign w:val="center"/>
          </w:tcPr>
          <w:p>
            <w:pPr>
              <w:snapToGrid w:val="0"/>
              <w:spacing w:before="62" w:beforeLines="20" w:after="62" w:afterLines="20"/>
              <w:jc w:val="center"/>
              <w:rPr>
                <w:rFonts w:hAnsi="宋体"/>
                <w:szCs w:val="21"/>
              </w:rPr>
            </w:pPr>
            <w:r>
              <w:rPr>
                <w:rFonts w:hint="eastAsia" w:hAnsi="宋体"/>
                <w:szCs w:val="21"/>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885" w:type="dxa"/>
            <w:vAlign w:val="center"/>
          </w:tcPr>
          <w:p>
            <w:pPr>
              <w:snapToGrid w:val="0"/>
              <w:spacing w:before="62" w:beforeLines="20" w:after="62" w:afterLines="20"/>
              <w:jc w:val="center"/>
              <w:rPr>
                <w:rFonts w:hAnsi="宋体"/>
                <w:szCs w:val="21"/>
              </w:rPr>
            </w:pPr>
            <w:r>
              <w:rPr>
                <w:rFonts w:hint="eastAsia" w:hAnsi="宋体"/>
                <w:szCs w:val="21"/>
              </w:rPr>
              <w:t>5</w:t>
            </w:r>
          </w:p>
        </w:tc>
        <w:tc>
          <w:tcPr>
            <w:tcW w:w="3381" w:type="dxa"/>
            <w:vAlign w:val="center"/>
          </w:tcPr>
          <w:p>
            <w:pPr>
              <w:snapToGrid w:val="0"/>
              <w:spacing w:line="400" w:lineRule="atLeast"/>
              <w:jc w:val="center"/>
              <w:rPr>
                <w:rFonts w:hAnsi="宋体"/>
                <w:szCs w:val="21"/>
              </w:rPr>
            </w:pPr>
            <w:r>
              <w:rPr>
                <w:rFonts w:hint="eastAsia" w:hAnsi="宋体"/>
                <w:szCs w:val="21"/>
              </w:rPr>
              <w:t>低压绕组</w:t>
            </w:r>
          </w:p>
        </w:tc>
        <w:tc>
          <w:tcPr>
            <w:tcW w:w="1081" w:type="dxa"/>
            <w:vAlign w:val="center"/>
          </w:tcPr>
          <w:p>
            <w:pPr>
              <w:snapToGrid w:val="0"/>
              <w:spacing w:before="62" w:beforeLines="20" w:after="62" w:afterLines="20"/>
              <w:jc w:val="center"/>
              <w:rPr>
                <w:rFonts w:hAnsi="宋体"/>
                <w:szCs w:val="21"/>
              </w:rPr>
            </w:pPr>
            <w:r>
              <w:rPr>
                <w:rFonts w:hint="eastAsia" w:hAnsi="宋体"/>
                <w:szCs w:val="21"/>
              </w:rPr>
              <w:t>kV</w:t>
            </w:r>
          </w:p>
        </w:tc>
        <w:tc>
          <w:tcPr>
            <w:tcW w:w="4104" w:type="dxa"/>
            <w:vAlign w:val="center"/>
          </w:tcPr>
          <w:p>
            <w:pPr>
              <w:snapToGrid w:val="0"/>
              <w:spacing w:before="62" w:beforeLines="20" w:after="62" w:afterLines="20"/>
              <w:jc w:val="center"/>
              <w:rPr>
                <w:rFonts w:hAnsi="宋体"/>
                <w:szCs w:val="21"/>
              </w:rPr>
            </w:pPr>
            <w:r>
              <w:rPr>
                <w:rFonts w:hint="eastAsia" w:hAnsi="宋体"/>
                <w:szCs w:val="21"/>
              </w:rPr>
              <w:t>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885" w:type="dxa"/>
            <w:vAlign w:val="center"/>
          </w:tcPr>
          <w:p>
            <w:pPr>
              <w:snapToGrid w:val="0"/>
              <w:spacing w:before="62" w:beforeLines="20" w:after="62" w:afterLines="20"/>
              <w:jc w:val="center"/>
              <w:rPr>
                <w:rFonts w:hAnsi="宋体"/>
                <w:szCs w:val="21"/>
              </w:rPr>
            </w:pPr>
            <w:r>
              <w:rPr>
                <w:rFonts w:hint="eastAsia" w:hAnsi="宋体"/>
                <w:szCs w:val="21"/>
              </w:rPr>
              <w:t>6</w:t>
            </w:r>
          </w:p>
        </w:tc>
        <w:tc>
          <w:tcPr>
            <w:tcW w:w="3381" w:type="dxa"/>
            <w:vAlign w:val="center"/>
          </w:tcPr>
          <w:p>
            <w:pPr>
              <w:snapToGrid w:val="0"/>
              <w:spacing w:line="400" w:lineRule="atLeast"/>
              <w:jc w:val="center"/>
              <w:rPr>
                <w:rFonts w:hAnsi="宋体"/>
                <w:szCs w:val="21"/>
              </w:rPr>
            </w:pPr>
            <w:r>
              <w:rPr>
                <w:rFonts w:hint="eastAsia" w:hAnsi="宋体"/>
                <w:szCs w:val="21"/>
              </w:rPr>
              <w:t>联结组</w:t>
            </w:r>
          </w:p>
        </w:tc>
        <w:tc>
          <w:tcPr>
            <w:tcW w:w="1081" w:type="dxa"/>
            <w:vAlign w:val="center"/>
          </w:tcPr>
          <w:p>
            <w:pPr>
              <w:jc w:val="center"/>
              <w:rPr>
                <w:rFonts w:hint="eastAsia"/>
                <w:szCs w:val="21"/>
              </w:rPr>
            </w:pPr>
          </w:p>
        </w:tc>
        <w:tc>
          <w:tcPr>
            <w:tcW w:w="4104" w:type="dxa"/>
            <w:vAlign w:val="center"/>
          </w:tcPr>
          <w:p>
            <w:pPr>
              <w:jc w:val="center"/>
              <w:rPr>
                <w:rFonts w:hint="eastAsia"/>
                <w:szCs w:val="21"/>
              </w:rPr>
            </w:pPr>
            <w:r>
              <w:rPr>
                <w:rFonts w:hint="eastAsia" w:ascii="宋体" w:hAnsi="宋体"/>
                <w:kern w:val="21"/>
                <w:szCs w:val="21"/>
              </w:rPr>
              <w:t>Dyn11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885" w:type="dxa"/>
            <w:vAlign w:val="center"/>
          </w:tcPr>
          <w:p>
            <w:pPr>
              <w:snapToGrid w:val="0"/>
              <w:spacing w:before="62" w:beforeLines="20" w:after="62" w:afterLines="20"/>
              <w:jc w:val="center"/>
              <w:rPr>
                <w:rFonts w:hAnsi="宋体"/>
                <w:szCs w:val="21"/>
              </w:rPr>
            </w:pPr>
            <w:r>
              <w:rPr>
                <w:rFonts w:hint="eastAsia" w:hAnsi="宋体"/>
                <w:szCs w:val="21"/>
              </w:rPr>
              <w:t>7</w:t>
            </w:r>
          </w:p>
        </w:tc>
        <w:tc>
          <w:tcPr>
            <w:tcW w:w="3381" w:type="dxa"/>
            <w:vAlign w:val="center"/>
          </w:tcPr>
          <w:p>
            <w:pPr>
              <w:snapToGrid w:val="0"/>
              <w:spacing w:line="400" w:lineRule="atLeast"/>
              <w:jc w:val="center"/>
              <w:rPr>
                <w:rFonts w:hAnsi="宋体"/>
                <w:szCs w:val="21"/>
              </w:rPr>
            </w:pPr>
            <w:r>
              <w:rPr>
                <w:rFonts w:hint="eastAsia" w:hAnsi="宋体"/>
                <w:szCs w:val="21"/>
              </w:rPr>
              <w:t>额定频率</w:t>
            </w:r>
          </w:p>
        </w:tc>
        <w:tc>
          <w:tcPr>
            <w:tcW w:w="1081" w:type="dxa"/>
            <w:vAlign w:val="center"/>
          </w:tcPr>
          <w:p>
            <w:pPr>
              <w:snapToGrid w:val="0"/>
              <w:spacing w:before="62" w:beforeLines="20" w:after="62" w:afterLines="20"/>
              <w:jc w:val="center"/>
              <w:rPr>
                <w:rFonts w:hAnsi="宋体"/>
                <w:szCs w:val="21"/>
              </w:rPr>
            </w:pPr>
            <w:r>
              <w:rPr>
                <w:rFonts w:hint="eastAsia" w:hAnsi="宋体"/>
                <w:szCs w:val="21"/>
              </w:rPr>
              <w:t>Hz</w:t>
            </w:r>
          </w:p>
        </w:tc>
        <w:tc>
          <w:tcPr>
            <w:tcW w:w="4104" w:type="dxa"/>
            <w:vAlign w:val="center"/>
          </w:tcPr>
          <w:p>
            <w:pPr>
              <w:snapToGrid w:val="0"/>
              <w:spacing w:before="62" w:beforeLines="20" w:after="62" w:afterLines="20"/>
              <w:jc w:val="center"/>
              <w:rPr>
                <w:rFonts w:hAnsi="宋体"/>
                <w:szCs w:val="21"/>
              </w:rPr>
            </w:pPr>
            <w:r>
              <w:rPr>
                <w:rFonts w:hint="eastAsia" w:hAnsi="宋体"/>
                <w:szCs w:val="21"/>
              </w:rPr>
              <w:t>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885" w:type="dxa"/>
            <w:vAlign w:val="center"/>
          </w:tcPr>
          <w:p>
            <w:pPr>
              <w:snapToGrid w:val="0"/>
              <w:spacing w:before="62" w:beforeLines="20" w:after="62" w:afterLines="20"/>
              <w:jc w:val="center"/>
              <w:rPr>
                <w:rFonts w:hAnsi="宋体"/>
                <w:szCs w:val="21"/>
              </w:rPr>
            </w:pPr>
            <w:r>
              <w:rPr>
                <w:rFonts w:hint="eastAsia" w:hAnsi="宋体"/>
                <w:szCs w:val="21"/>
              </w:rPr>
              <w:t>8</w:t>
            </w:r>
          </w:p>
        </w:tc>
        <w:tc>
          <w:tcPr>
            <w:tcW w:w="3381" w:type="dxa"/>
            <w:vAlign w:val="center"/>
          </w:tcPr>
          <w:p>
            <w:pPr>
              <w:snapToGrid w:val="0"/>
              <w:spacing w:line="400" w:lineRule="atLeast"/>
              <w:jc w:val="center"/>
              <w:rPr>
                <w:rFonts w:hAnsi="宋体"/>
                <w:szCs w:val="21"/>
              </w:rPr>
            </w:pPr>
            <w:r>
              <w:rPr>
                <w:rFonts w:hint="eastAsia" w:hAnsi="宋体"/>
                <w:szCs w:val="21"/>
              </w:rPr>
              <w:t>额定容量</w:t>
            </w:r>
          </w:p>
        </w:tc>
        <w:tc>
          <w:tcPr>
            <w:tcW w:w="1081" w:type="dxa"/>
            <w:vAlign w:val="center"/>
          </w:tcPr>
          <w:p>
            <w:pPr>
              <w:snapToGrid w:val="0"/>
              <w:spacing w:line="400" w:lineRule="atLeast"/>
              <w:jc w:val="center"/>
              <w:rPr>
                <w:rFonts w:hAnsi="宋体"/>
                <w:szCs w:val="21"/>
              </w:rPr>
            </w:pPr>
            <w:r>
              <w:rPr>
                <w:rFonts w:hint="eastAsia" w:hAnsi="宋体"/>
                <w:szCs w:val="21"/>
              </w:rPr>
              <w:t>kVA</w:t>
            </w:r>
          </w:p>
        </w:tc>
        <w:tc>
          <w:tcPr>
            <w:tcW w:w="4104" w:type="dxa"/>
            <w:vAlign w:val="center"/>
          </w:tcPr>
          <w:p>
            <w:pPr>
              <w:snapToGrid w:val="0"/>
              <w:spacing w:before="62" w:beforeLines="20" w:after="62" w:afterLines="20"/>
              <w:jc w:val="center"/>
              <w:rPr>
                <w:rFonts w:hint="default" w:hAnsi="宋体" w:eastAsia="宋体"/>
                <w:szCs w:val="21"/>
                <w:lang w:val="en-US" w:eastAsia="zh-CN"/>
              </w:rPr>
            </w:pPr>
            <w:r>
              <w:rPr>
                <w:rFonts w:hint="eastAsia" w:hAnsi="宋体"/>
                <w:szCs w:val="21"/>
                <w:lang w:val="en-US" w:eastAsia="zh-CN"/>
              </w:rPr>
              <w:t>315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885" w:type="dxa"/>
            <w:vAlign w:val="center"/>
          </w:tcPr>
          <w:p>
            <w:pPr>
              <w:snapToGrid w:val="0"/>
              <w:spacing w:before="62" w:beforeLines="20" w:after="62" w:afterLines="20"/>
              <w:jc w:val="center"/>
              <w:rPr>
                <w:rFonts w:hint="eastAsia" w:hAnsi="宋体"/>
                <w:szCs w:val="21"/>
              </w:rPr>
            </w:pPr>
            <w:r>
              <w:rPr>
                <w:rFonts w:hint="eastAsia" w:hAnsi="宋体"/>
                <w:szCs w:val="21"/>
              </w:rPr>
              <w:t>9</w:t>
            </w:r>
          </w:p>
        </w:tc>
        <w:tc>
          <w:tcPr>
            <w:tcW w:w="3381" w:type="dxa"/>
            <w:vAlign w:val="center"/>
          </w:tcPr>
          <w:p>
            <w:pPr>
              <w:snapToGrid w:val="0"/>
              <w:spacing w:line="400" w:lineRule="atLeast"/>
              <w:jc w:val="center"/>
              <w:rPr>
                <w:rFonts w:hint="eastAsia" w:hAnsi="宋体"/>
                <w:szCs w:val="21"/>
              </w:rPr>
            </w:pPr>
            <w:r>
              <w:rPr>
                <w:rFonts w:hint="eastAsia" w:hAnsi="宋体"/>
                <w:szCs w:val="21"/>
              </w:rPr>
              <w:t>阻抗电压</w:t>
            </w:r>
          </w:p>
        </w:tc>
        <w:tc>
          <w:tcPr>
            <w:tcW w:w="1081" w:type="dxa"/>
            <w:vAlign w:val="center"/>
          </w:tcPr>
          <w:p>
            <w:pPr>
              <w:pStyle w:val="44"/>
              <w:pBdr>
                <w:bottom w:val="none" w:color="auto" w:sz="0" w:space="0"/>
              </w:pBdr>
              <w:tabs>
                <w:tab w:val="clear" w:pos="4153"/>
                <w:tab w:val="clear" w:pos="8306"/>
              </w:tabs>
              <w:spacing w:before="62" w:beforeLines="20" w:after="62" w:afterLines="20"/>
              <w:rPr>
                <w:rFonts w:hint="eastAsia" w:hAnsi="宋体"/>
                <w:sz w:val="21"/>
                <w:szCs w:val="21"/>
                <w:lang w:val="en-US" w:eastAsia="zh-CN"/>
              </w:rPr>
            </w:pPr>
            <w:r>
              <w:rPr>
                <w:rFonts w:hint="eastAsia" w:hAnsi="宋体"/>
                <w:szCs w:val="21"/>
              </w:rPr>
              <w:t>%</w:t>
            </w:r>
          </w:p>
        </w:tc>
        <w:tc>
          <w:tcPr>
            <w:tcW w:w="4104" w:type="dxa"/>
            <w:vAlign w:val="center"/>
          </w:tcPr>
          <w:p>
            <w:pPr>
              <w:snapToGrid w:val="0"/>
              <w:spacing w:before="62" w:beforeLines="20" w:after="62" w:afterLines="20"/>
              <w:jc w:val="center"/>
              <w:rPr>
                <w:rFonts w:hint="eastAsia" w:hAnsi="宋体"/>
                <w:szCs w:val="21"/>
              </w:rPr>
            </w:pPr>
            <w:r>
              <w:rPr>
                <w:rFonts w:hint="eastAsia" w:hAnsi="宋体"/>
                <w:szCs w:val="21"/>
                <w:lang w:val="en-US" w:eastAsia="zh-CN"/>
              </w:rPr>
              <w:t>4</w:t>
            </w:r>
            <w:r>
              <w:rPr>
                <w:rFonts w:hint="eastAsia" w:hAnsi="宋体"/>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885" w:type="dxa"/>
            <w:vAlign w:val="center"/>
          </w:tcPr>
          <w:p>
            <w:pPr>
              <w:snapToGrid w:val="0"/>
              <w:spacing w:before="62" w:beforeLines="20" w:after="62" w:afterLines="20"/>
              <w:jc w:val="center"/>
              <w:rPr>
                <w:rFonts w:hAnsi="宋体"/>
                <w:szCs w:val="21"/>
              </w:rPr>
            </w:pPr>
            <w:r>
              <w:rPr>
                <w:rFonts w:hint="eastAsia" w:hAnsi="宋体"/>
                <w:szCs w:val="21"/>
              </w:rPr>
              <w:t>10</w:t>
            </w:r>
          </w:p>
        </w:tc>
        <w:tc>
          <w:tcPr>
            <w:tcW w:w="3381" w:type="dxa"/>
            <w:vAlign w:val="center"/>
          </w:tcPr>
          <w:p>
            <w:pPr>
              <w:snapToGrid w:val="0"/>
              <w:spacing w:line="400" w:lineRule="atLeast"/>
              <w:jc w:val="center"/>
              <w:rPr>
                <w:rFonts w:hAnsi="宋体"/>
                <w:szCs w:val="21"/>
              </w:rPr>
            </w:pPr>
            <w:r>
              <w:rPr>
                <w:rFonts w:hint="eastAsia" w:hAnsi="宋体"/>
                <w:szCs w:val="21"/>
              </w:rPr>
              <w:t>相数</w:t>
            </w:r>
          </w:p>
        </w:tc>
        <w:tc>
          <w:tcPr>
            <w:tcW w:w="1081" w:type="dxa"/>
            <w:vAlign w:val="center"/>
          </w:tcPr>
          <w:p>
            <w:pPr>
              <w:pStyle w:val="44"/>
              <w:pBdr>
                <w:bottom w:val="none" w:color="auto" w:sz="0" w:space="0"/>
              </w:pBdr>
              <w:tabs>
                <w:tab w:val="clear" w:pos="4153"/>
                <w:tab w:val="clear" w:pos="8306"/>
              </w:tabs>
              <w:spacing w:before="62" w:beforeLines="20" w:after="62" w:afterLines="20"/>
              <w:rPr>
                <w:rFonts w:hAnsi="宋体"/>
                <w:sz w:val="21"/>
                <w:szCs w:val="21"/>
                <w:lang w:val="en-US" w:eastAsia="zh-CN"/>
              </w:rPr>
            </w:pPr>
          </w:p>
        </w:tc>
        <w:tc>
          <w:tcPr>
            <w:tcW w:w="4104" w:type="dxa"/>
            <w:vAlign w:val="center"/>
          </w:tcPr>
          <w:p>
            <w:pPr>
              <w:snapToGrid w:val="0"/>
              <w:spacing w:before="62" w:beforeLines="20" w:after="62" w:afterLines="20"/>
              <w:jc w:val="center"/>
              <w:rPr>
                <w:rFonts w:hAnsi="宋体"/>
                <w:szCs w:val="21"/>
              </w:rPr>
            </w:pPr>
            <w:r>
              <w:rPr>
                <w:rFonts w:hint="eastAsia" w:hAnsi="宋体"/>
                <w:szCs w:val="21"/>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885" w:type="dxa"/>
            <w:vAlign w:val="center"/>
          </w:tcPr>
          <w:p>
            <w:pPr>
              <w:snapToGrid w:val="0"/>
              <w:spacing w:before="62" w:beforeLines="20" w:after="62" w:afterLines="20"/>
              <w:jc w:val="center"/>
              <w:rPr>
                <w:rFonts w:hAnsi="宋体"/>
                <w:szCs w:val="21"/>
              </w:rPr>
            </w:pPr>
            <w:r>
              <w:rPr>
                <w:rFonts w:hint="eastAsia" w:hAnsi="宋体"/>
                <w:szCs w:val="21"/>
              </w:rPr>
              <w:t>11</w:t>
            </w:r>
          </w:p>
        </w:tc>
        <w:tc>
          <w:tcPr>
            <w:tcW w:w="3381" w:type="dxa"/>
            <w:vAlign w:val="center"/>
          </w:tcPr>
          <w:p>
            <w:pPr>
              <w:snapToGrid w:val="0"/>
              <w:spacing w:line="400" w:lineRule="atLeast"/>
              <w:jc w:val="center"/>
              <w:rPr>
                <w:rFonts w:hAnsi="宋体"/>
                <w:szCs w:val="21"/>
              </w:rPr>
            </w:pPr>
            <w:r>
              <w:rPr>
                <w:rFonts w:hint="eastAsia" w:hAnsi="宋体"/>
                <w:szCs w:val="21"/>
              </w:rPr>
              <w:t>调压方式</w:t>
            </w:r>
          </w:p>
        </w:tc>
        <w:tc>
          <w:tcPr>
            <w:tcW w:w="1081" w:type="dxa"/>
            <w:vAlign w:val="center"/>
          </w:tcPr>
          <w:p>
            <w:pPr>
              <w:pStyle w:val="44"/>
              <w:pBdr>
                <w:bottom w:val="none" w:color="auto" w:sz="0" w:space="0"/>
              </w:pBdr>
              <w:tabs>
                <w:tab w:val="clear" w:pos="4153"/>
                <w:tab w:val="clear" w:pos="8306"/>
              </w:tabs>
              <w:spacing w:before="62" w:beforeLines="20" w:after="62" w:afterLines="20"/>
              <w:rPr>
                <w:rFonts w:hAnsi="宋体"/>
                <w:sz w:val="21"/>
                <w:szCs w:val="21"/>
                <w:lang w:val="en-US" w:eastAsia="zh-CN"/>
              </w:rPr>
            </w:pPr>
          </w:p>
        </w:tc>
        <w:tc>
          <w:tcPr>
            <w:tcW w:w="4104" w:type="dxa"/>
            <w:vAlign w:val="center"/>
          </w:tcPr>
          <w:p>
            <w:pPr>
              <w:snapToGrid w:val="0"/>
              <w:spacing w:before="62" w:beforeLines="20" w:after="62" w:afterLines="20"/>
              <w:jc w:val="center"/>
              <w:rPr>
                <w:rFonts w:hAnsi="宋体"/>
                <w:szCs w:val="21"/>
              </w:rPr>
            </w:pPr>
            <w:r>
              <w:rPr>
                <w:rFonts w:hint="eastAsia" w:hAnsi="宋体"/>
                <w:szCs w:val="21"/>
              </w:rPr>
              <w:t>无励磁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885" w:type="dxa"/>
            <w:vAlign w:val="center"/>
          </w:tcPr>
          <w:p>
            <w:pPr>
              <w:snapToGrid w:val="0"/>
              <w:spacing w:before="62" w:beforeLines="20" w:after="62" w:afterLines="20"/>
              <w:jc w:val="center"/>
              <w:rPr>
                <w:rFonts w:hAnsi="宋体"/>
                <w:szCs w:val="21"/>
              </w:rPr>
            </w:pPr>
            <w:r>
              <w:rPr>
                <w:rFonts w:hint="eastAsia" w:hAnsi="宋体"/>
                <w:szCs w:val="21"/>
              </w:rPr>
              <w:t>12</w:t>
            </w:r>
          </w:p>
        </w:tc>
        <w:tc>
          <w:tcPr>
            <w:tcW w:w="3381" w:type="dxa"/>
            <w:vAlign w:val="center"/>
          </w:tcPr>
          <w:p>
            <w:pPr>
              <w:snapToGrid w:val="0"/>
              <w:spacing w:line="400" w:lineRule="atLeast"/>
              <w:jc w:val="center"/>
              <w:rPr>
                <w:rFonts w:hAnsi="宋体"/>
                <w:szCs w:val="21"/>
              </w:rPr>
            </w:pPr>
            <w:r>
              <w:rPr>
                <w:rFonts w:hint="eastAsia" w:hAnsi="宋体"/>
                <w:szCs w:val="21"/>
              </w:rPr>
              <w:t>调压位置</w:t>
            </w:r>
          </w:p>
        </w:tc>
        <w:tc>
          <w:tcPr>
            <w:tcW w:w="1081" w:type="dxa"/>
            <w:vAlign w:val="center"/>
          </w:tcPr>
          <w:p>
            <w:pPr>
              <w:pStyle w:val="44"/>
              <w:pBdr>
                <w:bottom w:val="none" w:color="auto" w:sz="0" w:space="0"/>
              </w:pBdr>
              <w:tabs>
                <w:tab w:val="clear" w:pos="4153"/>
                <w:tab w:val="clear" w:pos="8306"/>
              </w:tabs>
              <w:spacing w:before="62" w:beforeLines="20" w:after="62" w:afterLines="20"/>
              <w:rPr>
                <w:rFonts w:hAnsi="宋体"/>
                <w:sz w:val="21"/>
                <w:szCs w:val="21"/>
                <w:lang w:val="en-US" w:eastAsia="zh-CN"/>
              </w:rPr>
            </w:pPr>
          </w:p>
        </w:tc>
        <w:tc>
          <w:tcPr>
            <w:tcW w:w="4104" w:type="dxa"/>
            <w:vAlign w:val="center"/>
          </w:tcPr>
          <w:p>
            <w:pPr>
              <w:snapToGrid w:val="0"/>
              <w:spacing w:before="62" w:beforeLines="20" w:after="62" w:afterLines="20"/>
              <w:jc w:val="center"/>
              <w:rPr>
                <w:rFonts w:hAnsi="宋体"/>
                <w:szCs w:val="21"/>
              </w:rPr>
            </w:pPr>
            <w:r>
              <w:rPr>
                <w:rFonts w:hint="eastAsia" w:hAnsi="宋体"/>
                <w:szCs w:val="21"/>
              </w:rPr>
              <w:t>高压侧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885" w:type="dxa"/>
            <w:vAlign w:val="center"/>
          </w:tcPr>
          <w:p>
            <w:pPr>
              <w:snapToGrid w:val="0"/>
              <w:spacing w:before="62" w:beforeLines="20" w:after="62" w:afterLines="20"/>
              <w:jc w:val="center"/>
              <w:rPr>
                <w:rFonts w:hAnsi="宋体"/>
                <w:szCs w:val="21"/>
              </w:rPr>
            </w:pPr>
            <w:r>
              <w:rPr>
                <w:rFonts w:hint="eastAsia" w:hAnsi="宋体"/>
                <w:szCs w:val="21"/>
              </w:rPr>
              <w:t>13</w:t>
            </w:r>
          </w:p>
        </w:tc>
        <w:tc>
          <w:tcPr>
            <w:tcW w:w="3381" w:type="dxa"/>
            <w:vAlign w:val="center"/>
          </w:tcPr>
          <w:p>
            <w:pPr>
              <w:snapToGrid w:val="0"/>
              <w:spacing w:line="400" w:lineRule="atLeast"/>
              <w:jc w:val="center"/>
              <w:rPr>
                <w:rFonts w:hAnsi="宋体"/>
                <w:szCs w:val="21"/>
              </w:rPr>
            </w:pPr>
            <w:r>
              <w:rPr>
                <w:rFonts w:hint="eastAsia" w:hAnsi="宋体"/>
                <w:szCs w:val="21"/>
              </w:rPr>
              <w:t>调压范围</w:t>
            </w:r>
          </w:p>
        </w:tc>
        <w:tc>
          <w:tcPr>
            <w:tcW w:w="1081" w:type="dxa"/>
            <w:vAlign w:val="center"/>
          </w:tcPr>
          <w:p>
            <w:pPr>
              <w:pStyle w:val="44"/>
              <w:pBdr>
                <w:bottom w:val="none" w:color="auto" w:sz="0" w:space="0"/>
              </w:pBdr>
              <w:tabs>
                <w:tab w:val="clear" w:pos="4153"/>
                <w:tab w:val="clear" w:pos="8306"/>
              </w:tabs>
              <w:spacing w:before="62" w:beforeLines="20" w:after="62" w:afterLines="20"/>
              <w:rPr>
                <w:rFonts w:hAnsi="宋体"/>
                <w:sz w:val="21"/>
                <w:szCs w:val="21"/>
                <w:lang w:val="en-US" w:eastAsia="zh-CN"/>
              </w:rPr>
            </w:pPr>
          </w:p>
        </w:tc>
        <w:tc>
          <w:tcPr>
            <w:tcW w:w="4104" w:type="dxa"/>
            <w:vAlign w:val="center"/>
          </w:tcPr>
          <w:p>
            <w:pPr>
              <w:snapToGrid w:val="0"/>
              <w:spacing w:before="62" w:beforeLines="20" w:after="62" w:afterLines="20"/>
              <w:jc w:val="center"/>
              <w:rPr>
                <w:rFonts w:hAnsi="宋体"/>
                <w:szCs w:val="21"/>
              </w:rPr>
            </w:pPr>
            <w:r>
              <w:rPr>
                <w:rFonts w:hint="eastAsia"/>
                <w:szCs w:val="21"/>
              </w:rPr>
              <w:t>±2×2.5%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2" w:hRule="atLeast"/>
          <w:jc w:val="center"/>
        </w:trPr>
        <w:tc>
          <w:tcPr>
            <w:tcW w:w="885" w:type="dxa"/>
            <w:vAlign w:val="center"/>
          </w:tcPr>
          <w:p>
            <w:pPr>
              <w:snapToGrid w:val="0"/>
              <w:spacing w:before="62" w:beforeLines="20" w:after="62" w:afterLines="20"/>
              <w:jc w:val="center"/>
              <w:rPr>
                <w:rFonts w:hAnsi="宋体"/>
                <w:szCs w:val="21"/>
              </w:rPr>
            </w:pPr>
            <w:r>
              <w:rPr>
                <w:rFonts w:hint="eastAsia" w:hAnsi="宋体"/>
                <w:szCs w:val="21"/>
              </w:rPr>
              <w:t>14</w:t>
            </w:r>
          </w:p>
        </w:tc>
        <w:tc>
          <w:tcPr>
            <w:tcW w:w="3381" w:type="dxa"/>
            <w:vAlign w:val="center"/>
          </w:tcPr>
          <w:p>
            <w:pPr>
              <w:snapToGrid w:val="0"/>
              <w:spacing w:line="400" w:lineRule="atLeast"/>
              <w:jc w:val="center"/>
              <w:rPr>
                <w:rFonts w:hAnsi="宋体"/>
                <w:szCs w:val="21"/>
              </w:rPr>
            </w:pPr>
            <w:r>
              <w:rPr>
                <w:rFonts w:hint="eastAsia" w:hAnsi="宋体"/>
                <w:szCs w:val="21"/>
              </w:rPr>
              <w:t>中性点接地方式</w:t>
            </w:r>
          </w:p>
        </w:tc>
        <w:tc>
          <w:tcPr>
            <w:tcW w:w="1081" w:type="dxa"/>
            <w:vAlign w:val="center"/>
          </w:tcPr>
          <w:p>
            <w:pPr>
              <w:pStyle w:val="44"/>
              <w:pBdr>
                <w:bottom w:val="none" w:color="auto" w:sz="0" w:space="0"/>
              </w:pBdr>
              <w:tabs>
                <w:tab w:val="clear" w:pos="4153"/>
                <w:tab w:val="clear" w:pos="8306"/>
              </w:tabs>
              <w:spacing w:before="62" w:beforeLines="20" w:after="62" w:afterLines="20"/>
              <w:rPr>
                <w:rFonts w:hAnsi="宋体"/>
                <w:sz w:val="21"/>
                <w:szCs w:val="21"/>
                <w:lang w:val="en-US" w:eastAsia="zh-CN"/>
              </w:rPr>
            </w:pPr>
          </w:p>
        </w:tc>
        <w:tc>
          <w:tcPr>
            <w:tcW w:w="4104" w:type="dxa"/>
            <w:vAlign w:val="center"/>
          </w:tcPr>
          <w:p>
            <w:pPr>
              <w:snapToGrid w:val="0"/>
              <w:spacing w:before="62" w:beforeLines="20" w:after="62" w:afterLines="20"/>
              <w:jc w:val="center"/>
              <w:rPr>
                <w:rFonts w:hAnsi="宋体"/>
                <w:szCs w:val="21"/>
              </w:rPr>
            </w:pPr>
            <w:r>
              <w:rPr>
                <w:rFonts w:hint="eastAsia" w:hAnsi="宋体"/>
                <w:szCs w:val="21"/>
              </w:rPr>
              <w:t>不接地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885" w:type="dxa"/>
            <w:vAlign w:val="center"/>
          </w:tcPr>
          <w:p>
            <w:pPr>
              <w:snapToGrid w:val="0"/>
              <w:spacing w:before="62" w:beforeLines="20" w:after="62" w:afterLines="20"/>
              <w:jc w:val="center"/>
              <w:rPr>
                <w:rFonts w:hAnsi="宋体"/>
                <w:szCs w:val="21"/>
              </w:rPr>
            </w:pPr>
            <w:r>
              <w:rPr>
                <w:rFonts w:hint="eastAsia" w:hAnsi="宋体"/>
                <w:szCs w:val="21"/>
              </w:rPr>
              <w:t>15</w:t>
            </w:r>
          </w:p>
        </w:tc>
        <w:tc>
          <w:tcPr>
            <w:tcW w:w="3381" w:type="dxa"/>
            <w:vAlign w:val="center"/>
          </w:tcPr>
          <w:p>
            <w:pPr>
              <w:snapToGrid w:val="0"/>
              <w:spacing w:line="400" w:lineRule="atLeast"/>
              <w:jc w:val="center"/>
              <w:rPr>
                <w:rFonts w:hAnsi="宋体"/>
                <w:szCs w:val="21"/>
              </w:rPr>
            </w:pPr>
            <w:r>
              <w:rPr>
                <w:rFonts w:hint="eastAsia" w:hAnsi="宋体"/>
                <w:szCs w:val="21"/>
              </w:rPr>
              <w:t>冷却方式</w:t>
            </w:r>
          </w:p>
        </w:tc>
        <w:tc>
          <w:tcPr>
            <w:tcW w:w="1081" w:type="dxa"/>
            <w:vAlign w:val="center"/>
          </w:tcPr>
          <w:p>
            <w:pPr>
              <w:pStyle w:val="44"/>
              <w:pBdr>
                <w:bottom w:val="none" w:color="auto" w:sz="0" w:space="0"/>
              </w:pBdr>
              <w:tabs>
                <w:tab w:val="clear" w:pos="4153"/>
                <w:tab w:val="clear" w:pos="8306"/>
              </w:tabs>
              <w:spacing w:before="62" w:beforeLines="20" w:after="62" w:afterLines="20"/>
              <w:rPr>
                <w:rFonts w:hAnsi="宋体"/>
                <w:sz w:val="21"/>
                <w:szCs w:val="21"/>
                <w:lang w:val="en-US" w:eastAsia="zh-CN"/>
              </w:rPr>
            </w:pPr>
          </w:p>
        </w:tc>
        <w:tc>
          <w:tcPr>
            <w:tcW w:w="4104" w:type="dxa"/>
            <w:vAlign w:val="center"/>
          </w:tcPr>
          <w:p>
            <w:pPr>
              <w:snapToGrid w:val="0"/>
              <w:spacing w:before="62" w:beforeLines="20" w:after="62" w:afterLines="20"/>
              <w:jc w:val="center"/>
              <w:rPr>
                <w:rFonts w:hAnsi="宋体"/>
                <w:szCs w:val="21"/>
              </w:rPr>
            </w:pPr>
            <w:r>
              <w:rPr>
                <w:rFonts w:hint="eastAsia" w:hAnsi="宋体"/>
                <w:szCs w:val="21"/>
              </w:rPr>
              <w:t>ANAF</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885" w:type="dxa"/>
            <w:vAlign w:val="center"/>
          </w:tcPr>
          <w:p>
            <w:pPr>
              <w:snapToGrid w:val="0"/>
              <w:spacing w:before="62" w:beforeLines="20" w:after="62" w:afterLines="20"/>
              <w:jc w:val="center"/>
              <w:rPr>
                <w:rFonts w:hAnsi="宋体"/>
                <w:szCs w:val="21"/>
              </w:rPr>
            </w:pPr>
            <w:r>
              <w:rPr>
                <w:rFonts w:hint="eastAsia" w:hAnsi="宋体"/>
                <w:szCs w:val="21"/>
              </w:rPr>
              <w:t>16</w:t>
            </w:r>
          </w:p>
        </w:tc>
        <w:tc>
          <w:tcPr>
            <w:tcW w:w="3381" w:type="dxa"/>
            <w:vAlign w:val="center"/>
          </w:tcPr>
          <w:p>
            <w:pPr>
              <w:snapToGrid w:val="0"/>
              <w:spacing w:line="400" w:lineRule="atLeast"/>
              <w:jc w:val="center"/>
              <w:rPr>
                <w:rFonts w:hAnsi="宋体"/>
                <w:szCs w:val="21"/>
              </w:rPr>
            </w:pPr>
            <w:r>
              <w:rPr>
                <w:rFonts w:hint="eastAsia" w:hAnsi="宋体"/>
                <w:szCs w:val="21"/>
              </w:rPr>
              <w:t>绝缘耐热等级</w:t>
            </w:r>
          </w:p>
        </w:tc>
        <w:tc>
          <w:tcPr>
            <w:tcW w:w="1081" w:type="dxa"/>
            <w:vAlign w:val="center"/>
          </w:tcPr>
          <w:p>
            <w:pPr>
              <w:pStyle w:val="44"/>
              <w:pBdr>
                <w:bottom w:val="none" w:color="auto" w:sz="0" w:space="0"/>
              </w:pBdr>
              <w:tabs>
                <w:tab w:val="clear" w:pos="4153"/>
                <w:tab w:val="clear" w:pos="8306"/>
              </w:tabs>
              <w:spacing w:before="62" w:beforeLines="20" w:after="62" w:afterLines="20"/>
              <w:rPr>
                <w:rFonts w:hAnsi="宋体"/>
                <w:sz w:val="21"/>
                <w:szCs w:val="21"/>
                <w:lang w:val="en-US" w:eastAsia="zh-CN"/>
              </w:rPr>
            </w:pPr>
          </w:p>
        </w:tc>
        <w:tc>
          <w:tcPr>
            <w:tcW w:w="4104" w:type="dxa"/>
            <w:tcBorders>
              <w:top w:val="single" w:color="auto" w:sz="4" w:space="0"/>
            </w:tcBorders>
            <w:vAlign w:val="center"/>
          </w:tcPr>
          <w:p>
            <w:pPr>
              <w:snapToGrid w:val="0"/>
              <w:spacing w:before="62" w:beforeLines="20" w:after="62" w:afterLines="20"/>
              <w:jc w:val="center"/>
              <w:rPr>
                <w:rFonts w:hAnsi="宋体"/>
                <w:szCs w:val="21"/>
              </w:rPr>
            </w:pPr>
            <w:r>
              <w:rPr>
                <w:rFonts w:hint="eastAsia" w:hAnsi="宋体"/>
                <w:szCs w:val="21"/>
              </w:rPr>
              <w:t>H级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885" w:type="dxa"/>
            <w:vAlign w:val="center"/>
          </w:tcPr>
          <w:p>
            <w:pPr>
              <w:snapToGrid w:val="0"/>
              <w:spacing w:before="62" w:beforeLines="20" w:after="62" w:afterLines="20"/>
              <w:jc w:val="center"/>
              <w:rPr>
                <w:rFonts w:hAnsi="宋体"/>
                <w:szCs w:val="21"/>
              </w:rPr>
            </w:pPr>
            <w:r>
              <w:rPr>
                <w:rFonts w:hint="eastAsia" w:hAnsi="宋体"/>
                <w:szCs w:val="21"/>
              </w:rPr>
              <w:t>17</w:t>
            </w:r>
          </w:p>
        </w:tc>
        <w:tc>
          <w:tcPr>
            <w:tcW w:w="3381" w:type="dxa"/>
            <w:vAlign w:val="center"/>
          </w:tcPr>
          <w:p>
            <w:pPr>
              <w:snapToGrid w:val="0"/>
              <w:spacing w:line="400" w:lineRule="atLeast"/>
              <w:jc w:val="center"/>
              <w:rPr>
                <w:rFonts w:hAnsi="宋体"/>
                <w:szCs w:val="21"/>
              </w:rPr>
            </w:pPr>
            <w:r>
              <w:rPr>
                <w:rFonts w:hint="eastAsia" w:hAnsi="宋体"/>
                <w:szCs w:val="21"/>
              </w:rPr>
              <w:t>局部放电水平</w:t>
            </w:r>
          </w:p>
        </w:tc>
        <w:tc>
          <w:tcPr>
            <w:tcW w:w="1081" w:type="dxa"/>
            <w:vAlign w:val="center"/>
          </w:tcPr>
          <w:p>
            <w:pPr>
              <w:pStyle w:val="44"/>
              <w:pBdr>
                <w:bottom w:val="none" w:color="auto" w:sz="0" w:space="0"/>
              </w:pBdr>
              <w:tabs>
                <w:tab w:val="clear" w:pos="4153"/>
                <w:tab w:val="clear" w:pos="8306"/>
              </w:tabs>
              <w:spacing w:before="62" w:beforeLines="20" w:after="62" w:afterLines="20"/>
              <w:jc w:val="center"/>
              <w:rPr>
                <w:rFonts w:hAnsi="宋体"/>
                <w:sz w:val="21"/>
                <w:szCs w:val="21"/>
                <w:lang w:val="en-US" w:eastAsia="zh-CN"/>
              </w:rPr>
            </w:pPr>
            <w:r>
              <w:rPr>
                <w:rFonts w:hint="eastAsia" w:hAnsi="宋体"/>
                <w:szCs w:val="21"/>
              </w:rPr>
              <w:t>pC</w:t>
            </w:r>
          </w:p>
        </w:tc>
        <w:tc>
          <w:tcPr>
            <w:tcW w:w="4104" w:type="dxa"/>
            <w:vAlign w:val="center"/>
          </w:tcPr>
          <w:p>
            <w:pPr>
              <w:snapToGrid w:val="0"/>
              <w:spacing w:before="62" w:beforeLines="20" w:after="62" w:afterLines="20"/>
              <w:jc w:val="center"/>
              <w:rPr>
                <w:rFonts w:hAnsi="宋体"/>
                <w:szCs w:val="21"/>
              </w:rPr>
            </w:pPr>
            <w:r>
              <w:rPr>
                <w:rFonts w:hint="eastAsia" w:hAnsi="宋体"/>
                <w:szCs w:val="21"/>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0" w:hRule="atLeast"/>
          <w:jc w:val="center"/>
        </w:trPr>
        <w:tc>
          <w:tcPr>
            <w:tcW w:w="885" w:type="dxa"/>
            <w:vAlign w:val="center"/>
          </w:tcPr>
          <w:p>
            <w:pPr>
              <w:snapToGrid w:val="0"/>
              <w:spacing w:before="62" w:beforeLines="20" w:after="62" w:afterLines="20"/>
              <w:jc w:val="center"/>
              <w:rPr>
                <w:rFonts w:hint="eastAsia"/>
                <w:b/>
                <w:szCs w:val="21"/>
              </w:rPr>
            </w:pPr>
            <w:r>
              <w:rPr>
                <w:rFonts w:hint="eastAsia"/>
                <w:b/>
                <w:szCs w:val="21"/>
              </w:rPr>
              <w:t>二</w:t>
            </w:r>
          </w:p>
        </w:tc>
        <w:tc>
          <w:tcPr>
            <w:tcW w:w="8566" w:type="dxa"/>
            <w:gridSpan w:val="3"/>
            <w:tcBorders>
              <w:top w:val="single" w:color="auto" w:sz="4" w:space="0"/>
              <w:bottom w:val="single" w:color="auto" w:sz="4" w:space="0"/>
            </w:tcBorders>
            <w:vAlign w:val="center"/>
          </w:tcPr>
          <w:p>
            <w:pPr>
              <w:snapToGrid w:val="0"/>
              <w:spacing w:before="62" w:beforeLines="20" w:after="62" w:afterLines="20"/>
              <w:jc w:val="center"/>
              <w:rPr>
                <w:rFonts w:hint="eastAsia"/>
                <w:b/>
                <w:szCs w:val="21"/>
              </w:rPr>
            </w:pPr>
            <w:r>
              <w:rPr>
                <w:rFonts w:hint="eastAsia"/>
                <w:b/>
                <w:szCs w:val="21"/>
              </w:rPr>
              <w:t>绝缘水平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33" w:hRule="atLeast"/>
          <w:jc w:val="center"/>
        </w:trPr>
        <w:tc>
          <w:tcPr>
            <w:tcW w:w="885" w:type="dxa"/>
            <w:vAlign w:val="center"/>
          </w:tcPr>
          <w:p>
            <w:pPr>
              <w:snapToGrid w:val="0"/>
              <w:spacing w:before="62" w:beforeLines="20" w:after="62" w:afterLines="20"/>
              <w:jc w:val="center"/>
              <w:rPr>
                <w:rFonts w:hAnsi="宋体"/>
                <w:szCs w:val="21"/>
              </w:rPr>
            </w:pPr>
            <w:r>
              <w:rPr>
                <w:rFonts w:hint="eastAsia" w:hAnsi="宋体"/>
                <w:szCs w:val="21"/>
              </w:rPr>
              <w:t>1</w:t>
            </w:r>
          </w:p>
        </w:tc>
        <w:tc>
          <w:tcPr>
            <w:tcW w:w="3381" w:type="dxa"/>
            <w:tcBorders>
              <w:top w:val="single" w:color="auto" w:sz="4" w:space="0"/>
            </w:tcBorders>
            <w:vAlign w:val="center"/>
          </w:tcPr>
          <w:p>
            <w:pPr>
              <w:snapToGrid w:val="0"/>
              <w:spacing w:line="400" w:lineRule="atLeast"/>
              <w:jc w:val="center"/>
              <w:rPr>
                <w:rFonts w:hAnsi="宋体"/>
                <w:szCs w:val="21"/>
              </w:rPr>
            </w:pPr>
            <w:r>
              <w:rPr>
                <w:rFonts w:hint="eastAsia" w:hAnsi="宋体"/>
                <w:szCs w:val="21"/>
              </w:rPr>
              <w:t>高压绕组雷电全波冲击电压（峰值）</w:t>
            </w:r>
          </w:p>
        </w:tc>
        <w:tc>
          <w:tcPr>
            <w:tcW w:w="1081" w:type="dxa"/>
            <w:vAlign w:val="center"/>
          </w:tcPr>
          <w:p>
            <w:pPr>
              <w:spacing w:before="62" w:beforeLines="20" w:after="62" w:afterLines="20"/>
              <w:jc w:val="center"/>
              <w:rPr>
                <w:rFonts w:hAnsi="宋体"/>
                <w:szCs w:val="21"/>
              </w:rPr>
            </w:pPr>
            <w:r>
              <w:rPr>
                <w:rFonts w:hint="eastAsia" w:hAnsi="宋体"/>
                <w:szCs w:val="21"/>
              </w:rPr>
              <w:t>kV</w:t>
            </w:r>
          </w:p>
        </w:tc>
        <w:tc>
          <w:tcPr>
            <w:tcW w:w="4104" w:type="dxa"/>
            <w:vAlign w:val="center"/>
          </w:tcPr>
          <w:p>
            <w:pPr>
              <w:spacing w:before="62" w:beforeLines="20" w:after="62" w:afterLines="20"/>
              <w:ind w:firstLine="630" w:firstLineChars="300"/>
              <w:jc w:val="center"/>
              <w:rPr>
                <w:rFonts w:hAnsi="宋体"/>
                <w:szCs w:val="21"/>
              </w:rPr>
            </w:pPr>
            <w:r>
              <w:rPr>
                <w:rFonts w:hint="eastAsia" w:hAnsi="宋体"/>
                <w:szCs w:val="21"/>
              </w:rPr>
              <w:t>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33" w:hRule="atLeast"/>
          <w:jc w:val="center"/>
        </w:trPr>
        <w:tc>
          <w:tcPr>
            <w:tcW w:w="885" w:type="dxa"/>
            <w:vAlign w:val="center"/>
          </w:tcPr>
          <w:p>
            <w:pPr>
              <w:snapToGrid w:val="0"/>
              <w:spacing w:before="62" w:beforeLines="20" w:after="62" w:afterLines="20"/>
              <w:jc w:val="center"/>
              <w:rPr>
                <w:rFonts w:hAnsi="宋体"/>
                <w:szCs w:val="21"/>
              </w:rPr>
            </w:pPr>
            <w:r>
              <w:rPr>
                <w:rFonts w:hint="eastAsia" w:hAnsi="宋体"/>
                <w:szCs w:val="21"/>
              </w:rPr>
              <w:t>2</w:t>
            </w:r>
          </w:p>
        </w:tc>
        <w:tc>
          <w:tcPr>
            <w:tcW w:w="3381" w:type="dxa"/>
            <w:tcBorders>
              <w:top w:val="single" w:color="auto" w:sz="4" w:space="0"/>
            </w:tcBorders>
            <w:vAlign w:val="center"/>
          </w:tcPr>
          <w:p>
            <w:pPr>
              <w:snapToGrid w:val="0"/>
              <w:spacing w:line="400" w:lineRule="atLeast"/>
              <w:jc w:val="center"/>
              <w:rPr>
                <w:rFonts w:hAnsi="宋体"/>
                <w:szCs w:val="21"/>
              </w:rPr>
            </w:pPr>
            <w:r>
              <w:rPr>
                <w:rFonts w:hint="eastAsia" w:hAnsi="宋体"/>
                <w:szCs w:val="21"/>
              </w:rPr>
              <w:t>高压绕组雷电截波冲击电压（峰值）</w:t>
            </w:r>
          </w:p>
        </w:tc>
        <w:tc>
          <w:tcPr>
            <w:tcW w:w="1081" w:type="dxa"/>
            <w:vAlign w:val="center"/>
          </w:tcPr>
          <w:p>
            <w:pPr>
              <w:spacing w:before="62" w:beforeLines="20" w:after="62" w:afterLines="20"/>
              <w:ind w:firstLine="630" w:firstLineChars="300"/>
              <w:jc w:val="center"/>
              <w:rPr>
                <w:rFonts w:hAnsi="宋体"/>
                <w:szCs w:val="21"/>
              </w:rPr>
            </w:pPr>
          </w:p>
        </w:tc>
        <w:tc>
          <w:tcPr>
            <w:tcW w:w="4104" w:type="dxa"/>
            <w:vAlign w:val="center"/>
          </w:tcPr>
          <w:p>
            <w:pPr>
              <w:spacing w:before="62" w:beforeLines="20" w:after="62" w:afterLines="20"/>
              <w:ind w:firstLine="630" w:firstLineChars="300"/>
              <w:jc w:val="center"/>
              <w:rPr>
                <w:rFonts w:hAnsi="宋体"/>
                <w:szCs w:val="21"/>
              </w:rPr>
            </w:pPr>
            <w:r>
              <w:rPr>
                <w:rFonts w:hint="eastAsia" w:hAnsi="宋体"/>
                <w:szCs w:val="21"/>
              </w:rPr>
              <w:t>85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33" w:hRule="atLeast"/>
          <w:jc w:val="center"/>
        </w:trPr>
        <w:tc>
          <w:tcPr>
            <w:tcW w:w="885" w:type="dxa"/>
            <w:vAlign w:val="center"/>
          </w:tcPr>
          <w:p>
            <w:pPr>
              <w:snapToGrid w:val="0"/>
              <w:spacing w:before="62" w:beforeLines="20" w:after="62" w:afterLines="20"/>
              <w:jc w:val="center"/>
              <w:rPr>
                <w:rFonts w:hAnsi="宋体"/>
                <w:szCs w:val="21"/>
              </w:rPr>
            </w:pPr>
            <w:r>
              <w:rPr>
                <w:rFonts w:hint="eastAsia" w:hAnsi="宋体"/>
                <w:szCs w:val="21"/>
              </w:rPr>
              <w:t>3</w:t>
            </w:r>
          </w:p>
        </w:tc>
        <w:tc>
          <w:tcPr>
            <w:tcW w:w="3381" w:type="dxa"/>
            <w:tcBorders>
              <w:top w:val="single" w:color="auto" w:sz="4" w:space="0"/>
            </w:tcBorders>
            <w:vAlign w:val="center"/>
          </w:tcPr>
          <w:p>
            <w:pPr>
              <w:snapToGrid w:val="0"/>
              <w:spacing w:line="400" w:lineRule="atLeast"/>
              <w:rPr>
                <w:rFonts w:hAnsi="宋体"/>
                <w:szCs w:val="21"/>
              </w:rPr>
            </w:pPr>
            <w:r>
              <w:rPr>
                <w:rFonts w:hint="eastAsia" w:hAnsi="宋体"/>
                <w:szCs w:val="21"/>
              </w:rPr>
              <w:t>高压绕组额定短时工频耐受电压 （有效值）</w:t>
            </w:r>
          </w:p>
        </w:tc>
        <w:tc>
          <w:tcPr>
            <w:tcW w:w="1081" w:type="dxa"/>
            <w:vAlign w:val="center"/>
          </w:tcPr>
          <w:p>
            <w:pPr>
              <w:spacing w:before="62" w:beforeLines="20" w:after="62" w:afterLines="20"/>
              <w:jc w:val="center"/>
              <w:rPr>
                <w:rFonts w:hAnsi="宋体"/>
                <w:szCs w:val="21"/>
              </w:rPr>
            </w:pPr>
            <w:r>
              <w:rPr>
                <w:rFonts w:hint="eastAsia"/>
                <w:szCs w:val="21"/>
              </w:rPr>
              <w:t>kV</w:t>
            </w:r>
          </w:p>
        </w:tc>
        <w:tc>
          <w:tcPr>
            <w:tcW w:w="4104" w:type="dxa"/>
            <w:vAlign w:val="center"/>
          </w:tcPr>
          <w:p>
            <w:pPr>
              <w:spacing w:before="62" w:beforeLines="20" w:after="62" w:afterLines="20"/>
              <w:ind w:firstLine="630" w:firstLineChars="300"/>
              <w:jc w:val="center"/>
              <w:rPr>
                <w:rFonts w:hAnsi="宋体"/>
                <w:szCs w:val="21"/>
              </w:rPr>
            </w:pPr>
            <w:r>
              <w:rPr>
                <w:rFonts w:hint="eastAsia" w:hAnsi="宋体"/>
                <w:szCs w:val="21"/>
              </w:rPr>
              <w:t>35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33" w:hRule="atLeast"/>
          <w:jc w:val="center"/>
        </w:trPr>
        <w:tc>
          <w:tcPr>
            <w:tcW w:w="885" w:type="dxa"/>
            <w:vAlign w:val="center"/>
          </w:tcPr>
          <w:p>
            <w:pPr>
              <w:snapToGrid w:val="0"/>
              <w:spacing w:before="62" w:beforeLines="20" w:after="62" w:afterLines="20"/>
              <w:jc w:val="center"/>
              <w:rPr>
                <w:rFonts w:hAnsi="宋体"/>
                <w:szCs w:val="21"/>
              </w:rPr>
            </w:pPr>
            <w:r>
              <w:rPr>
                <w:rFonts w:hint="eastAsia" w:hAnsi="宋体"/>
                <w:szCs w:val="21"/>
              </w:rPr>
              <w:t>4</w:t>
            </w:r>
          </w:p>
        </w:tc>
        <w:tc>
          <w:tcPr>
            <w:tcW w:w="3381" w:type="dxa"/>
            <w:tcBorders>
              <w:top w:val="single" w:color="auto" w:sz="4" w:space="0"/>
            </w:tcBorders>
            <w:vAlign w:val="center"/>
          </w:tcPr>
          <w:p>
            <w:pPr>
              <w:snapToGrid w:val="0"/>
              <w:spacing w:line="400" w:lineRule="atLeast"/>
              <w:rPr>
                <w:rFonts w:hAnsi="宋体"/>
                <w:szCs w:val="21"/>
              </w:rPr>
            </w:pPr>
            <w:r>
              <w:rPr>
                <w:rFonts w:hint="eastAsia" w:hAnsi="宋体"/>
                <w:szCs w:val="21"/>
              </w:rPr>
              <w:t>低压绕组额定短时工频耐受电压 （有效值）</w:t>
            </w:r>
          </w:p>
        </w:tc>
        <w:tc>
          <w:tcPr>
            <w:tcW w:w="1081" w:type="dxa"/>
            <w:vAlign w:val="center"/>
          </w:tcPr>
          <w:p>
            <w:pPr>
              <w:spacing w:before="62" w:beforeLines="20" w:after="62" w:afterLines="20"/>
              <w:jc w:val="center"/>
              <w:rPr>
                <w:rFonts w:hAnsi="宋体"/>
                <w:szCs w:val="21"/>
              </w:rPr>
            </w:pPr>
            <w:r>
              <w:rPr>
                <w:rFonts w:hint="eastAsia"/>
                <w:szCs w:val="21"/>
              </w:rPr>
              <w:t>kV</w:t>
            </w:r>
          </w:p>
        </w:tc>
        <w:tc>
          <w:tcPr>
            <w:tcW w:w="4104" w:type="dxa"/>
            <w:vAlign w:val="center"/>
          </w:tcPr>
          <w:p>
            <w:pPr>
              <w:spacing w:before="62" w:beforeLines="20" w:after="62" w:afterLines="20"/>
              <w:ind w:firstLine="630" w:firstLineChars="300"/>
              <w:jc w:val="center"/>
              <w:rPr>
                <w:rFonts w:hAnsi="宋体"/>
                <w:szCs w:val="21"/>
              </w:rPr>
            </w:pPr>
            <w:r>
              <w:rPr>
                <w:rFonts w:hint="eastAsia" w:hAnsi="宋体"/>
                <w:szCs w:val="21"/>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33" w:hRule="atLeast"/>
          <w:jc w:val="center"/>
        </w:trPr>
        <w:tc>
          <w:tcPr>
            <w:tcW w:w="885" w:type="dxa"/>
            <w:vAlign w:val="center"/>
          </w:tcPr>
          <w:p>
            <w:pPr>
              <w:snapToGrid w:val="0"/>
              <w:spacing w:before="62" w:beforeLines="20" w:after="62" w:afterLines="20"/>
              <w:jc w:val="center"/>
              <w:rPr>
                <w:rFonts w:hint="eastAsia"/>
                <w:b/>
                <w:szCs w:val="21"/>
              </w:rPr>
            </w:pPr>
            <w:r>
              <w:rPr>
                <w:rFonts w:hint="eastAsia"/>
                <w:b/>
                <w:szCs w:val="21"/>
              </w:rPr>
              <w:t>三</w:t>
            </w:r>
          </w:p>
        </w:tc>
        <w:tc>
          <w:tcPr>
            <w:tcW w:w="8566" w:type="dxa"/>
            <w:gridSpan w:val="3"/>
            <w:tcBorders>
              <w:top w:val="single" w:color="auto" w:sz="4" w:space="0"/>
            </w:tcBorders>
            <w:vAlign w:val="center"/>
          </w:tcPr>
          <w:p>
            <w:pPr>
              <w:snapToGrid w:val="0"/>
              <w:spacing w:before="62" w:beforeLines="20" w:after="62" w:afterLines="20"/>
              <w:jc w:val="center"/>
              <w:rPr>
                <w:rFonts w:hint="eastAsia"/>
                <w:b/>
                <w:szCs w:val="21"/>
              </w:rPr>
            </w:pPr>
            <w:r>
              <w:rPr>
                <w:rFonts w:hint="eastAsia"/>
                <w:b/>
                <w:szCs w:val="21"/>
              </w:rPr>
              <w:t>温升限值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33" w:hRule="atLeast"/>
          <w:jc w:val="center"/>
        </w:trPr>
        <w:tc>
          <w:tcPr>
            <w:tcW w:w="885" w:type="dxa"/>
            <w:vAlign w:val="center"/>
          </w:tcPr>
          <w:p>
            <w:pPr>
              <w:snapToGrid w:val="0"/>
              <w:spacing w:before="62" w:beforeLines="20" w:after="62" w:afterLines="20"/>
              <w:jc w:val="center"/>
              <w:rPr>
                <w:rFonts w:hAnsi="宋体"/>
                <w:szCs w:val="21"/>
              </w:rPr>
            </w:pPr>
            <w:r>
              <w:rPr>
                <w:rFonts w:hint="eastAsia" w:hAnsi="宋体"/>
                <w:szCs w:val="21"/>
              </w:rPr>
              <w:t>1</w:t>
            </w:r>
          </w:p>
        </w:tc>
        <w:tc>
          <w:tcPr>
            <w:tcW w:w="3381" w:type="dxa"/>
            <w:tcBorders>
              <w:top w:val="single" w:color="auto" w:sz="4" w:space="0"/>
            </w:tcBorders>
            <w:vAlign w:val="center"/>
          </w:tcPr>
          <w:p>
            <w:pPr>
              <w:snapToGrid w:val="0"/>
              <w:spacing w:line="400" w:lineRule="atLeast"/>
              <w:jc w:val="center"/>
              <w:rPr>
                <w:rFonts w:hAnsi="宋体"/>
                <w:szCs w:val="21"/>
              </w:rPr>
            </w:pPr>
            <w:r>
              <w:rPr>
                <w:rFonts w:hint="eastAsia" w:hAnsi="宋体"/>
                <w:szCs w:val="21"/>
              </w:rPr>
              <w:t>额定电流下的绕组平均温升(F)</w:t>
            </w:r>
          </w:p>
        </w:tc>
        <w:tc>
          <w:tcPr>
            <w:tcW w:w="1081" w:type="dxa"/>
            <w:vMerge w:val="restart"/>
            <w:vAlign w:val="center"/>
          </w:tcPr>
          <w:p>
            <w:pPr>
              <w:snapToGrid w:val="0"/>
              <w:spacing w:before="62" w:beforeLines="20" w:after="62" w:afterLines="20"/>
              <w:jc w:val="center"/>
              <w:rPr>
                <w:rFonts w:hAnsi="宋体"/>
                <w:szCs w:val="21"/>
              </w:rPr>
            </w:pPr>
            <w:r>
              <w:rPr>
                <w:rFonts w:hint="eastAsia" w:hAnsi="宋体"/>
                <w:szCs w:val="21"/>
              </w:rPr>
              <w:t>K</w:t>
            </w:r>
          </w:p>
        </w:tc>
        <w:tc>
          <w:tcPr>
            <w:tcW w:w="4104" w:type="dxa"/>
            <w:vAlign w:val="center"/>
          </w:tcPr>
          <w:p>
            <w:pPr>
              <w:spacing w:before="62" w:beforeLines="20" w:after="62" w:afterLines="20"/>
              <w:ind w:firstLine="630" w:firstLineChars="300"/>
              <w:jc w:val="center"/>
              <w:rPr>
                <w:rFonts w:hint="default" w:hAnsi="宋体" w:eastAsia="宋体"/>
                <w:szCs w:val="21"/>
                <w:lang w:val="en-US" w:eastAsia="zh-CN"/>
              </w:rPr>
            </w:pPr>
            <w:r>
              <w:rPr>
                <w:rFonts w:hint="eastAsia" w:hAnsi="宋体"/>
                <w:szCs w:val="21"/>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33" w:hRule="atLeast"/>
          <w:jc w:val="center"/>
        </w:trPr>
        <w:tc>
          <w:tcPr>
            <w:tcW w:w="885" w:type="dxa"/>
            <w:vAlign w:val="center"/>
          </w:tcPr>
          <w:p>
            <w:pPr>
              <w:snapToGrid w:val="0"/>
              <w:spacing w:before="62" w:beforeLines="20" w:after="62" w:afterLines="20"/>
              <w:jc w:val="center"/>
              <w:rPr>
                <w:rFonts w:hAnsi="宋体"/>
                <w:szCs w:val="21"/>
              </w:rPr>
            </w:pPr>
            <w:r>
              <w:rPr>
                <w:rFonts w:hint="eastAsia" w:hAnsi="宋体"/>
                <w:szCs w:val="21"/>
              </w:rPr>
              <w:t>2</w:t>
            </w:r>
          </w:p>
        </w:tc>
        <w:tc>
          <w:tcPr>
            <w:tcW w:w="3381" w:type="dxa"/>
            <w:tcBorders>
              <w:top w:val="single" w:color="auto" w:sz="4" w:space="0"/>
            </w:tcBorders>
            <w:vAlign w:val="center"/>
          </w:tcPr>
          <w:p>
            <w:pPr>
              <w:snapToGrid w:val="0"/>
              <w:spacing w:line="400" w:lineRule="atLeast"/>
              <w:jc w:val="center"/>
              <w:rPr>
                <w:rFonts w:hAnsi="宋体"/>
                <w:szCs w:val="21"/>
              </w:rPr>
            </w:pPr>
            <w:r>
              <w:rPr>
                <w:rFonts w:hint="eastAsia" w:hAnsi="宋体"/>
                <w:szCs w:val="21"/>
              </w:rPr>
              <w:t>额定电流下的绕组平均温升(H)</w:t>
            </w:r>
          </w:p>
        </w:tc>
        <w:tc>
          <w:tcPr>
            <w:tcW w:w="1081" w:type="dxa"/>
            <w:vMerge w:val="continue"/>
            <w:vAlign w:val="center"/>
          </w:tcPr>
          <w:p>
            <w:pPr>
              <w:snapToGrid w:val="0"/>
              <w:spacing w:before="62" w:beforeLines="20" w:after="62" w:afterLines="20"/>
              <w:jc w:val="center"/>
              <w:rPr>
                <w:rFonts w:hint="eastAsia"/>
                <w:szCs w:val="21"/>
              </w:rPr>
            </w:pPr>
          </w:p>
        </w:tc>
        <w:tc>
          <w:tcPr>
            <w:tcW w:w="4104" w:type="dxa"/>
            <w:vAlign w:val="center"/>
          </w:tcPr>
          <w:p>
            <w:pPr>
              <w:spacing w:before="62" w:beforeLines="20" w:after="62" w:afterLines="20"/>
              <w:ind w:firstLine="630" w:firstLineChars="300"/>
              <w:jc w:val="center"/>
              <w:rPr>
                <w:rFonts w:hAnsi="宋体"/>
                <w:szCs w:val="21"/>
              </w:rPr>
            </w:pPr>
            <w:r>
              <w:rPr>
                <w:rFonts w:hint="eastAsia" w:hAnsi="宋体"/>
                <w:szCs w:val="21"/>
              </w:rPr>
              <w:t>125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885" w:type="dxa"/>
            <w:vAlign w:val="center"/>
          </w:tcPr>
          <w:p>
            <w:pPr>
              <w:snapToGrid w:val="0"/>
              <w:spacing w:before="62" w:beforeLines="20" w:after="62" w:afterLines="20"/>
              <w:jc w:val="center"/>
              <w:rPr>
                <w:rFonts w:hint="eastAsia"/>
                <w:b/>
                <w:szCs w:val="21"/>
              </w:rPr>
            </w:pPr>
            <w:r>
              <w:rPr>
                <w:rFonts w:hint="eastAsia"/>
                <w:b/>
                <w:szCs w:val="21"/>
              </w:rPr>
              <w:t>四</w:t>
            </w:r>
          </w:p>
        </w:tc>
        <w:tc>
          <w:tcPr>
            <w:tcW w:w="8566" w:type="dxa"/>
            <w:gridSpan w:val="3"/>
            <w:vAlign w:val="center"/>
          </w:tcPr>
          <w:p>
            <w:pPr>
              <w:snapToGrid w:val="0"/>
              <w:spacing w:before="62" w:beforeLines="20" w:after="62" w:afterLines="20"/>
              <w:jc w:val="center"/>
              <w:rPr>
                <w:rFonts w:hint="eastAsia"/>
                <w:b/>
                <w:szCs w:val="21"/>
              </w:rPr>
            </w:pPr>
            <w:r>
              <w:rPr>
                <w:rFonts w:hint="eastAsia"/>
                <w:b/>
                <w:szCs w:val="21"/>
              </w:rPr>
              <w:t>空载损耗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0" w:hRule="atLeast"/>
          <w:jc w:val="center"/>
        </w:trPr>
        <w:tc>
          <w:tcPr>
            <w:tcW w:w="885" w:type="dxa"/>
            <w:vAlign w:val="center"/>
          </w:tcPr>
          <w:p>
            <w:pPr>
              <w:snapToGrid w:val="0"/>
              <w:spacing w:line="400" w:lineRule="atLeast"/>
              <w:jc w:val="center"/>
              <w:rPr>
                <w:rFonts w:hint="eastAsia"/>
                <w:szCs w:val="21"/>
              </w:rPr>
            </w:pPr>
            <w:r>
              <w:rPr>
                <w:rFonts w:hint="eastAsia"/>
                <w:szCs w:val="21"/>
              </w:rPr>
              <w:t>1</w:t>
            </w:r>
          </w:p>
        </w:tc>
        <w:tc>
          <w:tcPr>
            <w:tcW w:w="3381" w:type="dxa"/>
            <w:vAlign w:val="center"/>
          </w:tcPr>
          <w:p>
            <w:pPr>
              <w:snapToGrid w:val="0"/>
              <w:spacing w:line="400" w:lineRule="atLeast"/>
              <w:jc w:val="center"/>
              <w:rPr>
                <w:rFonts w:hAnsi="宋体"/>
                <w:szCs w:val="21"/>
              </w:rPr>
            </w:pPr>
            <w:r>
              <w:rPr>
                <w:rFonts w:hint="eastAsia" w:ascii="宋体" w:hAnsi="宋体"/>
                <w:kern w:val="21"/>
                <w:szCs w:val="21"/>
              </w:rPr>
              <w:t>空载损耗</w:t>
            </w:r>
          </w:p>
        </w:tc>
        <w:tc>
          <w:tcPr>
            <w:tcW w:w="1081" w:type="dxa"/>
            <w:vAlign w:val="center"/>
          </w:tcPr>
          <w:p>
            <w:pPr>
              <w:snapToGrid w:val="0"/>
              <w:spacing w:line="400" w:lineRule="atLeast"/>
              <w:jc w:val="center"/>
              <w:rPr>
                <w:rFonts w:hint="eastAsia"/>
                <w:szCs w:val="21"/>
              </w:rPr>
            </w:pPr>
            <w:r>
              <w:rPr>
                <w:rFonts w:hint="eastAsia" w:hAnsi="宋体"/>
                <w:szCs w:val="21"/>
              </w:rPr>
              <w:t>kW</w:t>
            </w:r>
          </w:p>
        </w:tc>
        <w:tc>
          <w:tcPr>
            <w:tcW w:w="4104" w:type="dxa"/>
            <w:vAlign w:val="center"/>
          </w:tcPr>
          <w:p>
            <w:pPr>
              <w:topLinePunct w:val="1"/>
              <w:snapToGrid w:val="0"/>
              <w:spacing w:before="68" w:after="68"/>
              <w:jc w:val="center"/>
              <w:rPr>
                <w:rFonts w:hint="default" w:hAnsi="宋体" w:eastAsia="宋体"/>
                <w:szCs w:val="21"/>
                <w:lang w:val="en-US" w:eastAsia="zh-CN"/>
              </w:rPr>
            </w:pPr>
            <w:r>
              <w:rPr>
                <w:rFonts w:hint="eastAsia" w:hAnsi="宋体"/>
                <w:szCs w:val="21"/>
              </w:rPr>
              <w:t>0.</w:t>
            </w:r>
            <w:r>
              <w:rPr>
                <w:rFonts w:hint="eastAsia" w:hAnsi="宋体"/>
                <w:szCs w:val="21"/>
                <w:lang w:val="en-US" w:eastAsia="zh-CN"/>
              </w:rPr>
              <w:t>51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57" w:hRule="atLeast"/>
          <w:jc w:val="center"/>
        </w:trPr>
        <w:tc>
          <w:tcPr>
            <w:tcW w:w="885" w:type="dxa"/>
            <w:vAlign w:val="center"/>
          </w:tcPr>
          <w:p>
            <w:pPr>
              <w:snapToGrid w:val="0"/>
              <w:spacing w:before="62" w:beforeLines="20" w:after="62" w:afterLines="20"/>
              <w:jc w:val="center"/>
              <w:rPr>
                <w:rFonts w:hint="eastAsia" w:eastAsia="宋体"/>
                <w:b/>
                <w:szCs w:val="21"/>
                <w:lang w:eastAsia="zh-CN"/>
              </w:rPr>
            </w:pPr>
            <w:r>
              <w:rPr>
                <w:rFonts w:hint="eastAsia"/>
                <w:b/>
                <w:szCs w:val="21"/>
                <w:lang w:val="en-US" w:eastAsia="zh-CN"/>
              </w:rPr>
              <w:t>五</w:t>
            </w:r>
          </w:p>
        </w:tc>
        <w:tc>
          <w:tcPr>
            <w:tcW w:w="8566" w:type="dxa"/>
            <w:gridSpan w:val="3"/>
            <w:vAlign w:val="center"/>
          </w:tcPr>
          <w:p>
            <w:pPr>
              <w:snapToGrid w:val="0"/>
              <w:spacing w:before="62" w:beforeLines="20" w:after="62" w:afterLines="20"/>
              <w:jc w:val="center"/>
              <w:rPr>
                <w:rFonts w:hint="eastAsia"/>
                <w:b/>
                <w:szCs w:val="21"/>
              </w:rPr>
            </w:pPr>
            <w:r>
              <w:rPr>
                <w:rFonts w:hint="eastAsia"/>
                <w:b/>
                <w:szCs w:val="21"/>
              </w:rPr>
              <w:t>负载损耗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1" w:hRule="atLeast"/>
          <w:jc w:val="center"/>
        </w:trPr>
        <w:tc>
          <w:tcPr>
            <w:tcW w:w="885" w:type="dxa"/>
            <w:vAlign w:val="center"/>
          </w:tcPr>
          <w:p>
            <w:pPr>
              <w:snapToGrid w:val="0"/>
              <w:spacing w:line="400" w:lineRule="atLeast"/>
              <w:jc w:val="center"/>
              <w:rPr>
                <w:rFonts w:hint="eastAsia"/>
                <w:szCs w:val="21"/>
              </w:rPr>
            </w:pPr>
            <w:r>
              <w:rPr>
                <w:rFonts w:hint="eastAsia"/>
                <w:szCs w:val="21"/>
              </w:rPr>
              <w:t>1</w:t>
            </w:r>
          </w:p>
        </w:tc>
        <w:tc>
          <w:tcPr>
            <w:tcW w:w="3381" w:type="dxa"/>
            <w:vAlign w:val="center"/>
          </w:tcPr>
          <w:p>
            <w:pPr>
              <w:snapToGrid w:val="0"/>
              <w:spacing w:line="400" w:lineRule="atLeast"/>
              <w:jc w:val="center"/>
              <w:rPr>
                <w:rFonts w:hAnsi="宋体"/>
                <w:szCs w:val="21"/>
              </w:rPr>
            </w:pPr>
            <w:r>
              <w:rPr>
                <w:rFonts w:hint="eastAsia" w:ascii="宋体" w:hAnsi="宋体"/>
                <w:kern w:val="21"/>
                <w:szCs w:val="21"/>
              </w:rPr>
              <w:t>主分接（</w:t>
            </w:r>
            <w:r>
              <w:rPr>
                <w:rFonts w:hint="eastAsia" w:ascii="宋体" w:hAnsi="宋体"/>
                <w:spacing w:val="-8"/>
                <w:kern w:val="21"/>
                <w:szCs w:val="21"/>
              </w:rPr>
              <w:t>145℃</w:t>
            </w:r>
            <w:r>
              <w:rPr>
                <w:rFonts w:hint="eastAsia" w:ascii="宋体" w:hAnsi="宋体"/>
                <w:kern w:val="21"/>
                <w:szCs w:val="21"/>
              </w:rPr>
              <w:t>）</w:t>
            </w:r>
          </w:p>
        </w:tc>
        <w:tc>
          <w:tcPr>
            <w:tcW w:w="1081" w:type="dxa"/>
            <w:vAlign w:val="center"/>
          </w:tcPr>
          <w:p>
            <w:pPr>
              <w:snapToGrid w:val="0"/>
              <w:spacing w:before="62" w:beforeLines="20" w:after="62" w:afterLines="20"/>
              <w:jc w:val="center"/>
              <w:rPr>
                <w:rFonts w:hAnsi="宋体"/>
                <w:szCs w:val="21"/>
              </w:rPr>
            </w:pPr>
            <w:r>
              <w:rPr>
                <w:rFonts w:hint="eastAsia" w:ascii="宋体" w:hAnsi="宋体"/>
                <w:kern w:val="21"/>
                <w:szCs w:val="21"/>
              </w:rPr>
              <w:t>kW</w:t>
            </w:r>
          </w:p>
        </w:tc>
        <w:tc>
          <w:tcPr>
            <w:tcW w:w="4104" w:type="dxa"/>
            <w:tcBorders>
              <w:top w:val="single" w:color="auto" w:sz="4" w:space="0"/>
            </w:tcBorders>
            <w:vAlign w:val="center"/>
          </w:tcPr>
          <w:p>
            <w:pPr>
              <w:snapToGrid w:val="0"/>
              <w:spacing w:before="62" w:beforeLines="20" w:after="62" w:afterLines="20"/>
              <w:jc w:val="center"/>
              <w:rPr>
                <w:rFonts w:hint="default" w:hAnsi="宋体" w:eastAsia="宋体"/>
                <w:szCs w:val="21"/>
                <w:lang w:val="en-US" w:eastAsia="zh-CN"/>
              </w:rPr>
            </w:pPr>
            <w:r>
              <w:rPr>
                <w:rFonts w:hint="eastAsia" w:hAnsi="宋体"/>
                <w:szCs w:val="21"/>
                <w:lang w:val="en-US" w:eastAsia="zh-CN"/>
              </w:rPr>
              <w:t>3.355</w:t>
            </w:r>
          </w:p>
        </w:tc>
      </w:tr>
    </w:tbl>
    <w:p>
      <w:pPr>
        <w:pStyle w:val="254"/>
        <w:numPr>
          <w:numId w:val="0"/>
        </w:numPr>
        <w:rPr>
          <w:rFonts w:hint="eastAsia"/>
        </w:rPr>
      </w:pPr>
    </w:p>
    <w:p>
      <w:pPr>
        <w:widowControl w:val="0"/>
        <w:tabs>
          <w:tab w:val="left" w:pos="482"/>
          <w:tab w:val="left" w:pos="2183"/>
          <w:tab w:val="left" w:pos="3884"/>
          <w:tab w:val="left" w:pos="5585"/>
        </w:tabs>
        <w:wordWrap/>
        <w:adjustRightInd/>
        <w:snapToGrid/>
        <w:spacing w:line="360" w:lineRule="auto"/>
        <w:ind w:firstLine="482" w:firstLineChars="200"/>
        <w:contextualSpacing/>
        <w:textAlignment w:val="baseline"/>
        <w:rPr>
          <w:rFonts w:hint="eastAsia" w:ascii="宋体" w:hAnsi="宋体" w:eastAsia="宋体" w:cs="宋体"/>
          <w:b/>
          <w:bCs/>
          <w:sz w:val="24"/>
        </w:rPr>
      </w:pPr>
      <w:r>
        <w:rPr>
          <w:rFonts w:hint="eastAsia" w:ascii="宋体" w:hAnsi="宋体" w:eastAsia="宋体" w:cs="宋体"/>
          <w:b/>
          <w:bCs/>
          <w:sz w:val="24"/>
        </w:rPr>
        <w:t>5、附件</w:t>
      </w:r>
    </w:p>
    <w:p>
      <w:pPr>
        <w:widowControl w:val="0"/>
        <w:wordWrap/>
        <w:adjustRightInd/>
        <w:snapToGrid/>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5.1温度控制系统</w:t>
      </w:r>
    </w:p>
    <w:p>
      <w:pPr>
        <w:widowControl w:val="0"/>
        <w:wordWrap/>
        <w:adjustRightInd/>
        <w:snapToGrid/>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5.1.1温度控制系统采用高线性度的铂电阻（PT100)进行变压器绕组温度检测，并综合应用单片机技术，检测及显示变压器绕组的温度，自动启停冷却风机对绕组进行强迫风冷，有效地判别传感器开路等故障信号，提供超温报警及超温跳闸输出，避免或减少变压器因温度过高而引发的故障，以保证变压器运行在安全状态，从而延长变压器工作寿命。</w:t>
      </w:r>
    </w:p>
    <w:p>
      <w:pPr>
        <w:widowControl w:val="0"/>
        <w:wordWrap/>
        <w:adjustRightInd/>
        <w:snapToGrid/>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5.1.2温控器技术指标：</w:t>
      </w:r>
    </w:p>
    <w:p>
      <w:pPr>
        <w:widowControl w:val="0"/>
        <w:wordWrap/>
        <w:adjustRightInd/>
        <w:snapToGrid/>
        <w:spacing w:line="360"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rPr>
        <w:t>1.测量范围：-30.0℃～200.0℃</w:t>
      </w:r>
    </w:p>
    <w:p>
      <w:pPr>
        <w:widowControl w:val="0"/>
        <w:wordWrap/>
        <w:adjustRightInd/>
        <w:snapToGrid/>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2.精度等级：1级 ( 温控器0.5级，传感器B级 )</w:t>
      </w:r>
    </w:p>
    <w:p>
      <w:pPr>
        <w:widowControl w:val="0"/>
        <w:wordWrap/>
        <w:adjustRightInd/>
        <w:snapToGrid/>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3.分辨力：0.1℃</w:t>
      </w:r>
    </w:p>
    <w:p>
      <w:pPr>
        <w:widowControl w:val="0"/>
        <w:wordWrap/>
        <w:adjustRightInd/>
        <w:snapToGrid/>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4.工作电压：220VAC(+10%，-15%)</w:t>
      </w:r>
    </w:p>
    <w:p>
      <w:pPr>
        <w:widowControl w:val="0"/>
        <w:wordWrap/>
        <w:adjustRightInd/>
        <w:snapToGrid/>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5.工作频率：(50Hz～60Hz)±2Hz</w:t>
      </w:r>
    </w:p>
    <w:p>
      <w:pPr>
        <w:widowControl w:val="0"/>
        <w:wordWrap/>
        <w:adjustRightInd/>
        <w:snapToGrid/>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6.继电器触点容量：风机触点容量10A/250VAC</w:t>
      </w:r>
    </w:p>
    <w:p>
      <w:pPr>
        <w:widowControl w:val="0"/>
        <w:wordWrap/>
        <w:adjustRightInd/>
        <w:snapToGrid/>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7.控制输出容量 5A/250VAC； 5A/30VDC(阻性)</w:t>
      </w:r>
    </w:p>
    <w:p>
      <w:pPr>
        <w:widowControl w:val="0"/>
        <w:wordWrap/>
        <w:adjustRightInd/>
        <w:snapToGrid/>
        <w:spacing w:line="360"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rPr>
        <w:t>8.生产标准：JB/T7631《变压器用电子温控器》、IEC61000-4国际标准和GB/T17626-2008《电磁兼容试验和测量技术》标准等</w:t>
      </w:r>
    </w:p>
    <w:p>
      <w:pPr>
        <w:widowControl w:val="0"/>
        <w:wordWrap/>
        <w:adjustRightInd/>
        <w:snapToGrid/>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5.1.3 温控器主要功能：</w:t>
      </w:r>
    </w:p>
    <w:p>
      <w:pPr>
        <w:widowControl w:val="0"/>
        <w:wordWrap/>
        <w:adjustRightInd/>
        <w:snapToGrid/>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1.三相绕组温度巡检和最大值显示，历史最高温度记录，失点测量数据保存；</w:t>
      </w:r>
    </w:p>
    <w:p>
      <w:pPr>
        <w:widowControl w:val="0"/>
        <w:wordWrap/>
        <w:adjustRightInd/>
        <w:snapToGrid/>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2.绕组超温报警、超温跳闸并输出；</w:t>
      </w:r>
    </w:p>
    <w:p>
      <w:pPr>
        <w:widowControl w:val="0"/>
        <w:wordWrap/>
        <w:adjustRightInd/>
        <w:snapToGrid/>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3.手动/自动控制、显示和输出冷却风机启停，风机运行信号远传，风机故障信号报警；</w:t>
      </w:r>
    </w:p>
    <w:p>
      <w:pPr>
        <w:widowControl w:val="0"/>
        <w:wordWrap/>
        <w:adjustRightInd/>
        <w:snapToGrid/>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4.开门报警、门禁输入功能；</w:t>
      </w:r>
    </w:p>
    <w:p>
      <w:pPr>
        <w:widowControl w:val="0"/>
        <w:wordWrap/>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5.提供RS-485/232串行通讯功能(通讯距离可达1200米)。</w:t>
      </w:r>
    </w:p>
    <w:p>
      <w:pPr>
        <w:widowControl w:val="0"/>
        <w:wordWrap/>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5.1.4带外壳时温控器可以直接装于外壳板上，不带外壳时温控器可以安装在变压器本体上或者变压器室墙壁上。</w:t>
      </w:r>
    </w:p>
    <w:p>
      <w:pPr>
        <w:widowControl w:val="0"/>
        <w:wordWrap/>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5.2风冷系统</w:t>
      </w:r>
    </w:p>
    <w:p>
      <w:pPr>
        <w:widowControl w:val="0"/>
        <w:wordWrap/>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5.2.1当变压器安装在地下室或其它通风能力较差的环境时,须增设散热风冷系统。</w:t>
      </w:r>
    </w:p>
    <w:p>
      <w:pPr>
        <w:widowControl w:val="0"/>
        <w:wordWrap/>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5.2.2风冷系统配置冷却风机，可能自动和手动起动，当变压器热点温度超过规定值时能自起动,提供一只手动操作的“自动-手动”两个位置的切换开关，用以选择冷却风机的运行方式。</w:t>
      </w:r>
    </w:p>
    <w:p>
      <w:pPr>
        <w:widowControl w:val="0"/>
        <w:wordWrap/>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5.2.3风冷系统的控制操作元件装于温度控制箱内，采用铜绞线，绝缘电压不低于600V，截面不小于1.5mm2，厂内完成系统接线。</w:t>
      </w:r>
    </w:p>
    <w:p>
      <w:pPr>
        <w:widowControl w:val="0"/>
        <w:wordWrap/>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5.2.4风机选用新型帘式风机，质量可靠、安装简便、噪声小、体积小，不超过变压器本体外形尺寸。</w:t>
      </w:r>
    </w:p>
    <w:p>
      <w:pPr>
        <w:widowControl w:val="0"/>
        <w:wordWrap/>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5.2.5 采用风冷系统后，在正常使用条件下，变压器容量可提高50%，可适用于各种急救过负荷或断续过负荷运行情况。</w:t>
      </w:r>
    </w:p>
    <w:p>
      <w:pPr>
        <w:widowControl w:val="0"/>
        <w:wordWrap/>
        <w:adjustRightInd/>
        <w:snapToGrid/>
        <w:spacing w:line="360" w:lineRule="auto"/>
        <w:ind w:firstLine="480" w:firstLineChars="200"/>
        <w:jc w:val="left"/>
        <w:textAlignment w:val="auto"/>
        <w:rPr>
          <w:rFonts w:hint="eastAsia" w:ascii="宋体" w:hAnsi="宋体" w:eastAsia="宋体" w:cs="宋体"/>
          <w:sz w:val="24"/>
        </w:rPr>
      </w:pPr>
      <w:bookmarkStart w:id="39" w:name="OLE_LINK18"/>
      <w:bookmarkStart w:id="40" w:name="OLE_LINK17"/>
      <w:r>
        <w:rPr>
          <w:rFonts w:hint="eastAsia" w:ascii="宋体" w:hAnsi="宋体" w:eastAsia="宋体" w:cs="宋体"/>
          <w:sz w:val="24"/>
        </w:rPr>
        <w:t>5.3外壳</w:t>
      </w:r>
    </w:p>
    <w:bookmarkEnd w:id="39"/>
    <w:bookmarkEnd w:id="40"/>
    <w:p>
      <w:pPr>
        <w:widowControl w:val="0"/>
        <w:wordWrap/>
        <w:adjustRightInd/>
        <w:snapToGrid/>
        <w:spacing w:line="360" w:lineRule="auto"/>
        <w:ind w:firstLine="480" w:firstLineChars="200"/>
        <w:jc w:val="left"/>
        <w:textAlignment w:val="auto"/>
        <w:rPr>
          <w:rFonts w:hint="eastAsia" w:ascii="宋体" w:hAnsi="宋体" w:eastAsia="宋体" w:cs="宋体"/>
          <w:sz w:val="24"/>
        </w:rPr>
      </w:pPr>
      <w:bookmarkStart w:id="41" w:name="_Toc267486288"/>
      <w:bookmarkStart w:id="42" w:name="_Toc267483843"/>
      <w:bookmarkStart w:id="43" w:name="_Toc267899745"/>
      <w:r>
        <w:rPr>
          <w:rFonts w:hint="eastAsia" w:ascii="宋体" w:hAnsi="宋体" w:eastAsia="宋体" w:cs="宋体"/>
          <w:sz w:val="24"/>
        </w:rPr>
        <w:t>5.3.1外壳用优质钢板或铝合金制成，</w:t>
      </w:r>
      <w:bookmarkStart w:id="44" w:name="_Toc267483845"/>
      <w:bookmarkStart w:id="45" w:name="_Toc267899747"/>
      <w:bookmarkStart w:id="46" w:name="_Toc267486290"/>
      <w:bookmarkEnd w:id="41"/>
      <w:bookmarkEnd w:id="42"/>
      <w:bookmarkEnd w:id="43"/>
      <w:r>
        <w:rPr>
          <w:rFonts w:hint="eastAsia" w:ascii="宋体" w:hAnsi="宋体" w:eastAsia="宋体" w:cs="宋体"/>
          <w:sz w:val="24"/>
        </w:rPr>
        <w:t>防护等级≥IP</w:t>
      </w:r>
      <w:r>
        <w:rPr>
          <w:rFonts w:hint="eastAsia" w:ascii="宋体" w:hAnsi="宋体" w:eastAsia="宋体" w:cs="宋体"/>
          <w:sz w:val="24"/>
          <w:lang w:val="en-US" w:eastAsia="zh-CN"/>
        </w:rPr>
        <w:t>31</w:t>
      </w:r>
      <w:r>
        <w:rPr>
          <w:rFonts w:hint="eastAsia" w:ascii="宋体" w:hAnsi="宋体" w:eastAsia="宋体" w:cs="宋体"/>
          <w:sz w:val="24"/>
        </w:rPr>
        <w:t>，外壳应采用坚固的型材支撑，外壳的支撑架等所有不载流部件连接在一起，提供标准的双孔接地板。</w:t>
      </w:r>
    </w:p>
    <w:p>
      <w:pPr>
        <w:widowControl w:val="0"/>
        <w:wordWrap/>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5.3.2外壳正面及背面应留有门，用以检修时充分接近柜内设备。应装设带电开门报警装置。</w:t>
      </w:r>
    </w:p>
    <w:p>
      <w:pPr>
        <w:widowControl w:val="0"/>
        <w:wordWrap/>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5.3.3外壳可拆卸，可现场组装，变压器需要检修运输时，可整体搬运或拆除变压器外壳后拖出变压器本体。</w:t>
      </w:r>
    </w:p>
    <w:p>
      <w:pPr>
        <w:widowControl w:val="0"/>
        <w:wordWrap/>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5.3.4外壳高压侧预留电缆进线孔和电缆支架，电缆可从变压器外壳的顶部或底部进入，低压侧可根据外壳的进出线方式在侧面、顶部或者底部预留母线或电缆进出孔，以便用户现场安装。</w:t>
      </w:r>
    </w:p>
    <w:p>
      <w:pPr>
        <w:widowControl w:val="0"/>
        <w:wordWrap/>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5.3.5外壳具有足够的机械和电气强度，运输、安装过程中不会因机械和电气应力而不损坏。</w:t>
      </w:r>
    </w:p>
    <w:p>
      <w:pPr>
        <w:widowControl w:val="0"/>
        <w:wordWrap/>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5.3.6 钢板外壳颜色为RAL7032，铝合金外壳为铝合金本色</w:t>
      </w:r>
      <w:bookmarkEnd w:id="44"/>
      <w:bookmarkEnd w:id="45"/>
      <w:bookmarkEnd w:id="46"/>
      <w:r>
        <w:rPr>
          <w:rFonts w:hint="eastAsia" w:ascii="宋体" w:hAnsi="宋体" w:eastAsia="宋体" w:cs="宋体"/>
          <w:sz w:val="24"/>
        </w:rPr>
        <w:t>，也可按照用户要求进行特殊配置。</w:t>
      </w:r>
    </w:p>
    <w:p>
      <w:pPr>
        <w:widowControl w:val="0"/>
        <w:wordWrap/>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5.4进出线方式</w:t>
      </w:r>
    </w:p>
    <w:p>
      <w:pPr>
        <w:wordWrap/>
        <w:adjustRightInd w:val="0"/>
        <w:snapToGrid w:val="0"/>
        <w:spacing w:line="360" w:lineRule="auto"/>
        <w:ind w:firstLine="240" w:firstLineChars="100"/>
        <w:jc w:val="left"/>
        <w:rPr>
          <w:rFonts w:hint="eastAsia" w:ascii="宋体" w:hAnsi="宋体" w:eastAsia="宋体" w:cs="宋体"/>
          <w:sz w:val="24"/>
        </w:rPr>
      </w:pPr>
      <w:r>
        <w:rPr>
          <w:rFonts w:hint="eastAsia" w:ascii="宋体" w:hAnsi="宋体" w:eastAsia="宋体" w:cs="宋体"/>
          <w:sz w:val="24"/>
        </w:rPr>
        <w:t>变压器进出线方式由用户根据实际情况选择,如低压上进线、低压电缆下进线，高压上进线、低压电缆下进线等。</w:t>
      </w:r>
    </w:p>
    <w:p>
      <w:pPr>
        <w:wordWrap/>
        <w:adjustRightInd w:val="0"/>
        <w:snapToGrid w:val="0"/>
        <w:spacing w:line="360" w:lineRule="auto"/>
        <w:ind w:firstLine="240" w:firstLineChars="100"/>
        <w:jc w:val="left"/>
        <w:rPr>
          <w:rFonts w:hint="eastAsia" w:ascii="宋体" w:hAnsi="宋体" w:eastAsia="宋体" w:cs="宋体"/>
          <w:sz w:val="24"/>
        </w:rPr>
      </w:pPr>
    </w:p>
    <w:p>
      <w:pPr>
        <w:keepNext/>
        <w:keepLines/>
        <w:widowControl w:val="0"/>
        <w:wordWrap/>
        <w:spacing w:before="0" w:beforeLines="0" w:after="0" w:afterLines="0" w:line="360" w:lineRule="auto"/>
        <w:jc w:val="both"/>
        <w:outlineLvl w:val="1"/>
        <w:rPr>
          <w:rFonts w:ascii="宋体" w:hAnsi="宋体" w:eastAsia="宋体" w:cs="宋体"/>
          <w:b/>
          <w:bCs/>
          <w:kern w:val="2"/>
          <w:sz w:val="24"/>
          <w:szCs w:val="32"/>
          <w:lang w:val="en-US" w:eastAsia="zh-CN" w:bidi="ar-SA"/>
        </w:rPr>
      </w:pPr>
      <w:r>
        <w:rPr>
          <w:rFonts w:hint="eastAsia" w:ascii="宋体" w:hAnsi="宋体" w:eastAsia="宋体" w:cs="宋体"/>
          <w:b/>
          <w:bCs/>
          <w:kern w:val="2"/>
          <w:sz w:val="24"/>
          <w:szCs w:val="24"/>
          <w:lang w:val="en-US" w:eastAsia="zh-CN" w:bidi="ar-SA"/>
        </w:rPr>
        <w:t>（三）低压柜</w:t>
      </w:r>
    </w:p>
    <w:p>
      <w:pPr>
        <w:wordWrap/>
        <w:adjustRightInd/>
        <w:spacing w:line="360" w:lineRule="auto"/>
        <w:ind w:firstLine="482" w:firstLineChars="200"/>
        <w:rPr>
          <w:rFonts w:ascii="宋体" w:hAnsi="宋体" w:eastAsia="宋体" w:cs="宋体"/>
          <w:b/>
          <w:sz w:val="24"/>
        </w:rPr>
      </w:pPr>
      <w:r>
        <w:rPr>
          <w:rFonts w:hint="eastAsia" w:ascii="宋体" w:hAnsi="宋体" w:eastAsia="宋体" w:cs="宋体"/>
          <w:b/>
          <w:sz w:val="24"/>
        </w:rPr>
        <w:t>低压柜系统概况和相关设备：</w:t>
      </w:r>
    </w:p>
    <w:p>
      <w:pPr>
        <w:wordWrap/>
        <w:adjustRightInd/>
        <w:spacing w:line="360" w:lineRule="auto"/>
        <w:ind w:firstLine="480" w:firstLineChars="200"/>
        <w:rPr>
          <w:rFonts w:ascii="宋体" w:hAnsi="宋体" w:eastAsia="宋体" w:cs="宋体"/>
          <w:sz w:val="24"/>
        </w:rPr>
      </w:pPr>
      <w:r>
        <w:rPr>
          <w:rFonts w:hint="eastAsia" w:ascii="宋体" w:hAnsi="宋体" w:eastAsia="宋体" w:cs="宋体"/>
          <w:sz w:val="24"/>
        </w:rPr>
        <w:t>系统额定电压：380/220V。</w:t>
      </w:r>
    </w:p>
    <w:p>
      <w:pPr>
        <w:wordWrap/>
        <w:adjustRightInd/>
        <w:spacing w:line="360" w:lineRule="auto"/>
        <w:ind w:firstLine="480" w:firstLineChars="200"/>
        <w:rPr>
          <w:rFonts w:ascii="宋体" w:hAnsi="宋体" w:eastAsia="宋体" w:cs="宋体"/>
          <w:sz w:val="24"/>
        </w:rPr>
      </w:pPr>
      <w:r>
        <w:rPr>
          <w:rFonts w:hint="eastAsia" w:ascii="宋体" w:hAnsi="宋体" w:eastAsia="宋体" w:cs="宋体"/>
          <w:sz w:val="24"/>
        </w:rPr>
        <w:t>系统额定频率：50Hz。</w:t>
      </w:r>
    </w:p>
    <w:p>
      <w:pPr>
        <w:wordWrap/>
        <w:adjustRightInd/>
        <w:spacing w:line="360" w:lineRule="auto"/>
        <w:ind w:firstLine="480" w:firstLineChars="200"/>
        <w:rPr>
          <w:rFonts w:ascii="宋体" w:hAnsi="宋体" w:eastAsia="宋体" w:cs="宋体"/>
          <w:sz w:val="24"/>
        </w:rPr>
      </w:pPr>
      <w:r>
        <w:rPr>
          <w:rFonts w:hint="eastAsia" w:ascii="宋体" w:hAnsi="宋体" w:eastAsia="宋体" w:cs="宋体"/>
          <w:sz w:val="24"/>
        </w:rPr>
        <w:t>系统中性点接地方式：直接接地。</w:t>
      </w:r>
    </w:p>
    <w:p>
      <w:pPr>
        <w:wordWrap/>
        <w:adjustRightInd/>
        <w:spacing w:line="360" w:lineRule="auto"/>
        <w:ind w:firstLine="480" w:firstLineChars="200"/>
        <w:rPr>
          <w:rFonts w:ascii="宋体" w:hAnsi="宋体" w:eastAsia="宋体" w:cs="宋体"/>
          <w:sz w:val="24"/>
        </w:rPr>
      </w:pPr>
      <w:r>
        <w:rPr>
          <w:rFonts w:hint="eastAsia" w:ascii="宋体" w:hAnsi="宋体" w:eastAsia="宋体" w:cs="宋体"/>
          <w:sz w:val="24"/>
        </w:rPr>
        <w:t>配电柜色标：RAL7035</w:t>
      </w:r>
    </w:p>
    <w:p>
      <w:pPr>
        <w:wordWrap/>
        <w:adjustRightInd/>
        <w:spacing w:line="360" w:lineRule="auto"/>
        <w:ind w:firstLine="480" w:firstLineChars="200"/>
        <w:rPr>
          <w:rFonts w:ascii="宋体" w:hAnsi="宋体" w:eastAsia="宋体" w:cs="宋体"/>
          <w:sz w:val="24"/>
        </w:rPr>
      </w:pPr>
      <w:r>
        <w:rPr>
          <w:rFonts w:hint="eastAsia" w:ascii="宋体" w:hAnsi="宋体" w:eastAsia="宋体" w:cs="宋体"/>
          <w:sz w:val="24"/>
        </w:rPr>
        <w:t>设备安装地点：户内，电气/电子设备应能满足在室温40℃，无空调的环境中长期安全可靠运行，且运行参数保持额定值。</w:t>
      </w:r>
    </w:p>
    <w:p>
      <w:pPr>
        <w:wordWrap/>
        <w:adjustRightInd/>
        <w:spacing w:line="360" w:lineRule="auto"/>
        <w:ind w:firstLine="480" w:firstLineChars="200"/>
        <w:rPr>
          <w:rFonts w:ascii="宋体" w:hAnsi="宋体" w:eastAsia="宋体" w:cs="宋体"/>
          <w:sz w:val="24"/>
        </w:rPr>
      </w:pPr>
      <w:r>
        <w:rPr>
          <w:rFonts w:hint="eastAsia" w:ascii="宋体" w:hAnsi="宋体" w:eastAsia="宋体" w:cs="宋体"/>
          <w:sz w:val="24"/>
        </w:rPr>
        <w:t>1.技术要求</w:t>
      </w:r>
    </w:p>
    <w:p>
      <w:pPr>
        <w:wordWrap/>
        <w:adjustRightInd/>
        <w:spacing w:line="360" w:lineRule="auto"/>
        <w:ind w:firstLine="480" w:firstLineChars="200"/>
        <w:rPr>
          <w:rFonts w:ascii="宋体" w:hAnsi="宋体" w:eastAsia="宋体" w:cs="宋体"/>
          <w:sz w:val="24"/>
        </w:rPr>
      </w:pPr>
      <w:bookmarkStart w:id="47" w:name="_Hlt513197696"/>
      <w:bookmarkEnd w:id="47"/>
      <w:bookmarkStart w:id="48" w:name="_Hlt513211397"/>
      <w:bookmarkEnd w:id="48"/>
      <w:bookmarkStart w:id="49" w:name="_Hlt15555338"/>
      <w:bookmarkEnd w:id="49"/>
      <w:r>
        <w:rPr>
          <w:rFonts w:hint="eastAsia" w:ascii="宋体" w:hAnsi="宋体" w:eastAsia="宋体" w:cs="宋体"/>
          <w:sz w:val="24"/>
        </w:rPr>
        <w:t>1.1开关柜型式为</w:t>
      </w:r>
      <w:r>
        <w:rPr>
          <w:rFonts w:hint="eastAsia" w:ascii="宋体" w:hAnsi="宋体" w:eastAsia="宋体" w:cs="宋体"/>
          <w:sz w:val="24"/>
          <w:u w:val="single"/>
        </w:rPr>
        <w:t>GCK</w:t>
      </w:r>
      <w:r>
        <w:rPr>
          <w:rFonts w:hint="eastAsia" w:ascii="宋体" w:hAnsi="宋体" w:eastAsia="宋体" w:cs="宋体"/>
          <w:sz w:val="24"/>
        </w:rPr>
        <w:t>式低压开关柜。</w:t>
      </w:r>
    </w:p>
    <w:p>
      <w:pPr>
        <w:wordWrap/>
        <w:adjustRightInd/>
        <w:spacing w:line="360" w:lineRule="auto"/>
        <w:ind w:firstLine="480" w:firstLineChars="200"/>
        <w:rPr>
          <w:rFonts w:ascii="宋体" w:hAnsi="宋体" w:eastAsia="宋体" w:cs="宋体"/>
          <w:sz w:val="24"/>
        </w:rPr>
      </w:pPr>
      <w:r>
        <w:rPr>
          <w:rFonts w:hint="eastAsia" w:ascii="宋体" w:hAnsi="宋体" w:eastAsia="宋体" w:cs="宋体"/>
          <w:sz w:val="24"/>
        </w:rPr>
        <w:t>1.2开关柜主要参数：</w:t>
      </w:r>
    </w:p>
    <w:p>
      <w:pPr>
        <w:wordWrap/>
        <w:adjustRightInd/>
        <w:spacing w:line="360" w:lineRule="auto"/>
        <w:ind w:firstLine="480" w:firstLineChars="200"/>
        <w:rPr>
          <w:rFonts w:ascii="宋体" w:hAnsi="宋体" w:eastAsia="宋体" w:cs="宋体"/>
          <w:sz w:val="24"/>
        </w:rPr>
      </w:pPr>
      <w:r>
        <w:rPr>
          <w:rFonts w:hint="eastAsia" w:ascii="宋体" w:hAnsi="宋体" w:eastAsia="宋体" w:cs="宋体"/>
          <w:sz w:val="24"/>
        </w:rPr>
        <w:t>1.2.1额定电压：400V</w:t>
      </w:r>
    </w:p>
    <w:p>
      <w:pPr>
        <w:wordWrap/>
        <w:adjustRightInd/>
        <w:spacing w:line="360" w:lineRule="auto"/>
        <w:ind w:firstLine="480" w:firstLineChars="200"/>
        <w:rPr>
          <w:rFonts w:ascii="宋体" w:hAnsi="宋体" w:eastAsia="宋体" w:cs="宋体"/>
          <w:sz w:val="24"/>
        </w:rPr>
      </w:pPr>
      <w:r>
        <w:rPr>
          <w:rFonts w:hint="eastAsia" w:ascii="宋体" w:hAnsi="宋体" w:eastAsia="宋体" w:cs="宋体"/>
          <w:sz w:val="24"/>
        </w:rPr>
        <w:t>1.2.2额定绝缘电压：660V</w:t>
      </w:r>
    </w:p>
    <w:p>
      <w:pPr>
        <w:wordWrap/>
        <w:adjustRightInd/>
        <w:spacing w:line="360" w:lineRule="auto"/>
        <w:ind w:firstLine="480" w:firstLineChars="200"/>
        <w:rPr>
          <w:rFonts w:ascii="宋体" w:hAnsi="宋体" w:eastAsia="宋体" w:cs="宋体"/>
          <w:sz w:val="24"/>
        </w:rPr>
      </w:pPr>
      <w:r>
        <w:rPr>
          <w:rFonts w:hint="eastAsia" w:ascii="宋体" w:hAnsi="宋体" w:eastAsia="宋体" w:cs="宋体"/>
          <w:sz w:val="24"/>
        </w:rPr>
        <w:t>1.2.3主母线和N线、PE母线载流量：(主母线，N线，PE母线均采用T2铜排)</w:t>
      </w:r>
    </w:p>
    <w:p>
      <w:pPr>
        <w:wordWrap/>
        <w:adjustRightInd/>
        <w:spacing w:line="360" w:lineRule="auto"/>
        <w:ind w:firstLine="480" w:firstLineChars="200"/>
        <w:rPr>
          <w:rFonts w:ascii="宋体" w:hAnsi="宋体" w:eastAsia="宋体" w:cs="宋体"/>
          <w:sz w:val="24"/>
        </w:rPr>
      </w:pPr>
      <w:r>
        <w:rPr>
          <w:rFonts w:hint="eastAsia" w:ascii="宋体" w:hAnsi="宋体" w:eastAsia="宋体" w:cs="宋体"/>
          <w:sz w:val="24"/>
        </w:rPr>
        <w:t>1.2.4辅助电路额定工作电压：AC220V</w:t>
      </w:r>
    </w:p>
    <w:p>
      <w:pPr>
        <w:wordWrap/>
        <w:adjustRightInd/>
        <w:spacing w:line="360" w:lineRule="auto"/>
        <w:ind w:firstLine="480" w:firstLineChars="200"/>
        <w:rPr>
          <w:rFonts w:ascii="宋体" w:hAnsi="宋体" w:eastAsia="宋体" w:cs="宋体"/>
          <w:sz w:val="24"/>
        </w:rPr>
      </w:pPr>
      <w:r>
        <w:rPr>
          <w:rFonts w:hint="eastAsia" w:ascii="宋体" w:hAnsi="宋体" w:eastAsia="宋体" w:cs="宋体"/>
          <w:sz w:val="24"/>
        </w:rPr>
        <w:t>1.3元器件选型详见施工图。</w:t>
      </w:r>
    </w:p>
    <w:p>
      <w:pPr>
        <w:wordWrap/>
        <w:adjustRightInd/>
        <w:spacing w:line="360" w:lineRule="auto"/>
        <w:ind w:firstLine="480" w:firstLineChars="200"/>
        <w:rPr>
          <w:rFonts w:ascii="宋体" w:hAnsi="宋体" w:eastAsia="宋体" w:cs="宋体"/>
          <w:sz w:val="24"/>
        </w:rPr>
      </w:pPr>
      <w:r>
        <w:rPr>
          <w:rFonts w:hint="eastAsia" w:ascii="宋体" w:hAnsi="宋体" w:eastAsia="宋体" w:cs="宋体"/>
          <w:sz w:val="24"/>
        </w:rPr>
        <w:t>1.4开关柜组屏设计原则</w:t>
      </w:r>
    </w:p>
    <w:p>
      <w:pPr>
        <w:wordWrap/>
        <w:autoSpaceDE w:val="0"/>
        <w:autoSpaceDN w:val="0"/>
        <w:adjustRightInd/>
        <w:spacing w:line="360" w:lineRule="auto"/>
        <w:ind w:firstLine="480" w:firstLineChars="200"/>
        <w:jc w:val="left"/>
        <w:textAlignment w:val="bottom"/>
        <w:rPr>
          <w:rFonts w:hint="eastAsia" w:ascii="宋体" w:hAnsi="宋体" w:eastAsia="宋体" w:cs="宋体"/>
          <w:sz w:val="24"/>
        </w:rPr>
      </w:pPr>
      <w:r>
        <w:rPr>
          <w:rFonts w:hint="eastAsia" w:ascii="宋体" w:hAnsi="宋体" w:eastAsia="宋体" w:cs="宋体"/>
          <w:sz w:val="24"/>
        </w:rPr>
        <w:t>开关柜外形平整美观，壳体由刚性框架组成，框架结构用覆铝锌板经柔性加工线一次成型的C型骨架组装而成，内部各工作单元之间通过金属挡板或相当的材料隔离，采取适当措施，以抑制涡流的产生</w:t>
      </w:r>
      <w:r>
        <w:rPr>
          <w:rFonts w:hint="eastAsia" w:ascii="宋体" w:hAnsi="宋体" w:eastAsia="宋体" w:cs="宋体"/>
          <w:sz w:val="24"/>
          <w:lang w:val="en-US" w:eastAsia="zh-CN"/>
        </w:rPr>
        <w:t>;</w:t>
      </w:r>
      <w:r>
        <w:rPr>
          <w:rFonts w:hint="eastAsia" w:ascii="宋体" w:hAnsi="宋体" w:eastAsia="宋体" w:cs="宋体"/>
          <w:sz w:val="24"/>
        </w:rPr>
        <w:t>开关柜具有很好的刚度和强度，以完全满足运输、安装、运行、检修等的机械强度要求</w:t>
      </w:r>
      <w:r>
        <w:rPr>
          <w:rFonts w:hint="eastAsia" w:ascii="宋体" w:hAnsi="宋体" w:eastAsia="宋体" w:cs="宋体"/>
          <w:sz w:val="24"/>
          <w:lang w:val="en-US" w:eastAsia="zh-CN"/>
        </w:rPr>
        <w:t>;</w:t>
      </w:r>
      <w:r>
        <w:rPr>
          <w:rFonts w:hint="eastAsia" w:ascii="宋体" w:hAnsi="宋体" w:eastAsia="宋体" w:cs="宋体"/>
          <w:sz w:val="24"/>
        </w:rPr>
        <w:t>喷塑表面无以下现象：色斑、结块或突起、严重“橘皮”、 鱼眼或塑坑、凹点或白点、针空或气泡、露底</w:t>
      </w:r>
      <w:r>
        <w:rPr>
          <w:rFonts w:hint="eastAsia" w:ascii="宋体" w:hAnsi="宋体" w:eastAsia="宋体" w:cs="宋体"/>
          <w:sz w:val="24"/>
          <w:lang w:val="en-US" w:eastAsia="zh-CN"/>
        </w:rPr>
        <w:t>;</w:t>
      </w:r>
      <w:r>
        <w:rPr>
          <w:rFonts w:hint="eastAsia" w:ascii="宋体" w:hAnsi="宋体" w:eastAsia="宋体" w:cs="宋体"/>
          <w:sz w:val="24"/>
        </w:rPr>
        <w:t>抽屉单元五防装配，门开合、推进机构、操作机构、一二次转接插件等灵活、无卡涩现象</w:t>
      </w:r>
      <w:r>
        <w:rPr>
          <w:rFonts w:hint="eastAsia" w:ascii="宋体" w:hAnsi="宋体" w:eastAsia="宋体" w:cs="宋体"/>
          <w:sz w:val="24"/>
          <w:lang w:val="en-US" w:eastAsia="zh-CN"/>
        </w:rPr>
        <w:t>;</w:t>
      </w:r>
      <w:r>
        <w:rPr>
          <w:rFonts w:hint="eastAsia" w:ascii="宋体" w:hAnsi="宋体" w:eastAsia="宋体" w:cs="宋体"/>
          <w:sz w:val="24"/>
        </w:rPr>
        <w:t>门开启关合灵活、无卡涩现象</w:t>
      </w:r>
      <w:r>
        <w:rPr>
          <w:rFonts w:hint="eastAsia" w:ascii="宋体" w:hAnsi="宋体" w:eastAsia="宋体" w:cs="宋体"/>
          <w:sz w:val="24"/>
          <w:lang w:val="en-US" w:eastAsia="zh-CN"/>
        </w:rPr>
        <w:t>;</w:t>
      </w:r>
      <w:r>
        <w:rPr>
          <w:rFonts w:hint="eastAsia" w:ascii="宋体" w:hAnsi="宋体" w:eastAsia="宋体" w:cs="宋体"/>
          <w:sz w:val="24"/>
        </w:rPr>
        <w:t>进线及母联柜断路器安装底板要求加立梁进线加固，变频、电抗等承重较大的安装梁不允许用自攻螺丝固定，必须采用对穿螺丝固定</w:t>
      </w:r>
      <w:r>
        <w:rPr>
          <w:rFonts w:hint="eastAsia" w:ascii="宋体" w:hAnsi="宋体" w:eastAsia="宋体" w:cs="宋体"/>
          <w:sz w:val="24"/>
          <w:lang w:val="en-US" w:eastAsia="zh-CN"/>
        </w:rPr>
        <w:t>;</w:t>
      </w:r>
      <w:r>
        <w:rPr>
          <w:rFonts w:hint="eastAsia" w:ascii="宋体" w:hAnsi="宋体" w:eastAsia="宋体" w:cs="宋体"/>
          <w:sz w:val="24"/>
        </w:rPr>
        <w:t>柜内安装梁采用敷铝锌板或镀锌板制作，厚度大于等于2.0mm</w:t>
      </w:r>
      <w:r>
        <w:rPr>
          <w:rFonts w:hint="eastAsia" w:ascii="宋体" w:hAnsi="宋体" w:eastAsia="宋体" w:cs="宋体"/>
          <w:sz w:val="24"/>
          <w:lang w:val="en-US" w:eastAsia="zh-CN"/>
        </w:rPr>
        <w:t>;</w:t>
      </w:r>
      <w:r>
        <w:rPr>
          <w:rFonts w:hint="eastAsia" w:ascii="宋体" w:hAnsi="宋体" w:eastAsia="宋体" w:cs="宋体"/>
          <w:sz w:val="24"/>
        </w:rPr>
        <w:t>顶盖为可开启式，要求折边保证强度。全部单元能承受设计规定的额定短路电流产生的热应力和电动力而不损坏。所有金属结构的部件，均按有关规定可靠连接到柜内接地母线上，其接地线满足设备短路电流热稳定的要求。</w:t>
      </w:r>
    </w:p>
    <w:p>
      <w:pPr>
        <w:wordWrap/>
        <w:autoSpaceDE w:val="0"/>
        <w:autoSpaceDN w:val="0"/>
        <w:adjustRightInd/>
        <w:spacing w:line="360" w:lineRule="auto"/>
        <w:ind w:firstLine="480" w:firstLineChars="200"/>
        <w:jc w:val="left"/>
        <w:textAlignment w:val="bottom"/>
        <w:rPr>
          <w:rFonts w:hint="eastAsia" w:ascii="宋体" w:hAnsi="宋体" w:eastAsia="宋体" w:cs="宋体"/>
          <w:sz w:val="24"/>
          <w:lang w:val="en-US" w:eastAsia="zh-CN"/>
        </w:rPr>
      </w:pPr>
      <w:r>
        <w:rPr>
          <w:rFonts w:hint="eastAsia" w:ascii="宋体" w:hAnsi="宋体" w:eastAsia="宋体" w:cs="宋体"/>
          <w:sz w:val="24"/>
          <w:lang w:val="en-US" w:eastAsia="zh-CN"/>
        </w:rPr>
        <w:t>低压联络柜需配备工业级触摸屏，不低于1920*1080分辨率，采用高灵敏度电容触摸屏，支持十指触控，该屏幕需运行能源管理系统或配套触摸屏软件，直观显示所属配电房内的相关电力数据、动环数据，便于开展运维工作。</w:t>
      </w:r>
    </w:p>
    <w:p>
      <w:pPr>
        <w:wordWrap/>
        <w:autoSpaceDE w:val="0"/>
        <w:autoSpaceDN w:val="0"/>
        <w:adjustRightInd/>
        <w:spacing w:line="360" w:lineRule="auto"/>
        <w:ind w:firstLine="480" w:firstLineChars="200"/>
        <w:jc w:val="left"/>
        <w:textAlignment w:val="bottom"/>
        <w:rPr>
          <w:rFonts w:ascii="宋体" w:hAnsi="宋体" w:eastAsia="宋体" w:cs="宋体"/>
          <w:sz w:val="24"/>
        </w:rPr>
      </w:pPr>
      <w:r>
        <w:rPr>
          <w:rFonts w:hint="eastAsia" w:ascii="宋体" w:hAnsi="宋体" w:eastAsia="宋体" w:cs="宋体"/>
          <w:sz w:val="24"/>
        </w:rPr>
        <w:t>设备的布置便于操作，在任何情况下不妨碍良好的运行性能，柜内空间满足检修要求。</w:t>
      </w:r>
    </w:p>
    <w:p>
      <w:pPr>
        <w:wordWrap/>
        <w:autoSpaceDE w:val="0"/>
        <w:autoSpaceDN w:val="0"/>
        <w:adjustRightInd/>
        <w:spacing w:line="360" w:lineRule="auto"/>
        <w:ind w:firstLine="480" w:firstLineChars="200"/>
        <w:jc w:val="left"/>
        <w:textAlignment w:val="bottom"/>
        <w:rPr>
          <w:rFonts w:ascii="宋体" w:hAnsi="宋体" w:eastAsia="宋体" w:cs="宋体"/>
          <w:sz w:val="24"/>
        </w:rPr>
      </w:pPr>
      <w:r>
        <w:rPr>
          <w:rFonts w:hint="eastAsia" w:ascii="宋体" w:hAnsi="宋体" w:eastAsia="宋体" w:cs="宋体"/>
          <w:sz w:val="24"/>
        </w:rPr>
        <w:t>开关柜的基本结构是骨架厚度不小于2.5mm厚，外壳采用不小于2mm厚的优质覆铝锌板，框架采用固定间隔模数孔的C形或其他异形框架组装而成，框架不允许焊接，柜体的全部金属结构件需经过防腐、防潮处理，并保证在正常运输、仓储、安装条件下不会发生任何变形。外壳具有IP30的防护等级，能够防止直径大于2.5mm的物体接近柜内带电部分和触及运动部分，可以防止小动物从电缆沟进入柜体内部。</w:t>
      </w:r>
    </w:p>
    <w:p>
      <w:pPr>
        <w:wordWrap/>
        <w:adjustRightInd/>
        <w:spacing w:line="360" w:lineRule="auto"/>
        <w:ind w:firstLine="480" w:firstLineChars="200"/>
        <w:rPr>
          <w:rFonts w:ascii="宋体" w:hAnsi="宋体" w:eastAsia="宋体" w:cs="宋体"/>
          <w:sz w:val="24"/>
        </w:rPr>
      </w:pPr>
      <w:r>
        <w:rPr>
          <w:rFonts w:hint="eastAsia" w:ascii="宋体" w:hAnsi="宋体" w:eastAsia="宋体" w:cs="宋体"/>
          <w:sz w:val="24"/>
        </w:rPr>
        <w:t>百叶窗或其它通风孔的布置和安装，能防止由上面滴水或地板上溅起的水进入开关柜内。</w:t>
      </w:r>
    </w:p>
    <w:p>
      <w:pPr>
        <w:wordWrap/>
        <w:autoSpaceDE w:val="0"/>
        <w:autoSpaceDN w:val="0"/>
        <w:adjustRightInd/>
        <w:spacing w:line="360" w:lineRule="auto"/>
        <w:ind w:firstLine="480" w:firstLineChars="200"/>
        <w:jc w:val="left"/>
        <w:textAlignment w:val="bottom"/>
        <w:rPr>
          <w:rFonts w:ascii="宋体" w:hAnsi="宋体" w:eastAsia="宋体" w:cs="宋体"/>
          <w:sz w:val="24"/>
        </w:rPr>
      </w:pPr>
      <w:r>
        <w:rPr>
          <w:rFonts w:hint="eastAsia" w:ascii="宋体" w:hAnsi="宋体" w:eastAsia="宋体" w:cs="宋体"/>
          <w:sz w:val="24"/>
        </w:rPr>
        <w:t>仪表间隔的结构方式保证当仪表板开到最大开启位置时，允许不受限制地进入前面间隔。</w:t>
      </w:r>
    </w:p>
    <w:p>
      <w:pPr>
        <w:wordWrap/>
        <w:autoSpaceDE w:val="0"/>
        <w:autoSpaceDN w:val="0"/>
        <w:adjustRightInd/>
        <w:spacing w:line="360" w:lineRule="auto"/>
        <w:ind w:firstLine="480" w:firstLineChars="200"/>
        <w:jc w:val="left"/>
        <w:textAlignment w:val="bottom"/>
        <w:rPr>
          <w:rFonts w:ascii="宋体" w:hAnsi="宋体" w:eastAsia="宋体" w:cs="宋体"/>
          <w:sz w:val="24"/>
        </w:rPr>
      </w:pPr>
      <w:r>
        <w:rPr>
          <w:rFonts w:hint="eastAsia" w:ascii="宋体" w:hAnsi="宋体" w:eastAsia="宋体" w:cs="宋体"/>
          <w:sz w:val="24"/>
        </w:rPr>
        <w:t>开关柜体的结构电缆从底部进入柜体。</w:t>
      </w:r>
    </w:p>
    <w:p>
      <w:pPr>
        <w:wordWrap/>
        <w:adjustRightInd/>
        <w:spacing w:line="360" w:lineRule="auto"/>
        <w:ind w:firstLine="480" w:firstLineChars="200"/>
        <w:rPr>
          <w:rFonts w:ascii="宋体" w:hAnsi="宋体" w:eastAsia="宋体" w:cs="宋体"/>
          <w:sz w:val="24"/>
        </w:rPr>
      </w:pPr>
      <w:r>
        <w:rPr>
          <w:rFonts w:hint="eastAsia" w:ascii="宋体" w:hAnsi="宋体" w:eastAsia="宋体" w:cs="宋体"/>
          <w:sz w:val="24"/>
        </w:rPr>
        <w:t>主母线支持件和母线绝缘物，为不吸潮、阻燃、长寿命的并能耐受规定的环境条件的产品，绝缘热缩套在设备的使用寿命内，其机械强度和电气性能基本保持不变。</w:t>
      </w:r>
    </w:p>
    <w:p>
      <w:pPr>
        <w:wordWrap/>
        <w:adjustRightInd/>
        <w:spacing w:line="360" w:lineRule="auto"/>
        <w:ind w:firstLine="480" w:firstLineChars="200"/>
        <w:rPr>
          <w:rFonts w:ascii="宋体" w:hAnsi="宋体" w:eastAsia="宋体" w:cs="宋体"/>
          <w:sz w:val="24"/>
        </w:rPr>
      </w:pPr>
      <w:r>
        <w:rPr>
          <w:rFonts w:hint="eastAsia" w:ascii="宋体" w:hAnsi="宋体" w:eastAsia="宋体" w:cs="宋体"/>
          <w:sz w:val="24"/>
        </w:rPr>
        <w:t>接地铜质母线截面按有关国标选择，铜接地母线延伸至整段开关柜，并用螺栓接在每一面开关柜的框架上。</w:t>
      </w:r>
    </w:p>
    <w:p>
      <w:pPr>
        <w:wordWrap/>
        <w:adjustRightInd/>
        <w:spacing w:line="360" w:lineRule="auto"/>
        <w:ind w:firstLine="480" w:firstLineChars="200"/>
        <w:rPr>
          <w:rFonts w:ascii="宋体" w:hAnsi="宋体" w:eastAsia="宋体" w:cs="宋体"/>
          <w:sz w:val="24"/>
        </w:rPr>
      </w:pPr>
      <w:r>
        <w:rPr>
          <w:rFonts w:hint="eastAsia" w:ascii="宋体" w:hAnsi="宋体" w:eastAsia="宋体" w:cs="宋体"/>
          <w:sz w:val="24"/>
        </w:rPr>
        <w:t>所有用于操作和监视的重要设备(如：开关、按钮信号灯等)都要用固定的铭牌加以标明。</w:t>
      </w:r>
    </w:p>
    <w:p>
      <w:pPr>
        <w:wordWrap/>
        <w:adjustRightInd/>
        <w:spacing w:line="360" w:lineRule="auto"/>
        <w:ind w:firstLine="480" w:firstLineChars="200"/>
        <w:rPr>
          <w:rFonts w:ascii="宋体" w:hAnsi="宋体" w:eastAsia="宋体" w:cs="宋体"/>
          <w:sz w:val="24"/>
        </w:rPr>
      </w:pPr>
      <w:r>
        <w:rPr>
          <w:rFonts w:hint="eastAsia" w:ascii="宋体" w:hAnsi="宋体" w:eastAsia="宋体" w:cs="宋体"/>
          <w:sz w:val="24"/>
        </w:rPr>
        <w:t>1.5卖方应承诺部分盘柜按照施工图提供的外形尺寸及基础生产，详见施工图，最终以施工图为准。</w:t>
      </w:r>
    </w:p>
    <w:p>
      <w:pPr>
        <w:wordWrap/>
        <w:adjustRightInd/>
        <w:spacing w:line="360" w:lineRule="auto"/>
        <w:ind w:firstLine="480" w:firstLineChars="200"/>
        <w:rPr>
          <w:rFonts w:hint="eastAsia" w:ascii="宋体" w:hAnsi="宋体" w:eastAsia="宋体" w:cs="宋体"/>
          <w:sz w:val="24"/>
        </w:rPr>
      </w:pPr>
    </w:p>
    <w:p>
      <w:pPr>
        <w:keepNext/>
        <w:keepLines/>
        <w:widowControl w:val="0"/>
        <w:wordWrap/>
        <w:spacing w:before="0" w:beforeLines="0" w:after="0" w:afterLines="0" w:line="360" w:lineRule="auto"/>
        <w:jc w:val="both"/>
        <w:outlineLvl w:val="1"/>
        <w:rPr>
          <w:rFonts w:ascii="宋体" w:hAnsi="宋体" w:eastAsia="宋体" w:cs="宋体"/>
          <w:b/>
          <w:bCs/>
          <w:kern w:val="2"/>
          <w:sz w:val="24"/>
          <w:szCs w:val="32"/>
          <w:lang w:val="en-US" w:eastAsia="zh-CN" w:bidi="ar-SA"/>
        </w:rPr>
      </w:pPr>
      <w:bookmarkStart w:id="50" w:name="_Toc69204972"/>
      <w:r>
        <w:rPr>
          <w:rFonts w:hint="eastAsia" w:ascii="宋体" w:hAnsi="宋体" w:eastAsia="宋体" w:cs="宋体"/>
          <w:b/>
          <w:bCs/>
          <w:kern w:val="2"/>
          <w:sz w:val="24"/>
          <w:szCs w:val="24"/>
          <w:lang w:val="en-US" w:eastAsia="zh-CN" w:bidi="ar-SA"/>
        </w:rPr>
        <w:t>（四）电容电抗</w:t>
      </w:r>
      <w:bookmarkEnd w:id="50"/>
    </w:p>
    <w:p>
      <w:pPr>
        <w:wordWrap/>
        <w:adjustRightInd/>
        <w:spacing w:line="360" w:lineRule="auto"/>
        <w:ind w:firstLine="480" w:firstLineChars="200"/>
        <w:jc w:val="left"/>
        <w:rPr>
          <w:rFonts w:ascii="宋体" w:hAnsi="宋体" w:eastAsia="宋体" w:cs="宋体"/>
          <w:sz w:val="24"/>
        </w:rPr>
      </w:pPr>
      <w:r>
        <w:rPr>
          <w:rFonts w:hint="eastAsia" w:ascii="宋体" w:hAnsi="宋体" w:eastAsia="宋体" w:cs="宋体"/>
          <w:sz w:val="24"/>
        </w:rPr>
        <w:t>1.电容电抗要求</w:t>
      </w:r>
    </w:p>
    <w:p>
      <w:pPr>
        <w:wordWrap/>
        <w:adjustRightInd/>
        <w:spacing w:line="360" w:lineRule="auto"/>
        <w:ind w:firstLine="480" w:firstLineChars="200"/>
        <w:rPr>
          <w:rFonts w:hint="eastAsia" w:ascii="宋体" w:hAnsi="宋体" w:eastAsia="宋体" w:cs="宋体"/>
          <w:sz w:val="24"/>
        </w:rPr>
      </w:pPr>
      <w:r>
        <w:rPr>
          <w:rFonts w:hint="eastAsia" w:ascii="宋体" w:hAnsi="宋体" w:eastAsia="宋体" w:cs="宋体"/>
          <w:sz w:val="24"/>
        </w:rPr>
        <w:t>补偿柜内部元件（包括电容、电抗、控制器）均需为同一供货厂商生产，按招标方性能要求选择对应型号选择，应配置符合国家现行的相关规定的高性能产品，须提供IS09001质量体系认证、ISO14001环境管理体系认证、IS18001职业健康安全管理体系认证,CE证书。</w:t>
      </w:r>
    </w:p>
    <w:p>
      <w:pPr>
        <w:wordWrap/>
        <w:adjustRightInd/>
        <w:spacing w:line="360" w:lineRule="auto"/>
        <w:ind w:firstLine="480" w:firstLineChars="200"/>
        <w:rPr>
          <w:rFonts w:hint="eastAsia" w:ascii="宋体" w:hAnsi="宋体" w:eastAsia="宋体" w:cs="宋体"/>
          <w:sz w:val="24"/>
        </w:rPr>
      </w:pPr>
      <w:r>
        <w:rPr>
          <w:rFonts w:hint="eastAsia" w:ascii="宋体" w:hAnsi="宋体" w:eastAsia="宋体" w:cs="宋体"/>
          <w:sz w:val="24"/>
        </w:rPr>
        <w:t>2.低压电容器</w:t>
      </w:r>
    </w:p>
    <w:p>
      <w:pPr>
        <w:wordWrap/>
        <w:adjustRightInd/>
        <w:spacing w:line="360" w:lineRule="auto"/>
        <w:ind w:firstLine="480" w:firstLineChars="200"/>
        <w:rPr>
          <w:rFonts w:hint="eastAsia" w:ascii="宋体" w:hAnsi="宋体" w:eastAsia="宋体" w:cs="宋体"/>
          <w:sz w:val="24"/>
          <w:lang w:val="en-US" w:eastAsia="zh-CN"/>
        </w:rPr>
      </w:pPr>
      <w:r>
        <w:rPr>
          <w:rFonts w:hint="eastAsia" w:ascii="宋体" w:hAnsi="宋体" w:cs="宋体"/>
          <w:sz w:val="24"/>
          <w:lang w:val="en-US" w:eastAsia="zh-CN"/>
        </w:rPr>
        <w:t>2</w:t>
      </w:r>
      <w:r>
        <w:rPr>
          <w:rFonts w:hint="eastAsia" w:ascii="宋体" w:hAnsi="宋体" w:eastAsia="宋体" w:cs="宋体"/>
          <w:sz w:val="24"/>
          <w:lang w:val="en-US" w:eastAsia="zh-CN"/>
        </w:rPr>
        <w:t>.1 使用条件：环境温度-25⁰C～45⁰C，湿度≤85％，海拔 2000M</w:t>
      </w:r>
    </w:p>
    <w:p>
      <w:pPr>
        <w:wordWrap/>
        <w:adjustRightInd/>
        <w:spacing w:line="360" w:lineRule="auto"/>
        <w:ind w:firstLine="480" w:firstLineChars="200"/>
        <w:rPr>
          <w:rFonts w:hint="eastAsia" w:ascii="宋体" w:hAnsi="宋体" w:eastAsia="宋体" w:cs="宋体"/>
          <w:sz w:val="24"/>
          <w:lang w:val="en-US" w:eastAsia="zh-CN"/>
        </w:rPr>
      </w:pPr>
      <w:r>
        <w:rPr>
          <w:rFonts w:hint="eastAsia" w:ascii="宋体" w:hAnsi="宋体" w:cs="宋体"/>
          <w:sz w:val="24"/>
          <w:lang w:val="en-US" w:eastAsia="zh-CN"/>
        </w:rPr>
        <w:t>2</w:t>
      </w:r>
      <w:r>
        <w:rPr>
          <w:rFonts w:hint="eastAsia" w:ascii="宋体" w:hAnsi="宋体" w:eastAsia="宋体" w:cs="宋体"/>
          <w:sz w:val="24"/>
          <w:lang w:val="en-US" w:eastAsia="zh-CN"/>
        </w:rPr>
        <w:t>.2 额定电压（Un）：0.12～1.2KV</w:t>
      </w:r>
    </w:p>
    <w:p>
      <w:pPr>
        <w:wordWrap/>
        <w:adjustRightInd/>
        <w:spacing w:line="360" w:lineRule="auto"/>
        <w:ind w:firstLine="480" w:firstLineChars="200"/>
        <w:rPr>
          <w:rFonts w:hint="eastAsia" w:ascii="宋体" w:hAnsi="宋体" w:eastAsia="宋体" w:cs="宋体"/>
          <w:sz w:val="24"/>
          <w:lang w:val="en-US" w:eastAsia="zh-CN"/>
        </w:rPr>
      </w:pPr>
      <w:r>
        <w:rPr>
          <w:rFonts w:hint="eastAsia" w:ascii="宋体" w:hAnsi="宋体" w:cs="宋体"/>
          <w:sz w:val="24"/>
          <w:lang w:val="en-US" w:eastAsia="zh-CN"/>
        </w:rPr>
        <w:t>2</w:t>
      </w:r>
      <w:r>
        <w:rPr>
          <w:rFonts w:hint="eastAsia" w:ascii="宋体" w:hAnsi="宋体" w:eastAsia="宋体" w:cs="宋体"/>
          <w:sz w:val="24"/>
          <w:lang w:val="en-US" w:eastAsia="zh-CN"/>
        </w:rPr>
        <w:t>.3 额定输出(Qn)：1～100kvar</w:t>
      </w:r>
    </w:p>
    <w:p>
      <w:pPr>
        <w:wordWrap/>
        <w:adjustRightInd/>
        <w:spacing w:line="360" w:lineRule="auto"/>
        <w:ind w:firstLine="480" w:firstLineChars="200"/>
        <w:rPr>
          <w:rFonts w:hint="eastAsia" w:ascii="宋体" w:hAnsi="宋体" w:eastAsia="宋体" w:cs="宋体"/>
          <w:sz w:val="24"/>
          <w:lang w:val="en-US" w:eastAsia="zh-CN"/>
        </w:rPr>
      </w:pPr>
      <w:r>
        <w:rPr>
          <w:rFonts w:hint="eastAsia" w:ascii="宋体" w:hAnsi="宋体" w:cs="宋体"/>
          <w:sz w:val="24"/>
          <w:lang w:val="en-US" w:eastAsia="zh-CN"/>
        </w:rPr>
        <w:t>2</w:t>
      </w:r>
      <w:r>
        <w:rPr>
          <w:rFonts w:hint="eastAsia" w:ascii="宋体" w:hAnsi="宋体" w:eastAsia="宋体" w:cs="宋体"/>
          <w:sz w:val="24"/>
          <w:lang w:val="en-US" w:eastAsia="zh-CN"/>
        </w:rPr>
        <w:t>.4 电容偏差：-5～+10%、滤波 0~+3％，三相电容器中的任意两线路端子间测得的电容最大值与最小值之比不大于 1.07。</w:t>
      </w:r>
    </w:p>
    <w:p>
      <w:pPr>
        <w:wordWrap/>
        <w:adjustRightInd/>
        <w:spacing w:line="360" w:lineRule="auto"/>
        <w:ind w:firstLine="480" w:firstLineChars="200"/>
        <w:rPr>
          <w:rFonts w:hint="eastAsia" w:ascii="宋体" w:hAnsi="宋体" w:eastAsia="宋体" w:cs="宋体"/>
          <w:sz w:val="24"/>
          <w:lang w:val="en-US" w:eastAsia="zh-CN"/>
        </w:rPr>
      </w:pPr>
      <w:r>
        <w:rPr>
          <w:rFonts w:hint="eastAsia" w:ascii="宋体" w:hAnsi="宋体" w:cs="宋体"/>
          <w:sz w:val="24"/>
          <w:lang w:val="en-US" w:eastAsia="zh-CN"/>
        </w:rPr>
        <w:t>2</w:t>
      </w:r>
      <w:r>
        <w:rPr>
          <w:rFonts w:hint="eastAsia" w:ascii="宋体" w:hAnsi="宋体" w:eastAsia="宋体" w:cs="宋体"/>
          <w:sz w:val="24"/>
          <w:lang w:val="en-US" w:eastAsia="zh-CN"/>
        </w:rPr>
        <w:t>.5 损耗角正切值:在工频电压下，20⁰C 时，相间、共补电容器 30kvar 及以下产品： tgδ≤0.08%，30kvar 以上产品：tgδ≤0.10% 。分补电容器 20kvar 及以下产品：tgδ≤0.10%，40kvar 及以下产品：tgδ≤0.15% 。</w:t>
      </w:r>
    </w:p>
    <w:p>
      <w:pPr>
        <w:wordWrap/>
        <w:adjustRightInd/>
        <w:spacing w:line="360" w:lineRule="auto"/>
        <w:ind w:firstLine="480" w:firstLineChars="200"/>
        <w:rPr>
          <w:rFonts w:hint="eastAsia" w:ascii="宋体" w:hAnsi="宋体" w:eastAsia="宋体" w:cs="宋体"/>
          <w:sz w:val="24"/>
          <w:lang w:val="en-US" w:eastAsia="zh-CN"/>
        </w:rPr>
      </w:pPr>
      <w:r>
        <w:rPr>
          <w:rFonts w:hint="eastAsia" w:ascii="宋体" w:hAnsi="宋体" w:cs="宋体"/>
          <w:sz w:val="24"/>
          <w:lang w:val="en-US" w:eastAsia="zh-CN"/>
        </w:rPr>
        <w:t>2</w:t>
      </w:r>
      <w:r>
        <w:rPr>
          <w:rFonts w:hint="eastAsia" w:ascii="宋体" w:hAnsi="宋体" w:eastAsia="宋体" w:cs="宋体"/>
          <w:sz w:val="24"/>
          <w:lang w:val="en-US" w:eastAsia="zh-CN"/>
        </w:rPr>
        <w:t>.6 交流耐电压：极间 2.15Un、10S,极壳间 3600V、10S</w:t>
      </w:r>
    </w:p>
    <w:p>
      <w:pPr>
        <w:wordWrap/>
        <w:adjustRightInd/>
        <w:spacing w:line="360" w:lineRule="auto"/>
        <w:ind w:firstLine="480" w:firstLineChars="200"/>
        <w:rPr>
          <w:rFonts w:hint="eastAsia" w:ascii="宋体" w:hAnsi="宋体" w:eastAsia="宋体" w:cs="宋体"/>
          <w:sz w:val="24"/>
          <w:lang w:val="en-US" w:eastAsia="zh-CN"/>
        </w:rPr>
      </w:pPr>
      <w:r>
        <w:rPr>
          <w:rFonts w:hint="eastAsia" w:ascii="宋体" w:hAnsi="宋体" w:cs="宋体"/>
          <w:sz w:val="24"/>
          <w:lang w:val="en-US" w:eastAsia="zh-CN"/>
        </w:rPr>
        <w:t>2</w:t>
      </w:r>
      <w:r>
        <w:rPr>
          <w:rFonts w:hint="eastAsia" w:ascii="宋体" w:hAnsi="宋体" w:eastAsia="宋体" w:cs="宋体"/>
          <w:sz w:val="24"/>
          <w:lang w:val="en-US" w:eastAsia="zh-CN"/>
        </w:rPr>
        <w:t>.7 最高运行电压：允许 1.1 的额定电压</w:t>
      </w:r>
    </w:p>
    <w:p>
      <w:pPr>
        <w:wordWrap/>
        <w:adjustRightInd/>
        <w:spacing w:line="360" w:lineRule="auto"/>
        <w:ind w:firstLine="480" w:firstLineChars="200"/>
        <w:rPr>
          <w:rFonts w:hint="eastAsia" w:ascii="宋体" w:hAnsi="宋体" w:eastAsia="宋体" w:cs="宋体"/>
          <w:color w:val="auto"/>
          <w:sz w:val="24"/>
          <w:lang w:val="en-US" w:eastAsia="zh-CN"/>
        </w:rPr>
      </w:pPr>
      <w:r>
        <w:rPr>
          <w:rFonts w:hint="eastAsia" w:ascii="宋体" w:hAnsi="宋体" w:cs="宋体"/>
          <w:color w:val="auto"/>
          <w:sz w:val="24"/>
          <w:lang w:val="en-US" w:eastAsia="zh-CN"/>
        </w:rPr>
        <w:t>2</w:t>
      </w:r>
      <w:r>
        <w:rPr>
          <w:rFonts w:hint="eastAsia" w:ascii="宋体" w:hAnsi="宋体" w:eastAsia="宋体" w:cs="宋体"/>
          <w:color w:val="auto"/>
          <w:sz w:val="24"/>
          <w:lang w:val="en-US" w:eastAsia="zh-CN"/>
        </w:rPr>
        <w:t>.8 最大运行电流：允许 1.3 的额定电流。</w:t>
      </w:r>
    </w:p>
    <w:p>
      <w:pPr>
        <w:wordWrap/>
        <w:adjustRightInd/>
        <w:spacing w:line="360" w:lineRule="auto"/>
        <w:ind w:firstLine="480" w:firstLineChars="200"/>
        <w:rPr>
          <w:rFonts w:hint="eastAsia" w:ascii="宋体" w:hAnsi="宋体" w:eastAsia="宋体" w:cs="宋体"/>
          <w:color w:val="auto"/>
          <w:sz w:val="24"/>
          <w:lang w:val="en-US" w:eastAsia="zh-CN"/>
        </w:rPr>
      </w:pPr>
      <w:r>
        <w:rPr>
          <w:rFonts w:hint="eastAsia" w:ascii="宋体" w:hAnsi="宋体" w:cs="宋体"/>
          <w:color w:val="auto"/>
          <w:sz w:val="24"/>
          <w:lang w:val="en-US" w:eastAsia="zh-CN"/>
        </w:rPr>
        <w:t>2</w:t>
      </w:r>
      <w:r>
        <w:rPr>
          <w:rFonts w:hint="eastAsia" w:ascii="宋体" w:hAnsi="宋体" w:eastAsia="宋体" w:cs="宋体"/>
          <w:color w:val="auto"/>
          <w:sz w:val="24"/>
          <w:lang w:val="en-US" w:eastAsia="zh-CN"/>
        </w:rPr>
        <w:t>.9 自放电特性：电容器断开电源 3 分钟后，剩余电压从√2Un 降至 0.1Un 或以下。</w:t>
      </w:r>
    </w:p>
    <w:p>
      <w:pPr>
        <w:wordWrap/>
        <w:adjustRightInd/>
        <w:spacing w:line="360" w:lineRule="auto"/>
        <w:ind w:firstLine="480" w:firstLineChars="200"/>
        <w:rPr>
          <w:rFonts w:hint="eastAsia" w:ascii="宋体" w:hAnsi="宋体" w:eastAsia="宋体" w:cs="宋体"/>
          <w:color w:val="auto"/>
          <w:sz w:val="24"/>
          <w:lang w:val="en-US" w:eastAsia="zh-CN"/>
        </w:rPr>
      </w:pPr>
      <w:r>
        <w:rPr>
          <w:rFonts w:hint="eastAsia" w:ascii="宋体" w:hAnsi="宋体" w:cs="宋体"/>
          <w:color w:val="auto"/>
          <w:sz w:val="24"/>
          <w:lang w:val="en-US" w:eastAsia="zh-CN"/>
        </w:rPr>
        <w:t>2</w:t>
      </w:r>
      <w:r>
        <w:rPr>
          <w:rFonts w:hint="eastAsia" w:ascii="宋体" w:hAnsi="宋体" w:eastAsia="宋体" w:cs="宋体"/>
          <w:color w:val="auto"/>
          <w:sz w:val="24"/>
          <w:lang w:val="en-US" w:eastAsia="zh-CN"/>
        </w:rPr>
        <w:t>.10 执行标准：GB/T12747.1-2017,IEC60831.1:2014。</w:t>
      </w:r>
    </w:p>
    <w:p>
      <w:pPr>
        <w:wordWrap/>
        <w:adjustRightInd/>
        <w:spacing w:line="360" w:lineRule="auto"/>
        <w:ind w:firstLine="480" w:firstLineChars="200"/>
        <w:rPr>
          <w:rFonts w:hint="eastAsia" w:ascii="宋体" w:hAnsi="宋体" w:eastAsia="宋体" w:cs="宋体"/>
          <w:color w:val="auto"/>
          <w:sz w:val="24"/>
          <w:lang w:val="en-US" w:eastAsia="zh-CN"/>
        </w:rPr>
      </w:pPr>
      <w:r>
        <w:rPr>
          <w:rFonts w:hint="eastAsia" w:ascii="宋体" w:hAnsi="宋体" w:cs="宋体"/>
          <w:color w:val="auto"/>
          <w:sz w:val="24"/>
          <w:lang w:val="en-US" w:eastAsia="zh-CN"/>
        </w:rPr>
        <w:t>2</w:t>
      </w:r>
      <w:r>
        <w:rPr>
          <w:rFonts w:hint="eastAsia" w:ascii="宋体" w:hAnsi="宋体" w:eastAsia="宋体" w:cs="宋体"/>
          <w:color w:val="auto"/>
          <w:sz w:val="24"/>
          <w:lang w:val="en-US" w:eastAsia="zh-CN"/>
        </w:rPr>
        <w:t>.11 单位功耗：≤0.2w/kvar,（含放电电阻≤0.35w/kvar)</w:t>
      </w:r>
    </w:p>
    <w:p>
      <w:pPr>
        <w:wordWrap/>
        <w:adjustRightInd/>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低压电抗器</w:t>
      </w:r>
    </w:p>
    <w:p>
      <w:pPr>
        <w:wordWrap/>
        <w:adjustRightInd/>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 xml:space="preserve">3.1 </w:t>
      </w:r>
      <w:r>
        <w:rPr>
          <w:rFonts w:hint="eastAsia" w:ascii="宋体" w:hAnsi="宋体" w:eastAsia="宋体" w:cs="宋体"/>
          <w:color w:val="auto"/>
          <w:sz w:val="24"/>
        </w:rPr>
        <w:t>电抗器额定容量：一般按电容器组总容量的 7%、14%计算。（若客户有特殊需求的，按客户提供的要求进行定制）</w:t>
      </w:r>
    </w:p>
    <w:p>
      <w:pPr>
        <w:wordWrap/>
        <w:adjustRightInd/>
        <w:spacing w:line="360" w:lineRule="auto"/>
        <w:ind w:firstLine="480" w:firstLineChars="200"/>
        <w:rPr>
          <w:rFonts w:hint="default" w:ascii="宋体" w:hAnsi="宋体" w:eastAsia="宋体" w:cs="宋体"/>
          <w:color w:val="auto"/>
          <w:sz w:val="24"/>
          <w:lang w:val="en-US" w:eastAsia="zh-CN"/>
        </w:rPr>
      </w:pPr>
      <w:r>
        <w:rPr>
          <w:rFonts w:hint="eastAsia" w:ascii="宋体" w:hAnsi="宋体" w:cs="宋体"/>
          <w:color w:val="auto"/>
          <w:sz w:val="24"/>
          <w:lang w:val="en-US" w:eastAsia="zh-CN"/>
        </w:rPr>
        <w:t xml:space="preserve">3.2 </w:t>
      </w:r>
      <w:r>
        <w:rPr>
          <w:rFonts w:hint="eastAsia" w:ascii="宋体" w:hAnsi="宋体" w:eastAsia="宋体" w:cs="宋体"/>
          <w:color w:val="auto"/>
          <w:sz w:val="24"/>
        </w:rPr>
        <w:t>额定频率：50</w:t>
      </w:r>
      <w:r>
        <w:rPr>
          <w:rFonts w:hint="eastAsia" w:ascii="宋体" w:hAnsi="宋体" w:cs="宋体"/>
          <w:color w:val="auto"/>
          <w:sz w:val="24"/>
          <w:lang w:val="en-US" w:eastAsia="zh-CN"/>
        </w:rPr>
        <w:t>HZ</w:t>
      </w:r>
    </w:p>
    <w:p>
      <w:pPr>
        <w:wordWrap/>
        <w:adjustRightInd/>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 xml:space="preserve">3.3 </w:t>
      </w:r>
      <w:r>
        <w:rPr>
          <w:rFonts w:hint="eastAsia" w:ascii="宋体" w:hAnsi="宋体" w:eastAsia="宋体" w:cs="宋体"/>
          <w:color w:val="auto"/>
          <w:sz w:val="24"/>
        </w:rPr>
        <w:t>过载能力：电抗器应能在工频电流为 1.35 倍额定电流下连续运行。</w:t>
      </w:r>
    </w:p>
    <w:p>
      <w:pPr>
        <w:wordWrap/>
        <w:adjustRightInd/>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 xml:space="preserve">3.4 </w:t>
      </w:r>
      <w:r>
        <w:rPr>
          <w:rFonts w:hint="eastAsia" w:ascii="宋体" w:hAnsi="宋体" w:eastAsia="宋体" w:cs="宋体"/>
          <w:color w:val="auto"/>
          <w:sz w:val="24"/>
        </w:rPr>
        <w:t>动热稳定电流：电抗器允许通过 25 倍额定电流的最大短时电流，时间为 2秒钟。</w:t>
      </w:r>
    </w:p>
    <w:p>
      <w:pPr>
        <w:wordWrap/>
        <w:adjustRightInd/>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 xml:space="preserve">3.5 </w:t>
      </w:r>
      <w:r>
        <w:rPr>
          <w:rFonts w:hint="eastAsia" w:ascii="宋体" w:hAnsi="宋体" w:eastAsia="宋体" w:cs="宋体"/>
          <w:color w:val="auto"/>
          <w:sz w:val="24"/>
        </w:rPr>
        <w:t>电抗值允许偏差：三相电抗器每相电抗值不超过三相平均值的±4%，每项电抗值不超过额定电抗值的 0～+10%。</w:t>
      </w:r>
    </w:p>
    <w:p>
      <w:pPr>
        <w:wordWrap/>
        <w:adjustRightInd/>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 xml:space="preserve">3.6 </w:t>
      </w:r>
      <w:r>
        <w:rPr>
          <w:rFonts w:hint="eastAsia" w:ascii="宋体" w:hAnsi="宋体" w:eastAsia="宋体" w:cs="宋体"/>
          <w:color w:val="auto"/>
          <w:sz w:val="24"/>
        </w:rPr>
        <w:t>绝缘等级：F 级</w:t>
      </w:r>
    </w:p>
    <w:p>
      <w:pPr>
        <w:wordWrap/>
        <w:adjustRightInd/>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 xml:space="preserve">3.7 </w:t>
      </w:r>
      <w:r>
        <w:rPr>
          <w:rFonts w:hint="eastAsia" w:ascii="宋体" w:hAnsi="宋体" w:eastAsia="宋体" w:cs="宋体"/>
          <w:color w:val="auto"/>
          <w:sz w:val="24"/>
        </w:rPr>
        <w:t>温升：绝缘系统最高可承受温度为 155℃，温升不大于 95K。</w:t>
      </w:r>
    </w:p>
    <w:p>
      <w:pPr>
        <w:wordWrap/>
        <w:adjustRightInd/>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 xml:space="preserve">3.8 </w:t>
      </w:r>
      <w:r>
        <w:rPr>
          <w:rFonts w:hint="eastAsia" w:ascii="宋体" w:hAnsi="宋体" w:eastAsia="宋体" w:cs="宋体"/>
          <w:color w:val="auto"/>
          <w:sz w:val="24"/>
        </w:rPr>
        <w:t>工频耐压水平：3KV/1min。</w:t>
      </w:r>
    </w:p>
    <w:p>
      <w:pPr>
        <w:wordWrap/>
        <w:adjustRightInd/>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 xml:space="preserve">3.9 </w:t>
      </w:r>
      <w:r>
        <w:rPr>
          <w:rFonts w:hint="eastAsia" w:ascii="宋体" w:hAnsi="宋体" w:eastAsia="宋体" w:cs="宋体"/>
          <w:color w:val="auto"/>
          <w:sz w:val="24"/>
        </w:rPr>
        <w:t>绝缘电阻：≥20MΩ。（12）符合标准：IEC60289、IEC60076、GB/T1094-6；</w:t>
      </w:r>
    </w:p>
    <w:p>
      <w:pPr>
        <w:wordWrap/>
        <w:adjustRightInd/>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控制器技术参数：</w:t>
      </w:r>
    </w:p>
    <w:p>
      <w:pPr>
        <w:wordWrap/>
        <w:adjustRightInd/>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（1）工作电源：400V、50Hz、8VA；</w:t>
      </w:r>
    </w:p>
    <w:p>
      <w:pPr>
        <w:wordWrap/>
        <w:adjustRightInd/>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rPr>
        <w:t>（2）控制回路：</w:t>
      </w:r>
      <w:r>
        <w:rPr>
          <w:rFonts w:hint="eastAsia" w:ascii="宋体" w:hAnsi="宋体" w:cs="宋体"/>
          <w:color w:val="auto"/>
          <w:sz w:val="24"/>
          <w:lang w:val="en-US" w:eastAsia="zh-CN"/>
        </w:rPr>
        <w:t>12</w:t>
      </w:r>
      <w:r>
        <w:rPr>
          <w:rFonts w:hint="eastAsia" w:ascii="宋体" w:hAnsi="宋体" w:eastAsia="宋体" w:cs="宋体"/>
          <w:color w:val="auto"/>
          <w:sz w:val="24"/>
        </w:rPr>
        <w:t>组；二次侧电流：5A；</w:t>
      </w:r>
    </w:p>
    <w:p>
      <w:pPr>
        <w:wordWrap/>
        <w:adjustRightInd/>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rPr>
        <w:t>（3）</w:t>
      </w:r>
      <w:r>
        <w:rPr>
          <w:rFonts w:hint="eastAsia" w:ascii="宋体" w:hAnsi="宋体" w:cs="宋体"/>
          <w:color w:val="auto"/>
          <w:sz w:val="24"/>
          <w:lang w:val="en-US" w:eastAsia="zh-CN"/>
        </w:rPr>
        <w:t>控制器灵敏度Isim:200mA</w:t>
      </w:r>
      <w:r>
        <w:rPr>
          <w:rFonts w:hint="eastAsia" w:ascii="宋体" w:hAnsi="宋体" w:eastAsia="宋体" w:cs="宋体"/>
          <w:color w:val="auto"/>
          <w:sz w:val="24"/>
        </w:rPr>
        <w:t>；</w:t>
      </w:r>
    </w:p>
    <w:p>
      <w:pPr>
        <w:wordWrap/>
        <w:adjustRightInd/>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cs="宋体"/>
          <w:color w:val="auto"/>
          <w:sz w:val="24"/>
          <w:lang w:val="en-US" w:eastAsia="zh-CN"/>
        </w:rPr>
        <w:t>动作误差：±5%</w:t>
      </w:r>
      <w:r>
        <w:rPr>
          <w:rFonts w:hint="eastAsia" w:ascii="宋体" w:hAnsi="宋体" w:eastAsia="宋体" w:cs="宋体"/>
          <w:color w:val="auto"/>
          <w:sz w:val="24"/>
        </w:rPr>
        <w:t>；</w:t>
      </w:r>
    </w:p>
    <w:p>
      <w:pPr>
        <w:wordWrap/>
        <w:adjustRightInd/>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cs="宋体"/>
          <w:color w:val="auto"/>
          <w:sz w:val="24"/>
          <w:lang w:val="en-US" w:eastAsia="zh-CN"/>
        </w:rPr>
        <w:t>过电压保护动作设定值：242~264</w:t>
      </w:r>
      <w:r>
        <w:rPr>
          <w:rFonts w:hint="eastAsia" w:ascii="宋体" w:hAnsi="宋体" w:cs="宋体"/>
          <w:color w:val="auto"/>
          <w:sz w:val="24"/>
          <w:lang w:val="en-US" w:eastAsia="zh-CN"/>
        </w:rPr>
        <w:tab/>
      </w:r>
      <w:r>
        <w:rPr>
          <w:rFonts w:hint="eastAsia" w:ascii="宋体" w:hAnsi="宋体" w:cs="宋体"/>
          <w:color w:val="auto"/>
          <w:sz w:val="24"/>
          <w:lang w:val="en-US" w:eastAsia="zh-CN"/>
        </w:rPr>
        <w:t>V</w:t>
      </w:r>
      <w:r>
        <w:rPr>
          <w:rFonts w:hint="eastAsia" w:ascii="宋体" w:hAnsi="宋体" w:eastAsia="宋体" w:cs="宋体"/>
          <w:color w:val="auto"/>
          <w:sz w:val="24"/>
        </w:rPr>
        <w:t>。</w:t>
      </w:r>
    </w:p>
    <w:p>
      <w:pPr>
        <w:wordWrap/>
        <w:adjustRightInd/>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w:t>
      </w:r>
      <w:r>
        <w:rPr>
          <w:rFonts w:hint="eastAsia" w:ascii="宋体" w:hAnsi="宋体" w:cs="宋体"/>
          <w:color w:val="auto"/>
          <w:sz w:val="24"/>
          <w:lang w:val="en-US" w:eastAsia="zh-CN"/>
        </w:rPr>
        <w:t>过电压保护动作回差值：5V~12V</w:t>
      </w:r>
      <w:r>
        <w:rPr>
          <w:rFonts w:hint="eastAsia" w:ascii="宋体" w:hAnsi="宋体" w:eastAsia="宋体" w:cs="宋体"/>
          <w:color w:val="auto"/>
          <w:sz w:val="24"/>
        </w:rPr>
        <w:t>；</w:t>
      </w:r>
    </w:p>
    <w:p>
      <w:pPr>
        <w:wordWrap/>
        <w:adjustRightInd/>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rPr>
        <w:t>（</w:t>
      </w:r>
      <w:r>
        <w:rPr>
          <w:rFonts w:hint="eastAsia" w:ascii="宋体" w:hAnsi="宋体" w:cs="宋体"/>
          <w:color w:val="auto"/>
          <w:sz w:val="24"/>
          <w:lang w:val="en-US" w:eastAsia="zh-CN"/>
        </w:rPr>
        <w:t>7</w:t>
      </w:r>
      <w:r>
        <w:rPr>
          <w:rFonts w:hint="eastAsia" w:ascii="宋体" w:hAnsi="宋体" w:eastAsia="宋体" w:cs="宋体"/>
          <w:color w:val="auto"/>
          <w:sz w:val="24"/>
        </w:rPr>
        <w:t>）</w:t>
      </w:r>
      <w:r>
        <w:rPr>
          <w:rFonts w:hint="eastAsia" w:ascii="宋体" w:hAnsi="宋体" w:eastAsia="宋体" w:cs="宋体"/>
          <w:color w:val="auto"/>
          <w:sz w:val="24"/>
          <w:lang w:val="en-US" w:eastAsia="zh-CN"/>
        </w:rPr>
        <w:t>谐波越限保护功能；</w:t>
      </w:r>
    </w:p>
    <w:p>
      <w:pPr>
        <w:wordWrap/>
        <w:adjustRightInd/>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val="en-US" w:eastAsia="zh-CN"/>
        </w:rPr>
        <w:t>8</w:t>
      </w:r>
      <w:r>
        <w:rPr>
          <w:rFonts w:hint="eastAsia" w:ascii="宋体" w:hAnsi="宋体" w:eastAsia="宋体" w:cs="宋体"/>
          <w:color w:val="auto"/>
          <w:sz w:val="24"/>
        </w:rPr>
        <w:t>）测量数值：电流、电压、最大电流、最大电压、功率因数、THD（V）</w:t>
      </w:r>
      <w:r>
        <w:rPr>
          <w:rFonts w:hint="eastAsia" w:ascii="宋体" w:hAnsi="宋体" w:eastAsia="宋体" w:cs="宋体"/>
          <w:color w:val="auto"/>
          <w:sz w:val="24"/>
          <w:lang w:eastAsia="zh-CN"/>
        </w:rPr>
        <w:t>、</w:t>
      </w:r>
      <w:r>
        <w:rPr>
          <w:rFonts w:hint="eastAsia" w:ascii="宋体" w:hAnsi="宋体" w:eastAsia="宋体" w:cs="宋体"/>
          <w:color w:val="auto"/>
          <w:sz w:val="24"/>
        </w:rPr>
        <w:t>THD（</w:t>
      </w:r>
      <w:r>
        <w:rPr>
          <w:rFonts w:hint="eastAsia" w:ascii="宋体" w:hAnsi="宋体" w:eastAsia="宋体" w:cs="宋体"/>
          <w:color w:val="auto"/>
          <w:sz w:val="24"/>
          <w:lang w:val="en-US" w:eastAsia="zh-CN"/>
        </w:rPr>
        <w:t>I</w:t>
      </w:r>
      <w:r>
        <w:rPr>
          <w:rFonts w:hint="eastAsia" w:ascii="宋体" w:hAnsi="宋体" w:eastAsia="宋体" w:cs="宋体"/>
          <w:color w:val="auto"/>
          <w:sz w:val="24"/>
        </w:rPr>
        <w:t>）；</w:t>
      </w:r>
    </w:p>
    <w:p>
      <w:pPr>
        <w:wordWrap/>
        <w:adjustRightInd/>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val="en-US" w:eastAsia="zh-CN"/>
        </w:rPr>
        <w:t>9</w:t>
      </w:r>
      <w:r>
        <w:rPr>
          <w:rFonts w:hint="eastAsia" w:ascii="宋体" w:hAnsi="宋体" w:eastAsia="宋体" w:cs="宋体"/>
          <w:color w:val="auto"/>
          <w:sz w:val="24"/>
        </w:rPr>
        <w:t>）报警功能：欠补偿、过补偿、过电压、过电流、低电流；</w:t>
      </w:r>
    </w:p>
    <w:p>
      <w:pPr>
        <w:wordWrap/>
        <w:adjustRightInd/>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0</w:t>
      </w:r>
      <w:r>
        <w:rPr>
          <w:rFonts w:hint="eastAsia" w:ascii="宋体" w:hAnsi="宋体" w:eastAsia="宋体" w:cs="宋体"/>
          <w:color w:val="auto"/>
          <w:sz w:val="24"/>
        </w:rPr>
        <w:t>）符合标准：IEC61000-4-2/4/5、JB/T9663；</w:t>
      </w:r>
    </w:p>
    <w:p>
      <w:pPr>
        <w:wordWrap/>
        <w:adjustRightInd/>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电容专用接触器技术参数：</w:t>
      </w:r>
    </w:p>
    <w:p>
      <w:pPr>
        <w:wordWrap/>
        <w:adjustRightInd/>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（1）额定频率：50Hz</w:t>
      </w:r>
    </w:p>
    <w:p>
      <w:pPr>
        <w:wordWrap/>
        <w:adjustRightInd/>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（2）额定功率：与电容器补偿容量相符</w:t>
      </w:r>
    </w:p>
    <w:p>
      <w:pPr>
        <w:wordWrap/>
        <w:adjustRightInd/>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（3）峰值电流：承受100倍的额定电流</w:t>
      </w:r>
    </w:p>
    <w:p>
      <w:pPr>
        <w:wordWrap/>
        <w:adjustRightInd/>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（4）额定电压：＜660V</w:t>
      </w:r>
    </w:p>
    <w:p>
      <w:pPr>
        <w:wordWrap/>
        <w:adjustRightInd/>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（5）电气操作寿命：＜10万次</w:t>
      </w:r>
    </w:p>
    <w:p>
      <w:pPr>
        <w:wordWrap/>
        <w:adjustRightInd/>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（6）机械操作寿命：＜500万次</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color w:val="auto"/>
          <w:sz w:val="24"/>
        </w:rPr>
      </w:pPr>
      <w:r>
        <w:rPr>
          <w:rFonts w:hint="eastAsia" w:ascii="宋体" w:hAnsi="宋体" w:eastAsia="宋体" w:cs="宋体"/>
          <w:color w:val="auto"/>
          <w:sz w:val="24"/>
        </w:rPr>
        <w:t>（7）符合标准：IEC947-4-1、VDE0660</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color w:val="auto"/>
          <w:sz w:val="24"/>
        </w:rPr>
      </w:pPr>
      <w:r>
        <w:rPr>
          <w:rFonts w:hint="eastAsia" w:ascii="宋体" w:hAnsi="宋体" w:eastAsia="宋体" w:cs="宋体"/>
          <w:color w:val="auto"/>
          <w:sz w:val="24"/>
        </w:rPr>
        <w:t>6熔断器技术参数：</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color w:val="auto"/>
          <w:sz w:val="24"/>
        </w:rPr>
      </w:pPr>
      <w:r>
        <w:rPr>
          <w:rFonts w:hint="eastAsia" w:ascii="宋体" w:hAnsi="宋体" w:eastAsia="宋体" w:cs="宋体"/>
          <w:color w:val="auto"/>
          <w:sz w:val="24"/>
        </w:rPr>
        <w:t>（1）额定频率：50Hz</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color w:val="auto"/>
          <w:sz w:val="24"/>
        </w:rPr>
      </w:pPr>
      <w:r>
        <w:rPr>
          <w:rFonts w:hint="eastAsia" w:ascii="宋体" w:hAnsi="宋体" w:eastAsia="宋体" w:cs="宋体"/>
          <w:color w:val="auto"/>
          <w:sz w:val="24"/>
        </w:rPr>
        <w:t xml:space="preserve">（2）额定电压：不低于500V </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color w:val="auto"/>
          <w:sz w:val="24"/>
        </w:rPr>
      </w:pPr>
      <w:r>
        <w:rPr>
          <w:rFonts w:hint="eastAsia" w:ascii="宋体" w:hAnsi="宋体" w:eastAsia="宋体" w:cs="宋体"/>
          <w:color w:val="auto"/>
          <w:sz w:val="24"/>
        </w:rPr>
        <w:t>（3）额定电流：HRC熔丝大于电容器额定电流的1.6倍</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color w:val="auto"/>
          <w:sz w:val="24"/>
        </w:rPr>
      </w:pPr>
      <w:r>
        <w:rPr>
          <w:rFonts w:hint="eastAsia" w:ascii="宋体" w:hAnsi="宋体" w:eastAsia="宋体" w:cs="宋体"/>
          <w:color w:val="auto"/>
          <w:sz w:val="24"/>
        </w:rPr>
        <w:t>（4）短路电流：HRC熔丝,承受装设点之最大短路电流</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color w:val="auto"/>
          <w:sz w:val="24"/>
        </w:rPr>
      </w:pPr>
      <w:r>
        <w:rPr>
          <w:rFonts w:hint="eastAsia" w:ascii="宋体" w:hAnsi="宋体" w:eastAsia="宋体" w:cs="宋体"/>
          <w:color w:val="auto"/>
          <w:sz w:val="24"/>
        </w:rPr>
        <w:t>（5）采用NH00型，带弧板或保护盖；</w:t>
      </w:r>
    </w:p>
    <w:p>
      <w:pPr>
        <w:wordWrap/>
        <w:adjustRightInd/>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（6）符合标准：IEC60269</w:t>
      </w:r>
    </w:p>
    <w:p>
      <w:pPr>
        <w:wordWrap/>
        <w:adjustRightInd/>
        <w:spacing w:line="360" w:lineRule="auto"/>
        <w:ind w:firstLine="480" w:firstLineChars="200"/>
        <w:rPr>
          <w:rFonts w:hint="eastAsia" w:ascii="宋体" w:hAnsi="宋体" w:eastAsia="宋体" w:cs="宋体"/>
          <w:color w:val="auto"/>
          <w:sz w:val="24"/>
        </w:rPr>
      </w:pPr>
    </w:p>
    <w:p>
      <w:pPr>
        <w:keepNext/>
        <w:keepLines/>
        <w:widowControl w:val="0"/>
        <w:numPr>
          <w:ilvl w:val="0"/>
          <w:numId w:val="3"/>
        </w:numPr>
        <w:wordWrap/>
        <w:adjustRightInd w:val="0"/>
        <w:snapToGrid/>
        <w:spacing w:before="0" w:beforeLines="0" w:after="0" w:afterLines="0" w:line="360" w:lineRule="auto"/>
        <w:ind w:left="0" w:leftChars="0" w:right="0" w:firstLine="0" w:firstLineChars="0"/>
        <w:jc w:val="left"/>
        <w:textAlignment w:val="auto"/>
        <w:outlineLvl w:val="1"/>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低压断路器</w:t>
      </w:r>
    </w:p>
    <w:p>
      <w:pPr>
        <w:keepNext/>
        <w:keepLines/>
        <w:widowControl w:val="0"/>
        <w:wordWrap/>
        <w:snapToGrid/>
        <w:spacing w:before="260" w:beforeLines="0" w:after="260" w:afterLines="0" w:line="360" w:lineRule="auto"/>
        <w:ind w:right="0"/>
        <w:jc w:val="both"/>
        <w:textAlignment w:val="auto"/>
        <w:outlineLvl w:val="2"/>
        <w:rPr>
          <w:rFonts w:hint="eastAsia" w:ascii="宋体" w:hAnsi="宋体" w:eastAsia="宋体" w:cs="宋体"/>
          <w:b/>
          <w:bCs/>
          <w:i w:val="0"/>
          <w:iCs w:val="0"/>
          <w:kern w:val="2"/>
          <w:sz w:val="24"/>
          <w:szCs w:val="24"/>
          <w:lang w:val="en-US" w:eastAsia="zh-CN" w:bidi="ar-SA"/>
        </w:rPr>
      </w:pPr>
      <w:r>
        <w:rPr>
          <w:rFonts w:hint="eastAsia" w:ascii="宋体" w:hAnsi="宋体" w:eastAsia="宋体" w:cs="宋体"/>
          <w:b/>
          <w:bCs/>
          <w:i w:val="0"/>
          <w:iCs w:val="0"/>
          <w:kern w:val="2"/>
          <w:sz w:val="24"/>
          <w:szCs w:val="24"/>
          <w:lang w:val="en-US" w:eastAsia="zh-CN" w:bidi="ar-SA"/>
        </w:rPr>
        <w:t>框架断路器</w:t>
      </w:r>
    </w:p>
    <w:p>
      <w:pPr>
        <w:widowControl w:val="0"/>
        <w:wordWrap/>
        <w:adjustRightInd/>
        <w:snapToGrid/>
        <w:spacing w:line="360" w:lineRule="auto"/>
        <w:ind w:right="0"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1</w:t>
      </w:r>
      <w:r>
        <w:rPr>
          <w:rFonts w:hint="eastAsia" w:ascii="宋体" w:hAnsi="宋体" w:eastAsia="宋体" w:cs="宋体"/>
          <w:sz w:val="24"/>
          <w:lang w:val="en-US" w:eastAsia="zh-CN"/>
        </w:rPr>
        <w:t>、断路器应满足系统电压、电流、频率的要求，额定工作电压 Ue=690V AC；额定绝缘电压 Ui=1000V AC，50Hz</w:t>
      </w:r>
      <w:r>
        <w:rPr>
          <w:rFonts w:hint="eastAsia" w:ascii="宋体" w:hAnsi="宋体" w:cs="宋体"/>
          <w:sz w:val="24"/>
          <w:lang w:val="en-US" w:eastAsia="zh-CN"/>
        </w:rPr>
        <w:t>；</w:t>
      </w:r>
      <w:r>
        <w:rPr>
          <w:rFonts w:hint="eastAsia" w:ascii="宋体" w:hAnsi="宋体" w:eastAsia="宋体" w:cs="宋体"/>
          <w:sz w:val="24"/>
          <w:lang w:val="en-US" w:eastAsia="zh-CN"/>
        </w:rPr>
        <w:t xml:space="preserve"> 额定电流 In按低压配电系统图规定</w:t>
      </w:r>
    </w:p>
    <w:p>
      <w:pPr>
        <w:widowControl w:val="0"/>
        <w:wordWrap/>
        <w:adjustRightInd/>
        <w:snapToGrid/>
        <w:spacing w:line="360" w:lineRule="auto"/>
        <w:ind w:right="0"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2</w:t>
      </w:r>
      <w:r>
        <w:rPr>
          <w:rFonts w:hint="eastAsia" w:ascii="宋体" w:hAnsi="宋体" w:eastAsia="宋体" w:cs="宋体"/>
          <w:sz w:val="24"/>
          <w:lang w:val="en-US" w:eastAsia="zh-CN"/>
        </w:rPr>
        <w:t>、额定冲击耐受电压：12kV</w:t>
      </w:r>
    </w:p>
    <w:p>
      <w:pPr>
        <w:pStyle w:val="263"/>
        <w:widowControl w:val="0"/>
        <w:numPr>
          <w:numId w:val="0"/>
        </w:numPr>
        <w:wordWrap/>
        <w:adjustRightInd/>
        <w:snapToGrid/>
        <w:spacing w:line="360" w:lineRule="auto"/>
        <w:ind w:leftChars="200" w:right="0"/>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断路器机械及电气寿命(不低于下列操作次数)：</w:t>
      </w:r>
    </w:p>
    <w:tbl>
      <w:tblPr>
        <w:tblStyle w:val="976"/>
        <w:tblW w:w="6524" w:type="dxa"/>
        <w:tblInd w:w="4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05"/>
        <w:gridCol w:w="2204"/>
        <w:gridCol w:w="1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405" w:type="dxa"/>
            <w:tcBorders>
              <w:top w:val="single" w:color="000000" w:sz="6" w:space="0"/>
              <w:left w:val="single" w:color="000000" w:sz="6" w:space="0"/>
              <w:bottom w:val="single" w:color="000000" w:sz="6" w:space="0"/>
              <w:right w:val="single" w:color="000000" w:sz="6" w:space="0"/>
            </w:tcBorders>
            <w:vAlign w:val="center"/>
          </w:tcPr>
          <w:p>
            <w:pPr>
              <w:widowControl w:val="0"/>
              <w:wordWrap/>
              <w:spacing w:after="0" w:line="360" w:lineRule="auto"/>
              <w:jc w:val="center"/>
              <w:rPr>
                <w:rFonts w:hint="eastAsia" w:ascii="宋体" w:hAnsi="宋体" w:eastAsia="宋体" w:cs="宋体"/>
                <w:kern w:val="0"/>
                <w:sz w:val="24"/>
                <w:szCs w:val="24"/>
                <w:lang w:val="en-US" w:eastAsia="en-US" w:bidi="ar-SA"/>
              </w:rPr>
            </w:pPr>
            <w:r>
              <w:rPr>
                <w:rFonts w:hint="eastAsia" w:ascii="宋体" w:hAnsi="宋体" w:cs="宋体"/>
                <w:kern w:val="0"/>
                <w:sz w:val="24"/>
                <w:szCs w:val="24"/>
                <w:lang w:val="en-US" w:eastAsia="zh-CN" w:bidi="ar-SA"/>
              </w:rPr>
              <w:t>壳架等级</w:t>
            </w:r>
            <w:r>
              <w:rPr>
                <w:rFonts w:hint="eastAsia" w:ascii="宋体" w:hAnsi="宋体" w:eastAsia="宋体" w:cs="宋体"/>
                <w:kern w:val="0"/>
                <w:sz w:val="24"/>
                <w:szCs w:val="24"/>
                <w:lang w:val="en-US" w:eastAsia="en-US" w:bidi="ar-SA"/>
              </w:rPr>
              <w:t>额定电流(</w:t>
            </w:r>
            <w:r>
              <w:rPr>
                <w:rFonts w:hint="eastAsia" w:ascii="宋体" w:hAnsi="宋体" w:eastAsia="宋体" w:cs="宋体"/>
                <w:spacing w:val="-2"/>
                <w:kern w:val="0"/>
                <w:sz w:val="24"/>
                <w:szCs w:val="24"/>
                <w:lang w:val="en-US" w:eastAsia="en-US" w:bidi="ar-SA"/>
              </w:rPr>
              <w:t>A</w:t>
            </w:r>
            <w:r>
              <w:rPr>
                <w:rFonts w:hint="eastAsia" w:ascii="宋体" w:hAnsi="宋体" w:eastAsia="宋体" w:cs="宋体"/>
                <w:kern w:val="0"/>
                <w:sz w:val="24"/>
                <w:szCs w:val="24"/>
                <w:lang w:val="en-US" w:eastAsia="en-US" w:bidi="ar-SA"/>
              </w:rPr>
              <w:t>)</w:t>
            </w:r>
          </w:p>
        </w:tc>
        <w:tc>
          <w:tcPr>
            <w:tcW w:w="2204" w:type="dxa"/>
            <w:tcBorders>
              <w:top w:val="single" w:color="000000" w:sz="6" w:space="0"/>
              <w:left w:val="single" w:color="000000" w:sz="6" w:space="0"/>
              <w:bottom w:val="single" w:color="000000" w:sz="6" w:space="0"/>
              <w:right w:val="single" w:color="000000" w:sz="6" w:space="0"/>
            </w:tcBorders>
            <w:vAlign w:val="center"/>
          </w:tcPr>
          <w:p>
            <w:pPr>
              <w:widowControl w:val="0"/>
              <w:wordWrap/>
              <w:spacing w:after="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机械寿命（次）</w:t>
            </w:r>
          </w:p>
        </w:tc>
        <w:tc>
          <w:tcPr>
            <w:tcW w:w="1915" w:type="dxa"/>
            <w:tcBorders>
              <w:top w:val="single" w:color="000000" w:sz="6" w:space="0"/>
              <w:left w:val="single" w:color="000000" w:sz="6" w:space="0"/>
              <w:bottom w:val="single" w:color="000000" w:sz="6" w:space="0"/>
              <w:right w:val="single" w:color="000000" w:sz="6" w:space="0"/>
            </w:tcBorders>
            <w:vAlign w:val="center"/>
          </w:tcPr>
          <w:p>
            <w:pPr>
              <w:widowControl w:val="0"/>
              <w:wordWrap/>
              <w:spacing w:after="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电气寿命（次）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405" w:type="dxa"/>
            <w:tcBorders>
              <w:top w:val="single" w:color="000000" w:sz="6" w:space="0"/>
              <w:left w:val="single" w:color="000000" w:sz="6" w:space="0"/>
              <w:bottom w:val="single" w:color="000000" w:sz="6" w:space="0"/>
              <w:right w:val="single" w:color="000000" w:sz="6" w:space="0"/>
            </w:tcBorders>
            <w:vAlign w:val="center"/>
          </w:tcPr>
          <w:p>
            <w:pPr>
              <w:widowControl w:val="0"/>
              <w:wordWrap/>
              <w:spacing w:after="0" w:line="360" w:lineRule="auto"/>
              <w:ind w:left="275"/>
              <w:jc w:val="left"/>
              <w:rPr>
                <w:rFonts w:hint="eastAsia" w:ascii="宋体" w:hAnsi="宋体" w:eastAsia="宋体" w:cs="宋体"/>
                <w:kern w:val="0"/>
                <w:sz w:val="24"/>
                <w:szCs w:val="24"/>
                <w:lang w:val="en-US" w:eastAsia="en-US" w:bidi="ar-SA"/>
              </w:rPr>
            </w:pPr>
            <w:r>
              <w:rPr>
                <w:rFonts w:hint="eastAsia" w:ascii="宋体" w:hAnsi="宋体" w:cs="宋体"/>
                <w:kern w:val="0"/>
                <w:sz w:val="24"/>
                <w:szCs w:val="24"/>
                <w:lang w:val="en-US" w:eastAsia="zh-CN" w:bidi="ar-SA"/>
              </w:rPr>
              <w:t>1000</w:t>
            </w:r>
            <w:r>
              <w:rPr>
                <w:rFonts w:hint="eastAsia" w:ascii="宋体" w:hAnsi="宋体" w:eastAsia="宋体" w:cs="宋体"/>
                <w:spacing w:val="-2"/>
                <w:kern w:val="0"/>
                <w:sz w:val="24"/>
                <w:szCs w:val="24"/>
                <w:lang w:val="en-US" w:eastAsia="en-US" w:bidi="ar-SA"/>
              </w:rPr>
              <w:t>A</w:t>
            </w:r>
            <w:r>
              <w:rPr>
                <w:rFonts w:hint="eastAsia" w:ascii="宋体" w:hAnsi="宋体" w:cs="宋体"/>
                <w:kern w:val="0"/>
                <w:sz w:val="24"/>
                <w:szCs w:val="24"/>
                <w:lang w:val="en-US" w:eastAsia="zh-CN" w:bidi="ar-SA"/>
              </w:rPr>
              <w:t>、</w:t>
            </w:r>
            <w:r>
              <w:rPr>
                <w:rFonts w:hint="eastAsia" w:ascii="宋体" w:hAnsi="宋体" w:eastAsia="宋体" w:cs="宋体"/>
                <w:kern w:val="0"/>
                <w:sz w:val="24"/>
                <w:szCs w:val="24"/>
                <w:lang w:val="en-US" w:eastAsia="en-US" w:bidi="ar-SA"/>
              </w:rPr>
              <w:t>1600A</w:t>
            </w:r>
          </w:p>
        </w:tc>
        <w:tc>
          <w:tcPr>
            <w:tcW w:w="2204" w:type="dxa"/>
            <w:tcBorders>
              <w:top w:val="single" w:color="000000" w:sz="6" w:space="0"/>
              <w:left w:val="single" w:color="000000" w:sz="6" w:space="0"/>
              <w:bottom w:val="single" w:color="000000" w:sz="6" w:space="0"/>
              <w:right w:val="single" w:color="000000" w:sz="6" w:space="0"/>
            </w:tcBorders>
            <w:vAlign w:val="center"/>
          </w:tcPr>
          <w:p>
            <w:pPr>
              <w:widowControl w:val="0"/>
              <w:wordWrap/>
              <w:spacing w:after="0"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3</w:t>
            </w:r>
            <w:r>
              <w:rPr>
                <w:rFonts w:hint="eastAsia" w:ascii="宋体" w:hAnsi="宋体" w:eastAsia="宋体" w:cs="宋体"/>
                <w:kern w:val="0"/>
                <w:sz w:val="24"/>
                <w:szCs w:val="24"/>
                <w:lang w:val="en-US" w:eastAsia="zh-CN" w:bidi="ar-SA"/>
              </w:rPr>
              <w:t>0000</w:t>
            </w:r>
          </w:p>
        </w:tc>
        <w:tc>
          <w:tcPr>
            <w:tcW w:w="1915" w:type="dxa"/>
            <w:tcBorders>
              <w:top w:val="single" w:color="000000" w:sz="6" w:space="0"/>
              <w:left w:val="single" w:color="000000" w:sz="6" w:space="0"/>
              <w:bottom w:val="single" w:color="000000" w:sz="6" w:space="0"/>
              <w:right w:val="single" w:color="000000" w:sz="6" w:space="0"/>
            </w:tcBorders>
            <w:vAlign w:val="center"/>
          </w:tcPr>
          <w:p>
            <w:pPr>
              <w:widowControl w:val="0"/>
              <w:wordWrap/>
              <w:spacing w:after="0"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10</w:t>
            </w:r>
            <w:r>
              <w:rPr>
                <w:rFonts w:hint="eastAsia" w:ascii="宋体" w:hAnsi="宋体" w:eastAsia="宋体" w:cs="宋体"/>
                <w:kern w:val="0"/>
                <w:sz w:val="24"/>
                <w:szCs w:val="24"/>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405" w:type="dxa"/>
            <w:tcBorders>
              <w:top w:val="single" w:color="000000" w:sz="6" w:space="0"/>
              <w:left w:val="single" w:color="000000" w:sz="6" w:space="0"/>
              <w:bottom w:val="single" w:color="000000" w:sz="6" w:space="0"/>
              <w:right w:val="single" w:color="000000" w:sz="6" w:space="0"/>
            </w:tcBorders>
            <w:vAlign w:val="center"/>
          </w:tcPr>
          <w:p>
            <w:pPr>
              <w:widowControl w:val="0"/>
              <w:wordWrap/>
              <w:spacing w:after="0" w:line="360" w:lineRule="auto"/>
              <w:ind w:left="275"/>
              <w:jc w:val="left"/>
              <w:rPr>
                <w:rFonts w:hint="eastAsia" w:ascii="宋体" w:hAnsi="宋体" w:eastAsia="宋体" w:cs="宋体"/>
                <w:kern w:val="0"/>
                <w:sz w:val="24"/>
                <w:szCs w:val="24"/>
                <w:lang w:val="en-US" w:eastAsia="en-US" w:bidi="ar-SA"/>
              </w:rPr>
            </w:pPr>
            <w:r>
              <w:rPr>
                <w:rFonts w:hint="eastAsia" w:ascii="宋体" w:hAnsi="宋体" w:eastAsia="宋体" w:cs="宋体"/>
                <w:kern w:val="0"/>
                <w:sz w:val="24"/>
                <w:szCs w:val="24"/>
                <w:lang w:val="en-US" w:eastAsia="en-US" w:bidi="ar-SA"/>
              </w:rPr>
              <w:t>2000A</w:t>
            </w:r>
          </w:p>
        </w:tc>
        <w:tc>
          <w:tcPr>
            <w:tcW w:w="2204" w:type="dxa"/>
            <w:tcBorders>
              <w:top w:val="single" w:color="000000" w:sz="6" w:space="0"/>
              <w:left w:val="single" w:color="000000" w:sz="6" w:space="0"/>
              <w:bottom w:val="single" w:color="000000" w:sz="6" w:space="0"/>
              <w:right w:val="single" w:color="000000" w:sz="6" w:space="0"/>
            </w:tcBorders>
            <w:vAlign w:val="center"/>
          </w:tcPr>
          <w:p>
            <w:pPr>
              <w:widowControl w:val="0"/>
              <w:wordWrap/>
              <w:spacing w:after="0"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3</w:t>
            </w:r>
            <w:r>
              <w:rPr>
                <w:rFonts w:hint="eastAsia" w:ascii="宋体" w:hAnsi="宋体" w:eastAsia="宋体" w:cs="宋体"/>
                <w:kern w:val="0"/>
                <w:sz w:val="24"/>
                <w:szCs w:val="24"/>
                <w:lang w:val="en-US" w:eastAsia="zh-CN" w:bidi="ar-SA"/>
              </w:rPr>
              <w:t>0000</w:t>
            </w:r>
          </w:p>
        </w:tc>
        <w:tc>
          <w:tcPr>
            <w:tcW w:w="1915" w:type="dxa"/>
            <w:tcBorders>
              <w:top w:val="single" w:color="000000" w:sz="6" w:space="0"/>
              <w:left w:val="single" w:color="000000" w:sz="6" w:space="0"/>
              <w:bottom w:val="single" w:color="000000" w:sz="6" w:space="0"/>
              <w:right w:val="single" w:color="000000" w:sz="6" w:space="0"/>
            </w:tcBorders>
            <w:vAlign w:val="center"/>
          </w:tcPr>
          <w:p>
            <w:pPr>
              <w:widowControl w:val="0"/>
              <w:wordWrap/>
              <w:spacing w:after="0"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10</w:t>
            </w:r>
            <w:r>
              <w:rPr>
                <w:rFonts w:hint="eastAsia" w:ascii="宋体" w:hAnsi="宋体" w:eastAsia="宋体" w:cs="宋体"/>
                <w:kern w:val="0"/>
                <w:sz w:val="24"/>
                <w:szCs w:val="24"/>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405" w:type="dxa"/>
            <w:tcBorders>
              <w:top w:val="single" w:color="000000" w:sz="6" w:space="0"/>
              <w:left w:val="single" w:color="000000" w:sz="6" w:space="0"/>
              <w:bottom w:val="single" w:color="000000" w:sz="6" w:space="0"/>
              <w:right w:val="single" w:color="000000" w:sz="6" w:space="0"/>
            </w:tcBorders>
            <w:vAlign w:val="center"/>
          </w:tcPr>
          <w:p>
            <w:pPr>
              <w:widowControl w:val="0"/>
              <w:wordWrap/>
              <w:spacing w:after="0" w:line="360" w:lineRule="auto"/>
              <w:ind w:left="275"/>
              <w:jc w:val="left"/>
              <w:rPr>
                <w:rFonts w:hint="eastAsia" w:ascii="宋体" w:hAnsi="宋体" w:eastAsia="宋体" w:cs="宋体"/>
                <w:kern w:val="0"/>
                <w:sz w:val="24"/>
                <w:szCs w:val="24"/>
                <w:lang w:val="en-US" w:eastAsia="en-US" w:bidi="ar-SA"/>
              </w:rPr>
            </w:pPr>
            <w:r>
              <w:rPr>
                <w:rFonts w:hint="eastAsia" w:ascii="宋体" w:hAnsi="宋体" w:eastAsia="宋体" w:cs="宋体"/>
                <w:kern w:val="0"/>
                <w:sz w:val="24"/>
                <w:szCs w:val="24"/>
                <w:lang w:val="en-US" w:eastAsia="en-US" w:bidi="ar-SA"/>
              </w:rPr>
              <w:t>3200A</w:t>
            </w:r>
          </w:p>
        </w:tc>
        <w:tc>
          <w:tcPr>
            <w:tcW w:w="2204" w:type="dxa"/>
            <w:tcBorders>
              <w:top w:val="single" w:color="000000" w:sz="6" w:space="0"/>
              <w:left w:val="single" w:color="000000" w:sz="6" w:space="0"/>
              <w:bottom w:val="single" w:color="000000" w:sz="6" w:space="0"/>
              <w:right w:val="single" w:color="000000" w:sz="6" w:space="0"/>
            </w:tcBorders>
            <w:vAlign w:val="center"/>
          </w:tcPr>
          <w:p>
            <w:pPr>
              <w:widowControl w:val="0"/>
              <w:wordWrap/>
              <w:spacing w:after="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20000</w:t>
            </w:r>
          </w:p>
        </w:tc>
        <w:tc>
          <w:tcPr>
            <w:tcW w:w="1915" w:type="dxa"/>
            <w:tcBorders>
              <w:top w:val="single" w:color="000000" w:sz="6" w:space="0"/>
              <w:left w:val="single" w:color="000000" w:sz="6" w:space="0"/>
              <w:bottom w:val="single" w:color="000000" w:sz="6" w:space="0"/>
              <w:right w:val="single" w:color="000000" w:sz="6" w:space="0"/>
            </w:tcBorders>
            <w:vAlign w:val="center"/>
          </w:tcPr>
          <w:p>
            <w:pPr>
              <w:widowControl w:val="0"/>
              <w:wordWrap/>
              <w:spacing w:after="0"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65</w:t>
            </w:r>
            <w:r>
              <w:rPr>
                <w:rFonts w:hint="eastAsia" w:ascii="宋体" w:hAnsi="宋体" w:eastAsia="宋体" w:cs="宋体"/>
                <w:kern w:val="0"/>
                <w:sz w:val="24"/>
                <w:szCs w:val="24"/>
                <w:lang w:val="en-US" w:eastAsia="zh-CN" w:bidi="ar-SA"/>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2" w:hRule="atLeast"/>
        </w:trPr>
        <w:tc>
          <w:tcPr>
            <w:tcW w:w="2405" w:type="dxa"/>
            <w:tcBorders>
              <w:top w:val="single" w:color="000000" w:sz="6" w:space="0"/>
              <w:left w:val="single" w:color="000000" w:sz="6" w:space="0"/>
              <w:bottom w:val="single" w:color="000000" w:sz="6" w:space="0"/>
              <w:right w:val="single" w:color="000000" w:sz="6" w:space="0"/>
            </w:tcBorders>
            <w:vAlign w:val="center"/>
          </w:tcPr>
          <w:p>
            <w:pPr>
              <w:widowControl w:val="0"/>
              <w:wordWrap/>
              <w:spacing w:after="0" w:line="360" w:lineRule="auto"/>
              <w:ind w:left="275"/>
              <w:jc w:val="left"/>
              <w:rPr>
                <w:rFonts w:hint="eastAsia" w:ascii="宋体" w:hAnsi="宋体" w:eastAsia="宋体" w:cs="宋体"/>
                <w:kern w:val="0"/>
                <w:sz w:val="24"/>
                <w:szCs w:val="24"/>
                <w:lang w:val="en-US" w:eastAsia="en-US" w:bidi="ar-SA"/>
              </w:rPr>
            </w:pPr>
            <w:r>
              <w:rPr>
                <w:rFonts w:hint="eastAsia" w:ascii="宋体" w:hAnsi="宋体" w:cs="宋体"/>
                <w:kern w:val="0"/>
                <w:sz w:val="24"/>
                <w:szCs w:val="24"/>
                <w:lang w:val="en-US" w:eastAsia="zh-CN" w:bidi="ar-SA"/>
              </w:rPr>
              <w:t>4</w:t>
            </w:r>
            <w:r>
              <w:rPr>
                <w:rFonts w:hint="eastAsia" w:ascii="宋体" w:hAnsi="宋体" w:eastAsia="宋体" w:cs="宋体"/>
                <w:kern w:val="0"/>
                <w:sz w:val="24"/>
                <w:szCs w:val="24"/>
                <w:lang w:val="en-US" w:eastAsia="en-US" w:bidi="ar-SA"/>
              </w:rPr>
              <w:t>000A</w:t>
            </w:r>
          </w:p>
        </w:tc>
        <w:tc>
          <w:tcPr>
            <w:tcW w:w="2204" w:type="dxa"/>
            <w:tcBorders>
              <w:top w:val="single" w:color="000000" w:sz="6" w:space="0"/>
              <w:left w:val="single" w:color="000000" w:sz="6" w:space="0"/>
              <w:bottom w:val="single" w:color="000000" w:sz="6" w:space="0"/>
              <w:right w:val="single" w:color="000000" w:sz="6" w:space="0"/>
            </w:tcBorders>
            <w:vAlign w:val="center"/>
          </w:tcPr>
          <w:p>
            <w:pPr>
              <w:widowControl w:val="0"/>
              <w:wordWrap/>
              <w:spacing w:after="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w:t>
            </w:r>
            <w:r>
              <w:rPr>
                <w:rFonts w:hint="eastAsia" w:ascii="宋体" w:hAnsi="宋体" w:cs="宋体"/>
                <w:kern w:val="0"/>
                <w:sz w:val="24"/>
                <w:szCs w:val="24"/>
                <w:lang w:val="en-US" w:eastAsia="zh-CN" w:bidi="ar-SA"/>
              </w:rPr>
              <w:t>0</w:t>
            </w:r>
            <w:r>
              <w:rPr>
                <w:rFonts w:hint="eastAsia" w:ascii="宋体" w:hAnsi="宋体" w:eastAsia="宋体" w:cs="宋体"/>
                <w:kern w:val="0"/>
                <w:sz w:val="24"/>
                <w:szCs w:val="24"/>
                <w:lang w:val="en-US" w:eastAsia="zh-CN" w:bidi="ar-SA"/>
              </w:rPr>
              <w:t>000</w:t>
            </w:r>
          </w:p>
        </w:tc>
        <w:tc>
          <w:tcPr>
            <w:tcW w:w="1915" w:type="dxa"/>
            <w:tcBorders>
              <w:top w:val="single" w:color="000000" w:sz="6" w:space="0"/>
              <w:left w:val="single" w:color="000000" w:sz="6" w:space="0"/>
              <w:bottom w:val="single" w:color="000000" w:sz="6" w:space="0"/>
              <w:right w:val="single" w:color="000000" w:sz="6" w:space="0"/>
            </w:tcBorders>
            <w:vAlign w:val="center"/>
          </w:tcPr>
          <w:p>
            <w:pPr>
              <w:widowControl w:val="0"/>
              <w:wordWrap/>
              <w:spacing w:after="0"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3</w:t>
            </w:r>
            <w:r>
              <w:rPr>
                <w:rFonts w:hint="eastAsia" w:ascii="宋体" w:hAnsi="宋体" w:eastAsia="宋体" w:cs="宋体"/>
                <w:kern w:val="0"/>
                <w:sz w:val="24"/>
                <w:szCs w:val="24"/>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405" w:type="dxa"/>
            <w:tcBorders>
              <w:top w:val="single" w:color="000000" w:sz="6" w:space="0"/>
              <w:left w:val="single" w:color="000000" w:sz="6" w:space="0"/>
              <w:bottom w:val="single" w:color="000000" w:sz="6" w:space="0"/>
              <w:right w:val="single" w:color="000000" w:sz="6" w:space="0"/>
            </w:tcBorders>
            <w:vAlign w:val="center"/>
          </w:tcPr>
          <w:p>
            <w:pPr>
              <w:widowControl w:val="0"/>
              <w:wordWrap/>
              <w:spacing w:after="0" w:line="360" w:lineRule="auto"/>
              <w:ind w:left="275" w:leftChars="0"/>
              <w:jc w:val="left"/>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63</w:t>
            </w:r>
            <w:r>
              <w:rPr>
                <w:rFonts w:hint="eastAsia" w:ascii="宋体" w:hAnsi="宋体" w:eastAsia="宋体" w:cs="宋体"/>
                <w:kern w:val="0"/>
                <w:sz w:val="24"/>
                <w:szCs w:val="24"/>
                <w:lang w:val="en-US" w:eastAsia="en-US" w:bidi="ar-SA"/>
              </w:rPr>
              <w:t>00A</w:t>
            </w:r>
          </w:p>
        </w:tc>
        <w:tc>
          <w:tcPr>
            <w:tcW w:w="2204" w:type="dxa"/>
            <w:tcBorders>
              <w:top w:val="single" w:color="000000" w:sz="6" w:space="0"/>
              <w:left w:val="single" w:color="000000" w:sz="6" w:space="0"/>
              <w:bottom w:val="single" w:color="000000" w:sz="6" w:space="0"/>
              <w:right w:val="single" w:color="000000" w:sz="6" w:space="0"/>
            </w:tcBorders>
            <w:vAlign w:val="center"/>
          </w:tcPr>
          <w:p>
            <w:pPr>
              <w:widowControl w:val="0"/>
              <w:wordWrap/>
              <w:spacing w:after="0"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10</w:t>
            </w:r>
            <w:r>
              <w:rPr>
                <w:rFonts w:hint="eastAsia" w:ascii="宋体" w:hAnsi="宋体" w:eastAsia="宋体" w:cs="宋体"/>
                <w:kern w:val="0"/>
                <w:sz w:val="24"/>
                <w:szCs w:val="24"/>
                <w:lang w:val="en-US" w:eastAsia="zh-CN" w:bidi="ar-SA"/>
              </w:rPr>
              <w:t>000</w:t>
            </w:r>
          </w:p>
        </w:tc>
        <w:tc>
          <w:tcPr>
            <w:tcW w:w="1915" w:type="dxa"/>
            <w:tcBorders>
              <w:top w:val="single" w:color="000000" w:sz="6" w:space="0"/>
              <w:left w:val="single" w:color="000000" w:sz="6" w:space="0"/>
              <w:bottom w:val="single" w:color="000000" w:sz="6" w:space="0"/>
              <w:right w:val="single" w:color="000000" w:sz="6" w:space="0"/>
            </w:tcBorders>
            <w:vAlign w:val="center"/>
          </w:tcPr>
          <w:p>
            <w:pPr>
              <w:widowControl w:val="0"/>
              <w:wordWrap/>
              <w:spacing w:after="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2000</w:t>
            </w:r>
          </w:p>
        </w:tc>
      </w:tr>
    </w:tbl>
    <w:p>
      <w:pPr>
        <w:wordWrap/>
        <w:adjustRightInd/>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ACB 断路器的控制单元</w:t>
      </w:r>
    </w:p>
    <w:p>
      <w:pPr>
        <w:wordWrap/>
        <w:adjustRightInd/>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保护功能：</w:t>
      </w:r>
    </w:p>
    <w:p>
      <w:pPr>
        <w:wordWrap/>
        <w:adjustRightInd/>
        <w:spacing w:line="360" w:lineRule="auto"/>
        <w:ind w:firstLine="480" w:firstLineChars="200"/>
        <w:rPr>
          <w:rFonts w:hint="eastAsia" w:ascii="宋体" w:hAnsi="宋体" w:eastAsia="宋体" w:cs="宋体"/>
          <w:sz w:val="24"/>
          <w:lang w:val="en-US" w:eastAsia="zh-CN"/>
        </w:rPr>
      </w:pPr>
      <w:r>
        <w:rPr>
          <w:rFonts w:hint="eastAsia" w:ascii="宋体" w:hAnsi="宋体" w:cs="宋体"/>
          <w:sz w:val="24"/>
          <w:lang w:val="en-US" w:eastAsia="zh-CN"/>
        </w:rPr>
        <w:t>具备</w:t>
      </w:r>
      <w:r>
        <w:rPr>
          <w:rFonts w:hint="eastAsia" w:ascii="宋体" w:hAnsi="宋体" w:eastAsia="宋体" w:cs="宋体"/>
          <w:sz w:val="24"/>
        </w:rPr>
        <w:t>过载保护L</w:t>
      </w:r>
      <w:r>
        <w:rPr>
          <w:rFonts w:hint="eastAsia" w:ascii="宋体" w:hAnsi="宋体" w:cs="宋体"/>
          <w:sz w:val="24"/>
          <w:lang w:eastAsia="zh-CN"/>
        </w:rPr>
        <w:t>、</w:t>
      </w:r>
      <w:r>
        <w:rPr>
          <w:rFonts w:hint="eastAsia" w:ascii="宋体" w:hAnsi="宋体" w:eastAsia="宋体" w:cs="宋体"/>
          <w:sz w:val="24"/>
        </w:rPr>
        <w:t>选择性短路保护S</w:t>
      </w:r>
      <w:r>
        <w:rPr>
          <w:rFonts w:hint="eastAsia" w:ascii="宋体" w:hAnsi="宋体" w:cs="宋体"/>
          <w:sz w:val="24"/>
          <w:lang w:eastAsia="zh-CN"/>
        </w:rPr>
        <w:t>、</w:t>
      </w:r>
      <w:r>
        <w:rPr>
          <w:rFonts w:hint="eastAsia" w:ascii="宋体" w:hAnsi="宋体" w:eastAsia="宋体" w:cs="宋体"/>
          <w:sz w:val="24"/>
        </w:rPr>
        <w:t>瞬时短路保护I</w:t>
      </w:r>
      <w:r>
        <w:rPr>
          <w:rFonts w:hint="eastAsia" w:ascii="宋体" w:hAnsi="宋体" w:cs="宋体"/>
          <w:sz w:val="24"/>
          <w:lang w:eastAsia="zh-CN"/>
        </w:rPr>
        <w:t>；</w:t>
      </w:r>
    </w:p>
    <w:p>
      <w:pPr>
        <w:wordWrap/>
        <w:adjustRightInd/>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框架式断路器电气技术性能及</w:t>
      </w:r>
      <w:r>
        <w:rPr>
          <w:rFonts w:hint="eastAsia" w:ascii="宋体" w:hAnsi="宋体" w:eastAsia="宋体" w:cs="宋体"/>
          <w:sz w:val="24"/>
        </w:rPr>
        <w:t>参数</w:t>
      </w:r>
      <w:r>
        <w:rPr>
          <w:rFonts w:hint="eastAsia" w:ascii="宋体" w:hAnsi="宋体" w:cs="宋体"/>
          <w:sz w:val="24"/>
          <w:lang w:val="en-US" w:eastAsia="zh-CN"/>
        </w:rPr>
        <w:t>满足图纸要求；</w:t>
      </w:r>
    </w:p>
    <w:p>
      <w:pPr>
        <w:keepNext/>
        <w:keepLines/>
        <w:widowControl w:val="0"/>
        <w:wordWrap/>
        <w:spacing w:before="260" w:beforeLines="0" w:after="260" w:afterLines="0" w:line="360" w:lineRule="auto"/>
        <w:jc w:val="both"/>
        <w:outlineLvl w:val="2"/>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塑壳断路器</w:t>
      </w:r>
    </w:p>
    <w:p>
      <w:pPr>
        <w:widowControl/>
        <w:tabs>
          <w:tab w:val="left" w:pos="-720"/>
          <w:tab w:val="left" w:pos="0"/>
          <w:tab w:val="left" w:pos="720"/>
          <w:tab w:val="left" w:pos="1440"/>
          <w:tab w:val="left" w:pos="2160"/>
          <w:tab w:val="left" w:pos="2880"/>
          <w:tab w:val="left" w:pos="3600"/>
          <w:tab w:val="left" w:pos="4320"/>
        </w:tabs>
        <w:wordWrap/>
        <w:autoSpaceDE w:val="0"/>
        <w:autoSpaceDN w:val="0"/>
        <w:adjustRightInd/>
        <w:snapToGrid/>
        <w:spacing w:line="360" w:lineRule="auto"/>
        <w:ind w:lef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w:t>
      </w:r>
      <w:r>
        <w:rPr>
          <w:rFonts w:hint="eastAsia" w:ascii="宋体" w:hAnsi="宋体" w:eastAsia="宋体" w:cs="宋体"/>
          <w:kern w:val="2"/>
          <w:sz w:val="24"/>
          <w:szCs w:val="24"/>
          <w:lang w:val="en-US" w:eastAsia="zh-CN" w:bidi="ar-SA"/>
        </w:rPr>
        <w:t>.满足系统电压、电流、频率的要求；</w:t>
      </w:r>
    </w:p>
    <w:p>
      <w:pPr>
        <w:widowControl/>
        <w:tabs>
          <w:tab w:val="left" w:pos="-720"/>
          <w:tab w:val="left" w:pos="0"/>
          <w:tab w:val="left" w:pos="720"/>
          <w:tab w:val="left" w:pos="1440"/>
          <w:tab w:val="left" w:pos="2160"/>
          <w:tab w:val="left" w:pos="2880"/>
          <w:tab w:val="left" w:pos="3600"/>
          <w:tab w:val="left" w:pos="4320"/>
        </w:tabs>
        <w:wordWrap/>
        <w:autoSpaceDE w:val="0"/>
        <w:autoSpaceDN w:val="0"/>
        <w:adjustRightInd/>
        <w:snapToGrid/>
        <w:spacing w:line="360" w:lineRule="auto"/>
        <w:ind w:lef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.断路器可上进线，也可下进线，其上下进线不影响断路器的性能；</w:t>
      </w:r>
    </w:p>
    <w:p>
      <w:pPr>
        <w:widowControl/>
        <w:tabs>
          <w:tab w:val="left" w:pos="-720"/>
          <w:tab w:val="left" w:pos="0"/>
          <w:tab w:val="left" w:pos="720"/>
          <w:tab w:val="left" w:pos="1440"/>
          <w:tab w:val="left" w:pos="2160"/>
          <w:tab w:val="left" w:pos="2880"/>
          <w:tab w:val="left" w:pos="3600"/>
          <w:tab w:val="left" w:pos="4320"/>
        </w:tabs>
        <w:wordWrap/>
        <w:autoSpaceDE w:val="0"/>
        <w:autoSpaceDN w:val="0"/>
        <w:adjustRightInd/>
        <w:snapToGrid/>
        <w:spacing w:line="360" w:lineRule="auto"/>
        <w:ind w:lef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.根据系统要求，选定额定极限短路分断能力Icu；</w:t>
      </w:r>
    </w:p>
    <w:p>
      <w:pPr>
        <w:widowControl/>
        <w:tabs>
          <w:tab w:val="left" w:pos="-720"/>
          <w:tab w:val="left" w:pos="0"/>
          <w:tab w:val="left" w:pos="720"/>
          <w:tab w:val="left" w:pos="1440"/>
          <w:tab w:val="left" w:pos="2160"/>
          <w:tab w:val="left" w:pos="2880"/>
          <w:tab w:val="left" w:pos="3600"/>
          <w:tab w:val="left" w:pos="4320"/>
        </w:tabs>
        <w:wordWrap/>
        <w:autoSpaceDE w:val="0"/>
        <w:autoSpaceDN w:val="0"/>
        <w:adjustRightInd/>
        <w:snapToGrid/>
        <w:spacing w:line="360" w:lineRule="auto"/>
        <w:ind w:lef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4</w:t>
      </w:r>
      <w:r>
        <w:rPr>
          <w:rFonts w:hint="eastAsia" w:ascii="宋体" w:hAnsi="宋体" w:eastAsia="宋体" w:cs="宋体"/>
          <w:kern w:val="2"/>
          <w:sz w:val="24"/>
          <w:szCs w:val="24"/>
          <w:lang w:val="en-US" w:eastAsia="zh-CN" w:bidi="ar-SA"/>
        </w:rPr>
        <w:t>.脱扣器应满足如下要求：</w:t>
      </w:r>
    </w:p>
    <w:p>
      <w:pPr>
        <w:pStyle w:val="263"/>
        <w:widowControl/>
        <w:numPr>
          <w:ilvl w:val="0"/>
          <w:numId w:val="4"/>
        </w:numPr>
        <w:tabs>
          <w:tab w:val="left" w:pos="-720"/>
          <w:tab w:val="left" w:pos="0"/>
          <w:tab w:val="left" w:pos="720"/>
          <w:tab w:val="left" w:pos="1440"/>
          <w:tab w:val="left" w:pos="2160"/>
          <w:tab w:val="left" w:pos="2880"/>
          <w:tab w:val="left" w:pos="3600"/>
          <w:tab w:val="left" w:pos="4320"/>
        </w:tabs>
        <w:wordWrap/>
        <w:autoSpaceDE w:val="0"/>
        <w:autoSpaceDN w:val="0"/>
        <w:adjustRightInd/>
        <w:snapToGrid/>
        <w:spacing w:line="360" w:lineRule="auto"/>
        <w:ind w:left="0" w:firstLine="480" w:firstLineChars="200"/>
        <w:jc w:val="left"/>
        <w:textAlignment w:val="auto"/>
        <w:rPr>
          <w:rFonts w:ascii="宋体" w:eastAsia="宋体" w:cs="宋体"/>
          <w:color w:val="000000"/>
          <w:sz w:val="24"/>
          <w:szCs w:val="24"/>
        </w:rPr>
      </w:pPr>
      <w:r>
        <w:rPr>
          <w:rFonts w:hint="eastAsia" w:ascii="宋体" w:eastAsia="宋体" w:cs="宋体"/>
          <w:color w:val="000000"/>
          <w:sz w:val="24"/>
          <w:szCs w:val="24"/>
        </w:rPr>
        <w:t>当</w:t>
      </w:r>
      <w:r>
        <w:rPr>
          <w:rFonts w:ascii="宋体" w:eastAsia="宋体" w:cs="宋体"/>
          <w:color w:val="000000"/>
          <w:sz w:val="24"/>
          <w:szCs w:val="24"/>
        </w:rPr>
        <w:t>MCCB</w:t>
      </w:r>
      <w:r>
        <w:rPr>
          <w:rFonts w:hint="eastAsia" w:ascii="宋体" w:eastAsia="宋体" w:cs="宋体"/>
          <w:color w:val="000000"/>
          <w:sz w:val="24"/>
          <w:szCs w:val="24"/>
        </w:rPr>
        <w:t>断路器工作电流大于</w:t>
      </w:r>
      <w:r>
        <w:rPr>
          <w:rFonts w:ascii="宋体" w:eastAsia="宋体" w:cs="宋体"/>
          <w:color w:val="000000"/>
          <w:sz w:val="24"/>
          <w:szCs w:val="24"/>
        </w:rPr>
        <w:t>400A</w:t>
      </w:r>
      <w:r>
        <w:rPr>
          <w:rFonts w:hint="eastAsia" w:ascii="宋体" w:eastAsia="宋体" w:cs="宋体"/>
          <w:color w:val="000000"/>
          <w:sz w:val="24"/>
          <w:szCs w:val="24"/>
        </w:rPr>
        <w:t>时，采用电子脱扣器；当</w:t>
      </w:r>
      <w:r>
        <w:rPr>
          <w:rFonts w:ascii="宋体" w:eastAsia="宋体" w:cs="宋体"/>
          <w:color w:val="000000"/>
          <w:sz w:val="24"/>
          <w:szCs w:val="24"/>
        </w:rPr>
        <w:t>MCCB</w:t>
      </w:r>
      <w:r>
        <w:rPr>
          <w:rFonts w:hint="eastAsia" w:ascii="宋体" w:eastAsia="宋体" w:cs="宋体"/>
          <w:color w:val="000000"/>
          <w:sz w:val="24"/>
          <w:szCs w:val="24"/>
        </w:rPr>
        <w:t>断路器工作电流小于或</w:t>
      </w:r>
      <w:r>
        <w:rPr>
          <w:rFonts w:ascii="宋体" w:eastAsia="宋体" w:cs="宋体"/>
          <w:color w:val="000000"/>
          <w:sz w:val="24"/>
          <w:szCs w:val="24"/>
        </w:rPr>
        <w:t>等于400A</w:t>
      </w:r>
      <w:r>
        <w:rPr>
          <w:rFonts w:hint="eastAsia" w:ascii="宋体" w:eastAsia="宋体" w:cs="宋体"/>
          <w:color w:val="000000"/>
          <w:sz w:val="24"/>
          <w:szCs w:val="24"/>
        </w:rPr>
        <w:t>时，采用热磁脱扣器；</w:t>
      </w:r>
    </w:p>
    <w:p>
      <w:pPr>
        <w:pStyle w:val="263"/>
        <w:widowControl/>
        <w:numPr>
          <w:ilvl w:val="0"/>
          <w:numId w:val="4"/>
        </w:numPr>
        <w:tabs>
          <w:tab w:val="left" w:pos="-720"/>
          <w:tab w:val="left" w:pos="0"/>
          <w:tab w:val="left" w:pos="720"/>
          <w:tab w:val="left" w:pos="1440"/>
          <w:tab w:val="left" w:pos="2160"/>
          <w:tab w:val="left" w:pos="2880"/>
          <w:tab w:val="left" w:pos="3600"/>
          <w:tab w:val="left" w:pos="4320"/>
        </w:tabs>
        <w:wordWrap/>
        <w:autoSpaceDE w:val="0"/>
        <w:autoSpaceDN w:val="0"/>
        <w:adjustRightInd/>
        <w:snapToGrid/>
        <w:spacing w:line="360" w:lineRule="auto"/>
        <w:ind w:left="0" w:firstLine="480" w:firstLineChars="200"/>
        <w:jc w:val="left"/>
        <w:textAlignment w:val="auto"/>
        <w:rPr>
          <w:rFonts w:ascii="宋体" w:eastAsia="宋体" w:cs="宋体"/>
          <w:color w:val="000000"/>
          <w:sz w:val="24"/>
          <w:szCs w:val="24"/>
        </w:rPr>
      </w:pPr>
      <w:r>
        <w:rPr>
          <w:rFonts w:hint="eastAsia" w:ascii="宋体" w:eastAsia="宋体" w:cs="宋体"/>
          <w:color w:val="000000"/>
          <w:sz w:val="24"/>
          <w:szCs w:val="24"/>
        </w:rPr>
        <w:t>热磁脱扣器额定电流可在（0.7～1）xIn范围</w:t>
      </w:r>
      <w:r>
        <w:rPr>
          <w:rFonts w:ascii="宋体" w:eastAsia="宋体" w:cs="宋体"/>
          <w:color w:val="000000"/>
          <w:sz w:val="24"/>
          <w:szCs w:val="24"/>
        </w:rPr>
        <w:t>内整定</w:t>
      </w:r>
      <w:r>
        <w:rPr>
          <w:rFonts w:hint="eastAsia" w:ascii="宋体" w:eastAsia="宋体" w:cs="宋体"/>
          <w:color w:val="000000"/>
          <w:sz w:val="24"/>
          <w:szCs w:val="24"/>
        </w:rPr>
        <w:t>；</w:t>
      </w:r>
    </w:p>
    <w:p>
      <w:pPr>
        <w:pStyle w:val="263"/>
        <w:widowControl/>
        <w:numPr>
          <w:ilvl w:val="0"/>
          <w:numId w:val="4"/>
        </w:numPr>
        <w:tabs>
          <w:tab w:val="left" w:pos="-720"/>
          <w:tab w:val="left" w:pos="0"/>
          <w:tab w:val="left" w:pos="720"/>
          <w:tab w:val="left" w:pos="1440"/>
          <w:tab w:val="left" w:pos="2160"/>
          <w:tab w:val="left" w:pos="2880"/>
          <w:tab w:val="left" w:pos="3600"/>
          <w:tab w:val="left" w:pos="4320"/>
        </w:tabs>
        <w:wordWrap/>
        <w:autoSpaceDE w:val="0"/>
        <w:autoSpaceDN w:val="0"/>
        <w:adjustRightInd/>
        <w:snapToGrid/>
        <w:spacing w:line="360" w:lineRule="auto"/>
        <w:ind w:left="0" w:firstLine="480" w:firstLineChars="200"/>
        <w:jc w:val="left"/>
        <w:textAlignment w:val="auto"/>
        <w:rPr>
          <w:rFonts w:ascii="宋体" w:eastAsia="宋体" w:cs="宋体"/>
          <w:color w:val="000000"/>
          <w:sz w:val="24"/>
          <w:szCs w:val="24"/>
        </w:rPr>
      </w:pPr>
      <w:r>
        <w:rPr>
          <w:rFonts w:hint="eastAsia" w:ascii="宋体" w:eastAsia="宋体" w:cs="宋体"/>
          <w:color w:val="000000"/>
          <w:sz w:val="24"/>
          <w:szCs w:val="24"/>
        </w:rPr>
        <w:t>电子脱扣器应具有以下保护功能：</w:t>
      </w:r>
    </w:p>
    <w:p>
      <w:pPr>
        <w:pStyle w:val="263"/>
        <w:widowControl/>
        <w:tabs>
          <w:tab w:val="left" w:pos="-720"/>
          <w:tab w:val="left" w:pos="0"/>
          <w:tab w:val="left" w:pos="720"/>
          <w:tab w:val="left" w:pos="1440"/>
          <w:tab w:val="left" w:pos="2160"/>
          <w:tab w:val="left" w:pos="2880"/>
          <w:tab w:val="left" w:pos="3600"/>
          <w:tab w:val="left" w:pos="4320"/>
        </w:tabs>
        <w:wordWrap/>
        <w:autoSpaceDE w:val="0"/>
        <w:autoSpaceDN w:val="0"/>
        <w:adjustRightInd/>
        <w:snapToGrid/>
        <w:spacing w:line="360" w:lineRule="auto"/>
        <w:ind w:left="0" w:firstLine="480" w:firstLineChars="200"/>
        <w:jc w:val="left"/>
        <w:textAlignment w:val="auto"/>
        <w:rPr>
          <w:rFonts w:ascii="宋体" w:eastAsia="宋体" w:cs="宋体"/>
          <w:color w:val="000000"/>
          <w:sz w:val="24"/>
          <w:szCs w:val="24"/>
        </w:rPr>
      </w:pPr>
      <w:r>
        <w:rPr>
          <w:rFonts w:hint="eastAsia" w:ascii="宋体" w:eastAsia="宋体" w:cs="宋体"/>
          <w:color w:val="000000"/>
          <w:sz w:val="24"/>
          <w:szCs w:val="24"/>
        </w:rPr>
        <w:t>过载长延时保护L：电流门限值和保护时间均可调（0</w:t>
      </w:r>
      <w:r>
        <w:rPr>
          <w:rFonts w:ascii="宋体" w:eastAsia="宋体" w:cs="宋体"/>
          <w:color w:val="000000"/>
          <w:sz w:val="24"/>
          <w:szCs w:val="24"/>
        </w:rPr>
        <w:t>.4</w:t>
      </w:r>
      <w:r>
        <w:rPr>
          <w:rFonts w:hint="eastAsia" w:ascii="宋体" w:eastAsia="宋体" w:cs="宋体"/>
          <w:color w:val="000000"/>
          <w:sz w:val="24"/>
          <w:szCs w:val="24"/>
        </w:rPr>
        <w:t>～</w:t>
      </w:r>
      <w:r>
        <w:rPr>
          <w:rFonts w:ascii="宋体" w:eastAsia="宋体" w:cs="宋体"/>
          <w:color w:val="000000"/>
          <w:sz w:val="24"/>
          <w:szCs w:val="24"/>
        </w:rPr>
        <w:t>1</w:t>
      </w:r>
      <w:r>
        <w:rPr>
          <w:rFonts w:hint="eastAsia" w:ascii="宋体" w:eastAsia="宋体" w:cs="宋体"/>
          <w:color w:val="000000"/>
          <w:sz w:val="24"/>
          <w:szCs w:val="24"/>
        </w:rPr>
        <w:t>）</w:t>
      </w:r>
      <w:r>
        <w:rPr>
          <w:rFonts w:ascii="宋体" w:eastAsia="宋体" w:cs="宋体"/>
          <w:color w:val="000000"/>
          <w:sz w:val="24"/>
          <w:szCs w:val="24"/>
        </w:rPr>
        <w:t>xIn</w:t>
      </w:r>
      <w:r>
        <w:rPr>
          <w:rFonts w:hint="eastAsia" w:ascii="宋体" w:eastAsia="宋体" w:cs="宋体"/>
          <w:color w:val="000000"/>
          <w:sz w:val="24"/>
          <w:szCs w:val="24"/>
        </w:rPr>
        <w:t>；</w:t>
      </w:r>
    </w:p>
    <w:p>
      <w:pPr>
        <w:pStyle w:val="263"/>
        <w:widowControl/>
        <w:tabs>
          <w:tab w:val="left" w:pos="-720"/>
          <w:tab w:val="left" w:pos="0"/>
          <w:tab w:val="left" w:pos="720"/>
          <w:tab w:val="left" w:pos="1440"/>
          <w:tab w:val="left" w:pos="2160"/>
          <w:tab w:val="left" w:pos="2880"/>
          <w:tab w:val="left" w:pos="3600"/>
          <w:tab w:val="left" w:pos="4320"/>
        </w:tabs>
        <w:wordWrap/>
        <w:autoSpaceDE w:val="0"/>
        <w:autoSpaceDN w:val="0"/>
        <w:adjustRightInd/>
        <w:snapToGrid/>
        <w:spacing w:line="360" w:lineRule="auto"/>
        <w:ind w:left="0" w:firstLine="480" w:firstLineChars="200"/>
        <w:jc w:val="left"/>
        <w:textAlignment w:val="auto"/>
        <w:rPr>
          <w:rFonts w:ascii="宋体" w:eastAsia="宋体" w:cs="宋体"/>
          <w:color w:val="000000"/>
          <w:sz w:val="24"/>
          <w:szCs w:val="24"/>
        </w:rPr>
      </w:pPr>
      <w:r>
        <w:rPr>
          <w:rFonts w:hint="eastAsia" w:ascii="宋体" w:eastAsia="宋体" w:cs="宋体"/>
          <w:color w:val="000000"/>
          <w:sz w:val="24"/>
          <w:szCs w:val="24"/>
        </w:rPr>
        <w:t>短路短延时保护S：电流门限值和保护时间均可调</w:t>
      </w:r>
    </w:p>
    <w:p>
      <w:pPr>
        <w:pStyle w:val="263"/>
        <w:widowControl/>
        <w:tabs>
          <w:tab w:val="left" w:pos="-720"/>
          <w:tab w:val="left" w:pos="0"/>
          <w:tab w:val="left" w:pos="720"/>
          <w:tab w:val="left" w:pos="1440"/>
          <w:tab w:val="left" w:pos="2160"/>
          <w:tab w:val="left" w:pos="2880"/>
          <w:tab w:val="left" w:pos="3600"/>
          <w:tab w:val="left" w:pos="4320"/>
        </w:tabs>
        <w:wordWrap/>
        <w:autoSpaceDE w:val="0"/>
        <w:autoSpaceDN w:val="0"/>
        <w:adjustRightInd/>
        <w:snapToGrid/>
        <w:spacing w:line="360" w:lineRule="auto"/>
        <w:ind w:left="0" w:firstLine="480" w:firstLineChars="200"/>
        <w:jc w:val="left"/>
        <w:textAlignment w:val="auto"/>
        <w:rPr>
          <w:rFonts w:ascii="宋体" w:eastAsia="宋体" w:cs="宋体"/>
          <w:color w:val="000000"/>
          <w:sz w:val="24"/>
          <w:szCs w:val="24"/>
        </w:rPr>
      </w:pPr>
      <w:r>
        <w:rPr>
          <w:rFonts w:hint="eastAsia" w:ascii="宋体" w:eastAsia="宋体" w:cs="宋体"/>
          <w:color w:val="000000"/>
          <w:sz w:val="24"/>
          <w:szCs w:val="24"/>
        </w:rPr>
        <w:t>短路瞬时保护I：电流</w:t>
      </w:r>
      <w:r>
        <w:rPr>
          <w:rFonts w:ascii="宋体" w:eastAsia="宋体" w:cs="宋体"/>
          <w:color w:val="000000"/>
          <w:sz w:val="24"/>
          <w:szCs w:val="24"/>
        </w:rPr>
        <w:t>门限值可调</w:t>
      </w:r>
    </w:p>
    <w:p>
      <w:pPr>
        <w:pStyle w:val="263"/>
        <w:widowControl/>
        <w:numPr>
          <w:ilvl w:val="0"/>
          <w:numId w:val="4"/>
        </w:numPr>
        <w:tabs>
          <w:tab w:val="left" w:pos="-720"/>
          <w:tab w:val="left" w:pos="0"/>
          <w:tab w:val="left" w:pos="720"/>
          <w:tab w:val="left" w:pos="1440"/>
          <w:tab w:val="left" w:pos="2160"/>
          <w:tab w:val="left" w:pos="2880"/>
          <w:tab w:val="left" w:pos="3600"/>
          <w:tab w:val="left" w:pos="4320"/>
        </w:tabs>
        <w:wordWrap/>
        <w:autoSpaceDE w:val="0"/>
        <w:autoSpaceDN w:val="0"/>
        <w:adjustRightInd/>
        <w:snapToGrid/>
        <w:spacing w:line="360" w:lineRule="auto"/>
        <w:ind w:left="0" w:firstLine="480" w:firstLineChars="200"/>
        <w:jc w:val="left"/>
        <w:textAlignment w:val="auto"/>
        <w:rPr>
          <w:rFonts w:ascii="宋体" w:eastAsia="宋体" w:cs="宋体"/>
          <w:color w:val="000000"/>
          <w:sz w:val="24"/>
          <w:szCs w:val="24"/>
        </w:rPr>
      </w:pPr>
      <w:r>
        <w:rPr>
          <w:rFonts w:hint="eastAsia" w:ascii="宋体" w:eastAsia="宋体" w:cs="宋体"/>
          <w:color w:val="000000"/>
          <w:sz w:val="24"/>
          <w:szCs w:val="24"/>
        </w:rPr>
        <w:t>电动机回路应选用具有电动机保护特性的断路器。</w:t>
      </w:r>
    </w:p>
    <w:p>
      <w:pPr>
        <w:widowControl/>
        <w:tabs>
          <w:tab w:val="left" w:pos="-720"/>
          <w:tab w:val="left" w:pos="0"/>
          <w:tab w:val="left" w:pos="720"/>
          <w:tab w:val="left" w:pos="1440"/>
          <w:tab w:val="left" w:pos="2160"/>
          <w:tab w:val="left" w:pos="2880"/>
          <w:tab w:val="left" w:pos="3600"/>
          <w:tab w:val="left" w:pos="4320"/>
        </w:tabs>
        <w:wordWrap/>
        <w:autoSpaceDE w:val="0"/>
        <w:autoSpaceDN w:val="0"/>
        <w:adjustRightInd/>
        <w:snapToGrid/>
        <w:spacing w:line="360" w:lineRule="auto"/>
        <w:ind w:left="0" w:firstLine="480" w:firstLineChars="200"/>
        <w:jc w:val="left"/>
        <w:textAlignment w:val="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5.附件具有通用化设计，主要电气附件交直流通用；</w:t>
      </w:r>
    </w:p>
    <w:p>
      <w:pPr>
        <w:widowControl/>
        <w:tabs>
          <w:tab w:val="left" w:pos="-720"/>
          <w:tab w:val="left" w:pos="0"/>
          <w:tab w:val="left" w:pos="720"/>
          <w:tab w:val="left" w:pos="1440"/>
          <w:tab w:val="left" w:pos="2160"/>
          <w:tab w:val="left" w:pos="2880"/>
          <w:tab w:val="left" w:pos="3600"/>
          <w:tab w:val="left" w:pos="4320"/>
        </w:tabs>
        <w:wordWrap/>
        <w:autoSpaceDE w:val="0"/>
        <w:autoSpaceDN w:val="0"/>
        <w:adjustRightInd/>
        <w:snapToGrid/>
        <w:spacing w:line="360" w:lineRule="auto"/>
        <w:ind w:lef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6</w:t>
      </w:r>
      <w:r>
        <w:rPr>
          <w:rFonts w:hint="eastAsia" w:ascii="宋体" w:hAnsi="宋体" w:eastAsia="宋体" w:cs="宋体"/>
          <w:kern w:val="2"/>
          <w:sz w:val="24"/>
          <w:szCs w:val="24"/>
          <w:lang w:val="en-US" w:eastAsia="zh-CN" w:bidi="ar-SA"/>
        </w:rPr>
        <w:t>.厂家应能提供断路器选择性配合表，以确保实现上下级选择性配合；</w:t>
      </w:r>
    </w:p>
    <w:p>
      <w:pPr>
        <w:wordWrap/>
        <w:adjustRightInd/>
        <w:snapToGrid/>
        <w:spacing w:line="360" w:lineRule="auto"/>
        <w:ind w:firstLine="480" w:firstLineChars="200"/>
        <w:textAlignment w:val="auto"/>
        <w:rPr>
          <w:rFonts w:eastAsia="宋体"/>
          <w:sz w:val="24"/>
          <w:szCs w:val="24"/>
        </w:rPr>
      </w:pPr>
      <w:r>
        <w:rPr>
          <w:rFonts w:eastAsia="宋体"/>
          <w:sz w:val="24"/>
          <w:szCs w:val="24"/>
        </w:rPr>
        <w:t>低压交流塑壳式断路器主要用于抽屉柜的馈出回路。</w:t>
      </w:r>
    </w:p>
    <w:p>
      <w:pPr>
        <w:widowControl/>
        <w:tabs>
          <w:tab w:val="left" w:pos="-720"/>
          <w:tab w:val="left" w:pos="0"/>
          <w:tab w:val="left" w:pos="720"/>
          <w:tab w:val="left" w:pos="1440"/>
          <w:tab w:val="left" w:pos="2160"/>
          <w:tab w:val="left" w:pos="2880"/>
          <w:tab w:val="left" w:pos="3600"/>
          <w:tab w:val="left" w:pos="4320"/>
        </w:tabs>
        <w:wordWrap/>
        <w:autoSpaceDE w:val="0"/>
        <w:autoSpaceDN w:val="0"/>
        <w:adjustRightInd/>
        <w:snapToGrid/>
        <w:spacing w:line="360" w:lineRule="auto"/>
        <w:ind w:firstLine="480" w:firstLineChars="200"/>
        <w:jc w:val="left"/>
        <w:textAlignment w:val="auto"/>
        <w:rPr>
          <w:rFonts w:hint="eastAsia" w:ascii="宋体" w:hAnsi="宋体" w:eastAsia="宋体" w:cs="宋体"/>
          <w:kern w:val="2"/>
          <w:sz w:val="24"/>
          <w:szCs w:val="24"/>
          <w:lang w:val="en-US" w:eastAsia="zh-CN" w:bidi="ar-SA"/>
        </w:rPr>
      </w:pPr>
      <w:r>
        <w:rPr>
          <w:rFonts w:eastAsia="宋体"/>
          <w:sz w:val="24"/>
          <w:szCs w:val="24"/>
        </w:rPr>
        <w:t>塑壳断路器应符合下列主要技术要求：</w:t>
      </w:r>
    </w:p>
    <w:p>
      <w:pPr>
        <w:widowControl/>
        <w:tabs>
          <w:tab w:val="left" w:pos="-720"/>
          <w:tab w:val="left" w:pos="0"/>
          <w:tab w:val="left" w:pos="720"/>
          <w:tab w:val="left" w:pos="1440"/>
          <w:tab w:val="left" w:pos="2160"/>
          <w:tab w:val="left" w:pos="2880"/>
          <w:tab w:val="left" w:pos="3600"/>
          <w:tab w:val="left" w:pos="4320"/>
        </w:tabs>
        <w:wordWrap/>
        <w:autoSpaceDE w:val="0"/>
        <w:autoSpaceDN w:val="0"/>
        <w:adjustRightInd/>
        <w:snapToGrid/>
        <w:spacing w:line="360" w:lineRule="auto"/>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（1）满足系统电压、电流、频率以及分断能力的性能水平要求。</w:t>
      </w:r>
    </w:p>
    <w:p>
      <w:pPr>
        <w:widowControl/>
        <w:tabs>
          <w:tab w:val="left" w:pos="-720"/>
          <w:tab w:val="left" w:pos="0"/>
          <w:tab w:val="left" w:pos="720"/>
          <w:tab w:val="left" w:pos="1440"/>
          <w:tab w:val="left" w:pos="2160"/>
          <w:tab w:val="left" w:pos="2880"/>
          <w:tab w:val="left" w:pos="3600"/>
          <w:tab w:val="left" w:pos="4320"/>
        </w:tabs>
        <w:wordWrap/>
        <w:autoSpaceDE w:val="0"/>
        <w:autoSpaceDN w:val="0"/>
        <w:adjustRightInd/>
        <w:snapToGrid/>
        <w:spacing w:line="360" w:lineRule="auto"/>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（2）塑壳式断路器应有限流分断能力。</w:t>
      </w:r>
    </w:p>
    <w:p>
      <w:pPr>
        <w:widowControl/>
        <w:tabs>
          <w:tab w:val="left" w:pos="-720"/>
          <w:tab w:val="left" w:pos="0"/>
          <w:tab w:val="left" w:pos="720"/>
          <w:tab w:val="left" w:pos="1440"/>
          <w:tab w:val="left" w:pos="2160"/>
          <w:tab w:val="left" w:pos="2880"/>
          <w:tab w:val="left" w:pos="3600"/>
          <w:tab w:val="left" w:pos="4320"/>
        </w:tabs>
        <w:wordWrap/>
        <w:autoSpaceDE w:val="0"/>
        <w:autoSpaceDN w:val="0"/>
        <w:adjustRightInd/>
        <w:snapToGrid/>
        <w:spacing w:line="360" w:lineRule="auto"/>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断路器应为模块化结构设计、安装方便，并可在不拆卸塑壳断路器外壳的情况下加装各种附件（如分励脱扣器、辅助触头、报警触头）而无需改变断路器结构和低压开关柜结构，同时面板、附件为标准化设计。</w:t>
      </w:r>
    </w:p>
    <w:p>
      <w:pPr>
        <w:widowControl/>
        <w:tabs>
          <w:tab w:val="left" w:pos="-720"/>
          <w:tab w:val="left" w:pos="0"/>
          <w:tab w:val="left" w:pos="720"/>
          <w:tab w:val="left" w:pos="1440"/>
          <w:tab w:val="left" w:pos="2160"/>
          <w:tab w:val="left" w:pos="2880"/>
          <w:tab w:val="left" w:pos="3600"/>
          <w:tab w:val="left" w:pos="4320"/>
        </w:tabs>
        <w:wordWrap/>
        <w:autoSpaceDE w:val="0"/>
        <w:autoSpaceDN w:val="0"/>
        <w:adjustRightInd/>
        <w:snapToGrid/>
        <w:spacing w:line="360" w:lineRule="auto"/>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（4）当采用固定抽出式安装时，其二次回路亦应具有插接式整体连接装置。</w:t>
      </w:r>
    </w:p>
    <w:p>
      <w:pPr>
        <w:widowControl/>
        <w:tabs>
          <w:tab w:val="left" w:pos="-720"/>
          <w:tab w:val="left" w:pos="0"/>
          <w:tab w:val="left" w:pos="720"/>
          <w:tab w:val="left" w:pos="1440"/>
          <w:tab w:val="left" w:pos="2160"/>
          <w:tab w:val="left" w:pos="2880"/>
          <w:tab w:val="left" w:pos="3600"/>
          <w:tab w:val="left" w:pos="4320"/>
        </w:tabs>
        <w:wordWrap/>
        <w:autoSpaceDE w:val="0"/>
        <w:autoSpaceDN w:val="0"/>
        <w:adjustRightInd/>
        <w:snapToGrid/>
        <w:spacing w:line="360" w:lineRule="auto"/>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（5）电动机出线回路应选用有电动机保护特性的塑壳断路器。</w:t>
      </w:r>
    </w:p>
    <w:p>
      <w:pPr>
        <w:widowControl/>
        <w:tabs>
          <w:tab w:val="left" w:pos="-720"/>
          <w:tab w:val="left" w:pos="0"/>
          <w:tab w:val="left" w:pos="720"/>
          <w:tab w:val="left" w:pos="1440"/>
          <w:tab w:val="left" w:pos="2160"/>
          <w:tab w:val="left" w:pos="2880"/>
          <w:tab w:val="left" w:pos="3600"/>
          <w:tab w:val="left" w:pos="4320"/>
        </w:tabs>
        <w:wordWrap/>
        <w:autoSpaceDE w:val="0"/>
        <w:autoSpaceDN w:val="0"/>
        <w:adjustRightInd/>
        <w:snapToGrid/>
        <w:spacing w:line="360" w:lineRule="auto"/>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6</w:t>
      </w:r>
      <w:r>
        <w:rPr>
          <w:rFonts w:hint="eastAsia" w:ascii="宋体" w:hAnsi="宋体" w:eastAsia="宋体" w:cs="宋体"/>
          <w:kern w:val="2"/>
          <w:sz w:val="24"/>
          <w:szCs w:val="24"/>
          <w:lang w:val="en-US" w:eastAsia="zh-CN" w:bidi="ar-SA"/>
        </w:rPr>
        <w:t>）低压交流塑壳式断路器的电气技术性能及参数见下表。</w:t>
      </w:r>
    </w:p>
    <w:p>
      <w:pPr>
        <w:widowControl/>
        <w:tabs>
          <w:tab w:val="left" w:pos="-720"/>
          <w:tab w:val="left" w:pos="0"/>
          <w:tab w:val="left" w:pos="720"/>
          <w:tab w:val="left" w:pos="1440"/>
          <w:tab w:val="left" w:pos="2160"/>
          <w:tab w:val="left" w:pos="2880"/>
          <w:tab w:val="left" w:pos="3600"/>
          <w:tab w:val="left" w:pos="4320"/>
        </w:tabs>
        <w:wordWrap/>
        <w:autoSpaceDE w:val="0"/>
        <w:autoSpaceDN w:val="0"/>
        <w:adjustRightInd/>
        <w:snapToGrid/>
        <w:spacing w:line="360" w:lineRule="auto"/>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7</w:t>
      </w:r>
      <w:r>
        <w:rPr>
          <w:rFonts w:hint="eastAsia" w:ascii="宋体" w:hAnsi="宋体" w:eastAsia="宋体" w:cs="宋体"/>
          <w:kern w:val="2"/>
          <w:sz w:val="24"/>
          <w:szCs w:val="24"/>
          <w:lang w:val="en-US" w:eastAsia="zh-CN" w:bidi="ar-SA"/>
        </w:rPr>
        <w:t>）塑壳式断路器保护功能应包括：长延时保护、短路短延时保护、瞬时脱扣</w:t>
      </w:r>
      <w:r>
        <w:rPr>
          <w:rFonts w:hint="eastAsia" w:ascii="宋体" w:hAnsi="宋体" w:cs="宋体"/>
          <w:kern w:val="2"/>
          <w:sz w:val="24"/>
          <w:szCs w:val="24"/>
          <w:lang w:val="en-US" w:eastAsia="zh-CN" w:bidi="ar-SA"/>
        </w:rPr>
        <w:t>（电子脱扣器含该保护，热磁脱扣器不含）</w:t>
      </w:r>
      <w:r>
        <w:rPr>
          <w:rFonts w:hint="eastAsia" w:ascii="宋体" w:hAnsi="宋体" w:eastAsia="宋体" w:cs="宋体"/>
          <w:kern w:val="2"/>
          <w:sz w:val="24"/>
          <w:szCs w:val="24"/>
          <w:lang w:val="en-US" w:eastAsia="zh-CN" w:bidi="ar-SA"/>
        </w:rPr>
        <w:t>，要求短路短延时保护时间定值可调。</w:t>
      </w:r>
    </w:p>
    <w:p>
      <w:pPr>
        <w:widowControl/>
        <w:tabs>
          <w:tab w:val="left" w:pos="-720"/>
          <w:tab w:val="left" w:pos="0"/>
          <w:tab w:val="left" w:pos="720"/>
          <w:tab w:val="left" w:pos="1440"/>
          <w:tab w:val="left" w:pos="2160"/>
          <w:tab w:val="left" w:pos="2880"/>
          <w:tab w:val="left" w:pos="3600"/>
          <w:tab w:val="left" w:pos="4320"/>
        </w:tabs>
        <w:wordWrap/>
        <w:autoSpaceDE w:val="0"/>
        <w:autoSpaceDN w:val="0"/>
        <w:adjustRightInd w:val="0"/>
        <w:snapToGrid/>
        <w:spacing w:line="360" w:lineRule="auto"/>
        <w:ind w:firstLine="480" w:firstLineChars="200"/>
        <w:jc w:val="left"/>
        <w:textAlignment w:val="auto"/>
        <w:rPr>
          <w:rFonts w:hint="eastAsia" w:ascii="宋体" w:hAnsi="宋体" w:eastAsia="宋体" w:cs="宋体"/>
          <w:kern w:val="2"/>
          <w:sz w:val="24"/>
          <w:szCs w:val="24"/>
          <w:lang w:val="en-US" w:eastAsia="zh-CN" w:bidi="ar-SA"/>
        </w:rPr>
      </w:pPr>
    </w:p>
    <w:p>
      <w:pPr>
        <w:keepNext/>
        <w:keepLines/>
        <w:widowControl w:val="0"/>
        <w:wordWrap/>
        <w:spacing w:before="0" w:beforeLines="0" w:after="0" w:afterLines="0" w:line="360" w:lineRule="auto"/>
        <w:jc w:val="both"/>
        <w:outlineLvl w:val="1"/>
        <w:rPr>
          <w:rFonts w:ascii="宋体" w:hAnsi="宋体" w:eastAsia="宋体" w:cs="宋体"/>
          <w:b/>
          <w:bCs/>
          <w:kern w:val="2"/>
          <w:sz w:val="24"/>
          <w:szCs w:val="32"/>
          <w:lang w:val="en-US" w:eastAsia="zh-CN" w:bidi="ar-SA"/>
        </w:rPr>
      </w:pPr>
      <w:bookmarkStart w:id="51" w:name="_Toc69204975"/>
      <w:r>
        <w:rPr>
          <w:rFonts w:hint="eastAsia" w:ascii="宋体" w:hAnsi="宋体" w:eastAsia="宋体" w:cs="宋体"/>
          <w:b/>
          <w:bCs/>
          <w:kern w:val="2"/>
          <w:sz w:val="24"/>
          <w:szCs w:val="24"/>
          <w:lang w:val="en-US" w:eastAsia="zh-CN" w:bidi="ar-SA"/>
        </w:rPr>
        <w:t>（六）多功能仪表</w:t>
      </w:r>
    </w:p>
    <w:p>
      <w:pPr>
        <w:wordWrap/>
        <w:adjustRightInd/>
        <w:spacing w:line="360" w:lineRule="auto"/>
        <w:ind w:firstLine="482" w:firstLineChars="200"/>
        <w:rPr>
          <w:rFonts w:ascii="宋体" w:hAnsi="宋体" w:eastAsia="宋体" w:cs="宋体"/>
          <w:b/>
          <w:sz w:val="24"/>
        </w:rPr>
      </w:pPr>
      <w:r>
        <w:rPr>
          <w:rFonts w:hint="eastAsia" w:ascii="宋体" w:hAnsi="宋体" w:eastAsia="宋体" w:cs="宋体"/>
          <w:b/>
          <w:sz w:val="24"/>
          <w:lang w:val="en-US" w:eastAsia="zh-CN"/>
        </w:rPr>
        <w:t>6.1</w:t>
      </w:r>
      <w:r>
        <w:rPr>
          <w:rFonts w:hint="eastAsia" w:ascii="宋体" w:hAnsi="宋体" w:eastAsia="宋体" w:cs="宋体"/>
          <w:b/>
          <w:sz w:val="24"/>
        </w:rPr>
        <w:t>产品功能</w:t>
      </w:r>
      <w:bookmarkEnd w:id="51"/>
    </w:p>
    <w:p>
      <w:pPr>
        <w:widowControl w:val="0"/>
        <w:shd w:val="clear" w:color="auto" w:fill="FFFFFF"/>
        <w:wordWrap/>
        <w:spacing w:before="120" w:beforeLines="50" w:line="360" w:lineRule="auto"/>
        <w:ind w:left="237" w:right="236"/>
        <w:jc w:val="center"/>
        <w:rPr>
          <w:rFonts w:ascii="仿宋_GB2312" w:hAnsi="_x000B__x000C_" w:eastAsia="仿宋_GB2312" w:cs="宋体"/>
          <w:b/>
          <w:bCs/>
          <w:kern w:val="2"/>
          <w:sz w:val="24"/>
          <w:szCs w:val="24"/>
          <w:lang w:val="en-US" w:eastAsia="zh-CN" w:bidi="ar-SA"/>
        </w:rPr>
      </w:pPr>
      <w:r>
        <w:rPr>
          <w:rFonts w:hint="eastAsia" w:ascii="宋体" w:hAnsi="宋体" w:eastAsia="宋体" w:cs="宋体"/>
          <w:b/>
          <w:bCs/>
          <w:kern w:val="2"/>
          <w:sz w:val="24"/>
          <w:szCs w:val="24"/>
          <w:lang w:val="en-US" w:eastAsia="zh-CN" w:bidi="ar-SA"/>
        </w:rPr>
        <w:t>表 1-1 基本功能</w:t>
      </w:r>
    </w:p>
    <w:tbl>
      <w:tblPr>
        <w:tblStyle w:val="74"/>
        <w:tblW w:w="909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788"/>
        <w:gridCol w:w="730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5" w:hRule="atLeast"/>
          <w:jc w:val="center"/>
        </w:trPr>
        <w:tc>
          <w:tcPr>
            <w:tcW w:w="1788" w:type="dxa"/>
            <w:shd w:val="clear" w:color="auto" w:fill="E4E4E4"/>
            <w:vAlign w:val="top"/>
          </w:tcPr>
          <w:p>
            <w:pPr>
              <w:widowControl w:val="0"/>
              <w:wordWrap/>
              <w:spacing w:before="66" w:beforeAutospacing="0" w:after="0" w:afterAutospacing="0" w:line="360" w:lineRule="auto"/>
              <w:ind w:left="208" w:right="191"/>
              <w:jc w:val="center"/>
              <w:rPr>
                <w:rFonts w:hint="default" w:ascii="Times New Roman" w:hAnsi="Times New Roman" w:eastAsia="宋体" w:cs="Calibri"/>
                <w:kern w:val="0"/>
                <w:sz w:val="24"/>
                <w:szCs w:val="24"/>
                <w:lang w:val="en-US" w:eastAsia="en-US" w:bidi="ar-SA"/>
              </w:rPr>
            </w:pPr>
            <w:r>
              <w:rPr>
                <w:rFonts w:hint="eastAsia" w:ascii="宋体" w:hAnsi="宋体" w:eastAsia="宋体" w:cs="宋体"/>
                <w:kern w:val="0"/>
                <w:sz w:val="24"/>
                <w:szCs w:val="24"/>
                <w:lang w:val="en-US" w:eastAsia="en-US" w:bidi="ar-SA"/>
              </w:rPr>
              <w:t>功能</w:t>
            </w:r>
          </w:p>
        </w:tc>
        <w:tc>
          <w:tcPr>
            <w:tcW w:w="7305" w:type="dxa"/>
            <w:shd w:val="clear" w:color="auto" w:fill="E4E4E4"/>
            <w:vAlign w:val="center"/>
          </w:tcPr>
          <w:p>
            <w:pPr>
              <w:widowControl w:val="0"/>
              <w:wordWrap/>
              <w:spacing w:before="66" w:beforeAutospacing="0" w:after="0" w:afterAutospacing="0" w:line="360" w:lineRule="auto"/>
              <w:ind w:left="0" w:right="3992"/>
              <w:jc w:val="right"/>
              <w:rPr>
                <w:rFonts w:hint="default" w:ascii="Times New Roman" w:hAnsi="Times New Roman" w:eastAsia="宋体" w:cs="Calibri"/>
                <w:kern w:val="0"/>
                <w:sz w:val="24"/>
                <w:szCs w:val="24"/>
                <w:lang w:val="en-US" w:eastAsia="en-US" w:bidi="ar-SA"/>
              </w:rPr>
            </w:pPr>
            <w:r>
              <w:rPr>
                <w:rFonts w:hint="eastAsia" w:ascii="宋体" w:hAnsi="宋体" w:eastAsia="宋体" w:cs="宋体"/>
                <w:kern w:val="0"/>
                <w:sz w:val="24"/>
                <w:szCs w:val="24"/>
                <w:lang w:val="en-US" w:eastAsia="en-US" w:bidi="ar-SA"/>
              </w:rPr>
              <w:t>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77" w:hRule="atLeast"/>
          <w:jc w:val="center"/>
        </w:trPr>
        <w:tc>
          <w:tcPr>
            <w:tcW w:w="1788" w:type="dxa"/>
            <w:vAlign w:val="center"/>
          </w:tcPr>
          <w:p>
            <w:pPr>
              <w:widowControl w:val="0"/>
              <w:wordWrap/>
              <w:spacing w:before="0" w:beforeAutospacing="0" w:after="0" w:afterAutospacing="0" w:line="360" w:lineRule="auto"/>
              <w:ind w:left="0" w:right="311"/>
              <w:jc w:val="right"/>
              <w:rPr>
                <w:rFonts w:hint="default" w:ascii="Times New Roman" w:hAnsi="Times New Roman" w:eastAsia="宋体" w:cs="Calibri"/>
                <w:kern w:val="0"/>
                <w:sz w:val="24"/>
                <w:szCs w:val="24"/>
                <w:lang w:val="en-US" w:eastAsia="en-US" w:bidi="ar-SA"/>
              </w:rPr>
            </w:pPr>
            <w:r>
              <w:rPr>
                <w:rFonts w:hint="eastAsia" w:ascii="宋体" w:hAnsi="宋体" w:eastAsia="宋体" w:cs="宋体"/>
                <w:kern w:val="0"/>
                <w:sz w:val="24"/>
                <w:szCs w:val="24"/>
                <w:lang w:val="en-US" w:eastAsia="en-US" w:bidi="ar-SA"/>
              </w:rPr>
              <w:t>输入和输出</w:t>
            </w:r>
          </w:p>
        </w:tc>
        <w:tc>
          <w:tcPr>
            <w:tcW w:w="7305" w:type="dxa"/>
            <w:vAlign w:val="center"/>
          </w:tcPr>
          <w:p>
            <w:pPr>
              <w:wordWrap/>
              <w:adjustRightInd/>
              <w:spacing w:before="0" w:beforeAutospacing="0" w:after="0" w:afterAutospacing="0" w:line="360" w:lineRule="auto"/>
              <w:ind w:left="0" w:right="0"/>
              <w:jc w:val="left"/>
              <w:rPr>
                <w:rFonts w:hint="default" w:ascii="宋体" w:hAnsi="宋体" w:eastAsia="宋体" w:cs="宋体"/>
                <w:sz w:val="24"/>
              </w:rPr>
            </w:pPr>
            <w:r>
              <w:rPr>
                <w:rFonts w:hint="eastAsia" w:ascii="宋体" w:hAnsi="宋体" w:eastAsia="宋体" w:cs="宋体"/>
                <w:sz w:val="24"/>
              </w:rPr>
              <w:t>三相电压输入（V1、V2、V3）</w:t>
            </w:r>
          </w:p>
          <w:p>
            <w:pPr>
              <w:wordWrap/>
              <w:adjustRightInd/>
              <w:spacing w:before="0" w:beforeAutospacing="0" w:after="0" w:afterAutospacing="0" w:line="360" w:lineRule="auto"/>
              <w:ind w:left="0" w:right="0"/>
              <w:jc w:val="left"/>
              <w:rPr>
                <w:rFonts w:hint="default" w:ascii="宋体" w:hAnsi="宋体" w:eastAsia="宋体" w:cs="宋体"/>
                <w:sz w:val="24"/>
              </w:rPr>
            </w:pPr>
            <w:r>
              <w:rPr>
                <w:rFonts w:hint="eastAsia" w:ascii="宋体" w:hAnsi="宋体" w:eastAsia="宋体" w:cs="宋体"/>
                <w:sz w:val="24"/>
              </w:rPr>
              <w:t>三相电流输入（I1、I2、I3）</w:t>
            </w:r>
          </w:p>
          <w:p>
            <w:pPr>
              <w:wordWrap/>
              <w:adjustRightInd/>
              <w:spacing w:before="0" w:beforeAutospacing="0" w:after="0" w:afterAutospacing="0" w:line="360" w:lineRule="auto"/>
              <w:ind w:left="0" w:right="0"/>
              <w:jc w:val="left"/>
              <w:rPr>
                <w:rFonts w:hint="default" w:ascii="宋体" w:hAnsi="宋体" w:eastAsia="宋体" w:cs="宋体"/>
                <w:sz w:val="24"/>
              </w:rPr>
            </w:pPr>
            <w:r>
              <w:rPr>
                <w:rFonts w:hint="eastAsia" w:ascii="宋体" w:hAnsi="宋体" w:eastAsia="宋体" w:cs="宋体"/>
                <w:sz w:val="24"/>
              </w:rPr>
              <w:t>两路开关量输入（DI1～DI2）</w:t>
            </w:r>
          </w:p>
          <w:p>
            <w:pPr>
              <w:wordWrap/>
              <w:adjustRightInd/>
              <w:spacing w:before="0" w:beforeAutospacing="0" w:after="0" w:afterAutospacing="0" w:line="360" w:lineRule="auto"/>
              <w:ind w:left="0" w:right="0"/>
              <w:jc w:val="left"/>
              <w:rPr>
                <w:rFonts w:hint="default" w:ascii="宋体" w:hAnsi="宋体" w:eastAsia="宋体" w:cs="宋体"/>
                <w:sz w:val="24"/>
              </w:rPr>
            </w:pPr>
            <w:r>
              <w:rPr>
                <w:rFonts w:hint="eastAsia" w:ascii="宋体" w:hAnsi="宋体" w:eastAsia="宋体" w:cs="宋体"/>
                <w:sz w:val="24"/>
              </w:rPr>
              <w:t>两个继电器输出（DO1～DO2）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81" w:hRule="atLeast"/>
          <w:jc w:val="center"/>
        </w:trPr>
        <w:tc>
          <w:tcPr>
            <w:tcW w:w="1788" w:type="dxa"/>
            <w:vAlign w:val="center"/>
          </w:tcPr>
          <w:p>
            <w:pPr>
              <w:widowControl w:val="0"/>
              <w:wordWrap/>
              <w:spacing w:before="0" w:beforeAutospacing="0" w:after="0" w:afterAutospacing="0" w:line="360" w:lineRule="auto"/>
              <w:ind w:left="208" w:right="191"/>
              <w:jc w:val="center"/>
              <w:rPr>
                <w:rFonts w:hint="default" w:ascii="Times New Roman" w:hAnsi="Times New Roman" w:eastAsia="宋体" w:cs="Calibri"/>
                <w:kern w:val="0"/>
                <w:sz w:val="24"/>
                <w:szCs w:val="24"/>
                <w:lang w:val="en-US" w:eastAsia="en-US" w:bidi="ar-SA"/>
              </w:rPr>
            </w:pPr>
            <w:r>
              <w:rPr>
                <w:rFonts w:hint="eastAsia" w:ascii="宋体" w:hAnsi="宋体" w:eastAsia="宋体" w:cs="宋体"/>
                <w:kern w:val="0"/>
                <w:sz w:val="24"/>
                <w:szCs w:val="24"/>
                <w:lang w:val="en-US" w:eastAsia="en-US" w:bidi="ar-SA"/>
              </w:rPr>
              <w:t>基本测量</w:t>
            </w:r>
          </w:p>
        </w:tc>
        <w:tc>
          <w:tcPr>
            <w:tcW w:w="7305" w:type="dxa"/>
            <w:vAlign w:val="top"/>
          </w:tcPr>
          <w:p>
            <w:pPr>
              <w:widowControl w:val="0"/>
              <w:wordWrap/>
              <w:spacing w:before="68" w:beforeAutospacing="0" w:after="0" w:afterAutospacing="0" w:line="360" w:lineRule="auto"/>
              <w:ind w:left="110" w:right="0"/>
              <w:jc w:val="left"/>
              <w:rPr>
                <w:rFonts w:hint="default" w:ascii="Times New Roman" w:hAnsi="Times New Roman" w:eastAsia="宋体" w:cs="Calibri"/>
                <w:kern w:val="0"/>
                <w:sz w:val="24"/>
                <w:szCs w:val="24"/>
                <w:lang w:val="en-US" w:eastAsia="zh-CN" w:bidi="ar-SA"/>
              </w:rPr>
            </w:pPr>
            <w:r>
              <w:rPr>
                <w:rFonts w:hint="eastAsia" w:ascii="宋体" w:hAnsi="宋体" w:eastAsia="宋体" w:cs="宋体"/>
                <w:kern w:val="0"/>
                <w:sz w:val="24"/>
                <w:szCs w:val="24"/>
                <w:lang w:val="en-US" w:eastAsia="zh-CN" w:bidi="ar-SA"/>
              </w:rPr>
              <w:t>三相相电压及平均值、三相线电压及平均值、三相电流及平均值、三相有功功率及总值、三相无功功率及总值、三相视在功率及总值、三相功率因数及总值、频率、相角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70" w:hRule="atLeast"/>
          <w:jc w:val="center"/>
        </w:trPr>
        <w:tc>
          <w:tcPr>
            <w:tcW w:w="1788" w:type="dxa"/>
            <w:vAlign w:val="center"/>
          </w:tcPr>
          <w:p>
            <w:pPr>
              <w:widowControl w:val="0"/>
              <w:wordWrap/>
              <w:spacing w:before="0" w:beforeAutospacing="0" w:after="0" w:afterAutospacing="0" w:line="360" w:lineRule="auto"/>
              <w:ind w:left="208" w:right="191"/>
              <w:jc w:val="center"/>
              <w:rPr>
                <w:rFonts w:hint="default" w:ascii="Times New Roman" w:hAnsi="Times New Roman" w:eastAsia="宋体" w:cs="Calibri"/>
                <w:kern w:val="0"/>
                <w:sz w:val="24"/>
                <w:szCs w:val="24"/>
                <w:lang w:val="en-US" w:eastAsia="en-US" w:bidi="ar-SA"/>
              </w:rPr>
            </w:pPr>
            <w:r>
              <w:rPr>
                <w:rFonts w:hint="eastAsia" w:ascii="宋体" w:hAnsi="宋体" w:eastAsia="宋体" w:cs="宋体"/>
                <w:kern w:val="0"/>
                <w:sz w:val="24"/>
                <w:szCs w:val="24"/>
                <w:lang w:val="en-US" w:eastAsia="en-US" w:bidi="ar-SA"/>
              </w:rPr>
              <w:t>电能计量</w:t>
            </w:r>
          </w:p>
        </w:tc>
        <w:tc>
          <w:tcPr>
            <w:tcW w:w="7305" w:type="dxa"/>
            <w:vAlign w:val="top"/>
          </w:tcPr>
          <w:p>
            <w:pPr>
              <w:wordWrap/>
              <w:adjustRightInd/>
              <w:spacing w:before="0" w:beforeAutospacing="0" w:after="0" w:afterAutospacing="0" w:line="360" w:lineRule="auto"/>
              <w:ind w:left="0" w:right="0"/>
              <w:rPr>
                <w:rFonts w:hint="default" w:ascii="宋体" w:hAnsi="宋体" w:eastAsia="宋体" w:cs="宋体"/>
                <w:sz w:val="24"/>
                <w:lang w:val="zh-CN" w:bidi="zh-CN"/>
              </w:rPr>
            </w:pPr>
            <w:r>
              <w:rPr>
                <w:rFonts w:hint="eastAsia" w:ascii="宋体" w:hAnsi="宋体" w:eastAsia="宋体" w:cs="宋体"/>
                <w:sz w:val="24"/>
                <w:lang w:val="zh-CN" w:bidi="zh-CN"/>
              </w:rPr>
              <w:t>三相及单相的以下电能数据：</w:t>
            </w:r>
          </w:p>
          <w:p>
            <w:pPr>
              <w:wordWrap/>
              <w:adjustRightInd/>
              <w:spacing w:before="0" w:beforeAutospacing="0" w:after="0" w:afterAutospacing="0" w:line="360" w:lineRule="auto"/>
              <w:ind w:left="0" w:right="0"/>
              <w:rPr>
                <w:rFonts w:hint="eastAsia" w:ascii="宋体" w:hAnsi="宋体" w:eastAsia="宋体" w:cs="宋体"/>
                <w:sz w:val="24"/>
                <w:lang w:val="zh-CN" w:bidi="zh-CN"/>
              </w:rPr>
            </w:pPr>
            <w:r>
              <w:rPr>
                <w:rFonts w:hint="eastAsia" w:ascii="宋体" w:hAnsi="宋体" w:eastAsia="宋体" w:cs="宋体"/>
                <w:sz w:val="24"/>
                <w:lang w:val="zh-CN" w:bidi="zh-CN"/>
              </w:rPr>
              <w:t>正向有功电能、</w:t>
            </w:r>
          </w:p>
          <w:p>
            <w:pPr>
              <w:wordWrap/>
              <w:adjustRightInd/>
              <w:spacing w:before="0" w:beforeAutospacing="0" w:after="0" w:afterAutospacing="0" w:line="360" w:lineRule="auto"/>
              <w:ind w:left="0" w:right="0"/>
              <w:rPr>
                <w:rFonts w:hint="eastAsia" w:ascii="宋体" w:hAnsi="宋体" w:eastAsia="宋体" w:cs="宋体"/>
                <w:sz w:val="24"/>
                <w:lang w:val="zh-CN" w:bidi="zh-CN"/>
              </w:rPr>
            </w:pPr>
            <w:r>
              <w:rPr>
                <w:rFonts w:hint="eastAsia" w:ascii="宋体" w:hAnsi="宋体" w:eastAsia="宋体" w:cs="宋体"/>
                <w:sz w:val="24"/>
                <w:lang w:val="zh-CN" w:bidi="zh-CN"/>
              </w:rPr>
              <w:t>反向有功电能正向无功电能、</w:t>
            </w:r>
          </w:p>
          <w:p>
            <w:pPr>
              <w:wordWrap/>
              <w:adjustRightInd/>
              <w:spacing w:before="0" w:beforeAutospacing="0" w:after="0" w:afterAutospacing="0" w:line="360" w:lineRule="auto"/>
              <w:ind w:left="0" w:right="0"/>
              <w:rPr>
                <w:rFonts w:hint="default" w:ascii="宋体" w:hAnsi="宋体" w:eastAsia="宋体" w:cs="宋体"/>
              </w:rPr>
            </w:pPr>
            <w:r>
              <w:rPr>
                <w:rFonts w:hint="eastAsia" w:ascii="宋体" w:hAnsi="宋体" w:eastAsia="宋体" w:cs="宋体"/>
                <w:sz w:val="24"/>
                <w:lang w:val="zh-CN" w:bidi="zh-CN"/>
              </w:rPr>
              <w:t>反向无功电能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33" w:hRule="atLeast"/>
          <w:jc w:val="center"/>
        </w:trPr>
        <w:tc>
          <w:tcPr>
            <w:tcW w:w="1788" w:type="dxa"/>
            <w:vAlign w:val="center"/>
          </w:tcPr>
          <w:p>
            <w:pPr>
              <w:widowControl w:val="0"/>
              <w:wordWrap/>
              <w:spacing w:before="0" w:beforeAutospacing="0" w:after="0" w:afterAutospacing="0" w:line="360" w:lineRule="auto"/>
              <w:ind w:left="208" w:right="191"/>
              <w:jc w:val="center"/>
              <w:rPr>
                <w:rFonts w:hint="default" w:ascii="Times New Roman" w:hAnsi="Times New Roman" w:eastAsia="宋体" w:cs="Calibri"/>
                <w:kern w:val="0"/>
                <w:sz w:val="24"/>
                <w:szCs w:val="24"/>
                <w:lang w:val="en-US" w:eastAsia="en-US" w:bidi="ar-SA"/>
              </w:rPr>
            </w:pPr>
            <w:r>
              <w:rPr>
                <w:rFonts w:hint="eastAsia" w:ascii="宋体" w:hAnsi="宋体" w:eastAsia="宋体" w:cs="宋体"/>
                <w:kern w:val="0"/>
                <w:sz w:val="24"/>
                <w:szCs w:val="24"/>
                <w:lang w:val="en-US" w:eastAsia="en-US" w:bidi="ar-SA"/>
              </w:rPr>
              <w:t>电能质量</w:t>
            </w:r>
          </w:p>
        </w:tc>
        <w:tc>
          <w:tcPr>
            <w:tcW w:w="7305" w:type="dxa"/>
            <w:vAlign w:val="top"/>
          </w:tcPr>
          <w:p>
            <w:pPr>
              <w:widowControl w:val="0"/>
              <w:wordWrap/>
              <w:spacing w:before="95" w:beforeAutospacing="0" w:after="0" w:afterAutospacing="0" w:line="360" w:lineRule="auto"/>
              <w:ind w:left="110" w:right="0"/>
              <w:jc w:val="left"/>
              <w:rPr>
                <w:rFonts w:hint="default" w:ascii="Times New Roman" w:hAnsi="Times New Roman" w:eastAsia="宋体" w:cs="Calibri"/>
                <w:kern w:val="0"/>
                <w:sz w:val="24"/>
                <w:szCs w:val="24"/>
                <w:lang w:val="en-US" w:eastAsia="zh-CN" w:bidi="ar-SA"/>
              </w:rPr>
            </w:pPr>
            <w:r>
              <w:rPr>
                <w:rFonts w:hint="eastAsia" w:ascii="宋体" w:hAnsi="宋体" w:eastAsia="宋体" w:cs="宋体"/>
                <w:kern w:val="0"/>
                <w:sz w:val="24"/>
                <w:szCs w:val="24"/>
                <w:lang w:val="en-US" w:eastAsia="zh-CN" w:bidi="ar-SA"/>
              </w:rPr>
              <w:t>谐波数据：三相电压/电流谐波有效值及谐波畸变率</w:t>
            </w:r>
          </w:p>
          <w:p>
            <w:pPr>
              <w:widowControl w:val="0"/>
              <w:wordWrap/>
              <w:spacing w:before="134" w:beforeAutospacing="0" w:after="0" w:afterAutospacing="0" w:line="360" w:lineRule="auto"/>
              <w:ind w:left="110" w:right="0"/>
              <w:jc w:val="left"/>
              <w:rPr>
                <w:rFonts w:hint="default" w:ascii="Times New Roman" w:hAnsi="Times New Roman" w:eastAsia="宋体" w:cs="Calibri"/>
                <w:kern w:val="0"/>
                <w:sz w:val="24"/>
                <w:szCs w:val="24"/>
                <w:lang w:val="en-US" w:eastAsia="en-US" w:bidi="ar-SA"/>
              </w:rPr>
            </w:pPr>
            <w:r>
              <w:rPr>
                <w:rFonts w:hint="eastAsia" w:ascii="宋体" w:hAnsi="宋体" w:eastAsia="宋体" w:cs="宋体"/>
                <w:kern w:val="0"/>
                <w:sz w:val="24"/>
                <w:szCs w:val="24"/>
                <w:lang w:val="en-US" w:eastAsia="en-US" w:bidi="ar-SA"/>
              </w:rPr>
              <w:t>电压/电流不平衡度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6" w:hRule="atLeast"/>
          <w:jc w:val="center"/>
        </w:trPr>
        <w:tc>
          <w:tcPr>
            <w:tcW w:w="1788" w:type="dxa"/>
            <w:vAlign w:val="center"/>
          </w:tcPr>
          <w:p>
            <w:pPr>
              <w:widowControl w:val="0"/>
              <w:wordWrap/>
              <w:spacing w:before="85" w:beforeAutospacing="0" w:after="0" w:afterAutospacing="0" w:line="360" w:lineRule="auto"/>
              <w:ind w:left="208" w:right="191"/>
              <w:jc w:val="center"/>
              <w:rPr>
                <w:rFonts w:hint="default" w:ascii="Times New Roman" w:hAnsi="Times New Roman" w:eastAsia="宋体" w:cs="Calibri"/>
                <w:kern w:val="0"/>
                <w:sz w:val="24"/>
                <w:szCs w:val="24"/>
                <w:lang w:val="en-US" w:eastAsia="en-US" w:bidi="ar-SA"/>
              </w:rPr>
            </w:pPr>
            <w:r>
              <w:rPr>
                <w:rFonts w:hint="eastAsia" w:ascii="宋体" w:hAnsi="宋体" w:eastAsia="宋体" w:cs="宋体"/>
                <w:kern w:val="0"/>
                <w:sz w:val="24"/>
                <w:szCs w:val="24"/>
                <w:lang w:val="en-US" w:eastAsia="en-US" w:bidi="ar-SA"/>
              </w:rPr>
              <w:t>事件记录</w:t>
            </w:r>
          </w:p>
        </w:tc>
        <w:tc>
          <w:tcPr>
            <w:tcW w:w="7305" w:type="dxa"/>
            <w:vAlign w:val="top"/>
          </w:tcPr>
          <w:p>
            <w:pPr>
              <w:widowControl w:val="0"/>
              <w:wordWrap/>
              <w:spacing w:before="85" w:beforeAutospacing="0" w:after="0" w:afterAutospacing="0" w:line="360" w:lineRule="auto"/>
              <w:ind w:left="110" w:right="0"/>
              <w:jc w:val="left"/>
              <w:rPr>
                <w:rFonts w:hint="default" w:ascii="Times New Roman" w:hAnsi="Times New Roman" w:eastAsia="宋体" w:cs="Calibri"/>
                <w:kern w:val="0"/>
                <w:sz w:val="24"/>
                <w:szCs w:val="24"/>
                <w:lang w:val="en-US" w:eastAsia="zh-CN" w:bidi="ar-SA"/>
              </w:rPr>
            </w:pPr>
            <w:r>
              <w:rPr>
                <w:rFonts w:hint="eastAsia" w:ascii="宋体" w:hAnsi="宋体" w:eastAsia="宋体" w:cs="宋体"/>
                <w:kern w:val="0"/>
                <w:sz w:val="24"/>
                <w:szCs w:val="24"/>
                <w:lang w:val="en-US" w:eastAsia="zh-CN" w:bidi="ar-SA"/>
              </w:rPr>
              <w:t>16 个事件记录，分辨率 1ms；包括 DI 变位、DO 动作、越限、清除事件等。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79" w:hRule="atLeast"/>
          <w:jc w:val="center"/>
        </w:trPr>
        <w:tc>
          <w:tcPr>
            <w:tcW w:w="1788" w:type="dxa"/>
            <w:vAlign w:val="center"/>
          </w:tcPr>
          <w:p>
            <w:pPr>
              <w:widowControl w:val="0"/>
              <w:wordWrap/>
              <w:spacing w:before="0" w:beforeAutospacing="0" w:after="0" w:afterAutospacing="0" w:line="360" w:lineRule="auto"/>
              <w:ind w:left="208" w:right="191"/>
              <w:jc w:val="center"/>
              <w:rPr>
                <w:rFonts w:hint="default" w:ascii="Times New Roman" w:hAnsi="Times New Roman" w:eastAsia="宋体" w:cs="Calibri"/>
                <w:kern w:val="0"/>
                <w:sz w:val="24"/>
                <w:szCs w:val="24"/>
                <w:lang w:val="en-US" w:eastAsia="en-US" w:bidi="ar-SA"/>
              </w:rPr>
            </w:pPr>
            <w:r>
              <w:rPr>
                <w:rFonts w:hint="eastAsia" w:ascii="宋体" w:hAnsi="宋体" w:eastAsia="宋体" w:cs="宋体"/>
                <w:kern w:val="0"/>
                <w:sz w:val="24"/>
                <w:szCs w:val="24"/>
                <w:lang w:val="en-US" w:eastAsia="en-US" w:bidi="ar-SA"/>
              </w:rPr>
              <w:t>定值越限</w:t>
            </w:r>
          </w:p>
        </w:tc>
        <w:tc>
          <w:tcPr>
            <w:tcW w:w="7305" w:type="dxa"/>
            <w:vAlign w:val="top"/>
          </w:tcPr>
          <w:p>
            <w:pPr>
              <w:widowControl w:val="0"/>
              <w:wordWrap/>
              <w:spacing w:before="66" w:beforeAutospacing="0" w:after="0" w:afterAutospacing="0" w:line="360" w:lineRule="auto"/>
              <w:ind w:left="110" w:right="0"/>
              <w:jc w:val="left"/>
              <w:rPr>
                <w:rFonts w:hint="default" w:ascii="Times New Roman" w:hAnsi="Times New Roman" w:eastAsia="宋体" w:cs="Calibri"/>
                <w:kern w:val="0"/>
                <w:sz w:val="24"/>
                <w:szCs w:val="24"/>
                <w:lang w:val="en-US" w:eastAsia="zh-CN" w:bidi="ar-SA"/>
              </w:rPr>
            </w:pPr>
            <w:r>
              <w:rPr>
                <w:rFonts w:hint="eastAsia" w:ascii="宋体" w:hAnsi="宋体" w:eastAsia="宋体" w:cs="宋体"/>
                <w:spacing w:val="-11"/>
                <w:kern w:val="0"/>
                <w:sz w:val="24"/>
                <w:szCs w:val="24"/>
                <w:lang w:val="en-US" w:eastAsia="zh-CN" w:bidi="ar-SA"/>
              </w:rPr>
              <w:t xml:space="preserve">最多可设 </w:t>
            </w:r>
            <w:r>
              <w:rPr>
                <w:rFonts w:hint="eastAsia" w:ascii="宋体" w:hAnsi="宋体" w:eastAsia="宋体" w:cs="宋体"/>
                <w:kern w:val="0"/>
                <w:sz w:val="24"/>
                <w:szCs w:val="24"/>
                <w:lang w:val="en-US" w:eastAsia="zh-CN" w:bidi="ar-SA"/>
              </w:rPr>
              <w:t xml:space="preserve">6 </w:t>
            </w:r>
            <w:r>
              <w:rPr>
                <w:rFonts w:hint="eastAsia" w:ascii="宋体" w:hAnsi="宋体" w:eastAsia="宋体" w:cs="宋体"/>
                <w:spacing w:val="-2"/>
                <w:kern w:val="0"/>
                <w:sz w:val="24"/>
                <w:szCs w:val="24"/>
                <w:lang w:val="en-US" w:eastAsia="zh-CN" w:bidi="ar-SA"/>
              </w:rPr>
              <w:t xml:space="preserve">组定值越限，包括过压、欠压、过流、功率因数低限、过频、低频，可产生 </w:t>
            </w:r>
            <w:r>
              <w:rPr>
                <w:rFonts w:hint="eastAsia" w:ascii="宋体" w:hAnsi="宋体" w:eastAsia="宋体" w:cs="宋体"/>
                <w:kern w:val="0"/>
                <w:sz w:val="24"/>
                <w:szCs w:val="24"/>
                <w:lang w:val="en-US" w:eastAsia="zh-CN" w:bidi="ar-SA"/>
              </w:rPr>
              <w:t>SOE、触发继电器动作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70" w:hRule="atLeast"/>
          <w:jc w:val="center"/>
        </w:trPr>
        <w:tc>
          <w:tcPr>
            <w:tcW w:w="1788" w:type="dxa"/>
            <w:vAlign w:val="center"/>
          </w:tcPr>
          <w:p>
            <w:pPr>
              <w:widowControl w:val="0"/>
              <w:wordWrap/>
              <w:spacing w:before="0" w:beforeAutospacing="0" w:after="0" w:afterAutospacing="0" w:line="360" w:lineRule="auto"/>
              <w:ind w:left="208" w:right="191"/>
              <w:jc w:val="center"/>
              <w:rPr>
                <w:rFonts w:hint="default" w:ascii="Times New Roman" w:hAnsi="Times New Roman" w:eastAsia="宋体" w:cs="Calibri"/>
                <w:kern w:val="0"/>
                <w:sz w:val="24"/>
                <w:szCs w:val="24"/>
                <w:lang w:val="en-US" w:eastAsia="en-US" w:bidi="ar-SA"/>
              </w:rPr>
            </w:pPr>
            <w:r>
              <w:rPr>
                <w:rFonts w:hint="eastAsia" w:ascii="宋体" w:hAnsi="宋体" w:eastAsia="宋体" w:cs="宋体"/>
                <w:kern w:val="0"/>
                <w:sz w:val="24"/>
                <w:szCs w:val="24"/>
                <w:lang w:val="en-US" w:eastAsia="en-US" w:bidi="ar-SA"/>
              </w:rPr>
              <w:t>通信方式</w:t>
            </w:r>
          </w:p>
        </w:tc>
        <w:tc>
          <w:tcPr>
            <w:tcW w:w="7305" w:type="dxa"/>
            <w:vAlign w:val="top"/>
          </w:tcPr>
          <w:p>
            <w:pPr>
              <w:widowControl w:val="0"/>
              <w:wordWrap/>
              <w:spacing w:before="68" w:beforeAutospacing="0" w:after="0" w:afterAutospacing="0" w:line="360" w:lineRule="auto"/>
              <w:ind w:left="110" w:right="0"/>
              <w:jc w:val="left"/>
              <w:rPr>
                <w:rFonts w:hint="default" w:ascii="Times New Roman" w:hAnsi="Times New Roman" w:eastAsia="宋体" w:cs="Calibri"/>
                <w:kern w:val="0"/>
                <w:sz w:val="24"/>
                <w:szCs w:val="24"/>
                <w:lang w:val="en-US" w:eastAsia="en-US" w:bidi="ar-SA"/>
              </w:rPr>
            </w:pPr>
            <w:r>
              <w:rPr>
                <w:rFonts w:hint="eastAsia" w:ascii="宋体" w:hAnsi="宋体" w:eastAsia="宋体" w:cs="宋体"/>
                <w:kern w:val="0"/>
                <w:sz w:val="24"/>
                <w:szCs w:val="24"/>
                <w:lang w:val="en-US" w:eastAsia="en-US" w:bidi="ar-SA"/>
              </w:rPr>
              <w:t>1 个 RS-485 口</w:t>
            </w:r>
          </w:p>
          <w:p>
            <w:pPr>
              <w:widowControl w:val="0"/>
              <w:wordWrap/>
              <w:spacing w:before="133" w:beforeAutospacing="0" w:after="0" w:afterAutospacing="0" w:line="360" w:lineRule="auto"/>
              <w:ind w:left="110" w:right="0"/>
              <w:jc w:val="left"/>
              <w:rPr>
                <w:rFonts w:hint="default" w:ascii="Times New Roman" w:hAnsi="Times New Roman" w:eastAsia="宋体" w:cs="Calibri"/>
                <w:kern w:val="0"/>
                <w:sz w:val="24"/>
                <w:szCs w:val="24"/>
                <w:lang w:val="en-US" w:eastAsia="en-US" w:bidi="ar-SA"/>
              </w:rPr>
            </w:pPr>
            <w:r>
              <w:rPr>
                <w:rFonts w:hint="eastAsia" w:ascii="宋体" w:hAnsi="宋体" w:eastAsia="宋体" w:cs="宋体"/>
                <w:kern w:val="0"/>
                <w:sz w:val="24"/>
                <w:szCs w:val="24"/>
                <w:lang w:val="en-US" w:eastAsia="en-US" w:bidi="ar-SA"/>
              </w:rPr>
              <w:t>通信规约：MODBUS-RTU</w:t>
            </w:r>
          </w:p>
          <w:p>
            <w:pPr>
              <w:widowControl w:val="0"/>
              <w:wordWrap/>
              <w:spacing w:before="135" w:beforeAutospacing="0" w:after="0" w:afterAutospacing="0" w:line="360" w:lineRule="auto"/>
              <w:ind w:left="110" w:right="0"/>
              <w:jc w:val="left"/>
              <w:rPr>
                <w:rFonts w:hint="default" w:ascii="Times New Roman" w:hAnsi="Times New Roman" w:eastAsia="宋体" w:cs="Calibri"/>
                <w:kern w:val="0"/>
                <w:sz w:val="24"/>
                <w:szCs w:val="24"/>
                <w:lang w:val="en-US" w:eastAsia="en-US" w:bidi="ar-SA"/>
              </w:rPr>
            </w:pPr>
            <w:r>
              <w:rPr>
                <w:rFonts w:hint="eastAsia" w:ascii="宋体" w:hAnsi="宋体" w:eastAsia="宋体" w:cs="宋体"/>
                <w:kern w:val="0"/>
                <w:sz w:val="24"/>
                <w:szCs w:val="24"/>
                <w:lang w:val="en-US" w:eastAsia="en-US" w:bidi="ar-SA"/>
              </w:rPr>
              <w:t>通信速率支持 1200bps、2400bps、4800bps、9600bps、19200bps、38400bps</w:t>
            </w:r>
          </w:p>
        </w:tc>
      </w:tr>
    </w:tbl>
    <w:p>
      <w:pPr>
        <w:wordWrap/>
        <w:adjustRightInd/>
        <w:spacing w:line="360" w:lineRule="auto"/>
        <w:ind w:firstLine="482" w:firstLineChars="200"/>
        <w:rPr>
          <w:rFonts w:ascii="宋体" w:hAnsi="宋体" w:eastAsia="宋体" w:cs="宋体"/>
          <w:b/>
          <w:sz w:val="24"/>
        </w:rPr>
      </w:pPr>
      <w:bookmarkStart w:id="52" w:name="_TOC_250039"/>
      <w:bookmarkEnd w:id="52"/>
      <w:bookmarkStart w:id="53" w:name="_TOC_250038"/>
      <w:bookmarkEnd w:id="53"/>
      <w:bookmarkStart w:id="54" w:name="_Toc69204977"/>
      <w:r>
        <w:rPr>
          <w:rFonts w:hint="eastAsia" w:ascii="宋体" w:hAnsi="宋体" w:eastAsia="宋体" w:cs="宋体"/>
          <w:b/>
          <w:sz w:val="24"/>
          <w:lang w:val="en-US" w:eastAsia="zh-CN"/>
        </w:rPr>
        <w:t>6.2</w:t>
      </w:r>
      <w:r>
        <w:rPr>
          <w:rFonts w:hint="eastAsia" w:ascii="宋体" w:hAnsi="宋体" w:eastAsia="宋体" w:cs="宋体"/>
          <w:b/>
          <w:sz w:val="24"/>
        </w:rPr>
        <w:t>环境条件</w:t>
      </w:r>
      <w:bookmarkEnd w:id="54"/>
    </w:p>
    <w:p>
      <w:pPr>
        <w:wordWrap/>
        <w:adjustRightInd/>
        <w:spacing w:line="360" w:lineRule="auto"/>
        <w:ind w:firstLine="480" w:firstLineChars="200"/>
        <w:rPr>
          <w:rFonts w:hint="eastAsia" w:ascii="宋体" w:hAnsi="宋体" w:eastAsia="宋体" w:cs="宋体"/>
          <w:sz w:val="24"/>
        </w:rPr>
      </w:pPr>
      <w:r>
        <w:rPr>
          <w:rFonts w:hint="eastAsia" w:ascii="宋体" w:hAnsi="宋体" w:eastAsia="宋体" w:cs="宋体"/>
          <w:sz w:val="24"/>
        </w:rPr>
        <w:t>环境温度-25℃～+70℃</w:t>
      </w:r>
    </w:p>
    <w:p>
      <w:pPr>
        <w:wordWrap/>
        <w:adjustRightInd/>
        <w:spacing w:line="360" w:lineRule="auto"/>
        <w:ind w:firstLine="480" w:firstLineChars="200"/>
        <w:rPr>
          <w:rFonts w:ascii="宋体" w:hAnsi="宋体" w:eastAsia="宋体" w:cs="宋体"/>
          <w:sz w:val="24"/>
        </w:rPr>
      </w:pPr>
      <w:r>
        <w:rPr>
          <w:rFonts w:hint="eastAsia" w:ascii="宋体" w:hAnsi="宋体" w:eastAsia="宋体" w:cs="宋体"/>
          <w:sz w:val="24"/>
        </w:rPr>
        <w:t>贮存温度：-40℃～+85℃</w:t>
      </w:r>
    </w:p>
    <w:p>
      <w:pPr>
        <w:wordWrap/>
        <w:adjustRightInd/>
        <w:spacing w:line="360" w:lineRule="auto"/>
        <w:ind w:firstLine="480" w:firstLineChars="200"/>
        <w:rPr>
          <w:rFonts w:hint="eastAsia" w:ascii="宋体" w:hAnsi="宋体" w:eastAsia="宋体" w:cs="宋体"/>
          <w:sz w:val="24"/>
        </w:rPr>
      </w:pPr>
      <w:r>
        <w:rPr>
          <w:rFonts w:hint="eastAsia" w:ascii="宋体" w:hAnsi="宋体" w:eastAsia="宋体" w:cs="宋体"/>
          <w:sz w:val="24"/>
        </w:rPr>
        <w:t>相对湿度：5%～95%（无冷凝）</w:t>
      </w:r>
    </w:p>
    <w:p>
      <w:pPr>
        <w:wordWrap/>
        <w:adjustRightInd/>
        <w:spacing w:line="360" w:lineRule="auto"/>
        <w:ind w:firstLine="480" w:firstLineChars="200"/>
        <w:rPr>
          <w:rFonts w:ascii="宋体" w:hAnsi="宋体" w:eastAsia="宋体" w:cs="宋体"/>
          <w:sz w:val="24"/>
        </w:rPr>
      </w:pPr>
      <w:r>
        <w:rPr>
          <w:rFonts w:hint="eastAsia" w:ascii="宋体" w:hAnsi="宋体" w:eastAsia="宋体" w:cs="宋体"/>
          <w:sz w:val="24"/>
        </w:rPr>
        <w:t>大气压力：70kPa～106kPa</w:t>
      </w:r>
    </w:p>
    <w:p>
      <w:pPr>
        <w:wordWrap/>
        <w:adjustRightInd/>
        <w:spacing w:line="360" w:lineRule="auto"/>
        <w:ind w:firstLine="480" w:firstLineChars="200"/>
        <w:rPr>
          <w:rFonts w:ascii="宋体" w:hAnsi="宋体" w:eastAsia="宋体" w:cs="宋体"/>
          <w:sz w:val="24"/>
        </w:rPr>
      </w:pPr>
      <w:r>
        <w:rPr>
          <w:rFonts w:hint="eastAsia" w:ascii="宋体" w:hAnsi="宋体" w:eastAsia="宋体" w:cs="宋体"/>
          <w:sz w:val="24"/>
        </w:rPr>
        <w:t>海拔高度：＜3000m</w:t>
      </w:r>
    </w:p>
    <w:p>
      <w:pPr>
        <w:wordWrap/>
        <w:adjustRightInd/>
        <w:spacing w:line="360" w:lineRule="auto"/>
        <w:ind w:firstLine="480" w:firstLineChars="200"/>
        <w:rPr>
          <w:rFonts w:ascii="宋体" w:hAnsi="宋体" w:eastAsia="宋体" w:cs="宋体"/>
        </w:rPr>
      </w:pPr>
      <w:bookmarkStart w:id="55" w:name="_TOC_250037"/>
      <w:bookmarkEnd w:id="55"/>
      <w:bookmarkStart w:id="56" w:name="_Toc69204978"/>
      <w:r>
        <w:rPr>
          <w:rFonts w:hint="eastAsia" w:ascii="宋体" w:hAnsi="宋体" w:eastAsia="宋体" w:cs="宋体"/>
          <w:sz w:val="24"/>
        </w:rPr>
        <w:t>工作电源</w:t>
      </w:r>
      <w:bookmarkEnd w:id="56"/>
      <w:r>
        <w:rPr>
          <w:rFonts w:hint="eastAsia" w:ascii="宋体" w:hAnsi="宋体" w:eastAsia="宋体" w:cs="宋体"/>
          <w:sz w:val="24"/>
        </w:rPr>
        <w:t>电源电压：95～250VAC/DC，47～440Hz功率消耗：＜2W</w:t>
      </w:r>
    </w:p>
    <w:p>
      <w:pPr>
        <w:wordWrap/>
        <w:adjustRightInd/>
        <w:spacing w:line="360" w:lineRule="auto"/>
        <w:ind w:firstLine="482" w:firstLineChars="200"/>
        <w:rPr>
          <w:rFonts w:ascii="宋体" w:hAnsi="宋体" w:eastAsia="宋体" w:cs="宋体"/>
          <w:b/>
          <w:sz w:val="24"/>
        </w:rPr>
      </w:pPr>
      <w:bookmarkStart w:id="57" w:name="_TOC_250036"/>
      <w:bookmarkEnd w:id="57"/>
      <w:bookmarkStart w:id="58" w:name="_Toc69204979"/>
      <w:r>
        <w:rPr>
          <w:rFonts w:hint="eastAsia" w:ascii="宋体" w:hAnsi="宋体" w:eastAsia="宋体" w:cs="宋体"/>
          <w:b/>
          <w:sz w:val="24"/>
          <w:lang w:val="en-US" w:eastAsia="zh-CN"/>
        </w:rPr>
        <w:t>6.3</w:t>
      </w:r>
      <w:r>
        <w:rPr>
          <w:rFonts w:hint="eastAsia" w:ascii="宋体" w:hAnsi="宋体" w:eastAsia="宋体" w:cs="宋体"/>
          <w:b/>
          <w:sz w:val="24"/>
        </w:rPr>
        <w:t>电压线路</w:t>
      </w:r>
      <w:bookmarkEnd w:id="58"/>
    </w:p>
    <w:p>
      <w:pPr>
        <w:wordWrap/>
        <w:adjustRightInd/>
        <w:spacing w:line="360" w:lineRule="auto"/>
        <w:ind w:firstLine="480" w:firstLineChars="200"/>
        <w:rPr>
          <w:rFonts w:ascii="宋体" w:hAnsi="宋体" w:eastAsia="宋体" w:cs="宋体"/>
          <w:sz w:val="24"/>
        </w:rPr>
      </w:pPr>
      <w:r>
        <w:rPr>
          <w:rFonts w:hint="eastAsia" w:ascii="宋体" w:hAnsi="宋体" w:eastAsia="宋体" w:cs="宋体"/>
          <w:sz w:val="24"/>
        </w:rPr>
        <w:t>额定电压Un：220VL-N/380VL-L、57.7VL-N/100VL-L</w:t>
      </w:r>
    </w:p>
    <w:p>
      <w:pPr>
        <w:wordWrap/>
        <w:adjustRightInd/>
        <w:spacing w:line="360" w:lineRule="auto"/>
        <w:ind w:firstLine="480" w:firstLineChars="200"/>
        <w:rPr>
          <w:rFonts w:ascii="宋体" w:hAnsi="宋体" w:eastAsia="宋体" w:cs="宋体"/>
          <w:sz w:val="24"/>
        </w:rPr>
      </w:pPr>
      <w:r>
        <w:rPr>
          <w:rFonts w:hint="eastAsia" w:ascii="宋体" w:hAnsi="宋体" w:eastAsia="宋体" w:cs="宋体"/>
          <w:sz w:val="24"/>
        </w:rPr>
        <w:t>测量范围：20V~1.2Un启动电压：20V</w:t>
      </w:r>
    </w:p>
    <w:p>
      <w:pPr>
        <w:wordWrap/>
        <w:adjustRightInd/>
        <w:spacing w:line="360" w:lineRule="auto"/>
        <w:ind w:firstLine="480" w:firstLineChars="200"/>
        <w:rPr>
          <w:rFonts w:ascii="宋体" w:hAnsi="宋体" w:eastAsia="宋体" w:cs="宋体"/>
          <w:sz w:val="24"/>
        </w:rPr>
      </w:pPr>
      <w:r>
        <w:rPr>
          <w:rFonts w:hint="eastAsia" w:ascii="宋体" w:hAnsi="宋体" w:eastAsia="宋体" w:cs="宋体"/>
          <w:sz w:val="24"/>
        </w:rPr>
        <w:t>频率：50Hz</w:t>
      </w:r>
    </w:p>
    <w:p>
      <w:pPr>
        <w:wordWrap/>
        <w:adjustRightInd/>
        <w:spacing w:line="360" w:lineRule="auto"/>
        <w:ind w:firstLine="480" w:firstLineChars="200"/>
        <w:rPr>
          <w:rFonts w:ascii="宋体" w:hAnsi="宋体" w:eastAsia="宋体" w:cs="宋体"/>
          <w:sz w:val="24"/>
        </w:rPr>
      </w:pPr>
      <w:r>
        <w:rPr>
          <w:rFonts w:hint="eastAsia" w:ascii="宋体" w:hAnsi="宋体" w:eastAsia="宋体" w:cs="宋体"/>
          <w:sz w:val="24"/>
        </w:rPr>
        <w:t>功率消耗：＜0.02VA/相</w:t>
      </w:r>
    </w:p>
    <w:p>
      <w:pPr>
        <w:wordWrap/>
        <w:adjustRightInd/>
        <w:spacing w:line="360" w:lineRule="auto"/>
        <w:ind w:firstLine="482" w:firstLineChars="200"/>
        <w:rPr>
          <w:rFonts w:ascii="宋体" w:hAnsi="宋体" w:eastAsia="宋体" w:cs="宋体"/>
          <w:b/>
          <w:sz w:val="24"/>
        </w:rPr>
      </w:pPr>
      <w:bookmarkStart w:id="59" w:name="_TOC_250035"/>
      <w:bookmarkEnd w:id="59"/>
      <w:bookmarkStart w:id="60" w:name="_Toc69204980"/>
      <w:r>
        <w:rPr>
          <w:rFonts w:hint="eastAsia" w:ascii="宋体" w:hAnsi="宋体" w:eastAsia="宋体" w:cs="宋体"/>
          <w:b/>
          <w:sz w:val="24"/>
          <w:lang w:val="en-US" w:eastAsia="zh-CN"/>
        </w:rPr>
        <w:t>6.4</w:t>
      </w:r>
      <w:r>
        <w:rPr>
          <w:rFonts w:hint="eastAsia" w:ascii="宋体" w:hAnsi="宋体" w:eastAsia="宋体" w:cs="宋体"/>
          <w:b/>
          <w:sz w:val="24"/>
        </w:rPr>
        <w:t>电流线路</w:t>
      </w:r>
      <w:bookmarkEnd w:id="60"/>
    </w:p>
    <w:p>
      <w:pPr>
        <w:wordWrap/>
        <w:adjustRightInd/>
        <w:spacing w:line="360" w:lineRule="auto"/>
        <w:ind w:firstLine="480" w:firstLineChars="200"/>
        <w:rPr>
          <w:rFonts w:hint="eastAsia" w:ascii="宋体" w:hAnsi="宋体" w:eastAsia="宋体" w:cs="宋体"/>
          <w:sz w:val="24"/>
        </w:rPr>
      </w:pPr>
      <w:r>
        <w:rPr>
          <w:rFonts w:hint="eastAsia" w:ascii="宋体" w:hAnsi="宋体" w:eastAsia="宋体" w:cs="宋体"/>
          <w:sz w:val="24"/>
        </w:rPr>
        <w:t>额定电流In：5A、1A</w:t>
      </w:r>
    </w:p>
    <w:p>
      <w:pPr>
        <w:wordWrap/>
        <w:adjustRightInd/>
        <w:spacing w:line="360" w:lineRule="auto"/>
        <w:ind w:firstLine="480" w:firstLineChars="200"/>
        <w:rPr>
          <w:rFonts w:hint="eastAsia" w:ascii="宋体" w:hAnsi="宋体" w:eastAsia="宋体" w:cs="宋体"/>
          <w:sz w:val="24"/>
        </w:rPr>
      </w:pPr>
      <w:r>
        <w:rPr>
          <w:rFonts w:hint="eastAsia" w:ascii="宋体" w:hAnsi="宋体" w:eastAsia="宋体" w:cs="宋体"/>
          <w:sz w:val="24"/>
        </w:rPr>
        <w:t>测量范围：4mA~1.2In</w:t>
      </w:r>
    </w:p>
    <w:p>
      <w:pPr>
        <w:wordWrap/>
        <w:adjustRightInd/>
        <w:spacing w:line="360" w:lineRule="auto"/>
        <w:ind w:firstLine="480" w:firstLineChars="200"/>
        <w:rPr>
          <w:rFonts w:ascii="宋体" w:hAnsi="宋体" w:eastAsia="宋体" w:cs="宋体"/>
          <w:sz w:val="24"/>
        </w:rPr>
      </w:pPr>
      <w:r>
        <w:rPr>
          <w:rFonts w:hint="eastAsia" w:ascii="宋体" w:hAnsi="宋体" w:eastAsia="宋体" w:cs="宋体"/>
          <w:sz w:val="24"/>
        </w:rPr>
        <w:t>启动值：4mA</w:t>
      </w:r>
    </w:p>
    <w:p>
      <w:pPr>
        <w:wordWrap/>
        <w:adjustRightInd/>
        <w:spacing w:line="360" w:lineRule="auto"/>
        <w:ind w:firstLine="480" w:firstLineChars="200"/>
        <w:rPr>
          <w:rFonts w:ascii="宋体" w:hAnsi="宋体" w:eastAsia="宋体" w:cs="宋体"/>
          <w:sz w:val="24"/>
        </w:rPr>
      </w:pPr>
      <w:r>
        <w:rPr>
          <w:rFonts w:hint="eastAsia" w:ascii="宋体" w:hAnsi="宋体" w:eastAsia="宋体" w:cs="宋体"/>
          <w:sz w:val="24"/>
        </w:rPr>
        <w:t>功率消耗：＜0.15VA/相@5A</w:t>
      </w:r>
    </w:p>
    <w:p>
      <w:pPr>
        <w:wordWrap/>
        <w:adjustRightInd/>
        <w:spacing w:line="360" w:lineRule="auto"/>
        <w:ind w:firstLine="482" w:firstLineChars="200"/>
        <w:rPr>
          <w:rFonts w:ascii="宋体" w:hAnsi="宋体" w:eastAsia="宋体" w:cs="宋体"/>
          <w:b/>
          <w:sz w:val="24"/>
        </w:rPr>
      </w:pPr>
      <w:bookmarkStart w:id="61" w:name="_TOC_250034"/>
      <w:bookmarkStart w:id="62" w:name="_Toc69204981"/>
      <w:r>
        <w:rPr>
          <w:rFonts w:hint="eastAsia" w:ascii="宋体" w:hAnsi="宋体" w:eastAsia="宋体" w:cs="宋体"/>
          <w:b/>
          <w:sz w:val="24"/>
          <w:lang w:val="en-US" w:eastAsia="zh-CN"/>
        </w:rPr>
        <w:t>6.5</w:t>
      </w:r>
      <w:r>
        <w:rPr>
          <w:rFonts w:hint="eastAsia" w:ascii="宋体" w:hAnsi="宋体" w:eastAsia="宋体" w:cs="宋体"/>
          <w:b/>
          <w:sz w:val="24"/>
        </w:rPr>
        <w:t>开关量输入（DI</w:t>
      </w:r>
      <w:bookmarkEnd w:id="61"/>
      <w:r>
        <w:rPr>
          <w:rFonts w:hint="eastAsia" w:ascii="宋体" w:hAnsi="宋体" w:eastAsia="宋体" w:cs="宋体"/>
          <w:b/>
          <w:sz w:val="24"/>
        </w:rPr>
        <w:t>）</w:t>
      </w:r>
      <w:bookmarkEnd w:id="62"/>
    </w:p>
    <w:p>
      <w:pPr>
        <w:wordWrap/>
        <w:adjustRightInd/>
        <w:spacing w:line="360" w:lineRule="auto"/>
        <w:ind w:firstLine="480" w:firstLineChars="200"/>
        <w:rPr>
          <w:rFonts w:ascii="宋体" w:hAnsi="宋体" w:eastAsia="宋体" w:cs="宋体"/>
          <w:sz w:val="24"/>
        </w:rPr>
      </w:pPr>
      <w:r>
        <w:rPr>
          <w:rFonts w:hint="eastAsia" w:ascii="宋体" w:hAnsi="宋体" w:eastAsia="宋体" w:cs="宋体"/>
          <w:sz w:val="24"/>
        </w:rPr>
        <w:t>可选2路DI</w:t>
      </w:r>
    </w:p>
    <w:p>
      <w:pPr>
        <w:wordWrap/>
        <w:adjustRightInd/>
        <w:spacing w:line="360" w:lineRule="auto"/>
        <w:ind w:firstLine="480" w:firstLineChars="200"/>
        <w:rPr>
          <w:rFonts w:hint="eastAsia" w:ascii="宋体" w:hAnsi="宋体" w:eastAsia="宋体" w:cs="宋体"/>
          <w:sz w:val="24"/>
        </w:rPr>
      </w:pPr>
      <w:r>
        <w:rPr>
          <w:rFonts w:hint="eastAsia" w:ascii="宋体" w:hAnsi="宋体" w:eastAsia="宋体" w:cs="宋体"/>
          <w:sz w:val="24"/>
        </w:rPr>
        <w:t>激励方式：内激励</w:t>
      </w:r>
    </w:p>
    <w:p>
      <w:pPr>
        <w:wordWrap/>
        <w:adjustRightInd/>
        <w:spacing w:line="360" w:lineRule="auto"/>
        <w:ind w:firstLine="480" w:firstLineChars="200"/>
        <w:rPr>
          <w:rFonts w:ascii="宋体" w:hAnsi="宋体" w:eastAsia="宋体" w:cs="宋体"/>
          <w:sz w:val="24"/>
        </w:rPr>
      </w:pPr>
      <w:r>
        <w:rPr>
          <w:rFonts w:hint="eastAsia" w:ascii="宋体" w:hAnsi="宋体" w:eastAsia="宋体" w:cs="宋体"/>
          <w:sz w:val="24"/>
        </w:rPr>
        <w:t>事件分辨率：1ms</w:t>
      </w:r>
    </w:p>
    <w:p>
      <w:pPr>
        <w:wordWrap/>
        <w:adjustRightInd/>
        <w:spacing w:line="360" w:lineRule="auto"/>
        <w:ind w:firstLine="482" w:firstLineChars="200"/>
        <w:rPr>
          <w:rFonts w:ascii="宋体" w:hAnsi="宋体" w:eastAsia="宋体" w:cs="宋体"/>
          <w:b/>
          <w:sz w:val="24"/>
        </w:rPr>
      </w:pPr>
      <w:bookmarkStart w:id="63" w:name="_TOC_250033"/>
      <w:bookmarkStart w:id="64" w:name="_Toc69204982"/>
      <w:r>
        <w:rPr>
          <w:rFonts w:hint="eastAsia" w:ascii="宋体" w:hAnsi="宋体" w:eastAsia="宋体" w:cs="宋体"/>
          <w:b/>
          <w:sz w:val="24"/>
          <w:lang w:val="en-US" w:eastAsia="zh-CN"/>
        </w:rPr>
        <w:t>6.6</w:t>
      </w:r>
      <w:r>
        <w:rPr>
          <w:rFonts w:hint="eastAsia" w:ascii="宋体" w:hAnsi="宋体" w:eastAsia="宋体" w:cs="宋体"/>
          <w:b/>
          <w:sz w:val="24"/>
        </w:rPr>
        <w:t>开关量输出（DO</w:t>
      </w:r>
      <w:bookmarkEnd w:id="63"/>
      <w:r>
        <w:rPr>
          <w:rFonts w:hint="eastAsia" w:ascii="宋体" w:hAnsi="宋体" w:eastAsia="宋体" w:cs="宋体"/>
          <w:b/>
          <w:sz w:val="24"/>
        </w:rPr>
        <w:t>）</w:t>
      </w:r>
      <w:bookmarkEnd w:id="64"/>
    </w:p>
    <w:p>
      <w:pPr>
        <w:wordWrap/>
        <w:adjustRightInd/>
        <w:spacing w:line="360" w:lineRule="auto"/>
        <w:ind w:firstLine="480" w:firstLineChars="200"/>
        <w:rPr>
          <w:rFonts w:ascii="宋体" w:hAnsi="宋体" w:eastAsia="宋体" w:cs="宋体"/>
          <w:sz w:val="24"/>
        </w:rPr>
      </w:pPr>
      <w:r>
        <w:rPr>
          <w:rFonts w:hint="eastAsia" w:ascii="宋体" w:hAnsi="宋体" w:eastAsia="宋体" w:cs="宋体"/>
          <w:sz w:val="24"/>
        </w:rPr>
        <w:t>可选2路电磁式继电器输出</w:t>
      </w:r>
    </w:p>
    <w:p>
      <w:pPr>
        <w:wordWrap/>
        <w:adjustRightInd/>
        <w:spacing w:line="360" w:lineRule="auto"/>
        <w:ind w:firstLine="480" w:firstLineChars="200"/>
        <w:rPr>
          <w:rFonts w:ascii="宋体" w:hAnsi="宋体" w:eastAsia="宋体" w:cs="宋体"/>
          <w:sz w:val="24"/>
        </w:rPr>
      </w:pPr>
      <w:r>
        <w:rPr>
          <w:rFonts w:hint="eastAsia" w:ascii="宋体" w:hAnsi="宋体" w:eastAsia="宋体" w:cs="宋体"/>
          <w:sz w:val="24"/>
        </w:rPr>
        <w:t>接通容量：5A连续，250VAC/30VDC</w:t>
      </w:r>
    </w:p>
    <w:p>
      <w:pPr>
        <w:wordWrap/>
        <w:adjustRightInd/>
        <w:spacing w:line="360" w:lineRule="auto"/>
        <w:ind w:firstLine="480" w:firstLineChars="200"/>
        <w:rPr>
          <w:rFonts w:ascii="宋体" w:hAnsi="宋体" w:eastAsia="宋体" w:cs="宋体"/>
          <w:sz w:val="24"/>
        </w:rPr>
      </w:pPr>
      <w:r>
        <w:rPr>
          <w:rFonts w:hint="eastAsia" w:ascii="宋体" w:hAnsi="宋体" w:eastAsia="宋体" w:cs="宋体"/>
          <w:sz w:val="24"/>
        </w:rPr>
        <w:t>分断容量：L/R=40ms，10000次</w:t>
      </w:r>
    </w:p>
    <w:p>
      <w:pPr>
        <w:wordWrap/>
        <w:adjustRightInd/>
        <w:spacing w:line="360" w:lineRule="auto"/>
        <w:ind w:firstLine="1680" w:firstLineChars="700"/>
        <w:rPr>
          <w:rFonts w:ascii="宋体" w:hAnsi="宋体" w:eastAsia="宋体" w:cs="宋体"/>
          <w:sz w:val="24"/>
        </w:rPr>
      </w:pPr>
      <w:r>
        <w:rPr>
          <w:rFonts w:hint="eastAsia" w:ascii="宋体" w:hAnsi="宋体" w:eastAsia="宋体" w:cs="宋体"/>
          <w:sz w:val="24"/>
        </w:rPr>
        <w:t>220VDC，0.1A</w:t>
      </w:r>
    </w:p>
    <w:p>
      <w:pPr>
        <w:wordWrap/>
        <w:adjustRightInd/>
        <w:spacing w:line="360" w:lineRule="auto"/>
        <w:ind w:firstLine="1680" w:firstLineChars="700"/>
        <w:rPr>
          <w:rFonts w:ascii="宋体" w:hAnsi="宋体" w:eastAsia="宋体" w:cs="宋体"/>
          <w:sz w:val="24"/>
        </w:rPr>
      </w:pPr>
      <w:r>
        <w:rPr>
          <w:rFonts w:hint="eastAsia" w:ascii="宋体" w:hAnsi="宋体" w:eastAsia="宋体" w:cs="宋体"/>
          <w:sz w:val="24"/>
        </w:rPr>
        <w:t>110VDC，0.3A</w:t>
      </w:r>
    </w:p>
    <w:p>
      <w:pPr>
        <w:wordWrap/>
        <w:adjustRightInd/>
        <w:spacing w:line="360" w:lineRule="auto"/>
        <w:ind w:firstLine="1680" w:firstLineChars="700"/>
        <w:rPr>
          <w:rFonts w:ascii="宋体" w:hAnsi="宋体" w:eastAsia="宋体" w:cs="宋体"/>
          <w:sz w:val="24"/>
        </w:rPr>
      </w:pPr>
      <w:r>
        <w:rPr>
          <w:rFonts w:hint="eastAsia" w:ascii="宋体" w:hAnsi="宋体" w:eastAsia="宋体" w:cs="宋体"/>
          <w:sz w:val="24"/>
        </w:rPr>
        <w:t>48VDC，1A</w:t>
      </w:r>
    </w:p>
    <w:p>
      <w:pPr>
        <w:wordWrap/>
        <w:adjustRightInd/>
        <w:spacing w:line="360" w:lineRule="auto"/>
        <w:ind w:firstLine="480" w:firstLineChars="200"/>
        <w:rPr>
          <w:rFonts w:hint="eastAsia" w:ascii="宋体" w:hAnsi="宋体" w:eastAsia="宋体" w:cs="宋体"/>
          <w:sz w:val="24"/>
        </w:rPr>
      </w:pPr>
      <w:r>
        <w:rPr>
          <w:rFonts w:hint="eastAsia" w:ascii="宋体" w:hAnsi="宋体" w:eastAsia="宋体" w:cs="宋体"/>
          <w:sz w:val="24"/>
        </w:rPr>
        <w:t>动作时间：＜10ms</w:t>
      </w:r>
    </w:p>
    <w:p>
      <w:pPr>
        <w:wordWrap/>
        <w:adjustRightInd/>
        <w:spacing w:line="360" w:lineRule="auto"/>
        <w:ind w:firstLine="480" w:firstLineChars="200"/>
        <w:rPr>
          <w:rFonts w:ascii="宋体" w:hAnsi="宋体" w:eastAsia="宋体" w:cs="宋体"/>
          <w:sz w:val="24"/>
        </w:rPr>
      </w:pPr>
      <w:r>
        <w:rPr>
          <w:rFonts w:hint="eastAsia" w:ascii="宋体" w:hAnsi="宋体" w:eastAsia="宋体" w:cs="宋体"/>
          <w:sz w:val="24"/>
        </w:rPr>
        <w:t>返回时间：＜10ms</w:t>
      </w:r>
    </w:p>
    <w:p>
      <w:pPr>
        <w:wordWrap/>
        <w:adjustRightInd/>
        <w:spacing w:line="360" w:lineRule="auto"/>
        <w:ind w:firstLine="482" w:firstLineChars="200"/>
        <w:rPr>
          <w:rFonts w:ascii="宋体" w:hAnsi="宋体" w:eastAsia="宋体" w:cs="宋体"/>
          <w:b/>
          <w:sz w:val="24"/>
        </w:rPr>
      </w:pPr>
      <w:bookmarkStart w:id="65" w:name="_TOC_250032"/>
      <w:bookmarkEnd w:id="65"/>
      <w:bookmarkStart w:id="66" w:name="_Toc69204983"/>
      <w:r>
        <w:rPr>
          <w:rFonts w:hint="eastAsia" w:ascii="宋体" w:hAnsi="宋体" w:eastAsia="宋体" w:cs="宋体"/>
          <w:b/>
          <w:sz w:val="24"/>
          <w:lang w:val="en-US" w:eastAsia="zh-CN"/>
        </w:rPr>
        <w:t>6.7</w:t>
      </w:r>
      <w:r>
        <w:rPr>
          <w:rFonts w:hint="eastAsia" w:ascii="宋体" w:hAnsi="宋体" w:eastAsia="宋体" w:cs="宋体"/>
          <w:b/>
          <w:sz w:val="24"/>
        </w:rPr>
        <w:t>过载能力</w:t>
      </w:r>
      <w:bookmarkEnd w:id="66"/>
    </w:p>
    <w:p>
      <w:pPr>
        <w:widowControl w:val="0"/>
        <w:shd w:val="clear" w:color="auto" w:fill="FFFFFF"/>
        <w:wordWrap/>
        <w:spacing w:before="120" w:beforeLines="50" w:line="360" w:lineRule="auto"/>
        <w:ind w:firstLine="480" w:firstLineChars="20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电压线路：1.2倍额定电压，连续工作；2倍额定电压，允许1s</w:t>
      </w:r>
    </w:p>
    <w:p>
      <w:pPr>
        <w:widowControl w:val="0"/>
        <w:shd w:val="clear" w:color="auto" w:fill="FFFFFF"/>
        <w:wordWrap/>
        <w:spacing w:before="120" w:beforeLines="50" w:line="360" w:lineRule="auto"/>
        <w:ind w:firstLine="480" w:firstLineChars="20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电流线路：1.2倍额定电流，连续工作；10倍额定电流，允许10s；20倍额定电流，允许1s</w:t>
      </w:r>
    </w:p>
    <w:p>
      <w:pPr>
        <w:wordWrap/>
        <w:adjustRightInd/>
        <w:spacing w:line="360" w:lineRule="auto"/>
        <w:ind w:firstLine="482" w:firstLineChars="200"/>
        <w:rPr>
          <w:rFonts w:ascii="宋体" w:hAnsi="宋体" w:eastAsia="宋体" w:cs="宋体"/>
          <w:b/>
          <w:sz w:val="24"/>
        </w:rPr>
      </w:pPr>
      <w:bookmarkStart w:id="67" w:name="_TOC_250031"/>
      <w:bookmarkEnd w:id="67"/>
      <w:bookmarkStart w:id="68" w:name="_Toc69204984"/>
      <w:r>
        <w:rPr>
          <w:rFonts w:hint="eastAsia" w:ascii="宋体" w:hAnsi="宋体" w:eastAsia="宋体" w:cs="宋体"/>
          <w:b/>
          <w:sz w:val="24"/>
          <w:lang w:val="en-US" w:eastAsia="zh-CN"/>
        </w:rPr>
        <w:t>6.8</w:t>
      </w:r>
      <w:r>
        <w:rPr>
          <w:rFonts w:hint="eastAsia" w:ascii="宋体" w:hAnsi="宋体" w:eastAsia="宋体" w:cs="宋体"/>
          <w:b/>
          <w:sz w:val="24"/>
        </w:rPr>
        <w:t>通信接口</w:t>
      </w:r>
      <w:bookmarkEnd w:id="68"/>
    </w:p>
    <w:p>
      <w:pPr>
        <w:wordWrap/>
        <w:adjustRightInd/>
        <w:spacing w:line="360" w:lineRule="auto"/>
        <w:ind w:firstLine="480" w:firstLineChars="200"/>
        <w:rPr>
          <w:rFonts w:ascii="宋体" w:hAnsi="宋体" w:eastAsia="宋体" w:cs="宋体"/>
          <w:sz w:val="24"/>
        </w:rPr>
      </w:pPr>
      <w:r>
        <w:rPr>
          <w:rFonts w:hint="eastAsia" w:ascii="宋体" w:hAnsi="宋体" w:eastAsia="宋体" w:cs="宋体"/>
          <w:sz w:val="24"/>
        </w:rPr>
        <w:t>接口类型：RS-485，二线方式工作方式：半双工</w:t>
      </w:r>
    </w:p>
    <w:p>
      <w:pPr>
        <w:wordWrap/>
        <w:adjustRightInd/>
        <w:spacing w:line="360" w:lineRule="auto"/>
        <w:ind w:firstLine="480" w:firstLineChars="200"/>
        <w:rPr>
          <w:rFonts w:ascii="宋体" w:hAnsi="宋体" w:eastAsia="宋体" w:cs="宋体"/>
          <w:sz w:val="24"/>
        </w:rPr>
      </w:pPr>
      <w:r>
        <w:rPr>
          <w:rFonts w:hint="eastAsia" w:ascii="宋体" w:hAnsi="宋体" w:eastAsia="宋体" w:cs="宋体"/>
          <w:sz w:val="24"/>
        </w:rPr>
        <w:t>通信速率：1200、2400、4800、9600、19200、38400bit/s通信协议：MODBUSRTU</w:t>
      </w:r>
    </w:p>
    <w:p>
      <w:pPr>
        <w:wordWrap/>
        <w:adjustRightInd/>
        <w:spacing w:line="360" w:lineRule="auto"/>
        <w:ind w:firstLine="482" w:firstLineChars="200"/>
        <w:rPr>
          <w:rFonts w:ascii="宋体" w:hAnsi="宋体" w:eastAsia="宋体" w:cs="宋体"/>
          <w:b/>
          <w:sz w:val="24"/>
        </w:rPr>
      </w:pPr>
      <w:bookmarkStart w:id="69" w:name="_TOC_250030"/>
      <w:bookmarkEnd w:id="69"/>
      <w:bookmarkStart w:id="70" w:name="_Toc69204985"/>
      <w:r>
        <w:rPr>
          <w:rFonts w:hint="eastAsia" w:ascii="宋体" w:hAnsi="宋体" w:eastAsia="宋体" w:cs="宋体"/>
          <w:b/>
          <w:sz w:val="24"/>
          <w:lang w:val="en-US" w:eastAsia="zh-CN"/>
        </w:rPr>
        <w:t>6.9</w:t>
      </w:r>
      <w:r>
        <w:rPr>
          <w:rFonts w:hint="eastAsia" w:ascii="宋体" w:hAnsi="宋体" w:eastAsia="宋体" w:cs="宋体"/>
          <w:b/>
          <w:sz w:val="24"/>
        </w:rPr>
        <w:t>端子螺丝紧固力矩</w:t>
      </w:r>
      <w:bookmarkEnd w:id="70"/>
    </w:p>
    <w:p>
      <w:pPr>
        <w:widowControl w:val="0"/>
        <w:shd w:val="clear" w:color="auto" w:fill="FFFFFF"/>
        <w:wordWrap/>
        <w:spacing w:before="120" w:beforeLines="50" w:line="360" w:lineRule="auto"/>
        <w:ind w:firstLine="480" w:firstLineChars="20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端子螺丝紧固力矩：0.5N·m</w:t>
      </w:r>
    </w:p>
    <w:p>
      <w:pPr>
        <w:wordWrap/>
        <w:adjustRightInd/>
        <w:spacing w:line="360" w:lineRule="auto"/>
        <w:ind w:firstLine="482" w:firstLineChars="200"/>
        <w:rPr>
          <w:rFonts w:ascii="宋体" w:hAnsi="宋体" w:eastAsia="宋体" w:cs="宋体"/>
          <w:b/>
          <w:sz w:val="24"/>
        </w:rPr>
      </w:pPr>
      <w:bookmarkStart w:id="71" w:name="_TOC_250029"/>
      <w:bookmarkEnd w:id="71"/>
      <w:bookmarkStart w:id="72" w:name="_Toc69204986"/>
      <w:r>
        <w:rPr>
          <w:rFonts w:hint="eastAsia" w:ascii="宋体" w:hAnsi="宋体" w:eastAsia="宋体" w:cs="宋体"/>
          <w:b/>
          <w:sz w:val="24"/>
          <w:lang w:val="en-US" w:eastAsia="zh-CN"/>
        </w:rPr>
        <w:t>6.10</w:t>
      </w:r>
      <w:r>
        <w:rPr>
          <w:rFonts w:hint="eastAsia" w:ascii="宋体" w:hAnsi="宋体" w:eastAsia="宋体" w:cs="宋体"/>
          <w:b/>
          <w:sz w:val="24"/>
        </w:rPr>
        <w:t>外壳防护等级</w:t>
      </w:r>
      <w:bookmarkEnd w:id="72"/>
    </w:p>
    <w:p>
      <w:pPr>
        <w:widowControl w:val="0"/>
        <w:shd w:val="clear" w:color="auto" w:fill="FFFFFF"/>
        <w:wordWrap/>
        <w:spacing w:before="120" w:beforeLines="50" w:line="360" w:lineRule="auto"/>
        <w:ind w:firstLine="480" w:firstLineChars="20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防护等级：IP52</w:t>
      </w:r>
    </w:p>
    <w:p>
      <w:pPr>
        <w:wordWrap/>
        <w:adjustRightInd/>
        <w:spacing w:line="360" w:lineRule="auto"/>
        <w:ind w:firstLine="482" w:firstLineChars="200"/>
        <w:rPr>
          <w:rFonts w:ascii="宋体" w:hAnsi="宋体" w:eastAsia="宋体" w:cs="宋体"/>
          <w:b/>
          <w:sz w:val="24"/>
        </w:rPr>
      </w:pPr>
      <w:bookmarkStart w:id="73" w:name="_TOC_250028"/>
      <w:bookmarkEnd w:id="73"/>
      <w:bookmarkStart w:id="74" w:name="_Toc69204987"/>
      <w:r>
        <w:rPr>
          <w:rFonts w:hint="eastAsia" w:ascii="宋体" w:hAnsi="宋体" w:eastAsia="宋体" w:cs="宋体"/>
          <w:b/>
          <w:sz w:val="24"/>
          <w:lang w:val="en-US" w:eastAsia="zh-CN"/>
        </w:rPr>
        <w:t>6.11</w:t>
      </w:r>
      <w:r>
        <w:rPr>
          <w:rFonts w:hint="eastAsia" w:ascii="宋体" w:hAnsi="宋体" w:eastAsia="宋体" w:cs="宋体"/>
          <w:b/>
          <w:sz w:val="24"/>
        </w:rPr>
        <w:t>污染等级</w:t>
      </w:r>
      <w:bookmarkEnd w:id="74"/>
    </w:p>
    <w:p>
      <w:pPr>
        <w:widowControl w:val="0"/>
        <w:shd w:val="clear" w:color="auto" w:fill="FFFFFF"/>
        <w:wordWrap/>
        <w:spacing w:before="120" w:beforeLines="50" w:line="360" w:lineRule="auto"/>
        <w:ind w:firstLine="480" w:firstLineChars="20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污染等级：2级</w:t>
      </w:r>
    </w:p>
    <w:p>
      <w:pPr>
        <w:wordWrap/>
        <w:adjustRightInd/>
        <w:spacing w:line="360" w:lineRule="auto"/>
        <w:ind w:firstLine="482" w:firstLineChars="200"/>
        <w:rPr>
          <w:rFonts w:ascii="宋体" w:hAnsi="宋体" w:eastAsia="宋体" w:cs="宋体"/>
          <w:sz w:val="24"/>
        </w:rPr>
      </w:pPr>
      <w:bookmarkStart w:id="75" w:name="_TOC_250027"/>
      <w:bookmarkEnd w:id="75"/>
      <w:bookmarkStart w:id="76" w:name="_Toc69204988"/>
      <w:r>
        <w:rPr>
          <w:rFonts w:hint="eastAsia" w:ascii="宋体" w:hAnsi="宋体" w:eastAsia="宋体" w:cs="宋体"/>
          <w:b/>
          <w:sz w:val="24"/>
          <w:lang w:val="en-US" w:eastAsia="zh-CN"/>
        </w:rPr>
        <w:t>6.12</w:t>
      </w:r>
      <w:r>
        <w:rPr>
          <w:rFonts w:hint="eastAsia" w:ascii="宋体" w:hAnsi="宋体" w:eastAsia="宋体" w:cs="宋体"/>
          <w:b/>
          <w:sz w:val="24"/>
        </w:rPr>
        <w:t>准确度</w:t>
      </w:r>
      <w:bookmarkEnd w:id="76"/>
    </w:p>
    <w:tbl>
      <w:tblPr>
        <w:tblStyle w:val="74"/>
        <w:tblW w:w="888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14"/>
        <w:gridCol w:w="5596"/>
        <w:gridCol w:w="15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57" w:hRule="atLeast"/>
          <w:jc w:val="center"/>
        </w:trPr>
        <w:tc>
          <w:tcPr>
            <w:tcW w:w="1714" w:type="dxa"/>
            <w:shd w:val="clear" w:color="auto" w:fill="E4E4E4"/>
            <w:vAlign w:val="top"/>
          </w:tcPr>
          <w:p>
            <w:pPr>
              <w:wordWrap/>
              <w:adjustRightInd/>
              <w:spacing w:before="0" w:beforeAutospacing="0" w:after="0" w:afterAutospacing="0" w:line="360" w:lineRule="auto"/>
              <w:ind w:left="0" w:right="0"/>
              <w:rPr>
                <w:rFonts w:hint="default" w:ascii="宋体" w:hAnsi="宋体" w:eastAsia="宋体" w:cs="宋体"/>
                <w:sz w:val="24"/>
              </w:rPr>
            </w:pPr>
            <w:r>
              <w:rPr>
                <w:rFonts w:hint="eastAsia" w:ascii="宋体" w:hAnsi="宋体" w:eastAsia="宋体" w:cs="宋体"/>
                <w:sz w:val="24"/>
              </w:rPr>
              <w:t>被测量</w:t>
            </w:r>
          </w:p>
        </w:tc>
        <w:tc>
          <w:tcPr>
            <w:tcW w:w="5596" w:type="dxa"/>
            <w:shd w:val="clear" w:color="auto" w:fill="E4E4E4"/>
            <w:vAlign w:val="top"/>
          </w:tcPr>
          <w:p>
            <w:pPr>
              <w:wordWrap/>
              <w:adjustRightInd/>
              <w:spacing w:before="0" w:beforeAutospacing="0" w:after="0" w:afterAutospacing="0" w:line="360" w:lineRule="auto"/>
              <w:ind w:left="0" w:right="0"/>
              <w:rPr>
                <w:rFonts w:hint="default" w:ascii="宋体" w:hAnsi="宋体" w:eastAsia="宋体" w:cs="宋体"/>
                <w:sz w:val="24"/>
              </w:rPr>
            </w:pPr>
            <w:r>
              <w:rPr>
                <w:rFonts w:hint="eastAsia" w:ascii="宋体" w:hAnsi="宋体" w:eastAsia="宋体" w:cs="宋体"/>
                <w:sz w:val="24"/>
              </w:rPr>
              <w:t>最大允许误差级准确度等级</w:t>
            </w:r>
          </w:p>
        </w:tc>
        <w:tc>
          <w:tcPr>
            <w:tcW w:w="1575" w:type="dxa"/>
            <w:shd w:val="clear" w:color="auto" w:fill="E4E4E4"/>
            <w:vAlign w:val="top"/>
          </w:tcPr>
          <w:p>
            <w:pPr>
              <w:wordWrap/>
              <w:adjustRightInd/>
              <w:spacing w:before="0" w:beforeAutospacing="0" w:after="0" w:afterAutospacing="0" w:line="360" w:lineRule="auto"/>
              <w:ind w:left="0" w:right="0"/>
              <w:rPr>
                <w:rFonts w:hint="default" w:ascii="宋体" w:hAnsi="宋体" w:eastAsia="宋体" w:cs="宋体"/>
                <w:sz w:val="24"/>
              </w:rPr>
            </w:pPr>
            <w:r>
              <w:rPr>
                <w:rFonts w:hint="eastAsia" w:ascii="宋体" w:hAnsi="宋体" w:eastAsia="宋体" w:cs="宋体"/>
                <w:sz w:val="24"/>
              </w:rPr>
              <w:t>分辨力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59" w:hRule="atLeast"/>
          <w:jc w:val="center"/>
        </w:trPr>
        <w:tc>
          <w:tcPr>
            <w:tcW w:w="1714" w:type="dxa"/>
            <w:vAlign w:val="top"/>
          </w:tcPr>
          <w:p>
            <w:pPr>
              <w:wordWrap/>
              <w:adjustRightInd/>
              <w:spacing w:before="0" w:beforeAutospacing="0" w:after="0" w:afterAutospacing="0" w:line="360" w:lineRule="auto"/>
              <w:ind w:left="0" w:right="0"/>
              <w:rPr>
                <w:rFonts w:hint="default" w:ascii="宋体" w:hAnsi="宋体" w:eastAsia="宋体" w:cs="宋体"/>
                <w:sz w:val="24"/>
              </w:rPr>
            </w:pPr>
            <w:r>
              <w:rPr>
                <w:rFonts w:hint="eastAsia" w:ascii="宋体" w:hAnsi="宋体" w:eastAsia="宋体" w:cs="宋体"/>
                <w:sz w:val="24"/>
              </w:rPr>
              <w:t>电压</w:t>
            </w:r>
          </w:p>
        </w:tc>
        <w:tc>
          <w:tcPr>
            <w:tcW w:w="5596" w:type="dxa"/>
            <w:vAlign w:val="top"/>
          </w:tcPr>
          <w:p>
            <w:pPr>
              <w:wordWrap/>
              <w:adjustRightInd/>
              <w:spacing w:before="0" w:beforeAutospacing="0" w:after="0" w:afterAutospacing="0" w:line="360" w:lineRule="auto"/>
              <w:ind w:left="0" w:right="0"/>
              <w:rPr>
                <w:rFonts w:hint="default" w:ascii="宋体" w:hAnsi="宋体" w:eastAsia="宋体" w:cs="宋体"/>
                <w:sz w:val="24"/>
              </w:rPr>
            </w:pPr>
            <w:r>
              <w:rPr>
                <w:rFonts w:hint="eastAsia" w:ascii="宋体" w:hAnsi="宋体" w:eastAsia="宋体" w:cs="宋体"/>
                <w:sz w:val="24"/>
              </w:rPr>
              <w:t>±0.2％</w:t>
            </w:r>
          </w:p>
        </w:tc>
        <w:tc>
          <w:tcPr>
            <w:tcW w:w="1575" w:type="dxa"/>
            <w:vAlign w:val="top"/>
          </w:tcPr>
          <w:p>
            <w:pPr>
              <w:wordWrap/>
              <w:adjustRightInd/>
              <w:spacing w:before="0" w:beforeAutospacing="0" w:after="0" w:afterAutospacing="0" w:line="360" w:lineRule="auto"/>
              <w:ind w:left="0" w:right="0"/>
              <w:rPr>
                <w:rFonts w:hint="default" w:ascii="宋体" w:hAnsi="宋体" w:eastAsia="宋体" w:cs="宋体"/>
                <w:sz w:val="24"/>
              </w:rPr>
            </w:pPr>
            <w:r>
              <w:rPr>
                <w:rFonts w:hint="eastAsia" w:ascii="宋体" w:hAnsi="宋体" w:eastAsia="宋体" w:cs="宋体"/>
                <w:sz w:val="24"/>
              </w:rPr>
              <w:t>0.1V</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59" w:hRule="atLeast"/>
          <w:jc w:val="center"/>
        </w:trPr>
        <w:tc>
          <w:tcPr>
            <w:tcW w:w="1714" w:type="dxa"/>
            <w:vAlign w:val="top"/>
          </w:tcPr>
          <w:p>
            <w:pPr>
              <w:wordWrap/>
              <w:adjustRightInd/>
              <w:spacing w:before="0" w:beforeAutospacing="0" w:after="0" w:afterAutospacing="0" w:line="360" w:lineRule="auto"/>
              <w:ind w:left="0" w:right="0"/>
              <w:rPr>
                <w:rFonts w:hint="default" w:ascii="宋体" w:hAnsi="宋体" w:eastAsia="宋体" w:cs="宋体"/>
                <w:sz w:val="24"/>
              </w:rPr>
            </w:pPr>
            <w:r>
              <w:rPr>
                <w:rFonts w:hint="eastAsia" w:ascii="宋体" w:hAnsi="宋体" w:eastAsia="宋体" w:cs="宋体"/>
                <w:sz w:val="24"/>
              </w:rPr>
              <w:t>电流</w:t>
            </w:r>
          </w:p>
        </w:tc>
        <w:tc>
          <w:tcPr>
            <w:tcW w:w="5596" w:type="dxa"/>
            <w:vAlign w:val="top"/>
          </w:tcPr>
          <w:p>
            <w:pPr>
              <w:wordWrap/>
              <w:adjustRightInd/>
              <w:spacing w:before="0" w:beforeAutospacing="0" w:after="0" w:afterAutospacing="0" w:line="360" w:lineRule="auto"/>
              <w:ind w:left="0" w:right="0"/>
              <w:rPr>
                <w:rFonts w:hint="default" w:ascii="宋体" w:hAnsi="宋体" w:eastAsia="宋体" w:cs="宋体"/>
                <w:sz w:val="24"/>
              </w:rPr>
            </w:pPr>
            <w:r>
              <w:rPr>
                <w:rFonts w:hint="eastAsia" w:ascii="宋体" w:hAnsi="宋体" w:eastAsia="宋体" w:cs="宋体"/>
                <w:sz w:val="24"/>
              </w:rPr>
              <w:t>±0.2％</w:t>
            </w:r>
          </w:p>
        </w:tc>
        <w:tc>
          <w:tcPr>
            <w:tcW w:w="1575" w:type="dxa"/>
            <w:vAlign w:val="top"/>
          </w:tcPr>
          <w:p>
            <w:pPr>
              <w:wordWrap/>
              <w:adjustRightInd/>
              <w:spacing w:before="0" w:beforeAutospacing="0" w:after="0" w:afterAutospacing="0" w:line="360" w:lineRule="auto"/>
              <w:ind w:left="0" w:right="0"/>
              <w:rPr>
                <w:rFonts w:hint="default" w:ascii="宋体" w:hAnsi="宋体" w:eastAsia="宋体" w:cs="宋体"/>
                <w:sz w:val="24"/>
              </w:rPr>
            </w:pPr>
            <w:r>
              <w:rPr>
                <w:rFonts w:hint="eastAsia" w:ascii="宋体" w:hAnsi="宋体" w:eastAsia="宋体" w:cs="宋体"/>
                <w:sz w:val="24"/>
              </w:rPr>
              <w:t>0.001A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59" w:hRule="atLeast"/>
          <w:jc w:val="center"/>
        </w:trPr>
        <w:tc>
          <w:tcPr>
            <w:tcW w:w="1714" w:type="dxa"/>
            <w:vAlign w:val="top"/>
          </w:tcPr>
          <w:p>
            <w:pPr>
              <w:wordWrap/>
              <w:adjustRightInd/>
              <w:spacing w:before="0" w:beforeAutospacing="0" w:after="0" w:afterAutospacing="0" w:line="360" w:lineRule="auto"/>
              <w:ind w:left="0" w:right="0"/>
              <w:rPr>
                <w:rFonts w:hint="default" w:ascii="宋体" w:hAnsi="宋体" w:eastAsia="宋体" w:cs="宋体"/>
                <w:sz w:val="24"/>
              </w:rPr>
            </w:pPr>
            <w:r>
              <w:rPr>
                <w:rFonts w:hint="eastAsia" w:ascii="宋体" w:hAnsi="宋体" w:eastAsia="宋体" w:cs="宋体"/>
                <w:sz w:val="24"/>
              </w:rPr>
              <w:t>有功功率</w:t>
            </w:r>
          </w:p>
        </w:tc>
        <w:tc>
          <w:tcPr>
            <w:tcW w:w="5596" w:type="dxa"/>
            <w:vAlign w:val="top"/>
          </w:tcPr>
          <w:p>
            <w:pPr>
              <w:wordWrap/>
              <w:adjustRightInd/>
              <w:spacing w:before="0" w:beforeAutospacing="0" w:after="0" w:afterAutospacing="0" w:line="360" w:lineRule="auto"/>
              <w:ind w:left="0" w:right="0"/>
              <w:rPr>
                <w:rFonts w:hint="default" w:ascii="宋体" w:hAnsi="宋体" w:eastAsia="宋体" w:cs="宋体"/>
                <w:sz w:val="24"/>
              </w:rPr>
            </w:pPr>
            <w:r>
              <w:rPr>
                <w:rFonts w:hint="eastAsia" w:ascii="宋体" w:hAnsi="宋体" w:eastAsia="宋体" w:cs="宋体"/>
                <w:sz w:val="24"/>
              </w:rPr>
              <w:t>±0.5％</w:t>
            </w:r>
          </w:p>
        </w:tc>
        <w:tc>
          <w:tcPr>
            <w:tcW w:w="1575" w:type="dxa"/>
            <w:vAlign w:val="top"/>
          </w:tcPr>
          <w:p>
            <w:pPr>
              <w:wordWrap/>
              <w:adjustRightInd/>
              <w:spacing w:before="0" w:beforeAutospacing="0" w:after="0" w:afterAutospacing="0" w:line="360" w:lineRule="auto"/>
              <w:ind w:left="0" w:right="0"/>
              <w:rPr>
                <w:rFonts w:hint="default" w:ascii="宋体" w:hAnsi="宋体" w:eastAsia="宋体" w:cs="宋体"/>
                <w:sz w:val="24"/>
              </w:rPr>
            </w:pPr>
            <w:r>
              <w:rPr>
                <w:rFonts w:hint="eastAsia" w:ascii="宋体" w:hAnsi="宋体" w:eastAsia="宋体" w:cs="宋体"/>
                <w:sz w:val="24"/>
              </w:rPr>
              <w:t>0.001kW</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59" w:hRule="atLeast"/>
          <w:jc w:val="center"/>
        </w:trPr>
        <w:tc>
          <w:tcPr>
            <w:tcW w:w="1714" w:type="dxa"/>
            <w:vAlign w:val="top"/>
          </w:tcPr>
          <w:p>
            <w:pPr>
              <w:wordWrap/>
              <w:adjustRightInd/>
              <w:spacing w:before="0" w:beforeAutospacing="0" w:after="0" w:afterAutospacing="0" w:line="360" w:lineRule="auto"/>
              <w:ind w:left="0" w:right="0"/>
              <w:rPr>
                <w:rFonts w:hint="default" w:ascii="宋体" w:hAnsi="宋体" w:eastAsia="宋体" w:cs="宋体"/>
                <w:sz w:val="24"/>
              </w:rPr>
            </w:pPr>
            <w:r>
              <w:rPr>
                <w:rFonts w:hint="eastAsia" w:ascii="宋体" w:hAnsi="宋体" w:eastAsia="宋体" w:cs="宋体"/>
                <w:sz w:val="24"/>
              </w:rPr>
              <w:t>无功功率</w:t>
            </w:r>
          </w:p>
        </w:tc>
        <w:tc>
          <w:tcPr>
            <w:tcW w:w="5596" w:type="dxa"/>
            <w:vAlign w:val="top"/>
          </w:tcPr>
          <w:p>
            <w:pPr>
              <w:wordWrap/>
              <w:adjustRightInd/>
              <w:spacing w:before="0" w:beforeAutospacing="0" w:after="0" w:afterAutospacing="0" w:line="360" w:lineRule="auto"/>
              <w:ind w:left="0" w:right="0"/>
              <w:rPr>
                <w:rFonts w:hint="default" w:ascii="宋体" w:hAnsi="宋体" w:eastAsia="宋体" w:cs="宋体"/>
                <w:sz w:val="24"/>
              </w:rPr>
            </w:pPr>
            <w:r>
              <w:rPr>
                <w:rFonts w:hint="eastAsia" w:ascii="宋体" w:hAnsi="宋体" w:eastAsia="宋体" w:cs="宋体"/>
                <w:sz w:val="24"/>
              </w:rPr>
              <w:t>±0.5％</w:t>
            </w:r>
          </w:p>
        </w:tc>
        <w:tc>
          <w:tcPr>
            <w:tcW w:w="1575" w:type="dxa"/>
            <w:vAlign w:val="top"/>
          </w:tcPr>
          <w:p>
            <w:pPr>
              <w:wordWrap/>
              <w:adjustRightInd/>
              <w:spacing w:before="0" w:beforeAutospacing="0" w:after="0" w:afterAutospacing="0" w:line="360" w:lineRule="auto"/>
              <w:ind w:left="0" w:right="0"/>
              <w:rPr>
                <w:rFonts w:hint="default" w:ascii="宋体" w:hAnsi="宋体" w:eastAsia="宋体" w:cs="宋体"/>
                <w:sz w:val="24"/>
              </w:rPr>
            </w:pPr>
            <w:r>
              <w:rPr>
                <w:rFonts w:hint="eastAsia" w:ascii="宋体" w:hAnsi="宋体" w:eastAsia="宋体" w:cs="宋体"/>
                <w:sz w:val="24"/>
              </w:rPr>
              <w:t>0.001kvar</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59" w:hRule="atLeast"/>
          <w:jc w:val="center"/>
        </w:trPr>
        <w:tc>
          <w:tcPr>
            <w:tcW w:w="1714" w:type="dxa"/>
            <w:vAlign w:val="top"/>
          </w:tcPr>
          <w:p>
            <w:pPr>
              <w:wordWrap/>
              <w:adjustRightInd/>
              <w:spacing w:before="0" w:beforeAutospacing="0" w:after="0" w:afterAutospacing="0" w:line="360" w:lineRule="auto"/>
              <w:ind w:left="0" w:right="0"/>
              <w:rPr>
                <w:rFonts w:hint="default" w:ascii="宋体" w:hAnsi="宋体" w:eastAsia="宋体" w:cs="宋体"/>
                <w:sz w:val="24"/>
              </w:rPr>
            </w:pPr>
            <w:r>
              <w:rPr>
                <w:rFonts w:hint="eastAsia" w:ascii="宋体" w:hAnsi="宋体" w:eastAsia="宋体" w:cs="宋体"/>
                <w:sz w:val="24"/>
              </w:rPr>
              <w:t>视在功率</w:t>
            </w:r>
          </w:p>
        </w:tc>
        <w:tc>
          <w:tcPr>
            <w:tcW w:w="5596" w:type="dxa"/>
            <w:vAlign w:val="top"/>
          </w:tcPr>
          <w:p>
            <w:pPr>
              <w:wordWrap/>
              <w:adjustRightInd/>
              <w:spacing w:before="0" w:beforeAutospacing="0" w:after="0" w:afterAutospacing="0" w:line="360" w:lineRule="auto"/>
              <w:ind w:left="0" w:right="0"/>
              <w:rPr>
                <w:rFonts w:hint="default" w:ascii="宋体" w:hAnsi="宋体" w:eastAsia="宋体" w:cs="宋体"/>
                <w:sz w:val="24"/>
              </w:rPr>
            </w:pPr>
            <w:r>
              <w:rPr>
                <w:rFonts w:hint="eastAsia" w:ascii="宋体" w:hAnsi="宋体" w:eastAsia="宋体" w:cs="宋体"/>
                <w:sz w:val="24"/>
              </w:rPr>
              <w:t>±0.5％</w:t>
            </w:r>
          </w:p>
        </w:tc>
        <w:tc>
          <w:tcPr>
            <w:tcW w:w="1575" w:type="dxa"/>
            <w:vAlign w:val="top"/>
          </w:tcPr>
          <w:p>
            <w:pPr>
              <w:wordWrap/>
              <w:adjustRightInd/>
              <w:spacing w:before="0" w:beforeAutospacing="0" w:after="0" w:afterAutospacing="0" w:line="360" w:lineRule="auto"/>
              <w:ind w:left="0" w:right="0"/>
              <w:rPr>
                <w:rFonts w:hint="default" w:ascii="宋体" w:hAnsi="宋体" w:eastAsia="宋体" w:cs="宋体"/>
                <w:sz w:val="24"/>
              </w:rPr>
            </w:pPr>
            <w:r>
              <w:rPr>
                <w:rFonts w:hint="eastAsia" w:ascii="宋体" w:hAnsi="宋体" w:eastAsia="宋体" w:cs="宋体"/>
                <w:sz w:val="24"/>
              </w:rPr>
              <w:t>0.001kVA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59" w:hRule="atLeast"/>
          <w:jc w:val="center"/>
        </w:trPr>
        <w:tc>
          <w:tcPr>
            <w:tcW w:w="1714" w:type="dxa"/>
            <w:vAlign w:val="top"/>
          </w:tcPr>
          <w:p>
            <w:pPr>
              <w:wordWrap/>
              <w:adjustRightInd/>
              <w:spacing w:before="0" w:beforeAutospacing="0" w:after="0" w:afterAutospacing="0" w:line="360" w:lineRule="auto"/>
              <w:ind w:left="0" w:right="0"/>
              <w:rPr>
                <w:rFonts w:hint="default" w:ascii="宋体" w:hAnsi="宋体" w:eastAsia="宋体" w:cs="宋体"/>
                <w:sz w:val="24"/>
              </w:rPr>
            </w:pPr>
            <w:r>
              <w:rPr>
                <w:rFonts w:hint="eastAsia" w:ascii="宋体" w:hAnsi="宋体" w:eastAsia="宋体" w:cs="宋体"/>
                <w:sz w:val="24"/>
              </w:rPr>
              <w:t>有功电能</w:t>
            </w:r>
          </w:p>
        </w:tc>
        <w:tc>
          <w:tcPr>
            <w:tcW w:w="5596" w:type="dxa"/>
            <w:vAlign w:val="top"/>
          </w:tcPr>
          <w:p>
            <w:pPr>
              <w:wordWrap/>
              <w:adjustRightInd/>
              <w:spacing w:before="0" w:beforeAutospacing="0" w:after="0" w:afterAutospacing="0" w:line="360" w:lineRule="auto"/>
              <w:ind w:left="0" w:right="0"/>
              <w:rPr>
                <w:rFonts w:hint="default" w:ascii="宋体" w:hAnsi="宋体" w:eastAsia="宋体" w:cs="宋体"/>
                <w:sz w:val="24"/>
              </w:rPr>
            </w:pPr>
            <w:r>
              <w:rPr>
                <w:rFonts w:hint="eastAsia" w:ascii="宋体" w:hAnsi="宋体" w:eastAsia="宋体" w:cs="宋体"/>
                <w:sz w:val="24"/>
              </w:rPr>
              <w:t>0.5S 级，GB/T 17215.322-2008（IEC 62053-22：2003）</w:t>
            </w:r>
          </w:p>
        </w:tc>
        <w:tc>
          <w:tcPr>
            <w:tcW w:w="1575" w:type="dxa"/>
            <w:vAlign w:val="top"/>
          </w:tcPr>
          <w:p>
            <w:pPr>
              <w:wordWrap/>
              <w:adjustRightInd/>
              <w:spacing w:before="0" w:beforeAutospacing="0" w:after="0" w:afterAutospacing="0" w:line="360" w:lineRule="auto"/>
              <w:ind w:left="0" w:right="0"/>
              <w:rPr>
                <w:rFonts w:hint="default" w:ascii="宋体" w:hAnsi="宋体" w:eastAsia="宋体" w:cs="宋体"/>
                <w:sz w:val="24"/>
              </w:rPr>
            </w:pPr>
            <w:r>
              <w:rPr>
                <w:rFonts w:hint="eastAsia" w:ascii="宋体" w:hAnsi="宋体" w:eastAsia="宋体" w:cs="宋体"/>
                <w:sz w:val="24"/>
              </w:rPr>
              <w:t>0.01kWh</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59" w:hRule="atLeast"/>
          <w:jc w:val="center"/>
        </w:trPr>
        <w:tc>
          <w:tcPr>
            <w:tcW w:w="1714" w:type="dxa"/>
            <w:vAlign w:val="top"/>
          </w:tcPr>
          <w:p>
            <w:pPr>
              <w:wordWrap/>
              <w:adjustRightInd/>
              <w:spacing w:before="0" w:beforeAutospacing="0" w:after="0" w:afterAutospacing="0" w:line="360" w:lineRule="auto"/>
              <w:ind w:left="0" w:right="0"/>
              <w:rPr>
                <w:rFonts w:hint="default" w:ascii="宋体" w:hAnsi="宋体" w:eastAsia="宋体" w:cs="宋体"/>
                <w:sz w:val="24"/>
              </w:rPr>
            </w:pPr>
            <w:r>
              <w:rPr>
                <w:rFonts w:hint="eastAsia" w:ascii="宋体" w:hAnsi="宋体" w:eastAsia="宋体" w:cs="宋体"/>
                <w:sz w:val="24"/>
              </w:rPr>
              <w:t>无功电能</w:t>
            </w:r>
          </w:p>
        </w:tc>
        <w:tc>
          <w:tcPr>
            <w:tcW w:w="5596" w:type="dxa"/>
            <w:vAlign w:val="top"/>
          </w:tcPr>
          <w:p>
            <w:pPr>
              <w:wordWrap/>
              <w:adjustRightInd/>
              <w:spacing w:before="0" w:beforeAutospacing="0" w:after="0" w:afterAutospacing="0" w:line="360" w:lineRule="auto"/>
              <w:ind w:left="0" w:right="0"/>
              <w:rPr>
                <w:rFonts w:hint="default" w:ascii="宋体" w:hAnsi="宋体" w:eastAsia="宋体" w:cs="宋体"/>
                <w:sz w:val="24"/>
              </w:rPr>
            </w:pPr>
            <w:r>
              <w:rPr>
                <w:rFonts w:hint="eastAsia" w:ascii="宋体" w:hAnsi="宋体" w:eastAsia="宋体" w:cs="宋体"/>
                <w:sz w:val="24"/>
              </w:rPr>
              <w:t>2 级，GB/T 17215.323-2008（IEC 62053-23：2003）</w:t>
            </w:r>
          </w:p>
        </w:tc>
        <w:tc>
          <w:tcPr>
            <w:tcW w:w="1575" w:type="dxa"/>
            <w:vAlign w:val="top"/>
          </w:tcPr>
          <w:p>
            <w:pPr>
              <w:wordWrap/>
              <w:adjustRightInd/>
              <w:spacing w:before="0" w:beforeAutospacing="0" w:after="0" w:afterAutospacing="0" w:line="360" w:lineRule="auto"/>
              <w:ind w:left="0" w:right="0"/>
              <w:rPr>
                <w:rFonts w:hint="default" w:ascii="宋体" w:hAnsi="宋体" w:eastAsia="宋体" w:cs="宋体"/>
                <w:sz w:val="24"/>
              </w:rPr>
            </w:pPr>
            <w:r>
              <w:rPr>
                <w:rFonts w:hint="eastAsia" w:ascii="宋体" w:hAnsi="宋体" w:eastAsia="宋体" w:cs="宋体"/>
                <w:sz w:val="24"/>
              </w:rPr>
              <w:t>0.01kvarh</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59" w:hRule="atLeast"/>
          <w:jc w:val="center"/>
        </w:trPr>
        <w:tc>
          <w:tcPr>
            <w:tcW w:w="1714" w:type="dxa"/>
            <w:vAlign w:val="top"/>
          </w:tcPr>
          <w:p>
            <w:pPr>
              <w:wordWrap/>
              <w:adjustRightInd/>
              <w:spacing w:before="0" w:beforeAutospacing="0" w:after="0" w:afterAutospacing="0" w:line="360" w:lineRule="auto"/>
              <w:ind w:left="0" w:right="0"/>
              <w:rPr>
                <w:rFonts w:hint="default" w:ascii="宋体" w:hAnsi="宋体" w:eastAsia="宋体" w:cs="宋体"/>
                <w:sz w:val="24"/>
              </w:rPr>
            </w:pPr>
            <w:r>
              <w:rPr>
                <w:rFonts w:hint="eastAsia" w:ascii="宋体" w:hAnsi="宋体" w:eastAsia="宋体" w:cs="宋体"/>
                <w:sz w:val="24"/>
              </w:rPr>
              <w:t>功率因数</w:t>
            </w:r>
          </w:p>
        </w:tc>
        <w:tc>
          <w:tcPr>
            <w:tcW w:w="5596" w:type="dxa"/>
            <w:vAlign w:val="top"/>
          </w:tcPr>
          <w:p>
            <w:pPr>
              <w:wordWrap/>
              <w:adjustRightInd/>
              <w:spacing w:before="0" w:beforeAutospacing="0" w:after="0" w:afterAutospacing="0" w:line="360" w:lineRule="auto"/>
              <w:ind w:left="0" w:right="0"/>
              <w:rPr>
                <w:rFonts w:hint="default" w:ascii="宋体" w:hAnsi="宋体" w:eastAsia="宋体" w:cs="宋体"/>
                <w:sz w:val="24"/>
              </w:rPr>
            </w:pPr>
            <w:r>
              <w:rPr>
                <w:rFonts w:hint="eastAsia" w:ascii="宋体" w:hAnsi="宋体" w:eastAsia="宋体" w:cs="宋体"/>
                <w:sz w:val="24"/>
              </w:rPr>
              <w:t>±1.0％</w:t>
            </w:r>
          </w:p>
        </w:tc>
        <w:tc>
          <w:tcPr>
            <w:tcW w:w="1575" w:type="dxa"/>
            <w:vAlign w:val="top"/>
          </w:tcPr>
          <w:p>
            <w:pPr>
              <w:wordWrap/>
              <w:adjustRightInd/>
              <w:spacing w:before="0" w:beforeAutospacing="0" w:after="0" w:afterAutospacing="0" w:line="360" w:lineRule="auto"/>
              <w:ind w:left="0" w:right="0"/>
              <w:rPr>
                <w:rFonts w:hint="default" w:ascii="宋体" w:hAnsi="宋体" w:eastAsia="宋体" w:cs="宋体"/>
                <w:sz w:val="24"/>
              </w:rPr>
            </w:pPr>
            <w:r>
              <w:rPr>
                <w:rFonts w:hint="eastAsia" w:ascii="宋体" w:hAnsi="宋体" w:eastAsia="宋体" w:cs="宋体"/>
                <w:sz w:val="24"/>
              </w:rPr>
              <w:t>0.001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59" w:hRule="atLeast"/>
          <w:jc w:val="center"/>
        </w:trPr>
        <w:tc>
          <w:tcPr>
            <w:tcW w:w="1714" w:type="dxa"/>
            <w:vAlign w:val="top"/>
          </w:tcPr>
          <w:p>
            <w:pPr>
              <w:wordWrap/>
              <w:adjustRightInd/>
              <w:spacing w:before="0" w:beforeAutospacing="0" w:after="0" w:afterAutospacing="0" w:line="360" w:lineRule="auto"/>
              <w:ind w:left="0" w:right="0"/>
              <w:rPr>
                <w:rFonts w:hint="default" w:ascii="宋体" w:hAnsi="宋体" w:eastAsia="宋体" w:cs="宋体"/>
                <w:sz w:val="24"/>
              </w:rPr>
            </w:pPr>
            <w:r>
              <w:rPr>
                <w:rFonts w:hint="eastAsia" w:ascii="宋体" w:hAnsi="宋体" w:eastAsia="宋体" w:cs="宋体"/>
                <w:sz w:val="24"/>
              </w:rPr>
              <w:t>频率</w:t>
            </w:r>
          </w:p>
        </w:tc>
        <w:tc>
          <w:tcPr>
            <w:tcW w:w="5596" w:type="dxa"/>
            <w:vAlign w:val="top"/>
          </w:tcPr>
          <w:p>
            <w:pPr>
              <w:wordWrap/>
              <w:adjustRightInd/>
              <w:spacing w:before="0" w:beforeAutospacing="0" w:after="0" w:afterAutospacing="0" w:line="360" w:lineRule="auto"/>
              <w:ind w:left="0" w:right="0"/>
              <w:rPr>
                <w:rFonts w:hint="default" w:ascii="宋体" w:hAnsi="宋体" w:eastAsia="宋体" w:cs="宋体"/>
                <w:sz w:val="24"/>
              </w:rPr>
            </w:pPr>
            <w:r>
              <w:rPr>
                <w:rFonts w:hint="eastAsia" w:ascii="宋体" w:hAnsi="宋体" w:eastAsia="宋体" w:cs="宋体"/>
                <w:sz w:val="24"/>
              </w:rPr>
              <w:t>±0.02Hz</w:t>
            </w:r>
          </w:p>
        </w:tc>
        <w:tc>
          <w:tcPr>
            <w:tcW w:w="1575" w:type="dxa"/>
            <w:vAlign w:val="top"/>
          </w:tcPr>
          <w:p>
            <w:pPr>
              <w:wordWrap/>
              <w:adjustRightInd/>
              <w:spacing w:before="0" w:beforeAutospacing="0" w:after="0" w:afterAutospacing="0" w:line="360" w:lineRule="auto"/>
              <w:ind w:left="0" w:right="0"/>
              <w:rPr>
                <w:rFonts w:hint="default" w:ascii="宋体" w:hAnsi="宋体" w:eastAsia="宋体" w:cs="宋体"/>
                <w:sz w:val="24"/>
              </w:rPr>
            </w:pPr>
            <w:r>
              <w:rPr>
                <w:rFonts w:hint="eastAsia" w:ascii="宋体" w:hAnsi="宋体" w:eastAsia="宋体" w:cs="宋体"/>
                <w:sz w:val="24"/>
              </w:rPr>
              <w:t>0.01Hz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59" w:hRule="atLeast"/>
          <w:jc w:val="center"/>
        </w:trPr>
        <w:tc>
          <w:tcPr>
            <w:tcW w:w="1714" w:type="dxa"/>
            <w:vAlign w:val="top"/>
          </w:tcPr>
          <w:p>
            <w:pPr>
              <w:wordWrap/>
              <w:adjustRightInd/>
              <w:spacing w:before="0" w:beforeAutospacing="0" w:after="0" w:afterAutospacing="0" w:line="360" w:lineRule="auto"/>
              <w:ind w:left="0" w:right="0"/>
              <w:rPr>
                <w:rFonts w:hint="default" w:ascii="宋体" w:hAnsi="宋体" w:eastAsia="宋体" w:cs="宋体"/>
                <w:sz w:val="24"/>
              </w:rPr>
            </w:pPr>
            <w:r>
              <w:rPr>
                <w:rFonts w:hint="eastAsia" w:ascii="宋体" w:hAnsi="宋体" w:eastAsia="宋体" w:cs="宋体"/>
                <w:sz w:val="24"/>
              </w:rPr>
              <w:t>谐波畸变率</w:t>
            </w:r>
          </w:p>
        </w:tc>
        <w:tc>
          <w:tcPr>
            <w:tcW w:w="5596" w:type="dxa"/>
            <w:vAlign w:val="top"/>
          </w:tcPr>
          <w:p>
            <w:pPr>
              <w:wordWrap/>
              <w:adjustRightInd/>
              <w:spacing w:before="0" w:beforeAutospacing="0" w:after="0" w:afterAutospacing="0" w:line="360" w:lineRule="auto"/>
              <w:ind w:left="0" w:right="0"/>
              <w:rPr>
                <w:rFonts w:hint="default" w:ascii="宋体" w:hAnsi="宋体" w:eastAsia="宋体" w:cs="宋体"/>
                <w:sz w:val="24"/>
              </w:rPr>
            </w:pPr>
            <w:r>
              <w:rPr>
                <w:rFonts w:hint="eastAsia" w:ascii="宋体" w:hAnsi="宋体" w:eastAsia="宋体" w:cs="宋体"/>
                <w:sz w:val="24"/>
              </w:rPr>
              <w:t>IEC 61000-4-7</w:t>
            </w:r>
            <w:r>
              <w:rPr>
                <w:rFonts w:hint="eastAsia" w:ascii="宋体" w:hAnsi="宋体" w:eastAsia="宋体" w:cs="宋体"/>
                <w:sz w:val="24"/>
              </w:rPr>
              <w:tab/>
            </w:r>
            <w:r>
              <w:rPr>
                <w:rFonts w:hint="eastAsia" w:ascii="宋体" w:hAnsi="宋体" w:eastAsia="宋体" w:cs="宋体"/>
                <w:sz w:val="24"/>
              </w:rPr>
              <w:t>B级</w:t>
            </w:r>
          </w:p>
        </w:tc>
        <w:tc>
          <w:tcPr>
            <w:tcW w:w="1575" w:type="dxa"/>
            <w:vAlign w:val="top"/>
          </w:tcPr>
          <w:p>
            <w:pPr>
              <w:wordWrap/>
              <w:adjustRightInd/>
              <w:spacing w:before="0" w:beforeAutospacing="0" w:after="0" w:afterAutospacing="0" w:line="360" w:lineRule="auto"/>
              <w:ind w:left="0" w:right="0"/>
              <w:rPr>
                <w:rFonts w:hint="default" w:ascii="宋体" w:hAnsi="宋体" w:eastAsia="宋体" w:cs="宋体"/>
                <w:sz w:val="24"/>
              </w:rPr>
            </w:pPr>
            <w:r>
              <w:rPr>
                <w:rFonts w:hint="eastAsia" w:ascii="宋体" w:hAnsi="宋体" w:eastAsia="宋体" w:cs="宋体"/>
                <w:sz w:val="24"/>
              </w:rPr>
              <w:t>0.1％</w:t>
            </w:r>
          </w:p>
        </w:tc>
      </w:tr>
    </w:tbl>
    <w:p>
      <w:pPr>
        <w:wordWrap/>
        <w:adjustRightInd/>
        <w:spacing w:line="360" w:lineRule="auto"/>
        <w:ind w:firstLine="482" w:firstLineChars="200"/>
        <w:rPr>
          <w:rFonts w:hint="eastAsia" w:ascii="宋体" w:hAnsi="宋体" w:eastAsia="宋体" w:cs="宋体"/>
          <w:b/>
          <w:sz w:val="24"/>
          <w:lang w:val="en-US" w:eastAsia="zh-CN"/>
        </w:rPr>
      </w:pPr>
      <w:bookmarkStart w:id="77" w:name="_TOC_250026"/>
      <w:bookmarkEnd w:id="77"/>
      <w:bookmarkStart w:id="78" w:name="_Toc69204989"/>
      <w:r>
        <w:rPr>
          <w:rFonts w:hint="eastAsia" w:ascii="宋体" w:hAnsi="宋体" w:eastAsia="宋体" w:cs="宋体"/>
          <w:b/>
          <w:sz w:val="24"/>
          <w:lang w:val="en-US" w:eastAsia="zh-CN"/>
        </w:rPr>
        <w:t>6.13绝缘性能</w:t>
      </w:r>
      <w:bookmarkEnd w:id="78"/>
    </w:p>
    <w:tbl>
      <w:tblPr>
        <w:tblStyle w:val="74"/>
        <w:tblW w:w="885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707"/>
        <w:gridCol w:w="714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1" w:hRule="atLeast"/>
          <w:jc w:val="center"/>
        </w:trPr>
        <w:tc>
          <w:tcPr>
            <w:tcW w:w="1707" w:type="dxa"/>
            <w:tcBorders>
              <w:right w:val="single" w:color="000000" w:sz="4" w:space="0"/>
            </w:tcBorders>
            <w:shd w:val="clear" w:color="auto" w:fill="E4E4E4"/>
            <w:vAlign w:val="top"/>
          </w:tcPr>
          <w:p>
            <w:pPr>
              <w:wordWrap/>
              <w:adjustRightInd/>
              <w:spacing w:before="0" w:beforeAutospacing="0" w:after="0" w:afterAutospacing="0" w:line="360" w:lineRule="auto"/>
              <w:ind w:left="0" w:right="0"/>
              <w:jc w:val="center"/>
              <w:rPr>
                <w:rFonts w:hint="default" w:ascii="宋体" w:hAnsi="宋体" w:eastAsia="宋体" w:cs="宋体"/>
                <w:sz w:val="24"/>
              </w:rPr>
            </w:pPr>
            <w:r>
              <w:rPr>
                <w:rFonts w:hint="eastAsia" w:ascii="宋体" w:hAnsi="宋体" w:eastAsia="宋体" w:cs="宋体"/>
                <w:sz w:val="24"/>
              </w:rPr>
              <w:t>试验项目</w:t>
            </w:r>
          </w:p>
        </w:tc>
        <w:tc>
          <w:tcPr>
            <w:tcW w:w="7143" w:type="dxa"/>
            <w:tcBorders>
              <w:left w:val="single" w:color="000000" w:sz="4" w:space="0"/>
            </w:tcBorders>
            <w:shd w:val="clear" w:color="auto" w:fill="E4E4E4"/>
            <w:vAlign w:val="top"/>
          </w:tcPr>
          <w:p>
            <w:pPr>
              <w:wordWrap/>
              <w:adjustRightInd/>
              <w:spacing w:before="0" w:beforeAutospacing="0" w:after="0" w:afterAutospacing="0" w:line="360" w:lineRule="auto"/>
              <w:ind w:left="0" w:right="0"/>
              <w:rPr>
                <w:rFonts w:hint="default" w:ascii="宋体" w:hAnsi="宋体" w:eastAsia="宋体" w:cs="宋体"/>
                <w:sz w:val="24"/>
              </w:rPr>
            </w:pPr>
            <w:r>
              <w:rPr>
                <w:rFonts w:hint="eastAsia" w:ascii="宋体" w:hAnsi="宋体" w:eastAsia="宋体" w:cs="宋体"/>
                <w:sz w:val="24"/>
              </w:rPr>
              <w:t>标准依据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1" w:hRule="atLeast"/>
          <w:jc w:val="center"/>
        </w:trPr>
        <w:tc>
          <w:tcPr>
            <w:tcW w:w="1707" w:type="dxa"/>
            <w:tcBorders>
              <w:bottom w:val="single" w:color="000000" w:sz="4" w:space="0"/>
              <w:right w:val="single" w:color="000000" w:sz="4" w:space="0"/>
            </w:tcBorders>
            <w:vAlign w:val="top"/>
          </w:tcPr>
          <w:p>
            <w:pPr>
              <w:wordWrap/>
              <w:adjustRightInd/>
              <w:spacing w:before="0" w:beforeAutospacing="0" w:after="0" w:afterAutospacing="0" w:line="360" w:lineRule="auto"/>
              <w:ind w:left="0" w:right="0"/>
              <w:jc w:val="center"/>
              <w:rPr>
                <w:rFonts w:hint="default" w:ascii="宋体" w:hAnsi="宋体" w:eastAsia="宋体" w:cs="宋体"/>
                <w:sz w:val="24"/>
              </w:rPr>
            </w:pPr>
            <w:r>
              <w:rPr>
                <w:rFonts w:hint="eastAsia" w:ascii="宋体" w:hAnsi="宋体" w:eastAsia="宋体" w:cs="宋体"/>
                <w:sz w:val="24"/>
              </w:rPr>
              <w:t>绝缘电阻</w:t>
            </w:r>
          </w:p>
        </w:tc>
        <w:tc>
          <w:tcPr>
            <w:tcW w:w="7143" w:type="dxa"/>
            <w:tcBorders>
              <w:left w:val="single" w:color="000000" w:sz="4" w:space="0"/>
              <w:bottom w:val="single" w:color="000000" w:sz="4" w:space="0"/>
            </w:tcBorders>
            <w:vAlign w:val="top"/>
          </w:tcPr>
          <w:p>
            <w:pPr>
              <w:wordWrap/>
              <w:adjustRightInd/>
              <w:spacing w:before="0" w:beforeAutospacing="0" w:after="0" w:afterAutospacing="0" w:line="360" w:lineRule="auto"/>
              <w:ind w:left="0" w:right="0"/>
              <w:rPr>
                <w:rFonts w:hint="default" w:ascii="宋体" w:hAnsi="宋体" w:eastAsia="宋体" w:cs="宋体"/>
                <w:sz w:val="24"/>
              </w:rPr>
            </w:pPr>
            <w:r>
              <w:rPr>
                <w:rFonts w:hint="eastAsia" w:ascii="宋体" w:hAnsi="宋体" w:eastAsia="宋体" w:cs="宋体"/>
                <w:sz w:val="24"/>
              </w:rPr>
              <w:t>GB/T 13729-2002，3.6.1（绝缘电阻大于 100MΩ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1" w:hRule="atLeast"/>
          <w:jc w:val="center"/>
        </w:trPr>
        <w:tc>
          <w:tcPr>
            <w:tcW w:w="1707" w:type="dxa"/>
            <w:tcBorders>
              <w:top w:val="single" w:color="000000" w:sz="4" w:space="0"/>
              <w:bottom w:val="single" w:color="000000" w:sz="4" w:space="0"/>
              <w:right w:val="single" w:color="000000" w:sz="4" w:space="0"/>
            </w:tcBorders>
            <w:vAlign w:val="center"/>
          </w:tcPr>
          <w:p>
            <w:pPr>
              <w:wordWrap/>
              <w:adjustRightInd/>
              <w:spacing w:before="0" w:beforeAutospacing="0" w:after="0" w:afterAutospacing="0" w:line="360" w:lineRule="auto"/>
              <w:ind w:left="0" w:right="0"/>
              <w:jc w:val="center"/>
              <w:rPr>
                <w:rFonts w:hint="default" w:ascii="宋体" w:hAnsi="宋体" w:eastAsia="宋体" w:cs="宋体"/>
                <w:sz w:val="24"/>
              </w:rPr>
            </w:pPr>
            <w:r>
              <w:rPr>
                <w:rFonts w:hint="eastAsia" w:ascii="宋体" w:hAnsi="宋体" w:eastAsia="宋体" w:cs="宋体"/>
                <w:sz w:val="24"/>
              </w:rPr>
              <w:t>脉冲电压试验</w:t>
            </w:r>
          </w:p>
        </w:tc>
        <w:tc>
          <w:tcPr>
            <w:tcW w:w="7143" w:type="dxa"/>
            <w:tcBorders>
              <w:top w:val="single" w:color="000000" w:sz="4" w:space="0"/>
              <w:left w:val="single" w:color="000000" w:sz="4" w:space="0"/>
              <w:bottom w:val="single" w:color="000000" w:sz="4" w:space="0"/>
            </w:tcBorders>
            <w:vAlign w:val="top"/>
          </w:tcPr>
          <w:p>
            <w:pPr>
              <w:wordWrap/>
              <w:adjustRightInd/>
              <w:spacing w:before="0" w:beforeAutospacing="0" w:after="0" w:afterAutospacing="0" w:line="360" w:lineRule="auto"/>
              <w:ind w:left="0" w:right="0"/>
              <w:rPr>
                <w:rFonts w:hint="default" w:ascii="宋体" w:hAnsi="宋体" w:eastAsia="宋体" w:cs="宋体"/>
                <w:sz w:val="24"/>
              </w:rPr>
            </w:pPr>
            <w:r>
              <w:rPr>
                <w:rFonts w:hint="eastAsia" w:ascii="宋体" w:hAnsi="宋体" w:eastAsia="宋体" w:cs="宋体"/>
                <w:sz w:val="24"/>
              </w:rPr>
              <w:t>GB/T 4793.1-2007（IEC 61010.1：2001），6.8（峰值 6kV，1.2/50μ s 冲击）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1" w:hRule="atLeast"/>
          <w:jc w:val="center"/>
        </w:trPr>
        <w:tc>
          <w:tcPr>
            <w:tcW w:w="1707" w:type="dxa"/>
            <w:tcBorders>
              <w:top w:val="single" w:color="000000" w:sz="4" w:space="0"/>
              <w:right w:val="single" w:color="000000" w:sz="4" w:space="0"/>
            </w:tcBorders>
            <w:vAlign w:val="top"/>
          </w:tcPr>
          <w:p>
            <w:pPr>
              <w:wordWrap/>
              <w:adjustRightInd/>
              <w:spacing w:before="0" w:beforeAutospacing="0" w:after="0" w:afterAutospacing="0" w:line="360" w:lineRule="auto"/>
              <w:ind w:left="0" w:right="0"/>
              <w:jc w:val="center"/>
              <w:rPr>
                <w:rFonts w:hint="default" w:ascii="宋体" w:hAnsi="宋体" w:eastAsia="宋体" w:cs="宋体"/>
                <w:sz w:val="24"/>
              </w:rPr>
            </w:pPr>
            <w:r>
              <w:rPr>
                <w:rFonts w:hint="eastAsia" w:ascii="宋体" w:hAnsi="宋体" w:eastAsia="宋体" w:cs="宋体"/>
                <w:sz w:val="24"/>
              </w:rPr>
              <w:t>交流电压试验</w:t>
            </w:r>
          </w:p>
        </w:tc>
        <w:tc>
          <w:tcPr>
            <w:tcW w:w="7143" w:type="dxa"/>
            <w:tcBorders>
              <w:top w:val="single" w:color="000000" w:sz="4" w:space="0"/>
              <w:left w:val="single" w:color="000000" w:sz="4" w:space="0"/>
            </w:tcBorders>
            <w:vAlign w:val="top"/>
          </w:tcPr>
          <w:p>
            <w:pPr>
              <w:wordWrap/>
              <w:adjustRightInd/>
              <w:spacing w:before="0" w:beforeAutospacing="0" w:after="0" w:afterAutospacing="0" w:line="360" w:lineRule="auto"/>
              <w:ind w:left="0" w:right="0"/>
              <w:rPr>
                <w:rFonts w:hint="default" w:ascii="宋体" w:hAnsi="宋体" w:eastAsia="宋体" w:cs="宋体"/>
                <w:sz w:val="24"/>
              </w:rPr>
            </w:pPr>
            <w:r>
              <w:rPr>
                <w:rFonts w:hint="eastAsia" w:ascii="宋体" w:hAnsi="宋体" w:eastAsia="宋体" w:cs="宋体"/>
                <w:sz w:val="24"/>
              </w:rPr>
              <w:t>GB/T 4793.1-2007（IEC 61010.1：2001），6.8（有效值 2kV，1min）</w:t>
            </w:r>
          </w:p>
        </w:tc>
      </w:tr>
    </w:tbl>
    <w:p>
      <w:pPr>
        <w:wordWrap/>
        <w:adjustRightInd/>
        <w:spacing w:line="360" w:lineRule="auto"/>
        <w:ind w:firstLine="482" w:firstLineChars="200"/>
        <w:rPr>
          <w:rFonts w:ascii="宋体" w:hAnsi="宋体" w:eastAsia="宋体" w:cs="宋体"/>
          <w:b/>
          <w:sz w:val="22"/>
        </w:rPr>
      </w:pPr>
      <w:bookmarkStart w:id="79" w:name="_TOC_250025"/>
      <w:bookmarkEnd w:id="79"/>
      <w:bookmarkStart w:id="80" w:name="_Toc69204990"/>
      <w:r>
        <w:rPr>
          <w:rFonts w:hint="eastAsia" w:ascii="宋体" w:hAnsi="宋体" w:eastAsia="宋体" w:cs="宋体"/>
          <w:b/>
          <w:sz w:val="24"/>
          <w:lang w:val="en-US" w:eastAsia="zh-CN"/>
        </w:rPr>
        <w:t>6.14</w:t>
      </w:r>
      <w:r>
        <w:rPr>
          <w:rFonts w:hint="eastAsia" w:ascii="宋体" w:hAnsi="宋体" w:eastAsia="宋体" w:cs="宋体"/>
          <w:b/>
          <w:sz w:val="24"/>
        </w:rPr>
        <w:t>机械性能</w:t>
      </w:r>
      <w:bookmarkEnd w:id="80"/>
    </w:p>
    <w:tbl>
      <w:tblPr>
        <w:tblStyle w:val="74"/>
        <w:tblW w:w="886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707"/>
        <w:gridCol w:w="1800"/>
        <w:gridCol w:w="3937"/>
        <w:gridCol w:w="142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88" w:hRule="atLeast"/>
          <w:jc w:val="center"/>
        </w:trPr>
        <w:tc>
          <w:tcPr>
            <w:tcW w:w="3507" w:type="dxa"/>
            <w:gridSpan w:val="2"/>
            <w:tcBorders>
              <w:right w:val="single" w:color="000000" w:sz="4" w:space="0"/>
            </w:tcBorders>
            <w:shd w:val="clear" w:color="auto" w:fill="E4E4E4"/>
            <w:vAlign w:val="top"/>
          </w:tcPr>
          <w:p>
            <w:pPr>
              <w:wordWrap/>
              <w:adjustRightInd/>
              <w:spacing w:before="0" w:beforeAutospacing="0" w:after="0" w:afterAutospacing="0" w:line="360" w:lineRule="auto"/>
              <w:ind w:left="0" w:right="0"/>
              <w:jc w:val="center"/>
              <w:rPr>
                <w:rFonts w:hint="default" w:ascii="宋体" w:hAnsi="宋体" w:eastAsia="宋体" w:cs="宋体"/>
                <w:sz w:val="24"/>
              </w:rPr>
            </w:pPr>
            <w:r>
              <w:rPr>
                <w:rFonts w:hint="eastAsia" w:ascii="宋体" w:hAnsi="宋体" w:eastAsia="宋体" w:cs="宋体"/>
                <w:sz w:val="24"/>
              </w:rPr>
              <w:t>试验项目</w:t>
            </w:r>
          </w:p>
        </w:tc>
        <w:tc>
          <w:tcPr>
            <w:tcW w:w="3937" w:type="dxa"/>
            <w:tcBorders>
              <w:left w:val="single" w:color="000000" w:sz="4" w:space="0"/>
              <w:right w:val="single" w:color="000000" w:sz="4" w:space="0"/>
            </w:tcBorders>
            <w:shd w:val="clear" w:color="auto" w:fill="E4E4E4"/>
            <w:vAlign w:val="top"/>
          </w:tcPr>
          <w:p>
            <w:pPr>
              <w:wordWrap/>
              <w:adjustRightInd/>
              <w:spacing w:before="0" w:beforeAutospacing="0" w:after="0" w:afterAutospacing="0" w:line="360" w:lineRule="auto"/>
              <w:ind w:left="0" w:right="0"/>
              <w:jc w:val="center"/>
              <w:rPr>
                <w:rFonts w:hint="default" w:ascii="宋体" w:hAnsi="宋体" w:eastAsia="宋体" w:cs="宋体"/>
                <w:sz w:val="24"/>
              </w:rPr>
            </w:pPr>
            <w:r>
              <w:rPr>
                <w:rFonts w:hint="eastAsia" w:ascii="宋体" w:hAnsi="宋体" w:eastAsia="宋体" w:cs="宋体"/>
                <w:sz w:val="24"/>
              </w:rPr>
              <w:t>标准依据</w:t>
            </w:r>
          </w:p>
        </w:tc>
        <w:tc>
          <w:tcPr>
            <w:tcW w:w="1425" w:type="dxa"/>
            <w:tcBorders>
              <w:left w:val="single" w:color="000000" w:sz="4" w:space="0"/>
            </w:tcBorders>
            <w:shd w:val="clear" w:color="auto" w:fill="E4E4E4"/>
            <w:vAlign w:val="top"/>
          </w:tcPr>
          <w:p>
            <w:pPr>
              <w:wordWrap/>
              <w:adjustRightInd/>
              <w:spacing w:before="0" w:beforeAutospacing="0" w:after="0" w:afterAutospacing="0" w:line="360" w:lineRule="auto"/>
              <w:ind w:left="0" w:right="0"/>
              <w:jc w:val="center"/>
              <w:rPr>
                <w:rFonts w:hint="default" w:ascii="宋体" w:hAnsi="宋体" w:eastAsia="宋体" w:cs="宋体"/>
                <w:sz w:val="24"/>
              </w:rPr>
            </w:pPr>
            <w:r>
              <w:rPr>
                <w:rFonts w:hint="eastAsia" w:ascii="宋体" w:hAnsi="宋体" w:eastAsia="宋体" w:cs="宋体"/>
                <w:sz w:val="24"/>
              </w:rPr>
              <w:t>严酷等级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jc w:val="center"/>
        </w:trPr>
        <w:tc>
          <w:tcPr>
            <w:tcW w:w="1707" w:type="dxa"/>
            <w:vMerge w:val="restart"/>
            <w:tcBorders>
              <w:bottom w:val="single" w:color="000000" w:sz="4" w:space="0"/>
              <w:right w:val="single" w:color="000000" w:sz="4" w:space="0"/>
            </w:tcBorders>
            <w:vAlign w:val="center"/>
          </w:tcPr>
          <w:p>
            <w:pPr>
              <w:wordWrap/>
              <w:adjustRightInd/>
              <w:spacing w:before="0" w:beforeAutospacing="0" w:after="0" w:afterAutospacing="0" w:line="360" w:lineRule="auto"/>
              <w:ind w:left="0" w:right="0"/>
              <w:jc w:val="center"/>
              <w:rPr>
                <w:rFonts w:hint="default" w:ascii="宋体" w:hAnsi="宋体" w:eastAsia="宋体" w:cs="宋体"/>
                <w:sz w:val="24"/>
              </w:rPr>
            </w:pPr>
            <w:r>
              <w:rPr>
                <w:rFonts w:hint="eastAsia" w:ascii="宋体" w:hAnsi="宋体" w:eastAsia="宋体" w:cs="宋体"/>
                <w:sz w:val="24"/>
              </w:rPr>
              <w:t>振动试验（正弦）</w:t>
            </w:r>
          </w:p>
        </w:tc>
        <w:tc>
          <w:tcPr>
            <w:tcW w:w="1800" w:type="dxa"/>
            <w:tcBorders>
              <w:left w:val="single" w:color="000000" w:sz="4" w:space="0"/>
              <w:bottom w:val="single" w:color="000000" w:sz="4" w:space="0"/>
              <w:right w:val="single" w:color="000000" w:sz="4" w:space="0"/>
            </w:tcBorders>
            <w:vAlign w:val="center"/>
          </w:tcPr>
          <w:p>
            <w:pPr>
              <w:wordWrap/>
              <w:adjustRightInd/>
              <w:spacing w:before="0" w:beforeAutospacing="0" w:after="0" w:afterAutospacing="0" w:line="360" w:lineRule="auto"/>
              <w:ind w:left="0" w:right="0"/>
              <w:jc w:val="center"/>
              <w:rPr>
                <w:rFonts w:hint="default" w:ascii="宋体" w:hAnsi="宋体" w:eastAsia="宋体" w:cs="宋体"/>
                <w:sz w:val="24"/>
              </w:rPr>
            </w:pPr>
            <w:r>
              <w:rPr>
                <w:rFonts w:hint="eastAsia" w:ascii="宋体" w:hAnsi="宋体" w:eastAsia="宋体" w:cs="宋体"/>
                <w:sz w:val="24"/>
              </w:rPr>
              <w:t>振动响应试验</w:t>
            </w:r>
          </w:p>
        </w:tc>
        <w:tc>
          <w:tcPr>
            <w:tcW w:w="3937" w:type="dxa"/>
            <w:tcBorders>
              <w:left w:val="single" w:color="000000" w:sz="4" w:space="0"/>
              <w:bottom w:val="single" w:color="000000" w:sz="4" w:space="0"/>
              <w:right w:val="single" w:color="000000" w:sz="4" w:space="0"/>
            </w:tcBorders>
            <w:vAlign w:val="top"/>
          </w:tcPr>
          <w:p>
            <w:pPr>
              <w:wordWrap/>
              <w:adjustRightInd/>
              <w:spacing w:before="0" w:beforeAutospacing="0" w:after="0" w:afterAutospacing="0" w:line="360" w:lineRule="auto"/>
              <w:ind w:left="0" w:right="0"/>
              <w:rPr>
                <w:rFonts w:hint="default" w:ascii="宋体" w:hAnsi="宋体" w:eastAsia="宋体" w:cs="宋体"/>
                <w:sz w:val="24"/>
              </w:rPr>
            </w:pPr>
            <w:r>
              <w:rPr>
                <w:rFonts w:hint="eastAsia" w:ascii="宋体" w:hAnsi="宋体" w:eastAsia="宋体" w:cs="宋体"/>
                <w:sz w:val="24"/>
              </w:rPr>
              <w:t>GB/T 11287—2000(IEC255-2-1:1989）</w:t>
            </w:r>
          </w:p>
        </w:tc>
        <w:tc>
          <w:tcPr>
            <w:tcW w:w="1425" w:type="dxa"/>
            <w:tcBorders>
              <w:left w:val="single" w:color="000000" w:sz="4" w:space="0"/>
              <w:bottom w:val="single" w:color="000000" w:sz="4" w:space="0"/>
            </w:tcBorders>
            <w:vAlign w:val="center"/>
          </w:tcPr>
          <w:p>
            <w:pPr>
              <w:wordWrap/>
              <w:adjustRightInd/>
              <w:spacing w:before="0" w:beforeAutospacing="0" w:after="0" w:afterAutospacing="0" w:line="360" w:lineRule="auto"/>
              <w:ind w:left="0" w:right="0"/>
              <w:jc w:val="center"/>
              <w:rPr>
                <w:rFonts w:hint="default" w:ascii="宋体" w:hAnsi="宋体" w:eastAsia="宋体" w:cs="宋体"/>
                <w:sz w:val="24"/>
              </w:rPr>
            </w:pPr>
            <w:r>
              <w:rPr>
                <w:rFonts w:hint="eastAsia" w:ascii="宋体" w:hAnsi="宋体" w:eastAsia="宋体" w:cs="宋体"/>
                <w:sz w:val="24"/>
              </w:rPr>
              <w:t>1 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jc w:val="center"/>
        </w:trPr>
        <w:tc>
          <w:tcPr>
            <w:tcW w:w="1707" w:type="dxa"/>
            <w:vMerge w:val="continue"/>
            <w:tcBorders>
              <w:top w:val="nil"/>
              <w:bottom w:val="single" w:color="000000" w:sz="4" w:space="0"/>
              <w:right w:val="single" w:color="000000" w:sz="4" w:space="0"/>
            </w:tcBorders>
            <w:vAlign w:val="top"/>
          </w:tcPr>
          <w:p>
            <w:pPr>
              <w:wordWrap/>
              <w:adjustRightInd/>
              <w:spacing w:before="0" w:beforeAutospacing="0" w:after="0" w:afterAutospacing="0" w:line="360" w:lineRule="auto"/>
              <w:ind w:left="0" w:right="0"/>
              <w:rPr>
                <w:rFonts w:hint="default" w:ascii="宋体" w:hAnsi="宋体" w:eastAsia="宋体" w:cs="宋体"/>
                <w:sz w:val="24"/>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ordWrap/>
              <w:adjustRightInd/>
              <w:spacing w:before="0" w:beforeAutospacing="0" w:after="0" w:afterAutospacing="0" w:line="360" w:lineRule="auto"/>
              <w:ind w:left="0" w:right="0"/>
              <w:jc w:val="center"/>
              <w:rPr>
                <w:rFonts w:hint="default" w:ascii="宋体" w:hAnsi="宋体" w:eastAsia="宋体" w:cs="宋体"/>
                <w:sz w:val="24"/>
              </w:rPr>
            </w:pPr>
            <w:r>
              <w:rPr>
                <w:rFonts w:hint="eastAsia" w:ascii="宋体" w:hAnsi="宋体" w:eastAsia="宋体" w:cs="宋体"/>
                <w:sz w:val="24"/>
              </w:rPr>
              <w:t>振动耐久试验</w:t>
            </w:r>
          </w:p>
        </w:tc>
        <w:tc>
          <w:tcPr>
            <w:tcW w:w="3937" w:type="dxa"/>
            <w:tcBorders>
              <w:top w:val="single" w:color="000000" w:sz="4" w:space="0"/>
              <w:left w:val="single" w:color="000000" w:sz="4" w:space="0"/>
              <w:bottom w:val="single" w:color="000000" w:sz="4" w:space="0"/>
              <w:right w:val="single" w:color="000000" w:sz="4" w:space="0"/>
            </w:tcBorders>
            <w:vAlign w:val="top"/>
          </w:tcPr>
          <w:p>
            <w:pPr>
              <w:wordWrap/>
              <w:adjustRightInd/>
              <w:spacing w:before="0" w:beforeAutospacing="0" w:after="0" w:afterAutospacing="0" w:line="360" w:lineRule="auto"/>
              <w:ind w:left="0" w:right="0"/>
              <w:rPr>
                <w:rFonts w:hint="default" w:ascii="宋体" w:hAnsi="宋体" w:eastAsia="宋体" w:cs="宋体"/>
                <w:sz w:val="24"/>
              </w:rPr>
            </w:pPr>
            <w:r>
              <w:rPr>
                <w:rFonts w:hint="eastAsia" w:ascii="宋体" w:hAnsi="宋体" w:eastAsia="宋体" w:cs="宋体"/>
                <w:sz w:val="24"/>
              </w:rPr>
              <w:t>GB/T 11287—2000(IEC255-2-1:1989）</w:t>
            </w:r>
          </w:p>
        </w:tc>
        <w:tc>
          <w:tcPr>
            <w:tcW w:w="1425" w:type="dxa"/>
            <w:tcBorders>
              <w:top w:val="single" w:color="000000" w:sz="4" w:space="0"/>
              <w:left w:val="single" w:color="000000" w:sz="4" w:space="0"/>
              <w:bottom w:val="single" w:color="000000" w:sz="4" w:space="0"/>
            </w:tcBorders>
            <w:vAlign w:val="center"/>
          </w:tcPr>
          <w:p>
            <w:pPr>
              <w:wordWrap/>
              <w:adjustRightInd/>
              <w:spacing w:before="0" w:beforeAutospacing="0" w:after="0" w:afterAutospacing="0" w:line="360" w:lineRule="auto"/>
              <w:ind w:left="0" w:right="0"/>
              <w:jc w:val="center"/>
              <w:rPr>
                <w:rFonts w:hint="default" w:ascii="宋体" w:hAnsi="宋体" w:eastAsia="宋体" w:cs="宋体"/>
                <w:sz w:val="24"/>
              </w:rPr>
            </w:pPr>
            <w:r>
              <w:rPr>
                <w:rFonts w:hint="eastAsia" w:ascii="宋体" w:hAnsi="宋体" w:eastAsia="宋体" w:cs="宋体"/>
                <w:sz w:val="24"/>
              </w:rPr>
              <w:t>1 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jc w:val="center"/>
        </w:trPr>
        <w:tc>
          <w:tcPr>
            <w:tcW w:w="1707" w:type="dxa"/>
            <w:vMerge w:val="restart"/>
            <w:tcBorders>
              <w:top w:val="single" w:color="000000" w:sz="4" w:space="0"/>
              <w:bottom w:val="single" w:color="000000" w:sz="4" w:space="0"/>
              <w:right w:val="single" w:color="000000" w:sz="4" w:space="0"/>
            </w:tcBorders>
            <w:vAlign w:val="center"/>
          </w:tcPr>
          <w:p>
            <w:pPr>
              <w:wordWrap/>
              <w:adjustRightInd/>
              <w:spacing w:before="0" w:beforeAutospacing="0" w:after="0" w:afterAutospacing="0" w:line="360" w:lineRule="auto"/>
              <w:ind w:left="0" w:right="0"/>
              <w:jc w:val="center"/>
              <w:rPr>
                <w:rFonts w:hint="default" w:ascii="宋体" w:hAnsi="宋体" w:eastAsia="宋体" w:cs="宋体"/>
                <w:sz w:val="24"/>
              </w:rPr>
            </w:pPr>
            <w:r>
              <w:rPr>
                <w:rFonts w:hint="eastAsia" w:ascii="宋体" w:hAnsi="宋体" w:eastAsia="宋体" w:cs="宋体"/>
                <w:sz w:val="24"/>
              </w:rPr>
              <w:t>冲击试验</w:t>
            </w:r>
          </w:p>
        </w:tc>
        <w:tc>
          <w:tcPr>
            <w:tcW w:w="1800" w:type="dxa"/>
            <w:tcBorders>
              <w:top w:val="single" w:color="000000" w:sz="4" w:space="0"/>
              <w:left w:val="single" w:color="000000" w:sz="4" w:space="0"/>
              <w:bottom w:val="single" w:color="000000" w:sz="4" w:space="0"/>
              <w:right w:val="single" w:color="000000" w:sz="4" w:space="0"/>
            </w:tcBorders>
            <w:vAlign w:val="center"/>
          </w:tcPr>
          <w:p>
            <w:pPr>
              <w:wordWrap/>
              <w:adjustRightInd/>
              <w:spacing w:before="0" w:beforeAutospacing="0" w:after="0" w:afterAutospacing="0" w:line="360" w:lineRule="auto"/>
              <w:ind w:left="0" w:right="0"/>
              <w:jc w:val="center"/>
              <w:rPr>
                <w:rFonts w:hint="default" w:ascii="宋体" w:hAnsi="宋体" w:eastAsia="宋体" w:cs="宋体"/>
                <w:sz w:val="24"/>
              </w:rPr>
            </w:pPr>
            <w:r>
              <w:rPr>
                <w:rFonts w:hint="eastAsia" w:ascii="宋体" w:hAnsi="宋体" w:eastAsia="宋体" w:cs="宋体"/>
                <w:sz w:val="24"/>
              </w:rPr>
              <w:t>冲击响应试验</w:t>
            </w:r>
          </w:p>
        </w:tc>
        <w:tc>
          <w:tcPr>
            <w:tcW w:w="3937" w:type="dxa"/>
            <w:tcBorders>
              <w:top w:val="single" w:color="000000" w:sz="4" w:space="0"/>
              <w:left w:val="single" w:color="000000" w:sz="4" w:space="0"/>
              <w:bottom w:val="single" w:color="000000" w:sz="4" w:space="0"/>
              <w:right w:val="single" w:color="000000" w:sz="4" w:space="0"/>
            </w:tcBorders>
            <w:vAlign w:val="top"/>
          </w:tcPr>
          <w:p>
            <w:pPr>
              <w:wordWrap/>
              <w:adjustRightInd/>
              <w:spacing w:before="0" w:beforeAutospacing="0" w:after="0" w:afterAutospacing="0" w:line="360" w:lineRule="auto"/>
              <w:ind w:left="0" w:right="0"/>
              <w:rPr>
                <w:rFonts w:hint="default" w:ascii="宋体" w:hAnsi="宋体" w:eastAsia="宋体" w:cs="宋体"/>
                <w:sz w:val="24"/>
              </w:rPr>
            </w:pPr>
            <w:r>
              <w:rPr>
                <w:rFonts w:hint="eastAsia" w:ascii="宋体" w:hAnsi="宋体" w:eastAsia="宋体" w:cs="宋体"/>
                <w:sz w:val="24"/>
              </w:rPr>
              <w:t>GB/T 14537—93（IEC 255-2-2）</w:t>
            </w:r>
          </w:p>
        </w:tc>
        <w:tc>
          <w:tcPr>
            <w:tcW w:w="1425" w:type="dxa"/>
            <w:tcBorders>
              <w:top w:val="single" w:color="000000" w:sz="4" w:space="0"/>
              <w:left w:val="single" w:color="000000" w:sz="4" w:space="0"/>
              <w:bottom w:val="single" w:color="000000" w:sz="4" w:space="0"/>
            </w:tcBorders>
            <w:vAlign w:val="center"/>
          </w:tcPr>
          <w:p>
            <w:pPr>
              <w:wordWrap/>
              <w:adjustRightInd/>
              <w:spacing w:before="0" w:beforeAutospacing="0" w:after="0" w:afterAutospacing="0" w:line="360" w:lineRule="auto"/>
              <w:ind w:left="0" w:right="0"/>
              <w:jc w:val="center"/>
              <w:rPr>
                <w:rFonts w:hint="default" w:ascii="宋体" w:hAnsi="宋体" w:eastAsia="宋体" w:cs="宋体"/>
                <w:sz w:val="24"/>
              </w:rPr>
            </w:pPr>
            <w:r>
              <w:rPr>
                <w:rFonts w:hint="eastAsia" w:ascii="宋体" w:hAnsi="宋体" w:eastAsia="宋体" w:cs="宋体"/>
                <w:sz w:val="24"/>
              </w:rPr>
              <w:t>1 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88" w:hRule="atLeast"/>
          <w:jc w:val="center"/>
        </w:trPr>
        <w:tc>
          <w:tcPr>
            <w:tcW w:w="1707" w:type="dxa"/>
            <w:vMerge w:val="continue"/>
            <w:tcBorders>
              <w:top w:val="nil"/>
              <w:bottom w:val="single" w:color="000000" w:sz="4" w:space="0"/>
              <w:right w:val="single" w:color="000000" w:sz="4" w:space="0"/>
            </w:tcBorders>
            <w:vAlign w:val="top"/>
          </w:tcPr>
          <w:p>
            <w:pPr>
              <w:wordWrap/>
              <w:adjustRightInd/>
              <w:spacing w:before="0" w:beforeAutospacing="0" w:after="0" w:afterAutospacing="0" w:line="360" w:lineRule="auto"/>
              <w:ind w:left="0" w:right="0"/>
              <w:rPr>
                <w:rFonts w:hint="default" w:ascii="宋体" w:hAnsi="宋体" w:eastAsia="宋体" w:cs="宋体"/>
                <w:sz w:val="24"/>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ordWrap/>
              <w:adjustRightInd/>
              <w:spacing w:before="0" w:beforeAutospacing="0" w:after="0" w:afterAutospacing="0" w:line="360" w:lineRule="auto"/>
              <w:ind w:left="0" w:right="0"/>
              <w:jc w:val="center"/>
              <w:rPr>
                <w:rFonts w:hint="default" w:ascii="宋体" w:hAnsi="宋体" w:eastAsia="宋体" w:cs="宋体"/>
                <w:sz w:val="24"/>
              </w:rPr>
            </w:pPr>
            <w:r>
              <w:rPr>
                <w:rFonts w:hint="eastAsia" w:ascii="宋体" w:hAnsi="宋体" w:eastAsia="宋体" w:cs="宋体"/>
                <w:sz w:val="24"/>
              </w:rPr>
              <w:t>冲击耐受试验</w:t>
            </w:r>
          </w:p>
        </w:tc>
        <w:tc>
          <w:tcPr>
            <w:tcW w:w="3937" w:type="dxa"/>
            <w:tcBorders>
              <w:top w:val="single" w:color="000000" w:sz="4" w:space="0"/>
              <w:left w:val="single" w:color="000000" w:sz="4" w:space="0"/>
              <w:bottom w:val="single" w:color="000000" w:sz="4" w:space="0"/>
              <w:right w:val="single" w:color="000000" w:sz="4" w:space="0"/>
            </w:tcBorders>
            <w:vAlign w:val="top"/>
          </w:tcPr>
          <w:p>
            <w:pPr>
              <w:wordWrap/>
              <w:adjustRightInd/>
              <w:spacing w:before="0" w:beforeAutospacing="0" w:after="0" w:afterAutospacing="0" w:line="360" w:lineRule="auto"/>
              <w:ind w:left="0" w:right="0"/>
              <w:rPr>
                <w:rFonts w:hint="default" w:ascii="宋体" w:hAnsi="宋体" w:eastAsia="宋体" w:cs="宋体"/>
                <w:sz w:val="24"/>
              </w:rPr>
            </w:pPr>
            <w:r>
              <w:rPr>
                <w:rFonts w:hint="eastAsia" w:ascii="宋体" w:hAnsi="宋体" w:eastAsia="宋体" w:cs="宋体"/>
                <w:sz w:val="24"/>
              </w:rPr>
              <w:t>GB/T 14537—93（IEC 255-2-2）</w:t>
            </w:r>
          </w:p>
        </w:tc>
        <w:tc>
          <w:tcPr>
            <w:tcW w:w="1425" w:type="dxa"/>
            <w:tcBorders>
              <w:top w:val="single" w:color="000000" w:sz="4" w:space="0"/>
              <w:left w:val="single" w:color="000000" w:sz="4" w:space="0"/>
              <w:bottom w:val="single" w:color="000000" w:sz="4" w:space="0"/>
            </w:tcBorders>
            <w:vAlign w:val="center"/>
          </w:tcPr>
          <w:p>
            <w:pPr>
              <w:wordWrap/>
              <w:adjustRightInd/>
              <w:spacing w:before="0" w:beforeAutospacing="0" w:after="0" w:afterAutospacing="0" w:line="360" w:lineRule="auto"/>
              <w:ind w:left="0" w:right="0"/>
              <w:jc w:val="center"/>
              <w:rPr>
                <w:rFonts w:hint="default" w:ascii="宋体" w:hAnsi="宋体" w:eastAsia="宋体" w:cs="宋体"/>
                <w:sz w:val="24"/>
              </w:rPr>
            </w:pPr>
            <w:r>
              <w:rPr>
                <w:rFonts w:hint="eastAsia" w:ascii="宋体" w:hAnsi="宋体" w:eastAsia="宋体" w:cs="宋体"/>
                <w:sz w:val="24"/>
              </w:rPr>
              <w:t>1 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jc w:val="center"/>
        </w:trPr>
        <w:tc>
          <w:tcPr>
            <w:tcW w:w="3507" w:type="dxa"/>
            <w:gridSpan w:val="2"/>
            <w:tcBorders>
              <w:top w:val="single" w:color="000000" w:sz="4" w:space="0"/>
              <w:right w:val="single" w:color="000000" w:sz="4" w:space="0"/>
            </w:tcBorders>
            <w:vAlign w:val="center"/>
          </w:tcPr>
          <w:p>
            <w:pPr>
              <w:wordWrap/>
              <w:adjustRightInd/>
              <w:spacing w:before="0" w:beforeAutospacing="0" w:after="0" w:afterAutospacing="0" w:line="360" w:lineRule="auto"/>
              <w:ind w:left="0" w:right="0"/>
              <w:jc w:val="center"/>
              <w:rPr>
                <w:rFonts w:hint="default" w:ascii="宋体" w:hAnsi="宋体" w:eastAsia="宋体" w:cs="宋体"/>
                <w:sz w:val="24"/>
              </w:rPr>
            </w:pPr>
            <w:r>
              <w:rPr>
                <w:rFonts w:hint="eastAsia" w:ascii="宋体" w:hAnsi="宋体" w:eastAsia="宋体" w:cs="宋体"/>
                <w:sz w:val="24"/>
              </w:rPr>
              <w:t>碰撞试验</w:t>
            </w:r>
          </w:p>
        </w:tc>
        <w:tc>
          <w:tcPr>
            <w:tcW w:w="3937" w:type="dxa"/>
            <w:tcBorders>
              <w:top w:val="single" w:color="000000" w:sz="4" w:space="0"/>
              <w:left w:val="single" w:color="000000" w:sz="4" w:space="0"/>
              <w:right w:val="single" w:color="000000" w:sz="4" w:space="0"/>
            </w:tcBorders>
            <w:vAlign w:val="top"/>
          </w:tcPr>
          <w:p>
            <w:pPr>
              <w:wordWrap/>
              <w:adjustRightInd/>
              <w:spacing w:before="0" w:beforeAutospacing="0" w:after="0" w:afterAutospacing="0" w:line="360" w:lineRule="auto"/>
              <w:ind w:left="0" w:right="0"/>
              <w:rPr>
                <w:rFonts w:hint="default" w:ascii="宋体" w:hAnsi="宋体" w:eastAsia="宋体" w:cs="宋体"/>
                <w:sz w:val="24"/>
              </w:rPr>
            </w:pPr>
            <w:r>
              <w:rPr>
                <w:rFonts w:hint="eastAsia" w:ascii="宋体" w:hAnsi="宋体" w:eastAsia="宋体" w:cs="宋体"/>
                <w:sz w:val="24"/>
              </w:rPr>
              <w:t>GB/T 14537—93（IEC 255-2-2）</w:t>
            </w:r>
          </w:p>
        </w:tc>
        <w:tc>
          <w:tcPr>
            <w:tcW w:w="1425" w:type="dxa"/>
            <w:tcBorders>
              <w:top w:val="single" w:color="000000" w:sz="4" w:space="0"/>
              <w:left w:val="single" w:color="000000" w:sz="4" w:space="0"/>
            </w:tcBorders>
            <w:vAlign w:val="center"/>
          </w:tcPr>
          <w:p>
            <w:pPr>
              <w:wordWrap/>
              <w:adjustRightInd/>
              <w:spacing w:before="0" w:beforeAutospacing="0" w:after="0" w:afterAutospacing="0" w:line="360" w:lineRule="auto"/>
              <w:ind w:left="0" w:right="0"/>
              <w:jc w:val="center"/>
              <w:rPr>
                <w:rFonts w:hint="default" w:ascii="宋体" w:hAnsi="宋体" w:eastAsia="宋体" w:cs="宋体"/>
                <w:sz w:val="24"/>
              </w:rPr>
            </w:pPr>
            <w:r>
              <w:rPr>
                <w:rFonts w:hint="eastAsia" w:ascii="宋体" w:hAnsi="宋体" w:eastAsia="宋体" w:cs="宋体"/>
                <w:sz w:val="24"/>
              </w:rPr>
              <w:t>1 级</w:t>
            </w:r>
          </w:p>
        </w:tc>
      </w:tr>
    </w:tbl>
    <w:p>
      <w:pPr>
        <w:wordWrap/>
        <w:adjustRightInd/>
        <w:spacing w:line="360" w:lineRule="auto"/>
        <w:ind w:firstLine="482" w:firstLineChars="200"/>
        <w:rPr>
          <w:rFonts w:ascii="宋体" w:hAnsi="宋体" w:eastAsia="宋体" w:cs="宋体"/>
          <w:b/>
          <w:sz w:val="22"/>
        </w:rPr>
      </w:pPr>
      <w:bookmarkStart w:id="81" w:name="_TOC_250024"/>
      <w:bookmarkEnd w:id="81"/>
      <w:bookmarkStart w:id="82" w:name="_Toc69204991"/>
      <w:r>
        <w:rPr>
          <w:rFonts w:hint="eastAsia" w:ascii="宋体" w:hAnsi="宋体" w:eastAsia="宋体" w:cs="宋体"/>
          <w:b/>
          <w:sz w:val="24"/>
          <w:lang w:val="en-US" w:eastAsia="zh-CN"/>
        </w:rPr>
        <w:t>6.15</w:t>
      </w:r>
      <w:r>
        <w:rPr>
          <w:rFonts w:hint="eastAsia" w:ascii="宋体" w:hAnsi="宋体" w:eastAsia="宋体" w:cs="宋体"/>
          <w:b/>
          <w:sz w:val="24"/>
        </w:rPr>
        <w:t>电磁兼容性</w:t>
      </w:r>
      <w:bookmarkEnd w:id="82"/>
    </w:p>
    <w:tbl>
      <w:tblPr>
        <w:tblStyle w:val="74"/>
        <w:tblW w:w="888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38"/>
        <w:gridCol w:w="5250"/>
        <w:gridCol w:w="12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7" w:hRule="exact"/>
          <w:jc w:val="center"/>
        </w:trPr>
        <w:tc>
          <w:tcPr>
            <w:tcW w:w="2438" w:type="dxa"/>
            <w:tcBorders>
              <w:right w:val="single" w:color="000000" w:sz="4" w:space="0"/>
            </w:tcBorders>
            <w:shd w:val="clear" w:color="auto" w:fill="E4E4E4"/>
            <w:vAlign w:val="center"/>
          </w:tcPr>
          <w:p>
            <w:pPr>
              <w:widowControl w:val="0"/>
              <w:wordWrap/>
              <w:spacing w:before="68" w:beforeAutospacing="0" w:after="0" w:afterAutospacing="0" w:line="360" w:lineRule="auto"/>
              <w:ind w:left="339" w:right="328"/>
              <w:jc w:val="center"/>
              <w:rPr>
                <w:rFonts w:hint="default" w:ascii="Times New Roman" w:hAnsi="Times New Roman" w:eastAsia="宋体" w:cs="Calibri"/>
                <w:kern w:val="0"/>
                <w:sz w:val="24"/>
                <w:szCs w:val="24"/>
                <w:lang w:val="en-US" w:eastAsia="en-US" w:bidi="ar-SA"/>
              </w:rPr>
            </w:pPr>
            <w:r>
              <w:rPr>
                <w:rFonts w:hint="eastAsia" w:ascii="宋体" w:hAnsi="宋体" w:eastAsia="宋体" w:cs="宋体"/>
                <w:kern w:val="0"/>
                <w:sz w:val="24"/>
                <w:szCs w:val="24"/>
                <w:lang w:val="en-US" w:eastAsia="en-US" w:bidi="ar-SA"/>
              </w:rPr>
              <w:t>试验项目</w:t>
            </w:r>
          </w:p>
        </w:tc>
        <w:tc>
          <w:tcPr>
            <w:tcW w:w="5250" w:type="dxa"/>
            <w:tcBorders>
              <w:left w:val="single" w:color="000000" w:sz="4" w:space="0"/>
              <w:right w:val="single" w:color="000000" w:sz="4" w:space="0"/>
            </w:tcBorders>
            <w:shd w:val="clear" w:color="auto" w:fill="E4E4E4"/>
            <w:vAlign w:val="center"/>
          </w:tcPr>
          <w:p>
            <w:pPr>
              <w:widowControl w:val="0"/>
              <w:wordWrap/>
              <w:spacing w:before="68" w:beforeAutospacing="0" w:after="0" w:afterAutospacing="0" w:line="360" w:lineRule="auto"/>
              <w:ind w:left="400" w:right="387"/>
              <w:jc w:val="center"/>
              <w:rPr>
                <w:rFonts w:hint="default" w:ascii="Times New Roman" w:hAnsi="Times New Roman" w:eastAsia="宋体" w:cs="Calibri"/>
                <w:kern w:val="0"/>
                <w:sz w:val="24"/>
                <w:szCs w:val="24"/>
                <w:lang w:val="en-US" w:eastAsia="en-US" w:bidi="ar-SA"/>
              </w:rPr>
            </w:pPr>
            <w:r>
              <w:rPr>
                <w:rFonts w:hint="eastAsia" w:ascii="宋体" w:hAnsi="宋体" w:eastAsia="宋体" w:cs="宋体"/>
                <w:kern w:val="0"/>
                <w:sz w:val="24"/>
                <w:szCs w:val="24"/>
                <w:lang w:val="en-US" w:eastAsia="en-US" w:bidi="ar-SA"/>
              </w:rPr>
              <w:t>标准依据</w:t>
            </w:r>
          </w:p>
        </w:tc>
        <w:tc>
          <w:tcPr>
            <w:tcW w:w="1200" w:type="dxa"/>
            <w:tcBorders>
              <w:left w:val="single" w:color="000000" w:sz="4" w:space="0"/>
            </w:tcBorders>
            <w:shd w:val="clear" w:color="auto" w:fill="E4E4E4"/>
            <w:vAlign w:val="top"/>
          </w:tcPr>
          <w:p>
            <w:pPr>
              <w:widowControl w:val="0"/>
              <w:wordWrap/>
              <w:spacing w:before="68" w:beforeAutospacing="0" w:after="0" w:afterAutospacing="0" w:line="360" w:lineRule="auto"/>
              <w:ind w:left="186" w:right="163"/>
              <w:jc w:val="center"/>
              <w:rPr>
                <w:rFonts w:hint="default" w:ascii="Times New Roman" w:hAnsi="Times New Roman" w:eastAsia="宋体" w:cs="Calibri"/>
                <w:kern w:val="0"/>
                <w:sz w:val="24"/>
                <w:szCs w:val="24"/>
                <w:lang w:val="en-US" w:eastAsia="en-US" w:bidi="ar-SA"/>
              </w:rPr>
            </w:pPr>
            <w:r>
              <w:rPr>
                <w:rFonts w:hint="eastAsia" w:ascii="宋体" w:hAnsi="宋体" w:eastAsia="宋体" w:cs="宋体"/>
                <w:kern w:val="0"/>
                <w:sz w:val="24"/>
                <w:szCs w:val="24"/>
                <w:lang w:val="en-US" w:eastAsia="en-US" w:bidi="ar-SA"/>
              </w:rPr>
              <w:t>严酷等级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7" w:hRule="exact"/>
          <w:jc w:val="center"/>
        </w:trPr>
        <w:tc>
          <w:tcPr>
            <w:tcW w:w="2438" w:type="dxa"/>
            <w:tcBorders>
              <w:bottom w:val="single" w:color="000000" w:sz="4" w:space="0"/>
              <w:right w:val="single" w:color="000000" w:sz="4" w:space="0"/>
            </w:tcBorders>
            <w:vAlign w:val="center"/>
          </w:tcPr>
          <w:p>
            <w:pPr>
              <w:widowControl w:val="0"/>
              <w:wordWrap/>
              <w:spacing w:before="66" w:beforeAutospacing="0" w:after="0" w:afterAutospacing="0" w:line="360" w:lineRule="auto"/>
              <w:ind w:left="336" w:right="328"/>
              <w:jc w:val="center"/>
              <w:rPr>
                <w:rFonts w:hint="default" w:ascii="Times New Roman" w:hAnsi="Times New Roman" w:eastAsia="宋体" w:cs="Calibri"/>
                <w:kern w:val="0"/>
                <w:sz w:val="24"/>
                <w:szCs w:val="24"/>
                <w:lang w:val="en-US" w:eastAsia="en-US" w:bidi="ar-SA"/>
              </w:rPr>
            </w:pPr>
            <w:r>
              <w:rPr>
                <w:rFonts w:hint="eastAsia" w:ascii="宋体" w:hAnsi="宋体" w:eastAsia="宋体" w:cs="宋体"/>
                <w:kern w:val="0"/>
                <w:sz w:val="24"/>
                <w:szCs w:val="24"/>
                <w:lang w:val="en-US" w:eastAsia="en-US" w:bidi="ar-SA"/>
              </w:rPr>
              <w:t>静电放电抗扰度试验</w:t>
            </w:r>
          </w:p>
        </w:tc>
        <w:tc>
          <w:tcPr>
            <w:tcW w:w="5250" w:type="dxa"/>
            <w:tcBorders>
              <w:left w:val="single" w:color="000000" w:sz="4" w:space="0"/>
              <w:bottom w:val="single" w:color="000000" w:sz="4" w:space="0"/>
              <w:right w:val="single" w:color="000000" w:sz="4" w:space="0"/>
            </w:tcBorders>
            <w:vAlign w:val="center"/>
          </w:tcPr>
          <w:p>
            <w:pPr>
              <w:widowControl w:val="0"/>
              <w:wordWrap/>
              <w:spacing w:before="66" w:beforeAutospacing="0" w:after="0" w:afterAutospacing="0" w:line="360" w:lineRule="auto"/>
              <w:ind w:left="403" w:right="387"/>
              <w:jc w:val="center"/>
              <w:rPr>
                <w:rFonts w:hint="default" w:ascii="Times New Roman" w:hAnsi="Times New Roman" w:eastAsia="宋体" w:cs="Calibri"/>
                <w:kern w:val="0"/>
                <w:sz w:val="24"/>
                <w:szCs w:val="24"/>
                <w:lang w:val="en-US" w:eastAsia="en-US" w:bidi="ar-SA"/>
              </w:rPr>
            </w:pPr>
            <w:r>
              <w:rPr>
                <w:rFonts w:hint="eastAsia" w:ascii="宋体" w:hAnsi="宋体" w:eastAsia="宋体" w:cs="宋体"/>
                <w:kern w:val="0"/>
                <w:sz w:val="24"/>
                <w:szCs w:val="24"/>
                <w:lang w:val="en-US" w:eastAsia="en-US" w:bidi="ar-SA"/>
              </w:rPr>
              <w:t>GB/T 17626.2—20</w:t>
            </w:r>
            <w:r>
              <w:rPr>
                <w:rFonts w:hint="eastAsia" w:ascii="宋体" w:hAnsi="宋体" w:eastAsia="宋体" w:cs="宋体"/>
                <w:kern w:val="0"/>
                <w:sz w:val="24"/>
                <w:szCs w:val="24"/>
                <w:lang w:val="en-US" w:eastAsia="zh-CN" w:bidi="ar-SA"/>
              </w:rPr>
              <w:t>18</w:t>
            </w:r>
            <w:r>
              <w:rPr>
                <w:rFonts w:hint="eastAsia" w:ascii="宋体" w:hAnsi="宋体" w:eastAsia="宋体" w:cs="宋体"/>
                <w:kern w:val="0"/>
                <w:sz w:val="24"/>
                <w:szCs w:val="24"/>
                <w:lang w:val="en-US" w:eastAsia="en-US" w:bidi="ar-SA"/>
              </w:rPr>
              <w:t>；IEC 61000-4-2：2001</w:t>
            </w:r>
          </w:p>
        </w:tc>
        <w:tc>
          <w:tcPr>
            <w:tcW w:w="1200" w:type="dxa"/>
            <w:tcBorders>
              <w:left w:val="single" w:color="000000" w:sz="4" w:space="0"/>
              <w:bottom w:val="single" w:color="000000" w:sz="4" w:space="0"/>
            </w:tcBorders>
            <w:vAlign w:val="center"/>
          </w:tcPr>
          <w:p>
            <w:pPr>
              <w:widowControl w:val="0"/>
              <w:wordWrap/>
              <w:spacing w:before="66" w:beforeAutospacing="0" w:after="0" w:afterAutospacing="0" w:line="360" w:lineRule="auto"/>
              <w:ind w:left="186" w:right="163"/>
              <w:jc w:val="center"/>
              <w:rPr>
                <w:rFonts w:hint="default" w:ascii="Times New Roman" w:hAnsi="Times New Roman" w:eastAsia="宋体" w:cs="Calibri"/>
                <w:kern w:val="0"/>
                <w:sz w:val="24"/>
                <w:szCs w:val="24"/>
                <w:lang w:val="en-US" w:eastAsia="en-US" w:bidi="ar-SA"/>
              </w:rPr>
            </w:pPr>
            <w:r>
              <w:rPr>
                <w:rFonts w:hint="eastAsia" w:ascii="宋体" w:hAnsi="宋体" w:eastAsia="宋体" w:cs="宋体"/>
                <w:kern w:val="0"/>
                <w:sz w:val="24"/>
                <w:szCs w:val="24"/>
                <w:lang w:val="en-US" w:eastAsia="en-US" w:bidi="ar-SA"/>
              </w:rPr>
              <w:t>4 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7" w:hRule="exact"/>
          <w:jc w:val="center"/>
        </w:trPr>
        <w:tc>
          <w:tcPr>
            <w:tcW w:w="2438" w:type="dxa"/>
            <w:tcBorders>
              <w:top w:val="single" w:color="000000" w:sz="4" w:space="0"/>
              <w:bottom w:val="single" w:color="000000" w:sz="4" w:space="0"/>
              <w:right w:val="single" w:color="000000" w:sz="4" w:space="0"/>
            </w:tcBorders>
            <w:vAlign w:val="center"/>
          </w:tcPr>
          <w:p>
            <w:pPr>
              <w:widowControl w:val="0"/>
              <w:wordWrap/>
              <w:spacing w:before="66" w:beforeAutospacing="0" w:after="0" w:afterAutospacing="0" w:line="360" w:lineRule="auto"/>
              <w:ind w:left="336" w:right="328"/>
              <w:jc w:val="center"/>
              <w:rPr>
                <w:rFonts w:hint="default" w:ascii="Times New Roman" w:hAnsi="Times New Roman" w:eastAsia="宋体" w:cs="Calibri"/>
                <w:kern w:val="0"/>
                <w:sz w:val="24"/>
                <w:szCs w:val="24"/>
                <w:lang w:val="en-US" w:eastAsia="zh-CN" w:bidi="ar-SA"/>
              </w:rPr>
            </w:pPr>
            <w:r>
              <w:rPr>
                <w:rFonts w:hint="eastAsia" w:ascii="宋体" w:hAnsi="宋体" w:eastAsia="宋体" w:cs="宋体"/>
                <w:kern w:val="0"/>
                <w:sz w:val="24"/>
                <w:szCs w:val="24"/>
                <w:lang w:val="en-US" w:eastAsia="zh-CN" w:bidi="ar-SA"/>
              </w:rPr>
              <w:t>射频电磁场辐射抗扰度试验</w:t>
            </w:r>
          </w:p>
        </w:tc>
        <w:tc>
          <w:tcPr>
            <w:tcW w:w="5250" w:type="dxa"/>
            <w:tcBorders>
              <w:top w:val="single" w:color="000000" w:sz="4" w:space="0"/>
              <w:left w:val="single" w:color="000000" w:sz="4" w:space="0"/>
              <w:bottom w:val="single" w:color="000000" w:sz="4" w:space="0"/>
              <w:right w:val="single" w:color="000000" w:sz="4" w:space="0"/>
            </w:tcBorders>
            <w:vAlign w:val="center"/>
          </w:tcPr>
          <w:p>
            <w:pPr>
              <w:widowControl w:val="0"/>
              <w:wordWrap/>
              <w:spacing w:before="66" w:beforeAutospacing="0" w:after="0" w:afterAutospacing="0" w:line="360" w:lineRule="auto"/>
              <w:ind w:left="403" w:right="385"/>
              <w:jc w:val="center"/>
              <w:rPr>
                <w:rFonts w:hint="default" w:ascii="Times New Roman" w:hAnsi="Times New Roman" w:eastAsia="宋体" w:cs="Calibri"/>
                <w:kern w:val="0"/>
                <w:sz w:val="24"/>
                <w:szCs w:val="24"/>
                <w:lang w:val="en-US" w:eastAsia="en-US" w:bidi="ar-SA"/>
              </w:rPr>
            </w:pPr>
            <w:r>
              <w:rPr>
                <w:rFonts w:hint="eastAsia" w:ascii="宋体" w:hAnsi="宋体" w:eastAsia="宋体" w:cs="宋体"/>
                <w:kern w:val="0"/>
                <w:sz w:val="24"/>
                <w:szCs w:val="24"/>
                <w:lang w:val="en-US" w:eastAsia="en-US" w:bidi="ar-SA"/>
              </w:rPr>
              <w:t>GB/T 17626.3—20</w:t>
            </w:r>
            <w:r>
              <w:rPr>
                <w:rFonts w:hint="eastAsia" w:ascii="宋体" w:hAnsi="宋体" w:eastAsia="宋体" w:cs="宋体"/>
                <w:kern w:val="0"/>
                <w:sz w:val="24"/>
                <w:szCs w:val="24"/>
                <w:lang w:val="en-US" w:eastAsia="zh-CN" w:bidi="ar-SA"/>
              </w:rPr>
              <w:t>1</w:t>
            </w:r>
            <w:r>
              <w:rPr>
                <w:rFonts w:hint="eastAsia" w:ascii="宋体" w:hAnsi="宋体" w:eastAsia="宋体" w:cs="宋体"/>
                <w:kern w:val="0"/>
                <w:sz w:val="24"/>
                <w:szCs w:val="24"/>
                <w:lang w:val="en-US" w:eastAsia="en-US" w:bidi="ar-SA"/>
              </w:rPr>
              <w:t>6；IEC 61000-4-3：2002</w:t>
            </w:r>
          </w:p>
        </w:tc>
        <w:tc>
          <w:tcPr>
            <w:tcW w:w="1200" w:type="dxa"/>
            <w:tcBorders>
              <w:top w:val="single" w:color="000000" w:sz="4" w:space="0"/>
              <w:left w:val="single" w:color="000000" w:sz="4" w:space="0"/>
              <w:bottom w:val="single" w:color="000000" w:sz="4" w:space="0"/>
            </w:tcBorders>
            <w:vAlign w:val="center"/>
          </w:tcPr>
          <w:p>
            <w:pPr>
              <w:widowControl w:val="0"/>
              <w:wordWrap/>
              <w:spacing w:before="66" w:beforeAutospacing="0" w:after="0" w:afterAutospacing="0" w:line="360" w:lineRule="auto"/>
              <w:ind w:left="186" w:right="163"/>
              <w:jc w:val="center"/>
              <w:rPr>
                <w:rFonts w:hint="default" w:ascii="Times New Roman" w:hAnsi="Times New Roman" w:eastAsia="宋体" w:cs="Calibri"/>
                <w:kern w:val="0"/>
                <w:sz w:val="24"/>
                <w:szCs w:val="24"/>
                <w:lang w:val="en-US" w:eastAsia="en-US" w:bidi="ar-SA"/>
              </w:rPr>
            </w:pPr>
            <w:r>
              <w:rPr>
                <w:rFonts w:hint="eastAsia" w:ascii="宋体" w:hAnsi="宋体" w:eastAsia="宋体" w:cs="宋体"/>
                <w:kern w:val="0"/>
                <w:sz w:val="24"/>
                <w:szCs w:val="24"/>
                <w:lang w:val="en-US" w:eastAsia="en-US" w:bidi="ar-SA"/>
              </w:rPr>
              <w:t>3 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7" w:hRule="exact"/>
          <w:jc w:val="center"/>
        </w:trPr>
        <w:tc>
          <w:tcPr>
            <w:tcW w:w="2438" w:type="dxa"/>
            <w:tcBorders>
              <w:top w:val="single" w:color="000000" w:sz="4" w:space="0"/>
              <w:bottom w:val="single" w:color="000000" w:sz="4" w:space="0"/>
              <w:right w:val="single" w:color="000000" w:sz="4" w:space="0"/>
            </w:tcBorders>
            <w:vAlign w:val="center"/>
          </w:tcPr>
          <w:p>
            <w:pPr>
              <w:widowControl w:val="0"/>
              <w:wordWrap/>
              <w:spacing w:before="66" w:beforeAutospacing="0" w:after="0" w:afterAutospacing="0" w:line="360" w:lineRule="auto"/>
              <w:ind w:left="341" w:right="328"/>
              <w:jc w:val="center"/>
              <w:rPr>
                <w:rFonts w:hint="default" w:ascii="Times New Roman" w:hAnsi="Times New Roman" w:eastAsia="宋体" w:cs="Calibri"/>
                <w:kern w:val="0"/>
                <w:sz w:val="24"/>
                <w:szCs w:val="24"/>
                <w:lang w:val="en-US" w:eastAsia="zh-CN" w:bidi="ar-SA"/>
              </w:rPr>
            </w:pPr>
            <w:r>
              <w:rPr>
                <w:rFonts w:hint="eastAsia" w:ascii="宋体" w:hAnsi="宋体" w:eastAsia="宋体" w:cs="宋体"/>
                <w:kern w:val="0"/>
                <w:sz w:val="24"/>
                <w:szCs w:val="24"/>
                <w:lang w:val="en-US" w:eastAsia="zh-CN" w:bidi="ar-SA"/>
              </w:rPr>
              <w:t>电快速瞬变脉冲群抗扰度试验</w:t>
            </w:r>
          </w:p>
        </w:tc>
        <w:tc>
          <w:tcPr>
            <w:tcW w:w="5250" w:type="dxa"/>
            <w:tcBorders>
              <w:top w:val="single" w:color="000000" w:sz="4" w:space="0"/>
              <w:left w:val="single" w:color="000000" w:sz="4" w:space="0"/>
              <w:bottom w:val="single" w:color="000000" w:sz="4" w:space="0"/>
              <w:right w:val="single" w:color="000000" w:sz="4" w:space="0"/>
            </w:tcBorders>
            <w:vAlign w:val="center"/>
          </w:tcPr>
          <w:p>
            <w:pPr>
              <w:widowControl w:val="0"/>
              <w:wordWrap/>
              <w:spacing w:before="66" w:beforeAutospacing="0" w:after="0" w:afterAutospacing="0" w:line="360" w:lineRule="auto"/>
              <w:ind w:left="403" w:right="385"/>
              <w:jc w:val="center"/>
              <w:rPr>
                <w:rFonts w:hint="default" w:ascii="Times New Roman" w:hAnsi="Times New Roman" w:eastAsia="宋体" w:cs="Calibri"/>
                <w:kern w:val="0"/>
                <w:sz w:val="24"/>
                <w:szCs w:val="24"/>
                <w:lang w:val="en-US" w:eastAsia="en-US" w:bidi="ar-SA"/>
              </w:rPr>
            </w:pPr>
            <w:r>
              <w:rPr>
                <w:rFonts w:hint="eastAsia" w:ascii="宋体" w:hAnsi="宋体" w:eastAsia="宋体" w:cs="宋体"/>
                <w:kern w:val="0"/>
                <w:sz w:val="24"/>
                <w:szCs w:val="24"/>
                <w:lang w:val="en-US" w:eastAsia="en-US" w:bidi="ar-SA"/>
              </w:rPr>
              <w:t>GB/T 17626.4—20</w:t>
            </w:r>
            <w:r>
              <w:rPr>
                <w:rFonts w:hint="eastAsia" w:ascii="宋体" w:hAnsi="宋体" w:eastAsia="宋体" w:cs="宋体"/>
                <w:kern w:val="0"/>
                <w:sz w:val="24"/>
                <w:szCs w:val="24"/>
                <w:lang w:val="en-US" w:eastAsia="zh-CN" w:bidi="ar-SA"/>
              </w:rPr>
              <w:t>1</w:t>
            </w:r>
            <w:r>
              <w:rPr>
                <w:rFonts w:hint="eastAsia" w:ascii="宋体" w:hAnsi="宋体" w:eastAsia="宋体" w:cs="宋体"/>
                <w:kern w:val="0"/>
                <w:sz w:val="24"/>
                <w:szCs w:val="24"/>
                <w:lang w:val="en-US" w:eastAsia="en-US" w:bidi="ar-SA"/>
              </w:rPr>
              <w:t>8；IEC 61000-4-4：2004</w:t>
            </w:r>
          </w:p>
        </w:tc>
        <w:tc>
          <w:tcPr>
            <w:tcW w:w="1200" w:type="dxa"/>
            <w:tcBorders>
              <w:top w:val="single" w:color="000000" w:sz="4" w:space="0"/>
              <w:left w:val="single" w:color="000000" w:sz="4" w:space="0"/>
              <w:bottom w:val="single" w:color="000000" w:sz="4" w:space="0"/>
            </w:tcBorders>
            <w:vAlign w:val="center"/>
          </w:tcPr>
          <w:p>
            <w:pPr>
              <w:widowControl w:val="0"/>
              <w:wordWrap/>
              <w:spacing w:before="66" w:beforeAutospacing="0" w:after="0" w:afterAutospacing="0" w:line="360" w:lineRule="auto"/>
              <w:ind w:left="186" w:right="163"/>
              <w:jc w:val="center"/>
              <w:rPr>
                <w:rFonts w:hint="default" w:ascii="Times New Roman" w:hAnsi="Times New Roman" w:eastAsia="宋体" w:cs="Calibri"/>
                <w:kern w:val="0"/>
                <w:sz w:val="24"/>
                <w:szCs w:val="24"/>
                <w:lang w:val="en-US" w:eastAsia="en-US" w:bidi="ar-SA"/>
              </w:rPr>
            </w:pPr>
            <w:r>
              <w:rPr>
                <w:rFonts w:hint="eastAsia" w:ascii="宋体" w:hAnsi="宋体" w:eastAsia="宋体" w:cs="宋体"/>
                <w:kern w:val="0"/>
                <w:sz w:val="24"/>
                <w:szCs w:val="24"/>
                <w:lang w:val="en-US" w:eastAsia="en-US" w:bidi="ar-SA"/>
              </w:rPr>
              <w:t>4 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7" w:hRule="exact"/>
          <w:jc w:val="center"/>
        </w:trPr>
        <w:tc>
          <w:tcPr>
            <w:tcW w:w="2438" w:type="dxa"/>
            <w:tcBorders>
              <w:top w:val="single" w:color="000000" w:sz="4" w:space="0"/>
              <w:bottom w:val="single" w:color="000000" w:sz="4" w:space="0"/>
              <w:right w:val="single" w:color="000000" w:sz="4" w:space="0"/>
            </w:tcBorders>
            <w:vAlign w:val="center"/>
          </w:tcPr>
          <w:p>
            <w:pPr>
              <w:widowControl w:val="0"/>
              <w:wordWrap/>
              <w:spacing w:before="66" w:beforeAutospacing="0" w:after="0" w:afterAutospacing="0" w:line="360" w:lineRule="auto"/>
              <w:ind w:left="339" w:right="328"/>
              <w:jc w:val="center"/>
              <w:rPr>
                <w:rFonts w:hint="default" w:ascii="Times New Roman" w:hAnsi="Times New Roman" w:eastAsia="宋体" w:cs="Calibri"/>
                <w:kern w:val="0"/>
                <w:sz w:val="24"/>
                <w:szCs w:val="24"/>
                <w:lang w:val="en-US" w:eastAsia="zh-CN" w:bidi="ar-SA"/>
              </w:rPr>
            </w:pPr>
            <w:r>
              <w:rPr>
                <w:rFonts w:hint="eastAsia" w:ascii="宋体" w:hAnsi="宋体" w:eastAsia="宋体" w:cs="宋体"/>
                <w:kern w:val="0"/>
                <w:sz w:val="24"/>
                <w:szCs w:val="24"/>
                <w:lang w:val="en-US" w:eastAsia="zh-CN" w:bidi="ar-SA"/>
              </w:rPr>
              <w:t>浪涌（冲击）抗扰度试验</w:t>
            </w:r>
          </w:p>
        </w:tc>
        <w:tc>
          <w:tcPr>
            <w:tcW w:w="5250" w:type="dxa"/>
            <w:tcBorders>
              <w:top w:val="single" w:color="000000" w:sz="4" w:space="0"/>
              <w:left w:val="single" w:color="000000" w:sz="4" w:space="0"/>
              <w:bottom w:val="single" w:color="000000" w:sz="4" w:space="0"/>
              <w:right w:val="single" w:color="000000" w:sz="4" w:space="0"/>
            </w:tcBorders>
            <w:vAlign w:val="center"/>
          </w:tcPr>
          <w:p>
            <w:pPr>
              <w:widowControl w:val="0"/>
              <w:wordWrap/>
              <w:spacing w:before="66" w:beforeAutospacing="0" w:after="0" w:afterAutospacing="0" w:line="360" w:lineRule="auto"/>
              <w:ind w:left="403" w:right="387"/>
              <w:jc w:val="center"/>
              <w:rPr>
                <w:rFonts w:hint="default" w:ascii="Times New Roman" w:hAnsi="Times New Roman" w:eastAsia="宋体" w:cs="Calibri"/>
                <w:kern w:val="0"/>
                <w:sz w:val="24"/>
                <w:szCs w:val="24"/>
                <w:lang w:val="en-US" w:eastAsia="en-US" w:bidi="ar-SA"/>
              </w:rPr>
            </w:pPr>
            <w:r>
              <w:rPr>
                <w:rFonts w:hint="eastAsia" w:ascii="宋体" w:hAnsi="宋体" w:eastAsia="宋体" w:cs="宋体"/>
                <w:kern w:val="0"/>
                <w:sz w:val="24"/>
                <w:szCs w:val="24"/>
                <w:lang w:val="en-US" w:eastAsia="en-US" w:bidi="ar-SA"/>
              </w:rPr>
              <w:t>GB/T 17626.5—20</w:t>
            </w:r>
            <w:r>
              <w:rPr>
                <w:rFonts w:hint="eastAsia" w:ascii="宋体" w:hAnsi="宋体" w:eastAsia="宋体" w:cs="宋体"/>
                <w:kern w:val="0"/>
                <w:sz w:val="24"/>
                <w:szCs w:val="24"/>
                <w:lang w:val="en-US" w:eastAsia="zh-CN" w:bidi="ar-SA"/>
              </w:rPr>
              <w:t>19</w:t>
            </w:r>
            <w:r>
              <w:rPr>
                <w:rFonts w:hint="eastAsia" w:ascii="宋体" w:hAnsi="宋体" w:eastAsia="宋体" w:cs="宋体"/>
                <w:kern w:val="0"/>
                <w:sz w:val="24"/>
                <w:szCs w:val="24"/>
                <w:lang w:val="en-US" w:eastAsia="en-US" w:bidi="ar-SA"/>
              </w:rPr>
              <w:t>；IEC 61000-4-5：2005</w:t>
            </w:r>
          </w:p>
        </w:tc>
        <w:tc>
          <w:tcPr>
            <w:tcW w:w="1200" w:type="dxa"/>
            <w:tcBorders>
              <w:top w:val="single" w:color="000000" w:sz="4" w:space="0"/>
              <w:left w:val="single" w:color="000000" w:sz="4" w:space="0"/>
              <w:bottom w:val="single" w:color="000000" w:sz="4" w:space="0"/>
            </w:tcBorders>
            <w:vAlign w:val="center"/>
          </w:tcPr>
          <w:p>
            <w:pPr>
              <w:widowControl w:val="0"/>
              <w:wordWrap/>
              <w:spacing w:before="66" w:beforeAutospacing="0" w:after="0" w:afterAutospacing="0" w:line="360" w:lineRule="auto"/>
              <w:ind w:left="186" w:right="163"/>
              <w:jc w:val="center"/>
              <w:rPr>
                <w:rFonts w:hint="default" w:ascii="Times New Roman" w:hAnsi="Times New Roman" w:eastAsia="宋体" w:cs="Calibri"/>
                <w:kern w:val="0"/>
                <w:sz w:val="24"/>
                <w:szCs w:val="24"/>
                <w:lang w:val="en-US" w:eastAsia="en-US" w:bidi="ar-SA"/>
              </w:rPr>
            </w:pPr>
            <w:r>
              <w:rPr>
                <w:rFonts w:hint="eastAsia" w:ascii="宋体" w:hAnsi="宋体" w:eastAsia="宋体" w:cs="宋体"/>
                <w:kern w:val="0"/>
                <w:sz w:val="24"/>
                <w:szCs w:val="24"/>
                <w:lang w:val="en-US" w:eastAsia="en-US" w:bidi="ar-SA"/>
              </w:rPr>
              <w:t>4 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7" w:hRule="exact"/>
          <w:jc w:val="center"/>
        </w:trPr>
        <w:tc>
          <w:tcPr>
            <w:tcW w:w="2438" w:type="dxa"/>
            <w:tcBorders>
              <w:top w:val="single" w:color="000000" w:sz="4" w:space="0"/>
              <w:bottom w:val="single" w:color="000000" w:sz="4" w:space="0"/>
              <w:right w:val="single" w:color="000000" w:sz="4" w:space="0"/>
            </w:tcBorders>
            <w:vAlign w:val="center"/>
          </w:tcPr>
          <w:p>
            <w:pPr>
              <w:widowControl w:val="0"/>
              <w:wordWrap/>
              <w:spacing w:before="66" w:beforeAutospacing="0" w:after="0" w:afterAutospacing="0" w:line="360" w:lineRule="auto"/>
              <w:ind w:left="341" w:right="328"/>
              <w:jc w:val="center"/>
              <w:rPr>
                <w:rFonts w:hint="default" w:ascii="Times New Roman" w:hAnsi="Times New Roman" w:eastAsia="宋体" w:cs="Calibri"/>
                <w:kern w:val="0"/>
                <w:sz w:val="24"/>
                <w:szCs w:val="24"/>
                <w:lang w:val="en-US" w:eastAsia="zh-CN" w:bidi="ar-SA"/>
              </w:rPr>
            </w:pPr>
            <w:r>
              <w:rPr>
                <w:rFonts w:hint="eastAsia" w:ascii="宋体" w:hAnsi="宋体" w:eastAsia="宋体" w:cs="宋体"/>
                <w:kern w:val="0"/>
                <w:sz w:val="24"/>
                <w:szCs w:val="24"/>
                <w:lang w:val="en-US" w:eastAsia="zh-CN" w:bidi="ar-SA"/>
              </w:rPr>
              <w:t>射频场感应的传导骚扰抗扰度</w:t>
            </w:r>
          </w:p>
        </w:tc>
        <w:tc>
          <w:tcPr>
            <w:tcW w:w="5250" w:type="dxa"/>
            <w:tcBorders>
              <w:top w:val="single" w:color="000000" w:sz="4" w:space="0"/>
              <w:left w:val="single" w:color="000000" w:sz="4" w:space="0"/>
              <w:bottom w:val="single" w:color="000000" w:sz="4" w:space="0"/>
              <w:right w:val="single" w:color="000000" w:sz="4" w:space="0"/>
            </w:tcBorders>
            <w:vAlign w:val="center"/>
          </w:tcPr>
          <w:p>
            <w:pPr>
              <w:widowControl w:val="0"/>
              <w:wordWrap/>
              <w:spacing w:before="66" w:beforeAutospacing="0" w:after="0" w:afterAutospacing="0" w:line="360" w:lineRule="auto"/>
              <w:ind w:left="403" w:right="387"/>
              <w:jc w:val="center"/>
              <w:rPr>
                <w:rFonts w:hint="default" w:ascii="Times New Roman" w:hAnsi="Times New Roman" w:eastAsia="宋体" w:cs="Calibri"/>
                <w:kern w:val="0"/>
                <w:sz w:val="24"/>
                <w:szCs w:val="24"/>
                <w:lang w:val="en-US" w:eastAsia="en-US" w:bidi="ar-SA"/>
              </w:rPr>
            </w:pPr>
            <w:r>
              <w:rPr>
                <w:rFonts w:hint="eastAsia" w:ascii="宋体" w:hAnsi="宋体" w:eastAsia="宋体" w:cs="宋体"/>
                <w:kern w:val="0"/>
                <w:sz w:val="24"/>
                <w:szCs w:val="24"/>
                <w:lang w:val="en-US" w:eastAsia="en-US" w:bidi="ar-SA"/>
              </w:rPr>
              <w:t>GB/T 17626.6—20</w:t>
            </w:r>
            <w:r>
              <w:rPr>
                <w:rFonts w:hint="eastAsia" w:ascii="宋体" w:hAnsi="宋体" w:eastAsia="宋体" w:cs="宋体"/>
                <w:kern w:val="0"/>
                <w:sz w:val="24"/>
                <w:szCs w:val="24"/>
                <w:lang w:val="en-US" w:eastAsia="zh-CN" w:bidi="ar-SA"/>
              </w:rPr>
              <w:t>17</w:t>
            </w:r>
            <w:r>
              <w:rPr>
                <w:rFonts w:hint="eastAsia" w:ascii="宋体" w:hAnsi="宋体" w:eastAsia="宋体" w:cs="宋体"/>
                <w:kern w:val="0"/>
                <w:sz w:val="24"/>
                <w:szCs w:val="24"/>
                <w:lang w:val="en-US" w:eastAsia="en-US" w:bidi="ar-SA"/>
              </w:rPr>
              <w:t>；IEC 61000-4-6：2006</w:t>
            </w:r>
          </w:p>
        </w:tc>
        <w:tc>
          <w:tcPr>
            <w:tcW w:w="1200" w:type="dxa"/>
            <w:tcBorders>
              <w:top w:val="single" w:color="000000" w:sz="4" w:space="0"/>
              <w:left w:val="single" w:color="000000" w:sz="4" w:space="0"/>
              <w:bottom w:val="single" w:color="000000" w:sz="4" w:space="0"/>
            </w:tcBorders>
            <w:vAlign w:val="center"/>
          </w:tcPr>
          <w:p>
            <w:pPr>
              <w:widowControl w:val="0"/>
              <w:wordWrap/>
              <w:spacing w:before="66" w:beforeAutospacing="0" w:after="0" w:afterAutospacing="0" w:line="360" w:lineRule="auto"/>
              <w:ind w:left="186" w:right="163"/>
              <w:jc w:val="center"/>
              <w:rPr>
                <w:rFonts w:hint="default" w:ascii="Times New Roman" w:hAnsi="Times New Roman" w:eastAsia="宋体" w:cs="Calibri"/>
                <w:kern w:val="0"/>
                <w:sz w:val="24"/>
                <w:szCs w:val="24"/>
                <w:lang w:val="en-US" w:eastAsia="en-US" w:bidi="ar-SA"/>
              </w:rPr>
            </w:pPr>
            <w:r>
              <w:rPr>
                <w:rFonts w:hint="eastAsia" w:ascii="宋体" w:hAnsi="宋体" w:eastAsia="宋体" w:cs="宋体"/>
                <w:kern w:val="0"/>
                <w:sz w:val="24"/>
                <w:szCs w:val="24"/>
                <w:lang w:val="en-US" w:eastAsia="en-US" w:bidi="ar-SA"/>
              </w:rPr>
              <w:t>3 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7" w:hRule="exact"/>
          <w:jc w:val="center"/>
        </w:trPr>
        <w:tc>
          <w:tcPr>
            <w:tcW w:w="2438" w:type="dxa"/>
            <w:tcBorders>
              <w:top w:val="single" w:color="000000" w:sz="4" w:space="0"/>
              <w:bottom w:val="single" w:color="000000" w:sz="4" w:space="0"/>
              <w:right w:val="single" w:color="000000" w:sz="4" w:space="0"/>
            </w:tcBorders>
            <w:vAlign w:val="center"/>
          </w:tcPr>
          <w:p>
            <w:pPr>
              <w:widowControl w:val="0"/>
              <w:wordWrap/>
              <w:spacing w:before="63" w:beforeAutospacing="0" w:after="0" w:afterAutospacing="0" w:line="360" w:lineRule="auto"/>
              <w:ind w:left="336" w:right="328"/>
              <w:jc w:val="center"/>
              <w:rPr>
                <w:rFonts w:hint="default" w:ascii="Times New Roman" w:hAnsi="Times New Roman" w:eastAsia="宋体" w:cs="Calibri"/>
                <w:kern w:val="0"/>
                <w:sz w:val="24"/>
                <w:szCs w:val="24"/>
                <w:lang w:val="en-US" w:eastAsia="en-US" w:bidi="ar-SA"/>
              </w:rPr>
            </w:pPr>
            <w:r>
              <w:rPr>
                <w:rFonts w:hint="eastAsia" w:ascii="宋体" w:hAnsi="宋体" w:eastAsia="宋体" w:cs="宋体"/>
                <w:kern w:val="0"/>
                <w:sz w:val="24"/>
                <w:szCs w:val="24"/>
                <w:lang w:val="en-US" w:eastAsia="en-US" w:bidi="ar-SA"/>
              </w:rPr>
              <w:t>工频磁场抗扰度试验</w:t>
            </w:r>
          </w:p>
        </w:tc>
        <w:tc>
          <w:tcPr>
            <w:tcW w:w="5250" w:type="dxa"/>
            <w:tcBorders>
              <w:top w:val="single" w:color="000000" w:sz="4" w:space="0"/>
              <w:left w:val="single" w:color="000000" w:sz="4" w:space="0"/>
              <w:bottom w:val="single" w:color="000000" w:sz="4" w:space="0"/>
              <w:right w:val="single" w:color="000000" w:sz="4" w:space="0"/>
            </w:tcBorders>
            <w:vAlign w:val="center"/>
          </w:tcPr>
          <w:p>
            <w:pPr>
              <w:widowControl w:val="0"/>
              <w:wordWrap/>
              <w:spacing w:before="66" w:beforeAutospacing="0" w:after="0" w:afterAutospacing="0" w:line="360" w:lineRule="auto"/>
              <w:ind w:left="403" w:right="387"/>
              <w:jc w:val="center"/>
              <w:rPr>
                <w:rFonts w:hint="default" w:ascii="Times New Roman" w:hAnsi="Times New Roman" w:eastAsia="宋体" w:cs="Calibri"/>
                <w:kern w:val="0"/>
                <w:sz w:val="24"/>
                <w:szCs w:val="24"/>
                <w:lang w:val="en-US" w:eastAsia="en-US" w:bidi="ar-SA"/>
              </w:rPr>
            </w:pPr>
            <w:r>
              <w:rPr>
                <w:rFonts w:hint="eastAsia" w:ascii="宋体" w:hAnsi="宋体" w:eastAsia="宋体" w:cs="宋体"/>
                <w:kern w:val="0"/>
                <w:sz w:val="24"/>
                <w:szCs w:val="24"/>
                <w:lang w:val="en-US" w:eastAsia="en-US" w:bidi="ar-SA"/>
              </w:rPr>
              <w:t>GB/T 17626.8—2006；IEC 61000-4-8：2001</w:t>
            </w:r>
          </w:p>
        </w:tc>
        <w:tc>
          <w:tcPr>
            <w:tcW w:w="1200" w:type="dxa"/>
            <w:tcBorders>
              <w:top w:val="single" w:color="000000" w:sz="4" w:space="0"/>
              <w:left w:val="single" w:color="000000" w:sz="4" w:space="0"/>
              <w:bottom w:val="single" w:color="000000" w:sz="4" w:space="0"/>
            </w:tcBorders>
            <w:vAlign w:val="center"/>
          </w:tcPr>
          <w:p>
            <w:pPr>
              <w:widowControl w:val="0"/>
              <w:wordWrap/>
              <w:spacing w:before="66" w:beforeAutospacing="0" w:after="0" w:afterAutospacing="0" w:line="360" w:lineRule="auto"/>
              <w:ind w:left="186" w:right="163"/>
              <w:jc w:val="center"/>
              <w:rPr>
                <w:rFonts w:hint="default" w:ascii="Times New Roman" w:hAnsi="Times New Roman" w:eastAsia="宋体" w:cs="Calibri"/>
                <w:kern w:val="0"/>
                <w:sz w:val="24"/>
                <w:szCs w:val="24"/>
                <w:lang w:val="en-US" w:eastAsia="en-US" w:bidi="ar-SA"/>
              </w:rPr>
            </w:pPr>
            <w:r>
              <w:rPr>
                <w:rFonts w:hint="eastAsia" w:ascii="宋体" w:hAnsi="宋体" w:eastAsia="宋体" w:cs="宋体"/>
                <w:kern w:val="0"/>
                <w:sz w:val="24"/>
                <w:szCs w:val="24"/>
                <w:lang w:val="en-US" w:eastAsia="en-US" w:bidi="ar-SA"/>
              </w:rPr>
              <w:t>4 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7" w:hRule="exact"/>
          <w:jc w:val="center"/>
        </w:trPr>
        <w:tc>
          <w:tcPr>
            <w:tcW w:w="2438" w:type="dxa"/>
            <w:tcBorders>
              <w:top w:val="single" w:color="000000" w:sz="4" w:space="0"/>
              <w:bottom w:val="single" w:color="000000" w:sz="4" w:space="0"/>
              <w:right w:val="single" w:color="000000" w:sz="4" w:space="0"/>
            </w:tcBorders>
            <w:vAlign w:val="center"/>
          </w:tcPr>
          <w:p>
            <w:pPr>
              <w:widowControl w:val="0"/>
              <w:wordWrap/>
              <w:spacing w:before="66" w:beforeAutospacing="0" w:after="0" w:afterAutospacing="0" w:line="360" w:lineRule="auto"/>
              <w:ind w:left="339" w:right="328"/>
              <w:jc w:val="center"/>
              <w:rPr>
                <w:rFonts w:hint="default" w:ascii="Times New Roman" w:hAnsi="Times New Roman" w:eastAsia="宋体" w:cs="Calibri"/>
                <w:kern w:val="0"/>
                <w:sz w:val="24"/>
                <w:szCs w:val="24"/>
                <w:lang w:val="en-US" w:eastAsia="en-US" w:bidi="ar-SA"/>
              </w:rPr>
            </w:pPr>
            <w:r>
              <w:rPr>
                <w:rFonts w:hint="eastAsia" w:ascii="宋体" w:hAnsi="宋体" w:eastAsia="宋体" w:cs="宋体"/>
                <w:kern w:val="0"/>
                <w:sz w:val="24"/>
                <w:szCs w:val="24"/>
                <w:lang w:val="en-US" w:eastAsia="en-US" w:bidi="ar-SA"/>
              </w:rPr>
              <w:t>振铃波抗扰度试验</w:t>
            </w:r>
          </w:p>
        </w:tc>
        <w:tc>
          <w:tcPr>
            <w:tcW w:w="5250" w:type="dxa"/>
            <w:tcBorders>
              <w:top w:val="single" w:color="000000" w:sz="4" w:space="0"/>
              <w:left w:val="single" w:color="000000" w:sz="4" w:space="0"/>
              <w:bottom w:val="single" w:color="000000" w:sz="4" w:space="0"/>
              <w:right w:val="single" w:color="000000" w:sz="4" w:space="0"/>
            </w:tcBorders>
            <w:vAlign w:val="center"/>
          </w:tcPr>
          <w:p>
            <w:pPr>
              <w:widowControl w:val="0"/>
              <w:wordWrap/>
              <w:spacing w:before="66" w:beforeAutospacing="0" w:after="0" w:afterAutospacing="0" w:line="360" w:lineRule="auto"/>
              <w:ind w:left="403" w:right="387"/>
              <w:jc w:val="center"/>
              <w:rPr>
                <w:rFonts w:hint="default" w:ascii="Times New Roman" w:hAnsi="Times New Roman" w:eastAsia="宋体" w:cs="Calibri"/>
                <w:kern w:val="0"/>
                <w:sz w:val="24"/>
                <w:szCs w:val="24"/>
                <w:lang w:val="en-US" w:eastAsia="en-US" w:bidi="ar-SA"/>
              </w:rPr>
            </w:pPr>
            <w:r>
              <w:rPr>
                <w:rFonts w:hint="eastAsia" w:ascii="宋体" w:hAnsi="宋体" w:eastAsia="宋体" w:cs="宋体"/>
                <w:kern w:val="0"/>
                <w:sz w:val="24"/>
                <w:szCs w:val="24"/>
                <w:lang w:val="en-US" w:eastAsia="en-US" w:bidi="ar-SA"/>
              </w:rPr>
              <w:t>GB/T 17626.12—2013；IEC 61000-4-12：2006</w:t>
            </w:r>
          </w:p>
        </w:tc>
        <w:tc>
          <w:tcPr>
            <w:tcW w:w="1200" w:type="dxa"/>
            <w:tcBorders>
              <w:top w:val="single" w:color="000000" w:sz="4" w:space="0"/>
              <w:left w:val="single" w:color="000000" w:sz="4" w:space="0"/>
              <w:bottom w:val="single" w:color="000000" w:sz="4" w:space="0"/>
            </w:tcBorders>
            <w:vAlign w:val="center"/>
          </w:tcPr>
          <w:p>
            <w:pPr>
              <w:widowControl w:val="0"/>
              <w:wordWrap/>
              <w:spacing w:before="66" w:beforeAutospacing="0" w:after="0" w:afterAutospacing="0" w:line="360" w:lineRule="auto"/>
              <w:ind w:left="186" w:right="163"/>
              <w:jc w:val="center"/>
              <w:rPr>
                <w:rFonts w:hint="default" w:ascii="Times New Roman" w:hAnsi="Times New Roman" w:eastAsia="宋体" w:cs="Calibri"/>
                <w:kern w:val="0"/>
                <w:sz w:val="24"/>
                <w:szCs w:val="24"/>
                <w:lang w:val="en-US" w:eastAsia="en-US" w:bidi="ar-SA"/>
              </w:rPr>
            </w:pPr>
            <w:r>
              <w:rPr>
                <w:rFonts w:hint="eastAsia" w:ascii="宋体" w:hAnsi="宋体" w:eastAsia="宋体" w:cs="宋体"/>
                <w:kern w:val="0"/>
                <w:sz w:val="24"/>
                <w:szCs w:val="24"/>
                <w:lang w:val="en-US" w:eastAsia="en-US" w:bidi="ar-SA"/>
              </w:rPr>
              <w:t>3 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7" w:hRule="exact"/>
          <w:jc w:val="center"/>
        </w:trPr>
        <w:tc>
          <w:tcPr>
            <w:tcW w:w="2438" w:type="dxa"/>
            <w:tcBorders>
              <w:top w:val="single" w:color="000000" w:sz="4" w:space="0"/>
              <w:right w:val="single" w:color="000000" w:sz="4" w:space="0"/>
            </w:tcBorders>
            <w:vAlign w:val="center"/>
          </w:tcPr>
          <w:p>
            <w:pPr>
              <w:widowControl w:val="0"/>
              <w:wordWrap/>
              <w:spacing w:before="63" w:beforeAutospacing="0" w:after="0" w:afterAutospacing="0" w:line="360" w:lineRule="auto"/>
              <w:ind w:left="339" w:right="328"/>
              <w:jc w:val="center"/>
              <w:rPr>
                <w:rFonts w:hint="default" w:ascii="Times New Roman" w:hAnsi="Times New Roman" w:eastAsia="宋体" w:cs="Calibri"/>
                <w:kern w:val="0"/>
                <w:sz w:val="24"/>
                <w:szCs w:val="24"/>
                <w:lang w:val="en-US" w:eastAsia="en-US" w:bidi="ar-SA"/>
              </w:rPr>
            </w:pPr>
          </w:p>
        </w:tc>
        <w:tc>
          <w:tcPr>
            <w:tcW w:w="5250" w:type="dxa"/>
            <w:tcBorders>
              <w:top w:val="single" w:color="000000" w:sz="4" w:space="0"/>
              <w:left w:val="single" w:color="000000" w:sz="4" w:space="0"/>
              <w:right w:val="single" w:color="000000" w:sz="4" w:space="0"/>
            </w:tcBorders>
            <w:vAlign w:val="center"/>
          </w:tcPr>
          <w:p>
            <w:pPr>
              <w:widowControl w:val="0"/>
              <w:wordWrap/>
              <w:spacing w:before="66" w:beforeAutospacing="0" w:after="0" w:afterAutospacing="0" w:line="360" w:lineRule="auto"/>
              <w:ind w:left="403" w:right="387"/>
              <w:jc w:val="center"/>
              <w:rPr>
                <w:rFonts w:hint="default" w:ascii="Times New Roman" w:hAnsi="Times New Roman" w:eastAsia="宋体" w:cs="Calibri"/>
                <w:kern w:val="0"/>
                <w:sz w:val="24"/>
                <w:szCs w:val="24"/>
                <w:lang w:val="en-US" w:eastAsia="en-US" w:bidi="ar-SA"/>
              </w:rPr>
            </w:pPr>
            <w:r>
              <w:rPr>
                <w:rFonts w:hint="eastAsia" w:ascii="宋体" w:hAnsi="宋体" w:eastAsia="宋体" w:cs="宋体"/>
                <w:kern w:val="0"/>
                <w:sz w:val="24"/>
                <w:szCs w:val="24"/>
                <w:lang w:val="en-US" w:eastAsia="en-US" w:bidi="ar-SA"/>
              </w:rPr>
              <w:t>GB 9254—2008；CISPR 22：2006</w:t>
            </w:r>
          </w:p>
        </w:tc>
        <w:tc>
          <w:tcPr>
            <w:tcW w:w="1200" w:type="dxa"/>
            <w:tcBorders>
              <w:top w:val="single" w:color="000000" w:sz="4" w:space="0"/>
              <w:left w:val="single" w:color="000000" w:sz="4" w:space="0"/>
            </w:tcBorders>
            <w:vAlign w:val="center"/>
          </w:tcPr>
          <w:p>
            <w:pPr>
              <w:widowControl w:val="0"/>
              <w:wordWrap/>
              <w:spacing w:before="66" w:beforeAutospacing="0" w:after="0" w:afterAutospacing="0" w:line="360" w:lineRule="auto"/>
              <w:ind w:left="183" w:right="163"/>
              <w:jc w:val="center"/>
              <w:rPr>
                <w:rFonts w:hint="default" w:ascii="Times New Roman" w:hAnsi="Times New Roman" w:eastAsia="宋体" w:cs="Calibri"/>
                <w:kern w:val="0"/>
                <w:sz w:val="24"/>
                <w:szCs w:val="24"/>
                <w:lang w:val="en-US" w:eastAsia="en-US" w:bidi="ar-SA"/>
              </w:rPr>
            </w:pPr>
            <w:r>
              <w:rPr>
                <w:rFonts w:hint="eastAsia" w:ascii="宋体" w:hAnsi="宋体" w:eastAsia="宋体" w:cs="宋体"/>
                <w:kern w:val="0"/>
                <w:sz w:val="24"/>
                <w:szCs w:val="24"/>
                <w:lang w:val="en-US" w:eastAsia="en-US" w:bidi="ar-SA"/>
              </w:rPr>
              <w:t>B 级</w:t>
            </w:r>
          </w:p>
        </w:tc>
      </w:tr>
    </w:tbl>
    <w:p>
      <w:pPr>
        <w:keepNext/>
        <w:keepLines/>
        <w:widowControl w:val="0"/>
        <w:numPr>
          <w:numId w:val="0"/>
        </w:numPr>
        <w:wordWrap/>
        <w:spacing w:before="0" w:beforeLines="0" w:after="0" w:afterLines="0" w:line="360" w:lineRule="auto"/>
        <w:jc w:val="both"/>
        <w:outlineLvl w:val="1"/>
        <w:rPr>
          <w:rFonts w:hint="eastAsia" w:ascii="宋体" w:hAnsi="宋体" w:eastAsia="宋体" w:cs="宋体"/>
          <w:b/>
          <w:bCs/>
          <w:kern w:val="2"/>
          <w:sz w:val="24"/>
          <w:szCs w:val="24"/>
          <w:lang w:val="en-US" w:eastAsia="zh-CN" w:bidi="ar-SA"/>
        </w:rPr>
      </w:pPr>
      <w:bookmarkStart w:id="83" w:name="_Toc69204992"/>
    </w:p>
    <w:p>
      <w:pPr>
        <w:keepNext/>
        <w:keepLines/>
        <w:widowControl w:val="0"/>
        <w:numPr>
          <w:numId w:val="0"/>
        </w:numPr>
        <w:wordWrap/>
        <w:spacing w:before="0" w:beforeLines="0" w:after="0" w:afterLines="0" w:line="360" w:lineRule="auto"/>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（七）微机综合保护装置</w:t>
      </w:r>
    </w:p>
    <w:p>
      <w:pPr>
        <w:wordWrap/>
        <w:adjustRightInd/>
        <w:spacing w:line="360" w:lineRule="auto"/>
        <w:ind w:firstLine="482" w:firstLineChars="200"/>
        <w:rPr>
          <w:rFonts w:ascii="宋体" w:hAnsi="宋体" w:eastAsia="宋体" w:cs="宋体"/>
          <w:b/>
          <w:sz w:val="24"/>
        </w:rPr>
      </w:pPr>
      <w:r>
        <w:rPr>
          <w:rFonts w:hint="eastAsia" w:ascii="宋体" w:hAnsi="宋体" w:eastAsia="宋体" w:cs="宋体"/>
          <w:b/>
          <w:sz w:val="24"/>
          <w:lang w:val="en-US" w:eastAsia="zh-CN"/>
        </w:rPr>
        <w:t>7.1</w:t>
      </w:r>
      <w:r>
        <w:rPr>
          <w:rFonts w:hint="eastAsia" w:ascii="宋体" w:hAnsi="宋体" w:eastAsia="宋体" w:cs="宋体"/>
          <w:b/>
          <w:sz w:val="24"/>
        </w:rPr>
        <w:t>产品功能</w:t>
      </w:r>
    </w:p>
    <w:p>
      <w:pPr>
        <w:widowControl w:val="0"/>
        <w:shd w:val="clear" w:color="auto" w:fill="FFFFFF"/>
        <w:wordWrap/>
        <w:spacing w:before="120" w:beforeLines="50" w:line="360" w:lineRule="auto"/>
        <w:ind w:left="237" w:right="236"/>
        <w:jc w:val="center"/>
        <w:rPr>
          <w:rFonts w:ascii="仿宋_GB2312" w:hAnsi="_x000B__x000C_" w:eastAsia="仿宋_GB2312" w:cs="宋体"/>
          <w:b/>
          <w:bCs/>
          <w:kern w:val="2"/>
          <w:sz w:val="24"/>
          <w:szCs w:val="24"/>
          <w:lang w:val="en-US" w:eastAsia="zh-CN" w:bidi="ar-SA"/>
        </w:rPr>
      </w:pPr>
      <w:r>
        <w:rPr>
          <w:rFonts w:hint="eastAsia" w:ascii="宋体" w:hAnsi="宋体" w:eastAsia="宋体" w:cs="宋体"/>
          <w:b/>
          <w:bCs/>
          <w:kern w:val="2"/>
          <w:sz w:val="24"/>
          <w:szCs w:val="24"/>
          <w:lang w:val="en-US" w:eastAsia="zh-CN" w:bidi="ar-SA"/>
        </w:rPr>
        <w:t>表 1-1 基本功能</w:t>
      </w:r>
    </w:p>
    <w:tbl>
      <w:tblPr>
        <w:tblStyle w:val="74"/>
        <w:tblW w:w="909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788"/>
        <w:gridCol w:w="730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jc w:val="center"/>
        </w:trPr>
        <w:tc>
          <w:tcPr>
            <w:tcW w:w="1788" w:type="dxa"/>
            <w:shd w:val="clear" w:color="auto" w:fill="E4E4E4"/>
            <w:vAlign w:val="top"/>
          </w:tcPr>
          <w:p>
            <w:pPr>
              <w:widowControl w:val="0"/>
              <w:wordWrap/>
              <w:spacing w:before="66" w:beforeAutospacing="0" w:after="0" w:afterAutospacing="0" w:line="360" w:lineRule="auto"/>
              <w:ind w:left="208" w:right="191"/>
              <w:jc w:val="center"/>
              <w:rPr>
                <w:rFonts w:hint="eastAsia" w:ascii="宋体" w:hAnsi="宋体" w:eastAsia="宋体" w:cs="宋体"/>
                <w:kern w:val="0"/>
                <w:sz w:val="24"/>
                <w:szCs w:val="24"/>
                <w:lang w:val="en-US" w:eastAsia="en-US" w:bidi="ar-SA"/>
              </w:rPr>
            </w:pPr>
            <w:r>
              <w:rPr>
                <w:rFonts w:hint="eastAsia" w:ascii="宋体" w:hAnsi="宋体" w:eastAsia="宋体" w:cs="宋体"/>
                <w:kern w:val="0"/>
                <w:sz w:val="24"/>
                <w:szCs w:val="24"/>
                <w:lang w:val="en-US" w:eastAsia="en-US" w:bidi="ar-SA"/>
              </w:rPr>
              <w:t>功能</w:t>
            </w:r>
          </w:p>
        </w:tc>
        <w:tc>
          <w:tcPr>
            <w:tcW w:w="7305" w:type="dxa"/>
            <w:shd w:val="clear" w:color="auto" w:fill="E4E4E4"/>
            <w:vAlign w:val="center"/>
          </w:tcPr>
          <w:p>
            <w:pPr>
              <w:widowControl w:val="0"/>
              <w:wordWrap/>
              <w:spacing w:before="66" w:beforeAutospacing="0" w:after="0" w:afterAutospacing="0" w:line="360" w:lineRule="auto"/>
              <w:ind w:left="0" w:right="3992"/>
              <w:jc w:val="right"/>
              <w:rPr>
                <w:rFonts w:hint="eastAsia" w:ascii="宋体" w:hAnsi="宋体" w:eastAsia="宋体" w:cs="宋体"/>
                <w:kern w:val="0"/>
                <w:sz w:val="24"/>
                <w:szCs w:val="24"/>
                <w:lang w:val="en-US" w:eastAsia="en-US" w:bidi="ar-SA"/>
              </w:rPr>
            </w:pPr>
            <w:r>
              <w:rPr>
                <w:rFonts w:hint="eastAsia" w:ascii="宋体" w:hAnsi="宋体" w:eastAsia="宋体" w:cs="宋体"/>
                <w:kern w:val="0"/>
                <w:sz w:val="24"/>
                <w:szCs w:val="24"/>
                <w:lang w:val="en-US" w:eastAsia="en-US" w:bidi="ar-SA"/>
              </w:rPr>
              <w:t>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42" w:hRule="atLeast"/>
          <w:jc w:val="center"/>
        </w:trPr>
        <w:tc>
          <w:tcPr>
            <w:tcW w:w="1788" w:type="dxa"/>
            <w:vAlign w:val="center"/>
          </w:tcPr>
          <w:p>
            <w:pPr>
              <w:widowControl w:val="0"/>
              <w:wordWrap/>
              <w:spacing w:before="0" w:beforeAutospacing="0" w:after="0" w:afterAutospacing="0" w:line="360" w:lineRule="auto"/>
              <w:ind w:left="0" w:right="311"/>
              <w:jc w:val="right"/>
              <w:rPr>
                <w:rFonts w:hint="eastAsia" w:ascii="宋体" w:hAnsi="宋体" w:eastAsia="宋体" w:cs="宋体"/>
                <w:kern w:val="0"/>
                <w:sz w:val="24"/>
                <w:szCs w:val="24"/>
                <w:lang w:val="en-US" w:eastAsia="en-US" w:bidi="ar-SA"/>
              </w:rPr>
            </w:pPr>
            <w:r>
              <w:rPr>
                <w:rFonts w:hint="eastAsia" w:ascii="宋体" w:hAnsi="宋体" w:eastAsia="宋体" w:cs="宋体"/>
                <w:kern w:val="0"/>
                <w:sz w:val="24"/>
                <w:szCs w:val="24"/>
                <w:lang w:val="en-US" w:eastAsia="en-US" w:bidi="ar-SA"/>
              </w:rPr>
              <w:t>输入和输出</w:t>
            </w:r>
          </w:p>
        </w:tc>
        <w:tc>
          <w:tcPr>
            <w:tcW w:w="7305" w:type="dxa"/>
            <w:vAlign w:val="center"/>
          </w:tcPr>
          <w:p>
            <w:pPr>
              <w:wordWrap/>
              <w:adjustRightInd/>
              <w:spacing w:before="62" w:beforeAutospacing="0" w:after="0" w:afterAutospacing="0" w:line="360" w:lineRule="auto"/>
              <w:ind w:left="0" w:right="0" w:firstLine="101"/>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 路电压输入：三相电压(VA、VB 、VC)、辅助电压(VX)</w:t>
            </w:r>
          </w:p>
          <w:p>
            <w:pPr>
              <w:wordWrap/>
              <w:adjustRightInd/>
              <w:spacing w:before="113" w:beforeAutospacing="0" w:after="0" w:afterAutospacing="0" w:line="360" w:lineRule="auto"/>
              <w:ind w:left="0" w:right="0" w:firstLine="101"/>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 路电流输入：保护电流(IA 、IB 、IC)、零序电流(IN)</w:t>
            </w:r>
          </w:p>
          <w:p>
            <w:pPr>
              <w:wordWrap/>
              <w:adjustRightInd/>
              <w:spacing w:before="111" w:beforeAutospacing="0" w:after="0" w:afterAutospacing="0" w:line="360" w:lineRule="auto"/>
              <w:ind w:left="0" w:right="0" w:firstLine="121"/>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10 路开关量输入：IN1～IN10(IN1 为合闸回路监视，IN2为跳闸回路监视)</w:t>
            </w:r>
          </w:p>
          <w:p>
            <w:pPr>
              <w:wordWrap/>
              <w:adjustRightInd/>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SA"/>
              </w:rPr>
              <w:t>多路继电器输出：Alarm、OUT1～OUT5（不带操作板）、OUT1～OUT6（带操作板）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81" w:hRule="atLeast"/>
          <w:jc w:val="center"/>
        </w:trPr>
        <w:tc>
          <w:tcPr>
            <w:tcW w:w="1788" w:type="dxa"/>
            <w:vAlign w:val="center"/>
          </w:tcPr>
          <w:p>
            <w:pPr>
              <w:widowControl w:val="0"/>
              <w:wordWrap/>
              <w:spacing w:before="0" w:beforeAutospacing="0" w:after="0" w:afterAutospacing="0" w:line="360" w:lineRule="auto"/>
              <w:ind w:left="0" w:right="311"/>
              <w:jc w:val="right"/>
              <w:rPr>
                <w:rFonts w:hint="eastAsia" w:ascii="宋体" w:hAnsi="宋体" w:eastAsia="宋体" w:cs="宋体"/>
                <w:kern w:val="0"/>
                <w:sz w:val="24"/>
                <w:szCs w:val="24"/>
                <w:lang w:val="en-US" w:eastAsia="en-US" w:bidi="ar-SA"/>
              </w:rPr>
            </w:pPr>
            <w:r>
              <w:rPr>
                <w:rFonts w:hint="eastAsia" w:ascii="宋体" w:hAnsi="宋体" w:eastAsia="宋体" w:cs="宋体"/>
                <w:kern w:val="0"/>
                <w:sz w:val="24"/>
                <w:szCs w:val="24"/>
                <w:lang w:val="en-US" w:eastAsia="en-US" w:bidi="ar-SA"/>
              </w:rPr>
              <w:t>保护配置</w:t>
            </w:r>
          </w:p>
        </w:tc>
        <w:tc>
          <w:tcPr>
            <w:tcW w:w="7305" w:type="dxa"/>
            <w:vAlign w:val="top"/>
          </w:tcPr>
          <w:p>
            <w:pPr>
              <w:wordWrap/>
              <w:adjustRightInd/>
              <w:spacing w:before="111" w:beforeAutospacing="0" w:after="0" w:afterAutospacing="0" w:line="360" w:lineRule="auto"/>
              <w:ind w:left="0" w:right="0" w:firstLine="121"/>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大电流闭锁保护、相电流充电保护、相电流加速保护、速断保护、限时速断保护、过 流保护(1段)、过负荷保护、反时限过流保护</w:t>
            </w:r>
          </w:p>
          <w:p>
            <w:pPr>
              <w:wordWrap/>
              <w:adjustRightInd/>
              <w:spacing w:before="111" w:beforeAutospacing="0" w:after="0" w:afterAutospacing="0" w:line="360" w:lineRule="auto"/>
              <w:ind w:left="0" w:right="0" w:firstLine="121"/>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零序过流保护(3 段)、零序反时限保护</w:t>
            </w:r>
          </w:p>
          <w:p>
            <w:pPr>
              <w:wordWrap/>
              <w:adjustRightInd/>
              <w:spacing w:before="111" w:beforeAutospacing="0" w:after="0" w:afterAutospacing="0" w:line="360" w:lineRule="auto"/>
              <w:ind w:left="0" w:right="0" w:firstLine="121"/>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负序过流保护(1段)、负序反时限保护</w:t>
            </w:r>
          </w:p>
          <w:p>
            <w:pPr>
              <w:wordWrap/>
              <w:adjustRightInd/>
              <w:spacing w:before="111" w:beforeAutospacing="0" w:after="0" w:afterAutospacing="0" w:line="360" w:lineRule="auto"/>
              <w:ind w:left="0" w:right="0" w:firstLine="121"/>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过电压保护(1段)、低电压保护(1段)、低压解列保护</w:t>
            </w:r>
          </w:p>
          <w:p>
            <w:pPr>
              <w:wordWrap/>
              <w:adjustRightInd/>
              <w:spacing w:before="111" w:beforeAutospacing="0" w:after="0" w:afterAutospacing="0" w:line="360" w:lineRule="auto"/>
              <w:ind w:left="0" w:right="0" w:firstLine="121"/>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VX 过压保护(1 段) 、VX 低压保护(1 段)</w:t>
            </w:r>
          </w:p>
          <w:p>
            <w:pPr>
              <w:wordWrap/>
              <w:adjustRightInd/>
              <w:spacing w:before="111" w:beforeAutospacing="0" w:after="0" w:afterAutospacing="0" w:line="360" w:lineRule="auto"/>
              <w:ind w:left="0" w:right="0" w:firstLine="121"/>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高周保护(1段)、低周保护(1段)</w:t>
            </w:r>
          </w:p>
          <w:p>
            <w:pPr>
              <w:wordWrap/>
              <w:adjustRightInd/>
              <w:spacing w:before="111" w:beforeAutospacing="0" w:after="0" w:afterAutospacing="0" w:line="360" w:lineRule="auto"/>
              <w:ind w:left="0" w:right="0" w:firstLine="121"/>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功率保护(1段)、检同期功能、重合闸功能、绝缘监视</w:t>
            </w:r>
          </w:p>
          <w:p>
            <w:pPr>
              <w:wordWrap/>
              <w:adjustRightInd/>
              <w:spacing w:before="111" w:beforeAutospacing="0" w:after="0" w:afterAutospacing="0" w:line="360" w:lineRule="auto"/>
              <w:ind w:left="0" w:right="0" w:firstLine="121"/>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TV 断线监视、TA 异常监视、控制回路监视</w:t>
            </w:r>
          </w:p>
          <w:p>
            <w:pPr>
              <w:wordWrap/>
              <w:adjustRightInd/>
              <w:spacing w:before="111" w:beforeAutospacing="0" w:after="0" w:afterAutospacing="0" w:line="360" w:lineRule="auto"/>
              <w:ind w:left="0" w:right="0" w:firstLine="121"/>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电动机运行状态判断、起动时间过长、过热保护、堵转保护</w:t>
            </w:r>
          </w:p>
          <w:p>
            <w:pPr>
              <w:wordWrap/>
              <w:adjustRightInd/>
              <w:spacing w:before="111" w:beforeAutospacing="0" w:after="0" w:afterAutospacing="0" w:line="360" w:lineRule="auto"/>
              <w:ind w:left="0" w:right="0" w:firstLine="121"/>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开关量保护(IN3～IN10)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70" w:hRule="atLeast"/>
          <w:jc w:val="center"/>
        </w:trPr>
        <w:tc>
          <w:tcPr>
            <w:tcW w:w="1788" w:type="dxa"/>
            <w:vAlign w:val="center"/>
          </w:tcPr>
          <w:p>
            <w:pPr>
              <w:widowControl w:val="0"/>
              <w:wordWrap/>
              <w:spacing w:before="0" w:beforeAutospacing="0" w:after="0" w:afterAutospacing="0" w:line="360" w:lineRule="auto"/>
              <w:ind w:left="0" w:right="311"/>
              <w:jc w:val="right"/>
              <w:rPr>
                <w:rFonts w:hint="eastAsia" w:ascii="宋体" w:hAnsi="宋体" w:eastAsia="宋体" w:cs="宋体"/>
                <w:kern w:val="0"/>
                <w:sz w:val="24"/>
                <w:szCs w:val="24"/>
                <w:lang w:val="en-US" w:eastAsia="en-US" w:bidi="ar-SA"/>
              </w:rPr>
            </w:pPr>
            <w:r>
              <w:rPr>
                <w:rFonts w:hint="eastAsia" w:ascii="宋体" w:hAnsi="宋体" w:eastAsia="宋体" w:cs="宋体"/>
                <w:kern w:val="0"/>
                <w:sz w:val="24"/>
                <w:szCs w:val="24"/>
                <w:lang w:val="en-US" w:eastAsia="en-US" w:bidi="ar-SA"/>
              </w:rPr>
              <w:t>测量功能</w:t>
            </w:r>
          </w:p>
        </w:tc>
        <w:tc>
          <w:tcPr>
            <w:tcW w:w="7305" w:type="dxa"/>
            <w:vAlign w:val="top"/>
          </w:tcPr>
          <w:p>
            <w:pPr>
              <w:wordWrap/>
              <w:adjustRightInd/>
              <w:spacing w:before="111" w:beforeAutospacing="0" w:after="0" w:afterAutospacing="0" w:line="360" w:lineRule="auto"/>
              <w:ind w:left="0" w:right="0" w:firstLine="121"/>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相电压、线电压、相电流、频率、有功功率、无功功率、视在功率、功率因数等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79" w:hRule="atLeast"/>
          <w:jc w:val="center"/>
        </w:trPr>
        <w:tc>
          <w:tcPr>
            <w:tcW w:w="1788" w:type="dxa"/>
            <w:vAlign w:val="center"/>
          </w:tcPr>
          <w:p>
            <w:pPr>
              <w:widowControl w:val="0"/>
              <w:wordWrap/>
              <w:spacing w:before="0" w:beforeAutospacing="0" w:after="0" w:afterAutospacing="0" w:line="360" w:lineRule="auto"/>
              <w:ind w:left="0" w:right="311"/>
              <w:jc w:val="right"/>
              <w:rPr>
                <w:rFonts w:hint="eastAsia" w:ascii="宋体" w:hAnsi="宋体" w:eastAsia="宋体" w:cs="宋体"/>
                <w:kern w:val="0"/>
                <w:sz w:val="24"/>
                <w:szCs w:val="24"/>
                <w:lang w:val="en-US" w:eastAsia="en-US" w:bidi="ar-SA"/>
              </w:rPr>
            </w:pPr>
            <w:r>
              <w:rPr>
                <w:rFonts w:hint="eastAsia" w:ascii="宋体" w:hAnsi="宋体" w:eastAsia="宋体" w:cs="宋体"/>
                <w:kern w:val="0"/>
                <w:sz w:val="24"/>
                <w:szCs w:val="24"/>
                <w:lang w:val="en-US" w:eastAsia="en-US" w:bidi="ar-SA"/>
              </w:rPr>
              <w:t>计量功能</w:t>
            </w:r>
          </w:p>
        </w:tc>
        <w:tc>
          <w:tcPr>
            <w:tcW w:w="7305" w:type="dxa"/>
            <w:vAlign w:val="top"/>
          </w:tcPr>
          <w:p>
            <w:pPr>
              <w:widowControl w:val="0"/>
              <w:wordWrap/>
              <w:spacing w:before="134" w:beforeAutospacing="0" w:after="0" w:afterAutospacing="0" w:line="360" w:lineRule="auto"/>
              <w:ind w:left="110" w:leftChars="0" w:right="0"/>
              <w:jc w:val="left"/>
              <w:rPr>
                <w:rFonts w:hint="eastAsia" w:ascii="宋体" w:hAnsi="宋体" w:eastAsia="宋体" w:cs="宋体"/>
                <w:kern w:val="0"/>
                <w:sz w:val="24"/>
                <w:szCs w:val="24"/>
                <w:lang w:val="en-US" w:eastAsia="en-US" w:bidi="ar-SA"/>
              </w:rPr>
            </w:pPr>
            <w:r>
              <w:rPr>
                <w:rFonts w:hint="eastAsia" w:ascii="宋体" w:hAnsi="宋体" w:eastAsia="宋体" w:cs="宋体"/>
                <w:kern w:val="0"/>
                <w:sz w:val="24"/>
                <w:szCs w:val="24"/>
                <w:lang w:val="en-US" w:eastAsia="zh-CN" w:bidi="ar-SA"/>
              </w:rPr>
              <w:t>双向有功电能、双向无功电能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10" w:hRule="atLeast"/>
          <w:jc w:val="center"/>
        </w:trPr>
        <w:tc>
          <w:tcPr>
            <w:tcW w:w="1788" w:type="dxa"/>
            <w:vAlign w:val="center"/>
          </w:tcPr>
          <w:p>
            <w:pPr>
              <w:widowControl w:val="0"/>
              <w:wordWrap/>
              <w:spacing w:before="0" w:beforeAutospacing="0" w:after="0" w:afterAutospacing="0" w:line="360" w:lineRule="auto"/>
              <w:ind w:left="0" w:right="311"/>
              <w:jc w:val="right"/>
              <w:rPr>
                <w:rFonts w:hint="eastAsia" w:ascii="宋体" w:hAnsi="宋体" w:eastAsia="宋体" w:cs="宋体"/>
                <w:kern w:val="0"/>
                <w:sz w:val="24"/>
                <w:szCs w:val="24"/>
                <w:lang w:val="en-US" w:eastAsia="en-US" w:bidi="ar-SA"/>
              </w:rPr>
            </w:pPr>
            <w:r>
              <w:rPr>
                <w:rFonts w:hint="eastAsia" w:ascii="宋体" w:hAnsi="宋体" w:eastAsia="宋体" w:cs="宋体"/>
                <w:kern w:val="0"/>
                <w:sz w:val="24"/>
                <w:szCs w:val="24"/>
                <w:lang w:val="en-US" w:eastAsia="en-US" w:bidi="ar-SA"/>
              </w:rPr>
              <w:t>录波功能</w:t>
            </w:r>
          </w:p>
        </w:tc>
        <w:tc>
          <w:tcPr>
            <w:tcW w:w="7305" w:type="dxa"/>
            <w:vAlign w:val="top"/>
          </w:tcPr>
          <w:p>
            <w:pPr>
              <w:wordWrap/>
              <w:adjustRightInd/>
              <w:spacing w:before="111" w:beforeAutospacing="0" w:after="0" w:afterAutospacing="0" w:line="360" w:lineRule="auto"/>
              <w:ind w:left="0" w:right="0" w:firstLine="121"/>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兼容 COMTRADE 格式录波文件输出</w:t>
            </w:r>
          </w:p>
          <w:p>
            <w:pPr>
              <w:wordWrap/>
              <w:adjustRightInd/>
              <w:spacing w:before="111" w:beforeAutospacing="0" w:after="0" w:afterAutospacing="0" w:line="360" w:lineRule="auto"/>
              <w:ind w:left="0" w:right="0" w:firstLine="121"/>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保留最近 8 次故障录波记录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6" w:hRule="atLeast"/>
          <w:jc w:val="center"/>
        </w:trPr>
        <w:tc>
          <w:tcPr>
            <w:tcW w:w="1788" w:type="dxa"/>
            <w:vAlign w:val="center"/>
          </w:tcPr>
          <w:p>
            <w:pPr>
              <w:widowControl w:val="0"/>
              <w:wordWrap/>
              <w:spacing w:before="0" w:beforeAutospacing="0" w:after="0" w:afterAutospacing="0" w:line="360" w:lineRule="auto"/>
              <w:ind w:left="0" w:right="311"/>
              <w:jc w:val="right"/>
              <w:rPr>
                <w:rFonts w:hint="eastAsia" w:ascii="宋体" w:hAnsi="宋体" w:eastAsia="宋体" w:cs="宋体"/>
                <w:kern w:val="0"/>
                <w:sz w:val="24"/>
                <w:szCs w:val="24"/>
                <w:lang w:val="en-US" w:eastAsia="en-US" w:bidi="ar-SA"/>
              </w:rPr>
            </w:pPr>
            <w:r>
              <w:rPr>
                <w:rFonts w:hint="eastAsia" w:ascii="宋体" w:hAnsi="宋体" w:eastAsia="宋体" w:cs="宋体"/>
                <w:kern w:val="0"/>
                <w:sz w:val="24"/>
                <w:szCs w:val="24"/>
                <w:lang w:val="en-US" w:eastAsia="en-US" w:bidi="ar-SA"/>
              </w:rPr>
              <w:t>事件记录</w:t>
            </w:r>
          </w:p>
        </w:tc>
        <w:tc>
          <w:tcPr>
            <w:tcW w:w="7305" w:type="dxa"/>
            <w:vAlign w:val="top"/>
          </w:tcPr>
          <w:p>
            <w:pPr>
              <w:wordWrap/>
              <w:adjustRightInd/>
              <w:spacing w:before="111" w:beforeAutospacing="0" w:after="0" w:afterAutospacing="0" w:line="360" w:lineRule="auto"/>
              <w:ind w:left="0" w:right="0" w:firstLine="121"/>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支持分类查询的 SOE 功能，总数为 256 个，包括遥信变位记录、保护事件记录、装置自检记录、装置操作记录。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12" w:hRule="atLeast"/>
          <w:jc w:val="center"/>
        </w:trPr>
        <w:tc>
          <w:tcPr>
            <w:tcW w:w="1788" w:type="dxa"/>
            <w:vAlign w:val="center"/>
          </w:tcPr>
          <w:p>
            <w:pPr>
              <w:widowControl w:val="0"/>
              <w:wordWrap/>
              <w:spacing w:before="0" w:beforeAutospacing="0" w:after="0" w:afterAutospacing="0" w:line="360" w:lineRule="auto"/>
              <w:ind w:left="0" w:right="311"/>
              <w:jc w:val="right"/>
              <w:rPr>
                <w:rFonts w:hint="eastAsia" w:ascii="宋体" w:hAnsi="宋体" w:eastAsia="宋体" w:cs="宋体"/>
                <w:kern w:val="0"/>
                <w:sz w:val="24"/>
                <w:szCs w:val="24"/>
                <w:lang w:val="en-US" w:eastAsia="en-US" w:bidi="ar-SA"/>
              </w:rPr>
            </w:pPr>
            <w:r>
              <w:rPr>
                <w:rFonts w:hint="eastAsia" w:ascii="宋体" w:hAnsi="宋体" w:eastAsia="宋体" w:cs="宋体"/>
                <w:kern w:val="0"/>
                <w:sz w:val="24"/>
                <w:szCs w:val="24"/>
                <w:lang w:val="en-US" w:eastAsia="en-US" w:bidi="ar-SA"/>
              </w:rPr>
              <w:t>对时功能</w:t>
            </w:r>
          </w:p>
        </w:tc>
        <w:tc>
          <w:tcPr>
            <w:tcW w:w="7305" w:type="dxa"/>
            <w:vAlign w:val="top"/>
          </w:tcPr>
          <w:p>
            <w:pPr>
              <w:widowControl w:val="0"/>
              <w:wordWrap/>
              <w:spacing w:before="66" w:beforeAutospacing="0" w:after="0" w:afterAutospacing="0" w:line="360" w:lineRule="auto"/>
              <w:ind w:left="110" w:right="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软件对时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6" w:hRule="atLeast"/>
          <w:jc w:val="center"/>
        </w:trPr>
        <w:tc>
          <w:tcPr>
            <w:tcW w:w="1788" w:type="dxa"/>
            <w:vAlign w:val="center"/>
          </w:tcPr>
          <w:p>
            <w:pPr>
              <w:widowControl w:val="0"/>
              <w:wordWrap/>
              <w:spacing w:before="0" w:beforeAutospacing="0" w:after="0" w:afterAutospacing="0" w:line="360" w:lineRule="auto"/>
              <w:ind w:left="0" w:right="311"/>
              <w:jc w:val="right"/>
              <w:rPr>
                <w:rFonts w:hint="eastAsia" w:ascii="宋体" w:hAnsi="宋体" w:eastAsia="宋体" w:cs="宋体"/>
                <w:kern w:val="0"/>
                <w:sz w:val="24"/>
                <w:szCs w:val="24"/>
                <w:lang w:val="en-US" w:eastAsia="en-US" w:bidi="ar-SA"/>
              </w:rPr>
            </w:pPr>
            <w:r>
              <w:rPr>
                <w:rFonts w:hint="eastAsia" w:ascii="宋体" w:hAnsi="宋体" w:eastAsia="宋体" w:cs="宋体"/>
                <w:kern w:val="0"/>
                <w:sz w:val="24"/>
                <w:szCs w:val="24"/>
                <w:lang w:val="en-US" w:eastAsia="en-US" w:bidi="ar-SA"/>
              </w:rPr>
              <w:t>通信接口</w:t>
            </w:r>
          </w:p>
        </w:tc>
        <w:tc>
          <w:tcPr>
            <w:tcW w:w="7305" w:type="dxa"/>
            <w:vAlign w:val="top"/>
          </w:tcPr>
          <w:p>
            <w:pPr>
              <w:widowControl w:val="0"/>
              <w:wordWrap/>
              <w:spacing w:before="66" w:beforeAutospacing="0" w:after="0" w:afterAutospacing="0" w:line="360" w:lineRule="auto"/>
              <w:ind w:left="110" w:right="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 路 RS-485 通信口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86" w:hRule="atLeast"/>
          <w:jc w:val="center"/>
        </w:trPr>
        <w:tc>
          <w:tcPr>
            <w:tcW w:w="1788" w:type="dxa"/>
            <w:vAlign w:val="center"/>
          </w:tcPr>
          <w:p>
            <w:pPr>
              <w:widowControl w:val="0"/>
              <w:wordWrap/>
              <w:spacing w:before="0" w:beforeAutospacing="0" w:after="0" w:afterAutospacing="0" w:line="360" w:lineRule="auto"/>
              <w:ind w:left="0" w:right="311"/>
              <w:jc w:val="right"/>
              <w:rPr>
                <w:rFonts w:hint="eastAsia" w:ascii="宋体" w:hAnsi="宋体" w:eastAsia="宋体" w:cs="宋体"/>
                <w:kern w:val="0"/>
                <w:sz w:val="24"/>
                <w:szCs w:val="24"/>
                <w:lang w:val="en-US" w:eastAsia="en-US" w:bidi="ar-SA"/>
              </w:rPr>
            </w:pPr>
            <w:r>
              <w:rPr>
                <w:rFonts w:hint="eastAsia" w:ascii="宋体" w:hAnsi="宋体" w:eastAsia="宋体" w:cs="宋体"/>
                <w:kern w:val="0"/>
                <w:sz w:val="24"/>
                <w:szCs w:val="24"/>
                <w:lang w:val="en-US" w:eastAsia="en-US" w:bidi="ar-SA"/>
              </w:rPr>
              <w:t>通信规约</w:t>
            </w:r>
          </w:p>
        </w:tc>
        <w:tc>
          <w:tcPr>
            <w:tcW w:w="7305" w:type="dxa"/>
            <w:vAlign w:val="top"/>
          </w:tcPr>
          <w:p>
            <w:pPr>
              <w:widowControl w:val="0"/>
              <w:wordWrap/>
              <w:spacing w:before="135" w:beforeAutospacing="0" w:after="0" w:afterAutospacing="0" w:line="360" w:lineRule="auto"/>
              <w:ind w:left="110" w:right="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MODBUS-RTU 协议和 IEC 60870-5-103 协议</w:t>
            </w:r>
          </w:p>
        </w:tc>
      </w:tr>
    </w:tbl>
    <w:p>
      <w:pPr>
        <w:wordWrap/>
        <w:adjustRightInd/>
        <w:spacing w:line="360" w:lineRule="auto"/>
        <w:ind w:firstLine="482" w:firstLineChars="200"/>
        <w:rPr>
          <w:rFonts w:hint="eastAsia" w:ascii="宋体" w:hAnsi="宋体" w:eastAsia="宋体" w:cs="宋体"/>
          <w:b/>
          <w:sz w:val="24"/>
        </w:rPr>
      </w:pPr>
      <w:r>
        <w:rPr>
          <w:rFonts w:hint="eastAsia" w:ascii="宋体" w:hAnsi="宋体" w:eastAsia="宋体" w:cs="宋体"/>
          <w:b/>
          <w:sz w:val="24"/>
          <w:lang w:val="en-US" w:eastAsia="zh-CN"/>
        </w:rPr>
        <w:t>7.2</w:t>
      </w:r>
      <w:r>
        <w:rPr>
          <w:rFonts w:hint="eastAsia" w:ascii="宋体" w:hAnsi="宋体" w:eastAsia="宋体" w:cs="宋体"/>
          <w:b/>
          <w:sz w:val="24"/>
        </w:rPr>
        <w:t>环境条件</w:t>
      </w:r>
    </w:p>
    <w:tbl>
      <w:tblPr>
        <w:tblStyle w:val="975"/>
        <w:tblW w:w="9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20"/>
        <w:gridCol w:w="5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3120" w:type="dxa"/>
            <w:vAlign w:val="top"/>
          </w:tcPr>
          <w:p>
            <w:pPr>
              <w:wordWrap/>
              <w:adjustRightInd/>
              <w:spacing w:before="111" w:line="360" w:lineRule="auto"/>
              <w:ind w:firstLine="121"/>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1)环境温度：</w:t>
            </w:r>
          </w:p>
        </w:tc>
        <w:tc>
          <w:tcPr>
            <w:tcW w:w="5987" w:type="dxa"/>
            <w:vAlign w:val="top"/>
          </w:tcPr>
          <w:p>
            <w:pPr>
              <w:wordWrap/>
              <w:adjustRightInd/>
              <w:spacing w:before="111" w:line="360" w:lineRule="auto"/>
              <w:ind w:firstLine="121"/>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0" w:hRule="atLeast"/>
          <w:jc w:val="center"/>
        </w:trPr>
        <w:tc>
          <w:tcPr>
            <w:tcW w:w="3120" w:type="dxa"/>
            <w:vAlign w:val="top"/>
          </w:tcPr>
          <w:p>
            <w:pPr>
              <w:wordWrap/>
              <w:adjustRightInd/>
              <w:spacing w:before="111" w:line="360" w:lineRule="auto"/>
              <w:ind w:firstLine="121"/>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2)存储温度：</w:t>
            </w:r>
          </w:p>
        </w:tc>
        <w:tc>
          <w:tcPr>
            <w:tcW w:w="5987" w:type="dxa"/>
            <w:vAlign w:val="top"/>
          </w:tcPr>
          <w:p>
            <w:pPr>
              <w:wordWrap/>
              <w:adjustRightInd/>
              <w:spacing w:before="111" w:line="360" w:lineRule="auto"/>
              <w:ind w:firstLine="121"/>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jc w:val="center"/>
        </w:trPr>
        <w:tc>
          <w:tcPr>
            <w:tcW w:w="3120" w:type="dxa"/>
            <w:vAlign w:val="top"/>
          </w:tcPr>
          <w:p>
            <w:pPr>
              <w:wordWrap/>
              <w:adjustRightInd/>
              <w:spacing w:before="111" w:line="360" w:lineRule="auto"/>
              <w:ind w:firstLine="121"/>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3)大气压力：</w:t>
            </w:r>
          </w:p>
        </w:tc>
        <w:tc>
          <w:tcPr>
            <w:tcW w:w="5987" w:type="dxa"/>
            <w:vAlign w:val="top"/>
          </w:tcPr>
          <w:p>
            <w:pPr>
              <w:wordWrap/>
              <w:adjustRightInd/>
              <w:spacing w:before="111" w:line="360" w:lineRule="auto"/>
              <w:ind w:firstLine="121"/>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70 kPa～106 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9" w:hRule="atLeast"/>
          <w:jc w:val="center"/>
        </w:trPr>
        <w:tc>
          <w:tcPr>
            <w:tcW w:w="3120" w:type="dxa"/>
            <w:vAlign w:val="top"/>
          </w:tcPr>
          <w:p>
            <w:pPr>
              <w:wordWrap/>
              <w:adjustRightInd/>
              <w:spacing w:before="111" w:line="360" w:lineRule="auto"/>
              <w:ind w:firstLine="121"/>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4)相对湿度：</w:t>
            </w:r>
          </w:p>
        </w:tc>
        <w:tc>
          <w:tcPr>
            <w:tcW w:w="5987" w:type="dxa"/>
            <w:vAlign w:val="top"/>
          </w:tcPr>
          <w:p>
            <w:pPr>
              <w:wordWrap/>
              <w:adjustRightInd/>
              <w:spacing w:before="111" w:line="360" w:lineRule="auto"/>
              <w:ind w:firstLine="121"/>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5%～95% (产品内部不凝露，不结冰)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3" w:hRule="atLeast"/>
          <w:jc w:val="center"/>
        </w:trPr>
        <w:tc>
          <w:tcPr>
            <w:tcW w:w="3120" w:type="dxa"/>
            <w:vAlign w:val="top"/>
          </w:tcPr>
          <w:p>
            <w:pPr>
              <w:wordWrap/>
              <w:adjustRightInd/>
              <w:spacing w:before="111" w:line="360" w:lineRule="auto"/>
              <w:ind w:firstLine="121"/>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5)海拔高度：</w:t>
            </w:r>
          </w:p>
        </w:tc>
        <w:tc>
          <w:tcPr>
            <w:tcW w:w="5987" w:type="dxa"/>
            <w:vAlign w:val="top"/>
          </w:tcPr>
          <w:p>
            <w:pPr>
              <w:wordWrap/>
              <w:adjustRightInd/>
              <w:spacing w:before="111" w:line="360" w:lineRule="auto"/>
              <w:ind w:firstLine="121"/>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&lt; 3000m</w:t>
            </w:r>
          </w:p>
        </w:tc>
      </w:tr>
    </w:tbl>
    <w:p>
      <w:pPr>
        <w:wordWrap/>
        <w:adjustRightInd/>
        <w:spacing w:line="360" w:lineRule="auto"/>
        <w:ind w:firstLine="482"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7.3额定参数</w:t>
      </w:r>
    </w:p>
    <w:tbl>
      <w:tblPr>
        <w:tblStyle w:val="975"/>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39"/>
        <w:gridCol w:w="5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9" w:hRule="atLeast"/>
          <w:jc w:val="center"/>
        </w:trPr>
        <w:tc>
          <w:tcPr>
            <w:tcW w:w="3139" w:type="dxa"/>
            <w:vAlign w:val="top"/>
          </w:tcPr>
          <w:p>
            <w:pPr>
              <w:wordWrap/>
              <w:adjustRightInd/>
              <w:spacing w:line="360" w:lineRule="auto"/>
              <w:ind w:firstLine="16"/>
              <w:rPr>
                <w:rFonts w:hint="eastAsia" w:ascii="宋体" w:hAnsi="宋体" w:eastAsia="宋体" w:cs="宋体"/>
                <w:sz w:val="24"/>
                <w:szCs w:val="24"/>
              </w:rPr>
            </w:pPr>
            <w:r>
              <w:rPr>
                <w:rFonts w:hint="eastAsia" w:ascii="宋体" w:hAnsi="宋体" w:eastAsia="宋体" w:cs="宋体"/>
                <w:spacing w:val="4"/>
                <w:sz w:val="24"/>
                <w:szCs w:val="24"/>
              </w:rPr>
              <w:t>1)</w:t>
            </w:r>
            <w:r>
              <w:rPr>
                <w:rFonts w:hint="eastAsia" w:ascii="宋体" w:hAnsi="宋体" w:eastAsia="宋体" w:cs="宋体"/>
                <w:spacing w:val="7"/>
                <w:sz w:val="24"/>
                <w:szCs w:val="24"/>
              </w:rPr>
              <w:t>装置</w:t>
            </w:r>
            <w:r>
              <w:rPr>
                <w:rFonts w:hint="eastAsia" w:ascii="宋体" w:hAnsi="宋体" w:eastAsia="宋体" w:cs="宋体"/>
                <w:spacing w:val="6"/>
                <w:sz w:val="24"/>
                <w:szCs w:val="24"/>
              </w:rPr>
              <w:t>工作电源</w:t>
            </w:r>
            <w:r>
              <w:rPr>
                <w:rFonts w:hint="eastAsia" w:ascii="宋体" w:hAnsi="宋体" w:eastAsia="宋体" w:cs="宋体"/>
                <w:spacing w:val="8"/>
                <w:sz w:val="24"/>
                <w:szCs w:val="24"/>
              </w:rPr>
              <w:t>：</w:t>
            </w:r>
          </w:p>
        </w:tc>
        <w:tc>
          <w:tcPr>
            <w:tcW w:w="5978" w:type="dxa"/>
            <w:vAlign w:val="top"/>
          </w:tcPr>
          <w:p>
            <w:pPr>
              <w:wordWrap/>
              <w:adjustRightInd/>
              <w:spacing w:line="360" w:lineRule="auto"/>
              <w:ind w:firstLine="285"/>
              <w:rPr>
                <w:rFonts w:hint="eastAsia" w:ascii="宋体" w:hAnsi="宋体" w:eastAsia="宋体" w:cs="宋体"/>
                <w:sz w:val="24"/>
                <w:szCs w:val="24"/>
              </w:rPr>
            </w:pPr>
            <w:r>
              <w:rPr>
                <w:rFonts w:hint="eastAsia" w:ascii="宋体" w:hAnsi="宋体" w:eastAsia="宋体" w:cs="宋体"/>
                <w:spacing w:val="12"/>
                <w:position w:val="1"/>
                <w:sz w:val="24"/>
                <w:szCs w:val="24"/>
              </w:rPr>
              <w:t>88~264</w:t>
            </w:r>
            <w:r>
              <w:rPr>
                <w:rFonts w:hint="eastAsia" w:ascii="宋体" w:hAnsi="宋体" w:eastAsia="宋体" w:cs="宋体"/>
                <w:spacing w:val="14"/>
                <w:position w:val="1"/>
                <w:sz w:val="24"/>
                <w:szCs w:val="24"/>
              </w:rPr>
              <w:t>V</w:t>
            </w:r>
            <w:r>
              <w:rPr>
                <w:rFonts w:hint="eastAsia" w:ascii="宋体" w:hAnsi="宋体" w:eastAsia="宋体" w:cs="宋体"/>
                <w:spacing w:val="7"/>
                <w:position w:val="1"/>
                <w:sz w:val="24"/>
                <w:szCs w:val="24"/>
              </w:rPr>
              <w:t xml:space="preserve"> </w:t>
            </w:r>
            <w:r>
              <w:rPr>
                <w:rFonts w:hint="eastAsia" w:ascii="宋体" w:hAnsi="宋体" w:eastAsia="宋体" w:cs="宋体"/>
                <w:spacing w:val="12"/>
                <w:position w:val="1"/>
                <w:sz w:val="24"/>
                <w:szCs w:val="24"/>
              </w:rPr>
              <w:t>50</w:t>
            </w:r>
            <w:r>
              <w:rPr>
                <w:rFonts w:hint="eastAsia" w:ascii="宋体" w:hAnsi="宋体" w:eastAsia="宋体" w:cs="宋体"/>
                <w:spacing w:val="7"/>
                <w:position w:val="1"/>
                <w:sz w:val="24"/>
                <w:szCs w:val="24"/>
              </w:rPr>
              <w:t>/</w:t>
            </w:r>
            <w:r>
              <w:rPr>
                <w:rFonts w:hint="eastAsia" w:ascii="宋体" w:hAnsi="宋体" w:eastAsia="宋体" w:cs="宋体"/>
                <w:spacing w:val="12"/>
                <w:position w:val="1"/>
                <w:sz w:val="24"/>
                <w:szCs w:val="24"/>
              </w:rPr>
              <w:t>60</w:t>
            </w:r>
            <w:r>
              <w:rPr>
                <w:rFonts w:hint="eastAsia" w:ascii="宋体" w:hAnsi="宋体" w:eastAsia="宋体" w:cs="宋体"/>
                <w:spacing w:val="14"/>
                <w:position w:val="1"/>
                <w:sz w:val="24"/>
                <w:szCs w:val="24"/>
              </w:rPr>
              <w:t>H</w:t>
            </w:r>
            <w:r>
              <w:rPr>
                <w:rFonts w:hint="eastAsia" w:ascii="宋体" w:hAnsi="宋体" w:eastAsia="宋体" w:cs="宋体"/>
                <w:spacing w:val="10"/>
                <w:position w:val="1"/>
                <w:sz w:val="24"/>
                <w:szCs w:val="24"/>
              </w:rPr>
              <w:t>z</w:t>
            </w:r>
            <w:r>
              <w:rPr>
                <w:rFonts w:hint="eastAsia" w:ascii="宋体" w:hAnsi="宋体" w:eastAsia="宋体" w:cs="宋体"/>
                <w:spacing w:val="7"/>
                <w:position w:val="1"/>
                <w:sz w:val="24"/>
                <w:szCs w:val="24"/>
              </w:rPr>
              <w:t xml:space="preserve"> </w:t>
            </w:r>
            <w:r>
              <w:rPr>
                <w:rFonts w:hint="eastAsia" w:ascii="宋体" w:hAnsi="宋体" w:eastAsia="宋体" w:cs="宋体"/>
                <w:spacing w:val="13"/>
                <w:position w:val="1"/>
                <w:sz w:val="24"/>
                <w:szCs w:val="24"/>
              </w:rPr>
              <w:t>A</w:t>
            </w:r>
            <w:r>
              <w:rPr>
                <w:rFonts w:hint="eastAsia" w:ascii="宋体" w:hAnsi="宋体" w:eastAsia="宋体" w:cs="宋体"/>
                <w:spacing w:val="14"/>
                <w:position w:val="1"/>
                <w:sz w:val="24"/>
                <w:szCs w:val="24"/>
              </w:rPr>
              <w:t>C</w:t>
            </w:r>
            <w:r>
              <w:rPr>
                <w:rFonts w:hint="eastAsia" w:ascii="宋体" w:hAnsi="宋体" w:eastAsia="宋体" w:cs="宋体"/>
                <w:spacing w:val="6"/>
                <w:position w:val="1"/>
                <w:sz w:val="24"/>
                <w:szCs w:val="24"/>
              </w:rPr>
              <w:t>/</w:t>
            </w:r>
            <w:r>
              <w:rPr>
                <w:rFonts w:hint="eastAsia" w:ascii="宋体" w:hAnsi="宋体" w:eastAsia="宋体" w:cs="宋体"/>
                <w:spacing w:val="14"/>
                <w:position w:val="1"/>
                <w:sz w:val="24"/>
                <w:szCs w:val="24"/>
              </w:rPr>
              <w:t>DC</w:t>
            </w:r>
            <w:r>
              <w:rPr>
                <w:rFonts w:hint="eastAsia" w:ascii="宋体" w:hAnsi="宋体" w:eastAsia="宋体" w:cs="宋体"/>
                <w:spacing w:val="7"/>
                <w:position w:val="1"/>
                <w:sz w:val="24"/>
                <w:szCs w:val="24"/>
              </w:rPr>
              <w:t xml:space="preserve"> </w:t>
            </w:r>
            <w:r>
              <w:rPr>
                <w:rFonts w:hint="eastAsia" w:ascii="宋体" w:hAnsi="宋体" w:eastAsia="宋体" w:cs="宋体"/>
                <w:spacing w:val="20"/>
                <w:position w:val="1"/>
                <w:sz w:val="24"/>
                <w:szCs w:val="24"/>
              </w:rPr>
              <w:t>通用</w:t>
            </w:r>
            <w:r>
              <w:rPr>
                <w:rFonts w:hint="eastAsia" w:ascii="宋体" w:hAnsi="宋体" w:eastAsia="宋体" w:cs="宋体"/>
                <w:spacing w:val="23"/>
                <w:position w:val="1"/>
                <w:sz w:val="24"/>
                <w:szCs w:val="24"/>
              </w:rPr>
              <w:t>；</w:t>
            </w:r>
            <w:r>
              <w:rPr>
                <w:rFonts w:hint="eastAsia" w:ascii="宋体" w:hAnsi="宋体" w:eastAsia="宋体" w:cs="宋体"/>
                <w:position w:val="1"/>
                <w:sz w:val="24"/>
                <w:szCs w:val="24"/>
              </w:rPr>
              <w:t xml:space="preserve"> </w:t>
            </w:r>
            <w:r>
              <w:rPr>
                <w:rFonts w:hint="eastAsia" w:ascii="宋体" w:hAnsi="宋体" w:eastAsia="宋体" w:cs="宋体"/>
                <w:spacing w:val="14"/>
                <w:position w:val="1"/>
                <w:sz w:val="24"/>
                <w:szCs w:val="24"/>
              </w:rPr>
              <w:t>DC</w:t>
            </w:r>
            <w:r>
              <w:rPr>
                <w:rFonts w:hint="eastAsia" w:ascii="宋体" w:hAnsi="宋体" w:eastAsia="宋体" w:cs="宋体"/>
                <w:spacing w:val="11"/>
                <w:position w:val="1"/>
                <w:sz w:val="24"/>
                <w:szCs w:val="24"/>
              </w:rPr>
              <w:t>24</w:t>
            </w:r>
            <w:r>
              <w:rPr>
                <w:rFonts w:hint="eastAsia" w:ascii="宋体" w:hAnsi="宋体" w:eastAsia="宋体" w:cs="宋体"/>
                <w:spacing w:val="13"/>
                <w:position w:val="1"/>
                <w:sz w:val="24"/>
                <w:szCs w:val="24"/>
              </w:rPr>
              <w:t>V</w:t>
            </w:r>
            <w:r>
              <w:rPr>
                <w:rFonts w:hint="eastAsia" w:ascii="宋体" w:hAnsi="宋体" w:eastAsia="宋体" w:cs="宋体"/>
                <w:spacing w:val="23"/>
                <w:position w:val="1"/>
                <w:sz w:val="24"/>
                <w:szCs w:val="24"/>
              </w:rPr>
              <w:t>；</w:t>
            </w:r>
            <w:r>
              <w:rPr>
                <w:rFonts w:hint="eastAsia" w:ascii="宋体" w:hAnsi="宋体" w:eastAsia="宋体" w:cs="宋体"/>
                <w:position w:val="1"/>
                <w:sz w:val="24"/>
                <w:szCs w:val="24"/>
              </w:rPr>
              <w:t xml:space="preserve"> </w:t>
            </w:r>
            <w:r>
              <w:rPr>
                <w:rFonts w:hint="eastAsia" w:ascii="宋体" w:hAnsi="宋体" w:eastAsia="宋体" w:cs="宋体"/>
                <w:spacing w:val="14"/>
                <w:position w:val="1"/>
                <w:sz w:val="24"/>
                <w:szCs w:val="24"/>
              </w:rPr>
              <w:t>DC</w:t>
            </w:r>
            <w:r>
              <w:rPr>
                <w:rFonts w:hint="eastAsia" w:ascii="宋体" w:hAnsi="宋体" w:eastAsia="宋体" w:cs="宋体"/>
                <w:spacing w:val="11"/>
                <w:position w:val="1"/>
                <w:sz w:val="24"/>
                <w:szCs w:val="24"/>
              </w:rPr>
              <w:t>48</w:t>
            </w:r>
            <w:r>
              <w:rPr>
                <w:rFonts w:hint="eastAsia" w:ascii="宋体" w:hAnsi="宋体" w:eastAsia="宋体" w:cs="宋体"/>
                <w:spacing w:val="13"/>
                <w:position w:val="1"/>
                <w:sz w:val="24"/>
                <w:szCs w:val="24"/>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0" w:hRule="atLeast"/>
          <w:jc w:val="center"/>
        </w:trPr>
        <w:tc>
          <w:tcPr>
            <w:tcW w:w="3139" w:type="dxa"/>
            <w:vAlign w:val="top"/>
          </w:tcPr>
          <w:p>
            <w:pPr>
              <w:wordWrap/>
              <w:adjustRightInd/>
              <w:spacing w:before="90" w:line="360" w:lineRule="auto"/>
              <w:ind w:firstLine="3"/>
              <w:rPr>
                <w:rFonts w:hint="eastAsia" w:ascii="宋体" w:hAnsi="宋体" w:eastAsia="宋体" w:cs="宋体"/>
                <w:sz w:val="24"/>
                <w:szCs w:val="24"/>
              </w:rPr>
            </w:pPr>
            <w:r>
              <w:rPr>
                <w:rFonts w:hint="eastAsia" w:ascii="宋体" w:hAnsi="宋体" w:eastAsia="宋体" w:cs="宋体"/>
                <w:spacing w:val="5"/>
                <w:sz w:val="24"/>
                <w:szCs w:val="24"/>
              </w:rPr>
              <w:t>2</w:t>
            </w:r>
            <w:r>
              <w:rPr>
                <w:rFonts w:hint="eastAsia" w:ascii="宋体" w:hAnsi="宋体" w:eastAsia="宋体" w:cs="宋体"/>
                <w:spacing w:val="4"/>
                <w:sz w:val="24"/>
                <w:szCs w:val="24"/>
              </w:rPr>
              <w:t>)</w:t>
            </w:r>
            <w:r>
              <w:rPr>
                <w:rFonts w:hint="eastAsia" w:ascii="宋体" w:hAnsi="宋体" w:eastAsia="宋体" w:cs="宋体"/>
                <w:spacing w:val="8"/>
                <w:sz w:val="24"/>
                <w:szCs w:val="24"/>
              </w:rPr>
              <w:t>额定相电流</w:t>
            </w:r>
            <w:r>
              <w:rPr>
                <w:rFonts w:hint="eastAsia" w:ascii="宋体" w:hAnsi="宋体" w:eastAsia="宋体" w:cs="宋体"/>
                <w:spacing w:val="10"/>
                <w:sz w:val="24"/>
                <w:szCs w:val="24"/>
              </w:rPr>
              <w:t>：</w:t>
            </w:r>
          </w:p>
        </w:tc>
        <w:tc>
          <w:tcPr>
            <w:tcW w:w="5978" w:type="dxa"/>
            <w:vAlign w:val="top"/>
          </w:tcPr>
          <w:p>
            <w:pPr>
              <w:wordWrap/>
              <w:adjustRightInd/>
              <w:spacing w:before="116" w:line="360" w:lineRule="auto"/>
              <w:ind w:firstLine="285"/>
              <w:rPr>
                <w:rFonts w:hint="eastAsia" w:ascii="宋体" w:hAnsi="宋体" w:eastAsia="宋体" w:cs="宋体"/>
                <w:sz w:val="24"/>
                <w:szCs w:val="24"/>
              </w:rPr>
            </w:pPr>
            <w:r>
              <w:rPr>
                <w:rFonts w:hint="eastAsia" w:ascii="宋体" w:hAnsi="宋体" w:eastAsia="宋体" w:cs="宋体"/>
                <w:sz w:val="24"/>
                <w:szCs w:val="24"/>
              </w:rPr>
              <w:t xml:space="preserve">5A </w:t>
            </w:r>
            <w:r>
              <w:rPr>
                <w:rFonts w:hint="eastAsia" w:ascii="宋体" w:hAnsi="宋体" w:eastAsia="宋体" w:cs="宋体"/>
                <w:spacing w:val="-31"/>
                <w:sz w:val="24"/>
                <w:szCs w:val="24"/>
              </w:rPr>
              <w:t>、</w:t>
            </w:r>
            <w:r>
              <w:rPr>
                <w:rFonts w:hint="eastAsia" w:ascii="宋体" w:hAnsi="宋体" w:eastAsia="宋体" w:cs="宋体"/>
                <w:sz w:val="24"/>
                <w:szCs w:val="24"/>
              </w:rPr>
              <w:t>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jc w:val="center"/>
        </w:trPr>
        <w:tc>
          <w:tcPr>
            <w:tcW w:w="3139" w:type="dxa"/>
            <w:vAlign w:val="top"/>
          </w:tcPr>
          <w:p>
            <w:pPr>
              <w:wordWrap/>
              <w:adjustRightInd/>
              <w:spacing w:before="91" w:line="360" w:lineRule="auto"/>
              <w:ind w:firstLine="5"/>
              <w:rPr>
                <w:rFonts w:hint="eastAsia" w:ascii="宋体" w:hAnsi="宋体" w:eastAsia="宋体" w:cs="宋体"/>
                <w:sz w:val="24"/>
                <w:szCs w:val="24"/>
              </w:rPr>
            </w:pPr>
            <w:r>
              <w:rPr>
                <w:rFonts w:hint="eastAsia" w:ascii="宋体" w:hAnsi="宋体" w:eastAsia="宋体" w:cs="宋体"/>
                <w:spacing w:val="4"/>
                <w:sz w:val="24"/>
                <w:szCs w:val="24"/>
              </w:rPr>
              <w:t>3)</w:t>
            </w:r>
            <w:r>
              <w:rPr>
                <w:rFonts w:hint="eastAsia" w:ascii="宋体" w:hAnsi="宋体" w:eastAsia="宋体" w:cs="宋体"/>
                <w:spacing w:val="8"/>
                <w:sz w:val="24"/>
                <w:szCs w:val="24"/>
              </w:rPr>
              <w:t>额定零序电流</w:t>
            </w:r>
            <w:r>
              <w:rPr>
                <w:rFonts w:hint="eastAsia" w:ascii="宋体" w:hAnsi="宋体" w:eastAsia="宋体" w:cs="宋体"/>
                <w:spacing w:val="10"/>
                <w:sz w:val="24"/>
                <w:szCs w:val="24"/>
              </w:rPr>
              <w:t>：</w:t>
            </w:r>
          </w:p>
        </w:tc>
        <w:tc>
          <w:tcPr>
            <w:tcW w:w="5978" w:type="dxa"/>
            <w:vAlign w:val="top"/>
          </w:tcPr>
          <w:p>
            <w:pPr>
              <w:wordWrap/>
              <w:adjustRightInd/>
              <w:spacing w:before="118" w:line="360" w:lineRule="auto"/>
              <w:ind w:firstLine="299"/>
              <w:rPr>
                <w:rFonts w:hint="eastAsia" w:ascii="宋体" w:hAnsi="宋体" w:eastAsia="宋体" w:cs="宋体"/>
                <w:sz w:val="24"/>
                <w:szCs w:val="24"/>
              </w:rPr>
            </w:pPr>
            <w:r>
              <w:rPr>
                <w:rFonts w:hint="eastAsia" w:ascii="宋体" w:hAnsi="宋体" w:eastAsia="宋体" w:cs="宋体"/>
                <w:spacing w:val="-6"/>
                <w:sz w:val="24"/>
                <w:szCs w:val="24"/>
              </w:rPr>
              <w:t>1</w:t>
            </w:r>
            <w:r>
              <w:rPr>
                <w:rFonts w:hint="eastAsia" w:ascii="宋体" w:hAnsi="宋体" w:eastAsia="宋体" w:cs="宋体"/>
                <w:spacing w:val="-7"/>
                <w:sz w:val="24"/>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4" w:hRule="atLeast"/>
          <w:jc w:val="center"/>
        </w:trPr>
        <w:tc>
          <w:tcPr>
            <w:tcW w:w="3139" w:type="dxa"/>
            <w:vAlign w:val="top"/>
          </w:tcPr>
          <w:p>
            <w:pPr>
              <w:wordWrap/>
              <w:adjustRightInd/>
              <w:spacing w:before="105" w:line="360" w:lineRule="auto"/>
              <w:rPr>
                <w:rFonts w:hint="eastAsia" w:ascii="宋体" w:hAnsi="宋体" w:eastAsia="宋体" w:cs="宋体"/>
                <w:sz w:val="24"/>
                <w:szCs w:val="24"/>
              </w:rPr>
            </w:pPr>
            <w:r>
              <w:rPr>
                <w:rFonts w:hint="eastAsia" w:ascii="宋体" w:hAnsi="宋体" w:eastAsia="宋体" w:cs="宋体"/>
                <w:spacing w:val="6"/>
                <w:sz w:val="24"/>
                <w:szCs w:val="24"/>
              </w:rPr>
              <w:t>4)</w:t>
            </w:r>
            <w:r>
              <w:rPr>
                <w:rFonts w:hint="eastAsia" w:ascii="宋体" w:hAnsi="宋体" w:eastAsia="宋体" w:cs="宋体"/>
                <w:spacing w:val="8"/>
                <w:sz w:val="24"/>
                <w:szCs w:val="24"/>
              </w:rPr>
              <w:t>额定交流电压</w:t>
            </w:r>
            <w:r>
              <w:rPr>
                <w:rFonts w:hint="eastAsia" w:ascii="宋体" w:hAnsi="宋体" w:eastAsia="宋体" w:cs="宋体"/>
                <w:spacing w:val="11"/>
                <w:sz w:val="24"/>
                <w:szCs w:val="24"/>
              </w:rPr>
              <w:t>：</w:t>
            </w:r>
          </w:p>
        </w:tc>
        <w:tc>
          <w:tcPr>
            <w:tcW w:w="5978" w:type="dxa"/>
            <w:vAlign w:val="top"/>
          </w:tcPr>
          <w:p>
            <w:pPr>
              <w:wordWrap/>
              <w:adjustRightInd/>
              <w:spacing w:before="74" w:line="360" w:lineRule="auto"/>
              <w:ind w:firstLine="299"/>
              <w:rPr>
                <w:rFonts w:hint="eastAsia" w:ascii="宋体" w:hAnsi="宋体" w:eastAsia="宋体" w:cs="宋体"/>
                <w:sz w:val="24"/>
                <w:szCs w:val="24"/>
              </w:rPr>
            </w:pPr>
            <w:r>
              <w:rPr>
                <w:rFonts w:hint="eastAsia" w:ascii="宋体" w:hAnsi="宋体" w:eastAsia="宋体" w:cs="宋体"/>
                <w:spacing w:val="4"/>
                <w:position w:val="2"/>
                <w:sz w:val="24"/>
                <w:szCs w:val="24"/>
              </w:rPr>
              <w:t>1</w:t>
            </w:r>
            <w:r>
              <w:rPr>
                <w:rFonts w:hint="eastAsia" w:ascii="宋体" w:hAnsi="宋体" w:eastAsia="宋体" w:cs="宋体"/>
                <w:spacing w:val="3"/>
                <w:position w:val="2"/>
                <w:sz w:val="24"/>
                <w:szCs w:val="24"/>
              </w:rPr>
              <w:t>00</w:t>
            </w:r>
            <w:r>
              <w:rPr>
                <w:rFonts w:hint="eastAsia" w:ascii="宋体" w:hAnsi="宋体" w:eastAsia="宋体" w:cs="宋体"/>
                <w:spacing w:val="4"/>
                <w:position w:val="2"/>
                <w:sz w:val="24"/>
                <w:szCs w:val="24"/>
              </w:rPr>
              <w:t>V</w:t>
            </w:r>
            <w:r>
              <w:rPr>
                <w:rFonts w:hint="eastAsia" w:ascii="宋体" w:hAnsi="宋体" w:eastAsia="宋体" w:cs="宋体"/>
                <w:spacing w:val="2"/>
                <w:position w:val="2"/>
                <w:sz w:val="24"/>
                <w:szCs w:val="24"/>
              </w:rPr>
              <w:t xml:space="preserve"> (</w:t>
            </w:r>
            <w:r>
              <w:rPr>
                <w:rFonts w:hint="eastAsia" w:ascii="宋体" w:hAnsi="宋体" w:eastAsia="宋体" w:cs="宋体"/>
                <w:spacing w:val="6"/>
                <w:position w:val="2"/>
                <w:sz w:val="24"/>
                <w:szCs w:val="24"/>
              </w:rPr>
              <w:t>线电压</w:t>
            </w:r>
            <w:r>
              <w:rPr>
                <w:rFonts w:hint="eastAsia" w:ascii="宋体" w:hAnsi="宋体" w:eastAsia="宋体" w:cs="宋体"/>
                <w:spacing w:val="2"/>
                <w:positio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1" w:hRule="atLeast"/>
          <w:jc w:val="center"/>
        </w:trPr>
        <w:tc>
          <w:tcPr>
            <w:tcW w:w="3139" w:type="dxa"/>
            <w:vAlign w:val="top"/>
          </w:tcPr>
          <w:p>
            <w:pPr>
              <w:wordWrap/>
              <w:adjustRightInd/>
              <w:spacing w:before="72" w:line="360" w:lineRule="auto"/>
              <w:ind w:firstLine="5"/>
              <w:rPr>
                <w:rFonts w:hint="eastAsia" w:ascii="宋体" w:hAnsi="宋体" w:eastAsia="宋体" w:cs="宋体"/>
                <w:sz w:val="24"/>
                <w:szCs w:val="24"/>
              </w:rPr>
            </w:pPr>
            <w:r>
              <w:rPr>
                <w:rFonts w:hint="eastAsia" w:ascii="宋体" w:hAnsi="宋体" w:eastAsia="宋体" w:cs="宋体"/>
                <w:spacing w:val="5"/>
                <w:sz w:val="24"/>
                <w:szCs w:val="24"/>
              </w:rPr>
              <w:t>5</w:t>
            </w:r>
            <w:r>
              <w:rPr>
                <w:rFonts w:hint="eastAsia" w:ascii="宋体" w:hAnsi="宋体" w:eastAsia="宋体" w:cs="宋体"/>
                <w:spacing w:val="4"/>
                <w:sz w:val="24"/>
                <w:szCs w:val="24"/>
              </w:rPr>
              <w:t>)</w:t>
            </w:r>
            <w:r>
              <w:rPr>
                <w:rFonts w:hint="eastAsia" w:ascii="宋体" w:hAnsi="宋体" w:eastAsia="宋体" w:cs="宋体"/>
                <w:spacing w:val="7"/>
                <w:sz w:val="24"/>
                <w:szCs w:val="24"/>
              </w:rPr>
              <w:t>额定频率</w:t>
            </w:r>
            <w:r>
              <w:rPr>
                <w:rFonts w:hint="eastAsia" w:ascii="宋体" w:hAnsi="宋体" w:eastAsia="宋体" w:cs="宋体"/>
                <w:spacing w:val="9"/>
                <w:sz w:val="24"/>
                <w:szCs w:val="24"/>
              </w:rPr>
              <w:t>：</w:t>
            </w:r>
          </w:p>
        </w:tc>
        <w:tc>
          <w:tcPr>
            <w:tcW w:w="5978" w:type="dxa"/>
            <w:vAlign w:val="top"/>
          </w:tcPr>
          <w:p>
            <w:pPr>
              <w:wordWrap/>
              <w:adjustRightInd/>
              <w:spacing w:before="41" w:line="360" w:lineRule="auto"/>
              <w:ind w:firstLine="285"/>
              <w:rPr>
                <w:rFonts w:hint="eastAsia" w:ascii="宋体" w:hAnsi="宋体" w:eastAsia="宋体" w:cs="宋体"/>
                <w:sz w:val="24"/>
                <w:szCs w:val="24"/>
              </w:rPr>
            </w:pPr>
            <w:r>
              <w:rPr>
                <w:rFonts w:hint="eastAsia" w:ascii="宋体" w:hAnsi="宋体" w:eastAsia="宋体" w:cs="宋体"/>
                <w:spacing w:val="5"/>
                <w:position w:val="1"/>
                <w:sz w:val="24"/>
                <w:szCs w:val="24"/>
              </w:rPr>
              <w:t>5</w:t>
            </w:r>
            <w:r>
              <w:rPr>
                <w:rFonts w:hint="eastAsia" w:ascii="宋体" w:hAnsi="宋体" w:eastAsia="宋体" w:cs="宋体"/>
                <w:spacing w:val="4"/>
                <w:position w:val="1"/>
                <w:sz w:val="24"/>
                <w:szCs w:val="24"/>
              </w:rPr>
              <w:t>0</w:t>
            </w:r>
            <w:r>
              <w:rPr>
                <w:rFonts w:hint="eastAsia" w:ascii="宋体" w:hAnsi="宋体" w:eastAsia="宋体" w:cs="宋体"/>
                <w:spacing w:val="6"/>
                <w:position w:val="1"/>
                <w:sz w:val="24"/>
                <w:szCs w:val="24"/>
              </w:rPr>
              <w:t>H</w:t>
            </w:r>
            <w:r>
              <w:rPr>
                <w:rFonts w:hint="eastAsia" w:ascii="宋体" w:hAnsi="宋体" w:eastAsia="宋体" w:cs="宋体"/>
                <w:spacing w:val="4"/>
                <w:position w:val="1"/>
                <w:sz w:val="24"/>
                <w:szCs w:val="24"/>
              </w:rPr>
              <w:t>z</w:t>
            </w:r>
            <w:r>
              <w:rPr>
                <w:rFonts w:hint="eastAsia" w:ascii="宋体" w:hAnsi="宋体" w:eastAsia="宋体" w:cs="宋体"/>
                <w:spacing w:val="2"/>
                <w:position w:val="1"/>
                <w:sz w:val="24"/>
                <w:szCs w:val="24"/>
              </w:rPr>
              <w:t>/</w:t>
            </w:r>
            <w:r>
              <w:rPr>
                <w:rFonts w:hint="eastAsia" w:ascii="宋体" w:hAnsi="宋体" w:eastAsia="宋体" w:cs="宋体"/>
                <w:spacing w:val="4"/>
                <w:position w:val="1"/>
                <w:sz w:val="24"/>
                <w:szCs w:val="24"/>
              </w:rPr>
              <w:t>60</w:t>
            </w:r>
            <w:r>
              <w:rPr>
                <w:rFonts w:hint="eastAsia" w:ascii="宋体" w:hAnsi="宋体" w:eastAsia="宋体" w:cs="宋体"/>
                <w:spacing w:val="6"/>
                <w:position w:val="1"/>
                <w:sz w:val="24"/>
                <w:szCs w:val="24"/>
              </w:rPr>
              <w:t>H</w:t>
            </w:r>
            <w:r>
              <w:rPr>
                <w:rFonts w:hint="eastAsia" w:ascii="宋体" w:hAnsi="宋体" w:eastAsia="宋体" w:cs="宋体"/>
                <w:spacing w:val="4"/>
                <w:position w:val="1"/>
                <w:sz w:val="24"/>
                <w:szCs w:val="24"/>
              </w:rPr>
              <w:t>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9" w:hRule="atLeast"/>
          <w:jc w:val="center"/>
        </w:trPr>
        <w:tc>
          <w:tcPr>
            <w:tcW w:w="3139" w:type="dxa"/>
            <w:vAlign w:val="top"/>
          </w:tcPr>
          <w:p>
            <w:pPr>
              <w:wordWrap/>
              <w:adjustRightInd/>
              <w:spacing w:before="89" w:line="360" w:lineRule="auto"/>
              <w:ind w:firstLine="2"/>
              <w:rPr>
                <w:rFonts w:hint="eastAsia" w:ascii="宋体" w:hAnsi="宋体" w:eastAsia="宋体" w:cs="宋体"/>
                <w:sz w:val="24"/>
                <w:szCs w:val="24"/>
              </w:rPr>
            </w:pPr>
            <w:r>
              <w:rPr>
                <w:rFonts w:hint="eastAsia" w:ascii="宋体" w:hAnsi="宋体" w:eastAsia="宋体" w:cs="宋体"/>
                <w:spacing w:val="3"/>
                <w:sz w:val="24"/>
                <w:szCs w:val="24"/>
              </w:rPr>
              <w:t>6)</w:t>
            </w:r>
            <w:r>
              <w:rPr>
                <w:rFonts w:hint="eastAsia" w:ascii="宋体" w:hAnsi="宋体" w:eastAsia="宋体" w:cs="宋体"/>
                <w:spacing w:val="6"/>
                <w:sz w:val="24"/>
                <w:szCs w:val="24"/>
              </w:rPr>
              <w:t>功耗</w:t>
            </w:r>
            <w:r>
              <w:rPr>
                <w:rFonts w:hint="eastAsia" w:ascii="宋体" w:hAnsi="宋体" w:eastAsia="宋体" w:cs="宋体"/>
                <w:spacing w:val="10"/>
                <w:sz w:val="24"/>
                <w:szCs w:val="24"/>
              </w:rPr>
              <w:t>：</w:t>
            </w:r>
          </w:p>
        </w:tc>
        <w:tc>
          <w:tcPr>
            <w:tcW w:w="5978" w:type="dxa"/>
            <w:vAlign w:val="top"/>
          </w:tcPr>
          <w:p>
            <w:pPr>
              <w:wordWrap/>
              <w:adjustRightInd/>
              <w:spacing w:line="360" w:lineRule="auto"/>
              <w:rPr>
                <w:rFonts w:hint="eastAsia" w:ascii="宋体" w:hAnsi="宋体" w:eastAsia="宋体" w:cs="宋体"/>
                <w:sz w:val="24"/>
                <w:szCs w:val="24"/>
              </w:rPr>
            </w:pPr>
          </w:p>
        </w:tc>
      </w:tr>
    </w:tbl>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·交流电压回路：5A 配置，不大于 1VA/相；1A 配置，不大于 0.5VA/相</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·工作电源回路：不大于 0.5VA/相</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·工作电源回路：不大于 5W</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b/>
          <w:sz w:val="24"/>
        </w:rPr>
      </w:pPr>
      <w:r>
        <w:rPr>
          <w:rFonts w:hint="eastAsia" w:ascii="宋体" w:hAnsi="宋体" w:eastAsia="宋体" w:cs="宋体"/>
          <w:b/>
          <w:sz w:val="24"/>
          <w:lang w:val="en-US" w:eastAsia="zh-CN"/>
        </w:rPr>
        <w:t>7.4</w:t>
      </w:r>
      <w:r>
        <w:rPr>
          <w:rFonts w:hint="eastAsia" w:ascii="宋体" w:hAnsi="宋体" w:eastAsia="宋体" w:cs="宋体"/>
          <w:b/>
          <w:sz w:val="24"/>
        </w:rPr>
        <w:t xml:space="preserve">  准确度</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1)精确工作范围</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·电压：0.5V～260V(线电压)</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·VX 电压：1V～260V</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·相电流：0.02In～20In</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·零序电流：0.02In～20In</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·频率：40Hz～70Hz</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2)保护定值准确度</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·电流定值误差：小于等于±2.5%或±0.01In</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·电压定值误差：小于等于±2.5%或 0.2V</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·频率定值误差：小于等于±0.02Hz</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·方向角度误差：小于等于±3°</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3)时间定值准确度</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·固有动作时间：小于等于 40ms (过量保护施加 1.2 倍动作整定值激励，欠量保护施加 0.8倍动作整定值激励)</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·定时限动作时间：小于等于±40ms 或 1%(过量保护施加 1.2 倍动作整定值激励，欠量保护施 加 0.8 倍动作整定值激励)</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·反时限动作时间：</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误差满足以下两条件之一</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  时间误差：±5%(1 – I/(80*Iset))或±40ms，I 为动作电流值，Iset 为基准电流。</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  动作电流 I 与计算电流 Ic 误差：±2.5%或±0.02In ，Ic 由动作时间经反时限公式计算值。</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4)测量准确度</w:t>
      </w:r>
    </w:p>
    <w:p>
      <w:pPr>
        <w:wordWrap/>
        <w:adjustRightInd/>
        <w:spacing w:before="1" w:line="360" w:lineRule="auto"/>
        <w:ind w:firstLine="3600" w:firstLineChars="1500"/>
        <w:rPr>
          <w:rFonts w:hint="eastAsia" w:ascii="宋体" w:hAnsi="宋体" w:eastAsia="宋体" w:cs="宋体"/>
          <w:sz w:val="24"/>
          <w:szCs w:val="24"/>
        </w:rPr>
      </w:pPr>
      <w:r>
        <w:rPr>
          <w:rFonts w:hint="eastAsia" w:ascii="宋体" w:hAnsi="宋体" w:eastAsia="宋体" w:cs="宋体"/>
          <w:sz w:val="24"/>
          <w:szCs w:val="24"/>
        </w:rPr>
        <w:t>表</w:t>
      </w:r>
      <w:r>
        <w:rPr>
          <w:rFonts w:hint="eastAsia" w:ascii="宋体" w:hAnsi="宋体" w:eastAsia="宋体" w:cs="宋体"/>
          <w:spacing w:val="-3"/>
          <w:sz w:val="24"/>
          <w:szCs w:val="24"/>
        </w:rPr>
        <w:t xml:space="preserve"> </w:t>
      </w:r>
      <w:r>
        <w:rPr>
          <w:rFonts w:hint="eastAsia" w:ascii="宋体" w:hAnsi="宋体" w:eastAsia="宋体" w:cs="宋体"/>
          <w:sz w:val="24"/>
          <w:szCs w:val="24"/>
        </w:rPr>
        <w:t>2-</w:t>
      </w:r>
      <w:r>
        <w:rPr>
          <w:rFonts w:hint="eastAsia" w:ascii="宋体" w:hAnsi="宋体" w:eastAsia="宋体" w:cs="宋体"/>
          <w:spacing w:val="-2"/>
          <w:sz w:val="24"/>
          <w:szCs w:val="24"/>
        </w:rPr>
        <w:t xml:space="preserve"> </w:t>
      </w:r>
      <w:r>
        <w:rPr>
          <w:rFonts w:hint="eastAsia" w:ascii="宋体" w:hAnsi="宋体" w:eastAsia="宋体" w:cs="宋体"/>
          <w:sz w:val="24"/>
          <w:szCs w:val="24"/>
        </w:rPr>
        <w:t>1</w:t>
      </w:r>
      <w:r>
        <w:rPr>
          <w:rFonts w:hint="eastAsia" w:ascii="宋体" w:hAnsi="宋体" w:eastAsia="宋体" w:cs="宋体"/>
          <w:spacing w:val="-2"/>
          <w:sz w:val="24"/>
          <w:szCs w:val="24"/>
        </w:rPr>
        <w:t xml:space="preserve">  </w:t>
      </w:r>
      <w:r>
        <w:rPr>
          <w:rFonts w:hint="eastAsia" w:ascii="宋体" w:hAnsi="宋体" w:eastAsia="宋体" w:cs="宋体"/>
          <w:sz w:val="24"/>
          <w:szCs w:val="24"/>
        </w:rPr>
        <w:t>测量准确度</w:t>
      </w:r>
    </w:p>
    <w:tbl>
      <w:tblPr>
        <w:tblStyle w:val="975"/>
        <w:tblpPr w:leftFromText="180" w:rightFromText="180" w:vertAnchor="text" w:horzAnchor="page" w:tblpX="1717" w:tblpY="-10"/>
        <w:tblOverlap w:val="never"/>
        <w:tblW w:w="822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3"/>
        <w:gridCol w:w="2264"/>
        <w:gridCol w:w="28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97" w:hRule="exact"/>
        </w:trPr>
        <w:tc>
          <w:tcPr>
            <w:tcW w:w="3113" w:type="dxa"/>
            <w:tcBorders>
              <w:top w:val="single" w:color="000000" w:sz="2" w:space="0"/>
              <w:bottom w:val="single" w:color="000000" w:sz="2" w:space="0"/>
            </w:tcBorders>
            <w:vAlign w:val="top"/>
          </w:tcPr>
          <w:p>
            <w:pPr>
              <w:wordWrap/>
              <w:adjustRightInd/>
              <w:spacing w:before="61" w:line="360" w:lineRule="auto"/>
              <w:ind w:firstLine="1351"/>
              <w:rPr>
                <w:rFonts w:hint="eastAsia" w:ascii="宋体" w:hAnsi="宋体" w:eastAsia="宋体" w:cs="宋体"/>
                <w:sz w:val="24"/>
                <w:szCs w:val="24"/>
              </w:rPr>
            </w:pPr>
            <w:r>
              <w:rPr>
                <w:rFonts w:hint="eastAsia" w:ascii="宋体" w:hAnsi="宋体" w:eastAsia="宋体" w:cs="宋体"/>
                <w:spacing w:val="4"/>
                <w:sz w:val="24"/>
                <w:szCs w:val="24"/>
              </w:rPr>
              <w:t>参</w:t>
            </w:r>
            <w:r>
              <w:rPr>
                <w:rFonts w:hint="eastAsia" w:ascii="宋体" w:hAnsi="宋体" w:eastAsia="宋体" w:cs="宋体"/>
                <w:spacing w:val="3"/>
                <w:sz w:val="24"/>
                <w:szCs w:val="24"/>
              </w:rPr>
              <w:t>数</w:t>
            </w:r>
          </w:p>
        </w:tc>
        <w:tc>
          <w:tcPr>
            <w:tcW w:w="2264" w:type="dxa"/>
            <w:tcBorders>
              <w:top w:val="single" w:color="000000" w:sz="2" w:space="0"/>
              <w:bottom w:val="single" w:color="000000" w:sz="2" w:space="0"/>
            </w:tcBorders>
            <w:vAlign w:val="top"/>
          </w:tcPr>
          <w:p>
            <w:pPr>
              <w:wordWrap/>
              <w:adjustRightInd/>
              <w:spacing w:before="60" w:line="360" w:lineRule="auto"/>
              <w:ind w:firstLine="924"/>
              <w:rPr>
                <w:rFonts w:hint="eastAsia" w:ascii="宋体" w:hAnsi="宋体" w:eastAsia="宋体" w:cs="宋体"/>
                <w:sz w:val="24"/>
                <w:szCs w:val="24"/>
              </w:rPr>
            </w:pPr>
            <w:r>
              <w:rPr>
                <w:rFonts w:hint="eastAsia" w:ascii="宋体" w:hAnsi="宋体" w:eastAsia="宋体" w:cs="宋体"/>
                <w:spacing w:val="5"/>
                <w:sz w:val="24"/>
                <w:szCs w:val="24"/>
              </w:rPr>
              <w:t>精</w:t>
            </w:r>
            <w:r>
              <w:rPr>
                <w:rFonts w:hint="eastAsia" w:ascii="宋体" w:hAnsi="宋体" w:eastAsia="宋体" w:cs="宋体"/>
                <w:spacing w:val="4"/>
                <w:sz w:val="24"/>
                <w:szCs w:val="24"/>
              </w:rPr>
              <w:t>度</w:t>
            </w:r>
          </w:p>
        </w:tc>
        <w:tc>
          <w:tcPr>
            <w:tcW w:w="2847" w:type="dxa"/>
            <w:tcBorders>
              <w:top w:val="single" w:color="000000" w:sz="2" w:space="0"/>
              <w:bottom w:val="single" w:color="000000" w:sz="2" w:space="0"/>
            </w:tcBorders>
            <w:vAlign w:val="top"/>
          </w:tcPr>
          <w:p>
            <w:pPr>
              <w:wordWrap/>
              <w:adjustRightInd/>
              <w:spacing w:before="61" w:line="360" w:lineRule="auto"/>
              <w:ind w:firstLine="904"/>
              <w:rPr>
                <w:rFonts w:hint="eastAsia" w:ascii="宋体" w:hAnsi="宋体" w:eastAsia="宋体" w:cs="宋体"/>
                <w:sz w:val="24"/>
                <w:szCs w:val="24"/>
              </w:rPr>
            </w:pPr>
            <w:r>
              <w:rPr>
                <w:rFonts w:hint="eastAsia" w:ascii="宋体" w:hAnsi="宋体" w:eastAsia="宋体" w:cs="宋体"/>
                <w:spacing w:val="8"/>
                <w:sz w:val="24"/>
                <w:szCs w:val="24"/>
              </w:rPr>
              <w:t>最高分</w:t>
            </w:r>
            <w:r>
              <w:rPr>
                <w:rFonts w:hint="eastAsia" w:ascii="宋体" w:hAnsi="宋体" w:eastAsia="宋体" w:cs="宋体"/>
                <w:spacing w:val="7"/>
                <w:sz w:val="24"/>
                <w:szCs w:val="24"/>
              </w:rPr>
              <w:t>辨率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exact"/>
        </w:trPr>
        <w:tc>
          <w:tcPr>
            <w:tcW w:w="3113" w:type="dxa"/>
            <w:tcBorders>
              <w:top w:val="single" w:color="000000" w:sz="2" w:space="0"/>
              <w:bottom w:val="single" w:color="000000" w:sz="2" w:space="0"/>
            </w:tcBorders>
            <w:vAlign w:val="top"/>
          </w:tcPr>
          <w:p>
            <w:pPr>
              <w:wordWrap/>
              <w:adjustRightInd/>
              <w:spacing w:before="53" w:line="360" w:lineRule="auto"/>
              <w:ind w:firstLine="1373"/>
              <w:rPr>
                <w:rFonts w:hint="eastAsia" w:ascii="宋体" w:hAnsi="宋体" w:eastAsia="宋体" w:cs="宋体"/>
                <w:sz w:val="24"/>
                <w:szCs w:val="24"/>
              </w:rPr>
            </w:pPr>
            <w:r>
              <w:rPr>
                <w:rFonts w:hint="eastAsia" w:ascii="宋体" w:hAnsi="宋体" w:eastAsia="宋体" w:cs="宋体"/>
                <w:spacing w:val="-8"/>
                <w:sz w:val="24"/>
                <w:szCs w:val="24"/>
              </w:rPr>
              <w:t>电</w:t>
            </w:r>
            <w:r>
              <w:rPr>
                <w:rFonts w:hint="eastAsia" w:ascii="宋体" w:hAnsi="宋体" w:eastAsia="宋体" w:cs="宋体"/>
                <w:spacing w:val="-7"/>
                <w:sz w:val="24"/>
                <w:szCs w:val="24"/>
              </w:rPr>
              <w:t>压</w:t>
            </w:r>
          </w:p>
        </w:tc>
        <w:tc>
          <w:tcPr>
            <w:tcW w:w="2264" w:type="dxa"/>
            <w:tcBorders>
              <w:top w:val="single" w:color="000000" w:sz="2" w:space="0"/>
              <w:bottom w:val="single" w:color="000000" w:sz="2" w:space="0"/>
            </w:tcBorders>
            <w:vAlign w:val="top"/>
          </w:tcPr>
          <w:p>
            <w:pPr>
              <w:wordWrap/>
              <w:adjustRightInd/>
              <w:spacing w:before="53" w:line="360" w:lineRule="auto"/>
              <w:ind w:firstLine="886"/>
              <w:rPr>
                <w:rFonts w:hint="eastAsia" w:ascii="宋体" w:hAnsi="宋体" w:eastAsia="宋体" w:cs="宋体"/>
                <w:sz w:val="24"/>
                <w:szCs w:val="24"/>
              </w:rPr>
            </w:pPr>
            <w:r>
              <w:rPr>
                <w:rFonts w:hint="eastAsia" w:ascii="宋体" w:hAnsi="宋体" w:eastAsia="宋体" w:cs="宋体"/>
                <w:spacing w:val="1"/>
                <w:position w:val="1"/>
                <w:sz w:val="24"/>
                <w:szCs w:val="24"/>
              </w:rPr>
              <w:t>0.2％</w:t>
            </w:r>
          </w:p>
        </w:tc>
        <w:tc>
          <w:tcPr>
            <w:tcW w:w="2847" w:type="dxa"/>
            <w:tcBorders>
              <w:top w:val="single" w:color="000000" w:sz="2" w:space="0"/>
              <w:bottom w:val="single" w:color="000000" w:sz="2" w:space="0"/>
            </w:tcBorders>
            <w:vAlign w:val="top"/>
          </w:tcPr>
          <w:p>
            <w:pPr>
              <w:wordWrap/>
              <w:adjustRightInd/>
              <w:spacing w:before="82" w:line="360" w:lineRule="auto"/>
              <w:ind w:firstLine="1154"/>
              <w:rPr>
                <w:rFonts w:hint="eastAsia" w:ascii="宋体" w:hAnsi="宋体" w:eastAsia="宋体" w:cs="宋体"/>
                <w:sz w:val="24"/>
                <w:szCs w:val="24"/>
              </w:rPr>
            </w:pPr>
            <w:r>
              <w:rPr>
                <w:rFonts w:hint="eastAsia" w:ascii="宋体" w:hAnsi="宋体" w:eastAsia="宋体" w:cs="宋体"/>
                <w:spacing w:val="3"/>
                <w:sz w:val="24"/>
                <w:szCs w:val="24"/>
              </w:rPr>
              <w:t>0</w:t>
            </w:r>
            <w:r>
              <w:rPr>
                <w:rFonts w:hint="eastAsia" w:ascii="宋体" w:hAnsi="宋体" w:eastAsia="宋体" w:cs="宋体"/>
                <w:spacing w:val="1"/>
                <w:sz w:val="24"/>
                <w:szCs w:val="24"/>
              </w:rPr>
              <w:t>.</w:t>
            </w:r>
            <w:r>
              <w:rPr>
                <w:rFonts w:hint="eastAsia" w:ascii="宋体" w:hAnsi="宋体" w:eastAsia="宋体" w:cs="宋体"/>
                <w:spacing w:val="3"/>
                <w:sz w:val="24"/>
                <w:szCs w:val="24"/>
              </w:rPr>
              <w:t>01V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exact"/>
        </w:trPr>
        <w:tc>
          <w:tcPr>
            <w:tcW w:w="3113" w:type="dxa"/>
            <w:tcBorders>
              <w:top w:val="single" w:color="000000" w:sz="2" w:space="0"/>
              <w:bottom w:val="single" w:color="000000" w:sz="2" w:space="0"/>
            </w:tcBorders>
            <w:vAlign w:val="top"/>
          </w:tcPr>
          <w:p>
            <w:pPr>
              <w:wordWrap/>
              <w:adjustRightInd/>
              <w:spacing w:before="55" w:line="360" w:lineRule="auto"/>
              <w:ind w:firstLine="1373"/>
              <w:rPr>
                <w:rFonts w:hint="eastAsia" w:ascii="宋体" w:hAnsi="宋体" w:eastAsia="宋体" w:cs="宋体"/>
                <w:sz w:val="24"/>
                <w:szCs w:val="24"/>
              </w:rPr>
            </w:pPr>
            <w:r>
              <w:rPr>
                <w:rFonts w:hint="eastAsia" w:ascii="宋体" w:hAnsi="宋体" w:eastAsia="宋体" w:cs="宋体"/>
                <w:spacing w:val="-8"/>
                <w:sz w:val="24"/>
                <w:szCs w:val="24"/>
              </w:rPr>
              <w:t>电</w:t>
            </w:r>
            <w:r>
              <w:rPr>
                <w:rFonts w:hint="eastAsia" w:ascii="宋体" w:hAnsi="宋体" w:eastAsia="宋体" w:cs="宋体"/>
                <w:spacing w:val="-7"/>
                <w:sz w:val="24"/>
                <w:szCs w:val="24"/>
              </w:rPr>
              <w:t>流</w:t>
            </w:r>
          </w:p>
        </w:tc>
        <w:tc>
          <w:tcPr>
            <w:tcW w:w="2264" w:type="dxa"/>
            <w:tcBorders>
              <w:top w:val="single" w:color="000000" w:sz="2" w:space="0"/>
              <w:bottom w:val="single" w:color="000000" w:sz="2" w:space="0"/>
            </w:tcBorders>
            <w:vAlign w:val="top"/>
          </w:tcPr>
          <w:p>
            <w:pPr>
              <w:wordWrap/>
              <w:adjustRightInd/>
              <w:spacing w:before="55" w:line="360" w:lineRule="auto"/>
              <w:ind w:firstLine="886"/>
              <w:rPr>
                <w:rFonts w:hint="eastAsia" w:ascii="宋体" w:hAnsi="宋体" w:eastAsia="宋体" w:cs="宋体"/>
                <w:sz w:val="24"/>
                <w:szCs w:val="24"/>
              </w:rPr>
            </w:pPr>
            <w:r>
              <w:rPr>
                <w:rFonts w:hint="eastAsia" w:ascii="宋体" w:hAnsi="宋体" w:eastAsia="宋体" w:cs="宋体"/>
                <w:spacing w:val="1"/>
                <w:position w:val="1"/>
                <w:sz w:val="24"/>
                <w:szCs w:val="24"/>
              </w:rPr>
              <w:t>0.2％</w:t>
            </w:r>
          </w:p>
        </w:tc>
        <w:tc>
          <w:tcPr>
            <w:tcW w:w="2847" w:type="dxa"/>
            <w:tcBorders>
              <w:top w:val="single" w:color="000000" w:sz="2" w:space="0"/>
              <w:bottom w:val="single" w:color="000000" w:sz="2" w:space="0"/>
            </w:tcBorders>
            <w:vAlign w:val="top"/>
          </w:tcPr>
          <w:p>
            <w:pPr>
              <w:wordWrap/>
              <w:adjustRightInd/>
              <w:spacing w:before="82" w:line="360" w:lineRule="auto"/>
              <w:ind w:firstLine="1094"/>
              <w:rPr>
                <w:rFonts w:hint="eastAsia" w:ascii="宋体" w:hAnsi="宋体" w:eastAsia="宋体" w:cs="宋体"/>
                <w:sz w:val="24"/>
                <w:szCs w:val="24"/>
              </w:rPr>
            </w:pPr>
            <w:r>
              <w:rPr>
                <w:rFonts w:hint="eastAsia" w:ascii="宋体" w:hAnsi="宋体" w:eastAsia="宋体" w:cs="宋体"/>
                <w:spacing w:val="4"/>
                <w:sz w:val="24"/>
                <w:szCs w:val="24"/>
              </w:rPr>
              <w:t>0</w:t>
            </w:r>
            <w:r>
              <w:rPr>
                <w:rFonts w:hint="eastAsia" w:ascii="宋体" w:hAnsi="宋体" w:eastAsia="宋体" w:cs="宋体"/>
                <w:spacing w:val="2"/>
                <w:sz w:val="24"/>
                <w:szCs w:val="24"/>
              </w:rPr>
              <w:t>.</w:t>
            </w:r>
            <w:r>
              <w:rPr>
                <w:rFonts w:hint="eastAsia" w:ascii="宋体" w:hAnsi="宋体" w:eastAsia="宋体" w:cs="宋体"/>
                <w:spacing w:val="4"/>
                <w:sz w:val="24"/>
                <w:szCs w:val="24"/>
              </w:rPr>
              <w:t>0</w:t>
            </w:r>
            <w:r>
              <w:rPr>
                <w:rFonts w:hint="eastAsia" w:ascii="宋体" w:hAnsi="宋体" w:eastAsia="宋体" w:cs="宋体"/>
                <w:spacing w:val="3"/>
                <w:sz w:val="24"/>
                <w:szCs w:val="24"/>
              </w:rPr>
              <w:t>01</w:t>
            </w:r>
            <w:r>
              <w:rPr>
                <w:rFonts w:hint="eastAsia" w:ascii="宋体" w:hAnsi="宋体" w:eastAsia="宋体" w:cs="宋体"/>
                <w:spacing w:val="4"/>
                <w:sz w:val="24"/>
                <w:szCs w:val="24"/>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exact"/>
        </w:trPr>
        <w:tc>
          <w:tcPr>
            <w:tcW w:w="3113" w:type="dxa"/>
            <w:tcBorders>
              <w:top w:val="single" w:color="000000" w:sz="2" w:space="0"/>
              <w:bottom w:val="single" w:color="000000" w:sz="2" w:space="0"/>
            </w:tcBorders>
            <w:vAlign w:val="top"/>
          </w:tcPr>
          <w:p>
            <w:pPr>
              <w:wordWrap/>
              <w:adjustRightInd/>
              <w:spacing w:before="55" w:line="360" w:lineRule="auto"/>
              <w:ind w:firstLine="1141"/>
              <w:rPr>
                <w:rFonts w:hint="eastAsia" w:ascii="宋体" w:hAnsi="宋体" w:eastAsia="宋体" w:cs="宋体"/>
                <w:sz w:val="24"/>
                <w:szCs w:val="24"/>
              </w:rPr>
            </w:pPr>
            <w:r>
              <w:rPr>
                <w:rFonts w:hint="eastAsia" w:ascii="宋体" w:hAnsi="宋体" w:eastAsia="宋体" w:cs="宋体"/>
                <w:spacing w:val="7"/>
                <w:sz w:val="24"/>
                <w:szCs w:val="24"/>
              </w:rPr>
              <w:t>有功功率</w:t>
            </w:r>
          </w:p>
        </w:tc>
        <w:tc>
          <w:tcPr>
            <w:tcW w:w="2264" w:type="dxa"/>
            <w:tcBorders>
              <w:top w:val="single" w:color="000000" w:sz="2" w:space="0"/>
              <w:bottom w:val="single" w:color="000000" w:sz="2" w:space="0"/>
            </w:tcBorders>
            <w:vAlign w:val="top"/>
          </w:tcPr>
          <w:p>
            <w:pPr>
              <w:wordWrap/>
              <w:adjustRightInd/>
              <w:spacing w:before="55" w:line="360" w:lineRule="auto"/>
              <w:ind w:firstLine="886"/>
              <w:rPr>
                <w:rFonts w:hint="eastAsia" w:ascii="宋体" w:hAnsi="宋体" w:eastAsia="宋体" w:cs="宋体"/>
                <w:sz w:val="24"/>
                <w:szCs w:val="24"/>
              </w:rPr>
            </w:pPr>
            <w:r>
              <w:rPr>
                <w:rFonts w:hint="eastAsia" w:ascii="宋体" w:hAnsi="宋体" w:eastAsia="宋体" w:cs="宋体"/>
                <w:spacing w:val="1"/>
                <w:position w:val="1"/>
                <w:sz w:val="24"/>
                <w:szCs w:val="24"/>
              </w:rPr>
              <w:t>0.</w:t>
            </w:r>
            <w:r>
              <w:rPr>
                <w:rFonts w:hint="eastAsia" w:ascii="宋体" w:hAnsi="宋体" w:eastAsia="宋体" w:cs="宋体"/>
                <w:position w:val="1"/>
                <w:sz w:val="24"/>
                <w:szCs w:val="24"/>
              </w:rPr>
              <w:t>5％</w:t>
            </w:r>
          </w:p>
        </w:tc>
        <w:tc>
          <w:tcPr>
            <w:tcW w:w="2847" w:type="dxa"/>
            <w:tcBorders>
              <w:top w:val="single" w:color="000000" w:sz="2" w:space="0"/>
              <w:bottom w:val="single" w:color="000000" w:sz="2" w:space="0"/>
            </w:tcBorders>
            <w:vAlign w:val="top"/>
          </w:tcPr>
          <w:p>
            <w:pPr>
              <w:wordWrap/>
              <w:adjustRightInd/>
              <w:spacing w:before="24" w:line="360" w:lineRule="auto"/>
              <w:ind w:firstLine="1015"/>
              <w:rPr>
                <w:rFonts w:hint="eastAsia" w:ascii="宋体" w:hAnsi="宋体" w:eastAsia="宋体" w:cs="宋体"/>
                <w:sz w:val="24"/>
                <w:szCs w:val="24"/>
              </w:rPr>
            </w:pPr>
            <w:r>
              <w:rPr>
                <w:rFonts w:hint="eastAsia" w:ascii="宋体" w:hAnsi="宋体" w:eastAsia="宋体" w:cs="宋体"/>
                <w:spacing w:val="4"/>
                <w:position w:val="1"/>
                <w:sz w:val="24"/>
                <w:szCs w:val="24"/>
              </w:rPr>
              <w:t>0</w:t>
            </w:r>
            <w:r>
              <w:rPr>
                <w:rFonts w:hint="eastAsia" w:ascii="宋体" w:hAnsi="宋体" w:eastAsia="宋体" w:cs="宋体"/>
                <w:spacing w:val="2"/>
                <w:position w:val="1"/>
                <w:sz w:val="24"/>
                <w:szCs w:val="24"/>
              </w:rPr>
              <w:t>.</w:t>
            </w:r>
            <w:r>
              <w:rPr>
                <w:rFonts w:hint="eastAsia" w:ascii="宋体" w:hAnsi="宋体" w:eastAsia="宋体" w:cs="宋体"/>
                <w:spacing w:val="4"/>
                <w:position w:val="1"/>
                <w:sz w:val="24"/>
                <w:szCs w:val="24"/>
              </w:rPr>
              <w:t>001</w:t>
            </w:r>
            <w:r>
              <w:rPr>
                <w:rFonts w:hint="eastAsia" w:ascii="宋体" w:hAnsi="宋体" w:eastAsia="宋体" w:cs="宋体"/>
                <w:spacing w:val="3"/>
                <w:position w:val="1"/>
                <w:sz w:val="24"/>
                <w:szCs w:val="24"/>
              </w:rPr>
              <w:t>k</w:t>
            </w:r>
            <w:r>
              <w:rPr>
                <w:rFonts w:hint="eastAsia" w:ascii="宋体" w:hAnsi="宋体" w:eastAsia="宋体" w:cs="宋体"/>
                <w:spacing w:val="6"/>
                <w:position w:val="1"/>
                <w:sz w:val="24"/>
                <w:szCs w:val="24"/>
              </w:rPr>
              <w:t>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exact"/>
        </w:trPr>
        <w:tc>
          <w:tcPr>
            <w:tcW w:w="3113" w:type="dxa"/>
            <w:tcBorders>
              <w:top w:val="single" w:color="000000" w:sz="2" w:space="0"/>
              <w:bottom w:val="single" w:color="000000" w:sz="2" w:space="0"/>
            </w:tcBorders>
            <w:vAlign w:val="top"/>
          </w:tcPr>
          <w:p>
            <w:pPr>
              <w:wordWrap/>
              <w:adjustRightInd/>
              <w:spacing w:before="55" w:line="360" w:lineRule="auto"/>
              <w:ind w:firstLine="1142"/>
              <w:rPr>
                <w:rFonts w:hint="eastAsia" w:ascii="宋体" w:hAnsi="宋体" w:eastAsia="宋体" w:cs="宋体"/>
                <w:sz w:val="24"/>
                <w:szCs w:val="24"/>
              </w:rPr>
            </w:pPr>
            <w:r>
              <w:rPr>
                <w:rFonts w:hint="eastAsia" w:ascii="宋体" w:hAnsi="宋体" w:eastAsia="宋体" w:cs="宋体"/>
                <w:spacing w:val="7"/>
                <w:sz w:val="24"/>
                <w:szCs w:val="24"/>
              </w:rPr>
              <w:t>无功功</w:t>
            </w:r>
            <w:r>
              <w:rPr>
                <w:rFonts w:hint="eastAsia" w:ascii="宋体" w:hAnsi="宋体" w:eastAsia="宋体" w:cs="宋体"/>
                <w:spacing w:val="6"/>
                <w:sz w:val="24"/>
                <w:szCs w:val="24"/>
              </w:rPr>
              <w:t>率</w:t>
            </w:r>
          </w:p>
        </w:tc>
        <w:tc>
          <w:tcPr>
            <w:tcW w:w="2264" w:type="dxa"/>
            <w:tcBorders>
              <w:top w:val="single" w:color="000000" w:sz="2" w:space="0"/>
              <w:bottom w:val="single" w:color="000000" w:sz="2" w:space="0"/>
            </w:tcBorders>
            <w:vAlign w:val="top"/>
          </w:tcPr>
          <w:p>
            <w:pPr>
              <w:wordWrap/>
              <w:adjustRightInd/>
              <w:spacing w:before="54" w:line="360" w:lineRule="auto"/>
              <w:ind w:firstLine="886"/>
              <w:rPr>
                <w:rFonts w:hint="eastAsia" w:ascii="宋体" w:hAnsi="宋体" w:eastAsia="宋体" w:cs="宋体"/>
                <w:sz w:val="24"/>
                <w:szCs w:val="24"/>
              </w:rPr>
            </w:pPr>
            <w:r>
              <w:rPr>
                <w:rFonts w:hint="eastAsia" w:ascii="宋体" w:hAnsi="宋体" w:eastAsia="宋体" w:cs="宋体"/>
                <w:spacing w:val="1"/>
                <w:position w:val="1"/>
                <w:sz w:val="24"/>
                <w:szCs w:val="24"/>
              </w:rPr>
              <w:t>0.</w:t>
            </w:r>
            <w:r>
              <w:rPr>
                <w:rFonts w:hint="eastAsia" w:ascii="宋体" w:hAnsi="宋体" w:eastAsia="宋体" w:cs="宋体"/>
                <w:position w:val="1"/>
                <w:sz w:val="24"/>
                <w:szCs w:val="24"/>
              </w:rPr>
              <w:t>5％</w:t>
            </w:r>
          </w:p>
        </w:tc>
        <w:tc>
          <w:tcPr>
            <w:tcW w:w="2847" w:type="dxa"/>
            <w:tcBorders>
              <w:top w:val="single" w:color="000000" w:sz="2" w:space="0"/>
              <w:bottom w:val="single" w:color="000000" w:sz="2" w:space="0"/>
            </w:tcBorders>
            <w:vAlign w:val="top"/>
          </w:tcPr>
          <w:p>
            <w:pPr>
              <w:wordWrap/>
              <w:adjustRightInd/>
              <w:spacing w:before="26" w:line="360" w:lineRule="auto"/>
              <w:ind w:firstLine="969"/>
              <w:rPr>
                <w:rFonts w:hint="eastAsia" w:ascii="宋体" w:hAnsi="宋体" w:eastAsia="宋体" w:cs="宋体"/>
                <w:sz w:val="24"/>
                <w:szCs w:val="24"/>
              </w:rPr>
            </w:pPr>
            <w:r>
              <w:rPr>
                <w:rFonts w:hint="eastAsia" w:ascii="宋体" w:hAnsi="宋体" w:eastAsia="宋体" w:cs="宋体"/>
                <w:spacing w:val="5"/>
                <w:position w:val="1"/>
                <w:sz w:val="24"/>
                <w:szCs w:val="24"/>
              </w:rPr>
              <w:t>0</w:t>
            </w:r>
            <w:r>
              <w:rPr>
                <w:rFonts w:hint="eastAsia" w:ascii="宋体" w:hAnsi="宋体" w:eastAsia="宋体" w:cs="宋体"/>
                <w:spacing w:val="3"/>
                <w:position w:val="1"/>
                <w:sz w:val="24"/>
                <w:szCs w:val="24"/>
              </w:rPr>
              <w:t>.</w:t>
            </w:r>
            <w:r>
              <w:rPr>
                <w:rFonts w:hint="eastAsia" w:ascii="宋体" w:hAnsi="宋体" w:eastAsia="宋体" w:cs="宋体"/>
                <w:spacing w:val="4"/>
                <w:position w:val="1"/>
                <w:sz w:val="24"/>
                <w:szCs w:val="24"/>
              </w:rPr>
              <w:t>001kva</w:t>
            </w:r>
            <w:r>
              <w:rPr>
                <w:rFonts w:hint="eastAsia" w:ascii="宋体" w:hAnsi="宋体" w:eastAsia="宋体" w:cs="宋体"/>
                <w:spacing w:val="2"/>
                <w:position w:val="1"/>
                <w:sz w:val="24"/>
                <w:szCs w:val="24"/>
              </w:rPr>
              <w:t>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exact"/>
        </w:trPr>
        <w:tc>
          <w:tcPr>
            <w:tcW w:w="3113" w:type="dxa"/>
            <w:tcBorders>
              <w:top w:val="single" w:color="000000" w:sz="2" w:space="0"/>
              <w:bottom w:val="single" w:color="000000" w:sz="2" w:space="0"/>
            </w:tcBorders>
            <w:vAlign w:val="top"/>
          </w:tcPr>
          <w:p>
            <w:pPr>
              <w:wordWrap/>
              <w:adjustRightInd/>
              <w:spacing w:before="55" w:line="360" w:lineRule="auto"/>
              <w:ind w:firstLine="1144"/>
              <w:rPr>
                <w:rFonts w:hint="eastAsia" w:ascii="宋体" w:hAnsi="宋体" w:eastAsia="宋体" w:cs="宋体"/>
                <w:sz w:val="24"/>
                <w:szCs w:val="24"/>
              </w:rPr>
            </w:pPr>
            <w:r>
              <w:rPr>
                <w:rFonts w:hint="eastAsia" w:ascii="宋体" w:hAnsi="宋体" w:eastAsia="宋体" w:cs="宋体"/>
                <w:spacing w:val="7"/>
                <w:sz w:val="24"/>
                <w:szCs w:val="24"/>
              </w:rPr>
              <w:t>功率</w:t>
            </w:r>
            <w:r>
              <w:rPr>
                <w:rFonts w:hint="eastAsia" w:ascii="宋体" w:hAnsi="宋体" w:eastAsia="宋体" w:cs="宋体"/>
                <w:spacing w:val="6"/>
                <w:sz w:val="24"/>
                <w:szCs w:val="24"/>
              </w:rPr>
              <w:t>因数</w:t>
            </w:r>
          </w:p>
        </w:tc>
        <w:tc>
          <w:tcPr>
            <w:tcW w:w="2264" w:type="dxa"/>
            <w:tcBorders>
              <w:top w:val="single" w:color="000000" w:sz="2" w:space="0"/>
              <w:bottom w:val="single" w:color="000000" w:sz="2" w:space="0"/>
            </w:tcBorders>
            <w:vAlign w:val="top"/>
          </w:tcPr>
          <w:p>
            <w:pPr>
              <w:wordWrap/>
              <w:adjustRightInd/>
              <w:spacing w:before="55" w:line="360" w:lineRule="auto"/>
              <w:ind w:firstLine="900"/>
              <w:rPr>
                <w:rFonts w:hint="eastAsia" w:ascii="宋体" w:hAnsi="宋体" w:eastAsia="宋体" w:cs="宋体"/>
                <w:sz w:val="24"/>
                <w:szCs w:val="24"/>
              </w:rPr>
            </w:pPr>
            <w:r>
              <w:rPr>
                <w:rFonts w:hint="eastAsia" w:ascii="宋体" w:hAnsi="宋体" w:eastAsia="宋体" w:cs="宋体"/>
                <w:spacing w:val="-3"/>
                <w:position w:val="1"/>
                <w:sz w:val="24"/>
                <w:szCs w:val="24"/>
              </w:rPr>
              <w:t>1</w:t>
            </w:r>
            <w:r>
              <w:rPr>
                <w:rFonts w:hint="eastAsia" w:ascii="宋体" w:hAnsi="宋体" w:eastAsia="宋体" w:cs="宋体"/>
                <w:spacing w:val="-2"/>
                <w:position w:val="1"/>
                <w:sz w:val="24"/>
                <w:szCs w:val="24"/>
              </w:rPr>
              <w:t>.0</w:t>
            </w:r>
            <w:r>
              <w:rPr>
                <w:rFonts w:hint="eastAsia" w:ascii="宋体" w:hAnsi="宋体" w:eastAsia="宋体" w:cs="宋体"/>
                <w:spacing w:val="-5"/>
                <w:position w:val="1"/>
                <w:sz w:val="24"/>
                <w:szCs w:val="24"/>
              </w:rPr>
              <w:t>％</w:t>
            </w:r>
          </w:p>
        </w:tc>
        <w:tc>
          <w:tcPr>
            <w:tcW w:w="2847" w:type="dxa"/>
            <w:tcBorders>
              <w:top w:val="single" w:color="000000" w:sz="2" w:space="0"/>
              <w:bottom w:val="single" w:color="000000" w:sz="2" w:space="0"/>
            </w:tcBorders>
            <w:vAlign w:val="top"/>
          </w:tcPr>
          <w:p>
            <w:pPr>
              <w:wordWrap/>
              <w:adjustRightInd/>
              <w:spacing w:before="84" w:line="360" w:lineRule="auto"/>
              <w:ind w:firstLine="1166"/>
              <w:rPr>
                <w:rFonts w:hint="eastAsia" w:ascii="宋体" w:hAnsi="宋体" w:eastAsia="宋体" w:cs="宋体"/>
                <w:sz w:val="24"/>
                <w:szCs w:val="24"/>
              </w:rPr>
            </w:pPr>
            <w:r>
              <w:rPr>
                <w:rFonts w:hint="eastAsia" w:ascii="宋体" w:hAnsi="宋体" w:eastAsia="宋体" w:cs="宋体"/>
                <w:spacing w:val="3"/>
                <w:sz w:val="24"/>
                <w:szCs w:val="24"/>
              </w:rPr>
              <w:t>0</w:t>
            </w:r>
            <w:r>
              <w:rPr>
                <w:rFonts w:hint="eastAsia" w:ascii="宋体" w:hAnsi="宋体" w:eastAsia="宋体" w:cs="宋体"/>
                <w:spacing w:val="2"/>
                <w:sz w:val="24"/>
                <w:szCs w:val="24"/>
              </w:rPr>
              <w:t>.</w:t>
            </w:r>
            <w:r>
              <w:rPr>
                <w:rFonts w:hint="eastAsia" w:ascii="宋体" w:hAnsi="宋体" w:eastAsia="宋体" w:cs="宋体"/>
                <w:spacing w:val="3"/>
                <w:sz w:val="24"/>
                <w:szCs w:val="24"/>
              </w:rPr>
              <w:t>0</w:t>
            </w:r>
            <w:r>
              <w:rPr>
                <w:rFonts w:hint="eastAsia" w:ascii="宋体" w:hAnsi="宋体" w:eastAsia="宋体" w:cs="宋体"/>
                <w:spacing w:val="2"/>
                <w:sz w:val="24"/>
                <w:szCs w:val="24"/>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exact"/>
        </w:trPr>
        <w:tc>
          <w:tcPr>
            <w:tcW w:w="3113" w:type="dxa"/>
            <w:tcBorders>
              <w:top w:val="single" w:color="000000" w:sz="2" w:space="0"/>
              <w:bottom w:val="single" w:color="000000" w:sz="2" w:space="0"/>
            </w:tcBorders>
            <w:vAlign w:val="top"/>
          </w:tcPr>
          <w:p>
            <w:pPr>
              <w:wordWrap/>
              <w:adjustRightInd/>
              <w:spacing w:before="58" w:line="360" w:lineRule="auto"/>
              <w:ind w:firstLine="1350"/>
              <w:rPr>
                <w:rFonts w:hint="eastAsia" w:ascii="宋体" w:hAnsi="宋体" w:eastAsia="宋体" w:cs="宋体"/>
                <w:sz w:val="24"/>
                <w:szCs w:val="24"/>
              </w:rPr>
            </w:pPr>
            <w:r>
              <w:rPr>
                <w:rFonts w:hint="eastAsia" w:ascii="宋体" w:hAnsi="宋体" w:eastAsia="宋体" w:cs="宋体"/>
                <w:spacing w:val="4"/>
                <w:sz w:val="24"/>
                <w:szCs w:val="24"/>
              </w:rPr>
              <w:t>频率</w:t>
            </w:r>
          </w:p>
        </w:tc>
        <w:tc>
          <w:tcPr>
            <w:tcW w:w="2264" w:type="dxa"/>
            <w:tcBorders>
              <w:top w:val="single" w:color="000000" w:sz="2" w:space="0"/>
              <w:bottom w:val="single" w:color="000000" w:sz="2" w:space="0"/>
            </w:tcBorders>
            <w:vAlign w:val="top"/>
          </w:tcPr>
          <w:p>
            <w:pPr>
              <w:wordWrap/>
              <w:adjustRightInd/>
              <w:spacing w:before="27" w:line="360" w:lineRule="auto"/>
              <w:ind w:firstLine="805"/>
              <w:rPr>
                <w:rFonts w:hint="eastAsia" w:ascii="宋体" w:hAnsi="宋体" w:eastAsia="宋体" w:cs="宋体"/>
                <w:sz w:val="24"/>
                <w:szCs w:val="24"/>
              </w:rPr>
            </w:pPr>
            <w:r>
              <w:rPr>
                <w:rFonts w:hint="eastAsia" w:ascii="宋体" w:hAnsi="宋体" w:eastAsia="宋体" w:cs="宋体"/>
                <w:spacing w:val="4"/>
                <w:position w:val="1"/>
                <w:sz w:val="24"/>
                <w:szCs w:val="24"/>
              </w:rPr>
              <w:t>0</w:t>
            </w:r>
            <w:r>
              <w:rPr>
                <w:rFonts w:hint="eastAsia" w:ascii="宋体" w:hAnsi="宋体" w:eastAsia="宋体" w:cs="宋体"/>
                <w:spacing w:val="3"/>
                <w:position w:val="1"/>
                <w:sz w:val="24"/>
                <w:szCs w:val="24"/>
              </w:rPr>
              <w:t>.02</w:t>
            </w:r>
            <w:r>
              <w:rPr>
                <w:rFonts w:hint="eastAsia" w:ascii="宋体" w:hAnsi="宋体" w:eastAsia="宋体" w:cs="宋体"/>
                <w:spacing w:val="5"/>
                <w:position w:val="1"/>
                <w:sz w:val="24"/>
                <w:szCs w:val="24"/>
              </w:rPr>
              <w:t>H</w:t>
            </w:r>
            <w:r>
              <w:rPr>
                <w:rFonts w:hint="eastAsia" w:ascii="宋体" w:hAnsi="宋体" w:eastAsia="宋体" w:cs="宋体"/>
                <w:spacing w:val="3"/>
                <w:position w:val="1"/>
                <w:sz w:val="24"/>
                <w:szCs w:val="24"/>
              </w:rPr>
              <w:t>z</w:t>
            </w:r>
          </w:p>
        </w:tc>
        <w:tc>
          <w:tcPr>
            <w:tcW w:w="2847" w:type="dxa"/>
            <w:tcBorders>
              <w:top w:val="single" w:color="000000" w:sz="2" w:space="0"/>
              <w:bottom w:val="single" w:color="000000" w:sz="2" w:space="0"/>
            </w:tcBorders>
            <w:vAlign w:val="top"/>
          </w:tcPr>
          <w:p>
            <w:pPr>
              <w:wordWrap/>
              <w:adjustRightInd/>
              <w:spacing w:before="27" w:line="360" w:lineRule="auto"/>
              <w:ind w:firstLine="1037"/>
              <w:rPr>
                <w:rFonts w:hint="eastAsia" w:ascii="宋体" w:hAnsi="宋体" w:eastAsia="宋体" w:cs="宋体"/>
                <w:sz w:val="24"/>
                <w:szCs w:val="24"/>
              </w:rPr>
            </w:pPr>
            <w:r>
              <w:rPr>
                <w:rFonts w:hint="eastAsia" w:ascii="宋体" w:hAnsi="宋体" w:eastAsia="宋体" w:cs="宋体"/>
                <w:spacing w:val="5"/>
                <w:position w:val="1"/>
                <w:sz w:val="24"/>
                <w:szCs w:val="24"/>
              </w:rPr>
              <w:t>0</w:t>
            </w:r>
            <w:r>
              <w:rPr>
                <w:rFonts w:hint="eastAsia" w:ascii="宋体" w:hAnsi="宋体" w:eastAsia="宋体" w:cs="宋体"/>
                <w:spacing w:val="2"/>
                <w:position w:val="1"/>
                <w:sz w:val="24"/>
                <w:szCs w:val="24"/>
              </w:rPr>
              <w:t>.</w:t>
            </w:r>
            <w:r>
              <w:rPr>
                <w:rFonts w:hint="eastAsia" w:ascii="宋体" w:hAnsi="宋体" w:eastAsia="宋体" w:cs="宋体"/>
                <w:spacing w:val="4"/>
                <w:position w:val="1"/>
                <w:sz w:val="24"/>
                <w:szCs w:val="24"/>
              </w:rPr>
              <w:t>001</w:t>
            </w:r>
            <w:r>
              <w:rPr>
                <w:rFonts w:hint="eastAsia" w:ascii="宋体" w:hAnsi="宋体" w:eastAsia="宋体" w:cs="宋体"/>
                <w:spacing w:val="5"/>
                <w:position w:val="1"/>
                <w:sz w:val="24"/>
                <w:szCs w:val="24"/>
              </w:rPr>
              <w:t>H</w:t>
            </w:r>
            <w:r>
              <w:rPr>
                <w:rFonts w:hint="eastAsia" w:ascii="宋体" w:hAnsi="宋体" w:eastAsia="宋体" w:cs="宋体"/>
                <w:spacing w:val="3"/>
                <w:position w:val="1"/>
                <w:sz w:val="24"/>
                <w:szCs w:val="24"/>
              </w:rPr>
              <w:t>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exact"/>
        </w:trPr>
        <w:tc>
          <w:tcPr>
            <w:tcW w:w="3113" w:type="dxa"/>
            <w:tcBorders>
              <w:top w:val="single" w:color="000000" w:sz="2" w:space="0"/>
              <w:bottom w:val="single" w:color="000000" w:sz="2" w:space="0"/>
            </w:tcBorders>
            <w:vAlign w:val="top"/>
          </w:tcPr>
          <w:p>
            <w:pPr>
              <w:wordWrap/>
              <w:adjustRightInd/>
              <w:spacing w:before="58" w:line="360" w:lineRule="auto"/>
              <w:ind w:firstLine="929"/>
              <w:rPr>
                <w:rFonts w:hint="eastAsia" w:ascii="宋体" w:hAnsi="宋体" w:eastAsia="宋体" w:cs="宋体"/>
                <w:sz w:val="24"/>
                <w:szCs w:val="24"/>
              </w:rPr>
            </w:pPr>
            <w:r>
              <w:rPr>
                <w:rFonts w:hint="eastAsia" w:ascii="宋体" w:hAnsi="宋体" w:eastAsia="宋体" w:cs="宋体"/>
                <w:spacing w:val="9"/>
                <w:sz w:val="24"/>
                <w:szCs w:val="24"/>
              </w:rPr>
              <w:t>双</w:t>
            </w:r>
            <w:r>
              <w:rPr>
                <w:rFonts w:hint="eastAsia" w:ascii="宋体" w:hAnsi="宋体" w:eastAsia="宋体" w:cs="宋体"/>
                <w:spacing w:val="8"/>
                <w:sz w:val="24"/>
                <w:szCs w:val="24"/>
              </w:rPr>
              <w:t>向有功电能</w:t>
            </w:r>
          </w:p>
        </w:tc>
        <w:tc>
          <w:tcPr>
            <w:tcW w:w="2264" w:type="dxa"/>
            <w:tcBorders>
              <w:top w:val="single" w:color="000000" w:sz="2" w:space="0"/>
              <w:bottom w:val="single" w:color="000000" w:sz="2" w:space="0"/>
            </w:tcBorders>
            <w:vAlign w:val="top"/>
          </w:tcPr>
          <w:p>
            <w:pPr>
              <w:wordWrap/>
              <w:adjustRightInd/>
              <w:spacing w:before="58" w:line="360" w:lineRule="auto"/>
              <w:ind w:firstLine="987"/>
              <w:rPr>
                <w:rFonts w:hint="eastAsia" w:ascii="宋体" w:hAnsi="宋体" w:eastAsia="宋体" w:cs="宋体"/>
                <w:sz w:val="24"/>
                <w:szCs w:val="24"/>
              </w:rPr>
            </w:pPr>
            <w:r>
              <w:rPr>
                <w:rFonts w:hint="eastAsia" w:ascii="宋体" w:hAnsi="宋体" w:eastAsia="宋体" w:cs="宋体"/>
                <w:spacing w:val="-4"/>
                <w:sz w:val="24"/>
                <w:szCs w:val="24"/>
              </w:rPr>
              <w:t>1</w:t>
            </w:r>
            <w:r>
              <w:rPr>
                <w:rFonts w:hint="eastAsia" w:ascii="宋体" w:hAnsi="宋体" w:eastAsia="宋体" w:cs="宋体"/>
                <w:spacing w:val="-6"/>
                <w:sz w:val="24"/>
                <w:szCs w:val="24"/>
              </w:rPr>
              <w:t>级</w:t>
            </w:r>
          </w:p>
        </w:tc>
        <w:tc>
          <w:tcPr>
            <w:tcW w:w="2847" w:type="dxa"/>
            <w:tcBorders>
              <w:top w:val="single" w:color="000000" w:sz="2" w:space="0"/>
              <w:bottom w:val="single" w:color="000000" w:sz="2" w:space="0"/>
            </w:tcBorders>
            <w:vAlign w:val="top"/>
          </w:tcPr>
          <w:p>
            <w:pPr>
              <w:wordWrap/>
              <w:adjustRightInd/>
              <w:spacing w:before="27" w:line="360" w:lineRule="auto"/>
              <w:ind w:firstLine="1173"/>
              <w:rPr>
                <w:rFonts w:hint="eastAsia" w:ascii="宋体" w:hAnsi="宋体" w:eastAsia="宋体" w:cs="宋体"/>
                <w:sz w:val="24"/>
                <w:szCs w:val="24"/>
              </w:rPr>
            </w:pPr>
            <w:r>
              <w:rPr>
                <w:rFonts w:hint="eastAsia" w:ascii="宋体" w:hAnsi="宋体" w:eastAsia="宋体" w:cs="宋体"/>
                <w:spacing w:val="1"/>
                <w:position w:val="1"/>
                <w:sz w:val="24"/>
                <w:szCs w:val="24"/>
              </w:rPr>
              <w:t>1kWh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exact"/>
        </w:trPr>
        <w:tc>
          <w:tcPr>
            <w:tcW w:w="3113" w:type="dxa"/>
            <w:tcBorders>
              <w:top w:val="single" w:color="000000" w:sz="2" w:space="0"/>
              <w:bottom w:val="single" w:color="000000" w:sz="2" w:space="0"/>
            </w:tcBorders>
            <w:vAlign w:val="top"/>
          </w:tcPr>
          <w:p>
            <w:pPr>
              <w:wordWrap/>
              <w:adjustRightInd/>
              <w:spacing w:before="58" w:line="360" w:lineRule="auto"/>
              <w:ind w:firstLine="929"/>
              <w:rPr>
                <w:rFonts w:hint="eastAsia" w:ascii="宋体" w:hAnsi="宋体" w:eastAsia="宋体" w:cs="宋体"/>
                <w:sz w:val="24"/>
                <w:szCs w:val="24"/>
              </w:rPr>
            </w:pPr>
            <w:r>
              <w:rPr>
                <w:rFonts w:hint="eastAsia" w:ascii="宋体" w:hAnsi="宋体" w:eastAsia="宋体" w:cs="宋体"/>
                <w:spacing w:val="9"/>
                <w:sz w:val="24"/>
                <w:szCs w:val="24"/>
              </w:rPr>
              <w:t>双</w:t>
            </w:r>
            <w:r>
              <w:rPr>
                <w:rFonts w:hint="eastAsia" w:ascii="宋体" w:hAnsi="宋体" w:eastAsia="宋体" w:cs="宋体"/>
                <w:spacing w:val="8"/>
                <w:sz w:val="24"/>
                <w:szCs w:val="24"/>
              </w:rPr>
              <w:t>向无功电能</w:t>
            </w:r>
          </w:p>
        </w:tc>
        <w:tc>
          <w:tcPr>
            <w:tcW w:w="2264" w:type="dxa"/>
            <w:tcBorders>
              <w:top w:val="single" w:color="000000" w:sz="2" w:space="0"/>
              <w:bottom w:val="single" w:color="000000" w:sz="2" w:space="0"/>
            </w:tcBorders>
            <w:vAlign w:val="top"/>
          </w:tcPr>
          <w:p>
            <w:pPr>
              <w:wordWrap/>
              <w:adjustRightInd/>
              <w:spacing w:before="58" w:line="360" w:lineRule="auto"/>
              <w:ind w:firstLine="970"/>
              <w:rPr>
                <w:rFonts w:hint="eastAsia" w:ascii="宋体" w:hAnsi="宋体" w:eastAsia="宋体" w:cs="宋体"/>
                <w:sz w:val="24"/>
                <w:szCs w:val="24"/>
              </w:rPr>
            </w:pPr>
            <w:r>
              <w:rPr>
                <w:rFonts w:hint="eastAsia" w:ascii="宋体" w:hAnsi="宋体" w:eastAsia="宋体" w:cs="宋体"/>
                <w:spacing w:val="2"/>
                <w:sz w:val="24"/>
                <w:szCs w:val="24"/>
              </w:rPr>
              <w:t>2</w:t>
            </w:r>
            <w:r>
              <w:rPr>
                <w:rFonts w:hint="eastAsia" w:ascii="宋体" w:hAnsi="宋体" w:eastAsia="宋体" w:cs="宋体"/>
                <w:spacing w:val="4"/>
                <w:sz w:val="24"/>
                <w:szCs w:val="24"/>
              </w:rPr>
              <w:t>级</w:t>
            </w:r>
          </w:p>
        </w:tc>
        <w:tc>
          <w:tcPr>
            <w:tcW w:w="2847" w:type="dxa"/>
            <w:tcBorders>
              <w:top w:val="single" w:color="000000" w:sz="2" w:space="0"/>
              <w:bottom w:val="single" w:color="000000" w:sz="2" w:space="0"/>
            </w:tcBorders>
            <w:vAlign w:val="top"/>
          </w:tcPr>
          <w:p>
            <w:pPr>
              <w:wordWrap/>
              <w:adjustRightInd/>
              <w:spacing w:before="30" w:line="360" w:lineRule="auto"/>
              <w:ind w:firstLine="1127"/>
              <w:rPr>
                <w:rFonts w:hint="eastAsia" w:ascii="宋体" w:hAnsi="宋体" w:eastAsia="宋体" w:cs="宋体"/>
                <w:sz w:val="24"/>
                <w:szCs w:val="24"/>
              </w:rPr>
            </w:pPr>
            <w:r>
              <w:rPr>
                <w:rFonts w:hint="eastAsia" w:ascii="宋体" w:hAnsi="宋体" w:eastAsia="宋体" w:cs="宋体"/>
                <w:spacing w:val="1"/>
                <w:position w:val="1"/>
                <w:sz w:val="24"/>
                <w:szCs w:val="24"/>
              </w:rPr>
              <w:t>1kva</w:t>
            </w:r>
            <w:r>
              <w:rPr>
                <w:rFonts w:hint="eastAsia" w:ascii="宋体" w:hAnsi="宋体" w:eastAsia="宋体" w:cs="宋体"/>
                <w:position w:val="1"/>
                <w:sz w:val="24"/>
                <w:szCs w:val="24"/>
              </w:rPr>
              <w:t>rh</w:t>
            </w:r>
          </w:p>
        </w:tc>
      </w:tr>
    </w:tbl>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b/>
          <w:sz w:val="24"/>
        </w:rPr>
      </w:pPr>
      <w:r>
        <w:rPr>
          <w:rFonts w:hint="eastAsia" w:ascii="宋体" w:hAnsi="宋体" w:eastAsia="宋体" w:cs="宋体"/>
          <w:b/>
          <w:sz w:val="24"/>
          <w:lang w:val="en-US" w:eastAsia="zh-CN"/>
        </w:rPr>
        <w:t>7</w:t>
      </w:r>
      <w:r>
        <w:rPr>
          <w:rFonts w:hint="eastAsia" w:ascii="宋体" w:hAnsi="宋体" w:eastAsia="宋体" w:cs="宋体"/>
          <w:b/>
          <w:sz w:val="24"/>
        </w:rPr>
        <w:t>.</w:t>
      </w:r>
      <w:r>
        <w:rPr>
          <w:rFonts w:hint="eastAsia" w:ascii="宋体" w:hAnsi="宋体" w:eastAsia="宋体" w:cs="宋体"/>
          <w:b/>
          <w:sz w:val="24"/>
          <w:lang w:val="en-US" w:eastAsia="zh-CN"/>
        </w:rPr>
        <w:t>5</w:t>
      </w:r>
      <w:r>
        <w:rPr>
          <w:rFonts w:hint="eastAsia" w:ascii="宋体" w:hAnsi="宋体" w:eastAsia="宋体" w:cs="宋体"/>
          <w:b/>
          <w:sz w:val="24"/>
        </w:rPr>
        <w:t xml:space="preserve">  遥信分辨率</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b/>
          <w:sz w:val="24"/>
          <w:lang w:val="en-US" w:eastAsia="zh-CN"/>
        </w:rPr>
      </w:pPr>
      <w:r>
        <w:rPr>
          <w:rFonts w:hint="eastAsia" w:ascii="宋体" w:hAnsi="宋体" w:eastAsia="宋体" w:cs="宋体"/>
          <w:kern w:val="0"/>
          <w:sz w:val="24"/>
          <w:szCs w:val="24"/>
          <w:lang w:val="en-US" w:eastAsia="zh-CN" w:bidi="ar-SA"/>
        </w:rPr>
        <w:t>遥信分辨率为 1ms</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b/>
          <w:sz w:val="24"/>
        </w:rPr>
      </w:pPr>
      <w:r>
        <w:rPr>
          <w:rFonts w:hint="eastAsia" w:ascii="宋体" w:hAnsi="宋体" w:eastAsia="宋体" w:cs="宋体"/>
          <w:b/>
          <w:sz w:val="24"/>
          <w:lang w:val="en-US" w:eastAsia="zh-CN"/>
        </w:rPr>
        <w:t>7</w:t>
      </w:r>
      <w:r>
        <w:rPr>
          <w:rFonts w:hint="eastAsia" w:ascii="宋体" w:hAnsi="宋体" w:eastAsia="宋体" w:cs="宋体"/>
          <w:b/>
          <w:sz w:val="24"/>
        </w:rPr>
        <w:t>.</w:t>
      </w:r>
      <w:r>
        <w:rPr>
          <w:rFonts w:hint="eastAsia" w:ascii="宋体" w:hAnsi="宋体" w:eastAsia="宋体" w:cs="宋体"/>
          <w:b/>
          <w:sz w:val="24"/>
          <w:lang w:val="en-US" w:eastAsia="zh-CN"/>
        </w:rPr>
        <w:t>6</w:t>
      </w:r>
      <w:r>
        <w:rPr>
          <w:rFonts w:hint="eastAsia" w:ascii="宋体" w:hAnsi="宋体" w:eastAsia="宋体" w:cs="宋体"/>
          <w:b/>
          <w:sz w:val="24"/>
        </w:rPr>
        <w:t xml:space="preserve">  过载能力</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1)交流电流回路：2 倍额定电流，连续工作；10 倍额定电流，允许 10s ；40 倍额定电流，允许 1s</w:t>
      </w:r>
    </w:p>
    <w:p>
      <w:pPr>
        <w:widowControl w:val="0"/>
        <w:wordWrap/>
        <w:adjustRightInd/>
        <w:snapToGrid/>
        <w:spacing w:line="360" w:lineRule="auto"/>
        <w:ind w:left="0" w:leftChars="0" w:right="0" w:firstLine="480" w:firstLineChars="200"/>
        <w:jc w:val="both"/>
        <w:textAlignment w:val="auto"/>
        <w:outlineLvl w:val="9"/>
        <w:rPr>
          <w:rFonts w:hint="eastAsia" w:eastAsia="宋体"/>
          <w:lang w:val="en-US" w:eastAsia="zh-CN"/>
        </w:rPr>
      </w:pPr>
      <w:r>
        <w:rPr>
          <w:rFonts w:hint="eastAsia" w:ascii="宋体" w:hAnsi="宋体" w:eastAsia="宋体" w:cs="宋体"/>
          <w:kern w:val="0"/>
          <w:sz w:val="24"/>
          <w:szCs w:val="24"/>
          <w:lang w:val="en-US" w:eastAsia="zh-CN" w:bidi="ar-SA"/>
        </w:rPr>
        <w:t>2)交流电压回路：1.4 倍额定电压，连续工作；2 倍额定电压，允许 10s</w:t>
      </w:r>
    </w:p>
    <w:p>
      <w:pPr>
        <w:widowControl w:val="0"/>
        <w:wordWrap/>
        <w:adjustRightInd/>
        <w:snapToGrid/>
        <w:spacing w:line="360" w:lineRule="auto"/>
        <w:ind w:left="0" w:leftChars="0" w:right="0" w:firstLine="480" w:firstLineChars="200"/>
        <w:jc w:val="both"/>
        <w:textAlignment w:val="auto"/>
        <w:outlineLvl w:val="9"/>
        <w:rPr>
          <w:rFonts w:hint="default" w:ascii="宋体" w:hAnsi="宋体" w:eastAsia="宋体" w:cs="宋体"/>
          <w:kern w:val="0"/>
          <w:sz w:val="24"/>
          <w:szCs w:val="24"/>
          <w:lang w:val="en-US" w:eastAsia="zh-CN" w:bidi="ar-SA"/>
        </w:rPr>
      </w:pPr>
      <w:r>
        <w:rPr>
          <w:rFonts w:hint="eastAsia" w:ascii="宋体" w:hAnsi="宋体" w:eastAsia="宋体" w:cs="宋体"/>
          <w:b/>
          <w:sz w:val="24"/>
          <w:lang w:val="en-US" w:eastAsia="zh-CN"/>
        </w:rPr>
        <w:t>7</w:t>
      </w:r>
      <w:r>
        <w:rPr>
          <w:rFonts w:hint="eastAsia" w:ascii="宋体" w:hAnsi="宋体" w:eastAsia="宋体" w:cs="宋体"/>
          <w:b/>
          <w:sz w:val="24"/>
        </w:rPr>
        <w:t>.</w:t>
      </w:r>
      <w:r>
        <w:rPr>
          <w:rFonts w:hint="eastAsia" w:ascii="宋体" w:hAnsi="宋体" w:eastAsia="宋体" w:cs="宋体"/>
          <w:b/>
          <w:sz w:val="24"/>
          <w:lang w:val="en-US" w:eastAsia="zh-CN"/>
        </w:rPr>
        <w:t>7</w:t>
      </w:r>
      <w:r>
        <w:rPr>
          <w:rFonts w:hint="eastAsia" w:ascii="宋体" w:hAnsi="宋体" w:eastAsia="宋体" w:cs="宋体"/>
          <w:b/>
          <w:sz w:val="24"/>
        </w:rPr>
        <w:t xml:space="preserve">  继电器输出</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1)接通容量：     5A，连续；30A ，0.2s</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2)动作时间：     &lt;10 ms</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3)返回时间：     &lt;5 ms</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4)分断能力：     直流，阻性 50W；感性 50W(L/R = 0.04s) ，交流，1 250VA，最大 5A</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7.8  开关量输入</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220VDC/AC 、110VDC/AC 、24VDC 、48VDC 可选。</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7.9  电气绝缘性能</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1)介质强度</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符合 GB/T14598.3 规定；工频电压 2kV，时间 1 分钟。</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2)绝缘电阻</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符合 GB/T14598.3 规定；500V 兆欧表测试，绝缘电阻值不小于 100MΩ。</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3)冲击电压</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符合 GB/T14598.3 规定；承受 1.2/50 μs 峰值为 5kV 的标准雷电波的冲击。</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7.10</w:t>
      </w:r>
      <w:r>
        <w:rPr>
          <w:rFonts w:hint="eastAsia" w:ascii="宋体" w:hAnsi="宋体" w:eastAsia="宋体" w:cs="宋体"/>
          <w:kern w:val="0"/>
          <w:sz w:val="24"/>
          <w:szCs w:val="24"/>
          <w:lang w:val="en-US" w:eastAsia="zh-CN" w:bidi="ar-SA"/>
        </w:rPr>
        <w:t xml:space="preserve"> </w:t>
      </w:r>
      <w:r>
        <w:rPr>
          <w:rFonts w:hint="eastAsia" w:ascii="宋体" w:hAnsi="宋体" w:eastAsia="宋体" w:cs="宋体"/>
          <w:b/>
          <w:sz w:val="24"/>
          <w:lang w:val="en-US" w:eastAsia="zh-CN"/>
        </w:rPr>
        <w:t xml:space="preserve"> 机械性能</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1)振动</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·振动响应：符合 GB/T11287 标准规定，严酷等级为 1 级；</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·振动耐久性：符合 GB/T11287 标准规定，严酷等级为 1 级。 2)冲击</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·冲击响应：符合 GB/T14537 标准规定，严酷等级为 1 级；</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·冲击耐久性：符合 GB/T14537 标准规定，严酷等级为 1 级。 3)碰撞：符合 GB/T14537 标准规定，严酷等级为 1 级。</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7.11 电磁兼容性能</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1)振荡波干扰：符合 GB/T 14598.13(IEC 60255-22-1)规定，严酷等级为Ⅲ级。</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2)静电放电干扰：符合 GB/T 14598.14 (IEC 60255-22-2)规定，严酷等级为Ⅳ级。</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3)射频电磁场辐射干扰：符合 GB/T 14598.9 (IEC 60255-22-3)规定，严酷等级为Ⅲ级。</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 电快速瞬变脉冲群干扰：符合 GB/T 14598.10 (IEC 60255-22-4)规定，严酷等级为 A 级。</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5)浪涌干扰：符合 GB/T 14598.18 (IEC 60255-22-5)规定，严酷等级为Ⅳ级。</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6)射频传导干扰：符合 GB/T 14598.17 (IEC 60255-22-6)规定，严酷等级为Ⅲ级。</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7)工频磁场干扰：符合 GB/T 17626.8 (IEC 61000-4-8)规定，严酷等级为Ⅳ级。</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8)工频抗扰度：符合 GB/T 14598.19 (IEC 60255-22-7)规定，严酷等级为 A 级。</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9) 电磁发射限值：符合 GB/T 14598.16 (IEC 60255-25)规定。</w:t>
      </w:r>
    </w:p>
    <w:p>
      <w:pPr>
        <w:keepNext/>
        <w:keepLines/>
        <w:widowControl w:val="0"/>
        <w:numPr>
          <w:ilvl w:val="0"/>
          <w:numId w:val="5"/>
        </w:numPr>
        <w:wordWrap/>
        <w:adjustRightInd/>
        <w:snapToGrid/>
        <w:spacing w:before="0" w:beforeLines="0" w:after="0" w:afterLines="0" w:line="360" w:lineRule="auto"/>
        <w:ind w:firstLine="241" w:firstLineChars="100"/>
        <w:jc w:val="both"/>
        <w:textAlignment w:val="auto"/>
        <w:outlineLvl w:val="1"/>
        <w:rPr>
          <w:rFonts w:hint="eastAsia" w:ascii="宋体" w:hAnsi="宋体" w:cs="宋体"/>
          <w:b/>
          <w:bCs/>
          <w:kern w:val="2"/>
          <w:sz w:val="24"/>
          <w:szCs w:val="24"/>
          <w:lang w:val="en-US" w:eastAsia="zh-CN" w:bidi="ar-SA"/>
        </w:rPr>
      </w:pPr>
      <w:r>
        <w:rPr>
          <w:rFonts w:hint="eastAsia" w:ascii="宋体" w:hAnsi="宋体" w:cs="宋体"/>
          <w:b/>
          <w:bCs/>
          <w:kern w:val="2"/>
          <w:sz w:val="24"/>
          <w:szCs w:val="24"/>
          <w:lang w:val="en-US" w:eastAsia="zh-CN" w:bidi="ar-SA"/>
        </w:rPr>
        <w:t>直流屏</w:t>
      </w:r>
    </w:p>
    <w:p>
      <w:pPr>
        <w:rPr>
          <w:rFonts w:ascii="宋体" w:hAnsi="宋体"/>
          <w:sz w:val="24"/>
          <w:szCs w:val="24"/>
        </w:rPr>
      </w:pPr>
      <w:r>
        <w:rPr>
          <w:rFonts w:hint="eastAsia" w:ascii="宋体" w:hAnsi="宋体"/>
          <w:sz w:val="24"/>
          <w:szCs w:val="24"/>
          <w:lang w:val="en-US" w:eastAsia="zh-CN"/>
        </w:rPr>
        <w:t>1.</w:t>
      </w:r>
      <w:r>
        <w:rPr>
          <w:rFonts w:ascii="宋体" w:hAnsi="宋体"/>
          <w:sz w:val="24"/>
          <w:szCs w:val="24"/>
        </w:rPr>
        <w:t xml:space="preserve"> 环境条件</w:t>
      </w:r>
    </w:p>
    <w:tbl>
      <w:tblPr>
        <w:tblStyle w:val="7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0"/>
        <w:gridCol w:w="1554"/>
        <w:gridCol w:w="2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210" w:type="dxa"/>
            <w:vAlign w:val="center"/>
          </w:tcPr>
          <w:p>
            <w:pPr>
              <w:rPr>
                <w:rFonts w:ascii="宋体" w:hAnsi="宋体"/>
                <w:sz w:val="24"/>
                <w:szCs w:val="24"/>
              </w:rPr>
            </w:pPr>
            <w:r>
              <w:rPr>
                <w:rFonts w:ascii="宋体" w:hAnsi="宋体"/>
                <w:sz w:val="24"/>
                <w:szCs w:val="24"/>
              </w:rPr>
              <w:t>多年平均气温</w:t>
            </w:r>
          </w:p>
        </w:tc>
        <w:tc>
          <w:tcPr>
            <w:tcW w:w="1554" w:type="dxa"/>
            <w:vAlign w:val="center"/>
          </w:tcPr>
          <w:p>
            <w:pPr>
              <w:rPr>
                <w:rFonts w:ascii="宋体" w:hAnsi="宋体"/>
                <w:sz w:val="24"/>
                <w:szCs w:val="24"/>
              </w:rPr>
            </w:pPr>
            <w:r>
              <w:rPr>
                <w:rFonts w:hint="eastAsia" w:ascii="宋体" w:hAnsi="宋体" w:cs="宋体"/>
                <w:sz w:val="24"/>
                <w:szCs w:val="24"/>
              </w:rPr>
              <w:t>℃</w:t>
            </w:r>
          </w:p>
        </w:tc>
        <w:tc>
          <w:tcPr>
            <w:tcW w:w="2758" w:type="dxa"/>
            <w:vAlign w:val="center"/>
          </w:tcPr>
          <w:p>
            <w:pPr>
              <w:rPr>
                <w:rFonts w:ascii="宋体" w:hAnsi="宋体"/>
                <w:sz w:val="24"/>
                <w:szCs w:val="24"/>
              </w:rPr>
            </w:pPr>
            <w:r>
              <w:rPr>
                <w:rFonts w:hint="eastAsia" w:ascii="宋体" w:hAnsi="宋体"/>
                <w:sz w:val="24"/>
                <w:szCs w:val="24"/>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210" w:type="dxa"/>
            <w:vAlign w:val="center"/>
          </w:tcPr>
          <w:p>
            <w:pPr>
              <w:rPr>
                <w:rFonts w:ascii="宋体" w:hAnsi="宋体"/>
                <w:sz w:val="24"/>
                <w:szCs w:val="24"/>
              </w:rPr>
            </w:pPr>
            <w:r>
              <w:rPr>
                <w:rFonts w:ascii="宋体" w:hAnsi="宋体"/>
                <w:sz w:val="24"/>
                <w:szCs w:val="24"/>
              </w:rPr>
              <w:t>多年极端最高气温</w:t>
            </w:r>
          </w:p>
        </w:tc>
        <w:tc>
          <w:tcPr>
            <w:tcW w:w="1554" w:type="dxa"/>
            <w:vAlign w:val="center"/>
          </w:tcPr>
          <w:p>
            <w:pPr>
              <w:rPr>
                <w:rFonts w:ascii="宋体" w:hAnsi="宋体"/>
                <w:sz w:val="24"/>
                <w:szCs w:val="24"/>
              </w:rPr>
            </w:pPr>
            <w:r>
              <w:rPr>
                <w:rFonts w:hint="eastAsia" w:ascii="宋体" w:hAnsi="宋体" w:cs="宋体"/>
                <w:sz w:val="24"/>
                <w:szCs w:val="24"/>
              </w:rPr>
              <w:t>℃</w:t>
            </w:r>
          </w:p>
        </w:tc>
        <w:tc>
          <w:tcPr>
            <w:tcW w:w="2758" w:type="dxa"/>
            <w:vAlign w:val="center"/>
          </w:tcPr>
          <w:p>
            <w:pPr>
              <w:rPr>
                <w:rFonts w:ascii="宋体" w:hAnsi="宋体"/>
                <w:sz w:val="24"/>
                <w:szCs w:val="24"/>
              </w:rPr>
            </w:pPr>
            <w:r>
              <w:rPr>
                <w:rFonts w:hint="eastAsia" w:ascii="宋体" w:hAnsi="宋体"/>
                <w:sz w:val="24"/>
                <w:szCs w:val="24"/>
              </w:rPr>
              <w:t>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210" w:type="dxa"/>
            <w:vAlign w:val="center"/>
          </w:tcPr>
          <w:p>
            <w:pPr>
              <w:rPr>
                <w:rFonts w:ascii="宋体" w:hAnsi="宋体"/>
                <w:sz w:val="24"/>
                <w:szCs w:val="24"/>
              </w:rPr>
            </w:pPr>
            <w:r>
              <w:rPr>
                <w:rFonts w:ascii="宋体" w:hAnsi="宋体"/>
                <w:sz w:val="24"/>
                <w:szCs w:val="24"/>
              </w:rPr>
              <w:t>多年极端最低气温</w:t>
            </w:r>
          </w:p>
        </w:tc>
        <w:tc>
          <w:tcPr>
            <w:tcW w:w="1554" w:type="dxa"/>
            <w:vAlign w:val="center"/>
          </w:tcPr>
          <w:p>
            <w:pPr>
              <w:rPr>
                <w:rFonts w:ascii="宋体" w:hAnsi="宋体"/>
                <w:sz w:val="24"/>
                <w:szCs w:val="24"/>
              </w:rPr>
            </w:pPr>
            <w:r>
              <w:rPr>
                <w:rFonts w:hint="eastAsia" w:ascii="宋体" w:hAnsi="宋体" w:cs="宋体"/>
                <w:sz w:val="24"/>
                <w:szCs w:val="24"/>
              </w:rPr>
              <w:t>℃</w:t>
            </w:r>
          </w:p>
        </w:tc>
        <w:tc>
          <w:tcPr>
            <w:tcW w:w="2758" w:type="dxa"/>
            <w:vAlign w:val="center"/>
          </w:tcPr>
          <w:p>
            <w:pPr>
              <w:rPr>
                <w:rFonts w:ascii="宋体" w:hAnsi="宋体"/>
                <w:sz w:val="24"/>
                <w:szCs w:val="24"/>
              </w:rPr>
            </w:pPr>
            <w:r>
              <w:rPr>
                <w:rFonts w:hint="eastAsia" w:ascii="宋体" w:hAnsi="宋体"/>
                <w:sz w:val="24"/>
                <w:szCs w:val="24"/>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210" w:type="dxa"/>
            <w:vAlign w:val="center"/>
          </w:tcPr>
          <w:p>
            <w:pPr>
              <w:rPr>
                <w:rFonts w:ascii="宋体" w:hAnsi="宋体"/>
                <w:sz w:val="24"/>
                <w:szCs w:val="24"/>
              </w:rPr>
            </w:pPr>
            <w:r>
              <w:rPr>
                <w:rFonts w:ascii="宋体" w:hAnsi="宋体"/>
                <w:sz w:val="24"/>
                <w:szCs w:val="24"/>
              </w:rPr>
              <w:t>多年平均风速</w:t>
            </w:r>
          </w:p>
        </w:tc>
        <w:tc>
          <w:tcPr>
            <w:tcW w:w="1554" w:type="dxa"/>
            <w:vAlign w:val="center"/>
          </w:tcPr>
          <w:p>
            <w:pPr>
              <w:rPr>
                <w:rFonts w:ascii="宋体" w:hAnsi="宋体"/>
                <w:sz w:val="24"/>
                <w:szCs w:val="24"/>
              </w:rPr>
            </w:pPr>
            <w:r>
              <w:rPr>
                <w:rFonts w:ascii="宋体" w:hAnsi="宋体"/>
                <w:sz w:val="24"/>
                <w:szCs w:val="24"/>
              </w:rPr>
              <w:t>m/s</w:t>
            </w:r>
          </w:p>
        </w:tc>
        <w:tc>
          <w:tcPr>
            <w:tcW w:w="2758" w:type="dxa"/>
            <w:vAlign w:val="center"/>
          </w:tcPr>
          <w:p>
            <w:pPr>
              <w:rPr>
                <w:rFonts w:ascii="宋体" w:hAnsi="宋体"/>
                <w:sz w:val="24"/>
                <w:szCs w:val="24"/>
              </w:rPr>
            </w:pPr>
            <w:r>
              <w:rPr>
                <w:rFonts w:hint="eastAsia" w:ascii="宋体" w:hAnsi="宋体"/>
                <w:sz w:val="24"/>
                <w:szCs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210" w:type="dxa"/>
            <w:vAlign w:val="center"/>
          </w:tcPr>
          <w:p>
            <w:pPr>
              <w:rPr>
                <w:rFonts w:ascii="宋体" w:hAnsi="宋体"/>
                <w:sz w:val="24"/>
                <w:szCs w:val="24"/>
              </w:rPr>
            </w:pPr>
            <w:r>
              <w:rPr>
                <w:rFonts w:ascii="宋体" w:hAnsi="宋体"/>
                <w:sz w:val="24"/>
                <w:szCs w:val="24"/>
              </w:rPr>
              <w:t>多年极大风速</w:t>
            </w:r>
          </w:p>
        </w:tc>
        <w:tc>
          <w:tcPr>
            <w:tcW w:w="1554" w:type="dxa"/>
            <w:vAlign w:val="center"/>
          </w:tcPr>
          <w:p>
            <w:pPr>
              <w:rPr>
                <w:rFonts w:ascii="宋体" w:hAnsi="宋体"/>
                <w:sz w:val="24"/>
                <w:szCs w:val="24"/>
              </w:rPr>
            </w:pPr>
            <w:r>
              <w:rPr>
                <w:rFonts w:ascii="宋体" w:hAnsi="宋体"/>
                <w:sz w:val="24"/>
                <w:szCs w:val="24"/>
              </w:rPr>
              <w:t>m/s</w:t>
            </w:r>
          </w:p>
        </w:tc>
        <w:tc>
          <w:tcPr>
            <w:tcW w:w="2758" w:type="dxa"/>
            <w:vAlign w:val="center"/>
          </w:tcPr>
          <w:p>
            <w:pPr>
              <w:rPr>
                <w:rFonts w:ascii="宋体" w:hAnsi="宋体"/>
                <w:sz w:val="24"/>
                <w:szCs w:val="24"/>
              </w:rPr>
            </w:pPr>
            <w:r>
              <w:rPr>
                <w:rFonts w:hint="eastAsia" w:ascii="宋体" w:hAnsi="宋体"/>
                <w:sz w:val="24"/>
                <w:szCs w:val="24"/>
              </w:rPr>
              <w:t>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210" w:type="dxa"/>
            <w:vAlign w:val="center"/>
          </w:tcPr>
          <w:p>
            <w:pPr>
              <w:rPr>
                <w:rFonts w:ascii="宋体" w:hAnsi="宋体"/>
                <w:sz w:val="24"/>
                <w:szCs w:val="24"/>
              </w:rPr>
            </w:pPr>
            <w:r>
              <w:rPr>
                <w:rFonts w:hint="eastAsia" w:ascii="宋体" w:hAnsi="宋体"/>
                <w:sz w:val="24"/>
                <w:szCs w:val="24"/>
              </w:rPr>
              <w:t>海拔高度</w:t>
            </w:r>
          </w:p>
        </w:tc>
        <w:tc>
          <w:tcPr>
            <w:tcW w:w="1554" w:type="dxa"/>
            <w:vAlign w:val="center"/>
          </w:tcPr>
          <w:p>
            <w:pPr>
              <w:rPr>
                <w:rFonts w:ascii="宋体" w:hAnsi="宋体"/>
                <w:sz w:val="24"/>
                <w:szCs w:val="24"/>
              </w:rPr>
            </w:pPr>
            <w:r>
              <w:rPr>
                <w:rFonts w:hint="eastAsia" w:ascii="宋体" w:hAnsi="宋体"/>
                <w:sz w:val="24"/>
                <w:szCs w:val="24"/>
              </w:rPr>
              <w:t>米</w:t>
            </w:r>
          </w:p>
        </w:tc>
        <w:tc>
          <w:tcPr>
            <w:tcW w:w="2758" w:type="dxa"/>
            <w:vAlign w:val="center"/>
          </w:tcPr>
          <w:p>
            <w:pPr>
              <w:rPr>
                <w:rFonts w:ascii="宋体" w:hAnsi="宋体"/>
                <w:sz w:val="24"/>
                <w:szCs w:val="24"/>
              </w:rPr>
            </w:pPr>
            <w:r>
              <w:rPr>
                <w:rFonts w:hint="eastAsia" w:ascii="宋体" w:hAnsi="宋体"/>
                <w:sz w:val="24"/>
                <w:szCs w:val="24"/>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210" w:type="dxa"/>
            <w:vAlign w:val="center"/>
          </w:tcPr>
          <w:p>
            <w:pPr>
              <w:rPr>
                <w:rFonts w:hint="eastAsia" w:ascii="宋体" w:hAnsi="宋体"/>
                <w:sz w:val="24"/>
                <w:szCs w:val="24"/>
              </w:rPr>
            </w:pPr>
            <w:r>
              <w:rPr>
                <w:rFonts w:hint="eastAsia" w:ascii="宋体" w:hAnsi="宋体"/>
                <w:sz w:val="24"/>
                <w:szCs w:val="24"/>
              </w:rPr>
              <w:t>地震烈度</w:t>
            </w:r>
          </w:p>
        </w:tc>
        <w:tc>
          <w:tcPr>
            <w:tcW w:w="1554" w:type="dxa"/>
            <w:vAlign w:val="center"/>
          </w:tcPr>
          <w:p>
            <w:pPr>
              <w:rPr>
                <w:rFonts w:hint="eastAsia" w:ascii="宋体" w:hAnsi="宋体"/>
                <w:sz w:val="24"/>
                <w:szCs w:val="24"/>
              </w:rPr>
            </w:pPr>
            <w:r>
              <w:rPr>
                <w:rFonts w:hint="eastAsia" w:ascii="宋体" w:hAnsi="宋体"/>
                <w:sz w:val="24"/>
                <w:szCs w:val="24"/>
              </w:rPr>
              <w:t>度</w:t>
            </w:r>
          </w:p>
        </w:tc>
        <w:tc>
          <w:tcPr>
            <w:tcW w:w="2758" w:type="dxa"/>
            <w:vAlign w:val="center"/>
          </w:tcPr>
          <w:p>
            <w:pPr>
              <w:rPr>
                <w:rFonts w:ascii="宋体" w:hAnsi="宋体"/>
                <w:sz w:val="24"/>
                <w:szCs w:val="24"/>
              </w:rPr>
            </w:pPr>
            <w:r>
              <w:rPr>
                <w:rFonts w:hint="eastAsia" w:ascii="宋体" w:hAnsi="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210" w:type="dxa"/>
            <w:vAlign w:val="center"/>
          </w:tcPr>
          <w:p>
            <w:pPr>
              <w:rPr>
                <w:rFonts w:hint="eastAsia" w:ascii="宋体" w:hAnsi="宋体"/>
                <w:sz w:val="24"/>
                <w:szCs w:val="24"/>
              </w:rPr>
            </w:pPr>
            <w:r>
              <w:rPr>
                <w:rFonts w:hint="eastAsia" w:ascii="宋体" w:hAnsi="宋体"/>
                <w:sz w:val="24"/>
                <w:szCs w:val="24"/>
              </w:rPr>
              <w:t>雷暴日数</w:t>
            </w:r>
          </w:p>
        </w:tc>
        <w:tc>
          <w:tcPr>
            <w:tcW w:w="1554" w:type="dxa"/>
            <w:vAlign w:val="center"/>
          </w:tcPr>
          <w:p>
            <w:pPr>
              <w:rPr>
                <w:rFonts w:hint="eastAsia" w:ascii="宋体" w:hAnsi="宋体"/>
                <w:sz w:val="24"/>
                <w:szCs w:val="24"/>
              </w:rPr>
            </w:pPr>
            <w:r>
              <w:rPr>
                <w:rFonts w:hint="eastAsia" w:ascii="宋体" w:hAnsi="宋体"/>
                <w:sz w:val="24"/>
                <w:szCs w:val="24"/>
              </w:rPr>
              <w:t>日</w:t>
            </w:r>
          </w:p>
        </w:tc>
        <w:tc>
          <w:tcPr>
            <w:tcW w:w="2758" w:type="dxa"/>
            <w:vAlign w:val="center"/>
          </w:tcPr>
          <w:p>
            <w:pPr>
              <w:rPr>
                <w:rFonts w:hint="eastAsia" w:ascii="宋体" w:hAnsi="宋体"/>
                <w:sz w:val="24"/>
                <w:szCs w:val="24"/>
              </w:rPr>
            </w:pPr>
            <w:r>
              <w:rPr>
                <w:rFonts w:hint="eastAsia" w:ascii="宋体" w:hAnsi="宋体"/>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210" w:type="dxa"/>
            <w:vAlign w:val="center"/>
          </w:tcPr>
          <w:p>
            <w:pPr>
              <w:rPr>
                <w:rFonts w:hint="eastAsia" w:ascii="宋体" w:hAnsi="宋体"/>
                <w:sz w:val="24"/>
                <w:szCs w:val="24"/>
              </w:rPr>
            </w:pPr>
            <w:r>
              <w:rPr>
                <w:rFonts w:hint="eastAsia" w:ascii="宋体" w:hAnsi="宋体"/>
                <w:sz w:val="24"/>
                <w:szCs w:val="24"/>
              </w:rPr>
              <w:t>设计地震基本加速度值</w:t>
            </w:r>
          </w:p>
        </w:tc>
        <w:tc>
          <w:tcPr>
            <w:tcW w:w="1554" w:type="dxa"/>
            <w:vAlign w:val="center"/>
          </w:tcPr>
          <w:p>
            <w:pPr>
              <w:rPr>
                <w:rFonts w:hint="eastAsia" w:ascii="宋体" w:hAnsi="宋体"/>
                <w:sz w:val="24"/>
                <w:szCs w:val="24"/>
              </w:rPr>
            </w:pPr>
            <w:r>
              <w:rPr>
                <w:rFonts w:hint="eastAsia" w:ascii="宋体" w:hAnsi="宋体"/>
                <w:sz w:val="24"/>
                <w:szCs w:val="24"/>
              </w:rPr>
              <w:t>g</w:t>
            </w:r>
          </w:p>
        </w:tc>
        <w:tc>
          <w:tcPr>
            <w:tcW w:w="2758" w:type="dxa"/>
            <w:vAlign w:val="center"/>
          </w:tcPr>
          <w:p>
            <w:pPr>
              <w:rPr>
                <w:rFonts w:hint="eastAsia" w:ascii="宋体" w:hAnsi="宋体"/>
                <w:sz w:val="24"/>
                <w:szCs w:val="24"/>
              </w:rPr>
            </w:pPr>
            <w:r>
              <w:rPr>
                <w:rFonts w:hint="eastAsia" w:ascii="宋体" w:hAnsi="宋体"/>
                <w:sz w:val="24"/>
                <w:szCs w:val="24"/>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210" w:type="dxa"/>
            <w:vAlign w:val="center"/>
          </w:tcPr>
          <w:p>
            <w:pPr>
              <w:rPr>
                <w:rFonts w:hint="eastAsia" w:ascii="宋体" w:hAnsi="宋体"/>
                <w:sz w:val="24"/>
                <w:szCs w:val="24"/>
              </w:rPr>
            </w:pPr>
            <w:r>
              <w:rPr>
                <w:rFonts w:ascii="宋体" w:hAnsi="宋体"/>
                <w:sz w:val="24"/>
                <w:szCs w:val="24"/>
              </w:rPr>
              <w:t>污秽等级</w:t>
            </w:r>
          </w:p>
        </w:tc>
        <w:tc>
          <w:tcPr>
            <w:tcW w:w="1554" w:type="dxa"/>
            <w:vAlign w:val="center"/>
          </w:tcPr>
          <w:p>
            <w:pPr>
              <w:rPr>
                <w:rFonts w:hint="eastAsia" w:ascii="宋体" w:hAnsi="宋体"/>
                <w:sz w:val="24"/>
                <w:szCs w:val="24"/>
              </w:rPr>
            </w:pPr>
            <w:r>
              <w:rPr>
                <w:rFonts w:hint="eastAsia" w:ascii="宋体" w:hAnsi="宋体"/>
                <w:sz w:val="24"/>
                <w:szCs w:val="24"/>
              </w:rPr>
              <w:t>级</w:t>
            </w:r>
          </w:p>
        </w:tc>
        <w:tc>
          <w:tcPr>
            <w:tcW w:w="2758" w:type="dxa"/>
            <w:vAlign w:val="center"/>
          </w:tcPr>
          <w:p>
            <w:pPr>
              <w:rPr>
                <w:rFonts w:hint="eastAsia" w:ascii="宋体" w:hAnsi="宋体"/>
                <w:sz w:val="24"/>
                <w:szCs w:val="24"/>
              </w:rPr>
            </w:pPr>
            <w:r>
              <w:rPr>
                <w:rFonts w:ascii="宋体" w:hAnsi="宋体"/>
                <w:sz w:val="24"/>
                <w:szCs w:val="24"/>
              </w:rPr>
              <w:t xml:space="preserve"> </w:t>
            </w:r>
            <w:r>
              <w:rPr>
                <w:rFonts w:hint="eastAsia" w:ascii="宋体" w:hAnsi="宋体"/>
                <w:sz w:val="24"/>
                <w:szCs w:val="24"/>
              </w:rPr>
              <w:t>Ⅲ</w:t>
            </w:r>
            <w:r>
              <w:rPr>
                <w:rFonts w:ascii="宋体" w:hAnsi="宋体"/>
                <w:sz w:val="24"/>
                <w:szCs w:val="24"/>
              </w:rPr>
              <w:t xml:space="preserve"> </w:t>
            </w:r>
          </w:p>
        </w:tc>
      </w:tr>
    </w:tbl>
    <w:p>
      <w:pPr>
        <w:rPr>
          <w:rFonts w:hint="eastAsia" w:ascii="宋体" w:hAnsi="宋体"/>
          <w:sz w:val="24"/>
          <w:szCs w:val="24"/>
        </w:rPr>
      </w:pPr>
    </w:p>
    <w:p>
      <w:pPr>
        <w:widowControl w:val="0"/>
        <w:wordWrap/>
        <w:adjustRightInd/>
        <w:snapToGrid/>
        <w:spacing w:line="360" w:lineRule="auto"/>
        <w:ind w:right="0"/>
        <w:jc w:val="both"/>
        <w:textAlignment w:val="auto"/>
        <w:outlineLvl w:val="9"/>
        <w:rPr>
          <w:rFonts w:hint="eastAsia" w:ascii="宋体" w:hAnsi="宋体"/>
          <w:sz w:val="24"/>
          <w:szCs w:val="24"/>
        </w:rPr>
      </w:pPr>
      <w:r>
        <w:rPr>
          <w:rFonts w:hint="eastAsia" w:ascii="宋体" w:hAnsi="宋体"/>
          <w:sz w:val="24"/>
          <w:szCs w:val="24"/>
        </w:rPr>
        <w:t>2. 直流系统主要技术参数</w:t>
      </w:r>
    </w:p>
    <w:p>
      <w:pPr>
        <w:widowControl w:val="0"/>
        <w:wordWrap/>
        <w:adjustRightInd/>
        <w:snapToGrid/>
        <w:spacing w:line="360" w:lineRule="auto"/>
        <w:ind w:right="0" w:firstLine="240" w:firstLineChars="100"/>
        <w:jc w:val="both"/>
        <w:textAlignment w:val="auto"/>
        <w:outlineLvl w:val="9"/>
        <w:rPr>
          <w:rFonts w:hint="eastAsia" w:ascii="宋体" w:hAnsi="宋体"/>
          <w:sz w:val="24"/>
          <w:szCs w:val="24"/>
        </w:rPr>
      </w:pPr>
      <w:r>
        <w:rPr>
          <w:rFonts w:hint="eastAsia" w:ascii="宋体" w:hAnsi="宋体"/>
          <w:sz w:val="24"/>
          <w:szCs w:val="24"/>
        </w:rPr>
        <w:t>1） 交流输入： AC电压 380</w:t>
      </w:r>
      <w:r>
        <w:rPr>
          <w:rFonts w:ascii="宋体" w:hAnsi="宋体"/>
          <w:sz w:val="24"/>
          <w:szCs w:val="24"/>
        </w:rPr>
        <w:t>/220</w:t>
      </w:r>
      <w:r>
        <w:rPr>
          <w:rFonts w:hint="eastAsia" w:ascii="宋体" w:hAnsi="宋体"/>
          <w:sz w:val="24"/>
          <w:szCs w:val="24"/>
        </w:rPr>
        <w:t>±15%V，频率 50±2%Hz</w:t>
      </w:r>
    </w:p>
    <w:p>
      <w:pPr>
        <w:widowControl w:val="0"/>
        <w:wordWrap/>
        <w:adjustRightInd/>
        <w:snapToGrid/>
        <w:spacing w:line="360" w:lineRule="auto"/>
        <w:ind w:right="0" w:firstLine="240" w:firstLineChars="100"/>
        <w:jc w:val="both"/>
        <w:textAlignment w:val="auto"/>
        <w:outlineLvl w:val="9"/>
        <w:rPr>
          <w:rFonts w:ascii="宋体" w:hAnsi="宋体"/>
          <w:sz w:val="24"/>
          <w:szCs w:val="24"/>
        </w:rPr>
      </w:pPr>
      <w:r>
        <w:rPr>
          <w:rFonts w:hint="eastAsia" w:ascii="宋体" w:hAnsi="宋体"/>
          <w:sz w:val="24"/>
          <w:szCs w:val="24"/>
        </w:rPr>
        <w:t>2） 直流输出： DC电压 220±5%V ;</w:t>
      </w:r>
    </w:p>
    <w:p>
      <w:pPr>
        <w:widowControl w:val="0"/>
        <w:wordWrap/>
        <w:adjustRightInd/>
        <w:snapToGrid/>
        <w:spacing w:line="360" w:lineRule="auto"/>
        <w:ind w:right="0" w:firstLine="240" w:firstLineChars="100"/>
        <w:jc w:val="both"/>
        <w:textAlignment w:val="auto"/>
        <w:outlineLvl w:val="9"/>
        <w:rPr>
          <w:rFonts w:hint="eastAsia" w:ascii="宋体" w:hAnsi="宋体" w:eastAsia="宋体"/>
          <w:sz w:val="24"/>
          <w:szCs w:val="24"/>
        </w:rPr>
      </w:pPr>
      <w:r>
        <w:rPr>
          <w:rFonts w:hint="eastAsia" w:ascii="宋体" w:hAnsi="宋体"/>
          <w:sz w:val="24"/>
          <w:szCs w:val="24"/>
        </w:rPr>
        <w:t xml:space="preserve">3） 蓄电池组额定容量（Ah）： </w:t>
      </w:r>
      <w:r>
        <w:rPr>
          <w:rFonts w:hint="default" w:ascii="宋体" w:hAnsi="宋体"/>
          <w:sz w:val="24"/>
          <w:szCs w:val="24"/>
        </w:rPr>
        <w:t>10</w:t>
      </w:r>
      <w:r>
        <w:rPr>
          <w:rFonts w:ascii="宋体" w:hAnsi="宋体"/>
          <w:sz w:val="24"/>
          <w:szCs w:val="24"/>
        </w:rPr>
        <w:t>0</w:t>
      </w:r>
      <w:r>
        <w:rPr>
          <w:rFonts w:hint="eastAsia" w:ascii="宋体" w:hAnsi="宋体"/>
          <w:sz w:val="24"/>
          <w:szCs w:val="24"/>
        </w:rPr>
        <w:t>；（</w:t>
      </w:r>
      <w:r>
        <w:rPr>
          <w:rFonts w:hint="eastAsia" w:ascii="宋体" w:hAnsi="宋体"/>
          <w:sz w:val="24"/>
          <w:szCs w:val="24"/>
          <w:lang w:val="en-US"/>
        </w:rPr>
        <w:t>电池品牌：理士</w:t>
      </w:r>
      <w:r>
        <w:rPr>
          <w:rFonts w:hint="eastAsia" w:ascii="宋体" w:hAnsi="宋体"/>
          <w:sz w:val="24"/>
          <w:szCs w:val="24"/>
        </w:rPr>
        <w:t>）</w:t>
      </w:r>
    </w:p>
    <w:p>
      <w:pPr>
        <w:widowControl w:val="0"/>
        <w:wordWrap/>
        <w:adjustRightInd/>
        <w:snapToGrid/>
        <w:spacing w:line="360" w:lineRule="auto"/>
        <w:ind w:right="0" w:firstLine="240" w:firstLineChars="100"/>
        <w:jc w:val="both"/>
        <w:textAlignment w:val="auto"/>
        <w:outlineLvl w:val="9"/>
        <w:rPr>
          <w:rFonts w:hint="eastAsia" w:ascii="宋体" w:hAnsi="宋体"/>
          <w:sz w:val="24"/>
          <w:szCs w:val="24"/>
        </w:rPr>
      </w:pPr>
      <w:r>
        <w:rPr>
          <w:rFonts w:hint="eastAsia" w:ascii="宋体" w:hAnsi="宋体"/>
          <w:sz w:val="24"/>
          <w:szCs w:val="24"/>
        </w:rPr>
        <w:t>4） 控制母线直流电压（V）： 220</w:t>
      </w:r>
    </w:p>
    <w:p>
      <w:pPr>
        <w:widowControl w:val="0"/>
        <w:wordWrap/>
        <w:adjustRightInd/>
        <w:snapToGrid/>
        <w:spacing w:line="360" w:lineRule="auto"/>
        <w:ind w:left="719" w:leftChars="114" w:right="0" w:hanging="480" w:hangingChars="200"/>
        <w:jc w:val="both"/>
        <w:textAlignment w:val="auto"/>
        <w:outlineLvl w:val="9"/>
        <w:rPr>
          <w:rFonts w:hint="eastAsia" w:ascii="宋体" w:hAnsi="宋体" w:eastAsia="宋体"/>
          <w:sz w:val="24"/>
          <w:szCs w:val="24"/>
        </w:rPr>
      </w:pPr>
      <w:r>
        <w:rPr>
          <w:rFonts w:hint="eastAsia" w:ascii="宋体" w:hAnsi="宋体"/>
          <w:sz w:val="24"/>
          <w:szCs w:val="24"/>
        </w:rPr>
        <w:t>5） 馈线数:220V控制母线</w:t>
      </w:r>
      <w:r>
        <w:rPr>
          <w:rFonts w:hint="default" w:ascii="宋体" w:hAnsi="宋体"/>
          <w:sz w:val="24"/>
          <w:szCs w:val="24"/>
        </w:rPr>
        <w:t>10</w:t>
      </w:r>
      <w:r>
        <w:rPr>
          <w:rFonts w:hint="eastAsia" w:ascii="宋体" w:hAnsi="宋体"/>
          <w:sz w:val="24"/>
          <w:szCs w:val="24"/>
        </w:rPr>
        <w:t>路、合闸母线</w:t>
      </w:r>
      <w:r>
        <w:rPr>
          <w:rFonts w:hint="default" w:ascii="宋体" w:hAnsi="宋体"/>
          <w:sz w:val="24"/>
          <w:szCs w:val="24"/>
        </w:rPr>
        <w:t>10</w:t>
      </w:r>
      <w:r>
        <w:rPr>
          <w:rFonts w:hint="eastAsia" w:ascii="宋体" w:hAnsi="宋体"/>
          <w:sz w:val="24"/>
          <w:szCs w:val="24"/>
        </w:rPr>
        <w:t>路，共</w:t>
      </w:r>
      <w:r>
        <w:rPr>
          <w:rFonts w:hint="default" w:ascii="宋体" w:hAnsi="宋体"/>
          <w:sz w:val="24"/>
          <w:szCs w:val="24"/>
        </w:rPr>
        <w:t>20</w:t>
      </w:r>
      <w:r>
        <w:rPr>
          <w:rFonts w:hint="eastAsia" w:ascii="宋体" w:hAnsi="宋体"/>
          <w:sz w:val="24"/>
          <w:szCs w:val="24"/>
        </w:rPr>
        <w:t>路； （</w:t>
      </w:r>
      <w:r>
        <w:rPr>
          <w:rFonts w:hint="eastAsia" w:ascii="宋体" w:hAnsi="宋体"/>
          <w:sz w:val="24"/>
          <w:szCs w:val="24"/>
          <w:lang w:val="en-US"/>
        </w:rPr>
        <w:t>所有开关以及双电源品牌：施耐德</w:t>
      </w:r>
      <w:r>
        <w:rPr>
          <w:rFonts w:hint="eastAsia" w:ascii="宋体" w:hAnsi="宋体"/>
          <w:sz w:val="24"/>
          <w:szCs w:val="24"/>
        </w:rPr>
        <w:t>）</w:t>
      </w:r>
    </w:p>
    <w:p>
      <w:pPr>
        <w:widowControl w:val="0"/>
        <w:wordWrap/>
        <w:adjustRightInd/>
        <w:snapToGrid/>
        <w:spacing w:line="360" w:lineRule="auto"/>
        <w:ind w:right="0" w:firstLine="240" w:firstLineChars="100"/>
        <w:jc w:val="both"/>
        <w:textAlignment w:val="auto"/>
        <w:outlineLvl w:val="9"/>
        <w:rPr>
          <w:rFonts w:hint="eastAsia" w:ascii="宋体" w:hAnsi="宋体"/>
          <w:sz w:val="24"/>
          <w:szCs w:val="24"/>
        </w:rPr>
      </w:pPr>
      <w:r>
        <w:rPr>
          <w:rFonts w:hint="eastAsia" w:ascii="宋体" w:hAnsi="宋体"/>
          <w:sz w:val="24"/>
          <w:szCs w:val="24"/>
        </w:rPr>
        <w:t>6） 稳压精度：                ≤±0.5%</w:t>
      </w:r>
    </w:p>
    <w:p>
      <w:pPr>
        <w:widowControl w:val="0"/>
        <w:wordWrap/>
        <w:adjustRightInd/>
        <w:snapToGrid/>
        <w:spacing w:line="360" w:lineRule="auto"/>
        <w:ind w:right="0" w:firstLine="240" w:firstLineChars="100"/>
        <w:jc w:val="both"/>
        <w:textAlignment w:val="auto"/>
        <w:outlineLvl w:val="9"/>
        <w:rPr>
          <w:rFonts w:hint="eastAsia" w:ascii="宋体" w:hAnsi="宋体"/>
          <w:sz w:val="24"/>
          <w:szCs w:val="24"/>
        </w:rPr>
      </w:pPr>
      <w:r>
        <w:rPr>
          <w:rFonts w:hint="eastAsia" w:ascii="宋体" w:hAnsi="宋体"/>
          <w:sz w:val="24"/>
          <w:szCs w:val="24"/>
        </w:rPr>
        <w:t>7） 稳流精度:                 ≤±0.5%</w:t>
      </w:r>
    </w:p>
    <w:p>
      <w:pPr>
        <w:widowControl w:val="0"/>
        <w:wordWrap/>
        <w:adjustRightInd/>
        <w:snapToGrid/>
        <w:spacing w:line="360" w:lineRule="auto"/>
        <w:ind w:right="0" w:firstLine="240" w:firstLineChars="100"/>
        <w:jc w:val="both"/>
        <w:textAlignment w:val="auto"/>
        <w:outlineLvl w:val="9"/>
        <w:rPr>
          <w:rFonts w:hint="eastAsia" w:ascii="宋体" w:hAnsi="宋体"/>
          <w:sz w:val="24"/>
          <w:szCs w:val="24"/>
        </w:rPr>
      </w:pPr>
      <w:r>
        <w:rPr>
          <w:rFonts w:hint="eastAsia" w:ascii="宋体" w:hAnsi="宋体"/>
          <w:sz w:val="24"/>
          <w:szCs w:val="24"/>
        </w:rPr>
        <w:t>8） 纹波系数:                 ≤±0.5%</w:t>
      </w:r>
    </w:p>
    <w:p>
      <w:pPr>
        <w:widowControl w:val="0"/>
        <w:wordWrap/>
        <w:adjustRightInd/>
        <w:snapToGrid/>
        <w:spacing w:line="360" w:lineRule="auto"/>
        <w:ind w:right="0" w:firstLine="240" w:firstLineChars="100"/>
        <w:jc w:val="both"/>
        <w:textAlignment w:val="auto"/>
        <w:outlineLvl w:val="9"/>
        <w:rPr>
          <w:rFonts w:hint="eastAsia" w:ascii="宋体" w:hAnsi="宋体"/>
          <w:sz w:val="24"/>
          <w:szCs w:val="24"/>
        </w:rPr>
      </w:pPr>
      <w:r>
        <w:rPr>
          <w:rFonts w:hint="eastAsia" w:ascii="宋体" w:hAnsi="宋体"/>
          <w:sz w:val="24"/>
          <w:szCs w:val="24"/>
        </w:rPr>
        <w:t>9） 功率因数：                COSφ≥0.94</w:t>
      </w:r>
    </w:p>
    <w:p>
      <w:pPr>
        <w:widowControl w:val="0"/>
        <w:wordWrap/>
        <w:adjustRightInd/>
        <w:snapToGrid/>
        <w:spacing w:line="360" w:lineRule="auto"/>
        <w:ind w:right="0" w:firstLine="240" w:firstLineChars="100"/>
        <w:jc w:val="both"/>
        <w:textAlignment w:val="auto"/>
        <w:outlineLvl w:val="9"/>
        <w:rPr>
          <w:rFonts w:hint="eastAsia" w:ascii="宋体" w:hAnsi="宋体"/>
          <w:sz w:val="24"/>
          <w:szCs w:val="24"/>
        </w:rPr>
      </w:pPr>
      <w:r>
        <w:rPr>
          <w:rFonts w:hint="eastAsia" w:ascii="宋体" w:hAnsi="宋体"/>
          <w:sz w:val="24"/>
          <w:szCs w:val="24"/>
        </w:rPr>
        <w:t>10）满载效率:                ≥90%</w:t>
      </w:r>
    </w:p>
    <w:p>
      <w:pPr>
        <w:widowControl w:val="0"/>
        <w:wordWrap/>
        <w:adjustRightInd/>
        <w:snapToGrid/>
        <w:spacing w:line="360" w:lineRule="auto"/>
        <w:ind w:right="0" w:firstLine="240" w:firstLineChars="100"/>
        <w:jc w:val="both"/>
        <w:textAlignment w:val="auto"/>
        <w:outlineLvl w:val="9"/>
        <w:rPr>
          <w:rFonts w:hint="eastAsia" w:ascii="宋体" w:hAnsi="宋体"/>
          <w:sz w:val="24"/>
          <w:szCs w:val="24"/>
        </w:rPr>
      </w:pPr>
      <w:r>
        <w:rPr>
          <w:rFonts w:hint="eastAsia" w:ascii="宋体" w:hAnsi="宋体"/>
          <w:sz w:val="24"/>
          <w:szCs w:val="24"/>
        </w:rPr>
        <w:t>11）谐波失真（THD）：         总THD&lt;7%</w:t>
      </w:r>
    </w:p>
    <w:p>
      <w:pPr>
        <w:widowControl w:val="0"/>
        <w:wordWrap/>
        <w:adjustRightInd/>
        <w:snapToGrid/>
        <w:spacing w:line="360" w:lineRule="auto"/>
        <w:ind w:right="0" w:firstLine="240" w:firstLineChars="100"/>
        <w:jc w:val="both"/>
        <w:textAlignment w:val="auto"/>
        <w:outlineLvl w:val="9"/>
        <w:rPr>
          <w:rFonts w:hint="eastAsia" w:ascii="宋体" w:hAnsi="宋体"/>
          <w:sz w:val="24"/>
          <w:szCs w:val="24"/>
        </w:rPr>
      </w:pPr>
      <w:r>
        <w:rPr>
          <w:rFonts w:hint="eastAsia" w:ascii="宋体" w:hAnsi="宋体"/>
          <w:sz w:val="24"/>
          <w:szCs w:val="24"/>
        </w:rPr>
        <w:t>12）通讯接口：               RS485/RS232</w:t>
      </w:r>
    </w:p>
    <w:p>
      <w:pPr>
        <w:widowControl w:val="0"/>
        <w:wordWrap/>
        <w:adjustRightInd/>
        <w:snapToGrid/>
        <w:spacing w:line="360" w:lineRule="auto"/>
        <w:ind w:right="0" w:firstLine="240" w:firstLineChars="100"/>
        <w:jc w:val="both"/>
        <w:textAlignment w:val="auto"/>
        <w:outlineLvl w:val="9"/>
        <w:rPr>
          <w:rFonts w:hint="eastAsia" w:ascii="宋体" w:hAnsi="宋体"/>
          <w:sz w:val="24"/>
          <w:szCs w:val="24"/>
        </w:rPr>
      </w:pPr>
      <w:r>
        <w:rPr>
          <w:rFonts w:hint="eastAsia" w:ascii="宋体" w:hAnsi="宋体"/>
          <w:sz w:val="24"/>
          <w:szCs w:val="24"/>
        </w:rPr>
        <w:t>13）平均无故障时间：         MTBF≥100000hr</w:t>
      </w:r>
    </w:p>
    <w:p>
      <w:pPr>
        <w:widowControl w:val="0"/>
        <w:wordWrap/>
        <w:adjustRightInd/>
        <w:snapToGrid/>
        <w:spacing w:line="360" w:lineRule="auto"/>
        <w:ind w:right="0" w:firstLine="240" w:firstLineChars="100"/>
        <w:jc w:val="both"/>
        <w:textAlignment w:val="auto"/>
        <w:outlineLvl w:val="9"/>
        <w:rPr>
          <w:rFonts w:hint="eastAsia" w:ascii="宋体" w:hAnsi="宋体"/>
          <w:sz w:val="24"/>
          <w:szCs w:val="24"/>
        </w:rPr>
      </w:pPr>
      <w:r>
        <w:rPr>
          <w:rFonts w:hint="eastAsia" w:ascii="宋体" w:hAnsi="宋体"/>
          <w:sz w:val="24"/>
          <w:szCs w:val="24"/>
        </w:rPr>
        <w:t>14）噪音：                   小于55dB（屏前1米处）</w:t>
      </w:r>
    </w:p>
    <w:p>
      <w:pPr>
        <w:widowControl w:val="0"/>
        <w:wordWrap/>
        <w:adjustRightInd/>
        <w:snapToGrid/>
        <w:spacing w:line="360" w:lineRule="auto"/>
        <w:ind w:right="0" w:firstLine="240" w:firstLineChars="100"/>
        <w:jc w:val="both"/>
        <w:textAlignment w:val="auto"/>
        <w:outlineLvl w:val="9"/>
        <w:rPr>
          <w:rFonts w:hint="eastAsia" w:ascii="宋体" w:hAnsi="宋体"/>
          <w:sz w:val="24"/>
          <w:szCs w:val="24"/>
        </w:rPr>
      </w:pPr>
      <w:r>
        <w:rPr>
          <w:rFonts w:hint="eastAsia" w:ascii="宋体" w:hAnsi="宋体"/>
          <w:sz w:val="24"/>
          <w:szCs w:val="24"/>
        </w:rPr>
        <w:t>15）具有电池监控功能。</w:t>
      </w:r>
    </w:p>
    <w:p>
      <w:pPr>
        <w:widowControl w:val="0"/>
        <w:wordWrap/>
        <w:adjustRightInd/>
        <w:snapToGrid/>
        <w:spacing w:line="360" w:lineRule="auto"/>
        <w:ind w:right="0" w:firstLine="240" w:firstLineChars="100"/>
        <w:jc w:val="both"/>
        <w:textAlignment w:val="auto"/>
        <w:outlineLvl w:val="9"/>
        <w:rPr>
          <w:rFonts w:hint="eastAsia" w:ascii="宋体" w:hAnsi="宋体"/>
          <w:sz w:val="24"/>
          <w:szCs w:val="24"/>
        </w:rPr>
      </w:pPr>
      <w:r>
        <w:rPr>
          <w:rFonts w:hint="eastAsia" w:ascii="宋体" w:hAnsi="宋体"/>
          <w:sz w:val="24"/>
          <w:szCs w:val="24"/>
        </w:rPr>
        <w:t>16）具备双路电源切换功能</w:t>
      </w:r>
    </w:p>
    <w:p>
      <w:pPr>
        <w:widowControl w:val="0"/>
        <w:wordWrap/>
        <w:adjustRightInd/>
        <w:snapToGrid/>
        <w:spacing w:line="360" w:lineRule="auto"/>
        <w:ind w:right="0"/>
        <w:jc w:val="both"/>
        <w:textAlignment w:val="auto"/>
        <w:outlineLvl w:val="9"/>
        <w:rPr>
          <w:rFonts w:hint="eastAsia" w:ascii="宋体" w:hAnsi="宋体"/>
          <w:sz w:val="24"/>
          <w:szCs w:val="24"/>
        </w:rPr>
      </w:pPr>
      <w:r>
        <w:rPr>
          <w:rFonts w:hint="eastAsia" w:ascii="宋体" w:hAnsi="宋体"/>
          <w:sz w:val="24"/>
          <w:szCs w:val="24"/>
          <w:lang w:val="en-US" w:eastAsia="zh-CN"/>
        </w:rPr>
        <w:t xml:space="preserve">3. </w:t>
      </w:r>
      <w:r>
        <w:rPr>
          <w:rFonts w:hint="eastAsia" w:ascii="宋体" w:hAnsi="宋体"/>
          <w:sz w:val="24"/>
          <w:szCs w:val="24"/>
        </w:rPr>
        <w:t>直流系统保护</w:t>
      </w:r>
    </w:p>
    <w:p>
      <w:pPr>
        <w:widowControl w:val="0"/>
        <w:wordWrap/>
        <w:adjustRightInd/>
        <w:snapToGrid/>
        <w:spacing w:line="360" w:lineRule="auto"/>
        <w:ind w:right="0" w:firstLine="240" w:firstLineChars="100"/>
        <w:jc w:val="both"/>
        <w:textAlignment w:val="auto"/>
        <w:outlineLvl w:val="9"/>
        <w:rPr>
          <w:rFonts w:hint="eastAsia" w:ascii="宋体" w:hAnsi="宋体"/>
          <w:sz w:val="24"/>
          <w:szCs w:val="24"/>
        </w:rPr>
      </w:pPr>
      <w:r>
        <w:rPr>
          <w:rFonts w:hint="eastAsia" w:ascii="宋体" w:hAnsi="宋体"/>
          <w:sz w:val="24"/>
          <w:szCs w:val="24"/>
        </w:rPr>
        <w:t>1） 交流输入：过压、欠压、缺相</w:t>
      </w:r>
    </w:p>
    <w:p>
      <w:pPr>
        <w:widowControl w:val="0"/>
        <w:wordWrap/>
        <w:adjustRightInd/>
        <w:snapToGrid/>
        <w:spacing w:line="360" w:lineRule="auto"/>
        <w:ind w:right="0" w:firstLine="240" w:firstLineChars="100"/>
        <w:jc w:val="both"/>
        <w:textAlignment w:val="auto"/>
        <w:outlineLvl w:val="9"/>
        <w:rPr>
          <w:rFonts w:hint="eastAsia" w:ascii="宋体" w:hAnsi="宋体"/>
          <w:sz w:val="24"/>
          <w:szCs w:val="24"/>
        </w:rPr>
      </w:pPr>
      <w:r>
        <w:rPr>
          <w:rFonts w:hint="eastAsia" w:ascii="宋体" w:hAnsi="宋体"/>
          <w:sz w:val="24"/>
          <w:szCs w:val="24"/>
        </w:rPr>
        <w:t>2） 直流输出：过流、过压、散热过热、直流系统接地选线</w:t>
      </w:r>
    </w:p>
    <w:p>
      <w:pPr>
        <w:widowControl w:val="0"/>
        <w:wordWrap/>
        <w:adjustRightInd/>
        <w:snapToGrid/>
        <w:spacing w:line="360" w:lineRule="auto"/>
        <w:ind w:right="0"/>
        <w:jc w:val="both"/>
        <w:textAlignment w:val="auto"/>
        <w:outlineLvl w:val="9"/>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 xml:space="preserve"> 直流系统主要功能</w:t>
      </w:r>
    </w:p>
    <w:p>
      <w:pPr>
        <w:widowControl w:val="0"/>
        <w:wordWrap/>
        <w:adjustRightInd/>
        <w:snapToGrid/>
        <w:spacing w:line="360" w:lineRule="auto"/>
        <w:ind w:right="0" w:firstLine="240" w:firstLineChars="100"/>
        <w:jc w:val="both"/>
        <w:textAlignment w:val="auto"/>
        <w:outlineLvl w:val="9"/>
        <w:rPr>
          <w:rFonts w:hint="eastAsia" w:ascii="宋体" w:hAnsi="宋体"/>
          <w:sz w:val="24"/>
          <w:szCs w:val="24"/>
        </w:rPr>
      </w:pPr>
      <w:r>
        <w:rPr>
          <w:rFonts w:hint="eastAsia" w:ascii="宋体" w:hAnsi="宋体"/>
          <w:sz w:val="24"/>
          <w:szCs w:val="24"/>
        </w:rPr>
        <w:t>1）高频充电模块将交流电变换为直流电。充电模块一方面给电池充电，一方面给常规负荷供电。模块间输出电流的不平衡度 &lt;±5%，并确保电池组具有95%以上的容量。</w:t>
      </w:r>
    </w:p>
    <w:p>
      <w:pPr>
        <w:widowControl w:val="0"/>
        <w:wordWrap/>
        <w:adjustRightInd/>
        <w:snapToGrid/>
        <w:spacing w:line="360" w:lineRule="auto"/>
        <w:ind w:right="0" w:firstLine="240" w:firstLineChars="100"/>
        <w:jc w:val="both"/>
        <w:textAlignment w:val="auto"/>
        <w:outlineLvl w:val="9"/>
        <w:rPr>
          <w:rFonts w:hint="eastAsia" w:ascii="宋体" w:hAnsi="宋体"/>
          <w:sz w:val="24"/>
          <w:szCs w:val="24"/>
        </w:rPr>
      </w:pPr>
      <w:r>
        <w:rPr>
          <w:rFonts w:hint="eastAsia" w:ascii="宋体" w:hAnsi="宋体"/>
          <w:sz w:val="24"/>
          <w:szCs w:val="24"/>
        </w:rPr>
        <w:t>2）具有自动控制功能：对蓄电池的过充电、过放电自动保护；强充、均充、浮充全部由微机控制自动转换；定期均衡充电；自动巡检、故障自动显示、报警；交流断电时自动向母线供电，确保继电保护、自动装置、高压开关均有控制和操作电源；来电时自动投入充电。</w:t>
      </w:r>
    </w:p>
    <w:p>
      <w:pPr>
        <w:widowControl w:val="0"/>
        <w:wordWrap/>
        <w:adjustRightInd/>
        <w:snapToGrid/>
        <w:spacing w:line="360" w:lineRule="auto"/>
        <w:ind w:right="0" w:firstLine="240" w:firstLineChars="100"/>
        <w:jc w:val="both"/>
        <w:textAlignment w:val="auto"/>
        <w:outlineLvl w:val="9"/>
        <w:rPr>
          <w:rFonts w:hint="eastAsia" w:ascii="宋体" w:hAnsi="宋体"/>
          <w:sz w:val="24"/>
          <w:szCs w:val="24"/>
        </w:rPr>
      </w:pPr>
      <w:r>
        <w:rPr>
          <w:rFonts w:hint="eastAsia" w:ascii="宋体" w:hAnsi="宋体"/>
          <w:sz w:val="24"/>
          <w:szCs w:val="24"/>
        </w:rPr>
        <w:t>3）具有对电池电压实行实时测量，显示电池</w:t>
      </w:r>
      <w:r>
        <w:rPr>
          <w:rFonts w:ascii="宋体" w:hAnsi="宋体"/>
          <w:sz w:val="24"/>
          <w:szCs w:val="24"/>
        </w:rPr>
        <w:t>组</w:t>
      </w:r>
      <w:r>
        <w:rPr>
          <w:rFonts w:hint="eastAsia" w:ascii="宋体" w:hAnsi="宋体"/>
          <w:sz w:val="24"/>
          <w:szCs w:val="24"/>
        </w:rPr>
        <w:t>电压。出现异常有报警显示；有对控制母线输出的电压、电流监察装置；有母线绝缘监察功能，能确定直流系统正对地、负对地绝缘电阻，最灵敏阻值100kΩ。</w:t>
      </w:r>
    </w:p>
    <w:p>
      <w:pPr>
        <w:spacing w:line="360" w:lineRule="auto"/>
        <w:ind w:firstLine="240" w:firstLineChars="100"/>
        <w:rPr>
          <w:rFonts w:hint="eastAsia" w:ascii="宋体" w:hAnsi="宋体"/>
          <w:sz w:val="24"/>
          <w:szCs w:val="24"/>
        </w:rPr>
      </w:pPr>
      <w:r>
        <w:rPr>
          <w:rFonts w:hint="eastAsia" w:ascii="宋体" w:hAnsi="宋体"/>
          <w:sz w:val="24"/>
          <w:szCs w:val="24"/>
        </w:rPr>
        <w:t>4）具有可靠的防雷及高度的电气绝缘防护措施，确保系统和人身安全。</w:t>
      </w:r>
    </w:p>
    <w:p>
      <w:pPr>
        <w:spacing w:line="360" w:lineRule="auto"/>
        <w:ind w:firstLine="240" w:firstLineChars="100"/>
        <w:rPr>
          <w:rFonts w:hint="eastAsia" w:ascii="宋体" w:hAnsi="宋体"/>
          <w:sz w:val="24"/>
          <w:szCs w:val="24"/>
        </w:rPr>
      </w:pPr>
      <w:r>
        <w:rPr>
          <w:rFonts w:hint="eastAsia" w:ascii="宋体" w:hAnsi="宋体"/>
          <w:sz w:val="24"/>
          <w:szCs w:val="24"/>
        </w:rPr>
        <w:t>5）直流系统配置可在线监测的微机直流接地检测装置。</w:t>
      </w:r>
    </w:p>
    <w:p>
      <w:pPr>
        <w:spacing w:line="360" w:lineRule="auto"/>
        <w:ind w:firstLine="240" w:firstLineChars="100"/>
        <w:rPr>
          <w:rFonts w:hint="eastAsia" w:ascii="宋体" w:hAnsi="宋体"/>
          <w:sz w:val="24"/>
          <w:szCs w:val="24"/>
        </w:rPr>
      </w:pPr>
      <w:r>
        <w:rPr>
          <w:rFonts w:hint="eastAsia" w:ascii="宋体" w:hAnsi="宋体"/>
          <w:sz w:val="24"/>
          <w:szCs w:val="24"/>
        </w:rPr>
        <w:t xml:space="preserve">6）装置具有完善的自我保护功能，并具有记忆功能。 </w:t>
      </w:r>
    </w:p>
    <w:p>
      <w:pPr>
        <w:spacing w:line="360" w:lineRule="auto"/>
        <w:ind w:firstLine="240" w:firstLineChars="100"/>
        <w:rPr>
          <w:rFonts w:hint="eastAsia" w:ascii="宋体" w:hAnsi="宋体"/>
          <w:sz w:val="24"/>
          <w:szCs w:val="24"/>
        </w:rPr>
      </w:pPr>
      <w:r>
        <w:rPr>
          <w:rFonts w:hint="eastAsia" w:ascii="宋体" w:hAnsi="宋体"/>
          <w:sz w:val="24"/>
          <w:szCs w:val="24"/>
        </w:rPr>
        <w:t>7）远动通讯功能RS485/RS232通讯接口输出，可实现四遥；并提供直流电源消失、装置异常、直流接地、控制母线电压过高/过低、熔断器故障、高频开关电源模块交流失电。</w:t>
      </w:r>
    </w:p>
    <w:p>
      <w:pPr>
        <w:spacing w:line="360" w:lineRule="auto"/>
        <w:ind w:firstLine="240" w:firstLineChars="100"/>
        <w:rPr>
          <w:rFonts w:hint="eastAsia" w:ascii="宋体" w:hAnsi="宋体"/>
          <w:sz w:val="24"/>
          <w:szCs w:val="24"/>
        </w:rPr>
      </w:pPr>
      <w:r>
        <w:rPr>
          <w:rFonts w:hint="eastAsia" w:ascii="宋体" w:hAnsi="宋体"/>
          <w:sz w:val="24"/>
          <w:szCs w:val="24"/>
        </w:rPr>
        <w:t>8)配置中文汉化液晶显示，配置指针式仪表，能够指示电池电压、合闸母线电压，控制母线电压，充放电电流。</w:t>
      </w:r>
    </w:p>
    <w:p>
      <w:pPr>
        <w:spacing w:line="360" w:lineRule="auto"/>
        <w:rPr>
          <w:rFonts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5.</w:t>
      </w:r>
      <w:r>
        <w:rPr>
          <w:rFonts w:hint="eastAsia" w:ascii="宋体" w:hAnsi="宋体"/>
          <w:sz w:val="24"/>
          <w:szCs w:val="24"/>
        </w:rPr>
        <w:t xml:space="preserve"> 蓄电池</w:t>
      </w:r>
    </w:p>
    <w:p>
      <w:pPr>
        <w:spacing w:line="360" w:lineRule="auto"/>
        <w:ind w:firstLine="720" w:firstLineChars="300"/>
        <w:rPr>
          <w:rFonts w:hint="eastAsia" w:ascii="宋体" w:hAnsi="宋体"/>
          <w:sz w:val="24"/>
          <w:szCs w:val="24"/>
        </w:rPr>
      </w:pPr>
      <w:r>
        <w:rPr>
          <w:rFonts w:ascii="宋体" w:hAnsi="宋体"/>
          <w:sz w:val="24"/>
          <w:szCs w:val="24"/>
        </w:rPr>
        <w:t>免维护</w:t>
      </w:r>
      <w:r>
        <w:rPr>
          <w:rFonts w:hint="eastAsia" w:ascii="宋体" w:hAnsi="宋体"/>
          <w:sz w:val="24"/>
          <w:szCs w:val="24"/>
        </w:rPr>
        <w:t>阀控式密封铅酸蓄电池</w:t>
      </w:r>
    </w:p>
    <w:p>
      <w:pPr>
        <w:spacing w:line="360" w:lineRule="auto"/>
        <w:rPr>
          <w:rFonts w:hint="eastAsia" w:ascii="宋体" w:hAnsi="宋体"/>
          <w:sz w:val="24"/>
          <w:szCs w:val="24"/>
        </w:rPr>
      </w:pPr>
      <w:r>
        <w:rPr>
          <w:rFonts w:hint="eastAsia" w:ascii="宋体" w:hAnsi="宋体"/>
          <w:sz w:val="24"/>
          <w:szCs w:val="24"/>
          <w:lang w:val="en-US" w:eastAsia="zh-CN"/>
        </w:rPr>
        <w:t>6.</w:t>
      </w:r>
      <w:r>
        <w:rPr>
          <w:rFonts w:hint="eastAsia" w:ascii="宋体" w:hAnsi="宋体"/>
          <w:sz w:val="24"/>
          <w:szCs w:val="24"/>
        </w:rPr>
        <w:t>柜体结构的技术要求</w:t>
      </w:r>
    </w:p>
    <w:p>
      <w:pPr>
        <w:spacing w:line="360" w:lineRule="auto"/>
        <w:rPr>
          <w:rFonts w:hint="eastAsia" w:ascii="宋体" w:hAnsi="宋体"/>
          <w:sz w:val="24"/>
          <w:szCs w:val="24"/>
        </w:rPr>
      </w:pPr>
      <w:r>
        <w:rPr>
          <w:rFonts w:hint="eastAsia" w:ascii="宋体" w:hAnsi="宋体"/>
          <w:sz w:val="24"/>
          <w:szCs w:val="24"/>
          <w:lang w:val="en-US" w:eastAsia="zh-CN"/>
        </w:rPr>
        <w:t>6</w:t>
      </w:r>
      <w:r>
        <w:rPr>
          <w:rFonts w:hint="eastAsia" w:ascii="宋体" w:hAnsi="宋体"/>
          <w:sz w:val="24"/>
          <w:szCs w:val="24"/>
        </w:rPr>
        <w:t>.1 屏体要求详见《国家电网继电直流屏柜、屏制造规范》。</w:t>
      </w:r>
    </w:p>
    <w:p>
      <w:pPr>
        <w:spacing w:line="360" w:lineRule="auto"/>
        <w:rPr>
          <w:rFonts w:hint="eastAsia" w:ascii="宋体" w:hAnsi="宋体"/>
          <w:sz w:val="24"/>
          <w:szCs w:val="24"/>
        </w:rPr>
      </w:pPr>
      <w:r>
        <w:rPr>
          <w:rFonts w:hint="eastAsia" w:ascii="宋体" w:hAnsi="宋体"/>
          <w:sz w:val="24"/>
          <w:szCs w:val="24"/>
          <w:lang w:val="en-US" w:eastAsia="zh-CN"/>
        </w:rPr>
        <w:t>6</w:t>
      </w:r>
      <w:r>
        <w:rPr>
          <w:rFonts w:hint="eastAsia" w:ascii="宋体" w:hAnsi="宋体"/>
          <w:sz w:val="24"/>
          <w:szCs w:val="24"/>
        </w:rPr>
        <w:t>.2 内部配线的额定电压为1000V，导线无划痕和损伤。供货方提供配线槽以便于固定电缆，并将电缆连接到端子排。卖方对所供设备的内部配线、设备的特性和功能的正确性负责。所有连接于端子排的内部配线，以标志条或有标志的线套加以识别。</w:t>
      </w:r>
    </w:p>
    <w:p>
      <w:pPr>
        <w:spacing w:line="360" w:lineRule="auto"/>
        <w:rPr>
          <w:rFonts w:hint="eastAsia" w:ascii="宋体" w:hAnsi="宋体"/>
          <w:sz w:val="24"/>
          <w:szCs w:val="24"/>
        </w:rPr>
      </w:pPr>
      <w:r>
        <w:rPr>
          <w:rFonts w:hint="eastAsia" w:ascii="宋体" w:hAnsi="宋体"/>
          <w:sz w:val="24"/>
          <w:szCs w:val="24"/>
          <w:lang w:val="en-US" w:eastAsia="zh-CN"/>
        </w:rPr>
        <w:t>6</w:t>
      </w:r>
      <w:r>
        <w:rPr>
          <w:rFonts w:hint="eastAsia" w:ascii="宋体" w:hAnsi="宋体"/>
          <w:sz w:val="24"/>
          <w:szCs w:val="24"/>
        </w:rPr>
        <w:t>.3 所有端子采用额定值为1000V、10-16A的压接型端子。电流回路的端子能接不小于</w:t>
      </w:r>
      <w:r>
        <w:rPr>
          <w:rFonts w:ascii="宋体" w:hAnsi="宋体"/>
          <w:sz w:val="24"/>
          <w:szCs w:val="24"/>
        </w:rPr>
        <w:t>2.5</w:t>
      </w:r>
      <w:r>
        <w:rPr>
          <w:rFonts w:hint="eastAsia" w:ascii="宋体" w:hAnsi="宋体"/>
          <w:sz w:val="24"/>
          <w:szCs w:val="24"/>
        </w:rPr>
        <w:t>mm</w:t>
      </w:r>
      <w:r>
        <w:rPr>
          <w:rFonts w:hint="eastAsia" w:ascii="宋体" w:hAnsi="宋体"/>
          <w:sz w:val="24"/>
          <w:szCs w:val="24"/>
          <w:vertAlign w:val="superscript"/>
        </w:rPr>
        <w:t>2</w:t>
      </w:r>
      <w:r>
        <w:rPr>
          <w:rFonts w:hint="eastAsia" w:ascii="宋体" w:hAnsi="宋体"/>
          <w:sz w:val="24"/>
          <w:szCs w:val="24"/>
        </w:rPr>
        <w:t>的电缆芯线；所有装置的跳闸出口回路都提供各回路分别操作的试验部件或连接片，以便于必要时解除其出口回路。端子排间有足够的绝缘，端子排根据功能分段排列，并加入可进行标注的隔离件，留有10%的备用端子，且可在必要时再增加。端子排间留有足够的空间，便于外部电缆的连接。断路器的跳闸或合闸回路端子、直流电源的正负极布置在相邻的端子上，便于外部电缆的连接。</w:t>
      </w:r>
    </w:p>
    <w:p>
      <w:pPr>
        <w:spacing w:line="360" w:lineRule="auto"/>
        <w:rPr>
          <w:rFonts w:hint="eastAsia" w:ascii="宋体" w:hAnsi="宋体"/>
          <w:sz w:val="24"/>
          <w:szCs w:val="24"/>
        </w:rPr>
      </w:pPr>
      <w:r>
        <w:rPr>
          <w:rFonts w:hint="eastAsia" w:ascii="宋体" w:hAnsi="宋体"/>
          <w:sz w:val="24"/>
          <w:szCs w:val="24"/>
        </w:rPr>
        <w:t>屏上跳闸回路采用能接</w:t>
      </w:r>
      <w:r>
        <w:rPr>
          <w:rFonts w:ascii="宋体" w:hAnsi="宋体"/>
          <w:sz w:val="24"/>
          <w:szCs w:val="24"/>
        </w:rPr>
        <w:t>2.5</w:t>
      </w:r>
      <w:r>
        <w:rPr>
          <w:rFonts w:hint="eastAsia" w:ascii="宋体" w:hAnsi="宋体"/>
          <w:sz w:val="24"/>
          <w:szCs w:val="24"/>
        </w:rPr>
        <w:t>mm</w:t>
      </w:r>
      <w:r>
        <w:rPr>
          <w:rFonts w:hint="eastAsia" w:ascii="宋体" w:hAnsi="宋体"/>
          <w:sz w:val="24"/>
          <w:szCs w:val="24"/>
          <w:vertAlign w:val="superscript"/>
        </w:rPr>
        <w:t>2</w:t>
      </w:r>
      <w:r>
        <w:rPr>
          <w:rFonts w:hint="eastAsia" w:ascii="宋体" w:hAnsi="宋体"/>
          <w:sz w:val="24"/>
          <w:szCs w:val="24"/>
        </w:rPr>
        <w:t>截面电缆芯的端子，并且跳闸回路的公共端子采用多个端子的连接方式，屏上电源回路采用能接</w:t>
      </w:r>
      <w:r>
        <w:rPr>
          <w:rFonts w:ascii="宋体" w:hAnsi="宋体"/>
          <w:sz w:val="24"/>
          <w:szCs w:val="24"/>
        </w:rPr>
        <w:t>2.5</w:t>
      </w:r>
      <w:r>
        <w:rPr>
          <w:rFonts w:hint="eastAsia" w:ascii="宋体" w:hAnsi="宋体"/>
          <w:sz w:val="24"/>
          <w:szCs w:val="24"/>
        </w:rPr>
        <w:t>mm</w:t>
      </w:r>
      <w:r>
        <w:rPr>
          <w:rFonts w:hint="eastAsia" w:ascii="宋体" w:hAnsi="宋体"/>
          <w:sz w:val="24"/>
          <w:szCs w:val="24"/>
          <w:vertAlign w:val="superscript"/>
        </w:rPr>
        <w:t>2</w:t>
      </w:r>
      <w:r>
        <w:rPr>
          <w:rFonts w:hint="eastAsia" w:ascii="宋体" w:hAnsi="宋体"/>
          <w:sz w:val="24"/>
          <w:szCs w:val="24"/>
        </w:rPr>
        <w:t>截面电缆芯的端子，并且正、负级之有端子断开。</w:t>
      </w:r>
    </w:p>
    <w:p>
      <w:pPr>
        <w:spacing w:line="360" w:lineRule="auto"/>
        <w:rPr>
          <w:rFonts w:hint="eastAsia" w:ascii="宋体" w:hAnsi="宋体"/>
          <w:sz w:val="24"/>
          <w:szCs w:val="24"/>
        </w:rPr>
      </w:pPr>
      <w:r>
        <w:rPr>
          <w:rFonts w:hint="eastAsia" w:ascii="宋体" w:hAnsi="宋体"/>
          <w:sz w:val="24"/>
          <w:szCs w:val="24"/>
          <w:lang w:val="en-US" w:eastAsia="zh-CN"/>
        </w:rPr>
        <w:t>6</w:t>
      </w:r>
      <w:r>
        <w:rPr>
          <w:rFonts w:hint="eastAsia" w:ascii="宋体" w:hAnsi="宋体"/>
          <w:sz w:val="24"/>
          <w:szCs w:val="24"/>
        </w:rPr>
        <w:t>.4 屏面上安装位置便于运行监视、操作和维护。</w:t>
      </w:r>
    </w:p>
    <w:p>
      <w:pPr>
        <w:spacing w:line="360" w:lineRule="auto"/>
        <w:rPr>
          <w:rFonts w:hint="eastAsia" w:ascii="宋体" w:hAnsi="宋体"/>
          <w:sz w:val="24"/>
          <w:szCs w:val="24"/>
        </w:rPr>
      </w:pPr>
      <w:r>
        <w:rPr>
          <w:rFonts w:hint="eastAsia" w:ascii="宋体" w:hAnsi="宋体"/>
          <w:sz w:val="24"/>
          <w:szCs w:val="24"/>
          <w:lang w:val="en-US" w:eastAsia="zh-CN"/>
        </w:rPr>
        <w:t>6</w:t>
      </w:r>
      <w:r>
        <w:rPr>
          <w:rFonts w:hint="eastAsia" w:ascii="宋体" w:hAnsi="宋体"/>
          <w:sz w:val="24"/>
          <w:szCs w:val="24"/>
        </w:rPr>
        <w:t>.5 屏上的所有设备（包括继电器、控制开关、熔断器、空气开关、指示灯及其他独立安装的设备），均有便于识别的铭牌或标签框。</w:t>
      </w:r>
    </w:p>
    <w:p>
      <w:pPr>
        <w:spacing w:line="360" w:lineRule="auto"/>
        <w:rPr>
          <w:rFonts w:hint="eastAsia" w:ascii="宋体" w:hAnsi="宋体"/>
          <w:sz w:val="24"/>
          <w:szCs w:val="24"/>
        </w:rPr>
      </w:pPr>
      <w:r>
        <w:rPr>
          <w:rFonts w:hint="eastAsia" w:ascii="宋体" w:hAnsi="宋体"/>
          <w:sz w:val="24"/>
          <w:szCs w:val="24"/>
          <w:lang w:val="en-US" w:eastAsia="zh-CN"/>
        </w:rPr>
        <w:t>6</w:t>
      </w:r>
      <w:r>
        <w:rPr>
          <w:rFonts w:hint="eastAsia" w:ascii="宋体" w:hAnsi="宋体"/>
          <w:sz w:val="24"/>
          <w:szCs w:val="24"/>
        </w:rPr>
        <w:t>.6 保护柜所有空气开关都设在门外。</w:t>
      </w:r>
    </w:p>
    <w:p>
      <w:pPr>
        <w:spacing w:line="360" w:lineRule="auto"/>
        <w:rPr>
          <w:rFonts w:hint="eastAsia" w:ascii="宋体" w:hAnsi="宋体"/>
          <w:sz w:val="24"/>
          <w:szCs w:val="24"/>
        </w:rPr>
      </w:pPr>
      <w:r>
        <w:rPr>
          <w:rFonts w:hint="eastAsia" w:ascii="宋体" w:hAnsi="宋体"/>
          <w:sz w:val="24"/>
          <w:szCs w:val="24"/>
          <w:lang w:val="en-US" w:eastAsia="zh-CN"/>
        </w:rPr>
        <w:t>6</w:t>
      </w:r>
      <w:r>
        <w:rPr>
          <w:rFonts w:hint="eastAsia" w:ascii="宋体" w:hAnsi="宋体"/>
          <w:sz w:val="24"/>
          <w:szCs w:val="24"/>
        </w:rPr>
        <w:t>.7 柜上设备采用嵌入式或半嵌入式安装和背后接线。</w:t>
      </w:r>
    </w:p>
    <w:p>
      <w:pPr>
        <w:spacing w:line="360" w:lineRule="auto"/>
        <w:rPr>
          <w:rFonts w:hint="eastAsia" w:ascii="宋体" w:hAnsi="宋体"/>
          <w:sz w:val="24"/>
          <w:szCs w:val="24"/>
        </w:rPr>
      </w:pPr>
      <w:r>
        <w:rPr>
          <w:rFonts w:hint="eastAsia" w:ascii="宋体" w:hAnsi="宋体"/>
          <w:sz w:val="24"/>
          <w:szCs w:val="24"/>
          <w:lang w:val="en-US" w:eastAsia="zh-CN"/>
        </w:rPr>
        <w:t>6</w:t>
      </w:r>
      <w:r>
        <w:rPr>
          <w:rFonts w:hint="eastAsia" w:ascii="宋体" w:hAnsi="宋体"/>
          <w:sz w:val="24"/>
          <w:szCs w:val="24"/>
        </w:rPr>
        <w:t>.8 对于按制造厂的规定才能进行更换的部件和插件，有特殊的符号标出。</w:t>
      </w:r>
    </w:p>
    <w:p>
      <w:pPr>
        <w:spacing w:line="360" w:lineRule="auto"/>
        <w:rPr>
          <w:rFonts w:hint="eastAsia" w:ascii="宋体" w:hAnsi="宋体"/>
          <w:sz w:val="24"/>
          <w:szCs w:val="24"/>
        </w:rPr>
      </w:pPr>
      <w:r>
        <w:rPr>
          <w:rFonts w:hint="eastAsia" w:ascii="宋体" w:hAnsi="宋体"/>
          <w:sz w:val="24"/>
          <w:szCs w:val="24"/>
          <w:lang w:val="en-US" w:eastAsia="zh-CN"/>
        </w:rPr>
        <w:t>6</w:t>
      </w:r>
      <w:r>
        <w:rPr>
          <w:rFonts w:hint="eastAsia" w:ascii="宋体" w:hAnsi="宋体"/>
          <w:sz w:val="24"/>
          <w:szCs w:val="24"/>
        </w:rPr>
        <w:t>.9 柜体颜色统一采用国标RAL7035。</w:t>
      </w:r>
    </w:p>
    <w:p>
      <w:pPr>
        <w:spacing w:line="360" w:lineRule="auto"/>
        <w:rPr>
          <w:rFonts w:hint="default" w:ascii="宋体" w:hAnsi="宋体"/>
          <w:sz w:val="24"/>
          <w:szCs w:val="24"/>
          <w:lang w:val="en-US" w:eastAsia="zh-CN"/>
        </w:rPr>
      </w:pPr>
    </w:p>
    <w:p>
      <w:pPr>
        <w:keepNext/>
        <w:keepLines/>
        <w:widowControl w:val="0"/>
        <w:numPr>
          <w:numId w:val="0"/>
        </w:numPr>
        <w:wordWrap/>
        <w:adjustRightInd/>
        <w:snapToGrid/>
        <w:spacing w:before="0" w:beforeLines="0" w:after="0" w:afterLines="0" w:line="360" w:lineRule="auto"/>
        <w:ind w:firstLine="241" w:firstLineChars="100"/>
        <w:jc w:val="both"/>
        <w:textAlignment w:val="auto"/>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（九）电力后台系统</w:t>
      </w:r>
      <w:bookmarkEnd w:id="83"/>
    </w:p>
    <w:p>
      <w:pPr>
        <w:widowControl w:val="0"/>
        <w:numPr>
          <w:numId w:val="0"/>
        </w:numPr>
        <w:wordWrap/>
        <w:adjustRightInd/>
        <w:snapToGrid/>
        <w:spacing w:line="360" w:lineRule="auto"/>
        <w:textAlignment w:val="auto"/>
        <w:rPr>
          <w:rFonts w:hint="default" w:eastAsia="宋体"/>
          <w:lang w:val="en-US" w:eastAsia="zh-CN"/>
        </w:rPr>
      </w:pPr>
      <w:r>
        <w:rPr>
          <w:rFonts w:hint="eastAsia" w:eastAsia="宋体"/>
          <w:lang w:val="en-US" w:eastAsia="zh-CN"/>
        </w:rPr>
        <w:t xml:space="preserve">    </w:t>
      </w:r>
      <w:r>
        <w:rPr>
          <w:rFonts w:hint="eastAsia" w:eastAsia="宋体"/>
          <w:b/>
          <w:bCs/>
          <w:sz w:val="24"/>
          <w:szCs w:val="24"/>
          <w:lang w:val="en-US" w:eastAsia="zh-CN"/>
        </w:rPr>
        <w:t>总体要求</w:t>
      </w:r>
    </w:p>
    <w:p>
      <w:pPr>
        <w:pStyle w:val="626"/>
        <w:widowControl w:val="0"/>
        <w:wordWrap/>
        <w:adjustRightInd/>
        <w:snapToGrid/>
        <w:spacing w:line="360" w:lineRule="auto"/>
        <w:ind w:firstLine="464" w:firstLineChars="200"/>
        <w:textAlignment w:val="auto"/>
        <w:rPr>
          <w:rFonts w:hint="eastAsia" w:ascii="宋体" w:hAnsi="宋体" w:eastAsia="宋体" w:cs="宋体"/>
          <w:color w:val="auto"/>
          <w:spacing w:val="-4"/>
          <w:kern w:val="0"/>
          <w:sz w:val="24"/>
          <w:szCs w:val="24"/>
          <w:u w:val="none"/>
          <w:lang w:val="en-US" w:eastAsia="zh-CN" w:bidi="ar-SA"/>
        </w:rPr>
      </w:pPr>
      <w:bookmarkStart w:id="84" w:name="1.1.综合概况"/>
      <w:bookmarkEnd w:id="84"/>
      <w:bookmarkStart w:id="85" w:name="_bookmark5"/>
      <w:bookmarkEnd w:id="85"/>
      <w:r>
        <w:rPr>
          <w:rFonts w:hint="eastAsia" w:ascii="宋体" w:hAnsi="宋体" w:eastAsia="宋体" w:cs="宋体"/>
          <w:color w:val="auto"/>
          <w:spacing w:val="-4"/>
          <w:kern w:val="0"/>
          <w:sz w:val="24"/>
          <w:szCs w:val="24"/>
          <w:u w:val="none"/>
          <w:lang w:val="en-US" w:eastAsia="zh-CN" w:bidi="ar-SA"/>
        </w:rPr>
        <w:t>本项目能源管理系统由采集层、边缘计算层、管理层设备构成，通过边缘计算层设备接入配电房内电力、环境等采集设备，运用部署在本地服务器的本地系统及能源管理云平台，采用双系统方案，灵活运用在各类管理场景中，对配电房的各项电力、环境等信息进行实时监测、事件记录，对超过阈值的信息进行告警，并可通过该平台实现用能分析，完成企业的安全供电、用电管理和运行管理。</w:t>
      </w:r>
    </w:p>
    <w:p>
      <w:pPr>
        <w:pStyle w:val="626"/>
        <w:widowControl w:val="0"/>
        <w:wordWrap/>
        <w:adjustRightInd/>
        <w:snapToGrid/>
        <w:spacing w:line="360" w:lineRule="auto"/>
        <w:ind w:firstLine="464" w:firstLineChars="200"/>
        <w:textAlignment w:val="auto"/>
        <w:rPr>
          <w:rFonts w:hint="eastAsia" w:ascii="宋体" w:hAnsi="宋体" w:eastAsia="宋体" w:cs="宋体"/>
          <w:color w:val="auto"/>
          <w:spacing w:val="-4"/>
          <w:kern w:val="0"/>
          <w:sz w:val="24"/>
          <w:szCs w:val="24"/>
          <w:u w:val="none"/>
          <w:lang w:val="en-US" w:eastAsia="zh-CN" w:bidi="ar-SA"/>
        </w:rPr>
      </w:pPr>
      <w:r>
        <w:rPr>
          <w:rFonts w:hint="eastAsia" w:ascii="宋体" w:hAnsi="宋体" w:eastAsia="宋体" w:cs="宋体"/>
          <w:color w:val="auto"/>
          <w:spacing w:val="-4"/>
          <w:kern w:val="0"/>
          <w:sz w:val="24"/>
          <w:szCs w:val="24"/>
          <w:u w:val="none"/>
          <w:lang w:val="en-US" w:eastAsia="zh-CN" w:bidi="ar-SA"/>
        </w:rPr>
        <w:t>2.1 承包方的工作范围包括整套能源管理系统的深化设计、制造、验收、包装、运输到目的地、现场安装、现场调试、测试和运行的监督，对业主方人员培训和质保期内的维修服务，提供技术资料、图纸以及同业主设计单位、总包单位的协调工作。</w:t>
      </w:r>
    </w:p>
    <w:p>
      <w:pPr>
        <w:pStyle w:val="626"/>
        <w:widowControl w:val="0"/>
        <w:wordWrap/>
        <w:adjustRightInd/>
        <w:snapToGrid/>
        <w:spacing w:line="360" w:lineRule="auto"/>
        <w:ind w:firstLine="464" w:firstLineChars="200"/>
        <w:textAlignment w:val="auto"/>
        <w:rPr>
          <w:rFonts w:hint="eastAsia" w:ascii="宋体" w:hAnsi="宋体" w:eastAsia="宋体" w:cs="宋体"/>
          <w:color w:val="auto"/>
          <w:spacing w:val="-4"/>
          <w:kern w:val="0"/>
          <w:sz w:val="24"/>
          <w:szCs w:val="24"/>
          <w:u w:val="none"/>
          <w:lang w:val="en-US" w:eastAsia="zh-CN" w:bidi="ar-SA"/>
        </w:rPr>
      </w:pPr>
      <w:r>
        <w:rPr>
          <w:rFonts w:hint="eastAsia" w:ascii="宋体" w:hAnsi="宋体" w:eastAsia="宋体" w:cs="宋体"/>
          <w:color w:val="auto"/>
          <w:spacing w:val="-4"/>
          <w:kern w:val="0"/>
          <w:sz w:val="24"/>
          <w:szCs w:val="24"/>
          <w:u w:val="none"/>
          <w:lang w:val="en-US" w:eastAsia="zh-CN" w:bidi="ar-SA"/>
        </w:rPr>
        <w:t>2.2 不允许用假设来掩盖数据、功能的不足，承包方有责任为业主方提供可靠数据并确保持续稳定性。</w:t>
      </w:r>
    </w:p>
    <w:p>
      <w:pPr>
        <w:pStyle w:val="626"/>
        <w:widowControl w:val="0"/>
        <w:wordWrap/>
        <w:adjustRightInd/>
        <w:snapToGrid/>
        <w:spacing w:line="360" w:lineRule="auto"/>
        <w:ind w:firstLine="464" w:firstLineChars="200"/>
        <w:textAlignment w:val="auto"/>
        <w:rPr>
          <w:rFonts w:hint="eastAsia" w:ascii="宋体" w:hAnsi="宋体" w:eastAsia="宋体" w:cs="宋体"/>
          <w:color w:val="auto"/>
          <w:spacing w:val="-4"/>
          <w:kern w:val="0"/>
          <w:sz w:val="24"/>
          <w:szCs w:val="24"/>
          <w:u w:val="none"/>
          <w:lang w:val="en-US" w:eastAsia="zh-CN" w:bidi="ar-SA"/>
        </w:rPr>
      </w:pPr>
      <w:r>
        <w:rPr>
          <w:rFonts w:hint="eastAsia" w:ascii="宋体" w:hAnsi="宋体" w:eastAsia="宋体" w:cs="宋体"/>
          <w:color w:val="auto"/>
          <w:spacing w:val="-4"/>
          <w:kern w:val="0"/>
          <w:sz w:val="24"/>
          <w:szCs w:val="24"/>
          <w:u w:val="none"/>
          <w:lang w:val="en-US" w:eastAsia="zh-CN" w:bidi="ar-SA"/>
        </w:rPr>
        <w:t>2.3 为确保设备正确的安装，操作及维修，承包方应提供所有必须的或附加的设备，专用工具和附件的清单以及维护管理和维修的相关软件。即使这些设备在技术规定或数据表中未列出。</w:t>
      </w:r>
    </w:p>
    <w:p>
      <w:pPr>
        <w:pStyle w:val="626"/>
        <w:widowControl w:val="0"/>
        <w:wordWrap/>
        <w:adjustRightInd/>
        <w:snapToGrid/>
        <w:spacing w:line="360" w:lineRule="auto"/>
        <w:ind w:firstLine="464" w:firstLineChars="200"/>
        <w:textAlignment w:val="auto"/>
        <w:rPr>
          <w:rFonts w:hint="eastAsia" w:ascii="宋体" w:hAnsi="宋体" w:eastAsia="宋体" w:cs="宋体"/>
          <w:color w:val="auto"/>
          <w:spacing w:val="-4"/>
          <w:kern w:val="0"/>
          <w:sz w:val="24"/>
          <w:szCs w:val="24"/>
          <w:u w:val="none"/>
          <w:lang w:val="en-US" w:eastAsia="zh-CN" w:bidi="ar-SA"/>
        </w:rPr>
      </w:pPr>
      <w:r>
        <w:rPr>
          <w:rFonts w:hint="eastAsia" w:ascii="宋体" w:hAnsi="宋体" w:eastAsia="宋体" w:cs="宋体"/>
          <w:color w:val="auto"/>
          <w:spacing w:val="-4"/>
          <w:kern w:val="0"/>
          <w:sz w:val="24"/>
          <w:szCs w:val="24"/>
          <w:u w:val="none"/>
          <w:lang w:val="en-US" w:eastAsia="zh-CN" w:bidi="ar-SA"/>
        </w:rPr>
        <w:t>2.4 承包方提交的文件、资料应列出并充分描述与本技术规格书或相关法规的不同点。</w:t>
      </w:r>
    </w:p>
    <w:p>
      <w:pPr>
        <w:pStyle w:val="626"/>
        <w:widowControl w:val="0"/>
        <w:wordWrap/>
        <w:adjustRightInd/>
        <w:snapToGrid/>
        <w:spacing w:line="360" w:lineRule="auto"/>
        <w:ind w:firstLine="464" w:firstLineChars="200"/>
        <w:textAlignment w:val="auto"/>
        <w:rPr>
          <w:rFonts w:hint="eastAsia" w:ascii="宋体" w:hAnsi="宋体" w:eastAsia="宋体" w:cs="宋体"/>
          <w:color w:val="auto"/>
          <w:spacing w:val="-4"/>
          <w:kern w:val="0"/>
          <w:sz w:val="24"/>
          <w:szCs w:val="24"/>
          <w:u w:val="none"/>
          <w:lang w:val="en-US" w:eastAsia="zh-CN" w:bidi="ar-SA"/>
        </w:rPr>
      </w:pPr>
      <w:r>
        <w:rPr>
          <w:rFonts w:hint="eastAsia" w:ascii="宋体" w:hAnsi="宋体" w:eastAsia="宋体" w:cs="宋体"/>
          <w:color w:val="auto"/>
          <w:spacing w:val="-4"/>
          <w:kern w:val="0"/>
          <w:sz w:val="24"/>
          <w:szCs w:val="24"/>
          <w:u w:val="none"/>
          <w:lang w:val="en-US" w:eastAsia="zh-CN" w:bidi="ar-SA"/>
        </w:rPr>
        <w:t>2.5 在质保期限内，承包方应能提供所有备品配件及维修技术支持服务。</w:t>
      </w:r>
    </w:p>
    <w:p>
      <w:pPr>
        <w:pStyle w:val="626"/>
        <w:widowControl w:val="0"/>
        <w:wordWrap/>
        <w:adjustRightInd/>
        <w:snapToGrid/>
        <w:spacing w:line="360" w:lineRule="auto"/>
        <w:ind w:firstLine="466" w:firstLineChars="200"/>
        <w:textAlignment w:val="auto"/>
        <w:rPr>
          <w:rFonts w:hint="default" w:ascii="宋体" w:hAnsi="宋体" w:eastAsia="宋体" w:cs="宋体"/>
          <w:b/>
          <w:bCs/>
          <w:color w:val="auto"/>
          <w:spacing w:val="-4"/>
          <w:kern w:val="0"/>
          <w:sz w:val="24"/>
          <w:szCs w:val="24"/>
          <w:u w:val="none"/>
          <w:lang w:val="en-US" w:eastAsia="zh-CN" w:bidi="ar-SA"/>
        </w:rPr>
      </w:pPr>
      <w:r>
        <w:rPr>
          <w:rFonts w:hint="eastAsia" w:hAnsi="宋体" w:eastAsia="宋体" w:cs="宋体"/>
          <w:b/>
          <w:bCs/>
          <w:color w:val="auto"/>
          <w:spacing w:val="-4"/>
          <w:kern w:val="0"/>
          <w:sz w:val="24"/>
          <w:szCs w:val="24"/>
          <w:u w:val="none"/>
          <w:lang w:val="en-US" w:eastAsia="zh-CN" w:bidi="ar-SA"/>
        </w:rPr>
        <w:t>系统组成及要求</w:t>
      </w:r>
    </w:p>
    <w:p>
      <w:pPr>
        <w:pStyle w:val="626"/>
        <w:widowControl w:val="0"/>
        <w:wordWrap/>
        <w:adjustRightInd/>
        <w:snapToGrid/>
        <w:spacing w:line="360" w:lineRule="auto"/>
        <w:ind w:firstLine="464" w:firstLineChars="200"/>
        <w:textAlignment w:val="auto"/>
        <w:rPr>
          <w:rFonts w:hint="eastAsia" w:ascii="宋体" w:hAnsi="宋体" w:eastAsia="宋体" w:cs="宋体"/>
          <w:color w:val="auto"/>
          <w:spacing w:val="-4"/>
          <w:kern w:val="0"/>
          <w:sz w:val="24"/>
          <w:szCs w:val="24"/>
          <w:u w:val="none"/>
          <w:lang w:val="en-US" w:eastAsia="zh-CN" w:bidi="ar-SA"/>
        </w:rPr>
      </w:pPr>
      <w:r>
        <w:rPr>
          <w:rFonts w:hint="eastAsia" w:ascii="宋体" w:hAnsi="宋体" w:eastAsia="宋体" w:cs="宋体"/>
          <w:color w:val="auto"/>
          <w:spacing w:val="-4"/>
          <w:kern w:val="0"/>
          <w:sz w:val="24"/>
          <w:szCs w:val="24"/>
          <w:u w:val="none"/>
          <w:lang w:val="en-US" w:eastAsia="zh-CN" w:bidi="ar-SA"/>
        </w:rPr>
        <w:t>采用分层分布式，分成采集层、边缘计算层、管理层；在管理层、边缘计算层及网络失效的情况下，采集层设备仍能独立完成监测或保护动作相关功能，投标人应在投标时提供详细网络架构图。</w:t>
      </w:r>
    </w:p>
    <w:p>
      <w:pPr>
        <w:pStyle w:val="626"/>
        <w:widowControl w:val="0"/>
        <w:wordWrap/>
        <w:adjustRightInd/>
        <w:snapToGrid/>
        <w:spacing w:line="360" w:lineRule="auto"/>
        <w:ind w:firstLine="464" w:firstLineChars="200"/>
        <w:textAlignment w:val="auto"/>
        <w:rPr>
          <w:rFonts w:hint="eastAsia" w:ascii="宋体" w:hAnsi="宋体" w:eastAsia="宋体" w:cs="宋体"/>
          <w:color w:val="auto"/>
          <w:spacing w:val="-4"/>
          <w:kern w:val="0"/>
          <w:sz w:val="24"/>
          <w:szCs w:val="24"/>
          <w:u w:val="none"/>
          <w:lang w:val="en-US" w:eastAsia="zh-CN" w:bidi="ar-SA"/>
        </w:rPr>
      </w:pPr>
      <w:r>
        <w:rPr>
          <w:rFonts w:hint="eastAsia" w:ascii="宋体" w:hAnsi="宋体" w:eastAsia="宋体" w:cs="宋体"/>
          <w:color w:val="auto"/>
          <w:spacing w:val="-4"/>
          <w:kern w:val="0"/>
          <w:sz w:val="24"/>
          <w:szCs w:val="24"/>
          <w:u w:val="none"/>
          <w:lang w:val="en-US" w:eastAsia="zh-CN" w:bidi="ar-SA"/>
        </w:rPr>
        <w:t>3.1系统各单元采用网络连接，传输媒介需满足系统可靠抗干扰和数据传输速率的要求；采集层设备采用屏蔽双绞线，边缘计算层、管理层采用以太网多色线，若有较远距离的传输要求，应采用光纤连接方式将数据传送至主服务器或云服务器；系统通信应实时可靠，抗干扰能力强，连接方便，任一点损坏不能影响其他部分的正常工作。</w:t>
      </w:r>
    </w:p>
    <w:p>
      <w:pPr>
        <w:pStyle w:val="626"/>
        <w:widowControl w:val="0"/>
        <w:wordWrap/>
        <w:adjustRightInd/>
        <w:snapToGrid/>
        <w:spacing w:line="360" w:lineRule="auto"/>
        <w:ind w:firstLine="464" w:firstLineChars="200"/>
        <w:textAlignment w:val="auto"/>
        <w:rPr>
          <w:rFonts w:hint="eastAsia" w:ascii="宋体" w:hAnsi="宋体" w:eastAsia="宋体" w:cs="宋体"/>
          <w:color w:val="auto"/>
          <w:spacing w:val="-4"/>
          <w:kern w:val="0"/>
          <w:sz w:val="24"/>
          <w:szCs w:val="24"/>
          <w:u w:val="none"/>
          <w:lang w:val="en-US" w:eastAsia="zh-CN" w:bidi="ar-SA"/>
        </w:rPr>
      </w:pPr>
      <w:r>
        <w:rPr>
          <w:rFonts w:hint="eastAsia" w:ascii="宋体" w:hAnsi="宋体" w:eastAsia="宋体" w:cs="宋体"/>
          <w:color w:val="auto"/>
          <w:spacing w:val="-4"/>
          <w:kern w:val="0"/>
          <w:sz w:val="24"/>
          <w:szCs w:val="24"/>
          <w:u w:val="none"/>
          <w:lang w:val="en-US" w:eastAsia="zh-CN" w:bidi="ar-SA"/>
        </w:rPr>
        <w:t>3.2 边缘计算层负责与采集层设备通讯并进行数据采集，具有通讯信息的接收、发送功能，边缘计算层是全系统信息的中心，通讯管理机的通讯口数量根据接入设备数量确定。</w:t>
      </w:r>
    </w:p>
    <w:p>
      <w:pPr>
        <w:pStyle w:val="626"/>
        <w:widowControl w:val="0"/>
        <w:wordWrap/>
        <w:adjustRightInd/>
        <w:snapToGrid/>
        <w:spacing w:line="360" w:lineRule="auto"/>
        <w:ind w:firstLine="464" w:firstLineChars="200"/>
        <w:textAlignment w:val="auto"/>
        <w:rPr>
          <w:rFonts w:hint="eastAsia" w:ascii="宋体" w:hAnsi="宋体" w:eastAsia="宋体" w:cs="宋体"/>
          <w:color w:val="auto"/>
          <w:spacing w:val="-4"/>
          <w:kern w:val="0"/>
          <w:sz w:val="24"/>
          <w:szCs w:val="24"/>
          <w:u w:val="none"/>
          <w:lang w:val="en-US" w:eastAsia="zh-CN" w:bidi="ar-SA"/>
        </w:rPr>
      </w:pPr>
      <w:r>
        <w:rPr>
          <w:rFonts w:hint="eastAsia" w:ascii="宋体" w:hAnsi="宋体" w:eastAsia="宋体" w:cs="宋体"/>
          <w:color w:val="auto"/>
          <w:spacing w:val="-4"/>
          <w:kern w:val="0"/>
          <w:sz w:val="24"/>
          <w:szCs w:val="24"/>
          <w:u w:val="none"/>
          <w:lang w:val="en-US" w:eastAsia="zh-CN" w:bidi="ar-SA"/>
        </w:rPr>
        <w:t>3.3 管理层是能源管理系统的主要人机界面，接收来自边缘计算层的数据，由现场管理人员进行配电房运行工况的监视或控制；主要完成实时运行状态显示，能源管理系统的运行状态和报警，报表编辑和打印，相关功能的配置、编辑和修改。</w:t>
      </w:r>
    </w:p>
    <w:p>
      <w:pPr>
        <w:pStyle w:val="626"/>
        <w:widowControl w:val="0"/>
        <w:wordWrap/>
        <w:adjustRightInd/>
        <w:snapToGrid/>
        <w:spacing w:line="360" w:lineRule="auto"/>
        <w:ind w:firstLine="464" w:firstLineChars="200"/>
        <w:textAlignment w:val="auto"/>
        <w:rPr>
          <w:rFonts w:hint="eastAsia" w:ascii="宋体" w:hAnsi="宋体" w:eastAsia="宋体" w:cs="宋体"/>
          <w:color w:val="auto"/>
          <w:spacing w:val="-4"/>
          <w:kern w:val="0"/>
          <w:sz w:val="24"/>
          <w:szCs w:val="24"/>
          <w:u w:val="none"/>
          <w:lang w:val="en-US" w:eastAsia="zh-CN" w:bidi="ar-SA"/>
        </w:rPr>
      </w:pPr>
      <w:r>
        <w:rPr>
          <w:rFonts w:hint="eastAsia" w:ascii="宋体" w:hAnsi="宋体" w:eastAsia="宋体" w:cs="宋体"/>
          <w:color w:val="auto"/>
          <w:spacing w:val="-4"/>
          <w:kern w:val="0"/>
          <w:sz w:val="24"/>
          <w:szCs w:val="24"/>
          <w:u w:val="none"/>
          <w:lang w:val="en-US" w:eastAsia="zh-CN" w:bidi="ar-SA"/>
        </w:rPr>
        <w:t>3.4 管理层运行的系统应具有防止计算机病毒、非法技术入侵的抵御措施。</w:t>
      </w:r>
    </w:p>
    <w:p>
      <w:pPr>
        <w:pStyle w:val="626"/>
        <w:widowControl w:val="0"/>
        <w:wordWrap/>
        <w:adjustRightInd/>
        <w:snapToGrid/>
        <w:spacing w:line="360" w:lineRule="auto"/>
        <w:ind w:firstLine="464" w:firstLineChars="200"/>
        <w:textAlignment w:val="auto"/>
        <w:rPr>
          <w:rFonts w:hint="eastAsia" w:ascii="宋体" w:hAnsi="宋体" w:eastAsia="宋体" w:cs="宋体"/>
          <w:color w:val="auto"/>
          <w:spacing w:val="-4"/>
          <w:kern w:val="0"/>
          <w:sz w:val="24"/>
          <w:szCs w:val="24"/>
          <w:u w:val="none"/>
          <w:lang w:val="en-US" w:eastAsia="zh-CN" w:bidi="ar-SA"/>
        </w:rPr>
      </w:pPr>
      <w:r>
        <w:rPr>
          <w:rFonts w:hint="eastAsia" w:ascii="宋体" w:hAnsi="宋体" w:eastAsia="宋体" w:cs="宋体"/>
          <w:color w:val="auto"/>
          <w:spacing w:val="-4"/>
          <w:kern w:val="0"/>
          <w:sz w:val="24"/>
          <w:szCs w:val="24"/>
          <w:u w:val="none"/>
          <w:lang w:val="en-US" w:eastAsia="zh-CN" w:bidi="ar-SA"/>
        </w:rPr>
        <w:t>3.5 系统应具有友好的中文人机界面，可使用户轻松地进行人机交互和了解实时运行工况，并可及时掌握正确的操作程序，避免误操作。</w:t>
      </w:r>
    </w:p>
    <w:p>
      <w:pPr>
        <w:pStyle w:val="626"/>
        <w:widowControl w:val="0"/>
        <w:wordWrap/>
        <w:adjustRightInd/>
        <w:snapToGrid/>
        <w:spacing w:line="360" w:lineRule="auto"/>
        <w:ind w:firstLine="464" w:firstLineChars="200"/>
        <w:textAlignment w:val="auto"/>
        <w:rPr>
          <w:rFonts w:hint="eastAsia" w:ascii="宋体" w:hAnsi="宋体" w:eastAsia="宋体" w:cs="宋体"/>
          <w:color w:val="auto"/>
          <w:spacing w:val="-4"/>
          <w:kern w:val="0"/>
          <w:sz w:val="24"/>
          <w:szCs w:val="24"/>
          <w:u w:val="none"/>
          <w:lang w:val="en-US" w:eastAsia="zh-CN" w:bidi="ar-SA"/>
        </w:rPr>
      </w:pPr>
      <w:r>
        <w:rPr>
          <w:rFonts w:hint="eastAsia" w:ascii="宋体" w:hAnsi="宋体" w:eastAsia="宋体" w:cs="宋体"/>
          <w:color w:val="auto"/>
          <w:spacing w:val="-4"/>
          <w:kern w:val="0"/>
          <w:sz w:val="24"/>
          <w:szCs w:val="24"/>
          <w:u w:val="none"/>
          <w:lang w:val="en-US" w:eastAsia="zh-CN" w:bidi="ar-SA"/>
        </w:rPr>
        <w:t>3.6 系统选用可靠的硬件设备，具有抗恶劣环境（如电磁干扰、振动和高温）的性能，以保证系统可靠性；在满足功能要求的前提下，简化硬件配置和二次设备间的互连线，避免重复设置；减少施工和维护工作量。</w:t>
      </w:r>
    </w:p>
    <w:p>
      <w:pPr>
        <w:pStyle w:val="626"/>
        <w:widowControl w:val="0"/>
        <w:wordWrap/>
        <w:adjustRightInd/>
        <w:snapToGrid/>
        <w:spacing w:line="360" w:lineRule="auto"/>
        <w:ind w:firstLine="466" w:firstLineChars="200"/>
        <w:textAlignment w:val="auto"/>
        <w:rPr>
          <w:rFonts w:hint="default" w:ascii="宋体" w:hAnsi="宋体" w:eastAsia="宋体" w:cs="宋体"/>
          <w:b/>
          <w:bCs/>
          <w:color w:val="auto"/>
          <w:spacing w:val="-4"/>
          <w:kern w:val="0"/>
          <w:sz w:val="24"/>
          <w:szCs w:val="24"/>
          <w:u w:val="none"/>
          <w:lang w:val="en-US" w:eastAsia="zh-CN" w:bidi="ar-SA"/>
        </w:rPr>
      </w:pPr>
      <w:r>
        <w:rPr>
          <w:rFonts w:hint="eastAsia" w:hAnsi="宋体" w:eastAsia="宋体" w:cs="宋体"/>
          <w:b/>
          <w:bCs/>
          <w:color w:val="auto"/>
          <w:spacing w:val="-4"/>
          <w:kern w:val="0"/>
          <w:sz w:val="24"/>
          <w:szCs w:val="24"/>
          <w:u w:val="none"/>
          <w:lang w:val="en-US" w:eastAsia="zh-CN" w:bidi="ar-SA"/>
        </w:rPr>
        <w:t>系统功能</w:t>
      </w:r>
    </w:p>
    <w:p>
      <w:pPr>
        <w:pStyle w:val="626"/>
        <w:widowControl w:val="0"/>
        <w:wordWrap/>
        <w:adjustRightInd/>
        <w:snapToGrid/>
        <w:spacing w:line="360" w:lineRule="auto"/>
        <w:ind w:firstLine="464" w:firstLineChars="200"/>
        <w:textAlignment w:val="auto"/>
        <w:rPr>
          <w:rFonts w:hint="eastAsia" w:ascii="宋体" w:hAnsi="宋体" w:eastAsia="宋体" w:cs="宋体"/>
          <w:color w:val="auto"/>
          <w:spacing w:val="-4"/>
          <w:kern w:val="0"/>
          <w:sz w:val="24"/>
          <w:szCs w:val="24"/>
          <w:u w:val="none"/>
          <w:lang w:val="en-US" w:eastAsia="zh-CN" w:bidi="ar-SA"/>
        </w:rPr>
      </w:pPr>
      <w:r>
        <w:rPr>
          <w:rFonts w:hint="eastAsia" w:ascii="宋体" w:hAnsi="宋体" w:eastAsia="宋体" w:cs="宋体"/>
          <w:color w:val="auto"/>
          <w:spacing w:val="-4"/>
          <w:kern w:val="0"/>
          <w:sz w:val="24"/>
          <w:szCs w:val="24"/>
          <w:u w:val="none"/>
          <w:lang w:val="en-US" w:eastAsia="zh-CN" w:bidi="ar-SA"/>
        </w:rPr>
        <w:t>本项目能源管理系统应采用模块化结构，具有实时性、可靠性、适应性、可扩充性及可维护性。</w:t>
      </w:r>
    </w:p>
    <w:p>
      <w:pPr>
        <w:pStyle w:val="626"/>
        <w:widowControl w:val="0"/>
        <w:wordWrap/>
        <w:adjustRightInd/>
        <w:snapToGrid/>
        <w:spacing w:line="360" w:lineRule="auto"/>
        <w:ind w:firstLine="464" w:firstLineChars="200"/>
        <w:textAlignment w:val="auto"/>
        <w:rPr>
          <w:rFonts w:hint="eastAsia" w:ascii="宋体" w:hAnsi="宋体" w:eastAsia="宋体" w:cs="宋体"/>
          <w:color w:val="auto"/>
          <w:spacing w:val="-4"/>
          <w:kern w:val="0"/>
          <w:sz w:val="24"/>
          <w:szCs w:val="24"/>
          <w:u w:val="none"/>
          <w:lang w:val="en-US" w:eastAsia="zh-CN" w:bidi="ar-SA"/>
        </w:rPr>
      </w:pPr>
      <w:r>
        <w:rPr>
          <w:rFonts w:hint="eastAsia" w:ascii="宋体" w:hAnsi="宋体" w:eastAsia="宋体" w:cs="宋体"/>
          <w:color w:val="auto"/>
          <w:spacing w:val="-4"/>
          <w:kern w:val="0"/>
          <w:sz w:val="24"/>
          <w:szCs w:val="24"/>
          <w:u w:val="none"/>
          <w:lang w:val="en-US" w:eastAsia="zh-CN" w:bidi="ar-SA"/>
        </w:rPr>
        <w:t>4.1 基础电力实时监测及告警</w:t>
      </w:r>
    </w:p>
    <w:p>
      <w:pPr>
        <w:pStyle w:val="626"/>
        <w:widowControl w:val="0"/>
        <w:wordWrap/>
        <w:adjustRightInd/>
        <w:snapToGrid/>
        <w:spacing w:line="360" w:lineRule="auto"/>
        <w:ind w:firstLine="464" w:firstLineChars="200"/>
        <w:textAlignment w:val="auto"/>
        <w:rPr>
          <w:rFonts w:hint="eastAsia" w:ascii="宋体" w:hAnsi="宋体" w:eastAsia="宋体" w:cs="宋体"/>
          <w:color w:val="auto"/>
          <w:spacing w:val="-4"/>
          <w:kern w:val="0"/>
          <w:sz w:val="24"/>
          <w:szCs w:val="24"/>
          <w:u w:val="none"/>
          <w:lang w:val="en-US" w:eastAsia="zh-CN" w:bidi="ar-SA"/>
        </w:rPr>
      </w:pPr>
      <w:r>
        <w:rPr>
          <w:rFonts w:hint="eastAsia" w:ascii="宋体" w:hAnsi="宋体" w:eastAsia="宋体" w:cs="宋体"/>
          <w:color w:val="auto"/>
          <w:spacing w:val="-4"/>
          <w:kern w:val="0"/>
          <w:sz w:val="24"/>
          <w:szCs w:val="24"/>
          <w:u w:val="none"/>
          <w:lang w:val="en-US" w:eastAsia="zh-CN" w:bidi="ar-SA"/>
        </w:rPr>
        <w:t>1）监测10kV高压的数据，显示综合保护装置、直流屏可提供的实时数据；</w:t>
      </w:r>
    </w:p>
    <w:p>
      <w:pPr>
        <w:pStyle w:val="626"/>
        <w:widowControl w:val="0"/>
        <w:wordWrap/>
        <w:adjustRightInd/>
        <w:snapToGrid/>
        <w:spacing w:line="360" w:lineRule="auto"/>
        <w:ind w:firstLine="464" w:firstLineChars="200"/>
        <w:textAlignment w:val="auto"/>
        <w:rPr>
          <w:rFonts w:hint="eastAsia" w:ascii="宋体" w:hAnsi="宋体" w:eastAsia="宋体" w:cs="宋体"/>
          <w:color w:val="auto"/>
          <w:spacing w:val="-4"/>
          <w:kern w:val="0"/>
          <w:sz w:val="24"/>
          <w:szCs w:val="24"/>
          <w:u w:val="none"/>
          <w:lang w:val="en-US" w:eastAsia="zh-CN" w:bidi="ar-SA"/>
        </w:rPr>
      </w:pPr>
      <w:r>
        <w:rPr>
          <w:rFonts w:hint="eastAsia" w:ascii="宋体" w:hAnsi="宋体" w:eastAsia="宋体" w:cs="宋体"/>
          <w:color w:val="auto"/>
          <w:spacing w:val="-4"/>
          <w:kern w:val="0"/>
          <w:sz w:val="24"/>
          <w:szCs w:val="24"/>
          <w:u w:val="none"/>
          <w:lang w:val="en-US" w:eastAsia="zh-CN" w:bidi="ar-SA"/>
        </w:rPr>
        <w:t>2）监测监测变压器的数据，显示实时的变压器负载率、变压器三相温度的实时数据；</w:t>
      </w:r>
    </w:p>
    <w:p>
      <w:pPr>
        <w:pStyle w:val="626"/>
        <w:widowControl w:val="0"/>
        <w:wordWrap/>
        <w:adjustRightInd/>
        <w:snapToGrid/>
        <w:spacing w:line="360" w:lineRule="auto"/>
        <w:ind w:firstLine="464" w:firstLineChars="200"/>
        <w:textAlignment w:val="auto"/>
        <w:rPr>
          <w:rFonts w:hint="eastAsia" w:ascii="宋体" w:hAnsi="宋体" w:eastAsia="宋体" w:cs="宋体"/>
          <w:color w:val="auto"/>
          <w:spacing w:val="-4"/>
          <w:kern w:val="0"/>
          <w:sz w:val="24"/>
          <w:szCs w:val="24"/>
          <w:u w:val="none"/>
          <w:lang w:val="en-US" w:eastAsia="zh-CN" w:bidi="ar-SA"/>
        </w:rPr>
      </w:pPr>
      <w:r>
        <w:rPr>
          <w:rFonts w:hint="eastAsia" w:ascii="宋体" w:hAnsi="宋体" w:eastAsia="宋体" w:cs="宋体"/>
          <w:color w:val="auto"/>
          <w:spacing w:val="-4"/>
          <w:kern w:val="0"/>
          <w:sz w:val="24"/>
          <w:szCs w:val="24"/>
          <w:u w:val="none"/>
          <w:lang w:val="en-US" w:eastAsia="zh-CN" w:bidi="ar-SA"/>
        </w:rPr>
        <w:t>3）监测低压回路的数据，显示电流、电压、功率因数、电能、功率、线缆温度等实时数据；</w:t>
      </w:r>
    </w:p>
    <w:p>
      <w:pPr>
        <w:pStyle w:val="626"/>
        <w:widowControl w:val="0"/>
        <w:wordWrap/>
        <w:adjustRightInd/>
        <w:snapToGrid/>
        <w:spacing w:line="360" w:lineRule="auto"/>
        <w:ind w:firstLine="464" w:firstLineChars="200"/>
        <w:textAlignment w:val="auto"/>
        <w:rPr>
          <w:rFonts w:hint="eastAsia" w:ascii="宋体" w:hAnsi="宋体" w:eastAsia="宋体" w:cs="宋体"/>
          <w:color w:val="auto"/>
          <w:spacing w:val="-4"/>
          <w:kern w:val="0"/>
          <w:sz w:val="24"/>
          <w:szCs w:val="24"/>
          <w:u w:val="none"/>
          <w:lang w:val="en-US" w:eastAsia="zh-CN" w:bidi="ar-SA"/>
        </w:rPr>
      </w:pPr>
      <w:r>
        <w:rPr>
          <w:rFonts w:hint="eastAsia" w:ascii="宋体" w:hAnsi="宋体" w:eastAsia="宋体" w:cs="宋体"/>
          <w:color w:val="auto"/>
          <w:spacing w:val="-4"/>
          <w:kern w:val="0"/>
          <w:sz w:val="24"/>
          <w:szCs w:val="24"/>
          <w:u w:val="none"/>
          <w:lang w:val="en-US" w:eastAsia="zh-CN" w:bidi="ar-SA"/>
        </w:rPr>
        <w:t>4）确保数据实时性；</w:t>
      </w:r>
    </w:p>
    <w:p>
      <w:pPr>
        <w:pStyle w:val="626"/>
        <w:widowControl w:val="0"/>
        <w:wordWrap/>
        <w:adjustRightInd/>
        <w:snapToGrid/>
        <w:spacing w:line="360" w:lineRule="auto"/>
        <w:ind w:firstLine="464" w:firstLineChars="200"/>
        <w:textAlignment w:val="auto"/>
        <w:rPr>
          <w:rFonts w:hint="eastAsia" w:ascii="宋体" w:hAnsi="宋体" w:eastAsia="宋体" w:cs="宋体"/>
          <w:color w:val="auto"/>
          <w:spacing w:val="-4"/>
          <w:kern w:val="0"/>
          <w:sz w:val="24"/>
          <w:szCs w:val="24"/>
          <w:u w:val="none"/>
          <w:lang w:val="en-US" w:eastAsia="zh-CN" w:bidi="ar-SA"/>
        </w:rPr>
      </w:pPr>
      <w:r>
        <w:rPr>
          <w:rFonts w:hint="eastAsia" w:ascii="宋体" w:hAnsi="宋体" w:eastAsia="宋体" w:cs="宋体"/>
          <w:color w:val="auto"/>
          <w:spacing w:val="-4"/>
          <w:kern w:val="0"/>
          <w:sz w:val="24"/>
          <w:szCs w:val="24"/>
          <w:u w:val="none"/>
          <w:lang w:val="en-US" w:eastAsia="zh-CN" w:bidi="ar-SA"/>
        </w:rPr>
        <w:t>4.2 实时报警与报警管理</w:t>
      </w:r>
    </w:p>
    <w:p>
      <w:pPr>
        <w:pStyle w:val="626"/>
        <w:widowControl w:val="0"/>
        <w:wordWrap/>
        <w:adjustRightInd/>
        <w:snapToGrid/>
        <w:spacing w:line="360" w:lineRule="auto"/>
        <w:ind w:firstLine="464" w:firstLineChars="200"/>
        <w:textAlignment w:val="auto"/>
        <w:rPr>
          <w:rFonts w:hint="eastAsia" w:ascii="宋体" w:hAnsi="宋体" w:eastAsia="宋体" w:cs="宋体"/>
          <w:color w:val="auto"/>
          <w:spacing w:val="-4"/>
          <w:kern w:val="0"/>
          <w:sz w:val="24"/>
          <w:szCs w:val="24"/>
          <w:u w:val="none"/>
          <w:lang w:val="en-US" w:eastAsia="zh-CN" w:bidi="ar-SA"/>
        </w:rPr>
      </w:pPr>
      <w:r>
        <w:rPr>
          <w:rFonts w:hint="eastAsia" w:ascii="宋体" w:hAnsi="宋体" w:eastAsia="宋体" w:cs="宋体"/>
          <w:color w:val="auto"/>
          <w:spacing w:val="-4"/>
          <w:kern w:val="0"/>
          <w:sz w:val="24"/>
          <w:szCs w:val="24"/>
          <w:u w:val="none"/>
          <w:lang w:val="en-US" w:eastAsia="zh-CN" w:bidi="ar-SA"/>
        </w:rPr>
        <w:t>1）根据预先设定的阈值，通过不同报警级别进行报警；</w:t>
      </w:r>
    </w:p>
    <w:p>
      <w:pPr>
        <w:pStyle w:val="626"/>
        <w:widowControl w:val="0"/>
        <w:wordWrap/>
        <w:adjustRightInd/>
        <w:snapToGrid/>
        <w:spacing w:line="360" w:lineRule="auto"/>
        <w:ind w:firstLine="464" w:firstLineChars="200"/>
        <w:textAlignment w:val="auto"/>
        <w:rPr>
          <w:rFonts w:hint="eastAsia" w:ascii="宋体" w:hAnsi="宋体" w:eastAsia="宋体" w:cs="宋体"/>
          <w:color w:val="auto"/>
          <w:spacing w:val="-4"/>
          <w:kern w:val="0"/>
          <w:sz w:val="24"/>
          <w:szCs w:val="24"/>
          <w:u w:val="none"/>
          <w:lang w:val="en-US" w:eastAsia="zh-CN" w:bidi="ar-SA"/>
        </w:rPr>
      </w:pPr>
      <w:r>
        <w:rPr>
          <w:rFonts w:hint="eastAsia" w:ascii="宋体" w:hAnsi="宋体" w:eastAsia="宋体" w:cs="宋体"/>
          <w:color w:val="auto"/>
          <w:spacing w:val="-4"/>
          <w:kern w:val="0"/>
          <w:sz w:val="24"/>
          <w:szCs w:val="24"/>
          <w:u w:val="none"/>
          <w:lang w:val="en-US" w:eastAsia="zh-CN" w:bidi="ar-SA"/>
        </w:rPr>
        <w:t>2）报警时应在系统具有醒目提醒，并发出声音或语音提醒；</w:t>
      </w:r>
    </w:p>
    <w:p>
      <w:pPr>
        <w:pStyle w:val="626"/>
        <w:widowControl w:val="0"/>
        <w:wordWrap/>
        <w:adjustRightInd/>
        <w:snapToGrid/>
        <w:spacing w:line="360" w:lineRule="auto"/>
        <w:ind w:firstLine="464" w:firstLineChars="200"/>
        <w:textAlignment w:val="auto"/>
        <w:rPr>
          <w:rFonts w:hint="eastAsia" w:ascii="宋体" w:hAnsi="宋体" w:eastAsia="宋体" w:cs="宋体"/>
          <w:color w:val="auto"/>
          <w:spacing w:val="-4"/>
          <w:kern w:val="0"/>
          <w:sz w:val="24"/>
          <w:szCs w:val="24"/>
          <w:u w:val="none"/>
          <w:lang w:val="en-US" w:eastAsia="zh-CN" w:bidi="ar-SA"/>
        </w:rPr>
      </w:pPr>
      <w:r>
        <w:rPr>
          <w:rFonts w:hint="eastAsia" w:ascii="宋体" w:hAnsi="宋体" w:eastAsia="宋体" w:cs="宋体"/>
          <w:color w:val="auto"/>
          <w:spacing w:val="-4"/>
          <w:kern w:val="0"/>
          <w:sz w:val="24"/>
          <w:szCs w:val="24"/>
          <w:u w:val="none"/>
          <w:lang w:val="en-US" w:eastAsia="zh-CN" w:bidi="ar-SA"/>
        </w:rPr>
        <w:t>3）支持通过报警级别、报警类型查询历史报警记录；</w:t>
      </w:r>
    </w:p>
    <w:p>
      <w:pPr>
        <w:pStyle w:val="626"/>
        <w:widowControl w:val="0"/>
        <w:wordWrap/>
        <w:adjustRightInd/>
        <w:snapToGrid/>
        <w:spacing w:line="360" w:lineRule="auto"/>
        <w:ind w:firstLine="464" w:firstLineChars="200"/>
        <w:textAlignment w:val="auto"/>
        <w:rPr>
          <w:rFonts w:hint="eastAsia" w:ascii="宋体" w:hAnsi="宋体" w:eastAsia="宋体" w:cs="宋体"/>
          <w:color w:val="auto"/>
          <w:spacing w:val="-4"/>
          <w:kern w:val="0"/>
          <w:sz w:val="24"/>
          <w:szCs w:val="24"/>
          <w:u w:val="none"/>
          <w:lang w:val="en-US" w:eastAsia="zh-CN" w:bidi="ar-SA"/>
        </w:rPr>
      </w:pPr>
      <w:r>
        <w:rPr>
          <w:rFonts w:hint="eastAsia" w:ascii="宋体" w:hAnsi="宋体" w:eastAsia="宋体" w:cs="宋体"/>
          <w:color w:val="auto"/>
          <w:spacing w:val="-4"/>
          <w:kern w:val="0"/>
          <w:sz w:val="24"/>
          <w:szCs w:val="24"/>
          <w:u w:val="none"/>
          <w:lang w:val="en-US" w:eastAsia="zh-CN" w:bidi="ar-SA"/>
        </w:rPr>
        <w:t>4）支持通过时间查询历史报警记录；</w:t>
      </w:r>
    </w:p>
    <w:p>
      <w:pPr>
        <w:pStyle w:val="626"/>
        <w:widowControl w:val="0"/>
        <w:wordWrap/>
        <w:adjustRightInd/>
        <w:snapToGrid/>
        <w:spacing w:line="360" w:lineRule="auto"/>
        <w:ind w:firstLine="464" w:firstLineChars="200"/>
        <w:textAlignment w:val="auto"/>
        <w:rPr>
          <w:rFonts w:hint="eastAsia" w:ascii="宋体" w:hAnsi="宋体" w:eastAsia="宋体" w:cs="宋体"/>
          <w:color w:val="auto"/>
          <w:spacing w:val="-4"/>
          <w:kern w:val="0"/>
          <w:sz w:val="24"/>
          <w:szCs w:val="24"/>
          <w:u w:val="none"/>
          <w:lang w:val="en-US" w:eastAsia="zh-CN" w:bidi="ar-SA"/>
        </w:rPr>
      </w:pPr>
      <w:r>
        <w:rPr>
          <w:rFonts w:hint="eastAsia" w:ascii="宋体" w:hAnsi="宋体" w:eastAsia="宋体" w:cs="宋体"/>
          <w:color w:val="auto"/>
          <w:spacing w:val="-4"/>
          <w:kern w:val="0"/>
          <w:sz w:val="24"/>
          <w:szCs w:val="24"/>
          <w:u w:val="none"/>
          <w:lang w:val="en-US" w:eastAsia="zh-CN" w:bidi="ar-SA"/>
        </w:rPr>
        <w:t>5）支持查询单个设备或所有设备的历史报警记录；</w:t>
      </w:r>
    </w:p>
    <w:p>
      <w:pPr>
        <w:pStyle w:val="626"/>
        <w:widowControl w:val="0"/>
        <w:wordWrap/>
        <w:adjustRightInd/>
        <w:snapToGrid/>
        <w:spacing w:line="360" w:lineRule="auto"/>
        <w:ind w:firstLine="464" w:firstLineChars="200"/>
        <w:textAlignment w:val="auto"/>
        <w:rPr>
          <w:rFonts w:hint="eastAsia" w:ascii="宋体" w:hAnsi="宋体" w:eastAsia="宋体" w:cs="宋体"/>
          <w:color w:val="auto"/>
          <w:spacing w:val="-4"/>
          <w:kern w:val="0"/>
          <w:sz w:val="24"/>
          <w:szCs w:val="24"/>
          <w:u w:val="none"/>
          <w:lang w:val="en-US" w:eastAsia="zh-CN" w:bidi="ar-SA"/>
        </w:rPr>
      </w:pPr>
      <w:r>
        <w:rPr>
          <w:rFonts w:hint="eastAsia" w:ascii="宋体" w:hAnsi="宋体" w:eastAsia="宋体" w:cs="宋体"/>
          <w:color w:val="auto"/>
          <w:spacing w:val="-4"/>
          <w:kern w:val="0"/>
          <w:sz w:val="24"/>
          <w:szCs w:val="24"/>
          <w:u w:val="none"/>
          <w:lang w:val="en-US" w:eastAsia="zh-CN" w:bidi="ar-SA"/>
        </w:rPr>
        <w:t>6）对报警级别、报警类型、报警时间段进行统计分析，并显示报警数据量最多的若干个用电设备；</w:t>
      </w:r>
    </w:p>
    <w:p>
      <w:pPr>
        <w:pStyle w:val="626"/>
        <w:widowControl w:val="0"/>
        <w:wordWrap/>
        <w:adjustRightInd/>
        <w:snapToGrid/>
        <w:spacing w:line="360" w:lineRule="auto"/>
        <w:ind w:firstLine="464" w:firstLineChars="200"/>
        <w:textAlignment w:val="auto"/>
        <w:rPr>
          <w:rFonts w:hint="eastAsia" w:ascii="宋体" w:hAnsi="宋体" w:eastAsia="宋体" w:cs="宋体"/>
          <w:color w:val="auto"/>
          <w:spacing w:val="-4"/>
          <w:kern w:val="0"/>
          <w:sz w:val="24"/>
          <w:szCs w:val="24"/>
          <w:u w:val="none"/>
          <w:lang w:val="en-US" w:eastAsia="zh-CN" w:bidi="ar-SA"/>
        </w:rPr>
      </w:pPr>
      <w:r>
        <w:rPr>
          <w:rFonts w:hint="eastAsia" w:ascii="宋体" w:hAnsi="宋体" w:eastAsia="宋体" w:cs="宋体"/>
          <w:color w:val="auto"/>
          <w:spacing w:val="-4"/>
          <w:kern w:val="0"/>
          <w:sz w:val="24"/>
          <w:szCs w:val="24"/>
          <w:u w:val="none"/>
          <w:lang w:val="en-US" w:eastAsia="zh-CN" w:bidi="ar-SA"/>
        </w:rPr>
        <w:t>7）严重报警通过短信、微信等方式进行告警和推送。（若是本地系统，请删除该行）</w:t>
      </w:r>
    </w:p>
    <w:p>
      <w:pPr>
        <w:pStyle w:val="626"/>
        <w:widowControl w:val="0"/>
        <w:numPr>
          <w:numId w:val="0"/>
        </w:numPr>
        <w:wordWrap/>
        <w:adjustRightInd/>
        <w:snapToGrid/>
        <w:spacing w:line="360" w:lineRule="auto"/>
        <w:ind w:firstLine="466" w:firstLineChars="200"/>
        <w:textAlignment w:val="auto"/>
        <w:rPr>
          <w:rFonts w:hint="default" w:ascii="宋体" w:hAnsi="宋体" w:eastAsia="宋体" w:cs="宋体"/>
          <w:b/>
          <w:bCs/>
          <w:color w:val="auto"/>
          <w:spacing w:val="-4"/>
          <w:kern w:val="0"/>
          <w:sz w:val="24"/>
          <w:szCs w:val="24"/>
          <w:u w:val="none"/>
          <w:lang w:val="en-US" w:eastAsia="zh-CN" w:bidi="ar-SA"/>
        </w:rPr>
      </w:pPr>
      <w:r>
        <w:rPr>
          <w:rFonts w:hint="eastAsia" w:hAnsi="宋体" w:eastAsia="宋体" w:cs="宋体"/>
          <w:b/>
          <w:bCs/>
          <w:color w:val="auto"/>
          <w:spacing w:val="-4"/>
          <w:kern w:val="0"/>
          <w:sz w:val="24"/>
          <w:szCs w:val="24"/>
          <w:u w:val="none"/>
          <w:lang w:val="en-US" w:eastAsia="zh-CN" w:bidi="ar-SA"/>
        </w:rPr>
        <w:t>能源分析</w:t>
      </w:r>
    </w:p>
    <w:p>
      <w:pPr>
        <w:pStyle w:val="626"/>
        <w:widowControl w:val="0"/>
        <w:numPr>
          <w:numId w:val="0"/>
        </w:numPr>
        <w:wordWrap/>
        <w:adjustRightInd/>
        <w:snapToGrid/>
        <w:spacing w:line="360" w:lineRule="auto"/>
        <w:ind w:firstLine="464" w:firstLineChars="200"/>
        <w:textAlignment w:val="auto"/>
        <w:rPr>
          <w:rFonts w:hint="eastAsia" w:ascii="宋体" w:hAnsi="宋体" w:eastAsia="宋体" w:cs="宋体"/>
          <w:color w:val="auto"/>
          <w:spacing w:val="-4"/>
          <w:kern w:val="0"/>
          <w:sz w:val="24"/>
          <w:szCs w:val="24"/>
          <w:u w:val="none"/>
          <w:lang w:val="en-US" w:eastAsia="zh-CN" w:bidi="ar-SA"/>
        </w:rPr>
      </w:pPr>
      <w:r>
        <w:rPr>
          <w:rFonts w:hint="eastAsia" w:ascii="宋体" w:hAnsi="宋体" w:eastAsia="宋体" w:cs="宋体"/>
          <w:color w:val="auto"/>
          <w:spacing w:val="-4"/>
          <w:kern w:val="0"/>
          <w:sz w:val="24"/>
          <w:szCs w:val="24"/>
          <w:u w:val="none"/>
          <w:lang w:val="en-US" w:eastAsia="zh-CN" w:bidi="ar-SA"/>
        </w:rPr>
        <w:t>1）实时计算与图形化展示变压器及各馈线回路的负载率；</w:t>
      </w:r>
    </w:p>
    <w:p>
      <w:pPr>
        <w:pStyle w:val="626"/>
        <w:widowControl w:val="0"/>
        <w:numPr>
          <w:numId w:val="0"/>
        </w:numPr>
        <w:wordWrap/>
        <w:adjustRightInd/>
        <w:snapToGrid/>
        <w:spacing w:line="360" w:lineRule="auto"/>
        <w:ind w:firstLine="464" w:firstLineChars="200"/>
        <w:textAlignment w:val="auto"/>
        <w:rPr>
          <w:rFonts w:hint="eastAsia" w:ascii="宋体" w:hAnsi="宋体" w:eastAsia="宋体" w:cs="宋体"/>
          <w:color w:val="auto"/>
          <w:spacing w:val="-4"/>
          <w:kern w:val="0"/>
          <w:sz w:val="24"/>
          <w:szCs w:val="24"/>
          <w:u w:val="none"/>
          <w:lang w:val="en-US" w:eastAsia="zh-CN" w:bidi="ar-SA"/>
        </w:rPr>
      </w:pPr>
      <w:r>
        <w:rPr>
          <w:rFonts w:hint="eastAsia" w:ascii="宋体" w:hAnsi="宋体" w:eastAsia="宋体" w:cs="宋体"/>
          <w:color w:val="auto"/>
          <w:spacing w:val="-4"/>
          <w:kern w:val="0"/>
          <w:sz w:val="24"/>
          <w:szCs w:val="24"/>
          <w:u w:val="none"/>
          <w:lang w:val="en-US" w:eastAsia="zh-CN" w:bidi="ar-SA"/>
        </w:rPr>
        <w:t>2）统计分析变压器、馈线回路的电流、电压、功率因数、负荷、变压器负载率、用电量曲线图，以便定位异常情况发生的时间范围与位置；</w:t>
      </w:r>
    </w:p>
    <w:p>
      <w:pPr>
        <w:pStyle w:val="626"/>
        <w:widowControl w:val="0"/>
        <w:numPr>
          <w:numId w:val="0"/>
        </w:numPr>
        <w:wordWrap/>
        <w:adjustRightInd/>
        <w:snapToGrid/>
        <w:spacing w:line="360" w:lineRule="auto"/>
        <w:ind w:firstLine="464" w:firstLineChars="200"/>
        <w:textAlignment w:val="auto"/>
        <w:rPr>
          <w:rFonts w:hint="eastAsia" w:ascii="宋体" w:hAnsi="宋体" w:eastAsia="宋体" w:cs="宋体"/>
          <w:color w:val="auto"/>
          <w:spacing w:val="-4"/>
          <w:kern w:val="0"/>
          <w:sz w:val="24"/>
          <w:szCs w:val="24"/>
          <w:u w:val="none"/>
          <w:lang w:val="en-US" w:eastAsia="zh-CN" w:bidi="ar-SA"/>
        </w:rPr>
      </w:pPr>
      <w:r>
        <w:rPr>
          <w:rFonts w:hint="eastAsia" w:ascii="宋体" w:hAnsi="宋体" w:eastAsia="宋体" w:cs="宋体"/>
          <w:color w:val="auto"/>
          <w:spacing w:val="-4"/>
          <w:kern w:val="0"/>
          <w:sz w:val="24"/>
          <w:szCs w:val="24"/>
          <w:u w:val="none"/>
          <w:lang w:val="en-US" w:eastAsia="zh-CN" w:bidi="ar-SA"/>
        </w:rPr>
        <w:t>3）同比与环比分析，以及分析两个选定时间的电流、电压、负荷、负载率、功率因数、线缆温度、谐波等波形数据进行分析。</w:t>
      </w:r>
    </w:p>
    <w:p>
      <w:pPr>
        <w:pStyle w:val="626"/>
        <w:widowControl w:val="0"/>
        <w:numPr>
          <w:numId w:val="0"/>
        </w:numPr>
        <w:wordWrap/>
        <w:adjustRightInd/>
        <w:snapToGrid/>
        <w:spacing w:afterLines="0" w:afterAutospacing="0" w:line="360" w:lineRule="auto"/>
        <w:ind w:firstLine="464" w:firstLineChars="200"/>
        <w:jc w:val="left"/>
        <w:textAlignment w:val="auto"/>
        <w:rPr>
          <w:rFonts w:hint="eastAsia" w:ascii="宋体" w:hAnsi="宋体" w:eastAsia="宋体" w:cs="宋体"/>
          <w:color w:val="auto"/>
          <w:spacing w:val="-4"/>
          <w:kern w:val="0"/>
          <w:sz w:val="24"/>
          <w:szCs w:val="24"/>
          <w:u w:val="none"/>
          <w:lang w:val="en-US" w:eastAsia="zh-CN" w:bidi="ar-SA"/>
        </w:rPr>
      </w:pPr>
      <w:r>
        <w:rPr>
          <w:rFonts w:hint="eastAsia" w:ascii="宋体" w:hAnsi="宋体" w:eastAsia="宋体" w:cs="宋体"/>
          <w:color w:val="auto"/>
          <w:spacing w:val="-4"/>
          <w:kern w:val="0"/>
          <w:sz w:val="24"/>
          <w:szCs w:val="24"/>
          <w:u w:val="none"/>
          <w:lang w:val="en-US" w:eastAsia="zh-CN" w:bidi="ar-SA"/>
        </w:rPr>
        <w:t>4）电能流向分析，从配电房的 10KV高压侧 → 变压器 → 380V低压侧馈线回路 → 二级分支箱的电能流向展示以及分析，实时计算与图形化展示变压器及各馈线回路的负载率，实时计算每条线缆的线缆损耗，并通过颜色标记进行回路负载区分。</w:t>
      </w:r>
    </w:p>
    <w:p>
      <w:pPr>
        <w:pStyle w:val="626"/>
        <w:widowControl w:val="0"/>
        <w:shd w:val="clear" w:color="auto" w:fill="FFFFFF"/>
        <w:wordWrap/>
        <w:adjustRightInd/>
        <w:snapToGrid/>
        <w:spacing w:line="360" w:lineRule="auto"/>
        <w:ind w:firstLine="466" w:firstLineChars="200"/>
        <w:textAlignment w:val="auto"/>
        <w:rPr>
          <w:rFonts w:hint="eastAsia" w:ascii="宋体" w:hAnsi="宋体" w:eastAsia="宋体" w:cs="宋体"/>
          <w:b/>
          <w:bCs/>
          <w:color w:val="auto"/>
          <w:spacing w:val="-4"/>
          <w:kern w:val="0"/>
          <w:sz w:val="24"/>
          <w:szCs w:val="24"/>
          <w:u w:val="none"/>
          <w:lang w:val="en-US" w:eastAsia="zh-CN" w:bidi="ar-SA"/>
        </w:rPr>
      </w:pPr>
      <w:r>
        <w:rPr>
          <w:rFonts w:hint="eastAsia" w:ascii="宋体" w:hAnsi="宋体" w:eastAsia="宋体" w:cs="宋体"/>
          <w:b/>
          <w:bCs/>
          <w:color w:val="auto"/>
          <w:spacing w:val="-4"/>
          <w:kern w:val="0"/>
          <w:sz w:val="24"/>
          <w:szCs w:val="24"/>
          <w:u w:val="none"/>
          <w:lang w:val="en-US" w:eastAsia="zh-CN" w:bidi="ar-SA"/>
        </w:rPr>
        <w:t>电能质量分析</w:t>
      </w:r>
    </w:p>
    <w:p>
      <w:pPr>
        <w:pStyle w:val="626"/>
        <w:widowControl w:val="0"/>
        <w:wordWrap/>
        <w:adjustRightInd/>
        <w:snapToGrid/>
        <w:spacing w:line="360" w:lineRule="auto"/>
        <w:ind w:firstLine="464" w:firstLineChars="200"/>
        <w:textAlignment w:val="auto"/>
        <w:rPr>
          <w:rFonts w:hint="eastAsia" w:ascii="宋体" w:hAnsi="宋体" w:eastAsia="宋体" w:cs="宋体"/>
          <w:color w:val="auto"/>
          <w:spacing w:val="-4"/>
          <w:kern w:val="0"/>
          <w:sz w:val="24"/>
          <w:szCs w:val="24"/>
          <w:u w:val="none"/>
          <w:lang w:val="en-US" w:eastAsia="zh-CN" w:bidi="ar-SA"/>
        </w:rPr>
      </w:pPr>
      <w:r>
        <w:rPr>
          <w:rFonts w:hint="eastAsia" w:ascii="宋体" w:hAnsi="宋体" w:eastAsia="宋体" w:cs="宋体"/>
          <w:color w:val="auto"/>
          <w:spacing w:val="-4"/>
          <w:kern w:val="0"/>
          <w:sz w:val="24"/>
          <w:szCs w:val="24"/>
          <w:u w:val="none"/>
          <w:lang w:val="en-US" w:eastAsia="zh-CN" w:bidi="ar-SA"/>
        </w:rPr>
        <w:t>对一定时间范围内回路设备的谐波、三相电流不平衡度进行分析，以时间分布图的形式进行展现，快速定位三相电流不平衡度发生的时间点和位置。</w:t>
      </w:r>
    </w:p>
    <w:p>
      <w:pPr>
        <w:pStyle w:val="626"/>
        <w:widowControl w:val="0"/>
        <w:shd w:val="clear" w:color="auto" w:fill="FFFFFF"/>
        <w:wordWrap/>
        <w:adjustRightInd/>
        <w:snapToGrid/>
        <w:spacing w:line="360" w:lineRule="auto"/>
        <w:ind w:left="0" w:leftChars="0" w:firstLine="466" w:firstLineChars="200"/>
        <w:textAlignment w:val="auto"/>
        <w:rPr>
          <w:rFonts w:hint="eastAsia" w:ascii="宋体" w:hAnsi="宋体" w:eastAsia="宋体" w:cs="宋体"/>
          <w:b/>
          <w:bCs/>
          <w:color w:val="auto"/>
          <w:spacing w:val="-4"/>
          <w:kern w:val="0"/>
          <w:sz w:val="24"/>
          <w:szCs w:val="24"/>
          <w:u w:val="none"/>
          <w:lang w:val="en-US" w:eastAsia="zh-CN" w:bidi="ar-SA"/>
        </w:rPr>
      </w:pPr>
      <w:r>
        <w:rPr>
          <w:rFonts w:hint="eastAsia" w:ascii="宋体" w:hAnsi="宋体" w:eastAsia="宋体" w:cs="宋体"/>
          <w:b/>
          <w:bCs/>
          <w:color w:val="auto"/>
          <w:spacing w:val="-4"/>
          <w:kern w:val="0"/>
          <w:sz w:val="24"/>
          <w:szCs w:val="24"/>
          <w:u w:val="none"/>
          <w:lang w:val="en-US" w:eastAsia="zh-CN" w:bidi="ar-SA"/>
        </w:rPr>
        <w:t>电量统计</w:t>
      </w:r>
    </w:p>
    <w:p>
      <w:pPr>
        <w:pStyle w:val="626"/>
        <w:widowControl w:val="0"/>
        <w:wordWrap/>
        <w:adjustRightInd/>
        <w:snapToGrid/>
        <w:spacing w:line="360" w:lineRule="auto"/>
        <w:ind w:firstLine="464" w:firstLineChars="200"/>
        <w:textAlignment w:val="auto"/>
        <w:rPr>
          <w:rFonts w:hint="eastAsia" w:ascii="宋体" w:hAnsi="宋体" w:eastAsia="宋体" w:cs="宋体"/>
          <w:color w:val="auto"/>
          <w:spacing w:val="-4"/>
          <w:kern w:val="0"/>
          <w:sz w:val="24"/>
          <w:szCs w:val="24"/>
          <w:u w:val="none"/>
          <w:lang w:val="en-US" w:eastAsia="zh-CN" w:bidi="ar-SA"/>
        </w:rPr>
      </w:pPr>
      <w:r>
        <w:rPr>
          <w:rFonts w:hint="eastAsia" w:ascii="宋体" w:hAnsi="宋体" w:eastAsia="宋体" w:cs="宋体"/>
          <w:color w:val="auto"/>
          <w:spacing w:val="-4"/>
          <w:kern w:val="0"/>
          <w:sz w:val="24"/>
          <w:szCs w:val="24"/>
          <w:u w:val="none"/>
          <w:lang w:val="en-US" w:eastAsia="zh-CN" w:bidi="ar-SA"/>
        </w:rPr>
        <w:t>1）对用电设备进行自定义分组，从分组维度进行用电量分类统计分析，并支持明细导出；</w:t>
      </w:r>
    </w:p>
    <w:p>
      <w:pPr>
        <w:pStyle w:val="626"/>
        <w:widowControl w:val="0"/>
        <w:wordWrap/>
        <w:adjustRightInd/>
        <w:snapToGrid/>
        <w:spacing w:line="360" w:lineRule="auto"/>
        <w:ind w:firstLine="464" w:firstLineChars="200"/>
        <w:textAlignment w:val="auto"/>
        <w:rPr>
          <w:rFonts w:hint="eastAsia" w:ascii="宋体" w:hAnsi="宋体" w:eastAsia="宋体" w:cs="宋体"/>
          <w:color w:val="auto"/>
          <w:spacing w:val="-4"/>
          <w:kern w:val="0"/>
          <w:sz w:val="24"/>
          <w:szCs w:val="24"/>
          <w:u w:val="none"/>
          <w:lang w:val="en-US" w:eastAsia="zh-CN" w:bidi="ar-SA"/>
        </w:rPr>
      </w:pPr>
      <w:r>
        <w:rPr>
          <w:rFonts w:hint="eastAsia" w:ascii="宋体" w:hAnsi="宋体" w:eastAsia="宋体" w:cs="宋体"/>
          <w:color w:val="auto"/>
          <w:spacing w:val="-4"/>
          <w:kern w:val="0"/>
          <w:sz w:val="24"/>
          <w:szCs w:val="24"/>
          <w:u w:val="none"/>
          <w:lang w:val="en-US" w:eastAsia="zh-CN" w:bidi="ar-SA"/>
        </w:rPr>
        <w:t>2）各分组用电量通过各个维度进行全方位对比分析。</w:t>
      </w:r>
    </w:p>
    <w:p>
      <w:pPr>
        <w:pStyle w:val="626"/>
        <w:widowControl w:val="0"/>
        <w:shd w:val="clear" w:color="auto" w:fill="FFFFFF"/>
        <w:wordWrap/>
        <w:adjustRightInd/>
        <w:snapToGrid/>
        <w:spacing w:line="360" w:lineRule="auto"/>
        <w:ind w:firstLine="466" w:firstLineChars="200"/>
        <w:textAlignment w:val="auto"/>
        <w:rPr>
          <w:rFonts w:hint="eastAsia" w:ascii="宋体" w:hAnsi="宋体" w:eastAsia="宋体" w:cs="宋体"/>
          <w:b/>
          <w:bCs/>
          <w:color w:val="auto"/>
          <w:spacing w:val="-4"/>
          <w:kern w:val="0"/>
          <w:sz w:val="24"/>
          <w:szCs w:val="24"/>
          <w:u w:val="none"/>
          <w:lang w:val="en-US" w:eastAsia="zh-CN" w:bidi="ar-SA"/>
        </w:rPr>
      </w:pPr>
      <w:r>
        <w:rPr>
          <w:rFonts w:hint="eastAsia" w:ascii="宋体" w:hAnsi="宋体" w:eastAsia="宋体" w:cs="宋体"/>
          <w:b/>
          <w:bCs/>
          <w:color w:val="auto"/>
          <w:spacing w:val="-4"/>
          <w:kern w:val="0"/>
          <w:sz w:val="24"/>
          <w:szCs w:val="24"/>
          <w:u w:val="none"/>
          <w:lang w:val="en-US" w:eastAsia="zh-CN" w:bidi="ar-SA"/>
        </w:rPr>
        <w:t>多重人机交互界面</w:t>
      </w:r>
    </w:p>
    <w:p>
      <w:pPr>
        <w:pStyle w:val="626"/>
        <w:widowControl w:val="0"/>
        <w:wordWrap/>
        <w:adjustRightInd/>
        <w:snapToGrid/>
        <w:spacing w:line="360" w:lineRule="auto"/>
        <w:ind w:firstLine="464" w:firstLineChars="200"/>
        <w:textAlignment w:val="auto"/>
        <w:rPr>
          <w:rFonts w:hint="eastAsia" w:ascii="宋体" w:hAnsi="宋体" w:eastAsia="宋体" w:cs="宋体"/>
          <w:color w:val="auto"/>
          <w:spacing w:val="-4"/>
          <w:kern w:val="0"/>
          <w:sz w:val="24"/>
          <w:szCs w:val="24"/>
          <w:u w:val="none"/>
          <w:lang w:val="en-US" w:eastAsia="zh-CN" w:bidi="ar-SA"/>
        </w:rPr>
      </w:pPr>
      <w:r>
        <w:rPr>
          <w:rFonts w:hint="eastAsia" w:ascii="宋体" w:hAnsi="宋体" w:eastAsia="宋体" w:cs="宋体"/>
          <w:color w:val="auto"/>
          <w:spacing w:val="-4"/>
          <w:kern w:val="0"/>
          <w:sz w:val="24"/>
          <w:szCs w:val="24"/>
          <w:u w:val="none"/>
          <w:lang w:val="en-US" w:eastAsia="zh-CN" w:bidi="ar-SA"/>
        </w:rPr>
        <w:t>1）系统支持以数字化配电一次接线图直观展示回路状态、关键电力数据，方便现场人员管理；</w:t>
      </w:r>
    </w:p>
    <w:p>
      <w:pPr>
        <w:pStyle w:val="626"/>
        <w:widowControl w:val="0"/>
        <w:wordWrap/>
        <w:adjustRightInd/>
        <w:snapToGrid/>
        <w:spacing w:line="360" w:lineRule="auto"/>
        <w:ind w:firstLine="464" w:firstLineChars="200"/>
        <w:textAlignment w:val="auto"/>
        <w:rPr>
          <w:rFonts w:hint="eastAsia" w:ascii="宋体" w:hAnsi="宋体" w:eastAsia="宋体" w:cs="宋体"/>
          <w:color w:val="auto"/>
          <w:spacing w:val="-4"/>
          <w:kern w:val="0"/>
          <w:sz w:val="24"/>
          <w:szCs w:val="24"/>
          <w:u w:val="none"/>
          <w:lang w:val="en-US" w:eastAsia="zh-CN" w:bidi="ar-SA"/>
        </w:rPr>
      </w:pPr>
      <w:r>
        <w:rPr>
          <w:rFonts w:hint="eastAsia" w:ascii="宋体" w:hAnsi="宋体" w:eastAsia="宋体" w:cs="宋体"/>
          <w:color w:val="auto"/>
          <w:spacing w:val="-4"/>
          <w:kern w:val="0"/>
          <w:sz w:val="24"/>
          <w:szCs w:val="24"/>
          <w:u w:val="none"/>
          <w:lang w:val="en-US" w:eastAsia="zh-CN" w:bidi="ar-SA"/>
        </w:rPr>
        <w:t>2）系统支持以俯瞰图的角度模拟配电房内配电系统的布局，直观的展示高压综保、变压器等每个回路的运行情况，以及报警情况。通过柜体为单位来管理回路，以快速定位回路并查看回路的实时数据及三相电流、三相电压、三相温度、功率因数、负荷等各类数据；</w:t>
      </w:r>
    </w:p>
    <w:p>
      <w:pPr>
        <w:pStyle w:val="626"/>
        <w:widowControl w:val="0"/>
        <w:wordWrap/>
        <w:adjustRightInd/>
        <w:snapToGrid/>
        <w:spacing w:line="360" w:lineRule="auto"/>
        <w:ind w:firstLine="464" w:firstLineChars="200"/>
        <w:textAlignment w:val="auto"/>
        <w:rPr>
          <w:rFonts w:hint="eastAsia" w:ascii="宋体" w:hAnsi="宋体" w:eastAsia="宋体" w:cs="宋体"/>
          <w:b/>
          <w:bCs/>
          <w:color w:val="auto"/>
          <w:spacing w:val="-4"/>
          <w:kern w:val="0"/>
          <w:sz w:val="24"/>
          <w:szCs w:val="24"/>
          <w:u w:val="none"/>
          <w:lang w:val="en-US" w:eastAsia="zh-CN" w:bidi="ar-SA"/>
        </w:rPr>
      </w:pPr>
      <w:r>
        <w:rPr>
          <w:rFonts w:hint="eastAsia" w:ascii="宋体" w:hAnsi="宋体" w:eastAsia="宋体" w:cs="宋体"/>
          <w:color w:val="auto"/>
          <w:spacing w:val="-4"/>
          <w:kern w:val="0"/>
          <w:sz w:val="24"/>
          <w:szCs w:val="24"/>
          <w:u w:val="none"/>
          <w:lang w:val="en-US" w:eastAsia="zh-CN" w:bidi="ar-SA"/>
        </w:rPr>
        <w:t>3）系统支持以3D仿真实景图的形式展示回路状态、关键电力数据。</w:t>
      </w:r>
    </w:p>
    <w:p>
      <w:pPr>
        <w:pStyle w:val="626"/>
        <w:widowControl w:val="0"/>
        <w:shd w:val="clear" w:color="auto" w:fill="FFFFFF"/>
        <w:wordWrap/>
        <w:adjustRightInd/>
        <w:snapToGrid/>
        <w:spacing w:line="360" w:lineRule="auto"/>
        <w:ind w:firstLine="466" w:firstLineChars="200"/>
        <w:textAlignment w:val="auto"/>
        <w:rPr>
          <w:rFonts w:hint="eastAsia" w:ascii="宋体" w:hAnsi="宋体" w:eastAsia="宋体" w:cs="宋体"/>
          <w:b/>
          <w:bCs/>
          <w:color w:val="auto"/>
          <w:spacing w:val="-4"/>
          <w:kern w:val="0"/>
          <w:sz w:val="24"/>
          <w:szCs w:val="24"/>
          <w:u w:val="none"/>
          <w:lang w:val="en-US" w:eastAsia="zh-CN" w:bidi="ar-SA"/>
        </w:rPr>
      </w:pPr>
      <w:r>
        <w:rPr>
          <w:rFonts w:hint="eastAsia" w:ascii="宋体" w:hAnsi="宋体" w:eastAsia="宋体" w:cs="宋体"/>
          <w:b/>
          <w:bCs/>
          <w:color w:val="auto"/>
          <w:spacing w:val="-4"/>
          <w:kern w:val="0"/>
          <w:sz w:val="24"/>
          <w:szCs w:val="24"/>
          <w:u w:val="none"/>
          <w:lang w:val="en-US" w:eastAsia="zh-CN" w:bidi="ar-SA"/>
        </w:rPr>
        <w:t>全生命周期管理</w:t>
      </w:r>
    </w:p>
    <w:p>
      <w:pPr>
        <w:pStyle w:val="626"/>
        <w:widowControl w:val="0"/>
        <w:wordWrap/>
        <w:adjustRightInd/>
        <w:snapToGrid/>
        <w:spacing w:line="360" w:lineRule="auto"/>
        <w:ind w:firstLine="464" w:firstLineChars="200"/>
        <w:textAlignment w:val="auto"/>
        <w:rPr>
          <w:rFonts w:hint="eastAsia" w:ascii="宋体" w:hAnsi="宋体" w:eastAsia="宋体" w:cs="宋体"/>
          <w:color w:val="auto"/>
          <w:spacing w:val="-4"/>
          <w:kern w:val="0"/>
          <w:sz w:val="24"/>
          <w:szCs w:val="24"/>
          <w:u w:val="none"/>
          <w:lang w:val="en-US" w:eastAsia="zh-CN" w:bidi="ar-SA"/>
        </w:rPr>
      </w:pPr>
      <w:r>
        <w:rPr>
          <w:rFonts w:hint="eastAsia" w:ascii="宋体" w:hAnsi="宋体" w:eastAsia="宋体" w:cs="宋体"/>
          <w:color w:val="auto"/>
          <w:spacing w:val="-4"/>
          <w:kern w:val="0"/>
          <w:sz w:val="24"/>
          <w:szCs w:val="24"/>
          <w:u w:val="none"/>
          <w:lang w:val="en-US" w:eastAsia="zh-CN" w:bidi="ar-SA"/>
        </w:rPr>
        <w:t>录入整个配电系统各类硬件产品的出厂信息，在使用过程中自动记录该设备的所有运行数据，并可在未来运行维护过程中可自动或手动记录所有运维、维修、报警事件，通过数据分析对系统安全性进行系统性评估，同时对设备使用寿命进行预估，为设备的检修运维和预防性试验提供参考。</w:t>
      </w:r>
    </w:p>
    <w:p>
      <w:pPr>
        <w:pStyle w:val="626"/>
        <w:widowControl w:val="0"/>
        <w:shd w:val="clear" w:color="auto" w:fill="FFFFFF"/>
        <w:wordWrap/>
        <w:adjustRightInd/>
        <w:snapToGrid/>
        <w:spacing w:line="360" w:lineRule="auto"/>
        <w:ind w:firstLine="466" w:firstLineChars="200"/>
        <w:textAlignment w:val="auto"/>
        <w:rPr>
          <w:rFonts w:hint="eastAsia" w:ascii="宋体" w:hAnsi="宋体" w:eastAsia="宋体" w:cs="宋体"/>
          <w:b/>
          <w:bCs/>
          <w:color w:val="auto"/>
          <w:spacing w:val="-4"/>
          <w:kern w:val="0"/>
          <w:sz w:val="24"/>
          <w:szCs w:val="24"/>
          <w:u w:val="none"/>
          <w:lang w:val="en-US" w:eastAsia="zh-CN" w:bidi="ar-SA"/>
        </w:rPr>
      </w:pPr>
      <w:r>
        <w:rPr>
          <w:rFonts w:hint="eastAsia" w:ascii="宋体" w:hAnsi="宋体" w:eastAsia="宋体" w:cs="宋体"/>
          <w:b/>
          <w:bCs/>
          <w:color w:val="auto"/>
          <w:spacing w:val="-4"/>
          <w:kern w:val="0"/>
          <w:sz w:val="24"/>
          <w:szCs w:val="24"/>
          <w:u w:val="none"/>
          <w:lang w:val="en-US" w:eastAsia="zh-CN" w:bidi="ar-SA"/>
        </w:rPr>
        <w:t>报表统计</w:t>
      </w:r>
    </w:p>
    <w:p>
      <w:pPr>
        <w:pStyle w:val="626"/>
        <w:widowControl w:val="0"/>
        <w:wordWrap/>
        <w:adjustRightInd/>
        <w:snapToGrid/>
        <w:spacing w:line="360" w:lineRule="auto"/>
        <w:ind w:firstLine="464" w:firstLineChars="200"/>
        <w:textAlignment w:val="auto"/>
        <w:rPr>
          <w:rFonts w:hint="eastAsia" w:ascii="宋体" w:hAnsi="宋体" w:eastAsia="宋体" w:cs="宋体"/>
          <w:color w:val="auto"/>
          <w:spacing w:val="-4"/>
          <w:kern w:val="0"/>
          <w:sz w:val="24"/>
          <w:szCs w:val="24"/>
          <w:u w:val="none"/>
          <w:lang w:val="en-US" w:eastAsia="zh-CN" w:bidi="ar-SA"/>
        </w:rPr>
      </w:pPr>
      <w:r>
        <w:rPr>
          <w:rFonts w:hint="eastAsia" w:ascii="宋体" w:hAnsi="宋体" w:eastAsia="宋体" w:cs="宋体"/>
          <w:color w:val="auto"/>
          <w:spacing w:val="-4"/>
          <w:kern w:val="0"/>
          <w:sz w:val="24"/>
          <w:szCs w:val="24"/>
          <w:u w:val="none"/>
          <w:lang w:val="en-US" w:eastAsia="zh-CN" w:bidi="ar-SA"/>
        </w:rPr>
        <w:t>对用电设备的用电量按时间范围进行统计并导出明细；月度报表：每月月初自动生成月度报表，内含上月整体用电概况、系统基础数据、电量统计分析、可靠性统计分析、电能质量统计分析以及专家建议；配电系统档案涵盖供电设计档案、设计图纸、变压器档案、高低压柜体档案、合同档案的统一管理。</w:t>
      </w:r>
    </w:p>
    <w:p>
      <w:pPr>
        <w:pStyle w:val="626"/>
        <w:widowControl w:val="0"/>
        <w:shd w:val="clear" w:color="auto" w:fill="FFFFFF"/>
        <w:wordWrap/>
        <w:adjustRightInd/>
        <w:snapToGrid/>
        <w:spacing w:line="360" w:lineRule="auto"/>
        <w:ind w:left="0" w:leftChars="0" w:firstLine="466" w:firstLineChars="200"/>
        <w:textAlignment w:val="auto"/>
        <w:rPr>
          <w:rFonts w:hint="eastAsia" w:ascii="宋体" w:hAnsi="宋体" w:eastAsia="宋体" w:cs="宋体"/>
          <w:b/>
          <w:bCs/>
          <w:color w:val="auto"/>
          <w:spacing w:val="-4"/>
          <w:kern w:val="0"/>
          <w:sz w:val="24"/>
          <w:szCs w:val="24"/>
          <w:u w:val="none"/>
          <w:lang w:val="en-US" w:eastAsia="zh-CN" w:bidi="ar-SA"/>
        </w:rPr>
      </w:pPr>
      <w:r>
        <w:rPr>
          <w:rFonts w:hint="eastAsia" w:ascii="宋体" w:hAnsi="宋体" w:eastAsia="宋体" w:cs="宋体"/>
          <w:b/>
          <w:bCs/>
          <w:color w:val="auto"/>
          <w:spacing w:val="-4"/>
          <w:kern w:val="0"/>
          <w:sz w:val="24"/>
          <w:szCs w:val="24"/>
          <w:u w:val="none"/>
          <w:lang w:val="en-US" w:eastAsia="zh-CN" w:bidi="ar-SA"/>
        </w:rPr>
        <w:t>智能动环管理</w:t>
      </w:r>
    </w:p>
    <w:p>
      <w:pPr>
        <w:pStyle w:val="626"/>
        <w:widowControl w:val="0"/>
        <w:wordWrap/>
        <w:adjustRightInd/>
        <w:snapToGrid/>
        <w:spacing w:line="360" w:lineRule="auto"/>
        <w:ind w:firstLine="464" w:firstLineChars="200"/>
        <w:textAlignment w:val="auto"/>
        <w:rPr>
          <w:rFonts w:hint="eastAsia" w:ascii="宋体" w:hAnsi="宋体" w:eastAsia="宋体" w:cs="宋体"/>
          <w:color w:val="auto"/>
          <w:spacing w:val="-4"/>
          <w:kern w:val="0"/>
          <w:sz w:val="24"/>
          <w:szCs w:val="24"/>
          <w:u w:val="none"/>
          <w:lang w:val="en-US" w:eastAsia="zh-CN" w:bidi="ar-SA"/>
        </w:rPr>
      </w:pPr>
      <w:r>
        <w:rPr>
          <w:rFonts w:hint="eastAsia" w:ascii="宋体" w:hAnsi="宋体" w:eastAsia="宋体" w:cs="宋体"/>
          <w:color w:val="auto"/>
          <w:spacing w:val="-4"/>
          <w:kern w:val="0"/>
          <w:sz w:val="24"/>
          <w:szCs w:val="24"/>
          <w:u w:val="none"/>
          <w:lang w:val="en-US" w:eastAsia="zh-CN" w:bidi="ar-SA"/>
        </w:rPr>
        <w:t>（1）配电房内安装若干个温湿度监测设备、电缆沟水浸设备、环境气体监测设备、烟雾监测装置等环境监测设备（实际接入产品应以硬件清单为准，若图纸或清单未详尽说明，投标人应自主深化设计），将数据传送至能源管理系统，实时监测配电房内的环境情况。</w:t>
      </w:r>
    </w:p>
    <w:p>
      <w:pPr>
        <w:pStyle w:val="626"/>
        <w:widowControl w:val="0"/>
        <w:wordWrap/>
        <w:adjustRightInd/>
        <w:snapToGrid/>
        <w:spacing w:line="360" w:lineRule="auto"/>
        <w:ind w:firstLine="464" w:firstLineChars="200"/>
        <w:textAlignment w:val="auto"/>
        <w:rPr>
          <w:rFonts w:hint="eastAsia" w:ascii="宋体" w:hAnsi="宋体" w:eastAsia="宋体" w:cs="宋体"/>
          <w:color w:val="auto"/>
          <w:spacing w:val="-4"/>
          <w:kern w:val="0"/>
          <w:sz w:val="24"/>
          <w:szCs w:val="24"/>
          <w:u w:val="none"/>
          <w:lang w:val="en-US" w:eastAsia="zh-CN" w:bidi="ar-SA"/>
        </w:rPr>
      </w:pPr>
      <w:r>
        <w:rPr>
          <w:rFonts w:hint="eastAsia" w:ascii="宋体" w:hAnsi="宋体" w:eastAsia="宋体" w:cs="宋体"/>
          <w:color w:val="auto"/>
          <w:spacing w:val="-4"/>
          <w:kern w:val="0"/>
          <w:sz w:val="24"/>
          <w:szCs w:val="24"/>
          <w:u w:val="none"/>
          <w:lang w:val="en-US" w:eastAsia="zh-CN" w:bidi="ar-SA"/>
        </w:rPr>
        <w:t>2）温度和湿度信息实时显示，并保存入数据库，历史数据能按时、按点调用查看。</w:t>
      </w:r>
    </w:p>
    <w:p>
      <w:pPr>
        <w:pStyle w:val="626"/>
        <w:widowControl w:val="0"/>
        <w:wordWrap/>
        <w:adjustRightInd/>
        <w:snapToGrid/>
        <w:spacing w:line="360" w:lineRule="auto"/>
        <w:ind w:firstLine="464" w:firstLineChars="200"/>
        <w:textAlignment w:val="auto"/>
        <w:rPr>
          <w:rFonts w:hint="eastAsia" w:ascii="宋体" w:hAnsi="宋体" w:eastAsia="宋体" w:cs="宋体"/>
          <w:color w:val="auto"/>
          <w:spacing w:val="-4"/>
          <w:kern w:val="0"/>
          <w:sz w:val="24"/>
          <w:szCs w:val="24"/>
          <w:u w:val="none"/>
          <w:lang w:val="en-US" w:eastAsia="zh-CN" w:bidi="ar-SA"/>
        </w:rPr>
      </w:pPr>
      <w:r>
        <w:rPr>
          <w:rFonts w:hint="eastAsia" w:ascii="宋体" w:hAnsi="宋体" w:eastAsia="宋体" w:cs="宋体"/>
          <w:color w:val="auto"/>
          <w:spacing w:val="-4"/>
          <w:kern w:val="0"/>
          <w:sz w:val="24"/>
          <w:szCs w:val="24"/>
          <w:u w:val="none"/>
          <w:lang w:val="en-US" w:eastAsia="zh-CN" w:bidi="ar-SA"/>
        </w:rPr>
        <w:t>3）各类环境监控装置接入能源管理系统，制作独立界面，实时显示各项监测数据、告警信息等，并可通过后台监控系统对风机、除湿机等设备进行智能调控。</w:t>
      </w:r>
    </w:p>
    <w:p>
      <w:pPr>
        <w:pStyle w:val="626"/>
        <w:widowControl w:val="0"/>
        <w:wordWrap/>
        <w:adjustRightInd/>
        <w:snapToGrid/>
        <w:spacing w:line="360" w:lineRule="auto"/>
        <w:ind w:firstLine="464" w:firstLineChars="200"/>
        <w:textAlignment w:val="auto"/>
        <w:rPr>
          <w:rFonts w:hint="eastAsia" w:ascii="宋体" w:hAnsi="宋体" w:eastAsia="宋体" w:cs="宋体"/>
          <w:color w:val="auto"/>
          <w:spacing w:val="-4"/>
          <w:kern w:val="0"/>
          <w:sz w:val="24"/>
          <w:szCs w:val="24"/>
          <w:u w:val="none"/>
          <w:lang w:val="en-US" w:eastAsia="zh-CN" w:bidi="ar-SA"/>
        </w:rPr>
      </w:pPr>
      <w:r>
        <w:rPr>
          <w:rFonts w:hint="eastAsia" w:ascii="宋体" w:hAnsi="宋体" w:eastAsia="宋体" w:cs="宋体"/>
          <w:color w:val="auto"/>
          <w:spacing w:val="-4"/>
          <w:kern w:val="0"/>
          <w:sz w:val="24"/>
          <w:szCs w:val="24"/>
          <w:u w:val="none"/>
          <w:lang w:val="en-US" w:eastAsia="zh-CN" w:bidi="ar-SA"/>
        </w:rPr>
        <w:t>4）配电房空调接入至能源管理系统，可通过系统对空调进行开关，实现通过环境温湿度监测自动调节空调，并能对模式、风量、温度进行远程手动调节。</w:t>
      </w:r>
    </w:p>
    <w:p>
      <w:pPr>
        <w:pStyle w:val="626"/>
        <w:widowControl w:val="0"/>
        <w:shd w:val="clear" w:color="auto" w:fill="FFFFFF"/>
        <w:wordWrap/>
        <w:adjustRightInd/>
        <w:snapToGrid/>
        <w:spacing w:line="360" w:lineRule="auto"/>
        <w:ind w:left="0" w:leftChars="0" w:firstLine="466" w:firstLineChars="200"/>
        <w:textAlignment w:val="auto"/>
        <w:rPr>
          <w:rFonts w:hint="default" w:ascii="宋体" w:hAnsi="宋体" w:eastAsia="宋体" w:cs="宋体"/>
          <w:b/>
          <w:bCs/>
          <w:color w:val="auto"/>
          <w:spacing w:val="-4"/>
          <w:kern w:val="0"/>
          <w:sz w:val="24"/>
          <w:szCs w:val="24"/>
          <w:u w:val="none"/>
          <w:lang w:val="en-US" w:eastAsia="zh-CN" w:bidi="ar-SA"/>
        </w:rPr>
      </w:pPr>
      <w:r>
        <w:rPr>
          <w:rFonts w:hint="eastAsia" w:ascii="宋体" w:hAnsi="宋体" w:eastAsia="宋体" w:cs="宋体"/>
          <w:b/>
          <w:bCs/>
          <w:color w:val="auto"/>
          <w:spacing w:val="-4"/>
          <w:kern w:val="0"/>
          <w:sz w:val="24"/>
          <w:szCs w:val="24"/>
          <w:u w:val="none"/>
          <w:lang w:val="en-US" w:eastAsia="zh-CN" w:bidi="ar-SA"/>
        </w:rPr>
        <w:t>开放的系统扩展功能</w:t>
      </w:r>
    </w:p>
    <w:p>
      <w:pPr>
        <w:pStyle w:val="626"/>
        <w:widowControl w:val="0"/>
        <w:shd w:val="clear" w:color="auto" w:fill="FFFFFF"/>
        <w:wordWrap/>
        <w:adjustRightInd/>
        <w:snapToGrid/>
        <w:spacing w:line="360" w:lineRule="auto"/>
        <w:ind w:firstLine="464" w:firstLineChars="200"/>
        <w:textAlignment w:val="auto"/>
        <w:rPr>
          <w:rFonts w:hint="eastAsia" w:ascii="宋体" w:hAnsi="宋体" w:eastAsia="宋体" w:cs="宋体"/>
          <w:color w:val="auto"/>
          <w:spacing w:val="-4"/>
          <w:kern w:val="0"/>
          <w:sz w:val="24"/>
          <w:szCs w:val="24"/>
          <w:u w:val="none"/>
          <w:lang w:val="en-US" w:eastAsia="zh-CN" w:bidi="ar-SA"/>
        </w:rPr>
      </w:pPr>
      <w:r>
        <w:rPr>
          <w:rFonts w:hint="eastAsia" w:ascii="宋体" w:hAnsi="宋体" w:eastAsia="宋体" w:cs="宋体"/>
          <w:color w:val="auto"/>
          <w:spacing w:val="-4"/>
          <w:kern w:val="0"/>
          <w:sz w:val="24"/>
          <w:szCs w:val="24"/>
          <w:u w:val="none"/>
          <w:lang w:val="en-US" w:eastAsia="zh-CN" w:bidi="ar-SA"/>
        </w:rPr>
        <w:t>5.1 系统支持Modbus-RTU、Modbus/TCP等多种标准协议的数据转发。</w:t>
      </w:r>
    </w:p>
    <w:p>
      <w:pPr>
        <w:pStyle w:val="626"/>
        <w:widowControl w:val="0"/>
        <w:shd w:val="clear" w:color="auto" w:fill="FFFFFF"/>
        <w:wordWrap/>
        <w:adjustRightInd/>
        <w:snapToGrid/>
        <w:spacing w:line="360" w:lineRule="auto"/>
        <w:ind w:firstLine="464" w:firstLineChars="200"/>
        <w:textAlignment w:val="auto"/>
        <w:rPr>
          <w:rFonts w:hint="eastAsia" w:ascii="宋体" w:hAnsi="宋体" w:eastAsia="宋体" w:cs="宋体"/>
          <w:color w:val="auto"/>
          <w:spacing w:val="-4"/>
          <w:kern w:val="0"/>
          <w:sz w:val="24"/>
          <w:szCs w:val="24"/>
          <w:u w:val="none"/>
          <w:lang w:val="en-US" w:eastAsia="zh-CN" w:bidi="ar-SA"/>
        </w:rPr>
      </w:pPr>
      <w:r>
        <w:rPr>
          <w:rFonts w:hint="eastAsia" w:ascii="宋体" w:hAnsi="宋体" w:eastAsia="宋体" w:cs="宋体"/>
          <w:color w:val="auto"/>
          <w:spacing w:val="-4"/>
          <w:kern w:val="0"/>
          <w:sz w:val="24"/>
          <w:szCs w:val="24"/>
          <w:u w:val="none"/>
          <w:lang w:val="en-US" w:eastAsia="zh-CN" w:bidi="ar-SA"/>
        </w:rPr>
        <w:t>5.2 系统支持各类串口、以太网总线的通讯规约，可对非标准规约进行底层开发设计，方便设备的接入、集成，如各厂家的微机保护装置、直流屏控制器、变压器温控仪、智能模拟屏等，实现集中统一的监控。</w:t>
      </w:r>
    </w:p>
    <w:p>
      <w:pPr>
        <w:pStyle w:val="626"/>
        <w:widowControl w:val="0"/>
        <w:shd w:val="clear" w:color="auto" w:fill="FFFFFF"/>
        <w:wordWrap/>
        <w:adjustRightInd/>
        <w:snapToGrid/>
        <w:spacing w:line="360" w:lineRule="auto"/>
        <w:ind w:firstLine="464" w:firstLineChars="200"/>
        <w:textAlignment w:val="auto"/>
        <w:rPr>
          <w:rFonts w:hint="eastAsia" w:ascii="宋体" w:hAnsi="宋体" w:eastAsia="宋体" w:cs="宋体"/>
          <w:color w:val="auto"/>
          <w:spacing w:val="-4"/>
          <w:kern w:val="0"/>
          <w:sz w:val="24"/>
          <w:szCs w:val="24"/>
          <w:u w:val="none"/>
          <w:lang w:val="en-US" w:eastAsia="zh-CN" w:bidi="ar-SA"/>
        </w:rPr>
      </w:pPr>
      <w:r>
        <w:rPr>
          <w:rFonts w:hint="eastAsia" w:ascii="宋体" w:hAnsi="宋体" w:eastAsia="宋体" w:cs="宋体"/>
          <w:color w:val="auto"/>
          <w:spacing w:val="-4"/>
          <w:kern w:val="0"/>
          <w:sz w:val="24"/>
          <w:szCs w:val="24"/>
          <w:u w:val="none"/>
          <w:lang w:val="en-US" w:eastAsia="zh-CN" w:bidi="ar-SA"/>
        </w:rPr>
        <w:t>5.3 系统支持基于IE浏览器的数据访问功能通过Web显示服务器的监控画面和数据，可实现服务器的数据查询、打印、控制、参数设定等功能，实现真正意义上的远程监控。</w:t>
      </w:r>
    </w:p>
    <w:p>
      <w:pPr>
        <w:pStyle w:val="626"/>
        <w:widowControl w:val="0"/>
        <w:shd w:val="clear" w:color="auto" w:fill="FFFFFF"/>
        <w:wordWrap/>
        <w:adjustRightInd/>
        <w:snapToGrid/>
        <w:spacing w:line="360" w:lineRule="auto"/>
        <w:ind w:firstLine="464" w:firstLineChars="200"/>
        <w:textAlignment w:val="auto"/>
        <w:rPr>
          <w:rFonts w:hint="eastAsia" w:ascii="宋体" w:hAnsi="宋体"/>
          <w:b/>
          <w:bCs/>
          <w:sz w:val="24"/>
          <w:highlight w:val="none"/>
          <w:lang w:val="en-US" w:eastAsia="zh-CN"/>
        </w:rPr>
      </w:pPr>
      <w:r>
        <w:rPr>
          <w:rFonts w:hint="eastAsia" w:ascii="宋体" w:hAnsi="宋体" w:eastAsia="宋体" w:cs="宋体"/>
          <w:color w:val="auto"/>
          <w:spacing w:val="-4"/>
          <w:kern w:val="0"/>
          <w:sz w:val="24"/>
          <w:szCs w:val="24"/>
          <w:u w:val="none"/>
          <w:lang w:val="en-US" w:eastAsia="zh-CN" w:bidi="ar-SA"/>
        </w:rPr>
        <w:t>5.4 为其它各类自动化系统、省市级能源管理平台提供标准接口或标准规约转发功能，实现各类数据上传及共享，为上级调度系统预留调度接口。</w:t>
      </w:r>
    </w:p>
    <w:p>
      <w:pPr>
        <w:adjustRightInd w:val="0"/>
        <w:snapToGrid w:val="0"/>
        <w:spacing w:line="360" w:lineRule="auto"/>
        <w:rPr>
          <w:rFonts w:hint="eastAsia" w:ascii="宋体"/>
          <w:b/>
          <w:bCs/>
          <w:sz w:val="24"/>
          <w:highlight w:val="none"/>
        </w:rPr>
      </w:pPr>
      <w:r>
        <w:rPr>
          <w:rFonts w:hint="eastAsia" w:hAnsi="宋体"/>
          <w:color w:val="000000"/>
          <w:sz w:val="24"/>
          <w:szCs w:val="24"/>
          <w:highlight w:val="none"/>
        </w:rPr>
        <w:t>（以上价款包</w:t>
      </w:r>
      <w:r>
        <w:rPr>
          <w:rFonts w:hint="eastAsia" w:hAnsi="宋体"/>
          <w:bCs/>
          <w:color w:val="000000"/>
          <w:sz w:val="24"/>
          <w:szCs w:val="24"/>
          <w:highlight w:val="none"/>
        </w:rPr>
        <w:t>含前期实地查看，测量，设计，</w:t>
      </w:r>
      <w:r>
        <w:rPr>
          <w:rFonts w:hint="eastAsia" w:hAnsi="宋体"/>
          <w:color w:val="000000"/>
          <w:sz w:val="24"/>
          <w:szCs w:val="24"/>
          <w:highlight w:val="none"/>
        </w:rPr>
        <w:t>制作，包装、运输、货到就位以及安装等一切税金和费用及其他因本项目而产生的一切费用）。</w:t>
      </w:r>
    </w:p>
    <w:p>
      <w:pPr>
        <w:adjustRightInd w:val="0"/>
        <w:snapToGrid w:val="0"/>
        <w:spacing w:line="360" w:lineRule="auto"/>
        <w:rPr>
          <w:rFonts w:hint="eastAsia" w:ascii="宋体" w:hAnsi="宋体"/>
          <w:b/>
          <w:bCs/>
          <w:color w:val="000000"/>
          <w:sz w:val="24"/>
        </w:rPr>
      </w:pPr>
      <w:r>
        <w:rPr>
          <w:rFonts w:hint="eastAsia" w:ascii="宋体" w:hAnsi="宋体"/>
          <w:b/>
          <w:bCs/>
          <w:color w:val="000000"/>
          <w:sz w:val="24"/>
          <w:lang w:val="en-US" w:eastAsia="zh-CN"/>
        </w:rPr>
        <w:t>三</w:t>
      </w:r>
      <w:r>
        <w:rPr>
          <w:rFonts w:hint="eastAsia" w:ascii="宋体" w:hAnsi="宋体"/>
          <w:b/>
          <w:bCs/>
          <w:color w:val="000000"/>
          <w:sz w:val="24"/>
        </w:rPr>
        <w:t>、履约保证金：</w:t>
      </w:r>
    </w:p>
    <w:p>
      <w:pPr>
        <w:adjustRightInd w:val="0"/>
        <w:snapToGrid w:val="0"/>
        <w:spacing w:line="360" w:lineRule="auto"/>
        <w:ind w:firstLine="352" w:firstLineChars="147"/>
        <w:rPr>
          <w:rFonts w:hint="eastAsia" w:ascii="宋体" w:hAnsi="宋体"/>
          <w:bCs/>
          <w:color w:val="000000"/>
          <w:sz w:val="24"/>
        </w:rPr>
      </w:pPr>
      <w:r>
        <w:rPr>
          <w:rFonts w:hint="eastAsia" w:ascii="宋体" w:hAnsi="宋体"/>
          <w:bCs/>
          <w:color w:val="000000"/>
          <w:sz w:val="24"/>
        </w:rPr>
        <w:t>在合同签订以前供应商向采购人缴纳成交总额</w:t>
      </w:r>
      <w:r>
        <w:rPr>
          <w:rFonts w:hint="eastAsia" w:ascii="宋体" w:hAnsi="宋体"/>
          <w:bCs/>
          <w:color w:val="000000"/>
          <w:sz w:val="24"/>
          <w:lang w:val="en-US" w:eastAsia="zh-CN"/>
        </w:rPr>
        <w:t>1</w:t>
      </w:r>
      <w:r>
        <w:rPr>
          <w:rFonts w:hint="eastAsia" w:ascii="宋体" w:hAnsi="宋体"/>
          <w:bCs/>
          <w:color w:val="000000"/>
          <w:sz w:val="24"/>
        </w:rPr>
        <w:t>%的履约保证金</w:t>
      </w:r>
    </w:p>
    <w:p>
      <w:pPr>
        <w:widowControl/>
        <w:spacing w:line="360" w:lineRule="auto"/>
        <w:jc w:val="left"/>
        <w:rPr>
          <w:rFonts w:hint="eastAsia" w:ascii="宋体" w:hAnsi="宋体" w:eastAsia="宋体" w:cs="宋体"/>
          <w:sz w:val="24"/>
          <w:szCs w:val="24"/>
          <w:highlight w:val="none"/>
        </w:rPr>
      </w:pPr>
      <w:r>
        <w:rPr>
          <w:rFonts w:hint="eastAsia" w:ascii="宋体" w:hAnsi="宋体" w:cs="宋体"/>
          <w:kern w:val="0"/>
          <w:sz w:val="24"/>
          <w:lang w:val="zh-CN"/>
        </w:rPr>
        <w:t>▲</w:t>
      </w:r>
      <w:r>
        <w:rPr>
          <w:rFonts w:hint="eastAsia" w:ascii="宋体" w:hAnsi="宋体" w:eastAsia="宋体" w:cs="宋体"/>
          <w:b/>
          <w:kern w:val="0"/>
          <w:sz w:val="24"/>
          <w:szCs w:val="24"/>
          <w:highlight w:val="none"/>
        </w:rPr>
        <w:t xml:space="preserve">四、要求质量标准： </w:t>
      </w:r>
    </w:p>
    <w:p>
      <w:pPr>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1、符合国家标准的合格产品； </w:t>
      </w:r>
    </w:p>
    <w:p>
      <w:pPr>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2、必所供货物不会侵犯任何第三方知识产权；</w:t>
      </w:r>
    </w:p>
    <w:p>
      <w:pPr>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3、送货安装地址：采购人指定地点； </w:t>
      </w:r>
    </w:p>
    <w:p>
      <w:pPr>
        <w:widowControl/>
        <w:spacing w:line="360" w:lineRule="auto"/>
        <w:jc w:val="left"/>
        <w:rPr>
          <w:rFonts w:hint="eastAsia" w:ascii="宋体" w:hAnsi="宋体" w:eastAsia="宋体" w:cs="宋体"/>
          <w:sz w:val="24"/>
          <w:szCs w:val="24"/>
          <w:highlight w:val="none"/>
        </w:rPr>
      </w:pPr>
      <w:r>
        <w:rPr>
          <w:rFonts w:hint="eastAsia" w:ascii="宋体" w:hAnsi="宋体" w:cs="宋体"/>
          <w:kern w:val="0"/>
          <w:sz w:val="24"/>
          <w:lang w:val="zh-CN"/>
        </w:rPr>
        <w:t>▲</w:t>
      </w:r>
      <w:r>
        <w:rPr>
          <w:rFonts w:hint="eastAsia" w:ascii="宋体" w:hAnsi="宋体" w:eastAsia="宋体" w:cs="宋体"/>
          <w:b/>
          <w:kern w:val="0"/>
          <w:sz w:val="24"/>
          <w:szCs w:val="24"/>
          <w:highlight w:val="none"/>
        </w:rPr>
        <w:t xml:space="preserve">五、售后服务要求： </w:t>
      </w:r>
    </w:p>
    <w:p>
      <w:pPr>
        <w:shd w:val="clear" w:color="auto" w:fill="auto"/>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1、质保期：</w:t>
      </w:r>
      <w:r>
        <w:rPr>
          <w:rFonts w:hint="eastAsia" w:ascii="宋体" w:hAnsi="宋体" w:eastAsia="宋体" w:cs="宋体"/>
          <w:b/>
          <w:bCs/>
          <w:sz w:val="24"/>
          <w:szCs w:val="24"/>
          <w:highlight w:val="none"/>
        </w:rPr>
        <w:t>2年保修，自</w:t>
      </w:r>
      <w:r>
        <w:rPr>
          <w:rFonts w:hint="eastAsia" w:ascii="宋体" w:hAnsi="宋体" w:cs="宋体"/>
          <w:b/>
          <w:bCs/>
          <w:sz w:val="24"/>
          <w:szCs w:val="24"/>
          <w:highlight w:val="none"/>
          <w:lang w:val="en-US" w:eastAsia="zh-CN"/>
        </w:rPr>
        <w:t>项目通过竣工验收并</w:t>
      </w:r>
      <w:r>
        <w:rPr>
          <w:rFonts w:hint="eastAsia" w:ascii="宋体" w:hAnsi="宋体" w:eastAsia="宋体" w:cs="宋体"/>
          <w:b/>
          <w:bCs/>
          <w:sz w:val="24"/>
          <w:szCs w:val="24"/>
          <w:highlight w:val="none"/>
        </w:rPr>
        <w:t>通电之日起算</w:t>
      </w:r>
      <w:r>
        <w:rPr>
          <w:rFonts w:hint="eastAsia" w:ascii="宋体" w:hAnsi="宋体" w:eastAsia="宋体" w:cs="宋体"/>
          <w:sz w:val="24"/>
          <w:szCs w:val="24"/>
          <w:highlight w:val="none"/>
        </w:rPr>
        <w:t xml:space="preserve">； </w:t>
      </w:r>
    </w:p>
    <w:p>
      <w:pPr>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2、质保期内的维修费用（包括配件）全部由供货方负责； </w:t>
      </w:r>
    </w:p>
    <w:p>
      <w:pPr>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3、技术支持要求：要求提供全年无节假日7*24故障相应服务，在接到故障通知后2小时内做出反应，8小时内派技术人员到达现场，普通故障修复时间为到达现场4小时内，如在4小时内不能解决问题，在24小时内用同样的品牌、规格或更高的部件更换到位，以保证系统连续运行。</w:t>
      </w:r>
    </w:p>
    <w:p>
      <w:pPr>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4、在保修期内供方必须不得以任何理由影响用户的正常使用。投标方必须对所供产品实行终身维修，配件按市场价格收取。 </w:t>
      </w:r>
    </w:p>
    <w:p>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b/>
          <w:kern w:val="0"/>
          <w:sz w:val="24"/>
          <w:szCs w:val="24"/>
          <w:highlight w:val="none"/>
        </w:rPr>
        <w:t xml:space="preserve">六、培训要求： </w:t>
      </w:r>
    </w:p>
    <w:p>
      <w:pPr>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安装调试后，对设备使用人员进行现场实地培训，直至会熟练使用。 </w:t>
      </w:r>
    </w:p>
    <w:p>
      <w:pPr>
        <w:widowControl/>
        <w:spacing w:line="360" w:lineRule="auto"/>
        <w:jc w:val="left"/>
        <w:rPr>
          <w:rFonts w:hint="eastAsia" w:ascii="宋体" w:hAnsi="宋体" w:eastAsia="宋体" w:cs="宋体"/>
          <w:sz w:val="24"/>
          <w:szCs w:val="24"/>
          <w:highlight w:val="none"/>
        </w:rPr>
      </w:pPr>
      <w:r>
        <w:rPr>
          <w:rFonts w:hint="eastAsia" w:ascii="宋体" w:hAnsi="宋体" w:cs="宋体"/>
          <w:kern w:val="0"/>
          <w:sz w:val="24"/>
          <w:lang w:val="zh-CN"/>
        </w:rPr>
        <w:t>▲</w:t>
      </w:r>
      <w:r>
        <w:rPr>
          <w:rFonts w:hint="eastAsia" w:ascii="宋体" w:hAnsi="宋体" w:eastAsia="宋体" w:cs="宋体"/>
          <w:b/>
          <w:kern w:val="0"/>
          <w:sz w:val="24"/>
          <w:szCs w:val="24"/>
          <w:highlight w:val="none"/>
        </w:rPr>
        <w:t xml:space="preserve">七、工期要求： </w:t>
      </w:r>
    </w:p>
    <w:p>
      <w:pPr>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工期</w:t>
      </w:r>
      <w:r>
        <w:rPr>
          <w:rFonts w:hint="eastAsia" w:ascii="宋体" w:hAnsi="宋体" w:cs="宋体"/>
          <w:color w:val="FF0000"/>
          <w:sz w:val="24"/>
          <w:szCs w:val="24"/>
          <w:highlight w:val="none"/>
          <w:lang w:val="en-US" w:eastAsia="zh-CN"/>
        </w:rPr>
        <w:t>3</w:t>
      </w:r>
      <w:r>
        <w:rPr>
          <w:rFonts w:hint="eastAsia" w:ascii="宋体" w:hAnsi="宋体" w:eastAsia="宋体" w:cs="宋体"/>
          <w:color w:val="FF0000"/>
          <w:sz w:val="24"/>
          <w:szCs w:val="24"/>
          <w:highlight w:val="none"/>
          <w:lang w:val="en-US" w:eastAsia="zh-CN"/>
        </w:rPr>
        <w:t>5</w:t>
      </w:r>
      <w:r>
        <w:rPr>
          <w:rFonts w:hint="eastAsia" w:ascii="宋体" w:hAnsi="宋体" w:eastAsia="宋体" w:cs="宋体"/>
          <w:color w:val="FF0000"/>
          <w:sz w:val="24"/>
          <w:szCs w:val="24"/>
          <w:highlight w:val="none"/>
        </w:rPr>
        <w:t>日</w:t>
      </w:r>
      <w:r>
        <w:rPr>
          <w:rFonts w:hint="eastAsia" w:ascii="宋体" w:hAnsi="宋体" w:eastAsia="宋体" w:cs="宋体"/>
          <w:sz w:val="24"/>
          <w:szCs w:val="24"/>
          <w:highlight w:val="none"/>
        </w:rPr>
        <w:t xml:space="preserve">历天内送货并安装、调试完毕，不得延误工期，影响甲方按期使用。如有延期，甲方有权解除合同并没收履约保证金。 </w:t>
      </w:r>
    </w:p>
    <w:p>
      <w:pPr>
        <w:widowControl/>
        <w:wordWrap/>
        <w:adjustRightInd w:val="0"/>
        <w:snapToGrid/>
        <w:spacing w:line="360" w:lineRule="auto"/>
        <w:ind w:left="0" w:leftChars="0" w:right="0"/>
        <w:jc w:val="left"/>
        <w:textAlignment w:val="auto"/>
        <w:outlineLvl w:val="9"/>
        <w:rPr>
          <w:rFonts w:hint="eastAsia" w:ascii="宋体" w:hAnsi="宋体" w:eastAsia="宋体" w:cs="宋体"/>
          <w:sz w:val="24"/>
          <w:szCs w:val="24"/>
          <w:highlight w:val="none"/>
        </w:rPr>
      </w:pPr>
      <w:r>
        <w:rPr>
          <w:rFonts w:hint="eastAsia" w:ascii="宋体" w:hAnsi="宋体" w:cs="宋体"/>
          <w:kern w:val="0"/>
          <w:sz w:val="24"/>
          <w:lang w:val="zh-CN"/>
        </w:rPr>
        <w:t>▲</w:t>
      </w:r>
      <w:r>
        <w:rPr>
          <w:rFonts w:hint="eastAsia" w:ascii="宋体" w:hAnsi="宋体" w:eastAsia="宋体" w:cs="宋体"/>
          <w:b/>
          <w:kern w:val="0"/>
          <w:sz w:val="24"/>
          <w:szCs w:val="24"/>
          <w:highlight w:val="none"/>
          <w:lang w:val="en-US" w:eastAsia="zh-CN"/>
        </w:rPr>
        <w:t>八</w:t>
      </w:r>
      <w:r>
        <w:rPr>
          <w:rFonts w:hint="eastAsia" w:ascii="宋体" w:hAnsi="宋体" w:eastAsia="宋体" w:cs="宋体"/>
          <w:b/>
          <w:kern w:val="0"/>
          <w:sz w:val="24"/>
          <w:szCs w:val="24"/>
          <w:highlight w:val="none"/>
        </w:rPr>
        <w:t xml:space="preserve">、验收： </w:t>
      </w:r>
    </w:p>
    <w:p>
      <w:pPr>
        <w:wordWrap/>
        <w:adjustRightInd w:val="0"/>
        <w:snapToGrid/>
        <w:spacing w:line="360" w:lineRule="auto"/>
        <w:ind w:left="0" w:leftChars="0" w:right="0" w:firstLine="472" w:firstLineChars="196"/>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1、设备到达甲方指定工地前应提前通知甲方，由甲方及监理单位按照有关清单进行验收后签字确认，合同内涉及的设备数量及质量以签字确认单为准； </w:t>
      </w:r>
    </w:p>
    <w:p>
      <w:pPr>
        <w:wordWrap/>
        <w:adjustRightInd w:val="0"/>
        <w:snapToGrid/>
        <w:spacing w:line="360" w:lineRule="auto"/>
        <w:ind w:left="0" w:leftChars="0" w:right="0" w:firstLine="472" w:firstLineChars="196"/>
        <w:textAlignment w:val="auto"/>
        <w:outlineLvl w:val="9"/>
        <w:rPr>
          <w:rFonts w:hint="eastAsia" w:ascii="宋体" w:hAnsi="宋体" w:eastAsia="宋体" w:cs="宋体"/>
          <w:sz w:val="24"/>
          <w:szCs w:val="24"/>
          <w:highlight w:val="none"/>
        </w:rPr>
      </w:pPr>
      <w:r>
        <w:rPr>
          <w:rFonts w:hint="eastAsia" w:ascii="宋体" w:hAnsi="宋体" w:eastAsia="宋体" w:cs="宋体"/>
          <w:b/>
          <w:bCs/>
          <w:sz w:val="24"/>
          <w:szCs w:val="24"/>
          <w:highlight w:val="none"/>
        </w:rPr>
        <w:t>2、设备安装调试完成后，投标单位须提供质保书、保修证明等书面资料，并按国家制造和安装的标准要求检测验收。</w:t>
      </w:r>
    </w:p>
    <w:p>
      <w:pPr>
        <w:wordWrap/>
        <w:adjustRightInd w:val="0"/>
        <w:snapToGrid/>
        <w:spacing w:line="360" w:lineRule="auto"/>
        <w:ind w:left="0" w:leftChars="0" w:right="0"/>
        <w:textAlignment w:val="auto"/>
        <w:outlineLvl w:val="9"/>
        <w:rPr>
          <w:rFonts w:hint="eastAsia" w:ascii="宋体" w:hAnsi="宋体" w:eastAsia="宋体" w:cs="宋体"/>
          <w:b/>
          <w:bCs w:val="0"/>
          <w:sz w:val="24"/>
          <w:szCs w:val="24"/>
          <w:highlight w:val="none"/>
          <w:u w:val="single"/>
        </w:rPr>
      </w:pPr>
      <w:r>
        <w:rPr>
          <w:rFonts w:hint="eastAsia" w:ascii="宋体" w:hAnsi="宋体" w:eastAsia="宋体" w:cs="宋体"/>
          <w:b/>
          <w:bCs w:val="0"/>
          <w:color w:val="000000"/>
          <w:sz w:val="24"/>
          <w:szCs w:val="24"/>
          <w:highlight w:val="none"/>
          <w:lang w:val="en-US" w:eastAsia="zh-CN"/>
        </w:rPr>
        <w:t>九、</w:t>
      </w:r>
      <w:r>
        <w:rPr>
          <w:rFonts w:hint="eastAsia" w:ascii="宋体" w:hAnsi="宋体" w:eastAsia="宋体" w:cs="宋体"/>
          <w:b/>
          <w:bCs w:val="0"/>
          <w:sz w:val="24"/>
          <w:szCs w:val="24"/>
          <w:highlight w:val="none"/>
        </w:rPr>
        <w:t>结算方式及期限</w:t>
      </w:r>
    </w:p>
    <w:p>
      <w:pPr>
        <w:widowControl w:val="0"/>
        <w:wordWrap/>
        <w:adjustRightInd w:val="0"/>
        <w:snapToGrid w:val="0"/>
        <w:spacing w:line="360" w:lineRule="auto"/>
        <w:ind w:left="0" w:leftChars="0" w:right="0"/>
        <w:jc w:val="both"/>
        <w:textAlignment w:val="auto"/>
        <w:outlineLvl w:val="9"/>
        <w:rPr>
          <w:rFonts w:hint="eastAsia" w:ascii="宋体" w:hAnsi="宋体" w:cs="宋体"/>
          <w:color w:val="000000"/>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1、</w:t>
      </w:r>
      <w:r>
        <w:rPr>
          <w:rFonts w:hint="eastAsia" w:ascii="宋体" w:hAnsi="宋体" w:eastAsia="宋体" w:cs="宋体"/>
          <w:color w:val="000000"/>
          <w:sz w:val="24"/>
          <w:szCs w:val="24"/>
          <w:highlight w:val="none"/>
          <w:lang w:val="en-US" w:eastAsia="zh-CN"/>
        </w:rPr>
        <w:t>合同签订后十五日支付合同价</w:t>
      </w:r>
      <w:r>
        <w:rPr>
          <w:rFonts w:hint="eastAsia" w:ascii="宋体" w:hAnsi="宋体" w:cs="宋体"/>
          <w:color w:val="000000"/>
          <w:sz w:val="24"/>
          <w:szCs w:val="24"/>
          <w:highlight w:val="none"/>
          <w:lang w:val="en-US" w:eastAsia="zh-CN"/>
        </w:rPr>
        <w:t>40</w:t>
      </w:r>
      <w:r>
        <w:rPr>
          <w:rFonts w:hint="eastAsia" w:ascii="宋体" w:hAnsi="宋体" w:eastAsia="宋体" w:cs="宋体"/>
          <w:color w:val="000000"/>
          <w:sz w:val="24"/>
          <w:szCs w:val="24"/>
          <w:highlight w:val="none"/>
          <w:lang w:val="en-US" w:eastAsia="zh-CN"/>
        </w:rPr>
        <w:t>%的预付款</w:t>
      </w:r>
      <w:r>
        <w:rPr>
          <w:rFonts w:hint="eastAsia" w:ascii="宋体" w:hAnsi="宋体" w:cs="宋体"/>
          <w:color w:val="000000"/>
          <w:sz w:val="24"/>
          <w:szCs w:val="24"/>
          <w:highlight w:val="none"/>
          <w:lang w:val="en-US" w:eastAsia="zh-CN"/>
        </w:rPr>
        <w:t>。</w:t>
      </w:r>
    </w:p>
    <w:p>
      <w:pPr>
        <w:widowControl w:val="0"/>
        <w:wordWrap/>
        <w:adjustRightInd w:val="0"/>
        <w:snapToGrid/>
        <w:spacing w:line="360" w:lineRule="auto"/>
        <w:ind w:left="0" w:leftChars="0" w:right="0" w:firstLine="470" w:firstLineChars="196"/>
        <w:jc w:val="both"/>
        <w:textAlignment w:val="auto"/>
        <w:outlineLvl w:val="9"/>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 xml:space="preserve"> 2、</w:t>
      </w:r>
      <w:r>
        <w:rPr>
          <w:rFonts w:hint="eastAsia" w:ascii="宋体" w:hAnsi="宋体" w:eastAsia="宋体" w:cs="宋体"/>
          <w:bCs/>
          <w:sz w:val="24"/>
          <w:szCs w:val="24"/>
          <w:highlight w:val="none"/>
        </w:rPr>
        <w:t>根据合同规定将货物交付、安装调试完毕，</w:t>
      </w:r>
      <w:r>
        <w:rPr>
          <w:rFonts w:hint="eastAsia" w:ascii="宋体" w:hAnsi="宋体" w:eastAsia="宋体" w:cs="宋体"/>
          <w:color w:val="000000"/>
          <w:sz w:val="24"/>
          <w:szCs w:val="24"/>
          <w:highlight w:val="none"/>
          <w:lang w:val="en-US" w:eastAsia="zh-CN"/>
        </w:rPr>
        <w:t>通电</w:t>
      </w:r>
      <w:r>
        <w:rPr>
          <w:rFonts w:hint="eastAsia" w:ascii="宋体" w:hAnsi="宋体" w:cs="宋体"/>
          <w:color w:val="000000"/>
          <w:sz w:val="24"/>
          <w:szCs w:val="24"/>
          <w:highlight w:val="none"/>
          <w:lang w:val="en-US" w:eastAsia="zh-CN"/>
        </w:rPr>
        <w:t>并通过项目竣工验收</w:t>
      </w:r>
      <w:r>
        <w:rPr>
          <w:rFonts w:hint="eastAsia" w:ascii="宋体" w:hAnsi="宋体" w:eastAsia="宋体" w:cs="宋体"/>
          <w:color w:val="000000"/>
          <w:sz w:val="24"/>
          <w:szCs w:val="24"/>
          <w:highlight w:val="none"/>
          <w:lang w:val="en-US" w:eastAsia="zh-CN"/>
        </w:rPr>
        <w:t>后支付至</w:t>
      </w:r>
      <w:r>
        <w:rPr>
          <w:rFonts w:hint="eastAsia" w:ascii="宋体" w:hAnsi="宋体" w:eastAsia="宋体" w:cs="宋体"/>
          <w:bCs/>
          <w:sz w:val="24"/>
          <w:szCs w:val="24"/>
          <w:highlight w:val="none"/>
        </w:rPr>
        <w:t>合同价货款</w:t>
      </w:r>
      <w:r>
        <w:rPr>
          <w:rFonts w:hint="eastAsia" w:ascii="宋体" w:hAnsi="宋体" w:eastAsia="宋体" w:cs="宋体"/>
          <w:color w:val="000000"/>
          <w:sz w:val="24"/>
          <w:szCs w:val="24"/>
          <w:highlight w:val="none"/>
          <w:lang w:val="en-US" w:eastAsia="zh-CN"/>
        </w:rPr>
        <w:t>的85%</w:t>
      </w:r>
      <w:r>
        <w:rPr>
          <w:rFonts w:hint="eastAsia" w:ascii="宋体" w:hAnsi="宋体" w:cs="宋体"/>
          <w:color w:val="000000"/>
          <w:sz w:val="24"/>
          <w:szCs w:val="24"/>
          <w:highlight w:val="none"/>
          <w:lang w:val="en-US" w:eastAsia="zh-CN"/>
        </w:rPr>
        <w:t>。</w:t>
      </w:r>
    </w:p>
    <w:p>
      <w:pPr>
        <w:widowControl w:val="0"/>
        <w:wordWrap/>
        <w:adjustRightInd w:val="0"/>
        <w:snapToGrid/>
        <w:spacing w:line="360" w:lineRule="auto"/>
        <w:ind w:left="0" w:leftChars="0" w:right="0" w:firstLine="470" w:firstLineChars="196"/>
        <w:jc w:val="both"/>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 xml:space="preserve"> 3、配电项目结算审核</w:t>
      </w:r>
      <w:r>
        <w:rPr>
          <w:rFonts w:hint="eastAsia" w:ascii="宋体" w:hAnsi="宋体" w:eastAsia="宋体" w:cs="宋体"/>
          <w:color w:val="000000"/>
          <w:sz w:val="24"/>
          <w:szCs w:val="24"/>
          <w:highlight w:val="none"/>
          <w:lang w:val="en-US" w:eastAsia="zh-CN"/>
        </w:rPr>
        <w:t>完成后支付至审定价的98.5%，质保期满后付清余款，不计利息。</w:t>
      </w: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sectPr>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86" w:name="_Toc184313268"/>
      <w:bookmarkEnd w:id="86"/>
      <w:bookmarkStart w:id="87" w:name="_Toc184314426"/>
      <w:bookmarkEnd w:id="87"/>
      <w:bookmarkStart w:id="88" w:name="_Toc184312098"/>
      <w:bookmarkEnd w:id="88"/>
      <w:bookmarkStart w:id="89" w:name="_Toc184310297"/>
      <w:bookmarkEnd w:id="89"/>
      <w:bookmarkStart w:id="90" w:name="_Toc184310338"/>
      <w:bookmarkEnd w:id="90"/>
      <w:bookmarkStart w:id="91" w:name="_Toc184313252"/>
      <w:bookmarkEnd w:id="91"/>
      <w:bookmarkStart w:id="92" w:name="_Toc184313281"/>
      <w:bookmarkEnd w:id="92"/>
      <w:bookmarkStart w:id="93" w:name="_Toc184313275"/>
      <w:bookmarkEnd w:id="93"/>
      <w:bookmarkStart w:id="94" w:name="_Toc184310310"/>
      <w:bookmarkEnd w:id="94"/>
      <w:bookmarkStart w:id="95" w:name="_Toc184312118"/>
      <w:bookmarkEnd w:id="95"/>
      <w:bookmarkStart w:id="96" w:name="_Toc184313258"/>
      <w:bookmarkEnd w:id="96"/>
      <w:bookmarkStart w:id="97" w:name="_Toc184313291"/>
      <w:bookmarkEnd w:id="97"/>
      <w:bookmarkStart w:id="98" w:name="_Toc184310312"/>
      <w:bookmarkEnd w:id="98"/>
      <w:bookmarkStart w:id="99" w:name="_Toc184313298"/>
      <w:bookmarkEnd w:id="99"/>
      <w:bookmarkStart w:id="100" w:name="_Toc184308050"/>
      <w:bookmarkEnd w:id="100"/>
      <w:bookmarkStart w:id="101" w:name="_Toc184308059"/>
      <w:bookmarkEnd w:id="101"/>
      <w:bookmarkStart w:id="102" w:name="_Toc184313245"/>
      <w:bookmarkEnd w:id="102"/>
      <w:bookmarkStart w:id="103" w:name="_Toc184313278"/>
      <w:bookmarkEnd w:id="103"/>
      <w:bookmarkStart w:id="104" w:name="_Toc184313295"/>
      <w:bookmarkEnd w:id="104"/>
      <w:bookmarkStart w:id="105" w:name="_Toc184312139"/>
      <w:bookmarkEnd w:id="105"/>
      <w:bookmarkStart w:id="106" w:name="_Toc184312137"/>
      <w:bookmarkEnd w:id="106"/>
      <w:bookmarkStart w:id="107" w:name="_Toc184310316"/>
      <w:bookmarkEnd w:id="107"/>
      <w:bookmarkStart w:id="108" w:name="_Toc184312116"/>
      <w:bookmarkEnd w:id="108"/>
      <w:bookmarkStart w:id="109" w:name="_Toc184313303"/>
      <w:bookmarkEnd w:id="109"/>
      <w:bookmarkStart w:id="110" w:name="_Toc184313286"/>
      <w:bookmarkEnd w:id="110"/>
      <w:bookmarkStart w:id="111" w:name="_Toc184314458"/>
      <w:bookmarkEnd w:id="111"/>
      <w:bookmarkStart w:id="112" w:name="_Toc184312086"/>
      <w:bookmarkEnd w:id="112"/>
      <w:bookmarkStart w:id="113" w:name="_Toc184308073"/>
      <w:bookmarkEnd w:id="113"/>
      <w:bookmarkStart w:id="114" w:name="_Toc184312129"/>
      <w:bookmarkEnd w:id="114"/>
      <w:bookmarkStart w:id="115" w:name="_Toc184314461"/>
      <w:bookmarkEnd w:id="115"/>
      <w:bookmarkStart w:id="116" w:name="_Toc184308045"/>
      <w:bookmarkEnd w:id="116"/>
      <w:bookmarkStart w:id="117" w:name="_Toc184312087"/>
      <w:bookmarkEnd w:id="117"/>
      <w:bookmarkStart w:id="118" w:name="_Toc184310322"/>
      <w:bookmarkEnd w:id="118"/>
      <w:bookmarkStart w:id="119" w:name="_Toc184314452"/>
      <w:bookmarkEnd w:id="119"/>
      <w:bookmarkStart w:id="120" w:name="_Toc184310283"/>
      <w:bookmarkEnd w:id="120"/>
      <w:bookmarkStart w:id="121" w:name="_Toc184312119"/>
      <w:bookmarkEnd w:id="121"/>
      <w:bookmarkStart w:id="122" w:name="_Toc184308105"/>
      <w:bookmarkEnd w:id="122"/>
      <w:bookmarkStart w:id="123" w:name="_Toc184313289"/>
      <w:bookmarkEnd w:id="123"/>
      <w:bookmarkStart w:id="124" w:name="_Toc184308036"/>
      <w:bookmarkEnd w:id="124"/>
      <w:bookmarkStart w:id="125" w:name="_Toc184314459"/>
      <w:bookmarkEnd w:id="125"/>
      <w:bookmarkStart w:id="126" w:name="_Toc184314433"/>
      <w:bookmarkEnd w:id="126"/>
      <w:bookmarkStart w:id="127" w:name="_Toc184308096"/>
      <w:bookmarkEnd w:id="127"/>
      <w:bookmarkStart w:id="128" w:name="_Toc184308082"/>
      <w:bookmarkEnd w:id="128"/>
      <w:bookmarkStart w:id="129" w:name="_Toc184314441"/>
      <w:bookmarkEnd w:id="129"/>
      <w:bookmarkStart w:id="130" w:name="_Toc184312109"/>
      <w:bookmarkEnd w:id="130"/>
      <w:bookmarkStart w:id="131" w:name="_Toc184314425"/>
      <w:bookmarkEnd w:id="131"/>
      <w:bookmarkStart w:id="132" w:name="_Toc184308107"/>
      <w:bookmarkEnd w:id="132"/>
      <w:bookmarkStart w:id="133" w:name="_Toc184313299"/>
      <w:bookmarkEnd w:id="133"/>
      <w:bookmarkStart w:id="134" w:name="_Toc184314436"/>
      <w:bookmarkEnd w:id="134"/>
      <w:bookmarkStart w:id="135" w:name="_Toc184310291"/>
      <w:bookmarkEnd w:id="135"/>
      <w:bookmarkStart w:id="136" w:name="_Toc184313287"/>
      <w:bookmarkEnd w:id="136"/>
      <w:bookmarkStart w:id="137" w:name="_Toc184313240"/>
      <w:bookmarkEnd w:id="137"/>
      <w:bookmarkStart w:id="138" w:name="_Toc184313257"/>
      <w:bookmarkEnd w:id="138"/>
      <w:bookmarkStart w:id="139" w:name="_Toc184313290"/>
      <w:bookmarkEnd w:id="139"/>
      <w:bookmarkStart w:id="140" w:name="_Toc184314432"/>
      <w:bookmarkEnd w:id="140"/>
      <w:bookmarkStart w:id="141" w:name="_Toc184310340"/>
      <w:bookmarkEnd w:id="141"/>
      <w:bookmarkStart w:id="142" w:name="_Toc184313246"/>
      <w:bookmarkEnd w:id="142"/>
      <w:bookmarkStart w:id="143" w:name="_Toc184314442"/>
      <w:bookmarkEnd w:id="143"/>
      <w:bookmarkStart w:id="144" w:name="_Toc184314421"/>
      <w:bookmarkEnd w:id="144"/>
      <w:bookmarkStart w:id="145" w:name="_Toc184312112"/>
      <w:bookmarkEnd w:id="145"/>
      <w:bookmarkStart w:id="146" w:name="_Toc184312077"/>
      <w:bookmarkEnd w:id="146"/>
      <w:bookmarkStart w:id="147" w:name="_Toc184313263"/>
      <w:bookmarkEnd w:id="147"/>
      <w:bookmarkStart w:id="148" w:name="_Toc184312071"/>
      <w:bookmarkEnd w:id="148"/>
      <w:bookmarkStart w:id="149" w:name="_Toc184312122"/>
      <w:bookmarkEnd w:id="149"/>
      <w:bookmarkStart w:id="150" w:name="_Toc184312096"/>
      <w:bookmarkEnd w:id="150"/>
      <w:bookmarkStart w:id="151" w:name="_Toc184313301"/>
      <w:bookmarkEnd w:id="151"/>
      <w:bookmarkStart w:id="152" w:name="_Toc184313272"/>
      <w:bookmarkEnd w:id="152"/>
      <w:bookmarkStart w:id="153" w:name="_Toc184313279"/>
      <w:bookmarkEnd w:id="153"/>
      <w:bookmarkStart w:id="154" w:name="_Toc184310321"/>
      <w:bookmarkEnd w:id="154"/>
      <w:bookmarkStart w:id="155" w:name="_Toc184310276"/>
      <w:bookmarkEnd w:id="155"/>
      <w:bookmarkStart w:id="156" w:name="_Toc184308069"/>
      <w:bookmarkEnd w:id="156"/>
      <w:bookmarkStart w:id="157" w:name="_Toc184310330"/>
      <w:bookmarkEnd w:id="157"/>
      <w:bookmarkStart w:id="158" w:name="_Toc184308067"/>
      <w:bookmarkEnd w:id="158"/>
      <w:bookmarkStart w:id="159" w:name="_Toc184308056"/>
      <w:bookmarkEnd w:id="159"/>
      <w:bookmarkStart w:id="160" w:name="_Toc184310274"/>
      <w:bookmarkEnd w:id="160"/>
      <w:bookmarkStart w:id="161" w:name="_Toc184314481"/>
      <w:bookmarkEnd w:id="161"/>
      <w:bookmarkStart w:id="162" w:name="_Toc184310317"/>
      <w:bookmarkEnd w:id="162"/>
      <w:bookmarkStart w:id="163" w:name="_Toc184314466"/>
      <w:bookmarkEnd w:id="163"/>
      <w:bookmarkStart w:id="164" w:name="_Toc184312075"/>
      <w:bookmarkEnd w:id="164"/>
      <w:bookmarkStart w:id="165" w:name="_Toc184310342"/>
      <w:bookmarkEnd w:id="165"/>
      <w:bookmarkStart w:id="166" w:name="_Toc184314455"/>
      <w:bookmarkEnd w:id="166"/>
      <w:bookmarkStart w:id="167" w:name="_Toc184308044"/>
      <w:bookmarkEnd w:id="167"/>
      <w:bookmarkStart w:id="168" w:name="_Toc184310281"/>
      <w:bookmarkEnd w:id="168"/>
      <w:bookmarkStart w:id="169" w:name="_Toc184310301"/>
      <w:bookmarkEnd w:id="169"/>
      <w:bookmarkStart w:id="170" w:name="_Toc184310333"/>
      <w:bookmarkEnd w:id="170"/>
      <w:bookmarkStart w:id="171" w:name="_Toc184310303"/>
      <w:bookmarkEnd w:id="171"/>
      <w:bookmarkStart w:id="172" w:name="_Toc184310277"/>
      <w:bookmarkEnd w:id="172"/>
      <w:bookmarkStart w:id="173" w:name="_Toc184312108"/>
      <w:bookmarkEnd w:id="173"/>
      <w:bookmarkStart w:id="174" w:name="_Toc184312121"/>
      <w:bookmarkEnd w:id="174"/>
      <w:bookmarkStart w:id="175" w:name="_Toc184313238"/>
      <w:bookmarkEnd w:id="175"/>
      <w:bookmarkStart w:id="176" w:name="_Toc184312106"/>
      <w:bookmarkEnd w:id="176"/>
      <w:bookmarkStart w:id="177" w:name="_Toc184310287"/>
      <w:bookmarkEnd w:id="177"/>
      <w:bookmarkStart w:id="178" w:name="_Toc184314410"/>
      <w:bookmarkEnd w:id="178"/>
      <w:bookmarkStart w:id="179" w:name="_Toc184310289"/>
      <w:bookmarkEnd w:id="179"/>
      <w:bookmarkStart w:id="180" w:name="_Toc184313256"/>
      <w:bookmarkEnd w:id="180"/>
      <w:bookmarkStart w:id="181" w:name="_Toc184314477"/>
      <w:bookmarkEnd w:id="181"/>
      <w:bookmarkStart w:id="182" w:name="_Toc184310337"/>
      <w:bookmarkEnd w:id="182"/>
      <w:bookmarkStart w:id="183" w:name="_Toc184313300"/>
      <w:bookmarkEnd w:id="183"/>
      <w:bookmarkStart w:id="184" w:name="_Toc184312134"/>
      <w:bookmarkEnd w:id="184"/>
      <w:bookmarkStart w:id="185" w:name="_Toc184313259"/>
      <w:bookmarkEnd w:id="185"/>
      <w:bookmarkStart w:id="186" w:name="_Toc184310320"/>
      <w:bookmarkEnd w:id="186"/>
      <w:bookmarkStart w:id="187" w:name="_Toc184314457"/>
      <w:bookmarkEnd w:id="187"/>
      <w:bookmarkStart w:id="188" w:name="_Toc184314449"/>
      <w:bookmarkEnd w:id="188"/>
      <w:bookmarkStart w:id="189" w:name="_Toc184314417"/>
      <w:bookmarkEnd w:id="189"/>
      <w:bookmarkStart w:id="190" w:name="_Toc184310290"/>
      <w:bookmarkEnd w:id="190"/>
      <w:bookmarkStart w:id="191" w:name="_Toc184312073"/>
      <w:bookmarkEnd w:id="191"/>
      <w:bookmarkStart w:id="192" w:name="_Toc184310305"/>
      <w:bookmarkEnd w:id="192"/>
      <w:bookmarkStart w:id="193" w:name="_Toc184308068"/>
      <w:bookmarkEnd w:id="193"/>
      <w:bookmarkStart w:id="194" w:name="_Toc184308040"/>
      <w:bookmarkEnd w:id="194"/>
      <w:bookmarkStart w:id="195" w:name="_Toc184310331"/>
      <w:bookmarkEnd w:id="195"/>
      <w:bookmarkStart w:id="196" w:name="_Toc184313294"/>
      <w:bookmarkEnd w:id="196"/>
      <w:bookmarkStart w:id="197" w:name="_Toc184310329"/>
      <w:bookmarkEnd w:id="197"/>
      <w:bookmarkStart w:id="198" w:name="_Toc184312123"/>
      <w:bookmarkEnd w:id="198"/>
      <w:bookmarkStart w:id="199" w:name="_Toc184308075"/>
      <w:bookmarkEnd w:id="199"/>
      <w:bookmarkStart w:id="200" w:name="_Toc184312080"/>
      <w:bookmarkEnd w:id="200"/>
      <w:bookmarkStart w:id="201" w:name="_Toc184308066"/>
      <w:bookmarkEnd w:id="201"/>
      <w:bookmarkStart w:id="202" w:name="_Toc184308041"/>
      <w:bookmarkEnd w:id="202"/>
      <w:bookmarkStart w:id="203" w:name="_Toc184308087"/>
      <w:bookmarkEnd w:id="203"/>
      <w:bookmarkStart w:id="204" w:name="_Toc184313285"/>
      <w:bookmarkEnd w:id="204"/>
      <w:bookmarkStart w:id="205" w:name="_Toc184312132"/>
      <w:bookmarkEnd w:id="205"/>
      <w:bookmarkStart w:id="206" w:name="_Toc184310326"/>
      <w:bookmarkEnd w:id="206"/>
      <w:bookmarkStart w:id="207" w:name="_Toc184313262"/>
      <w:bookmarkEnd w:id="207"/>
      <w:bookmarkStart w:id="208" w:name="_Toc184313264"/>
      <w:bookmarkEnd w:id="208"/>
      <w:bookmarkStart w:id="209" w:name="_Toc184310325"/>
      <w:bookmarkEnd w:id="209"/>
      <w:bookmarkStart w:id="210" w:name="_Toc184313267"/>
      <w:bookmarkEnd w:id="210"/>
      <w:bookmarkStart w:id="211" w:name="_Toc184312102"/>
      <w:bookmarkEnd w:id="211"/>
      <w:bookmarkStart w:id="212" w:name="_Toc184308063"/>
      <w:bookmarkEnd w:id="212"/>
      <w:bookmarkStart w:id="213" w:name="_Toc184308086"/>
      <w:bookmarkEnd w:id="213"/>
      <w:bookmarkStart w:id="214" w:name="_Toc184310315"/>
      <w:bookmarkEnd w:id="214"/>
      <w:bookmarkStart w:id="215" w:name="_Toc184314454"/>
      <w:bookmarkEnd w:id="215"/>
      <w:bookmarkStart w:id="216" w:name="_Toc184308091"/>
      <w:bookmarkEnd w:id="216"/>
      <w:bookmarkStart w:id="217" w:name="_Toc184308108"/>
      <w:bookmarkEnd w:id="217"/>
      <w:bookmarkStart w:id="218" w:name="_Toc184308058"/>
      <w:bookmarkEnd w:id="218"/>
      <w:bookmarkStart w:id="219" w:name="_Toc184312114"/>
      <w:bookmarkEnd w:id="219"/>
      <w:bookmarkStart w:id="220" w:name="_Toc184310307"/>
      <w:bookmarkEnd w:id="220"/>
      <w:bookmarkStart w:id="221" w:name="_Toc184310282"/>
      <w:bookmarkEnd w:id="221"/>
      <w:bookmarkStart w:id="222" w:name="_Toc184313293"/>
      <w:bookmarkEnd w:id="222"/>
      <w:bookmarkStart w:id="223" w:name="_Toc184310284"/>
      <w:bookmarkEnd w:id="223"/>
      <w:bookmarkStart w:id="224" w:name="_Toc184314474"/>
      <w:bookmarkEnd w:id="224"/>
      <w:bookmarkStart w:id="225" w:name="_Toc184313247"/>
      <w:bookmarkEnd w:id="225"/>
      <w:bookmarkStart w:id="226" w:name="_Toc184312111"/>
      <w:bookmarkEnd w:id="226"/>
      <w:bookmarkStart w:id="227" w:name="_Toc184310309"/>
      <w:bookmarkEnd w:id="227"/>
      <w:bookmarkStart w:id="228" w:name="_Toc184314438"/>
      <w:bookmarkEnd w:id="228"/>
      <w:bookmarkStart w:id="229" w:name="_Toc184313265"/>
      <w:bookmarkEnd w:id="229"/>
      <w:bookmarkStart w:id="230" w:name="_Toc184308037"/>
      <w:bookmarkEnd w:id="230"/>
      <w:bookmarkStart w:id="231" w:name="_Toc184312127"/>
      <w:bookmarkEnd w:id="231"/>
      <w:bookmarkStart w:id="232" w:name="_Toc184312068"/>
      <w:bookmarkEnd w:id="232"/>
      <w:bookmarkStart w:id="233" w:name="_Toc184308099"/>
      <w:bookmarkEnd w:id="233"/>
      <w:bookmarkStart w:id="234" w:name="_Toc184314443"/>
      <w:bookmarkEnd w:id="234"/>
      <w:bookmarkStart w:id="235" w:name="_Toc184314415"/>
      <w:bookmarkEnd w:id="235"/>
      <w:bookmarkStart w:id="236" w:name="_Toc184314430"/>
      <w:bookmarkEnd w:id="236"/>
      <w:bookmarkStart w:id="237" w:name="_Toc184310339"/>
      <w:bookmarkEnd w:id="237"/>
      <w:bookmarkStart w:id="238" w:name="_Toc184310314"/>
      <w:bookmarkEnd w:id="238"/>
      <w:bookmarkStart w:id="239" w:name="_Toc184312082"/>
      <w:bookmarkEnd w:id="239"/>
      <w:bookmarkStart w:id="240" w:name="_Toc184314434"/>
      <w:bookmarkEnd w:id="240"/>
      <w:bookmarkStart w:id="241" w:name="_Toc184310272"/>
      <w:bookmarkEnd w:id="241"/>
      <w:bookmarkStart w:id="242" w:name="_Toc184308039"/>
      <w:bookmarkEnd w:id="242"/>
      <w:bookmarkStart w:id="243" w:name="_Toc184310273"/>
      <w:bookmarkEnd w:id="243"/>
      <w:bookmarkStart w:id="244" w:name="_Toc184308095"/>
      <w:bookmarkEnd w:id="244"/>
      <w:bookmarkStart w:id="245" w:name="_Toc184308047"/>
      <w:bookmarkEnd w:id="245"/>
      <w:bookmarkStart w:id="246" w:name="_Toc184312120"/>
      <w:bookmarkEnd w:id="246"/>
      <w:bookmarkStart w:id="247" w:name="_Toc184314428"/>
      <w:bookmarkEnd w:id="247"/>
      <w:bookmarkStart w:id="248" w:name="_Toc184308093"/>
      <w:bookmarkEnd w:id="248"/>
      <w:bookmarkStart w:id="249" w:name="_Toc184314445"/>
      <w:bookmarkEnd w:id="249"/>
      <w:bookmarkStart w:id="250" w:name="_Toc184312074"/>
      <w:bookmarkEnd w:id="250"/>
      <w:bookmarkStart w:id="251" w:name="_Toc184314456"/>
      <w:bookmarkEnd w:id="251"/>
      <w:bookmarkStart w:id="252" w:name="_Toc184310341"/>
      <w:bookmarkEnd w:id="252"/>
      <w:bookmarkStart w:id="253" w:name="_Toc184312130"/>
      <w:bookmarkEnd w:id="253"/>
      <w:bookmarkStart w:id="254" w:name="_Toc184312115"/>
      <w:bookmarkEnd w:id="254"/>
      <w:bookmarkStart w:id="255" w:name="_Toc184308072"/>
      <w:bookmarkEnd w:id="255"/>
      <w:bookmarkStart w:id="256" w:name="_Toc184313305"/>
      <w:bookmarkEnd w:id="256"/>
      <w:bookmarkStart w:id="257" w:name="_Toc184312104"/>
      <w:bookmarkEnd w:id="257"/>
      <w:bookmarkStart w:id="258" w:name="_Toc184313239"/>
      <w:bookmarkEnd w:id="258"/>
      <w:bookmarkStart w:id="259" w:name="_Toc184314450"/>
      <w:bookmarkEnd w:id="259"/>
      <w:bookmarkStart w:id="260" w:name="_Toc184308060"/>
      <w:bookmarkEnd w:id="260"/>
      <w:bookmarkStart w:id="261" w:name="_Toc184312072"/>
      <w:bookmarkEnd w:id="261"/>
      <w:bookmarkStart w:id="262" w:name="_Toc184313273"/>
      <w:bookmarkEnd w:id="262"/>
      <w:bookmarkStart w:id="263" w:name="_Toc184312126"/>
      <w:bookmarkEnd w:id="263"/>
      <w:bookmarkStart w:id="264" w:name="_Toc184314469"/>
      <w:bookmarkEnd w:id="264"/>
      <w:bookmarkStart w:id="265" w:name="_Toc184312093"/>
      <w:bookmarkEnd w:id="265"/>
      <w:bookmarkStart w:id="266" w:name="_Toc184312094"/>
      <w:bookmarkEnd w:id="266"/>
      <w:bookmarkStart w:id="267" w:name="_Toc184310327"/>
      <w:bookmarkEnd w:id="267"/>
      <w:bookmarkStart w:id="268" w:name="_Toc184310332"/>
      <w:bookmarkEnd w:id="268"/>
      <w:bookmarkStart w:id="269" w:name="_Toc184308070"/>
      <w:bookmarkEnd w:id="269"/>
      <w:bookmarkStart w:id="270" w:name="_Toc184308052"/>
      <w:bookmarkEnd w:id="270"/>
      <w:bookmarkStart w:id="271" w:name="_Toc184310280"/>
      <w:bookmarkEnd w:id="271"/>
      <w:bookmarkStart w:id="272" w:name="_Toc184313250"/>
      <w:bookmarkEnd w:id="272"/>
      <w:bookmarkStart w:id="273" w:name="_Toc184310302"/>
      <w:bookmarkEnd w:id="273"/>
      <w:bookmarkStart w:id="274" w:name="_Toc184308076"/>
      <w:bookmarkEnd w:id="274"/>
      <w:bookmarkStart w:id="275" w:name="_Toc184313310"/>
      <w:bookmarkEnd w:id="275"/>
      <w:bookmarkStart w:id="276" w:name="_Toc184313284"/>
      <w:bookmarkEnd w:id="276"/>
      <w:bookmarkStart w:id="277" w:name="_Toc184314444"/>
      <w:bookmarkEnd w:id="277"/>
      <w:bookmarkStart w:id="278" w:name="_Toc184313269"/>
      <w:bookmarkEnd w:id="278"/>
      <w:bookmarkStart w:id="279" w:name="_Toc184314464"/>
      <w:bookmarkEnd w:id="279"/>
      <w:bookmarkStart w:id="280" w:name="_Toc184314413"/>
      <w:bookmarkEnd w:id="280"/>
      <w:bookmarkStart w:id="281" w:name="_Toc184310336"/>
      <w:bookmarkEnd w:id="281"/>
      <w:bookmarkStart w:id="282" w:name="_Toc184310319"/>
      <w:bookmarkEnd w:id="282"/>
      <w:bookmarkStart w:id="283" w:name="_Toc184310323"/>
      <w:bookmarkEnd w:id="283"/>
      <w:bookmarkStart w:id="284" w:name="_Toc184310285"/>
      <w:bookmarkEnd w:id="284"/>
      <w:bookmarkStart w:id="285" w:name="_Toc184314446"/>
      <w:bookmarkEnd w:id="285"/>
      <w:bookmarkStart w:id="286" w:name="_Toc184313277"/>
      <w:bookmarkEnd w:id="286"/>
      <w:bookmarkStart w:id="287" w:name="_Toc184314411"/>
      <w:bookmarkEnd w:id="287"/>
      <w:bookmarkStart w:id="288" w:name="_Toc184312078"/>
      <w:bookmarkEnd w:id="288"/>
      <w:bookmarkStart w:id="289" w:name="_Toc184313276"/>
      <w:bookmarkEnd w:id="289"/>
      <w:bookmarkStart w:id="290" w:name="_Toc184314427"/>
      <w:bookmarkEnd w:id="290"/>
      <w:bookmarkStart w:id="291" w:name="_Toc184312124"/>
      <w:bookmarkEnd w:id="291"/>
      <w:bookmarkStart w:id="292" w:name="_Toc184310304"/>
      <w:bookmarkEnd w:id="292"/>
      <w:bookmarkStart w:id="293" w:name="_Toc184314468"/>
      <w:bookmarkEnd w:id="293"/>
      <w:bookmarkStart w:id="294" w:name="_Toc184312136"/>
      <w:bookmarkEnd w:id="294"/>
      <w:bookmarkStart w:id="295" w:name="_Toc184310296"/>
      <w:bookmarkEnd w:id="295"/>
      <w:bookmarkStart w:id="296" w:name="_Toc184308078"/>
      <w:bookmarkEnd w:id="296"/>
      <w:bookmarkStart w:id="297" w:name="_Toc184314448"/>
      <w:bookmarkEnd w:id="297"/>
      <w:bookmarkStart w:id="298" w:name="_Toc184310278"/>
      <w:bookmarkEnd w:id="298"/>
      <w:bookmarkStart w:id="299" w:name="_Toc184308046"/>
      <w:bookmarkEnd w:id="299"/>
      <w:bookmarkStart w:id="300" w:name="_Toc184312091"/>
      <w:bookmarkEnd w:id="300"/>
      <w:bookmarkStart w:id="301" w:name="_Toc184313260"/>
      <w:bookmarkEnd w:id="301"/>
      <w:bookmarkStart w:id="302" w:name="_Toc184312095"/>
      <w:bookmarkEnd w:id="302"/>
      <w:bookmarkStart w:id="303" w:name="_Toc184313308"/>
      <w:bookmarkEnd w:id="303"/>
      <w:bookmarkStart w:id="304" w:name="_Toc184314478"/>
      <w:bookmarkEnd w:id="304"/>
      <w:bookmarkStart w:id="305" w:name="_Toc184313292"/>
      <w:bookmarkEnd w:id="305"/>
      <w:bookmarkStart w:id="306" w:name="_Toc184312125"/>
      <w:bookmarkEnd w:id="306"/>
      <w:bookmarkStart w:id="307" w:name="_Toc184308042"/>
      <w:bookmarkEnd w:id="307"/>
      <w:bookmarkStart w:id="308" w:name="_Toc184313307"/>
      <w:bookmarkEnd w:id="308"/>
      <w:bookmarkStart w:id="309" w:name="_Toc184313309"/>
      <w:bookmarkEnd w:id="309"/>
      <w:bookmarkStart w:id="310" w:name="_Toc184308100"/>
      <w:bookmarkEnd w:id="310"/>
      <w:bookmarkStart w:id="311" w:name="_Toc184308094"/>
      <w:bookmarkEnd w:id="311"/>
      <w:bookmarkStart w:id="312" w:name="_Toc184314482"/>
      <w:bookmarkEnd w:id="312"/>
      <w:bookmarkStart w:id="313" w:name="_Toc184314418"/>
      <w:bookmarkEnd w:id="313"/>
      <w:bookmarkStart w:id="314" w:name="_Toc184308051"/>
      <w:bookmarkEnd w:id="314"/>
      <w:bookmarkStart w:id="315" w:name="_Toc184308062"/>
      <w:bookmarkEnd w:id="315"/>
      <w:bookmarkStart w:id="316" w:name="_Toc184312099"/>
      <w:bookmarkEnd w:id="316"/>
      <w:bookmarkStart w:id="317" w:name="_Toc184314435"/>
      <w:bookmarkEnd w:id="317"/>
      <w:bookmarkStart w:id="318" w:name="_Toc184312069"/>
      <w:bookmarkEnd w:id="318"/>
      <w:bookmarkStart w:id="319" w:name="_Toc184308103"/>
      <w:bookmarkEnd w:id="319"/>
      <w:bookmarkStart w:id="320" w:name="_Toc184313306"/>
      <w:bookmarkEnd w:id="320"/>
      <w:bookmarkStart w:id="321" w:name="_Toc184310343"/>
      <w:bookmarkEnd w:id="321"/>
      <w:bookmarkStart w:id="322" w:name="_Toc184308101"/>
      <w:bookmarkEnd w:id="322"/>
      <w:bookmarkStart w:id="323" w:name="_Toc184313244"/>
      <w:bookmarkEnd w:id="323"/>
      <w:bookmarkStart w:id="324" w:name="_Toc184313296"/>
      <w:bookmarkEnd w:id="324"/>
      <w:bookmarkStart w:id="325" w:name="_Toc184314471"/>
      <w:bookmarkEnd w:id="325"/>
      <w:bookmarkStart w:id="326" w:name="_Toc184312088"/>
      <w:bookmarkEnd w:id="326"/>
      <w:bookmarkStart w:id="327" w:name="_Toc184310334"/>
      <w:bookmarkEnd w:id="327"/>
      <w:bookmarkStart w:id="328" w:name="_Toc184314424"/>
      <w:bookmarkEnd w:id="328"/>
      <w:bookmarkStart w:id="329" w:name="_Toc184308079"/>
      <w:bookmarkEnd w:id="329"/>
      <w:bookmarkStart w:id="330" w:name="_Toc184308081"/>
      <w:bookmarkEnd w:id="330"/>
      <w:bookmarkStart w:id="331" w:name="_Toc184314423"/>
      <w:bookmarkEnd w:id="331"/>
      <w:bookmarkStart w:id="332" w:name="_Toc184310335"/>
      <w:bookmarkEnd w:id="332"/>
      <w:bookmarkStart w:id="333" w:name="_Toc184312131"/>
      <w:bookmarkEnd w:id="333"/>
      <w:bookmarkStart w:id="334" w:name="_Toc184308049"/>
      <w:bookmarkEnd w:id="334"/>
      <w:bookmarkStart w:id="335" w:name="_Toc184308106"/>
      <w:bookmarkEnd w:id="335"/>
      <w:bookmarkStart w:id="336" w:name="_Toc184308083"/>
      <w:bookmarkEnd w:id="336"/>
      <w:bookmarkStart w:id="337" w:name="_Toc184310306"/>
      <w:bookmarkEnd w:id="337"/>
      <w:bookmarkStart w:id="338" w:name="_Toc184313302"/>
      <w:bookmarkEnd w:id="338"/>
      <w:bookmarkStart w:id="339" w:name="_Toc184308053"/>
      <w:bookmarkEnd w:id="339"/>
      <w:bookmarkStart w:id="340" w:name="_Toc184308061"/>
      <w:bookmarkEnd w:id="340"/>
      <w:bookmarkStart w:id="341" w:name="_Toc184310293"/>
      <w:bookmarkEnd w:id="341"/>
      <w:bookmarkStart w:id="342" w:name="_Toc184308074"/>
      <w:bookmarkEnd w:id="342"/>
      <w:bookmarkStart w:id="343" w:name="_Toc184314460"/>
      <w:bookmarkEnd w:id="343"/>
      <w:bookmarkStart w:id="344" w:name="_Toc184314463"/>
      <w:bookmarkEnd w:id="344"/>
      <w:bookmarkStart w:id="345" w:name="_Toc184314437"/>
      <w:bookmarkEnd w:id="345"/>
      <w:bookmarkStart w:id="346" w:name="_Toc184314472"/>
      <w:bookmarkEnd w:id="346"/>
      <w:bookmarkStart w:id="347" w:name="_Toc184312100"/>
      <w:bookmarkEnd w:id="347"/>
      <w:bookmarkStart w:id="348" w:name="_Toc184312117"/>
      <w:bookmarkEnd w:id="348"/>
      <w:bookmarkStart w:id="349" w:name="_Toc184314429"/>
      <w:bookmarkEnd w:id="349"/>
      <w:bookmarkStart w:id="350" w:name="_Toc184313253"/>
      <w:bookmarkEnd w:id="350"/>
      <w:bookmarkStart w:id="351" w:name="_Toc184308104"/>
      <w:bookmarkEnd w:id="351"/>
      <w:bookmarkStart w:id="352" w:name="_Toc184314414"/>
      <w:bookmarkEnd w:id="352"/>
      <w:bookmarkStart w:id="353" w:name="_Toc184308089"/>
      <w:bookmarkEnd w:id="353"/>
      <w:bookmarkStart w:id="354" w:name="_Toc184312079"/>
      <w:bookmarkEnd w:id="354"/>
      <w:bookmarkStart w:id="355" w:name="_Toc184308064"/>
      <w:bookmarkEnd w:id="355"/>
      <w:bookmarkStart w:id="356" w:name="_Toc184314447"/>
      <w:bookmarkEnd w:id="356"/>
      <w:bookmarkStart w:id="357" w:name="_Toc184308084"/>
      <w:bookmarkEnd w:id="357"/>
      <w:bookmarkStart w:id="358" w:name="_Toc184308055"/>
      <w:bookmarkEnd w:id="358"/>
      <w:bookmarkStart w:id="359" w:name="_Toc184314476"/>
      <w:bookmarkEnd w:id="359"/>
      <w:bookmarkStart w:id="360" w:name="_Toc184312090"/>
      <w:bookmarkEnd w:id="360"/>
      <w:bookmarkStart w:id="361" w:name="_Toc184314451"/>
      <w:bookmarkEnd w:id="361"/>
      <w:bookmarkStart w:id="362" w:name="_Toc184308080"/>
      <w:bookmarkEnd w:id="362"/>
      <w:bookmarkStart w:id="363" w:name="_Toc184308085"/>
      <w:bookmarkEnd w:id="363"/>
      <w:bookmarkStart w:id="364" w:name="_Toc184313283"/>
      <w:bookmarkEnd w:id="364"/>
      <w:bookmarkStart w:id="365" w:name="_Toc184314439"/>
      <w:bookmarkEnd w:id="365"/>
      <w:bookmarkStart w:id="366" w:name="_Toc184310275"/>
      <w:bookmarkEnd w:id="366"/>
      <w:bookmarkStart w:id="367" w:name="_Toc184308097"/>
      <w:bookmarkEnd w:id="367"/>
      <w:bookmarkStart w:id="368" w:name="_Toc184310295"/>
      <w:bookmarkEnd w:id="368"/>
      <w:bookmarkStart w:id="369" w:name="_Toc184312128"/>
      <w:bookmarkEnd w:id="369"/>
      <w:bookmarkStart w:id="370" w:name="_Toc184310313"/>
      <w:bookmarkEnd w:id="370"/>
      <w:bookmarkStart w:id="371" w:name="_Toc184313271"/>
      <w:bookmarkEnd w:id="371"/>
      <w:bookmarkStart w:id="372" w:name="_Toc184308071"/>
      <w:bookmarkEnd w:id="372"/>
      <w:bookmarkStart w:id="373" w:name="_Toc184313280"/>
      <w:bookmarkEnd w:id="373"/>
      <w:bookmarkStart w:id="374" w:name="_Toc184308098"/>
      <w:bookmarkEnd w:id="374"/>
      <w:bookmarkStart w:id="375" w:name="_Toc184313241"/>
      <w:bookmarkEnd w:id="375"/>
      <w:bookmarkStart w:id="376" w:name="_Toc184312113"/>
      <w:bookmarkEnd w:id="376"/>
      <w:bookmarkStart w:id="377" w:name="_Toc184310344"/>
      <w:bookmarkEnd w:id="377"/>
      <w:bookmarkStart w:id="378" w:name="_Toc184314475"/>
      <w:bookmarkEnd w:id="378"/>
      <w:bookmarkStart w:id="379" w:name="_Toc184313248"/>
      <w:bookmarkEnd w:id="379"/>
      <w:bookmarkStart w:id="380" w:name="_Toc184310324"/>
      <w:bookmarkEnd w:id="380"/>
      <w:bookmarkStart w:id="381" w:name="_Toc184314465"/>
      <w:bookmarkEnd w:id="381"/>
      <w:bookmarkStart w:id="382" w:name="_Toc184313304"/>
      <w:bookmarkEnd w:id="382"/>
      <w:bookmarkStart w:id="383" w:name="_Toc184314480"/>
      <w:bookmarkEnd w:id="383"/>
      <w:bookmarkStart w:id="384" w:name="_Toc184308102"/>
      <w:bookmarkEnd w:id="384"/>
      <w:bookmarkStart w:id="385" w:name="_Toc184312076"/>
      <w:bookmarkEnd w:id="385"/>
      <w:bookmarkStart w:id="386" w:name="_Toc184313254"/>
      <w:bookmarkEnd w:id="386"/>
      <w:bookmarkStart w:id="387" w:name="_Toc184310286"/>
      <w:bookmarkEnd w:id="387"/>
      <w:bookmarkStart w:id="388" w:name="_Toc184313274"/>
      <w:bookmarkEnd w:id="388"/>
      <w:bookmarkStart w:id="389" w:name="_Toc184310318"/>
      <w:bookmarkEnd w:id="389"/>
      <w:bookmarkStart w:id="390" w:name="_Toc184310298"/>
      <w:bookmarkEnd w:id="390"/>
      <w:bookmarkStart w:id="391" w:name="_Toc184313255"/>
      <w:bookmarkEnd w:id="391"/>
      <w:bookmarkStart w:id="392" w:name="_Toc184313282"/>
      <w:bookmarkEnd w:id="392"/>
      <w:bookmarkStart w:id="393" w:name="_Toc184312138"/>
      <w:bookmarkEnd w:id="393"/>
      <w:bookmarkStart w:id="394" w:name="_Toc184314479"/>
      <w:bookmarkEnd w:id="394"/>
      <w:bookmarkStart w:id="395" w:name="_Toc184312103"/>
      <w:bookmarkEnd w:id="395"/>
      <w:bookmarkStart w:id="396" w:name="_Toc184314453"/>
      <w:bookmarkEnd w:id="396"/>
      <w:bookmarkStart w:id="397" w:name="_Toc184314412"/>
      <w:bookmarkEnd w:id="397"/>
      <w:bookmarkStart w:id="398" w:name="_Toc184308043"/>
      <w:bookmarkEnd w:id="398"/>
      <w:bookmarkStart w:id="399" w:name="_Toc184312110"/>
      <w:bookmarkEnd w:id="399"/>
      <w:bookmarkStart w:id="400" w:name="_Toc184314431"/>
      <w:bookmarkEnd w:id="400"/>
      <w:bookmarkStart w:id="401" w:name="_Toc184310299"/>
      <w:bookmarkEnd w:id="401"/>
      <w:bookmarkStart w:id="402" w:name="_Toc184310328"/>
      <w:bookmarkEnd w:id="402"/>
      <w:bookmarkStart w:id="403" w:name="_Toc184308048"/>
      <w:bookmarkEnd w:id="403"/>
      <w:bookmarkStart w:id="404" w:name="_Toc184313249"/>
      <w:bookmarkEnd w:id="404"/>
      <w:bookmarkStart w:id="405" w:name="_Toc184310300"/>
      <w:bookmarkEnd w:id="405"/>
      <w:bookmarkStart w:id="406" w:name="_Toc184312101"/>
      <w:bookmarkEnd w:id="406"/>
      <w:bookmarkStart w:id="407" w:name="_Toc184314440"/>
      <w:bookmarkEnd w:id="407"/>
      <w:bookmarkStart w:id="408" w:name="_Toc184312133"/>
      <w:bookmarkEnd w:id="408"/>
      <w:bookmarkStart w:id="409" w:name="_Toc184308054"/>
      <w:bookmarkEnd w:id="409"/>
      <w:bookmarkStart w:id="410" w:name="_Toc184313288"/>
      <w:bookmarkEnd w:id="410"/>
      <w:bookmarkStart w:id="411" w:name="_Toc184314470"/>
      <w:bookmarkEnd w:id="411"/>
      <w:bookmarkStart w:id="412" w:name="_Toc184313242"/>
      <w:bookmarkEnd w:id="412"/>
      <w:bookmarkStart w:id="413" w:name="_Toc184312089"/>
      <w:bookmarkEnd w:id="413"/>
      <w:bookmarkStart w:id="414" w:name="_Toc184312135"/>
      <w:bookmarkEnd w:id="414"/>
      <w:bookmarkStart w:id="415" w:name="_Toc184310279"/>
      <w:bookmarkEnd w:id="415"/>
      <w:bookmarkStart w:id="416" w:name="_Toc184314416"/>
      <w:bookmarkEnd w:id="416"/>
      <w:bookmarkStart w:id="417" w:name="_Toc184312097"/>
      <w:bookmarkEnd w:id="417"/>
      <w:bookmarkStart w:id="418" w:name="_Toc184312092"/>
      <w:bookmarkEnd w:id="418"/>
      <w:bookmarkStart w:id="419" w:name="_Toc184313270"/>
      <w:bookmarkEnd w:id="419"/>
      <w:bookmarkStart w:id="420" w:name="_Toc184314467"/>
      <w:bookmarkEnd w:id="420"/>
      <w:bookmarkStart w:id="421" w:name="_Toc184312085"/>
      <w:bookmarkEnd w:id="421"/>
      <w:bookmarkStart w:id="422" w:name="_Toc184314422"/>
      <w:bookmarkEnd w:id="422"/>
      <w:bookmarkStart w:id="423" w:name="_Toc184308090"/>
      <w:bookmarkEnd w:id="423"/>
      <w:bookmarkStart w:id="424" w:name="_Toc184310288"/>
      <w:bookmarkEnd w:id="424"/>
      <w:bookmarkStart w:id="425" w:name="_Toc184310294"/>
      <w:bookmarkEnd w:id="425"/>
      <w:bookmarkStart w:id="426" w:name="_Toc184313251"/>
      <w:bookmarkEnd w:id="426"/>
      <w:bookmarkStart w:id="427" w:name="_Toc184308088"/>
      <w:bookmarkEnd w:id="427"/>
      <w:bookmarkStart w:id="428" w:name="_Toc184314462"/>
      <w:bookmarkEnd w:id="428"/>
      <w:bookmarkStart w:id="429" w:name="_Toc184312081"/>
      <w:bookmarkEnd w:id="429"/>
      <w:bookmarkStart w:id="430" w:name="_Toc184312083"/>
      <w:bookmarkEnd w:id="430"/>
      <w:bookmarkStart w:id="431" w:name="_Toc184312067"/>
      <w:bookmarkEnd w:id="431"/>
      <w:bookmarkStart w:id="432" w:name="_Toc184308038"/>
      <w:bookmarkEnd w:id="432"/>
      <w:bookmarkStart w:id="433" w:name="_Toc184310292"/>
      <w:bookmarkEnd w:id="433"/>
      <w:bookmarkStart w:id="434" w:name="_Toc184312105"/>
      <w:bookmarkEnd w:id="434"/>
      <w:bookmarkStart w:id="435" w:name="_Toc184313243"/>
      <w:bookmarkEnd w:id="435"/>
      <w:bookmarkStart w:id="436" w:name="_Toc184308057"/>
      <w:bookmarkEnd w:id="436"/>
      <w:bookmarkStart w:id="437" w:name="_Toc184313261"/>
      <w:bookmarkEnd w:id="437"/>
      <w:bookmarkStart w:id="438" w:name="_Toc184313266"/>
      <w:bookmarkEnd w:id="438"/>
      <w:bookmarkStart w:id="439" w:name="_Toc184312070"/>
      <w:bookmarkEnd w:id="439"/>
      <w:bookmarkStart w:id="440" w:name="_Toc184308065"/>
      <w:bookmarkEnd w:id="440"/>
      <w:bookmarkStart w:id="441" w:name="_Toc184314473"/>
      <w:bookmarkEnd w:id="441"/>
      <w:bookmarkStart w:id="442" w:name="_Toc184312107"/>
      <w:bookmarkEnd w:id="442"/>
      <w:bookmarkStart w:id="443" w:name="_Toc184310311"/>
      <w:bookmarkEnd w:id="443"/>
      <w:bookmarkStart w:id="444" w:name="_Toc184308077"/>
      <w:bookmarkEnd w:id="444"/>
      <w:bookmarkStart w:id="445" w:name="_Toc184312084"/>
      <w:bookmarkEnd w:id="445"/>
      <w:bookmarkStart w:id="446" w:name="_Toc184308092"/>
      <w:bookmarkEnd w:id="446"/>
      <w:bookmarkStart w:id="447" w:name="_Toc184313297"/>
      <w:bookmarkEnd w:id="447"/>
      <w:bookmarkStart w:id="448" w:name="_Toc184314420"/>
      <w:bookmarkEnd w:id="448"/>
      <w:bookmarkStart w:id="449" w:name="_Toc184314419"/>
      <w:bookmarkEnd w:id="449"/>
      <w:bookmarkStart w:id="450" w:name="_Toc184310308"/>
      <w:bookmarkEnd w:id="450"/>
      <w:r>
        <w:rPr>
          <w:rFonts w:hint="eastAsia" w:ascii="宋体" w:hAnsi="宋体" w:cs="宋体"/>
          <w:b/>
          <w:color w:val="auto"/>
          <w:sz w:val="36"/>
          <w:szCs w:val="36"/>
          <w:highlight w:val="none"/>
        </w:rPr>
        <w:t>评标办法</w:t>
      </w:r>
    </w:p>
    <w:p>
      <w:pPr>
        <w:pStyle w:val="153"/>
        <w:widowControl w:val="0"/>
        <w:wordWrap/>
        <w:adjustRightInd w:val="0"/>
        <w:spacing w:before="0" w:line="360" w:lineRule="auto"/>
        <w:ind w:left="0" w:leftChars="0" w:right="0" w:firstLine="602" w:firstLineChars="250"/>
        <w:jc w:val="both"/>
        <w:textAlignment w:val="auto"/>
        <w:outlineLvl w:val="9"/>
        <w:rPr>
          <w:rFonts w:hint="eastAsia" w:ascii="宋体" w:hAnsi="宋体"/>
          <w:color w:val="auto"/>
          <w:highlight w:val="none"/>
        </w:rPr>
      </w:pPr>
      <w:r>
        <w:rPr>
          <w:rFonts w:hint="eastAsia" w:ascii="宋体" w:hAnsi="宋体"/>
          <w:b/>
          <w:color w:val="auto"/>
          <w:highlight w:val="none"/>
          <w:lang w:val="en-US" w:eastAsia="zh-CN"/>
        </w:rPr>
        <w:t>1.</w:t>
      </w:r>
      <w:r>
        <w:rPr>
          <w:rFonts w:hint="eastAsia" w:ascii="宋体" w:hAnsi="宋体"/>
          <w:b/>
          <w:color w:val="auto"/>
          <w:highlight w:val="none"/>
        </w:rPr>
        <w:t>本次评标采用</w:t>
      </w:r>
      <w:bookmarkStart w:id="451" w:name="ruleMainCatName2"/>
      <w:r>
        <w:rPr>
          <w:rFonts w:hint="eastAsia" w:ascii="宋体" w:hAnsi="宋体"/>
          <w:b/>
          <w:color w:val="auto"/>
          <w:highlight w:val="none"/>
        </w:rPr>
        <w:t>综合评分法</w:t>
      </w:r>
      <w:bookmarkEnd w:id="451"/>
      <w:r>
        <w:rPr>
          <w:rFonts w:hint="eastAsia" w:ascii="宋体" w:hAnsi="宋体"/>
          <w:b/>
          <w:color w:val="auto"/>
          <w:highlight w:val="none"/>
        </w:rPr>
        <w:t>，总分为100分。</w:t>
      </w:r>
      <w:r>
        <w:rPr>
          <w:rFonts w:hint="eastAsia" w:ascii="宋体" w:hAnsi="宋体"/>
          <w:color w:val="auto"/>
          <w:highlight w:val="none"/>
        </w:rPr>
        <w:t>合格投标人的评标得分为各项目汇总得分，中标候选资格按评标得分由高到低顺序排列，得分相同的，按投标报价由低到高顺序排列；得分且投标报价相同的，按技术指标优劣顺序排列。排名第一的投标人为第一中标候选人。评分过程中采用四舍五入法，并保留小数2位。</w:t>
      </w:r>
    </w:p>
    <w:p>
      <w:pPr>
        <w:pStyle w:val="153"/>
        <w:widowControl w:val="0"/>
        <w:wordWrap/>
        <w:adjustRightInd w:val="0"/>
        <w:spacing w:before="0" w:line="360" w:lineRule="auto"/>
        <w:ind w:left="0" w:leftChars="0" w:right="0" w:firstLine="600" w:firstLineChars="250"/>
        <w:jc w:val="both"/>
        <w:textAlignment w:val="auto"/>
        <w:outlineLvl w:val="9"/>
        <w:rPr>
          <w:rFonts w:hint="eastAsia" w:ascii="宋体" w:hAnsi="宋体"/>
          <w:color w:val="auto"/>
          <w:highlight w:val="none"/>
        </w:rPr>
      </w:pPr>
      <w:r>
        <w:rPr>
          <w:rFonts w:hint="eastAsia" w:ascii="宋体" w:hAnsi="宋体"/>
          <w:color w:val="auto"/>
          <w:highlight w:val="none"/>
        </w:rPr>
        <w:t>投标人评标综合得分=价格分+(技术、商务分)</w:t>
      </w:r>
    </w:p>
    <w:p>
      <w:pPr>
        <w:pStyle w:val="153"/>
        <w:widowControl w:val="0"/>
        <w:wordWrap/>
        <w:adjustRightInd w:val="0"/>
        <w:spacing w:before="0" w:line="360" w:lineRule="auto"/>
        <w:ind w:left="0" w:leftChars="0" w:right="0" w:firstLine="600" w:firstLineChars="250"/>
        <w:jc w:val="both"/>
        <w:textAlignment w:val="auto"/>
        <w:outlineLvl w:val="9"/>
        <w:rPr>
          <w:rFonts w:hint="eastAsia" w:ascii="宋体" w:hAnsi="宋体"/>
          <w:color w:val="auto"/>
          <w:highlight w:val="none"/>
        </w:rPr>
      </w:pPr>
      <w:r>
        <w:rPr>
          <w:rFonts w:hint="eastAsia" w:ascii="宋体" w:hAnsi="宋体"/>
          <w:color w:val="auto"/>
          <w:highlight w:val="none"/>
        </w:rPr>
        <w:t>评标内容及标准</w:t>
      </w:r>
    </w:p>
    <w:p>
      <w:pPr>
        <w:pStyle w:val="153"/>
        <w:widowControl w:val="0"/>
        <w:wordWrap/>
        <w:adjustRightInd w:val="0"/>
        <w:spacing w:before="0" w:line="360" w:lineRule="auto"/>
        <w:ind w:left="0" w:leftChars="0" w:right="0" w:firstLine="602" w:firstLineChars="250"/>
        <w:jc w:val="both"/>
        <w:textAlignment w:val="auto"/>
        <w:outlineLvl w:val="9"/>
        <w:rPr>
          <w:rFonts w:hint="eastAsia" w:ascii="宋体" w:hAnsi="宋体"/>
          <w:b/>
          <w:color w:val="auto"/>
          <w:highlight w:val="none"/>
        </w:rPr>
      </w:pPr>
      <w:r>
        <w:rPr>
          <w:rFonts w:hint="eastAsia" w:ascii="宋体" w:hAnsi="宋体"/>
          <w:b/>
          <w:color w:val="auto"/>
          <w:highlight w:val="none"/>
        </w:rPr>
        <w:t>价格分（</w:t>
      </w:r>
      <w:r>
        <w:rPr>
          <w:rFonts w:hint="eastAsia" w:ascii="宋体" w:hAnsi="宋体"/>
          <w:b/>
          <w:color w:val="auto"/>
          <w:highlight w:val="none"/>
          <w:lang w:val="en-US" w:eastAsia="zh-CN"/>
        </w:rPr>
        <w:t>20</w:t>
      </w:r>
      <w:r>
        <w:rPr>
          <w:rFonts w:hint="eastAsia" w:ascii="宋体" w:hAnsi="宋体"/>
          <w:b/>
          <w:color w:val="auto"/>
          <w:highlight w:val="none"/>
        </w:rPr>
        <w:t>分）</w:t>
      </w:r>
    </w:p>
    <w:p>
      <w:pPr>
        <w:pStyle w:val="153"/>
        <w:widowControl w:val="0"/>
        <w:wordWrap/>
        <w:adjustRightInd w:val="0"/>
        <w:spacing w:before="0" w:line="360" w:lineRule="auto"/>
        <w:ind w:left="0" w:leftChars="0" w:right="0" w:firstLine="600" w:firstLineChars="250"/>
        <w:jc w:val="both"/>
        <w:textAlignment w:val="auto"/>
        <w:outlineLvl w:val="9"/>
        <w:rPr>
          <w:rFonts w:hint="eastAsia" w:ascii="宋体" w:hAnsi="宋体"/>
          <w:color w:val="auto"/>
          <w:highlight w:val="none"/>
        </w:rPr>
      </w:pPr>
      <w:r>
        <w:rPr>
          <w:rFonts w:hint="eastAsia" w:ascii="宋体" w:hAnsi="宋体"/>
          <w:color w:val="auto"/>
          <w:highlight w:val="none"/>
        </w:rPr>
        <w:t>投标价格的合理性：分析投标价格是否合理，投标价格范围是否完整，有否重大错漏项。投标价格分计算方法：满足招标文件要求且投标价格最低的投标报价为评标基准价，其他投标人的价格分统一按照下列公式计算：投标报价得分=(评标基准价／投标报价)×</w:t>
      </w:r>
      <w:r>
        <w:rPr>
          <w:rFonts w:hint="eastAsia" w:ascii="宋体" w:hAnsi="宋体"/>
          <w:color w:val="auto"/>
          <w:highlight w:val="none"/>
          <w:lang w:val="en-US" w:eastAsia="zh-CN"/>
        </w:rPr>
        <w:t>20</w:t>
      </w:r>
      <w:r>
        <w:rPr>
          <w:rFonts w:hint="eastAsia" w:ascii="宋体" w:hAnsi="宋体"/>
          <w:color w:val="auto"/>
          <w:highlight w:val="none"/>
        </w:rPr>
        <w:t>（精确到小数点后二位，四舍五入）。</w:t>
      </w:r>
    </w:p>
    <w:p>
      <w:pPr>
        <w:pStyle w:val="153"/>
        <w:widowControl w:val="0"/>
        <w:wordWrap/>
        <w:adjustRightInd w:val="0"/>
        <w:spacing w:before="0" w:line="360" w:lineRule="auto"/>
        <w:ind w:left="0" w:leftChars="0" w:right="0" w:firstLine="602" w:firstLineChars="250"/>
        <w:jc w:val="both"/>
        <w:textAlignment w:val="auto"/>
        <w:outlineLvl w:val="9"/>
        <w:rPr>
          <w:rFonts w:hint="eastAsia" w:ascii="宋体" w:hAnsi="宋体"/>
          <w:b/>
          <w:color w:val="auto"/>
          <w:highlight w:val="none"/>
        </w:rPr>
      </w:pPr>
      <w:r>
        <w:rPr>
          <w:rFonts w:hint="eastAsia" w:ascii="宋体" w:hAnsi="宋体"/>
          <w:b/>
          <w:color w:val="auto"/>
          <w:highlight w:val="none"/>
        </w:rPr>
        <w:t>技术、商务分（</w:t>
      </w:r>
      <w:r>
        <w:rPr>
          <w:rFonts w:hint="eastAsia" w:ascii="宋体" w:hAnsi="宋体"/>
          <w:b/>
          <w:color w:val="auto"/>
          <w:highlight w:val="none"/>
          <w:lang w:val="en-US" w:eastAsia="zh-CN"/>
        </w:rPr>
        <w:t>80</w:t>
      </w:r>
      <w:r>
        <w:rPr>
          <w:rFonts w:hint="eastAsia" w:ascii="宋体" w:hAnsi="宋体"/>
          <w:b/>
          <w:color w:val="auto"/>
          <w:highlight w:val="none"/>
        </w:rPr>
        <w:t>分）</w:t>
      </w:r>
    </w:p>
    <w:p>
      <w:pPr>
        <w:pStyle w:val="153"/>
        <w:widowControl w:val="0"/>
        <w:wordWrap/>
        <w:adjustRightInd w:val="0"/>
        <w:spacing w:before="0" w:line="360" w:lineRule="auto"/>
        <w:ind w:left="0" w:leftChars="0" w:right="0" w:firstLine="602" w:firstLineChars="250"/>
        <w:jc w:val="both"/>
        <w:textAlignment w:val="auto"/>
        <w:outlineLvl w:val="9"/>
        <w:rPr>
          <w:rFonts w:hint="eastAsia" w:ascii="宋体" w:hAnsi="宋体"/>
          <w:b/>
          <w:color w:val="auto"/>
          <w:highlight w:val="none"/>
        </w:rPr>
      </w:pPr>
      <w:r>
        <w:rPr>
          <w:rFonts w:hint="eastAsia" w:ascii="宋体" w:hAnsi="宋体"/>
          <w:b/>
          <w:color w:val="auto"/>
          <w:highlight w:val="none"/>
        </w:rPr>
        <w:t>技术、商务分的计算：</w:t>
      </w:r>
    </w:p>
    <w:p>
      <w:pPr>
        <w:widowControl w:val="0"/>
        <w:wordWrap/>
        <w:adjustRightInd w:val="0"/>
        <w:snapToGrid w:val="0"/>
        <w:spacing w:line="360" w:lineRule="auto"/>
        <w:ind w:left="0" w:leftChars="0" w:right="0" w:firstLine="480" w:firstLineChars="200"/>
        <w:jc w:val="both"/>
        <w:textAlignment w:val="auto"/>
        <w:outlineLvl w:val="9"/>
        <w:rPr>
          <w:rFonts w:hint="eastAsia" w:ascii="宋体" w:hAnsi="宋体"/>
          <w:color w:val="auto"/>
          <w:sz w:val="24"/>
          <w:szCs w:val="20"/>
          <w:highlight w:val="none"/>
        </w:rPr>
      </w:pPr>
      <w:r>
        <w:rPr>
          <w:rFonts w:hint="eastAsia" w:ascii="宋体" w:hAnsi="宋体"/>
          <w:color w:val="auto"/>
          <w:sz w:val="24"/>
          <w:szCs w:val="20"/>
          <w:highlight w:val="none"/>
        </w:rPr>
        <w:t>技术、商务分的计算：</w:t>
      </w:r>
    </w:p>
    <w:p>
      <w:pPr>
        <w:widowControl w:val="0"/>
        <w:wordWrap/>
        <w:adjustRightInd w:val="0"/>
        <w:snapToGrid w:val="0"/>
        <w:spacing w:line="360" w:lineRule="auto"/>
        <w:ind w:left="0" w:leftChars="0" w:right="0" w:firstLine="480" w:firstLineChars="200"/>
        <w:jc w:val="both"/>
        <w:textAlignment w:val="auto"/>
        <w:outlineLvl w:val="9"/>
        <w:rPr>
          <w:rFonts w:hint="eastAsia" w:ascii="宋体" w:hAnsi="宋体"/>
          <w:color w:val="auto"/>
          <w:sz w:val="24"/>
          <w:szCs w:val="20"/>
          <w:highlight w:val="none"/>
        </w:rPr>
      </w:pPr>
      <w:r>
        <w:rPr>
          <w:rFonts w:hint="eastAsia" w:ascii="宋体" w:hAnsi="宋体"/>
          <w:color w:val="auto"/>
          <w:sz w:val="24"/>
          <w:szCs w:val="20"/>
          <w:highlight w:val="none"/>
        </w:rPr>
        <w:t>技术、商务分按照评标委员会成员的独立评分结果汇总数算术平均分计算，计算公式为：</w:t>
      </w:r>
    </w:p>
    <w:p>
      <w:pPr>
        <w:widowControl w:val="0"/>
        <w:wordWrap/>
        <w:adjustRightInd w:val="0"/>
        <w:snapToGrid w:val="0"/>
        <w:spacing w:line="360" w:lineRule="auto"/>
        <w:ind w:left="0" w:leftChars="0" w:right="0" w:firstLine="480" w:firstLineChars="200"/>
        <w:jc w:val="both"/>
        <w:textAlignment w:val="auto"/>
        <w:outlineLvl w:val="9"/>
        <w:rPr>
          <w:rFonts w:hint="eastAsia" w:ascii="宋体" w:hAnsi="宋体"/>
          <w:color w:val="auto"/>
          <w:sz w:val="24"/>
          <w:szCs w:val="20"/>
          <w:highlight w:val="none"/>
        </w:rPr>
      </w:pPr>
      <w:r>
        <w:rPr>
          <w:rFonts w:hint="eastAsia" w:ascii="宋体" w:hAnsi="宋体"/>
          <w:color w:val="auto"/>
          <w:sz w:val="24"/>
          <w:szCs w:val="20"/>
          <w:highlight w:val="none"/>
        </w:rPr>
        <w:t>技术商务资信及其他分评标委员会所有成员评分合计数/评标委员会组成人员数（精确到小数点后二位）</w:t>
      </w:r>
    </w:p>
    <w:p>
      <w:pPr>
        <w:pStyle w:val="153"/>
        <w:widowControl w:val="0"/>
        <w:numPr>
          <w:numId w:val="0"/>
        </w:numPr>
        <w:wordWrap/>
        <w:adjustRightInd w:val="0"/>
        <w:spacing w:before="0" w:line="360" w:lineRule="auto"/>
        <w:ind w:left="0" w:leftChars="0" w:right="0" w:firstLine="482" w:firstLineChars="200"/>
        <w:jc w:val="both"/>
        <w:textAlignment w:val="auto"/>
        <w:outlineLvl w:val="9"/>
        <w:rPr>
          <w:rFonts w:hint="eastAsia" w:ascii="宋体" w:hAnsi="宋体"/>
          <w:b/>
          <w:color w:val="auto"/>
          <w:highlight w:val="none"/>
        </w:rPr>
      </w:pPr>
      <w:r>
        <w:rPr>
          <w:rFonts w:hint="eastAsia" w:ascii="宋体" w:hAnsi="宋体"/>
          <w:b/>
          <w:color w:val="auto"/>
          <w:highlight w:val="none"/>
          <w:lang w:val="en-US" w:eastAsia="zh-CN"/>
        </w:rPr>
        <w:t>2.评标办法前附表</w:t>
      </w:r>
      <w:r>
        <w:rPr>
          <w:rFonts w:hint="eastAsia" w:ascii="宋体" w:hAnsi="宋体"/>
          <w:b/>
          <w:color w:val="auto"/>
          <w:highlight w:val="none"/>
        </w:rPr>
        <w:t>：</w:t>
      </w:r>
    </w:p>
    <w:p>
      <w:pPr>
        <w:pStyle w:val="153"/>
        <w:widowControl w:val="0"/>
        <w:numPr>
          <w:numId w:val="0"/>
        </w:numPr>
        <w:pBdr>
          <w:top w:val="none" w:color="000000" w:sz="0" w:space="0"/>
          <w:left w:val="none" w:color="000000" w:sz="0" w:space="0"/>
          <w:bottom w:val="none" w:color="000000" w:sz="0" w:space="0"/>
          <w:right w:val="none" w:color="000000" w:sz="0" w:space="0"/>
          <w:between w:val="none" w:color="000000" w:sz="0" w:space="0"/>
        </w:pBdr>
        <w:shd w:val="clear" w:color="auto" w:fill="auto"/>
        <w:wordWrap/>
        <w:adjustRightInd w:val="0"/>
        <w:spacing w:before="0" w:beforeAutospacing="0" w:afterAutospacing="0" w:line="360" w:lineRule="auto"/>
        <w:ind w:left="0" w:leftChars="0" w:right="0"/>
        <w:jc w:val="both"/>
        <w:textAlignment w:val="auto"/>
        <w:outlineLvl w:val="9"/>
        <w:rPr>
          <w:rFonts w:hint="eastAsia" w:ascii="仿宋" w:hAnsi="仿宋" w:eastAsia="仿宋" w:cs="仿宋"/>
          <w:b/>
          <w:color w:val="000000"/>
          <w:sz w:val="24"/>
          <w:szCs w:val="24"/>
          <w:highlight w:val="none"/>
          <w:lang w:val="en-US" w:eastAsia="zh-CN"/>
        </w:rPr>
      </w:pPr>
      <w:r>
        <w:rPr>
          <w:rFonts w:hint="eastAsia" w:ascii="宋体" w:hAnsi="宋体"/>
          <w:b/>
          <w:color w:val="auto"/>
          <w:highlight w:val="none"/>
          <w:lang w:val="en-US" w:eastAsia="zh-CN"/>
        </w:rPr>
        <w:t xml:space="preserve">   </w:t>
      </w:r>
      <w:r>
        <w:rPr>
          <w:rFonts w:hint="eastAsia" w:ascii="仿宋" w:hAnsi="仿宋" w:eastAsia="仿宋" w:cs="仿宋"/>
          <w:b/>
          <w:color w:val="000000"/>
          <w:sz w:val="24"/>
          <w:szCs w:val="24"/>
          <w:highlight w:val="none"/>
          <w:lang w:val="en-US" w:eastAsia="zh-CN"/>
        </w:rPr>
        <w:t>资信部分（14分）</w:t>
      </w:r>
    </w:p>
    <w:tbl>
      <w:tblPr>
        <w:tblStyle w:val="74"/>
        <w:tblW w:w="9214"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3"/>
        <w:gridCol w:w="7149"/>
        <w:gridCol w:w="11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3" w:type="dxa"/>
            <w:vAlign w:val="top"/>
          </w:tcPr>
          <w:p>
            <w:pPr>
              <w:spacing w:line="400" w:lineRule="atLeast"/>
              <w:jc w:val="center"/>
              <w:rPr>
                <w:rFonts w:hint="eastAsia" w:ascii="宋体" w:hAnsi="宋体" w:eastAsia="宋体" w:cs="宋体"/>
                <w:b/>
                <w:sz w:val="24"/>
                <w:szCs w:val="24"/>
              </w:rPr>
            </w:pPr>
            <w:bookmarkStart w:id="452" w:name="scoringRules1_0"/>
            <w:r>
              <w:rPr>
                <w:rFonts w:hint="eastAsia" w:ascii="宋体" w:hAnsi="宋体" w:eastAsia="宋体" w:cs="宋体"/>
                <w:b/>
                <w:sz w:val="24"/>
                <w:szCs w:val="24"/>
              </w:rPr>
              <w:t>序号</w:t>
            </w:r>
          </w:p>
        </w:tc>
        <w:tc>
          <w:tcPr>
            <w:tcW w:w="7149" w:type="dxa"/>
            <w:vAlign w:val="top"/>
          </w:tcPr>
          <w:p>
            <w:pPr>
              <w:spacing w:line="400" w:lineRule="atLeast"/>
              <w:jc w:val="center"/>
              <w:rPr>
                <w:rFonts w:hint="eastAsia" w:ascii="宋体" w:hAnsi="宋体" w:eastAsia="宋体" w:cs="宋体"/>
                <w:b/>
                <w:sz w:val="24"/>
                <w:szCs w:val="24"/>
              </w:rPr>
            </w:pPr>
            <w:r>
              <w:rPr>
                <w:rFonts w:hint="eastAsia" w:ascii="宋体" w:hAnsi="宋体" w:eastAsia="宋体" w:cs="宋体"/>
                <w:b/>
                <w:sz w:val="24"/>
                <w:szCs w:val="24"/>
              </w:rPr>
              <w:t>评分细则内容</w:t>
            </w:r>
          </w:p>
        </w:tc>
        <w:tc>
          <w:tcPr>
            <w:tcW w:w="1142" w:type="dxa"/>
            <w:vAlign w:val="top"/>
          </w:tcPr>
          <w:p>
            <w:pPr>
              <w:spacing w:line="400" w:lineRule="atLeast"/>
              <w:jc w:val="center"/>
              <w:rPr>
                <w:rFonts w:hint="eastAsia" w:ascii="宋体" w:hAnsi="宋体" w:eastAsia="宋体" w:cs="宋体"/>
                <w:b/>
                <w:sz w:val="24"/>
                <w:szCs w:val="24"/>
              </w:rPr>
            </w:pPr>
            <w:r>
              <w:rPr>
                <w:rFonts w:hint="eastAsia" w:ascii="宋体" w:hAnsi="宋体" w:eastAsia="宋体" w:cs="宋体"/>
                <w:b/>
                <w:sz w:val="24"/>
                <w:szCs w:val="24"/>
              </w:rPr>
              <w:t>分值(分)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3" w:type="dxa"/>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7149" w:type="dxa"/>
            <w:vAlign w:val="center"/>
          </w:tcPr>
          <w:p>
            <w:pPr>
              <w:spacing w:line="360" w:lineRule="auto"/>
              <w:jc w:val="left"/>
              <w:rPr>
                <w:rFonts w:hint="eastAsia" w:ascii="宋体" w:hAnsi="宋体" w:eastAsia="宋体" w:cs="宋体"/>
                <w:bCs/>
                <w:sz w:val="24"/>
                <w:szCs w:val="24"/>
              </w:rPr>
            </w:pPr>
            <w:r>
              <w:rPr>
                <w:rFonts w:hint="eastAsia" w:ascii="宋体" w:hAnsi="宋体" w:eastAsia="宋体" w:cs="宋体"/>
                <w:kern w:val="0"/>
                <w:sz w:val="24"/>
                <w:szCs w:val="24"/>
              </w:rPr>
              <w:t>投标人通过质量管理体系认证、职业健康安全管理体系认证、环境管理体系认证，且在有效期内的，每一项得</w:t>
            </w:r>
            <w:r>
              <w:rPr>
                <w:rFonts w:hint="eastAsia" w:ascii="宋体" w:hAnsi="宋体" w:cs="宋体"/>
                <w:kern w:val="0"/>
                <w:sz w:val="24"/>
                <w:szCs w:val="24"/>
                <w:lang w:val="en-US" w:eastAsia="zh-CN"/>
              </w:rPr>
              <w:t>2</w:t>
            </w:r>
            <w:r>
              <w:rPr>
                <w:rFonts w:hint="eastAsia" w:ascii="宋体" w:hAnsi="宋体" w:eastAsia="宋体" w:cs="宋体"/>
                <w:kern w:val="0"/>
                <w:sz w:val="24"/>
                <w:szCs w:val="24"/>
              </w:rPr>
              <w:t>分，满分</w:t>
            </w:r>
            <w:r>
              <w:rPr>
                <w:rFonts w:hint="eastAsia" w:ascii="宋体" w:hAnsi="宋体" w:cs="宋体"/>
                <w:kern w:val="0"/>
                <w:sz w:val="24"/>
                <w:szCs w:val="24"/>
                <w:lang w:val="en-US" w:eastAsia="zh-CN"/>
              </w:rPr>
              <w:t>6</w:t>
            </w:r>
            <w:r>
              <w:rPr>
                <w:rFonts w:hint="eastAsia" w:ascii="宋体" w:hAnsi="宋体" w:eastAsia="宋体" w:cs="宋体"/>
                <w:kern w:val="0"/>
                <w:sz w:val="24"/>
                <w:szCs w:val="24"/>
              </w:rPr>
              <w:t>分</w:t>
            </w:r>
            <w:r>
              <w:rPr>
                <w:rFonts w:hint="eastAsia" w:ascii="宋体" w:hAnsi="宋体" w:eastAsia="宋体" w:cs="宋体"/>
                <w:bCs/>
                <w:color w:val="000000"/>
                <w:sz w:val="24"/>
                <w:szCs w:val="24"/>
              </w:rPr>
              <w:t>（投标文件中提供</w:t>
            </w:r>
            <w:r>
              <w:rPr>
                <w:rFonts w:hint="eastAsia" w:ascii="宋体" w:hAnsi="宋体" w:eastAsia="宋体" w:cs="宋体"/>
                <w:bCs/>
                <w:sz w:val="24"/>
                <w:szCs w:val="24"/>
              </w:rPr>
              <w:t>证明材料</w:t>
            </w:r>
            <w:r>
              <w:rPr>
                <w:rFonts w:hint="eastAsia" w:ascii="宋体" w:hAnsi="宋体" w:eastAsia="宋体" w:cs="宋体"/>
                <w:bCs/>
                <w:color w:val="000000"/>
                <w:sz w:val="24"/>
                <w:szCs w:val="24"/>
              </w:rPr>
              <w:t>复印件并加盖公章，否则不得分</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w:t>
            </w:r>
          </w:p>
        </w:tc>
        <w:tc>
          <w:tcPr>
            <w:tcW w:w="1142" w:type="dxa"/>
            <w:vAlign w:val="center"/>
          </w:tcPr>
          <w:p>
            <w:pPr>
              <w:spacing w:line="400" w:lineRule="atLeast"/>
              <w:jc w:val="center"/>
              <w:rPr>
                <w:rFonts w:hint="eastAsia" w:ascii="宋体" w:hAnsi="宋体" w:eastAsia="宋体" w:cs="宋体"/>
                <w:sz w:val="24"/>
                <w:szCs w:val="24"/>
                <w:lang w:eastAsia="zh-CN"/>
              </w:rPr>
            </w:pPr>
            <w:r>
              <w:rPr>
                <w:rFonts w:hint="eastAsia" w:ascii="宋体" w:hAnsi="宋体" w:cs="宋体"/>
                <w:sz w:val="24"/>
                <w:szCs w:val="24"/>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3" w:type="dxa"/>
            <w:vAlign w:val="center"/>
          </w:tcPr>
          <w:p>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2</w:t>
            </w:r>
          </w:p>
        </w:tc>
        <w:tc>
          <w:tcPr>
            <w:tcW w:w="7149" w:type="dxa"/>
            <w:vAlign w:val="center"/>
          </w:tcPr>
          <w:p>
            <w:pPr>
              <w:spacing w:line="360" w:lineRule="auto"/>
              <w:rPr>
                <w:rFonts w:hint="eastAsia" w:ascii="宋体" w:hAnsi="宋体" w:eastAsia="宋体" w:cs="宋体"/>
                <w:b/>
                <w:color w:val="000000"/>
                <w:sz w:val="24"/>
                <w:szCs w:val="24"/>
                <w:u w:val="none"/>
                <w:lang w:val="en-US" w:eastAsia="zh-CN"/>
              </w:rPr>
            </w:pPr>
            <w:r>
              <w:rPr>
                <w:rFonts w:hint="eastAsia" w:ascii="宋体" w:hAnsi="宋体" w:eastAsia="宋体" w:cs="宋体"/>
                <w:color w:val="000000"/>
                <w:sz w:val="24"/>
                <w:szCs w:val="24"/>
              </w:rPr>
              <w:t>投标人20</w:t>
            </w:r>
            <w:r>
              <w:rPr>
                <w:rFonts w:hint="eastAsia" w:ascii="宋体" w:hAnsi="宋体" w:eastAsia="宋体" w:cs="宋体"/>
                <w:color w:val="000000"/>
                <w:sz w:val="24"/>
                <w:szCs w:val="24"/>
                <w:lang w:val="en-US" w:eastAsia="zh-CN"/>
              </w:rPr>
              <w:t>19</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月1日</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含</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起至投标截止日前，承担过的</w:t>
            </w:r>
            <w:r>
              <w:rPr>
                <w:rFonts w:hint="eastAsia" w:ascii="宋体" w:hAnsi="宋体" w:cs="宋体"/>
                <w:color w:val="000000"/>
                <w:sz w:val="24"/>
                <w:szCs w:val="24"/>
                <w:lang w:val="en-US" w:eastAsia="zh-CN"/>
              </w:rPr>
              <w:t>类似</w:t>
            </w:r>
            <w:r>
              <w:rPr>
                <w:rFonts w:hint="eastAsia" w:ascii="宋体" w:hAnsi="宋体" w:eastAsia="宋体" w:cs="宋体"/>
                <w:color w:val="000000"/>
                <w:sz w:val="24"/>
                <w:szCs w:val="24"/>
                <w:lang w:val="en-US" w:eastAsia="zh-CN"/>
              </w:rPr>
              <w:t>工程</w:t>
            </w:r>
            <w:r>
              <w:rPr>
                <w:rFonts w:hint="eastAsia" w:ascii="宋体" w:hAnsi="宋体" w:eastAsia="宋体" w:cs="宋体"/>
                <w:color w:val="000000"/>
                <w:sz w:val="24"/>
                <w:szCs w:val="24"/>
              </w:rPr>
              <w:t>项目业绩每个得</w:t>
            </w:r>
            <w:r>
              <w:rPr>
                <w:rFonts w:hint="eastAsia" w:ascii="宋体" w:hAnsi="宋体" w:cs="宋体"/>
                <w:color w:val="000000"/>
                <w:sz w:val="24"/>
                <w:szCs w:val="24"/>
                <w:lang w:val="en-US" w:eastAsia="zh-CN"/>
              </w:rPr>
              <w:t>1</w:t>
            </w:r>
            <w:r>
              <w:rPr>
                <w:rFonts w:hint="eastAsia" w:ascii="宋体" w:hAnsi="宋体" w:eastAsia="宋体" w:cs="宋体"/>
                <w:color w:val="000000"/>
                <w:sz w:val="24"/>
                <w:szCs w:val="24"/>
              </w:rPr>
              <w:t>分，最高得</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【有效证明材料为合同及项目竣工验收报告</w:t>
            </w:r>
            <w:r>
              <w:rPr>
                <w:rFonts w:hint="eastAsia" w:ascii="宋体" w:hAnsi="宋体" w:eastAsia="宋体" w:cs="宋体"/>
                <w:bCs/>
                <w:color w:val="000000"/>
                <w:sz w:val="24"/>
                <w:szCs w:val="24"/>
              </w:rPr>
              <w:t>，时</w:t>
            </w:r>
            <w:r>
              <w:rPr>
                <w:rFonts w:hint="eastAsia" w:ascii="宋体" w:hAnsi="宋体" w:eastAsia="宋体" w:cs="宋体"/>
                <w:color w:val="000000"/>
                <w:sz w:val="24"/>
                <w:szCs w:val="24"/>
              </w:rPr>
              <w:t>间</w:t>
            </w:r>
            <w:r>
              <w:rPr>
                <w:rFonts w:hint="eastAsia" w:ascii="宋体" w:hAnsi="宋体" w:eastAsia="宋体" w:cs="宋体"/>
                <w:color w:val="000000"/>
                <w:sz w:val="24"/>
                <w:szCs w:val="24"/>
                <w:lang w:val="en-US" w:eastAsia="zh-CN"/>
              </w:rPr>
              <w:t>以合同签订日为准</w:t>
            </w:r>
            <w:r>
              <w:rPr>
                <w:rFonts w:hint="eastAsia" w:ascii="宋体" w:hAnsi="宋体" w:eastAsia="宋体" w:cs="宋体"/>
                <w:color w:val="000000"/>
                <w:sz w:val="24"/>
                <w:szCs w:val="24"/>
              </w:rPr>
              <w:t>】</w:t>
            </w:r>
            <w:r>
              <w:rPr>
                <w:rFonts w:hint="eastAsia" w:ascii="宋体" w:hAnsi="宋体" w:eastAsia="宋体" w:cs="宋体"/>
                <w:bCs/>
                <w:color w:val="000000"/>
                <w:sz w:val="24"/>
                <w:szCs w:val="24"/>
              </w:rPr>
              <w:t>（</w:t>
            </w:r>
            <w:r>
              <w:rPr>
                <w:rFonts w:hint="eastAsia" w:ascii="宋体" w:hAnsi="宋体" w:eastAsia="宋体" w:cs="宋体"/>
                <w:color w:val="000000"/>
                <w:sz w:val="24"/>
                <w:szCs w:val="24"/>
              </w:rPr>
              <w:t>投标文件中提供</w:t>
            </w:r>
            <w:r>
              <w:rPr>
                <w:rFonts w:hint="eastAsia" w:ascii="宋体" w:hAnsi="宋体" w:eastAsia="宋体" w:cs="宋体"/>
                <w:bCs/>
                <w:color w:val="000000"/>
                <w:sz w:val="24"/>
                <w:szCs w:val="24"/>
              </w:rPr>
              <w:t>证明材料</w:t>
            </w:r>
            <w:r>
              <w:rPr>
                <w:rFonts w:hint="eastAsia" w:ascii="宋体" w:hAnsi="宋体" w:eastAsia="宋体" w:cs="宋体"/>
                <w:color w:val="000000"/>
                <w:sz w:val="24"/>
                <w:szCs w:val="24"/>
              </w:rPr>
              <w:t>复印件</w:t>
            </w:r>
            <w:r>
              <w:rPr>
                <w:rFonts w:hint="eastAsia" w:ascii="宋体" w:hAnsi="宋体" w:eastAsia="宋体" w:cs="宋体"/>
                <w:bCs/>
                <w:color w:val="000000"/>
                <w:sz w:val="24"/>
                <w:szCs w:val="24"/>
              </w:rPr>
              <w:t>并加盖公章</w:t>
            </w:r>
            <w:r>
              <w:rPr>
                <w:rFonts w:hint="eastAsia" w:ascii="宋体" w:hAnsi="宋体" w:eastAsia="宋体" w:cs="宋体"/>
                <w:color w:val="000000"/>
                <w:sz w:val="24"/>
                <w:szCs w:val="24"/>
              </w:rPr>
              <w:t>，否则不得分</w:t>
            </w:r>
            <w:r>
              <w:rPr>
                <w:rFonts w:hint="eastAsia" w:ascii="宋体" w:hAnsi="宋体" w:eastAsia="宋体" w:cs="宋体"/>
                <w:color w:val="000000"/>
                <w:sz w:val="24"/>
                <w:szCs w:val="24"/>
                <w:lang w:eastAsia="zh-CN"/>
              </w:rPr>
              <w:t>。</w:t>
            </w:r>
            <w:r>
              <w:rPr>
                <w:rFonts w:hint="eastAsia" w:ascii="宋体" w:hAnsi="宋体" w:eastAsia="宋体" w:cs="宋体"/>
                <w:bCs/>
                <w:color w:val="000000"/>
                <w:sz w:val="24"/>
                <w:szCs w:val="24"/>
              </w:rPr>
              <w:t>）</w:t>
            </w:r>
          </w:p>
        </w:tc>
        <w:tc>
          <w:tcPr>
            <w:tcW w:w="1142" w:type="dxa"/>
            <w:vAlign w:val="center"/>
          </w:tcPr>
          <w:p>
            <w:pPr>
              <w:spacing w:line="360" w:lineRule="auto"/>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81" w:hRule="atLeast"/>
        </w:trPr>
        <w:tc>
          <w:tcPr>
            <w:tcW w:w="923" w:type="dxa"/>
            <w:vAlign w:val="center"/>
          </w:tcPr>
          <w:p>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3</w:t>
            </w:r>
          </w:p>
        </w:tc>
        <w:tc>
          <w:tcPr>
            <w:tcW w:w="7149" w:type="dxa"/>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拟派项目负责人自</w:t>
            </w:r>
            <w:r>
              <w:rPr>
                <w:rFonts w:hint="eastAsia" w:ascii="宋体" w:hAnsi="宋体" w:eastAsia="宋体" w:cs="宋体"/>
                <w:color w:val="000000"/>
                <w:sz w:val="24"/>
                <w:szCs w:val="24"/>
              </w:rPr>
              <w:t>20</w:t>
            </w:r>
            <w:r>
              <w:rPr>
                <w:rFonts w:hint="eastAsia" w:ascii="宋体" w:hAnsi="宋体" w:eastAsia="宋体" w:cs="宋体"/>
                <w:color w:val="000000"/>
                <w:sz w:val="24"/>
                <w:szCs w:val="24"/>
                <w:lang w:val="en-US" w:eastAsia="zh-CN"/>
              </w:rPr>
              <w:t>19</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月1日</w:t>
            </w:r>
            <w:r>
              <w:rPr>
                <w:rFonts w:hint="eastAsia" w:ascii="宋体" w:hAnsi="宋体" w:eastAsia="宋体" w:cs="宋体"/>
                <w:color w:val="000000"/>
                <w:sz w:val="24"/>
                <w:szCs w:val="24"/>
                <w:lang w:val="en-US" w:eastAsia="zh-CN"/>
              </w:rPr>
              <w:t>（含）起至投标截止日前，承担过电力设施安装工程项目业绩每个得3分，最多得6分。【有效证明材料为合同及项目竣工验收报告，</w:t>
            </w:r>
            <w:r>
              <w:rPr>
                <w:rFonts w:hint="eastAsia" w:ascii="宋体" w:hAnsi="宋体" w:eastAsia="宋体" w:cs="宋体"/>
                <w:bCs/>
                <w:color w:val="000000"/>
                <w:sz w:val="24"/>
                <w:szCs w:val="24"/>
              </w:rPr>
              <w:t>时</w:t>
            </w:r>
            <w:r>
              <w:rPr>
                <w:rFonts w:hint="eastAsia" w:ascii="宋体" w:hAnsi="宋体" w:eastAsia="宋体" w:cs="宋体"/>
                <w:color w:val="000000"/>
                <w:sz w:val="24"/>
                <w:szCs w:val="24"/>
              </w:rPr>
              <w:t>间</w:t>
            </w:r>
            <w:r>
              <w:rPr>
                <w:rFonts w:hint="eastAsia" w:ascii="宋体" w:hAnsi="宋体" w:eastAsia="宋体" w:cs="宋体"/>
                <w:color w:val="000000"/>
                <w:sz w:val="24"/>
                <w:szCs w:val="24"/>
                <w:lang w:val="en-US" w:eastAsia="zh-CN"/>
              </w:rPr>
              <w:t>以合同签订日为准】（投标文件中提供证明材料复印件并加盖公章且证明材料中需体现项目负责人姓名，如没有体现项目负责人姓名的还需提供业主证明材料，否则不得分。）</w:t>
            </w:r>
          </w:p>
        </w:tc>
        <w:tc>
          <w:tcPr>
            <w:tcW w:w="1142" w:type="dxa"/>
            <w:vAlign w:val="center"/>
          </w:tcPr>
          <w:p>
            <w:pPr>
              <w:spacing w:line="360" w:lineRule="auto"/>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6</w:t>
            </w:r>
          </w:p>
        </w:tc>
      </w:tr>
      <w:bookmarkEnd w:id="452"/>
    </w:tbl>
    <w:p>
      <w:pPr>
        <w:spacing w:line="360" w:lineRule="auto"/>
        <w:rPr>
          <w:rFonts w:hint="eastAsia" w:ascii="仿宋" w:hAnsi="仿宋" w:eastAsia="仿宋" w:cs="仿宋"/>
          <w:b/>
          <w:color w:val="000000"/>
          <w:sz w:val="24"/>
          <w:szCs w:val="24"/>
        </w:rPr>
      </w:pPr>
      <w:r>
        <w:rPr>
          <w:rFonts w:hint="eastAsia" w:ascii="仿宋" w:hAnsi="仿宋" w:eastAsia="仿宋" w:cs="仿宋"/>
          <w:b/>
          <w:color w:val="000000"/>
          <w:sz w:val="24"/>
          <w:szCs w:val="24"/>
        </w:rPr>
        <w:t>技术评分（</w:t>
      </w:r>
      <w:r>
        <w:rPr>
          <w:rFonts w:hint="eastAsia" w:ascii="仿宋" w:hAnsi="仿宋" w:eastAsia="仿宋" w:cs="仿宋"/>
          <w:b/>
          <w:color w:val="000000"/>
          <w:sz w:val="24"/>
          <w:szCs w:val="24"/>
          <w:lang w:val="en-US" w:eastAsia="zh-CN"/>
        </w:rPr>
        <w:t>66</w:t>
      </w:r>
      <w:r>
        <w:rPr>
          <w:rFonts w:hint="eastAsia" w:ascii="仿宋" w:hAnsi="仿宋" w:eastAsia="仿宋" w:cs="仿宋"/>
          <w:b/>
          <w:color w:val="000000"/>
          <w:sz w:val="24"/>
          <w:szCs w:val="24"/>
        </w:rPr>
        <w:t>分）</w:t>
      </w:r>
    </w:p>
    <w:tbl>
      <w:tblPr>
        <w:tblStyle w:val="74"/>
        <w:tblW w:w="9214"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7104"/>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3" w:type="dxa"/>
            <w:vAlign w:val="top"/>
          </w:tcPr>
          <w:p>
            <w:pPr>
              <w:spacing w:line="400" w:lineRule="atLeast"/>
              <w:jc w:val="center"/>
              <w:rPr>
                <w:rFonts w:hint="eastAsia" w:ascii="宋体" w:hAnsi="宋体" w:eastAsia="宋体" w:cs="宋体"/>
                <w:color w:val="000000"/>
                <w:sz w:val="24"/>
                <w:szCs w:val="24"/>
              </w:rPr>
            </w:pPr>
            <w:r>
              <w:rPr>
                <w:rFonts w:hint="eastAsia" w:ascii="宋体" w:hAnsi="宋体" w:eastAsia="宋体" w:cs="宋体"/>
                <w:b/>
                <w:color w:val="000000"/>
                <w:sz w:val="24"/>
                <w:szCs w:val="24"/>
              </w:rPr>
              <w:t>序号</w:t>
            </w:r>
          </w:p>
        </w:tc>
        <w:tc>
          <w:tcPr>
            <w:tcW w:w="7104" w:type="dxa"/>
            <w:vAlign w:val="top"/>
          </w:tcPr>
          <w:p>
            <w:pPr>
              <w:spacing w:line="400" w:lineRule="atLeast"/>
              <w:jc w:val="center"/>
              <w:rPr>
                <w:rFonts w:hint="eastAsia" w:ascii="宋体" w:hAnsi="宋体" w:eastAsia="宋体" w:cs="宋体"/>
                <w:color w:val="000000"/>
                <w:sz w:val="24"/>
                <w:szCs w:val="24"/>
              </w:rPr>
            </w:pPr>
            <w:r>
              <w:rPr>
                <w:rFonts w:hint="eastAsia" w:ascii="宋体" w:hAnsi="宋体" w:eastAsia="宋体" w:cs="宋体"/>
                <w:b/>
                <w:color w:val="000000"/>
                <w:sz w:val="24"/>
                <w:szCs w:val="24"/>
              </w:rPr>
              <w:t>评分细则内容</w:t>
            </w:r>
          </w:p>
        </w:tc>
        <w:tc>
          <w:tcPr>
            <w:tcW w:w="1157" w:type="dxa"/>
            <w:vAlign w:val="top"/>
          </w:tcPr>
          <w:p>
            <w:pPr>
              <w:spacing w:line="400" w:lineRule="atLeast"/>
              <w:jc w:val="center"/>
              <w:rPr>
                <w:rFonts w:hint="eastAsia" w:ascii="宋体" w:hAnsi="宋体" w:eastAsia="宋体" w:cs="宋体"/>
                <w:color w:val="000000"/>
                <w:sz w:val="24"/>
                <w:szCs w:val="24"/>
              </w:rPr>
            </w:pPr>
            <w:r>
              <w:rPr>
                <w:rFonts w:hint="eastAsia" w:ascii="宋体" w:hAnsi="宋体" w:eastAsia="宋体" w:cs="宋体"/>
                <w:b/>
                <w:color w:val="000000"/>
                <w:sz w:val="24"/>
                <w:szCs w:val="24"/>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3" w:type="dxa"/>
            <w:vAlign w:val="center"/>
          </w:tcPr>
          <w:p>
            <w:pPr>
              <w:spacing w:line="360" w:lineRule="auto"/>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w:t>
            </w:r>
          </w:p>
        </w:tc>
        <w:tc>
          <w:tcPr>
            <w:tcW w:w="7104" w:type="dxa"/>
            <w:vAlign w:val="top"/>
          </w:tcPr>
          <w:p>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根据对投标项目背景及条件理解的全面性分析，由评委综合打分，全部满足或符合得7分，一般满足或符合得4分，部分满足或符合得2分，不符合不得分。</w:t>
            </w:r>
          </w:p>
        </w:tc>
        <w:tc>
          <w:tcPr>
            <w:tcW w:w="1157" w:type="dxa"/>
            <w:vAlign w:val="center"/>
          </w:tcPr>
          <w:p>
            <w:pPr>
              <w:spacing w:line="400" w:lineRule="atLeast"/>
              <w:jc w:val="center"/>
              <w:rPr>
                <w:rFonts w:hint="eastAsia" w:ascii="宋体" w:hAnsi="宋体" w:eastAsia="宋体" w:cs="宋体"/>
                <w:b/>
                <w:color w:val="000000"/>
                <w:sz w:val="24"/>
                <w:szCs w:val="24"/>
              </w:rPr>
            </w:pPr>
            <w:r>
              <w:rPr>
                <w:rFonts w:hint="eastAsia" w:ascii="宋体" w:hAnsi="宋体" w:cs="宋体"/>
                <w:color w:val="00000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trPr>
        <w:tc>
          <w:tcPr>
            <w:tcW w:w="953" w:type="dxa"/>
            <w:vAlign w:val="center"/>
          </w:tcPr>
          <w:p>
            <w:pPr>
              <w:spacing w:line="360" w:lineRule="auto"/>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2</w:t>
            </w:r>
          </w:p>
        </w:tc>
        <w:tc>
          <w:tcPr>
            <w:tcW w:w="7104" w:type="dxa"/>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派驻现场的工程技术管理人员的专业配置是否合理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由评委综合打分，全部满足或符合得</w:t>
            </w:r>
            <w:r>
              <w:rPr>
                <w:rFonts w:hint="eastAsia" w:ascii="宋体" w:hAnsi="宋体" w:cs="宋体"/>
                <w:color w:val="000000"/>
                <w:sz w:val="24"/>
                <w:szCs w:val="24"/>
                <w:lang w:val="en-US" w:eastAsia="zh-CN"/>
              </w:rPr>
              <w:t>7</w:t>
            </w:r>
            <w:r>
              <w:rPr>
                <w:rFonts w:hint="eastAsia" w:ascii="宋体" w:hAnsi="宋体" w:eastAsia="宋体" w:cs="宋体"/>
                <w:color w:val="000000"/>
                <w:sz w:val="24"/>
                <w:szCs w:val="24"/>
                <w:lang w:val="en-US" w:eastAsia="zh-CN"/>
              </w:rPr>
              <w:t>分，一般满足或符合得4分，部分满足或符合得2分，不符合不得分</w:t>
            </w:r>
            <w:r>
              <w:rPr>
                <w:rFonts w:hint="eastAsia" w:ascii="宋体" w:hAnsi="宋体" w:eastAsia="宋体" w:cs="宋体"/>
                <w:color w:val="000000"/>
                <w:sz w:val="24"/>
                <w:szCs w:val="24"/>
                <w:lang w:eastAsia="zh-CN"/>
              </w:rPr>
              <w:t>。</w:t>
            </w:r>
          </w:p>
        </w:tc>
        <w:tc>
          <w:tcPr>
            <w:tcW w:w="1157" w:type="dxa"/>
            <w:vAlign w:val="center"/>
          </w:tcPr>
          <w:p>
            <w:pPr>
              <w:snapToGrid w:val="0"/>
              <w:spacing w:before="156" w:beforeLines="50"/>
              <w:jc w:val="center"/>
              <w:rPr>
                <w:rFonts w:hint="eastAsia" w:ascii="宋体" w:hAnsi="宋体" w:eastAsia="宋体" w:cs="宋体"/>
                <w:color w:val="000000"/>
                <w:sz w:val="24"/>
                <w:szCs w:val="24"/>
              </w:rPr>
            </w:pPr>
            <w:r>
              <w:rPr>
                <w:rFonts w:hint="eastAsia" w:ascii="宋体" w:hAnsi="宋体" w:cs="宋体"/>
                <w:color w:val="00000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3" w:type="dxa"/>
            <w:vAlign w:val="center"/>
          </w:tcPr>
          <w:p>
            <w:pPr>
              <w:snapToGrid w:val="0"/>
              <w:spacing w:before="156" w:beforeLines="50"/>
              <w:ind w:leftChars="-96" w:hanging="202"/>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 xml:space="preserve">  3</w:t>
            </w:r>
          </w:p>
        </w:tc>
        <w:tc>
          <w:tcPr>
            <w:tcW w:w="7104" w:type="dxa"/>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施工方案的完整性、科学性评价，包括现场熟悉情况，专项施工</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方案的可行性、可靠性、解决方案</w:t>
            </w:r>
            <w:r>
              <w:rPr>
                <w:rFonts w:hint="eastAsia" w:ascii="宋体" w:hAnsi="宋体" w:eastAsia="宋体" w:cs="宋体"/>
                <w:color w:val="000000"/>
                <w:sz w:val="24"/>
                <w:szCs w:val="24"/>
                <w:lang w:eastAsia="zh-CN"/>
              </w:rPr>
              <w:t>，</w:t>
            </w:r>
            <w:r>
              <w:rPr>
                <w:rFonts w:hint="eastAsia" w:ascii="宋体" w:hAnsi="宋体" w:cs="宋体"/>
                <w:color w:val="000000"/>
                <w:sz w:val="24"/>
                <w:szCs w:val="24"/>
                <w:lang w:val="en-US" w:eastAsia="zh-CN"/>
              </w:rPr>
              <w:t>由评委综合打分，全部满足或符合得7分，一般满足或符合得4分，部分满足或符合得2分，不符合不得分</w:t>
            </w:r>
            <w:r>
              <w:rPr>
                <w:rFonts w:hint="eastAsia" w:ascii="宋体" w:hAnsi="宋体" w:eastAsia="宋体" w:cs="宋体"/>
                <w:color w:val="000000"/>
                <w:sz w:val="24"/>
                <w:szCs w:val="24"/>
                <w:lang w:eastAsia="zh-CN"/>
              </w:rPr>
              <w:t>。</w:t>
            </w:r>
          </w:p>
        </w:tc>
        <w:tc>
          <w:tcPr>
            <w:tcW w:w="1157" w:type="dxa"/>
            <w:vAlign w:val="center"/>
          </w:tcPr>
          <w:p>
            <w:pPr>
              <w:snapToGrid w:val="0"/>
              <w:spacing w:before="156" w:beforeLines="50"/>
              <w:jc w:val="center"/>
              <w:rPr>
                <w:rFonts w:hint="eastAsia" w:ascii="宋体" w:hAnsi="宋体" w:eastAsia="宋体" w:cs="宋体"/>
                <w:color w:val="000000"/>
                <w:sz w:val="24"/>
                <w:szCs w:val="24"/>
              </w:rPr>
            </w:pPr>
            <w:r>
              <w:rPr>
                <w:rFonts w:hint="eastAsia" w:ascii="宋体" w:hAnsi="宋体" w:cs="宋体"/>
                <w:color w:val="00000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trPr>
        <w:tc>
          <w:tcPr>
            <w:tcW w:w="953" w:type="dxa"/>
            <w:vAlign w:val="center"/>
          </w:tcPr>
          <w:p>
            <w:pPr>
              <w:snapToGrid w:val="0"/>
              <w:spacing w:before="156" w:beforeLines="50"/>
              <w:ind w:leftChars="-96" w:hanging="202"/>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 xml:space="preserve">  4</w:t>
            </w:r>
          </w:p>
        </w:tc>
        <w:tc>
          <w:tcPr>
            <w:tcW w:w="7104" w:type="dxa"/>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施工进度网络计划、关键节点和线路的保证措施是否具有针对性和可行性</w:t>
            </w:r>
            <w:r>
              <w:rPr>
                <w:rFonts w:hint="eastAsia" w:ascii="宋体" w:hAnsi="宋体" w:eastAsia="宋体" w:cs="宋体"/>
                <w:color w:val="000000"/>
                <w:sz w:val="24"/>
                <w:szCs w:val="24"/>
                <w:lang w:eastAsia="zh-CN"/>
              </w:rPr>
              <w:t>，</w:t>
            </w:r>
            <w:r>
              <w:rPr>
                <w:rFonts w:hint="eastAsia" w:ascii="宋体" w:hAnsi="宋体" w:cs="宋体"/>
                <w:color w:val="000000"/>
                <w:sz w:val="24"/>
                <w:szCs w:val="24"/>
                <w:lang w:val="en-US" w:eastAsia="zh-CN"/>
              </w:rPr>
              <w:t>由评委综合打分，全部满足或符合得4分，部分满足或符合得2分，不符合不得分</w:t>
            </w:r>
            <w:r>
              <w:rPr>
                <w:rFonts w:hint="eastAsia" w:ascii="宋体" w:hAnsi="宋体" w:eastAsia="宋体" w:cs="宋体"/>
                <w:color w:val="000000"/>
                <w:sz w:val="24"/>
                <w:szCs w:val="24"/>
                <w:lang w:eastAsia="zh-CN"/>
              </w:rPr>
              <w:t>。</w:t>
            </w:r>
          </w:p>
        </w:tc>
        <w:tc>
          <w:tcPr>
            <w:tcW w:w="1157" w:type="dxa"/>
            <w:vAlign w:val="center"/>
          </w:tcPr>
          <w:p>
            <w:pPr>
              <w:snapToGrid w:val="0"/>
              <w:spacing w:before="156" w:beforeLines="50"/>
              <w:jc w:val="center"/>
              <w:rPr>
                <w:rFonts w:hint="eastAsia" w:ascii="宋体" w:hAnsi="宋体" w:eastAsia="宋体" w:cs="宋体"/>
                <w:color w:val="000000"/>
                <w:sz w:val="24"/>
                <w:szCs w:val="24"/>
              </w:rPr>
            </w:pPr>
            <w:r>
              <w:rPr>
                <w:rFonts w:hint="eastAsia" w:ascii="宋体" w:hAnsi="宋体" w:cs="宋体"/>
                <w:color w:val="00000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3" w:type="dxa"/>
            <w:vAlign w:val="center"/>
          </w:tcPr>
          <w:p>
            <w:pPr>
              <w:snapToGrid w:val="0"/>
              <w:spacing w:before="156" w:beforeLines="50"/>
              <w:ind w:leftChars="-96" w:hanging="202"/>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 xml:space="preserve">  5</w:t>
            </w:r>
          </w:p>
        </w:tc>
        <w:tc>
          <w:tcPr>
            <w:tcW w:w="7104" w:type="dxa"/>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施工质量的控制和检验手段是否科学、可靠，以及编制的施工方案是否全面、可靠、切实可行等</w:t>
            </w:r>
            <w:r>
              <w:rPr>
                <w:rFonts w:hint="eastAsia" w:ascii="宋体" w:hAnsi="宋体" w:eastAsia="宋体" w:cs="宋体"/>
                <w:color w:val="000000"/>
                <w:sz w:val="24"/>
                <w:szCs w:val="24"/>
                <w:lang w:eastAsia="zh-CN"/>
              </w:rPr>
              <w:t>，</w:t>
            </w:r>
            <w:r>
              <w:rPr>
                <w:rFonts w:hint="eastAsia" w:ascii="宋体" w:hAnsi="宋体" w:cs="宋体"/>
                <w:color w:val="000000"/>
                <w:sz w:val="24"/>
                <w:szCs w:val="24"/>
                <w:lang w:val="en-US" w:eastAsia="zh-CN"/>
              </w:rPr>
              <w:t>由评委综合打分，全部满足或符合得7分，一般满足或符合得4分，部分满足或符合得2分，不符合不得分</w:t>
            </w:r>
            <w:r>
              <w:rPr>
                <w:rFonts w:hint="eastAsia" w:ascii="宋体" w:hAnsi="宋体" w:eastAsia="宋体" w:cs="宋体"/>
                <w:color w:val="000000"/>
                <w:sz w:val="24"/>
                <w:szCs w:val="24"/>
                <w:lang w:eastAsia="zh-CN"/>
              </w:rPr>
              <w:t>。</w:t>
            </w:r>
          </w:p>
        </w:tc>
        <w:tc>
          <w:tcPr>
            <w:tcW w:w="1157" w:type="dxa"/>
            <w:vAlign w:val="center"/>
          </w:tcPr>
          <w:p>
            <w:pPr>
              <w:snapToGrid w:val="0"/>
              <w:spacing w:before="156" w:beforeLines="50"/>
              <w:jc w:val="center"/>
              <w:rPr>
                <w:rFonts w:hint="eastAsia" w:ascii="宋体" w:hAnsi="宋体" w:eastAsia="宋体" w:cs="宋体"/>
                <w:color w:val="000000"/>
                <w:sz w:val="24"/>
                <w:szCs w:val="24"/>
              </w:rPr>
            </w:pPr>
            <w:r>
              <w:rPr>
                <w:rFonts w:hint="eastAsia" w:ascii="宋体" w:hAnsi="宋体" w:cs="宋体"/>
                <w:color w:val="00000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53" w:type="dxa"/>
            <w:vAlign w:val="center"/>
          </w:tcPr>
          <w:p>
            <w:pPr>
              <w:snapToGrid w:val="0"/>
              <w:spacing w:before="156" w:beforeLines="50"/>
              <w:ind w:leftChars="-96" w:hanging="202"/>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 xml:space="preserve">  6</w:t>
            </w:r>
          </w:p>
        </w:tc>
        <w:tc>
          <w:tcPr>
            <w:tcW w:w="7104" w:type="dxa"/>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安全、文明施工及市政、市容、环保、消防等的保证措施是否科学、合理、到位</w:t>
            </w:r>
            <w:r>
              <w:rPr>
                <w:rFonts w:hint="eastAsia" w:ascii="宋体" w:hAnsi="宋体" w:eastAsia="宋体" w:cs="宋体"/>
                <w:color w:val="000000"/>
                <w:sz w:val="24"/>
                <w:szCs w:val="24"/>
                <w:lang w:eastAsia="zh-CN"/>
              </w:rPr>
              <w:t>，</w:t>
            </w:r>
            <w:r>
              <w:rPr>
                <w:rFonts w:hint="eastAsia" w:ascii="宋体" w:hAnsi="宋体" w:cs="宋体"/>
                <w:color w:val="000000"/>
                <w:sz w:val="24"/>
                <w:szCs w:val="24"/>
                <w:lang w:val="en-US" w:eastAsia="zh-CN"/>
              </w:rPr>
              <w:t>由评委综合打分，全部满足或符合得7分，一般满足或符合得4分，部分满足或符合得2分，不符合不得分</w:t>
            </w:r>
            <w:r>
              <w:rPr>
                <w:rFonts w:hint="eastAsia" w:ascii="宋体" w:hAnsi="宋体" w:eastAsia="宋体" w:cs="宋体"/>
                <w:color w:val="000000"/>
                <w:sz w:val="24"/>
                <w:szCs w:val="24"/>
                <w:lang w:eastAsia="zh-CN"/>
              </w:rPr>
              <w:t>。</w:t>
            </w:r>
          </w:p>
        </w:tc>
        <w:tc>
          <w:tcPr>
            <w:tcW w:w="1157" w:type="dxa"/>
            <w:vAlign w:val="center"/>
          </w:tcPr>
          <w:p>
            <w:pPr>
              <w:snapToGrid w:val="0"/>
              <w:spacing w:before="156" w:beforeLines="50"/>
              <w:jc w:val="center"/>
              <w:rPr>
                <w:rFonts w:hint="eastAsia" w:ascii="宋体" w:hAnsi="宋体" w:eastAsia="宋体" w:cs="宋体"/>
                <w:color w:val="000000"/>
                <w:sz w:val="24"/>
                <w:szCs w:val="24"/>
              </w:rPr>
            </w:pPr>
            <w:r>
              <w:rPr>
                <w:rFonts w:hint="eastAsia" w:ascii="宋体" w:hAnsi="宋体" w:cs="宋体"/>
                <w:color w:val="00000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53" w:type="dxa"/>
            <w:vAlign w:val="center"/>
          </w:tcPr>
          <w:p>
            <w:pPr>
              <w:snapToGrid w:val="0"/>
              <w:spacing w:before="156" w:beforeLines="50"/>
              <w:ind w:leftChars="-96" w:hanging="202"/>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 xml:space="preserve">  7</w:t>
            </w:r>
          </w:p>
        </w:tc>
        <w:tc>
          <w:tcPr>
            <w:tcW w:w="7104" w:type="dxa"/>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各专业工种的配置和劳动力的投入是否能满足工程的需要</w:t>
            </w:r>
            <w:r>
              <w:rPr>
                <w:rFonts w:hint="eastAsia" w:ascii="宋体" w:hAnsi="宋体" w:eastAsia="宋体" w:cs="宋体"/>
                <w:color w:val="000000"/>
                <w:sz w:val="24"/>
                <w:szCs w:val="24"/>
                <w:lang w:eastAsia="zh-CN"/>
              </w:rPr>
              <w:t>，</w:t>
            </w:r>
            <w:r>
              <w:rPr>
                <w:rFonts w:hint="eastAsia" w:ascii="宋体" w:hAnsi="宋体" w:cs="宋体"/>
                <w:color w:val="000000"/>
                <w:sz w:val="24"/>
                <w:szCs w:val="24"/>
                <w:lang w:val="en-US" w:eastAsia="zh-CN"/>
              </w:rPr>
              <w:t>由评委综合打分，全部满足或符合得7分，一般满足或符合得4分，部分满足或符合得2分，不符合不得分</w:t>
            </w:r>
            <w:r>
              <w:rPr>
                <w:rFonts w:hint="eastAsia" w:ascii="宋体" w:hAnsi="宋体" w:eastAsia="宋体" w:cs="宋体"/>
                <w:color w:val="000000"/>
                <w:sz w:val="24"/>
                <w:szCs w:val="24"/>
                <w:lang w:eastAsia="zh-CN"/>
              </w:rPr>
              <w:t>。</w:t>
            </w:r>
          </w:p>
        </w:tc>
        <w:tc>
          <w:tcPr>
            <w:tcW w:w="1157" w:type="dxa"/>
            <w:vAlign w:val="center"/>
          </w:tcPr>
          <w:p>
            <w:pPr>
              <w:snapToGrid w:val="0"/>
              <w:spacing w:before="156" w:beforeLines="50"/>
              <w:jc w:val="center"/>
              <w:rPr>
                <w:rFonts w:hint="eastAsia" w:ascii="宋体" w:hAnsi="宋体" w:eastAsia="宋体" w:cs="宋体"/>
                <w:color w:val="000000"/>
                <w:sz w:val="24"/>
                <w:szCs w:val="24"/>
              </w:rPr>
            </w:pPr>
            <w:r>
              <w:rPr>
                <w:rFonts w:hint="eastAsia" w:ascii="宋体" w:hAnsi="宋体" w:cs="宋体"/>
                <w:color w:val="00000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953" w:type="dxa"/>
            <w:vAlign w:val="center"/>
          </w:tcPr>
          <w:p>
            <w:pPr>
              <w:snapToGrid w:val="0"/>
              <w:spacing w:before="156" w:beforeLines="50"/>
              <w:ind w:leftChars="-96" w:hanging="202"/>
              <w:jc w:val="center"/>
              <w:rPr>
                <w:rFonts w:hint="eastAsia" w:ascii="宋体" w:hAnsi="宋体" w:eastAsia="宋体" w:cs="宋体"/>
                <w:color w:val="000000"/>
                <w:sz w:val="24"/>
                <w:szCs w:val="24"/>
              </w:rPr>
            </w:pPr>
            <w:r>
              <w:rPr>
                <w:rFonts w:hint="eastAsia" w:ascii="宋体" w:hAnsi="宋体" w:cs="宋体"/>
                <w:color w:val="000000"/>
                <w:sz w:val="24"/>
                <w:szCs w:val="24"/>
                <w:lang w:val="en-US" w:eastAsia="zh-CN"/>
              </w:rPr>
              <w:t xml:space="preserve"> 8</w:t>
            </w:r>
          </w:p>
        </w:tc>
        <w:tc>
          <w:tcPr>
            <w:tcW w:w="7104" w:type="dxa"/>
            <w:vAlign w:val="center"/>
          </w:tcPr>
          <w:p>
            <w:pPr>
              <w:widowControl/>
              <w:spacing w:line="360" w:lineRule="auto"/>
              <w:rPr>
                <w:rFonts w:hint="eastAsia" w:ascii="宋体" w:hAnsi="宋体" w:eastAsia="宋体" w:cs="宋体"/>
                <w:color w:val="000000"/>
                <w:sz w:val="24"/>
                <w:szCs w:val="24"/>
              </w:rPr>
            </w:pPr>
            <w:r>
              <w:rPr>
                <w:rFonts w:hint="eastAsia" w:ascii="宋体" w:hAnsi="宋体" w:eastAsia="宋体" w:cs="宋体"/>
                <w:color w:val="000000"/>
                <w:kern w:val="0"/>
                <w:sz w:val="24"/>
                <w:szCs w:val="24"/>
              </w:rPr>
              <w:t>施工机具和检验仪器的投入是否能够满足工程质量和进度的要求</w:t>
            </w:r>
            <w:r>
              <w:rPr>
                <w:rFonts w:hint="eastAsia" w:ascii="宋体" w:hAnsi="宋体" w:eastAsia="宋体" w:cs="宋体"/>
                <w:color w:val="000000"/>
                <w:sz w:val="24"/>
                <w:szCs w:val="24"/>
                <w:lang w:eastAsia="zh-CN"/>
              </w:rPr>
              <w:t>，</w:t>
            </w:r>
            <w:r>
              <w:rPr>
                <w:rFonts w:hint="eastAsia" w:ascii="宋体" w:hAnsi="宋体" w:cs="宋体"/>
                <w:color w:val="000000"/>
                <w:sz w:val="24"/>
                <w:szCs w:val="24"/>
                <w:lang w:val="en-US" w:eastAsia="zh-CN"/>
              </w:rPr>
              <w:t>由评委综合打分，全部满足或符合得7分，一般满足或符合得4分，部分满足或符合得2分，不符合不得分</w:t>
            </w:r>
            <w:r>
              <w:rPr>
                <w:rFonts w:hint="eastAsia" w:ascii="宋体" w:hAnsi="宋体" w:eastAsia="宋体" w:cs="宋体"/>
                <w:color w:val="000000"/>
                <w:sz w:val="24"/>
                <w:szCs w:val="24"/>
                <w:lang w:eastAsia="zh-CN"/>
              </w:rPr>
              <w:t>。</w:t>
            </w:r>
          </w:p>
        </w:tc>
        <w:tc>
          <w:tcPr>
            <w:tcW w:w="1157" w:type="dxa"/>
            <w:vAlign w:val="center"/>
          </w:tcPr>
          <w:p>
            <w:pPr>
              <w:snapToGrid w:val="0"/>
              <w:spacing w:before="156" w:beforeLines="50"/>
              <w:jc w:val="center"/>
              <w:rPr>
                <w:rFonts w:hint="eastAsia" w:ascii="宋体" w:hAnsi="宋体" w:eastAsia="宋体" w:cs="宋体"/>
                <w:color w:val="000000"/>
                <w:sz w:val="24"/>
                <w:szCs w:val="24"/>
              </w:rPr>
            </w:pPr>
            <w:r>
              <w:rPr>
                <w:rFonts w:hint="eastAsia" w:ascii="宋体" w:hAnsi="宋体" w:cs="宋体"/>
                <w:color w:val="00000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1" w:hRule="atLeast"/>
        </w:trPr>
        <w:tc>
          <w:tcPr>
            <w:tcW w:w="953" w:type="dxa"/>
            <w:vAlign w:val="center"/>
          </w:tcPr>
          <w:p>
            <w:pPr>
              <w:snapToGrid w:val="0"/>
              <w:spacing w:before="156" w:beforeLines="50"/>
              <w:ind w:leftChars="-96" w:hanging="202"/>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 xml:space="preserve">  9</w:t>
            </w:r>
          </w:p>
        </w:tc>
        <w:tc>
          <w:tcPr>
            <w:tcW w:w="7104" w:type="dxa"/>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售后服务的保障措施：</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①投标人对本项目的质保期内维保服务承诺、响应时间及服务力量的配备情况等，</w:t>
            </w:r>
            <w:r>
              <w:rPr>
                <w:rFonts w:hint="eastAsia" w:ascii="宋体" w:hAnsi="宋体" w:cs="宋体"/>
                <w:color w:val="000000"/>
                <w:sz w:val="24"/>
                <w:szCs w:val="24"/>
                <w:lang w:val="en-US" w:eastAsia="zh-CN"/>
              </w:rPr>
              <w:t>由评委综合打分</w:t>
            </w: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全部满足或符合得5分，一般满足或符合得3分，部分满足或符合得1分，不符合不得分</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rPr>
            </w:pPr>
            <w:bookmarkStart w:id="481" w:name="_GoBack"/>
            <w:r>
              <w:rPr>
                <w:rFonts w:hint="eastAsia" w:ascii="宋体" w:hAnsi="宋体" w:eastAsia="宋体" w:cs="宋体"/>
                <w:color w:val="000000"/>
                <w:sz w:val="24"/>
                <w:szCs w:val="24"/>
              </w:rPr>
              <w:t>②电气试验、继电保护作业操作人员不少于</w:t>
            </w:r>
            <w:r>
              <w:rPr>
                <w:rFonts w:hint="eastAsia" w:ascii="宋体" w:hAnsi="宋体" w:cs="宋体"/>
                <w:color w:val="000000"/>
                <w:sz w:val="24"/>
                <w:szCs w:val="24"/>
                <w:lang w:val="en-US" w:eastAsia="zh-CN"/>
              </w:rPr>
              <w:t>5</w:t>
            </w:r>
            <w:r>
              <w:rPr>
                <w:rFonts w:hint="eastAsia" w:ascii="宋体" w:hAnsi="宋体" w:eastAsia="宋体" w:cs="宋体"/>
                <w:color w:val="000000"/>
                <w:sz w:val="24"/>
                <w:szCs w:val="24"/>
              </w:rPr>
              <w:t>人，须提供岗位证书和投标单位的社保证明，每个得1分，最高得</w:t>
            </w:r>
            <w:r>
              <w:rPr>
                <w:rFonts w:hint="eastAsia" w:ascii="宋体" w:hAnsi="宋体" w:cs="宋体"/>
                <w:color w:val="000000"/>
                <w:sz w:val="24"/>
                <w:szCs w:val="24"/>
                <w:lang w:val="en-US" w:eastAsia="zh-CN"/>
              </w:rPr>
              <w:t>5</w:t>
            </w:r>
            <w:r>
              <w:rPr>
                <w:rFonts w:hint="eastAsia" w:ascii="宋体" w:hAnsi="宋体" w:eastAsia="宋体" w:cs="宋体"/>
                <w:color w:val="000000"/>
                <w:sz w:val="24"/>
                <w:szCs w:val="24"/>
              </w:rPr>
              <w:t>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没有不得分。</w:t>
            </w:r>
            <w:r>
              <w:rPr>
                <w:rFonts w:hint="eastAsia" w:ascii="宋体" w:hAnsi="宋体" w:eastAsia="宋体" w:cs="宋体"/>
                <w:bCs/>
                <w:color w:val="000000"/>
                <w:sz w:val="24"/>
                <w:szCs w:val="24"/>
              </w:rPr>
              <w:t>（投标文件中提供证书</w:t>
            </w:r>
            <w:r>
              <w:rPr>
                <w:rFonts w:hint="eastAsia" w:ascii="宋体" w:hAnsi="宋体" w:eastAsia="宋体" w:cs="宋体"/>
                <w:bCs/>
                <w:color w:val="000000"/>
                <w:sz w:val="24"/>
                <w:szCs w:val="24"/>
                <w:lang w:val="en-US" w:eastAsia="zh-CN"/>
              </w:rPr>
              <w:t>和社保证明材料</w:t>
            </w:r>
            <w:r>
              <w:rPr>
                <w:rFonts w:hint="eastAsia" w:ascii="宋体" w:hAnsi="宋体" w:eastAsia="宋体" w:cs="宋体"/>
                <w:bCs/>
                <w:color w:val="000000"/>
                <w:sz w:val="24"/>
                <w:szCs w:val="24"/>
              </w:rPr>
              <w:t>复印件</w:t>
            </w:r>
            <w:r>
              <w:rPr>
                <w:rFonts w:hint="eastAsia" w:ascii="宋体" w:hAnsi="宋体" w:eastAsia="宋体" w:cs="宋体"/>
                <w:bCs/>
                <w:color w:val="000000"/>
                <w:sz w:val="24"/>
                <w:szCs w:val="24"/>
                <w:lang w:val="en-US" w:eastAsia="zh-CN"/>
              </w:rPr>
              <w:t>加盖公章</w:t>
            </w:r>
            <w:r>
              <w:rPr>
                <w:rFonts w:hint="eastAsia" w:ascii="宋体" w:hAnsi="宋体" w:eastAsia="宋体" w:cs="宋体"/>
                <w:bCs/>
                <w:color w:val="000000"/>
                <w:sz w:val="24"/>
                <w:szCs w:val="24"/>
              </w:rPr>
              <w:t>，否则不得分</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w:t>
            </w:r>
            <w:bookmarkEnd w:id="481"/>
          </w:p>
        </w:tc>
        <w:tc>
          <w:tcPr>
            <w:tcW w:w="1157" w:type="dxa"/>
            <w:vAlign w:val="center"/>
          </w:tcPr>
          <w:p>
            <w:pPr>
              <w:snapToGrid w:val="0"/>
              <w:spacing w:before="156" w:beforeLines="50"/>
              <w:jc w:val="center"/>
              <w:rPr>
                <w:rFonts w:hint="eastAsia" w:ascii="宋体" w:hAnsi="宋体" w:eastAsia="宋体" w:cs="宋体"/>
                <w:color w:val="000000"/>
                <w:sz w:val="24"/>
                <w:szCs w:val="24"/>
              </w:rPr>
            </w:pPr>
            <w:r>
              <w:rPr>
                <w:rFonts w:hint="eastAsia" w:ascii="宋体" w:hAnsi="宋体" w:cs="宋体"/>
                <w:color w:val="000000"/>
                <w:sz w:val="24"/>
                <w:szCs w:val="24"/>
                <w:lang w:val="en-US" w:eastAsia="zh-CN"/>
              </w:rPr>
              <w:t>10</w:t>
            </w:r>
          </w:p>
        </w:tc>
      </w:tr>
    </w:tbl>
    <w:p>
      <w:pPr>
        <w:adjustRightInd/>
        <w:spacing w:line="360" w:lineRule="auto"/>
        <w:ind w:firstLine="470" w:firstLineChars="196"/>
        <w:rPr>
          <w:rFonts w:hint="eastAsia" w:ascii="宋体" w:hAnsi="宋体" w:cs="宋体"/>
          <w:color w:val="000000"/>
          <w:kern w:val="0"/>
          <w:sz w:val="24"/>
          <w:highlight w:val="none"/>
        </w:rPr>
      </w:pPr>
    </w:p>
    <w:p>
      <w:pPr>
        <w:adjustRightInd/>
        <w:spacing w:line="360" w:lineRule="auto"/>
        <w:rPr>
          <w:rFonts w:ascii="宋体" w:hAnsi="宋体" w:cs="宋体"/>
          <w:color w:val="000000"/>
          <w:kern w:val="0"/>
          <w:sz w:val="24"/>
          <w:highlight w:val="none"/>
        </w:rPr>
      </w:pPr>
      <w:r>
        <w:rPr>
          <w:rFonts w:hint="eastAsia" w:ascii="宋体" w:hAnsi="宋体" w:cs="宋体"/>
          <w:b/>
          <w:color w:val="000000"/>
          <w:sz w:val="32"/>
          <w:highlight w:val="none"/>
        </w:rPr>
        <w:t>二、评标标准</w:t>
      </w:r>
    </w:p>
    <w:p>
      <w:pPr>
        <w:spacing w:line="360" w:lineRule="auto"/>
        <w:ind w:firstLine="472" w:firstLineChars="196"/>
        <w:rPr>
          <w:rFonts w:ascii="宋体" w:hAnsi="宋体" w:cs="宋体"/>
          <w:b/>
          <w:color w:val="000000"/>
          <w:sz w:val="24"/>
          <w:highlight w:val="none"/>
        </w:rPr>
      </w:pPr>
      <w:r>
        <w:rPr>
          <w:rFonts w:hint="eastAsia" w:ascii="宋体" w:hAnsi="宋体" w:cs="宋体"/>
          <w:b/>
          <w:color w:val="000000"/>
          <w:sz w:val="24"/>
          <w:highlight w:val="none"/>
        </w:rPr>
        <w:t>2.</w:t>
      </w:r>
      <w:r>
        <w:rPr>
          <w:rFonts w:hint="eastAsia" w:ascii="宋体" w:hAnsi="宋体" w:cs="宋体"/>
          <w:color w:val="000000"/>
          <w:highlight w:val="none"/>
        </w:rPr>
        <w:t xml:space="preserve"> </w:t>
      </w:r>
      <w:r>
        <w:rPr>
          <w:rFonts w:hint="eastAsia" w:ascii="宋体" w:hAnsi="宋体" w:cs="宋体"/>
          <w:b/>
          <w:color w:val="000000"/>
          <w:sz w:val="24"/>
          <w:highlight w:val="none"/>
        </w:rPr>
        <w:t>评标标准：</w:t>
      </w:r>
      <w:r>
        <w:rPr>
          <w:rFonts w:hint="eastAsia" w:ascii="宋体" w:hAnsi="宋体" w:cs="宋体"/>
          <w:color w:val="000000"/>
          <w:kern w:val="0"/>
          <w:sz w:val="24"/>
          <w:highlight w:val="none"/>
        </w:rPr>
        <w:t>见评标办法前附表。</w:t>
      </w:r>
    </w:p>
    <w:p>
      <w:pPr>
        <w:spacing w:line="360" w:lineRule="auto"/>
        <w:outlineLvl w:val="0"/>
        <w:rPr>
          <w:rFonts w:ascii="宋体" w:hAnsi="宋体" w:cs="宋体"/>
          <w:b/>
          <w:color w:val="000000"/>
          <w:sz w:val="36"/>
          <w:szCs w:val="36"/>
          <w:highlight w:val="none"/>
        </w:rPr>
      </w:pPr>
      <w:r>
        <w:rPr>
          <w:rFonts w:hint="eastAsia" w:ascii="宋体" w:hAnsi="宋体" w:cs="宋体"/>
          <w:b/>
          <w:color w:val="000000"/>
          <w:sz w:val="36"/>
          <w:szCs w:val="36"/>
          <w:highlight w:val="none"/>
        </w:rPr>
        <w:t>三、评标程序</w:t>
      </w:r>
    </w:p>
    <w:p>
      <w:pPr>
        <w:spacing w:line="360" w:lineRule="auto"/>
        <w:ind w:firstLine="472" w:firstLineChars="196"/>
        <w:rPr>
          <w:rFonts w:ascii="宋体" w:hAnsi="宋体" w:cs="宋体"/>
          <w:color w:val="000000"/>
          <w:kern w:val="0"/>
          <w:sz w:val="24"/>
          <w:highlight w:val="none"/>
        </w:rPr>
      </w:pPr>
      <w:r>
        <w:rPr>
          <w:rFonts w:hint="eastAsia" w:ascii="宋体" w:hAnsi="宋体" w:cs="宋体"/>
          <w:b/>
          <w:color w:val="000000"/>
          <w:kern w:val="0"/>
          <w:sz w:val="24"/>
          <w:highlight w:val="none"/>
        </w:rPr>
        <w:t>3.1符合性审查。</w:t>
      </w:r>
      <w:r>
        <w:rPr>
          <w:rFonts w:hint="eastAsia" w:ascii="宋体" w:hAnsi="宋体" w:cs="宋体"/>
          <w:color w:val="000000"/>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000000"/>
          <w:kern w:val="0"/>
          <w:sz w:val="24"/>
          <w:highlight w:val="none"/>
        </w:rPr>
      </w:pPr>
      <w:r>
        <w:rPr>
          <w:rFonts w:hint="eastAsia" w:ascii="宋体" w:hAnsi="宋体" w:cs="宋体"/>
          <w:b/>
          <w:color w:val="000000"/>
          <w:kern w:val="0"/>
          <w:sz w:val="24"/>
          <w:highlight w:val="none"/>
        </w:rPr>
        <w:t>3.2 比较与评价。</w:t>
      </w:r>
      <w:r>
        <w:rPr>
          <w:rFonts w:hint="eastAsia" w:ascii="宋体" w:hAnsi="宋体" w:cs="宋体"/>
          <w:color w:val="000000"/>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000000"/>
          <w:kern w:val="0"/>
          <w:sz w:val="24"/>
          <w:highlight w:val="none"/>
        </w:rPr>
      </w:pPr>
      <w:r>
        <w:rPr>
          <w:rFonts w:hint="eastAsia" w:ascii="宋体" w:hAnsi="宋体" w:cs="宋体"/>
          <w:b/>
          <w:color w:val="000000"/>
          <w:kern w:val="0"/>
          <w:sz w:val="24"/>
          <w:highlight w:val="none"/>
        </w:rPr>
        <w:t>3.3汇总商务技术得分。</w:t>
      </w:r>
      <w:r>
        <w:rPr>
          <w:rFonts w:hint="eastAsia" w:ascii="宋体" w:hAnsi="宋体" w:cs="宋体"/>
          <w:color w:val="000000"/>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000000"/>
          <w:kern w:val="0"/>
          <w:sz w:val="24"/>
          <w:highlight w:val="none"/>
        </w:rPr>
      </w:pPr>
      <w:r>
        <w:rPr>
          <w:rFonts w:hint="eastAsia" w:ascii="宋体" w:hAnsi="宋体" w:cs="宋体"/>
          <w:b/>
          <w:color w:val="000000"/>
          <w:kern w:val="0"/>
          <w:sz w:val="24"/>
          <w:highlight w:val="none"/>
        </w:rPr>
        <w:t>3.4报价评审。</w:t>
      </w:r>
    </w:p>
    <w:p>
      <w:pPr>
        <w:pStyle w:val="153"/>
        <w:spacing w:before="0"/>
        <w:ind w:firstLine="508" w:firstLineChars="212"/>
        <w:rPr>
          <w:rFonts w:ascii="宋体" w:hAnsi="宋体" w:cs="宋体"/>
          <w:color w:val="000000"/>
          <w:kern w:val="0"/>
          <w:highlight w:val="none"/>
        </w:rPr>
      </w:pPr>
      <w:r>
        <w:rPr>
          <w:rFonts w:hint="eastAsia" w:ascii="宋体" w:hAnsi="宋体" w:cs="宋体"/>
          <w:color w:val="000000"/>
          <w:kern w:val="0"/>
          <w:highlight w:val="none"/>
        </w:rPr>
        <w:t>3.4.1投标文件报价出现前后不一致的，按照下列规定修正：</w:t>
      </w:r>
    </w:p>
    <w:p>
      <w:pPr>
        <w:pStyle w:val="153"/>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3.4.1.1投标文件中开标一览表(报价表)内容与投标文件中相应内容不一致的，以开标一览表(报价表)为准;</w:t>
      </w:r>
    </w:p>
    <w:p>
      <w:pPr>
        <w:pStyle w:val="153"/>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3.4.1.2大写金额和小写金额不一致的，以大写金额为准;</w:t>
      </w:r>
    </w:p>
    <w:p>
      <w:pPr>
        <w:pStyle w:val="153"/>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3.4.1.3单价金额小数点或者百分比有明显错位的，以开标一览表的总价为准，并修改单价;</w:t>
      </w:r>
    </w:p>
    <w:p>
      <w:pPr>
        <w:pStyle w:val="153"/>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3.4.1.4总价金额与按单价汇总金额不一致的，以单价金额计算结果为准。</w:t>
      </w:r>
    </w:p>
    <w:p>
      <w:pPr>
        <w:pStyle w:val="153"/>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3.4.3投标报价超过招标文件中规定的预算金额或者最高限价的，投标无效。</w:t>
      </w:r>
    </w:p>
    <w:p>
      <w:pPr>
        <w:pStyle w:val="153"/>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53"/>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000000"/>
          <w:kern w:val="0"/>
          <w:szCs w:val="24"/>
          <w:highlight w:val="none"/>
        </w:rPr>
        <w:t>20</w:t>
      </w:r>
      <w:r>
        <w:rPr>
          <w:rFonts w:hint="eastAsia" w:ascii="宋体" w:hAnsi="宋体" w:cs="宋体"/>
          <w:color w:val="000000"/>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000000"/>
          <w:kern w:val="0"/>
          <w:szCs w:val="24"/>
          <w:highlight w:val="none"/>
        </w:rPr>
        <w:t>6</w:t>
      </w:r>
      <w:r>
        <w:rPr>
          <w:rFonts w:hint="eastAsia" w:ascii="宋体" w:hAnsi="宋体" w:cs="宋体"/>
          <w:color w:val="000000"/>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000000"/>
          <w:kern w:val="0"/>
          <w:sz w:val="24"/>
          <w:highlight w:val="none"/>
        </w:rPr>
      </w:pPr>
      <w:r>
        <w:rPr>
          <w:rFonts w:hint="eastAsia" w:ascii="宋体" w:hAnsi="宋体" w:cs="宋体"/>
          <w:b/>
          <w:color w:val="000000"/>
          <w:kern w:val="0"/>
          <w:sz w:val="24"/>
          <w:highlight w:val="none"/>
        </w:rPr>
        <w:t>3.5排序与推荐。</w:t>
      </w:r>
      <w:r>
        <w:rPr>
          <w:rFonts w:hint="eastAsia" w:ascii="宋体" w:hAnsi="宋体" w:cs="宋体"/>
          <w:color w:val="000000"/>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000000"/>
          <w:kern w:val="0"/>
          <w:sz w:val="24"/>
          <w:highlight w:val="none"/>
        </w:rPr>
      </w:pPr>
      <w:r>
        <w:rPr>
          <w:rFonts w:hint="eastAsia" w:ascii="宋体" w:hAnsi="宋体" w:cs="宋体"/>
          <w:color w:val="000000"/>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000000"/>
          <w:kern w:val="0"/>
          <w:sz w:val="24"/>
          <w:highlight w:val="none"/>
        </w:rPr>
      </w:pPr>
      <w:r>
        <w:rPr>
          <w:rFonts w:hint="eastAsia" w:ascii="宋体" w:hAnsi="宋体" w:cs="宋体"/>
          <w:b/>
          <w:color w:val="000000"/>
          <w:kern w:val="0"/>
          <w:sz w:val="24"/>
          <w:highlight w:val="none"/>
        </w:rPr>
        <w:t>3.6编写评标报告。</w:t>
      </w:r>
      <w:r>
        <w:rPr>
          <w:rFonts w:hint="eastAsia" w:ascii="宋体" w:hAnsi="宋体" w:cs="宋体"/>
          <w:color w:val="000000"/>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000000"/>
          <w:sz w:val="32"/>
          <w:highlight w:val="none"/>
        </w:rPr>
      </w:pPr>
      <w:r>
        <w:rPr>
          <w:rFonts w:hint="eastAsia" w:ascii="宋体" w:hAnsi="宋体" w:cs="宋体"/>
          <w:b/>
          <w:color w:val="000000"/>
          <w:sz w:val="32"/>
          <w:highlight w:val="none"/>
        </w:rPr>
        <w:t>四、评标中的其他事项</w:t>
      </w:r>
    </w:p>
    <w:p>
      <w:pPr>
        <w:pStyle w:val="153"/>
        <w:spacing w:before="0"/>
        <w:ind w:firstLine="472" w:firstLineChars="196"/>
        <w:rPr>
          <w:rFonts w:ascii="宋体" w:hAnsi="宋体" w:cs="宋体"/>
          <w:color w:val="000000"/>
          <w:kern w:val="0"/>
          <w:szCs w:val="24"/>
          <w:highlight w:val="none"/>
        </w:rPr>
      </w:pPr>
      <w:r>
        <w:rPr>
          <w:rFonts w:hint="eastAsia" w:ascii="宋体" w:hAnsi="宋体" w:cs="宋体"/>
          <w:b/>
          <w:color w:val="000000"/>
          <w:kern w:val="0"/>
          <w:szCs w:val="24"/>
          <w:highlight w:val="none"/>
        </w:rPr>
        <w:t>4.1投标人澄清、说明或者补正。</w:t>
      </w:r>
      <w:r>
        <w:rPr>
          <w:rFonts w:hint="eastAsia" w:ascii="宋体" w:hAnsi="宋体" w:cs="宋体"/>
          <w:color w:val="000000"/>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color w:val="000000"/>
          <w:szCs w:val="21"/>
          <w:highlight w:val="none"/>
        </w:rPr>
      </w:pPr>
      <w:r>
        <w:rPr>
          <w:rFonts w:hint="eastAsia" w:cs="宋体"/>
          <w:b/>
          <w:color w:val="000000"/>
          <w:kern w:val="0"/>
          <w:highlight w:val="none"/>
        </w:rPr>
        <w:t>4.2投标无效。</w:t>
      </w:r>
      <w:r>
        <w:rPr>
          <w:rFonts w:hint="eastAsia" w:cs="宋体"/>
          <w:color w:val="000000"/>
          <w:szCs w:val="21"/>
          <w:highlight w:val="none"/>
        </w:rPr>
        <w:t>有下列情形之一的，投标无效：</w:t>
      </w:r>
    </w:p>
    <w:p>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4.2.2投标文件未按照招标文件要求签署、盖章的；</w:t>
      </w:r>
    </w:p>
    <w:p>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4.2.4投标文件含有采购人不能接受的附加条件的；</w:t>
      </w:r>
    </w:p>
    <w:p>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000000"/>
          <w:kern w:val="0"/>
          <w:sz w:val="24"/>
          <w:highlight w:val="none"/>
        </w:rPr>
      </w:pPr>
      <w:r>
        <w:rPr>
          <w:rFonts w:hint="eastAsia" w:ascii="宋体" w:hAnsi="宋体" w:cs="宋体"/>
          <w:color w:val="000000"/>
          <w:kern w:val="0"/>
          <w:sz w:val="24"/>
          <w:highlight w:val="none"/>
        </w:rPr>
        <w:t xml:space="preserve">   4.2.6投标文件出现不是唯一的、有选择性投标报价的;</w:t>
      </w:r>
    </w:p>
    <w:p>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4.2.7投标报价超过招标文件中规定的预算金额或者最高限价的;</w:t>
      </w:r>
    </w:p>
    <w:p>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4.2.9投标人对根据修正原则修正后的报价不确认的；</w:t>
      </w:r>
    </w:p>
    <w:p>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4.2.10投标人提供虚假材料投标的；</w:t>
      </w:r>
    </w:p>
    <w:p>
      <w:pPr>
        <w:spacing w:line="360" w:lineRule="auto"/>
        <w:ind w:firstLine="240" w:firstLineChars="100"/>
        <w:rPr>
          <w:rFonts w:ascii="宋体" w:hAnsi="宋体" w:cs="宋体"/>
          <w:color w:val="000000"/>
          <w:kern w:val="0"/>
          <w:sz w:val="24"/>
          <w:highlight w:val="none"/>
        </w:rPr>
      </w:pPr>
      <w:r>
        <w:rPr>
          <w:rFonts w:hint="eastAsia" w:ascii="宋体" w:hAnsi="宋体" w:cs="宋体"/>
          <w:color w:val="000000"/>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4.2.12投标人仅提交备份投标文件，未在电子交易平台传输递交投标文件的，投标无效；</w:t>
      </w:r>
    </w:p>
    <w:p>
      <w:pPr>
        <w:pStyle w:val="3"/>
        <w:ind w:left="862" w:leftChars="205"/>
        <w:rPr>
          <w:rFonts w:ascii="宋体" w:hAnsi="宋体" w:eastAsia="宋体" w:cs="宋体"/>
          <w:b w:val="0"/>
          <w:bCs w:val="0"/>
          <w:color w:val="000000"/>
          <w:kern w:val="0"/>
          <w:sz w:val="24"/>
          <w:szCs w:val="24"/>
          <w:highlight w:val="none"/>
          <w:lang w:val="en-US"/>
        </w:rPr>
      </w:pPr>
      <w:r>
        <w:rPr>
          <w:rFonts w:hint="eastAsia" w:ascii="宋体" w:hAnsi="宋体" w:eastAsia="宋体" w:cs="宋体"/>
          <w:b w:val="0"/>
          <w:bCs w:val="0"/>
          <w:color w:val="000000"/>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4.2.14法律、法规、规章（适用本市的）及省级以上规范性文件（适用本市的）规定的其他无效情形。</w:t>
      </w:r>
    </w:p>
    <w:p>
      <w:pPr>
        <w:pStyle w:val="26"/>
        <w:snapToGrid w:val="0"/>
        <w:spacing w:line="360" w:lineRule="auto"/>
        <w:ind w:firstLine="472" w:firstLineChars="196"/>
        <w:rPr>
          <w:rFonts w:cs="宋体"/>
          <w:color w:val="000000"/>
          <w:highlight w:val="none"/>
        </w:rPr>
      </w:pPr>
      <w:r>
        <w:rPr>
          <w:rFonts w:hint="eastAsia" w:cs="宋体"/>
          <w:b/>
          <w:color w:val="000000"/>
          <w:highlight w:val="none"/>
        </w:rPr>
        <w:t>5.废标。</w:t>
      </w:r>
      <w:r>
        <w:rPr>
          <w:rFonts w:hint="eastAsia" w:cs="宋体"/>
          <w:color w:val="000000"/>
          <w:highlight w:val="none"/>
        </w:rPr>
        <w:t>根据《中华人民共和国政府采购法》第三十六条之规定，在采购中，出现下列情形之一的，应予废标：</w:t>
      </w:r>
    </w:p>
    <w:p>
      <w:pPr>
        <w:pStyle w:val="26"/>
        <w:snapToGrid w:val="0"/>
        <w:spacing w:line="360" w:lineRule="auto"/>
        <w:rPr>
          <w:rFonts w:cs="宋体"/>
          <w:color w:val="000000"/>
          <w:highlight w:val="none"/>
        </w:rPr>
      </w:pPr>
      <w:r>
        <w:rPr>
          <w:rFonts w:hint="eastAsia" w:cs="宋体"/>
          <w:color w:val="000000"/>
          <w:highlight w:val="none"/>
        </w:rPr>
        <w:t>5.1符合专业条件的供应商或者对招标文件作实质响应的供应商不足3家的；</w:t>
      </w:r>
    </w:p>
    <w:p>
      <w:pPr>
        <w:pStyle w:val="26"/>
        <w:snapToGrid w:val="0"/>
        <w:spacing w:line="360" w:lineRule="auto"/>
        <w:rPr>
          <w:rFonts w:cs="宋体"/>
          <w:color w:val="000000"/>
          <w:highlight w:val="none"/>
        </w:rPr>
      </w:pPr>
      <w:r>
        <w:rPr>
          <w:rFonts w:hint="eastAsia" w:cs="宋体"/>
          <w:color w:val="000000"/>
          <w:highlight w:val="none"/>
        </w:rPr>
        <w:t>5.2出现影响采购公正的违法、违规行为的；</w:t>
      </w:r>
    </w:p>
    <w:p>
      <w:pPr>
        <w:pStyle w:val="26"/>
        <w:snapToGrid w:val="0"/>
        <w:spacing w:line="360" w:lineRule="auto"/>
        <w:rPr>
          <w:rFonts w:cs="宋体"/>
          <w:color w:val="000000"/>
          <w:highlight w:val="none"/>
        </w:rPr>
      </w:pPr>
      <w:r>
        <w:rPr>
          <w:rFonts w:hint="eastAsia" w:cs="宋体"/>
          <w:color w:val="000000"/>
          <w:highlight w:val="none"/>
        </w:rPr>
        <w:t>5.3投标人的报价均超过了采购预算，采购人不能支付的；</w:t>
      </w:r>
    </w:p>
    <w:p>
      <w:pPr>
        <w:pStyle w:val="26"/>
        <w:snapToGrid w:val="0"/>
        <w:spacing w:line="360" w:lineRule="auto"/>
        <w:rPr>
          <w:rFonts w:cs="宋体"/>
          <w:color w:val="000000"/>
          <w:highlight w:val="none"/>
        </w:rPr>
      </w:pPr>
      <w:r>
        <w:rPr>
          <w:rFonts w:hint="eastAsia" w:cs="宋体"/>
          <w:color w:val="000000"/>
          <w:highlight w:val="none"/>
        </w:rPr>
        <w:t>5.4因重大变故，采购任务取消的。</w:t>
      </w:r>
    </w:p>
    <w:p>
      <w:pPr>
        <w:pStyle w:val="26"/>
        <w:snapToGrid w:val="0"/>
        <w:spacing w:line="360" w:lineRule="auto"/>
        <w:rPr>
          <w:rFonts w:cs="宋体"/>
          <w:color w:val="000000"/>
          <w:highlight w:val="none"/>
        </w:rPr>
      </w:pPr>
      <w:r>
        <w:rPr>
          <w:rFonts w:hint="eastAsia" w:cs="宋体"/>
          <w:color w:val="000000"/>
          <w:highlight w:val="none"/>
        </w:rPr>
        <w:t>废标后，</w:t>
      </w:r>
      <w:r>
        <w:rPr>
          <w:rFonts w:hint="eastAsia" w:cs="宋体"/>
          <w:color w:val="000000"/>
          <w:highlight w:val="none"/>
          <w:lang w:eastAsia="zh-CN"/>
        </w:rPr>
        <w:t>采购代理机构</w:t>
      </w:r>
      <w:r>
        <w:rPr>
          <w:rFonts w:hint="eastAsia" w:cs="宋体"/>
          <w:color w:val="000000"/>
          <w:highlight w:val="none"/>
        </w:rPr>
        <w:t>应当将废标理由通知所有投标人。</w:t>
      </w:r>
    </w:p>
    <w:p>
      <w:pPr>
        <w:pStyle w:val="26"/>
        <w:snapToGrid w:val="0"/>
        <w:spacing w:line="360" w:lineRule="auto"/>
        <w:ind w:firstLine="590" w:firstLineChars="245"/>
        <w:rPr>
          <w:rFonts w:cs="宋体"/>
          <w:color w:val="000000"/>
          <w:highlight w:val="none"/>
        </w:rPr>
      </w:pPr>
      <w:r>
        <w:rPr>
          <w:rFonts w:hint="eastAsia" w:cs="宋体"/>
          <w:b/>
          <w:color w:val="000000"/>
          <w:highlight w:val="none"/>
        </w:rPr>
        <w:t>6.修改招标文件，重新组织采购活动。</w:t>
      </w:r>
      <w:r>
        <w:rPr>
          <w:rFonts w:hint="eastAsia" w:cs="宋体"/>
          <w:color w:val="000000"/>
          <w:highlight w:val="none"/>
        </w:rPr>
        <w:t>评标委员会发现招标文件存在歧义、重大缺陷导致评标工作无法进行，或者招标文件内容违反国家有关强制性规定的，将停止评标工作，并与采购人、</w:t>
      </w:r>
      <w:r>
        <w:rPr>
          <w:rFonts w:hint="eastAsia" w:cs="宋体"/>
          <w:color w:val="000000"/>
          <w:highlight w:val="none"/>
          <w:lang w:eastAsia="zh-CN"/>
        </w:rPr>
        <w:t>采购代理机构</w:t>
      </w:r>
      <w:r>
        <w:rPr>
          <w:rFonts w:hint="eastAsia" w:cs="宋体"/>
          <w:color w:val="000000"/>
          <w:highlight w:val="none"/>
        </w:rPr>
        <w:t>沟通并作书面记录。采购人、</w:t>
      </w:r>
      <w:r>
        <w:rPr>
          <w:rFonts w:hint="eastAsia" w:cs="宋体"/>
          <w:color w:val="000000"/>
          <w:highlight w:val="none"/>
          <w:lang w:eastAsia="zh-CN"/>
        </w:rPr>
        <w:t>采购代理机构</w:t>
      </w:r>
      <w:r>
        <w:rPr>
          <w:rFonts w:hint="eastAsia" w:cs="宋体"/>
          <w:color w:val="000000"/>
          <w:highlight w:val="none"/>
        </w:rPr>
        <w:t>确认后，将修改招标文件，重新组织采购活动。</w:t>
      </w:r>
    </w:p>
    <w:p>
      <w:pPr>
        <w:pStyle w:val="26"/>
        <w:snapToGrid w:val="0"/>
        <w:spacing w:line="360" w:lineRule="auto"/>
        <w:ind w:firstLine="482"/>
        <w:rPr>
          <w:rFonts w:cs="宋体"/>
          <w:color w:val="000000"/>
          <w:highlight w:val="none"/>
        </w:rPr>
      </w:pPr>
      <w:r>
        <w:rPr>
          <w:rFonts w:hint="eastAsia" w:cs="宋体"/>
          <w:b/>
          <w:color w:val="000000"/>
          <w:kern w:val="0"/>
          <w:highlight w:val="none"/>
        </w:rPr>
        <w:t>7.重新开展采购。</w:t>
      </w:r>
      <w:r>
        <w:rPr>
          <w:rFonts w:hint="eastAsia" w:cs="宋体"/>
          <w:color w:val="000000"/>
          <w:highlight w:val="none"/>
        </w:rPr>
        <w:t>有政府采购法第七十一条、第七十二条规定的违法行为之一，影响或者可能影响中标结果的，依照下列规定处理：</w:t>
      </w:r>
    </w:p>
    <w:p>
      <w:pPr>
        <w:pStyle w:val="26"/>
        <w:snapToGrid w:val="0"/>
        <w:spacing w:line="360" w:lineRule="auto"/>
        <w:rPr>
          <w:rFonts w:cs="宋体"/>
          <w:color w:val="000000"/>
          <w:highlight w:val="none"/>
        </w:rPr>
      </w:pPr>
      <w:r>
        <w:rPr>
          <w:rFonts w:hint="eastAsia" w:cs="宋体"/>
          <w:color w:val="000000"/>
          <w:highlight w:val="none"/>
        </w:rPr>
        <w:t>7.1未确定中标供应商的，终止本次政府采购活动，重新开展政府采购活动。</w:t>
      </w:r>
    </w:p>
    <w:p>
      <w:pPr>
        <w:pStyle w:val="26"/>
        <w:snapToGrid w:val="0"/>
        <w:spacing w:line="360" w:lineRule="auto"/>
        <w:rPr>
          <w:rFonts w:cs="宋体"/>
          <w:color w:val="000000"/>
          <w:highlight w:val="none"/>
        </w:rPr>
      </w:pPr>
      <w:r>
        <w:rPr>
          <w:rFonts w:hint="eastAsia" w:cs="宋体"/>
          <w:color w:val="000000"/>
          <w:highlight w:val="none"/>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color w:val="000000"/>
          <w:highlight w:val="none"/>
        </w:rPr>
      </w:pPr>
      <w:r>
        <w:rPr>
          <w:rFonts w:hint="eastAsia" w:cs="宋体"/>
          <w:color w:val="000000"/>
          <w:highlight w:val="none"/>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color w:val="000000"/>
          <w:highlight w:val="none"/>
        </w:rPr>
      </w:pPr>
      <w:r>
        <w:rPr>
          <w:rFonts w:hint="eastAsia" w:cs="宋体"/>
          <w:color w:val="000000"/>
          <w:highlight w:val="none"/>
        </w:rPr>
        <w:t>7.4政府采购合同已经履行，给采购人、供应商造成损失的，由责任人承担赔偿责任。</w:t>
      </w:r>
    </w:p>
    <w:p>
      <w:pPr>
        <w:pStyle w:val="26"/>
        <w:snapToGrid w:val="0"/>
        <w:spacing w:line="360" w:lineRule="auto"/>
        <w:rPr>
          <w:rFonts w:cs="宋体"/>
          <w:color w:val="000000"/>
          <w:highlight w:val="none"/>
        </w:rPr>
      </w:pPr>
      <w:r>
        <w:rPr>
          <w:rFonts w:hint="eastAsia" w:cs="宋体"/>
          <w:color w:val="000000"/>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6"/>
        <w:snapToGrid w:val="0"/>
        <w:spacing w:line="360" w:lineRule="auto"/>
        <w:ind w:firstLine="0" w:firstLineChars="0"/>
        <w:rPr>
          <w:rFonts w:cs="宋体"/>
          <w:color w:val="000000"/>
          <w:highlight w:val="none"/>
        </w:rPr>
      </w:pPr>
    </w:p>
    <w:bookmarkEnd w:id="27"/>
    <w:p>
      <w:pPr>
        <w:spacing w:line="360" w:lineRule="auto"/>
        <w:ind w:left="720" w:leftChars="343" w:firstLine="1084" w:firstLineChars="300"/>
        <w:outlineLvl w:val="0"/>
        <w:rPr>
          <w:rFonts w:ascii="宋体" w:hAnsi="宋体" w:cs="宋体"/>
          <w:b/>
          <w:color w:val="000000"/>
          <w:sz w:val="36"/>
          <w:szCs w:val="36"/>
          <w:highlight w:val="none"/>
        </w:rPr>
      </w:pPr>
      <w:bookmarkStart w:id="453" w:name="第五部分"/>
      <w:bookmarkStart w:id="454" w:name="_Toc86217003"/>
    </w:p>
    <w:p>
      <w:pPr>
        <w:spacing w:line="360" w:lineRule="auto"/>
        <w:ind w:left="720" w:leftChars="343" w:firstLine="1084" w:firstLineChars="300"/>
        <w:outlineLvl w:val="0"/>
        <w:rPr>
          <w:rFonts w:ascii="宋体" w:hAnsi="宋体" w:cs="宋体"/>
          <w:b/>
          <w:color w:val="000000"/>
          <w:sz w:val="36"/>
          <w:szCs w:val="36"/>
          <w:highlight w:val="none"/>
        </w:rPr>
      </w:pPr>
      <w:r>
        <w:rPr>
          <w:rFonts w:hint="eastAsia" w:ascii="宋体" w:hAnsi="宋体" w:cs="宋体"/>
          <w:b/>
          <w:color w:val="000000"/>
          <w:sz w:val="36"/>
          <w:szCs w:val="36"/>
          <w:highlight w:val="none"/>
        </w:rPr>
        <w:t xml:space="preserve">    </w:t>
      </w:r>
    </w:p>
    <w:p>
      <w:pPr>
        <w:widowControl/>
        <w:adjustRightInd/>
        <w:jc w:val="center"/>
        <w:rPr>
          <w:rFonts w:hint="eastAsia" w:ascii="仿宋" w:hAnsi="仿宋" w:eastAsia="仿宋" w:cs="仿宋"/>
          <w:b/>
          <w:color w:val="auto"/>
          <w:sz w:val="36"/>
          <w:szCs w:val="36"/>
          <w:highlight w:val="none"/>
        </w:rPr>
        <w:sectPr>
          <w:pgSz w:w="11906" w:h="16838"/>
          <w:pgMar w:top="1276" w:right="1418" w:bottom="1247" w:left="1418" w:header="851" w:footer="992" w:gutter="0"/>
          <w:cols w:space="720" w:num="1"/>
          <w:titlePg/>
          <w:docGrid w:linePitch="312" w:charSpace="0"/>
        </w:sectPr>
      </w:pPr>
      <w:bookmarkStart w:id="455" w:name="_Toc8068"/>
      <w:bookmarkStart w:id="456" w:name="_Toc3651"/>
      <w:bookmarkStart w:id="457" w:name="_Toc12722"/>
    </w:p>
    <w:p>
      <w:pPr>
        <w:widowControl/>
        <w:adjustRightInd/>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val="en-US" w:eastAsia="zh-CN"/>
        </w:rPr>
        <w:t>五</w:t>
      </w:r>
      <w:r>
        <w:rPr>
          <w:rFonts w:hint="eastAsia" w:ascii="仿宋" w:hAnsi="仿宋" w:eastAsia="仿宋" w:cs="仿宋"/>
          <w:b/>
          <w:color w:val="auto"/>
          <w:sz w:val="36"/>
          <w:szCs w:val="36"/>
          <w:highlight w:val="none"/>
        </w:rPr>
        <w:t>部分 拟签订的合同文本</w:t>
      </w:r>
      <w:bookmarkEnd w:id="455"/>
      <w:bookmarkEnd w:id="456"/>
      <w:bookmarkEnd w:id="457"/>
    </w:p>
    <w:p>
      <w:pPr>
        <w:rPr>
          <w:rFonts w:hint="eastAsia" w:ascii="仿宋" w:hAnsi="仿宋" w:eastAsia="仿宋" w:cs="仿宋"/>
          <w:color w:val="auto"/>
          <w:sz w:val="24"/>
          <w:highlight w:val="none"/>
        </w:rPr>
      </w:pPr>
    </w:p>
    <w:p>
      <w:pPr>
        <w:pStyle w:val="624"/>
        <w:shd w:val="clear" w:color="auto" w:fill="auto"/>
        <w:spacing w:line="440" w:lineRule="exact"/>
        <w:ind w:firstLine="883"/>
        <w:jc w:val="center"/>
        <w:rPr>
          <w:rStyle w:val="921"/>
          <w:rFonts w:ascii="仿宋" w:hAnsi="仿宋" w:eastAsia="仿宋"/>
          <w:color w:val="000000"/>
          <w:highlight w:val="none"/>
        </w:rPr>
      </w:pPr>
    </w:p>
    <w:p>
      <w:pPr>
        <w:jc w:val="center"/>
        <w:rPr>
          <w:rFonts w:hint="eastAsia" w:ascii="仿宋" w:hAnsi="仿宋" w:eastAsia="仿宋" w:cs="仿宋"/>
          <w:color w:val="000000"/>
          <w:sz w:val="32"/>
          <w:szCs w:val="32"/>
        </w:rPr>
      </w:pPr>
    </w:p>
    <w:p>
      <w:pPr>
        <w:jc w:val="center"/>
        <w:rPr>
          <w:rFonts w:hint="eastAsia" w:ascii="仿宋" w:hAnsi="仿宋" w:eastAsia="仿宋" w:cs="仿宋"/>
          <w:color w:val="000000"/>
          <w:sz w:val="32"/>
          <w:szCs w:val="32"/>
        </w:rPr>
      </w:pPr>
    </w:p>
    <w:p>
      <w:pPr>
        <w:spacing w:line="360" w:lineRule="auto"/>
        <w:ind w:right="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合    同    书</w:t>
      </w:r>
    </w:p>
    <w:p>
      <w:pPr>
        <w:spacing w:line="360" w:lineRule="auto"/>
        <w:ind w:right="0"/>
        <w:textAlignment w:val="auto"/>
        <w:outlineLvl w:val="9"/>
        <w:rPr>
          <w:rFonts w:hint="eastAsia" w:ascii="仿宋" w:hAnsi="仿宋" w:eastAsia="仿宋" w:cs="仿宋"/>
          <w:color w:val="000000"/>
          <w:sz w:val="24"/>
          <w:szCs w:val="24"/>
        </w:rPr>
      </w:pPr>
    </w:p>
    <w:p>
      <w:pPr>
        <w:spacing w:line="360" w:lineRule="auto"/>
        <w:ind w:right="0"/>
        <w:textAlignment w:val="auto"/>
        <w:outlineLvl w:val="9"/>
        <w:rPr>
          <w:rFonts w:hint="eastAsia" w:ascii="仿宋" w:hAnsi="仿宋" w:eastAsia="仿宋" w:cs="仿宋"/>
          <w:color w:val="000000"/>
          <w:sz w:val="24"/>
          <w:szCs w:val="24"/>
        </w:rPr>
      </w:pPr>
    </w:p>
    <w:p>
      <w:pPr>
        <w:spacing w:line="360" w:lineRule="auto"/>
        <w:ind w:right="0"/>
        <w:textAlignment w:val="auto"/>
        <w:outlineLvl w:val="9"/>
        <w:rPr>
          <w:rFonts w:hint="eastAsia" w:ascii="仿宋" w:hAnsi="仿宋" w:eastAsia="仿宋" w:cs="仿宋"/>
          <w:color w:val="000000"/>
          <w:sz w:val="24"/>
          <w:szCs w:val="24"/>
        </w:rPr>
      </w:pPr>
    </w:p>
    <w:p>
      <w:pPr>
        <w:spacing w:line="360" w:lineRule="auto"/>
        <w:ind w:left="1760" w:right="0" w:hanging="1320" w:hangingChars="550"/>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合同名称：</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p>
    <w:p>
      <w:pPr>
        <w:spacing w:line="360" w:lineRule="auto"/>
        <w:ind w:right="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pPr>
        <w:spacing w:line="360" w:lineRule="auto"/>
        <w:ind w:right="0"/>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合同编号：</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p>
    <w:p>
      <w:pPr>
        <w:spacing w:line="360" w:lineRule="auto"/>
        <w:ind w:right="0"/>
        <w:textAlignment w:val="auto"/>
        <w:outlineLvl w:val="9"/>
        <w:rPr>
          <w:rFonts w:hint="eastAsia" w:ascii="仿宋" w:hAnsi="仿宋" w:eastAsia="仿宋" w:cs="仿宋"/>
          <w:color w:val="000000"/>
          <w:sz w:val="24"/>
          <w:szCs w:val="24"/>
          <w:u w:val="single"/>
        </w:rPr>
      </w:pPr>
    </w:p>
    <w:p>
      <w:pPr>
        <w:spacing w:line="360" w:lineRule="auto"/>
        <w:ind w:right="0"/>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发包单位：</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none"/>
        </w:rPr>
        <w:t xml:space="preserve">   </w:t>
      </w:r>
    </w:p>
    <w:p>
      <w:pPr>
        <w:spacing w:line="360" w:lineRule="auto"/>
        <w:ind w:right="0"/>
        <w:textAlignment w:val="auto"/>
        <w:outlineLvl w:val="9"/>
        <w:rPr>
          <w:rFonts w:hint="eastAsia" w:ascii="仿宋" w:hAnsi="仿宋" w:eastAsia="仿宋" w:cs="仿宋"/>
          <w:color w:val="000000"/>
          <w:sz w:val="24"/>
          <w:szCs w:val="24"/>
        </w:rPr>
      </w:pPr>
    </w:p>
    <w:p>
      <w:pPr>
        <w:spacing w:line="360" w:lineRule="auto"/>
        <w:ind w:right="0"/>
        <w:textAlignment w:val="auto"/>
        <w:outlineLvl w:val="9"/>
        <w:rPr>
          <w:rFonts w:hint="eastAsia" w:ascii="仿宋" w:hAnsi="仿宋" w:eastAsia="仿宋" w:cs="仿宋"/>
          <w:color w:val="000000"/>
          <w:sz w:val="24"/>
          <w:szCs w:val="24"/>
          <w:u w:val="single"/>
          <w:lang w:val="en-US" w:eastAsia="zh-CN"/>
        </w:rPr>
      </w:pPr>
      <w:r>
        <w:rPr>
          <w:rFonts w:hint="eastAsia" w:ascii="仿宋" w:hAnsi="仿宋" w:eastAsia="仿宋" w:cs="仿宋"/>
          <w:color w:val="000000"/>
          <w:sz w:val="24"/>
          <w:szCs w:val="24"/>
        </w:rPr>
        <w:t>承包单位：</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p>
    <w:p>
      <w:pPr>
        <w:spacing w:line="360" w:lineRule="auto"/>
        <w:ind w:right="0"/>
        <w:textAlignment w:val="auto"/>
        <w:outlineLvl w:val="9"/>
        <w:rPr>
          <w:rFonts w:hint="eastAsia" w:ascii="仿宋" w:hAnsi="仿宋" w:eastAsia="仿宋" w:cs="仿宋"/>
          <w:color w:val="000000"/>
          <w:sz w:val="24"/>
          <w:szCs w:val="24"/>
          <w:u w:val="single"/>
        </w:rPr>
      </w:pPr>
    </w:p>
    <w:p>
      <w:pPr>
        <w:spacing w:line="360" w:lineRule="auto"/>
        <w:ind w:right="0"/>
        <w:textAlignment w:val="auto"/>
        <w:outlineLvl w:val="9"/>
        <w:rPr>
          <w:rFonts w:hint="eastAsia" w:ascii="仿宋" w:hAnsi="仿宋" w:eastAsia="仿宋" w:cs="仿宋"/>
          <w:color w:val="000000"/>
          <w:sz w:val="24"/>
          <w:szCs w:val="24"/>
          <w:u w:val="single"/>
        </w:rPr>
      </w:pPr>
    </w:p>
    <w:p>
      <w:pPr>
        <w:spacing w:line="360" w:lineRule="auto"/>
        <w:ind w:right="0"/>
        <w:textAlignment w:val="auto"/>
        <w:outlineLvl w:val="9"/>
        <w:rPr>
          <w:rFonts w:hint="eastAsia" w:ascii="仿宋" w:hAnsi="仿宋" w:eastAsia="仿宋" w:cs="仿宋"/>
          <w:color w:val="000000"/>
          <w:sz w:val="24"/>
          <w:szCs w:val="24"/>
          <w:u w:val="single"/>
        </w:rPr>
      </w:pPr>
    </w:p>
    <w:p>
      <w:pPr>
        <w:spacing w:line="360" w:lineRule="auto"/>
        <w:ind w:right="0"/>
        <w:textAlignment w:val="auto"/>
        <w:outlineLvl w:val="9"/>
        <w:rPr>
          <w:rFonts w:hint="eastAsia" w:ascii="仿宋" w:hAnsi="仿宋" w:eastAsia="仿宋" w:cs="仿宋"/>
          <w:color w:val="000000"/>
          <w:sz w:val="24"/>
          <w:szCs w:val="24"/>
          <w:u w:val="single"/>
        </w:rPr>
      </w:pPr>
    </w:p>
    <w:p>
      <w:pPr>
        <w:spacing w:line="360" w:lineRule="auto"/>
        <w:ind w:right="0"/>
        <w:textAlignment w:val="auto"/>
        <w:outlineLvl w:val="9"/>
        <w:rPr>
          <w:rFonts w:hint="eastAsia" w:ascii="仿宋" w:hAnsi="仿宋" w:eastAsia="仿宋" w:cs="仿宋"/>
          <w:color w:val="000000"/>
          <w:sz w:val="24"/>
          <w:szCs w:val="24"/>
          <w:u w:val="single"/>
        </w:rPr>
      </w:pPr>
    </w:p>
    <w:p>
      <w:pPr>
        <w:spacing w:line="360" w:lineRule="auto"/>
        <w:ind w:right="0"/>
        <w:textAlignment w:val="auto"/>
        <w:outlineLvl w:val="9"/>
        <w:rPr>
          <w:rFonts w:hint="eastAsia" w:ascii="仿宋" w:hAnsi="仿宋" w:eastAsia="仿宋" w:cs="仿宋"/>
          <w:color w:val="000000"/>
          <w:sz w:val="24"/>
          <w:szCs w:val="24"/>
          <w:u w:val="single"/>
        </w:rPr>
      </w:pPr>
    </w:p>
    <w:p>
      <w:pPr>
        <w:spacing w:line="360" w:lineRule="auto"/>
        <w:ind w:right="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二O二</w:t>
      </w:r>
      <w:r>
        <w:rPr>
          <w:rFonts w:hint="eastAsia" w:ascii="仿宋" w:hAnsi="仿宋" w:eastAsia="仿宋" w:cs="仿宋"/>
          <w:color w:val="000000"/>
          <w:sz w:val="24"/>
          <w:szCs w:val="24"/>
          <w:lang w:val="en-US" w:eastAsia="zh-CN"/>
        </w:rPr>
        <w:t>四</w:t>
      </w:r>
      <w:r>
        <w:rPr>
          <w:rFonts w:hint="eastAsia" w:ascii="仿宋" w:hAnsi="仿宋" w:eastAsia="仿宋" w:cs="仿宋"/>
          <w:color w:val="000000"/>
          <w:sz w:val="24"/>
          <w:szCs w:val="24"/>
        </w:rPr>
        <w:t>年</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月</w:t>
      </w:r>
    </w:p>
    <w:p>
      <w:pPr>
        <w:spacing w:line="360" w:lineRule="auto"/>
        <w:ind w:right="0"/>
        <w:jc w:val="center"/>
        <w:textAlignment w:val="auto"/>
        <w:outlineLvl w:val="9"/>
        <w:rPr>
          <w:rFonts w:hint="eastAsia" w:ascii="仿宋" w:hAnsi="仿宋" w:eastAsia="仿宋" w:cs="仿宋"/>
          <w:color w:val="000000"/>
          <w:sz w:val="24"/>
          <w:szCs w:val="24"/>
        </w:rPr>
      </w:pPr>
    </w:p>
    <w:p>
      <w:pPr>
        <w:spacing w:line="360" w:lineRule="auto"/>
        <w:ind w:right="0"/>
        <w:jc w:val="center"/>
        <w:textAlignment w:val="auto"/>
        <w:outlineLvl w:val="9"/>
        <w:rPr>
          <w:rFonts w:hint="eastAsia" w:ascii="仿宋" w:hAnsi="仿宋" w:eastAsia="仿宋" w:cs="仿宋"/>
          <w:color w:val="000000"/>
          <w:sz w:val="24"/>
          <w:szCs w:val="24"/>
        </w:rPr>
      </w:pPr>
    </w:p>
    <w:p>
      <w:pPr>
        <w:spacing w:line="360" w:lineRule="auto"/>
        <w:ind w:right="0"/>
        <w:textAlignment w:val="auto"/>
        <w:outlineLvl w:val="9"/>
        <w:rPr>
          <w:rFonts w:hint="eastAsia" w:ascii="仿宋" w:hAnsi="仿宋" w:eastAsia="仿宋" w:cs="仿宋"/>
          <w:color w:val="000000"/>
          <w:sz w:val="24"/>
          <w:szCs w:val="24"/>
        </w:rPr>
      </w:pPr>
    </w:p>
    <w:p>
      <w:pPr>
        <w:spacing w:line="360" w:lineRule="auto"/>
        <w:ind w:right="0"/>
        <w:textAlignment w:val="auto"/>
        <w:outlineLvl w:val="9"/>
        <w:rPr>
          <w:rFonts w:hint="eastAsia" w:ascii="仿宋" w:hAnsi="仿宋" w:eastAsia="仿宋" w:cs="仿宋"/>
          <w:color w:val="000000"/>
          <w:sz w:val="24"/>
          <w:szCs w:val="24"/>
        </w:rPr>
      </w:pPr>
    </w:p>
    <w:p>
      <w:pPr>
        <w:spacing w:line="360" w:lineRule="auto"/>
        <w:ind w:right="0"/>
        <w:textAlignment w:val="auto"/>
        <w:outlineLvl w:val="9"/>
        <w:rPr>
          <w:rFonts w:hint="eastAsia" w:ascii="仿宋" w:hAnsi="仿宋" w:eastAsia="仿宋" w:cs="仿宋"/>
          <w:color w:val="000000"/>
          <w:sz w:val="24"/>
          <w:szCs w:val="24"/>
        </w:rPr>
      </w:pPr>
    </w:p>
    <w:p>
      <w:pPr>
        <w:spacing w:line="360" w:lineRule="auto"/>
        <w:ind w:right="0"/>
        <w:textAlignment w:val="auto"/>
        <w:outlineLvl w:val="9"/>
        <w:rPr>
          <w:rFonts w:hint="eastAsia" w:ascii="仿宋" w:hAnsi="仿宋" w:eastAsia="仿宋" w:cs="仿宋"/>
          <w:color w:val="000000"/>
          <w:sz w:val="24"/>
          <w:szCs w:val="24"/>
        </w:rPr>
      </w:pPr>
    </w:p>
    <w:p>
      <w:pPr>
        <w:spacing w:line="360" w:lineRule="auto"/>
        <w:ind w:right="0"/>
        <w:jc w:val="center"/>
        <w:textAlignment w:val="auto"/>
        <w:outlineLvl w:val="9"/>
        <w:rPr>
          <w:rFonts w:hint="eastAsia" w:ascii="宋体" w:hAnsi="宋体" w:eastAsia="宋体" w:cs="宋体"/>
          <w:color w:val="000000"/>
          <w:sz w:val="24"/>
          <w:szCs w:val="24"/>
        </w:rPr>
      </w:pPr>
    </w:p>
    <w:p>
      <w:pPr>
        <w:spacing w:line="360" w:lineRule="auto"/>
        <w:ind w:right="0"/>
        <w:jc w:val="center"/>
        <w:textAlignment w:val="auto"/>
        <w:outlineLvl w:val="9"/>
        <w:rPr>
          <w:rFonts w:hint="eastAsia" w:ascii="宋体" w:hAnsi="宋体" w:eastAsia="宋体" w:cs="宋体"/>
          <w:color w:val="000000"/>
          <w:sz w:val="24"/>
          <w:szCs w:val="24"/>
        </w:rPr>
      </w:pPr>
    </w:p>
    <w:p>
      <w:pPr>
        <w:spacing w:line="360" w:lineRule="auto"/>
        <w:ind w:right="0"/>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工 程 合 同 书</w:t>
      </w:r>
    </w:p>
    <w:p>
      <w:pPr>
        <w:spacing w:line="360" w:lineRule="auto"/>
        <w:ind w:right="0"/>
        <w:jc w:val="center"/>
        <w:textAlignment w:val="auto"/>
        <w:outlineLvl w:val="9"/>
        <w:rPr>
          <w:rFonts w:hint="eastAsia" w:ascii="宋体" w:hAnsi="宋体" w:eastAsia="宋体" w:cs="宋体"/>
          <w:color w:val="000000"/>
          <w:sz w:val="24"/>
          <w:szCs w:val="24"/>
        </w:rPr>
      </w:pPr>
    </w:p>
    <w:p>
      <w:pPr>
        <w:spacing w:line="360" w:lineRule="auto"/>
        <w:ind w:right="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发包方</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建设单位</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(以下简称甲方）</w:t>
      </w:r>
    </w:p>
    <w:p>
      <w:pPr>
        <w:spacing w:line="360" w:lineRule="auto"/>
        <w:ind w:right="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承包方</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施工单位）</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（以下简称乙方）</w:t>
      </w:r>
    </w:p>
    <w:p>
      <w:pPr>
        <w:spacing w:line="360" w:lineRule="auto"/>
        <w:ind w:right="0" w:firstLine="57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根</w:t>
      </w:r>
      <w:r>
        <w:rPr>
          <w:rFonts w:hint="eastAsia" w:ascii="宋体" w:hAnsi="宋体" w:eastAsia="宋体" w:cs="宋体"/>
          <w:color w:val="000000"/>
          <w:sz w:val="24"/>
          <w:szCs w:val="24"/>
          <w:lang w:eastAsia="zh-CN"/>
        </w:rPr>
        <w:t>据</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的需要，甲方委托乙方承包工程施工，为明确双方职责，分工协作，互相配合，按</w:t>
      </w:r>
      <w:r>
        <w:rPr>
          <w:rFonts w:hint="eastAsia" w:ascii="宋体" w:hAnsi="宋体" w:eastAsia="宋体" w:cs="宋体"/>
          <w:color w:val="000000"/>
          <w:sz w:val="24"/>
          <w:szCs w:val="24"/>
          <w:lang w:val="en-US" w:eastAsia="zh-CN"/>
        </w:rPr>
        <w:t>民法典</w:t>
      </w:r>
      <w:r>
        <w:rPr>
          <w:rFonts w:hint="eastAsia" w:ascii="宋体" w:hAnsi="宋体" w:eastAsia="宋体" w:cs="宋体"/>
          <w:color w:val="000000"/>
          <w:sz w:val="24"/>
          <w:szCs w:val="24"/>
        </w:rPr>
        <w:t>法及有关规定，经双方协商订立以下条款，共同信守。</w:t>
      </w:r>
    </w:p>
    <w:p>
      <w:pPr>
        <w:spacing w:line="360" w:lineRule="auto"/>
        <w:ind w:left="2340" w:leftChars="270" w:right="0" w:hanging="1800" w:hangingChars="75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一、工程名称：</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pPr>
        <w:spacing w:line="360" w:lineRule="auto"/>
        <w:ind w:right="0" w:firstLine="57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二、施工地点：</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pPr>
        <w:spacing w:line="360" w:lineRule="auto"/>
        <w:ind w:right="0" w:firstLine="57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三、签订时间：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pPr>
        <w:spacing w:line="360" w:lineRule="auto"/>
        <w:ind w:right="0" w:firstLine="57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四、签订地点：</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pPr>
        <w:spacing w:line="360" w:lineRule="auto"/>
        <w:ind w:right="0" w:firstLine="57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五、承包方式：</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pPr>
        <w:spacing w:line="360" w:lineRule="auto"/>
        <w:ind w:right="0" w:firstLine="57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六、工程内容简要说明：</w:t>
      </w:r>
    </w:p>
    <w:p>
      <w:pPr>
        <w:spacing w:line="360" w:lineRule="auto"/>
        <w:ind w:right="0" w:firstLine="570"/>
        <w:textAlignment w:val="auto"/>
        <w:outlineLvl w:val="9"/>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u w:val="none"/>
          <w:lang w:val="en-US" w:eastAsia="zh-CN"/>
        </w:rPr>
        <w:t>1、</w:t>
      </w:r>
      <w:r>
        <w:rPr>
          <w:rFonts w:hint="eastAsia" w:ascii="宋体" w:hAnsi="宋体" w:eastAsia="宋体" w:cs="宋体"/>
          <w:color w:val="000000"/>
          <w:sz w:val="24"/>
          <w:szCs w:val="24"/>
          <w:u w:val="single"/>
          <w:lang w:val="en-US" w:eastAsia="zh-CN"/>
        </w:rPr>
        <w:t xml:space="preserve">                                       </w:t>
      </w:r>
    </w:p>
    <w:p>
      <w:pPr>
        <w:spacing w:line="360" w:lineRule="auto"/>
        <w:ind w:right="0" w:firstLine="360" w:firstLineChars="15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七、工程质量及技术要求：</w:t>
      </w:r>
    </w:p>
    <w:p>
      <w:pPr>
        <w:spacing w:line="360" w:lineRule="auto"/>
        <w:ind w:right="0"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按设计要求及国家行业相关规范标准施工并验收。                                          </w:t>
      </w:r>
    </w:p>
    <w:p>
      <w:pPr>
        <w:numPr>
          <w:ilvl w:val="0"/>
          <w:numId w:val="6"/>
        </w:numPr>
        <w:spacing w:line="360" w:lineRule="auto"/>
        <w:ind w:right="0" w:firstLine="57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工程价款及发票开具：</w:t>
      </w:r>
    </w:p>
    <w:p>
      <w:pPr>
        <w:spacing w:line="360" w:lineRule="auto"/>
        <w:ind w:right="0" w:firstLine="480" w:firstLineChars="200"/>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价款结算</w:t>
      </w:r>
      <w:r>
        <w:rPr>
          <w:rFonts w:hint="eastAsia" w:ascii="宋体" w:hAnsi="宋体" w:eastAsia="宋体" w:cs="宋体"/>
          <w:color w:val="000000"/>
          <w:sz w:val="24"/>
          <w:szCs w:val="24"/>
          <w:lang w:eastAsia="zh-CN"/>
        </w:rPr>
        <w:t>：</w:t>
      </w:r>
    </w:p>
    <w:p>
      <w:pPr>
        <w:spacing w:line="360" w:lineRule="auto"/>
        <w:ind w:right="0" w:firstLine="600" w:firstLineChars="25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1.1</w:t>
      </w:r>
      <w:r>
        <w:rPr>
          <w:rFonts w:hint="eastAsia" w:ascii="宋体" w:hAnsi="宋体" w:eastAsia="宋体" w:cs="宋体"/>
          <w:color w:val="000000"/>
          <w:sz w:val="24"/>
          <w:szCs w:val="24"/>
          <w:highlight w:val="none"/>
          <w:lang w:eastAsia="zh-CN"/>
        </w:rPr>
        <w:t>本合同总金额</w:t>
      </w:r>
      <w:r>
        <w:rPr>
          <w:rFonts w:hint="eastAsia" w:ascii="宋体" w:hAnsi="宋体" w:eastAsia="宋体" w:cs="宋体"/>
          <w:color w:val="000000"/>
          <w:sz w:val="24"/>
          <w:szCs w:val="24"/>
          <w:highlight w:val="none"/>
        </w:rPr>
        <w:t>人民币（大写）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w:t>
      </w:r>
    </w:p>
    <w:p>
      <w:pPr>
        <w:widowControl w:val="0"/>
        <w:wordWrap/>
        <w:adjustRightInd/>
        <w:snapToGrid/>
        <w:spacing w:line="360" w:lineRule="auto"/>
        <w:ind w:left="0" w:leftChars="0" w:right="0" w:firstLine="0" w:firstLineChars="0"/>
        <w:jc w:val="both"/>
        <w:textAlignment w:val="auto"/>
        <w:outlineLvl w:val="9"/>
        <w:rPr>
          <w:rFonts w:hint="eastAsia" w:ascii="宋体" w:hAnsi="宋体"/>
          <w:b w:val="0"/>
          <w:bCs w:val="0"/>
          <w:sz w:val="24"/>
          <w:highlight w:val="yellow"/>
        </w:rPr>
      </w:pPr>
      <w:r>
        <w:rPr>
          <w:rFonts w:hint="eastAsia" w:ascii="宋体" w:hAnsi="宋体" w:eastAsia="宋体" w:cs="宋体"/>
          <w:color w:val="000000"/>
          <w:sz w:val="24"/>
          <w:szCs w:val="24"/>
          <w:highlight w:val="none"/>
          <w:lang w:val="en-US" w:eastAsia="zh-CN"/>
        </w:rPr>
        <w:t xml:space="preserve">  </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2.合同价格形式：</w:t>
      </w:r>
      <w:r>
        <w:rPr>
          <w:rFonts w:hint="eastAsia" w:ascii="宋体" w:hAnsi="宋体" w:eastAsia="宋体" w:cs="宋体"/>
          <w:color w:val="000000"/>
          <w:sz w:val="24"/>
          <w:szCs w:val="24"/>
          <w:highlight w:val="none"/>
          <w:u w:val="single"/>
        </w:rPr>
        <w:t></w:t>
      </w:r>
      <w:r>
        <w:rPr>
          <w:rFonts w:hint="eastAsia" w:ascii="宋体" w:hAnsi="宋体" w:cs="宋体"/>
          <w:color w:val="000000"/>
          <w:sz w:val="24"/>
          <w:szCs w:val="24"/>
          <w:highlight w:val="none"/>
          <w:u w:val="single"/>
          <w:lang w:eastAsia="zh-CN"/>
        </w:rPr>
        <w:t>项目总价包干</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spacing w:line="360" w:lineRule="auto"/>
        <w:ind w:right="0" w:firstLine="56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2、发票开具</w:t>
      </w:r>
    </w:p>
    <w:p>
      <w:pPr>
        <w:spacing w:line="360" w:lineRule="auto"/>
        <w:ind w:right="0" w:firstLine="56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本合同按国家税务局税率开具增值税发票，本合同涉及到增值税，乙方选择</w:t>
      </w:r>
      <w:r>
        <w:rPr>
          <w:rFonts w:hint="eastAsia" w:ascii="宋体" w:hAnsi="宋体" w:eastAsia="宋体" w:cs="宋体"/>
          <w:color w:val="000000"/>
          <w:sz w:val="24"/>
          <w:szCs w:val="24"/>
          <w:u w:val="single"/>
        </w:rPr>
        <w:t xml:space="preserve"> 一般</w:t>
      </w:r>
      <w:r>
        <w:rPr>
          <w:rFonts w:hint="eastAsia" w:ascii="宋体" w:hAnsi="宋体" w:eastAsia="宋体" w:cs="宋体"/>
          <w:color w:val="000000"/>
          <w:sz w:val="24"/>
          <w:szCs w:val="24"/>
        </w:rPr>
        <w:t>计税方法。</w:t>
      </w:r>
    </w:p>
    <w:p>
      <w:pPr>
        <w:spacing w:line="360" w:lineRule="auto"/>
        <w:ind w:right="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甲方开票信息：</w:t>
      </w:r>
    </w:p>
    <w:p>
      <w:pPr>
        <w:spacing w:line="360" w:lineRule="auto"/>
        <w:ind w:right="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单位名称：</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（必须和营业执照一致）</w:t>
      </w:r>
    </w:p>
    <w:p>
      <w:pPr>
        <w:spacing w:line="360" w:lineRule="auto"/>
        <w:ind w:right="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纳税人识别号：</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（税务登记证号或者统一社会信用代码）</w:t>
      </w:r>
    </w:p>
    <w:p>
      <w:pPr>
        <w:spacing w:line="360" w:lineRule="auto"/>
        <w:ind w:right="0" w:firstLine="560"/>
        <w:textAlignment w:val="auto"/>
        <w:outlineLvl w:val="9"/>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rPr>
        <w:t>电话：</w:t>
      </w:r>
      <w:r>
        <w:rPr>
          <w:rFonts w:hint="eastAsia" w:ascii="宋体" w:hAnsi="宋体" w:eastAsia="宋体" w:cs="宋体"/>
          <w:color w:val="000000"/>
          <w:sz w:val="24"/>
          <w:szCs w:val="24"/>
          <w:u w:val="single" w:color="auto"/>
          <w:lang w:val="en-US" w:eastAsia="zh-CN"/>
        </w:rPr>
        <w:t xml:space="preserve">                       </w:t>
      </w:r>
    </w:p>
    <w:p>
      <w:pPr>
        <w:spacing w:line="360" w:lineRule="auto"/>
        <w:ind w:right="0" w:firstLine="560"/>
        <w:textAlignment w:val="auto"/>
        <w:outlineLvl w:val="9"/>
        <w:rPr>
          <w:rFonts w:hint="eastAsia" w:ascii="宋体" w:hAnsi="宋体" w:eastAsia="宋体" w:cs="宋体"/>
          <w:color w:val="000000"/>
          <w:sz w:val="24"/>
          <w:szCs w:val="24"/>
          <w:u w:val="single"/>
          <w:lang w:val="en-US"/>
        </w:rPr>
      </w:pPr>
      <w:r>
        <w:rPr>
          <w:rFonts w:hint="eastAsia" w:ascii="宋体" w:hAnsi="宋体" w:eastAsia="宋体" w:cs="宋体"/>
          <w:color w:val="000000"/>
          <w:sz w:val="24"/>
          <w:szCs w:val="24"/>
        </w:rPr>
        <w:t>地址：</w:t>
      </w:r>
      <w:r>
        <w:rPr>
          <w:rFonts w:hint="eastAsia" w:ascii="宋体" w:hAnsi="宋体" w:eastAsia="宋体" w:cs="宋体"/>
          <w:color w:val="000000"/>
          <w:sz w:val="24"/>
          <w:szCs w:val="24"/>
          <w:u w:val="single"/>
          <w:lang w:val="en-US" w:eastAsia="zh-CN"/>
        </w:rPr>
        <w:t xml:space="preserve">                                         </w:t>
      </w:r>
    </w:p>
    <w:p>
      <w:pPr>
        <w:spacing w:line="360" w:lineRule="auto"/>
        <w:ind w:right="0" w:firstLine="480" w:firstLineChars="200"/>
        <w:textAlignment w:val="auto"/>
        <w:outlineLvl w:val="9"/>
        <w:rPr>
          <w:rFonts w:hint="eastAsia" w:ascii="宋体" w:hAnsi="宋体" w:eastAsia="宋体" w:cs="宋体"/>
          <w:color w:val="000000"/>
          <w:sz w:val="24"/>
          <w:szCs w:val="24"/>
          <w:u w:val="single"/>
          <w:lang w:val="en-US"/>
        </w:rPr>
      </w:pPr>
      <w:r>
        <w:rPr>
          <w:rFonts w:hint="eastAsia" w:ascii="宋体" w:hAnsi="宋体" w:eastAsia="宋体" w:cs="宋体"/>
          <w:color w:val="000000"/>
          <w:sz w:val="24"/>
          <w:szCs w:val="24"/>
        </w:rPr>
        <w:t>开户银行和帐号：</w:t>
      </w:r>
      <w:r>
        <w:rPr>
          <w:rFonts w:hint="eastAsia" w:ascii="宋体" w:hAnsi="宋体" w:eastAsia="宋体" w:cs="宋体"/>
          <w:color w:val="000000"/>
          <w:sz w:val="24"/>
          <w:szCs w:val="24"/>
          <w:u w:val="single"/>
          <w:lang w:val="en-US" w:eastAsia="zh-CN"/>
        </w:rPr>
        <w:t xml:space="preserve">                                   </w:t>
      </w:r>
    </w:p>
    <w:p>
      <w:pPr>
        <w:spacing w:line="360" w:lineRule="auto"/>
        <w:ind w:right="0" w:firstLine="57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是否增值税一般纳税人：     是√     否□  （对应处打钩）</w:t>
      </w:r>
    </w:p>
    <w:p>
      <w:pPr>
        <w:spacing w:line="360" w:lineRule="auto"/>
        <w:ind w:right="0" w:firstLine="57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九、开竣工期限：工程于</w:t>
      </w:r>
      <w:r>
        <w:rPr>
          <w:rFonts w:hint="eastAsia" w:ascii="宋体" w:hAnsi="宋体" w:eastAsia="宋体" w:cs="宋体"/>
          <w:color w:val="000000"/>
          <w:sz w:val="24"/>
          <w:szCs w:val="24"/>
          <w:u w:val="single"/>
        </w:rPr>
        <w:t>202</w:t>
      </w:r>
      <w:r>
        <w:rPr>
          <w:rFonts w:hint="eastAsia" w:ascii="宋体" w:hAnsi="宋体" w:eastAsia="宋体" w:cs="宋体"/>
          <w:color w:val="000000"/>
          <w:sz w:val="24"/>
          <w:szCs w:val="24"/>
          <w:u w:val="single"/>
          <w:lang w:val="en-US" w:eastAsia="zh-CN"/>
        </w:rPr>
        <w:t>4</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日开工，</w:t>
      </w:r>
      <w:r>
        <w:rPr>
          <w:rFonts w:hint="eastAsia" w:ascii="宋体" w:hAnsi="宋体" w:eastAsia="宋体" w:cs="宋体"/>
          <w:color w:val="000000"/>
          <w:sz w:val="24"/>
          <w:szCs w:val="24"/>
          <w:u w:val="single"/>
        </w:rPr>
        <w:t>202</w:t>
      </w:r>
      <w:r>
        <w:rPr>
          <w:rFonts w:hint="eastAsia" w:ascii="宋体" w:hAnsi="宋体" w:eastAsia="宋体" w:cs="宋体"/>
          <w:color w:val="000000"/>
          <w:sz w:val="24"/>
          <w:szCs w:val="24"/>
          <w:u w:val="single"/>
          <w:lang w:val="en-US" w:eastAsia="zh-CN"/>
        </w:rPr>
        <w:t>4</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日竣工（具备通电条件）,实际开工日期以甲方确认为准。单项工程的开竣工日期在工程项目一览表中列明，以开工报告为准。开工日期顺延的，竣工日期相应顺延。</w:t>
      </w:r>
    </w:p>
    <w:p>
      <w:pPr>
        <w:spacing w:line="360" w:lineRule="auto"/>
        <w:ind w:right="0" w:firstLine="57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十、施工期内由于甲方计划的变更或其他甲方原因或不可抗拒因素或停电、停水及土建施工等原因，导致未按期竣工的，则工期（竣工日期）相应延迟。</w:t>
      </w:r>
    </w:p>
    <w:p>
      <w:pPr>
        <w:tabs>
          <w:tab w:val="center" w:pos="4957"/>
        </w:tabs>
        <w:spacing w:line="360" w:lineRule="auto"/>
        <w:ind w:right="0" w:firstLine="57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十一、设备、材料供应：</w:t>
      </w:r>
      <w:r>
        <w:rPr>
          <w:rFonts w:hint="eastAsia" w:ascii="宋体" w:hAnsi="宋体" w:eastAsia="宋体" w:cs="宋体"/>
          <w:color w:val="000000"/>
          <w:sz w:val="24"/>
          <w:szCs w:val="24"/>
          <w:u w:val="single" w:color="auto"/>
          <w:lang w:val="en-US" w:eastAsia="zh-CN"/>
        </w:rPr>
        <w:t xml:space="preserve">                                      </w:t>
      </w:r>
      <w:r>
        <w:rPr>
          <w:rFonts w:hint="eastAsia" w:ascii="宋体" w:hAnsi="宋体" w:eastAsia="宋体" w:cs="宋体"/>
          <w:color w:val="000000"/>
          <w:sz w:val="24"/>
          <w:szCs w:val="24"/>
        </w:rPr>
        <w:tab/>
      </w:r>
    </w:p>
    <w:p>
      <w:pPr>
        <w:spacing w:line="360" w:lineRule="auto"/>
        <w:ind w:right="0"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十二、其它：</w:t>
      </w:r>
      <w:r>
        <w:rPr>
          <w:rFonts w:hint="eastAsia" w:ascii="宋体" w:hAnsi="宋体" w:eastAsia="宋体" w:cs="宋体"/>
          <w:color w:val="000000"/>
          <w:sz w:val="24"/>
          <w:szCs w:val="24"/>
          <w:u w:val="single"/>
          <w:lang w:eastAsia="zh-CN"/>
        </w:rPr>
        <w:t>无</w:t>
      </w:r>
      <w:r>
        <w:rPr>
          <w:rFonts w:hint="eastAsia" w:ascii="宋体" w:hAnsi="宋体" w:eastAsia="宋体" w:cs="宋体"/>
          <w:color w:val="000000"/>
          <w:sz w:val="24"/>
          <w:szCs w:val="24"/>
          <w:u w:val="single"/>
        </w:rPr>
        <w:t xml:space="preserve">                                                          </w:t>
      </w:r>
    </w:p>
    <w:p>
      <w:pPr>
        <w:spacing w:line="360" w:lineRule="auto"/>
        <w:ind w:right="0" w:firstLine="57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十三、甲方职责：</w:t>
      </w:r>
    </w:p>
    <w:p>
      <w:pPr>
        <w:spacing w:line="360" w:lineRule="auto"/>
        <w:ind w:right="0" w:firstLine="57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1、负责做好工程“三通一平”等前期准备工作，确定工程场地、安装位置，提供施工用照明用电、施工用水，保证施工环境。</w:t>
      </w:r>
    </w:p>
    <w:p>
      <w:pPr>
        <w:spacing w:line="360" w:lineRule="auto"/>
        <w:ind w:right="0" w:firstLine="57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2、向经办银行办理拨款和结算手续。</w:t>
      </w:r>
    </w:p>
    <w:p>
      <w:pPr>
        <w:spacing w:line="360" w:lineRule="auto"/>
        <w:ind w:right="0" w:firstLine="57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3、确定本单位工程负责人，对工程质量、工程进度进行监督，及时解决应由甲方解决的问题。甲方工程负责人：工程师</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spacing w:line="360" w:lineRule="auto"/>
        <w:ind w:right="0" w:firstLine="57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4、负责组织工程的竣工验收和结算。</w:t>
      </w:r>
    </w:p>
    <w:p>
      <w:pPr>
        <w:spacing w:line="360" w:lineRule="auto"/>
        <w:ind w:right="0" w:firstLine="57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5、因甲方原因造成的工程中途停建、缓建或计划变更、 </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等造成的停工、窝工、返工和人员机械设备调迁、材料器材的积压等实际费用损失由甲方赔偿给乙方。</w:t>
      </w:r>
    </w:p>
    <w:p>
      <w:pPr>
        <w:spacing w:line="360" w:lineRule="auto"/>
        <w:ind w:right="0" w:firstLine="57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6、工程未经验收，甲方不得提前使用。若提前使用，即视作工程验收合格。</w:t>
      </w:r>
    </w:p>
    <w:p>
      <w:pPr>
        <w:spacing w:line="360" w:lineRule="auto"/>
        <w:ind w:right="0" w:firstLine="57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7、在接到乙方竣工报告后十五天内组织工程竣工验收。</w:t>
      </w:r>
    </w:p>
    <w:p>
      <w:pPr>
        <w:spacing w:line="360" w:lineRule="auto"/>
        <w:ind w:right="0" w:firstLine="57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十四、乙方职责：</w:t>
      </w:r>
    </w:p>
    <w:p>
      <w:pPr>
        <w:spacing w:line="360" w:lineRule="auto"/>
        <w:ind w:right="0" w:firstLine="57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1、编制施工方案，做好各项施工准备工作。</w:t>
      </w:r>
    </w:p>
    <w:p>
      <w:pPr>
        <w:spacing w:line="360" w:lineRule="auto"/>
        <w:ind w:right="0" w:firstLine="57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2、确定本单位工程负责人对现场进行协调管理。</w:t>
      </w:r>
    </w:p>
    <w:p>
      <w:pPr>
        <w:spacing w:line="360" w:lineRule="auto"/>
        <w:ind w:right="0" w:firstLine="57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3、按本合同第十一条的分工，做好材料的采购、供应和管理，乙方采购使用的材料必须符合国家、行业的有关质量标准以及本合同约定用途的质量要求。</w:t>
      </w:r>
    </w:p>
    <w:p>
      <w:pPr>
        <w:spacing w:line="360" w:lineRule="auto"/>
        <w:ind w:right="0" w:firstLine="57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4、及时向甲方提供施工进度计划表、验收通知、竣工报告等资料。</w:t>
      </w:r>
    </w:p>
    <w:p>
      <w:pPr>
        <w:spacing w:line="360" w:lineRule="auto"/>
        <w:ind w:right="0" w:firstLine="57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5、严格按照施工图纸进行施工，确保工程质量。因工程质量不合格返工、改建等而造成的损失由乙方负责。</w:t>
      </w:r>
    </w:p>
    <w:p>
      <w:pPr>
        <w:spacing w:line="360" w:lineRule="auto"/>
        <w:ind w:right="0" w:firstLine="57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6、工程竣工时应及时书面报告甲方。</w:t>
      </w:r>
    </w:p>
    <w:p>
      <w:pPr>
        <w:spacing w:line="360" w:lineRule="auto"/>
        <w:ind w:right="0" w:firstLine="57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7、本工程2年保修，自通电之日起算。</w:t>
      </w:r>
    </w:p>
    <w:p>
      <w:pPr>
        <w:spacing w:line="360" w:lineRule="auto"/>
        <w:ind w:right="0" w:firstLine="570"/>
        <w:textAlignment w:val="auto"/>
        <w:outlineLvl w:val="9"/>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十五、结算方式及期限：</w:t>
      </w:r>
    </w:p>
    <w:p>
      <w:pPr>
        <w:widowControl w:val="0"/>
        <w:wordWrap/>
        <w:adjustRightInd/>
        <w:snapToGrid/>
        <w:spacing w:line="360" w:lineRule="auto"/>
        <w:ind w:left="0" w:leftChars="0" w:right="0" w:firstLine="0" w:firstLineChars="0"/>
        <w:jc w:val="both"/>
        <w:textAlignment w:val="auto"/>
        <w:outlineLvl w:val="9"/>
        <w:rPr>
          <w:rFonts w:hint="eastAsia" w:ascii="宋体" w:hAnsi="宋体"/>
          <w:b w:val="0"/>
          <w:bCs w:val="0"/>
          <w:sz w:val="24"/>
          <w:highlight w:val="none"/>
        </w:rPr>
      </w:pP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本项目为“交钥匙”项目，采购内容包括变压器、高压配电柜、低压开关柜等，具体详见施工图及清单内容。投标报价应包括设备费、材料费、配件费、保管费、运费、安装调试费、培训、货物验收、保险、税收、售后服务、</w:t>
      </w:r>
      <w:r>
        <w:rPr>
          <w:rFonts w:hint="eastAsia" w:ascii="宋体" w:hAnsi="宋体" w:cs="宋体"/>
          <w:color w:val="000000"/>
          <w:sz w:val="24"/>
          <w:szCs w:val="24"/>
          <w:highlight w:val="none"/>
          <w:lang w:eastAsia="zh-CN"/>
        </w:rPr>
        <w:t>总包配合、项目验收、</w:t>
      </w:r>
      <w:r>
        <w:rPr>
          <w:rFonts w:hint="eastAsia" w:ascii="宋体" w:hAnsi="宋体" w:eastAsia="宋体" w:cs="宋体"/>
          <w:color w:val="000000"/>
          <w:sz w:val="24"/>
          <w:szCs w:val="24"/>
          <w:highlight w:val="none"/>
        </w:rPr>
        <w:t>采购需求中未提到但在实际采购和安装过程中需要配置的各种设备、材料及其他费用等须由投标单位支付的所有费用。</w:t>
      </w:r>
    </w:p>
    <w:p>
      <w:pPr>
        <w:widowControl w:val="0"/>
        <w:wordWrap/>
        <w:adjustRightInd w:val="0"/>
        <w:snapToGrid w:val="0"/>
        <w:spacing w:line="360" w:lineRule="auto"/>
        <w:ind w:left="0" w:leftChars="0" w:right="0"/>
        <w:jc w:val="both"/>
        <w:textAlignment w:val="auto"/>
        <w:outlineLvl w:val="9"/>
        <w:rPr>
          <w:rFonts w:hint="eastAsia" w:ascii="宋体" w:hAnsi="宋体" w:cs="宋体"/>
          <w:color w:val="000000"/>
          <w:sz w:val="24"/>
          <w:szCs w:val="24"/>
          <w:highlight w:val="none"/>
          <w:lang w:val="en-US" w:eastAsia="zh-CN"/>
        </w:rPr>
      </w:pPr>
      <w:bookmarkStart w:id="458" w:name="_Toc304295566"/>
      <w:bookmarkStart w:id="459" w:name="_Toc297120493"/>
      <w:bookmarkStart w:id="460" w:name="_Toc303539146"/>
      <w:bookmarkStart w:id="461" w:name="_Toc300934989"/>
      <w:bookmarkStart w:id="462" w:name="_Toc296891233"/>
      <w:bookmarkStart w:id="463" w:name="_Toc292559903"/>
      <w:bookmarkStart w:id="464" w:name="_Toc296944532"/>
      <w:bookmarkStart w:id="465" w:name="_Toc297048379"/>
      <w:bookmarkStart w:id="466" w:name="_Toc296503193"/>
      <w:bookmarkStart w:id="467" w:name="_Toc296346694"/>
      <w:bookmarkStart w:id="468" w:name="_Toc296347192"/>
      <w:bookmarkStart w:id="469" w:name="_Toc292559398"/>
      <w:bookmarkStart w:id="470" w:name="_Toc297216199"/>
      <w:bookmarkStart w:id="471" w:name="_Toc297123540"/>
      <w:bookmarkStart w:id="472" w:name="_Toc296891021"/>
      <w:bookmarkStart w:id="473" w:name="_Toc312678025"/>
      <w:bookmarkStart w:id="474" w:name="_Toc312677499"/>
      <w:r>
        <w:rPr>
          <w:rFonts w:hint="eastAsia" w:ascii="宋体" w:hAnsi="宋体" w:cs="宋体"/>
          <w:sz w:val="24"/>
          <w:szCs w:val="24"/>
          <w:highlight w:val="none"/>
          <w:lang w:val="en-US" w:eastAsia="zh-CN"/>
        </w:rPr>
        <w:t xml:space="preserve">     1、</w:t>
      </w:r>
      <w:r>
        <w:rPr>
          <w:rFonts w:hint="eastAsia" w:ascii="宋体" w:hAnsi="宋体" w:eastAsia="宋体" w:cs="宋体"/>
          <w:color w:val="000000"/>
          <w:sz w:val="24"/>
          <w:szCs w:val="24"/>
          <w:highlight w:val="none"/>
          <w:lang w:val="en-US" w:eastAsia="zh-CN"/>
        </w:rPr>
        <w:t>合同签订后十五日支付合同价</w:t>
      </w:r>
      <w:r>
        <w:rPr>
          <w:rFonts w:hint="eastAsia" w:ascii="宋体" w:hAnsi="宋体" w:cs="宋体"/>
          <w:color w:val="000000"/>
          <w:sz w:val="24"/>
          <w:szCs w:val="24"/>
          <w:highlight w:val="none"/>
          <w:lang w:val="en-US" w:eastAsia="zh-CN"/>
        </w:rPr>
        <w:t>40</w:t>
      </w:r>
      <w:r>
        <w:rPr>
          <w:rFonts w:hint="eastAsia" w:ascii="宋体" w:hAnsi="宋体" w:eastAsia="宋体" w:cs="宋体"/>
          <w:color w:val="000000"/>
          <w:sz w:val="24"/>
          <w:szCs w:val="24"/>
          <w:highlight w:val="none"/>
          <w:lang w:val="en-US" w:eastAsia="zh-CN"/>
        </w:rPr>
        <w:t>%的预付款</w:t>
      </w:r>
      <w:r>
        <w:rPr>
          <w:rFonts w:hint="eastAsia" w:ascii="宋体" w:hAnsi="宋体" w:cs="宋体"/>
          <w:color w:val="000000"/>
          <w:sz w:val="24"/>
          <w:szCs w:val="24"/>
          <w:highlight w:val="none"/>
          <w:lang w:val="en-US" w:eastAsia="zh-CN"/>
        </w:rPr>
        <w:t>。</w:t>
      </w:r>
    </w:p>
    <w:p>
      <w:pPr>
        <w:widowControl w:val="0"/>
        <w:wordWrap/>
        <w:adjustRightInd w:val="0"/>
        <w:snapToGrid/>
        <w:spacing w:line="360" w:lineRule="auto"/>
        <w:ind w:left="0" w:leftChars="0" w:right="0" w:firstLine="470" w:firstLineChars="196"/>
        <w:jc w:val="both"/>
        <w:textAlignment w:val="auto"/>
        <w:outlineLvl w:val="9"/>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 xml:space="preserve"> 2、</w:t>
      </w:r>
      <w:r>
        <w:rPr>
          <w:rFonts w:hint="eastAsia" w:ascii="宋体" w:hAnsi="宋体" w:eastAsia="宋体" w:cs="宋体"/>
          <w:bCs/>
          <w:sz w:val="24"/>
          <w:szCs w:val="24"/>
          <w:highlight w:val="none"/>
        </w:rPr>
        <w:t>根据合同规定将货物交付、安装调试完毕，</w:t>
      </w:r>
      <w:r>
        <w:rPr>
          <w:rFonts w:hint="eastAsia" w:ascii="宋体" w:hAnsi="宋体" w:eastAsia="宋体" w:cs="宋体"/>
          <w:color w:val="000000"/>
          <w:sz w:val="24"/>
          <w:szCs w:val="24"/>
          <w:highlight w:val="none"/>
          <w:lang w:val="en-US" w:eastAsia="zh-CN"/>
        </w:rPr>
        <w:t>通电</w:t>
      </w:r>
      <w:r>
        <w:rPr>
          <w:rFonts w:hint="eastAsia" w:ascii="宋体" w:hAnsi="宋体" w:cs="宋体"/>
          <w:color w:val="000000"/>
          <w:sz w:val="24"/>
          <w:szCs w:val="24"/>
          <w:highlight w:val="none"/>
          <w:lang w:val="en-US" w:eastAsia="zh-CN"/>
        </w:rPr>
        <w:t>并通过项目竣工验收</w:t>
      </w:r>
      <w:r>
        <w:rPr>
          <w:rFonts w:hint="eastAsia" w:ascii="宋体" w:hAnsi="宋体" w:eastAsia="宋体" w:cs="宋体"/>
          <w:color w:val="000000"/>
          <w:sz w:val="24"/>
          <w:szCs w:val="24"/>
          <w:highlight w:val="none"/>
          <w:lang w:val="en-US" w:eastAsia="zh-CN"/>
        </w:rPr>
        <w:t>后支付至</w:t>
      </w:r>
      <w:r>
        <w:rPr>
          <w:rFonts w:hint="eastAsia" w:ascii="宋体" w:hAnsi="宋体" w:eastAsia="宋体" w:cs="宋体"/>
          <w:bCs/>
          <w:sz w:val="24"/>
          <w:szCs w:val="24"/>
          <w:highlight w:val="none"/>
        </w:rPr>
        <w:t>合同价货款</w:t>
      </w:r>
      <w:r>
        <w:rPr>
          <w:rFonts w:hint="eastAsia" w:ascii="宋体" w:hAnsi="宋体" w:eastAsia="宋体" w:cs="宋体"/>
          <w:color w:val="000000"/>
          <w:sz w:val="24"/>
          <w:szCs w:val="24"/>
          <w:highlight w:val="none"/>
          <w:lang w:val="en-US" w:eastAsia="zh-CN"/>
        </w:rPr>
        <w:t>的85%</w:t>
      </w:r>
      <w:r>
        <w:rPr>
          <w:rFonts w:hint="eastAsia" w:ascii="宋体" w:hAnsi="宋体" w:cs="宋体"/>
          <w:color w:val="000000"/>
          <w:sz w:val="24"/>
          <w:szCs w:val="24"/>
          <w:highlight w:val="none"/>
          <w:lang w:val="en-US" w:eastAsia="zh-CN"/>
        </w:rPr>
        <w:t>。</w:t>
      </w:r>
    </w:p>
    <w:p>
      <w:pPr>
        <w:widowControl w:val="0"/>
        <w:wordWrap/>
        <w:adjustRightInd w:val="0"/>
        <w:snapToGrid/>
        <w:spacing w:line="360" w:lineRule="auto"/>
        <w:ind w:left="0" w:leftChars="0" w:right="0" w:firstLine="470" w:firstLineChars="196"/>
        <w:jc w:val="both"/>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 xml:space="preserve"> 3、配电项目结算审核</w:t>
      </w:r>
      <w:r>
        <w:rPr>
          <w:rFonts w:hint="eastAsia" w:ascii="宋体" w:hAnsi="宋体" w:eastAsia="宋体" w:cs="宋体"/>
          <w:color w:val="000000"/>
          <w:sz w:val="24"/>
          <w:szCs w:val="24"/>
          <w:highlight w:val="none"/>
          <w:lang w:val="en-US" w:eastAsia="zh-CN"/>
        </w:rPr>
        <w:t>完成后支付至审定价的98.5%，质保期满后付清余款，不计利息。</w:t>
      </w:r>
    </w:p>
    <w:p>
      <w:pPr>
        <w:widowControl w:val="0"/>
        <w:wordWrap/>
        <w:adjustRightInd/>
        <w:snapToGrid/>
        <w:spacing w:line="360" w:lineRule="auto"/>
        <w:ind w:right="0"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 xml:space="preserve">  变更</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bookmarkEnd w:id="473"/>
    <w:bookmarkEnd w:id="474"/>
    <w:p>
      <w:pPr>
        <w:widowControl w:val="0"/>
        <w:wordWrap/>
        <w:adjustRightInd/>
        <w:snapToGrid/>
        <w:spacing w:line="360" w:lineRule="auto"/>
        <w:ind w:right="0"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.1  变更的范围</w:t>
      </w:r>
    </w:p>
    <w:p>
      <w:pPr>
        <w:adjustRightInd w:val="0"/>
        <w:snapToGrid w:val="0"/>
        <w:spacing w:line="360" w:lineRule="auto"/>
        <w:ind w:right="0" w:firstLine="470" w:firstLineChars="196"/>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关于变更的范围的约定：</w:t>
      </w:r>
    </w:p>
    <w:p>
      <w:pPr>
        <w:adjustRightInd w:val="0"/>
        <w:snapToGrid w:val="0"/>
        <w:spacing w:line="360" w:lineRule="auto"/>
        <w:ind w:right="0" w:firstLine="470" w:firstLineChars="196"/>
        <w:textAlignment w:val="auto"/>
        <w:outlineLvl w:val="9"/>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u w:val="single"/>
        </w:rPr>
        <w:t>工程变更程序按余杭区发展和改革局、余杭区财政局、</w:t>
      </w:r>
      <w:r>
        <w:rPr>
          <w:rFonts w:hint="eastAsia" w:ascii="宋体" w:hAnsi="宋体" w:eastAsia="宋体" w:cs="宋体"/>
          <w:color w:val="000000"/>
          <w:sz w:val="24"/>
          <w:szCs w:val="24"/>
          <w:highlight w:val="none"/>
          <w:u w:val="single"/>
          <w:lang w:eastAsia="zh-CN"/>
        </w:rPr>
        <w:t>杭州市余杭区消防救援大队</w:t>
      </w:r>
      <w:r>
        <w:rPr>
          <w:rFonts w:hint="eastAsia" w:ascii="宋体" w:hAnsi="宋体" w:eastAsia="宋体" w:cs="宋体"/>
          <w:color w:val="000000"/>
          <w:sz w:val="24"/>
          <w:szCs w:val="24"/>
          <w:highlight w:val="none"/>
          <w:u w:val="single"/>
        </w:rPr>
        <w:t>等相关部门文件规定办理，工程变更最终金额以财政局或审计局审计审定结果为准。工程变更工程量须经发包单位、承包单位、监理单位、设计单位现场签证认可(工程变更资料必须具有现场照片和影像资料及相关原始记录)，并出具工程变更联系单或工程变更报告单。 工程变更费用计取办法按照专用条款10.4条规定执行</w:t>
      </w:r>
      <w:r>
        <w:rPr>
          <w:rFonts w:hint="eastAsia" w:ascii="宋体" w:hAnsi="宋体" w:eastAsia="宋体" w:cs="宋体"/>
          <w:color w:val="000000"/>
          <w:sz w:val="24"/>
          <w:szCs w:val="24"/>
          <w:highlight w:val="none"/>
        </w:rPr>
        <w:t>。</w:t>
      </w:r>
    </w:p>
    <w:p>
      <w:pPr>
        <w:adjustRightInd w:val="0"/>
        <w:snapToGrid w:val="0"/>
        <w:spacing w:line="360" w:lineRule="auto"/>
        <w:ind w:right="0" w:firstLine="470" w:firstLineChars="196"/>
        <w:textAlignment w:val="auto"/>
        <w:outlineLvl w:val="9"/>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u w:val="single"/>
        </w:rPr>
        <w:t>发包人有权对本工程作任何变更(含增减工程量)，而承包人不得拒绝施工</w:t>
      </w:r>
      <w:r>
        <w:rPr>
          <w:rFonts w:hint="eastAsia" w:ascii="宋体" w:hAnsi="宋体" w:eastAsia="宋体" w:cs="宋体"/>
          <w:color w:val="000000"/>
          <w:sz w:val="24"/>
          <w:szCs w:val="24"/>
          <w:highlight w:val="none"/>
        </w:rPr>
        <w:t>。</w:t>
      </w:r>
    </w:p>
    <w:p>
      <w:pPr>
        <w:adjustRightInd w:val="0"/>
        <w:snapToGrid w:val="0"/>
        <w:spacing w:line="360" w:lineRule="auto"/>
        <w:ind w:right="0" w:firstLine="480" w:firstLineChars="200"/>
        <w:textAlignment w:val="auto"/>
        <w:outlineLvl w:val="9"/>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u w:val="single"/>
        </w:rPr>
        <w:t>施工中，承包人不得对原工程设计进行变更。因承包人擅自变更设计发生的费用和由此导致发包人的一切损失，由承包人承担，延误的工期不予顺延</w:t>
      </w:r>
      <w:r>
        <w:rPr>
          <w:rFonts w:hint="eastAsia" w:ascii="宋体" w:hAnsi="宋体" w:eastAsia="宋体" w:cs="宋体"/>
          <w:color w:val="000000"/>
          <w:sz w:val="24"/>
          <w:szCs w:val="24"/>
          <w:highlight w:val="none"/>
        </w:rPr>
        <w:t xml:space="preserve">。 </w:t>
      </w:r>
    </w:p>
    <w:p>
      <w:pPr>
        <w:widowControl w:val="0"/>
        <w:wordWrap/>
        <w:adjustRightInd/>
        <w:snapToGrid/>
        <w:spacing w:line="360" w:lineRule="auto"/>
        <w:ind w:right="0" w:firstLine="480" w:firstLineChars="200"/>
        <w:textAlignment w:val="auto"/>
        <w:outlineLvl w:val="9"/>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u w:val="single"/>
        </w:rPr>
        <w:t>承包人在施工中提出的合理化建议涉及到对设计图纸或施工组织设计的更改及对材料、设备的换用，须经发包人书面同意。未经同意擅自更改或换用时，承包人承担由此发生的费用，并赔偿发包人的有关损失，延误的工期不予顺延</w:t>
      </w:r>
      <w:r>
        <w:rPr>
          <w:rFonts w:hint="eastAsia" w:ascii="宋体" w:hAnsi="宋体" w:eastAsia="宋体" w:cs="宋体"/>
          <w:color w:val="000000"/>
          <w:sz w:val="24"/>
          <w:szCs w:val="24"/>
          <w:highlight w:val="none"/>
        </w:rPr>
        <w:t xml:space="preserve">。 </w:t>
      </w:r>
    </w:p>
    <w:p>
      <w:pPr>
        <w:widowControl w:val="0"/>
        <w:wordWrap/>
        <w:adjustRightInd/>
        <w:snapToGrid/>
        <w:spacing w:line="360" w:lineRule="auto"/>
        <w:ind w:right="0"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2.2</w:t>
      </w:r>
      <w:r>
        <w:rPr>
          <w:rFonts w:hint="eastAsia" w:ascii="宋体" w:hAnsi="宋体" w:eastAsia="宋体" w:cs="宋体"/>
          <w:color w:val="000000"/>
          <w:sz w:val="24"/>
          <w:szCs w:val="24"/>
          <w:highlight w:val="none"/>
        </w:rPr>
        <w:t xml:space="preserve">  变更估价</w:t>
      </w:r>
    </w:p>
    <w:p>
      <w:pPr>
        <w:widowControl w:val="0"/>
        <w:wordWrap/>
        <w:adjustRightInd/>
        <w:snapToGrid/>
        <w:spacing w:line="360" w:lineRule="auto"/>
        <w:ind w:right="0"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.1  变更估价原则</w:t>
      </w:r>
    </w:p>
    <w:p>
      <w:pPr>
        <w:widowControl w:val="0"/>
        <w:wordWrap/>
        <w:autoSpaceDE w:val="0"/>
        <w:autoSpaceDN w:val="0"/>
        <w:adjustRightInd/>
        <w:snapToGrid/>
        <w:spacing w:line="360" w:lineRule="auto"/>
        <w:ind w:right="0"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关于变更估价的约定:</w:t>
      </w:r>
    </w:p>
    <w:p>
      <w:pPr>
        <w:widowControl w:val="0"/>
        <w:wordWrap/>
        <w:autoSpaceDE w:val="0"/>
        <w:autoSpaceDN w:val="0"/>
        <w:adjustRightInd/>
        <w:snapToGrid/>
        <w:spacing w:line="360" w:lineRule="auto"/>
        <w:ind w:right="0" w:firstLine="357" w:firstLineChars="148"/>
        <w:textAlignment w:val="auto"/>
        <w:outlineLvl w:val="9"/>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rPr>
        <w:t>（1）</w:t>
      </w:r>
      <w:r>
        <w:rPr>
          <w:rFonts w:hint="eastAsia" w:ascii="宋体" w:hAnsi="宋体" w:eastAsia="宋体" w:cs="宋体"/>
          <w:b/>
          <w:color w:val="000000"/>
          <w:sz w:val="24"/>
          <w:szCs w:val="24"/>
          <w:highlight w:val="none"/>
          <w:u w:val="single"/>
        </w:rPr>
        <w:t>已标价工程量清单或预算书有相同项目的，按照相同项目单价确定</w:t>
      </w:r>
      <w:r>
        <w:rPr>
          <w:rFonts w:hint="eastAsia" w:ascii="宋体" w:hAnsi="宋体" w:eastAsia="宋体" w:cs="宋体"/>
          <w:b/>
          <w:color w:val="000000"/>
          <w:sz w:val="24"/>
          <w:szCs w:val="24"/>
          <w:highlight w:val="none"/>
        </w:rPr>
        <w:t>。</w:t>
      </w:r>
    </w:p>
    <w:p>
      <w:pPr>
        <w:widowControl w:val="0"/>
        <w:wordWrap/>
        <w:autoSpaceDE w:val="0"/>
        <w:autoSpaceDN w:val="0"/>
        <w:adjustRightInd/>
        <w:snapToGrid/>
        <w:spacing w:line="360" w:lineRule="auto"/>
        <w:ind w:right="0" w:firstLine="357" w:firstLineChars="148"/>
        <w:textAlignment w:val="auto"/>
        <w:outlineLvl w:val="9"/>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rPr>
        <w:t>（2）</w:t>
      </w:r>
      <w:r>
        <w:rPr>
          <w:rFonts w:hint="eastAsia" w:ascii="宋体" w:hAnsi="宋体" w:eastAsia="宋体" w:cs="宋体"/>
          <w:b/>
          <w:color w:val="000000"/>
          <w:sz w:val="24"/>
          <w:szCs w:val="24"/>
          <w:highlight w:val="none"/>
          <w:u w:val="single"/>
        </w:rPr>
        <w:t>已标价工程量清单或预算书中无相同项目，但有类似项目的，参照类似项目的单价确定</w:t>
      </w:r>
      <w:r>
        <w:rPr>
          <w:rFonts w:hint="eastAsia" w:ascii="宋体" w:hAnsi="宋体" w:eastAsia="宋体" w:cs="宋体"/>
          <w:b/>
          <w:color w:val="000000"/>
          <w:sz w:val="24"/>
          <w:szCs w:val="24"/>
          <w:highlight w:val="none"/>
        </w:rPr>
        <w:t>。</w:t>
      </w:r>
    </w:p>
    <w:p>
      <w:pPr>
        <w:pStyle w:val="627"/>
        <w:widowControl w:val="0"/>
        <w:adjustRightInd w:val="0"/>
        <w:snapToGrid w:val="0"/>
        <w:spacing w:before="0" w:beforeAutospacing="0" w:after="0" w:afterAutospacing="0" w:line="360" w:lineRule="auto"/>
        <w:ind w:right="0" w:firstLine="482" w:firstLineChars="200"/>
        <w:jc w:val="both"/>
        <w:textAlignment w:val="auto"/>
        <w:outlineLvl w:val="9"/>
        <w:rPr>
          <w:rFonts w:hint="eastAsia" w:ascii="宋体" w:hAnsi="宋体" w:eastAsia="宋体" w:cs="宋体"/>
          <w:color w:val="000000"/>
          <w:kern w:val="2"/>
          <w:sz w:val="24"/>
          <w:szCs w:val="24"/>
          <w:highlight w:val="none"/>
          <w:u w:val="single"/>
        </w:rPr>
      </w:pPr>
      <w:r>
        <w:rPr>
          <w:rFonts w:hint="eastAsia" w:ascii="宋体" w:hAnsi="宋体" w:eastAsia="宋体" w:cs="宋体"/>
          <w:b/>
          <w:color w:val="000000"/>
          <w:sz w:val="24"/>
          <w:szCs w:val="24"/>
          <w:highlight w:val="none"/>
        </w:rPr>
        <w:t>（3）</w:t>
      </w:r>
      <w:r>
        <w:rPr>
          <w:rFonts w:hint="eastAsia" w:ascii="宋体" w:hAnsi="宋体" w:eastAsia="宋体" w:cs="宋体"/>
          <w:b/>
          <w:color w:val="000000"/>
          <w:sz w:val="24"/>
          <w:szCs w:val="24"/>
          <w:highlight w:val="none"/>
          <w:u w:val="single"/>
        </w:rPr>
        <w:t>已标价工程量清单或预算书中无相同项目及类似项目单价的，其单价的确定，按以下约定：</w:t>
      </w:r>
      <w:r>
        <w:rPr>
          <w:rFonts w:hint="eastAsia" w:ascii="宋体" w:hAnsi="宋体" w:eastAsia="宋体" w:cs="宋体"/>
          <w:color w:val="000000"/>
          <w:kern w:val="2"/>
          <w:sz w:val="24"/>
          <w:szCs w:val="24"/>
          <w:highlight w:val="none"/>
          <w:u w:val="single" w:color="auto"/>
        </w:rPr>
        <w:t>可套用(包括套用换算)201</w:t>
      </w:r>
      <w:r>
        <w:rPr>
          <w:rFonts w:hint="eastAsia" w:ascii="宋体" w:hAnsi="宋体" w:eastAsia="宋体" w:cs="宋体"/>
          <w:color w:val="000000"/>
          <w:kern w:val="2"/>
          <w:sz w:val="24"/>
          <w:szCs w:val="24"/>
          <w:highlight w:val="none"/>
          <w:u w:val="single" w:color="auto"/>
          <w:lang w:val="en-US" w:eastAsia="zh-CN"/>
        </w:rPr>
        <w:t>8</w:t>
      </w:r>
      <w:r>
        <w:rPr>
          <w:rFonts w:hint="eastAsia" w:ascii="宋体" w:hAnsi="宋体" w:eastAsia="宋体" w:cs="宋体"/>
          <w:color w:val="000000"/>
          <w:kern w:val="2"/>
          <w:sz w:val="24"/>
          <w:szCs w:val="24"/>
          <w:highlight w:val="none"/>
          <w:u w:val="single" w:color="auto"/>
        </w:rPr>
        <w:t>版浙江省现行预算定额并按照业主编制的标底与中标价的优惠比例，实行同比例优惠；对不能套用(包括套用换算)的，则由中标人与招标人双方共同编制补充定额，由建设工程造价管理部门核准确定。</w:t>
      </w:r>
    </w:p>
    <w:p>
      <w:pPr>
        <w:pStyle w:val="627"/>
        <w:widowControl w:val="0"/>
        <w:adjustRightInd w:val="0"/>
        <w:snapToGrid w:val="0"/>
        <w:spacing w:before="0" w:beforeAutospacing="0" w:after="0" w:afterAutospacing="0" w:line="360" w:lineRule="auto"/>
        <w:ind w:right="0" w:firstLine="482" w:firstLineChars="200"/>
        <w:jc w:val="both"/>
        <w:textAlignment w:val="auto"/>
        <w:outlineLvl w:val="9"/>
        <w:rPr>
          <w:rFonts w:hint="eastAsia" w:ascii="宋体" w:hAnsi="宋体" w:eastAsia="宋体" w:cs="宋体"/>
          <w:color w:val="000000"/>
          <w:kern w:val="2"/>
          <w:sz w:val="24"/>
          <w:szCs w:val="24"/>
          <w:highlight w:val="none"/>
        </w:rPr>
      </w:pPr>
      <w:r>
        <w:rPr>
          <w:rFonts w:hint="eastAsia" w:ascii="宋体" w:hAnsi="宋体" w:eastAsia="宋体" w:cs="宋体"/>
          <w:b/>
          <w:color w:val="000000"/>
          <w:sz w:val="24"/>
          <w:szCs w:val="24"/>
          <w:highlight w:val="none"/>
        </w:rPr>
        <w:t>（4）</w:t>
      </w:r>
      <w:r>
        <w:rPr>
          <w:rFonts w:hint="eastAsia" w:ascii="宋体" w:hAnsi="宋体" w:eastAsia="宋体" w:cs="宋体"/>
          <w:b/>
          <w:color w:val="000000"/>
          <w:sz w:val="24"/>
          <w:szCs w:val="24"/>
          <w:highlight w:val="none"/>
          <w:u w:val="single"/>
        </w:rPr>
        <w:t xml:space="preserve">工程量清单错误和（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以上时。工程量偏差超过上述变化幅度之外变动部分的相应单价调整方法按以下方式约定：  </w:t>
      </w:r>
      <w:r>
        <w:rPr>
          <w:rFonts w:hint="eastAsia" w:ascii="宋体" w:hAnsi="宋体" w:eastAsia="宋体" w:cs="宋体"/>
          <w:color w:val="000000"/>
          <w:kern w:val="2"/>
          <w:sz w:val="24"/>
          <w:szCs w:val="24"/>
          <w:highlight w:val="none"/>
          <w:u w:val="single"/>
        </w:rPr>
        <w:t>其增加部分工程量</w:t>
      </w:r>
      <w:r>
        <w:rPr>
          <w:rFonts w:hint="eastAsia" w:ascii="宋体" w:hAnsi="宋体" w:eastAsia="宋体" w:cs="宋体"/>
          <w:color w:val="000000"/>
          <w:kern w:val="2"/>
          <w:sz w:val="24"/>
          <w:szCs w:val="24"/>
          <w:highlight w:val="none"/>
          <w:u w:val="single"/>
          <w:lang w:val="en-US" w:eastAsia="zh-CN"/>
        </w:rPr>
        <w:t>或减少部分工程量</w:t>
      </w:r>
      <w:r>
        <w:rPr>
          <w:rFonts w:hint="eastAsia" w:ascii="宋体" w:hAnsi="宋体" w:eastAsia="宋体" w:cs="宋体"/>
          <w:color w:val="000000"/>
          <w:kern w:val="2"/>
          <w:sz w:val="24"/>
          <w:szCs w:val="24"/>
          <w:highlight w:val="none"/>
          <w:u w:val="single"/>
        </w:rPr>
        <w:t>的相应综合单价按201</w:t>
      </w:r>
      <w:r>
        <w:rPr>
          <w:rFonts w:hint="eastAsia" w:ascii="宋体" w:hAnsi="宋体" w:eastAsia="宋体" w:cs="宋体"/>
          <w:color w:val="000000"/>
          <w:kern w:val="2"/>
          <w:sz w:val="24"/>
          <w:szCs w:val="24"/>
          <w:highlight w:val="none"/>
          <w:u w:val="single"/>
          <w:lang w:val="en-US" w:eastAsia="zh-CN"/>
        </w:rPr>
        <w:t>8</w:t>
      </w:r>
      <w:r>
        <w:rPr>
          <w:rFonts w:hint="eastAsia" w:ascii="宋体" w:hAnsi="宋体" w:eastAsia="宋体" w:cs="宋体"/>
          <w:color w:val="000000"/>
          <w:kern w:val="2"/>
          <w:sz w:val="24"/>
          <w:szCs w:val="24"/>
          <w:highlight w:val="none"/>
          <w:u w:val="single"/>
        </w:rPr>
        <w:t>版浙江省现行预算定额计算，材料价格参照施工当期的信息价，进行重新组价，实行同比例优惠。</w:t>
      </w:r>
    </w:p>
    <w:p>
      <w:pPr>
        <w:pStyle w:val="627"/>
        <w:widowControl w:val="0"/>
        <w:adjustRightInd w:val="0"/>
        <w:snapToGrid w:val="0"/>
        <w:spacing w:before="0" w:beforeAutospacing="0" w:after="0" w:afterAutospacing="0" w:line="360" w:lineRule="auto"/>
        <w:ind w:right="0" w:firstLine="482" w:firstLineChars="200"/>
        <w:jc w:val="both"/>
        <w:textAlignment w:val="auto"/>
        <w:outlineLvl w:val="9"/>
        <w:rPr>
          <w:rFonts w:hint="eastAsia" w:ascii="宋体" w:hAnsi="宋体" w:eastAsia="宋体" w:cs="宋体"/>
          <w:color w:val="000000"/>
          <w:kern w:val="2"/>
          <w:sz w:val="24"/>
          <w:szCs w:val="24"/>
          <w:highlight w:val="none"/>
          <w:u w:val="single"/>
        </w:rPr>
      </w:pPr>
      <w:r>
        <w:rPr>
          <w:rFonts w:hint="eastAsia" w:ascii="宋体" w:hAnsi="宋体" w:eastAsia="宋体" w:cs="宋体"/>
          <w:b/>
          <w:color w:val="000000"/>
          <w:sz w:val="24"/>
          <w:szCs w:val="24"/>
          <w:highlight w:val="none"/>
        </w:rPr>
        <w:t>（5）</w:t>
      </w:r>
      <w:r>
        <w:rPr>
          <w:rFonts w:hint="eastAsia" w:ascii="宋体" w:hAnsi="宋体" w:eastAsia="宋体" w:cs="宋体"/>
          <w:b/>
          <w:color w:val="000000"/>
          <w:sz w:val="24"/>
          <w:szCs w:val="24"/>
          <w:highlight w:val="none"/>
          <w:u w:val="single"/>
        </w:rPr>
        <w:t>其他：</w:t>
      </w:r>
      <w:r>
        <w:rPr>
          <w:rFonts w:hint="eastAsia" w:ascii="宋体" w:hAnsi="宋体" w:eastAsia="宋体" w:cs="宋体"/>
          <w:color w:val="000000"/>
          <w:kern w:val="2"/>
          <w:sz w:val="24"/>
          <w:szCs w:val="24"/>
          <w:highlight w:val="none"/>
          <w:u w:val="single"/>
        </w:rPr>
        <w:t>如果施工期间主要材料及人工有异常波动情况的，其价格结算按照</w:t>
      </w:r>
      <w:r>
        <w:rPr>
          <w:rFonts w:hint="eastAsia" w:ascii="宋体" w:hAnsi="宋体" w:eastAsia="宋体" w:cs="宋体"/>
          <w:color w:val="000000"/>
          <w:kern w:val="2"/>
          <w:sz w:val="24"/>
          <w:szCs w:val="24"/>
          <w:highlight w:val="none"/>
          <w:u w:val="single"/>
          <w:lang w:eastAsia="zh-CN"/>
        </w:rPr>
        <w:t>杭建市发（</w:t>
      </w:r>
      <w:r>
        <w:rPr>
          <w:rFonts w:hint="eastAsia" w:ascii="宋体" w:hAnsi="宋体" w:eastAsia="宋体" w:cs="宋体"/>
          <w:color w:val="000000"/>
          <w:kern w:val="2"/>
          <w:sz w:val="24"/>
          <w:szCs w:val="24"/>
          <w:highlight w:val="none"/>
          <w:u w:val="single"/>
          <w:lang w:val="en-US" w:eastAsia="zh-CN"/>
        </w:rPr>
        <w:t>2018）579</w:t>
      </w:r>
      <w:r>
        <w:rPr>
          <w:rFonts w:hint="eastAsia" w:ascii="宋体" w:hAnsi="宋体" w:eastAsia="宋体" w:cs="宋体"/>
          <w:color w:val="000000"/>
          <w:kern w:val="2"/>
          <w:sz w:val="24"/>
          <w:szCs w:val="24"/>
          <w:highlight w:val="none"/>
          <w:u w:val="single"/>
        </w:rPr>
        <w:t>号文件《关于进一步加强杭州市建设工程市场要素价格动态管理的指导意见》执行，人工、材料价款调整原则上均采用竣工后一次性结算调价方式</w:t>
      </w:r>
      <w:r>
        <w:rPr>
          <w:rFonts w:hint="eastAsia" w:ascii="宋体" w:hAnsi="宋体" w:eastAsia="宋体" w:cs="宋体"/>
          <w:color w:val="000000"/>
          <w:kern w:val="2"/>
          <w:sz w:val="24"/>
          <w:szCs w:val="24"/>
          <w:highlight w:val="none"/>
        </w:rPr>
        <w:t>。</w:t>
      </w:r>
    </w:p>
    <w:p>
      <w:pPr>
        <w:pStyle w:val="627"/>
        <w:widowControl w:val="0"/>
        <w:adjustRightInd w:val="0"/>
        <w:snapToGrid w:val="0"/>
        <w:spacing w:before="0" w:beforeAutospacing="0" w:after="0" w:afterAutospacing="0" w:line="360" w:lineRule="auto"/>
        <w:ind w:right="0" w:firstLine="480" w:firstLineChars="200"/>
        <w:jc w:val="both"/>
        <w:textAlignment w:val="auto"/>
        <w:outlineLvl w:val="9"/>
        <w:rPr>
          <w:rFonts w:hint="eastAsia" w:ascii="宋体" w:hAnsi="宋体" w:eastAsia="宋体" w:cs="宋体"/>
          <w:color w:val="000000"/>
          <w:kern w:val="2"/>
          <w:sz w:val="24"/>
          <w:szCs w:val="24"/>
          <w:highlight w:val="none"/>
          <w:u w:val="single"/>
        </w:rPr>
      </w:pPr>
      <w:r>
        <w:rPr>
          <w:rFonts w:hint="eastAsia" w:ascii="宋体" w:hAnsi="宋体" w:eastAsia="宋体" w:cs="宋体"/>
          <w:color w:val="000000"/>
          <w:kern w:val="2"/>
          <w:sz w:val="24"/>
          <w:szCs w:val="24"/>
          <w:highlight w:val="none"/>
          <w:u w:val="single"/>
        </w:rPr>
        <w:t>工程变更需经发包单位、承包单位、监理单位、设计单位签证同意，工程量按实调整，工程结算中单价按上述方法确定，最终以审计结果为准。</w:t>
      </w:r>
    </w:p>
    <w:p>
      <w:pPr>
        <w:spacing w:line="360" w:lineRule="auto"/>
        <w:ind w:right="0" w:firstLine="56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十六、附则：</w:t>
      </w:r>
    </w:p>
    <w:p>
      <w:pPr>
        <w:spacing w:line="360" w:lineRule="auto"/>
        <w:ind w:right="0" w:firstLine="57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1、本合同双方必须全面履行，任何一方不得擅自变更或解除。如因故需要变更可解除时，须经双方协商另订协议。</w:t>
      </w:r>
    </w:p>
    <w:p>
      <w:pPr>
        <w:spacing w:line="360" w:lineRule="auto"/>
        <w:ind w:right="0" w:firstLine="57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2、本合同在履行过程中发生的争议，由双方当事人协商解决，协商不成的按下列第</w:t>
      </w:r>
      <w:r>
        <w:rPr>
          <w:rFonts w:hint="eastAsia" w:ascii="宋体" w:hAnsi="宋体" w:eastAsia="宋体" w:cs="宋体"/>
          <w:color w:val="000000"/>
          <w:sz w:val="24"/>
          <w:szCs w:val="24"/>
          <w:u w:val="single"/>
        </w:rPr>
        <w:t xml:space="preserve">  （二）   </w:t>
      </w:r>
      <w:r>
        <w:rPr>
          <w:rFonts w:hint="eastAsia" w:ascii="宋体" w:hAnsi="宋体" w:eastAsia="宋体" w:cs="宋体"/>
          <w:color w:val="000000"/>
          <w:sz w:val="24"/>
          <w:szCs w:val="24"/>
        </w:rPr>
        <w:t>种方式解决：</w:t>
      </w:r>
    </w:p>
    <w:p>
      <w:pPr>
        <w:spacing w:line="360" w:lineRule="auto"/>
        <w:ind w:right="0" w:firstLine="57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㈠提交</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仲裁委员会仲裁；</w:t>
      </w:r>
    </w:p>
    <w:p>
      <w:pPr>
        <w:spacing w:line="360" w:lineRule="auto"/>
        <w:ind w:right="0" w:firstLine="57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㈡依法向</w:t>
      </w:r>
      <w:r>
        <w:rPr>
          <w:rFonts w:hint="eastAsia" w:ascii="宋体" w:hAnsi="宋体" w:eastAsia="宋体" w:cs="宋体"/>
          <w:color w:val="000000"/>
          <w:sz w:val="24"/>
          <w:szCs w:val="24"/>
          <w:u w:val="single"/>
        </w:rPr>
        <w:t>余杭区</w:t>
      </w:r>
      <w:r>
        <w:rPr>
          <w:rFonts w:hint="eastAsia" w:ascii="宋体" w:hAnsi="宋体" w:eastAsia="宋体" w:cs="宋体"/>
          <w:color w:val="000000"/>
          <w:sz w:val="24"/>
          <w:szCs w:val="24"/>
        </w:rPr>
        <w:t>人民法院起诉。</w:t>
      </w:r>
    </w:p>
    <w:p>
      <w:pPr>
        <w:numPr>
          <w:ilvl w:val="0"/>
          <w:numId w:val="7"/>
        </w:numPr>
        <w:spacing w:line="360" w:lineRule="auto"/>
        <w:ind w:right="0" w:firstLine="57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本合同一式</w:t>
      </w:r>
      <w:r>
        <w:rPr>
          <w:rFonts w:hint="eastAsia" w:ascii="宋体" w:hAnsi="宋体" w:eastAsia="宋体" w:cs="宋体"/>
          <w:color w:val="000000"/>
          <w:sz w:val="24"/>
          <w:szCs w:val="24"/>
          <w:u w:val="single"/>
        </w:rPr>
        <w:t>拾</w:t>
      </w:r>
      <w:r>
        <w:rPr>
          <w:rFonts w:hint="eastAsia" w:ascii="宋体" w:hAnsi="宋体" w:eastAsia="宋体" w:cs="宋体"/>
          <w:color w:val="000000"/>
          <w:sz w:val="24"/>
          <w:szCs w:val="24"/>
        </w:rPr>
        <w:t>份，甲方执</w:t>
      </w:r>
      <w:r>
        <w:rPr>
          <w:rFonts w:hint="eastAsia" w:ascii="宋体" w:hAnsi="宋体" w:eastAsia="宋体" w:cs="宋体"/>
          <w:color w:val="000000"/>
          <w:sz w:val="24"/>
          <w:szCs w:val="24"/>
          <w:u w:val="single"/>
        </w:rPr>
        <w:t>肆</w:t>
      </w:r>
      <w:r>
        <w:rPr>
          <w:rFonts w:hint="eastAsia" w:ascii="宋体" w:hAnsi="宋体" w:eastAsia="宋体" w:cs="宋体"/>
          <w:color w:val="000000"/>
          <w:sz w:val="24"/>
          <w:szCs w:val="24"/>
        </w:rPr>
        <w:t>份，乙方执</w:t>
      </w:r>
      <w:r>
        <w:rPr>
          <w:rFonts w:hint="eastAsia" w:ascii="宋体" w:hAnsi="宋体" w:eastAsia="宋体" w:cs="宋体"/>
          <w:color w:val="000000"/>
          <w:sz w:val="24"/>
          <w:szCs w:val="24"/>
          <w:u w:val="single"/>
        </w:rPr>
        <w:t>陆</w:t>
      </w:r>
      <w:r>
        <w:rPr>
          <w:rFonts w:hint="eastAsia" w:ascii="宋体" w:hAnsi="宋体" w:eastAsia="宋体" w:cs="宋体"/>
          <w:color w:val="000000"/>
          <w:sz w:val="24"/>
          <w:szCs w:val="24"/>
        </w:rPr>
        <w:t>份，经双方签字或盖章后生效。</w:t>
      </w:r>
    </w:p>
    <w:p>
      <w:pPr>
        <w:widowControl w:val="0"/>
        <w:numPr>
          <w:numId w:val="0"/>
        </w:numPr>
        <w:spacing w:line="360" w:lineRule="auto"/>
        <w:ind w:right="0"/>
        <w:jc w:val="both"/>
        <w:textAlignment w:val="auto"/>
        <w:outlineLvl w:val="9"/>
        <w:rPr>
          <w:rFonts w:hint="eastAsia" w:ascii="宋体" w:hAnsi="宋体" w:eastAsia="宋体" w:cs="宋体"/>
          <w:color w:val="000000"/>
          <w:sz w:val="24"/>
          <w:szCs w:val="24"/>
        </w:rPr>
      </w:pPr>
    </w:p>
    <w:p>
      <w:pPr>
        <w:widowControl/>
        <w:wordWrap w:val="0"/>
        <w:spacing w:line="360" w:lineRule="auto"/>
        <w:ind w:right="0"/>
        <w:jc w:val="center"/>
        <w:textAlignment w:val="auto"/>
        <w:outlineLvl w:val="9"/>
        <w:rPr>
          <w:rFonts w:hint="eastAsia" w:ascii="宋体" w:hAnsi="宋体" w:eastAsia="宋体" w:cs="宋体"/>
          <w:b/>
          <w:color w:val="000000"/>
          <w:kern w:val="0"/>
          <w:sz w:val="24"/>
          <w:szCs w:val="24"/>
        </w:rPr>
      </w:pPr>
    </w:p>
    <w:p>
      <w:pPr>
        <w:widowControl/>
        <w:wordWrap w:val="0"/>
        <w:spacing w:line="360" w:lineRule="auto"/>
        <w:ind w:right="0"/>
        <w:jc w:val="center"/>
        <w:textAlignment w:val="auto"/>
        <w:outlineLvl w:val="9"/>
        <w:rPr>
          <w:rFonts w:hint="eastAsia" w:ascii="宋体" w:hAnsi="宋体" w:eastAsia="宋体" w:cs="宋体"/>
          <w:b/>
          <w:color w:val="000000"/>
          <w:kern w:val="0"/>
          <w:sz w:val="24"/>
          <w:szCs w:val="24"/>
        </w:rPr>
      </w:pPr>
    </w:p>
    <w:p>
      <w:pPr>
        <w:widowControl/>
        <w:wordWrap w:val="0"/>
        <w:spacing w:line="360" w:lineRule="auto"/>
        <w:ind w:right="0"/>
        <w:jc w:val="center"/>
        <w:textAlignment w:val="auto"/>
        <w:outlineLvl w:val="9"/>
        <w:rPr>
          <w:rFonts w:hint="eastAsia" w:ascii="宋体" w:hAnsi="宋体" w:eastAsia="宋体" w:cs="宋体"/>
          <w:b/>
          <w:color w:val="000000"/>
          <w:kern w:val="0"/>
          <w:sz w:val="24"/>
          <w:szCs w:val="24"/>
        </w:rPr>
      </w:pPr>
    </w:p>
    <w:p>
      <w:pPr>
        <w:widowControl/>
        <w:wordWrap w:val="0"/>
        <w:spacing w:line="360" w:lineRule="auto"/>
        <w:ind w:right="0"/>
        <w:jc w:val="center"/>
        <w:textAlignment w:val="auto"/>
        <w:outlineLvl w:val="9"/>
        <w:rPr>
          <w:rFonts w:hint="eastAsia" w:ascii="宋体" w:hAnsi="宋体" w:eastAsia="宋体" w:cs="宋体"/>
          <w:b/>
          <w:color w:val="000000"/>
          <w:kern w:val="0"/>
          <w:sz w:val="24"/>
          <w:szCs w:val="24"/>
        </w:rPr>
      </w:pPr>
    </w:p>
    <w:p>
      <w:pPr>
        <w:widowControl/>
        <w:wordWrap w:val="0"/>
        <w:spacing w:line="360" w:lineRule="auto"/>
        <w:ind w:right="0"/>
        <w:jc w:val="center"/>
        <w:textAlignment w:val="auto"/>
        <w:outlineLvl w:val="9"/>
        <w:rPr>
          <w:rFonts w:hint="eastAsia" w:ascii="宋体" w:hAnsi="宋体" w:eastAsia="宋体" w:cs="宋体"/>
          <w:b/>
          <w:color w:val="000000"/>
          <w:kern w:val="0"/>
          <w:sz w:val="24"/>
          <w:szCs w:val="24"/>
        </w:rPr>
      </w:pPr>
    </w:p>
    <w:p>
      <w:pPr>
        <w:widowControl/>
        <w:wordWrap w:val="0"/>
        <w:spacing w:line="360" w:lineRule="auto"/>
        <w:ind w:right="0"/>
        <w:jc w:val="center"/>
        <w:textAlignment w:val="auto"/>
        <w:outlineLvl w:val="9"/>
        <w:rPr>
          <w:rFonts w:hint="eastAsia" w:ascii="宋体" w:hAnsi="宋体" w:eastAsia="宋体" w:cs="宋体"/>
          <w:color w:val="000000"/>
          <w:sz w:val="24"/>
          <w:szCs w:val="24"/>
        </w:rPr>
      </w:pPr>
      <w:r>
        <w:rPr>
          <w:rFonts w:hint="eastAsia" w:ascii="宋体" w:hAnsi="宋体" w:eastAsia="宋体" w:cs="宋体"/>
          <w:b/>
          <w:color w:val="000000"/>
          <w:kern w:val="0"/>
          <w:sz w:val="24"/>
          <w:szCs w:val="24"/>
        </w:rPr>
        <w:t>签 署 页</w:t>
      </w:r>
    </w:p>
    <w:tbl>
      <w:tblPr>
        <w:tblStyle w:val="74"/>
        <w:tblpPr w:leftFromText="180" w:rightFromText="180" w:vertAnchor="text" w:horzAnchor="page" w:tblpX="1581" w:tblpY="360"/>
        <w:tblOverlap w:val="never"/>
        <w:tblW w:w="88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31"/>
        <w:gridCol w:w="44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1" w:hRule="atLeast"/>
        </w:trPr>
        <w:tc>
          <w:tcPr>
            <w:tcW w:w="4431" w:type="dxa"/>
            <w:vAlign w:val="center"/>
          </w:tcPr>
          <w:p>
            <w:pPr>
              <w:spacing w:line="360" w:lineRule="auto"/>
              <w:ind w:right="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甲  方</w:t>
            </w:r>
          </w:p>
        </w:tc>
        <w:tc>
          <w:tcPr>
            <w:tcW w:w="4432" w:type="dxa"/>
            <w:vAlign w:val="center"/>
          </w:tcPr>
          <w:p>
            <w:pPr>
              <w:spacing w:line="360" w:lineRule="auto"/>
              <w:ind w:right="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乙  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3" w:hRule="atLeast"/>
        </w:trPr>
        <w:tc>
          <w:tcPr>
            <w:tcW w:w="4431" w:type="dxa"/>
            <w:vAlign w:val="top"/>
          </w:tcPr>
          <w:p>
            <w:pPr>
              <w:spacing w:line="360" w:lineRule="auto"/>
              <w:ind w:right="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单位名称（章）：</w:t>
            </w:r>
          </w:p>
        </w:tc>
        <w:tc>
          <w:tcPr>
            <w:tcW w:w="4432" w:type="dxa"/>
            <w:vAlign w:val="top"/>
          </w:tcPr>
          <w:p>
            <w:pPr>
              <w:spacing w:line="360" w:lineRule="auto"/>
              <w:ind w:right="0"/>
              <w:jc w:val="left"/>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单位名称（章）：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0" w:hRule="atLeast"/>
        </w:trPr>
        <w:tc>
          <w:tcPr>
            <w:tcW w:w="4431" w:type="dxa"/>
            <w:vAlign w:val="top"/>
          </w:tcPr>
          <w:p>
            <w:pPr>
              <w:spacing w:line="360" w:lineRule="auto"/>
              <w:ind w:right="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单位地址：</w:t>
            </w:r>
          </w:p>
        </w:tc>
        <w:tc>
          <w:tcPr>
            <w:tcW w:w="4432" w:type="dxa"/>
            <w:vAlign w:val="top"/>
          </w:tcPr>
          <w:p>
            <w:pPr>
              <w:spacing w:line="360" w:lineRule="auto"/>
              <w:ind w:right="0"/>
              <w:jc w:val="left"/>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单位地址：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8" w:hRule="atLeast"/>
        </w:trPr>
        <w:tc>
          <w:tcPr>
            <w:tcW w:w="4431" w:type="dxa"/>
            <w:vAlign w:val="top"/>
          </w:tcPr>
          <w:p>
            <w:pPr>
              <w:spacing w:line="360" w:lineRule="auto"/>
              <w:ind w:right="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p>
        </w:tc>
        <w:tc>
          <w:tcPr>
            <w:tcW w:w="4432" w:type="dxa"/>
            <w:vAlign w:val="top"/>
          </w:tcPr>
          <w:p>
            <w:pPr>
              <w:spacing w:line="360" w:lineRule="auto"/>
              <w:ind w:right="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1" w:hRule="atLeast"/>
        </w:trPr>
        <w:tc>
          <w:tcPr>
            <w:tcW w:w="4431" w:type="dxa"/>
            <w:vAlign w:val="top"/>
          </w:tcPr>
          <w:p>
            <w:pPr>
              <w:spacing w:line="360" w:lineRule="auto"/>
              <w:ind w:right="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委托代理人：</w:t>
            </w:r>
          </w:p>
        </w:tc>
        <w:tc>
          <w:tcPr>
            <w:tcW w:w="4432" w:type="dxa"/>
            <w:vAlign w:val="top"/>
          </w:tcPr>
          <w:p>
            <w:pPr>
              <w:spacing w:line="360" w:lineRule="auto"/>
              <w:ind w:right="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3" w:hRule="atLeast"/>
        </w:trPr>
        <w:tc>
          <w:tcPr>
            <w:tcW w:w="4431" w:type="dxa"/>
            <w:vAlign w:val="top"/>
          </w:tcPr>
          <w:p>
            <w:pPr>
              <w:spacing w:line="360" w:lineRule="auto"/>
              <w:ind w:right="0"/>
              <w:jc w:val="left"/>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联系人：</w:t>
            </w:r>
          </w:p>
        </w:tc>
        <w:tc>
          <w:tcPr>
            <w:tcW w:w="4432" w:type="dxa"/>
            <w:vAlign w:val="top"/>
          </w:tcPr>
          <w:p>
            <w:pPr>
              <w:spacing w:line="360" w:lineRule="auto"/>
              <w:ind w:right="0"/>
              <w:jc w:val="left"/>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联系人：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2" w:hRule="atLeast"/>
        </w:trPr>
        <w:tc>
          <w:tcPr>
            <w:tcW w:w="4431" w:type="dxa"/>
            <w:vAlign w:val="top"/>
          </w:tcPr>
          <w:p>
            <w:pPr>
              <w:spacing w:line="360" w:lineRule="auto"/>
              <w:ind w:right="0"/>
              <w:jc w:val="left"/>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开户银行：</w:t>
            </w:r>
          </w:p>
        </w:tc>
        <w:tc>
          <w:tcPr>
            <w:tcW w:w="4432" w:type="dxa"/>
            <w:vAlign w:val="top"/>
          </w:tcPr>
          <w:p>
            <w:pPr>
              <w:spacing w:line="360" w:lineRule="auto"/>
              <w:ind w:right="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4" w:hRule="atLeast"/>
        </w:trPr>
        <w:tc>
          <w:tcPr>
            <w:tcW w:w="4431" w:type="dxa"/>
            <w:vAlign w:val="top"/>
          </w:tcPr>
          <w:p>
            <w:pPr>
              <w:spacing w:line="360" w:lineRule="auto"/>
              <w:ind w:right="0"/>
              <w:jc w:val="left"/>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银行帐号：</w:t>
            </w:r>
          </w:p>
        </w:tc>
        <w:tc>
          <w:tcPr>
            <w:tcW w:w="4432" w:type="dxa"/>
            <w:vAlign w:val="top"/>
          </w:tcPr>
          <w:p>
            <w:pPr>
              <w:spacing w:line="360" w:lineRule="auto"/>
              <w:ind w:right="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银行帐号：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1" w:hRule="atLeast"/>
        </w:trPr>
        <w:tc>
          <w:tcPr>
            <w:tcW w:w="4431" w:type="dxa"/>
            <w:vAlign w:val="top"/>
          </w:tcPr>
          <w:p>
            <w:pPr>
              <w:spacing w:line="360" w:lineRule="auto"/>
              <w:ind w:right="0"/>
              <w:jc w:val="left"/>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邮政编码：</w:t>
            </w:r>
          </w:p>
        </w:tc>
        <w:tc>
          <w:tcPr>
            <w:tcW w:w="4432" w:type="dxa"/>
            <w:vAlign w:val="top"/>
          </w:tcPr>
          <w:p>
            <w:pPr>
              <w:spacing w:line="360" w:lineRule="auto"/>
              <w:ind w:right="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p>
        </w:tc>
      </w:tr>
    </w:tbl>
    <w:p>
      <w:pPr>
        <w:pStyle w:val="625"/>
        <w:rPr>
          <w:rStyle w:val="921"/>
          <w:rFonts w:ascii="仿宋" w:hAnsi="仿宋" w:eastAsia="仿宋"/>
          <w:b/>
          <w:bCs/>
          <w:color w:val="FF0000"/>
          <w:highlight w:val="none"/>
        </w:rPr>
      </w:pPr>
    </w:p>
    <w:p>
      <w:pPr>
        <w:numPr>
          <w:numId w:val="0"/>
        </w:numPr>
        <w:spacing w:line="360" w:lineRule="auto"/>
        <w:jc w:val="both"/>
        <w:outlineLvl w:val="0"/>
        <w:rPr>
          <w:rFonts w:hint="eastAsia" w:ascii="宋体" w:hAnsi="宋体" w:cs="宋体"/>
          <w:b/>
          <w:color w:val="000000"/>
          <w:sz w:val="24"/>
          <w:highlight w:val="none"/>
        </w:rPr>
      </w:pPr>
    </w:p>
    <w:p>
      <w:pPr>
        <w:numPr>
          <w:numId w:val="0"/>
        </w:numPr>
        <w:spacing w:line="360" w:lineRule="auto"/>
        <w:jc w:val="both"/>
        <w:outlineLvl w:val="0"/>
        <w:rPr>
          <w:rFonts w:hint="eastAsia" w:ascii="宋体" w:hAnsi="宋体" w:cs="宋体"/>
          <w:b/>
          <w:color w:val="000000"/>
          <w:sz w:val="24"/>
          <w:highlight w:val="none"/>
        </w:rPr>
      </w:pPr>
    </w:p>
    <w:p>
      <w:pPr>
        <w:spacing w:line="360" w:lineRule="auto"/>
        <w:ind w:left="-420" w:leftChars="-200" w:right="-420" w:rightChars="-200" w:firstLine="480" w:firstLineChars="200"/>
        <w:jc w:val="center"/>
        <w:outlineLvl w:val="0"/>
        <w:rPr>
          <w:rFonts w:ascii="宋体" w:hAnsi="宋体" w:cs="宋体"/>
          <w:color w:val="000000"/>
          <w:sz w:val="24"/>
          <w:highlight w:val="none"/>
        </w:rPr>
      </w:pPr>
    </w:p>
    <w:p>
      <w:pPr>
        <w:widowControl/>
        <w:adjustRightInd/>
        <w:jc w:val="center"/>
        <w:rPr>
          <w:rFonts w:hint="eastAsia" w:ascii="宋体" w:hAnsi="宋体" w:cs="宋体"/>
          <w:b/>
          <w:color w:val="000000"/>
          <w:sz w:val="36"/>
          <w:szCs w:val="20"/>
          <w:highlight w:val="none"/>
        </w:rPr>
      </w:pPr>
    </w:p>
    <w:p>
      <w:pPr>
        <w:widowControl/>
        <w:adjustRightInd/>
        <w:jc w:val="center"/>
        <w:rPr>
          <w:rFonts w:hint="eastAsia" w:ascii="宋体" w:hAnsi="宋体" w:cs="宋体"/>
          <w:b/>
          <w:color w:val="000000"/>
          <w:sz w:val="36"/>
          <w:szCs w:val="20"/>
          <w:highlight w:val="none"/>
        </w:rPr>
      </w:pPr>
    </w:p>
    <w:p>
      <w:pPr>
        <w:widowControl/>
        <w:adjustRightInd/>
        <w:jc w:val="center"/>
        <w:rPr>
          <w:rFonts w:hint="eastAsia" w:ascii="宋体" w:hAnsi="宋体" w:cs="宋体"/>
          <w:b/>
          <w:color w:val="000000"/>
          <w:sz w:val="36"/>
          <w:szCs w:val="20"/>
          <w:highlight w:val="none"/>
        </w:rPr>
      </w:pPr>
    </w:p>
    <w:p>
      <w:pPr>
        <w:widowControl/>
        <w:adjustRightInd/>
        <w:jc w:val="center"/>
        <w:rPr>
          <w:rFonts w:hint="eastAsia" w:ascii="宋体" w:hAnsi="宋体" w:cs="宋体"/>
          <w:b/>
          <w:color w:val="000000"/>
          <w:sz w:val="36"/>
          <w:szCs w:val="20"/>
          <w:highlight w:val="none"/>
        </w:rPr>
      </w:pPr>
    </w:p>
    <w:p>
      <w:pPr>
        <w:widowControl/>
        <w:adjustRightInd/>
        <w:jc w:val="center"/>
        <w:rPr>
          <w:rFonts w:hint="eastAsia" w:ascii="宋体" w:hAnsi="宋体" w:cs="宋体"/>
          <w:b/>
          <w:color w:val="000000"/>
          <w:sz w:val="36"/>
          <w:szCs w:val="20"/>
          <w:highlight w:val="none"/>
        </w:rPr>
      </w:pPr>
    </w:p>
    <w:p>
      <w:pPr>
        <w:widowControl/>
        <w:adjustRightInd/>
        <w:jc w:val="center"/>
        <w:rPr>
          <w:rFonts w:hint="eastAsia" w:ascii="宋体" w:hAnsi="宋体" w:cs="宋体"/>
          <w:b/>
          <w:color w:val="000000"/>
          <w:sz w:val="36"/>
          <w:szCs w:val="20"/>
          <w:highlight w:val="none"/>
        </w:rPr>
      </w:pPr>
    </w:p>
    <w:p>
      <w:pPr>
        <w:widowControl/>
        <w:adjustRightInd/>
        <w:jc w:val="center"/>
        <w:rPr>
          <w:rFonts w:hint="eastAsia" w:ascii="宋体" w:hAnsi="宋体" w:cs="宋体"/>
          <w:b/>
          <w:color w:val="000000"/>
          <w:sz w:val="36"/>
          <w:szCs w:val="20"/>
          <w:highlight w:val="none"/>
        </w:rPr>
      </w:pPr>
    </w:p>
    <w:p>
      <w:pPr>
        <w:widowControl/>
        <w:adjustRightInd/>
        <w:jc w:val="center"/>
        <w:rPr>
          <w:rFonts w:hint="eastAsia" w:ascii="宋体" w:hAnsi="宋体" w:cs="宋体"/>
          <w:b/>
          <w:color w:val="000000"/>
          <w:sz w:val="36"/>
          <w:szCs w:val="20"/>
          <w:highlight w:val="none"/>
        </w:rPr>
      </w:pPr>
    </w:p>
    <w:p>
      <w:pPr>
        <w:widowControl/>
        <w:adjustRightInd/>
        <w:jc w:val="center"/>
        <w:rPr>
          <w:rFonts w:hint="eastAsia" w:ascii="宋体" w:hAnsi="宋体" w:cs="宋体"/>
          <w:b/>
          <w:color w:val="000000"/>
          <w:sz w:val="36"/>
          <w:szCs w:val="20"/>
          <w:highlight w:val="none"/>
        </w:rPr>
      </w:pPr>
    </w:p>
    <w:p>
      <w:pPr>
        <w:widowControl/>
        <w:adjustRightInd/>
        <w:jc w:val="center"/>
        <w:rPr>
          <w:rFonts w:ascii="宋体" w:hAnsi="宋体" w:cs="宋体"/>
          <w:b/>
          <w:color w:val="000000"/>
          <w:sz w:val="36"/>
          <w:szCs w:val="20"/>
          <w:highlight w:val="none"/>
        </w:rPr>
      </w:pPr>
      <w:r>
        <w:rPr>
          <w:rFonts w:hint="eastAsia" w:ascii="宋体" w:hAnsi="宋体" w:cs="宋体"/>
          <w:b/>
          <w:color w:val="000000"/>
          <w:sz w:val="36"/>
          <w:szCs w:val="20"/>
          <w:highlight w:val="none"/>
        </w:rPr>
        <w:t>第六部分</w:t>
      </w:r>
      <w:bookmarkEnd w:id="453"/>
      <w:r>
        <w:rPr>
          <w:rFonts w:hint="eastAsia" w:ascii="宋体" w:hAnsi="宋体" w:cs="宋体"/>
          <w:b/>
          <w:color w:val="000000"/>
          <w:sz w:val="36"/>
          <w:szCs w:val="20"/>
          <w:highlight w:val="none"/>
        </w:rPr>
        <w:t xml:space="preserve"> </w:t>
      </w:r>
      <w:bookmarkEnd w:id="454"/>
      <w:r>
        <w:rPr>
          <w:rFonts w:hint="eastAsia" w:ascii="宋体" w:hAnsi="宋体" w:cs="宋体"/>
          <w:b/>
          <w:color w:val="000000"/>
          <w:sz w:val="36"/>
          <w:szCs w:val="20"/>
          <w:highlight w:val="none"/>
        </w:rPr>
        <w:t>应提交的有关格式范例</w:t>
      </w:r>
    </w:p>
    <w:p>
      <w:pPr>
        <w:spacing w:line="360" w:lineRule="auto"/>
        <w:jc w:val="center"/>
        <w:outlineLvl w:val="0"/>
        <w:rPr>
          <w:rFonts w:ascii="宋体" w:hAnsi="宋体" w:cs="宋体"/>
          <w:b/>
          <w:color w:val="000000"/>
          <w:kern w:val="0"/>
          <w:sz w:val="36"/>
          <w:szCs w:val="36"/>
          <w:highlight w:val="none"/>
        </w:rPr>
      </w:pPr>
    </w:p>
    <w:p>
      <w:pPr>
        <w:spacing w:line="360" w:lineRule="auto"/>
        <w:jc w:val="center"/>
        <w:outlineLvl w:val="0"/>
        <w:rPr>
          <w:rFonts w:ascii="宋体" w:hAnsi="宋体" w:cs="宋体"/>
          <w:b/>
          <w:color w:val="000000"/>
          <w:kern w:val="0"/>
          <w:sz w:val="36"/>
          <w:szCs w:val="36"/>
          <w:highlight w:val="none"/>
        </w:rPr>
      </w:pPr>
      <w:r>
        <w:rPr>
          <w:rFonts w:hint="eastAsia" w:ascii="宋体" w:hAnsi="宋体" w:cs="宋体"/>
          <w:b/>
          <w:color w:val="000000"/>
          <w:kern w:val="0"/>
          <w:sz w:val="36"/>
          <w:szCs w:val="36"/>
          <w:highlight w:val="none"/>
        </w:rPr>
        <w:t>资格文件部分</w:t>
      </w:r>
    </w:p>
    <w:p>
      <w:pPr>
        <w:spacing w:line="360" w:lineRule="auto"/>
        <w:jc w:val="center"/>
        <w:outlineLvl w:val="0"/>
        <w:rPr>
          <w:rFonts w:ascii="宋体" w:hAnsi="宋体" w:cs="宋体"/>
          <w:b/>
          <w:color w:val="000000"/>
          <w:kern w:val="0"/>
          <w:sz w:val="36"/>
          <w:szCs w:val="36"/>
          <w:highlight w:val="none"/>
        </w:rPr>
      </w:pPr>
      <w:r>
        <w:rPr>
          <w:rFonts w:hint="eastAsia" w:ascii="宋体" w:hAnsi="宋体" w:cs="宋体"/>
          <w:b/>
          <w:color w:val="000000"/>
          <w:kern w:val="0"/>
          <w:sz w:val="36"/>
          <w:szCs w:val="36"/>
          <w:highlight w:val="none"/>
        </w:rPr>
        <w:t>目录</w:t>
      </w:r>
    </w:p>
    <w:p>
      <w:pPr>
        <w:spacing w:line="360" w:lineRule="auto"/>
        <w:jc w:val="center"/>
        <w:outlineLvl w:val="0"/>
        <w:rPr>
          <w:rFonts w:ascii="宋体" w:hAnsi="宋体" w:cs="宋体"/>
          <w:b/>
          <w:color w:val="000000"/>
          <w:kern w:val="0"/>
          <w:sz w:val="36"/>
          <w:szCs w:val="36"/>
          <w:highlight w:val="none"/>
        </w:rPr>
      </w:pPr>
    </w:p>
    <w:p>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（1）符合参加政府采购活动应当具备的一般条件的承诺函……………（页码）</w:t>
      </w:r>
    </w:p>
    <w:p>
      <w:pPr>
        <w:snapToGrid w:val="0"/>
        <w:spacing w:line="360" w:lineRule="auto"/>
        <w:rPr>
          <w:rFonts w:ascii="宋体" w:hAnsi="宋体" w:cs="宋体"/>
          <w:color w:val="000000"/>
          <w:sz w:val="24"/>
          <w:highlight w:val="none"/>
        </w:rPr>
      </w:pPr>
      <w:r>
        <w:rPr>
          <w:rFonts w:hint="eastAsia" w:ascii="宋体" w:hAnsi="宋体" w:cs="宋体"/>
          <w:snapToGrid w:val="0"/>
          <w:color w:val="000000"/>
          <w:kern w:val="28"/>
          <w:sz w:val="24"/>
          <w:szCs w:val="20"/>
          <w:highlight w:val="none"/>
        </w:rPr>
        <w:t>（2）联合协议</w:t>
      </w:r>
      <w:r>
        <w:rPr>
          <w:rFonts w:hint="eastAsia" w:ascii="宋体" w:hAnsi="宋体" w:cs="宋体"/>
          <w:color w:val="000000"/>
          <w:sz w:val="24"/>
          <w:highlight w:val="none"/>
        </w:rPr>
        <w:t>………………………………………………………………（页码）</w:t>
      </w:r>
    </w:p>
    <w:p>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w:t>
      </w:r>
      <w:r>
        <w:rPr>
          <w:rFonts w:ascii="宋体" w:hAnsi="宋体" w:cs="宋体"/>
          <w:color w:val="000000"/>
          <w:sz w:val="24"/>
          <w:highlight w:val="none"/>
        </w:rPr>
        <w:t>3</w:t>
      </w:r>
      <w:r>
        <w:rPr>
          <w:rFonts w:hint="eastAsia" w:ascii="宋体" w:hAnsi="宋体" w:cs="宋体"/>
          <w:color w:val="000000"/>
          <w:sz w:val="24"/>
          <w:highlight w:val="none"/>
        </w:rPr>
        <w:t>）落实政府采购政策需满足的资格要求………………………………（页码）</w:t>
      </w:r>
    </w:p>
    <w:p>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w:t>
      </w:r>
      <w:r>
        <w:rPr>
          <w:rFonts w:ascii="宋体" w:hAnsi="宋体" w:cs="宋体"/>
          <w:color w:val="000000"/>
          <w:sz w:val="24"/>
          <w:highlight w:val="none"/>
        </w:rPr>
        <w:t>4</w:t>
      </w:r>
      <w:r>
        <w:rPr>
          <w:rFonts w:hint="eastAsia" w:ascii="宋体" w:hAnsi="宋体" w:cs="宋体"/>
          <w:color w:val="000000"/>
          <w:sz w:val="24"/>
          <w:highlight w:val="none"/>
        </w:rPr>
        <w:t>）本项目的特定资格要求………………………………………………（页码）</w:t>
      </w:r>
    </w:p>
    <w:p>
      <w:pPr>
        <w:snapToGrid w:val="0"/>
        <w:spacing w:line="360" w:lineRule="auto"/>
        <w:ind w:firstLine="480" w:firstLineChars="200"/>
        <w:rPr>
          <w:rFonts w:ascii="宋体" w:hAnsi="宋体" w:cs="宋体"/>
          <w:color w:val="000000"/>
          <w:sz w:val="24"/>
          <w:highlight w:val="none"/>
        </w:rPr>
      </w:pPr>
    </w:p>
    <w:p>
      <w:pPr>
        <w:spacing w:line="360" w:lineRule="auto"/>
        <w:ind w:firstLine="480" w:firstLineChars="200"/>
        <w:rPr>
          <w:rFonts w:ascii="宋体" w:hAnsi="宋体" w:cs="宋体"/>
          <w:color w:val="000000"/>
          <w:sz w:val="24"/>
          <w:highlight w:val="none"/>
        </w:rPr>
      </w:pPr>
    </w:p>
    <w:p>
      <w:pPr>
        <w:snapToGrid w:val="0"/>
        <w:spacing w:line="360" w:lineRule="auto"/>
        <w:ind w:right="480"/>
        <w:jc w:val="center"/>
        <w:rPr>
          <w:rFonts w:ascii="宋体" w:hAnsi="宋体" w:cs="宋体"/>
          <w:b/>
          <w:color w:val="000000"/>
          <w:kern w:val="0"/>
          <w:sz w:val="32"/>
          <w:szCs w:val="32"/>
          <w:highlight w:val="none"/>
        </w:rPr>
      </w:pPr>
      <w:r>
        <w:rPr>
          <w:rFonts w:hint="eastAsia" w:ascii="宋体" w:hAnsi="宋体" w:cs="宋体"/>
          <w:color w:val="000000"/>
          <w:kern w:val="0"/>
          <w:sz w:val="24"/>
          <w:highlight w:val="none"/>
        </w:rPr>
        <w:br w:type="page"/>
      </w:r>
      <w:r>
        <w:rPr>
          <w:rFonts w:hint="eastAsia" w:ascii="宋体" w:hAnsi="宋体" w:cs="宋体"/>
          <w:b/>
          <w:color w:val="000000"/>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（采购人）、（采购代理机构）：</w:t>
      </w:r>
    </w:p>
    <w:p>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我方参与（</w:t>
      </w:r>
      <w:r>
        <w:rPr>
          <w:rFonts w:hint="eastAsia" w:ascii="宋体" w:hAnsi="宋体" w:cs="宋体"/>
          <w:color w:val="000000"/>
          <w:sz w:val="24"/>
          <w:highlight w:val="none"/>
          <w:lang w:eastAsia="zh-CN"/>
        </w:rPr>
        <w:t>良渚消防站电力配电项目</w:t>
      </w:r>
      <w:r>
        <w:rPr>
          <w:rFonts w:hint="eastAsia" w:ascii="宋体" w:hAnsi="宋体" w:cs="宋体"/>
          <w:color w:val="000000"/>
          <w:sz w:val="24"/>
          <w:highlight w:val="none"/>
        </w:rPr>
        <w:t>）【招标编号：（</w:t>
      </w:r>
      <w:r>
        <w:rPr>
          <w:rFonts w:hint="eastAsia" w:ascii="宋体" w:hAnsi="宋体" w:cs="宋体"/>
          <w:color w:val="000000"/>
          <w:sz w:val="24"/>
          <w:highlight w:val="none"/>
          <w:lang w:eastAsia="zh-CN"/>
        </w:rPr>
        <w:t>HZHZCG2024-019</w:t>
      </w:r>
      <w:r>
        <w:rPr>
          <w:rFonts w:hint="eastAsia" w:ascii="宋体" w:hAnsi="宋体" w:cs="宋体"/>
          <w:color w:val="000000"/>
          <w:sz w:val="24"/>
          <w:highlight w:val="none"/>
        </w:rPr>
        <w:t>）】政府采购活动，郑重承诺：</w:t>
      </w:r>
    </w:p>
    <w:p>
      <w:pPr>
        <w:snapToGrid w:val="0"/>
        <w:spacing w:line="360" w:lineRule="auto"/>
        <w:ind w:firstLine="360" w:firstLineChars="150"/>
        <w:rPr>
          <w:rFonts w:ascii="宋体" w:hAnsi="宋体" w:cs="宋体"/>
          <w:color w:val="000000"/>
          <w:sz w:val="24"/>
          <w:highlight w:val="none"/>
        </w:rPr>
      </w:pPr>
      <w:r>
        <w:rPr>
          <w:rFonts w:hint="eastAsia" w:ascii="宋体" w:hAnsi="宋体" w:cs="宋体"/>
          <w:color w:val="000000"/>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1、具有独立承担民事责任的能力；</w:t>
      </w:r>
    </w:p>
    <w:p>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3、具有履行合同所必需的设备和专业技术能力；</w:t>
      </w:r>
    </w:p>
    <w:p>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4、有依法缴纳税收和社会保障资金的良好记录；</w:t>
      </w:r>
    </w:p>
    <w:p>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6、具有法律、行政法规规定的其他条件。</w:t>
      </w:r>
    </w:p>
    <w:p>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（三）不存在以下情况：</w:t>
      </w:r>
    </w:p>
    <w:p>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000000"/>
          <w:kern w:val="0"/>
          <w:sz w:val="24"/>
          <w:highlight w:val="none"/>
        </w:rPr>
      </w:pPr>
      <w:r>
        <w:rPr>
          <w:rFonts w:hint="eastAsia" w:ascii="宋体" w:hAnsi="宋体" w:cs="宋体"/>
          <w:color w:val="000000"/>
          <w:kern w:val="0"/>
          <w:sz w:val="24"/>
          <w:highlight w:val="none"/>
          <w:lang w:val="zh-CN"/>
        </w:rPr>
        <w:t>投标人名称(电子签名)：</w:t>
      </w:r>
    </w:p>
    <w:p>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lang w:val="zh-CN"/>
        </w:rPr>
        <w:t xml:space="preserve">                        </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日期</w:t>
      </w:r>
      <w:r>
        <w:rPr>
          <w:rFonts w:hint="eastAsia" w:ascii="宋体" w:hAnsi="宋体" w:cs="宋体"/>
          <w:color w:val="000000"/>
          <w:kern w:val="0"/>
          <w:sz w:val="24"/>
          <w:highlight w:val="none"/>
        </w:rPr>
        <w:t xml:space="preserve">：  年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w:t>
      </w:r>
    </w:p>
    <w:p>
      <w:pPr>
        <w:snapToGrid w:val="0"/>
        <w:spacing w:line="360" w:lineRule="auto"/>
        <w:ind w:right="480"/>
        <w:jc w:val="center"/>
        <w:rPr>
          <w:rFonts w:ascii="宋体" w:hAnsi="宋体" w:cs="宋体"/>
          <w:b/>
          <w:color w:val="000000"/>
          <w:kern w:val="0"/>
          <w:sz w:val="32"/>
          <w:szCs w:val="32"/>
          <w:highlight w:val="none"/>
        </w:rPr>
      </w:pPr>
    </w:p>
    <w:p>
      <w:pPr>
        <w:snapToGrid w:val="0"/>
        <w:spacing w:line="360" w:lineRule="auto"/>
        <w:ind w:right="480"/>
        <w:jc w:val="center"/>
        <w:rPr>
          <w:rFonts w:ascii="宋体" w:hAnsi="宋体" w:cs="宋体"/>
          <w:b/>
          <w:color w:val="000000"/>
          <w:kern w:val="0"/>
          <w:sz w:val="32"/>
          <w:szCs w:val="32"/>
          <w:highlight w:val="none"/>
        </w:rPr>
      </w:pPr>
    </w:p>
    <w:p>
      <w:pPr>
        <w:snapToGrid w:val="0"/>
        <w:spacing w:line="360" w:lineRule="auto"/>
        <w:ind w:right="480"/>
        <w:jc w:val="center"/>
        <w:rPr>
          <w:rFonts w:ascii="宋体" w:hAnsi="宋体" w:cs="宋体"/>
          <w:b/>
          <w:color w:val="000000"/>
          <w:kern w:val="0"/>
          <w:sz w:val="32"/>
          <w:szCs w:val="32"/>
          <w:highlight w:val="none"/>
        </w:rPr>
      </w:pPr>
    </w:p>
    <w:p>
      <w:pPr>
        <w:rPr>
          <w:rFonts w:ascii="宋体" w:hAnsi="宋体" w:cs="宋体"/>
          <w:color w:val="000000"/>
          <w:highlight w:val="none"/>
        </w:rPr>
      </w:pPr>
    </w:p>
    <w:p>
      <w:pPr>
        <w:snapToGrid w:val="0"/>
        <w:spacing w:line="360" w:lineRule="auto"/>
        <w:ind w:right="480"/>
        <w:jc w:val="center"/>
        <w:rPr>
          <w:rFonts w:ascii="宋体" w:hAnsi="宋体" w:cs="宋体"/>
          <w:b/>
          <w:color w:val="000000"/>
          <w:kern w:val="0"/>
          <w:sz w:val="32"/>
          <w:szCs w:val="32"/>
          <w:highlight w:val="none"/>
        </w:rPr>
      </w:pPr>
    </w:p>
    <w:p>
      <w:pPr>
        <w:snapToGrid w:val="0"/>
        <w:spacing w:line="360" w:lineRule="auto"/>
        <w:ind w:right="480"/>
        <w:jc w:val="center"/>
        <w:rPr>
          <w:rFonts w:ascii="宋体" w:hAnsi="宋体" w:cs="宋体"/>
          <w:b/>
          <w:color w:val="000000"/>
          <w:kern w:val="0"/>
          <w:sz w:val="32"/>
          <w:szCs w:val="32"/>
          <w:highlight w:val="none"/>
        </w:rPr>
      </w:pPr>
    </w:p>
    <w:p>
      <w:pPr>
        <w:snapToGrid w:val="0"/>
        <w:spacing w:line="360" w:lineRule="auto"/>
        <w:ind w:right="480"/>
        <w:jc w:val="center"/>
        <w:rPr>
          <w:rFonts w:ascii="宋体" w:hAnsi="宋体" w:cs="宋体"/>
          <w:b/>
          <w:color w:val="000000"/>
          <w:kern w:val="0"/>
          <w:sz w:val="32"/>
          <w:szCs w:val="32"/>
          <w:highlight w:val="none"/>
        </w:rPr>
      </w:pPr>
    </w:p>
    <w:p>
      <w:pPr>
        <w:widowControl/>
        <w:adjustRightInd/>
        <w:jc w:val="left"/>
        <w:rPr>
          <w:rFonts w:ascii="宋体" w:hAnsi="宋体" w:cs="宋体"/>
          <w:b/>
          <w:color w:val="000000"/>
          <w:kern w:val="0"/>
          <w:sz w:val="32"/>
          <w:szCs w:val="32"/>
          <w:highlight w:val="none"/>
        </w:rPr>
      </w:pPr>
      <w:r>
        <w:rPr>
          <w:rFonts w:ascii="宋体" w:hAnsi="宋体" w:cs="宋体"/>
          <w:b/>
          <w:color w:val="000000"/>
          <w:kern w:val="0"/>
          <w:sz w:val="32"/>
          <w:szCs w:val="32"/>
          <w:highlight w:val="none"/>
        </w:rPr>
        <w:br w:type="page"/>
      </w:r>
    </w:p>
    <w:p>
      <w:pPr>
        <w:widowControl/>
        <w:spacing w:line="360" w:lineRule="auto"/>
        <w:ind w:firstLine="643" w:firstLineChars="200"/>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二、联合协议（如果有）</w:t>
      </w:r>
    </w:p>
    <w:p>
      <w:pPr>
        <w:widowControl/>
        <w:spacing w:line="360" w:lineRule="auto"/>
        <w:ind w:firstLine="482" w:firstLineChars="200"/>
        <w:jc w:val="left"/>
        <w:rPr>
          <w:rFonts w:ascii="宋体" w:hAnsi="宋体" w:cs="宋体"/>
          <w:b/>
          <w:color w:val="000000"/>
          <w:sz w:val="24"/>
          <w:highlight w:val="none"/>
        </w:rPr>
      </w:pPr>
      <w:r>
        <w:rPr>
          <w:rFonts w:hint="eastAsia" w:ascii="宋体" w:hAnsi="宋体" w:cs="宋体"/>
          <w:b/>
          <w:color w:val="000000"/>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000000"/>
          <w:kern w:val="0"/>
          <w:sz w:val="32"/>
          <w:szCs w:val="32"/>
          <w:highlight w:val="none"/>
        </w:rPr>
      </w:pPr>
    </w:p>
    <w:p>
      <w:pPr>
        <w:snapToGrid w:val="0"/>
        <w:spacing w:line="360" w:lineRule="auto"/>
        <w:ind w:right="480"/>
        <w:jc w:val="center"/>
        <w:rPr>
          <w:rFonts w:ascii="宋体" w:hAnsi="宋体" w:cs="宋体"/>
          <w:b/>
          <w:color w:val="000000"/>
          <w:kern w:val="0"/>
          <w:sz w:val="32"/>
          <w:szCs w:val="32"/>
          <w:highlight w:val="none"/>
        </w:rPr>
      </w:pPr>
    </w:p>
    <w:p>
      <w:pPr>
        <w:snapToGrid w:val="0"/>
        <w:spacing w:line="360" w:lineRule="auto"/>
        <w:ind w:right="480"/>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三、落实政府采购政策需满足的资格要求</w:t>
      </w:r>
    </w:p>
    <w:p>
      <w:pPr>
        <w:spacing w:line="360" w:lineRule="auto"/>
        <w:rPr>
          <w:rFonts w:ascii="宋体" w:hAnsi="宋体" w:cs="宋体"/>
          <w:color w:val="000000"/>
          <w:sz w:val="24"/>
          <w:highlight w:val="none"/>
        </w:rPr>
      </w:pPr>
      <w:r>
        <w:rPr>
          <w:rFonts w:hint="eastAsia" w:ascii="宋体" w:hAnsi="宋体" w:cs="宋体"/>
          <w:color w:val="000000"/>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000000"/>
          <w:sz w:val="24"/>
          <w:highlight w:val="none"/>
        </w:rPr>
      </w:pPr>
      <w:r>
        <w:rPr>
          <w:rFonts w:hint="eastAsia" w:ascii="宋体" w:hAnsi="宋体" w:cs="宋体"/>
          <w:b/>
          <w:color w:val="000000"/>
          <w:sz w:val="24"/>
          <w:highlight w:val="none"/>
        </w:rPr>
        <w:t>A</w:t>
      </w:r>
      <w:r>
        <w:rPr>
          <w:rFonts w:hint="eastAsia" w:ascii="宋体" w:hAnsi="宋体" w:cs="宋体"/>
          <w:color w:val="000000"/>
          <w:sz w:val="24"/>
          <w:highlight w:val="none"/>
        </w:rPr>
        <w:t>.专门面向中小企业，服务全部由符合政策要求的中小企业（或小微企业）承接的，提供相应的中小企业声明函（附件</w:t>
      </w:r>
      <w:r>
        <w:rPr>
          <w:rFonts w:ascii="宋体" w:hAnsi="宋体" w:cs="宋体"/>
          <w:color w:val="000000"/>
          <w:sz w:val="24"/>
          <w:highlight w:val="none"/>
        </w:rPr>
        <w:t>7</w:t>
      </w:r>
      <w:r>
        <w:rPr>
          <w:rFonts w:hint="eastAsia" w:ascii="宋体" w:hAnsi="宋体" w:cs="宋体"/>
          <w:color w:val="000000"/>
          <w:sz w:val="24"/>
          <w:highlight w:val="none"/>
        </w:rPr>
        <w:t xml:space="preserve">）。 </w:t>
      </w:r>
    </w:p>
    <w:p>
      <w:pPr>
        <w:widowControl/>
        <w:spacing w:line="360" w:lineRule="auto"/>
        <w:ind w:firstLine="480"/>
        <w:jc w:val="left"/>
        <w:rPr>
          <w:rFonts w:ascii="宋体" w:hAnsi="宋体" w:cs="宋体"/>
          <w:color w:val="000000"/>
          <w:sz w:val="24"/>
          <w:highlight w:val="none"/>
        </w:rPr>
      </w:pPr>
    </w:p>
    <w:p>
      <w:pPr>
        <w:widowControl/>
        <w:spacing w:line="360" w:lineRule="auto"/>
        <w:ind w:firstLine="472" w:firstLineChars="196"/>
        <w:jc w:val="left"/>
        <w:rPr>
          <w:rFonts w:ascii="宋体" w:hAnsi="宋体" w:cs="宋体"/>
          <w:color w:val="000000"/>
          <w:sz w:val="24"/>
          <w:highlight w:val="none"/>
        </w:rPr>
      </w:pPr>
      <w:r>
        <w:rPr>
          <w:rFonts w:hint="eastAsia" w:ascii="宋体" w:hAnsi="宋体" w:cs="宋体"/>
          <w:b/>
          <w:color w:val="000000"/>
          <w:sz w:val="24"/>
          <w:highlight w:val="none"/>
        </w:rPr>
        <w:t>B.</w:t>
      </w:r>
      <w:r>
        <w:rPr>
          <w:rFonts w:hint="eastAsia" w:ascii="宋体" w:hAnsi="宋体" w:cs="宋体"/>
          <w:color w:val="000000"/>
          <w:sz w:val="24"/>
          <w:highlight w:val="none"/>
        </w:rPr>
        <w:t>要求以联合体形式参加的，提供联合协议（附件</w:t>
      </w:r>
      <w:r>
        <w:rPr>
          <w:rFonts w:ascii="宋体" w:hAnsi="宋体" w:cs="宋体"/>
          <w:color w:val="000000"/>
          <w:sz w:val="24"/>
          <w:highlight w:val="none"/>
        </w:rPr>
        <w:t>5</w:t>
      </w:r>
      <w:r>
        <w:rPr>
          <w:rFonts w:hint="eastAsia" w:ascii="宋体" w:hAnsi="宋体" w:cs="宋体"/>
          <w:color w:val="000000"/>
          <w:sz w:val="24"/>
          <w:highlight w:val="none"/>
        </w:rPr>
        <w:t>）和中小企业声明函（附件</w:t>
      </w:r>
      <w:r>
        <w:rPr>
          <w:rFonts w:ascii="宋体" w:hAnsi="宋体" w:cs="宋体"/>
          <w:color w:val="000000"/>
          <w:sz w:val="24"/>
          <w:highlight w:val="none"/>
        </w:rPr>
        <w:t>7</w:t>
      </w:r>
      <w:r>
        <w:rPr>
          <w:rFonts w:hint="eastAsia" w:ascii="宋体" w:hAnsi="宋体" w:cs="宋体"/>
          <w:color w:val="000000"/>
          <w:sz w:val="24"/>
          <w:highlight w:val="none"/>
        </w:rPr>
        <w:t>），联合协议中中小企业合同金额应当达到招标公告载明的比例；如果供应商本身提供所有标的均由中小企业承接的，</w:t>
      </w:r>
      <w:r>
        <w:rPr>
          <w:rFonts w:hint="eastAsia" w:ascii="宋体" w:hAnsi="宋体" w:cs="宋体"/>
          <w:color w:val="000000"/>
          <w:spacing w:val="8"/>
          <w:kern w:val="0"/>
          <w:sz w:val="24"/>
          <w:highlight w:val="none"/>
        </w:rPr>
        <w:t>并相应达到了前述比例要求，</w:t>
      </w:r>
      <w:r>
        <w:rPr>
          <w:rFonts w:hint="eastAsia" w:ascii="宋体" w:hAnsi="宋体" w:cs="宋体"/>
          <w:color w:val="000000"/>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000000"/>
          <w:sz w:val="24"/>
          <w:highlight w:val="none"/>
        </w:rPr>
      </w:pPr>
      <w:r>
        <w:rPr>
          <w:rFonts w:hint="eastAsia" w:ascii="宋体" w:hAnsi="宋体" w:cs="宋体"/>
          <w:b/>
          <w:color w:val="000000"/>
          <w:sz w:val="24"/>
          <w:highlight w:val="none"/>
        </w:rPr>
        <w:t xml:space="preserve">    </w:t>
      </w:r>
    </w:p>
    <w:p>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C、</w:t>
      </w:r>
      <w:r>
        <w:rPr>
          <w:rFonts w:hint="eastAsia" w:ascii="宋体" w:hAnsi="宋体" w:cs="宋体"/>
          <w:color w:val="000000"/>
          <w:sz w:val="24"/>
          <w:highlight w:val="none"/>
        </w:rPr>
        <w:t>要求合同分包的，提供分包意向协议（附件6）和中小企业声明函（附件</w:t>
      </w:r>
      <w:r>
        <w:rPr>
          <w:rFonts w:ascii="宋体" w:hAnsi="宋体" w:cs="宋体"/>
          <w:color w:val="000000"/>
          <w:sz w:val="24"/>
          <w:highlight w:val="none"/>
        </w:rPr>
        <w:t>7</w:t>
      </w:r>
      <w:r>
        <w:rPr>
          <w:rFonts w:hint="eastAsia" w:ascii="宋体" w:hAnsi="宋体" w:cs="宋体"/>
          <w:color w:val="000000"/>
          <w:sz w:val="24"/>
          <w:highlight w:val="none"/>
        </w:rPr>
        <w:t>），分包意向协议中中小企业合同金额应当达到招标公告载明的比例；如果供应商本身提供所有标的均由中小企业承接的，</w:t>
      </w:r>
      <w:r>
        <w:rPr>
          <w:rFonts w:hint="eastAsia" w:ascii="宋体" w:hAnsi="宋体" w:cs="宋体"/>
          <w:color w:val="000000"/>
          <w:spacing w:val="8"/>
          <w:kern w:val="0"/>
          <w:sz w:val="24"/>
          <w:highlight w:val="none"/>
        </w:rPr>
        <w:t>并相应达到了前述比例要求，</w:t>
      </w:r>
      <w:r>
        <w:rPr>
          <w:rFonts w:hint="eastAsia" w:ascii="宋体" w:hAnsi="宋体" w:cs="宋体"/>
          <w:color w:val="000000"/>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000000"/>
          <w:kern w:val="0"/>
          <w:sz w:val="32"/>
          <w:szCs w:val="32"/>
          <w:highlight w:val="none"/>
        </w:rPr>
      </w:pPr>
    </w:p>
    <w:p>
      <w:pPr>
        <w:widowControl/>
        <w:spacing w:line="360" w:lineRule="auto"/>
        <w:ind w:left="150"/>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四、本项目的特定资格要求</w:t>
      </w:r>
    </w:p>
    <w:p>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（根据招标公告本项目的特定资格要求提供相应的材料；未要求的，无需提供）</w:t>
      </w:r>
    </w:p>
    <w:p>
      <w:pPr>
        <w:rPr>
          <w:rFonts w:ascii="宋体" w:hAnsi="宋体" w:cs="宋体"/>
          <w:color w:val="000000"/>
          <w:highlight w:val="none"/>
        </w:rPr>
      </w:pPr>
    </w:p>
    <w:p>
      <w:pPr>
        <w:snapToGrid w:val="0"/>
        <w:spacing w:line="360" w:lineRule="auto"/>
        <w:ind w:right="480"/>
        <w:jc w:val="center"/>
        <w:rPr>
          <w:rFonts w:ascii="宋体" w:hAnsi="宋体" w:cs="宋体"/>
          <w:b/>
          <w:color w:val="000000"/>
          <w:kern w:val="0"/>
          <w:sz w:val="32"/>
          <w:szCs w:val="32"/>
          <w:highlight w:val="none"/>
        </w:rPr>
      </w:pPr>
    </w:p>
    <w:p>
      <w:pPr>
        <w:widowControl/>
        <w:adjustRightInd/>
        <w:jc w:val="left"/>
        <w:rPr>
          <w:rFonts w:ascii="宋体" w:hAnsi="宋体" w:cs="宋体"/>
          <w:b/>
          <w:color w:val="000000"/>
          <w:kern w:val="0"/>
          <w:sz w:val="36"/>
          <w:szCs w:val="36"/>
          <w:highlight w:val="none"/>
        </w:rPr>
      </w:pPr>
      <w:r>
        <w:rPr>
          <w:rFonts w:ascii="宋体" w:hAnsi="宋体" w:cs="宋体"/>
          <w:b/>
          <w:color w:val="000000"/>
          <w:kern w:val="0"/>
          <w:sz w:val="36"/>
          <w:szCs w:val="36"/>
          <w:highlight w:val="none"/>
        </w:rPr>
        <w:br w:type="page"/>
      </w:r>
    </w:p>
    <w:p>
      <w:pPr>
        <w:spacing w:line="360" w:lineRule="auto"/>
        <w:ind w:right="420" w:firstLine="3614" w:firstLineChars="1000"/>
        <w:rPr>
          <w:rFonts w:ascii="宋体" w:hAnsi="宋体" w:cs="宋体"/>
          <w:b/>
          <w:color w:val="000000"/>
          <w:kern w:val="0"/>
          <w:sz w:val="36"/>
          <w:szCs w:val="36"/>
          <w:highlight w:val="none"/>
        </w:rPr>
      </w:pPr>
      <w:r>
        <w:rPr>
          <w:rFonts w:hint="eastAsia" w:ascii="宋体" w:hAnsi="宋体" w:cs="宋体"/>
          <w:b/>
          <w:color w:val="000000"/>
          <w:kern w:val="0"/>
          <w:sz w:val="36"/>
          <w:szCs w:val="36"/>
          <w:highlight w:val="none"/>
        </w:rPr>
        <w:t>商务技术文件部分</w:t>
      </w:r>
    </w:p>
    <w:p>
      <w:pPr>
        <w:spacing w:line="360" w:lineRule="auto"/>
        <w:jc w:val="center"/>
        <w:outlineLvl w:val="0"/>
        <w:rPr>
          <w:rFonts w:ascii="宋体" w:hAnsi="宋体" w:cs="宋体"/>
          <w:b/>
          <w:color w:val="000000"/>
          <w:kern w:val="0"/>
          <w:sz w:val="24"/>
          <w:highlight w:val="none"/>
        </w:rPr>
      </w:pPr>
    </w:p>
    <w:p>
      <w:pPr>
        <w:spacing w:line="360" w:lineRule="auto"/>
        <w:jc w:val="center"/>
        <w:outlineLvl w:val="0"/>
        <w:rPr>
          <w:rFonts w:ascii="宋体" w:hAnsi="宋体" w:cs="宋体"/>
          <w:b/>
          <w:color w:val="000000"/>
          <w:kern w:val="0"/>
          <w:sz w:val="28"/>
          <w:szCs w:val="28"/>
          <w:highlight w:val="none"/>
        </w:rPr>
      </w:pPr>
      <w:r>
        <w:rPr>
          <w:rFonts w:hint="eastAsia" w:ascii="宋体" w:hAnsi="宋体" w:cs="宋体"/>
          <w:b/>
          <w:color w:val="000000"/>
          <w:kern w:val="0"/>
          <w:sz w:val="28"/>
          <w:szCs w:val="28"/>
          <w:highlight w:val="none"/>
        </w:rPr>
        <w:t>目录</w:t>
      </w:r>
    </w:p>
    <w:p>
      <w:pPr>
        <w:snapToGrid w:val="0"/>
        <w:spacing w:line="360" w:lineRule="auto"/>
        <w:ind w:left="479" w:leftChars="228"/>
        <w:rPr>
          <w:rFonts w:ascii="宋体" w:hAnsi="宋体" w:cs="宋体"/>
          <w:color w:val="000000"/>
          <w:highlight w:val="none"/>
        </w:rPr>
      </w:pPr>
      <w:r>
        <w:rPr>
          <w:rFonts w:hint="eastAsia" w:ascii="宋体" w:hAnsi="宋体" w:cs="宋体"/>
          <w:color w:val="000000"/>
          <w:sz w:val="24"/>
          <w:highlight w:val="none"/>
        </w:rPr>
        <w:t>（1）投标函</w:t>
      </w:r>
      <w:r>
        <w:rPr>
          <w:rFonts w:hint="eastAsia" w:ascii="宋体" w:hAnsi="宋体" w:cs="宋体"/>
          <w:color w:val="000000"/>
          <w:highlight w:val="none"/>
        </w:rPr>
        <w:t>…………………………………………………………………………………（页码）</w:t>
      </w:r>
      <w:r>
        <w:rPr>
          <w:rFonts w:hint="eastAsia" w:ascii="宋体" w:hAnsi="宋体" w:cs="宋体"/>
          <w:color w:val="000000"/>
          <w:sz w:val="24"/>
          <w:highlight w:val="none"/>
        </w:rPr>
        <w:t>（2）授权委托书或法定代表人（单位负责人、自然人本人）身份证明</w:t>
      </w:r>
      <w:r>
        <w:rPr>
          <w:rFonts w:hint="eastAsia" w:ascii="宋体" w:hAnsi="宋体" w:cs="宋体"/>
          <w:color w:val="000000"/>
          <w:highlight w:val="none"/>
        </w:rPr>
        <w:t>………（页码）</w:t>
      </w:r>
    </w:p>
    <w:p>
      <w:pPr>
        <w:snapToGrid w:val="0"/>
        <w:spacing w:line="360" w:lineRule="auto"/>
        <w:ind w:left="479" w:leftChars="228"/>
        <w:rPr>
          <w:rFonts w:ascii="宋体" w:hAnsi="宋体" w:cs="宋体"/>
          <w:color w:val="000000"/>
          <w:highlight w:val="none"/>
        </w:rPr>
      </w:pPr>
      <w:r>
        <w:rPr>
          <w:rFonts w:hint="eastAsia" w:ascii="宋体" w:hAnsi="宋体" w:cs="宋体"/>
          <w:color w:val="000000"/>
          <w:sz w:val="24"/>
          <w:highlight w:val="none"/>
        </w:rPr>
        <w:t>（</w:t>
      </w:r>
      <w:r>
        <w:rPr>
          <w:rFonts w:ascii="宋体" w:hAnsi="宋体" w:cs="宋体"/>
          <w:color w:val="000000"/>
          <w:sz w:val="24"/>
          <w:highlight w:val="none"/>
        </w:rPr>
        <w:t>3</w:t>
      </w:r>
      <w:r>
        <w:rPr>
          <w:rFonts w:hint="eastAsia" w:ascii="宋体" w:hAnsi="宋体" w:cs="宋体"/>
          <w:color w:val="000000"/>
          <w:sz w:val="24"/>
          <w:highlight w:val="none"/>
        </w:rPr>
        <w:t>）分包意向协议</w:t>
      </w:r>
      <w:r>
        <w:rPr>
          <w:rFonts w:hint="eastAsia" w:ascii="宋体" w:hAnsi="宋体" w:cs="宋体"/>
          <w:color w:val="000000"/>
          <w:highlight w:val="none"/>
        </w:rPr>
        <w:t>…………………………………………………………………………（页码）</w:t>
      </w:r>
    </w:p>
    <w:p>
      <w:pPr>
        <w:snapToGrid w:val="0"/>
        <w:spacing w:line="360" w:lineRule="auto"/>
        <w:ind w:firstLine="480" w:firstLineChars="200"/>
        <w:rPr>
          <w:rFonts w:ascii="宋体" w:hAnsi="宋体" w:cs="宋体"/>
          <w:color w:val="000000"/>
          <w:highlight w:val="none"/>
        </w:rPr>
      </w:pPr>
      <w:r>
        <w:rPr>
          <w:rFonts w:hint="eastAsia" w:ascii="宋体" w:hAnsi="宋体" w:cs="宋体"/>
          <w:color w:val="000000"/>
          <w:sz w:val="24"/>
          <w:highlight w:val="none"/>
        </w:rPr>
        <w:t>（</w:t>
      </w:r>
      <w:r>
        <w:rPr>
          <w:rFonts w:ascii="宋体" w:hAnsi="宋体" w:cs="宋体"/>
          <w:color w:val="000000"/>
          <w:sz w:val="24"/>
          <w:highlight w:val="none"/>
        </w:rPr>
        <w:t>4</w:t>
      </w:r>
      <w:r>
        <w:rPr>
          <w:rFonts w:hint="eastAsia" w:ascii="宋体" w:hAnsi="宋体" w:cs="宋体"/>
          <w:color w:val="000000"/>
          <w:sz w:val="24"/>
          <w:highlight w:val="none"/>
        </w:rPr>
        <w:t>）符合性审查资料</w:t>
      </w:r>
      <w:r>
        <w:rPr>
          <w:rFonts w:hint="eastAsia" w:ascii="宋体" w:hAnsi="宋体" w:cs="宋体"/>
          <w:color w:val="000000"/>
          <w:highlight w:val="none"/>
        </w:rPr>
        <w:t>………………………………………………………………………（页码）</w:t>
      </w:r>
    </w:p>
    <w:p>
      <w:pPr>
        <w:snapToGrid w:val="0"/>
        <w:spacing w:line="360" w:lineRule="auto"/>
        <w:ind w:left="479" w:leftChars="228"/>
        <w:rPr>
          <w:rFonts w:ascii="宋体" w:hAnsi="宋体" w:cs="宋体"/>
          <w:color w:val="000000"/>
          <w:highlight w:val="none"/>
        </w:rPr>
      </w:pPr>
      <w:r>
        <w:rPr>
          <w:rFonts w:hint="eastAsia" w:ascii="宋体" w:hAnsi="宋体" w:cs="宋体"/>
          <w:color w:val="000000"/>
          <w:sz w:val="24"/>
          <w:highlight w:val="none"/>
        </w:rPr>
        <w:t>（</w:t>
      </w:r>
      <w:r>
        <w:rPr>
          <w:rFonts w:ascii="宋体" w:hAnsi="宋体" w:cs="宋体"/>
          <w:color w:val="000000"/>
          <w:sz w:val="24"/>
          <w:highlight w:val="none"/>
        </w:rPr>
        <w:t>5</w:t>
      </w:r>
      <w:r>
        <w:rPr>
          <w:rFonts w:hint="eastAsia" w:ascii="宋体" w:hAnsi="宋体" w:cs="宋体"/>
          <w:color w:val="000000"/>
          <w:sz w:val="24"/>
          <w:highlight w:val="none"/>
        </w:rPr>
        <w:t>）评标标准相应的商务技术资料</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……………（页码）</w:t>
      </w:r>
      <w:r>
        <w:rPr>
          <w:rFonts w:hint="eastAsia" w:ascii="宋体" w:hAnsi="宋体" w:cs="宋体"/>
          <w:color w:val="000000"/>
          <w:sz w:val="24"/>
          <w:highlight w:val="none"/>
        </w:rPr>
        <w:t>（</w:t>
      </w:r>
      <w:r>
        <w:rPr>
          <w:rFonts w:ascii="宋体" w:hAnsi="宋体" w:cs="宋体"/>
          <w:color w:val="000000"/>
          <w:sz w:val="24"/>
          <w:highlight w:val="none"/>
        </w:rPr>
        <w:t>6</w:t>
      </w:r>
      <w:r>
        <w:rPr>
          <w:rFonts w:hint="eastAsia" w:ascii="宋体" w:hAnsi="宋体" w:cs="宋体"/>
          <w:color w:val="000000"/>
          <w:sz w:val="24"/>
          <w:highlight w:val="none"/>
        </w:rPr>
        <w:t>）投标标的清单</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……………（页码）</w:t>
      </w:r>
      <w:r>
        <w:rPr>
          <w:rFonts w:hint="eastAsia" w:ascii="宋体" w:hAnsi="宋体" w:cs="宋体"/>
          <w:color w:val="000000"/>
          <w:sz w:val="24"/>
          <w:highlight w:val="none"/>
        </w:rPr>
        <w:t>（</w:t>
      </w:r>
      <w:r>
        <w:rPr>
          <w:rFonts w:ascii="宋体" w:hAnsi="宋体" w:cs="宋体"/>
          <w:color w:val="000000"/>
          <w:sz w:val="24"/>
          <w:highlight w:val="none"/>
        </w:rPr>
        <w:t>7</w:t>
      </w:r>
      <w:r>
        <w:rPr>
          <w:rFonts w:hint="eastAsia" w:ascii="宋体" w:hAnsi="宋体" w:cs="宋体"/>
          <w:color w:val="000000"/>
          <w:sz w:val="24"/>
          <w:highlight w:val="none"/>
        </w:rPr>
        <w:t>）商务技术偏离表</w:t>
      </w:r>
      <w:r>
        <w:rPr>
          <w:rFonts w:hint="eastAsia" w:ascii="宋体" w:hAnsi="宋体" w:cs="宋体"/>
          <w:color w:val="000000"/>
          <w:highlight w:val="none"/>
        </w:rPr>
        <w:t>………………………………………………………………………（页码）</w:t>
      </w:r>
    </w:p>
    <w:p>
      <w:pPr>
        <w:snapToGrid w:val="0"/>
        <w:spacing w:line="360" w:lineRule="auto"/>
        <w:ind w:left="479" w:leftChars="228"/>
        <w:rPr>
          <w:rFonts w:ascii="宋体" w:hAnsi="宋体" w:cs="宋体"/>
          <w:color w:val="000000"/>
          <w:highlight w:val="none"/>
        </w:rPr>
      </w:pPr>
      <w:r>
        <w:rPr>
          <w:rFonts w:hint="eastAsia" w:ascii="宋体" w:hAnsi="宋体" w:cs="宋体"/>
          <w:color w:val="000000"/>
          <w:sz w:val="24"/>
          <w:highlight w:val="none"/>
          <w:lang w:val="zh-CN"/>
        </w:rPr>
        <w:t>（</w:t>
      </w:r>
      <w:r>
        <w:rPr>
          <w:rFonts w:ascii="宋体" w:hAnsi="宋体" w:cs="宋体"/>
          <w:color w:val="000000"/>
          <w:sz w:val="24"/>
          <w:highlight w:val="none"/>
        </w:rPr>
        <w:t>8</w:t>
      </w:r>
      <w:r>
        <w:rPr>
          <w:rFonts w:hint="eastAsia" w:ascii="宋体" w:hAnsi="宋体" w:cs="宋体"/>
          <w:color w:val="000000"/>
          <w:sz w:val="24"/>
          <w:highlight w:val="none"/>
          <w:lang w:val="zh-CN"/>
        </w:rPr>
        <w:t>）政府采购供应商廉洁自律承诺书</w:t>
      </w:r>
      <w:r>
        <w:rPr>
          <w:rFonts w:hint="eastAsia" w:ascii="宋体" w:hAnsi="宋体" w:cs="宋体"/>
          <w:color w:val="000000"/>
          <w:highlight w:val="none"/>
        </w:rPr>
        <w:t>…………………………………………………（页码）</w:t>
      </w:r>
    </w:p>
    <w:p>
      <w:pPr>
        <w:snapToGrid w:val="0"/>
        <w:spacing w:line="360" w:lineRule="auto"/>
        <w:jc w:val="center"/>
        <w:rPr>
          <w:rFonts w:ascii="宋体" w:hAnsi="宋体" w:cs="宋体"/>
          <w:b/>
          <w:color w:val="000000"/>
          <w:kern w:val="0"/>
          <w:sz w:val="32"/>
          <w:szCs w:val="32"/>
          <w:highlight w:val="none"/>
          <w:lang w:val="zh-CN"/>
        </w:rPr>
      </w:pPr>
    </w:p>
    <w:p>
      <w:pPr>
        <w:snapToGrid w:val="0"/>
        <w:spacing w:line="360" w:lineRule="auto"/>
        <w:jc w:val="center"/>
        <w:rPr>
          <w:rFonts w:ascii="宋体" w:hAnsi="宋体" w:cs="宋体"/>
          <w:b/>
          <w:color w:val="000000"/>
          <w:kern w:val="0"/>
          <w:sz w:val="32"/>
          <w:szCs w:val="32"/>
          <w:highlight w:val="none"/>
          <w:lang w:val="zh-CN"/>
        </w:rPr>
      </w:pPr>
    </w:p>
    <w:p>
      <w:pPr>
        <w:snapToGrid w:val="0"/>
        <w:spacing w:line="360" w:lineRule="auto"/>
        <w:jc w:val="center"/>
        <w:rPr>
          <w:rFonts w:ascii="宋体" w:hAnsi="宋体" w:cs="宋体"/>
          <w:b/>
          <w:color w:val="000000"/>
          <w:kern w:val="0"/>
          <w:sz w:val="32"/>
          <w:szCs w:val="32"/>
          <w:highlight w:val="none"/>
          <w:lang w:val="zh-CN"/>
        </w:rPr>
      </w:pPr>
    </w:p>
    <w:p>
      <w:pPr>
        <w:snapToGrid w:val="0"/>
        <w:spacing w:line="360" w:lineRule="auto"/>
        <w:jc w:val="center"/>
        <w:rPr>
          <w:rFonts w:ascii="宋体" w:hAnsi="宋体" w:cs="宋体"/>
          <w:b/>
          <w:color w:val="000000"/>
          <w:kern w:val="0"/>
          <w:sz w:val="32"/>
          <w:szCs w:val="32"/>
          <w:highlight w:val="none"/>
          <w:lang w:val="zh-CN"/>
        </w:rPr>
      </w:pPr>
    </w:p>
    <w:p>
      <w:pPr>
        <w:snapToGrid w:val="0"/>
        <w:spacing w:line="360" w:lineRule="auto"/>
        <w:jc w:val="center"/>
        <w:rPr>
          <w:rFonts w:ascii="宋体" w:hAnsi="宋体" w:cs="宋体"/>
          <w:b/>
          <w:color w:val="000000"/>
          <w:kern w:val="0"/>
          <w:sz w:val="32"/>
          <w:szCs w:val="32"/>
          <w:highlight w:val="none"/>
          <w:lang w:val="zh-CN"/>
        </w:rPr>
      </w:pPr>
    </w:p>
    <w:p>
      <w:pPr>
        <w:snapToGrid w:val="0"/>
        <w:spacing w:line="360" w:lineRule="auto"/>
        <w:jc w:val="center"/>
        <w:rPr>
          <w:rFonts w:ascii="宋体" w:hAnsi="宋体" w:cs="宋体"/>
          <w:b/>
          <w:color w:val="000000"/>
          <w:kern w:val="0"/>
          <w:sz w:val="32"/>
          <w:szCs w:val="32"/>
          <w:highlight w:val="none"/>
          <w:lang w:val="zh-CN"/>
        </w:rPr>
      </w:pPr>
    </w:p>
    <w:p>
      <w:pPr>
        <w:snapToGrid w:val="0"/>
        <w:spacing w:line="360" w:lineRule="auto"/>
        <w:jc w:val="center"/>
        <w:rPr>
          <w:rFonts w:ascii="宋体" w:hAnsi="宋体" w:cs="宋体"/>
          <w:b/>
          <w:color w:val="000000"/>
          <w:kern w:val="0"/>
          <w:sz w:val="32"/>
          <w:szCs w:val="32"/>
          <w:highlight w:val="none"/>
          <w:lang w:val="zh-CN"/>
        </w:rPr>
      </w:pPr>
    </w:p>
    <w:p>
      <w:pPr>
        <w:snapToGrid w:val="0"/>
        <w:spacing w:line="360" w:lineRule="auto"/>
        <w:jc w:val="center"/>
        <w:rPr>
          <w:rFonts w:ascii="宋体" w:hAnsi="宋体" w:cs="宋体"/>
          <w:b/>
          <w:color w:val="000000"/>
          <w:kern w:val="0"/>
          <w:sz w:val="32"/>
          <w:szCs w:val="32"/>
          <w:highlight w:val="none"/>
          <w:lang w:val="zh-CN"/>
        </w:rPr>
      </w:pPr>
    </w:p>
    <w:p>
      <w:pPr>
        <w:snapToGrid w:val="0"/>
        <w:spacing w:line="360" w:lineRule="auto"/>
        <w:jc w:val="center"/>
        <w:rPr>
          <w:rFonts w:ascii="宋体" w:hAnsi="宋体" w:cs="宋体"/>
          <w:b/>
          <w:color w:val="000000"/>
          <w:kern w:val="0"/>
          <w:sz w:val="32"/>
          <w:szCs w:val="32"/>
          <w:highlight w:val="none"/>
          <w:lang w:val="zh-CN"/>
        </w:rPr>
      </w:pPr>
    </w:p>
    <w:p>
      <w:pPr>
        <w:snapToGrid w:val="0"/>
        <w:spacing w:line="360" w:lineRule="auto"/>
        <w:jc w:val="center"/>
        <w:rPr>
          <w:rFonts w:ascii="宋体" w:hAnsi="宋体" w:cs="宋体"/>
          <w:b/>
          <w:color w:val="000000"/>
          <w:kern w:val="0"/>
          <w:sz w:val="32"/>
          <w:szCs w:val="32"/>
          <w:highlight w:val="none"/>
          <w:lang w:val="zh-CN"/>
        </w:rPr>
      </w:pPr>
    </w:p>
    <w:p>
      <w:pPr>
        <w:snapToGrid w:val="0"/>
        <w:spacing w:line="360" w:lineRule="auto"/>
        <w:jc w:val="center"/>
        <w:rPr>
          <w:rFonts w:ascii="宋体" w:hAnsi="宋体" w:cs="宋体"/>
          <w:b/>
          <w:color w:val="000000"/>
          <w:kern w:val="0"/>
          <w:sz w:val="32"/>
          <w:szCs w:val="32"/>
          <w:highlight w:val="none"/>
          <w:lang w:val="zh-CN"/>
        </w:rPr>
      </w:pPr>
    </w:p>
    <w:p>
      <w:pPr>
        <w:snapToGrid w:val="0"/>
        <w:spacing w:line="360" w:lineRule="auto"/>
        <w:jc w:val="center"/>
        <w:rPr>
          <w:rFonts w:ascii="宋体" w:hAnsi="宋体" w:cs="宋体"/>
          <w:b/>
          <w:color w:val="000000"/>
          <w:kern w:val="0"/>
          <w:sz w:val="32"/>
          <w:szCs w:val="32"/>
          <w:highlight w:val="none"/>
          <w:lang w:val="zh-CN"/>
        </w:rPr>
      </w:pPr>
    </w:p>
    <w:p>
      <w:pPr>
        <w:rPr>
          <w:rFonts w:ascii="宋体" w:hAnsi="宋体" w:cs="宋体"/>
          <w:b/>
          <w:color w:val="000000"/>
          <w:kern w:val="0"/>
          <w:sz w:val="32"/>
          <w:szCs w:val="32"/>
          <w:highlight w:val="none"/>
          <w:lang w:val="zh-CN"/>
        </w:rPr>
      </w:pPr>
    </w:p>
    <w:p>
      <w:pPr>
        <w:widowControl/>
        <w:adjustRightInd/>
        <w:jc w:val="left"/>
        <w:rPr>
          <w:rFonts w:ascii="宋体" w:hAnsi="宋体" w:cs="宋体"/>
          <w:b/>
          <w:color w:val="000000"/>
          <w:kern w:val="0"/>
          <w:sz w:val="32"/>
          <w:szCs w:val="32"/>
          <w:highlight w:val="none"/>
        </w:rPr>
      </w:pPr>
      <w:r>
        <w:rPr>
          <w:rFonts w:ascii="宋体" w:hAnsi="宋体" w:cs="宋体"/>
          <w:b/>
          <w:color w:val="000000"/>
          <w:kern w:val="0"/>
          <w:sz w:val="32"/>
          <w:szCs w:val="32"/>
          <w:highlight w:val="none"/>
        </w:rPr>
        <w:br w:type="page"/>
      </w:r>
    </w:p>
    <w:p>
      <w:pPr>
        <w:snapToGrid w:val="0"/>
        <w:spacing w:line="360" w:lineRule="auto"/>
        <w:jc w:val="center"/>
        <w:outlineLvl w:val="0"/>
        <w:rPr>
          <w:rFonts w:ascii="宋体" w:hAnsi="宋体" w:cs="宋体"/>
          <w:b/>
          <w:color w:val="000000"/>
          <w:sz w:val="32"/>
          <w:szCs w:val="32"/>
          <w:highlight w:val="none"/>
        </w:rPr>
      </w:pPr>
      <w:r>
        <w:rPr>
          <w:rFonts w:hint="eastAsia" w:ascii="宋体" w:hAnsi="宋体" w:cs="宋体"/>
          <w:b/>
          <w:color w:val="000000"/>
          <w:kern w:val="0"/>
          <w:sz w:val="32"/>
          <w:szCs w:val="32"/>
          <w:highlight w:val="none"/>
        </w:rPr>
        <w:t>一、投标</w:t>
      </w:r>
      <w:r>
        <w:rPr>
          <w:rFonts w:hint="eastAsia" w:ascii="宋体" w:hAnsi="宋体" w:cs="宋体"/>
          <w:b/>
          <w:color w:val="000000"/>
          <w:sz w:val="32"/>
          <w:szCs w:val="32"/>
          <w:highlight w:val="none"/>
        </w:rPr>
        <w:t>函</w:t>
      </w:r>
    </w:p>
    <w:p>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（采购人）、（采购代理机构）：</w:t>
      </w:r>
    </w:p>
    <w:p>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我方参加你方组织的（</w:t>
      </w:r>
      <w:r>
        <w:rPr>
          <w:rFonts w:hint="eastAsia" w:ascii="宋体" w:hAnsi="宋体" w:cs="宋体"/>
          <w:color w:val="000000"/>
          <w:sz w:val="24"/>
          <w:highlight w:val="none"/>
          <w:lang w:eastAsia="zh-CN"/>
        </w:rPr>
        <w:t>良渚消防站电力配电项目</w:t>
      </w:r>
      <w:r>
        <w:rPr>
          <w:rFonts w:hint="eastAsia" w:ascii="宋体" w:hAnsi="宋体" w:cs="宋体"/>
          <w:color w:val="000000"/>
          <w:sz w:val="24"/>
          <w:highlight w:val="none"/>
        </w:rPr>
        <w:t>）【招标编号：（</w:t>
      </w:r>
      <w:r>
        <w:rPr>
          <w:rFonts w:hint="eastAsia" w:ascii="宋体" w:hAnsi="宋体" w:cs="宋体"/>
          <w:color w:val="000000"/>
          <w:sz w:val="24"/>
          <w:highlight w:val="none"/>
          <w:lang w:eastAsia="zh-CN"/>
        </w:rPr>
        <w:t>HZHZCG2024-019</w:t>
      </w:r>
      <w:r>
        <w:rPr>
          <w:rFonts w:hint="eastAsia" w:ascii="宋体" w:hAnsi="宋体" w:cs="宋体"/>
          <w:color w:val="000000"/>
          <w:sz w:val="24"/>
          <w:highlight w:val="none"/>
        </w:rPr>
        <w:t>）】招标的有关活动，并对此项目进行投标。为此：</w:t>
      </w:r>
    </w:p>
    <w:p>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1、我方承诺投标有效期从提交投标文件的截止之日起</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天（不少于90天）</w:t>
      </w:r>
      <w:r>
        <w:rPr>
          <w:rFonts w:hint="eastAsia" w:ascii="宋体" w:hAnsi="宋体" w:cs="宋体"/>
          <w:color w:val="000000"/>
          <w:highlight w:val="none"/>
        </w:rPr>
        <w:t>，</w:t>
      </w:r>
      <w:r>
        <w:rPr>
          <w:rFonts w:hint="eastAsia" w:ascii="宋体" w:hAnsi="宋体" w:cs="宋体"/>
          <w:color w:val="000000"/>
          <w:sz w:val="24"/>
          <w:highlight w:val="none"/>
        </w:rPr>
        <w:t>本投标文件在投标有效期满之前均具有约束力。</w:t>
      </w:r>
    </w:p>
    <w:p>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2、我方的投标文件包括以下内容：</w:t>
      </w:r>
    </w:p>
    <w:p>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2.1资格文件：</w:t>
      </w:r>
    </w:p>
    <w:p>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2.1.1承诺函；</w:t>
      </w:r>
    </w:p>
    <w:p>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2.1.2</w:t>
      </w:r>
      <w:r>
        <w:rPr>
          <w:rFonts w:hint="eastAsia" w:ascii="宋体" w:hAnsi="宋体" w:cs="宋体"/>
          <w:snapToGrid w:val="0"/>
          <w:color w:val="000000"/>
          <w:kern w:val="28"/>
          <w:sz w:val="24"/>
          <w:szCs w:val="20"/>
          <w:highlight w:val="none"/>
        </w:rPr>
        <w:t>联合协议</w:t>
      </w:r>
      <w:bookmarkStart w:id="475" w:name="_Hlk101257010"/>
      <w:r>
        <w:rPr>
          <w:rFonts w:hint="eastAsia" w:ascii="宋体" w:hAnsi="宋体" w:cs="宋体"/>
          <w:color w:val="000000"/>
          <w:sz w:val="24"/>
          <w:highlight w:val="none"/>
        </w:rPr>
        <w:t>（如果有)</w:t>
      </w:r>
      <w:bookmarkEnd w:id="475"/>
      <w:r>
        <w:rPr>
          <w:rFonts w:hint="eastAsia" w:ascii="宋体" w:hAnsi="宋体" w:cs="宋体"/>
          <w:snapToGrid w:val="0"/>
          <w:color w:val="000000"/>
          <w:kern w:val="28"/>
          <w:sz w:val="24"/>
          <w:szCs w:val="20"/>
          <w:highlight w:val="none"/>
        </w:rPr>
        <w:t>；</w:t>
      </w:r>
    </w:p>
    <w:p>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w:t>
      </w:r>
      <w:r>
        <w:rPr>
          <w:rFonts w:ascii="宋体" w:hAnsi="宋体" w:cs="宋体"/>
          <w:color w:val="000000"/>
          <w:sz w:val="24"/>
          <w:highlight w:val="none"/>
        </w:rPr>
        <w:t>.1.3</w:t>
      </w:r>
      <w:r>
        <w:rPr>
          <w:rFonts w:hint="eastAsia" w:ascii="宋体" w:hAnsi="宋体" w:cs="宋体"/>
          <w:color w:val="000000"/>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2.1.</w:t>
      </w:r>
      <w:r>
        <w:rPr>
          <w:rFonts w:ascii="宋体" w:hAnsi="宋体" w:cs="宋体"/>
          <w:color w:val="000000"/>
          <w:sz w:val="24"/>
          <w:highlight w:val="none"/>
        </w:rPr>
        <w:t>4</w:t>
      </w:r>
      <w:r>
        <w:rPr>
          <w:rFonts w:hint="eastAsia" w:ascii="宋体" w:hAnsi="宋体" w:cs="宋体"/>
          <w:color w:val="000000"/>
          <w:sz w:val="24"/>
          <w:highlight w:val="none"/>
        </w:rPr>
        <w:t>本项目的特定资格要求（如果有)。</w:t>
      </w:r>
    </w:p>
    <w:p>
      <w:pPr>
        <w:snapToGrid w:val="0"/>
        <w:spacing w:line="360" w:lineRule="auto"/>
        <w:ind w:left="210" w:leftChars="100" w:firstLine="480" w:firstLineChars="200"/>
        <w:rPr>
          <w:rFonts w:ascii="宋体" w:hAnsi="宋体" w:cs="宋体"/>
          <w:color w:val="000000"/>
          <w:sz w:val="24"/>
          <w:highlight w:val="none"/>
          <w:lang w:val="zh-CN"/>
        </w:rPr>
      </w:pP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hint="eastAsia" w:ascii="宋体" w:hAnsi="宋体" w:cs="宋体"/>
          <w:color w:val="000000"/>
          <w:sz w:val="24"/>
          <w:highlight w:val="none"/>
        </w:rPr>
        <w:t>2</w:t>
      </w:r>
      <w:r>
        <w:rPr>
          <w:rFonts w:hint="eastAsia" w:ascii="宋体" w:hAnsi="宋体" w:cs="宋体"/>
          <w:color w:val="000000"/>
          <w:sz w:val="24"/>
          <w:highlight w:val="none"/>
          <w:lang w:val="zh-CN"/>
        </w:rPr>
        <w:t xml:space="preserve"> </w:t>
      </w:r>
      <w:r>
        <w:rPr>
          <w:rFonts w:hint="eastAsia" w:ascii="宋体" w:hAnsi="宋体" w:cs="宋体"/>
          <w:color w:val="000000"/>
          <w:sz w:val="24"/>
          <w:highlight w:val="none"/>
        </w:rPr>
        <w:t>商务技术</w:t>
      </w:r>
      <w:r>
        <w:rPr>
          <w:rFonts w:hint="eastAsia" w:ascii="宋体" w:hAnsi="宋体" w:cs="宋体"/>
          <w:color w:val="000000"/>
          <w:sz w:val="24"/>
          <w:highlight w:val="none"/>
          <w:lang w:val="zh-CN"/>
        </w:rPr>
        <w:t>文件：</w:t>
      </w:r>
    </w:p>
    <w:p>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2.2.1投标函；</w:t>
      </w:r>
      <w:r>
        <w:rPr>
          <w:rFonts w:hint="eastAsia" w:ascii="宋体" w:hAnsi="宋体" w:cs="宋体"/>
          <w:color w:val="000000"/>
          <w:sz w:val="24"/>
          <w:highlight w:val="none"/>
          <w:lang w:val="zh-CN"/>
        </w:rPr>
        <w:t xml:space="preserve"> </w:t>
      </w:r>
    </w:p>
    <w:p>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3</w:t>
      </w:r>
      <w:r>
        <w:rPr>
          <w:rFonts w:hint="eastAsia" w:ascii="宋体" w:hAnsi="宋体" w:cs="宋体"/>
          <w:color w:val="000000"/>
          <w:sz w:val="24"/>
          <w:highlight w:val="none"/>
        </w:rPr>
        <w:t>分包意向协议（如果有)；</w:t>
      </w:r>
    </w:p>
    <w:p>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4</w:t>
      </w:r>
      <w:r>
        <w:rPr>
          <w:rFonts w:hint="eastAsia" w:ascii="宋体" w:hAnsi="宋体" w:cs="宋体"/>
          <w:color w:val="000000"/>
          <w:sz w:val="24"/>
          <w:highlight w:val="none"/>
        </w:rPr>
        <w:t>符合性审查资料；</w:t>
      </w:r>
    </w:p>
    <w:p>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5</w:t>
      </w:r>
      <w:r>
        <w:rPr>
          <w:rFonts w:hint="eastAsia" w:ascii="宋体" w:hAnsi="宋体" w:cs="宋体"/>
          <w:color w:val="000000"/>
          <w:sz w:val="24"/>
          <w:highlight w:val="none"/>
        </w:rPr>
        <w:t>评标标准相应的商务技术资料；</w:t>
      </w:r>
    </w:p>
    <w:p>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6</w:t>
      </w:r>
      <w:r>
        <w:rPr>
          <w:rFonts w:hint="eastAsia" w:ascii="宋体" w:hAnsi="宋体" w:cs="宋体"/>
          <w:color w:val="000000"/>
          <w:sz w:val="24"/>
          <w:highlight w:val="none"/>
        </w:rPr>
        <w:t>投标标的清单；</w:t>
      </w:r>
    </w:p>
    <w:p>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7</w:t>
      </w:r>
      <w:r>
        <w:rPr>
          <w:rFonts w:hint="eastAsia" w:ascii="宋体" w:hAnsi="宋体" w:cs="宋体"/>
          <w:color w:val="000000"/>
          <w:sz w:val="24"/>
          <w:highlight w:val="none"/>
        </w:rPr>
        <w:t>商务技术偏离表；</w:t>
      </w:r>
    </w:p>
    <w:p>
      <w:pPr>
        <w:snapToGrid w:val="0"/>
        <w:spacing w:line="360" w:lineRule="auto"/>
        <w:ind w:left="420" w:leftChars="200" w:firstLine="480" w:firstLineChars="200"/>
        <w:rPr>
          <w:rFonts w:ascii="宋体" w:hAnsi="宋体" w:cs="宋体"/>
          <w:color w:val="000000"/>
          <w:sz w:val="24"/>
          <w:highlight w:val="none"/>
          <w:lang w:val="zh-CN"/>
        </w:rPr>
      </w:pP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ascii="宋体" w:hAnsi="宋体" w:cs="宋体"/>
          <w:color w:val="000000"/>
          <w:sz w:val="24"/>
          <w:highlight w:val="none"/>
        </w:rPr>
        <w:t>8</w:t>
      </w:r>
      <w:r>
        <w:rPr>
          <w:rFonts w:hint="eastAsia" w:ascii="宋体" w:hAnsi="宋体" w:cs="宋体"/>
          <w:color w:val="000000"/>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hint="eastAsia" w:ascii="宋体" w:hAnsi="宋体" w:cs="宋体"/>
          <w:color w:val="000000"/>
          <w:sz w:val="24"/>
          <w:highlight w:val="none"/>
        </w:rPr>
        <w:t>3报价文件</w:t>
      </w:r>
    </w:p>
    <w:p>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2.3.1开标一览表（报价表）；</w:t>
      </w:r>
    </w:p>
    <w:p>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2.3.2中小企业声明函（如果有）。</w:t>
      </w:r>
    </w:p>
    <w:p>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4、如我方中标，我方承诺：</w:t>
      </w:r>
    </w:p>
    <w:p>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5、其他补充说明:</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p>
    <w:p>
      <w:pPr>
        <w:spacing w:line="360" w:lineRule="auto"/>
        <w:ind w:firstLine="3600" w:firstLineChars="1500"/>
        <w:rPr>
          <w:rFonts w:ascii="宋体" w:hAnsi="宋体" w:cs="宋体"/>
          <w:color w:val="000000"/>
          <w:sz w:val="24"/>
          <w:highlight w:val="none"/>
        </w:rPr>
      </w:pPr>
      <w:r>
        <w:rPr>
          <w:rFonts w:hint="eastAsia" w:ascii="宋体" w:hAnsi="宋体" w:cs="宋体"/>
          <w:color w:val="000000"/>
          <w:sz w:val="24"/>
          <w:highlight w:val="none"/>
        </w:rPr>
        <w:t xml:space="preserve">投标人名称（电子签名）：                          </w:t>
      </w:r>
    </w:p>
    <w:p>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 xml:space="preserve">     日期：  年   月   日</w:t>
      </w:r>
    </w:p>
    <w:p>
      <w:pPr>
        <w:snapToGrid w:val="0"/>
        <w:spacing w:line="360" w:lineRule="auto"/>
        <w:ind w:left="420" w:leftChars="200" w:firstLine="4200" w:firstLineChars="1750"/>
        <w:rPr>
          <w:rFonts w:ascii="宋体" w:hAnsi="宋体" w:cs="宋体"/>
          <w:color w:val="000000"/>
          <w:kern w:val="0"/>
          <w:sz w:val="24"/>
          <w:highlight w:val="none"/>
          <w:u w:val="single"/>
        </w:rPr>
      </w:pPr>
    </w:p>
    <w:p>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pPr>
        <w:snapToGrid w:val="0"/>
        <w:spacing w:line="360" w:lineRule="auto"/>
        <w:jc w:val="center"/>
        <w:rPr>
          <w:rFonts w:ascii="宋体" w:hAnsi="宋体" w:cs="宋体"/>
          <w:b/>
          <w:color w:val="000000"/>
          <w:kern w:val="0"/>
          <w:sz w:val="32"/>
          <w:szCs w:val="32"/>
          <w:highlight w:val="none"/>
        </w:rPr>
      </w:pPr>
    </w:p>
    <w:p>
      <w:pPr>
        <w:snapToGrid w:val="0"/>
        <w:spacing w:line="360" w:lineRule="auto"/>
        <w:rPr>
          <w:rFonts w:ascii="宋体" w:hAnsi="宋体" w:cs="宋体"/>
          <w:color w:val="000000"/>
          <w:sz w:val="24"/>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pStyle w:val="3"/>
        <w:rPr>
          <w:color w:val="000000"/>
          <w:highlight w:val="none"/>
          <w:lang w:val="en-US"/>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hint="eastAsia" w:ascii="宋体" w:hAnsi="宋体" w:cs="宋体"/>
          <w:b/>
          <w:color w:val="000000"/>
          <w:kern w:val="0"/>
          <w:sz w:val="32"/>
          <w:szCs w:val="32"/>
          <w:highlight w:val="none"/>
          <w:lang w:val="zh-CN"/>
        </w:rPr>
      </w:pPr>
    </w:p>
    <w:p>
      <w:pPr>
        <w:jc w:val="center"/>
        <w:rPr>
          <w:rFonts w:hint="eastAsia" w:ascii="宋体" w:hAnsi="宋体" w:cs="宋体"/>
          <w:b/>
          <w:color w:val="000000"/>
          <w:kern w:val="0"/>
          <w:sz w:val="32"/>
          <w:szCs w:val="32"/>
          <w:highlight w:val="none"/>
          <w:lang w:val="zh-CN"/>
        </w:rPr>
      </w:pPr>
    </w:p>
    <w:p>
      <w:pPr>
        <w:jc w:val="center"/>
        <w:rPr>
          <w:rFonts w:ascii="宋体" w:hAnsi="宋体" w:cs="宋体"/>
          <w:b/>
          <w:color w:val="000000"/>
          <w:kern w:val="0"/>
          <w:sz w:val="32"/>
          <w:szCs w:val="32"/>
          <w:highlight w:val="none"/>
          <w:lang w:val="zh-CN"/>
        </w:rPr>
      </w:pPr>
      <w:r>
        <w:rPr>
          <w:rFonts w:hint="eastAsia" w:ascii="宋体" w:hAnsi="宋体" w:cs="宋体"/>
          <w:b/>
          <w:color w:val="000000"/>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w:t>
      </w:r>
    </w:p>
    <w:p>
      <w:pPr>
        <w:snapToGrid w:val="0"/>
        <w:spacing w:line="360" w:lineRule="auto"/>
        <w:ind w:firstLine="2872" w:firstLineChars="894"/>
        <w:rPr>
          <w:rFonts w:ascii="宋体" w:hAnsi="宋体" w:cs="宋体"/>
          <w:color w:val="000000"/>
          <w:highlight w:val="none"/>
        </w:rPr>
      </w:pPr>
      <w:r>
        <w:rPr>
          <w:rFonts w:hint="eastAsia" w:ascii="宋体" w:hAnsi="宋体" w:cs="宋体"/>
          <w:b/>
          <w:color w:val="000000"/>
          <w:kern w:val="0"/>
          <w:sz w:val="32"/>
          <w:szCs w:val="32"/>
          <w:highlight w:val="none"/>
          <w:lang w:val="zh-CN"/>
        </w:rPr>
        <w:t>授权委托书（适用于非联合体投标）</w:t>
      </w:r>
      <w:r>
        <w:rPr>
          <w:rFonts w:hint="eastAsia" w:ascii="宋体" w:hAnsi="宋体" w:cs="宋体"/>
          <w:color w:val="000000"/>
          <w:highlight w:val="none"/>
        </w:rPr>
        <w:t xml:space="preserve">                               </w:t>
      </w:r>
    </w:p>
    <w:p>
      <w:pPr>
        <w:snapToGrid w:val="0"/>
        <w:spacing w:line="360" w:lineRule="auto"/>
        <w:rPr>
          <w:rFonts w:ascii="宋体" w:hAnsi="宋体" w:cs="宋体"/>
          <w:color w:val="000000"/>
          <w:kern w:val="0"/>
          <w:sz w:val="24"/>
          <w:highlight w:val="none"/>
        </w:rPr>
      </w:pPr>
      <w:r>
        <w:rPr>
          <w:rFonts w:hint="eastAsia" w:ascii="宋体" w:hAnsi="宋体" w:cs="宋体"/>
          <w:color w:val="000000"/>
          <w:sz w:val="24"/>
          <w:highlight w:val="none"/>
        </w:rPr>
        <w:t>（采购人）、（采购代理机构）</w:t>
      </w:r>
      <w:r>
        <w:rPr>
          <w:rFonts w:hint="eastAsia" w:ascii="宋体" w:hAnsi="宋体" w:cs="宋体"/>
          <w:color w:val="000000"/>
          <w:kern w:val="0"/>
          <w:sz w:val="24"/>
          <w:highlight w:val="none"/>
          <w:lang w:val="zh-CN"/>
        </w:rPr>
        <w:t>：</w:t>
      </w:r>
    </w:p>
    <w:p>
      <w:pPr>
        <w:snapToGrid w:val="0"/>
        <w:spacing w:line="360" w:lineRule="auto"/>
        <w:ind w:firstLine="576"/>
        <w:rPr>
          <w:rFonts w:ascii="宋体" w:hAnsi="宋体" w:cs="宋体"/>
          <w:color w:val="000000"/>
          <w:kern w:val="0"/>
          <w:sz w:val="24"/>
          <w:highlight w:val="none"/>
        </w:rPr>
      </w:pPr>
      <w:r>
        <w:rPr>
          <w:rFonts w:hint="eastAsia" w:ascii="宋体" w:hAnsi="宋体" w:cs="宋体"/>
          <w:color w:val="000000"/>
          <w:kern w:val="0"/>
          <w:sz w:val="24"/>
          <w:highlight w:val="none"/>
        </w:rPr>
        <w:t>现</w:t>
      </w:r>
      <w:r>
        <w:rPr>
          <w:rFonts w:hint="eastAsia" w:ascii="宋体" w:hAnsi="宋体" w:cs="宋体"/>
          <w:color w:val="000000"/>
          <w:kern w:val="0"/>
          <w:sz w:val="24"/>
          <w:highlight w:val="none"/>
          <w:lang w:val="zh-CN"/>
        </w:rPr>
        <w:t>委托</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（姓名）为我方代理人（身份证号码：</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，手机：</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），以我方名义处理</w:t>
      </w:r>
      <w:r>
        <w:rPr>
          <w:rFonts w:hint="eastAsia" w:ascii="宋体" w:hAnsi="宋体" w:cs="宋体"/>
          <w:color w:val="000000"/>
          <w:sz w:val="24"/>
          <w:highlight w:val="none"/>
        </w:rPr>
        <w:t>（</w:t>
      </w:r>
      <w:r>
        <w:rPr>
          <w:rFonts w:hint="eastAsia" w:ascii="宋体" w:hAnsi="宋体" w:cs="宋体"/>
          <w:color w:val="000000"/>
          <w:sz w:val="24"/>
          <w:highlight w:val="none"/>
          <w:lang w:eastAsia="zh-CN"/>
        </w:rPr>
        <w:t>良渚消防站电力配电项目</w:t>
      </w:r>
      <w:r>
        <w:rPr>
          <w:rFonts w:hint="eastAsia" w:ascii="宋体" w:hAnsi="宋体" w:cs="宋体"/>
          <w:color w:val="000000"/>
          <w:sz w:val="24"/>
          <w:highlight w:val="none"/>
        </w:rPr>
        <w:t>）【招标编号：（</w:t>
      </w:r>
      <w:r>
        <w:rPr>
          <w:rFonts w:hint="eastAsia" w:ascii="宋体" w:hAnsi="宋体" w:cs="宋体"/>
          <w:color w:val="000000"/>
          <w:sz w:val="24"/>
          <w:highlight w:val="none"/>
          <w:lang w:eastAsia="zh-CN"/>
        </w:rPr>
        <w:t>HZHZCG2024-019</w:t>
      </w:r>
      <w:r>
        <w:rPr>
          <w:rFonts w:hint="eastAsia" w:ascii="宋体" w:hAnsi="宋体" w:cs="宋体"/>
          <w:color w:val="000000"/>
          <w:sz w:val="24"/>
          <w:highlight w:val="none"/>
        </w:rPr>
        <w:t>）】</w:t>
      </w:r>
      <w:r>
        <w:rPr>
          <w:rFonts w:hint="eastAsia" w:ascii="宋体" w:hAnsi="宋体" w:cs="宋体"/>
          <w:color w:val="000000"/>
          <w:kern w:val="0"/>
          <w:sz w:val="24"/>
          <w:highlight w:val="none"/>
          <w:lang w:val="zh-CN"/>
        </w:rPr>
        <w:t>政府采购投标的一切事项，其法律后果由我方承担。</w:t>
      </w:r>
    </w:p>
    <w:p>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委托期限</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zh-CN"/>
        </w:rPr>
        <w:t>自</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年</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日起至</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年</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日止。</w:t>
      </w:r>
    </w:p>
    <w:p>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特此告知。</w:t>
      </w:r>
    </w:p>
    <w:p>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lang w:val="zh-CN"/>
        </w:rPr>
        <w:t xml:space="preserve">                                                 投标人名称(电子签名)：</w:t>
      </w:r>
    </w:p>
    <w:p>
      <w:pPr>
        <w:snapToGrid w:val="0"/>
        <w:spacing w:line="360" w:lineRule="auto"/>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签发日期：  年  月   日</w:t>
      </w:r>
    </w:p>
    <w:p>
      <w:pPr>
        <w:snapToGrid w:val="0"/>
        <w:spacing w:line="360" w:lineRule="auto"/>
        <w:rPr>
          <w:rFonts w:ascii="宋体" w:hAnsi="宋体" w:cs="宋体"/>
          <w:color w:val="000000"/>
          <w:sz w:val="24"/>
          <w:highlight w:val="none"/>
        </w:rPr>
      </w:pPr>
    </w:p>
    <w:p>
      <w:pPr>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lang w:val="zh-CN"/>
        </w:rPr>
        <w:t xml:space="preserve">      </w:t>
      </w:r>
      <w:r>
        <w:rPr>
          <w:rFonts w:hint="eastAsia" w:ascii="宋体" w:hAnsi="宋体" w:cs="宋体"/>
          <w:b/>
          <w:color w:val="000000"/>
          <w:kern w:val="0"/>
          <w:sz w:val="32"/>
          <w:szCs w:val="32"/>
          <w:highlight w:val="none"/>
        </w:rPr>
        <w:t xml:space="preserve"> </w:t>
      </w:r>
      <w:r>
        <w:rPr>
          <w:rFonts w:hint="eastAsia" w:ascii="宋体" w:hAnsi="宋体" w:cs="宋体"/>
          <w:b/>
          <w:color w:val="000000"/>
          <w:kern w:val="0"/>
          <w:sz w:val="32"/>
          <w:szCs w:val="32"/>
          <w:highlight w:val="none"/>
          <w:lang w:val="zh-CN"/>
        </w:rPr>
        <w:t>授权委托书（适用于联合体投标）</w:t>
      </w:r>
    </w:p>
    <w:p>
      <w:pPr>
        <w:snapToGrid w:val="0"/>
        <w:spacing w:line="360" w:lineRule="auto"/>
        <w:rPr>
          <w:rFonts w:ascii="宋体" w:hAnsi="宋体" w:cs="宋体"/>
          <w:color w:val="000000"/>
          <w:kern w:val="0"/>
          <w:sz w:val="24"/>
          <w:highlight w:val="none"/>
        </w:rPr>
      </w:pPr>
      <w:r>
        <w:rPr>
          <w:rFonts w:hint="eastAsia" w:ascii="宋体" w:hAnsi="宋体" w:cs="宋体"/>
          <w:color w:val="000000"/>
          <w:sz w:val="24"/>
          <w:highlight w:val="none"/>
        </w:rPr>
        <w:t>（采购人）、（采购代理机构）</w:t>
      </w:r>
      <w:r>
        <w:rPr>
          <w:rFonts w:hint="eastAsia" w:ascii="宋体" w:hAnsi="宋体" w:cs="宋体"/>
          <w:color w:val="000000"/>
          <w:kern w:val="0"/>
          <w:sz w:val="24"/>
          <w:highlight w:val="none"/>
          <w:lang w:val="zh-CN"/>
        </w:rPr>
        <w:t>：</w:t>
      </w:r>
    </w:p>
    <w:p>
      <w:pPr>
        <w:snapToGrid w:val="0"/>
        <w:spacing w:line="360" w:lineRule="auto"/>
        <w:ind w:firstLine="576"/>
        <w:rPr>
          <w:rFonts w:ascii="宋体" w:hAnsi="宋体" w:cs="宋体"/>
          <w:color w:val="000000"/>
          <w:kern w:val="0"/>
          <w:sz w:val="24"/>
          <w:highlight w:val="none"/>
        </w:rPr>
      </w:pPr>
      <w:r>
        <w:rPr>
          <w:rFonts w:hint="eastAsia" w:ascii="宋体" w:hAnsi="宋体" w:cs="宋体"/>
          <w:color w:val="000000"/>
          <w:kern w:val="0"/>
          <w:sz w:val="24"/>
          <w:highlight w:val="none"/>
        </w:rPr>
        <w:t>现</w:t>
      </w:r>
      <w:r>
        <w:rPr>
          <w:rFonts w:hint="eastAsia" w:ascii="宋体" w:hAnsi="宋体" w:cs="宋体"/>
          <w:color w:val="000000"/>
          <w:kern w:val="0"/>
          <w:sz w:val="24"/>
          <w:highlight w:val="none"/>
          <w:lang w:val="zh-CN"/>
        </w:rPr>
        <w:t>委托</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（姓名）为我方代理人（身份证号码：</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，手机：</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），以我方名义处理</w:t>
      </w:r>
      <w:r>
        <w:rPr>
          <w:rFonts w:hint="eastAsia" w:ascii="宋体" w:hAnsi="宋体" w:cs="宋体"/>
          <w:color w:val="000000"/>
          <w:sz w:val="24"/>
          <w:highlight w:val="none"/>
        </w:rPr>
        <w:t>（</w:t>
      </w:r>
      <w:r>
        <w:rPr>
          <w:rFonts w:hint="eastAsia" w:ascii="宋体" w:hAnsi="宋体" w:cs="宋体"/>
          <w:color w:val="000000"/>
          <w:sz w:val="24"/>
          <w:highlight w:val="none"/>
          <w:lang w:eastAsia="zh-CN"/>
        </w:rPr>
        <w:t>良渚消防站电力配电项目</w:t>
      </w:r>
      <w:r>
        <w:rPr>
          <w:rFonts w:hint="eastAsia" w:ascii="宋体" w:hAnsi="宋体" w:cs="宋体"/>
          <w:color w:val="000000"/>
          <w:sz w:val="24"/>
          <w:highlight w:val="none"/>
        </w:rPr>
        <w:t>）【招标编号：（</w:t>
      </w:r>
      <w:r>
        <w:rPr>
          <w:rFonts w:hint="eastAsia" w:ascii="宋体" w:hAnsi="宋体" w:cs="宋体"/>
          <w:color w:val="000000"/>
          <w:sz w:val="24"/>
          <w:highlight w:val="none"/>
          <w:lang w:eastAsia="zh-CN"/>
        </w:rPr>
        <w:t>HZHZCG2024-019</w:t>
      </w:r>
      <w:r>
        <w:rPr>
          <w:rFonts w:hint="eastAsia" w:ascii="宋体" w:hAnsi="宋体" w:cs="宋体"/>
          <w:color w:val="000000"/>
          <w:sz w:val="24"/>
          <w:highlight w:val="none"/>
        </w:rPr>
        <w:t>）】</w:t>
      </w:r>
      <w:r>
        <w:rPr>
          <w:rFonts w:hint="eastAsia" w:ascii="宋体" w:hAnsi="宋体" w:cs="宋体"/>
          <w:color w:val="000000"/>
          <w:kern w:val="0"/>
          <w:sz w:val="24"/>
          <w:highlight w:val="none"/>
          <w:lang w:val="zh-CN"/>
        </w:rPr>
        <w:t>政府采购投标的一切事项，其法律后果由我方承担。</w:t>
      </w:r>
    </w:p>
    <w:p>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委托期限</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zh-CN"/>
        </w:rPr>
        <w:t>自</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年</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日起至</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年</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日止。</w:t>
      </w:r>
    </w:p>
    <w:p>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特此告知。</w:t>
      </w:r>
    </w:p>
    <w:p>
      <w:pPr>
        <w:jc w:val="center"/>
        <w:rPr>
          <w:rFonts w:ascii="宋体" w:hAnsi="宋体" w:cs="宋体"/>
          <w:b/>
          <w:color w:val="000000"/>
          <w:kern w:val="0"/>
          <w:sz w:val="32"/>
          <w:szCs w:val="32"/>
          <w:highlight w:val="none"/>
        </w:rPr>
      </w:pPr>
    </w:p>
    <w:p>
      <w:pPr>
        <w:rPr>
          <w:rFonts w:ascii="宋体" w:hAnsi="宋体" w:cs="宋体"/>
          <w:color w:val="000000"/>
          <w:highlight w:val="none"/>
        </w:rPr>
      </w:pPr>
    </w:p>
    <w:p>
      <w:pPr>
        <w:snapToGrid w:val="0"/>
        <w:spacing w:line="360" w:lineRule="auto"/>
        <w:ind w:firstLine="5040" w:firstLineChars="21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联合体成员名称(电子签名/公章)：</w:t>
      </w:r>
    </w:p>
    <w:p>
      <w:pPr>
        <w:snapToGrid w:val="0"/>
        <w:spacing w:line="360" w:lineRule="auto"/>
        <w:ind w:firstLine="5040" w:firstLineChars="21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联合体成员名称(电子签名/公章)：</w:t>
      </w:r>
    </w:p>
    <w:p>
      <w:pPr>
        <w:snapToGrid w:val="0"/>
        <w:spacing w:line="360" w:lineRule="auto"/>
        <w:ind w:firstLine="5760" w:firstLineChars="2400"/>
        <w:rPr>
          <w:rFonts w:ascii="宋体" w:hAnsi="宋体" w:cs="宋体"/>
          <w:color w:val="000000"/>
          <w:highlight w:val="none"/>
        </w:rPr>
      </w:pPr>
      <w:r>
        <w:rPr>
          <w:rFonts w:hint="eastAsia" w:ascii="宋体" w:hAnsi="宋体" w:cs="宋体"/>
          <w:color w:val="000000"/>
          <w:kern w:val="0"/>
          <w:sz w:val="24"/>
          <w:highlight w:val="none"/>
          <w:lang w:val="zh-CN"/>
        </w:rPr>
        <w:t>……</w:t>
      </w:r>
    </w:p>
    <w:p>
      <w:pPr>
        <w:snapToGrid w:val="0"/>
        <w:spacing w:line="360" w:lineRule="auto"/>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日期：  年  月   日</w:t>
      </w:r>
    </w:p>
    <w:p>
      <w:pPr>
        <w:autoSpaceDE w:val="0"/>
        <w:autoSpaceDN w:val="0"/>
        <w:spacing w:line="360" w:lineRule="auto"/>
        <w:jc w:val="center"/>
        <w:rPr>
          <w:rFonts w:ascii="宋体" w:hAnsi="宋体" w:cs="宋体"/>
          <w:b/>
          <w:color w:val="000000"/>
          <w:kern w:val="0"/>
          <w:sz w:val="32"/>
          <w:szCs w:val="32"/>
          <w:highlight w:val="none"/>
          <w:lang w:val="zh-CN"/>
        </w:rPr>
      </w:pPr>
    </w:p>
    <w:p>
      <w:pPr>
        <w:autoSpaceDE w:val="0"/>
        <w:autoSpaceDN w:val="0"/>
        <w:spacing w:line="360" w:lineRule="auto"/>
        <w:jc w:val="center"/>
        <w:rPr>
          <w:rFonts w:ascii="宋体" w:hAnsi="宋体" w:cs="宋体"/>
          <w:b/>
          <w:color w:val="000000"/>
          <w:kern w:val="0"/>
          <w:sz w:val="32"/>
          <w:szCs w:val="32"/>
          <w:highlight w:val="none"/>
          <w:lang w:val="zh-CN"/>
        </w:rPr>
      </w:pPr>
    </w:p>
    <w:p>
      <w:pPr>
        <w:autoSpaceDE w:val="0"/>
        <w:autoSpaceDN w:val="0"/>
        <w:spacing w:line="360" w:lineRule="auto"/>
        <w:jc w:val="center"/>
        <w:rPr>
          <w:rFonts w:ascii="宋体" w:hAnsi="宋体" w:cs="宋体"/>
          <w:b/>
          <w:color w:val="000000"/>
          <w:kern w:val="0"/>
          <w:sz w:val="32"/>
          <w:szCs w:val="32"/>
          <w:highlight w:val="none"/>
          <w:lang w:val="zh-CN"/>
        </w:rPr>
      </w:pPr>
    </w:p>
    <w:p>
      <w:pPr>
        <w:autoSpaceDE w:val="0"/>
        <w:autoSpaceDN w:val="0"/>
        <w:spacing w:line="360" w:lineRule="auto"/>
        <w:jc w:val="center"/>
        <w:rPr>
          <w:rFonts w:hint="eastAsia" w:ascii="宋体" w:hAnsi="宋体" w:cs="宋体"/>
          <w:b/>
          <w:color w:val="000000"/>
          <w:kern w:val="0"/>
          <w:sz w:val="32"/>
          <w:szCs w:val="32"/>
          <w:highlight w:val="none"/>
          <w:lang w:val="zh-CN"/>
        </w:rPr>
      </w:pPr>
    </w:p>
    <w:p>
      <w:pPr>
        <w:autoSpaceDE w:val="0"/>
        <w:autoSpaceDN w:val="0"/>
        <w:spacing w:line="360" w:lineRule="auto"/>
        <w:jc w:val="center"/>
        <w:rPr>
          <w:rFonts w:hint="eastAsia" w:ascii="宋体" w:hAnsi="宋体" w:cs="宋体"/>
          <w:b/>
          <w:color w:val="000000"/>
          <w:kern w:val="0"/>
          <w:sz w:val="32"/>
          <w:szCs w:val="32"/>
          <w:highlight w:val="none"/>
          <w:lang w:val="zh-CN"/>
        </w:rPr>
      </w:pPr>
    </w:p>
    <w:p>
      <w:pPr>
        <w:autoSpaceDE w:val="0"/>
        <w:autoSpaceDN w:val="0"/>
        <w:spacing w:line="360" w:lineRule="auto"/>
        <w:jc w:val="center"/>
        <w:rPr>
          <w:rFonts w:hint="eastAsia" w:ascii="宋体" w:hAnsi="宋体" w:cs="宋体"/>
          <w:b/>
          <w:color w:val="000000"/>
          <w:kern w:val="0"/>
          <w:sz w:val="32"/>
          <w:szCs w:val="32"/>
          <w:highlight w:val="none"/>
          <w:lang w:val="zh-CN"/>
        </w:rPr>
      </w:pPr>
    </w:p>
    <w:p>
      <w:pPr>
        <w:autoSpaceDE w:val="0"/>
        <w:autoSpaceDN w:val="0"/>
        <w:spacing w:line="360" w:lineRule="auto"/>
        <w:jc w:val="center"/>
        <w:rPr>
          <w:rFonts w:ascii="宋体" w:hAnsi="宋体" w:cs="宋体"/>
          <w:b/>
          <w:color w:val="000000"/>
          <w:sz w:val="24"/>
          <w:highlight w:val="none"/>
        </w:rPr>
      </w:pPr>
      <w:r>
        <w:rPr>
          <w:rFonts w:hint="eastAsia" w:ascii="宋体" w:hAnsi="宋体" w:cs="宋体"/>
          <w:b/>
          <w:color w:val="000000"/>
          <w:kern w:val="0"/>
          <w:sz w:val="32"/>
          <w:szCs w:val="32"/>
          <w:highlight w:val="none"/>
          <w:lang w:val="zh-CN"/>
        </w:rPr>
        <w:t>法定代表人、单位负责人或自然人本人</w:t>
      </w:r>
      <w:r>
        <w:rPr>
          <w:rFonts w:hint="eastAsia" w:ascii="宋体" w:hAnsi="宋体" w:cs="宋体"/>
          <w:b/>
          <w:color w:val="000000"/>
          <w:sz w:val="30"/>
          <w:szCs w:val="30"/>
          <w:highlight w:val="none"/>
        </w:rPr>
        <w:t>的身份证明（适用于法定代表人、单位负责人或者自然人本人代表投标人参加投标）</w:t>
      </w:r>
    </w:p>
    <w:p>
      <w:pPr>
        <w:pStyle w:val="173"/>
        <w:spacing w:line="360" w:lineRule="auto"/>
        <w:rPr>
          <w:rFonts w:hAnsi="宋体" w:cs="宋体"/>
          <w:bCs/>
          <w:color w:val="000000"/>
          <w:sz w:val="24"/>
          <w:highlight w:val="none"/>
        </w:rPr>
      </w:pPr>
      <w:r>
        <w:rPr>
          <w:rFonts w:hint="eastAsia" w:hAnsi="宋体" w:cs="宋体"/>
          <w:bCs/>
          <w:color w:val="000000"/>
          <w:sz w:val="24"/>
          <w:highlight w:val="none"/>
        </w:rPr>
        <w:t>身份证件扫描件：</w:t>
      </w:r>
    </w:p>
    <w:tbl>
      <w:tblPr>
        <w:tblStyle w:val="7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12" w:hRule="atLeast"/>
          <w:jc w:val="center"/>
        </w:trPr>
        <w:tc>
          <w:tcPr>
            <w:tcW w:w="9207" w:type="dxa"/>
            <w:vAlign w:val="top"/>
          </w:tcPr>
          <w:p>
            <w:pPr>
              <w:pStyle w:val="173"/>
              <w:adjustRightInd w:val="0"/>
              <w:spacing w:line="360" w:lineRule="auto"/>
              <w:rPr>
                <w:rFonts w:hAnsi="宋体" w:cs="宋体"/>
                <w:bCs/>
                <w:color w:val="000000"/>
                <w:sz w:val="24"/>
                <w:highlight w:val="none"/>
              </w:rPr>
            </w:pPr>
            <w:r>
              <w:rPr>
                <w:rFonts w:hint="eastAsia" w:hAnsi="宋体" w:cs="宋体"/>
                <w:bCs/>
                <w:color w:val="000000"/>
                <w:sz w:val="24"/>
                <w:highlight w:val="none"/>
              </w:rPr>
              <w:t>正面：                                 反面：</w:t>
            </w:r>
          </w:p>
          <w:p>
            <w:pPr>
              <w:pStyle w:val="173"/>
              <w:adjustRightInd w:val="0"/>
              <w:spacing w:line="360" w:lineRule="auto"/>
              <w:rPr>
                <w:rFonts w:hAnsi="宋体" w:cs="宋体"/>
                <w:bCs/>
                <w:color w:val="000000"/>
                <w:sz w:val="24"/>
                <w:highlight w:val="none"/>
              </w:rPr>
            </w:pPr>
          </w:p>
        </w:tc>
      </w:tr>
    </w:tbl>
    <w:p>
      <w:pPr>
        <w:snapToGrid w:val="0"/>
        <w:spacing w:line="360" w:lineRule="auto"/>
        <w:ind w:firstLine="576"/>
        <w:jc w:val="center"/>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w:t>
      </w:r>
    </w:p>
    <w:p>
      <w:pPr>
        <w:snapToGrid w:val="0"/>
        <w:spacing w:line="360" w:lineRule="auto"/>
        <w:ind w:firstLine="576"/>
        <w:jc w:val="center"/>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投标人名称(电子签名)：                              </w:t>
      </w:r>
    </w:p>
    <w:p>
      <w:pPr>
        <w:spacing w:line="360" w:lineRule="auto"/>
        <w:jc w:val="center"/>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日期：  年  月  日</w:t>
      </w: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snapToGrid w:val="0"/>
        <w:spacing w:line="360" w:lineRule="auto"/>
        <w:ind w:right="480"/>
        <w:rPr>
          <w:rFonts w:ascii="宋体" w:hAnsi="宋体" w:cs="宋体"/>
          <w:b/>
          <w:color w:val="000000"/>
          <w:kern w:val="0"/>
          <w:sz w:val="32"/>
          <w:szCs w:val="32"/>
          <w:highlight w:val="none"/>
        </w:rPr>
        <w:sectPr>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三、分包意向协议（如果有）</w:t>
      </w:r>
    </w:p>
    <w:p>
      <w:pPr>
        <w:widowControl/>
        <w:spacing w:line="360" w:lineRule="auto"/>
        <w:ind w:firstLine="120" w:firstLineChars="50"/>
        <w:jc w:val="left"/>
        <w:rPr>
          <w:rFonts w:ascii="宋体" w:hAnsi="宋体" w:cs="宋体"/>
          <w:color w:val="000000"/>
          <w:sz w:val="24"/>
          <w:highlight w:val="none"/>
        </w:rPr>
      </w:pPr>
      <w:r>
        <w:rPr>
          <w:rFonts w:hint="eastAsia" w:ascii="宋体" w:hAnsi="宋体" w:cs="宋体"/>
          <w:color w:val="000000"/>
          <w:sz w:val="24"/>
          <w:highlight w:val="none"/>
        </w:rPr>
        <w:t>[</w:t>
      </w:r>
      <w:r>
        <w:rPr>
          <w:rFonts w:hint="eastAsia" w:ascii="宋体" w:hAnsi="宋体" w:cs="宋体"/>
          <w:b/>
          <w:color w:val="000000"/>
          <w:sz w:val="24"/>
          <w:highlight w:val="none"/>
        </w:rPr>
        <w:t>中标后以分包方式履行合同的，提供分包意向协议(附件6</w:t>
      </w:r>
      <w:r>
        <w:rPr>
          <w:rFonts w:ascii="宋体" w:hAnsi="宋体" w:cs="宋体"/>
          <w:b/>
          <w:color w:val="000000"/>
          <w:sz w:val="24"/>
          <w:highlight w:val="none"/>
        </w:rPr>
        <w:t>)</w:t>
      </w:r>
      <w:r>
        <w:rPr>
          <w:rFonts w:hint="eastAsia" w:ascii="宋体" w:hAnsi="宋体" w:cs="宋体"/>
          <w:b/>
          <w:color w:val="000000"/>
          <w:sz w:val="24"/>
          <w:highlight w:val="none"/>
        </w:rPr>
        <w:t>；采购人不同意分包或者投标人中标后不以分包方式履行合同的，则不需要提供。</w:t>
      </w:r>
      <w:r>
        <w:rPr>
          <w:rFonts w:hint="eastAsia" w:ascii="宋体" w:hAnsi="宋体" w:cs="宋体"/>
          <w:color w:val="000000"/>
          <w:sz w:val="24"/>
          <w:highlight w:val="none"/>
        </w:rPr>
        <w:t>]</w:t>
      </w:r>
    </w:p>
    <w:p>
      <w:pPr>
        <w:snapToGrid w:val="0"/>
        <w:spacing w:line="360" w:lineRule="auto"/>
        <w:rPr>
          <w:rFonts w:ascii="宋体" w:hAnsi="宋体" w:cs="宋体"/>
          <w:color w:val="000000"/>
          <w:kern w:val="0"/>
          <w:sz w:val="24"/>
          <w:highlight w:val="none"/>
        </w:rPr>
      </w:pPr>
    </w:p>
    <w:p>
      <w:pPr>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四、符合性审查资料</w:t>
      </w:r>
    </w:p>
    <w:p>
      <w:pPr>
        <w:jc w:val="center"/>
        <w:rPr>
          <w:rFonts w:ascii="宋体" w:hAnsi="宋体" w:cs="宋体"/>
          <w:b/>
          <w:color w:val="000000"/>
          <w:kern w:val="0"/>
          <w:sz w:val="32"/>
          <w:szCs w:val="32"/>
          <w:highlight w:val="none"/>
        </w:rPr>
      </w:pPr>
    </w:p>
    <w:tbl>
      <w:tblPr>
        <w:tblStyle w:val="74"/>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000000"/>
                <w:sz w:val="24"/>
                <w:highlight w:val="none"/>
              </w:rPr>
            </w:pPr>
            <w:r>
              <w:rPr>
                <w:rFonts w:hint="eastAsia" w:ascii="宋体" w:hAnsi="宋体" w:cs="宋体"/>
                <w:b/>
                <w:color w:val="000000"/>
                <w:sz w:val="24"/>
                <w:highlight w:val="none"/>
              </w:rPr>
              <w:t>序号</w:t>
            </w:r>
          </w:p>
        </w:tc>
        <w:tc>
          <w:tcPr>
            <w:tcW w:w="4991" w:type="dxa"/>
            <w:vAlign w:val="center"/>
          </w:tcPr>
          <w:p>
            <w:pPr>
              <w:snapToGrid w:val="0"/>
              <w:spacing w:line="240" w:lineRule="atLeast"/>
              <w:jc w:val="center"/>
              <w:rPr>
                <w:rFonts w:ascii="宋体" w:hAnsi="宋体" w:cs="宋体"/>
                <w:b/>
                <w:color w:val="000000"/>
                <w:sz w:val="24"/>
                <w:highlight w:val="none"/>
              </w:rPr>
            </w:pPr>
            <w:r>
              <w:rPr>
                <w:rFonts w:hint="eastAsia" w:ascii="宋体" w:hAnsi="宋体" w:cs="宋体"/>
                <w:b/>
                <w:color w:val="000000"/>
                <w:sz w:val="24"/>
                <w:highlight w:val="none"/>
              </w:rPr>
              <w:t>实质性要求</w:t>
            </w:r>
          </w:p>
        </w:tc>
        <w:tc>
          <w:tcPr>
            <w:tcW w:w="2551" w:type="dxa"/>
            <w:vAlign w:val="center"/>
          </w:tcPr>
          <w:p>
            <w:pPr>
              <w:snapToGrid w:val="0"/>
              <w:spacing w:line="240" w:lineRule="atLeast"/>
              <w:jc w:val="center"/>
              <w:rPr>
                <w:rFonts w:ascii="宋体" w:hAnsi="宋体" w:cs="宋体"/>
                <w:b/>
                <w:color w:val="000000"/>
                <w:sz w:val="24"/>
                <w:highlight w:val="none"/>
              </w:rPr>
            </w:pPr>
            <w:r>
              <w:rPr>
                <w:rFonts w:hint="eastAsia" w:ascii="宋体" w:hAnsi="宋体" w:cs="宋体"/>
                <w:b/>
                <w:color w:val="000000"/>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000000"/>
                <w:sz w:val="24"/>
                <w:highlight w:val="none"/>
              </w:rPr>
            </w:pPr>
            <w:r>
              <w:rPr>
                <w:rFonts w:hint="eastAsia" w:ascii="宋体" w:hAnsi="宋体" w:cs="宋体"/>
                <w:b/>
                <w:color w:val="000000"/>
                <w:sz w:val="24"/>
                <w:highlight w:val="none"/>
              </w:rPr>
              <w:t>投标文件中的</w:t>
            </w:r>
          </w:p>
          <w:p>
            <w:pPr>
              <w:snapToGrid w:val="0"/>
              <w:spacing w:line="240" w:lineRule="atLeast"/>
              <w:jc w:val="center"/>
              <w:rPr>
                <w:rFonts w:ascii="宋体" w:hAnsi="宋体" w:cs="宋体"/>
                <w:b/>
                <w:color w:val="000000"/>
                <w:sz w:val="24"/>
                <w:highlight w:val="none"/>
              </w:rPr>
            </w:pPr>
            <w:r>
              <w:rPr>
                <w:rFonts w:hint="eastAsia" w:ascii="宋体" w:hAnsi="宋体" w:cs="宋体"/>
                <w:b/>
                <w:color w:val="000000"/>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sz w:val="24"/>
                <w:highlight w:val="none"/>
              </w:rPr>
            </w:pPr>
            <w:r>
              <w:rPr>
                <w:rFonts w:hint="eastAsia" w:ascii="宋体" w:hAnsi="宋体" w:cs="宋体"/>
                <w:color w:val="000000"/>
                <w:sz w:val="24"/>
                <w:highlight w:val="none"/>
              </w:rPr>
              <w:t>1</w:t>
            </w:r>
          </w:p>
        </w:tc>
        <w:tc>
          <w:tcPr>
            <w:tcW w:w="4991" w:type="dxa"/>
            <w:vAlign w:val="top"/>
          </w:tcPr>
          <w:p>
            <w:pPr>
              <w:spacing w:line="360" w:lineRule="auto"/>
              <w:rPr>
                <w:rFonts w:ascii="宋体" w:hAnsi="宋体" w:cs="宋体"/>
                <w:color w:val="000000"/>
                <w:sz w:val="24"/>
                <w:highlight w:val="none"/>
              </w:rPr>
            </w:pPr>
            <w:r>
              <w:rPr>
                <w:rFonts w:hint="eastAsia" w:ascii="宋体" w:hAnsi="宋体" w:cs="宋体"/>
                <w:color w:val="000000"/>
                <w:sz w:val="24"/>
                <w:highlight w:val="none"/>
              </w:rPr>
              <w:t>投标文件按照招标文件要求签署、盖章。</w:t>
            </w:r>
          </w:p>
        </w:tc>
        <w:tc>
          <w:tcPr>
            <w:tcW w:w="2551" w:type="dxa"/>
            <w:vAlign w:val="center"/>
          </w:tcPr>
          <w:p>
            <w:pPr>
              <w:rPr>
                <w:rFonts w:ascii="宋体" w:hAnsi="宋体" w:cs="宋体"/>
                <w:color w:val="000000"/>
                <w:sz w:val="24"/>
                <w:highlight w:val="none"/>
              </w:rPr>
            </w:pPr>
            <w:r>
              <w:rPr>
                <w:rFonts w:hint="eastAsia" w:ascii="宋体" w:hAnsi="宋体" w:cs="宋体"/>
                <w:color w:val="000000"/>
                <w:sz w:val="24"/>
                <w:highlight w:val="none"/>
              </w:rPr>
              <w:t>需要使用电子签名或者签字盖章的投标文件的组成部分</w:t>
            </w:r>
          </w:p>
        </w:tc>
        <w:tc>
          <w:tcPr>
            <w:tcW w:w="1418" w:type="dxa"/>
            <w:vAlign w:val="top"/>
          </w:tcPr>
          <w:p>
            <w:pPr>
              <w:rPr>
                <w:rFonts w:ascii="宋体" w:hAnsi="宋体" w:cs="宋体"/>
                <w:color w:val="000000"/>
                <w:sz w:val="24"/>
                <w:highlight w:val="none"/>
              </w:rPr>
            </w:pPr>
          </w:p>
          <w:p>
            <w:pPr>
              <w:rPr>
                <w:rFonts w:ascii="宋体" w:hAnsi="宋体" w:cs="宋体"/>
                <w:color w:val="000000"/>
                <w:sz w:val="24"/>
                <w:highlight w:val="none"/>
              </w:rPr>
            </w:pPr>
            <w:r>
              <w:rPr>
                <w:rFonts w:hint="eastAsia" w:ascii="宋体" w:hAnsi="宋体" w:cs="宋体"/>
                <w:color w:val="000000"/>
                <w:sz w:val="24"/>
                <w:highlight w:val="none"/>
              </w:rPr>
              <w:t>见投标文件</w:t>
            </w:r>
          </w:p>
          <w:p>
            <w:pPr>
              <w:rPr>
                <w:rFonts w:ascii="宋体" w:hAnsi="宋体" w:cs="宋体"/>
                <w:color w:val="000000"/>
                <w:highlight w:val="none"/>
              </w:rPr>
            </w:pPr>
            <w:r>
              <w:rPr>
                <w:rFonts w:hint="eastAsia" w:ascii="宋体" w:hAnsi="宋体" w:cs="宋体"/>
                <w:color w:val="000000"/>
                <w:sz w:val="24"/>
                <w:highlight w:val="none"/>
              </w:rPr>
              <w:t>第</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sz w:val="24"/>
                <w:highlight w:val="none"/>
              </w:rPr>
            </w:pPr>
            <w:r>
              <w:rPr>
                <w:rFonts w:hint="eastAsia" w:ascii="宋体" w:hAnsi="宋体" w:cs="宋体"/>
                <w:color w:val="000000"/>
                <w:sz w:val="24"/>
                <w:highlight w:val="none"/>
              </w:rPr>
              <w:t>2</w:t>
            </w:r>
          </w:p>
        </w:tc>
        <w:tc>
          <w:tcPr>
            <w:tcW w:w="4991" w:type="dxa"/>
            <w:vAlign w:val="top"/>
          </w:tcPr>
          <w:p>
            <w:pPr>
              <w:spacing w:line="360" w:lineRule="auto"/>
              <w:rPr>
                <w:rFonts w:ascii="宋体" w:hAnsi="宋体" w:cs="宋体"/>
                <w:color w:val="000000"/>
                <w:sz w:val="24"/>
                <w:highlight w:val="none"/>
              </w:rPr>
            </w:pPr>
            <w:r>
              <w:rPr>
                <w:rFonts w:hint="eastAsia" w:ascii="宋体" w:hAnsi="宋体" w:cs="宋体"/>
                <w:color w:val="000000"/>
                <w:sz w:val="24"/>
                <w:highlight w:val="none"/>
              </w:rPr>
              <w:t>投标文件中承诺的投标有效期不少于招标文件中载明的投标有效期。</w:t>
            </w:r>
          </w:p>
        </w:tc>
        <w:tc>
          <w:tcPr>
            <w:tcW w:w="2551" w:type="dxa"/>
            <w:vAlign w:val="center"/>
          </w:tcPr>
          <w:p>
            <w:pPr>
              <w:rPr>
                <w:rFonts w:ascii="宋体" w:hAnsi="宋体" w:cs="宋体"/>
                <w:color w:val="000000"/>
                <w:sz w:val="24"/>
                <w:highlight w:val="none"/>
              </w:rPr>
            </w:pPr>
            <w:r>
              <w:rPr>
                <w:rFonts w:hint="eastAsia" w:ascii="宋体" w:hAnsi="宋体" w:cs="宋体"/>
                <w:color w:val="000000"/>
                <w:sz w:val="24"/>
                <w:highlight w:val="none"/>
              </w:rPr>
              <w:t>投标函</w:t>
            </w:r>
          </w:p>
        </w:tc>
        <w:tc>
          <w:tcPr>
            <w:tcW w:w="1418" w:type="dxa"/>
            <w:vAlign w:val="top"/>
          </w:tcPr>
          <w:p>
            <w:pPr>
              <w:rPr>
                <w:rFonts w:ascii="宋体" w:hAnsi="宋体" w:cs="宋体"/>
                <w:color w:val="000000"/>
                <w:highlight w:val="none"/>
              </w:rPr>
            </w:pPr>
            <w:r>
              <w:rPr>
                <w:rFonts w:hint="eastAsia" w:ascii="宋体" w:hAnsi="宋体" w:cs="宋体"/>
                <w:color w:val="000000"/>
                <w:sz w:val="24"/>
                <w:highlight w:val="none"/>
              </w:rPr>
              <w:t>见投标文件第</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sz w:val="24"/>
                <w:highlight w:val="none"/>
              </w:rPr>
            </w:pPr>
            <w:r>
              <w:rPr>
                <w:rFonts w:hint="eastAsia" w:ascii="宋体" w:hAnsi="宋体" w:cs="宋体"/>
                <w:color w:val="000000"/>
                <w:sz w:val="24"/>
                <w:highlight w:val="none"/>
              </w:rPr>
              <w:t>3</w:t>
            </w:r>
          </w:p>
        </w:tc>
        <w:tc>
          <w:tcPr>
            <w:tcW w:w="4991" w:type="dxa"/>
            <w:vAlign w:val="top"/>
          </w:tcPr>
          <w:p>
            <w:pPr>
              <w:spacing w:line="360" w:lineRule="auto"/>
              <w:rPr>
                <w:rFonts w:ascii="宋体" w:hAnsi="宋体" w:cs="宋体"/>
                <w:color w:val="000000"/>
                <w:sz w:val="24"/>
                <w:highlight w:val="none"/>
              </w:rPr>
            </w:pPr>
            <w:r>
              <w:rPr>
                <w:rFonts w:hint="eastAsia" w:ascii="宋体" w:hAnsi="宋体" w:cs="宋体"/>
                <w:color w:val="000000"/>
                <w:sz w:val="24"/>
                <w:highlight w:val="none"/>
              </w:rPr>
              <w:t>投标文件满足招标文件的其它实质性要求。</w:t>
            </w:r>
          </w:p>
        </w:tc>
        <w:tc>
          <w:tcPr>
            <w:tcW w:w="2551" w:type="dxa"/>
            <w:vAlign w:val="center"/>
          </w:tcPr>
          <w:p>
            <w:pPr>
              <w:rPr>
                <w:rFonts w:ascii="宋体" w:hAnsi="宋体" w:cs="宋体"/>
                <w:color w:val="000000"/>
                <w:sz w:val="24"/>
                <w:highlight w:val="none"/>
              </w:rPr>
            </w:pPr>
            <w:r>
              <w:rPr>
                <w:rFonts w:hint="eastAsia" w:ascii="宋体" w:hAnsi="宋体" w:cs="宋体"/>
                <w:color w:val="000000"/>
                <w:kern w:val="0"/>
                <w:sz w:val="24"/>
                <w:highlight w:val="none"/>
              </w:rPr>
              <w:t>招标文件其它实质性要求相应的材料（“▲” 系指实质性要求条款，招标文件无其它实质性要求的，无需提供）</w:t>
            </w:r>
          </w:p>
        </w:tc>
        <w:tc>
          <w:tcPr>
            <w:tcW w:w="1418" w:type="dxa"/>
            <w:vAlign w:val="top"/>
          </w:tcPr>
          <w:p>
            <w:pPr>
              <w:rPr>
                <w:rFonts w:ascii="宋体" w:hAnsi="宋体" w:cs="宋体"/>
                <w:color w:val="000000"/>
                <w:highlight w:val="none"/>
              </w:rPr>
            </w:pPr>
            <w:r>
              <w:rPr>
                <w:rFonts w:hint="eastAsia" w:ascii="宋体" w:hAnsi="宋体" w:cs="宋体"/>
                <w:color w:val="000000"/>
                <w:sz w:val="24"/>
                <w:highlight w:val="none"/>
              </w:rPr>
              <w:t>见投标文件第</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页</w:t>
            </w:r>
          </w:p>
        </w:tc>
      </w:tr>
    </w:tbl>
    <w:p>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 xml:space="preserve">            </w:t>
      </w: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color w:val="000000"/>
          <w:highlight w:val="none"/>
        </w:rPr>
      </w:pPr>
      <w:r>
        <w:rPr>
          <w:rFonts w:hint="eastAsia" w:ascii="宋体" w:hAnsi="宋体" w:cs="宋体"/>
          <w:b/>
          <w:color w:val="000000"/>
          <w:kern w:val="0"/>
          <w:sz w:val="32"/>
          <w:szCs w:val="32"/>
          <w:highlight w:val="none"/>
        </w:rPr>
        <w:t>五、评标标准相应的商务技术资料</w:t>
      </w:r>
    </w:p>
    <w:p>
      <w:pPr>
        <w:snapToGrid w:val="0"/>
        <w:spacing w:line="360" w:lineRule="auto"/>
        <w:jc w:val="left"/>
        <w:rPr>
          <w:rFonts w:ascii="宋体" w:hAnsi="宋体" w:cs="宋体"/>
          <w:b/>
          <w:color w:val="000000"/>
          <w:sz w:val="24"/>
          <w:highlight w:val="none"/>
        </w:rPr>
      </w:pPr>
      <w:r>
        <w:rPr>
          <w:rFonts w:hint="eastAsia" w:ascii="宋体" w:hAnsi="宋体" w:cs="宋体"/>
          <w:b/>
          <w:color w:val="000000"/>
          <w:sz w:val="24"/>
          <w:highlight w:val="none"/>
        </w:rPr>
        <w:t>（按招标文件第四部分评标办法前附表中“投标文件中评标标准相应的商务技术资料目录”提供资料。）</w:t>
      </w: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ind w:firstLine="2891" w:firstLineChars="900"/>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六、投标标的清单</w:t>
      </w:r>
    </w:p>
    <w:tbl>
      <w:tblPr>
        <w:tblStyle w:val="7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cs="宋体"/>
                <w:b/>
                <w:color w:val="000000"/>
                <w:sz w:val="24"/>
                <w:highlight w:val="none"/>
              </w:rPr>
            </w:pPr>
          </w:p>
          <w:p>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sz w:val="24"/>
                <w:highlight w:val="none"/>
              </w:rPr>
            </w:pPr>
          </w:p>
          <w:p>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备注（如果有）</w:t>
            </w:r>
          </w:p>
          <w:p>
            <w:pPr>
              <w:spacing w:line="360" w:lineRule="auto"/>
              <w:jc w:val="center"/>
              <w:rPr>
                <w:rFonts w:ascii="宋体" w:hAnsi="宋体" w:cs="宋体"/>
                <w:b/>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highlight w:val="none"/>
              </w:rPr>
            </w:pPr>
          </w:p>
        </w:tc>
      </w:tr>
    </w:tbl>
    <w:p>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七、商务技术偏离表</w:t>
      </w:r>
    </w:p>
    <w:tbl>
      <w:tblPr>
        <w:tblStyle w:val="75"/>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宋体" w:hAnsi="宋体" w:cs="宋体"/>
                <w:b/>
                <w:bCs/>
                <w:color w:val="000000"/>
                <w:sz w:val="24"/>
                <w:highlight w:val="none"/>
              </w:rPr>
            </w:pPr>
            <w:r>
              <w:rPr>
                <w:rFonts w:hint="eastAsia" w:ascii="宋体" w:hAnsi="宋体" w:cs="宋体"/>
                <w:b/>
                <w:bCs/>
                <w:color w:val="000000"/>
                <w:sz w:val="24"/>
                <w:highlight w:val="none"/>
              </w:rPr>
              <w:t>序号</w:t>
            </w:r>
          </w:p>
        </w:tc>
        <w:tc>
          <w:tcPr>
            <w:tcW w:w="3683" w:type="dxa"/>
            <w:vAlign w:val="top"/>
          </w:tcPr>
          <w:p>
            <w:pPr>
              <w:jc w:val="center"/>
              <w:rPr>
                <w:rFonts w:ascii="宋体" w:hAnsi="宋体" w:cs="宋体"/>
                <w:b/>
                <w:bCs/>
                <w:color w:val="000000"/>
                <w:sz w:val="24"/>
                <w:highlight w:val="none"/>
              </w:rPr>
            </w:pPr>
            <w:r>
              <w:rPr>
                <w:rFonts w:hint="eastAsia" w:ascii="宋体" w:hAnsi="宋体" w:cs="宋体"/>
                <w:b/>
                <w:bCs/>
                <w:color w:val="000000"/>
                <w:sz w:val="24"/>
                <w:highlight w:val="none"/>
              </w:rPr>
              <w:t>招标文件章节及具体内容</w:t>
            </w:r>
          </w:p>
        </w:tc>
        <w:tc>
          <w:tcPr>
            <w:tcW w:w="3546" w:type="dxa"/>
            <w:vAlign w:val="top"/>
          </w:tcPr>
          <w:p>
            <w:pPr>
              <w:jc w:val="center"/>
              <w:rPr>
                <w:rFonts w:ascii="宋体" w:hAnsi="宋体" w:cs="宋体"/>
                <w:b/>
                <w:bCs/>
                <w:color w:val="000000"/>
                <w:sz w:val="24"/>
                <w:highlight w:val="none"/>
              </w:rPr>
            </w:pPr>
            <w:r>
              <w:rPr>
                <w:rFonts w:hint="eastAsia" w:ascii="宋体" w:hAnsi="宋体" w:cs="宋体"/>
                <w:b/>
                <w:bCs/>
                <w:color w:val="000000"/>
                <w:sz w:val="24"/>
                <w:highlight w:val="none"/>
              </w:rPr>
              <w:t>投标文件章节及具体内容</w:t>
            </w:r>
          </w:p>
        </w:tc>
        <w:tc>
          <w:tcPr>
            <w:tcW w:w="1276" w:type="dxa"/>
            <w:vAlign w:val="top"/>
          </w:tcPr>
          <w:p>
            <w:pPr>
              <w:jc w:val="center"/>
              <w:rPr>
                <w:rFonts w:ascii="宋体" w:hAnsi="宋体" w:cs="宋体"/>
                <w:b/>
                <w:bCs/>
                <w:color w:val="000000"/>
                <w:sz w:val="24"/>
                <w:highlight w:val="none"/>
              </w:rPr>
            </w:pPr>
            <w:r>
              <w:rPr>
                <w:rFonts w:hint="eastAsia" w:ascii="宋体" w:hAnsi="宋体" w:cs="宋体"/>
                <w:b/>
                <w:bCs/>
                <w:color w:val="000000"/>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3683" w:type="dxa"/>
            <w:vAlign w:val="top"/>
          </w:tcPr>
          <w:p>
            <w:pPr>
              <w:jc w:val="center"/>
              <w:rPr>
                <w:rFonts w:ascii="宋体" w:hAnsi="宋体" w:cs="宋体"/>
                <w:b/>
                <w:color w:val="000000"/>
                <w:kern w:val="0"/>
                <w:sz w:val="32"/>
                <w:szCs w:val="32"/>
                <w:highlight w:val="none"/>
              </w:rPr>
            </w:pPr>
          </w:p>
        </w:tc>
        <w:tc>
          <w:tcPr>
            <w:tcW w:w="3546" w:type="dxa"/>
            <w:vAlign w:val="top"/>
          </w:tcPr>
          <w:p>
            <w:pPr>
              <w:jc w:val="center"/>
              <w:rPr>
                <w:rFonts w:ascii="宋体" w:hAnsi="宋体" w:cs="宋体"/>
                <w:b/>
                <w:color w:val="000000"/>
                <w:kern w:val="0"/>
                <w:sz w:val="32"/>
                <w:szCs w:val="32"/>
                <w:highlight w:val="none"/>
              </w:rPr>
            </w:pPr>
          </w:p>
        </w:tc>
        <w:tc>
          <w:tcPr>
            <w:tcW w:w="1276" w:type="dxa"/>
            <w:vAlign w:val="top"/>
          </w:tcPr>
          <w:p>
            <w:pPr>
              <w:jc w:val="center"/>
              <w:rPr>
                <w:rFonts w:ascii="宋体" w:hAnsi="宋体" w:cs="宋体"/>
                <w:b/>
                <w:color w:val="000000"/>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c>
          <w:tcPr>
            <w:tcW w:w="3683" w:type="dxa"/>
            <w:vAlign w:val="top"/>
          </w:tcPr>
          <w:p>
            <w:pPr>
              <w:jc w:val="center"/>
              <w:rPr>
                <w:rFonts w:ascii="宋体" w:hAnsi="宋体" w:cs="宋体"/>
                <w:b/>
                <w:color w:val="000000"/>
                <w:kern w:val="0"/>
                <w:sz w:val="32"/>
                <w:szCs w:val="32"/>
                <w:highlight w:val="none"/>
              </w:rPr>
            </w:pPr>
          </w:p>
        </w:tc>
        <w:tc>
          <w:tcPr>
            <w:tcW w:w="3546" w:type="dxa"/>
            <w:vAlign w:val="top"/>
          </w:tcPr>
          <w:p>
            <w:pPr>
              <w:jc w:val="center"/>
              <w:rPr>
                <w:rFonts w:ascii="宋体" w:hAnsi="宋体" w:cs="宋体"/>
                <w:b/>
                <w:color w:val="000000"/>
                <w:kern w:val="0"/>
                <w:sz w:val="32"/>
                <w:szCs w:val="32"/>
                <w:highlight w:val="none"/>
              </w:rPr>
            </w:pPr>
          </w:p>
        </w:tc>
        <w:tc>
          <w:tcPr>
            <w:tcW w:w="1276" w:type="dxa"/>
            <w:vAlign w:val="top"/>
          </w:tcPr>
          <w:p>
            <w:pPr>
              <w:jc w:val="center"/>
              <w:rPr>
                <w:rFonts w:ascii="宋体" w:hAnsi="宋体" w:cs="宋体"/>
                <w:b/>
                <w:color w:val="000000"/>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3683" w:type="dxa"/>
            <w:vAlign w:val="top"/>
          </w:tcPr>
          <w:p>
            <w:pPr>
              <w:jc w:val="center"/>
              <w:rPr>
                <w:rFonts w:ascii="宋体" w:hAnsi="宋体" w:cs="宋体"/>
                <w:b/>
                <w:color w:val="000000"/>
                <w:kern w:val="0"/>
                <w:sz w:val="32"/>
                <w:szCs w:val="32"/>
                <w:highlight w:val="none"/>
              </w:rPr>
            </w:pPr>
          </w:p>
        </w:tc>
        <w:tc>
          <w:tcPr>
            <w:tcW w:w="3546" w:type="dxa"/>
            <w:vAlign w:val="top"/>
          </w:tcPr>
          <w:p>
            <w:pPr>
              <w:jc w:val="center"/>
              <w:rPr>
                <w:rFonts w:ascii="宋体" w:hAnsi="宋体" w:cs="宋体"/>
                <w:b/>
                <w:color w:val="000000"/>
                <w:kern w:val="0"/>
                <w:sz w:val="32"/>
                <w:szCs w:val="32"/>
                <w:highlight w:val="none"/>
              </w:rPr>
            </w:pPr>
          </w:p>
        </w:tc>
        <w:tc>
          <w:tcPr>
            <w:tcW w:w="1276" w:type="dxa"/>
            <w:vAlign w:val="top"/>
          </w:tcPr>
          <w:p>
            <w:pPr>
              <w:jc w:val="center"/>
              <w:rPr>
                <w:rFonts w:ascii="宋体" w:hAnsi="宋体" w:cs="宋体"/>
                <w:b/>
                <w:color w:val="000000"/>
                <w:kern w:val="0"/>
                <w:sz w:val="32"/>
                <w:szCs w:val="32"/>
                <w:highlight w:val="none"/>
              </w:rPr>
            </w:pPr>
          </w:p>
        </w:tc>
      </w:tr>
    </w:tbl>
    <w:p>
      <w:pPr>
        <w:jc w:val="left"/>
        <w:rPr>
          <w:rFonts w:ascii="宋体" w:hAnsi="宋体" w:cs="宋体"/>
          <w:color w:val="000000"/>
          <w:kern w:val="0"/>
          <w:sz w:val="24"/>
          <w:highlight w:val="none"/>
        </w:rPr>
      </w:pPr>
      <w:r>
        <w:rPr>
          <w:rFonts w:hint="eastAsia" w:ascii="宋体" w:hAnsi="宋体" w:cs="宋体"/>
          <w:color w:val="000000"/>
          <w:kern w:val="0"/>
          <w:sz w:val="24"/>
          <w:highlight w:val="none"/>
        </w:rPr>
        <w:t>投标人保证：除商务技术偏离表列出的偏离外，投标人响应招标文件的全部要求</w:t>
      </w:r>
    </w:p>
    <w:p>
      <w:pPr>
        <w:jc w:val="center"/>
        <w:rPr>
          <w:rFonts w:ascii="宋体" w:hAnsi="宋体" w:cs="宋体"/>
          <w:b/>
          <w:color w:val="000000"/>
          <w:kern w:val="0"/>
          <w:sz w:val="32"/>
          <w:szCs w:val="32"/>
          <w:highlight w:val="none"/>
        </w:rPr>
      </w:pPr>
    </w:p>
    <w:p>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pPr>
        <w:ind w:firstLine="1911" w:firstLineChars="595"/>
        <w:rPr>
          <w:rFonts w:ascii="宋体" w:hAnsi="宋体" w:cs="宋体"/>
          <w:b/>
          <w:bCs/>
          <w:color w:val="000000"/>
          <w:sz w:val="32"/>
          <w:szCs w:val="32"/>
          <w:highlight w:val="none"/>
        </w:rPr>
      </w:pPr>
    </w:p>
    <w:p>
      <w:pPr>
        <w:ind w:firstLine="1911" w:firstLineChars="595"/>
        <w:rPr>
          <w:rFonts w:ascii="宋体" w:hAnsi="宋体" w:cs="宋体"/>
          <w:b/>
          <w:bCs/>
          <w:color w:val="000000"/>
          <w:sz w:val="32"/>
          <w:szCs w:val="32"/>
          <w:highlight w:val="none"/>
        </w:rPr>
      </w:pPr>
    </w:p>
    <w:p>
      <w:pPr>
        <w:ind w:firstLine="1911" w:firstLineChars="595"/>
        <w:rPr>
          <w:rFonts w:ascii="宋体" w:hAnsi="宋体" w:cs="宋体"/>
          <w:b/>
          <w:bCs/>
          <w:color w:val="000000"/>
          <w:sz w:val="32"/>
          <w:szCs w:val="32"/>
          <w:highlight w:val="none"/>
        </w:rPr>
      </w:pPr>
    </w:p>
    <w:p>
      <w:pPr>
        <w:widowControl/>
        <w:adjustRightInd/>
        <w:jc w:val="left"/>
        <w:rPr>
          <w:rFonts w:ascii="宋体" w:hAnsi="宋体" w:cs="宋体"/>
          <w:b/>
          <w:bCs/>
          <w:color w:val="000000"/>
          <w:sz w:val="32"/>
          <w:szCs w:val="32"/>
          <w:highlight w:val="none"/>
        </w:rPr>
      </w:pPr>
      <w:r>
        <w:rPr>
          <w:rFonts w:ascii="宋体" w:hAnsi="宋体" w:cs="宋体"/>
          <w:b/>
          <w:bCs/>
          <w:color w:val="000000"/>
          <w:sz w:val="32"/>
          <w:szCs w:val="32"/>
          <w:highlight w:val="none"/>
        </w:rPr>
        <w:br w:type="page"/>
      </w:r>
    </w:p>
    <w:p>
      <w:pPr>
        <w:ind w:firstLine="1911" w:firstLineChars="595"/>
        <w:rPr>
          <w:rFonts w:ascii="宋体" w:hAnsi="宋体" w:cs="宋体"/>
          <w:b/>
          <w:color w:val="000000"/>
          <w:kern w:val="0"/>
          <w:sz w:val="32"/>
          <w:szCs w:val="32"/>
          <w:highlight w:val="none"/>
        </w:rPr>
      </w:pPr>
      <w:r>
        <w:rPr>
          <w:rFonts w:hint="eastAsia" w:ascii="宋体" w:hAnsi="宋体" w:cs="宋体"/>
          <w:b/>
          <w:bCs/>
          <w:color w:val="000000"/>
          <w:sz w:val="32"/>
          <w:szCs w:val="32"/>
          <w:highlight w:val="none"/>
        </w:rPr>
        <w:t>八</w:t>
      </w:r>
      <w:r>
        <w:rPr>
          <w:rFonts w:hint="eastAsia" w:ascii="宋体" w:hAnsi="宋体" w:cs="宋体"/>
          <w:b/>
          <w:color w:val="000000"/>
          <w:kern w:val="0"/>
          <w:sz w:val="32"/>
          <w:szCs w:val="32"/>
          <w:highlight w:val="none"/>
        </w:rPr>
        <w:t>、</w:t>
      </w:r>
      <w:r>
        <w:rPr>
          <w:rFonts w:hint="eastAsia" w:ascii="宋体" w:hAnsi="宋体" w:cs="宋体"/>
          <w:b/>
          <w:color w:val="000000"/>
          <w:kern w:val="0"/>
          <w:sz w:val="32"/>
          <w:szCs w:val="32"/>
          <w:highlight w:val="none"/>
          <w:lang w:val="zh-CN"/>
        </w:rPr>
        <w:t>政府采购供应商廉洁自律承诺书</w:t>
      </w:r>
    </w:p>
    <w:p>
      <w:pPr>
        <w:snapToGrid w:val="0"/>
        <w:spacing w:line="360" w:lineRule="auto"/>
        <w:rPr>
          <w:rFonts w:ascii="宋体" w:hAnsi="宋体" w:cs="宋体"/>
          <w:color w:val="000000"/>
          <w:sz w:val="24"/>
          <w:highlight w:val="none"/>
        </w:rPr>
      </w:pPr>
    </w:p>
    <w:p>
      <w:pPr>
        <w:snapToGrid w:val="0"/>
        <w:spacing w:line="360" w:lineRule="auto"/>
        <w:rPr>
          <w:rFonts w:ascii="宋体" w:hAnsi="宋体" w:cs="宋体"/>
          <w:color w:val="000000"/>
          <w:kern w:val="0"/>
          <w:sz w:val="24"/>
          <w:highlight w:val="none"/>
        </w:rPr>
      </w:pPr>
      <w:r>
        <w:rPr>
          <w:rFonts w:hint="eastAsia" w:ascii="宋体" w:hAnsi="宋体" w:cs="宋体"/>
          <w:color w:val="000000"/>
          <w:sz w:val="24"/>
          <w:highlight w:val="none"/>
        </w:rPr>
        <w:t>（采购人）、（采购代理机构）</w:t>
      </w:r>
      <w:r>
        <w:rPr>
          <w:rFonts w:hint="eastAsia" w:ascii="宋体" w:hAnsi="宋体" w:cs="宋体"/>
          <w:color w:val="000000"/>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我单位响应你</w:t>
      </w:r>
      <w:r>
        <w:rPr>
          <w:rFonts w:hint="eastAsia" w:ascii="宋体" w:hAnsi="宋体" w:cs="宋体"/>
          <w:color w:val="000000"/>
          <w:sz w:val="24"/>
          <w:highlight w:val="none"/>
        </w:rPr>
        <w:t>单位</w:t>
      </w:r>
      <w:r>
        <w:rPr>
          <w:rFonts w:hint="eastAsia" w:ascii="宋体" w:hAnsi="宋体" w:cs="宋体"/>
          <w:color w:val="000000"/>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好处；</w:t>
      </w:r>
    </w:p>
    <w:p>
      <w:pPr>
        <w:autoSpaceDE w:val="0"/>
        <w:autoSpaceDN w:val="0"/>
        <w:spacing w:line="360" w:lineRule="auto"/>
        <w:ind w:left="481" w:leftChars="229"/>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六、严格遵守《</w:t>
      </w:r>
      <w:r>
        <w:rPr>
          <w:rFonts w:hint="eastAsia" w:ascii="宋体" w:hAnsi="宋体" w:cs="宋体"/>
          <w:color w:val="000000"/>
          <w:sz w:val="24"/>
          <w:highlight w:val="none"/>
          <w:lang w:val="zh-CN"/>
        </w:rPr>
        <w:t>中华人民共和国</w:t>
      </w:r>
      <w:r>
        <w:rPr>
          <w:rFonts w:hint="eastAsia" w:ascii="宋体" w:hAnsi="宋体" w:cs="宋体"/>
          <w:color w:val="000000"/>
          <w:kern w:val="0"/>
          <w:sz w:val="24"/>
          <w:highlight w:val="none"/>
          <w:lang w:val="zh-CN"/>
        </w:rPr>
        <w:t>政府采购法》《</w:t>
      </w:r>
      <w:r>
        <w:rPr>
          <w:rFonts w:hint="eastAsia" w:ascii="宋体" w:hAnsi="宋体" w:cs="宋体"/>
          <w:color w:val="000000"/>
          <w:sz w:val="24"/>
          <w:highlight w:val="none"/>
          <w:lang w:val="zh-CN"/>
        </w:rPr>
        <w:t>中华人民共和国</w:t>
      </w:r>
      <w:r>
        <w:rPr>
          <w:rFonts w:hint="eastAsia" w:ascii="宋体" w:hAnsi="宋体" w:cs="宋体"/>
          <w:color w:val="000000"/>
          <w:kern w:val="0"/>
          <w:sz w:val="24"/>
          <w:highlight w:val="none"/>
          <w:lang w:val="zh-CN"/>
        </w:rPr>
        <w:t>招标投标</w:t>
      </w:r>
    </w:p>
    <w:p>
      <w:pPr>
        <w:autoSpaceDE w:val="0"/>
        <w:autoSpaceDN w:val="0"/>
        <w:spacing w:line="360" w:lineRule="auto"/>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法》</w:t>
      </w:r>
      <w:r>
        <w:rPr>
          <w:rFonts w:hint="eastAsia" w:ascii="宋体" w:hAnsi="宋体" w:cs="宋体"/>
          <w:color w:val="000000"/>
          <w:sz w:val="24"/>
          <w:highlight w:val="none"/>
          <w:lang w:val="zh-CN"/>
        </w:rPr>
        <w:t>《中华人民共和国民法典》</w:t>
      </w:r>
      <w:r>
        <w:rPr>
          <w:rFonts w:hint="eastAsia" w:ascii="宋体" w:hAnsi="宋体" w:cs="宋体"/>
          <w:color w:val="000000"/>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如违反上述承诺，你</w:t>
      </w:r>
      <w:r>
        <w:rPr>
          <w:rFonts w:hint="eastAsia" w:ascii="宋体" w:hAnsi="宋体" w:cs="宋体"/>
          <w:color w:val="000000"/>
          <w:sz w:val="24"/>
          <w:highlight w:val="none"/>
        </w:rPr>
        <w:t>单位</w:t>
      </w:r>
      <w:r>
        <w:rPr>
          <w:rFonts w:hint="eastAsia" w:ascii="宋体" w:hAnsi="宋体" w:cs="宋体"/>
          <w:color w:val="000000"/>
          <w:kern w:val="0"/>
          <w:sz w:val="24"/>
          <w:highlight w:val="none"/>
          <w:lang w:val="zh-CN"/>
        </w:rPr>
        <w:t>有权立即取消我单位投标、中标或在建项目的建设资格，有权拒绝我单位在一定时期内进入你</w:t>
      </w:r>
      <w:r>
        <w:rPr>
          <w:rFonts w:hint="eastAsia" w:ascii="宋体" w:hAnsi="宋体" w:cs="宋体"/>
          <w:color w:val="000000"/>
          <w:sz w:val="24"/>
          <w:highlight w:val="none"/>
        </w:rPr>
        <w:t>单位</w:t>
      </w:r>
      <w:r>
        <w:rPr>
          <w:rFonts w:hint="eastAsia" w:ascii="宋体" w:hAnsi="宋体" w:cs="宋体"/>
          <w:color w:val="000000"/>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000000"/>
          <w:kern w:val="0"/>
          <w:sz w:val="24"/>
          <w:highlight w:val="none"/>
          <w:lang w:val="zh-CN"/>
        </w:rPr>
      </w:pPr>
    </w:p>
    <w:p>
      <w:pPr>
        <w:autoSpaceDE w:val="0"/>
        <w:autoSpaceDN w:val="0"/>
        <w:spacing w:line="360" w:lineRule="auto"/>
        <w:ind w:left="2"/>
        <w:jc w:val="left"/>
        <w:rPr>
          <w:rFonts w:ascii="宋体" w:hAnsi="宋体" w:cs="宋体"/>
          <w:color w:val="000000"/>
          <w:kern w:val="0"/>
          <w:sz w:val="24"/>
          <w:highlight w:val="none"/>
          <w:lang w:val="zh-CN"/>
        </w:rPr>
      </w:pPr>
    </w:p>
    <w:p>
      <w:pPr>
        <w:autoSpaceDE w:val="0"/>
        <w:autoSpaceDN w:val="0"/>
        <w:spacing w:line="360" w:lineRule="auto"/>
        <w:ind w:left="2"/>
        <w:jc w:val="left"/>
        <w:rPr>
          <w:rFonts w:ascii="宋体" w:hAnsi="宋体" w:cs="宋体"/>
          <w:color w:val="000000"/>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投标人名称（</w:t>
      </w:r>
      <w:r>
        <w:rPr>
          <w:rFonts w:hint="eastAsia" w:ascii="宋体" w:hAnsi="宋体" w:cs="宋体"/>
          <w:color w:val="000000"/>
          <w:sz w:val="24"/>
          <w:highlight w:val="none"/>
        </w:rPr>
        <w:t>电子签名</w:t>
      </w:r>
      <w:r>
        <w:rPr>
          <w:rFonts w:hint="eastAsia" w:ascii="宋体" w:hAnsi="宋体" w:cs="宋体"/>
          <w:color w:val="000000"/>
          <w:kern w:val="0"/>
          <w:sz w:val="24"/>
          <w:highlight w:val="none"/>
          <w:lang w:val="zh-CN"/>
        </w:rPr>
        <w:t xml:space="preserve">）：                                                                                                                                                                                                               </w:t>
      </w:r>
    </w:p>
    <w:p>
      <w:pPr>
        <w:spacing w:line="360" w:lineRule="auto"/>
        <w:ind w:left="4620" w:leftChars="2200"/>
        <w:rPr>
          <w:rFonts w:ascii="宋体" w:hAnsi="宋体" w:cs="宋体"/>
          <w:color w:val="000000"/>
          <w:sz w:val="24"/>
          <w:highlight w:val="none"/>
        </w:rPr>
      </w:pPr>
      <w:r>
        <w:rPr>
          <w:rFonts w:hint="eastAsia" w:ascii="宋体" w:hAnsi="宋体" w:cs="宋体"/>
          <w:color w:val="000000"/>
          <w:kern w:val="0"/>
          <w:sz w:val="24"/>
          <w:highlight w:val="none"/>
          <w:lang w:val="zh-CN"/>
        </w:rPr>
        <w:t>日期</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zh-CN"/>
        </w:rPr>
        <w:t xml:space="preserve">   年   月   日</w:t>
      </w:r>
    </w:p>
    <w:p>
      <w:pPr>
        <w:spacing w:line="360" w:lineRule="auto"/>
        <w:jc w:val="center"/>
        <w:rPr>
          <w:rFonts w:ascii="宋体" w:hAnsi="宋体" w:cs="宋体"/>
          <w:b/>
          <w:bCs/>
          <w:color w:val="000000"/>
          <w:sz w:val="24"/>
          <w:highlight w:val="none"/>
        </w:rPr>
      </w:pPr>
    </w:p>
    <w:p>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pPr>
        <w:spacing w:line="360" w:lineRule="auto"/>
        <w:jc w:val="center"/>
        <w:rPr>
          <w:rFonts w:ascii="宋体" w:hAnsi="宋体" w:cs="宋体"/>
          <w:b/>
          <w:bCs/>
          <w:color w:val="000000"/>
          <w:sz w:val="24"/>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000000"/>
          <w:kern w:val="0"/>
          <w:sz w:val="36"/>
          <w:szCs w:val="36"/>
          <w:highlight w:val="none"/>
        </w:rPr>
      </w:pPr>
      <w:r>
        <w:rPr>
          <w:rFonts w:hint="eastAsia" w:ascii="宋体" w:hAnsi="宋体" w:cs="宋体"/>
          <w:b/>
          <w:color w:val="000000"/>
          <w:kern w:val="0"/>
          <w:sz w:val="36"/>
          <w:szCs w:val="36"/>
          <w:highlight w:val="none"/>
        </w:rPr>
        <w:t>报价文件部分</w:t>
      </w:r>
    </w:p>
    <w:p>
      <w:pPr>
        <w:spacing w:line="360" w:lineRule="auto"/>
        <w:jc w:val="center"/>
        <w:outlineLvl w:val="0"/>
        <w:rPr>
          <w:rFonts w:ascii="宋体" w:hAnsi="宋体" w:cs="宋体"/>
          <w:b/>
          <w:color w:val="000000"/>
          <w:kern w:val="0"/>
          <w:sz w:val="36"/>
          <w:szCs w:val="36"/>
          <w:highlight w:val="none"/>
        </w:rPr>
      </w:pPr>
      <w:r>
        <w:rPr>
          <w:rFonts w:hint="eastAsia" w:ascii="宋体" w:hAnsi="宋体" w:cs="宋体"/>
          <w:b/>
          <w:color w:val="000000"/>
          <w:kern w:val="0"/>
          <w:sz w:val="36"/>
          <w:szCs w:val="36"/>
          <w:highlight w:val="none"/>
        </w:rPr>
        <w:t>目录</w:t>
      </w:r>
    </w:p>
    <w:p>
      <w:pPr>
        <w:spacing w:line="360" w:lineRule="auto"/>
        <w:jc w:val="center"/>
        <w:outlineLvl w:val="0"/>
        <w:rPr>
          <w:rFonts w:ascii="宋体" w:hAnsi="宋体" w:cs="宋体"/>
          <w:b/>
          <w:color w:val="000000"/>
          <w:kern w:val="0"/>
          <w:sz w:val="36"/>
          <w:szCs w:val="36"/>
          <w:highlight w:val="none"/>
        </w:rPr>
      </w:pPr>
    </w:p>
    <w:p>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（1）开标一览表（报价表）………………………………………………………（页码）</w:t>
      </w:r>
    </w:p>
    <w:p>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（2）中小企业声明函………………………………………………………………（页码）</w:t>
      </w:r>
    </w:p>
    <w:p>
      <w:pPr>
        <w:snapToGrid w:val="0"/>
        <w:spacing w:line="360" w:lineRule="auto"/>
        <w:ind w:right="480"/>
        <w:jc w:val="center"/>
        <w:rPr>
          <w:rFonts w:ascii="宋体" w:hAnsi="宋体" w:cs="宋体"/>
          <w:b/>
          <w:color w:val="000000"/>
          <w:kern w:val="0"/>
          <w:sz w:val="32"/>
          <w:szCs w:val="32"/>
          <w:highlight w:val="none"/>
        </w:rPr>
      </w:pPr>
    </w:p>
    <w:p>
      <w:pPr>
        <w:snapToGrid w:val="0"/>
        <w:spacing w:line="360" w:lineRule="auto"/>
        <w:ind w:right="480"/>
        <w:jc w:val="center"/>
        <w:rPr>
          <w:rFonts w:ascii="宋体" w:hAnsi="宋体" w:cs="宋体"/>
          <w:b/>
          <w:color w:val="000000"/>
          <w:kern w:val="0"/>
          <w:sz w:val="32"/>
          <w:szCs w:val="32"/>
          <w:highlight w:val="none"/>
        </w:rPr>
      </w:pPr>
    </w:p>
    <w:p>
      <w:pPr>
        <w:snapToGrid w:val="0"/>
        <w:spacing w:line="360" w:lineRule="auto"/>
        <w:ind w:right="480"/>
        <w:jc w:val="center"/>
        <w:rPr>
          <w:rFonts w:ascii="宋体" w:hAnsi="宋体" w:cs="宋体"/>
          <w:b/>
          <w:color w:val="000000"/>
          <w:kern w:val="0"/>
          <w:sz w:val="32"/>
          <w:szCs w:val="32"/>
          <w:highlight w:val="none"/>
        </w:rPr>
      </w:pPr>
    </w:p>
    <w:p>
      <w:pPr>
        <w:snapToGrid w:val="0"/>
        <w:spacing w:line="360" w:lineRule="auto"/>
        <w:ind w:right="480"/>
        <w:jc w:val="center"/>
        <w:rPr>
          <w:rFonts w:ascii="宋体" w:hAnsi="宋体" w:cs="宋体"/>
          <w:b/>
          <w:color w:val="000000"/>
          <w:kern w:val="0"/>
          <w:sz w:val="32"/>
          <w:szCs w:val="32"/>
          <w:highlight w:val="none"/>
        </w:rPr>
      </w:pPr>
    </w:p>
    <w:p>
      <w:pPr>
        <w:snapToGrid w:val="0"/>
        <w:spacing w:line="360" w:lineRule="auto"/>
        <w:ind w:right="480"/>
        <w:jc w:val="center"/>
        <w:rPr>
          <w:rFonts w:ascii="宋体" w:hAnsi="宋体" w:cs="宋体"/>
          <w:b/>
          <w:color w:val="000000"/>
          <w:kern w:val="0"/>
          <w:sz w:val="32"/>
          <w:szCs w:val="32"/>
          <w:highlight w:val="none"/>
        </w:rPr>
      </w:pPr>
    </w:p>
    <w:p>
      <w:pPr>
        <w:snapToGrid w:val="0"/>
        <w:spacing w:line="360" w:lineRule="auto"/>
        <w:ind w:right="480"/>
        <w:jc w:val="center"/>
        <w:rPr>
          <w:rFonts w:ascii="宋体" w:hAnsi="宋体" w:cs="宋体"/>
          <w:b/>
          <w:color w:val="000000"/>
          <w:kern w:val="0"/>
          <w:sz w:val="32"/>
          <w:szCs w:val="32"/>
          <w:highlight w:val="none"/>
        </w:rPr>
      </w:pPr>
    </w:p>
    <w:p>
      <w:pPr>
        <w:snapToGrid w:val="0"/>
        <w:spacing w:line="360" w:lineRule="auto"/>
        <w:ind w:right="480"/>
        <w:jc w:val="center"/>
        <w:rPr>
          <w:rFonts w:ascii="宋体" w:hAnsi="宋体" w:cs="宋体"/>
          <w:b/>
          <w:color w:val="000000"/>
          <w:kern w:val="0"/>
          <w:sz w:val="32"/>
          <w:szCs w:val="32"/>
          <w:highlight w:val="none"/>
        </w:rPr>
      </w:pPr>
    </w:p>
    <w:p>
      <w:pPr>
        <w:snapToGrid w:val="0"/>
        <w:spacing w:line="360" w:lineRule="auto"/>
        <w:ind w:right="480"/>
        <w:jc w:val="center"/>
        <w:rPr>
          <w:rFonts w:ascii="宋体" w:hAnsi="宋体" w:cs="宋体"/>
          <w:b/>
          <w:color w:val="000000"/>
          <w:kern w:val="0"/>
          <w:sz w:val="32"/>
          <w:szCs w:val="32"/>
          <w:highlight w:val="none"/>
        </w:rPr>
      </w:pPr>
    </w:p>
    <w:p>
      <w:pPr>
        <w:snapToGrid w:val="0"/>
        <w:spacing w:line="360" w:lineRule="auto"/>
        <w:ind w:right="480"/>
        <w:jc w:val="center"/>
        <w:rPr>
          <w:rFonts w:ascii="宋体" w:hAnsi="宋体" w:cs="宋体"/>
          <w:b/>
          <w:color w:val="000000"/>
          <w:kern w:val="0"/>
          <w:sz w:val="32"/>
          <w:szCs w:val="32"/>
          <w:highlight w:val="none"/>
        </w:rPr>
      </w:pPr>
    </w:p>
    <w:p>
      <w:pPr>
        <w:snapToGrid w:val="0"/>
        <w:spacing w:line="360" w:lineRule="auto"/>
        <w:ind w:right="480"/>
        <w:jc w:val="center"/>
        <w:rPr>
          <w:rFonts w:ascii="宋体" w:hAnsi="宋体" w:cs="宋体"/>
          <w:b/>
          <w:color w:val="000000"/>
          <w:kern w:val="0"/>
          <w:sz w:val="32"/>
          <w:szCs w:val="32"/>
          <w:highlight w:val="none"/>
        </w:rPr>
      </w:pPr>
    </w:p>
    <w:p>
      <w:pPr>
        <w:snapToGrid w:val="0"/>
        <w:spacing w:line="360" w:lineRule="auto"/>
        <w:ind w:right="480"/>
        <w:jc w:val="center"/>
        <w:rPr>
          <w:rFonts w:ascii="宋体" w:hAnsi="宋体" w:cs="宋体"/>
          <w:b/>
          <w:color w:val="000000"/>
          <w:kern w:val="0"/>
          <w:sz w:val="32"/>
          <w:szCs w:val="32"/>
          <w:highlight w:val="none"/>
        </w:rPr>
      </w:pPr>
    </w:p>
    <w:p>
      <w:pPr>
        <w:snapToGrid w:val="0"/>
        <w:spacing w:line="360" w:lineRule="auto"/>
        <w:ind w:right="480"/>
        <w:jc w:val="center"/>
        <w:rPr>
          <w:rFonts w:ascii="宋体" w:hAnsi="宋体" w:cs="宋体"/>
          <w:b/>
          <w:color w:val="000000"/>
          <w:kern w:val="0"/>
          <w:sz w:val="32"/>
          <w:szCs w:val="32"/>
          <w:highlight w:val="none"/>
        </w:rPr>
      </w:pPr>
    </w:p>
    <w:p>
      <w:pPr>
        <w:snapToGrid w:val="0"/>
        <w:spacing w:line="360" w:lineRule="auto"/>
        <w:ind w:right="480"/>
        <w:jc w:val="center"/>
        <w:rPr>
          <w:rFonts w:ascii="宋体" w:hAnsi="宋体" w:cs="宋体"/>
          <w:b/>
          <w:color w:val="000000"/>
          <w:kern w:val="0"/>
          <w:sz w:val="32"/>
          <w:szCs w:val="32"/>
          <w:highlight w:val="none"/>
        </w:rPr>
      </w:pPr>
    </w:p>
    <w:p>
      <w:pPr>
        <w:snapToGrid w:val="0"/>
        <w:spacing w:line="360" w:lineRule="auto"/>
        <w:ind w:right="480"/>
        <w:jc w:val="center"/>
        <w:rPr>
          <w:rFonts w:ascii="宋体" w:hAnsi="宋体" w:cs="宋体"/>
          <w:b/>
          <w:color w:val="000000"/>
          <w:kern w:val="0"/>
          <w:sz w:val="32"/>
          <w:szCs w:val="32"/>
          <w:highlight w:val="none"/>
        </w:rPr>
      </w:pPr>
    </w:p>
    <w:p>
      <w:pPr>
        <w:snapToGrid w:val="0"/>
        <w:spacing w:line="360" w:lineRule="auto"/>
        <w:ind w:right="480"/>
        <w:jc w:val="center"/>
        <w:rPr>
          <w:rFonts w:ascii="宋体" w:hAnsi="宋体" w:cs="宋体"/>
          <w:b/>
          <w:color w:val="000000"/>
          <w:kern w:val="0"/>
          <w:sz w:val="32"/>
          <w:szCs w:val="32"/>
          <w:highlight w:val="none"/>
        </w:rPr>
      </w:pPr>
    </w:p>
    <w:p>
      <w:pPr>
        <w:pStyle w:val="264"/>
        <w:tabs>
          <w:tab w:val="clear" w:pos="720"/>
        </w:tabs>
        <w:snapToGrid w:val="0"/>
        <w:spacing w:before="120" w:after="120"/>
        <w:ind w:firstLine="643"/>
        <w:outlineLvl w:val="9"/>
        <w:rPr>
          <w:rFonts w:ascii="宋体" w:hAnsi="宋体" w:eastAsia="宋体" w:cs="宋体"/>
          <w:color w:val="000000"/>
          <w:kern w:val="2"/>
          <w:sz w:val="32"/>
          <w:szCs w:val="32"/>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pStyle w:val="264"/>
        <w:tabs>
          <w:tab w:val="clear" w:pos="720"/>
        </w:tabs>
        <w:snapToGrid w:val="0"/>
        <w:spacing w:before="120" w:after="120"/>
        <w:ind w:firstLine="643"/>
        <w:outlineLvl w:val="9"/>
        <w:rPr>
          <w:rFonts w:ascii="宋体" w:hAnsi="宋体" w:eastAsia="宋体" w:cs="宋体"/>
          <w:color w:val="000000"/>
          <w:kern w:val="2"/>
          <w:sz w:val="32"/>
          <w:szCs w:val="32"/>
          <w:highlight w:val="none"/>
        </w:rPr>
      </w:pPr>
      <w:r>
        <w:rPr>
          <w:rFonts w:hint="eastAsia" w:ascii="宋体" w:hAnsi="宋体" w:eastAsia="宋体" w:cs="宋体"/>
          <w:color w:val="000000"/>
          <w:kern w:val="2"/>
          <w:sz w:val="32"/>
          <w:szCs w:val="32"/>
          <w:highlight w:val="none"/>
        </w:rPr>
        <w:t>一、开标一览表（报价表）</w:t>
      </w:r>
    </w:p>
    <w:p>
      <w:pPr>
        <w:snapToGrid w:val="0"/>
        <w:spacing w:line="360" w:lineRule="auto"/>
        <w:rPr>
          <w:rFonts w:ascii="宋体" w:hAnsi="宋体" w:cs="宋体"/>
          <w:color w:val="000000"/>
          <w:kern w:val="0"/>
          <w:sz w:val="24"/>
          <w:highlight w:val="none"/>
        </w:rPr>
      </w:pPr>
      <w:r>
        <w:rPr>
          <w:rFonts w:hint="eastAsia" w:ascii="宋体" w:hAnsi="宋体" w:cs="宋体"/>
          <w:color w:val="000000"/>
          <w:sz w:val="24"/>
          <w:highlight w:val="none"/>
        </w:rPr>
        <w:t>（采购人）、（采购代理机构）</w:t>
      </w:r>
      <w:r>
        <w:rPr>
          <w:rFonts w:hint="eastAsia" w:ascii="宋体" w:hAnsi="宋体" w:cs="宋体"/>
          <w:color w:val="000000"/>
          <w:kern w:val="0"/>
          <w:sz w:val="24"/>
          <w:highlight w:val="none"/>
          <w:lang w:val="zh-CN"/>
        </w:rPr>
        <w:t>：</w:t>
      </w:r>
    </w:p>
    <w:p>
      <w:pPr>
        <w:snapToGrid w:val="0"/>
        <w:spacing w:line="360" w:lineRule="auto"/>
        <w:ind w:firstLine="482"/>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00"/>
          <w:sz w:val="24"/>
          <w:highlight w:val="none"/>
        </w:rPr>
        <w:t>（</w:t>
      </w:r>
      <w:r>
        <w:rPr>
          <w:rFonts w:hint="eastAsia" w:ascii="宋体" w:hAnsi="宋体" w:cs="宋体"/>
          <w:color w:val="000000"/>
          <w:sz w:val="24"/>
          <w:highlight w:val="none"/>
          <w:lang w:eastAsia="zh-CN"/>
        </w:rPr>
        <w:t>良渚消防站电力配电项目</w:t>
      </w:r>
      <w:r>
        <w:rPr>
          <w:rFonts w:hint="eastAsia" w:ascii="宋体" w:hAnsi="宋体" w:cs="宋体"/>
          <w:color w:val="000000"/>
          <w:sz w:val="24"/>
          <w:highlight w:val="none"/>
        </w:rPr>
        <w:t>）</w:t>
      </w:r>
      <w:r>
        <w:rPr>
          <w:rFonts w:hint="eastAsia" w:ascii="宋体" w:hAnsi="宋体" w:cs="宋体"/>
          <w:color w:val="000000"/>
          <w:kern w:val="0"/>
          <w:sz w:val="24"/>
          <w:highlight w:val="none"/>
          <w:lang w:val="zh-CN"/>
        </w:rPr>
        <w:t>【招标编号：</w:t>
      </w:r>
      <w:r>
        <w:rPr>
          <w:rFonts w:hint="eastAsia" w:ascii="宋体" w:hAnsi="宋体" w:cs="宋体"/>
          <w:color w:val="000000"/>
          <w:sz w:val="24"/>
          <w:highlight w:val="none"/>
        </w:rPr>
        <w:t>（</w:t>
      </w:r>
      <w:r>
        <w:rPr>
          <w:rFonts w:hint="eastAsia" w:ascii="宋体" w:hAnsi="宋体" w:cs="宋体"/>
          <w:color w:val="000000"/>
          <w:sz w:val="24"/>
          <w:highlight w:val="none"/>
          <w:lang w:eastAsia="zh-CN"/>
        </w:rPr>
        <w:t>HZHZCG2024-019</w:t>
      </w:r>
      <w:r>
        <w:rPr>
          <w:rFonts w:hint="eastAsia" w:ascii="宋体" w:hAnsi="宋体" w:cs="宋体"/>
          <w:color w:val="000000"/>
          <w:sz w:val="24"/>
          <w:highlight w:val="none"/>
        </w:rPr>
        <w:t>）】的实施</w:t>
      </w:r>
      <w:r>
        <w:rPr>
          <w:rFonts w:hint="eastAsia" w:ascii="宋体" w:hAnsi="宋体" w:cs="宋体"/>
          <w:color w:val="000000"/>
          <w:kern w:val="0"/>
          <w:sz w:val="24"/>
          <w:highlight w:val="none"/>
          <w:lang w:val="zh-CN"/>
        </w:rPr>
        <w:t>。</w:t>
      </w:r>
    </w:p>
    <w:p>
      <w:pPr>
        <w:spacing w:line="360" w:lineRule="auto"/>
        <w:jc w:val="center"/>
        <w:rPr>
          <w:rFonts w:ascii="宋体" w:hAnsi="宋体" w:cs="宋体"/>
          <w:b/>
          <w:color w:val="000000"/>
          <w:kern w:val="0"/>
          <w:sz w:val="24"/>
          <w:highlight w:val="none"/>
          <w:lang w:val="zh-CN"/>
        </w:rPr>
      </w:pPr>
      <w:r>
        <w:rPr>
          <w:rFonts w:hint="eastAsia" w:ascii="宋体" w:hAnsi="宋体" w:cs="宋体"/>
          <w:b/>
          <w:color w:val="000000"/>
          <w:kern w:val="0"/>
          <w:sz w:val="24"/>
          <w:highlight w:val="none"/>
          <w:lang w:val="zh-CN"/>
        </w:rPr>
        <w:t>开标一览表（报价表）(单位均为人民币元)</w:t>
      </w:r>
    </w:p>
    <w:tbl>
      <w:tblPr>
        <w:tblStyle w:val="74"/>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vAlign w:val="top"/>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规格型号（或具体服务）</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总价</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服务要求（年限）</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color w:val="000000"/>
          <w:kern w:val="0"/>
          <w:sz w:val="24"/>
          <w:highlight w:val="none"/>
          <w:lang w:val="zh-CN"/>
        </w:rPr>
      </w:pPr>
      <w:r>
        <w:rPr>
          <w:rFonts w:hint="eastAsia" w:ascii="宋体" w:hAnsi="宋体" w:cs="宋体"/>
          <w:b/>
          <w:color w:val="000000"/>
          <w:kern w:val="0"/>
          <w:sz w:val="24"/>
          <w:highlight w:val="none"/>
          <w:lang w:val="zh-CN"/>
        </w:rPr>
        <w:t>注：</w:t>
      </w:r>
    </w:p>
    <w:p>
      <w:pPr>
        <w:spacing w:line="360" w:lineRule="auto"/>
        <w:ind w:left="-2"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1、投标人需按本表格式填写</w:t>
      </w:r>
      <w:r>
        <w:rPr>
          <w:rFonts w:hint="eastAsia" w:ascii="宋体" w:hAnsi="宋体" w:cs="宋体"/>
          <w:b/>
          <w:color w:val="000000"/>
          <w:kern w:val="0"/>
          <w:sz w:val="24"/>
          <w:highlight w:val="none"/>
          <w:lang w:val="zh-CN"/>
        </w:rPr>
        <w:t>，</w:t>
      </w:r>
      <w:r>
        <w:rPr>
          <w:rFonts w:hint="eastAsia" w:ascii="宋体" w:hAnsi="宋体" w:cs="宋体"/>
          <w:b/>
          <w:color w:val="000000"/>
          <w:kern w:val="0"/>
          <w:sz w:val="24"/>
          <w:highlight w:val="none"/>
        </w:rPr>
        <w:t>否则视为</w:t>
      </w:r>
      <w:r>
        <w:rPr>
          <w:rFonts w:hint="eastAsia" w:ascii="宋体" w:hAnsi="宋体" w:cs="宋体"/>
          <w:b/>
          <w:color w:val="000000"/>
          <w:sz w:val="24"/>
          <w:highlight w:val="none"/>
        </w:rPr>
        <w:t>投标文件含有采购人不能接受的附加条件，投标无效</w:t>
      </w:r>
      <w:r>
        <w:rPr>
          <w:rFonts w:hint="eastAsia" w:ascii="宋体" w:hAnsi="宋体" w:cs="宋体"/>
          <w:b/>
          <w:color w:val="000000"/>
          <w:kern w:val="0"/>
          <w:sz w:val="24"/>
          <w:highlight w:val="none"/>
          <w:lang w:val="zh-CN"/>
        </w:rPr>
        <w:t>；</w:t>
      </w:r>
      <w:r>
        <w:rPr>
          <w:rFonts w:hint="eastAsia" w:ascii="宋体" w:hAnsi="宋体" w:cs="宋体"/>
          <w:color w:val="000000"/>
          <w:kern w:val="0"/>
          <w:sz w:val="24"/>
          <w:highlight w:val="none"/>
          <w:lang w:val="zh-CN"/>
        </w:rPr>
        <w:t>。</w:t>
      </w:r>
    </w:p>
    <w:p>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lang w:val="zh-CN"/>
        </w:rPr>
        <w:t>2、有关本项目实施所涉及的一切费用均计入报价。</w:t>
      </w:r>
      <w:r>
        <w:rPr>
          <w:rFonts w:hint="eastAsia" w:ascii="宋体" w:hAnsi="宋体" w:cs="宋体"/>
          <w:b/>
          <w:color w:val="000000"/>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000000"/>
          <w:kern w:val="0"/>
          <w:sz w:val="24"/>
          <w:highlight w:val="none"/>
          <w:lang w:val="zh-CN"/>
        </w:rPr>
        <w:t>，</w:t>
      </w:r>
      <w:r>
        <w:rPr>
          <w:rFonts w:hint="eastAsia" w:ascii="宋体" w:hAnsi="宋体" w:cs="宋体"/>
          <w:b/>
          <w:color w:val="000000"/>
          <w:kern w:val="0"/>
          <w:sz w:val="24"/>
          <w:highlight w:val="none"/>
          <w:lang w:val="zh-CN"/>
        </w:rPr>
        <w:t>不得出现“0元”“免费赠送”等形式的无偿报价，</w:t>
      </w:r>
      <w:r>
        <w:rPr>
          <w:rFonts w:hint="eastAsia" w:ascii="宋体" w:hAnsi="宋体" w:cs="宋体"/>
          <w:b/>
          <w:color w:val="000000"/>
          <w:kern w:val="0"/>
          <w:sz w:val="24"/>
          <w:highlight w:val="none"/>
        </w:rPr>
        <w:t>否则视为</w:t>
      </w:r>
      <w:r>
        <w:rPr>
          <w:rFonts w:hint="eastAsia" w:ascii="宋体" w:hAnsi="宋体" w:cs="宋体"/>
          <w:b/>
          <w:color w:val="000000"/>
          <w:sz w:val="24"/>
          <w:highlight w:val="none"/>
        </w:rPr>
        <w:t>投标文件含有采购人不能接受的附加条件，投标无效</w:t>
      </w:r>
      <w:r>
        <w:rPr>
          <w:rFonts w:hint="eastAsia" w:ascii="宋体" w:hAnsi="宋体" w:cs="宋体"/>
          <w:b/>
          <w:color w:val="000000"/>
          <w:kern w:val="0"/>
          <w:sz w:val="24"/>
          <w:highlight w:val="none"/>
          <w:lang w:val="zh-CN"/>
        </w:rPr>
        <w:t>；采购内容未包含在《开标一览表（报价表）》名称栏中，投标人不能作出合理解释的，</w:t>
      </w:r>
      <w:r>
        <w:rPr>
          <w:rFonts w:hint="eastAsia" w:ascii="宋体" w:hAnsi="宋体" w:cs="宋体"/>
          <w:b/>
          <w:color w:val="000000"/>
          <w:kern w:val="0"/>
          <w:sz w:val="24"/>
          <w:highlight w:val="none"/>
        </w:rPr>
        <w:t>视为</w:t>
      </w:r>
      <w:r>
        <w:rPr>
          <w:rFonts w:hint="eastAsia" w:ascii="宋体" w:hAnsi="宋体" w:cs="宋体"/>
          <w:b/>
          <w:color w:val="000000"/>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3、特别提示：采购代理机构将对良渚消防站电力配电项目和项目编号，中标供应商名称、地址和中标金额，主要中标标的名称、服务范围、服务要求、服务时间、服务标准等予以公示。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eastAsia="宋体" w:cs="宋体"/>
          <w:color w:val="000000"/>
          <w:kern w:val="2"/>
          <w:sz w:val="32"/>
          <w:szCs w:val="32"/>
          <w:highlight w:val="none"/>
        </w:rPr>
      </w:pPr>
      <w:r>
        <w:rPr>
          <w:rFonts w:ascii="宋体" w:hAnsi="宋体" w:cs="宋体"/>
          <w:color w:val="000000"/>
          <w:kern w:val="0"/>
          <w:sz w:val="24"/>
          <w:szCs w:val="22"/>
          <w:highlight w:val="none"/>
          <w:lang w:val="zh-CN"/>
        </w:rPr>
        <w:t>4</w:t>
      </w:r>
      <w:r>
        <w:rPr>
          <w:rFonts w:hint="eastAsia" w:ascii="宋体" w:hAnsi="宋体" w:cs="宋体"/>
          <w:color w:val="000000"/>
          <w:kern w:val="0"/>
          <w:sz w:val="24"/>
          <w:szCs w:val="22"/>
          <w:highlight w:val="none"/>
          <w:lang w:val="zh-CN"/>
        </w:rPr>
        <w:t>、</w:t>
      </w:r>
      <w:r>
        <w:rPr>
          <w:rFonts w:hint="eastAsia" w:ascii="宋体" w:hAnsi="宋体" w:cs="宋体"/>
          <w:color w:val="000000"/>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264"/>
        <w:tabs>
          <w:tab w:val="clear" w:pos="720"/>
        </w:tabs>
        <w:snapToGrid w:val="0"/>
        <w:spacing w:before="120" w:after="120"/>
        <w:ind w:firstLine="643"/>
        <w:outlineLvl w:val="9"/>
        <w:rPr>
          <w:rFonts w:ascii="宋体" w:hAnsi="宋体" w:eastAsia="宋体" w:cs="宋体"/>
          <w:color w:val="000000"/>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264"/>
        <w:tabs>
          <w:tab w:val="clear" w:pos="720"/>
        </w:tabs>
        <w:snapToGrid w:val="0"/>
        <w:spacing w:before="120" w:after="120"/>
        <w:ind w:firstLine="643"/>
        <w:outlineLvl w:val="9"/>
        <w:rPr>
          <w:rFonts w:ascii="宋体" w:hAnsi="宋体" w:eastAsia="宋体" w:cs="宋体"/>
          <w:color w:val="000000"/>
          <w:sz w:val="32"/>
          <w:szCs w:val="32"/>
          <w:highlight w:val="none"/>
        </w:rPr>
      </w:pPr>
      <w:r>
        <w:rPr>
          <w:rFonts w:hint="eastAsia" w:ascii="宋体" w:hAnsi="宋体" w:eastAsia="宋体" w:cs="宋体"/>
          <w:color w:val="000000"/>
          <w:kern w:val="2"/>
          <w:sz w:val="32"/>
          <w:szCs w:val="32"/>
          <w:highlight w:val="none"/>
        </w:rPr>
        <w:t>二、</w:t>
      </w:r>
      <w:r>
        <w:rPr>
          <w:rFonts w:hint="eastAsia" w:ascii="宋体" w:hAnsi="宋体" w:eastAsia="宋体" w:cs="宋体"/>
          <w:color w:val="000000"/>
          <w:sz w:val="32"/>
          <w:szCs w:val="32"/>
          <w:highlight w:val="none"/>
        </w:rPr>
        <w:t>中小企业声明函（如果有）</w:t>
      </w:r>
    </w:p>
    <w:p>
      <w:pPr>
        <w:widowControl/>
        <w:spacing w:line="360" w:lineRule="auto"/>
        <w:ind w:firstLine="120" w:firstLineChars="50"/>
        <w:jc w:val="left"/>
        <w:rPr>
          <w:rFonts w:ascii="宋体" w:hAnsi="宋体" w:eastAsia="宋体" w:cs="宋体"/>
          <w:b w:val="0"/>
          <w:color w:val="000000"/>
          <w:sz w:val="32"/>
          <w:szCs w:val="32"/>
          <w:highlight w:val="none"/>
        </w:rPr>
      </w:pPr>
      <w:r>
        <w:rPr>
          <w:rFonts w:hint="eastAsia" w:ascii="宋体" w:hAnsi="宋体" w:cs="宋体"/>
          <w:b/>
          <w:color w:val="000000"/>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sz w:val="24"/>
          <w:highlight w:val="none"/>
        </w:rPr>
        <w:t>7</w:t>
      </w:r>
      <w:r>
        <w:rPr>
          <w:rFonts w:hint="eastAsia" w:ascii="宋体" w:hAnsi="宋体" w:cs="宋体"/>
          <w:b/>
          <w:color w:val="000000"/>
          <w:sz w:val="24"/>
          <w:highlight w:val="none"/>
        </w:rPr>
        <w:t>）。]</w:t>
      </w:r>
    </w:p>
    <w:p>
      <w:pPr>
        <w:spacing w:line="360" w:lineRule="auto"/>
        <w:ind w:right="420" w:firstLine="3614" w:firstLineChars="1000"/>
        <w:rPr>
          <w:rFonts w:ascii="宋体" w:hAnsi="宋体" w:cs="宋体"/>
          <w:b/>
          <w:color w:val="000000"/>
          <w:kern w:val="0"/>
          <w:sz w:val="36"/>
          <w:szCs w:val="36"/>
          <w:highlight w:val="none"/>
        </w:rPr>
      </w:pPr>
    </w:p>
    <w:p>
      <w:pPr>
        <w:spacing w:line="360" w:lineRule="auto"/>
        <w:ind w:right="420" w:firstLine="3614" w:firstLineChars="1000"/>
        <w:rPr>
          <w:rFonts w:ascii="宋体" w:hAnsi="宋体" w:cs="宋体"/>
          <w:b/>
          <w:color w:val="000000"/>
          <w:kern w:val="0"/>
          <w:sz w:val="36"/>
          <w:szCs w:val="36"/>
          <w:highlight w:val="none"/>
        </w:rPr>
      </w:pPr>
    </w:p>
    <w:p>
      <w:pPr>
        <w:spacing w:line="360" w:lineRule="auto"/>
        <w:ind w:right="420" w:firstLine="3614" w:firstLineChars="1000"/>
        <w:rPr>
          <w:rFonts w:ascii="宋体" w:hAnsi="宋体" w:cs="宋体"/>
          <w:b/>
          <w:color w:val="000000"/>
          <w:kern w:val="0"/>
          <w:sz w:val="36"/>
          <w:szCs w:val="36"/>
          <w:highlight w:val="none"/>
        </w:rPr>
      </w:pPr>
    </w:p>
    <w:p>
      <w:pPr>
        <w:spacing w:line="360" w:lineRule="auto"/>
        <w:ind w:right="420" w:firstLine="3614" w:firstLineChars="1000"/>
        <w:rPr>
          <w:rFonts w:ascii="宋体" w:hAnsi="宋体" w:cs="宋体"/>
          <w:b/>
          <w:color w:val="000000"/>
          <w:kern w:val="0"/>
          <w:sz w:val="36"/>
          <w:szCs w:val="36"/>
          <w:highlight w:val="none"/>
        </w:rPr>
      </w:pPr>
    </w:p>
    <w:p>
      <w:pPr>
        <w:spacing w:line="360" w:lineRule="auto"/>
        <w:ind w:right="420" w:firstLine="3614" w:firstLineChars="1000"/>
        <w:rPr>
          <w:rFonts w:ascii="宋体" w:hAnsi="宋体" w:cs="宋体"/>
          <w:b/>
          <w:color w:val="000000"/>
          <w:kern w:val="0"/>
          <w:sz w:val="36"/>
          <w:szCs w:val="36"/>
          <w:highlight w:val="none"/>
        </w:rPr>
      </w:pPr>
    </w:p>
    <w:p>
      <w:pPr>
        <w:spacing w:line="360" w:lineRule="auto"/>
        <w:ind w:right="420" w:firstLine="3614" w:firstLineChars="1000"/>
        <w:rPr>
          <w:rFonts w:ascii="宋体" w:hAnsi="宋体" w:cs="宋体"/>
          <w:b/>
          <w:color w:val="000000"/>
          <w:kern w:val="0"/>
          <w:sz w:val="36"/>
          <w:szCs w:val="36"/>
          <w:highlight w:val="none"/>
        </w:rPr>
      </w:pPr>
    </w:p>
    <w:p>
      <w:pPr>
        <w:spacing w:line="360" w:lineRule="auto"/>
        <w:ind w:right="420" w:firstLine="3614" w:firstLineChars="1000"/>
        <w:rPr>
          <w:rFonts w:ascii="宋体" w:hAnsi="宋体" w:cs="宋体"/>
          <w:b/>
          <w:color w:val="000000"/>
          <w:kern w:val="0"/>
          <w:sz w:val="36"/>
          <w:szCs w:val="36"/>
          <w:highlight w:val="none"/>
        </w:rPr>
      </w:pPr>
    </w:p>
    <w:p>
      <w:pPr>
        <w:pStyle w:val="2"/>
        <w:pageBreakBefore/>
        <w:widowControl/>
        <w:spacing w:before="100" w:beforeAutospacing="1" w:after="100" w:afterAutospacing="1" w:line="360" w:lineRule="auto"/>
        <w:ind w:left="0" w:leftChars="0" w:firstLine="0" w:firstLineChars="0"/>
        <w:jc w:val="center"/>
        <w:rPr>
          <w:rFonts w:ascii="宋体" w:hAnsi="宋体" w:cs="宋体"/>
          <w:color w:val="000000"/>
          <w:highlight w:val="none"/>
        </w:rPr>
      </w:pPr>
      <w:r>
        <w:rPr>
          <w:rFonts w:hint="eastAsia" w:ascii="宋体" w:hAnsi="宋体" w:cs="宋体"/>
          <w:color w:val="000000"/>
          <w:highlight w:val="none"/>
        </w:rPr>
        <w:t>附件</w:t>
      </w:r>
    </w:p>
    <w:p>
      <w:pPr>
        <w:spacing w:line="360" w:lineRule="auto"/>
        <w:rPr>
          <w:rFonts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附件1：</w:t>
      </w:r>
    </w:p>
    <w:p>
      <w:pPr>
        <w:spacing w:line="360" w:lineRule="auto"/>
        <w:jc w:val="center"/>
        <w:rPr>
          <w:rFonts w:ascii="宋体" w:hAnsi="宋体" w:cs="宋体"/>
          <w:b/>
          <w:color w:val="000000"/>
          <w:spacing w:val="6"/>
          <w:sz w:val="32"/>
          <w:szCs w:val="32"/>
          <w:highlight w:val="none"/>
        </w:rPr>
      </w:pPr>
      <w:bookmarkStart w:id="476" w:name="OLE_LINK13"/>
      <w:bookmarkStart w:id="477" w:name="OLE_LINK14"/>
      <w:r>
        <w:rPr>
          <w:rFonts w:hint="eastAsia" w:ascii="宋体" w:hAnsi="宋体" w:cs="宋体"/>
          <w:b/>
          <w:color w:val="000000"/>
          <w:spacing w:val="6"/>
          <w:sz w:val="32"/>
          <w:szCs w:val="32"/>
          <w:highlight w:val="none"/>
        </w:rPr>
        <w:t>残疾人福利性单位声明函</w:t>
      </w:r>
    </w:p>
    <w:bookmarkEnd w:id="476"/>
    <w:bookmarkEnd w:id="477"/>
    <w:p>
      <w:pPr>
        <w:spacing w:line="360" w:lineRule="auto"/>
        <w:rPr>
          <w:rFonts w:ascii="宋体" w:hAnsi="宋体" w:cs="宋体"/>
          <w:b/>
          <w:color w:val="000000"/>
          <w:spacing w:val="6"/>
          <w:sz w:val="30"/>
          <w:szCs w:val="30"/>
          <w:highlight w:val="none"/>
        </w:rPr>
      </w:pP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sz w:val="24"/>
          <w:highlight w:val="none"/>
          <w:u w:val="single"/>
        </w:rPr>
        <w:t>(采购人)</w:t>
      </w:r>
      <w:r>
        <w:rPr>
          <w:rFonts w:hint="eastAsia" w:ascii="宋体" w:hAnsi="宋体" w:cs="宋体"/>
          <w:color w:val="000000"/>
          <w:sz w:val="24"/>
          <w:highlight w:val="none"/>
        </w:rPr>
        <w:t>_单位的_</w:t>
      </w:r>
      <w:r>
        <w:rPr>
          <w:rFonts w:hint="eastAsia" w:ascii="宋体" w:hAnsi="宋体" w:cs="宋体"/>
          <w:color w:val="000000"/>
          <w:sz w:val="24"/>
          <w:highlight w:val="none"/>
          <w:u w:val="single"/>
        </w:rPr>
        <w:t>（</w:t>
      </w:r>
      <w:r>
        <w:rPr>
          <w:rFonts w:hint="eastAsia" w:ascii="宋体" w:hAnsi="宋体" w:cs="宋体"/>
          <w:color w:val="000000"/>
          <w:sz w:val="24"/>
          <w:highlight w:val="none"/>
          <w:u w:val="single"/>
          <w:lang w:eastAsia="zh-CN"/>
        </w:rPr>
        <w:t>良渚消防站电力配电项目</w:t>
      </w:r>
      <w:r>
        <w:rPr>
          <w:rFonts w:hint="eastAsia" w:ascii="宋体" w:hAnsi="宋体" w:cs="宋体"/>
          <w:color w:val="000000"/>
          <w:sz w:val="24"/>
          <w:highlight w:val="none"/>
          <w:u w:val="single"/>
        </w:rPr>
        <w:t>）</w:t>
      </w:r>
      <w:r>
        <w:rPr>
          <w:rFonts w:hint="eastAsia" w:ascii="宋体" w:hAnsi="宋体" w:cs="宋体"/>
          <w:color w:val="000000"/>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本单位对上述声明的真实性负责。如有虚假，将依法承担相应责任。</w:t>
      </w:r>
    </w:p>
    <w:p>
      <w:pPr>
        <w:spacing w:line="360" w:lineRule="auto"/>
        <w:ind w:firstLine="480" w:firstLineChars="200"/>
        <w:rPr>
          <w:rFonts w:ascii="宋体" w:hAnsi="宋体" w:cs="宋体"/>
          <w:color w:val="000000"/>
          <w:sz w:val="24"/>
          <w:highlight w:val="none"/>
        </w:rPr>
      </w:pPr>
    </w:p>
    <w:p>
      <w:pPr>
        <w:spacing w:line="360" w:lineRule="auto"/>
        <w:ind w:firstLine="480" w:firstLineChars="200"/>
        <w:rPr>
          <w:rFonts w:ascii="宋体" w:hAnsi="宋体" w:cs="宋体"/>
          <w:color w:val="000000"/>
          <w:sz w:val="24"/>
          <w:highlight w:val="none"/>
        </w:rPr>
      </w:pPr>
    </w:p>
    <w:p>
      <w:pPr>
        <w:tabs>
          <w:tab w:val="left" w:pos="4860"/>
        </w:tabs>
        <w:spacing w:line="360" w:lineRule="auto"/>
        <w:ind w:right="1560" w:firstLine="480" w:firstLineChars="200"/>
        <w:jc w:val="center"/>
        <w:rPr>
          <w:rFonts w:ascii="宋体" w:hAnsi="宋体" w:cs="宋体"/>
          <w:color w:val="000000"/>
          <w:sz w:val="24"/>
          <w:highlight w:val="none"/>
        </w:rPr>
      </w:pPr>
      <w:r>
        <w:rPr>
          <w:rFonts w:hint="eastAsia" w:ascii="宋体" w:hAnsi="宋体" w:cs="宋体"/>
          <w:color w:val="000000"/>
          <w:sz w:val="24"/>
          <w:highlight w:val="none"/>
        </w:rPr>
        <w:t xml:space="preserve">               </w:t>
      </w:r>
      <w:r>
        <w:rPr>
          <w:rFonts w:hint="eastAsia" w:ascii="宋体" w:hAnsi="宋体" w:cs="宋体"/>
          <w:color w:val="000000"/>
          <w:kern w:val="0"/>
          <w:sz w:val="24"/>
          <w:highlight w:val="none"/>
          <w:lang w:val="zh-CN"/>
        </w:rPr>
        <w:t>投标人名称（电子签名）</w:t>
      </w:r>
      <w:r>
        <w:rPr>
          <w:rFonts w:hint="eastAsia" w:ascii="宋体" w:hAnsi="宋体" w:cs="宋体"/>
          <w:color w:val="000000"/>
          <w:sz w:val="24"/>
          <w:highlight w:val="none"/>
        </w:rPr>
        <w:t>：</w:t>
      </w:r>
    </w:p>
    <w:p>
      <w:pPr>
        <w:tabs>
          <w:tab w:val="left" w:pos="4860"/>
        </w:tabs>
        <w:spacing w:line="360" w:lineRule="auto"/>
        <w:ind w:right="1560" w:firstLine="480" w:firstLineChars="200"/>
        <w:jc w:val="center"/>
        <w:rPr>
          <w:rFonts w:ascii="宋体" w:hAnsi="宋体" w:cs="宋体"/>
          <w:color w:val="000000"/>
          <w:sz w:val="24"/>
          <w:highlight w:val="none"/>
        </w:rPr>
      </w:pPr>
      <w:r>
        <w:rPr>
          <w:rFonts w:hint="eastAsia" w:ascii="宋体" w:hAnsi="宋体" w:cs="宋体"/>
          <w:color w:val="000000"/>
          <w:sz w:val="24"/>
          <w:highlight w:val="none"/>
        </w:rPr>
        <w:t xml:space="preserve">       日  期：</w:t>
      </w:r>
    </w:p>
    <w:p>
      <w:pPr>
        <w:spacing w:line="360" w:lineRule="auto"/>
        <w:ind w:firstLine="480" w:firstLineChars="200"/>
        <w:rPr>
          <w:rFonts w:ascii="宋体" w:hAnsi="宋体" w:cs="宋体"/>
          <w:color w:val="000000"/>
          <w:sz w:val="24"/>
          <w:highlight w:val="none"/>
        </w:rPr>
      </w:pPr>
    </w:p>
    <w:p>
      <w:pPr>
        <w:spacing w:line="360" w:lineRule="auto"/>
        <w:ind w:firstLine="420" w:firstLineChars="200"/>
        <w:rPr>
          <w:rFonts w:ascii="宋体" w:hAnsi="宋体" w:cs="宋体"/>
          <w:color w:val="000000"/>
          <w:highlight w:val="none"/>
        </w:rPr>
      </w:pPr>
    </w:p>
    <w:p>
      <w:pPr>
        <w:spacing w:line="360" w:lineRule="auto"/>
        <w:ind w:firstLine="420" w:firstLineChars="200"/>
        <w:rPr>
          <w:rFonts w:ascii="宋体" w:hAnsi="宋体" w:cs="宋体"/>
          <w:color w:val="000000"/>
          <w:highlight w:val="none"/>
        </w:rPr>
      </w:pPr>
    </w:p>
    <w:p>
      <w:pPr>
        <w:spacing w:line="360" w:lineRule="auto"/>
        <w:ind w:firstLine="420" w:firstLineChars="200"/>
        <w:rPr>
          <w:rFonts w:ascii="宋体" w:hAnsi="宋体" w:cs="宋体"/>
          <w:color w:val="000000"/>
          <w:highlight w:val="none"/>
        </w:rPr>
      </w:pPr>
    </w:p>
    <w:p>
      <w:pPr>
        <w:spacing w:line="360" w:lineRule="auto"/>
        <w:ind w:firstLine="420" w:firstLineChars="200"/>
        <w:rPr>
          <w:rFonts w:ascii="宋体" w:hAnsi="宋体" w:cs="宋体"/>
          <w:color w:val="000000"/>
          <w:highlight w:val="none"/>
        </w:rPr>
      </w:pP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p>
    <w:p>
      <w:pPr>
        <w:spacing w:line="360" w:lineRule="auto"/>
        <w:jc w:val="left"/>
        <w:rPr>
          <w:rFonts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附件2：质疑函范本及制作说明</w:t>
      </w:r>
    </w:p>
    <w:p>
      <w:pPr>
        <w:spacing w:line="360" w:lineRule="auto"/>
        <w:jc w:val="center"/>
        <w:rPr>
          <w:rFonts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质疑函范本</w:t>
      </w:r>
    </w:p>
    <w:p>
      <w:pPr>
        <w:snapToGrid w:val="0"/>
        <w:spacing w:before="240" w:beforeLines="100" w:line="360" w:lineRule="auto"/>
        <w:rPr>
          <w:rFonts w:ascii="宋体" w:hAnsi="宋体" w:cs="宋体"/>
          <w:bCs/>
          <w:color w:val="000000"/>
          <w:sz w:val="24"/>
          <w:highlight w:val="none"/>
        </w:rPr>
      </w:pPr>
      <w:r>
        <w:rPr>
          <w:rFonts w:hint="eastAsia" w:ascii="宋体" w:hAnsi="宋体" w:cs="宋体"/>
          <w:bCs/>
          <w:color w:val="000000"/>
          <w:sz w:val="24"/>
          <w:highlight w:val="none"/>
        </w:rPr>
        <w:t>一、质疑供应商基本信息</w:t>
      </w:r>
    </w:p>
    <w:p>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质疑供应商：</w:t>
      </w:r>
      <w:r>
        <w:rPr>
          <w:rFonts w:hint="eastAsia" w:ascii="宋体" w:hAnsi="宋体" w:cs="宋体"/>
          <w:color w:val="000000"/>
          <w:sz w:val="24"/>
          <w:highlight w:val="none"/>
          <w:u w:val="dotted"/>
        </w:rPr>
        <w:t xml:space="preserve">                                        </w:t>
      </w:r>
    </w:p>
    <w:p>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地址：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p>
    <w:p>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联系人：</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p>
    <w:p>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授权代表：</w:t>
      </w:r>
      <w:r>
        <w:rPr>
          <w:rFonts w:hint="eastAsia" w:ascii="宋体" w:hAnsi="宋体" w:cs="宋体"/>
          <w:color w:val="000000"/>
          <w:sz w:val="24"/>
          <w:highlight w:val="none"/>
          <w:u w:val="dotted"/>
        </w:rPr>
        <w:t xml:space="preserve">                                          </w:t>
      </w:r>
    </w:p>
    <w:p>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 xml:space="preserve"> </w:t>
      </w:r>
    </w:p>
    <w:p>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地址： </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p>
    <w:p>
      <w:pPr>
        <w:snapToGrid w:val="0"/>
        <w:spacing w:line="360" w:lineRule="auto"/>
        <w:rPr>
          <w:rFonts w:ascii="宋体" w:hAnsi="宋体" w:cs="宋体"/>
          <w:bCs/>
          <w:color w:val="000000"/>
          <w:sz w:val="24"/>
          <w:highlight w:val="none"/>
        </w:rPr>
      </w:pPr>
      <w:r>
        <w:rPr>
          <w:rFonts w:hint="eastAsia" w:ascii="宋体" w:hAnsi="宋体" w:cs="宋体"/>
          <w:bCs/>
          <w:color w:val="000000"/>
          <w:sz w:val="24"/>
          <w:highlight w:val="none"/>
        </w:rPr>
        <w:t>二、质疑项目基本情况</w:t>
      </w:r>
    </w:p>
    <w:p>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质疑项目的名称：</w:t>
      </w:r>
      <w:r>
        <w:rPr>
          <w:rFonts w:hint="eastAsia" w:ascii="宋体" w:hAnsi="宋体" w:cs="宋体"/>
          <w:color w:val="000000"/>
          <w:sz w:val="24"/>
          <w:highlight w:val="none"/>
          <w:u w:val="dotted"/>
        </w:rPr>
        <w:t xml:space="preserve">                                      </w:t>
      </w:r>
    </w:p>
    <w:p>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质疑项目的编号：</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包号：</w:t>
      </w:r>
      <w:r>
        <w:rPr>
          <w:rFonts w:hint="eastAsia" w:ascii="宋体" w:hAnsi="宋体" w:cs="宋体"/>
          <w:color w:val="000000"/>
          <w:sz w:val="24"/>
          <w:highlight w:val="none"/>
          <w:u w:val="dotted"/>
        </w:rPr>
        <w:t xml:space="preserve">                 </w:t>
      </w:r>
    </w:p>
    <w:p>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采购人名称：</w:t>
      </w:r>
      <w:r>
        <w:rPr>
          <w:rFonts w:hint="eastAsia" w:ascii="宋体" w:hAnsi="宋体" w:cs="宋体"/>
          <w:color w:val="000000"/>
          <w:sz w:val="24"/>
          <w:highlight w:val="none"/>
          <w:u w:val="dotted"/>
        </w:rPr>
        <w:t xml:space="preserve">                                         </w:t>
      </w:r>
    </w:p>
    <w:p>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采购文件获取日期：</w:t>
      </w:r>
      <w:r>
        <w:rPr>
          <w:rFonts w:hint="eastAsia" w:ascii="宋体" w:hAnsi="宋体" w:cs="宋体"/>
          <w:color w:val="000000"/>
          <w:sz w:val="24"/>
          <w:highlight w:val="none"/>
          <w:u w:val="dotted"/>
        </w:rPr>
        <w:t xml:space="preserve">                                           </w:t>
      </w:r>
    </w:p>
    <w:p>
      <w:pPr>
        <w:snapToGrid w:val="0"/>
        <w:spacing w:line="360" w:lineRule="auto"/>
        <w:rPr>
          <w:rFonts w:ascii="宋体" w:hAnsi="宋体" w:cs="宋体"/>
          <w:bCs/>
          <w:color w:val="000000"/>
          <w:sz w:val="24"/>
          <w:highlight w:val="none"/>
        </w:rPr>
      </w:pPr>
      <w:r>
        <w:rPr>
          <w:rFonts w:hint="eastAsia" w:ascii="宋体" w:hAnsi="宋体" w:cs="宋体"/>
          <w:bCs/>
          <w:color w:val="000000"/>
          <w:sz w:val="24"/>
          <w:highlight w:val="none"/>
        </w:rPr>
        <w:t>三、质疑事项具体内容</w:t>
      </w:r>
    </w:p>
    <w:p>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质疑事项1：</w:t>
      </w:r>
      <w:r>
        <w:rPr>
          <w:rFonts w:hint="eastAsia" w:ascii="宋体" w:hAnsi="宋体" w:cs="宋体"/>
          <w:color w:val="000000"/>
          <w:sz w:val="24"/>
          <w:highlight w:val="none"/>
          <w:u w:val="dotted"/>
        </w:rPr>
        <w:t xml:space="preserve">                                         </w:t>
      </w:r>
    </w:p>
    <w:p>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事实依据：</w:t>
      </w:r>
      <w:r>
        <w:rPr>
          <w:rFonts w:hint="eastAsia" w:ascii="宋体" w:hAnsi="宋体" w:cs="宋体"/>
          <w:color w:val="000000"/>
          <w:sz w:val="24"/>
          <w:highlight w:val="none"/>
          <w:u w:val="dotted"/>
        </w:rPr>
        <w:t xml:space="preserve">                                          </w:t>
      </w:r>
    </w:p>
    <w:p>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u w:val="dotted"/>
        </w:rPr>
        <w:t xml:space="preserve">                                                       </w:t>
      </w:r>
    </w:p>
    <w:p>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法律依据：</w:t>
      </w:r>
      <w:r>
        <w:rPr>
          <w:rFonts w:hint="eastAsia" w:ascii="宋体" w:hAnsi="宋体" w:cs="宋体"/>
          <w:color w:val="000000"/>
          <w:sz w:val="24"/>
          <w:highlight w:val="none"/>
          <w:u w:val="dotted"/>
        </w:rPr>
        <w:t xml:space="preserve">                                          </w:t>
      </w:r>
    </w:p>
    <w:p>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u w:val="dotted"/>
        </w:rPr>
        <w:t xml:space="preserve">                                                     </w:t>
      </w:r>
    </w:p>
    <w:p>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质疑事项2</w:t>
      </w:r>
    </w:p>
    <w:p>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w:t>
      </w:r>
    </w:p>
    <w:p>
      <w:pPr>
        <w:snapToGrid w:val="0"/>
        <w:spacing w:line="360" w:lineRule="auto"/>
        <w:rPr>
          <w:rFonts w:ascii="宋体" w:hAnsi="宋体" w:cs="宋体"/>
          <w:bCs/>
          <w:color w:val="000000"/>
          <w:sz w:val="24"/>
          <w:highlight w:val="none"/>
        </w:rPr>
      </w:pPr>
      <w:r>
        <w:rPr>
          <w:rFonts w:hint="eastAsia" w:ascii="宋体" w:hAnsi="宋体" w:cs="宋体"/>
          <w:bCs/>
          <w:color w:val="000000"/>
          <w:sz w:val="24"/>
          <w:highlight w:val="none"/>
        </w:rPr>
        <w:t>四、与质疑事项相关的质疑请求</w:t>
      </w:r>
    </w:p>
    <w:p>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请求：</w:t>
      </w:r>
      <w:r>
        <w:rPr>
          <w:rFonts w:hint="eastAsia" w:ascii="宋体" w:hAnsi="宋体" w:cs="宋体"/>
          <w:color w:val="000000"/>
          <w:sz w:val="24"/>
          <w:highlight w:val="none"/>
          <w:u w:val="dotted"/>
        </w:rPr>
        <w:t xml:space="preserve">                                               </w:t>
      </w:r>
    </w:p>
    <w:p>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签字(签章)：                   公章：                      </w:t>
      </w:r>
    </w:p>
    <w:p>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日期：    </w:t>
      </w:r>
    </w:p>
    <w:p>
      <w:pPr>
        <w:spacing w:line="360" w:lineRule="auto"/>
        <w:jc w:val="center"/>
        <w:rPr>
          <w:rFonts w:ascii="宋体" w:hAnsi="宋体" w:cs="宋体"/>
          <w:b/>
          <w:bCs/>
          <w:color w:val="000000"/>
          <w:sz w:val="24"/>
          <w:highlight w:val="none"/>
        </w:rPr>
      </w:pP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r>
        <w:rPr>
          <w:rFonts w:hint="eastAsia" w:ascii="宋体" w:hAnsi="宋体" w:cs="宋体"/>
          <w:b/>
          <w:color w:val="000000"/>
          <w:sz w:val="24"/>
          <w:highlight w:val="none"/>
        </w:rPr>
        <w:t>质疑函制作说明：</w:t>
      </w:r>
    </w:p>
    <w:p>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2.质疑供应商若委托代理人进行质疑的，质疑函应按要求列明“授权代表”的有关内容，并在附件中提交由质疑</w:t>
      </w:r>
      <w:r>
        <w:rPr>
          <w:rFonts w:hint="eastAsia" w:ascii="宋体" w:hAnsi="宋体" w:cs="宋体"/>
          <w:color w:val="000000"/>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5.质疑函的质疑请求应与质疑事项相关。</w:t>
      </w:r>
    </w:p>
    <w:p>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000000"/>
          <w:sz w:val="30"/>
          <w:szCs w:val="30"/>
          <w:highlight w:val="none"/>
        </w:rPr>
      </w:pPr>
    </w:p>
    <w:p>
      <w:pPr>
        <w:spacing w:line="360" w:lineRule="auto"/>
        <w:jc w:val="center"/>
        <w:rPr>
          <w:rFonts w:ascii="宋体" w:hAnsi="宋体" w:cs="宋体"/>
          <w:b/>
          <w:color w:val="000000"/>
          <w:spacing w:val="6"/>
          <w:sz w:val="32"/>
          <w:szCs w:val="32"/>
          <w:highlight w:val="none"/>
        </w:rPr>
      </w:pPr>
    </w:p>
    <w:p>
      <w:pPr>
        <w:spacing w:line="360" w:lineRule="auto"/>
        <w:jc w:val="center"/>
        <w:rPr>
          <w:rFonts w:ascii="宋体" w:hAnsi="宋体" w:cs="宋体"/>
          <w:b/>
          <w:color w:val="000000"/>
          <w:spacing w:val="6"/>
          <w:sz w:val="32"/>
          <w:szCs w:val="32"/>
          <w:highlight w:val="none"/>
        </w:rPr>
      </w:pPr>
    </w:p>
    <w:p>
      <w:pPr>
        <w:spacing w:line="360" w:lineRule="auto"/>
        <w:jc w:val="center"/>
        <w:rPr>
          <w:rFonts w:ascii="宋体" w:hAnsi="宋体" w:cs="宋体"/>
          <w:b/>
          <w:color w:val="000000"/>
          <w:spacing w:val="6"/>
          <w:sz w:val="32"/>
          <w:szCs w:val="32"/>
          <w:highlight w:val="none"/>
        </w:rPr>
      </w:pPr>
    </w:p>
    <w:p>
      <w:pPr>
        <w:spacing w:line="360" w:lineRule="auto"/>
        <w:jc w:val="center"/>
        <w:rPr>
          <w:rFonts w:ascii="宋体" w:hAnsi="宋体" w:cs="宋体"/>
          <w:b/>
          <w:color w:val="000000"/>
          <w:spacing w:val="6"/>
          <w:sz w:val="32"/>
          <w:szCs w:val="32"/>
          <w:highlight w:val="none"/>
        </w:rPr>
      </w:pPr>
    </w:p>
    <w:p>
      <w:pPr>
        <w:spacing w:line="360" w:lineRule="auto"/>
        <w:jc w:val="center"/>
        <w:rPr>
          <w:rFonts w:ascii="宋体" w:hAnsi="宋体" w:cs="宋体"/>
          <w:b/>
          <w:color w:val="000000"/>
          <w:spacing w:val="6"/>
          <w:sz w:val="32"/>
          <w:szCs w:val="32"/>
          <w:highlight w:val="none"/>
        </w:rPr>
      </w:pPr>
    </w:p>
    <w:p>
      <w:pPr>
        <w:spacing w:line="360" w:lineRule="auto"/>
        <w:jc w:val="center"/>
        <w:rPr>
          <w:rFonts w:ascii="宋体" w:hAnsi="宋体" w:cs="宋体"/>
          <w:b/>
          <w:color w:val="000000"/>
          <w:spacing w:val="6"/>
          <w:sz w:val="32"/>
          <w:szCs w:val="32"/>
          <w:highlight w:val="none"/>
        </w:rPr>
      </w:pPr>
    </w:p>
    <w:p>
      <w:pPr>
        <w:spacing w:line="360" w:lineRule="auto"/>
        <w:jc w:val="center"/>
        <w:rPr>
          <w:rFonts w:ascii="宋体" w:hAnsi="宋体" w:cs="宋体"/>
          <w:b/>
          <w:color w:val="000000"/>
          <w:spacing w:val="6"/>
          <w:sz w:val="32"/>
          <w:szCs w:val="32"/>
          <w:highlight w:val="none"/>
        </w:rPr>
      </w:pPr>
    </w:p>
    <w:p>
      <w:pPr>
        <w:spacing w:line="360" w:lineRule="auto"/>
        <w:jc w:val="center"/>
        <w:rPr>
          <w:rFonts w:ascii="宋体" w:hAnsi="宋体" w:cs="宋体"/>
          <w:b/>
          <w:color w:val="000000"/>
          <w:spacing w:val="6"/>
          <w:sz w:val="32"/>
          <w:szCs w:val="32"/>
          <w:highlight w:val="none"/>
        </w:rPr>
      </w:pPr>
    </w:p>
    <w:p>
      <w:pPr>
        <w:spacing w:line="360" w:lineRule="auto"/>
        <w:jc w:val="center"/>
        <w:rPr>
          <w:rFonts w:ascii="宋体" w:hAnsi="宋体" w:cs="宋体"/>
          <w:b/>
          <w:color w:val="000000"/>
          <w:spacing w:val="6"/>
          <w:sz w:val="32"/>
          <w:szCs w:val="32"/>
          <w:highlight w:val="none"/>
        </w:rPr>
      </w:pPr>
    </w:p>
    <w:p>
      <w:pPr>
        <w:spacing w:line="360" w:lineRule="auto"/>
        <w:jc w:val="center"/>
        <w:rPr>
          <w:rFonts w:ascii="宋体" w:hAnsi="宋体" w:cs="宋体"/>
          <w:b/>
          <w:color w:val="000000"/>
          <w:spacing w:val="6"/>
          <w:sz w:val="32"/>
          <w:szCs w:val="32"/>
          <w:highlight w:val="none"/>
        </w:rPr>
      </w:pPr>
    </w:p>
    <w:p>
      <w:pPr>
        <w:spacing w:line="360" w:lineRule="auto"/>
        <w:jc w:val="center"/>
        <w:rPr>
          <w:rFonts w:ascii="宋体" w:hAnsi="宋体" w:cs="宋体"/>
          <w:b/>
          <w:color w:val="000000"/>
          <w:spacing w:val="6"/>
          <w:sz w:val="32"/>
          <w:szCs w:val="32"/>
          <w:highlight w:val="none"/>
        </w:rPr>
      </w:pPr>
    </w:p>
    <w:p>
      <w:pPr>
        <w:spacing w:line="360" w:lineRule="auto"/>
        <w:jc w:val="center"/>
        <w:rPr>
          <w:rFonts w:ascii="宋体" w:hAnsi="宋体" w:cs="宋体"/>
          <w:b/>
          <w:color w:val="000000"/>
          <w:spacing w:val="6"/>
          <w:sz w:val="32"/>
          <w:szCs w:val="32"/>
          <w:highlight w:val="none"/>
        </w:rPr>
      </w:pPr>
    </w:p>
    <w:p>
      <w:pPr>
        <w:spacing w:line="360" w:lineRule="auto"/>
        <w:jc w:val="left"/>
        <w:rPr>
          <w:rFonts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附件3：投诉书范本及制作说明</w:t>
      </w:r>
    </w:p>
    <w:p>
      <w:pPr>
        <w:spacing w:line="360" w:lineRule="auto"/>
        <w:jc w:val="center"/>
        <w:rPr>
          <w:rFonts w:ascii="宋体" w:hAnsi="宋体" w:cs="宋体"/>
          <w:b/>
          <w:color w:val="000000"/>
          <w:sz w:val="24"/>
          <w:highlight w:val="none"/>
        </w:rPr>
      </w:pPr>
    </w:p>
    <w:p>
      <w:pPr>
        <w:spacing w:line="360" w:lineRule="auto"/>
        <w:jc w:val="center"/>
        <w:rPr>
          <w:rFonts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投诉书范本</w:t>
      </w:r>
    </w:p>
    <w:p>
      <w:pPr>
        <w:spacing w:line="360" w:lineRule="auto"/>
        <w:rPr>
          <w:rFonts w:ascii="宋体" w:hAnsi="宋体" w:cs="宋体"/>
          <w:color w:val="000000"/>
          <w:sz w:val="24"/>
          <w:highlight w:val="none"/>
        </w:rPr>
      </w:pPr>
      <w:r>
        <w:rPr>
          <w:rFonts w:hint="eastAsia" w:ascii="宋体" w:hAnsi="宋体" w:cs="宋体"/>
          <w:color w:val="000000"/>
          <w:sz w:val="24"/>
          <w:highlight w:val="none"/>
        </w:rPr>
        <w:t>一、投诉相关主体基本情况</w:t>
      </w:r>
    </w:p>
    <w:p>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投诉人：</w:t>
      </w:r>
      <w:r>
        <w:rPr>
          <w:rFonts w:hint="eastAsia" w:ascii="宋体" w:hAnsi="宋体" w:cs="宋体"/>
          <w:color w:val="000000"/>
          <w:sz w:val="24"/>
          <w:highlight w:val="none"/>
          <w:u w:val="dotted"/>
        </w:rPr>
        <w:t xml:space="preserve">                                               </w:t>
      </w:r>
    </w:p>
    <w:p>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地     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pPr>
        <w:tabs>
          <w:tab w:val="left" w:pos="6510"/>
        </w:tabs>
        <w:spacing w:line="360" w:lineRule="auto"/>
        <w:jc w:val="left"/>
        <w:rPr>
          <w:rFonts w:ascii="宋体" w:hAnsi="宋体" w:cs="宋体"/>
          <w:color w:val="000000"/>
          <w:sz w:val="24"/>
          <w:highlight w:val="none"/>
        </w:rPr>
      </w:pPr>
      <w:r>
        <w:rPr>
          <w:rFonts w:hint="eastAsia" w:ascii="宋体" w:hAnsi="宋体" w:cs="宋体"/>
          <w:color w:val="000000"/>
          <w:sz w:val="24"/>
          <w:highlight w:val="none"/>
        </w:rPr>
        <w:t>法定代表人/主要负责人：</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 xml:space="preserve">  </w:t>
      </w:r>
    </w:p>
    <w:p>
      <w:pPr>
        <w:tabs>
          <w:tab w:val="left" w:pos="6510"/>
        </w:tabs>
        <w:spacing w:line="360" w:lineRule="auto"/>
        <w:rPr>
          <w:rFonts w:ascii="宋体" w:hAnsi="宋体" w:cs="宋体"/>
          <w:color w:val="000000"/>
          <w:sz w:val="24"/>
          <w:highlight w:val="none"/>
          <w:u w:val="dotted"/>
        </w:rPr>
      </w:pP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p>
    <w:p>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授权代表：</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p>
    <w:p>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地     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dotted"/>
        </w:rPr>
        <w:t xml:space="preserve">                   </w:t>
      </w:r>
    </w:p>
    <w:p>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被投诉人1：</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地     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联系人：</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pPr>
        <w:spacing w:line="360" w:lineRule="auto"/>
        <w:rPr>
          <w:rFonts w:ascii="宋体" w:hAnsi="宋体" w:cs="宋体"/>
          <w:color w:val="000000"/>
          <w:sz w:val="24"/>
          <w:highlight w:val="none"/>
        </w:rPr>
      </w:pPr>
      <w:r>
        <w:rPr>
          <w:rFonts w:hint="eastAsia" w:ascii="宋体" w:hAnsi="宋体" w:cs="宋体"/>
          <w:color w:val="000000"/>
          <w:sz w:val="24"/>
          <w:highlight w:val="none"/>
        </w:rPr>
        <w:t>被投诉人2</w:t>
      </w:r>
    </w:p>
    <w:p>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w:t>
      </w:r>
    </w:p>
    <w:p>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相关供应商：</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地     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联系人：</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pPr>
        <w:spacing w:line="360" w:lineRule="auto"/>
        <w:rPr>
          <w:rFonts w:ascii="宋体" w:hAnsi="宋体" w:cs="宋体"/>
          <w:color w:val="000000"/>
          <w:sz w:val="24"/>
          <w:highlight w:val="none"/>
        </w:rPr>
      </w:pPr>
      <w:r>
        <w:rPr>
          <w:rFonts w:hint="eastAsia" w:ascii="宋体" w:hAnsi="宋体" w:cs="宋体"/>
          <w:color w:val="000000"/>
          <w:sz w:val="24"/>
          <w:highlight w:val="none"/>
        </w:rPr>
        <w:t>二、投诉项目基本情况</w:t>
      </w:r>
    </w:p>
    <w:p>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采购</w:t>
      </w:r>
      <w:r>
        <w:rPr>
          <w:rFonts w:hint="eastAsia" w:ascii="宋体" w:hAnsi="宋体" w:cs="宋体"/>
          <w:color w:val="000000"/>
          <w:sz w:val="24"/>
          <w:highlight w:val="none"/>
          <w:lang w:eastAsia="zh-CN"/>
        </w:rPr>
        <w:t>良渚消防站电力配电项目</w:t>
      </w:r>
      <w:r>
        <w:rPr>
          <w:rFonts w:hint="eastAsia" w:ascii="宋体" w:hAnsi="宋体" w:cs="宋体"/>
          <w:color w:val="000000"/>
          <w:sz w:val="24"/>
          <w:highlight w:val="none"/>
        </w:rPr>
        <w:t>：</w:t>
      </w:r>
      <w:r>
        <w:rPr>
          <w:rFonts w:hint="eastAsia" w:ascii="宋体" w:hAnsi="宋体" w:cs="宋体"/>
          <w:color w:val="000000"/>
          <w:sz w:val="24"/>
          <w:highlight w:val="none"/>
          <w:u w:val="dotted"/>
        </w:rPr>
        <w:t xml:space="preserve">                                        </w:t>
      </w:r>
    </w:p>
    <w:p>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采购项目编号：</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包号：</w:t>
      </w:r>
      <w:r>
        <w:rPr>
          <w:rFonts w:hint="eastAsia" w:ascii="宋体" w:hAnsi="宋体" w:cs="宋体"/>
          <w:color w:val="000000"/>
          <w:sz w:val="24"/>
          <w:highlight w:val="none"/>
          <w:u w:val="dotted"/>
        </w:rPr>
        <w:t xml:space="preserve">              </w:t>
      </w:r>
    </w:p>
    <w:p>
      <w:pPr>
        <w:spacing w:line="360" w:lineRule="auto"/>
        <w:rPr>
          <w:rFonts w:ascii="宋体" w:hAnsi="宋体" w:cs="宋体"/>
          <w:color w:val="000000"/>
          <w:sz w:val="24"/>
          <w:highlight w:val="none"/>
        </w:rPr>
      </w:pPr>
      <w:r>
        <w:rPr>
          <w:rFonts w:hint="eastAsia" w:ascii="宋体" w:hAnsi="宋体" w:cs="宋体"/>
          <w:color w:val="000000"/>
          <w:sz w:val="24"/>
          <w:highlight w:val="none"/>
        </w:rPr>
        <w:t>采购人名称：</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代理机构名称：</w:t>
      </w:r>
      <w:r>
        <w:rPr>
          <w:rFonts w:hint="eastAsia" w:ascii="宋体" w:hAnsi="宋体" w:cs="宋体"/>
          <w:color w:val="000000"/>
          <w:sz w:val="24"/>
          <w:highlight w:val="none"/>
          <w:u w:val="dotted"/>
        </w:rPr>
        <w:t xml:space="preserve">                                         </w:t>
      </w:r>
    </w:p>
    <w:p>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采购文件公告:</w:t>
      </w:r>
      <w:r>
        <w:rPr>
          <w:rFonts w:hint="eastAsia" w:ascii="宋体" w:hAnsi="宋体" w:cs="宋体"/>
          <w:color w:val="000000"/>
          <w:sz w:val="24"/>
          <w:highlight w:val="none"/>
          <w:u w:val="dotted"/>
        </w:rPr>
        <w:t xml:space="preserve">是/否 </w:t>
      </w:r>
      <w:r>
        <w:rPr>
          <w:rFonts w:hint="eastAsia" w:ascii="宋体" w:hAnsi="宋体" w:cs="宋体"/>
          <w:color w:val="000000"/>
          <w:sz w:val="24"/>
          <w:highlight w:val="none"/>
        </w:rPr>
        <w:t>公告期限：</w:t>
      </w:r>
      <w:r>
        <w:rPr>
          <w:rFonts w:hint="eastAsia" w:ascii="宋体" w:hAnsi="宋体" w:cs="宋体"/>
          <w:color w:val="000000"/>
          <w:sz w:val="24"/>
          <w:highlight w:val="none"/>
          <w:u w:val="dotted"/>
        </w:rPr>
        <w:t xml:space="preserve">                                 </w:t>
      </w:r>
    </w:p>
    <w:p>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采购结果公告:</w:t>
      </w:r>
      <w:r>
        <w:rPr>
          <w:rFonts w:hint="eastAsia" w:ascii="宋体" w:hAnsi="宋体" w:cs="宋体"/>
          <w:color w:val="000000"/>
          <w:sz w:val="24"/>
          <w:highlight w:val="none"/>
          <w:u w:val="dotted"/>
        </w:rPr>
        <w:t xml:space="preserve">是/否 </w:t>
      </w:r>
      <w:r>
        <w:rPr>
          <w:rFonts w:hint="eastAsia" w:ascii="宋体" w:hAnsi="宋体" w:cs="宋体"/>
          <w:color w:val="000000"/>
          <w:sz w:val="24"/>
          <w:highlight w:val="none"/>
        </w:rPr>
        <w:t>公告期限：</w:t>
      </w:r>
      <w:r>
        <w:rPr>
          <w:rFonts w:hint="eastAsia" w:ascii="宋体" w:hAnsi="宋体" w:cs="宋体"/>
          <w:color w:val="000000"/>
          <w:sz w:val="24"/>
          <w:highlight w:val="none"/>
          <w:u w:val="dotted"/>
        </w:rPr>
        <w:t xml:space="preserve">                        </w:t>
      </w:r>
    </w:p>
    <w:p>
      <w:pPr>
        <w:spacing w:line="360" w:lineRule="auto"/>
        <w:rPr>
          <w:rFonts w:ascii="宋体" w:hAnsi="宋体" w:cs="宋体"/>
          <w:color w:val="000000"/>
          <w:sz w:val="24"/>
          <w:highlight w:val="none"/>
        </w:rPr>
      </w:pPr>
      <w:r>
        <w:rPr>
          <w:rFonts w:hint="eastAsia" w:ascii="宋体" w:hAnsi="宋体" w:cs="宋体"/>
          <w:color w:val="000000"/>
          <w:sz w:val="24"/>
          <w:highlight w:val="none"/>
        </w:rPr>
        <w:t>三、质疑基本情况</w:t>
      </w:r>
    </w:p>
    <w:p>
      <w:pPr>
        <w:spacing w:line="360" w:lineRule="auto"/>
        <w:ind w:firstLine="480" w:firstLineChars="200"/>
        <w:rPr>
          <w:rFonts w:ascii="宋体" w:hAnsi="宋体" w:cs="宋体"/>
          <w:color w:val="000000"/>
          <w:sz w:val="24"/>
          <w:highlight w:val="none"/>
          <w:u w:val="dotted"/>
        </w:rPr>
      </w:pPr>
      <w:r>
        <w:rPr>
          <w:rFonts w:hint="eastAsia" w:ascii="宋体" w:hAnsi="宋体" w:cs="宋体"/>
          <w:color w:val="000000"/>
          <w:sz w:val="24"/>
          <w:highlight w:val="none"/>
        </w:rPr>
        <w:t>投诉人于</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日,向</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提出质疑，质疑事项为：</w:t>
      </w:r>
      <w:r>
        <w:rPr>
          <w:rFonts w:hint="eastAsia" w:ascii="宋体" w:hAnsi="宋体" w:cs="宋体"/>
          <w:color w:val="000000"/>
          <w:sz w:val="24"/>
          <w:highlight w:val="none"/>
          <w:u w:val="dotted"/>
        </w:rPr>
        <w:t xml:space="preserve">                                </w:t>
      </w:r>
    </w:p>
    <w:p>
      <w:pPr>
        <w:spacing w:line="360" w:lineRule="auto"/>
        <w:rPr>
          <w:rFonts w:ascii="宋体" w:hAnsi="宋体" w:cs="宋体"/>
          <w:color w:val="000000"/>
          <w:sz w:val="24"/>
          <w:highlight w:val="none"/>
          <w:u w:val="dotted"/>
        </w:rPr>
      </w:pP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 xml:space="preserve">  </w:t>
      </w:r>
    </w:p>
    <w:p>
      <w:pPr>
        <w:spacing w:line="360" w:lineRule="auto"/>
        <w:ind w:firstLine="360" w:firstLineChars="150"/>
        <w:rPr>
          <w:rFonts w:ascii="宋体" w:hAnsi="宋体" w:cs="宋体"/>
          <w:color w:val="000000"/>
          <w:sz w:val="24"/>
          <w:highlight w:val="none"/>
        </w:rPr>
      </w:pPr>
      <w:r>
        <w:rPr>
          <w:rFonts w:hint="eastAsia" w:ascii="宋体" w:hAnsi="宋体" w:cs="宋体"/>
          <w:color w:val="000000"/>
          <w:sz w:val="24"/>
          <w:highlight w:val="none"/>
          <w:u w:val="dotted"/>
        </w:rPr>
        <w:t>采购人/代理机构</w:t>
      </w:r>
      <w:r>
        <w:rPr>
          <w:rFonts w:hint="eastAsia" w:ascii="宋体" w:hAnsi="宋体" w:cs="宋体"/>
          <w:color w:val="000000"/>
          <w:sz w:val="24"/>
          <w:highlight w:val="none"/>
        </w:rPr>
        <w:t>于</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日,就质疑事项作出了答复/没有在法定期限内作出答复。</w:t>
      </w:r>
    </w:p>
    <w:p>
      <w:pPr>
        <w:spacing w:line="360" w:lineRule="auto"/>
        <w:rPr>
          <w:rFonts w:ascii="宋体" w:hAnsi="宋体" w:cs="宋体"/>
          <w:color w:val="000000"/>
          <w:sz w:val="24"/>
          <w:highlight w:val="none"/>
        </w:rPr>
      </w:pPr>
      <w:r>
        <w:rPr>
          <w:rFonts w:hint="eastAsia" w:ascii="宋体" w:hAnsi="宋体" w:cs="宋体"/>
          <w:color w:val="000000"/>
          <w:sz w:val="24"/>
          <w:highlight w:val="none"/>
        </w:rPr>
        <w:t>四、投诉事项具体内容</w:t>
      </w:r>
    </w:p>
    <w:p>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投诉事项 1：</w:t>
      </w:r>
      <w:r>
        <w:rPr>
          <w:rFonts w:hint="eastAsia" w:ascii="宋体" w:hAnsi="宋体" w:cs="宋体"/>
          <w:color w:val="000000"/>
          <w:sz w:val="24"/>
          <w:highlight w:val="none"/>
          <w:u w:val="dotted"/>
        </w:rPr>
        <w:t xml:space="preserve">                                       </w:t>
      </w:r>
    </w:p>
    <w:p>
      <w:pPr>
        <w:spacing w:line="360" w:lineRule="auto"/>
        <w:rPr>
          <w:rFonts w:ascii="宋体" w:hAnsi="宋体" w:cs="宋体"/>
          <w:color w:val="000000"/>
          <w:sz w:val="24"/>
          <w:highlight w:val="none"/>
        </w:rPr>
      </w:pPr>
      <w:r>
        <w:rPr>
          <w:rFonts w:hint="eastAsia" w:ascii="宋体" w:hAnsi="宋体" w:cs="宋体"/>
          <w:color w:val="000000"/>
          <w:sz w:val="24"/>
          <w:highlight w:val="none"/>
        </w:rPr>
        <w:t>事实依据：</w:t>
      </w:r>
      <w:r>
        <w:rPr>
          <w:rFonts w:hint="eastAsia" w:ascii="宋体" w:hAnsi="宋体" w:cs="宋体"/>
          <w:color w:val="000000"/>
          <w:sz w:val="24"/>
          <w:highlight w:val="none"/>
          <w:u w:val="dotted"/>
        </w:rPr>
        <w:t xml:space="preserve">                                         </w:t>
      </w:r>
    </w:p>
    <w:p>
      <w:pPr>
        <w:spacing w:line="360" w:lineRule="auto"/>
        <w:rPr>
          <w:rFonts w:ascii="宋体" w:hAnsi="宋体" w:cs="宋体"/>
          <w:color w:val="000000"/>
          <w:sz w:val="24"/>
          <w:highlight w:val="none"/>
          <w:u w:val="dotted"/>
        </w:rPr>
      </w:pPr>
      <w:r>
        <w:rPr>
          <w:rFonts w:hint="eastAsia" w:ascii="宋体" w:hAnsi="宋体" w:cs="宋体"/>
          <w:color w:val="000000"/>
          <w:sz w:val="24"/>
          <w:highlight w:val="none"/>
          <w:u w:val="dotted"/>
        </w:rPr>
        <w:t xml:space="preserve">                                                      </w:t>
      </w:r>
    </w:p>
    <w:p>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法律依据：</w:t>
      </w:r>
      <w:r>
        <w:rPr>
          <w:rFonts w:hint="eastAsia" w:ascii="宋体" w:hAnsi="宋体" w:cs="宋体"/>
          <w:color w:val="000000"/>
          <w:sz w:val="24"/>
          <w:highlight w:val="none"/>
          <w:u w:val="dotted"/>
        </w:rPr>
        <w:t xml:space="preserve">                                          </w:t>
      </w:r>
    </w:p>
    <w:p>
      <w:pPr>
        <w:spacing w:line="360" w:lineRule="auto"/>
        <w:rPr>
          <w:rFonts w:ascii="宋体" w:hAnsi="宋体" w:cs="宋体"/>
          <w:color w:val="000000"/>
          <w:sz w:val="24"/>
          <w:highlight w:val="none"/>
          <w:u w:val="dotted"/>
        </w:rPr>
      </w:pPr>
      <w:r>
        <w:rPr>
          <w:rFonts w:hint="eastAsia" w:ascii="宋体" w:hAnsi="宋体" w:cs="宋体"/>
          <w:color w:val="000000"/>
          <w:sz w:val="24"/>
          <w:highlight w:val="none"/>
          <w:u w:val="dotted"/>
        </w:rPr>
        <w:t xml:space="preserve">                                                      </w:t>
      </w:r>
    </w:p>
    <w:p>
      <w:pPr>
        <w:spacing w:line="360" w:lineRule="auto"/>
        <w:rPr>
          <w:rFonts w:ascii="宋体" w:hAnsi="宋体" w:cs="宋体"/>
          <w:color w:val="000000"/>
          <w:sz w:val="24"/>
          <w:highlight w:val="none"/>
        </w:rPr>
      </w:pPr>
      <w:r>
        <w:rPr>
          <w:rFonts w:hint="eastAsia" w:ascii="宋体" w:hAnsi="宋体" w:cs="宋体"/>
          <w:color w:val="000000"/>
          <w:sz w:val="24"/>
          <w:highlight w:val="none"/>
        </w:rPr>
        <w:t>投诉事项2</w:t>
      </w:r>
    </w:p>
    <w:p>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w:t>
      </w:r>
    </w:p>
    <w:p>
      <w:pPr>
        <w:spacing w:line="360" w:lineRule="auto"/>
        <w:rPr>
          <w:rFonts w:ascii="宋体" w:hAnsi="宋体" w:cs="宋体"/>
          <w:color w:val="000000"/>
          <w:sz w:val="24"/>
          <w:highlight w:val="none"/>
        </w:rPr>
      </w:pPr>
      <w:r>
        <w:rPr>
          <w:rFonts w:hint="eastAsia" w:ascii="宋体" w:hAnsi="宋体" w:cs="宋体"/>
          <w:color w:val="000000"/>
          <w:sz w:val="24"/>
          <w:highlight w:val="none"/>
        </w:rPr>
        <w:t>五、与投诉事项相关的投诉请求</w:t>
      </w:r>
    </w:p>
    <w:p>
      <w:pPr>
        <w:spacing w:line="360" w:lineRule="auto"/>
        <w:rPr>
          <w:rFonts w:ascii="宋体" w:hAnsi="宋体" w:cs="宋体"/>
          <w:color w:val="000000"/>
          <w:sz w:val="24"/>
          <w:highlight w:val="none"/>
        </w:rPr>
      </w:pPr>
      <w:r>
        <w:rPr>
          <w:rFonts w:hint="eastAsia" w:ascii="宋体" w:hAnsi="宋体" w:cs="宋体"/>
          <w:color w:val="000000"/>
          <w:sz w:val="24"/>
          <w:highlight w:val="none"/>
        </w:rPr>
        <w:t>请求：</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 xml:space="preserve"> </w:t>
      </w:r>
    </w:p>
    <w:p>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 xml:space="preserve">                                                                                                    </w:t>
      </w:r>
    </w:p>
    <w:p>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签字(签章)：                   公章：                      </w:t>
      </w:r>
    </w:p>
    <w:p>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日期：    </w:t>
      </w: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r>
        <w:rPr>
          <w:rFonts w:hint="eastAsia" w:ascii="宋体" w:hAnsi="宋体" w:cs="宋体"/>
          <w:b/>
          <w:color w:val="000000"/>
          <w:sz w:val="24"/>
          <w:highlight w:val="none"/>
        </w:rPr>
        <w:t>投诉书制作说明：</w:t>
      </w:r>
    </w:p>
    <w:p>
      <w:pPr>
        <w:widowControl/>
        <w:spacing w:line="360" w:lineRule="auto"/>
        <w:ind w:firstLine="480" w:firstLineChars="200"/>
        <w:rPr>
          <w:rFonts w:ascii="宋体" w:hAnsi="宋体" w:cs="宋体"/>
          <w:color w:val="000000"/>
          <w:kern w:val="0"/>
          <w:sz w:val="24"/>
          <w:highlight w:val="none"/>
        </w:rPr>
      </w:pPr>
      <w:r>
        <w:rPr>
          <w:rFonts w:hint="eastAsia" w:ascii="宋体" w:hAnsi="宋体" w:cs="宋体"/>
          <w:color w:val="000000"/>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sz w:val="24"/>
          <w:highlight w:val="none"/>
        </w:rPr>
        <w:t>2.投诉人若委托代理人进行投诉的，投诉书应按照要求列明“授权代表”的有关内容，并在附件中提交由</w:t>
      </w:r>
      <w:r>
        <w:rPr>
          <w:rFonts w:hint="eastAsia" w:ascii="宋体" w:hAnsi="宋体" w:cs="宋体"/>
          <w:color w:val="000000"/>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6.投诉书的投诉请求应与投诉事项相关。</w:t>
      </w:r>
    </w:p>
    <w:p>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000000"/>
          <w:sz w:val="24"/>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bCs/>
          <w:color w:val="000000"/>
          <w:sz w:val="32"/>
          <w:szCs w:val="32"/>
          <w:highlight w:val="none"/>
        </w:rPr>
      </w:pPr>
      <w:r>
        <w:rPr>
          <w:rFonts w:hint="eastAsia" w:ascii="宋体" w:hAnsi="宋体" w:cs="宋体"/>
          <w:b/>
          <w:color w:val="000000"/>
          <w:spacing w:val="6"/>
          <w:sz w:val="32"/>
          <w:szCs w:val="32"/>
          <w:highlight w:val="none"/>
        </w:rPr>
        <w:t>附件4：</w:t>
      </w:r>
      <w:r>
        <w:rPr>
          <w:rFonts w:hint="eastAsia" w:ascii="宋体" w:hAnsi="宋体" w:cs="宋体"/>
          <w:b/>
          <w:bCs/>
          <w:color w:val="000000"/>
          <w:sz w:val="32"/>
          <w:szCs w:val="32"/>
          <w:highlight w:val="none"/>
        </w:rPr>
        <w:t>业务专用章使用说明函</w:t>
      </w:r>
    </w:p>
    <w:p>
      <w:pPr>
        <w:spacing w:line="360" w:lineRule="auto"/>
        <w:rPr>
          <w:rFonts w:ascii="宋体" w:hAnsi="宋体" w:cs="宋体"/>
          <w:color w:val="000000"/>
          <w:sz w:val="24"/>
          <w:highlight w:val="none"/>
          <w:u w:val="single"/>
        </w:rPr>
      </w:pPr>
    </w:p>
    <w:p>
      <w:pPr>
        <w:spacing w:line="360" w:lineRule="auto"/>
        <w:rPr>
          <w:rFonts w:ascii="宋体" w:hAnsi="宋体" w:cs="宋体"/>
          <w:color w:val="000000"/>
          <w:sz w:val="24"/>
          <w:highlight w:val="none"/>
        </w:rPr>
      </w:pPr>
      <w:r>
        <w:rPr>
          <w:rFonts w:hint="eastAsia" w:ascii="宋体" w:hAnsi="宋体" w:cs="宋体"/>
          <w:color w:val="000000"/>
          <w:sz w:val="24"/>
          <w:highlight w:val="none"/>
          <w:u w:val="single"/>
        </w:rPr>
        <w:t>（采购人）、（采购代理机构）：</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kern w:val="0"/>
          <w:sz w:val="24"/>
          <w:highlight w:val="none"/>
          <w:lang w:val="zh-CN"/>
        </w:rPr>
        <w:t>我方</w:t>
      </w:r>
      <w:r>
        <w:rPr>
          <w:rFonts w:hint="eastAsia" w:ascii="宋体" w:hAnsi="宋体" w:cs="宋体"/>
          <w:color w:val="000000"/>
          <w:kern w:val="0"/>
          <w:sz w:val="24"/>
          <w:highlight w:val="none"/>
          <w:u w:val="single"/>
          <w:lang w:val="zh-CN"/>
        </w:rPr>
        <w:t xml:space="preserve">                         </w:t>
      </w:r>
      <w:r>
        <w:rPr>
          <w:rFonts w:hint="eastAsia" w:ascii="宋体" w:hAnsi="宋体" w:cs="宋体"/>
          <w:color w:val="000000"/>
          <w:sz w:val="24"/>
          <w:highlight w:val="none"/>
        </w:rPr>
        <w:t>(投标人全称)是中华人民共和国依法登记注册的合法企业，</w:t>
      </w:r>
      <w:r>
        <w:rPr>
          <w:rFonts w:hint="eastAsia" w:ascii="宋体" w:hAnsi="宋体" w:cs="宋体"/>
          <w:bCs/>
          <w:color w:val="000000"/>
          <w:sz w:val="24"/>
          <w:highlight w:val="none"/>
        </w:rPr>
        <w:t>在参加</w:t>
      </w:r>
      <w:r>
        <w:rPr>
          <w:rFonts w:hint="eastAsia" w:ascii="宋体" w:hAnsi="宋体" w:cs="宋体"/>
          <w:color w:val="000000"/>
          <w:sz w:val="24"/>
          <w:highlight w:val="none"/>
        </w:rPr>
        <w:t>你方组织的（</w:t>
      </w:r>
      <w:r>
        <w:rPr>
          <w:rFonts w:hint="eastAsia" w:ascii="宋体" w:hAnsi="宋体" w:cs="宋体"/>
          <w:color w:val="000000"/>
          <w:sz w:val="24"/>
          <w:highlight w:val="none"/>
          <w:lang w:eastAsia="zh-CN"/>
        </w:rPr>
        <w:t>良渚消防站电力配电项目</w:t>
      </w:r>
      <w:r>
        <w:rPr>
          <w:rFonts w:hint="eastAsia" w:ascii="宋体" w:hAnsi="宋体" w:cs="宋体"/>
          <w:color w:val="000000"/>
          <w:sz w:val="24"/>
          <w:highlight w:val="none"/>
        </w:rPr>
        <w:t>）【招标编号：（</w:t>
      </w:r>
      <w:r>
        <w:rPr>
          <w:rFonts w:hint="eastAsia" w:ascii="宋体" w:hAnsi="宋体" w:cs="宋体"/>
          <w:color w:val="000000"/>
          <w:sz w:val="24"/>
          <w:highlight w:val="none"/>
          <w:lang w:eastAsia="zh-CN"/>
        </w:rPr>
        <w:t>HZHZCG2024-019</w:t>
      </w:r>
      <w:r>
        <w:rPr>
          <w:rFonts w:hint="eastAsia" w:ascii="宋体" w:hAnsi="宋体" w:cs="宋体"/>
          <w:color w:val="000000"/>
          <w:sz w:val="24"/>
          <w:highlight w:val="none"/>
        </w:rPr>
        <w:t>）】</w:t>
      </w:r>
      <w:r>
        <w:rPr>
          <w:rFonts w:hint="eastAsia" w:ascii="宋体" w:hAnsi="宋体" w:cs="宋体"/>
          <w:bCs/>
          <w:color w:val="000000"/>
          <w:sz w:val="24"/>
          <w:highlight w:val="none"/>
        </w:rPr>
        <w:t>投标活动中作如下说明：</w:t>
      </w:r>
      <w:r>
        <w:rPr>
          <w:rFonts w:hint="eastAsia" w:ascii="宋体" w:hAnsi="宋体" w:cs="宋体"/>
          <w:color w:val="000000"/>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特此说明。</w:t>
      </w:r>
    </w:p>
    <w:p>
      <w:pPr>
        <w:spacing w:line="360" w:lineRule="auto"/>
        <w:ind w:firstLine="494"/>
        <w:rPr>
          <w:rFonts w:ascii="宋体" w:hAnsi="宋体" w:cs="宋体"/>
          <w:color w:val="000000"/>
          <w:sz w:val="24"/>
          <w:highlight w:val="none"/>
        </w:rPr>
      </w:pPr>
    </w:p>
    <w:p>
      <w:pPr>
        <w:spacing w:line="360" w:lineRule="auto"/>
        <w:ind w:firstLine="494"/>
        <w:rPr>
          <w:rFonts w:ascii="宋体" w:hAnsi="宋体" w:cs="宋体"/>
          <w:color w:val="000000"/>
          <w:sz w:val="24"/>
          <w:highlight w:val="none"/>
        </w:rPr>
      </w:pPr>
    </w:p>
    <w:p>
      <w:pPr>
        <w:spacing w:line="360" w:lineRule="auto"/>
        <w:ind w:firstLine="494"/>
        <w:rPr>
          <w:rFonts w:ascii="宋体" w:hAnsi="宋体" w:cs="宋体"/>
          <w:color w:val="000000"/>
          <w:sz w:val="24"/>
          <w:highlight w:val="none"/>
        </w:rPr>
      </w:pPr>
    </w:p>
    <w:p>
      <w:pPr>
        <w:spacing w:line="360" w:lineRule="auto"/>
        <w:ind w:firstLine="494"/>
        <w:rPr>
          <w:rFonts w:ascii="宋体" w:hAnsi="宋体" w:cs="宋体"/>
          <w:color w:val="000000"/>
          <w:sz w:val="24"/>
          <w:highlight w:val="none"/>
        </w:rPr>
      </w:pPr>
    </w:p>
    <w:p>
      <w:pPr>
        <w:spacing w:line="360" w:lineRule="auto"/>
        <w:ind w:right="480" w:firstLine="4080" w:firstLineChars="1700"/>
        <w:rPr>
          <w:rFonts w:ascii="宋体" w:hAnsi="宋体" w:cs="宋体"/>
          <w:color w:val="000000"/>
          <w:sz w:val="24"/>
          <w:highlight w:val="none"/>
        </w:rPr>
      </w:pPr>
      <w:r>
        <w:rPr>
          <w:rFonts w:hint="eastAsia" w:ascii="宋体" w:hAnsi="宋体" w:cs="宋体"/>
          <w:color w:val="000000"/>
          <w:sz w:val="24"/>
          <w:highlight w:val="none"/>
        </w:rPr>
        <w:t>投标单位（法定名称章）：</w:t>
      </w:r>
    </w:p>
    <w:p>
      <w:pPr>
        <w:ind w:right="1440" w:firstLine="494"/>
        <w:jc w:val="center"/>
        <w:rPr>
          <w:rFonts w:ascii="宋体" w:hAnsi="宋体" w:cs="宋体"/>
          <w:color w:val="000000"/>
          <w:sz w:val="24"/>
          <w:highlight w:val="none"/>
        </w:rPr>
      </w:pPr>
      <w:r>
        <w:rPr>
          <w:rFonts w:hint="eastAsia" w:ascii="宋体" w:hAnsi="宋体" w:cs="宋体"/>
          <w:color w:val="000000"/>
          <w:sz w:val="24"/>
          <w:highlight w:val="none"/>
        </w:rPr>
        <w:t xml:space="preserve">                              日期：       年     月     日</w:t>
      </w:r>
    </w:p>
    <w:p>
      <w:pPr>
        <w:rPr>
          <w:rFonts w:ascii="宋体" w:hAnsi="宋体" w:cs="宋体"/>
          <w:color w:val="000000"/>
          <w:sz w:val="24"/>
          <w:highlight w:val="none"/>
        </w:rPr>
      </w:pPr>
      <w:r>
        <w:rPr>
          <w:rFonts w:hint="eastAsia" w:ascii="宋体" w:hAnsi="宋体" w:cs="宋体"/>
          <w:b/>
          <w:bCs/>
          <w:color w:val="000000"/>
          <w:sz w:val="24"/>
          <w:highlight w:val="none"/>
        </w:rPr>
        <w:t>附：</w:t>
      </w:r>
    </w:p>
    <w:p>
      <w:pPr>
        <w:spacing w:line="360" w:lineRule="auto"/>
        <w:rPr>
          <w:rFonts w:ascii="宋体" w:hAnsi="宋体" w:cs="宋体"/>
          <w:bCs/>
          <w:color w:val="000000"/>
          <w:sz w:val="24"/>
          <w:highlight w:val="none"/>
        </w:rPr>
      </w:pPr>
      <w:r>
        <w:rPr>
          <w:rFonts w:hint="eastAsia" w:ascii="宋体" w:hAnsi="宋体" w:eastAsia="宋体" w:cs="宋体"/>
          <w:b/>
          <w:bCs/>
          <w:color w:val="000000"/>
          <w:kern w:val="2"/>
          <w:sz w:val="24"/>
          <w:szCs w:val="24"/>
          <w:highlight w:val="none"/>
          <w:lang w:val="en-US" w:eastAsia="zh-CN" w:bidi="ar-SA"/>
        </w:rPr>
        <w:pict>
          <v:rect id="Rectangle 17" o:spid="_x0000_s1026" style="position:absolute;left:0;margin-left:238.9pt;margin-top:28.05pt;height:177.45pt;width:212.95pt;rotation:0f;z-index:-251658240;" o:ole="f" fillcolor="#FFFFFF" filled="t" o:preferrelative="t" stroked="t" coordsize="21600,21600">
            <v:stroke color="#000000" color2="#FFFFFF" miterlimit="2"/>
            <v:imagedata gain="65536f" blacklevel="0f" gamma="0"/>
            <o:lock v:ext="edit" position="f" selection="f" grouping="f" rotation="f" cropping="f" text="f" aspectratio="f"/>
          </v:rect>
        </w:pict>
      </w:r>
      <w:r>
        <w:rPr>
          <w:rFonts w:hint="eastAsia" w:ascii="宋体" w:hAnsi="宋体" w:eastAsia="宋体" w:cs="宋体"/>
          <w:b/>
          <w:bCs/>
          <w:color w:val="000000"/>
          <w:kern w:val="2"/>
          <w:sz w:val="24"/>
          <w:szCs w:val="24"/>
          <w:highlight w:val="none"/>
          <w:lang w:val="en-US" w:eastAsia="zh-CN" w:bidi="ar-SA"/>
        </w:rPr>
        <w:pict>
          <v:rect id="Rectangle 16" o:spid="_x0000_s1027" style="position:absolute;left:0;margin-left:-7.2pt;margin-top:30.3pt;height:177.45pt;width:208.5pt;rotation:0f;z-index:-251657216;" o:ole="f" fillcolor="#FFFFFF" filled="t" o:preferrelative="t" stroked="t" coordsize="21600,21600">
            <v:stroke color="#000000" color2="#FFFFFF" miterlimit="2"/>
            <v:imagedata gain="65536f" blacklevel="0f" gamma="0"/>
            <o:lock v:ext="edit" position="f" selection="f" grouping="f" rotation="f" cropping="f" text="f" aspectratio="f"/>
          </v:rect>
        </w:pict>
      </w:r>
      <w:r>
        <w:rPr>
          <w:rFonts w:hint="eastAsia" w:ascii="宋体" w:hAnsi="宋体" w:cs="宋体"/>
          <w:color w:val="000000"/>
          <w:sz w:val="24"/>
          <w:highlight w:val="none"/>
        </w:rPr>
        <w:t>投标单位法定名称章（印模）                投标单位“XX专用章”（印模）</w:t>
      </w: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both"/>
        <w:rPr>
          <w:rFonts w:ascii="宋体" w:hAnsi="宋体" w:cs="宋体"/>
          <w:b/>
          <w:color w:val="000000"/>
          <w:spacing w:val="6"/>
          <w:sz w:val="32"/>
          <w:szCs w:val="32"/>
          <w:highlight w:val="none"/>
        </w:rPr>
      </w:pPr>
    </w:p>
    <w:p>
      <w:pPr>
        <w:autoSpaceDE w:val="0"/>
        <w:autoSpaceDN w:val="0"/>
        <w:jc w:val="center"/>
        <w:rPr>
          <w:rFonts w:hint="eastAsia" w:ascii="宋体" w:hAnsi="宋体" w:cs="宋体"/>
          <w:b/>
          <w:color w:val="000000"/>
          <w:spacing w:val="6"/>
          <w:sz w:val="32"/>
          <w:szCs w:val="32"/>
          <w:highlight w:val="none"/>
        </w:rPr>
      </w:pPr>
    </w:p>
    <w:p>
      <w:pPr>
        <w:autoSpaceDE w:val="0"/>
        <w:autoSpaceDN w:val="0"/>
        <w:jc w:val="center"/>
        <w:rPr>
          <w:rFonts w:hint="eastAsia" w:ascii="宋体" w:hAnsi="宋体" w:cs="宋体"/>
          <w:b/>
          <w:color w:val="000000"/>
          <w:spacing w:val="6"/>
          <w:sz w:val="32"/>
          <w:szCs w:val="32"/>
          <w:highlight w:val="none"/>
        </w:rPr>
      </w:pPr>
    </w:p>
    <w:p>
      <w:pPr>
        <w:autoSpaceDE w:val="0"/>
        <w:autoSpaceDN w:val="0"/>
        <w:jc w:val="center"/>
        <w:rPr>
          <w:rFonts w:hint="eastAsia" w:ascii="宋体" w:hAnsi="宋体" w:cs="宋体"/>
          <w:b/>
          <w:color w:val="000000"/>
          <w:spacing w:val="6"/>
          <w:sz w:val="32"/>
          <w:szCs w:val="32"/>
          <w:highlight w:val="none"/>
        </w:rPr>
      </w:pPr>
    </w:p>
    <w:p>
      <w:pPr>
        <w:autoSpaceDE w:val="0"/>
        <w:autoSpaceDN w:val="0"/>
        <w:jc w:val="center"/>
        <w:rPr>
          <w:rFonts w:ascii="宋体" w:hAnsi="宋体" w:cs="宋体"/>
          <w:b/>
          <w:color w:val="000000"/>
          <w:kern w:val="0"/>
          <w:sz w:val="32"/>
          <w:szCs w:val="32"/>
          <w:highlight w:val="none"/>
          <w:lang w:val="zh-CN"/>
        </w:rPr>
      </w:pPr>
      <w:r>
        <w:rPr>
          <w:rFonts w:hint="eastAsia" w:ascii="宋体" w:hAnsi="宋体" w:cs="宋体"/>
          <w:b/>
          <w:color w:val="000000"/>
          <w:spacing w:val="6"/>
          <w:sz w:val="32"/>
          <w:szCs w:val="32"/>
          <w:highlight w:val="none"/>
        </w:rPr>
        <w:t>附件</w:t>
      </w:r>
      <w:r>
        <w:rPr>
          <w:rFonts w:ascii="宋体" w:hAnsi="宋体" w:cs="宋体"/>
          <w:b/>
          <w:color w:val="000000"/>
          <w:spacing w:val="6"/>
          <w:sz w:val="32"/>
          <w:szCs w:val="32"/>
          <w:highlight w:val="none"/>
        </w:rPr>
        <w:t>5</w:t>
      </w:r>
      <w:r>
        <w:rPr>
          <w:rFonts w:hint="eastAsia" w:ascii="宋体" w:hAnsi="宋体" w:cs="宋体"/>
          <w:b/>
          <w:color w:val="000000"/>
          <w:spacing w:val="6"/>
          <w:sz w:val="32"/>
          <w:szCs w:val="32"/>
          <w:highlight w:val="none"/>
        </w:rPr>
        <w:t>：</w:t>
      </w:r>
      <w:r>
        <w:rPr>
          <w:rFonts w:hint="eastAsia" w:ascii="宋体" w:hAnsi="宋体" w:cs="宋体"/>
          <w:b/>
          <w:color w:val="000000"/>
          <w:kern w:val="0"/>
          <w:sz w:val="32"/>
          <w:szCs w:val="32"/>
          <w:highlight w:val="none"/>
          <w:lang w:val="zh-CN"/>
        </w:rPr>
        <w:t>联合协议</w:t>
      </w:r>
    </w:p>
    <w:p>
      <w:pPr>
        <w:widowControl/>
        <w:spacing w:line="360" w:lineRule="auto"/>
        <w:ind w:firstLine="482" w:firstLineChars="200"/>
        <w:jc w:val="left"/>
        <w:rPr>
          <w:rFonts w:ascii="宋体" w:hAnsi="宋体" w:cs="宋体"/>
          <w:b/>
          <w:color w:val="000000"/>
          <w:sz w:val="24"/>
          <w:highlight w:val="none"/>
        </w:rPr>
      </w:pPr>
      <w:r>
        <w:rPr>
          <w:rFonts w:hint="eastAsia" w:ascii="宋体" w:hAnsi="宋体" w:cs="宋体"/>
          <w:b/>
          <w:color w:val="000000"/>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u w:val="single"/>
        </w:rPr>
        <w:t>（联合体所有成员名称）</w:t>
      </w:r>
      <w:r>
        <w:rPr>
          <w:rFonts w:hint="eastAsia" w:ascii="宋体" w:hAnsi="宋体" w:cs="宋体"/>
          <w:color w:val="000000"/>
          <w:kern w:val="0"/>
          <w:sz w:val="24"/>
          <w:highlight w:val="none"/>
        </w:rPr>
        <w:t>自愿</w:t>
      </w:r>
      <w:r>
        <w:rPr>
          <w:rFonts w:hint="eastAsia" w:ascii="宋体" w:hAnsi="宋体" w:cs="宋体"/>
          <w:color w:val="000000"/>
          <w:kern w:val="0"/>
          <w:sz w:val="24"/>
          <w:highlight w:val="none"/>
          <w:lang w:val="zh-CN"/>
        </w:rPr>
        <w:t>组成一个联合体，以一个投标人的身份</w:t>
      </w:r>
      <w:r>
        <w:rPr>
          <w:rFonts w:hint="eastAsia" w:ascii="宋体" w:hAnsi="宋体" w:cs="宋体"/>
          <w:color w:val="000000"/>
          <w:kern w:val="0"/>
          <w:sz w:val="24"/>
          <w:highlight w:val="none"/>
        </w:rPr>
        <w:t>参加</w:t>
      </w:r>
      <w:r>
        <w:rPr>
          <w:rFonts w:hint="eastAsia" w:ascii="宋体" w:hAnsi="宋体" w:cs="宋体"/>
          <w:color w:val="000000"/>
          <w:sz w:val="24"/>
          <w:highlight w:val="none"/>
        </w:rPr>
        <w:t>（</w:t>
      </w:r>
      <w:r>
        <w:rPr>
          <w:rFonts w:hint="eastAsia" w:ascii="宋体" w:hAnsi="宋体" w:cs="宋体"/>
          <w:color w:val="000000"/>
          <w:sz w:val="24"/>
          <w:highlight w:val="none"/>
          <w:lang w:eastAsia="zh-CN"/>
        </w:rPr>
        <w:t>良渚消防站电力配电项目</w:t>
      </w:r>
      <w:r>
        <w:rPr>
          <w:rFonts w:hint="eastAsia" w:ascii="宋体" w:hAnsi="宋体" w:cs="宋体"/>
          <w:color w:val="000000"/>
          <w:sz w:val="24"/>
          <w:highlight w:val="none"/>
        </w:rPr>
        <w:t>）【招标编号：（</w:t>
      </w:r>
      <w:r>
        <w:rPr>
          <w:rFonts w:hint="eastAsia" w:ascii="宋体" w:hAnsi="宋体" w:cs="宋体"/>
          <w:color w:val="000000"/>
          <w:sz w:val="24"/>
          <w:highlight w:val="none"/>
          <w:lang w:eastAsia="zh-CN"/>
        </w:rPr>
        <w:t>HZHZCG2024-019</w:t>
      </w:r>
      <w:r>
        <w:rPr>
          <w:rFonts w:hint="eastAsia" w:ascii="宋体" w:hAnsi="宋体" w:cs="宋体"/>
          <w:color w:val="000000"/>
          <w:sz w:val="24"/>
          <w:highlight w:val="none"/>
        </w:rPr>
        <w:t>）】</w:t>
      </w:r>
      <w:r>
        <w:rPr>
          <w:rFonts w:hint="eastAsia" w:ascii="宋体" w:hAnsi="宋体" w:cs="宋体"/>
          <w:color w:val="000000"/>
          <w:kern w:val="0"/>
          <w:sz w:val="24"/>
          <w:highlight w:val="none"/>
          <w:lang w:val="zh-CN"/>
        </w:rPr>
        <w:t xml:space="preserve">投标。 </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一、各方一致决定，</w:t>
      </w:r>
      <w:r>
        <w:rPr>
          <w:rFonts w:hint="eastAsia" w:ascii="宋体" w:hAnsi="宋体" w:cs="宋体"/>
          <w:color w:val="000000"/>
          <w:kern w:val="0"/>
          <w:sz w:val="24"/>
          <w:highlight w:val="none"/>
          <w:u w:val="single"/>
        </w:rPr>
        <w:t>（某联合体成员名称）</w:t>
      </w:r>
      <w:r>
        <w:rPr>
          <w:rFonts w:hint="eastAsia" w:ascii="宋体" w:hAnsi="宋体" w:cs="宋体"/>
          <w:color w:val="000000"/>
          <w:kern w:val="0"/>
          <w:sz w:val="24"/>
          <w:highlight w:val="none"/>
        </w:rPr>
        <w:t>为联合体</w:t>
      </w:r>
      <w:r>
        <w:rPr>
          <w:rFonts w:hint="eastAsia" w:ascii="宋体" w:hAnsi="宋体" w:cs="宋体"/>
          <w:color w:val="000000"/>
          <w:kern w:val="0"/>
          <w:sz w:val="24"/>
          <w:highlight w:val="none"/>
          <w:lang w:val="zh-CN"/>
        </w:rPr>
        <w:t>牵头人</w:t>
      </w:r>
      <w:r>
        <w:rPr>
          <w:rFonts w:hint="eastAsia" w:ascii="宋体" w:hAnsi="宋体" w:cs="宋体"/>
          <w:color w:val="000000"/>
          <w:sz w:val="24"/>
          <w:highlight w:val="none"/>
        </w:rPr>
        <w:t>，代表所有联合体成员负责投标和合同实施阶段的主办、协调工作</w:t>
      </w:r>
      <w:r>
        <w:rPr>
          <w:rFonts w:hint="eastAsia" w:ascii="宋体" w:hAnsi="宋体" w:cs="宋体"/>
          <w:color w:val="000000"/>
          <w:kern w:val="0"/>
          <w:sz w:val="24"/>
          <w:highlight w:val="none"/>
          <w:lang w:val="zh-CN"/>
        </w:rPr>
        <w:t>。</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二、</w:t>
      </w:r>
      <w:r>
        <w:rPr>
          <w:rFonts w:hint="eastAsia" w:ascii="宋体" w:hAnsi="宋体" w:cs="宋体"/>
          <w:color w:val="000000"/>
          <w:sz w:val="24"/>
          <w:highlight w:val="none"/>
        </w:rPr>
        <w:t>所有联合体成员各方签署授权书，授权书载明的</w:t>
      </w:r>
      <w:r>
        <w:rPr>
          <w:rFonts w:hint="eastAsia" w:ascii="宋体" w:hAnsi="宋体" w:cs="宋体"/>
          <w:color w:val="000000"/>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三、本次联合投标中，分工如下：</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u w:val="single"/>
        </w:rPr>
        <w:t>（联合体成员1）</w:t>
      </w:r>
      <w:r>
        <w:rPr>
          <w:rFonts w:hint="eastAsia" w:ascii="宋体" w:hAnsi="宋体" w:cs="宋体"/>
          <w:color w:val="000000"/>
          <w:kern w:val="0"/>
          <w:sz w:val="24"/>
          <w:highlight w:val="none"/>
          <w:lang w:val="zh-CN"/>
        </w:rPr>
        <w:t>承担的工作和义务为：</w:t>
      </w:r>
      <w:r>
        <w:rPr>
          <w:rFonts w:hint="eastAsia" w:ascii="宋体" w:hAnsi="宋体" w:cs="宋体"/>
          <w:color w:val="000000"/>
          <w:highlight w:val="none"/>
          <w:u w:val="single"/>
        </w:rPr>
        <w:t xml:space="preserve">             </w:t>
      </w:r>
      <w:r>
        <w:rPr>
          <w:rFonts w:hint="eastAsia" w:ascii="宋体" w:hAnsi="宋体" w:cs="宋体"/>
          <w:color w:val="000000"/>
          <w:kern w:val="0"/>
          <w:sz w:val="24"/>
          <w:highlight w:val="none"/>
          <w:lang w:val="zh-CN"/>
        </w:rPr>
        <w:t>；</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u w:val="single"/>
        </w:rPr>
        <w:t>（联合体成员</w:t>
      </w:r>
      <w:r>
        <w:rPr>
          <w:rFonts w:ascii="宋体" w:hAnsi="宋体" w:cs="宋体"/>
          <w:color w:val="000000"/>
          <w:kern w:val="0"/>
          <w:sz w:val="24"/>
          <w:highlight w:val="none"/>
          <w:u w:val="single"/>
        </w:rPr>
        <w:t>2</w:t>
      </w:r>
      <w:r>
        <w:rPr>
          <w:rFonts w:hint="eastAsia" w:ascii="宋体" w:hAnsi="宋体" w:cs="宋体"/>
          <w:color w:val="000000"/>
          <w:kern w:val="0"/>
          <w:sz w:val="24"/>
          <w:highlight w:val="none"/>
          <w:u w:val="single"/>
        </w:rPr>
        <w:t>）</w:t>
      </w:r>
      <w:r>
        <w:rPr>
          <w:rFonts w:hint="eastAsia" w:ascii="宋体" w:hAnsi="宋体" w:cs="宋体"/>
          <w:color w:val="000000"/>
          <w:kern w:val="0"/>
          <w:sz w:val="24"/>
          <w:highlight w:val="none"/>
          <w:lang w:val="zh-CN"/>
        </w:rPr>
        <w:t>承担的工作和义务为：</w:t>
      </w:r>
      <w:r>
        <w:rPr>
          <w:rFonts w:hint="eastAsia" w:ascii="宋体" w:hAnsi="宋体" w:cs="宋体"/>
          <w:color w:val="000000"/>
          <w:highlight w:val="none"/>
          <w:u w:val="single"/>
        </w:rPr>
        <w:t xml:space="preserve">             </w:t>
      </w:r>
      <w:r>
        <w:rPr>
          <w:rFonts w:hint="eastAsia" w:ascii="宋体" w:hAnsi="宋体" w:cs="宋体"/>
          <w:color w:val="000000"/>
          <w:kern w:val="0"/>
          <w:sz w:val="24"/>
          <w:highlight w:val="none"/>
          <w:lang w:val="zh-CN"/>
        </w:rPr>
        <w:t>；</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四、联合体成员中小企业合同份额。</w:t>
      </w:r>
    </w:p>
    <w:p>
      <w:pPr>
        <w:snapToGrid w:val="0"/>
        <w:spacing w:line="360" w:lineRule="auto"/>
        <w:ind w:firstLine="576"/>
        <w:rPr>
          <w:rFonts w:ascii="宋体" w:hAnsi="宋体" w:cs="宋体"/>
          <w:b/>
          <w:color w:val="000000"/>
          <w:kern w:val="0"/>
          <w:sz w:val="24"/>
          <w:highlight w:val="none"/>
          <w:lang w:val="zh-CN"/>
        </w:rPr>
      </w:pPr>
      <w:r>
        <w:rPr>
          <w:rFonts w:hint="eastAsia" w:ascii="宋体" w:hAnsi="宋体" w:cs="宋体"/>
          <w:color w:val="000000"/>
          <w:kern w:val="0"/>
          <w:sz w:val="24"/>
          <w:highlight w:val="none"/>
          <w:lang w:val="zh-CN"/>
        </w:rPr>
        <w:t>1、</w:t>
      </w:r>
      <w:r>
        <w:rPr>
          <w:rFonts w:hint="eastAsia" w:ascii="宋体" w:hAnsi="宋体" w:cs="宋体"/>
          <w:color w:val="000000"/>
          <w:kern w:val="0"/>
          <w:sz w:val="24"/>
          <w:highlight w:val="none"/>
          <w:u w:val="single"/>
        </w:rPr>
        <w:t>（</w:t>
      </w:r>
      <w:bookmarkStart w:id="478" w:name="_Hlk101131882"/>
      <w:r>
        <w:rPr>
          <w:rFonts w:hint="eastAsia" w:ascii="宋体" w:hAnsi="宋体" w:cs="宋体"/>
          <w:color w:val="000000"/>
          <w:kern w:val="0"/>
          <w:sz w:val="24"/>
          <w:highlight w:val="none"/>
          <w:u w:val="single"/>
        </w:rPr>
        <w:t>联合体成员X</w:t>
      </w:r>
      <w:r>
        <w:rPr>
          <w:rFonts w:ascii="宋体" w:hAnsi="宋体" w:cs="宋体"/>
          <w:color w:val="000000"/>
          <w:kern w:val="0"/>
          <w:sz w:val="24"/>
          <w:highlight w:val="none"/>
          <w:u w:val="single"/>
        </w:rPr>
        <w:t>,</w:t>
      </w:r>
      <w:r>
        <w:rPr>
          <w:rFonts w:hint="eastAsia" w:ascii="宋体" w:hAnsi="宋体" w:cs="宋体"/>
          <w:color w:val="000000"/>
          <w:kern w:val="0"/>
          <w:sz w:val="24"/>
          <w:highlight w:val="none"/>
          <w:u w:val="single"/>
        </w:rPr>
        <w:t>……</w:t>
      </w:r>
      <w:bookmarkEnd w:id="478"/>
      <w:r>
        <w:rPr>
          <w:rFonts w:hint="eastAsia" w:ascii="宋体" w:hAnsi="宋体" w:cs="宋体"/>
          <w:color w:val="000000"/>
          <w:kern w:val="0"/>
          <w:sz w:val="24"/>
          <w:highlight w:val="none"/>
          <w:u w:val="single"/>
        </w:rPr>
        <w:t>）</w:t>
      </w:r>
      <w:r>
        <w:rPr>
          <w:rFonts w:hint="eastAsia" w:ascii="宋体" w:hAnsi="宋体" w:cs="宋体"/>
          <w:color w:val="000000"/>
          <w:kern w:val="0"/>
          <w:sz w:val="24"/>
          <w:highlight w:val="none"/>
        </w:rPr>
        <w:t>提供的服务由小微企业承接，其合同份额占到合同总金额</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%以上</w:t>
      </w:r>
      <w:r>
        <w:rPr>
          <w:rFonts w:hint="eastAsia" w:ascii="宋体" w:hAnsi="宋体" w:cs="宋体"/>
          <w:color w:val="000000"/>
          <w:kern w:val="0"/>
          <w:sz w:val="24"/>
          <w:highlight w:val="none"/>
          <w:lang w:val="zh-CN"/>
        </w:rPr>
        <w:t>。</w:t>
      </w:r>
      <w:r>
        <w:rPr>
          <w:rFonts w:hint="eastAsia" w:ascii="宋体" w:hAnsi="宋体" w:cs="宋体"/>
          <w:b/>
          <w:color w:val="000000"/>
          <w:kern w:val="0"/>
          <w:sz w:val="24"/>
          <w:highlight w:val="none"/>
          <w:lang w:val="zh-CN"/>
        </w:rPr>
        <w:t>（</w:t>
      </w:r>
      <w:bookmarkStart w:id="479" w:name="_Hlk101133598"/>
      <w:r>
        <w:rPr>
          <w:rFonts w:hint="eastAsia" w:ascii="宋体" w:hAnsi="宋体" w:cs="宋体"/>
          <w:b/>
          <w:color w:val="000000"/>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sz w:val="24"/>
          <w:highlight w:val="none"/>
        </w:rPr>
        <w:t>拟享受以上价格扣除政策的，填写有关内容。</w:t>
      </w:r>
      <w:bookmarkEnd w:id="479"/>
      <w:r>
        <w:rPr>
          <w:rFonts w:hint="eastAsia" w:ascii="宋体" w:hAnsi="宋体" w:cs="宋体"/>
          <w:b/>
          <w:color w:val="000000"/>
          <w:kern w:val="0"/>
          <w:sz w:val="24"/>
          <w:highlight w:val="none"/>
          <w:lang w:val="zh-CN"/>
        </w:rPr>
        <w:t>）</w:t>
      </w:r>
    </w:p>
    <w:p>
      <w:pPr>
        <w:spacing w:line="360" w:lineRule="auto"/>
        <w:ind w:firstLine="480" w:firstLineChars="200"/>
        <w:rPr>
          <w:rFonts w:ascii="宋体" w:hAnsi="宋体" w:cs="宋体"/>
          <w:b/>
          <w:bCs/>
          <w:color w:val="000000"/>
          <w:kern w:val="0"/>
          <w:sz w:val="24"/>
          <w:highlight w:val="none"/>
          <w:lang w:val="zh-CN"/>
        </w:rPr>
      </w:pPr>
      <w:r>
        <w:rPr>
          <w:rFonts w:hint="eastAsia" w:ascii="宋体" w:hAnsi="宋体" w:cs="宋体"/>
          <w:color w:val="000000"/>
          <w:sz w:val="24"/>
          <w:highlight w:val="none"/>
        </w:rPr>
        <w:t>2、</w:t>
      </w:r>
      <w:bookmarkStart w:id="480" w:name="_Hlk101133173"/>
      <w:r>
        <w:rPr>
          <w:rFonts w:hint="eastAsia" w:ascii="宋体" w:hAnsi="宋体" w:cs="宋体"/>
          <w:color w:val="000000"/>
          <w:sz w:val="24"/>
          <w:highlight w:val="none"/>
        </w:rPr>
        <w:t>中小企业合同金额达到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%，小微企业合同金额达到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kern w:val="0"/>
          <w:sz w:val="24"/>
          <w:highlight w:val="none"/>
          <w:lang w:val="zh-CN"/>
        </w:rPr>
        <w:t>。</w:t>
      </w:r>
      <w:r>
        <w:rPr>
          <w:rFonts w:hint="eastAsia" w:ascii="宋体" w:hAnsi="宋体" w:cs="宋体"/>
          <w:b/>
          <w:bCs/>
          <w:color w:val="000000"/>
          <w:kern w:val="0"/>
          <w:sz w:val="24"/>
          <w:highlight w:val="none"/>
          <w:lang w:val="zh-CN"/>
        </w:rPr>
        <w:t>（</w:t>
      </w:r>
      <w:r>
        <w:rPr>
          <w:rFonts w:hint="eastAsia" w:ascii="宋体" w:hAnsi="宋体" w:cs="宋体"/>
          <w:b/>
          <w:bCs/>
          <w:color w:val="000000"/>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kern w:val="0"/>
          <w:sz w:val="24"/>
          <w:highlight w:val="none"/>
          <w:lang w:val="zh-CN"/>
        </w:rPr>
        <w:t>）</w:t>
      </w:r>
      <w:bookmarkEnd w:id="480"/>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五、如果中标，</w:t>
      </w:r>
      <w:r>
        <w:rPr>
          <w:rFonts w:hint="eastAsia" w:ascii="宋体" w:hAnsi="宋体" w:cs="宋体"/>
          <w:color w:val="000000"/>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六、有关本次联合投标的其他事宜：</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联合体成员名称(电子签名/公章)：</w:t>
      </w:r>
    </w:p>
    <w:p>
      <w:pPr>
        <w:snapToGrid w:val="0"/>
        <w:spacing w:line="360" w:lineRule="auto"/>
        <w:ind w:firstLine="5040" w:firstLineChars="21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联合体成员名称(电子签名/公章)：</w:t>
      </w:r>
    </w:p>
    <w:p>
      <w:pPr>
        <w:snapToGrid w:val="0"/>
        <w:spacing w:line="360" w:lineRule="auto"/>
        <w:ind w:right="960"/>
        <w:jc w:val="center"/>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w:t>
      </w:r>
    </w:p>
    <w:p>
      <w:pPr>
        <w:snapToGrid w:val="0"/>
        <w:spacing w:line="360" w:lineRule="auto"/>
        <w:jc w:val="righ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日期：  年  月   日</w:t>
      </w:r>
    </w:p>
    <w:p>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widowControl/>
        <w:adjustRightInd/>
        <w:jc w:val="center"/>
        <w:rPr>
          <w:rFonts w:hint="eastAsia" w:ascii="宋体" w:hAnsi="宋体" w:cs="宋体"/>
          <w:b/>
          <w:color w:val="000000"/>
          <w:spacing w:val="6"/>
          <w:sz w:val="32"/>
          <w:szCs w:val="32"/>
          <w:highlight w:val="none"/>
        </w:rPr>
      </w:pPr>
    </w:p>
    <w:p>
      <w:pPr>
        <w:widowControl/>
        <w:adjustRightInd/>
        <w:jc w:val="center"/>
        <w:rPr>
          <w:rFonts w:hint="eastAsia" w:ascii="宋体" w:hAnsi="宋体" w:cs="宋体"/>
          <w:b/>
          <w:color w:val="000000"/>
          <w:spacing w:val="6"/>
          <w:sz w:val="32"/>
          <w:szCs w:val="32"/>
          <w:highlight w:val="none"/>
        </w:rPr>
      </w:pPr>
    </w:p>
    <w:p>
      <w:pPr>
        <w:widowControl/>
        <w:adjustRightInd/>
        <w:jc w:val="center"/>
        <w:rPr>
          <w:rFonts w:ascii="宋体" w:hAnsi="宋体" w:cs="宋体"/>
          <w:b/>
          <w:color w:val="000000"/>
          <w:kern w:val="0"/>
          <w:sz w:val="32"/>
          <w:szCs w:val="32"/>
          <w:highlight w:val="none"/>
        </w:rPr>
      </w:pPr>
      <w:r>
        <w:rPr>
          <w:rFonts w:hint="eastAsia" w:ascii="宋体" w:hAnsi="宋体" w:cs="宋体"/>
          <w:b/>
          <w:color w:val="000000"/>
          <w:spacing w:val="6"/>
          <w:sz w:val="32"/>
          <w:szCs w:val="32"/>
          <w:highlight w:val="none"/>
        </w:rPr>
        <w:t>附件</w:t>
      </w:r>
      <w:r>
        <w:rPr>
          <w:rFonts w:ascii="宋体" w:hAnsi="宋体" w:cs="宋体"/>
          <w:b/>
          <w:color w:val="000000"/>
          <w:spacing w:val="6"/>
          <w:sz w:val="32"/>
          <w:szCs w:val="32"/>
          <w:highlight w:val="none"/>
        </w:rPr>
        <w:t>6</w:t>
      </w:r>
      <w:r>
        <w:rPr>
          <w:rFonts w:hint="eastAsia" w:ascii="宋体" w:hAnsi="宋体" w:cs="宋体"/>
          <w:b/>
          <w:color w:val="000000"/>
          <w:spacing w:val="6"/>
          <w:sz w:val="32"/>
          <w:szCs w:val="32"/>
          <w:highlight w:val="none"/>
        </w:rPr>
        <w:t>：</w:t>
      </w:r>
      <w:r>
        <w:rPr>
          <w:rFonts w:hint="eastAsia" w:ascii="宋体" w:hAnsi="宋体" w:cs="宋体"/>
          <w:b/>
          <w:color w:val="000000"/>
          <w:kern w:val="0"/>
          <w:sz w:val="32"/>
          <w:szCs w:val="32"/>
          <w:highlight w:val="none"/>
        </w:rPr>
        <w:t>分包意向协议</w:t>
      </w:r>
    </w:p>
    <w:p>
      <w:pPr>
        <w:widowControl/>
        <w:spacing w:line="360" w:lineRule="auto"/>
        <w:ind w:firstLine="120" w:firstLineChars="50"/>
        <w:jc w:val="left"/>
        <w:rPr>
          <w:rFonts w:ascii="宋体" w:hAnsi="宋体" w:cs="宋体"/>
          <w:color w:val="000000"/>
          <w:sz w:val="24"/>
          <w:highlight w:val="none"/>
        </w:rPr>
      </w:pPr>
      <w:r>
        <w:rPr>
          <w:rFonts w:hint="eastAsia" w:ascii="宋体" w:hAnsi="宋体" w:cs="宋体"/>
          <w:color w:val="000000"/>
          <w:sz w:val="24"/>
          <w:highlight w:val="none"/>
        </w:rPr>
        <w:t>（</w:t>
      </w:r>
      <w:r>
        <w:rPr>
          <w:rFonts w:hint="eastAsia" w:ascii="宋体" w:hAnsi="宋体" w:cs="宋体"/>
          <w:b/>
          <w:color w:val="000000"/>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000000"/>
          <w:sz w:val="24"/>
          <w:highlight w:val="none"/>
        </w:rPr>
        <w:t>）</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u w:val="single"/>
        </w:rPr>
        <w:t>（投标人名称）</w:t>
      </w:r>
      <w:r>
        <w:rPr>
          <w:rFonts w:hint="eastAsia" w:ascii="宋体" w:hAnsi="宋体" w:cs="宋体"/>
          <w:color w:val="000000"/>
          <w:kern w:val="0"/>
          <w:sz w:val="24"/>
          <w:highlight w:val="none"/>
          <w:lang w:val="zh-CN"/>
        </w:rPr>
        <w:t>若成为</w:t>
      </w:r>
      <w:r>
        <w:rPr>
          <w:rFonts w:hint="eastAsia" w:ascii="宋体" w:hAnsi="宋体" w:cs="宋体"/>
          <w:color w:val="000000"/>
          <w:sz w:val="24"/>
          <w:highlight w:val="none"/>
        </w:rPr>
        <w:t>（</w:t>
      </w:r>
      <w:r>
        <w:rPr>
          <w:rFonts w:hint="eastAsia" w:ascii="宋体" w:hAnsi="宋体" w:cs="宋体"/>
          <w:color w:val="000000"/>
          <w:sz w:val="24"/>
          <w:highlight w:val="none"/>
          <w:lang w:eastAsia="zh-CN"/>
        </w:rPr>
        <w:t>良渚消防站电力配电项目</w:t>
      </w:r>
      <w:r>
        <w:rPr>
          <w:rFonts w:hint="eastAsia" w:ascii="宋体" w:hAnsi="宋体" w:cs="宋体"/>
          <w:color w:val="000000"/>
          <w:sz w:val="24"/>
          <w:highlight w:val="none"/>
        </w:rPr>
        <w:t>）【招标编号：（</w:t>
      </w:r>
      <w:r>
        <w:rPr>
          <w:rFonts w:hint="eastAsia" w:ascii="宋体" w:hAnsi="宋体" w:cs="宋体"/>
          <w:color w:val="000000"/>
          <w:sz w:val="24"/>
          <w:highlight w:val="none"/>
          <w:lang w:eastAsia="zh-CN"/>
        </w:rPr>
        <w:t>HZHZCG2024-019</w:t>
      </w:r>
      <w:r>
        <w:rPr>
          <w:rFonts w:hint="eastAsia" w:ascii="宋体" w:hAnsi="宋体" w:cs="宋体"/>
          <w:color w:val="000000"/>
          <w:sz w:val="24"/>
          <w:highlight w:val="none"/>
        </w:rPr>
        <w:t>）】</w:t>
      </w:r>
      <w:r>
        <w:rPr>
          <w:rFonts w:hint="eastAsia" w:ascii="宋体" w:hAnsi="宋体" w:cs="宋体"/>
          <w:color w:val="000000"/>
          <w:kern w:val="0"/>
          <w:sz w:val="24"/>
          <w:highlight w:val="none"/>
          <w:lang w:val="zh-CN"/>
        </w:rPr>
        <w:t>的中标供应商，将依法采取分包方式履行合同。</w:t>
      </w:r>
      <w:r>
        <w:rPr>
          <w:rFonts w:hint="eastAsia" w:ascii="宋体" w:hAnsi="宋体" w:cs="宋体"/>
          <w:color w:val="000000"/>
          <w:kern w:val="0"/>
          <w:sz w:val="24"/>
          <w:highlight w:val="none"/>
          <w:u w:val="single"/>
        </w:rPr>
        <w:t>（投标人名称）</w:t>
      </w:r>
      <w:r>
        <w:rPr>
          <w:rFonts w:hint="eastAsia" w:ascii="宋体" w:hAnsi="宋体" w:cs="宋体"/>
          <w:color w:val="000000"/>
          <w:kern w:val="0"/>
          <w:sz w:val="24"/>
          <w:highlight w:val="none"/>
        </w:rPr>
        <w:t>与</w:t>
      </w:r>
      <w:r>
        <w:rPr>
          <w:rFonts w:hint="eastAsia" w:ascii="宋体" w:hAnsi="宋体" w:cs="宋体"/>
          <w:color w:val="000000"/>
          <w:kern w:val="0"/>
          <w:sz w:val="24"/>
          <w:highlight w:val="none"/>
          <w:u w:val="single"/>
        </w:rPr>
        <w:t>（所有分包供应商名称）</w:t>
      </w:r>
      <w:r>
        <w:rPr>
          <w:rFonts w:hint="eastAsia" w:ascii="宋体" w:hAnsi="宋体" w:cs="宋体"/>
          <w:color w:val="000000"/>
          <w:kern w:val="0"/>
          <w:sz w:val="24"/>
          <w:highlight w:val="none"/>
        </w:rPr>
        <w:t>达成分包意向协议</w:t>
      </w:r>
      <w:r>
        <w:rPr>
          <w:rFonts w:hint="eastAsia" w:ascii="宋体" w:hAnsi="宋体" w:cs="宋体"/>
          <w:color w:val="000000"/>
          <w:kern w:val="0"/>
          <w:sz w:val="24"/>
          <w:highlight w:val="none"/>
          <w:lang w:val="zh-CN"/>
        </w:rPr>
        <w:t xml:space="preserve">。 </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一、分包标的及数量</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u w:val="single"/>
        </w:rPr>
        <w:t>（投标人名称）</w:t>
      </w:r>
      <w:r>
        <w:rPr>
          <w:rFonts w:hint="eastAsia" w:ascii="宋体" w:hAnsi="宋体" w:cs="宋体"/>
          <w:color w:val="000000"/>
          <w:kern w:val="0"/>
          <w:sz w:val="24"/>
          <w:highlight w:val="none"/>
          <w:lang w:val="zh-CN"/>
        </w:rPr>
        <w:t>将</w:t>
      </w:r>
      <w:r>
        <w:rPr>
          <w:rFonts w:hint="eastAsia" w:ascii="宋体" w:hAnsi="宋体" w:cs="宋体"/>
          <w:color w:val="000000"/>
          <w:highlight w:val="none"/>
          <w:u w:val="single"/>
        </w:rPr>
        <w:t xml:space="preserve">  </w:t>
      </w:r>
      <w:r>
        <w:rPr>
          <w:rFonts w:ascii="宋体" w:hAnsi="宋体" w:cs="宋体"/>
          <w:color w:val="000000"/>
          <w:kern w:val="0"/>
          <w:sz w:val="24"/>
          <w:highlight w:val="none"/>
          <w:u w:val="single"/>
        </w:rPr>
        <w:t xml:space="preserve"> XX工作内容   </w:t>
      </w:r>
      <w:r>
        <w:rPr>
          <w:rFonts w:hint="eastAsia" w:ascii="宋体" w:hAnsi="宋体" w:cs="宋体"/>
          <w:color w:val="000000"/>
          <w:sz w:val="24"/>
          <w:highlight w:val="none"/>
        </w:rPr>
        <w:t>分包给</w:t>
      </w:r>
      <w:r>
        <w:rPr>
          <w:rFonts w:hint="eastAsia" w:ascii="宋体" w:hAnsi="宋体" w:cs="宋体"/>
          <w:color w:val="000000"/>
          <w:kern w:val="0"/>
          <w:sz w:val="24"/>
          <w:highlight w:val="none"/>
          <w:u w:val="single"/>
        </w:rPr>
        <w:t>（分包供应商1名称）</w:t>
      </w:r>
      <w:r>
        <w:rPr>
          <w:rFonts w:hint="eastAsia" w:ascii="宋体" w:hAnsi="宋体" w:cs="宋体"/>
          <w:color w:val="000000"/>
          <w:kern w:val="0"/>
          <w:sz w:val="24"/>
          <w:highlight w:val="none"/>
          <w:lang w:val="zh-CN"/>
        </w:rPr>
        <w:t>，</w:t>
      </w:r>
      <w:r>
        <w:rPr>
          <w:rFonts w:hint="eastAsia" w:ascii="宋体" w:hAnsi="宋体" w:cs="宋体"/>
          <w:color w:val="000000"/>
          <w:kern w:val="0"/>
          <w:sz w:val="24"/>
          <w:highlight w:val="none"/>
          <w:u w:val="single"/>
        </w:rPr>
        <w:t>（分包供应商2名称），</w:t>
      </w:r>
      <w:r>
        <w:rPr>
          <w:rFonts w:hint="eastAsia" w:ascii="宋体" w:hAnsi="宋体" w:cs="宋体"/>
          <w:color w:val="000000"/>
          <w:kern w:val="0"/>
          <w:sz w:val="24"/>
          <w:highlight w:val="none"/>
          <w:lang w:val="zh-CN"/>
        </w:rPr>
        <w:t>具备承</w:t>
      </w:r>
      <w:r>
        <w:rPr>
          <w:rFonts w:hint="eastAsia" w:ascii="宋体" w:hAnsi="宋体" w:cs="宋体"/>
          <w:color w:val="000000"/>
          <w:kern w:val="0"/>
          <w:sz w:val="24"/>
          <w:highlight w:val="none"/>
        </w:rPr>
        <w:t>担</w:t>
      </w:r>
      <w:r>
        <w:rPr>
          <w:rFonts w:hint="eastAsia" w:ascii="宋体" w:hAnsi="宋体" w:cs="宋体"/>
          <w:color w:val="000000"/>
          <w:kern w:val="0"/>
          <w:sz w:val="24"/>
          <w:highlight w:val="none"/>
          <w:u w:val="single"/>
          <w:lang w:val="zh-CN"/>
        </w:rPr>
        <w:t>XX工作内容</w:t>
      </w:r>
      <w:r>
        <w:rPr>
          <w:rFonts w:hint="eastAsia" w:ascii="宋体" w:hAnsi="宋体" w:cs="宋体"/>
          <w:color w:val="000000"/>
          <w:kern w:val="0"/>
          <w:sz w:val="24"/>
          <w:highlight w:val="none"/>
          <w:lang w:val="zh-CN"/>
        </w:rPr>
        <w:t>相应资质条件且不得再次分包；</w:t>
      </w:r>
    </w:p>
    <w:p>
      <w:pPr>
        <w:pStyle w:val="3"/>
        <w:ind w:left="664" w:leftChars="316" w:firstLine="229" w:firstLineChars="95"/>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w:t>
      </w:r>
    </w:p>
    <w:p>
      <w:pPr>
        <w:rPr>
          <w:color w:val="000000"/>
          <w:highlight w:val="none"/>
        </w:rPr>
      </w:pPr>
      <w:r>
        <w:rPr>
          <w:rFonts w:hint="eastAsia"/>
          <w:color w:val="000000"/>
          <w:highlight w:val="none"/>
          <w:lang w:val="zh-CN"/>
        </w:rPr>
        <w:t xml:space="preserve"> </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二、分包供应商中小企业合同份额</w:t>
      </w:r>
    </w:p>
    <w:p>
      <w:pPr>
        <w:snapToGrid w:val="0"/>
        <w:spacing w:line="360" w:lineRule="auto"/>
        <w:ind w:firstLine="576"/>
        <w:rPr>
          <w:rFonts w:ascii="宋体" w:hAnsi="宋体" w:cs="宋体"/>
          <w:b/>
          <w:color w:val="000000"/>
          <w:kern w:val="0"/>
          <w:sz w:val="24"/>
          <w:highlight w:val="none"/>
          <w:lang w:val="zh-CN"/>
        </w:rPr>
      </w:pPr>
      <w:r>
        <w:rPr>
          <w:rFonts w:ascii="宋体" w:hAnsi="宋体" w:cs="宋体"/>
          <w:color w:val="000000"/>
          <w:kern w:val="0"/>
          <w:sz w:val="24"/>
          <w:highlight w:val="none"/>
        </w:rPr>
        <w:t>1、</w:t>
      </w:r>
      <w:r>
        <w:rPr>
          <w:rFonts w:hint="eastAsia" w:ascii="宋体" w:hAnsi="宋体" w:cs="宋体"/>
          <w:color w:val="000000"/>
          <w:kern w:val="0"/>
          <w:sz w:val="24"/>
          <w:highlight w:val="none"/>
          <w:u w:val="single"/>
        </w:rPr>
        <w:t>（分包供应商X</w:t>
      </w:r>
      <w:r>
        <w:rPr>
          <w:rFonts w:ascii="宋体" w:hAnsi="宋体" w:cs="宋体"/>
          <w:color w:val="000000"/>
          <w:kern w:val="0"/>
          <w:sz w:val="24"/>
          <w:highlight w:val="none"/>
          <w:u w:val="single"/>
        </w:rPr>
        <w:t>,</w:t>
      </w:r>
      <w:r>
        <w:rPr>
          <w:rFonts w:hint="eastAsia" w:ascii="宋体" w:hAnsi="宋体" w:cs="宋体"/>
          <w:color w:val="000000"/>
          <w:kern w:val="0"/>
          <w:sz w:val="24"/>
          <w:highlight w:val="none"/>
          <w:u w:val="single"/>
        </w:rPr>
        <w:t>……）提供的服务全部由小微企业承接，</w:t>
      </w:r>
      <w:r>
        <w:rPr>
          <w:rFonts w:hint="eastAsia" w:ascii="宋体" w:hAnsi="宋体" w:cs="宋体"/>
          <w:color w:val="000000"/>
          <w:kern w:val="0"/>
          <w:sz w:val="24"/>
          <w:highlight w:val="none"/>
        </w:rPr>
        <w:t>其合同份额占到合同总金额</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%以上</w:t>
      </w:r>
      <w:r>
        <w:rPr>
          <w:rFonts w:hint="eastAsia" w:ascii="宋体" w:hAnsi="宋体" w:cs="宋体"/>
          <w:color w:val="000000"/>
          <w:highlight w:val="none"/>
        </w:rPr>
        <w:t>。</w:t>
      </w:r>
      <w:r>
        <w:rPr>
          <w:rFonts w:hint="eastAsia" w:ascii="宋体" w:hAnsi="宋体" w:cs="宋体"/>
          <w:b/>
          <w:color w:val="000000"/>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sz w:val="24"/>
          <w:highlight w:val="none"/>
        </w:rPr>
        <w:t>拟享受以上价格扣除政策的，填写有关内容。</w:t>
      </w:r>
      <w:r>
        <w:rPr>
          <w:rFonts w:hint="eastAsia" w:ascii="宋体" w:hAnsi="宋体" w:cs="宋体"/>
          <w:b/>
          <w:color w:val="000000"/>
          <w:kern w:val="0"/>
          <w:sz w:val="24"/>
          <w:highlight w:val="none"/>
          <w:lang w:val="zh-CN"/>
        </w:rPr>
        <w:t>）</w:t>
      </w:r>
    </w:p>
    <w:p>
      <w:pPr>
        <w:spacing w:line="360" w:lineRule="auto"/>
        <w:ind w:firstLine="480" w:firstLineChars="200"/>
        <w:rPr>
          <w:rFonts w:ascii="宋体" w:hAnsi="宋体" w:cs="宋体"/>
          <w:b/>
          <w:bCs/>
          <w:color w:val="000000"/>
          <w:kern w:val="0"/>
          <w:sz w:val="24"/>
          <w:highlight w:val="none"/>
          <w:lang w:val="zh-CN"/>
        </w:rPr>
      </w:pPr>
      <w:r>
        <w:rPr>
          <w:rFonts w:hint="eastAsia" w:ascii="宋体" w:hAnsi="宋体" w:cs="宋体"/>
          <w:color w:val="000000"/>
          <w:sz w:val="24"/>
          <w:highlight w:val="none"/>
        </w:rPr>
        <w:t>2、中小企业合同金额达到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%，小微企业合同金额达到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kern w:val="0"/>
          <w:sz w:val="24"/>
          <w:highlight w:val="none"/>
          <w:lang w:val="zh-CN"/>
        </w:rPr>
        <w:t>。</w:t>
      </w:r>
      <w:r>
        <w:rPr>
          <w:rFonts w:hint="eastAsia" w:ascii="宋体" w:hAnsi="宋体" w:cs="宋体"/>
          <w:b/>
          <w:bCs/>
          <w:color w:val="000000"/>
          <w:kern w:val="0"/>
          <w:sz w:val="24"/>
          <w:highlight w:val="none"/>
          <w:lang w:val="zh-CN"/>
        </w:rPr>
        <w:t>（</w:t>
      </w:r>
      <w:r>
        <w:rPr>
          <w:rFonts w:hint="eastAsia" w:ascii="宋体" w:hAnsi="宋体" w:cs="宋体"/>
          <w:b/>
          <w:bCs/>
          <w:color w:val="000000"/>
          <w:sz w:val="24"/>
          <w:highlight w:val="none"/>
        </w:rPr>
        <w:t>要求合同分包形式参加的项目或采购包，供应商按招标文件第一部分招标公告申请人的资格要求中规定的</w:t>
      </w:r>
      <w:r>
        <w:rPr>
          <w:rFonts w:hint="eastAsia" w:ascii="宋体" w:hAnsi="宋体" w:cs="宋体"/>
          <w:b/>
          <w:color w:val="000000"/>
          <w:kern w:val="0"/>
          <w:sz w:val="24"/>
          <w:highlight w:val="none"/>
          <w:lang w:val="zh-CN"/>
        </w:rPr>
        <w:t>分包意向协议</w:t>
      </w:r>
      <w:r>
        <w:rPr>
          <w:rFonts w:hint="eastAsia" w:ascii="宋体" w:hAnsi="宋体" w:cs="宋体"/>
          <w:b/>
          <w:bCs/>
          <w:color w:val="000000"/>
          <w:sz w:val="24"/>
          <w:highlight w:val="none"/>
        </w:rPr>
        <w:t>中中小企业、小微企业合同金额应当达到的比例要求填写。</w:t>
      </w:r>
      <w:r>
        <w:rPr>
          <w:rFonts w:hint="eastAsia" w:ascii="宋体" w:hAnsi="宋体" w:cs="宋体"/>
          <w:b/>
          <w:bCs/>
          <w:color w:val="000000"/>
          <w:kern w:val="0"/>
          <w:sz w:val="24"/>
          <w:highlight w:val="none"/>
          <w:lang w:val="zh-CN"/>
        </w:rPr>
        <w:t>）</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三、分包工作履行期限、地点、方式</w:t>
      </w:r>
    </w:p>
    <w:p>
      <w:pPr>
        <w:snapToGrid w:val="0"/>
        <w:spacing w:line="360" w:lineRule="auto"/>
        <w:ind w:firstLine="576"/>
        <w:rPr>
          <w:rFonts w:ascii="宋体" w:hAnsi="宋体" w:cs="宋体"/>
          <w:color w:val="000000"/>
          <w:highlight w:val="none"/>
          <w:u w:val="single"/>
        </w:rPr>
      </w:pPr>
      <w:r>
        <w:rPr>
          <w:rFonts w:hint="eastAsia" w:ascii="宋体" w:hAnsi="宋体" w:cs="宋体"/>
          <w:color w:val="000000"/>
          <w:highlight w:val="none"/>
          <w:u w:val="single"/>
        </w:rPr>
        <w:t xml:space="preserve">                                                                                  </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四、质量</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highlight w:val="none"/>
          <w:u w:val="single"/>
        </w:rPr>
        <w:t xml:space="preserve">                                                                                       </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五、价款或者报酬</w:t>
      </w:r>
    </w:p>
    <w:p>
      <w:pPr>
        <w:snapToGrid w:val="0"/>
        <w:spacing w:line="360" w:lineRule="auto"/>
        <w:ind w:left="573" w:leftChars="273"/>
        <w:rPr>
          <w:rFonts w:ascii="宋体" w:hAnsi="宋体" w:cs="宋体"/>
          <w:color w:val="000000"/>
          <w:kern w:val="0"/>
          <w:sz w:val="24"/>
          <w:highlight w:val="none"/>
          <w:lang w:val="zh-CN"/>
        </w:rPr>
      </w:pPr>
      <w:r>
        <w:rPr>
          <w:rFonts w:hint="eastAsia" w:ascii="宋体" w:hAnsi="宋体" w:cs="宋体"/>
          <w:color w:val="000000"/>
          <w:highlight w:val="none"/>
          <w:u w:val="single"/>
        </w:rPr>
        <w:t xml:space="preserve">                                                                                     </w:t>
      </w:r>
    </w:p>
    <w:p>
      <w:pPr>
        <w:snapToGrid w:val="0"/>
        <w:spacing w:line="360" w:lineRule="auto"/>
        <w:ind w:left="573" w:leftChars="273"/>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六、违约责任</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highlight w:val="none"/>
          <w:u w:val="single"/>
        </w:rPr>
        <w:t xml:space="preserve">                                                                                     </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七、争议解决的办法</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highlight w:val="none"/>
          <w:u w:val="single"/>
        </w:rPr>
        <w:t xml:space="preserve">                                                                                  </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八、其他</w:t>
      </w:r>
    </w:p>
    <w:p>
      <w:pPr>
        <w:snapToGrid w:val="0"/>
        <w:spacing w:line="360" w:lineRule="auto"/>
        <w:ind w:left="5758" w:leftChars="342" w:hanging="5040" w:hangingChars="2100"/>
        <w:rPr>
          <w:rFonts w:ascii="宋体" w:hAnsi="宋体" w:cs="宋体"/>
          <w:color w:val="000000"/>
          <w:kern w:val="0"/>
          <w:sz w:val="24"/>
          <w:highlight w:val="none"/>
          <w:lang w:val="zh-CN"/>
        </w:rPr>
      </w:pPr>
      <w:r>
        <w:rPr>
          <w:rFonts w:hint="eastAsia" w:ascii="宋体" w:hAnsi="宋体" w:cs="宋体"/>
          <w:color w:val="000000"/>
          <w:sz w:val="24"/>
          <w:highlight w:val="none"/>
        </w:rPr>
        <w:t>中小企业合同金额达到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%，小微企业合同金额达到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kern w:val="0"/>
          <w:sz w:val="24"/>
          <w:highlight w:val="none"/>
          <w:lang w:val="zh-CN"/>
        </w:rPr>
        <w:t xml:space="preserve">  。                                           投标人名称(电子签名)：</w:t>
      </w:r>
    </w:p>
    <w:p>
      <w:pPr>
        <w:snapToGrid w:val="0"/>
        <w:spacing w:line="360" w:lineRule="auto"/>
        <w:jc w:val="righ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分包供应商名称(电子签名/公章)：</w:t>
      </w:r>
    </w:p>
    <w:p>
      <w:pPr>
        <w:snapToGrid w:val="0"/>
        <w:spacing w:line="360" w:lineRule="auto"/>
        <w:ind w:firstLine="5760" w:firstLineChars="2400"/>
        <w:rPr>
          <w:rFonts w:ascii="宋体" w:hAnsi="宋体" w:cs="宋体"/>
          <w:color w:val="000000"/>
          <w:highlight w:val="none"/>
        </w:rPr>
      </w:pPr>
      <w:r>
        <w:rPr>
          <w:rFonts w:hint="eastAsia" w:ascii="宋体" w:hAnsi="宋体" w:cs="宋体"/>
          <w:color w:val="000000"/>
          <w:kern w:val="0"/>
          <w:sz w:val="24"/>
          <w:highlight w:val="none"/>
          <w:lang w:val="zh-CN"/>
        </w:rPr>
        <w:t>……</w:t>
      </w:r>
    </w:p>
    <w:p>
      <w:pPr>
        <w:snapToGrid w:val="0"/>
        <w:spacing w:line="360" w:lineRule="auto"/>
        <w:ind w:left="5758" w:leftChars="342" w:hanging="5040" w:hangingChars="21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日期：  年  月   日</w:t>
      </w:r>
    </w:p>
    <w:p>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both"/>
        <w:rPr>
          <w:rFonts w:ascii="宋体" w:hAnsi="宋体" w:cs="宋体"/>
          <w:b/>
          <w:color w:val="000000"/>
          <w:spacing w:val="6"/>
          <w:sz w:val="32"/>
          <w:szCs w:val="32"/>
          <w:highlight w:val="none"/>
        </w:rPr>
      </w:pPr>
    </w:p>
    <w:p>
      <w:pPr>
        <w:spacing w:line="360" w:lineRule="auto"/>
        <w:jc w:val="left"/>
        <w:outlineLvl w:val="0"/>
        <w:rPr>
          <w:rFonts w:hint="eastAsia" w:ascii="宋体" w:hAnsi="宋体" w:cs="宋体"/>
          <w:b/>
          <w:color w:val="000000"/>
          <w:sz w:val="36"/>
          <w:szCs w:val="20"/>
          <w:highlight w:val="none"/>
        </w:rPr>
        <w:sectPr>
          <w:pgSz w:w="11906" w:h="16838"/>
          <w:pgMar w:top="1276" w:right="1418" w:bottom="1247" w:left="1418" w:header="851" w:footer="992" w:gutter="0"/>
          <w:cols w:space="720" w:num="1"/>
          <w:titlePg/>
          <w:docGrid w:linePitch="312" w:charSpace="0"/>
        </w:sectPr>
      </w:pPr>
    </w:p>
    <w:p>
      <w:pPr>
        <w:spacing w:line="360" w:lineRule="auto"/>
        <w:jc w:val="left"/>
        <w:outlineLvl w:val="0"/>
        <w:rPr>
          <w:rFonts w:ascii="宋体" w:hAnsi="宋体" w:cs="宋体"/>
          <w:b/>
          <w:color w:val="000000"/>
          <w:sz w:val="36"/>
          <w:szCs w:val="20"/>
          <w:highlight w:val="none"/>
        </w:rPr>
      </w:pPr>
      <w:r>
        <w:rPr>
          <w:rFonts w:hint="eastAsia" w:ascii="宋体" w:hAnsi="宋体" w:cs="宋体"/>
          <w:b/>
          <w:color w:val="000000"/>
          <w:sz w:val="36"/>
          <w:szCs w:val="20"/>
          <w:highlight w:val="none"/>
        </w:rPr>
        <w:t>附件</w:t>
      </w:r>
      <w:r>
        <w:rPr>
          <w:rFonts w:ascii="宋体" w:hAnsi="宋体" w:cs="宋体"/>
          <w:b/>
          <w:color w:val="000000"/>
          <w:sz w:val="36"/>
          <w:szCs w:val="20"/>
          <w:highlight w:val="none"/>
        </w:rPr>
        <w:t>7</w:t>
      </w:r>
      <w:r>
        <w:rPr>
          <w:rFonts w:hint="eastAsia" w:ascii="宋体" w:hAnsi="宋体" w:cs="宋体"/>
          <w:b/>
          <w:color w:val="000000"/>
          <w:sz w:val="36"/>
          <w:szCs w:val="20"/>
          <w:highlight w:val="none"/>
        </w:rPr>
        <w:t>：中小企业声明函</w:t>
      </w:r>
    </w:p>
    <w:p>
      <w:pPr>
        <w:spacing w:line="360" w:lineRule="auto"/>
        <w:jc w:val="center"/>
        <w:rPr>
          <w:rFonts w:ascii="宋体" w:hAnsi="宋体" w:cs="宋体"/>
          <w:color w:val="000000"/>
          <w:sz w:val="24"/>
          <w:highlight w:val="none"/>
          <w:u w:val="single"/>
        </w:rPr>
      </w:pP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行业；制造商为</w:t>
      </w:r>
      <w:r>
        <w:rPr>
          <w:rFonts w:hint="eastAsia" w:ascii="宋体" w:hAnsi="宋体" w:cs="宋体"/>
          <w:sz w:val="24"/>
          <w:u w:val="single"/>
        </w:rPr>
        <w:t xml:space="preserve"> （企业名称）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行业；制造商为</w:t>
      </w:r>
      <w:r>
        <w:rPr>
          <w:rFonts w:hint="eastAsia" w:ascii="宋体" w:hAnsi="宋体" w:cs="宋体"/>
          <w:sz w:val="24"/>
          <w:u w:val="single"/>
        </w:rPr>
        <w:t xml:space="preserve"> （企业名称）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rPr>
          <w:rFonts w:ascii="宋体" w:hAnsi="宋体" w:eastAsia="宋体" w:cs="宋体"/>
          <w:color w:val="000000"/>
          <w:highlight w:val="none"/>
          <w:lang w:val="en-US"/>
        </w:rPr>
      </w:pPr>
    </w:p>
    <w:p>
      <w:pPr>
        <w:spacing w:line="360" w:lineRule="auto"/>
        <w:ind w:right="420"/>
        <w:rPr>
          <w:rFonts w:ascii="宋体" w:hAnsi="宋体" w:cs="宋体"/>
          <w:color w:val="000000"/>
          <w:highlight w:val="none"/>
        </w:rPr>
      </w:pPr>
    </w:p>
    <w:p>
      <w:pPr>
        <w:spacing w:line="360" w:lineRule="auto"/>
        <w:rPr>
          <w:rFonts w:ascii="宋体" w:hAnsi="宋体" w:cs="宋体"/>
          <w:bCs/>
          <w:color w:val="000000"/>
          <w:sz w:val="24"/>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1" w:usb1="080E0000" w:usb2="00000000" w:usb3="00000000" w:csb0="00040000" w:csb1="00000000"/>
  </w:font>
  <w:font w:name="Helvetica">
    <w:altName w:val="Arial"/>
    <w:panose1 w:val="020B0504020202030204"/>
    <w:charset w:val="00"/>
    <w:family w:val="auto"/>
    <w:pitch w:val="default"/>
    <w:sig w:usb0="00000000" w:usb1="00000000" w:usb2="00000000" w:usb3="00000000" w:csb0="00000093" w:csb1="00000000"/>
  </w:font>
  <w:font w:name="Arial Unicode MS">
    <w:altName w:val="宋体"/>
    <w:panose1 w:val="020B0604020202020204"/>
    <w:charset w:val="86"/>
    <w:family w:val="auto"/>
    <w:pitch w:val="default"/>
    <w:sig w:usb0="00000000" w:usb1="00000000" w:usb2="0000003F" w:usb3="00000000" w:csb0="603F01FF" w:csb1="FFFF0000"/>
  </w:font>
  <w:font w:name="Verdana">
    <w:panose1 w:val="020B0604030504040204"/>
    <w:charset w:val="00"/>
    <w:family w:val="auto"/>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Arial (W1)">
    <w:altName w:val="Arial"/>
    <w:panose1 w:val="00000000000000000000"/>
    <w:charset w:val="00"/>
    <w:family w:val="auto"/>
    <w:pitch w:val="default"/>
    <w:sig w:usb0="00000000" w:usb1="00000000" w:usb2="00000008" w:usb3="00000000" w:csb0="000001FF" w:csb1="00000000"/>
  </w:font>
  <w:font w:name="Lucida Sans">
    <w:altName w:val="Lucida Sans Unicode"/>
    <w:panose1 w:val="020B0602030504020204"/>
    <w:charset w:val="00"/>
    <w:family w:val="auto"/>
    <w:pitch w:val="default"/>
    <w:sig w:usb0="00000000" w:usb1="00000000" w:usb2="00000000" w:usb3="00000000" w:csb0="20000001" w:csb1="00000000"/>
  </w:font>
  <w:font w:name="Century Gothic">
    <w:altName w:val="Segoe Print"/>
    <w:panose1 w:val="020B0502020202020204"/>
    <w:charset w:val="00"/>
    <w:family w:val="auto"/>
    <w:pitch w:val="default"/>
    <w:sig w:usb0="00000287" w:usb1="00000000" w:usb2="00000000" w:usb3="00000000" w:csb0="2000009F" w:csb1="DFD70000"/>
  </w:font>
  <w:font w:name="Arial Narrow">
    <w:altName w:val="Arial"/>
    <w:panose1 w:val="020B0606020202030204"/>
    <w:charset w:val="00"/>
    <w:family w:val="auto"/>
    <w:pitch w:val="default"/>
    <w:sig w:usb0="00000287" w:usb1="00000800" w:usb2="00000000" w:usb3="00000000" w:csb0="2000009F" w:csb1="DFD7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ldine401 BT">
    <w:altName w:val="Segoe Print"/>
    <w:panose1 w:val="00000000000000000000"/>
    <w:charset w:val="00"/>
    <w:family w:val="auto"/>
    <w:pitch w:val="default"/>
    <w:sig w:usb0="00000000" w:usb1="00000000" w:usb2="00000000" w:usb3="00000000" w:csb0="00000011" w:csb1="00000000"/>
  </w:font>
  <w:font w:name="Lucida Sans Unicode">
    <w:panose1 w:val="020B0602030504020204"/>
    <w:charset w:val="00"/>
    <w:family w:val="auto"/>
    <w:pitch w:val="default"/>
    <w:sig w:usb0="80001AFF" w:usb1="0000396B" w:usb2="00000000" w:usb3="00000000" w:csb0="200000BF" w:csb1="D7F70000"/>
  </w:font>
  <w:font w:name="等线">
    <w:panose1 w:val="02010600030101010101"/>
    <w:charset w:val="86"/>
    <w:family w:val="auto"/>
    <w:pitch w:val="default"/>
    <w:sig w:usb0="A00002BF" w:usb1="38CF7CFA" w:usb2="00000016" w:usb3="00000000" w:csb0="0004000F" w:csb1="00000000"/>
  </w:font>
  <w:font w:name=".PingFang SC">
    <w:altName w:val="微软雅黑"/>
    <w:panose1 w:val="00000000000000000000"/>
    <w:charset w:val="00"/>
    <w:family w:val="auto"/>
    <w:pitch w:val="default"/>
    <w:sig w:usb0="00000000" w:usb1="00000000" w:usb2="00000000" w:usb3="00000000" w:csb0="00040001"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100003" w:usb1="00000000" w:usb2="00000000" w:usb3="00000000" w:csb0="00000001" w:csb1="00000000"/>
  </w:font>
  <w:font w:name="幼圆">
    <w:altName w:val="宋体"/>
    <w:panose1 w:val="02010509060101010101"/>
    <w:charset w:val="86"/>
    <w:family w:val="auto"/>
    <w:pitch w:val="default"/>
    <w:sig w:usb0="00000001" w:usb1="080E0000" w:usb2="00000000" w:usb3="00000000" w:csb0="00040000" w:csb1="00000000"/>
  </w:font>
  <w:font w:name="FHLHE E+ Futura Bk">
    <w:altName w:val="宋体"/>
    <w:panose1 w:val="00000000000000000000"/>
    <w:charset w:val="86"/>
    <w:family w:val="auto"/>
    <w:pitch w:val="default"/>
    <w:sig w:usb0="00000000" w:usb1="00000000" w:usb2="00000010" w:usb3="00000000" w:csb0="00040000" w:csb1="00000000"/>
  </w:font>
  <w:font w:name="Futura Hv">
    <w:altName w:val="Segoe Print"/>
    <w:panose1 w:val="00000000000000000000"/>
    <w:charset w:val="00"/>
    <w:family w:val="auto"/>
    <w:pitch w:val="default"/>
    <w:sig w:usb0="00000000" w:usb1="00000000" w:usb2="00000000" w:usb3="00000000" w:csb0="000001FB" w:csb1="00000000"/>
  </w:font>
  <w:font w:name="PMingLiU">
    <w:altName w:val="PMingLiU-ExtB"/>
    <w:panose1 w:val="02020500000000000000"/>
    <w:charset w:val="88"/>
    <w:family w:val="auto"/>
    <w:pitch w:val="default"/>
    <w:sig w:usb0="A00002FF" w:usb1="28CFFCFA" w:usb2="00000016" w:usb3="00000000" w:csb0="00100001" w:csb1="00000000"/>
  </w:font>
  <w:font w:name="华文仿宋">
    <w:altName w:val="仿宋"/>
    <w:panose1 w:val="02010600040101010101"/>
    <w:charset w:val="86"/>
    <w:family w:val="auto"/>
    <w:pitch w:val="default"/>
    <w:sig w:usb0="00000287" w:usb1="080F0000" w:usb2="00000000" w:usb3="00000000" w:csb0="0004009F" w:csb1="DFD70000"/>
  </w:font>
  <w:font w:name="ˎ̥">
    <w:altName w:val="微软雅黑"/>
    <w:panose1 w:val="00000000000000000000"/>
    <w:charset w:val="00"/>
    <w:family w:val="auto"/>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287" w:usb1="080F0000" w:usb2="00000000" w:usb3="00000000" w:csb0="0004009F" w:csb1="DFD70000"/>
  </w:font>
  <w:font w:name="MS Sans Serif">
    <w:altName w:val="Segoe UI Symbol"/>
    <w:panose1 w:val="020B0500000000000000"/>
    <w:charset w:val="00"/>
    <w:family w:val="auto"/>
    <w:pitch w:val="default"/>
    <w:sig w:usb0="00000000" w:usb1="00000000" w:usb2="00000000" w:usb3="00000000" w:csb0="00000001" w:csb1="00000000"/>
  </w:font>
  <w:font w:name="MS Gothic">
    <w:panose1 w:val="020B0609070205080204"/>
    <w:charset w:val="80"/>
    <w:family w:val="auto"/>
    <w:pitch w:val="default"/>
    <w:sig w:usb0="E00002FF" w:usb1="6AC7FDFB" w:usb2="08000012" w:usb3="00000000" w:csb0="4002009F" w:csb1="DFD70000"/>
  </w:font>
  <w:font w:name="MS Mincho">
    <w:altName w:val="MS UI Gothic"/>
    <w:panose1 w:val="02020609040205080304"/>
    <w:charset w:val="80"/>
    <w:family w:val="auto"/>
    <w:pitch w:val="default"/>
    <w:sig w:usb0="E00002FF" w:usb1="6AC7FDFB" w:usb2="00000012" w:usb3="00000000" w:csb0="4002009F" w:csb1="DFD70000"/>
  </w:font>
  <w:font w:name="_x000B__x000C_">
    <w:altName w:val="Times New Roman"/>
    <w:panose1 w:val="00000000000000000000"/>
    <w:charset w:val="00"/>
    <w:family w:val="auto"/>
    <w:pitch w:val="default"/>
    <w:sig w:usb0="00000000" w:usb1="00000000" w:usb2="00000000" w:usb3="00000000" w:csb0="00040001" w:csb1="00000000"/>
  </w:font>
  <w:font w:name="MS UI 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framePr w:wrap="around" w:vAnchor="text" w:hAnchor="margin" w:xAlign="right" w:y="1"/>
      <w:rPr>
        <w:rStyle w:val="67"/>
      </w:rPr>
    </w:pPr>
    <w:r>
      <w:fldChar w:fldCharType="begin"/>
    </w:r>
    <w:r>
      <w:rPr>
        <w:rStyle w:val="67"/>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pBdr>
        <w:bottom w:val="single" w:color="auto" w:sz="6" w:space="4"/>
      </w:pBdr>
      <w:jc w:val="right"/>
    </w:pPr>
    <w:r>
      <w:t></w:t>
    </w:r>
    <w:r>
      <w:rPr>
        <w:rFonts w:hint="eastAsia"/>
      </w:rPr>
      <w:t xml:space="preserve">             </w:t>
    </w:r>
    <w:r>
      <w:t>杭州市政府采购公开招标文件</w:t>
    </w:r>
  </w:p>
  <w:p>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jc w:val="right"/>
    </w:pPr>
    <w:r>
      <w:t></w:t>
    </w:r>
    <w:r>
      <w:rPr>
        <w:rFonts w:hint="eastAsia"/>
      </w:rPr>
      <w:t xml:space="preserve">                 </w:t>
    </w:r>
    <w:r>
      <w:t xml:space="preserve">                                </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297083184">
    <w:nsid w:val="88EAB530"/>
    <w:multiLevelType w:val="singleLevel"/>
    <w:tmpl w:val="88EAB530"/>
    <w:lvl w:ilvl="0" w:tentative="1">
      <w:start w:val="3"/>
      <w:numFmt w:val="decimal"/>
      <w:suff w:val="nothing"/>
      <w:lvlText w:val="%1、"/>
      <w:lvlJc w:val="left"/>
    </w:lvl>
  </w:abstractNum>
  <w:abstractNum w:abstractNumId="1">
    <w:nsid w:val="00000001"/>
    <w:multiLevelType w:val="singleLevel"/>
    <w:tmpl w:val="00000001"/>
    <w:lvl w:ilvl="0" w:tentative="1">
      <w:start w:val="8"/>
      <w:numFmt w:val="chineseCounting"/>
      <w:suff w:val="nothing"/>
      <w:lvlText w:val="%1、"/>
      <w:lvlJc w:val="left"/>
    </w:lvl>
  </w:abstractNum>
  <w:abstractNum w:abstractNumId="6947346">
    <w:nsid w:val="006A0212"/>
    <w:multiLevelType w:val="multilevel"/>
    <w:tmpl w:val="006A0212"/>
    <w:lvl w:ilvl="0" w:tentative="1">
      <w:start w:val="1"/>
      <w:numFmt w:val="bullet"/>
      <w:lvlText w:val=""/>
      <w:lvlJc w:val="left"/>
      <w:pPr>
        <w:ind w:left="645" w:hanging="420"/>
      </w:pPr>
      <w:rPr>
        <w:rFonts w:hint="default" w:ascii="Wingdings" w:hAnsi="Wingdings"/>
      </w:rPr>
    </w:lvl>
    <w:lvl w:ilvl="1" w:tentative="1">
      <w:start w:val="1"/>
      <w:numFmt w:val="bullet"/>
      <w:lvlText w:val=""/>
      <w:lvlJc w:val="left"/>
      <w:pPr>
        <w:ind w:left="1065" w:hanging="420"/>
      </w:pPr>
      <w:rPr>
        <w:rFonts w:hint="default" w:ascii="Wingdings" w:hAnsi="Wingdings"/>
      </w:rPr>
    </w:lvl>
    <w:lvl w:ilvl="2" w:tentative="1">
      <w:start w:val="1"/>
      <w:numFmt w:val="bullet"/>
      <w:lvlText w:val=""/>
      <w:lvlJc w:val="left"/>
      <w:pPr>
        <w:ind w:left="1485" w:hanging="420"/>
      </w:pPr>
      <w:rPr>
        <w:rFonts w:hint="default" w:ascii="Wingdings" w:hAnsi="Wingdings"/>
      </w:rPr>
    </w:lvl>
    <w:lvl w:ilvl="3" w:tentative="1">
      <w:start w:val="1"/>
      <w:numFmt w:val="bullet"/>
      <w:lvlText w:val=""/>
      <w:lvlJc w:val="left"/>
      <w:pPr>
        <w:ind w:left="1905" w:hanging="420"/>
      </w:pPr>
      <w:rPr>
        <w:rFonts w:hint="default" w:ascii="Wingdings" w:hAnsi="Wingdings"/>
      </w:rPr>
    </w:lvl>
    <w:lvl w:ilvl="4" w:tentative="1">
      <w:start w:val="1"/>
      <w:numFmt w:val="bullet"/>
      <w:lvlText w:val=""/>
      <w:lvlJc w:val="left"/>
      <w:pPr>
        <w:ind w:left="2325" w:hanging="420"/>
      </w:pPr>
      <w:rPr>
        <w:rFonts w:hint="default" w:ascii="Wingdings" w:hAnsi="Wingdings"/>
      </w:rPr>
    </w:lvl>
    <w:lvl w:ilvl="5" w:tentative="1">
      <w:start w:val="1"/>
      <w:numFmt w:val="bullet"/>
      <w:lvlText w:val=""/>
      <w:lvlJc w:val="left"/>
      <w:pPr>
        <w:ind w:left="2745" w:hanging="420"/>
      </w:pPr>
      <w:rPr>
        <w:rFonts w:hint="default" w:ascii="Wingdings" w:hAnsi="Wingdings"/>
      </w:rPr>
    </w:lvl>
    <w:lvl w:ilvl="6" w:tentative="1">
      <w:start w:val="1"/>
      <w:numFmt w:val="bullet"/>
      <w:lvlText w:val=""/>
      <w:lvlJc w:val="left"/>
      <w:pPr>
        <w:ind w:left="3165" w:hanging="420"/>
      </w:pPr>
      <w:rPr>
        <w:rFonts w:hint="default" w:ascii="Wingdings" w:hAnsi="Wingdings"/>
      </w:rPr>
    </w:lvl>
    <w:lvl w:ilvl="7" w:tentative="1">
      <w:start w:val="1"/>
      <w:numFmt w:val="bullet"/>
      <w:lvlText w:val=""/>
      <w:lvlJc w:val="left"/>
      <w:pPr>
        <w:ind w:left="3585" w:hanging="420"/>
      </w:pPr>
      <w:rPr>
        <w:rFonts w:hint="default" w:ascii="Wingdings" w:hAnsi="Wingdings"/>
      </w:rPr>
    </w:lvl>
    <w:lvl w:ilvl="8" w:tentative="1">
      <w:start w:val="1"/>
      <w:numFmt w:val="bullet"/>
      <w:lvlText w:val=""/>
      <w:lvlJc w:val="left"/>
      <w:pPr>
        <w:ind w:left="4005" w:hanging="420"/>
      </w:pPr>
      <w:rPr>
        <w:rFonts w:hint="default" w:ascii="Wingdings" w:hAnsi="Wingdings"/>
      </w:rPr>
    </w:lvl>
  </w:abstractNum>
  <w:abstractNum w:abstractNumId="2512445409">
    <w:nsid w:val="95C0DFE1"/>
    <w:multiLevelType w:val="singleLevel"/>
    <w:tmpl w:val="95C0DFE1"/>
    <w:lvl w:ilvl="0" w:tentative="1">
      <w:start w:val="8"/>
      <w:numFmt w:val="chineseCounting"/>
      <w:suff w:val="nothing"/>
      <w:lvlText w:val="（%1）"/>
      <w:lvlJc w:val="left"/>
      <w:rPr>
        <w:rFonts w:hint="eastAsia"/>
      </w:rPr>
    </w:lvl>
  </w:abstractNum>
  <w:abstractNum w:abstractNumId="1711532412">
    <w:nsid w:val="6603E97C"/>
    <w:multiLevelType w:val="singleLevel"/>
    <w:tmpl w:val="6603E97C"/>
    <w:lvl w:ilvl="0" w:tentative="1">
      <w:start w:val="2"/>
      <w:numFmt w:val="chineseCounting"/>
      <w:suff w:val="nothing"/>
      <w:lvlText w:val="%1、"/>
      <w:lvlJc w:val="left"/>
    </w:lvl>
  </w:abstractNum>
  <w:abstractNum w:abstractNumId="3798468488">
    <w:nsid w:val="E2680788"/>
    <w:multiLevelType w:val="singleLevel"/>
    <w:tmpl w:val="E2680788"/>
    <w:lvl w:ilvl="0" w:tentative="1">
      <w:start w:val="4"/>
      <w:numFmt w:val="decimal"/>
      <w:suff w:val="nothing"/>
      <w:lvlText w:val="%1、"/>
      <w:lvlJc w:val="left"/>
    </w:lvl>
  </w:abstractNum>
  <w:abstractNum w:abstractNumId="4235259917">
    <w:nsid w:val="FC70F00D"/>
    <w:multiLevelType w:val="singleLevel"/>
    <w:tmpl w:val="FC70F00D"/>
    <w:lvl w:ilvl="0" w:tentative="1">
      <w:start w:val="5"/>
      <w:numFmt w:val="chineseCounting"/>
      <w:suff w:val="nothing"/>
      <w:lvlText w:val="（%1）"/>
      <w:lvlJc w:val="left"/>
      <w:pPr>
        <w:ind w:left="358"/>
      </w:pPr>
      <w:rPr>
        <w:rFonts w:hint="eastAsia"/>
      </w:rPr>
    </w:lvl>
  </w:abstractNum>
  <w:num w:numId="1">
    <w:abstractNumId w:val="1711532412"/>
  </w:num>
  <w:num w:numId="2">
    <w:abstractNumId w:val="3798468488"/>
  </w:num>
  <w:num w:numId="3">
    <w:abstractNumId w:val="4235259917"/>
  </w:num>
  <w:num w:numId="4">
    <w:abstractNumId w:val="6947346"/>
  </w:num>
  <w:num w:numId="5">
    <w:abstractNumId w:val="2512445409"/>
  </w:num>
  <w:num w:numId="6">
    <w:abstractNumId w:val="1"/>
  </w:num>
  <w:num w:numId="7">
    <w:abstractNumId w:val="229708318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OTYzODI4NjE1YTQ5NmQzNGUxNzczMmUwMzY2YjMyMD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77D8F"/>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5BD"/>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926A3"/>
    <w:rsid w:val="011F6449"/>
    <w:rsid w:val="01236AFB"/>
    <w:rsid w:val="019F7441"/>
    <w:rsid w:val="01B37585"/>
    <w:rsid w:val="01D55165"/>
    <w:rsid w:val="01D92217"/>
    <w:rsid w:val="01DF6BF8"/>
    <w:rsid w:val="01EC2C57"/>
    <w:rsid w:val="025F0711"/>
    <w:rsid w:val="026B2E25"/>
    <w:rsid w:val="02824D4D"/>
    <w:rsid w:val="02CA382C"/>
    <w:rsid w:val="02DC4B10"/>
    <w:rsid w:val="02DD76CE"/>
    <w:rsid w:val="02F36323"/>
    <w:rsid w:val="02F5619C"/>
    <w:rsid w:val="03163E1D"/>
    <w:rsid w:val="0326446A"/>
    <w:rsid w:val="032D5555"/>
    <w:rsid w:val="036634D2"/>
    <w:rsid w:val="036C320D"/>
    <w:rsid w:val="03DD35E4"/>
    <w:rsid w:val="04076900"/>
    <w:rsid w:val="041A5A3B"/>
    <w:rsid w:val="042311BA"/>
    <w:rsid w:val="042B157A"/>
    <w:rsid w:val="042C4E23"/>
    <w:rsid w:val="0431782F"/>
    <w:rsid w:val="048F763B"/>
    <w:rsid w:val="049F330E"/>
    <w:rsid w:val="04AA775C"/>
    <w:rsid w:val="04AF1889"/>
    <w:rsid w:val="04F66F48"/>
    <w:rsid w:val="05251E14"/>
    <w:rsid w:val="05A16594"/>
    <w:rsid w:val="05A7762D"/>
    <w:rsid w:val="060E5941"/>
    <w:rsid w:val="06110FAF"/>
    <w:rsid w:val="06493CA7"/>
    <w:rsid w:val="065A6178"/>
    <w:rsid w:val="066F1CF3"/>
    <w:rsid w:val="06930BB8"/>
    <w:rsid w:val="06CA4366"/>
    <w:rsid w:val="07245D42"/>
    <w:rsid w:val="07264C62"/>
    <w:rsid w:val="0779354C"/>
    <w:rsid w:val="08061376"/>
    <w:rsid w:val="08452D77"/>
    <w:rsid w:val="085158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9F82E28"/>
    <w:rsid w:val="0A0A372D"/>
    <w:rsid w:val="0A1C0718"/>
    <w:rsid w:val="0A3E7710"/>
    <w:rsid w:val="0A517F27"/>
    <w:rsid w:val="0A5B7E63"/>
    <w:rsid w:val="0AA374A5"/>
    <w:rsid w:val="0AAB7649"/>
    <w:rsid w:val="0ABC5606"/>
    <w:rsid w:val="0B2318A6"/>
    <w:rsid w:val="0B30404E"/>
    <w:rsid w:val="0B4C6C14"/>
    <w:rsid w:val="0B547599"/>
    <w:rsid w:val="0B631A88"/>
    <w:rsid w:val="0B683D45"/>
    <w:rsid w:val="0B731CFA"/>
    <w:rsid w:val="0B7F3F11"/>
    <w:rsid w:val="0B884417"/>
    <w:rsid w:val="0BEB3D24"/>
    <w:rsid w:val="0BF6188C"/>
    <w:rsid w:val="0BF73C91"/>
    <w:rsid w:val="0C170175"/>
    <w:rsid w:val="0C28640C"/>
    <w:rsid w:val="0C571A41"/>
    <w:rsid w:val="0C5C1171"/>
    <w:rsid w:val="0C5E1CBC"/>
    <w:rsid w:val="0C615B50"/>
    <w:rsid w:val="0C8445DA"/>
    <w:rsid w:val="0C87121B"/>
    <w:rsid w:val="0CC007F7"/>
    <w:rsid w:val="0CC617AC"/>
    <w:rsid w:val="0CE618DF"/>
    <w:rsid w:val="0CFE707A"/>
    <w:rsid w:val="0D063BDA"/>
    <w:rsid w:val="0D08375F"/>
    <w:rsid w:val="0D0859C1"/>
    <w:rsid w:val="0D184CFB"/>
    <w:rsid w:val="0D4A7419"/>
    <w:rsid w:val="0D5D5772"/>
    <w:rsid w:val="0D827401"/>
    <w:rsid w:val="0D84094E"/>
    <w:rsid w:val="0D8A00E9"/>
    <w:rsid w:val="0D8D589E"/>
    <w:rsid w:val="0DA01C73"/>
    <w:rsid w:val="0DD63300"/>
    <w:rsid w:val="0DF50604"/>
    <w:rsid w:val="0DF702FE"/>
    <w:rsid w:val="0E060E51"/>
    <w:rsid w:val="0E5604B2"/>
    <w:rsid w:val="0E6D5D79"/>
    <w:rsid w:val="0E9D0089"/>
    <w:rsid w:val="0EB803EE"/>
    <w:rsid w:val="0EF94D4B"/>
    <w:rsid w:val="0F2474D1"/>
    <w:rsid w:val="0F4958DC"/>
    <w:rsid w:val="0F515DF7"/>
    <w:rsid w:val="0F596BA8"/>
    <w:rsid w:val="0F6248D2"/>
    <w:rsid w:val="0F693536"/>
    <w:rsid w:val="0F7B0511"/>
    <w:rsid w:val="0F7B76D9"/>
    <w:rsid w:val="0F816ACD"/>
    <w:rsid w:val="0F9832DB"/>
    <w:rsid w:val="0FBF3FD2"/>
    <w:rsid w:val="0FBF7FF3"/>
    <w:rsid w:val="0FD42FA6"/>
    <w:rsid w:val="101E7D83"/>
    <w:rsid w:val="10311F92"/>
    <w:rsid w:val="10646583"/>
    <w:rsid w:val="107D4B15"/>
    <w:rsid w:val="108A3C80"/>
    <w:rsid w:val="109C5E4D"/>
    <w:rsid w:val="10C26171"/>
    <w:rsid w:val="10F33360"/>
    <w:rsid w:val="10FC16EA"/>
    <w:rsid w:val="110F1D40"/>
    <w:rsid w:val="11266F33"/>
    <w:rsid w:val="118963A1"/>
    <w:rsid w:val="119F6E08"/>
    <w:rsid w:val="11C46F35"/>
    <w:rsid w:val="11C6522A"/>
    <w:rsid w:val="11DA7C98"/>
    <w:rsid w:val="11E104CC"/>
    <w:rsid w:val="11E20309"/>
    <w:rsid w:val="12255233"/>
    <w:rsid w:val="12530213"/>
    <w:rsid w:val="126F6374"/>
    <w:rsid w:val="127723A9"/>
    <w:rsid w:val="12862074"/>
    <w:rsid w:val="12883966"/>
    <w:rsid w:val="129E45B4"/>
    <w:rsid w:val="12D81596"/>
    <w:rsid w:val="13072A44"/>
    <w:rsid w:val="135F4BE2"/>
    <w:rsid w:val="139B1A0A"/>
    <w:rsid w:val="139D25C7"/>
    <w:rsid w:val="13B22AC6"/>
    <w:rsid w:val="13BF3CE4"/>
    <w:rsid w:val="141008D8"/>
    <w:rsid w:val="14125FE6"/>
    <w:rsid w:val="14625DAD"/>
    <w:rsid w:val="146D271E"/>
    <w:rsid w:val="148F3896"/>
    <w:rsid w:val="14982588"/>
    <w:rsid w:val="149A5AD9"/>
    <w:rsid w:val="14A7619D"/>
    <w:rsid w:val="14ED4A56"/>
    <w:rsid w:val="150536C3"/>
    <w:rsid w:val="150C1963"/>
    <w:rsid w:val="151447A0"/>
    <w:rsid w:val="154A6454"/>
    <w:rsid w:val="15762120"/>
    <w:rsid w:val="164557D8"/>
    <w:rsid w:val="16A8729C"/>
    <w:rsid w:val="16B33777"/>
    <w:rsid w:val="16BC70A7"/>
    <w:rsid w:val="16C6339E"/>
    <w:rsid w:val="17070757"/>
    <w:rsid w:val="172F2D79"/>
    <w:rsid w:val="17557BEF"/>
    <w:rsid w:val="17D349C1"/>
    <w:rsid w:val="1830729E"/>
    <w:rsid w:val="184B22CA"/>
    <w:rsid w:val="1870062C"/>
    <w:rsid w:val="18817102"/>
    <w:rsid w:val="18830A15"/>
    <w:rsid w:val="18852B28"/>
    <w:rsid w:val="188B5321"/>
    <w:rsid w:val="19127B31"/>
    <w:rsid w:val="19442F49"/>
    <w:rsid w:val="19932372"/>
    <w:rsid w:val="19A20DD5"/>
    <w:rsid w:val="19A42CA9"/>
    <w:rsid w:val="19AE03F1"/>
    <w:rsid w:val="19BD02BE"/>
    <w:rsid w:val="19C02B1D"/>
    <w:rsid w:val="1A071A03"/>
    <w:rsid w:val="1A1F16AE"/>
    <w:rsid w:val="1A3B5C77"/>
    <w:rsid w:val="1A984BAD"/>
    <w:rsid w:val="1AB8220E"/>
    <w:rsid w:val="1ABB7FE7"/>
    <w:rsid w:val="1AD559B1"/>
    <w:rsid w:val="1AE4166C"/>
    <w:rsid w:val="1AF06CFB"/>
    <w:rsid w:val="1AF11B8D"/>
    <w:rsid w:val="1B11359C"/>
    <w:rsid w:val="1B264F18"/>
    <w:rsid w:val="1B2A271F"/>
    <w:rsid w:val="1B530544"/>
    <w:rsid w:val="1B713184"/>
    <w:rsid w:val="1B7D086C"/>
    <w:rsid w:val="1BA209CF"/>
    <w:rsid w:val="1BAB226E"/>
    <w:rsid w:val="1BB4777D"/>
    <w:rsid w:val="1BD75AB8"/>
    <w:rsid w:val="1C0459C2"/>
    <w:rsid w:val="1C1B3B4A"/>
    <w:rsid w:val="1C88086E"/>
    <w:rsid w:val="1C9B5F79"/>
    <w:rsid w:val="1D266CE1"/>
    <w:rsid w:val="1D3963AF"/>
    <w:rsid w:val="1D6A673C"/>
    <w:rsid w:val="1D9247AE"/>
    <w:rsid w:val="1DB567EC"/>
    <w:rsid w:val="1DF51A98"/>
    <w:rsid w:val="1E0353CB"/>
    <w:rsid w:val="1E3D060F"/>
    <w:rsid w:val="1E3F7D2E"/>
    <w:rsid w:val="1E4134E4"/>
    <w:rsid w:val="1E5062B3"/>
    <w:rsid w:val="1E523514"/>
    <w:rsid w:val="1E714A66"/>
    <w:rsid w:val="1E802593"/>
    <w:rsid w:val="1E8B6156"/>
    <w:rsid w:val="1E952EE5"/>
    <w:rsid w:val="1EA703CC"/>
    <w:rsid w:val="1EB7330C"/>
    <w:rsid w:val="1F0A0FF3"/>
    <w:rsid w:val="1F5771FF"/>
    <w:rsid w:val="1FD52DD5"/>
    <w:rsid w:val="1FE868A9"/>
    <w:rsid w:val="20034907"/>
    <w:rsid w:val="20173E4B"/>
    <w:rsid w:val="204E48BC"/>
    <w:rsid w:val="207D68CF"/>
    <w:rsid w:val="208921B3"/>
    <w:rsid w:val="20973DEB"/>
    <w:rsid w:val="20A857E1"/>
    <w:rsid w:val="20B26522"/>
    <w:rsid w:val="20B44310"/>
    <w:rsid w:val="211116EB"/>
    <w:rsid w:val="216133FC"/>
    <w:rsid w:val="21D56769"/>
    <w:rsid w:val="21E52EF3"/>
    <w:rsid w:val="21F27BBF"/>
    <w:rsid w:val="21FB5D7B"/>
    <w:rsid w:val="22015E94"/>
    <w:rsid w:val="22067E21"/>
    <w:rsid w:val="220B1C3D"/>
    <w:rsid w:val="221D1D20"/>
    <w:rsid w:val="22334A87"/>
    <w:rsid w:val="224B47ED"/>
    <w:rsid w:val="229A1B58"/>
    <w:rsid w:val="22BE6801"/>
    <w:rsid w:val="233500BF"/>
    <w:rsid w:val="23377FF7"/>
    <w:rsid w:val="236B425F"/>
    <w:rsid w:val="236C19B7"/>
    <w:rsid w:val="23836192"/>
    <w:rsid w:val="23901F29"/>
    <w:rsid w:val="239C0061"/>
    <w:rsid w:val="23B908A4"/>
    <w:rsid w:val="23E95BEF"/>
    <w:rsid w:val="23EE26AA"/>
    <w:rsid w:val="23FD0064"/>
    <w:rsid w:val="241E1501"/>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C62CF8"/>
    <w:rsid w:val="27044A29"/>
    <w:rsid w:val="27046C92"/>
    <w:rsid w:val="271B2B8D"/>
    <w:rsid w:val="271D34C8"/>
    <w:rsid w:val="274E2589"/>
    <w:rsid w:val="276142BF"/>
    <w:rsid w:val="27783712"/>
    <w:rsid w:val="27907362"/>
    <w:rsid w:val="27F126DF"/>
    <w:rsid w:val="282F361A"/>
    <w:rsid w:val="28333E1D"/>
    <w:rsid w:val="28454BD6"/>
    <w:rsid w:val="28455253"/>
    <w:rsid w:val="28551971"/>
    <w:rsid w:val="285B1C53"/>
    <w:rsid w:val="289F7086"/>
    <w:rsid w:val="28AB18BA"/>
    <w:rsid w:val="28C32028"/>
    <w:rsid w:val="28CC490F"/>
    <w:rsid w:val="28DE40AA"/>
    <w:rsid w:val="29345E77"/>
    <w:rsid w:val="294C65AD"/>
    <w:rsid w:val="295A57E0"/>
    <w:rsid w:val="29806583"/>
    <w:rsid w:val="298B3C4C"/>
    <w:rsid w:val="29F26D24"/>
    <w:rsid w:val="2A15033F"/>
    <w:rsid w:val="2A1662C1"/>
    <w:rsid w:val="2A1C7367"/>
    <w:rsid w:val="2A210594"/>
    <w:rsid w:val="2A2815FA"/>
    <w:rsid w:val="2A355C61"/>
    <w:rsid w:val="2A385615"/>
    <w:rsid w:val="2A6D6092"/>
    <w:rsid w:val="2A7D76B4"/>
    <w:rsid w:val="2B437463"/>
    <w:rsid w:val="2B7807EE"/>
    <w:rsid w:val="2BA50BF7"/>
    <w:rsid w:val="2BBF00EC"/>
    <w:rsid w:val="2BC37CFD"/>
    <w:rsid w:val="2BD5237F"/>
    <w:rsid w:val="2BE536CE"/>
    <w:rsid w:val="2BE758D9"/>
    <w:rsid w:val="2BF265BC"/>
    <w:rsid w:val="2C09049E"/>
    <w:rsid w:val="2C0A653C"/>
    <w:rsid w:val="2C191F85"/>
    <w:rsid w:val="2C281020"/>
    <w:rsid w:val="2C3A179D"/>
    <w:rsid w:val="2C4619CF"/>
    <w:rsid w:val="2CB45DBD"/>
    <w:rsid w:val="2CE82D6F"/>
    <w:rsid w:val="2D0F4C64"/>
    <w:rsid w:val="2D343236"/>
    <w:rsid w:val="2D6E691F"/>
    <w:rsid w:val="2DD15014"/>
    <w:rsid w:val="2DF72DE4"/>
    <w:rsid w:val="2E0220AF"/>
    <w:rsid w:val="2E350F08"/>
    <w:rsid w:val="2E4B082A"/>
    <w:rsid w:val="2E5D4E86"/>
    <w:rsid w:val="2E5D790B"/>
    <w:rsid w:val="2E9A3C18"/>
    <w:rsid w:val="2EBB0FEE"/>
    <w:rsid w:val="2EC63002"/>
    <w:rsid w:val="2EC658E5"/>
    <w:rsid w:val="2F0A6B38"/>
    <w:rsid w:val="2F946CCB"/>
    <w:rsid w:val="2FD25781"/>
    <w:rsid w:val="2FD92EBB"/>
    <w:rsid w:val="2FDC745C"/>
    <w:rsid w:val="2FFD7934"/>
    <w:rsid w:val="30562C99"/>
    <w:rsid w:val="3061677E"/>
    <w:rsid w:val="30733ACD"/>
    <w:rsid w:val="3088390A"/>
    <w:rsid w:val="308C3862"/>
    <w:rsid w:val="309379D8"/>
    <w:rsid w:val="30A270F7"/>
    <w:rsid w:val="30C172A9"/>
    <w:rsid w:val="30DF1478"/>
    <w:rsid w:val="30EC586F"/>
    <w:rsid w:val="314550B7"/>
    <w:rsid w:val="3195584E"/>
    <w:rsid w:val="319C6071"/>
    <w:rsid w:val="31AC537E"/>
    <w:rsid w:val="31E3679B"/>
    <w:rsid w:val="31E732FD"/>
    <w:rsid w:val="32296E47"/>
    <w:rsid w:val="32517576"/>
    <w:rsid w:val="32771DAB"/>
    <w:rsid w:val="32955234"/>
    <w:rsid w:val="32BE5C2C"/>
    <w:rsid w:val="32FB6478"/>
    <w:rsid w:val="32FE52AB"/>
    <w:rsid w:val="33263B3F"/>
    <w:rsid w:val="33323098"/>
    <w:rsid w:val="33340921"/>
    <w:rsid w:val="33424799"/>
    <w:rsid w:val="336963EB"/>
    <w:rsid w:val="33816EEB"/>
    <w:rsid w:val="33EB55CD"/>
    <w:rsid w:val="33EC4C02"/>
    <w:rsid w:val="340D2360"/>
    <w:rsid w:val="3410665D"/>
    <w:rsid w:val="34211214"/>
    <w:rsid w:val="342E63AB"/>
    <w:rsid w:val="34784A2D"/>
    <w:rsid w:val="34950E68"/>
    <w:rsid w:val="34986E94"/>
    <w:rsid w:val="34AF62C9"/>
    <w:rsid w:val="34CB4388"/>
    <w:rsid w:val="34FA6E12"/>
    <w:rsid w:val="354179CA"/>
    <w:rsid w:val="354D7158"/>
    <w:rsid w:val="358D5588"/>
    <w:rsid w:val="358F726C"/>
    <w:rsid w:val="363A3B40"/>
    <w:rsid w:val="365302AE"/>
    <w:rsid w:val="36607A0A"/>
    <w:rsid w:val="366E227C"/>
    <w:rsid w:val="366F2E0D"/>
    <w:rsid w:val="367B6A5C"/>
    <w:rsid w:val="36A74ADA"/>
    <w:rsid w:val="36AD60D5"/>
    <w:rsid w:val="36B224F9"/>
    <w:rsid w:val="36EC0CC9"/>
    <w:rsid w:val="373256F9"/>
    <w:rsid w:val="373F410B"/>
    <w:rsid w:val="37EC1B52"/>
    <w:rsid w:val="37EE7094"/>
    <w:rsid w:val="38083759"/>
    <w:rsid w:val="38296C89"/>
    <w:rsid w:val="383002EB"/>
    <w:rsid w:val="38586797"/>
    <w:rsid w:val="38771B28"/>
    <w:rsid w:val="387C0BB8"/>
    <w:rsid w:val="388F6D48"/>
    <w:rsid w:val="38A718CE"/>
    <w:rsid w:val="38BC0149"/>
    <w:rsid w:val="38D87D1C"/>
    <w:rsid w:val="39636459"/>
    <w:rsid w:val="396B7F6C"/>
    <w:rsid w:val="39736CF0"/>
    <w:rsid w:val="39B35468"/>
    <w:rsid w:val="39B417A9"/>
    <w:rsid w:val="39FC5695"/>
    <w:rsid w:val="3A006D8E"/>
    <w:rsid w:val="3A317AAE"/>
    <w:rsid w:val="3A3651E5"/>
    <w:rsid w:val="3A601BF9"/>
    <w:rsid w:val="3A744481"/>
    <w:rsid w:val="3A830B2E"/>
    <w:rsid w:val="3A8C7BEF"/>
    <w:rsid w:val="3A906246"/>
    <w:rsid w:val="3B2349B7"/>
    <w:rsid w:val="3B616CFF"/>
    <w:rsid w:val="3B6259F6"/>
    <w:rsid w:val="3B696B1E"/>
    <w:rsid w:val="3B976654"/>
    <w:rsid w:val="3B9F6BDB"/>
    <w:rsid w:val="3BC01EFC"/>
    <w:rsid w:val="3BCA786A"/>
    <w:rsid w:val="3BCD0F5C"/>
    <w:rsid w:val="3BD31E2F"/>
    <w:rsid w:val="3BF15831"/>
    <w:rsid w:val="3C105946"/>
    <w:rsid w:val="3C39131F"/>
    <w:rsid w:val="3C4634AE"/>
    <w:rsid w:val="3C471448"/>
    <w:rsid w:val="3C543DE3"/>
    <w:rsid w:val="3C5F759A"/>
    <w:rsid w:val="3C6C525A"/>
    <w:rsid w:val="3CCE23CB"/>
    <w:rsid w:val="3CD17D17"/>
    <w:rsid w:val="3CD33C45"/>
    <w:rsid w:val="3D006466"/>
    <w:rsid w:val="3D3C7F39"/>
    <w:rsid w:val="3D440F09"/>
    <w:rsid w:val="3D4504A0"/>
    <w:rsid w:val="3D8734BB"/>
    <w:rsid w:val="3D9A11D4"/>
    <w:rsid w:val="3DA16D89"/>
    <w:rsid w:val="3DA364BE"/>
    <w:rsid w:val="3DE041CB"/>
    <w:rsid w:val="3DEE71CB"/>
    <w:rsid w:val="3E0D48F6"/>
    <w:rsid w:val="3E1868B4"/>
    <w:rsid w:val="3E377251"/>
    <w:rsid w:val="3E42664B"/>
    <w:rsid w:val="3E5A7334"/>
    <w:rsid w:val="3E7B5D6B"/>
    <w:rsid w:val="3E843E66"/>
    <w:rsid w:val="3E8F51FE"/>
    <w:rsid w:val="3E926F87"/>
    <w:rsid w:val="3E9A59DE"/>
    <w:rsid w:val="3EAF4836"/>
    <w:rsid w:val="3EC33DFA"/>
    <w:rsid w:val="3F060E16"/>
    <w:rsid w:val="3F125FDD"/>
    <w:rsid w:val="3F1D1096"/>
    <w:rsid w:val="3F2F0234"/>
    <w:rsid w:val="3F6363FE"/>
    <w:rsid w:val="3F756B8F"/>
    <w:rsid w:val="3F8C3F0C"/>
    <w:rsid w:val="3F95482B"/>
    <w:rsid w:val="3FDA7DD1"/>
    <w:rsid w:val="4019356B"/>
    <w:rsid w:val="40592157"/>
    <w:rsid w:val="406E1CAE"/>
    <w:rsid w:val="40A0133A"/>
    <w:rsid w:val="40AE4058"/>
    <w:rsid w:val="40C31A53"/>
    <w:rsid w:val="40FF545D"/>
    <w:rsid w:val="410067C8"/>
    <w:rsid w:val="418F0D2A"/>
    <w:rsid w:val="41D01505"/>
    <w:rsid w:val="42252E4A"/>
    <w:rsid w:val="42474939"/>
    <w:rsid w:val="424C3C57"/>
    <w:rsid w:val="42613FF3"/>
    <w:rsid w:val="42660D96"/>
    <w:rsid w:val="42700777"/>
    <w:rsid w:val="4284236B"/>
    <w:rsid w:val="428667D2"/>
    <w:rsid w:val="42CD1CE0"/>
    <w:rsid w:val="42E1381E"/>
    <w:rsid w:val="42ED6459"/>
    <w:rsid w:val="42FE58DD"/>
    <w:rsid w:val="43174B3D"/>
    <w:rsid w:val="434B790E"/>
    <w:rsid w:val="435E2E65"/>
    <w:rsid w:val="4360274F"/>
    <w:rsid w:val="43977AB6"/>
    <w:rsid w:val="43A3342B"/>
    <w:rsid w:val="43C77C27"/>
    <w:rsid w:val="43D7004A"/>
    <w:rsid w:val="43DE09EE"/>
    <w:rsid w:val="44002FAD"/>
    <w:rsid w:val="44330E1D"/>
    <w:rsid w:val="44413ECA"/>
    <w:rsid w:val="447D52AF"/>
    <w:rsid w:val="449101DD"/>
    <w:rsid w:val="44DE1391"/>
    <w:rsid w:val="451B225C"/>
    <w:rsid w:val="452410C9"/>
    <w:rsid w:val="45317DFB"/>
    <w:rsid w:val="456D3CE4"/>
    <w:rsid w:val="4579042C"/>
    <w:rsid w:val="457A36E9"/>
    <w:rsid w:val="457F0571"/>
    <w:rsid w:val="45851176"/>
    <w:rsid w:val="45C63B94"/>
    <w:rsid w:val="460E7DA5"/>
    <w:rsid w:val="46207231"/>
    <w:rsid w:val="46422483"/>
    <w:rsid w:val="4659254A"/>
    <w:rsid w:val="465B0637"/>
    <w:rsid w:val="465E3F0D"/>
    <w:rsid w:val="466A16E6"/>
    <w:rsid w:val="46893F2B"/>
    <w:rsid w:val="46C4686E"/>
    <w:rsid w:val="470A79EB"/>
    <w:rsid w:val="474C6C6A"/>
    <w:rsid w:val="477B778F"/>
    <w:rsid w:val="478203EC"/>
    <w:rsid w:val="47B025FA"/>
    <w:rsid w:val="47F325C7"/>
    <w:rsid w:val="4809698F"/>
    <w:rsid w:val="4811697D"/>
    <w:rsid w:val="48426C6F"/>
    <w:rsid w:val="487A3E25"/>
    <w:rsid w:val="488B5503"/>
    <w:rsid w:val="48937E21"/>
    <w:rsid w:val="489A0361"/>
    <w:rsid w:val="48B94FF3"/>
    <w:rsid w:val="48E37AAB"/>
    <w:rsid w:val="48FD4B4C"/>
    <w:rsid w:val="490A68E0"/>
    <w:rsid w:val="491055FE"/>
    <w:rsid w:val="495F5B3E"/>
    <w:rsid w:val="496F77D7"/>
    <w:rsid w:val="497654FD"/>
    <w:rsid w:val="4984282A"/>
    <w:rsid w:val="49B64211"/>
    <w:rsid w:val="49E56AF9"/>
    <w:rsid w:val="49F6167F"/>
    <w:rsid w:val="4A064FA0"/>
    <w:rsid w:val="4A16615C"/>
    <w:rsid w:val="4A2452A4"/>
    <w:rsid w:val="4A4424D7"/>
    <w:rsid w:val="4A9C2806"/>
    <w:rsid w:val="4AB82D0F"/>
    <w:rsid w:val="4ABA6F52"/>
    <w:rsid w:val="4AEB7664"/>
    <w:rsid w:val="4AFD7C19"/>
    <w:rsid w:val="4B0567D1"/>
    <w:rsid w:val="4B236AAE"/>
    <w:rsid w:val="4B265F4A"/>
    <w:rsid w:val="4B643FD3"/>
    <w:rsid w:val="4B707271"/>
    <w:rsid w:val="4B9739F7"/>
    <w:rsid w:val="4BD5286C"/>
    <w:rsid w:val="4BEE2503"/>
    <w:rsid w:val="4C245A30"/>
    <w:rsid w:val="4C375817"/>
    <w:rsid w:val="4C4A14AC"/>
    <w:rsid w:val="4CB6685F"/>
    <w:rsid w:val="4CC367FE"/>
    <w:rsid w:val="4CEE62DB"/>
    <w:rsid w:val="4D077F3C"/>
    <w:rsid w:val="4D123355"/>
    <w:rsid w:val="4D2A3B31"/>
    <w:rsid w:val="4D312C52"/>
    <w:rsid w:val="4D905305"/>
    <w:rsid w:val="4D964A72"/>
    <w:rsid w:val="4D9C1254"/>
    <w:rsid w:val="4E1D4ED6"/>
    <w:rsid w:val="4E793892"/>
    <w:rsid w:val="4E800872"/>
    <w:rsid w:val="4EC569ED"/>
    <w:rsid w:val="4ED50EA1"/>
    <w:rsid w:val="4EEC050C"/>
    <w:rsid w:val="4F104EC3"/>
    <w:rsid w:val="4F47354A"/>
    <w:rsid w:val="4F911C54"/>
    <w:rsid w:val="4FE625E0"/>
    <w:rsid w:val="5021480F"/>
    <w:rsid w:val="508F5062"/>
    <w:rsid w:val="50962ECB"/>
    <w:rsid w:val="50A42E38"/>
    <w:rsid w:val="50A4577F"/>
    <w:rsid w:val="50B73D1F"/>
    <w:rsid w:val="50BD5BC9"/>
    <w:rsid w:val="50C11EEE"/>
    <w:rsid w:val="50E97CFC"/>
    <w:rsid w:val="50FA4028"/>
    <w:rsid w:val="510D65B7"/>
    <w:rsid w:val="511157AB"/>
    <w:rsid w:val="5142540C"/>
    <w:rsid w:val="51807F1A"/>
    <w:rsid w:val="518832C8"/>
    <w:rsid w:val="519D3C50"/>
    <w:rsid w:val="51A0432A"/>
    <w:rsid w:val="51A86090"/>
    <w:rsid w:val="51B7396D"/>
    <w:rsid w:val="522E4CC3"/>
    <w:rsid w:val="5244713B"/>
    <w:rsid w:val="52615633"/>
    <w:rsid w:val="526E28DD"/>
    <w:rsid w:val="526F4DE4"/>
    <w:rsid w:val="52977FD4"/>
    <w:rsid w:val="52A25790"/>
    <w:rsid w:val="52A96B6F"/>
    <w:rsid w:val="52AB282B"/>
    <w:rsid w:val="52B45975"/>
    <w:rsid w:val="52C45EE5"/>
    <w:rsid w:val="52D94AA4"/>
    <w:rsid w:val="52DC7857"/>
    <w:rsid w:val="52EA3A62"/>
    <w:rsid w:val="52F50BB8"/>
    <w:rsid w:val="53097272"/>
    <w:rsid w:val="53127663"/>
    <w:rsid w:val="532F5AFF"/>
    <w:rsid w:val="53544462"/>
    <w:rsid w:val="53826DC5"/>
    <w:rsid w:val="5397158E"/>
    <w:rsid w:val="53E73C03"/>
    <w:rsid w:val="54013861"/>
    <w:rsid w:val="540476AF"/>
    <w:rsid w:val="54487265"/>
    <w:rsid w:val="544D6070"/>
    <w:rsid w:val="54605E1E"/>
    <w:rsid w:val="54897939"/>
    <w:rsid w:val="54955281"/>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984AD3"/>
    <w:rsid w:val="57032A2C"/>
    <w:rsid w:val="570F5219"/>
    <w:rsid w:val="571237D0"/>
    <w:rsid w:val="575D12B5"/>
    <w:rsid w:val="57610A87"/>
    <w:rsid w:val="57684822"/>
    <w:rsid w:val="576F65F9"/>
    <w:rsid w:val="57714D5B"/>
    <w:rsid w:val="577B1140"/>
    <w:rsid w:val="577B7F21"/>
    <w:rsid w:val="577F181B"/>
    <w:rsid w:val="57921984"/>
    <w:rsid w:val="579737F0"/>
    <w:rsid w:val="57AB7B30"/>
    <w:rsid w:val="57AD5100"/>
    <w:rsid w:val="57AF5251"/>
    <w:rsid w:val="57B26373"/>
    <w:rsid w:val="57B63F04"/>
    <w:rsid w:val="57CD20C2"/>
    <w:rsid w:val="57D675AB"/>
    <w:rsid w:val="57D95FDD"/>
    <w:rsid w:val="58917D2F"/>
    <w:rsid w:val="5894085C"/>
    <w:rsid w:val="58AE4F0C"/>
    <w:rsid w:val="58B85899"/>
    <w:rsid w:val="58BC3E39"/>
    <w:rsid w:val="58E363A9"/>
    <w:rsid w:val="595E1678"/>
    <w:rsid w:val="596D5BD4"/>
    <w:rsid w:val="597E3DD8"/>
    <w:rsid w:val="5992513B"/>
    <w:rsid w:val="59F80043"/>
    <w:rsid w:val="5A09252F"/>
    <w:rsid w:val="5A0B2778"/>
    <w:rsid w:val="5A2A7C7B"/>
    <w:rsid w:val="5A3E2560"/>
    <w:rsid w:val="5A5D3B6E"/>
    <w:rsid w:val="5A637A76"/>
    <w:rsid w:val="5A6D33BA"/>
    <w:rsid w:val="5A792B1F"/>
    <w:rsid w:val="5A874767"/>
    <w:rsid w:val="5AA85BE2"/>
    <w:rsid w:val="5AAD6F28"/>
    <w:rsid w:val="5AD63A24"/>
    <w:rsid w:val="5B2E1A1D"/>
    <w:rsid w:val="5B6D7ECC"/>
    <w:rsid w:val="5B843A1C"/>
    <w:rsid w:val="5B873E3F"/>
    <w:rsid w:val="5C02690E"/>
    <w:rsid w:val="5C196DA7"/>
    <w:rsid w:val="5C2A048C"/>
    <w:rsid w:val="5C3C6F7D"/>
    <w:rsid w:val="5C80234E"/>
    <w:rsid w:val="5C80334C"/>
    <w:rsid w:val="5C8A680C"/>
    <w:rsid w:val="5D0C4701"/>
    <w:rsid w:val="5D0F0395"/>
    <w:rsid w:val="5D221076"/>
    <w:rsid w:val="5D397964"/>
    <w:rsid w:val="5D5A391C"/>
    <w:rsid w:val="5D5F10C0"/>
    <w:rsid w:val="5D891B7B"/>
    <w:rsid w:val="5DA532CF"/>
    <w:rsid w:val="5DAD38EE"/>
    <w:rsid w:val="5E006862"/>
    <w:rsid w:val="5E0207B9"/>
    <w:rsid w:val="5E1834A1"/>
    <w:rsid w:val="5E261785"/>
    <w:rsid w:val="5E4A7017"/>
    <w:rsid w:val="5E552BBA"/>
    <w:rsid w:val="5E611C10"/>
    <w:rsid w:val="5E7A0F3F"/>
    <w:rsid w:val="5EFC04E3"/>
    <w:rsid w:val="5EFC7377"/>
    <w:rsid w:val="5F06174D"/>
    <w:rsid w:val="5F3A3602"/>
    <w:rsid w:val="5F45733B"/>
    <w:rsid w:val="5F6277C6"/>
    <w:rsid w:val="5F6D0B1D"/>
    <w:rsid w:val="5F8D0B82"/>
    <w:rsid w:val="5FCC5339"/>
    <w:rsid w:val="5FE34A5B"/>
    <w:rsid w:val="5FFE1E36"/>
    <w:rsid w:val="601A7636"/>
    <w:rsid w:val="60232584"/>
    <w:rsid w:val="60612D0E"/>
    <w:rsid w:val="607330CE"/>
    <w:rsid w:val="60825176"/>
    <w:rsid w:val="609F2AC4"/>
    <w:rsid w:val="60A74199"/>
    <w:rsid w:val="60DC7B43"/>
    <w:rsid w:val="60FA2EE8"/>
    <w:rsid w:val="61054A27"/>
    <w:rsid w:val="610A52BC"/>
    <w:rsid w:val="611D2366"/>
    <w:rsid w:val="61421856"/>
    <w:rsid w:val="615227C4"/>
    <w:rsid w:val="615500CC"/>
    <w:rsid w:val="61654E3F"/>
    <w:rsid w:val="617C507F"/>
    <w:rsid w:val="6182292A"/>
    <w:rsid w:val="61963CAD"/>
    <w:rsid w:val="619F7F92"/>
    <w:rsid w:val="61F94C26"/>
    <w:rsid w:val="62000E56"/>
    <w:rsid w:val="624F3E49"/>
    <w:rsid w:val="62632286"/>
    <w:rsid w:val="62885958"/>
    <w:rsid w:val="62DB6561"/>
    <w:rsid w:val="62E41D22"/>
    <w:rsid w:val="62F40B65"/>
    <w:rsid w:val="62FC2CFE"/>
    <w:rsid w:val="63024505"/>
    <w:rsid w:val="63255D00"/>
    <w:rsid w:val="63325FB2"/>
    <w:rsid w:val="635600A5"/>
    <w:rsid w:val="635B1DB5"/>
    <w:rsid w:val="63711FED"/>
    <w:rsid w:val="63880DDC"/>
    <w:rsid w:val="638D750D"/>
    <w:rsid w:val="63996897"/>
    <w:rsid w:val="63AC6CC0"/>
    <w:rsid w:val="64055776"/>
    <w:rsid w:val="64240056"/>
    <w:rsid w:val="642D6BAB"/>
    <w:rsid w:val="643E143A"/>
    <w:rsid w:val="64491666"/>
    <w:rsid w:val="648B6EEF"/>
    <w:rsid w:val="64AB6FC7"/>
    <w:rsid w:val="64C158BF"/>
    <w:rsid w:val="64CE2EAA"/>
    <w:rsid w:val="65393D45"/>
    <w:rsid w:val="653C3090"/>
    <w:rsid w:val="65780765"/>
    <w:rsid w:val="65854376"/>
    <w:rsid w:val="658767BE"/>
    <w:rsid w:val="65892531"/>
    <w:rsid w:val="66195831"/>
    <w:rsid w:val="662E75B1"/>
    <w:rsid w:val="66342C2E"/>
    <w:rsid w:val="663E784C"/>
    <w:rsid w:val="668B6A45"/>
    <w:rsid w:val="67011F07"/>
    <w:rsid w:val="672C6025"/>
    <w:rsid w:val="672F3F24"/>
    <w:rsid w:val="673151A3"/>
    <w:rsid w:val="673E055F"/>
    <w:rsid w:val="67551CE3"/>
    <w:rsid w:val="67A22552"/>
    <w:rsid w:val="67B22DCC"/>
    <w:rsid w:val="67BE71AA"/>
    <w:rsid w:val="67D90273"/>
    <w:rsid w:val="67DE5875"/>
    <w:rsid w:val="67E55852"/>
    <w:rsid w:val="67EB1AB4"/>
    <w:rsid w:val="67FA1285"/>
    <w:rsid w:val="68203A9F"/>
    <w:rsid w:val="68403A42"/>
    <w:rsid w:val="68551F4F"/>
    <w:rsid w:val="687C10C9"/>
    <w:rsid w:val="68840C16"/>
    <w:rsid w:val="68872541"/>
    <w:rsid w:val="68876EFB"/>
    <w:rsid w:val="68884654"/>
    <w:rsid w:val="689F444F"/>
    <w:rsid w:val="68B96DBB"/>
    <w:rsid w:val="68CA2805"/>
    <w:rsid w:val="68E43E22"/>
    <w:rsid w:val="68E937A3"/>
    <w:rsid w:val="691664E5"/>
    <w:rsid w:val="693E15D3"/>
    <w:rsid w:val="69627681"/>
    <w:rsid w:val="6977531D"/>
    <w:rsid w:val="69AC28F7"/>
    <w:rsid w:val="69B12712"/>
    <w:rsid w:val="69CC2BFF"/>
    <w:rsid w:val="69FD55B8"/>
    <w:rsid w:val="6A0B1C62"/>
    <w:rsid w:val="6A2406C8"/>
    <w:rsid w:val="6A271C3E"/>
    <w:rsid w:val="6A294C9D"/>
    <w:rsid w:val="6A6F6C3E"/>
    <w:rsid w:val="6ADE0BD1"/>
    <w:rsid w:val="6AE96859"/>
    <w:rsid w:val="6B087DAE"/>
    <w:rsid w:val="6B147746"/>
    <w:rsid w:val="6B24787C"/>
    <w:rsid w:val="6B573233"/>
    <w:rsid w:val="6B5B6274"/>
    <w:rsid w:val="6B7675F8"/>
    <w:rsid w:val="6B935D53"/>
    <w:rsid w:val="6C196F71"/>
    <w:rsid w:val="6C226FCB"/>
    <w:rsid w:val="6C31226F"/>
    <w:rsid w:val="6C552F0B"/>
    <w:rsid w:val="6C5B7766"/>
    <w:rsid w:val="6C8C67B7"/>
    <w:rsid w:val="6C9D744C"/>
    <w:rsid w:val="6CEB0604"/>
    <w:rsid w:val="6D0270D7"/>
    <w:rsid w:val="6D167928"/>
    <w:rsid w:val="6D26299B"/>
    <w:rsid w:val="6D4772EC"/>
    <w:rsid w:val="6D9078AF"/>
    <w:rsid w:val="6DAA3FEF"/>
    <w:rsid w:val="6DC0172B"/>
    <w:rsid w:val="6DC34EDA"/>
    <w:rsid w:val="6DCB690C"/>
    <w:rsid w:val="6DD41A5B"/>
    <w:rsid w:val="6DF43C2E"/>
    <w:rsid w:val="6DF51CA3"/>
    <w:rsid w:val="6E005B5F"/>
    <w:rsid w:val="6E8335BD"/>
    <w:rsid w:val="6E8E12EF"/>
    <w:rsid w:val="6E972936"/>
    <w:rsid w:val="6EAC71AD"/>
    <w:rsid w:val="6ED446C5"/>
    <w:rsid w:val="6EFE63DE"/>
    <w:rsid w:val="6F2A7D94"/>
    <w:rsid w:val="6F8236EF"/>
    <w:rsid w:val="6F8331F1"/>
    <w:rsid w:val="6F886F88"/>
    <w:rsid w:val="6FAE1A09"/>
    <w:rsid w:val="6FD70A61"/>
    <w:rsid w:val="6FD75BF8"/>
    <w:rsid w:val="704B4683"/>
    <w:rsid w:val="707516CA"/>
    <w:rsid w:val="707723D0"/>
    <w:rsid w:val="70ED1539"/>
    <w:rsid w:val="70F5661B"/>
    <w:rsid w:val="71360107"/>
    <w:rsid w:val="713B688E"/>
    <w:rsid w:val="71AF4D68"/>
    <w:rsid w:val="71B23116"/>
    <w:rsid w:val="71D43752"/>
    <w:rsid w:val="71F1796A"/>
    <w:rsid w:val="71FB3122"/>
    <w:rsid w:val="721540F4"/>
    <w:rsid w:val="72154626"/>
    <w:rsid w:val="72262B5D"/>
    <w:rsid w:val="72283FF7"/>
    <w:rsid w:val="722E7212"/>
    <w:rsid w:val="723A0474"/>
    <w:rsid w:val="725923E4"/>
    <w:rsid w:val="72822E9E"/>
    <w:rsid w:val="72864BF7"/>
    <w:rsid w:val="729023FC"/>
    <w:rsid w:val="7394444F"/>
    <w:rsid w:val="73C0646E"/>
    <w:rsid w:val="73D94CAB"/>
    <w:rsid w:val="742222F5"/>
    <w:rsid w:val="74476126"/>
    <w:rsid w:val="74706664"/>
    <w:rsid w:val="747F3682"/>
    <w:rsid w:val="749C4185"/>
    <w:rsid w:val="75067759"/>
    <w:rsid w:val="752E6DCD"/>
    <w:rsid w:val="7551380D"/>
    <w:rsid w:val="75600BE5"/>
    <w:rsid w:val="7564475C"/>
    <w:rsid w:val="7583797F"/>
    <w:rsid w:val="759C33A6"/>
    <w:rsid w:val="75D20F1D"/>
    <w:rsid w:val="75DA2C18"/>
    <w:rsid w:val="75F54412"/>
    <w:rsid w:val="761D08E0"/>
    <w:rsid w:val="765D347C"/>
    <w:rsid w:val="76826699"/>
    <w:rsid w:val="76C87133"/>
    <w:rsid w:val="76CD08D5"/>
    <w:rsid w:val="76DB4B92"/>
    <w:rsid w:val="76FD013A"/>
    <w:rsid w:val="77052AA4"/>
    <w:rsid w:val="77136511"/>
    <w:rsid w:val="77340A39"/>
    <w:rsid w:val="77351FD0"/>
    <w:rsid w:val="7737248F"/>
    <w:rsid w:val="773769CB"/>
    <w:rsid w:val="77472422"/>
    <w:rsid w:val="777F31F2"/>
    <w:rsid w:val="77D1700D"/>
    <w:rsid w:val="77EC04CC"/>
    <w:rsid w:val="78775729"/>
    <w:rsid w:val="789C045F"/>
    <w:rsid w:val="78A42DB0"/>
    <w:rsid w:val="78A656AB"/>
    <w:rsid w:val="78B2245C"/>
    <w:rsid w:val="78CE43AD"/>
    <w:rsid w:val="78E172CC"/>
    <w:rsid w:val="78EA1D1F"/>
    <w:rsid w:val="7904172F"/>
    <w:rsid w:val="790F7E27"/>
    <w:rsid w:val="792A231A"/>
    <w:rsid w:val="79316829"/>
    <w:rsid w:val="797E023B"/>
    <w:rsid w:val="797E66A9"/>
    <w:rsid w:val="798518A4"/>
    <w:rsid w:val="79A97383"/>
    <w:rsid w:val="79E27E8B"/>
    <w:rsid w:val="79F850CE"/>
    <w:rsid w:val="79FD443C"/>
    <w:rsid w:val="7A1D1975"/>
    <w:rsid w:val="7A3C47EF"/>
    <w:rsid w:val="7A3E5150"/>
    <w:rsid w:val="7A4670D6"/>
    <w:rsid w:val="7A534B63"/>
    <w:rsid w:val="7A594779"/>
    <w:rsid w:val="7A615382"/>
    <w:rsid w:val="7A67303B"/>
    <w:rsid w:val="7AAB1D04"/>
    <w:rsid w:val="7ABA4368"/>
    <w:rsid w:val="7AD05746"/>
    <w:rsid w:val="7AE761CD"/>
    <w:rsid w:val="7B126634"/>
    <w:rsid w:val="7B257FFD"/>
    <w:rsid w:val="7B273D20"/>
    <w:rsid w:val="7B343476"/>
    <w:rsid w:val="7B5A2978"/>
    <w:rsid w:val="7B5A7E4C"/>
    <w:rsid w:val="7B667AF9"/>
    <w:rsid w:val="7B7468F8"/>
    <w:rsid w:val="7B866F34"/>
    <w:rsid w:val="7BEE0103"/>
    <w:rsid w:val="7C0A0FE4"/>
    <w:rsid w:val="7C254906"/>
    <w:rsid w:val="7C4C347A"/>
    <w:rsid w:val="7C590818"/>
    <w:rsid w:val="7C64507D"/>
    <w:rsid w:val="7C7C10F6"/>
    <w:rsid w:val="7C853BEA"/>
    <w:rsid w:val="7C881368"/>
    <w:rsid w:val="7CDB0DFA"/>
    <w:rsid w:val="7CE27788"/>
    <w:rsid w:val="7D0C32F1"/>
    <w:rsid w:val="7D0F408D"/>
    <w:rsid w:val="7D491C6C"/>
    <w:rsid w:val="7D5429C0"/>
    <w:rsid w:val="7D6E6D43"/>
    <w:rsid w:val="7DB57A34"/>
    <w:rsid w:val="7DE60973"/>
    <w:rsid w:val="7DEF0916"/>
    <w:rsid w:val="7E1E5218"/>
    <w:rsid w:val="7E664A96"/>
    <w:rsid w:val="7E9A4E1F"/>
    <w:rsid w:val="7EA7723A"/>
    <w:rsid w:val="7EF56FBB"/>
    <w:rsid w:val="7F0768EB"/>
    <w:rsid w:val="7F143BEC"/>
    <w:rsid w:val="7F715AF2"/>
    <w:rsid w:val="7F886E69"/>
    <w:rsid w:val="BB7FA927"/>
    <w:rsid w:val="F5FFD31F"/>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1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894"/>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94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7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8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632"/>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65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82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3">
    <w:name w:val="Default Paragraph Font"/>
    <w:link w:val="64"/>
    <w:unhideWhenUsed/>
    <w:qFormat/>
    <w:uiPriority w:val="1"/>
    <w:rPr>
      <w:szCs w:val="21"/>
    </w:rPr>
  </w:style>
  <w:style w:type="table" w:default="1" w:styleId="74">
    <w:name w:val="Normal Table"/>
    <w:unhideWhenUsed/>
    <w:qFormat/>
    <w:uiPriority w:val="99"/>
    <w:tblPr>
      <w:tblStyle w:val="74"/>
      <w:tblLayout w:type="fixed"/>
      <w:tblCellMar>
        <w:top w:w="0" w:type="dxa"/>
        <w:left w:w="108" w:type="dxa"/>
        <w:bottom w:w="0" w:type="dxa"/>
        <w:right w:w="108" w:type="dxa"/>
      </w:tblCellMar>
    </w:tblPr>
  </w:style>
  <w:style w:type="paragraph" w:styleId="5">
    <w:name w:val="Normal Indent"/>
    <w:basedOn w:val="1"/>
    <w:link w:val="707"/>
    <w:qFormat/>
    <w:uiPriority w:val="0"/>
    <w:pPr>
      <w:widowControl/>
      <w:snapToGrid w:val="0"/>
      <w:spacing w:line="480" w:lineRule="exact"/>
      <w:ind w:firstLine="567"/>
    </w:pPr>
    <w:rPr>
      <w:rFonts w:ascii="宋体"/>
      <w:snapToGrid w:val="0"/>
      <w:color w:val="000000"/>
      <w:kern w:val="28"/>
      <w:sz w:val="28"/>
      <w:szCs w:val="20"/>
    </w:rPr>
  </w:style>
  <w:style w:type="paragraph" w:styleId="12">
    <w:name w:val="annotation subject"/>
    <w:basedOn w:val="13"/>
    <w:next w:val="13"/>
    <w:link w:val="767"/>
    <w:qFormat/>
    <w:uiPriority w:val="0"/>
    <w:rPr>
      <w:b/>
      <w:bCs/>
    </w:rPr>
  </w:style>
  <w:style w:type="paragraph" w:styleId="13">
    <w:name w:val="annotation text"/>
    <w:basedOn w:val="1"/>
    <w:link w:val="719"/>
    <w:qFormat/>
    <w:uiPriority w:val="99"/>
    <w:pPr>
      <w:jc w:val="left"/>
    </w:pPr>
  </w:style>
  <w:style w:type="paragraph" w:styleId="14">
    <w:name w:val="toc 7"/>
    <w:basedOn w:val="1"/>
    <w:next w:val="1"/>
    <w:qFormat/>
    <w:uiPriority w:val="0"/>
    <w:pPr>
      <w:ind w:left="2520" w:leftChars="1200"/>
    </w:pPr>
  </w:style>
  <w:style w:type="paragraph" w:styleId="15">
    <w:name w:val="Body Text First Indent"/>
    <w:basedOn w:val="16"/>
    <w:next w:val="1"/>
    <w:link w:val="813"/>
    <w:qFormat/>
    <w:uiPriority w:val="0"/>
    <w:pPr>
      <w:ind w:firstLine="420"/>
    </w:pPr>
    <w:rPr>
      <w:rFonts w:hAnsi="Calibri" w:cs="Times New Roman"/>
      <w:szCs w:val="20"/>
    </w:rPr>
  </w:style>
  <w:style w:type="paragraph" w:styleId="16">
    <w:name w:val="Body Text"/>
    <w:basedOn w:val="1"/>
    <w:next w:val="1"/>
    <w:link w:val="649"/>
    <w:qFormat/>
    <w:uiPriority w:val="0"/>
    <w:pPr>
      <w:autoSpaceDE w:val="0"/>
      <w:autoSpaceDN w:val="0"/>
      <w:spacing w:line="360" w:lineRule="auto"/>
    </w:pPr>
    <w:rPr>
      <w:rFonts w:ascii="宋体" w:hAnsi="Arial" w:cs="Arial"/>
      <w:snapToGrid w:val="0"/>
      <w:sz w:val="24"/>
      <w:szCs w:val="21"/>
      <w:lang w:val="zh-CN"/>
    </w:rPr>
  </w:style>
  <w:style w:type="paragraph" w:styleId="17">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caption"/>
    <w:basedOn w:val="1"/>
    <w:next w:val="1"/>
    <w:link w:val="850"/>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689"/>
    <w:qFormat/>
    <w:uiPriority w:val="0"/>
    <w:pPr>
      <w:shd w:val="clear" w:color="auto" w:fill="000080"/>
    </w:pPr>
  </w:style>
  <w:style w:type="paragraph" w:styleId="23">
    <w:name w:val="Salutation"/>
    <w:basedOn w:val="1"/>
    <w:next w:val="1"/>
    <w:link w:val="629"/>
    <w:qFormat/>
    <w:uiPriority w:val="0"/>
    <w:rPr>
      <w:rFonts w:ascii="仿宋_GB2312" w:eastAsia="仿宋_GB2312"/>
      <w:sz w:val="28"/>
      <w:szCs w:val="20"/>
    </w:rPr>
  </w:style>
  <w:style w:type="paragraph" w:styleId="24">
    <w:name w:val="Body Text 3"/>
    <w:basedOn w:val="1"/>
    <w:link w:val="942"/>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27"/>
    <w:link w:val="770"/>
    <w:qFormat/>
    <w:uiPriority w:val="0"/>
    <w:pPr>
      <w:spacing w:line="480" w:lineRule="exact"/>
      <w:ind w:firstLine="480" w:firstLineChars="200"/>
    </w:pPr>
    <w:rPr>
      <w:rFonts w:ascii="宋体" w:hAnsi="宋体"/>
      <w:sz w:val="24"/>
    </w:rPr>
  </w:style>
  <w:style w:type="paragraph" w:customStyle="1" w:styleId="27">
    <w:name w:val="Intense Quote"/>
    <w:basedOn w:val="1"/>
    <w:next w:val="1"/>
    <w:qFormat/>
    <w:uiPriority w:val="0"/>
    <w:pPr>
      <w:spacing w:before="200" w:after="280"/>
      <w:ind w:left="936" w:right="936"/>
    </w:pPr>
    <w:rPr>
      <w:b/>
      <w:i/>
      <w:color w:val="4F81BD"/>
      <w:sz w:val="20"/>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917"/>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746"/>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631"/>
    <w:qFormat/>
    <w:uiPriority w:val="0"/>
    <w:pPr>
      <w:ind w:left="100" w:leftChars="2500"/>
    </w:pPr>
    <w:rPr>
      <w:rFonts w:ascii="宋体"/>
      <w:sz w:val="24"/>
      <w:szCs w:val="21"/>
      <w:lang w:val="zh-CN"/>
    </w:rPr>
  </w:style>
  <w:style w:type="paragraph" w:styleId="39">
    <w:name w:val="Body Text Indent 2"/>
    <w:basedOn w:val="1"/>
    <w:link w:val="867"/>
    <w:qFormat/>
    <w:uiPriority w:val="0"/>
    <w:pPr>
      <w:spacing w:line="360" w:lineRule="auto"/>
      <w:ind w:firstLine="601"/>
      <w:textAlignment w:val="baseline"/>
    </w:pPr>
    <w:rPr>
      <w:rFonts w:ascii="宋体"/>
      <w:kern w:val="0"/>
      <w:sz w:val="28"/>
      <w:szCs w:val="20"/>
    </w:rPr>
  </w:style>
  <w:style w:type="paragraph" w:styleId="40">
    <w:name w:val="endnote text"/>
    <w:basedOn w:val="1"/>
    <w:link w:val="783"/>
    <w:qFormat/>
    <w:uiPriority w:val="0"/>
    <w:rPr>
      <w:lang w:val="zh-CN"/>
    </w:rPr>
  </w:style>
  <w:style w:type="paragraph" w:styleId="41">
    <w:name w:val="Balloon Text"/>
    <w:basedOn w:val="1"/>
    <w:link w:val="677"/>
    <w:qFormat/>
    <w:uiPriority w:val="0"/>
    <w:rPr>
      <w:sz w:val="18"/>
      <w:szCs w:val="18"/>
    </w:rPr>
  </w:style>
  <w:style w:type="paragraph" w:styleId="42">
    <w:name w:val="footer"/>
    <w:basedOn w:val="1"/>
    <w:link w:val="953"/>
    <w:qFormat/>
    <w:uiPriority w:val="99"/>
    <w:pPr>
      <w:tabs>
        <w:tab w:val="center" w:pos="4153"/>
        <w:tab w:val="right" w:pos="8306"/>
      </w:tabs>
      <w:snapToGrid w:val="0"/>
      <w:jc w:val="left"/>
    </w:pPr>
    <w:rPr>
      <w:sz w:val="18"/>
      <w:szCs w:val="18"/>
    </w:rPr>
  </w:style>
  <w:style w:type="paragraph" w:styleId="43">
    <w:name w:val="Body Text First Indent 2"/>
    <w:basedOn w:val="26"/>
    <w:next w:val="1"/>
    <w:link w:val="861"/>
    <w:qFormat/>
    <w:uiPriority w:val="0"/>
    <w:pPr>
      <w:adjustRightInd/>
      <w:spacing w:after="120" w:line="240" w:lineRule="auto"/>
      <w:ind w:left="420" w:leftChars="200" w:firstLine="210"/>
    </w:pPr>
    <w:rPr>
      <w:sz w:val="21"/>
    </w:rPr>
  </w:style>
  <w:style w:type="paragraph" w:styleId="44">
    <w:name w:val="header"/>
    <w:basedOn w:val="1"/>
    <w:link w:val="882"/>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671"/>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75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5"/>
    <w:link w:val="852"/>
    <w:qFormat/>
    <w:uiPriority w:val="0"/>
    <w:pPr>
      <w:adjustRightInd/>
      <w:snapToGrid/>
      <w:spacing w:before="60" w:after="60" w:line="300" w:lineRule="exact"/>
      <w:ind w:firstLine="0"/>
    </w:pPr>
    <w:rPr>
      <w:rFonts w:ascii="Calibri"/>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950"/>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801"/>
    <w:qFormat/>
    <w:uiPriority w:val="0"/>
    <w:pPr>
      <w:spacing w:after="120" w:line="480" w:lineRule="auto"/>
    </w:pPr>
  </w:style>
  <w:style w:type="paragraph" w:styleId="60">
    <w:name w:val="HTML Preformatted"/>
    <w:basedOn w:val="1"/>
    <w:link w:val="63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642"/>
    <w:qFormat/>
    <w:uiPriority w:val="10"/>
    <w:pPr>
      <w:widowControl/>
      <w:overflowPunct w:val="0"/>
      <w:autoSpaceDE w:val="0"/>
      <w:autoSpaceDN w:val="0"/>
      <w:jc w:val="center"/>
      <w:textAlignment w:val="baseline"/>
    </w:pPr>
    <w:rPr>
      <w:b/>
      <w:kern w:val="0"/>
      <w:sz w:val="24"/>
      <w:szCs w:val="20"/>
    </w:rPr>
  </w:style>
  <w:style w:type="paragraph" w:customStyle="1" w:styleId="64">
    <w:name w:val=" Char Char4 Char"/>
    <w:basedOn w:val="1"/>
    <w:link w:val="63"/>
    <w:qFormat/>
    <w:uiPriority w:val="0"/>
    <w:rPr>
      <w:szCs w:val="21"/>
    </w:rPr>
  </w:style>
  <w:style w:type="character" w:styleId="65">
    <w:name w:val="Strong"/>
    <w:qFormat/>
    <w:uiPriority w:val="22"/>
    <w:rPr>
      <w:b/>
      <w:bCs/>
    </w:rPr>
  </w:style>
  <w:style w:type="character" w:styleId="66">
    <w:name w:val="endnote reference"/>
    <w:qFormat/>
    <w:uiPriority w:val="0"/>
    <w:rPr>
      <w:vertAlign w:val="superscript"/>
    </w:rPr>
  </w:style>
  <w:style w:type="character" w:styleId="67">
    <w:name w:val="page number"/>
    <w:basedOn w:val="63"/>
    <w:qFormat/>
    <w:uiPriority w:val="0"/>
    <w:rPr>
      <w:rFonts w:ascii="Arial" w:hAnsi="Arial" w:eastAsia="黑体" w:cs="Arial"/>
      <w:snapToGrid w:val="0"/>
      <w:kern w:val="0"/>
      <w:szCs w:val="21"/>
    </w:rPr>
  </w:style>
  <w:style w:type="character" w:styleId="68">
    <w:name w:val="FollowedHyperlink"/>
    <w:qFormat/>
    <w:uiPriority w:val="99"/>
    <w:rPr>
      <w:rFonts w:ascii="Arial" w:hAnsi="Arial" w:eastAsia="黑体" w:cs="Arial"/>
      <w:snapToGrid w:val="0"/>
      <w:color w:val="000000"/>
      <w:kern w:val="0"/>
      <w:sz w:val="18"/>
      <w:szCs w:val="18"/>
      <w:u w:val="none"/>
    </w:rPr>
  </w:style>
  <w:style w:type="character" w:styleId="69">
    <w:name w:val="Emphasis"/>
    <w:qFormat/>
    <w:uiPriority w:val="20"/>
    <w:rPr>
      <w:color w:val="CC0033"/>
    </w:rPr>
  </w:style>
  <w:style w:type="character" w:styleId="70">
    <w:name w:val="line number"/>
    <w:basedOn w:val="63"/>
    <w:qFormat/>
    <w:uiPriority w:val="0"/>
    <w:rPr>
      <w:rFonts w:ascii="Arial" w:hAnsi="Arial" w:eastAsia="黑体" w:cs="Arial"/>
      <w:snapToGrid w:val="0"/>
      <w:kern w:val="0"/>
      <w:szCs w:val="21"/>
    </w:rPr>
  </w:style>
  <w:style w:type="character" w:styleId="71">
    <w:name w:val="Hyperlink"/>
    <w:qFormat/>
    <w:uiPriority w:val="99"/>
    <w:rPr>
      <w:rFonts w:ascii="Arial" w:hAnsi="Arial" w:eastAsia="黑体" w:cs="Arial"/>
      <w:snapToGrid w:val="0"/>
      <w:color w:val="000000"/>
      <w:kern w:val="0"/>
      <w:sz w:val="18"/>
      <w:szCs w:val="18"/>
      <w:u w:val="none"/>
    </w:rPr>
  </w:style>
  <w:style w:type="character" w:styleId="72">
    <w:name w:val="HTML Code"/>
    <w:qFormat/>
    <w:uiPriority w:val="0"/>
    <w:rPr>
      <w:rFonts w:ascii="黑体" w:hAnsi="Courier New" w:eastAsia="黑体" w:cs="楷体_GB2312"/>
      <w:sz w:val="20"/>
      <w:szCs w:val="20"/>
    </w:rPr>
  </w:style>
  <w:style w:type="character" w:styleId="73">
    <w:name w:val="annotation reference"/>
    <w:qFormat/>
    <w:uiPriority w:val="99"/>
    <w:rPr>
      <w:sz w:val="21"/>
      <w:szCs w:val="21"/>
    </w:rPr>
  </w:style>
  <w:style w:type="table" w:styleId="75">
    <w:name w:val="Table Grid"/>
    <w:basedOn w:val="74"/>
    <w:qFormat/>
    <w:uiPriority w:val="0"/>
    <w:pPr>
      <w:widowControl w:val="0"/>
      <w:jc w:val="both"/>
    </w:pPr>
    <w:tblPr>
      <w:tblStyle w:val="7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6">
    <w:name w:val="Table Theme"/>
    <w:basedOn w:val="74"/>
    <w:qFormat/>
    <w:uiPriority w:val="0"/>
    <w:pPr/>
    <w:tblPr>
      <w:tblStyle w:val="7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7">
    <w:name w:val="Table Elegant"/>
    <w:basedOn w:val="74"/>
    <w:qFormat/>
    <w:uiPriority w:val="0"/>
    <w:pPr>
      <w:widowControl w:val="0"/>
      <w:jc w:val="both"/>
    </w:pPr>
    <w:tblPr>
      <w:tblStyle w:val="74"/>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Style w:val="74"/>
        <w:tblLayout w:type="fixed"/>
      </w:tblPr>
      <w:tcPr>
        <w:tcBorders>
          <w:top w:val="nil"/>
          <w:left w:val="nil"/>
          <w:bottom w:val="nil"/>
          <w:right w:val="nil"/>
          <w:insideH w:val="nil"/>
          <w:insideV w:val="nil"/>
          <w:tl2br w:val="nil"/>
          <w:tr2bl w:val="nil"/>
        </w:tcBorders>
        <w:textDirection w:val="lrTb"/>
      </w:tcPr>
    </w:tblStylePr>
  </w:style>
  <w:style w:type="table" w:styleId="78">
    <w:name w:val="Table Grid 5"/>
    <w:basedOn w:val="74"/>
    <w:qFormat/>
    <w:uiPriority w:val="0"/>
    <w:pPr>
      <w:widowControl w:val="0"/>
      <w:jc w:val="both"/>
    </w:pPr>
    <w:tblPr>
      <w:tblStyle w:val="74"/>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Style w:val="74"/>
        <w:tblLayout w:type="fixed"/>
      </w:tblPr>
      <w:tcPr>
        <w:tcBorders>
          <w:top w:val="nil"/>
          <w:left w:val="nil"/>
          <w:bottom w:val="single" w:color="000000" w:sz="12" w:space="0"/>
          <w:right w:val="nil"/>
          <w:insideH w:val="nil"/>
          <w:insideV w:val="nil"/>
          <w:tl2br w:val="nil"/>
          <w:tr2bl w:val="nil"/>
        </w:tcBorders>
        <w:textDirection w:val="lrTb"/>
      </w:tcPr>
    </w:tblStylePr>
    <w:tblStylePr w:type="lastRow">
      <w:rPr>
        <w:b/>
        <w:bCs/>
      </w:rPr>
      <w:tblPr>
        <w:tblStyle w:val="74"/>
        <w:tblLayout w:type="fixed"/>
      </w:tblPr>
      <w:tcPr>
        <w:tcBorders>
          <w:top w:val="nil"/>
          <w:left w:val="nil"/>
          <w:bottom w:val="nil"/>
          <w:right w:val="nil"/>
          <w:insideH w:val="nil"/>
          <w:insideV w:val="nil"/>
          <w:tl2br w:val="nil"/>
          <w:tr2bl w:val="nil"/>
        </w:tcBorders>
        <w:textDirection w:val="lrTb"/>
      </w:tcPr>
    </w:tblStylePr>
    <w:tblStylePr w:type="lastCol">
      <w:rPr>
        <w:b/>
        <w:bCs/>
      </w:rPr>
      <w:tblPr>
        <w:tblStyle w:val="74"/>
        <w:tblLayout w:type="fixed"/>
      </w:tblPr>
      <w:tcPr>
        <w:tcBorders>
          <w:top w:val="nil"/>
          <w:left w:val="nil"/>
          <w:bottom w:val="nil"/>
          <w:right w:val="nil"/>
          <w:insideH w:val="nil"/>
          <w:insideV w:val="nil"/>
          <w:tl2br w:val="nil"/>
          <w:tr2bl w:val="nil"/>
        </w:tcBorders>
        <w:textDirection w:val="lrTb"/>
      </w:tcPr>
    </w:tblStylePr>
    <w:tblStylePr w:type="nwCell">
      <w:tblPr>
        <w:tblStyle w:val="74"/>
        <w:tblLayout w:type="fixed"/>
      </w:tblPr>
      <w:tcPr>
        <w:tcBorders>
          <w:top w:val="nil"/>
          <w:left w:val="nil"/>
          <w:bottom w:val="nil"/>
          <w:right w:val="nil"/>
          <w:insideH w:val="nil"/>
          <w:insideV w:val="nil"/>
          <w:tl2br w:val="single" w:color="000000" w:sz="6" w:space="0"/>
          <w:tr2bl w:val="nil"/>
        </w:tcBorders>
        <w:textDirection w:val="lrTb"/>
      </w:tcPr>
    </w:tblStylePr>
  </w:style>
  <w:style w:type="table" w:styleId="79">
    <w:name w:val="Table Grid 8"/>
    <w:basedOn w:val="74"/>
    <w:qFormat/>
    <w:uiPriority w:val="0"/>
    <w:pPr>
      <w:widowControl w:val="0"/>
      <w:jc w:val="both"/>
    </w:pPr>
    <w:tblPr>
      <w:tblStyle w:val="74"/>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Style w:val="74"/>
        <w:tblLayout w:type="fixed"/>
      </w:tblPr>
      <w:tcPr>
        <w:tcBorders>
          <w:top w:val="nil"/>
          <w:left w:val="nil"/>
          <w:bottom w:val="nil"/>
          <w:right w:val="nil"/>
          <w:insideH w:val="nil"/>
          <w:insideV w:val="nil"/>
          <w:tl2br w:val="nil"/>
          <w:tr2bl w:val="nil"/>
        </w:tcBorders>
        <w:shd w:val="solid" w:color="000080" w:fill="FFFFFF"/>
        <w:textDirection w:val="lrTb"/>
      </w:tcPr>
    </w:tblStylePr>
    <w:tblStylePr w:type="lastRow">
      <w:rPr>
        <w:b/>
        <w:bCs/>
        <w:color w:val="auto"/>
      </w:rPr>
      <w:tblPr>
        <w:tblStyle w:val="74"/>
        <w:tblLayout w:type="fixed"/>
      </w:tblPr>
      <w:tcPr>
        <w:tcBorders>
          <w:top w:val="nil"/>
          <w:left w:val="nil"/>
          <w:bottom w:val="nil"/>
          <w:right w:val="nil"/>
          <w:insideH w:val="nil"/>
          <w:insideV w:val="nil"/>
          <w:tl2br w:val="nil"/>
          <w:tr2bl w:val="nil"/>
        </w:tcBorders>
        <w:textDirection w:val="lrTb"/>
      </w:tcPr>
    </w:tblStylePr>
    <w:tblStylePr w:type="lastCol">
      <w:rPr>
        <w:b/>
        <w:bCs/>
        <w:color w:val="auto"/>
      </w:rPr>
      <w:tblPr>
        <w:tblStyle w:val="74"/>
        <w:tblLayout w:type="fixed"/>
      </w:tblPr>
      <w:tcPr>
        <w:tcBorders>
          <w:top w:val="nil"/>
          <w:left w:val="nil"/>
          <w:bottom w:val="nil"/>
          <w:right w:val="nil"/>
          <w:insideH w:val="nil"/>
          <w:insideV w:val="nil"/>
          <w:tl2br w:val="nil"/>
          <w:tr2bl w:val="nil"/>
        </w:tcBorders>
        <w:textDirection w:val="lrTb"/>
      </w:tcPr>
    </w:tblStylePr>
  </w:style>
  <w:style w:type="table" w:styleId="80">
    <w:name w:val="Table Professional"/>
    <w:basedOn w:val="74"/>
    <w:qFormat/>
    <w:uiPriority w:val="0"/>
    <w:pPr>
      <w:widowControl w:val="0"/>
      <w:jc w:val="both"/>
    </w:pPr>
    <w:tblPr>
      <w:tblStyle w:val="74"/>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auto"/>
      </w:rPr>
      <w:tblPr>
        <w:tblStyle w:val="74"/>
        <w:tblLayout w:type="fixed"/>
      </w:tblPr>
      <w:tcPr>
        <w:tcBorders>
          <w:top w:val="nil"/>
          <w:left w:val="nil"/>
          <w:bottom w:val="nil"/>
          <w:right w:val="nil"/>
          <w:insideH w:val="nil"/>
          <w:insideV w:val="nil"/>
          <w:tl2br w:val="nil"/>
          <w:tr2bl w:val="nil"/>
        </w:tcBorders>
        <w:shd w:val="solid" w:color="000000" w:fill="FFFFFF"/>
        <w:textDirection w:val="lrTb"/>
      </w:tcPr>
    </w:tblStylePr>
  </w:style>
  <w:style w:type="paragraph" w:customStyle="1" w:styleId="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8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8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8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8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88">
    <w:name w:val="编号，小四"/>
    <w:basedOn w:val="1"/>
    <w:link w:val="692"/>
    <w:qFormat/>
    <w:uiPriority w:val="0"/>
    <w:pPr>
      <w:tabs>
        <w:tab w:val="left" w:pos="432"/>
      </w:tabs>
      <w:adjustRightInd/>
      <w:spacing w:line="360" w:lineRule="auto"/>
      <w:ind w:left="432" w:hanging="432"/>
    </w:pPr>
    <w:rPr>
      <w:rFonts w:ascii="Arial" w:hAnsi="Arial"/>
      <w:kern w:val="0"/>
      <w:sz w:val="24"/>
      <w:szCs w:val="20"/>
    </w:rPr>
  </w:style>
  <w:style w:type="paragraph" w:customStyle="1" w:styleId="8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9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9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93">
    <w:name w:val="批注框文本 Char Char"/>
    <w:basedOn w:val="1"/>
    <w:qFormat/>
    <w:uiPriority w:val="0"/>
    <w:pPr>
      <w:adjustRightInd/>
    </w:pPr>
    <w:rPr>
      <w:sz w:val="18"/>
      <w:szCs w:val="20"/>
    </w:rPr>
  </w:style>
  <w:style w:type="paragraph" w:customStyle="1" w:styleId="9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95">
    <w:name w:val="Char Char Char Char Char Char Char Char Char Char"/>
    <w:basedOn w:val="1"/>
    <w:qFormat/>
    <w:uiPriority w:val="0"/>
    <w:rPr>
      <w:rFonts w:ascii="仿宋_GB2312" w:eastAsia="仿宋_GB2312"/>
      <w:b/>
      <w:sz w:val="32"/>
      <w:szCs w:val="32"/>
    </w:rPr>
  </w:style>
  <w:style w:type="paragraph" w:customStyle="1" w:styleId="9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97">
    <w:name w:val="正文（标题三）"/>
    <w:basedOn w:val="1"/>
    <w:qFormat/>
    <w:uiPriority w:val="0"/>
    <w:pPr>
      <w:spacing w:line="360" w:lineRule="auto"/>
      <w:ind w:firstLine="200" w:firstLineChars="200"/>
    </w:pPr>
    <w:rPr>
      <w:sz w:val="24"/>
    </w:rPr>
  </w:style>
  <w:style w:type="paragraph" w:customStyle="1" w:styleId="98">
    <w:name w:val="表格 内容"/>
    <w:basedOn w:val="99"/>
    <w:qFormat/>
    <w:uiPriority w:val="0"/>
    <w:rPr>
      <w:b w:val="0"/>
      <w:sz w:val="20"/>
    </w:rPr>
  </w:style>
  <w:style w:type="paragraph" w:customStyle="1" w:styleId="9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10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01">
    <w:name w:val="单元格居中"/>
    <w:basedOn w:val="1"/>
    <w:qFormat/>
    <w:uiPriority w:val="0"/>
    <w:pPr>
      <w:adjustRightInd/>
      <w:spacing w:line="360" w:lineRule="auto"/>
      <w:jc w:val="center"/>
    </w:pPr>
    <w:rPr>
      <w:sz w:val="24"/>
    </w:rPr>
  </w:style>
  <w:style w:type="paragraph" w:customStyle="1" w:styleId="102">
    <w:name w:val="Char Char Char Char Char Char Char Char"/>
    <w:basedOn w:val="1"/>
    <w:qFormat/>
    <w:uiPriority w:val="0"/>
    <w:pPr>
      <w:tabs>
        <w:tab w:val="left" w:pos="360"/>
      </w:tabs>
    </w:pPr>
    <w:rPr>
      <w:sz w:val="24"/>
      <w:szCs w:val="20"/>
    </w:rPr>
  </w:style>
  <w:style w:type="paragraph" w:customStyle="1" w:styleId="10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10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10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0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107">
    <w:name w:val="表格非标题文字"/>
    <w:link w:val="705"/>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10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109">
    <w:name w:val="Char Char Char1 Char1"/>
    <w:basedOn w:val="1"/>
    <w:qFormat/>
    <w:uiPriority w:val="6"/>
    <w:rPr>
      <w:szCs w:val="20"/>
    </w:rPr>
  </w:style>
  <w:style w:type="paragraph" w:customStyle="1" w:styleId="110">
    <w:name w:val="Char1 Char Char Char21"/>
    <w:basedOn w:val="1"/>
    <w:qFormat/>
    <w:uiPriority w:val="0"/>
    <w:rPr>
      <w:rFonts w:ascii="Tahoma" w:hAnsi="Tahoma"/>
      <w:sz w:val="24"/>
      <w:szCs w:val="20"/>
    </w:rPr>
  </w:style>
  <w:style w:type="paragraph" w:customStyle="1" w:styleId="11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1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11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11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5">
    <w:name w:val="Bulleted List"/>
    <w:basedOn w:val="1"/>
    <w:qFormat/>
    <w:uiPriority w:val="0"/>
    <w:pPr>
      <w:tabs>
        <w:tab w:val="left" w:pos="1260"/>
      </w:tabs>
      <w:adjustRightInd/>
      <w:ind w:left="1260" w:hanging="420"/>
    </w:pPr>
  </w:style>
  <w:style w:type="paragraph" w:customStyle="1" w:styleId="116">
    <w:name w:val="*正文"/>
    <w:basedOn w:val="1"/>
    <w:link w:val="663"/>
    <w:qFormat/>
    <w:uiPriority w:val="0"/>
    <w:pPr>
      <w:snapToGrid w:val="0"/>
      <w:spacing w:line="360" w:lineRule="auto"/>
      <w:ind w:firstLine="482"/>
      <w:jc w:val="left"/>
    </w:pPr>
    <w:rPr>
      <w:rFonts w:ascii="宋体" w:hAnsi="宋体"/>
      <w:kern w:val="0"/>
      <w:sz w:val="24"/>
      <w:szCs w:val="20"/>
    </w:rPr>
  </w:style>
  <w:style w:type="paragraph" w:customStyle="1" w:styleId="11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18">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19">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2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21">
    <w:name w:val="_Style 12"/>
    <w:basedOn w:val="22"/>
    <w:qFormat/>
    <w:uiPriority w:val="0"/>
    <w:pPr>
      <w:snapToGrid w:val="0"/>
      <w:spacing w:line="360" w:lineRule="auto"/>
    </w:pPr>
  </w:style>
  <w:style w:type="paragraph" w:customStyle="1" w:styleId="122">
    <w:name w:val="Char Char1 Char Char1 Char Char1"/>
    <w:basedOn w:val="1"/>
    <w:qFormat/>
    <w:uiPriority w:val="0"/>
    <w:pPr>
      <w:tabs>
        <w:tab w:val="left" w:pos="840"/>
      </w:tabs>
      <w:ind w:left="840" w:hanging="420"/>
    </w:pPr>
    <w:rPr>
      <w:rFonts w:ascii="Tahoma" w:hAnsi="Tahoma"/>
      <w:sz w:val="24"/>
    </w:rPr>
  </w:style>
  <w:style w:type="paragraph" w:customStyle="1" w:styleId="12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12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1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12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127">
    <w:name w:val="b11_01b"/>
    <w:basedOn w:val="1"/>
    <w:next w:val="1"/>
    <w:link w:val="80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129">
    <w:name w:val="U_正文"/>
    <w:basedOn w:val="1"/>
    <w:link w:val="667"/>
    <w:qFormat/>
    <w:uiPriority w:val="0"/>
    <w:pPr>
      <w:adjustRightInd/>
      <w:spacing w:beforeLines="20" w:afterLines="20" w:line="300" w:lineRule="auto"/>
      <w:ind w:firstLine="200" w:firstLineChars="200"/>
    </w:pPr>
    <w:rPr>
      <w:kern w:val="0"/>
      <w:sz w:val="24"/>
    </w:rPr>
  </w:style>
  <w:style w:type="paragraph" w:customStyle="1" w:styleId="13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13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32">
    <w:name w:val="Char Char Char Char Char Char Char1"/>
    <w:basedOn w:val="1"/>
    <w:qFormat/>
    <w:uiPriority w:val="6"/>
    <w:rPr>
      <w:rFonts w:ascii="仿宋_GB2312" w:eastAsia="仿宋_GB2312"/>
      <w:b/>
      <w:sz w:val="32"/>
      <w:szCs w:val="32"/>
    </w:rPr>
  </w:style>
  <w:style w:type="paragraph" w:customStyle="1" w:styleId="13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13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5">
    <w:name w:val="Char311"/>
    <w:basedOn w:val="1"/>
    <w:qFormat/>
    <w:uiPriority w:val="0"/>
    <w:pPr>
      <w:adjustRightInd/>
      <w:ind w:firstLine="200" w:firstLineChars="200"/>
    </w:pPr>
    <w:rPr>
      <w:rFonts w:ascii="Tahoma" w:hAnsi="Tahoma"/>
      <w:sz w:val="24"/>
      <w:szCs w:val="20"/>
    </w:rPr>
  </w:style>
  <w:style w:type="paragraph" w:customStyle="1" w:styleId="136">
    <w:name w:val="哈哈正文"/>
    <w:basedOn w:val="1"/>
    <w:link w:val="830"/>
    <w:qFormat/>
    <w:uiPriority w:val="0"/>
    <w:pPr>
      <w:adjustRightInd/>
      <w:spacing w:line="360" w:lineRule="auto"/>
      <w:ind w:firstLine="200" w:firstLineChars="200"/>
    </w:pPr>
    <w:rPr>
      <w:rFonts w:ascii="宋体" w:hAnsi="宋体"/>
      <w:sz w:val="24"/>
      <w:szCs w:val="20"/>
    </w:rPr>
  </w:style>
  <w:style w:type="paragraph" w:customStyle="1" w:styleId="137">
    <w:name w:val="List Paragraph1"/>
    <w:basedOn w:val="1"/>
    <w:qFormat/>
    <w:uiPriority w:val="0"/>
    <w:pPr>
      <w:spacing w:line="360" w:lineRule="auto"/>
      <w:ind w:firstLine="200" w:firstLineChars="200"/>
    </w:pPr>
    <w:rPr>
      <w:rFonts w:eastAsia="楷体_GB2312" w:cs="Lucida Sans"/>
      <w:sz w:val="24"/>
    </w:rPr>
  </w:style>
  <w:style w:type="paragraph" w:customStyle="1" w:styleId="138">
    <w:name w:val="5正文"/>
    <w:basedOn w:val="1"/>
    <w:link w:val="842"/>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13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14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4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14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1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4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14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47">
    <w:name w:val="Char Char11 Char Char Char1"/>
    <w:basedOn w:val="1"/>
    <w:qFormat/>
    <w:uiPriority w:val="6"/>
    <w:pPr>
      <w:spacing w:line="360" w:lineRule="auto"/>
    </w:pPr>
    <w:rPr>
      <w:szCs w:val="20"/>
    </w:rPr>
  </w:style>
  <w:style w:type="paragraph" w:customStyle="1" w:styleId="14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0">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51">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15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53">
    <w:name w:val="正文2"/>
    <w:basedOn w:val="1"/>
    <w:link w:val="662"/>
    <w:qFormat/>
    <w:uiPriority w:val="0"/>
    <w:pPr>
      <w:spacing w:before="156" w:line="360" w:lineRule="auto"/>
      <w:ind w:firstLine="510" w:firstLineChars="200"/>
    </w:pPr>
    <w:rPr>
      <w:sz w:val="24"/>
      <w:szCs w:val="20"/>
    </w:rPr>
  </w:style>
  <w:style w:type="paragraph" w:customStyle="1" w:styleId="15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155">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156">
    <w:name w:val="单元格左对齐"/>
    <w:basedOn w:val="1"/>
    <w:qFormat/>
    <w:uiPriority w:val="0"/>
    <w:pPr>
      <w:adjustRightInd/>
      <w:spacing w:line="360" w:lineRule="auto"/>
    </w:pPr>
    <w:rPr>
      <w:sz w:val="24"/>
    </w:rPr>
  </w:style>
  <w:style w:type="paragraph" w:customStyle="1" w:styleId="157">
    <w:name w:val="修订3"/>
    <w:qFormat/>
    <w:uiPriority w:val="0"/>
    <w:rPr>
      <w:rFonts w:ascii="Times New Roman" w:hAnsi="Times New Roman" w:eastAsia="宋体" w:cs="Times New Roman"/>
      <w:kern w:val="2"/>
      <w:sz w:val="21"/>
      <w:lang w:val="en-US" w:eastAsia="zh-CN" w:bidi="ar-SA"/>
    </w:rPr>
  </w:style>
  <w:style w:type="paragraph" w:customStyle="1" w:styleId="158">
    <w:name w:val="Char Char1121"/>
    <w:basedOn w:val="1"/>
    <w:qFormat/>
    <w:uiPriority w:val="0"/>
    <w:pPr>
      <w:spacing w:line="360" w:lineRule="auto"/>
    </w:pPr>
    <w:rPr>
      <w:szCs w:val="20"/>
    </w:rPr>
  </w:style>
  <w:style w:type="paragraph" w:customStyle="1" w:styleId="15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160">
    <w:name w:val="Char1 Char Char Char1"/>
    <w:basedOn w:val="1"/>
    <w:qFormat/>
    <w:uiPriority w:val="0"/>
    <w:pPr>
      <w:adjustRightInd/>
      <w:ind w:firstLine="200" w:firstLineChars="200"/>
    </w:pPr>
    <w:rPr>
      <w:rFonts w:ascii="Tahoma" w:hAnsi="Tahoma"/>
      <w:sz w:val="24"/>
      <w:szCs w:val="20"/>
    </w:rPr>
  </w:style>
  <w:style w:type="paragraph" w:customStyle="1" w:styleId="16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16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63">
    <w:name w:val="无间隔1"/>
    <w:link w:val="658"/>
    <w:qFormat/>
    <w:uiPriority w:val="1"/>
    <w:rPr>
      <w:rFonts w:ascii="Times New Roman" w:hAnsi="Times New Roman" w:eastAsia="宋体" w:cs="Times New Roman"/>
      <w:sz w:val="22"/>
      <w:szCs w:val="22"/>
      <w:lang w:val="en-US" w:eastAsia="zh-CN" w:bidi="ar-SA"/>
    </w:rPr>
  </w:style>
  <w:style w:type="paragraph" w:customStyle="1" w:styleId="16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6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166">
    <w:name w:val="带编号样式"/>
    <w:basedOn w:val="167"/>
    <w:qFormat/>
    <w:uiPriority w:val="0"/>
    <w:pPr>
      <w:tabs>
        <w:tab w:val="left" w:pos="840"/>
      </w:tabs>
      <w:snapToGrid w:val="0"/>
      <w:ind w:left="840" w:hanging="420" w:firstLineChars="0"/>
    </w:pPr>
    <w:rPr>
      <w:rFonts w:ascii="仿宋_GB2312" w:eastAsia="仿宋_GB2312"/>
      <w:color w:val="000000"/>
    </w:rPr>
  </w:style>
  <w:style w:type="paragraph" w:customStyle="1" w:styleId="167">
    <w:name w:val="文本正文 Char"/>
    <w:basedOn w:val="1"/>
    <w:qFormat/>
    <w:uiPriority w:val="0"/>
    <w:pPr>
      <w:spacing w:line="360" w:lineRule="auto"/>
      <w:ind w:firstLine="200" w:firstLineChars="200"/>
    </w:pPr>
    <w:rPr>
      <w:kern w:val="0"/>
      <w:sz w:val="24"/>
      <w:szCs w:val="20"/>
    </w:rPr>
  </w:style>
  <w:style w:type="paragraph" w:customStyle="1" w:styleId="16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69">
    <w:name w:val="bullet"/>
    <w:basedOn w:val="1"/>
    <w:qFormat/>
    <w:uiPriority w:val="0"/>
    <w:pPr>
      <w:tabs>
        <w:tab w:val="left" w:pos="840"/>
      </w:tabs>
      <w:adjustRightInd/>
      <w:ind w:left="840" w:hanging="420"/>
    </w:pPr>
  </w:style>
  <w:style w:type="paragraph" w:customStyle="1" w:styleId="170">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71">
    <w:name w:val="样式7"/>
    <w:basedOn w:val="172"/>
    <w:next w:val="1"/>
    <w:qFormat/>
    <w:uiPriority w:val="0"/>
    <w:pPr>
      <w:spacing w:after="156" w:afterLines="50"/>
      <w:jc w:val="left"/>
      <w:outlineLvl w:val="3"/>
    </w:pPr>
    <w:rPr>
      <w:sz w:val="24"/>
      <w:szCs w:val="24"/>
    </w:rPr>
  </w:style>
  <w:style w:type="paragraph" w:customStyle="1" w:styleId="17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173">
    <w:name w:val="纯文本_0_0"/>
    <w:basedOn w:val="174"/>
    <w:link w:val="889"/>
    <w:qFormat/>
    <w:uiPriority w:val="0"/>
    <w:rPr>
      <w:rFonts w:ascii="宋体" w:hAnsi="Courier New"/>
      <w:szCs w:val="21"/>
    </w:rPr>
  </w:style>
  <w:style w:type="paragraph" w:customStyle="1" w:styleId="17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5">
    <w:name w:val="Char3 Char Char Char"/>
    <w:basedOn w:val="1"/>
    <w:qFormat/>
    <w:uiPriority w:val="0"/>
    <w:pPr>
      <w:widowControl/>
      <w:adjustRightInd/>
      <w:spacing w:after="160" w:line="240" w:lineRule="exact"/>
      <w:jc w:val="left"/>
    </w:pPr>
    <w:rPr>
      <w:szCs w:val="20"/>
    </w:rPr>
  </w:style>
  <w:style w:type="paragraph" w:customStyle="1" w:styleId="1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17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17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7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8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181">
    <w:name w:val="样式 正文缩进 + 首行缩进:  2 字符"/>
    <w:basedOn w:val="5"/>
    <w:link w:val="96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8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3">
    <w:name w:val="样式1 + (中宋体"/>
    <w:basedOn w:val="184"/>
    <w:qFormat/>
    <w:uiPriority w:val="0"/>
    <w:pPr>
      <w:widowControl w:val="0"/>
      <w:tabs>
        <w:tab w:val="left" w:pos="1200"/>
      </w:tabs>
      <w:adjustRightInd/>
      <w:snapToGrid/>
      <w:spacing w:line="360" w:lineRule="auto"/>
      <w:ind w:left="1200" w:hanging="360" w:firstLineChars="200"/>
      <w:jc w:val="both"/>
    </w:pPr>
    <w:rPr>
      <w:kern w:val="2"/>
      <w:szCs w:val="24"/>
    </w:rPr>
  </w:style>
  <w:style w:type="paragraph" w:customStyle="1" w:styleId="18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8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8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187">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188">
    <w:name w:val="标准小四"/>
    <w:basedOn w:val="1"/>
    <w:qFormat/>
    <w:uiPriority w:val="0"/>
    <w:pPr>
      <w:spacing w:line="360" w:lineRule="auto"/>
      <w:ind w:firstLine="480" w:firstLineChars="200"/>
    </w:pPr>
    <w:rPr>
      <w:rFonts w:ascii="Arial" w:hAnsi="Arial"/>
      <w:sz w:val="24"/>
      <w:szCs w:val="21"/>
    </w:rPr>
  </w:style>
  <w:style w:type="paragraph" w:customStyle="1" w:styleId="189">
    <w:name w:val="正文（绿盟科技）"/>
    <w:link w:val="760"/>
    <w:qFormat/>
    <w:uiPriority w:val="0"/>
    <w:pPr>
      <w:spacing w:line="300" w:lineRule="auto"/>
    </w:pPr>
    <w:rPr>
      <w:rFonts w:ascii="Arial" w:hAnsi="Arial" w:eastAsia="宋体" w:cs="Times New Roman"/>
      <w:sz w:val="21"/>
      <w:szCs w:val="21"/>
      <w:lang w:val="en-US" w:eastAsia="zh-CN" w:bidi="ar-SA"/>
    </w:rPr>
  </w:style>
  <w:style w:type="paragraph" w:customStyle="1" w:styleId="1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191">
    <w:name w:val="CSS1级正文 Char"/>
    <w:basedOn w:val="16"/>
    <w:qFormat/>
    <w:uiPriority w:val="0"/>
    <w:pPr>
      <w:snapToGrid w:val="0"/>
      <w:ind w:firstLine="480" w:firstLineChars="200"/>
    </w:pPr>
    <w:rPr>
      <w:rFonts w:ascii="Times New Roman"/>
      <w:szCs w:val="24"/>
      <w:lang w:val="en-US"/>
    </w:rPr>
  </w:style>
  <w:style w:type="paragraph" w:customStyle="1" w:styleId="19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19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9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95">
    <w:name w:val="样式 列表编号 + 段后: 0.5 行"/>
    <w:basedOn w:val="19"/>
    <w:qFormat/>
    <w:uiPriority w:val="2"/>
    <w:pPr>
      <w:tabs>
        <w:tab w:val="clear" w:pos="390"/>
        <w:tab w:val="clear" w:pos="454"/>
      </w:tabs>
      <w:spacing w:after="0"/>
      <w:ind w:left="840" w:hanging="420"/>
      <w:contextualSpacing/>
    </w:pPr>
    <w:rPr>
      <w:rFonts w:cs="宋体"/>
    </w:rPr>
  </w:style>
  <w:style w:type="paragraph" w:customStyle="1" w:styleId="19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97">
    <w:name w:val="Char Char Char Char Char Char Char"/>
    <w:basedOn w:val="1"/>
    <w:qFormat/>
    <w:uiPriority w:val="0"/>
    <w:rPr>
      <w:rFonts w:ascii="仿宋_GB2312" w:eastAsia="仿宋_GB2312"/>
      <w:b/>
      <w:sz w:val="32"/>
      <w:szCs w:val="32"/>
    </w:rPr>
  </w:style>
  <w:style w:type="paragraph" w:customStyle="1" w:styleId="198">
    <w:name w:val="MM Topic 3"/>
    <w:basedOn w:val="4"/>
    <w:qFormat/>
    <w:uiPriority w:val="0"/>
    <w:pPr>
      <w:tabs>
        <w:tab w:val="left" w:pos="1680"/>
        <w:tab w:val="clear" w:pos="900"/>
      </w:tabs>
      <w:adjustRightInd/>
      <w:ind w:left="1680" w:hanging="420"/>
    </w:pPr>
  </w:style>
  <w:style w:type="paragraph" w:customStyle="1" w:styleId="199">
    <w:name w:val="表格名称"/>
    <w:basedOn w:val="3"/>
    <w:link w:val="69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200">
    <w:name w:val="正文文字表格居中"/>
    <w:basedOn w:val="1"/>
    <w:next w:val="59"/>
    <w:qFormat/>
    <w:uiPriority w:val="0"/>
    <w:pPr>
      <w:snapToGrid w:val="0"/>
      <w:spacing w:line="360" w:lineRule="auto"/>
    </w:pPr>
    <w:rPr>
      <w:rFonts w:ascii="宋体"/>
      <w:b/>
      <w:sz w:val="24"/>
      <w:szCs w:val="20"/>
    </w:rPr>
  </w:style>
  <w:style w:type="paragraph" w:customStyle="1" w:styleId="20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0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0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04">
    <w:name w:val="Char Char Char Char11"/>
    <w:basedOn w:val="1"/>
    <w:qFormat/>
    <w:uiPriority w:val="0"/>
    <w:rPr>
      <w:rFonts w:ascii="Tahoma" w:hAnsi="Tahoma"/>
      <w:sz w:val="24"/>
      <w:szCs w:val="20"/>
    </w:rPr>
  </w:style>
  <w:style w:type="paragraph" w:customStyle="1" w:styleId="20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0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20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8">
    <w:name w:val="my正文"/>
    <w:basedOn w:val="1"/>
    <w:link w:val="759"/>
    <w:qFormat/>
    <w:uiPriority w:val="0"/>
    <w:pPr>
      <w:adjustRightInd/>
      <w:spacing w:line="360" w:lineRule="auto"/>
      <w:ind w:firstLine="480" w:firstLineChars="200"/>
    </w:pPr>
    <w:rPr>
      <w:rFonts w:ascii="Tahoma" w:hAnsi="Tahoma"/>
      <w:kern w:val="0"/>
      <w:sz w:val="24"/>
    </w:rPr>
  </w:style>
  <w:style w:type="paragraph" w:customStyle="1" w:styleId="209">
    <w:name w:val="Char Char1101"/>
    <w:basedOn w:val="1"/>
    <w:qFormat/>
    <w:uiPriority w:val="0"/>
    <w:pPr>
      <w:spacing w:line="360" w:lineRule="auto"/>
    </w:pPr>
    <w:rPr>
      <w:rFonts w:ascii="Tahoma" w:hAnsi="Tahoma"/>
      <w:sz w:val="24"/>
      <w:szCs w:val="20"/>
    </w:rPr>
  </w:style>
  <w:style w:type="paragraph" w:customStyle="1" w:styleId="210">
    <w:name w:val="p0"/>
    <w:basedOn w:val="1"/>
    <w:qFormat/>
    <w:uiPriority w:val="0"/>
    <w:pPr>
      <w:widowControl/>
      <w:adjustRightInd/>
    </w:pPr>
    <w:rPr>
      <w:kern w:val="0"/>
      <w:szCs w:val="21"/>
    </w:rPr>
  </w:style>
  <w:style w:type="paragraph" w:customStyle="1" w:styleId="211">
    <w:name w:val="Char"/>
    <w:basedOn w:val="1"/>
    <w:qFormat/>
    <w:uiPriority w:val="0"/>
    <w:rPr>
      <w:rFonts w:ascii="仿宋_GB2312" w:eastAsia="仿宋_GB2312"/>
      <w:b/>
      <w:sz w:val="32"/>
      <w:szCs w:val="32"/>
    </w:rPr>
  </w:style>
  <w:style w:type="paragraph" w:customStyle="1" w:styleId="21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13">
    <w:name w:val="一级条标题"/>
    <w:basedOn w:val="214"/>
    <w:next w:val="134"/>
    <w:qFormat/>
    <w:uiPriority w:val="0"/>
    <w:pPr>
      <w:tabs>
        <w:tab w:val="left" w:pos="1680"/>
      </w:tabs>
      <w:spacing w:before="0" w:beforeLines="0" w:after="0" w:afterLines="0"/>
      <w:ind w:left="1680"/>
      <w:outlineLvl w:val="2"/>
    </w:pPr>
  </w:style>
  <w:style w:type="paragraph" w:customStyle="1" w:styleId="214">
    <w:name w:val="章标题"/>
    <w:next w:val="13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215">
    <w:name w:val="列出段落2"/>
    <w:basedOn w:val="1"/>
    <w:qFormat/>
    <w:uiPriority w:val="0"/>
    <w:pPr>
      <w:adjustRightInd/>
      <w:ind w:firstLine="420" w:firstLineChars="200"/>
    </w:pPr>
    <w:rPr>
      <w:rFonts w:ascii="宋体" w:hAnsi="宋体"/>
      <w:sz w:val="24"/>
    </w:rPr>
  </w:style>
  <w:style w:type="paragraph" w:customStyle="1" w:styleId="216">
    <w:name w:val="Char Char113"/>
    <w:basedOn w:val="1"/>
    <w:qFormat/>
    <w:uiPriority w:val="0"/>
    <w:pPr>
      <w:widowControl/>
      <w:spacing w:after="160" w:line="240" w:lineRule="exact"/>
      <w:jc w:val="left"/>
    </w:pPr>
    <w:rPr>
      <w:rFonts w:eastAsia="仿宋_GB2312"/>
      <w:sz w:val="28"/>
    </w:rPr>
  </w:style>
  <w:style w:type="paragraph" w:customStyle="1" w:styleId="217">
    <w:name w:val="Char Char Char Char Char Char Char Char Char Char1"/>
    <w:basedOn w:val="1"/>
    <w:qFormat/>
    <w:uiPriority w:val="0"/>
    <w:rPr>
      <w:rFonts w:ascii="仿宋_GB2312" w:eastAsia="仿宋_GB2312"/>
      <w:b/>
      <w:sz w:val="32"/>
      <w:szCs w:val="32"/>
    </w:rPr>
  </w:style>
  <w:style w:type="paragraph" w:customStyle="1" w:styleId="21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219">
    <w:name w:val="样式 正文文本缩进 + 段前: 2 字符"/>
    <w:basedOn w:val="1"/>
    <w:qFormat/>
    <w:uiPriority w:val="0"/>
    <w:pPr>
      <w:adjustRightInd/>
      <w:ind w:left="420" w:leftChars="200"/>
      <w:jc w:val="left"/>
    </w:pPr>
    <w:rPr>
      <w:sz w:val="28"/>
      <w:szCs w:val="20"/>
      <w:lang w:eastAsia="zh-TW"/>
    </w:rPr>
  </w:style>
  <w:style w:type="paragraph" w:customStyle="1" w:styleId="220">
    <w:name w:val="3级"/>
    <w:basedOn w:val="221"/>
    <w:link w:val="695"/>
    <w:qFormat/>
    <w:uiPriority w:val="0"/>
    <w:pPr>
      <w:ind w:left="0" w:right="466" w:firstLine="288"/>
    </w:pPr>
    <w:rPr>
      <w:rFonts w:hAnsi="宋体"/>
    </w:rPr>
  </w:style>
  <w:style w:type="paragraph" w:customStyle="1" w:styleId="221">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2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23">
    <w:name w:val="Char Char Char Char Char Char Char Char2"/>
    <w:basedOn w:val="1"/>
    <w:qFormat/>
    <w:uiPriority w:val="0"/>
    <w:pPr>
      <w:tabs>
        <w:tab w:val="left" w:pos="360"/>
      </w:tabs>
    </w:pPr>
    <w:rPr>
      <w:sz w:val="24"/>
      <w:szCs w:val="20"/>
    </w:rPr>
  </w:style>
  <w:style w:type="paragraph" w:customStyle="1" w:styleId="22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22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2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227">
    <w:name w:val="Char Char Char Char Char Char Char Char Char Char Char Char1 Char"/>
    <w:basedOn w:val="1"/>
    <w:qFormat/>
    <w:uiPriority w:val="0"/>
    <w:rPr>
      <w:rFonts w:ascii="Tahoma" w:hAnsi="Tahoma" w:cs="仿宋_GB2312"/>
      <w:sz w:val="24"/>
      <w:szCs w:val="20"/>
    </w:rPr>
  </w:style>
  <w:style w:type="paragraph" w:customStyle="1" w:styleId="228">
    <w:name w:val="Char Char Char Char Char Char Char Char1"/>
    <w:basedOn w:val="1"/>
    <w:qFormat/>
    <w:uiPriority w:val="0"/>
    <w:pPr>
      <w:tabs>
        <w:tab w:val="left" w:pos="360"/>
      </w:tabs>
    </w:pPr>
    <w:rPr>
      <w:sz w:val="24"/>
      <w:szCs w:val="20"/>
    </w:rPr>
  </w:style>
  <w:style w:type="paragraph" w:customStyle="1" w:styleId="22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23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23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33">
    <w:name w:val="Char Char1 Char Char Char Char Char Char2"/>
    <w:basedOn w:val="1"/>
    <w:qFormat/>
    <w:uiPriority w:val="0"/>
    <w:rPr>
      <w:rFonts w:ascii="仿宋_GB2312" w:eastAsia="仿宋_GB2312"/>
      <w:b/>
      <w:sz w:val="32"/>
      <w:szCs w:val="20"/>
    </w:rPr>
  </w:style>
  <w:style w:type="paragraph" w:customStyle="1" w:styleId="234">
    <w:name w:val="标题4-dyf"/>
    <w:basedOn w:val="6"/>
    <w:link w:val="81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23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23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3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3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239">
    <w:name w:val="冯"/>
    <w:basedOn w:val="1"/>
    <w:link w:val="840"/>
    <w:qFormat/>
    <w:uiPriority w:val="0"/>
    <w:pPr>
      <w:widowControl/>
      <w:adjustRightInd/>
      <w:spacing w:line="360" w:lineRule="auto"/>
      <w:ind w:firstLine="480" w:firstLineChars="200"/>
    </w:pPr>
    <w:rPr>
      <w:rFonts w:ascii="宋体" w:hAnsi="宋体"/>
      <w:color w:val="000000"/>
      <w:kern w:val="0"/>
      <w:sz w:val="24"/>
    </w:rPr>
  </w:style>
  <w:style w:type="paragraph" w:customStyle="1" w:styleId="24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241">
    <w:name w:val="Thf"/>
    <w:basedOn w:val="190"/>
    <w:qFormat/>
    <w:uiPriority w:val="0"/>
    <w:pPr>
      <w:ind w:left="0"/>
    </w:pPr>
  </w:style>
  <w:style w:type="paragraph" w:customStyle="1" w:styleId="242">
    <w:name w:val="FA正文"/>
    <w:basedOn w:val="1"/>
    <w:qFormat/>
    <w:uiPriority w:val="0"/>
    <w:pPr>
      <w:spacing w:line="360" w:lineRule="auto"/>
      <w:ind w:firstLine="480" w:firstLineChars="200"/>
    </w:pPr>
    <w:rPr>
      <w:rFonts w:hAnsi="宋体"/>
      <w:sz w:val="24"/>
      <w:szCs w:val="20"/>
    </w:rPr>
  </w:style>
  <w:style w:type="paragraph" w:customStyle="1" w:styleId="24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44">
    <w:name w:val="_Style 11"/>
    <w:basedOn w:val="1"/>
    <w:qFormat/>
    <w:uiPriority w:val="34"/>
    <w:pPr>
      <w:adjustRightInd/>
      <w:ind w:firstLine="420" w:firstLineChars="200"/>
    </w:pPr>
    <w:rPr>
      <w:rFonts w:eastAsia="仿宋_GB2312"/>
      <w:sz w:val="28"/>
    </w:rPr>
  </w:style>
  <w:style w:type="paragraph" w:customStyle="1" w:styleId="245">
    <w:name w:val="My正文"/>
    <w:basedOn w:val="1"/>
    <w:qFormat/>
    <w:uiPriority w:val="0"/>
    <w:pPr>
      <w:spacing w:before="120" w:line="360" w:lineRule="auto"/>
      <w:ind w:firstLine="567"/>
    </w:pPr>
    <w:rPr>
      <w:rFonts w:ascii="Arial" w:hAnsi="Arial"/>
      <w:sz w:val="20"/>
      <w:szCs w:val="20"/>
    </w:rPr>
  </w:style>
  <w:style w:type="paragraph" w:customStyle="1" w:styleId="24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247">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paragraph" w:customStyle="1" w:styleId="248">
    <w:name w:val="Char Char11 Char Char Char Char Char Char Char Char Char"/>
    <w:basedOn w:val="1"/>
    <w:qFormat/>
    <w:uiPriority w:val="0"/>
    <w:pPr>
      <w:spacing w:line="360" w:lineRule="auto"/>
    </w:pPr>
    <w:rPr>
      <w:szCs w:val="20"/>
    </w:rPr>
  </w:style>
  <w:style w:type="paragraph" w:customStyle="1" w:styleId="24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251">
    <w:name w:val="MM Topic 4"/>
    <w:basedOn w:val="6"/>
    <w:qFormat/>
    <w:uiPriority w:val="0"/>
    <w:pPr>
      <w:tabs>
        <w:tab w:val="left" w:pos="2100"/>
        <w:tab w:val="clear" w:pos="864"/>
      </w:tabs>
      <w:adjustRightInd/>
      <w:ind w:left="2100" w:hanging="420"/>
    </w:pPr>
    <w:rPr>
      <w:lang w:val="en-US"/>
    </w:rPr>
  </w:style>
  <w:style w:type="paragraph" w:customStyle="1" w:styleId="2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5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54">
    <w:name w:val="Default"/>
    <w:link w:val="84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5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256">
    <w:name w:val="正文标准"/>
    <w:basedOn w:val="1"/>
    <w:qFormat/>
    <w:uiPriority w:val="0"/>
    <w:pPr>
      <w:adjustRightInd/>
      <w:spacing w:line="360" w:lineRule="auto"/>
      <w:ind w:firstLine="200" w:firstLineChars="200"/>
    </w:pPr>
    <w:rPr>
      <w:rFonts w:ascii="宋体" w:hAnsi="Calibri"/>
      <w:sz w:val="24"/>
    </w:rPr>
  </w:style>
  <w:style w:type="paragraph" w:customStyle="1" w:styleId="25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2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260">
    <w:name w:val="6级标题"/>
    <w:basedOn w:val="261"/>
    <w:qFormat/>
    <w:uiPriority w:val="0"/>
    <w:pPr>
      <w:keepNext/>
      <w:tabs>
        <w:tab w:val="left" w:pos="360"/>
      </w:tabs>
      <w:spacing w:before="0" w:after="0"/>
      <w:outlineLvl w:val="5"/>
    </w:pPr>
  </w:style>
  <w:style w:type="paragraph" w:customStyle="1" w:styleId="261">
    <w:name w:val="5级标题"/>
    <w:basedOn w:val="262"/>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262">
    <w:name w:val="4级标题"/>
    <w:basedOn w:val="26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263">
    <w:name w:val="List Paragraph"/>
    <w:basedOn w:val="1"/>
    <w:qFormat/>
    <w:uiPriority w:val="34"/>
    <w:pPr>
      <w:spacing w:line="360" w:lineRule="auto"/>
      <w:ind w:firstLine="200" w:firstLineChars="200"/>
    </w:pPr>
    <w:rPr>
      <w:rFonts w:eastAsia="楷体_GB2312" w:cs="Lucida Sans"/>
      <w:sz w:val="24"/>
    </w:rPr>
  </w:style>
  <w:style w:type="paragraph" w:customStyle="1" w:styleId="26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265">
    <w:name w:val="样式 标题 4PIM 4H4h4bulletblbbH41H42H43H44H45H46H47H48...1"/>
    <w:basedOn w:val="6"/>
    <w:qFormat/>
    <w:uiPriority w:val="0"/>
    <w:pPr>
      <w:widowControl/>
      <w:jc w:val="left"/>
    </w:pPr>
    <w:rPr>
      <w:rFonts w:cs="宋体"/>
      <w:sz w:val="24"/>
      <w:szCs w:val="20"/>
    </w:rPr>
  </w:style>
  <w:style w:type="paragraph" w:customStyle="1" w:styleId="266">
    <w:name w:val="正文样式"/>
    <w:basedOn w:val="1"/>
    <w:link w:val="922"/>
    <w:qFormat/>
    <w:uiPriority w:val="0"/>
    <w:pPr>
      <w:adjustRightInd/>
      <w:spacing w:line="360" w:lineRule="auto"/>
      <w:ind w:firstLine="480" w:firstLineChars="200"/>
    </w:pPr>
    <w:rPr>
      <w:kern w:val="0"/>
      <w:sz w:val="24"/>
    </w:rPr>
  </w:style>
  <w:style w:type="paragraph" w:customStyle="1" w:styleId="267">
    <w:name w:val="Char6"/>
    <w:basedOn w:val="1"/>
    <w:qFormat/>
    <w:uiPriority w:val="0"/>
    <w:rPr>
      <w:rFonts w:ascii="仿宋_GB2312" w:eastAsia="仿宋_GB2312"/>
      <w:b/>
      <w:sz w:val="32"/>
      <w:szCs w:val="32"/>
    </w:rPr>
  </w:style>
  <w:style w:type="paragraph" w:customStyle="1" w:styleId="26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270">
    <w:name w:val="正文1.25"/>
    <w:basedOn w:val="1"/>
    <w:qFormat/>
    <w:uiPriority w:val="0"/>
    <w:pPr>
      <w:adjustRightInd/>
      <w:spacing w:line="300" w:lineRule="auto"/>
      <w:ind w:firstLine="480" w:firstLineChars="200"/>
    </w:pPr>
    <w:rPr>
      <w:sz w:val="24"/>
      <w:szCs w:val="20"/>
    </w:rPr>
  </w:style>
  <w:style w:type="paragraph" w:customStyle="1" w:styleId="27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272">
    <w:name w:val="3级标题"/>
    <w:basedOn w:val="273"/>
    <w:qFormat/>
    <w:uiPriority w:val="0"/>
    <w:pPr>
      <w:outlineLvl w:val="2"/>
    </w:pPr>
  </w:style>
  <w:style w:type="paragraph" w:customStyle="1" w:styleId="273">
    <w:name w:val="2级标题"/>
    <w:basedOn w:val="103"/>
    <w:qFormat/>
    <w:uiPriority w:val="0"/>
    <w:pPr>
      <w:jc w:val="left"/>
      <w:outlineLvl w:val="1"/>
    </w:pPr>
    <w:rPr>
      <w:rFonts w:ascii="Times New Roman" w:hAnsi="Times New Roman" w:eastAsia="仿宋"/>
      <w:sz w:val="30"/>
    </w:rPr>
  </w:style>
  <w:style w:type="paragraph" w:customStyle="1" w:styleId="274">
    <w:name w:val="Char Char Char"/>
    <w:basedOn w:val="1"/>
    <w:qFormat/>
    <w:uiPriority w:val="0"/>
    <w:rPr>
      <w:rFonts w:ascii="Tahoma" w:hAnsi="Tahoma"/>
      <w:sz w:val="24"/>
      <w:szCs w:val="20"/>
    </w:rPr>
  </w:style>
  <w:style w:type="paragraph" w:customStyle="1" w:styleId="27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27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277">
    <w:name w:val="彩色列表 - 强调文字颜色 12"/>
    <w:basedOn w:val="1"/>
    <w:qFormat/>
    <w:uiPriority w:val="0"/>
    <w:pPr>
      <w:adjustRightInd/>
      <w:ind w:firstLine="420" w:firstLineChars="200"/>
    </w:pPr>
    <w:rPr>
      <w:rFonts w:ascii="Calibri" w:hAnsi="Calibri"/>
      <w:szCs w:val="22"/>
    </w:rPr>
  </w:style>
  <w:style w:type="paragraph" w:customStyle="1" w:styleId="27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9">
    <w:name w:val="gf正文1"/>
    <w:basedOn w:val="1"/>
    <w:link w:val="927"/>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28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28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28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283">
    <w:name w:val="列表1"/>
    <w:basedOn w:val="1"/>
    <w:next w:val="263"/>
    <w:link w:val="92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8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28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8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8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88">
    <w:name w:val="默认段落字体 Para Char Char Char Char Char Char Char"/>
    <w:basedOn w:val="1"/>
    <w:qFormat/>
    <w:uiPriority w:val="0"/>
    <w:rPr>
      <w:rFonts w:eastAsia="仿宋_GB2312"/>
      <w:sz w:val="28"/>
      <w:szCs w:val="20"/>
    </w:rPr>
  </w:style>
  <w:style w:type="paragraph" w:customStyle="1" w:styleId="289">
    <w:name w:val="Char3 Char Char Char1"/>
    <w:basedOn w:val="1"/>
    <w:qFormat/>
    <w:uiPriority w:val="6"/>
    <w:pPr>
      <w:widowControl/>
      <w:adjustRightInd/>
      <w:spacing w:after="160" w:line="240" w:lineRule="exact"/>
      <w:jc w:val="left"/>
    </w:pPr>
    <w:rPr>
      <w:szCs w:val="20"/>
    </w:rPr>
  </w:style>
  <w:style w:type="paragraph" w:customStyle="1" w:styleId="2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29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2">
    <w:name w:val="Char Char Char 字元 字元"/>
    <w:basedOn w:val="1"/>
    <w:qFormat/>
    <w:uiPriority w:val="0"/>
    <w:pPr>
      <w:adjustRightInd/>
      <w:spacing w:line="360" w:lineRule="auto"/>
      <w:ind w:firstLine="200" w:firstLineChars="200"/>
    </w:pPr>
    <w:rPr>
      <w:szCs w:val="20"/>
    </w:rPr>
  </w:style>
  <w:style w:type="paragraph" w:customStyle="1" w:styleId="293">
    <w:name w:val="正文 首行缩进:  2 字符 Char"/>
    <w:basedOn w:val="1"/>
    <w:qFormat/>
    <w:uiPriority w:val="0"/>
    <w:pPr>
      <w:adjustRightInd/>
      <w:spacing w:line="360" w:lineRule="auto"/>
      <w:ind w:firstLine="480"/>
    </w:pPr>
    <w:rPr>
      <w:rFonts w:cs="宋体"/>
      <w:sz w:val="24"/>
      <w:szCs w:val="20"/>
    </w:rPr>
  </w:style>
  <w:style w:type="paragraph" w:customStyle="1" w:styleId="294">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295">
    <w:name w:val="封面公司名"/>
    <w:qFormat/>
    <w:uiPriority w:val="0"/>
    <w:pPr>
      <w:jc w:val="center"/>
    </w:pPr>
    <w:rPr>
      <w:rFonts w:ascii="Arial" w:hAnsi="Arial" w:eastAsia="楷体_GB2312" w:cs="宋体"/>
      <w:bCs/>
      <w:kern w:val="2"/>
      <w:sz w:val="28"/>
      <w:lang w:val="en-US" w:eastAsia="zh-CN" w:bidi="ar-SA"/>
    </w:rPr>
  </w:style>
  <w:style w:type="paragraph" w:customStyle="1" w:styleId="296">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2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298">
    <w:name w:val="修订1"/>
    <w:qFormat/>
    <w:uiPriority w:val="3"/>
    <w:rPr>
      <w:rFonts w:ascii="Times New Roman" w:hAnsi="Times New Roman" w:eastAsia="宋体" w:cs="Times New Roman"/>
      <w:color w:val="000000"/>
      <w:kern w:val="1"/>
      <w:sz w:val="21"/>
      <w:lang w:val="en-US" w:eastAsia="zh-CN" w:bidi="ar-SA"/>
    </w:rPr>
  </w:style>
  <w:style w:type="paragraph" w:customStyle="1" w:styleId="299">
    <w:name w:val="此正文"/>
    <w:basedOn w:val="1"/>
    <w:link w:val="694"/>
    <w:qFormat/>
    <w:uiPriority w:val="0"/>
    <w:pPr>
      <w:adjustRightInd/>
      <w:spacing w:line="360" w:lineRule="auto"/>
      <w:ind w:firstLine="200" w:firstLineChars="200"/>
    </w:pPr>
    <w:rPr>
      <w:sz w:val="24"/>
    </w:rPr>
  </w:style>
  <w:style w:type="paragraph" w:customStyle="1" w:styleId="30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301">
    <w:name w:val="Char2 Char Char Char2"/>
    <w:basedOn w:val="1"/>
    <w:qFormat/>
    <w:uiPriority w:val="0"/>
    <w:rPr>
      <w:rFonts w:ascii="仿宋_GB2312" w:eastAsia="仿宋_GB2312"/>
      <w:b/>
      <w:sz w:val="32"/>
      <w:szCs w:val="32"/>
    </w:rPr>
  </w:style>
  <w:style w:type="paragraph" w:customStyle="1" w:styleId="302">
    <w:name w:val="Char Char Char Char"/>
    <w:basedOn w:val="1"/>
    <w:qFormat/>
    <w:uiPriority w:val="0"/>
    <w:rPr>
      <w:rFonts w:ascii="Tahoma" w:hAnsi="Tahoma"/>
      <w:sz w:val="24"/>
      <w:szCs w:val="20"/>
    </w:rPr>
  </w:style>
  <w:style w:type="paragraph" w:customStyle="1" w:styleId="303">
    <w:name w:val="左对齐表格文字"/>
    <w:basedOn w:val="1"/>
    <w:qFormat/>
    <w:uiPriority w:val="0"/>
    <w:pPr>
      <w:adjustRightInd/>
      <w:ind w:firstLine="200" w:firstLineChars="200"/>
      <w:jc w:val="right"/>
    </w:pPr>
  </w:style>
  <w:style w:type="paragraph" w:customStyle="1" w:styleId="304">
    <w:name w:val="样式 标题 3H3 + 两端对齐"/>
    <w:basedOn w:val="4"/>
    <w:qFormat/>
    <w:uiPriority w:val="0"/>
    <w:pPr>
      <w:spacing w:before="0" w:after="0" w:line="240" w:lineRule="auto"/>
      <w:jc w:val="left"/>
    </w:pPr>
    <w:rPr>
      <w:rFonts w:cs="宋体"/>
      <w:sz w:val="21"/>
      <w:szCs w:val="20"/>
    </w:rPr>
  </w:style>
  <w:style w:type="paragraph" w:customStyle="1" w:styleId="30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0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07">
    <w:name w:val="修订2"/>
    <w:qFormat/>
    <w:uiPriority w:val="0"/>
    <w:rPr>
      <w:rFonts w:ascii="Times New Roman" w:hAnsi="Times New Roman" w:eastAsia="宋体" w:cs="Times New Roman"/>
      <w:kern w:val="2"/>
      <w:sz w:val="21"/>
      <w:lang w:val="en-US" w:eastAsia="zh-CN" w:bidi="ar-SA"/>
    </w:rPr>
  </w:style>
  <w:style w:type="paragraph" w:customStyle="1" w:styleId="308">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09">
    <w:name w:val="标题五"/>
    <w:basedOn w:val="1"/>
    <w:qFormat/>
    <w:uiPriority w:val="0"/>
    <w:pPr>
      <w:adjustRightInd/>
      <w:spacing w:before="156" w:beforeLines="50" w:line="360" w:lineRule="auto"/>
    </w:pPr>
    <w:rPr>
      <w:b/>
      <w:sz w:val="24"/>
    </w:rPr>
  </w:style>
  <w:style w:type="paragraph" w:customStyle="1" w:styleId="310">
    <w:name w:val="样式 样式 标题 4h4H4Fab-4T5Ref Heading 1rh1Heading sqlsect 1.2.3.... +..."/>
    <w:basedOn w:val="311"/>
    <w:link w:val="679"/>
    <w:qFormat/>
    <w:uiPriority w:val="0"/>
    <w:pPr>
      <w:tabs>
        <w:tab w:val="left" w:pos="2356"/>
      </w:tabs>
    </w:pPr>
  </w:style>
  <w:style w:type="paragraph" w:customStyle="1" w:styleId="311">
    <w:name w:val="样式 标题 4h4H4Fab-4T5Ref Heading 1rh1Heading sqlsect 1.2.3...."/>
    <w:basedOn w:val="6"/>
    <w:link w:val="7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31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1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3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315">
    <w:name w:val="Char1 Char Char Char2"/>
    <w:basedOn w:val="1"/>
    <w:qFormat/>
    <w:uiPriority w:val="0"/>
    <w:pPr>
      <w:adjustRightInd/>
      <w:ind w:firstLine="200" w:firstLineChars="200"/>
    </w:pPr>
    <w:rPr>
      <w:rFonts w:ascii="Tahoma" w:hAnsi="Tahoma"/>
      <w:sz w:val="24"/>
      <w:szCs w:val="20"/>
    </w:rPr>
  </w:style>
  <w:style w:type="paragraph" w:customStyle="1" w:styleId="316">
    <w:name w:val="Char Char Char Char Char Char Char Char Char Char Char1 Char"/>
    <w:basedOn w:val="1"/>
    <w:qFormat/>
    <w:uiPriority w:val="0"/>
    <w:pPr>
      <w:adjustRightInd/>
    </w:pPr>
    <w:rPr>
      <w:rFonts w:ascii="Tahoma" w:hAnsi="Tahoma"/>
      <w:sz w:val="24"/>
    </w:rPr>
  </w:style>
  <w:style w:type="paragraph" w:customStyle="1" w:styleId="317">
    <w:name w:val="Char Char1 Char Char Char2"/>
    <w:basedOn w:val="1"/>
    <w:qFormat/>
    <w:uiPriority w:val="0"/>
    <w:rPr>
      <w:rFonts w:ascii="仿宋_GB2312" w:eastAsia="仿宋_GB2312"/>
      <w:b/>
      <w:sz w:val="32"/>
      <w:szCs w:val="32"/>
    </w:rPr>
  </w:style>
  <w:style w:type="paragraph" w:customStyle="1" w:styleId="31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319">
    <w:name w:val="Item List"/>
    <w:link w:val="85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320">
    <w:name w:val="MM Topic 1"/>
    <w:basedOn w:val="2"/>
    <w:qFormat/>
    <w:uiPriority w:val="0"/>
    <w:pPr>
      <w:tabs>
        <w:tab w:val="left" w:pos="840"/>
        <w:tab w:val="clear" w:pos="432"/>
      </w:tabs>
      <w:adjustRightInd/>
      <w:ind w:left="840" w:hanging="420"/>
    </w:pPr>
  </w:style>
  <w:style w:type="paragraph" w:customStyle="1" w:styleId="321">
    <w:name w:val="四级条标题"/>
    <w:basedOn w:val="322"/>
    <w:next w:val="134"/>
    <w:qFormat/>
    <w:uiPriority w:val="0"/>
    <w:pPr>
      <w:tabs>
        <w:tab w:val="left" w:pos="2940"/>
      </w:tabs>
      <w:ind w:left="2940"/>
      <w:outlineLvl w:val="5"/>
    </w:pPr>
  </w:style>
  <w:style w:type="paragraph" w:customStyle="1" w:styleId="322">
    <w:name w:val="三级条标题"/>
    <w:basedOn w:val="323"/>
    <w:next w:val="134"/>
    <w:qFormat/>
    <w:uiPriority w:val="0"/>
    <w:pPr>
      <w:tabs>
        <w:tab w:val="left" w:pos="2520"/>
      </w:tabs>
      <w:ind w:left="2520"/>
      <w:outlineLvl w:val="4"/>
    </w:pPr>
  </w:style>
  <w:style w:type="paragraph" w:customStyle="1" w:styleId="323">
    <w:name w:val="二级条标题"/>
    <w:basedOn w:val="213"/>
    <w:next w:val="134"/>
    <w:qFormat/>
    <w:uiPriority w:val="0"/>
    <w:pPr>
      <w:tabs>
        <w:tab w:val="left" w:pos="2100"/>
        <w:tab w:val="clear" w:pos="1680"/>
      </w:tabs>
      <w:ind w:left="0"/>
      <w:outlineLvl w:val="3"/>
    </w:pPr>
  </w:style>
  <w:style w:type="paragraph" w:customStyle="1" w:styleId="324">
    <w:name w:val="Char1"/>
    <w:basedOn w:val="1"/>
    <w:qFormat/>
    <w:uiPriority w:val="0"/>
    <w:rPr>
      <w:rFonts w:ascii="仿宋_GB2312" w:eastAsia="仿宋_GB2312"/>
      <w:b/>
      <w:sz w:val="32"/>
      <w:szCs w:val="32"/>
    </w:rPr>
  </w:style>
  <w:style w:type="paragraph" w:customStyle="1" w:styleId="3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26">
    <w:name w:val="正文 内标 序号标"/>
    <w:basedOn w:val="245"/>
    <w:qFormat/>
    <w:uiPriority w:val="0"/>
    <w:pPr>
      <w:tabs>
        <w:tab w:val="left" w:pos="0"/>
      </w:tabs>
      <w:adjustRightInd/>
      <w:spacing w:before="0"/>
      <w:ind w:firstLine="482"/>
    </w:pPr>
    <w:rPr>
      <w:rFonts w:ascii="微软雅黑" w:hAnsi="微软雅黑"/>
      <w:sz w:val="24"/>
      <w:szCs w:val="24"/>
    </w:rPr>
  </w:style>
  <w:style w:type="paragraph" w:customStyle="1" w:styleId="327">
    <w:name w:val="样式 样式2 + 左侧:  1 字符 右侧:  1 字符"/>
    <w:basedOn w:val="18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2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32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30">
    <w:name w:val="纯文本1"/>
    <w:basedOn w:val="1"/>
    <w:link w:val="937"/>
    <w:qFormat/>
    <w:uiPriority w:val="0"/>
    <w:pPr>
      <w:adjustRightInd/>
    </w:pPr>
    <w:rPr>
      <w:rFonts w:ascii="宋体" w:hAnsi="Courier New"/>
      <w:kern w:val="0"/>
      <w:sz w:val="20"/>
      <w:szCs w:val="20"/>
    </w:rPr>
  </w:style>
  <w:style w:type="paragraph" w:customStyle="1" w:styleId="33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332">
    <w:name w:val="Char2 Char Char Char"/>
    <w:basedOn w:val="1"/>
    <w:qFormat/>
    <w:uiPriority w:val="0"/>
    <w:rPr>
      <w:rFonts w:ascii="仿宋_GB2312" w:eastAsia="仿宋_GB2312"/>
      <w:b/>
      <w:sz w:val="32"/>
      <w:szCs w:val="32"/>
    </w:rPr>
  </w:style>
  <w:style w:type="paragraph" w:customStyle="1" w:styleId="333">
    <w:name w:val="标题4_自定义"/>
    <w:basedOn w:val="6"/>
    <w:qFormat/>
    <w:uiPriority w:val="0"/>
    <w:pPr>
      <w:adjustRightInd/>
      <w:spacing w:before="0" w:after="0" w:line="360" w:lineRule="auto"/>
    </w:pPr>
    <w:rPr>
      <w:rFonts w:ascii="Verdana" w:eastAsia="Verdana"/>
      <w:sz w:val="21"/>
      <w:lang w:val="en-US"/>
    </w:rPr>
  </w:style>
  <w:style w:type="paragraph" w:customStyle="1" w:styleId="33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335">
    <w:name w:val="正文说明"/>
    <w:basedOn w:val="1"/>
    <w:link w:val="943"/>
    <w:qFormat/>
    <w:uiPriority w:val="0"/>
    <w:pPr>
      <w:adjustRightInd/>
      <w:spacing w:line="360" w:lineRule="auto"/>
    </w:pPr>
    <w:rPr>
      <w:kern w:val="0"/>
      <w:sz w:val="24"/>
    </w:rPr>
  </w:style>
  <w:style w:type="paragraph" w:customStyle="1" w:styleId="336">
    <w:name w:val="默认段落字体 Para Char Char Char Char"/>
    <w:basedOn w:val="1"/>
    <w:qFormat/>
    <w:uiPriority w:val="0"/>
    <w:pPr>
      <w:spacing w:line="360" w:lineRule="auto"/>
    </w:pPr>
    <w:rPr>
      <w:szCs w:val="20"/>
    </w:rPr>
  </w:style>
  <w:style w:type="paragraph" w:customStyle="1" w:styleId="33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33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339">
    <w:name w:val="Table Text"/>
    <w:basedOn w:val="1"/>
    <w:link w:val="757"/>
    <w:qFormat/>
    <w:uiPriority w:val="0"/>
    <w:pPr>
      <w:widowControl/>
      <w:spacing w:before="60" w:after="60"/>
      <w:jc w:val="left"/>
    </w:pPr>
    <w:rPr>
      <w:kern w:val="0"/>
      <w:sz w:val="24"/>
    </w:rPr>
  </w:style>
  <w:style w:type="paragraph" w:customStyle="1" w:styleId="34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4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34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343">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3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4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346">
    <w:name w:val="正文 内标"/>
    <w:basedOn w:val="347"/>
    <w:qFormat/>
    <w:uiPriority w:val="0"/>
    <w:pPr>
      <w:tabs>
        <w:tab w:val="left" w:pos="0"/>
      </w:tabs>
      <w:ind w:left="900" w:firstLine="0" w:firstLineChars="0"/>
    </w:pPr>
  </w:style>
  <w:style w:type="paragraph" w:customStyle="1" w:styleId="3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348">
    <w:name w:val="表格标题2"/>
    <w:basedOn w:val="349"/>
    <w:qFormat/>
    <w:uiPriority w:val="0"/>
    <w:rPr>
      <w:b/>
    </w:rPr>
  </w:style>
  <w:style w:type="paragraph" w:customStyle="1" w:styleId="349">
    <w:name w:val="表格内文"/>
    <w:basedOn w:val="1"/>
    <w:qFormat/>
    <w:uiPriority w:val="0"/>
    <w:pPr>
      <w:adjustRightInd/>
      <w:spacing w:line="360" w:lineRule="auto"/>
    </w:pPr>
    <w:rPr>
      <w:rFonts w:ascii="宋体" w:hAnsi="宋体" w:cs="宋体"/>
      <w:color w:val="000000"/>
      <w:szCs w:val="20"/>
    </w:rPr>
  </w:style>
  <w:style w:type="paragraph" w:customStyle="1" w:styleId="350">
    <w:name w:val="_正文段落"/>
    <w:basedOn w:val="1"/>
    <w:qFormat/>
    <w:uiPriority w:val="0"/>
    <w:pPr>
      <w:adjustRightInd/>
      <w:ind w:firstLine="560"/>
    </w:pPr>
    <w:rPr>
      <w:rFonts w:ascii="仿宋_GB2312" w:hAnsi="仿宋" w:eastAsia="仿宋_GB2312"/>
      <w:kern w:val="0"/>
      <w:sz w:val="28"/>
      <w:szCs w:val="28"/>
    </w:rPr>
  </w:style>
  <w:style w:type="paragraph" w:customStyle="1" w:styleId="35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352">
    <w:name w:val="标准文本"/>
    <w:basedOn w:val="1"/>
    <w:link w:val="965"/>
    <w:qFormat/>
    <w:uiPriority w:val="0"/>
    <w:pPr>
      <w:adjustRightInd/>
      <w:spacing w:line="360" w:lineRule="auto"/>
      <w:ind w:firstLine="480" w:firstLineChars="200"/>
    </w:pPr>
    <w:rPr>
      <w:rFonts w:cs="宋体"/>
      <w:sz w:val="24"/>
      <w:szCs w:val="20"/>
    </w:rPr>
  </w:style>
  <w:style w:type="paragraph" w:customStyle="1" w:styleId="353">
    <w:name w:val="Char2 Char Char1"/>
    <w:basedOn w:val="1"/>
    <w:qFormat/>
    <w:uiPriority w:val="6"/>
    <w:pPr>
      <w:adjustRightInd/>
    </w:pPr>
    <w:rPr>
      <w:rFonts w:ascii="Tahoma" w:hAnsi="Tahoma"/>
      <w:sz w:val="24"/>
      <w:szCs w:val="20"/>
    </w:rPr>
  </w:style>
  <w:style w:type="paragraph" w:customStyle="1" w:styleId="354">
    <w:name w:val="Char Char1"/>
    <w:basedOn w:val="1"/>
    <w:qFormat/>
    <w:uiPriority w:val="0"/>
    <w:pPr>
      <w:widowControl/>
      <w:spacing w:after="160" w:line="240" w:lineRule="exact"/>
      <w:jc w:val="left"/>
    </w:pPr>
    <w:rPr>
      <w:rFonts w:eastAsia="仿宋_GB2312"/>
      <w:sz w:val="28"/>
    </w:rPr>
  </w:style>
  <w:style w:type="paragraph" w:customStyle="1" w:styleId="355">
    <w:name w:val="公文正文"/>
    <w:basedOn w:val="1"/>
    <w:link w:val="795"/>
    <w:qFormat/>
    <w:uiPriority w:val="0"/>
    <w:pPr>
      <w:adjustRightInd/>
      <w:spacing w:before="156" w:line="360" w:lineRule="auto"/>
      <w:ind w:firstLine="360" w:firstLineChars="200"/>
    </w:pPr>
    <w:rPr>
      <w:rFonts w:ascii="仿宋_GB2312" w:eastAsia="仿宋_GB2312"/>
      <w:sz w:val="24"/>
    </w:rPr>
  </w:style>
  <w:style w:type="paragraph" w:customStyle="1" w:styleId="356">
    <w:name w:val="Char23"/>
    <w:basedOn w:val="1"/>
    <w:qFormat/>
    <w:uiPriority w:val="0"/>
    <w:rPr>
      <w:rFonts w:ascii="仿宋_GB2312" w:eastAsia="仿宋_GB2312"/>
      <w:b/>
      <w:sz w:val="32"/>
      <w:szCs w:val="32"/>
    </w:rPr>
  </w:style>
  <w:style w:type="paragraph" w:customStyle="1" w:styleId="357">
    <w:name w:val="数字标题1"/>
    <w:basedOn w:val="2"/>
    <w:next w:val="1"/>
    <w:qFormat/>
    <w:uiPriority w:val="0"/>
    <w:pPr>
      <w:tabs>
        <w:tab w:val="left" w:pos="480"/>
        <w:tab w:val="clear" w:pos="432"/>
      </w:tabs>
      <w:ind w:left="480" w:hanging="480"/>
    </w:pPr>
  </w:style>
  <w:style w:type="paragraph" w:customStyle="1" w:styleId="358">
    <w:name w:val="封面"/>
    <w:basedOn w:val="1"/>
    <w:qFormat/>
    <w:uiPriority w:val="0"/>
    <w:pPr>
      <w:spacing w:line="360" w:lineRule="atLeast"/>
      <w:jc w:val="right"/>
      <w:textAlignment w:val="baseline"/>
    </w:pPr>
    <w:rPr>
      <w:rFonts w:ascii="Symbol" w:hAnsi="Symbol"/>
      <w:kern w:val="0"/>
      <w:szCs w:val="20"/>
    </w:rPr>
  </w:style>
  <w:style w:type="paragraph" w:customStyle="1" w:styleId="35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6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1">
    <w:name w:val="Table Paragraph"/>
    <w:basedOn w:val="1"/>
    <w:qFormat/>
    <w:uiPriority w:val="0"/>
    <w:pPr>
      <w:adjustRightInd/>
      <w:jc w:val="left"/>
    </w:pPr>
    <w:rPr>
      <w:rFonts w:ascii="Calibri" w:hAnsi="Calibri"/>
      <w:kern w:val="0"/>
      <w:sz w:val="22"/>
      <w:szCs w:val="22"/>
      <w:lang w:eastAsia="en-US"/>
    </w:rPr>
  </w:style>
  <w:style w:type="paragraph" w:customStyle="1" w:styleId="36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363">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64">
    <w:name w:val="Char Char Char Char Char Char Char Char Char Char Char Char1 Char2"/>
    <w:basedOn w:val="1"/>
    <w:qFormat/>
    <w:uiPriority w:val="0"/>
    <w:rPr>
      <w:rFonts w:ascii="Tahoma" w:hAnsi="Tahoma" w:cs="仿宋_GB2312"/>
      <w:sz w:val="24"/>
      <w:szCs w:val="20"/>
    </w:rPr>
  </w:style>
  <w:style w:type="paragraph" w:customStyle="1" w:styleId="365">
    <w:name w:val="正文（缩进2汉字）"/>
    <w:basedOn w:val="1"/>
    <w:link w:val="6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6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67">
    <w:name w:val="列表内容"/>
    <w:basedOn w:val="1"/>
    <w:next w:val="1"/>
    <w:qFormat/>
    <w:uiPriority w:val="0"/>
    <w:pPr>
      <w:widowControl/>
      <w:tabs>
        <w:tab w:val="left" w:pos="840"/>
      </w:tabs>
      <w:ind w:left="840" w:hanging="420"/>
      <w:jc w:val="left"/>
    </w:pPr>
    <w:rPr>
      <w:kern w:val="0"/>
      <w:sz w:val="18"/>
    </w:rPr>
  </w:style>
  <w:style w:type="paragraph" w:customStyle="1" w:styleId="368">
    <w:name w:val="MM Title"/>
    <w:basedOn w:val="62"/>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36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7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372">
    <w:name w:val="段落"/>
    <w:basedOn w:val="1"/>
    <w:link w:val="747"/>
    <w:qFormat/>
    <w:uiPriority w:val="0"/>
    <w:pPr>
      <w:adjustRightInd/>
      <w:spacing w:line="360" w:lineRule="auto"/>
      <w:ind w:firstLine="480" w:firstLineChars="200"/>
    </w:pPr>
    <w:rPr>
      <w:rFonts w:ascii="宋体" w:hAnsi="宋体"/>
      <w:kern w:val="0"/>
      <w:sz w:val="24"/>
      <w:szCs w:val="20"/>
    </w:rPr>
  </w:style>
  <w:style w:type="paragraph" w:customStyle="1" w:styleId="37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74">
    <w:name w:val="Char Char Char Char Char Char Char Char Char Char Char Char1 Char1"/>
    <w:basedOn w:val="1"/>
    <w:qFormat/>
    <w:uiPriority w:val="6"/>
    <w:rPr>
      <w:rFonts w:ascii="Tahoma" w:hAnsi="Tahoma" w:cs="仿宋_GB2312"/>
      <w:sz w:val="24"/>
      <w:szCs w:val="20"/>
    </w:rPr>
  </w:style>
  <w:style w:type="paragraph" w:customStyle="1" w:styleId="375">
    <w:name w:val="Char Char11 Char Char Char"/>
    <w:basedOn w:val="1"/>
    <w:qFormat/>
    <w:uiPriority w:val="0"/>
    <w:pPr>
      <w:spacing w:line="360" w:lineRule="auto"/>
    </w:pPr>
    <w:rPr>
      <w:szCs w:val="20"/>
    </w:rPr>
  </w:style>
  <w:style w:type="paragraph" w:customStyle="1" w:styleId="37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377">
    <w:name w:val="首行缩进"/>
    <w:basedOn w:val="1"/>
    <w:qFormat/>
    <w:uiPriority w:val="0"/>
    <w:pPr>
      <w:spacing w:line="360" w:lineRule="auto"/>
      <w:ind w:firstLine="480" w:firstLineChars="200"/>
    </w:pPr>
    <w:rPr>
      <w:rFonts w:ascii="宋体"/>
      <w:sz w:val="24"/>
      <w:szCs w:val="20"/>
    </w:rPr>
  </w:style>
  <w:style w:type="paragraph" w:customStyle="1" w:styleId="378">
    <w:name w:val="_标题2"/>
    <w:basedOn w:val="370"/>
    <w:next w:val="37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379">
    <w:name w:val="有符号正文"/>
    <w:basedOn w:val="1"/>
    <w:qFormat/>
    <w:uiPriority w:val="0"/>
    <w:pPr>
      <w:adjustRightInd/>
      <w:spacing w:line="400" w:lineRule="exact"/>
      <w:ind w:firstLine="200" w:firstLineChars="200"/>
    </w:pPr>
    <w:rPr>
      <w:rFonts w:ascii="Arial" w:hAnsi="Arial"/>
    </w:rPr>
  </w:style>
  <w:style w:type="paragraph" w:customStyle="1" w:styleId="38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81">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382">
    <w:name w:val="Char Char110"/>
    <w:basedOn w:val="1"/>
    <w:qFormat/>
    <w:uiPriority w:val="6"/>
    <w:pPr>
      <w:spacing w:line="360" w:lineRule="auto"/>
    </w:pPr>
    <w:rPr>
      <w:rFonts w:ascii="Tahoma" w:hAnsi="Tahoma"/>
      <w:sz w:val="24"/>
      <w:szCs w:val="20"/>
    </w:rPr>
  </w:style>
  <w:style w:type="paragraph" w:customStyle="1" w:styleId="383">
    <w:name w:val="正文段"/>
    <w:basedOn w:val="1"/>
    <w:link w:val="923"/>
    <w:qFormat/>
    <w:uiPriority w:val="0"/>
    <w:pPr>
      <w:widowControl/>
      <w:snapToGrid w:val="0"/>
      <w:spacing w:after="156" w:afterLines="50"/>
      <w:ind w:firstLine="200" w:firstLineChars="200"/>
    </w:pPr>
    <w:rPr>
      <w:kern w:val="0"/>
      <w:sz w:val="24"/>
      <w:szCs w:val="20"/>
    </w:rPr>
  </w:style>
  <w:style w:type="paragraph" w:customStyle="1" w:styleId="384">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385">
    <w:name w:val="正文主体"/>
    <w:basedOn w:val="284"/>
    <w:qFormat/>
    <w:uiPriority w:val="0"/>
  </w:style>
  <w:style w:type="paragraph" w:customStyle="1" w:styleId="38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387">
    <w:name w:val="冯广丽"/>
    <w:basedOn w:val="1"/>
    <w:link w:val="702"/>
    <w:qFormat/>
    <w:uiPriority w:val="0"/>
    <w:pPr>
      <w:adjustRightInd/>
      <w:spacing w:line="360" w:lineRule="auto"/>
      <w:ind w:firstLine="480" w:firstLineChars="200"/>
    </w:pPr>
    <w:rPr>
      <w:rFonts w:ascii="宋体" w:hAnsi="宋体"/>
      <w:sz w:val="24"/>
      <w:szCs w:val="22"/>
    </w:rPr>
  </w:style>
  <w:style w:type="paragraph" w:customStyle="1" w:styleId="388">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8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0">
    <w:name w:val="仿宋正文"/>
    <w:basedOn w:val="1"/>
    <w:link w:val="959"/>
    <w:qFormat/>
    <w:uiPriority w:val="0"/>
    <w:pPr>
      <w:adjustRightInd/>
      <w:spacing w:line="360" w:lineRule="auto"/>
      <w:ind w:firstLine="480" w:firstLineChars="200"/>
    </w:pPr>
    <w:rPr>
      <w:rFonts w:ascii="仿宋_GB2312" w:eastAsia="仿宋_GB2312"/>
      <w:sz w:val="24"/>
      <w:szCs w:val="20"/>
    </w:rPr>
  </w:style>
  <w:style w:type="paragraph" w:customStyle="1" w:styleId="391">
    <w:name w:val="trademark"/>
    <w:qFormat/>
    <w:uiPriority w:val="0"/>
    <w:pPr>
      <w:spacing w:after="60"/>
    </w:pPr>
    <w:rPr>
      <w:rFonts w:ascii="Futura Bk" w:hAnsi="Futura Bk" w:eastAsia="宋体" w:cs="Times New Roman"/>
      <w:sz w:val="15"/>
      <w:lang w:val="en-US" w:eastAsia="en-US" w:bidi="ar-SA"/>
    </w:rPr>
  </w:style>
  <w:style w:type="paragraph" w:customStyle="1" w:styleId="39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393">
    <w:name w:val="p1"/>
    <w:basedOn w:val="1"/>
    <w:qFormat/>
    <w:uiPriority w:val="0"/>
    <w:pPr>
      <w:widowControl/>
      <w:adjustRightInd/>
      <w:jc w:val="left"/>
    </w:pPr>
    <w:rPr>
      <w:rFonts w:ascii=".PingFang SC" w:eastAsia=".PingFang SC"/>
      <w:color w:val="454545"/>
      <w:kern w:val="0"/>
      <w:sz w:val="18"/>
      <w:szCs w:val="18"/>
    </w:rPr>
  </w:style>
  <w:style w:type="paragraph" w:customStyle="1" w:styleId="394">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395">
    <w:name w:val="文档正文"/>
    <w:basedOn w:val="1"/>
    <w:qFormat/>
    <w:uiPriority w:val="0"/>
    <w:pPr>
      <w:spacing w:line="480" w:lineRule="atLeast"/>
      <w:ind w:firstLine="567"/>
      <w:textAlignment w:val="baseline"/>
    </w:pPr>
    <w:rPr>
      <w:kern w:val="0"/>
      <w:sz w:val="24"/>
      <w:szCs w:val="20"/>
    </w:rPr>
  </w:style>
  <w:style w:type="paragraph" w:customStyle="1" w:styleId="396">
    <w:name w:val="P1"/>
    <w:basedOn w:val="1"/>
    <w:qFormat/>
    <w:uiPriority w:val="0"/>
    <w:pPr>
      <w:adjustRightInd/>
      <w:spacing w:line="288" w:lineRule="auto"/>
      <w:ind w:firstLine="425" w:firstLineChars="200"/>
    </w:pPr>
  </w:style>
  <w:style w:type="paragraph" w:customStyle="1" w:styleId="397">
    <w:name w:val="表文字"/>
    <w:qFormat/>
    <w:uiPriority w:val="0"/>
    <w:rPr>
      <w:rFonts w:ascii="宋体" w:hAnsi="Times New Roman" w:eastAsia="宋体" w:cs="Times New Roman"/>
      <w:kern w:val="2"/>
      <w:lang w:val="en-US" w:eastAsia="zh-CN" w:bidi="ar-SA"/>
    </w:rPr>
  </w:style>
  <w:style w:type="paragraph" w:customStyle="1" w:styleId="39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399">
    <w:name w:val="Char3 Char Char Char11"/>
    <w:basedOn w:val="1"/>
    <w:qFormat/>
    <w:uiPriority w:val="0"/>
    <w:pPr>
      <w:widowControl/>
      <w:adjustRightInd/>
      <w:spacing w:after="160" w:line="240" w:lineRule="exact"/>
      <w:jc w:val="left"/>
    </w:pPr>
    <w:rPr>
      <w:szCs w:val="20"/>
    </w:rPr>
  </w:style>
  <w:style w:type="paragraph" w:customStyle="1" w:styleId="40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0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02">
    <w:name w:val="正文表标题"/>
    <w:next w:val="13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0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40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40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4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0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410">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4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41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41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415">
    <w:name w:val="Char Char Char Char Char Char Char2"/>
    <w:basedOn w:val="1"/>
    <w:qFormat/>
    <w:uiPriority w:val="0"/>
    <w:rPr>
      <w:rFonts w:ascii="仿宋_GB2312" w:eastAsia="仿宋_GB2312"/>
      <w:b/>
      <w:sz w:val="32"/>
      <w:szCs w:val="32"/>
    </w:rPr>
  </w:style>
  <w:style w:type="paragraph" w:customStyle="1" w:styleId="41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417">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1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20">
    <w:name w:val="Char Char Char1 Char"/>
    <w:basedOn w:val="1"/>
    <w:qFormat/>
    <w:uiPriority w:val="0"/>
    <w:rPr>
      <w:szCs w:val="20"/>
    </w:rPr>
  </w:style>
  <w:style w:type="paragraph" w:customStyle="1" w:styleId="42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422">
    <w:name w:val="MM Topic 5"/>
    <w:basedOn w:val="7"/>
    <w:qFormat/>
    <w:uiPriority w:val="0"/>
    <w:pPr>
      <w:tabs>
        <w:tab w:val="left" w:pos="2520"/>
        <w:tab w:val="clear" w:pos="1008"/>
      </w:tabs>
      <w:adjustRightInd/>
      <w:ind w:left="2520" w:hanging="420"/>
    </w:pPr>
  </w:style>
  <w:style w:type="paragraph" w:customStyle="1" w:styleId="423">
    <w:name w:val="正文文字缩进2字"/>
    <w:basedOn w:val="16"/>
    <w:qFormat/>
    <w:uiPriority w:val="0"/>
    <w:pPr>
      <w:adjustRightInd/>
      <w:spacing w:before="60" w:after="60"/>
      <w:ind w:firstLine="200" w:firstLineChars="200"/>
    </w:pPr>
    <w:rPr>
      <w:rFonts w:ascii="Times New Roman"/>
      <w:szCs w:val="20"/>
      <w:lang w:val="en-US"/>
    </w:rPr>
  </w:style>
  <w:style w:type="paragraph" w:customStyle="1" w:styleId="424">
    <w:name w:val="标题3"/>
    <w:basedOn w:val="4"/>
    <w:next w:val="56"/>
    <w:qFormat/>
    <w:uiPriority w:val="0"/>
    <w:pPr>
      <w:tabs>
        <w:tab w:val="clear" w:pos="900"/>
      </w:tabs>
      <w:spacing w:after="0" w:line="360" w:lineRule="auto"/>
    </w:pPr>
    <w:rPr>
      <w:rFonts w:ascii="仿宋" w:hAnsi="仿宋" w:eastAsia="仿宋" w:cs="仿宋"/>
    </w:rPr>
  </w:style>
  <w:style w:type="paragraph" w:customStyle="1" w:styleId="425">
    <w:name w:val="正文箭头"/>
    <w:basedOn w:val="426"/>
    <w:qFormat/>
    <w:uiPriority w:val="0"/>
    <w:pPr>
      <w:tabs>
        <w:tab w:val="left" w:pos="0"/>
        <w:tab w:val="left" w:pos="703"/>
      </w:tabs>
    </w:pPr>
  </w:style>
  <w:style w:type="paragraph" w:customStyle="1" w:styleId="42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427">
    <w:name w:val="Char Char11 Char Char Char Char Char Char Char Char Char1"/>
    <w:basedOn w:val="1"/>
    <w:qFormat/>
    <w:uiPriority w:val="6"/>
    <w:pPr>
      <w:spacing w:line="360" w:lineRule="auto"/>
    </w:pPr>
    <w:rPr>
      <w:szCs w:val="20"/>
    </w:rPr>
  </w:style>
  <w:style w:type="paragraph" w:customStyle="1" w:styleId="428">
    <w:name w:val="Char Char111"/>
    <w:basedOn w:val="1"/>
    <w:qFormat/>
    <w:uiPriority w:val="0"/>
    <w:pPr>
      <w:spacing w:line="360" w:lineRule="auto"/>
    </w:pPr>
    <w:rPr>
      <w:szCs w:val="20"/>
    </w:rPr>
  </w:style>
  <w:style w:type="paragraph" w:customStyle="1" w:styleId="429">
    <w:name w:val="图中文字"/>
    <w:basedOn w:val="1"/>
    <w:qFormat/>
    <w:uiPriority w:val="0"/>
    <w:pPr>
      <w:snapToGrid w:val="0"/>
      <w:spacing w:line="0" w:lineRule="atLeast"/>
      <w:ind w:firstLine="200" w:firstLineChars="200"/>
      <w:jc w:val="center"/>
    </w:pPr>
    <w:rPr>
      <w:sz w:val="24"/>
      <w:szCs w:val="20"/>
    </w:rPr>
  </w:style>
  <w:style w:type="paragraph" w:customStyle="1" w:styleId="43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32">
    <w:name w:val="_Style 94"/>
    <w:basedOn w:val="1"/>
    <w:next w:val="263"/>
    <w:qFormat/>
    <w:uiPriority w:val="34"/>
    <w:pPr>
      <w:adjustRightInd/>
      <w:spacing w:line="360" w:lineRule="auto"/>
      <w:ind w:firstLine="200" w:firstLineChars="200"/>
    </w:pPr>
    <w:rPr>
      <w:rFonts w:ascii="Calibri" w:hAnsi="Calibri"/>
      <w:sz w:val="28"/>
      <w:szCs w:val="20"/>
    </w:rPr>
  </w:style>
  <w:style w:type="paragraph" w:customStyle="1" w:styleId="43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3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35">
    <w:name w:val="Char Char11 Char Char Char2"/>
    <w:basedOn w:val="1"/>
    <w:qFormat/>
    <w:uiPriority w:val="0"/>
    <w:pPr>
      <w:spacing w:line="360" w:lineRule="auto"/>
    </w:pPr>
    <w:rPr>
      <w:szCs w:val="20"/>
    </w:rPr>
  </w:style>
  <w:style w:type="paragraph" w:customStyle="1" w:styleId="436">
    <w:name w:val="正文文字 2"/>
    <w:basedOn w:val="254"/>
    <w:next w:val="254"/>
    <w:qFormat/>
    <w:uiPriority w:val="0"/>
    <w:rPr>
      <w:rFonts w:ascii="宋体" w:eastAsia="宋体" w:cs="Times New Roman"/>
      <w:color w:val="auto"/>
    </w:rPr>
  </w:style>
  <w:style w:type="paragraph" w:customStyle="1" w:styleId="437">
    <w:name w:val="标书表格字体格式"/>
    <w:next w:val="212"/>
    <w:qFormat/>
    <w:uiPriority w:val="0"/>
    <w:rPr>
      <w:rFonts w:ascii="Times New Roman" w:hAnsi="Times New Roman" w:eastAsia="宋体" w:cs="Times New Roman"/>
      <w:kern w:val="2"/>
      <w:sz w:val="21"/>
      <w:szCs w:val="24"/>
      <w:lang w:val="en-US" w:eastAsia="zh-CN" w:bidi="ar-SA"/>
    </w:rPr>
  </w:style>
  <w:style w:type="paragraph" w:customStyle="1" w:styleId="438">
    <w:name w:val="[Normal]"/>
    <w:qFormat/>
    <w:uiPriority w:val="0"/>
    <w:rPr>
      <w:rFonts w:ascii="宋体" w:hAnsi="宋体" w:eastAsia="宋体" w:cs="Times New Roman"/>
      <w:sz w:val="24"/>
      <w:szCs w:val="22"/>
      <w:lang w:val="zh-CN" w:eastAsia="zh-CN" w:bidi="ar-SA"/>
    </w:rPr>
  </w:style>
  <w:style w:type="paragraph" w:customStyle="1" w:styleId="439">
    <w:name w:val="Char Char1 Char Char Char1"/>
    <w:basedOn w:val="1"/>
    <w:qFormat/>
    <w:uiPriority w:val="6"/>
    <w:rPr>
      <w:rFonts w:ascii="仿宋_GB2312" w:eastAsia="仿宋_GB2312"/>
      <w:b/>
      <w:sz w:val="32"/>
      <w:szCs w:val="20"/>
    </w:rPr>
  </w:style>
  <w:style w:type="paragraph" w:customStyle="1" w:styleId="44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4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2">
    <w:name w:val="Char2 Char Char2"/>
    <w:basedOn w:val="1"/>
    <w:qFormat/>
    <w:uiPriority w:val="0"/>
    <w:pPr>
      <w:adjustRightInd/>
    </w:pPr>
    <w:rPr>
      <w:rFonts w:ascii="Tahoma" w:hAnsi="Tahoma"/>
      <w:sz w:val="24"/>
      <w:szCs w:val="20"/>
    </w:rPr>
  </w:style>
  <w:style w:type="paragraph" w:customStyle="1" w:styleId="44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4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4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46">
    <w:name w:val="Char Char1 Char Char Char Char Char Char"/>
    <w:basedOn w:val="1"/>
    <w:qFormat/>
    <w:uiPriority w:val="0"/>
    <w:rPr>
      <w:rFonts w:ascii="仿宋_GB2312" w:eastAsia="仿宋_GB2312"/>
      <w:b/>
      <w:sz w:val="32"/>
      <w:szCs w:val="20"/>
    </w:rPr>
  </w:style>
  <w:style w:type="paragraph" w:customStyle="1" w:styleId="447">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4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449">
    <w:name w:val="Bulleting First Indent 1"/>
    <w:basedOn w:val="15"/>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450">
    <w:name w:val="默认段落样式"/>
    <w:basedOn w:val="153"/>
    <w:qFormat/>
    <w:uiPriority w:val="0"/>
    <w:pPr>
      <w:spacing w:before="0"/>
      <w:ind w:firstLine="480"/>
      <w:outlineLvl w:val="2"/>
    </w:pPr>
    <w:rPr>
      <w:rFonts w:ascii="仿宋_GB2312" w:hAnsi="宋体" w:eastAsia="仿宋_GB2312"/>
      <w:color w:val="000000"/>
      <w:szCs w:val="24"/>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53">
    <w:name w:val="EB_表格"/>
    <w:basedOn w:val="1"/>
    <w:qFormat/>
    <w:uiPriority w:val="0"/>
    <w:pPr>
      <w:adjustRightInd/>
      <w:spacing w:line="300" w:lineRule="auto"/>
      <w:jc w:val="center"/>
    </w:pPr>
  </w:style>
  <w:style w:type="paragraph" w:customStyle="1" w:styleId="4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45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456">
    <w:name w:val="文章标题"/>
    <w:next w:val="29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58">
    <w:name w:val="U_编号2"/>
    <w:basedOn w:val="1"/>
    <w:qFormat/>
    <w:uiPriority w:val="0"/>
    <w:pPr>
      <w:tabs>
        <w:tab w:val="left" w:pos="785"/>
      </w:tabs>
      <w:adjustRightInd/>
      <w:spacing w:beforeLines="10" w:afterLines="10" w:line="300" w:lineRule="auto"/>
    </w:pPr>
    <w:rPr>
      <w:sz w:val="24"/>
    </w:rPr>
  </w:style>
  <w:style w:type="paragraph" w:customStyle="1" w:styleId="45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460">
    <w:name w:val="Char1 Char Char Char5"/>
    <w:basedOn w:val="1"/>
    <w:qFormat/>
    <w:uiPriority w:val="0"/>
    <w:pPr>
      <w:adjustRightInd/>
      <w:ind w:firstLine="200" w:firstLineChars="200"/>
    </w:pPr>
    <w:rPr>
      <w:rFonts w:ascii="Tahoma" w:hAnsi="Tahoma"/>
      <w:sz w:val="24"/>
      <w:szCs w:val="20"/>
    </w:rPr>
  </w:style>
  <w:style w:type="paragraph" w:customStyle="1" w:styleId="461">
    <w:name w:val="正文 项目2"/>
    <w:basedOn w:val="196"/>
    <w:qFormat/>
    <w:uiPriority w:val="0"/>
    <w:pPr>
      <w:spacing w:after="0"/>
      <w:ind w:left="900"/>
    </w:pPr>
  </w:style>
  <w:style w:type="paragraph" w:customStyle="1" w:styleId="462">
    <w:name w:val="Char Char Char1 Char2"/>
    <w:basedOn w:val="1"/>
    <w:qFormat/>
    <w:uiPriority w:val="0"/>
    <w:rPr>
      <w:szCs w:val="20"/>
    </w:rPr>
  </w:style>
  <w:style w:type="paragraph" w:customStyle="1" w:styleId="463">
    <w:name w:val="Char Char1 Char"/>
    <w:basedOn w:val="1"/>
    <w:qFormat/>
    <w:uiPriority w:val="0"/>
    <w:rPr>
      <w:rFonts w:ascii="仿宋_GB2312" w:eastAsia="仿宋_GB2312"/>
      <w:b/>
      <w:sz w:val="32"/>
      <w:szCs w:val="32"/>
    </w:rPr>
  </w:style>
  <w:style w:type="paragraph" w:customStyle="1" w:styleId="46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65">
    <w:name w:val="Char2"/>
    <w:basedOn w:val="1"/>
    <w:qFormat/>
    <w:uiPriority w:val="0"/>
    <w:rPr>
      <w:rFonts w:ascii="仿宋_GB2312" w:eastAsia="仿宋_GB2312"/>
      <w:b/>
      <w:sz w:val="32"/>
      <w:szCs w:val="32"/>
    </w:rPr>
  </w:style>
  <w:style w:type="paragraph" w:customStyle="1" w:styleId="466">
    <w:name w:val="Plain Text1"/>
    <w:basedOn w:val="1"/>
    <w:qFormat/>
    <w:uiPriority w:val="7"/>
    <w:pPr>
      <w:adjustRightInd/>
    </w:pPr>
    <w:rPr>
      <w:rFonts w:ascii="宋体" w:hAnsi="Courier New"/>
    </w:rPr>
  </w:style>
  <w:style w:type="paragraph" w:customStyle="1" w:styleId="46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468">
    <w:name w:val="Char1 Char Char Char4"/>
    <w:basedOn w:val="1"/>
    <w:qFormat/>
    <w:uiPriority w:val="0"/>
    <w:pPr>
      <w:adjustRightInd/>
      <w:ind w:firstLine="200" w:firstLineChars="200"/>
    </w:pPr>
    <w:rPr>
      <w:rFonts w:ascii="Tahoma" w:hAnsi="Tahoma"/>
      <w:sz w:val="24"/>
      <w:szCs w:val="20"/>
    </w:rPr>
  </w:style>
  <w:style w:type="paragraph" w:customStyle="1" w:styleId="469">
    <w:name w:val="Blockquote"/>
    <w:basedOn w:val="1"/>
    <w:qFormat/>
    <w:uiPriority w:val="0"/>
    <w:pPr>
      <w:autoSpaceDE w:val="0"/>
      <w:autoSpaceDN w:val="0"/>
      <w:spacing w:before="100" w:after="100"/>
      <w:ind w:left="360" w:right="360"/>
      <w:jc w:val="left"/>
    </w:pPr>
    <w:rPr>
      <w:kern w:val="0"/>
      <w:sz w:val="24"/>
      <w:szCs w:val="20"/>
    </w:rPr>
  </w:style>
  <w:style w:type="paragraph" w:customStyle="1" w:styleId="470">
    <w:name w:val="WW-正文文字缩进 2"/>
    <w:basedOn w:val="1"/>
    <w:qFormat/>
    <w:uiPriority w:val="0"/>
    <w:pPr>
      <w:suppressAutoHyphens/>
      <w:adjustRightInd/>
      <w:ind w:firstLine="420"/>
    </w:pPr>
    <w:rPr>
      <w:kern w:val="1"/>
      <w:szCs w:val="20"/>
    </w:rPr>
  </w:style>
  <w:style w:type="paragraph" w:customStyle="1" w:styleId="47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72">
    <w:name w:val="Normal0"/>
    <w:qFormat/>
    <w:uiPriority w:val="0"/>
    <w:rPr>
      <w:rFonts w:ascii="Times New Roman" w:hAnsi="Times New Roman" w:eastAsia="宋体" w:cs="Times New Roman"/>
      <w:lang w:val="en-US" w:eastAsia="en-US" w:bidi="ar-SA"/>
    </w:rPr>
  </w:style>
  <w:style w:type="paragraph" w:customStyle="1" w:styleId="47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74">
    <w:name w:val="表1"/>
    <w:basedOn w:val="1"/>
    <w:qFormat/>
    <w:uiPriority w:val="0"/>
    <w:pPr>
      <w:tabs>
        <w:tab w:val="left" w:pos="703"/>
      </w:tabs>
      <w:adjustRightInd/>
      <w:spacing w:line="360" w:lineRule="auto"/>
      <w:ind w:left="703"/>
      <w:jc w:val="center"/>
    </w:pPr>
  </w:style>
  <w:style w:type="paragraph" w:customStyle="1" w:styleId="47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7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77">
    <w:name w:val="样式3"/>
    <w:basedOn w:val="185"/>
    <w:qFormat/>
    <w:uiPriority w:val="0"/>
    <w:pPr>
      <w:spacing w:before="312" w:beforeLines="100"/>
      <w:jc w:val="left"/>
    </w:pPr>
  </w:style>
  <w:style w:type="paragraph" w:customStyle="1" w:styleId="47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47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48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48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484">
    <w:name w:val="Char5"/>
    <w:basedOn w:val="1"/>
    <w:qFormat/>
    <w:uiPriority w:val="0"/>
    <w:rPr>
      <w:rFonts w:ascii="仿宋_GB2312" w:eastAsia="仿宋_GB2312"/>
      <w:b/>
      <w:sz w:val="32"/>
      <w:szCs w:val="32"/>
    </w:rPr>
  </w:style>
  <w:style w:type="paragraph" w:customStyle="1" w:styleId="48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8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87">
    <w:name w:val="Char Char1 Char Char Char Char Char Char1"/>
    <w:basedOn w:val="1"/>
    <w:qFormat/>
    <w:uiPriority w:val="0"/>
    <w:rPr>
      <w:rFonts w:ascii="仿宋_GB2312" w:eastAsia="仿宋_GB2312"/>
      <w:b/>
      <w:sz w:val="32"/>
      <w:szCs w:val="20"/>
    </w:rPr>
  </w:style>
  <w:style w:type="paragraph" w:customStyle="1" w:styleId="488">
    <w:name w:val="样式 左侧:  0.85 厘米"/>
    <w:basedOn w:val="1"/>
    <w:qFormat/>
    <w:uiPriority w:val="2"/>
    <w:pPr>
      <w:adjustRightInd/>
      <w:spacing w:line="360" w:lineRule="auto"/>
    </w:pPr>
    <w:rPr>
      <w:rFonts w:cs="宋体"/>
      <w:sz w:val="24"/>
      <w:szCs w:val="20"/>
    </w:rPr>
  </w:style>
  <w:style w:type="paragraph" w:customStyle="1" w:styleId="48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49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91">
    <w:name w:val="列出段落5"/>
    <w:basedOn w:val="1"/>
    <w:qFormat/>
    <w:uiPriority w:val="0"/>
    <w:pPr>
      <w:spacing w:line="360" w:lineRule="auto"/>
      <w:ind w:firstLine="200" w:firstLineChars="200"/>
    </w:pPr>
    <w:rPr>
      <w:rFonts w:eastAsia="楷体_GB2312" w:cs="Lucida Sans"/>
      <w:sz w:val="24"/>
    </w:rPr>
  </w:style>
  <w:style w:type="paragraph" w:customStyle="1" w:styleId="49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9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95">
    <w:name w:val="四号　首行缩进"/>
    <w:basedOn w:val="1"/>
    <w:qFormat/>
    <w:uiPriority w:val="0"/>
    <w:pPr>
      <w:adjustRightInd/>
      <w:spacing w:line="360" w:lineRule="auto"/>
    </w:pPr>
    <w:rPr>
      <w:rFonts w:ascii="宋体" w:hAnsi="宋体"/>
      <w:szCs w:val="20"/>
    </w:rPr>
  </w:style>
  <w:style w:type="paragraph" w:customStyle="1" w:styleId="496">
    <w:name w:val="_Style 3"/>
    <w:basedOn w:val="1"/>
    <w:qFormat/>
    <w:uiPriority w:val="0"/>
    <w:pPr>
      <w:adjustRightInd/>
      <w:ind w:firstLine="420" w:firstLineChars="200"/>
    </w:pPr>
    <w:rPr>
      <w:rFonts w:eastAsia="仿宋_GB2312"/>
      <w:sz w:val="28"/>
    </w:rPr>
  </w:style>
  <w:style w:type="paragraph" w:customStyle="1" w:styleId="497">
    <w:name w:val="默认段落字体 Para Char Char Char1 Char"/>
    <w:basedOn w:val="1"/>
    <w:qFormat/>
    <w:uiPriority w:val="0"/>
    <w:pPr>
      <w:spacing w:line="240" w:lineRule="atLeast"/>
      <w:ind w:left="420" w:firstLine="420"/>
    </w:pPr>
    <w:rPr>
      <w:sz w:val="24"/>
    </w:rPr>
  </w:style>
  <w:style w:type="paragraph" w:customStyle="1" w:styleId="49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499">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500">
    <w:name w:val="正文21"/>
    <w:basedOn w:val="1"/>
    <w:qFormat/>
    <w:uiPriority w:val="0"/>
    <w:pPr>
      <w:adjustRightInd/>
      <w:spacing w:before="156" w:line="360" w:lineRule="auto"/>
      <w:ind w:firstLine="510" w:firstLineChars="200"/>
    </w:pPr>
    <w:rPr>
      <w:sz w:val="24"/>
      <w:szCs w:val="20"/>
    </w:rPr>
  </w:style>
  <w:style w:type="paragraph" w:customStyle="1" w:styleId="50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02">
    <w:name w:val="CM14"/>
    <w:basedOn w:val="254"/>
    <w:next w:val="254"/>
    <w:qFormat/>
    <w:uiPriority w:val="0"/>
    <w:pPr>
      <w:spacing w:after="68"/>
    </w:pPr>
    <w:rPr>
      <w:rFonts w:ascii="FHLHE E+ Futura Bk" w:eastAsia="FHLHE E+ Futura Bk" w:cs="Times New Roman"/>
      <w:color w:val="auto"/>
    </w:rPr>
  </w:style>
  <w:style w:type="paragraph" w:customStyle="1" w:styleId="50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504">
    <w:name w:val="彩色列表 - 强调文字颜色 11"/>
    <w:basedOn w:val="1"/>
    <w:qFormat/>
    <w:uiPriority w:val="0"/>
    <w:pPr>
      <w:adjustRightInd/>
      <w:ind w:firstLine="420" w:firstLineChars="200"/>
    </w:pPr>
    <w:rPr>
      <w:rFonts w:ascii="Calibri" w:hAnsi="Calibri"/>
      <w:szCs w:val="22"/>
    </w:rPr>
  </w:style>
  <w:style w:type="paragraph" w:customStyle="1" w:styleId="505">
    <w:name w:val="Char Char1 Char Char Char"/>
    <w:basedOn w:val="1"/>
    <w:qFormat/>
    <w:uiPriority w:val="0"/>
    <w:rPr>
      <w:rFonts w:ascii="仿宋_GB2312" w:eastAsia="仿宋_GB2312"/>
      <w:b/>
      <w:sz w:val="32"/>
      <w:szCs w:val="20"/>
    </w:rPr>
  </w:style>
  <w:style w:type="paragraph" w:customStyle="1" w:styleId="50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0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508">
    <w:name w:val="正文 图"/>
    <w:basedOn w:val="245"/>
    <w:qFormat/>
    <w:uiPriority w:val="0"/>
    <w:pPr>
      <w:adjustRightInd/>
      <w:spacing w:before="0"/>
      <w:ind w:firstLine="0"/>
      <w:jc w:val="center"/>
    </w:pPr>
    <w:rPr>
      <w:rFonts w:ascii="微软雅黑" w:hAnsi="微软雅黑"/>
    </w:rPr>
  </w:style>
  <w:style w:type="paragraph" w:customStyle="1" w:styleId="50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11">
    <w:name w:val="Char Char4 Char Char"/>
    <w:basedOn w:val="1"/>
    <w:qFormat/>
    <w:uiPriority w:val="0"/>
    <w:pPr>
      <w:widowControl/>
      <w:adjustRightInd/>
      <w:spacing w:after="160" w:line="240" w:lineRule="exact"/>
      <w:jc w:val="left"/>
    </w:pPr>
  </w:style>
  <w:style w:type="paragraph" w:customStyle="1" w:styleId="512">
    <w:name w:val="Char19"/>
    <w:basedOn w:val="1"/>
    <w:qFormat/>
    <w:uiPriority w:val="0"/>
    <w:pPr>
      <w:adjustRightInd/>
    </w:pPr>
    <w:rPr>
      <w:szCs w:val="20"/>
    </w:rPr>
  </w:style>
  <w:style w:type="paragraph" w:customStyle="1" w:styleId="513">
    <w:name w:val="body text bold"/>
    <w:basedOn w:val="16"/>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514">
    <w:name w:val="Char Char11 Char Char Char Char Char Char Char Char Char11"/>
    <w:basedOn w:val="1"/>
    <w:qFormat/>
    <w:uiPriority w:val="0"/>
    <w:pPr>
      <w:spacing w:line="360" w:lineRule="auto"/>
    </w:pPr>
    <w:rPr>
      <w:szCs w:val="20"/>
    </w:rPr>
  </w:style>
  <w:style w:type="paragraph" w:customStyle="1" w:styleId="515">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1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51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1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20">
    <w:name w:val="Char2 Char Char"/>
    <w:basedOn w:val="1"/>
    <w:qFormat/>
    <w:uiPriority w:val="0"/>
    <w:pPr>
      <w:adjustRightInd/>
    </w:pPr>
    <w:rPr>
      <w:rFonts w:ascii="Tahoma" w:hAnsi="Tahoma"/>
      <w:sz w:val="24"/>
      <w:szCs w:val="20"/>
    </w:rPr>
  </w:style>
  <w:style w:type="paragraph" w:customStyle="1" w:styleId="5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2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24">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52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527">
    <w:name w:val="a1"/>
    <w:basedOn w:val="1"/>
    <w:qFormat/>
    <w:uiPriority w:val="0"/>
    <w:pPr>
      <w:widowControl/>
      <w:spacing w:line="300" w:lineRule="atLeast"/>
      <w:jc w:val="left"/>
    </w:pPr>
    <w:rPr>
      <w:rFonts w:ascii="宋体" w:hAnsi="宋体"/>
      <w:kern w:val="0"/>
      <w:sz w:val="18"/>
      <w:szCs w:val="20"/>
    </w:rPr>
  </w:style>
  <w:style w:type="paragraph" w:customStyle="1" w:styleId="528">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529">
    <w:name w:val="Char Char Char Char Char Char Char Char Char Char2"/>
    <w:basedOn w:val="1"/>
    <w:qFormat/>
    <w:uiPriority w:val="0"/>
    <w:rPr>
      <w:rFonts w:ascii="仿宋_GB2312" w:eastAsia="仿宋_GB2312"/>
      <w:b/>
      <w:sz w:val="32"/>
      <w:szCs w:val="32"/>
    </w:rPr>
  </w:style>
  <w:style w:type="paragraph" w:customStyle="1" w:styleId="530">
    <w:name w:val="0"/>
    <w:basedOn w:val="1"/>
    <w:qFormat/>
    <w:uiPriority w:val="0"/>
    <w:pPr>
      <w:widowControl/>
    </w:pPr>
    <w:rPr>
      <w:kern w:val="0"/>
      <w:sz w:val="24"/>
      <w:szCs w:val="20"/>
    </w:rPr>
  </w:style>
  <w:style w:type="paragraph" w:customStyle="1" w:styleId="531">
    <w:name w:val="No Spacing"/>
    <w:basedOn w:val="1"/>
    <w:link w:val="964"/>
    <w:qFormat/>
    <w:uiPriority w:val="99"/>
    <w:rPr>
      <w:szCs w:val="22"/>
    </w:rPr>
  </w:style>
  <w:style w:type="paragraph" w:customStyle="1" w:styleId="53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3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3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3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3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537">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53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3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4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41">
    <w:name w:val="五级无标题条"/>
    <w:basedOn w:val="1"/>
    <w:qFormat/>
    <w:uiPriority w:val="0"/>
    <w:pPr>
      <w:adjustRightInd/>
    </w:pPr>
  </w:style>
  <w:style w:type="paragraph" w:customStyle="1" w:styleId="542">
    <w:name w:val="默认段落字体 Para Char"/>
    <w:basedOn w:val="1"/>
    <w:qFormat/>
    <w:uiPriority w:val="0"/>
    <w:rPr>
      <w:rFonts w:ascii="Tahoma" w:hAnsi="Tahoma"/>
      <w:sz w:val="24"/>
      <w:szCs w:val="20"/>
    </w:rPr>
  </w:style>
  <w:style w:type="paragraph" w:customStyle="1" w:styleId="543">
    <w:name w:val="五级条标题"/>
    <w:basedOn w:val="321"/>
    <w:next w:val="134"/>
    <w:qFormat/>
    <w:uiPriority w:val="0"/>
    <w:pPr>
      <w:tabs>
        <w:tab w:val="left" w:pos="1260"/>
        <w:tab w:val="left" w:pos="1680"/>
        <w:tab w:val="left" w:pos="2100"/>
        <w:tab w:val="left" w:pos="3360"/>
        <w:tab w:val="clear" w:pos="2940"/>
      </w:tabs>
      <w:ind w:left="3360"/>
      <w:outlineLvl w:val="6"/>
    </w:pPr>
  </w:style>
  <w:style w:type="paragraph" w:customStyle="1" w:styleId="544">
    <w:name w:val="_Style 5"/>
    <w:basedOn w:val="1"/>
    <w:qFormat/>
    <w:uiPriority w:val="34"/>
    <w:pPr>
      <w:adjustRightInd/>
      <w:ind w:firstLine="420" w:firstLineChars="200"/>
    </w:pPr>
    <w:rPr>
      <w:rFonts w:eastAsia="仿宋_GB2312"/>
      <w:sz w:val="28"/>
    </w:rPr>
  </w:style>
  <w:style w:type="paragraph" w:customStyle="1" w:styleId="545">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4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54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548">
    <w:name w:val="注释"/>
    <w:basedOn w:val="1"/>
    <w:qFormat/>
    <w:uiPriority w:val="0"/>
    <w:pPr>
      <w:adjustRightInd/>
      <w:spacing w:line="360" w:lineRule="auto"/>
      <w:ind w:firstLine="480"/>
    </w:pPr>
    <w:rPr>
      <w:sz w:val="24"/>
    </w:rPr>
  </w:style>
  <w:style w:type="paragraph" w:customStyle="1" w:styleId="549">
    <w:name w:val="数字标题3"/>
    <w:basedOn w:val="4"/>
    <w:next w:val="1"/>
    <w:qFormat/>
    <w:uiPriority w:val="0"/>
    <w:pPr>
      <w:spacing w:line="240" w:lineRule="auto"/>
    </w:pPr>
    <w:rPr>
      <w:sz w:val="28"/>
      <w:szCs w:val="28"/>
    </w:rPr>
  </w:style>
  <w:style w:type="paragraph" w:customStyle="1" w:styleId="55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55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5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54">
    <w:name w:val="_Style 6"/>
    <w:basedOn w:val="1"/>
    <w:qFormat/>
    <w:uiPriority w:val="34"/>
    <w:pPr>
      <w:adjustRightInd/>
      <w:ind w:firstLine="420" w:firstLineChars="200"/>
    </w:pPr>
    <w:rPr>
      <w:rFonts w:eastAsia="仿宋_GB2312"/>
      <w:sz w:val="28"/>
    </w:rPr>
  </w:style>
  <w:style w:type="paragraph" w:customStyle="1" w:styleId="55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556">
    <w:name w:val="Char Char112"/>
    <w:basedOn w:val="1"/>
    <w:qFormat/>
    <w:uiPriority w:val="6"/>
    <w:pPr>
      <w:widowControl/>
      <w:spacing w:after="160" w:line="240" w:lineRule="exact"/>
      <w:jc w:val="left"/>
    </w:pPr>
    <w:rPr>
      <w:rFonts w:eastAsia="仿宋_GB2312"/>
      <w:sz w:val="28"/>
    </w:rPr>
  </w:style>
  <w:style w:type="paragraph" w:customStyle="1" w:styleId="557">
    <w:name w:val="Char2 Char Char Char1"/>
    <w:basedOn w:val="1"/>
    <w:qFormat/>
    <w:uiPriority w:val="6"/>
    <w:rPr>
      <w:rFonts w:ascii="仿宋_GB2312" w:eastAsia="仿宋_GB2312"/>
      <w:b/>
      <w:sz w:val="32"/>
      <w:szCs w:val="32"/>
    </w:rPr>
  </w:style>
  <w:style w:type="paragraph" w:customStyle="1" w:styleId="55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56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6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6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6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5">
    <w:name w:val="Body Text 2*"/>
    <w:basedOn w:val="1"/>
    <w:qFormat/>
    <w:uiPriority w:val="6"/>
    <w:pPr>
      <w:widowControl/>
      <w:adjustRightInd/>
      <w:ind w:left="720" w:hanging="720"/>
    </w:pPr>
    <w:rPr>
      <w:color w:val="000000"/>
      <w:kern w:val="0"/>
      <w:sz w:val="24"/>
      <w:szCs w:val="20"/>
    </w:rPr>
  </w:style>
  <w:style w:type="paragraph" w:customStyle="1" w:styleId="56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67">
    <w:name w:val="表格（小）"/>
    <w:basedOn w:val="1"/>
    <w:qFormat/>
    <w:uiPriority w:val="0"/>
    <w:pPr>
      <w:adjustRightInd/>
      <w:snapToGrid w:val="0"/>
      <w:spacing w:line="300" w:lineRule="auto"/>
    </w:pPr>
    <w:rPr>
      <w:rFonts w:eastAsia="仿宋"/>
      <w:szCs w:val="21"/>
    </w:rPr>
  </w:style>
  <w:style w:type="paragraph" w:customStyle="1" w:styleId="56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6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5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57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73">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Char111"/>
    <w:basedOn w:val="1"/>
    <w:qFormat/>
    <w:uiPriority w:val="0"/>
    <w:rPr>
      <w:rFonts w:ascii="仿宋_GB2312" w:eastAsia="仿宋_GB2312"/>
      <w:b/>
      <w:sz w:val="32"/>
      <w:szCs w:val="32"/>
    </w:rPr>
  </w:style>
  <w:style w:type="paragraph" w:customStyle="1" w:styleId="57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77">
    <w:name w:val="表格"/>
    <w:basedOn w:val="1"/>
    <w:qFormat/>
    <w:uiPriority w:val="0"/>
    <w:pPr>
      <w:snapToGrid w:val="0"/>
      <w:ind w:firstLine="42" w:firstLineChars="21"/>
    </w:pPr>
    <w:rPr>
      <w:rFonts w:ascii="宋体" w:hAnsi="宋体"/>
      <w:kern w:val="0"/>
      <w:sz w:val="20"/>
      <w:szCs w:val="20"/>
    </w:rPr>
  </w:style>
  <w:style w:type="paragraph" w:customStyle="1" w:styleId="57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57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580">
    <w:name w:val="Char3"/>
    <w:basedOn w:val="1"/>
    <w:qFormat/>
    <w:uiPriority w:val="0"/>
    <w:pPr>
      <w:adjustRightInd/>
    </w:pPr>
    <w:rPr>
      <w:rFonts w:ascii="仿宋_GB2312" w:eastAsia="仿宋_GB2312"/>
      <w:b/>
      <w:sz w:val="32"/>
      <w:szCs w:val="32"/>
    </w:rPr>
  </w:style>
  <w:style w:type="paragraph" w:customStyle="1" w:styleId="58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82">
    <w:name w:val="索引 11"/>
    <w:basedOn w:val="1"/>
    <w:next w:val="1"/>
    <w:qFormat/>
    <w:uiPriority w:val="99"/>
    <w:pPr>
      <w:adjustRightInd/>
      <w:spacing w:line="360" w:lineRule="auto"/>
    </w:pPr>
    <w:rPr>
      <w:rFonts w:ascii="仿宋_GB2312" w:eastAsia="仿宋_GB2312"/>
      <w:sz w:val="24"/>
      <w:szCs w:val="20"/>
    </w:rPr>
  </w:style>
  <w:style w:type="paragraph" w:customStyle="1" w:styleId="583">
    <w:name w:val="正文（首行缩进2字符）"/>
    <w:basedOn w:val="1"/>
    <w:qFormat/>
    <w:uiPriority w:val="0"/>
    <w:pPr>
      <w:adjustRightInd/>
      <w:spacing w:line="360" w:lineRule="auto"/>
      <w:ind w:firstLine="480" w:firstLineChars="200"/>
    </w:pPr>
    <w:rPr>
      <w:sz w:val="24"/>
      <w:szCs w:val="20"/>
    </w:rPr>
  </w:style>
  <w:style w:type="paragraph" w:customStyle="1" w:styleId="584">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585">
    <w:name w:val="纯文本2"/>
    <w:basedOn w:val="1"/>
    <w:qFormat/>
    <w:uiPriority w:val="0"/>
    <w:pPr>
      <w:adjustRightInd/>
      <w:snapToGrid w:val="0"/>
      <w:jc w:val="left"/>
    </w:pPr>
    <w:rPr>
      <w:rFonts w:ascii="Century Gothic" w:hAnsi="楷体_GB2312" w:eastAsia="Century Gothic"/>
      <w:szCs w:val="20"/>
    </w:rPr>
  </w:style>
  <w:style w:type="paragraph" w:customStyle="1" w:styleId="586">
    <w:name w:val="4"/>
    <w:basedOn w:val="1"/>
    <w:next w:val="39"/>
    <w:qFormat/>
    <w:uiPriority w:val="0"/>
    <w:pPr>
      <w:spacing w:after="120" w:line="480" w:lineRule="auto"/>
      <w:ind w:left="420" w:leftChars="200"/>
    </w:pPr>
    <w:rPr>
      <w:sz w:val="24"/>
      <w:szCs w:val="20"/>
    </w:rPr>
  </w:style>
  <w:style w:type="paragraph" w:customStyle="1" w:styleId="58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58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89">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9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9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92">
    <w:name w:val="Char31"/>
    <w:basedOn w:val="1"/>
    <w:qFormat/>
    <w:uiPriority w:val="0"/>
    <w:pPr>
      <w:adjustRightInd/>
    </w:pPr>
    <w:rPr>
      <w:rFonts w:ascii="仿宋_GB2312" w:eastAsia="仿宋_GB2312"/>
      <w:b/>
      <w:sz w:val="32"/>
      <w:szCs w:val="32"/>
    </w:rPr>
  </w:style>
  <w:style w:type="paragraph" w:customStyle="1" w:styleId="593">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94">
    <w:name w:val="Char21"/>
    <w:basedOn w:val="1"/>
    <w:qFormat/>
    <w:uiPriority w:val="0"/>
    <w:pPr>
      <w:adjustRightInd/>
      <w:ind w:firstLine="200" w:firstLineChars="200"/>
    </w:pPr>
    <w:rPr>
      <w:rFonts w:ascii="仿宋_GB2312" w:eastAsia="仿宋_GB2312"/>
      <w:b/>
      <w:sz w:val="32"/>
      <w:szCs w:val="32"/>
    </w:rPr>
  </w:style>
  <w:style w:type="paragraph" w:customStyle="1" w:styleId="595">
    <w:name w:val="列表段落1"/>
    <w:basedOn w:val="1"/>
    <w:qFormat/>
    <w:uiPriority w:val="34"/>
    <w:pPr>
      <w:adjustRightInd/>
      <w:ind w:right="238" w:firstLine="420"/>
    </w:pPr>
    <w:rPr>
      <w:rFonts w:ascii="Calibri" w:hAnsi="Calibri"/>
      <w:sz w:val="24"/>
    </w:rPr>
  </w:style>
  <w:style w:type="paragraph" w:customStyle="1" w:styleId="59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9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9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99">
    <w:name w:val="Char1 Char Char Char3"/>
    <w:basedOn w:val="1"/>
    <w:qFormat/>
    <w:uiPriority w:val="0"/>
    <w:pPr>
      <w:adjustRightInd/>
      <w:ind w:firstLine="200" w:firstLineChars="200"/>
    </w:pPr>
    <w:rPr>
      <w:rFonts w:ascii="Tahoma" w:hAnsi="Tahoma"/>
      <w:sz w:val="24"/>
      <w:szCs w:val="20"/>
    </w:rPr>
  </w:style>
  <w:style w:type="paragraph" w:customStyle="1" w:styleId="600">
    <w:name w:val="MM Empty"/>
    <w:basedOn w:val="1"/>
    <w:qFormat/>
    <w:uiPriority w:val="0"/>
    <w:pPr>
      <w:adjustRightInd/>
    </w:pPr>
  </w:style>
  <w:style w:type="paragraph" w:customStyle="1" w:styleId="601">
    <w:name w:val="Char24"/>
    <w:basedOn w:val="1"/>
    <w:qFormat/>
    <w:uiPriority w:val="0"/>
    <w:rPr>
      <w:rFonts w:ascii="仿宋_GB2312" w:eastAsia="仿宋_GB2312"/>
      <w:b/>
      <w:sz w:val="32"/>
      <w:szCs w:val="32"/>
    </w:rPr>
  </w:style>
  <w:style w:type="paragraph" w:customStyle="1" w:styleId="602">
    <w:name w:val="_Style 1"/>
    <w:basedOn w:val="1"/>
    <w:qFormat/>
    <w:uiPriority w:val="34"/>
    <w:pPr>
      <w:adjustRightInd/>
      <w:ind w:firstLine="420" w:firstLineChars="200"/>
    </w:pPr>
    <w:rPr>
      <w:rFonts w:eastAsia="仿宋_GB2312"/>
      <w:sz w:val="28"/>
    </w:rPr>
  </w:style>
  <w:style w:type="paragraph" w:customStyle="1" w:styleId="603">
    <w:name w:val="正文首行缩进1"/>
    <w:basedOn w:val="16"/>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604">
    <w:name w:val="数字标题5"/>
    <w:basedOn w:val="7"/>
    <w:next w:val="1"/>
    <w:qFormat/>
    <w:uiPriority w:val="0"/>
    <w:pPr>
      <w:tabs>
        <w:tab w:val="left" w:pos="1080"/>
        <w:tab w:val="clear" w:pos="1008"/>
      </w:tabs>
      <w:ind w:left="1080" w:hanging="1080"/>
    </w:pPr>
  </w:style>
  <w:style w:type="paragraph" w:customStyle="1" w:styleId="60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60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0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60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10">
    <w:name w:val="_Style 8"/>
    <w:basedOn w:val="1"/>
    <w:qFormat/>
    <w:uiPriority w:val="34"/>
    <w:pPr>
      <w:adjustRightInd/>
      <w:ind w:firstLine="420" w:firstLineChars="200"/>
    </w:pPr>
    <w:rPr>
      <w:rFonts w:eastAsia="仿宋_GB2312"/>
      <w:sz w:val="28"/>
    </w:rPr>
  </w:style>
  <w:style w:type="paragraph" w:customStyle="1" w:styleId="6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6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1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15">
    <w:name w:val="列出段落111"/>
    <w:basedOn w:val="1"/>
    <w:qFormat/>
    <w:uiPriority w:val="34"/>
    <w:pPr>
      <w:ind w:firstLine="420" w:firstLineChars="200"/>
    </w:pPr>
  </w:style>
  <w:style w:type="paragraph" w:customStyle="1" w:styleId="616">
    <w:name w:val="_Style 947"/>
    <w:basedOn w:val="1"/>
    <w:next w:val="263"/>
    <w:qFormat/>
    <w:uiPriority w:val="34"/>
    <w:pPr>
      <w:adjustRightInd/>
      <w:ind w:firstLine="420" w:firstLineChars="200"/>
    </w:pPr>
  </w:style>
  <w:style w:type="paragraph" w:customStyle="1" w:styleId="61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8">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1">
    <w:name w:val="修订4"/>
    <w:semiHidden/>
    <w:qFormat/>
    <w:uiPriority w:val="99"/>
    <w:rPr>
      <w:rFonts w:ascii="Times New Roman" w:hAnsi="Times New Roman" w:eastAsia="宋体" w:cs="Times New Roman"/>
      <w:kern w:val="2"/>
      <w:sz w:val="21"/>
      <w:szCs w:val="24"/>
      <w:lang w:val="en-US" w:eastAsia="zh-CN" w:bidi="ar-SA"/>
    </w:rPr>
  </w:style>
  <w:style w:type="paragraph" w:customStyle="1" w:styleId="622">
    <w:name w:val="UserStyle_20"/>
    <w:basedOn w:val="1"/>
    <w:qFormat/>
    <w:uiPriority w:val="0"/>
    <w:pPr>
      <w:shd w:val="clear" w:color="auto" w:fill="FFFFFF"/>
      <w:spacing w:after="240" w:line="200" w:lineRule="exact"/>
      <w:jc w:val="distribute"/>
      <w:textAlignment w:val="baseline"/>
    </w:pPr>
    <w:rPr>
      <w:rFonts w:ascii="PMingLiU" w:hAnsi="PMingLiU" w:eastAsia="PMingLiU"/>
      <w:kern w:val="2"/>
      <w:sz w:val="20"/>
      <w:szCs w:val="20"/>
      <w:lang w:val="en-US" w:eastAsia="zh-CN" w:bidi="ar-SA"/>
    </w:rPr>
  </w:style>
  <w:style w:type="paragraph" w:customStyle="1" w:styleId="623">
    <w:name w:val="标题 11"/>
    <w:basedOn w:val="624"/>
    <w:next w:val="624"/>
    <w:link w:val="921"/>
    <w:qFormat/>
    <w:uiPriority w:val="0"/>
    <w:pPr>
      <w:keepNext/>
      <w:keepLines/>
      <w:spacing w:before="340" w:after="330" w:line="576" w:lineRule="auto"/>
      <w:outlineLvl w:val="0"/>
    </w:pPr>
    <w:rPr>
      <w:rFonts w:ascii="Times New Roman" w:hAnsi="Times New Roman" w:eastAsia="华文仿宋"/>
      <w:b/>
      <w:bCs/>
      <w:sz w:val="44"/>
      <w:szCs w:val="44"/>
    </w:rPr>
  </w:style>
  <w:style w:type="paragraph" w:customStyle="1" w:styleId="624">
    <w:name w:val="正文11"/>
    <w:next w:val="625"/>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spacing w:before="0" w:beforeAutospacing="0" w:after="0" w:afterAutospacing="0" w:line="240" w:lineRule="auto"/>
      <w:ind w:left="0" w:right="0" w:firstLine="0"/>
      <w:jc w:val="both"/>
    </w:pPr>
    <w:rPr>
      <w:rFonts w:ascii="Times New Roman" w:hAnsi="Times New Roman" w:eastAsia="宋体" w:cs="Times New Roman"/>
      <w:color w:val="auto"/>
      <w:spacing w:val="0"/>
      <w:position w:val="0"/>
      <w:sz w:val="21"/>
      <w:szCs w:val="22"/>
      <w:lang w:val="en-US" w:eastAsia="zh-CN" w:bidi="ar-SA"/>
    </w:rPr>
  </w:style>
  <w:style w:type="paragraph" w:customStyle="1" w:styleId="625">
    <w:name w:val="标题 21"/>
    <w:basedOn w:val="624"/>
    <w:next w:val="624"/>
    <w:qFormat/>
    <w:uiPriority w:val="0"/>
    <w:pPr>
      <w:keepNext/>
      <w:keepLines/>
      <w:spacing w:before="260" w:after="260" w:line="413" w:lineRule="auto"/>
      <w:outlineLvl w:val="1"/>
    </w:pPr>
    <w:rPr>
      <w:rFonts w:ascii="Cambria" w:hAnsi="Cambria" w:eastAsia="宋体"/>
      <w:b/>
      <w:bCs/>
      <w:sz w:val="32"/>
      <w:szCs w:val="32"/>
    </w:rPr>
  </w:style>
  <w:style w:type="paragraph" w:customStyle="1" w:styleId="626">
    <w:name w:val="正文文本首行缩进 2"/>
    <w:qFormat/>
    <w:uiPriority w:val="99"/>
    <w:pPr>
      <w:widowControl w:val="0"/>
      <w:shd w:val="clear" w:color="auto" w:fill="FFFFFF"/>
      <w:spacing w:line="200" w:lineRule="atLeast"/>
      <w:ind w:firstLine="420" w:firstLineChars="175"/>
      <w:jc w:val="both"/>
    </w:pPr>
    <w:rPr>
      <w:rFonts w:ascii="宋体" w:hAnsi="Courier New" w:eastAsia="宋体" w:cs="宋体"/>
      <w:spacing w:val="-4"/>
      <w:kern w:val="2"/>
      <w:sz w:val="18"/>
      <w:szCs w:val="24"/>
      <w:lang w:val="en-US" w:eastAsia="zh-CN" w:bidi="ar-SA"/>
    </w:rPr>
  </w:style>
  <w:style w:type="paragraph" w:customStyle="1" w:styleId="627">
    <w:name w:val="普通(Web)"/>
    <w:basedOn w:val="1"/>
    <w:qFormat/>
    <w:uiPriority w:val="0"/>
    <w:pPr>
      <w:widowControl/>
      <w:spacing w:before="100" w:beforeAutospacing="1" w:after="100" w:afterAutospacing="1"/>
      <w:jc w:val="left"/>
    </w:pPr>
    <w:rPr>
      <w:rFonts w:ascii="Arial Unicode MS" w:hAnsi="Arial Unicode MS" w:eastAsia="Arial Unicode MS"/>
      <w:kern w:val="0"/>
      <w:sz w:val="24"/>
    </w:rPr>
  </w:style>
  <w:style w:type="character" w:customStyle="1" w:styleId="628">
    <w:name w:val="param-name"/>
    <w:qFormat/>
    <w:uiPriority w:val="99"/>
    <w:rPr>
      <w:rFonts w:ascii="Arial" w:hAnsi="Arial" w:eastAsia="黑体" w:cs="Arial"/>
      <w:snapToGrid w:val="0"/>
      <w:kern w:val="0"/>
      <w:szCs w:val="21"/>
    </w:rPr>
  </w:style>
  <w:style w:type="character" w:customStyle="1" w:styleId="629">
    <w:name w:val="称呼 Char"/>
    <w:link w:val="23"/>
    <w:qFormat/>
    <w:uiPriority w:val="0"/>
    <w:rPr>
      <w:rFonts w:ascii="仿宋_GB2312" w:eastAsia="仿宋_GB2312"/>
      <w:kern w:val="2"/>
      <w:sz w:val="28"/>
    </w:rPr>
  </w:style>
  <w:style w:type="character" w:customStyle="1" w:styleId="630">
    <w:name w:val="style1"/>
    <w:qFormat/>
    <w:uiPriority w:val="0"/>
    <w:rPr>
      <w:rFonts w:ascii="Arial" w:hAnsi="Arial" w:eastAsia="黑体" w:cs="Arial"/>
      <w:snapToGrid w:val="0"/>
      <w:kern w:val="0"/>
      <w:szCs w:val="21"/>
    </w:rPr>
  </w:style>
  <w:style w:type="character" w:customStyle="1" w:styleId="631">
    <w:name w:val="日期 Char"/>
    <w:link w:val="38"/>
    <w:qFormat/>
    <w:uiPriority w:val="0"/>
    <w:rPr>
      <w:rFonts w:ascii="宋体"/>
      <w:kern w:val="2"/>
      <w:sz w:val="24"/>
      <w:szCs w:val="21"/>
      <w:lang w:val="zh-CN"/>
    </w:rPr>
  </w:style>
  <w:style w:type="character" w:customStyle="1" w:styleId="632">
    <w:name w:val="标题 7 Char"/>
    <w:link w:val="9"/>
    <w:qFormat/>
    <w:uiPriority w:val="0"/>
    <w:rPr>
      <w:b/>
      <w:bCs/>
      <w:kern w:val="2"/>
      <w:sz w:val="24"/>
      <w:szCs w:val="24"/>
    </w:rPr>
  </w:style>
  <w:style w:type="character" w:customStyle="1" w:styleId="633">
    <w:name w:val="正文缩进 字符1"/>
    <w:qFormat/>
    <w:uiPriority w:val="0"/>
    <w:rPr>
      <w:rFonts w:ascii="宋体" w:eastAsia="宋体"/>
      <w:snapToGrid w:val="0"/>
      <w:color w:val="000000"/>
      <w:kern w:val="28"/>
      <w:sz w:val="28"/>
      <w:lang w:val="en-US" w:eastAsia="zh-CN" w:bidi="ar-SA"/>
    </w:rPr>
  </w:style>
  <w:style w:type="character" w:customStyle="1" w:styleId="634">
    <w:name w:val="tw4winPopup"/>
    <w:qFormat/>
    <w:uiPriority w:val="0"/>
    <w:rPr>
      <w:rFonts w:ascii="Courier New" w:hAnsi="Courier New" w:cs="Courier New"/>
      <w:color w:val="008000"/>
      <w:lang w:val="en-US" w:eastAsia="zh-CN"/>
    </w:rPr>
  </w:style>
  <w:style w:type="character" w:customStyle="1" w:styleId="635">
    <w:name w:val="tw4winInternal"/>
    <w:qFormat/>
    <w:uiPriority w:val="0"/>
    <w:rPr>
      <w:rFonts w:ascii="Courier New" w:hAnsi="Courier New" w:cs="Courier New"/>
      <w:color w:val="FF0000"/>
      <w:lang w:val="en-US" w:eastAsia="zh-CN"/>
    </w:rPr>
  </w:style>
  <w:style w:type="character" w:customStyle="1" w:styleId="636">
    <w:name w:val="font91"/>
    <w:qFormat/>
    <w:uiPriority w:val="0"/>
    <w:rPr>
      <w:rFonts w:hint="eastAsia" w:ascii="仿宋" w:hAnsi="仿宋" w:eastAsia="仿宋" w:cs="仿宋"/>
      <w:color w:val="000000"/>
      <w:sz w:val="22"/>
      <w:szCs w:val="22"/>
      <w:u w:val="none"/>
    </w:rPr>
  </w:style>
  <w:style w:type="character" w:customStyle="1" w:styleId="637">
    <w:name w:val="content"/>
    <w:qFormat/>
    <w:uiPriority w:val="0"/>
  </w:style>
  <w:style w:type="character" w:customStyle="1" w:styleId="638">
    <w:name w:val="HTML 预设格式 Char"/>
    <w:link w:val="60"/>
    <w:qFormat/>
    <w:uiPriority w:val="0"/>
    <w:rPr>
      <w:rFonts w:ascii="黑体" w:hAnsi="Courier New" w:eastAsia="黑体"/>
    </w:rPr>
  </w:style>
  <w:style w:type="character" w:customStyle="1" w:styleId="639">
    <w:name w:val="样式4 Char"/>
    <w:qFormat/>
    <w:uiPriority w:val="0"/>
    <w:rPr>
      <w:rFonts w:ascii="仿宋_GB2312" w:hAnsi="仿宋" w:eastAsia="仿宋_GB2312"/>
      <w:b/>
      <w:kern w:val="2"/>
      <w:sz w:val="32"/>
      <w:szCs w:val="32"/>
      <w:lang w:bidi="ar-SA"/>
    </w:rPr>
  </w:style>
  <w:style w:type="character" w:customStyle="1" w:styleId="640">
    <w:name w:val="普通文字 Char3"/>
    <w:qFormat/>
    <w:uiPriority w:val="0"/>
    <w:rPr>
      <w:rFonts w:ascii="宋体" w:hAnsi="Courier New" w:eastAsia="宋体"/>
      <w:kern w:val="2"/>
      <w:sz w:val="21"/>
      <w:lang w:val="en-US" w:eastAsia="zh-CN" w:bidi="ar-SA"/>
    </w:rPr>
  </w:style>
  <w:style w:type="character" w:customStyle="1" w:styleId="641">
    <w:name w:val="Char Char61"/>
    <w:qFormat/>
    <w:uiPriority w:val="6"/>
    <w:rPr>
      <w:rFonts w:eastAsia="宋体"/>
      <w:kern w:val="2"/>
      <w:sz w:val="21"/>
      <w:szCs w:val="24"/>
      <w:lang w:val="en-US" w:eastAsia="zh-CN" w:bidi="ar-SA"/>
    </w:rPr>
  </w:style>
  <w:style w:type="character" w:customStyle="1" w:styleId="642">
    <w:name w:val="标题 Char2"/>
    <w:link w:val="62"/>
    <w:qFormat/>
    <w:uiPriority w:val="10"/>
    <w:rPr>
      <w:b/>
      <w:sz w:val="24"/>
    </w:rPr>
  </w:style>
  <w:style w:type="character" w:customStyle="1" w:styleId="643">
    <w:name w:val="二级标题 Char Char"/>
    <w:qFormat/>
    <w:uiPriority w:val="0"/>
    <w:rPr>
      <w:rFonts w:ascii="宋体" w:hAnsi="宋体" w:eastAsia="宋体"/>
      <w:b/>
      <w:snapToGrid w:val="0"/>
      <w:kern w:val="2"/>
      <w:sz w:val="24"/>
      <w:szCs w:val="24"/>
      <w:lang w:val="en-US" w:eastAsia="zh-CN" w:bidi="ar-SA"/>
    </w:rPr>
  </w:style>
  <w:style w:type="character" w:customStyle="1" w:styleId="644">
    <w:name w:val="正文首行缩进两字 Char"/>
    <w:qFormat/>
    <w:uiPriority w:val="0"/>
    <w:rPr>
      <w:sz w:val="24"/>
      <w:szCs w:val="24"/>
      <w:lang w:val="en-US" w:eastAsia="zh-CN" w:bidi="ar-SA"/>
    </w:rPr>
  </w:style>
  <w:style w:type="character" w:customStyle="1" w:styleId="645">
    <w:name w:val="hui"/>
    <w:basedOn w:val="63"/>
    <w:qFormat/>
    <w:uiPriority w:val="0"/>
    <w:rPr>
      <w:rFonts w:ascii="Arial" w:hAnsi="Arial" w:eastAsia="黑体" w:cs="Arial"/>
      <w:snapToGrid w:val="0"/>
      <w:kern w:val="0"/>
      <w:szCs w:val="21"/>
    </w:rPr>
  </w:style>
  <w:style w:type="character" w:customStyle="1" w:styleId="646">
    <w:name w:val="正文缩进 字符"/>
    <w:qFormat/>
    <w:uiPriority w:val="0"/>
    <w:rPr>
      <w:rFonts w:ascii="宋体" w:eastAsia="宋体"/>
      <w:snapToGrid w:val="0"/>
      <w:color w:val="000000"/>
      <w:kern w:val="28"/>
      <w:sz w:val="28"/>
      <w:lang w:val="en-US" w:eastAsia="zh-CN" w:bidi="ar-SA"/>
    </w:rPr>
  </w:style>
  <w:style w:type="character" w:customStyle="1" w:styleId="647">
    <w:name w:val="Heading 1 Char"/>
    <w:qFormat/>
    <w:uiPriority w:val="6"/>
    <w:rPr>
      <w:rFonts w:ascii="Times New Roman" w:hAnsi="Times New Roman" w:eastAsia="黑体" w:cs="Times New Roman"/>
      <w:b/>
      <w:kern w:val="0"/>
      <w:sz w:val="24"/>
      <w:szCs w:val="24"/>
    </w:rPr>
  </w:style>
  <w:style w:type="character" w:customStyle="1" w:styleId="648">
    <w:name w:val="未处理的提及1"/>
    <w:qFormat/>
    <w:uiPriority w:val="0"/>
    <w:rPr>
      <w:color w:val="808080"/>
      <w:shd w:val="clear" w:color="auto" w:fill="E6E6E6"/>
    </w:rPr>
  </w:style>
  <w:style w:type="character" w:customStyle="1" w:styleId="649">
    <w:name w:val="正文文本 Char1"/>
    <w:link w:val="16"/>
    <w:qFormat/>
    <w:uiPriority w:val="0"/>
    <w:rPr>
      <w:rFonts w:ascii="宋体" w:hAnsi="Arial" w:eastAsia="宋体" w:cs="Arial"/>
      <w:snapToGrid w:val="0"/>
      <w:kern w:val="2"/>
      <w:sz w:val="24"/>
      <w:szCs w:val="21"/>
      <w:lang w:val="zh-CN" w:eastAsia="zh-CN" w:bidi="ar-SA"/>
    </w:rPr>
  </w:style>
  <w:style w:type="character" w:customStyle="1" w:styleId="650">
    <w:name w:val="标题 8 Char"/>
    <w:link w:val="10"/>
    <w:qFormat/>
    <w:uiPriority w:val="0"/>
    <w:rPr>
      <w:rFonts w:ascii="Arial" w:hAnsi="Arial" w:eastAsia="黑体"/>
      <w:kern w:val="2"/>
      <w:sz w:val="24"/>
      <w:szCs w:val="24"/>
    </w:rPr>
  </w:style>
  <w:style w:type="character" w:customStyle="1" w:styleId="651">
    <w:name w:val="Char Char5"/>
    <w:qFormat/>
    <w:uiPriority w:val="0"/>
    <w:rPr>
      <w:rFonts w:ascii="宋体" w:hAnsi="Courier New" w:eastAsia="宋体"/>
      <w:kern w:val="2"/>
      <w:sz w:val="21"/>
      <w:lang w:val="en-US" w:eastAsia="zh-CN"/>
    </w:rPr>
  </w:style>
  <w:style w:type="character" w:customStyle="1" w:styleId="652">
    <w:name w:val="zbggtop11 style5"/>
    <w:qFormat/>
    <w:uiPriority w:val="0"/>
    <w:rPr>
      <w:rFonts w:ascii="Arial" w:hAnsi="Arial" w:eastAsia="黑体" w:cs="Arial"/>
      <w:snapToGrid w:val="0"/>
      <w:kern w:val="0"/>
      <w:szCs w:val="21"/>
    </w:rPr>
  </w:style>
  <w:style w:type="character" w:customStyle="1" w:styleId="653">
    <w:name w:val="Char Char121"/>
    <w:qFormat/>
    <w:uiPriority w:val="6"/>
    <w:rPr>
      <w:rFonts w:ascii="仿宋_GB2312" w:eastAsia="仿宋_GB2312"/>
      <w:b/>
      <w:bCs/>
      <w:kern w:val="2"/>
      <w:sz w:val="24"/>
      <w:szCs w:val="24"/>
      <w:lang w:val="zh-CN" w:eastAsia="zh-CN" w:bidi="ar-SA"/>
    </w:rPr>
  </w:style>
  <w:style w:type="character" w:customStyle="1" w:styleId="65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55">
    <w:name w:val="Char Char12"/>
    <w:qFormat/>
    <w:uiPriority w:val="0"/>
    <w:rPr>
      <w:rFonts w:ascii="仿宋_GB2312" w:eastAsia="仿宋_GB2312"/>
      <w:b/>
      <w:bCs/>
      <w:kern w:val="2"/>
      <w:sz w:val="24"/>
      <w:szCs w:val="24"/>
      <w:lang w:val="zh-CN" w:eastAsia="zh-CN" w:bidi="ar-SA"/>
    </w:rPr>
  </w:style>
  <w:style w:type="character" w:customStyle="1" w:styleId="656">
    <w:name w:val="zbggmain style9"/>
    <w:qFormat/>
    <w:uiPriority w:val="0"/>
  </w:style>
  <w:style w:type="character" w:customStyle="1" w:styleId="657">
    <w:name w:val="正文（缩进2汉字） Char"/>
    <w:link w:val="365"/>
    <w:qFormat/>
    <w:uiPriority w:val="0"/>
    <w:rPr>
      <w:rFonts w:ascii="宋体"/>
    </w:rPr>
  </w:style>
  <w:style w:type="character" w:customStyle="1" w:styleId="658">
    <w:name w:val="No Spacing Char"/>
    <w:link w:val="163"/>
    <w:qFormat/>
    <w:uiPriority w:val="1"/>
    <w:rPr>
      <w:sz w:val="22"/>
      <w:szCs w:val="22"/>
      <w:lang w:val="en-US" w:eastAsia="zh-CN" w:bidi="ar-SA"/>
    </w:rPr>
  </w:style>
  <w:style w:type="character" w:customStyle="1" w:styleId="659">
    <w:name w:val="正文文本 3 Char1"/>
    <w:semiHidden/>
    <w:qFormat/>
    <w:uiPriority w:val="99"/>
    <w:rPr>
      <w:rFonts w:ascii="Times New Roman" w:hAnsi="Times New Roman" w:eastAsia="宋体" w:cs="Times New Roman"/>
      <w:sz w:val="16"/>
      <w:szCs w:val="16"/>
    </w:rPr>
  </w:style>
  <w:style w:type="character" w:customStyle="1" w:styleId="660">
    <w:name w:val="Char Char82"/>
    <w:qFormat/>
    <w:uiPriority w:val="0"/>
    <w:rPr>
      <w:rFonts w:eastAsia="宋体"/>
      <w:b/>
      <w:sz w:val="24"/>
      <w:lang w:eastAsia="zh-CN"/>
    </w:rPr>
  </w:style>
  <w:style w:type="character" w:customStyle="1" w:styleId="661">
    <w:name w:val="标题 6 Char1"/>
    <w:qFormat/>
    <w:uiPriority w:val="0"/>
    <w:rPr>
      <w:rFonts w:ascii="Arial" w:hAnsi="Arial" w:eastAsia="黑体" w:cs="Times New Roman"/>
      <w:b/>
      <w:sz w:val="24"/>
      <w:szCs w:val="20"/>
      <w:lang w:bidi="ar-SA"/>
    </w:rPr>
  </w:style>
  <w:style w:type="character" w:customStyle="1" w:styleId="662">
    <w:name w:val="正文2 Char Char"/>
    <w:link w:val="153"/>
    <w:qFormat/>
    <w:uiPriority w:val="0"/>
    <w:rPr>
      <w:rFonts w:eastAsia="宋体"/>
      <w:kern w:val="2"/>
      <w:sz w:val="24"/>
      <w:lang w:val="en-US" w:eastAsia="zh-CN" w:bidi="ar-SA"/>
    </w:rPr>
  </w:style>
  <w:style w:type="character" w:customStyle="1" w:styleId="663">
    <w:name w:val="*正文 Char"/>
    <w:link w:val="116"/>
    <w:qFormat/>
    <w:locked/>
    <w:uiPriority w:val="0"/>
    <w:rPr>
      <w:rFonts w:ascii="宋体" w:hAnsi="宋体"/>
      <w:sz w:val="24"/>
    </w:rPr>
  </w:style>
  <w:style w:type="character" w:customStyle="1" w:styleId="664">
    <w:name w:val="bulletintext1"/>
    <w:qFormat/>
    <w:uiPriority w:val="0"/>
    <w:rPr>
      <w:color w:val="000000"/>
      <w:sz w:val="18"/>
    </w:rPr>
  </w:style>
  <w:style w:type="character" w:customStyle="1" w:styleId="665">
    <w:name w:val="标书正文格式 Char"/>
    <w:qFormat/>
    <w:uiPriority w:val="0"/>
    <w:rPr>
      <w:rFonts w:eastAsia="楷体_GB2312"/>
      <w:kern w:val="2"/>
      <w:sz w:val="24"/>
      <w:szCs w:val="24"/>
      <w:lang w:bidi="ar-SA"/>
    </w:rPr>
  </w:style>
  <w:style w:type="character" w:customStyle="1" w:styleId="666">
    <w:name w:val="正文文本 Char"/>
    <w:qFormat/>
    <w:uiPriority w:val="0"/>
    <w:rPr>
      <w:rFonts w:eastAsia="宋体"/>
      <w:kern w:val="2"/>
      <w:sz w:val="24"/>
      <w:szCs w:val="24"/>
      <w:lang w:val="en-US" w:eastAsia="zh-CN" w:bidi="ar-SA"/>
    </w:rPr>
  </w:style>
  <w:style w:type="character" w:customStyle="1" w:styleId="667">
    <w:name w:val="U_正文 Char"/>
    <w:link w:val="129"/>
    <w:qFormat/>
    <w:uiPriority w:val="0"/>
    <w:rPr>
      <w:sz w:val="24"/>
      <w:szCs w:val="24"/>
    </w:rPr>
  </w:style>
  <w:style w:type="character" w:customStyle="1" w:styleId="66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669">
    <w:name w:val="正文首行缩进 Char Char Char Char Char"/>
    <w:qFormat/>
    <w:uiPriority w:val="0"/>
    <w:rPr>
      <w:rFonts w:ascii="宋体"/>
      <w:kern w:val="2"/>
      <w:sz w:val="24"/>
      <w:lang w:val="zh-CN"/>
    </w:rPr>
  </w:style>
  <w:style w:type="character" w:customStyle="1" w:styleId="670">
    <w:name w:val="h Char Char"/>
    <w:qFormat/>
    <w:uiPriority w:val="0"/>
    <w:rPr>
      <w:rFonts w:eastAsia="宋体"/>
      <w:kern w:val="2"/>
      <w:sz w:val="18"/>
      <w:lang w:val="en-US" w:eastAsia="zh-CN" w:bidi="ar-SA"/>
    </w:rPr>
  </w:style>
  <w:style w:type="character" w:customStyle="1" w:styleId="671">
    <w:name w:val="签名 Char"/>
    <w:link w:val="45"/>
    <w:qFormat/>
    <w:uiPriority w:val="0"/>
    <w:rPr>
      <w:rFonts w:eastAsia="仿宋_GB2312"/>
      <w:sz w:val="24"/>
    </w:rPr>
  </w:style>
  <w:style w:type="character" w:customStyle="1" w:styleId="672">
    <w:name w:val="标题 3 Char2"/>
    <w:qFormat/>
    <w:uiPriority w:val="0"/>
    <w:rPr>
      <w:rFonts w:eastAsia="宋体"/>
      <w:b/>
      <w:bCs/>
      <w:kern w:val="2"/>
      <w:sz w:val="32"/>
      <w:szCs w:val="32"/>
      <w:lang w:val="en-US" w:eastAsia="zh-CN" w:bidi="ar-SA"/>
    </w:rPr>
  </w:style>
  <w:style w:type="character" w:customStyle="1" w:styleId="673">
    <w:name w:val="solutionfonts"/>
    <w:qFormat/>
    <w:uiPriority w:val="0"/>
  </w:style>
  <w:style w:type="character" w:customStyle="1" w:styleId="674">
    <w:name w:val="Char Char411"/>
    <w:qFormat/>
    <w:uiPriority w:val="0"/>
    <w:rPr>
      <w:rFonts w:eastAsia="宋体"/>
      <w:b/>
      <w:sz w:val="24"/>
      <w:lang w:eastAsia="zh-CN" w:bidi="ar-SA"/>
    </w:rPr>
  </w:style>
  <w:style w:type="character" w:customStyle="1" w:styleId="675">
    <w:name w:val="unnamed11"/>
    <w:qFormat/>
    <w:uiPriority w:val="0"/>
    <w:rPr>
      <w:sz w:val="20"/>
      <w:szCs w:val="20"/>
    </w:rPr>
  </w:style>
  <w:style w:type="character" w:customStyle="1" w:styleId="676">
    <w:name w:val="Used by Word for text of Help footnotes Char Char1"/>
    <w:qFormat/>
    <w:uiPriority w:val="0"/>
    <w:rPr>
      <w:color w:val="0000FF"/>
      <w:sz w:val="21"/>
    </w:rPr>
  </w:style>
  <w:style w:type="character" w:customStyle="1" w:styleId="677">
    <w:name w:val="批注框文本 Char"/>
    <w:link w:val="41"/>
    <w:qFormat/>
    <w:uiPriority w:val="0"/>
    <w:rPr>
      <w:kern w:val="2"/>
      <w:sz w:val="18"/>
      <w:szCs w:val="18"/>
    </w:rPr>
  </w:style>
  <w:style w:type="character" w:customStyle="1" w:styleId="678">
    <w:name w:val="tw4winError"/>
    <w:qFormat/>
    <w:uiPriority w:val="0"/>
    <w:rPr>
      <w:rFonts w:ascii="Courier New" w:hAnsi="Courier New" w:cs="Courier New"/>
      <w:color w:val="00FF00"/>
      <w:sz w:val="40"/>
      <w:szCs w:val="40"/>
    </w:rPr>
  </w:style>
  <w:style w:type="character" w:customStyle="1" w:styleId="679">
    <w:name w:val="样式 样式 标题 4h4H4Fab-4T5Ref Heading 1rh1Heading sqlsect 1.2.3.... +... Char"/>
    <w:link w:val="310"/>
    <w:qFormat/>
    <w:uiPriority w:val="0"/>
    <w:rPr>
      <w:rFonts w:ascii="微软雅黑" w:hAnsi="微软雅黑" w:eastAsia="微软雅黑"/>
      <w:b/>
      <w:bCs/>
      <w:kern w:val="2"/>
      <w:sz w:val="24"/>
      <w:szCs w:val="28"/>
    </w:rPr>
  </w:style>
  <w:style w:type="character" w:customStyle="1" w:styleId="680">
    <w:name w:val="Heading 2 Hidden Char"/>
    <w:qFormat/>
    <w:uiPriority w:val="0"/>
    <w:rPr>
      <w:rFonts w:ascii="仿宋_GB2312" w:eastAsia="仿宋_GB2312"/>
      <w:b/>
      <w:bCs/>
      <w:kern w:val="2"/>
      <w:sz w:val="24"/>
      <w:szCs w:val="24"/>
      <w:lang w:val="zh-CN" w:eastAsia="zh-CN" w:bidi="ar-SA"/>
    </w:rPr>
  </w:style>
  <w:style w:type="character" w:customStyle="1" w:styleId="681">
    <w:name w:val="Char Char13"/>
    <w:qFormat/>
    <w:uiPriority w:val="6"/>
    <w:rPr>
      <w:rFonts w:ascii="宋体" w:hAnsi="宋体"/>
      <w:kern w:val="1"/>
      <w:sz w:val="21"/>
      <w:szCs w:val="24"/>
    </w:rPr>
  </w:style>
  <w:style w:type="character" w:customStyle="1" w:styleId="682">
    <w:name w:val="标题 Char"/>
    <w:qFormat/>
    <w:uiPriority w:val="0"/>
    <w:rPr>
      <w:rFonts w:eastAsia="宋体"/>
      <w:b/>
      <w:sz w:val="24"/>
      <w:lang w:eastAsia="zh-CN" w:bidi="ar-SA"/>
    </w:rPr>
  </w:style>
  <w:style w:type="character" w:customStyle="1" w:styleId="683">
    <w:name w:val="正文文本 2 Char"/>
    <w:qFormat/>
    <w:uiPriority w:val="0"/>
    <w:rPr>
      <w:rFonts w:eastAsia="宋体"/>
      <w:kern w:val="2"/>
      <w:sz w:val="21"/>
      <w:szCs w:val="24"/>
      <w:lang w:val="en-US" w:eastAsia="zh-CN" w:bidi="ar-SA"/>
    </w:rPr>
  </w:style>
  <w:style w:type="character" w:customStyle="1" w:styleId="684">
    <w:name w:val="正文 项目2 Char"/>
    <w:basedOn w:val="685"/>
    <w:qFormat/>
    <w:uiPriority w:val="0"/>
    <w:rPr>
      <w:rFonts w:ascii="仿宋_GB2312" w:hAnsi="仿宋_GB2312" w:eastAsia="仿宋_GB2312"/>
      <w:kern w:val="2"/>
      <w:sz w:val="24"/>
      <w:lang w:bidi="ar-SA"/>
    </w:rPr>
  </w:style>
  <w:style w:type="character" w:customStyle="1" w:styleId="685">
    <w:name w:val="正文 项目 Char"/>
    <w:qFormat/>
    <w:uiPriority w:val="0"/>
    <w:rPr>
      <w:rFonts w:ascii="仿宋_GB2312" w:hAnsi="仿宋_GB2312" w:eastAsia="仿宋_GB2312"/>
      <w:kern w:val="2"/>
      <w:sz w:val="24"/>
      <w:lang w:bidi="ar-SA"/>
    </w:rPr>
  </w:style>
  <w:style w:type="character" w:customStyle="1" w:styleId="686">
    <w:name w:val="页脚 字符"/>
    <w:qFormat/>
    <w:uiPriority w:val="99"/>
    <w:rPr>
      <w:kern w:val="2"/>
      <w:sz w:val="18"/>
      <w:szCs w:val="18"/>
    </w:rPr>
  </w:style>
  <w:style w:type="character" w:customStyle="1" w:styleId="687">
    <w:name w:val="large1"/>
    <w:qFormat/>
    <w:uiPriority w:val="0"/>
    <w:rPr>
      <w:rFonts w:hint="eastAsia" w:ascii="宋体" w:hAnsi="宋体" w:eastAsia="宋体"/>
      <w:sz w:val="21"/>
      <w:szCs w:val="21"/>
    </w:rPr>
  </w:style>
  <w:style w:type="character" w:customStyle="1" w:styleId="688">
    <w:name w:val="脚注文本 Char1"/>
    <w:qFormat/>
    <w:uiPriority w:val="0"/>
    <w:rPr>
      <w:rFonts w:ascii="Times New Roman" w:hAnsi="Times New Roman" w:eastAsia="宋体" w:cs="Times New Roman"/>
      <w:sz w:val="18"/>
      <w:szCs w:val="18"/>
    </w:rPr>
  </w:style>
  <w:style w:type="character" w:customStyle="1" w:styleId="689">
    <w:name w:val="文档结构图 Char1"/>
    <w:link w:val="22"/>
    <w:qFormat/>
    <w:uiPriority w:val="0"/>
    <w:rPr>
      <w:kern w:val="2"/>
      <w:sz w:val="21"/>
      <w:szCs w:val="24"/>
      <w:shd w:val="clear" w:color="auto" w:fill="000080"/>
    </w:rPr>
  </w:style>
  <w:style w:type="character" w:customStyle="1" w:styleId="690">
    <w:name w:val="正文1 Char1"/>
    <w:qFormat/>
    <w:uiPriority w:val="0"/>
    <w:rPr>
      <w:rFonts w:ascii="仿宋_GB2312" w:hAnsi="Courier New" w:eastAsia="仿宋_GB2312"/>
      <w:kern w:val="28"/>
      <w:sz w:val="24"/>
      <w:szCs w:val="24"/>
      <w:lang w:val="en-US" w:eastAsia="zh-CN"/>
    </w:rPr>
  </w:style>
  <w:style w:type="character" w:customStyle="1" w:styleId="691">
    <w:name w:val="Normal Indent Char Char"/>
    <w:qFormat/>
    <w:uiPriority w:val="0"/>
    <w:rPr>
      <w:rFonts w:eastAsia="宋体"/>
      <w:kern w:val="2"/>
      <w:sz w:val="21"/>
      <w:lang w:val="en-US" w:eastAsia="zh-CN" w:bidi="ar-SA"/>
    </w:rPr>
  </w:style>
  <w:style w:type="character" w:customStyle="1" w:styleId="692">
    <w:name w:val="编号，小四 Char"/>
    <w:link w:val="88"/>
    <w:qFormat/>
    <w:uiPriority w:val="0"/>
    <w:rPr>
      <w:rFonts w:ascii="Arial" w:hAnsi="Arial"/>
      <w:sz w:val="24"/>
    </w:rPr>
  </w:style>
  <w:style w:type="character" w:customStyle="1" w:styleId="693">
    <w:name w:val="正文文本缩进 3 Char1"/>
    <w:semiHidden/>
    <w:qFormat/>
    <w:uiPriority w:val="99"/>
    <w:rPr>
      <w:rFonts w:ascii="Times New Roman" w:hAnsi="Times New Roman" w:eastAsia="宋体" w:cs="Times New Roman"/>
      <w:sz w:val="16"/>
      <w:szCs w:val="16"/>
    </w:rPr>
  </w:style>
  <w:style w:type="character" w:customStyle="1" w:styleId="694">
    <w:name w:val="此正文 Char"/>
    <w:link w:val="299"/>
    <w:qFormat/>
    <w:uiPriority w:val="0"/>
    <w:rPr>
      <w:kern w:val="2"/>
      <w:sz w:val="24"/>
      <w:szCs w:val="24"/>
    </w:rPr>
  </w:style>
  <w:style w:type="character" w:customStyle="1" w:styleId="695">
    <w:name w:val="3级 Char"/>
    <w:link w:val="220"/>
    <w:qFormat/>
    <w:uiPriority w:val="0"/>
    <w:rPr>
      <w:rFonts w:ascii="宋体" w:hAnsi="宋体"/>
      <w:b/>
      <w:bCs/>
      <w:sz w:val="28"/>
    </w:rPr>
  </w:style>
  <w:style w:type="character" w:customStyle="1" w:styleId="696">
    <w:name w:val="c7 style3"/>
    <w:qFormat/>
    <w:uiPriority w:val="0"/>
  </w:style>
  <w:style w:type="character" w:customStyle="1" w:styleId="697">
    <w:name w:val="Heading 7 Char"/>
    <w:qFormat/>
    <w:locked/>
    <w:uiPriority w:val="0"/>
    <w:rPr>
      <w:rFonts w:ascii="宋体" w:hAnsi="宋体" w:eastAsia="宋体"/>
      <w:b/>
      <w:bCs/>
      <w:kern w:val="2"/>
      <w:sz w:val="24"/>
      <w:szCs w:val="24"/>
      <w:lang w:val="en-US" w:eastAsia="zh-CN" w:bidi="ar-SA"/>
    </w:rPr>
  </w:style>
  <w:style w:type="character" w:customStyle="1" w:styleId="698">
    <w:name w:val="myp1111"/>
    <w:qFormat/>
    <w:uiPriority w:val="0"/>
    <w:rPr>
      <w:rFonts w:hint="default" w:ascii="ˎ̥" w:hAnsi="ˎ̥"/>
      <w:color w:val="000000"/>
      <w:sz w:val="20"/>
      <w:szCs w:val="20"/>
      <w:u w:val="none"/>
    </w:rPr>
  </w:style>
  <w:style w:type="character" w:customStyle="1" w:styleId="699">
    <w:name w:val="表格名称[858D7CFB-ED40-4347-BF05-701D383B685F]"/>
    <w:link w:val="199"/>
    <w:qFormat/>
    <w:uiPriority w:val="0"/>
    <w:rPr>
      <w:sz w:val="32"/>
    </w:rPr>
  </w:style>
  <w:style w:type="character" w:customStyle="1" w:styleId="700">
    <w:name w:val="Char Char2"/>
    <w:qFormat/>
    <w:uiPriority w:val="0"/>
    <w:rPr>
      <w:rFonts w:eastAsia="宋体"/>
      <w:b/>
      <w:bCs/>
      <w:kern w:val="2"/>
      <w:sz w:val="21"/>
      <w:szCs w:val="24"/>
      <w:lang w:val="en-US" w:eastAsia="zh-CN" w:bidi="ar-SA"/>
    </w:rPr>
  </w:style>
  <w:style w:type="character" w:customStyle="1" w:styleId="701">
    <w:name w:val="正文缩进 Char"/>
    <w:qFormat/>
    <w:uiPriority w:val="0"/>
    <w:rPr>
      <w:rFonts w:eastAsia="宋体"/>
      <w:kern w:val="2"/>
      <w:sz w:val="21"/>
      <w:lang w:val="en-US" w:eastAsia="zh-CN"/>
    </w:rPr>
  </w:style>
  <w:style w:type="character" w:customStyle="1" w:styleId="702">
    <w:name w:val="冯广丽 Char"/>
    <w:link w:val="387"/>
    <w:qFormat/>
    <w:uiPriority w:val="0"/>
    <w:rPr>
      <w:rFonts w:ascii="宋体" w:hAnsi="宋体"/>
      <w:kern w:val="2"/>
      <w:sz w:val="24"/>
      <w:szCs w:val="22"/>
    </w:rPr>
  </w:style>
  <w:style w:type="character" w:customStyle="1" w:styleId="703">
    <w:name w:val="正文非缩进 Char3"/>
    <w:qFormat/>
    <w:uiPriority w:val="0"/>
    <w:rPr>
      <w:rFonts w:ascii="宋体" w:eastAsia="宋体"/>
      <w:snapToGrid w:val="0"/>
      <w:color w:val="000000"/>
      <w:kern w:val="28"/>
      <w:sz w:val="28"/>
      <w:lang w:val="en-US" w:eastAsia="zh-CN" w:bidi="ar-SA"/>
    </w:rPr>
  </w:style>
  <w:style w:type="character" w:customStyle="1" w:styleId="704">
    <w:name w:val="px14"/>
    <w:qFormat/>
    <w:uiPriority w:val="0"/>
    <w:rPr>
      <w:rFonts w:ascii="仿宋_GB2312" w:eastAsia="微软雅黑" w:cs="Times New Roman"/>
      <w:b/>
      <w:kern w:val="2"/>
      <w:sz w:val="32"/>
      <w:szCs w:val="32"/>
      <w:lang w:val="en-US" w:eastAsia="zh-CN" w:bidi="ar-SA"/>
    </w:rPr>
  </w:style>
  <w:style w:type="character" w:customStyle="1" w:styleId="705">
    <w:name w:val="表格非标题文字 Char"/>
    <w:link w:val="107"/>
    <w:qFormat/>
    <w:uiPriority w:val="0"/>
    <w:rPr>
      <w:rFonts w:ascii="Futura Bk" w:hAnsi="Futura Bk"/>
      <w:kern w:val="2"/>
      <w:sz w:val="18"/>
      <w:szCs w:val="21"/>
      <w:lang w:val="en-US" w:eastAsia="zh-CN" w:bidi="ar-SA"/>
    </w:rPr>
  </w:style>
  <w:style w:type="character" w:customStyle="1" w:styleId="706">
    <w:name w:val="Char Char9"/>
    <w:qFormat/>
    <w:uiPriority w:val="0"/>
    <w:rPr>
      <w:rFonts w:eastAsia="宋体"/>
      <w:kern w:val="2"/>
      <w:sz w:val="18"/>
      <w:szCs w:val="18"/>
      <w:lang w:val="en-US" w:eastAsia="zh-CN" w:bidi="ar-SA"/>
    </w:rPr>
  </w:style>
  <w:style w:type="character" w:customStyle="1" w:styleId="707">
    <w:name w:val="正文缩进 Char2"/>
    <w:link w:val="5"/>
    <w:qFormat/>
    <w:uiPriority w:val="0"/>
    <w:rPr>
      <w:rFonts w:ascii="宋体" w:eastAsia="宋体"/>
      <w:snapToGrid w:val="0"/>
      <w:color w:val="000000"/>
      <w:kern w:val="28"/>
      <w:sz w:val="28"/>
      <w:lang w:val="en-US" w:eastAsia="zh-CN" w:bidi="ar-SA"/>
    </w:rPr>
  </w:style>
  <w:style w:type="character" w:customStyle="1" w:styleId="708">
    <w:name w:val="Char Char52"/>
    <w:qFormat/>
    <w:uiPriority w:val="0"/>
    <w:rPr>
      <w:rFonts w:ascii="宋体" w:hAnsi="Courier New" w:eastAsia="宋体"/>
      <w:kern w:val="2"/>
      <w:sz w:val="21"/>
      <w:lang w:val="en-US" w:eastAsia="zh-CN"/>
    </w:rPr>
  </w:style>
  <w:style w:type="character" w:customStyle="1" w:styleId="709">
    <w:name w:val="列表段落 字符"/>
    <w:qFormat/>
    <w:uiPriority w:val="99"/>
  </w:style>
  <w:style w:type="character" w:customStyle="1" w:styleId="710">
    <w:name w:val="图名 Char"/>
    <w:qFormat/>
    <w:uiPriority w:val="0"/>
    <w:rPr>
      <w:rFonts w:ascii="Arial" w:hAnsi="Arial" w:eastAsia="黑体"/>
      <w:kern w:val="2"/>
      <w:sz w:val="24"/>
      <w:szCs w:val="24"/>
      <w:lang w:val="en-US" w:eastAsia="zh-CN" w:bidi="ar-SA"/>
    </w:rPr>
  </w:style>
  <w:style w:type="character" w:customStyle="1" w:styleId="711">
    <w:name w:val="正文缩进 Char3"/>
    <w:qFormat/>
    <w:uiPriority w:val="0"/>
    <w:rPr>
      <w:rFonts w:ascii="宋体" w:eastAsia="宋体"/>
      <w:snapToGrid w:val="0"/>
      <w:color w:val="000000"/>
      <w:kern w:val="28"/>
      <w:sz w:val="28"/>
      <w:lang w:val="en-US" w:eastAsia="zh-CN" w:bidi="ar-SA"/>
    </w:rPr>
  </w:style>
  <w:style w:type="character" w:customStyle="1" w:styleId="712">
    <w:name w:val="style36"/>
    <w:basedOn w:val="63"/>
    <w:qFormat/>
    <w:uiPriority w:val="0"/>
    <w:rPr>
      <w:rFonts w:ascii="Arial" w:hAnsi="Arial" w:eastAsia="黑体" w:cs="Arial"/>
      <w:snapToGrid w:val="0"/>
      <w:kern w:val="0"/>
      <w:szCs w:val="21"/>
    </w:rPr>
  </w:style>
  <w:style w:type="character" w:customStyle="1" w:styleId="713">
    <w:name w:val="dandyren_title1"/>
    <w:qFormat/>
    <w:uiPriority w:val="0"/>
    <w:rPr>
      <w:b/>
      <w:bCs/>
      <w:color w:val="FF6633"/>
      <w:sz w:val="18"/>
      <w:szCs w:val="18"/>
    </w:rPr>
  </w:style>
  <w:style w:type="character" w:customStyle="1" w:styleId="714">
    <w:name w:val="样式 标题 4h4H4Fab-4T5Ref Heading 1rh1Heading sqlsect 1.2.3.... Char"/>
    <w:link w:val="311"/>
    <w:qFormat/>
    <w:uiPriority w:val="0"/>
    <w:rPr>
      <w:rFonts w:ascii="微软雅黑" w:hAnsi="微软雅黑" w:eastAsia="微软雅黑"/>
      <w:b/>
      <w:bCs/>
      <w:kern w:val="2"/>
      <w:sz w:val="24"/>
      <w:szCs w:val="28"/>
    </w:rPr>
  </w:style>
  <w:style w:type="character" w:customStyle="1" w:styleId="715">
    <w:name w:val="font12gray1"/>
    <w:qFormat/>
    <w:uiPriority w:val="0"/>
    <w:rPr>
      <w:rFonts w:ascii="仿宋_GB2312" w:eastAsia="微软雅黑"/>
      <w:b/>
      <w:spacing w:val="300"/>
      <w:kern w:val="2"/>
      <w:sz w:val="18"/>
      <w:szCs w:val="18"/>
      <w:lang w:val="en-US" w:eastAsia="zh-CN" w:bidi="ar-SA"/>
    </w:rPr>
  </w:style>
  <w:style w:type="character" w:customStyle="1" w:styleId="716">
    <w:name w:val="Ò³Ã¼ Char Char1"/>
    <w:qFormat/>
    <w:uiPriority w:val="0"/>
    <w:rPr>
      <w:rFonts w:eastAsia="宋体"/>
      <w:kern w:val="2"/>
      <w:sz w:val="18"/>
      <w:szCs w:val="18"/>
      <w:lang w:val="en-US" w:eastAsia="zh-CN" w:bidi="ar-SA"/>
    </w:rPr>
  </w:style>
  <w:style w:type="character" w:customStyle="1" w:styleId="717">
    <w:name w:val="标书1 Char1"/>
    <w:qFormat/>
    <w:uiPriority w:val="0"/>
    <w:rPr>
      <w:rFonts w:eastAsia="宋体"/>
      <w:b/>
      <w:bCs/>
      <w:kern w:val="44"/>
      <w:sz w:val="44"/>
      <w:szCs w:val="44"/>
      <w:lang w:val="en-US" w:eastAsia="zh-CN" w:bidi="ar-SA"/>
    </w:rPr>
  </w:style>
  <w:style w:type="character" w:customStyle="1" w:styleId="718">
    <w:name w:val="Ò³Ã¼ Char Char"/>
    <w:qFormat/>
    <w:uiPriority w:val="0"/>
    <w:rPr>
      <w:rFonts w:eastAsia="宋体"/>
      <w:kern w:val="2"/>
      <w:sz w:val="18"/>
      <w:lang w:val="en-US" w:eastAsia="zh-CN" w:bidi="ar-SA"/>
    </w:rPr>
  </w:style>
  <w:style w:type="character" w:customStyle="1" w:styleId="719">
    <w:name w:val="批注文字 Char1"/>
    <w:link w:val="13"/>
    <w:qFormat/>
    <w:uiPriority w:val="99"/>
    <w:rPr>
      <w:kern w:val="2"/>
      <w:sz w:val="21"/>
      <w:szCs w:val="24"/>
    </w:rPr>
  </w:style>
  <w:style w:type="character" w:customStyle="1" w:styleId="720">
    <w:name w:val="Char Char11"/>
    <w:qFormat/>
    <w:locked/>
    <w:uiPriority w:val="0"/>
    <w:rPr>
      <w:rFonts w:ascii="宋体" w:hAnsi="宋体" w:eastAsia="宋体"/>
      <w:b/>
      <w:kern w:val="2"/>
      <w:sz w:val="24"/>
      <w:szCs w:val="24"/>
      <w:lang w:val="en-US" w:eastAsia="zh-CN" w:bidi="ar-SA"/>
    </w:rPr>
  </w:style>
  <w:style w:type="character" w:customStyle="1" w:styleId="721">
    <w:name w:val="标题 2 Char"/>
    <w:qFormat/>
    <w:uiPriority w:val="0"/>
    <w:rPr>
      <w:rFonts w:ascii="Arial" w:hAnsi="Arial" w:eastAsia="黑体"/>
      <w:b/>
      <w:kern w:val="2"/>
      <w:sz w:val="32"/>
      <w:lang w:val="en-US" w:eastAsia="zh-CN"/>
    </w:rPr>
  </w:style>
  <w:style w:type="character" w:customStyle="1" w:styleId="722">
    <w:name w:val="签名 Char1"/>
    <w:qFormat/>
    <w:uiPriority w:val="0"/>
    <w:rPr>
      <w:rFonts w:ascii="Times New Roman" w:hAnsi="Times New Roman" w:eastAsia="宋体" w:cs="Times New Roman"/>
      <w:szCs w:val="24"/>
    </w:rPr>
  </w:style>
  <w:style w:type="character" w:customStyle="1" w:styleId="723">
    <w:name w:val="Comment Text Char"/>
    <w:qFormat/>
    <w:locked/>
    <w:uiPriority w:val="0"/>
    <w:rPr>
      <w:rFonts w:ascii="宋体" w:hAnsi="宋体" w:eastAsia="宋体"/>
      <w:kern w:val="2"/>
      <w:sz w:val="24"/>
      <w:lang w:val="en-US" w:eastAsia="zh-CN" w:bidi="ar-SA"/>
    </w:rPr>
  </w:style>
  <w:style w:type="character" w:customStyle="1" w:styleId="724">
    <w:name w:val="hui3"/>
    <w:qFormat/>
    <w:uiPriority w:val="0"/>
    <w:rPr>
      <w:color w:val="333333"/>
    </w:rPr>
  </w:style>
  <w:style w:type="character" w:customStyle="1" w:styleId="725">
    <w:name w:val="Used by Word for text of Help footnotes Char Char"/>
    <w:qFormat/>
    <w:uiPriority w:val="0"/>
    <w:rPr>
      <w:rFonts w:ascii="Times New Roman" w:hAnsi="Times New Roman" w:eastAsia="宋体" w:cs="Times New Roman"/>
      <w:sz w:val="20"/>
      <w:szCs w:val="20"/>
    </w:rPr>
  </w:style>
  <w:style w:type="character" w:customStyle="1" w:styleId="726">
    <w:name w:val="方案正文 Char"/>
    <w:qFormat/>
    <w:uiPriority w:val="0"/>
    <w:rPr>
      <w:rFonts w:ascii="仿宋_GB2312" w:eastAsia="仿宋_GB2312"/>
      <w:b/>
      <w:color w:val="000000"/>
      <w:kern w:val="2"/>
      <w:sz w:val="24"/>
      <w:lang w:val="en-US" w:eastAsia="zh-CN" w:bidi="ar-SA"/>
    </w:rPr>
  </w:style>
  <w:style w:type="character" w:customStyle="1" w:styleId="727">
    <w:name w:val="Char Char611"/>
    <w:qFormat/>
    <w:uiPriority w:val="0"/>
    <w:rPr>
      <w:rFonts w:eastAsia="宋体"/>
      <w:kern w:val="2"/>
      <w:sz w:val="21"/>
      <w:szCs w:val="24"/>
      <w:lang w:val="en-US" w:eastAsia="zh-CN" w:bidi="ar-SA"/>
    </w:rPr>
  </w:style>
  <w:style w:type="character" w:customStyle="1" w:styleId="728">
    <w:name w:val="正文2 Char"/>
    <w:qFormat/>
    <w:uiPriority w:val="0"/>
    <w:rPr>
      <w:rFonts w:eastAsia="宋体"/>
      <w:kern w:val="2"/>
      <w:sz w:val="24"/>
      <w:lang w:val="en-US" w:eastAsia="zh-CN" w:bidi="ar-SA"/>
    </w:rPr>
  </w:style>
  <w:style w:type="character" w:customStyle="1" w:styleId="729">
    <w:name w:val="标准正文格式 Char"/>
    <w:qFormat/>
    <w:uiPriority w:val="0"/>
    <w:rPr>
      <w:rFonts w:ascii="宋体" w:eastAsia="仿宋_GB2312" w:cs="宋体"/>
      <w:color w:val="000000"/>
      <w:sz w:val="24"/>
      <w:lang w:val="en-US" w:eastAsia="zh-CN" w:bidi="ar-SA"/>
    </w:rPr>
  </w:style>
  <w:style w:type="character" w:customStyle="1" w:styleId="730">
    <w:name w:val="正文非缩进 Char"/>
    <w:qFormat/>
    <w:uiPriority w:val="0"/>
    <w:rPr>
      <w:rFonts w:ascii="宋体" w:eastAsia="宋体"/>
      <w:snapToGrid w:val="0"/>
      <w:color w:val="000000"/>
      <w:kern w:val="28"/>
      <w:sz w:val="28"/>
      <w:lang w:val="en-US" w:eastAsia="zh-CN" w:bidi="ar-SA"/>
    </w:rPr>
  </w:style>
  <w:style w:type="character" w:customStyle="1" w:styleId="731">
    <w:name w:val="正文文本 Char2"/>
    <w:semiHidden/>
    <w:qFormat/>
    <w:uiPriority w:val="99"/>
    <w:rPr>
      <w:rFonts w:ascii="Times New Roman" w:hAnsi="Times New Roman" w:eastAsia="宋体" w:cs="Times New Roman"/>
      <w:snapToGrid w:val="0"/>
      <w:kern w:val="0"/>
      <w:szCs w:val="24"/>
    </w:rPr>
  </w:style>
  <w:style w:type="character" w:customStyle="1" w:styleId="732">
    <w:name w:val="style91"/>
    <w:qFormat/>
    <w:uiPriority w:val="0"/>
    <w:rPr>
      <w:color w:val="333333"/>
    </w:rPr>
  </w:style>
  <w:style w:type="character" w:customStyle="1" w:styleId="733">
    <w:name w:val="15"/>
    <w:qFormat/>
    <w:uiPriority w:val="0"/>
    <w:rPr>
      <w:rFonts w:hint="default" w:ascii="Calibri" w:hAnsi="Calibri"/>
      <w:color w:val="0000FF"/>
      <w:u w:val="single"/>
    </w:rPr>
  </w:style>
  <w:style w:type="character" w:customStyle="1" w:styleId="734">
    <w:name w:val="txt"/>
    <w:qFormat/>
    <w:uiPriority w:val="0"/>
    <w:rPr>
      <w:rFonts w:ascii="仿宋_GB2312" w:eastAsia="微软雅黑"/>
      <w:b/>
      <w:kern w:val="2"/>
      <w:sz w:val="32"/>
      <w:szCs w:val="32"/>
      <w:lang w:val="en-US" w:eastAsia="zh-CN" w:bidi="ar-SA"/>
    </w:rPr>
  </w:style>
  <w:style w:type="character" w:customStyle="1" w:styleId="735">
    <w:name w:val="页眉 字符"/>
    <w:qFormat/>
    <w:uiPriority w:val="99"/>
    <w:rPr>
      <w:kern w:val="2"/>
      <w:sz w:val="18"/>
      <w:szCs w:val="18"/>
    </w:rPr>
  </w:style>
  <w:style w:type="character" w:customStyle="1" w:styleId="736">
    <w:name w:val="称呼 Char1"/>
    <w:qFormat/>
    <w:uiPriority w:val="0"/>
    <w:rPr>
      <w:rFonts w:ascii="Times New Roman" w:hAnsi="Times New Roman" w:eastAsia="宋体" w:cs="Times New Roman"/>
      <w:szCs w:val="24"/>
    </w:rPr>
  </w:style>
  <w:style w:type="character" w:customStyle="1" w:styleId="737">
    <w:name w:val="font71"/>
    <w:qFormat/>
    <w:uiPriority w:val="0"/>
    <w:rPr>
      <w:rFonts w:hint="eastAsia" w:ascii="宋体" w:hAnsi="宋体" w:eastAsia="宋体" w:cs="宋体"/>
      <w:color w:val="000000"/>
      <w:sz w:val="22"/>
      <w:szCs w:val="22"/>
      <w:u w:val="none"/>
    </w:rPr>
  </w:style>
  <w:style w:type="character" w:customStyle="1" w:styleId="738">
    <w:name w:val="日期 Char1"/>
    <w:semiHidden/>
    <w:qFormat/>
    <w:uiPriority w:val="99"/>
    <w:rPr>
      <w:rFonts w:ascii="Times New Roman" w:hAnsi="Times New Roman" w:eastAsia="宋体" w:cs="Times New Roman"/>
      <w:szCs w:val="24"/>
    </w:rPr>
  </w:style>
  <w:style w:type="character" w:customStyle="1" w:styleId="739">
    <w:name w:val="文本正文 Char Char"/>
    <w:qFormat/>
    <w:locked/>
    <w:uiPriority w:val="0"/>
    <w:rPr>
      <w:sz w:val="24"/>
      <w:lang w:bidi="ar-SA"/>
    </w:rPr>
  </w:style>
  <w:style w:type="character" w:customStyle="1" w:styleId="740">
    <w:name w:val="样式5 Char"/>
    <w:qFormat/>
    <w:uiPriority w:val="0"/>
    <w:rPr>
      <w:rFonts w:ascii="仿宋_GB2312" w:hAnsi="仿宋" w:eastAsia="仿宋_GB2312"/>
      <w:kern w:val="2"/>
      <w:sz w:val="24"/>
      <w:szCs w:val="24"/>
    </w:rPr>
  </w:style>
  <w:style w:type="character" w:customStyle="1" w:styleId="741">
    <w:name w:val="页眉 字符1"/>
    <w:qFormat/>
    <w:uiPriority w:val="99"/>
    <w:rPr>
      <w:kern w:val="2"/>
      <w:sz w:val="18"/>
      <w:szCs w:val="18"/>
    </w:rPr>
  </w:style>
  <w:style w:type="character" w:customStyle="1" w:styleId="742">
    <w:name w:val="t21"/>
    <w:qFormat/>
    <w:uiPriority w:val="0"/>
    <w:rPr>
      <w:rFonts w:ascii="仿宋_GB2312" w:eastAsia="微软雅黑"/>
      <w:b/>
      <w:kern w:val="2"/>
      <w:sz w:val="23"/>
      <w:szCs w:val="23"/>
      <w:lang w:val="en-US" w:eastAsia="zh-CN" w:bidi="ar-SA"/>
    </w:rPr>
  </w:style>
  <w:style w:type="character" w:customStyle="1" w:styleId="743">
    <w:name w:val="Char Char16"/>
    <w:qFormat/>
    <w:uiPriority w:val="6"/>
    <w:rPr>
      <w:kern w:val="1"/>
      <w:sz w:val="18"/>
      <w:szCs w:val="18"/>
    </w:rPr>
  </w:style>
  <w:style w:type="character" w:customStyle="1" w:styleId="744">
    <w:name w:val="交叉引用"/>
    <w:qFormat/>
    <w:uiPriority w:val="1"/>
    <w:rPr>
      <w:rFonts w:ascii="Arial" w:hAnsi="Arial" w:eastAsia="黑体"/>
      <w:snapToGrid w:val="0"/>
      <w:color w:val="0000FF"/>
      <w:kern w:val="0"/>
      <w:sz w:val="20"/>
      <w:szCs w:val="21"/>
      <w:u w:val="single"/>
      <w:lang w:val="en-US" w:eastAsia="zh-CN"/>
    </w:rPr>
  </w:style>
  <w:style w:type="character" w:customStyle="1" w:styleId="745">
    <w:name w:val="正文1 Char"/>
    <w:qFormat/>
    <w:uiPriority w:val="0"/>
    <w:rPr>
      <w:rFonts w:ascii="宋体" w:eastAsia="宋体"/>
      <w:snapToGrid w:val="0"/>
      <w:color w:val="000000"/>
      <w:kern w:val="28"/>
      <w:sz w:val="28"/>
      <w:lang w:val="en-US" w:eastAsia="zh-CN" w:bidi="ar-SA"/>
    </w:rPr>
  </w:style>
  <w:style w:type="character" w:customStyle="1" w:styleId="746">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747">
    <w:name w:val="段落 Char Char"/>
    <w:link w:val="372"/>
    <w:qFormat/>
    <w:uiPriority w:val="0"/>
    <w:rPr>
      <w:rFonts w:ascii="宋体" w:hAnsi="宋体"/>
      <w:sz w:val="24"/>
    </w:rPr>
  </w:style>
  <w:style w:type="character" w:customStyle="1" w:styleId="748">
    <w:name w:val="正文文本缩进 字符"/>
    <w:qFormat/>
    <w:uiPriority w:val="0"/>
    <w:rPr>
      <w:rFonts w:ascii="Century Gothic" w:hAnsi="Century Gothic" w:eastAsia="Century Gothic"/>
      <w:kern w:val="2"/>
      <w:sz w:val="24"/>
      <w:lang w:val="en-US" w:eastAsia="zh-CN" w:bidi="ar-SA"/>
    </w:rPr>
  </w:style>
  <w:style w:type="character" w:customStyle="1" w:styleId="749">
    <w:name w:val="font51"/>
    <w:qFormat/>
    <w:uiPriority w:val="0"/>
    <w:rPr>
      <w:rFonts w:hint="eastAsia" w:ascii="仿宋" w:hAnsi="仿宋" w:eastAsia="仿宋" w:cs="仿宋"/>
      <w:color w:val="000000"/>
      <w:sz w:val="20"/>
      <w:szCs w:val="20"/>
      <w:u w:val="none"/>
    </w:rPr>
  </w:style>
  <w:style w:type="character" w:customStyle="1" w:styleId="750">
    <w:name w:val="Char Char15"/>
    <w:qFormat/>
    <w:uiPriority w:val="6"/>
    <w:rPr>
      <w:rFonts w:ascii="宋体" w:hAnsi="宋体"/>
      <w:kern w:val="1"/>
      <w:sz w:val="21"/>
    </w:rPr>
  </w:style>
  <w:style w:type="character" w:customStyle="1" w:styleId="751">
    <w:name w:val="Header Char"/>
    <w:qFormat/>
    <w:locked/>
    <w:uiPriority w:val="0"/>
    <w:rPr>
      <w:rFonts w:eastAsia="宋体"/>
      <w:kern w:val="2"/>
      <w:sz w:val="18"/>
      <w:szCs w:val="18"/>
      <w:lang w:val="en-US" w:eastAsia="zh-CN" w:bidi="ar-SA"/>
    </w:rPr>
  </w:style>
  <w:style w:type="character" w:customStyle="1" w:styleId="752">
    <w:name w:val="正文缩进 Char1"/>
    <w:qFormat/>
    <w:uiPriority w:val="0"/>
    <w:rPr>
      <w:rFonts w:ascii="宋体" w:eastAsia="宋体"/>
      <w:snapToGrid w:val="0"/>
      <w:color w:val="000000"/>
      <w:kern w:val="28"/>
      <w:sz w:val="28"/>
      <w:lang w:val="en-US" w:eastAsia="zh-CN" w:bidi="ar-SA"/>
    </w:rPr>
  </w:style>
  <w:style w:type="character" w:customStyle="1" w:styleId="753">
    <w:name w:val="副标题 Char"/>
    <w:link w:val="50"/>
    <w:qFormat/>
    <w:uiPriority w:val="0"/>
    <w:rPr>
      <w:rFonts w:ascii="Arial" w:hAnsi="Arial" w:eastAsia="隶书"/>
      <w:b/>
      <w:bCs/>
      <w:kern w:val="28"/>
      <w:sz w:val="44"/>
      <w:szCs w:val="32"/>
      <w:lang w:val="en-US" w:eastAsia="zh-CN" w:bidi="ar-SA"/>
    </w:rPr>
  </w:style>
  <w:style w:type="character" w:customStyle="1" w:styleId="754">
    <w:name w:val="f141"/>
    <w:qFormat/>
    <w:uiPriority w:val="0"/>
    <w:rPr>
      <w:rFonts w:ascii="Tahoma" w:hAnsi="Tahoma" w:eastAsia="宋体"/>
      <w:b/>
      <w:kern w:val="2"/>
      <w:sz w:val="21"/>
      <w:szCs w:val="21"/>
      <w:lang w:val="en-US" w:eastAsia="zh-CN" w:bidi="ar-SA"/>
    </w:rPr>
  </w:style>
  <w:style w:type="character" w:customStyle="1" w:styleId="755">
    <w:name w:val="font41"/>
    <w:qFormat/>
    <w:uiPriority w:val="0"/>
    <w:rPr>
      <w:rFonts w:hint="eastAsia" w:ascii="仿宋_GB2312" w:eastAsia="仿宋_GB2312" w:cs="仿宋_GB2312"/>
      <w:color w:val="000000"/>
      <w:sz w:val="22"/>
      <w:szCs w:val="22"/>
      <w:u w:val="none"/>
    </w:rPr>
  </w:style>
  <w:style w:type="character" w:customStyle="1" w:styleId="756">
    <w:name w:val="DO_NOT_TRANSLATE"/>
    <w:qFormat/>
    <w:uiPriority w:val="0"/>
    <w:rPr>
      <w:rFonts w:ascii="Courier New" w:hAnsi="Courier New" w:cs="Courier New"/>
      <w:color w:val="800000"/>
      <w:lang w:val="en-US" w:eastAsia="zh-CN"/>
    </w:rPr>
  </w:style>
  <w:style w:type="character" w:customStyle="1" w:styleId="757">
    <w:name w:val="Table Text Char"/>
    <w:link w:val="339"/>
    <w:qFormat/>
    <w:uiPriority w:val="0"/>
    <w:rPr>
      <w:sz w:val="24"/>
      <w:szCs w:val="24"/>
    </w:rPr>
  </w:style>
  <w:style w:type="character" w:customStyle="1" w:styleId="758">
    <w:name w:val="tw4winMark"/>
    <w:qFormat/>
    <w:uiPriority w:val="0"/>
    <w:rPr>
      <w:rFonts w:ascii="Courier New" w:hAnsi="Courier New" w:cs="Courier New"/>
      <w:vanish/>
      <w:color w:val="800080"/>
      <w:sz w:val="24"/>
      <w:szCs w:val="24"/>
      <w:vertAlign w:val="subscript"/>
    </w:rPr>
  </w:style>
  <w:style w:type="character" w:customStyle="1" w:styleId="759">
    <w:name w:val="my正文 Char"/>
    <w:link w:val="208"/>
    <w:qFormat/>
    <w:locked/>
    <w:uiPriority w:val="0"/>
    <w:rPr>
      <w:rFonts w:ascii="Tahoma" w:hAnsi="Tahoma"/>
      <w:sz w:val="24"/>
      <w:szCs w:val="24"/>
    </w:rPr>
  </w:style>
  <w:style w:type="character" w:customStyle="1" w:styleId="760">
    <w:name w:val="正文（绿盟科技） Char"/>
    <w:link w:val="189"/>
    <w:qFormat/>
    <w:uiPriority w:val="0"/>
    <w:rPr>
      <w:rFonts w:ascii="Arial" w:hAnsi="Arial"/>
      <w:sz w:val="21"/>
      <w:szCs w:val="21"/>
    </w:rPr>
  </w:style>
  <w:style w:type="character" w:customStyle="1" w:styleId="761">
    <w:name w:val="批注文字 字符"/>
    <w:qFormat/>
    <w:uiPriority w:val="0"/>
    <w:rPr>
      <w:rFonts w:ascii="Arial" w:hAnsi="Arial" w:eastAsia="黑体" w:cs="Arial"/>
      <w:snapToGrid w:val="0"/>
      <w:kern w:val="0"/>
      <w:szCs w:val="21"/>
    </w:rPr>
  </w:style>
  <w:style w:type="character" w:customStyle="1" w:styleId="762">
    <w:name w:val="列出段落 Char"/>
    <w:qFormat/>
    <w:uiPriority w:val="0"/>
    <w:rPr>
      <w:rFonts w:eastAsia="楷体_GB2312" w:cs="Lucida Sans"/>
      <w:kern w:val="2"/>
      <w:sz w:val="24"/>
      <w:szCs w:val="24"/>
      <w:lang w:val="en-US" w:eastAsia="zh-CN" w:bidi="ar-SA"/>
    </w:rPr>
  </w:style>
  <w:style w:type="character" w:customStyle="1" w:styleId="763">
    <w:name w:val="副标题 Char1"/>
    <w:qFormat/>
    <w:uiPriority w:val="0"/>
    <w:rPr>
      <w:rFonts w:ascii="Cambria" w:hAnsi="Cambria" w:eastAsia="宋体" w:cs="Times New Roman"/>
      <w:b/>
      <w:bCs/>
      <w:snapToGrid w:val="0"/>
      <w:kern w:val="28"/>
      <w:sz w:val="32"/>
      <w:szCs w:val="32"/>
    </w:rPr>
  </w:style>
  <w:style w:type="character" w:customStyle="1" w:styleId="764">
    <w:name w:val="Char Char35"/>
    <w:qFormat/>
    <w:uiPriority w:val="6"/>
    <w:rPr>
      <w:rFonts w:ascii="Arial" w:hAnsi="Arial" w:eastAsia="黑体"/>
      <w:b/>
      <w:kern w:val="1"/>
      <w:sz w:val="28"/>
      <w:szCs w:val="28"/>
      <w:lang w:val="zh-CN"/>
    </w:rPr>
  </w:style>
  <w:style w:type="character" w:customStyle="1" w:styleId="765">
    <w:name w:val="页脚 Char"/>
    <w:qFormat/>
    <w:uiPriority w:val="0"/>
    <w:rPr>
      <w:rFonts w:eastAsia="仿宋_GB2312"/>
      <w:kern w:val="2"/>
      <w:sz w:val="18"/>
      <w:lang w:val="en-US" w:eastAsia="zh-CN"/>
    </w:rPr>
  </w:style>
  <w:style w:type="character" w:customStyle="1" w:styleId="766">
    <w:name w:val="h Char1"/>
    <w:qFormat/>
    <w:uiPriority w:val="0"/>
    <w:rPr>
      <w:sz w:val="18"/>
      <w:szCs w:val="18"/>
    </w:rPr>
  </w:style>
  <w:style w:type="character" w:customStyle="1" w:styleId="767">
    <w:name w:val="批注主题 Char1"/>
    <w:link w:val="12"/>
    <w:qFormat/>
    <w:uiPriority w:val="0"/>
    <w:rPr>
      <w:b/>
      <w:bCs/>
      <w:kern w:val="2"/>
      <w:sz w:val="21"/>
      <w:szCs w:val="24"/>
    </w:rPr>
  </w:style>
  <w:style w:type="character" w:customStyle="1" w:styleId="768">
    <w:name w:val="标题 4 字符"/>
    <w:qFormat/>
    <w:uiPriority w:val="9"/>
    <w:rPr>
      <w:rFonts w:ascii="等线 Light" w:hAnsi="等线 Light" w:eastAsia="等线 Light" w:cs="Times New Roman"/>
      <w:b/>
      <w:bCs/>
      <w:snapToGrid w:val="0"/>
      <w:kern w:val="0"/>
      <w:sz w:val="28"/>
      <w:szCs w:val="28"/>
    </w:rPr>
  </w:style>
  <w:style w:type="character" w:customStyle="1" w:styleId="769">
    <w:name w:val="ca-131"/>
    <w:qFormat/>
    <w:uiPriority w:val="0"/>
    <w:rPr>
      <w:rFonts w:hint="eastAsia" w:ascii="仿宋_GB2312" w:eastAsia="仿宋_GB2312"/>
      <w:b/>
      <w:bCs/>
      <w:color w:val="000000"/>
      <w:spacing w:val="-20"/>
      <w:sz w:val="24"/>
      <w:szCs w:val="24"/>
    </w:rPr>
  </w:style>
  <w:style w:type="character" w:customStyle="1" w:styleId="770">
    <w:name w:val="正文文本缩进 Char3"/>
    <w:link w:val="26"/>
    <w:qFormat/>
    <w:uiPriority w:val="0"/>
    <w:rPr>
      <w:rFonts w:ascii="宋体" w:hAnsi="宋体"/>
      <w:kern w:val="2"/>
      <w:sz w:val="24"/>
      <w:szCs w:val="24"/>
    </w:rPr>
  </w:style>
  <w:style w:type="character" w:customStyle="1" w:styleId="771">
    <w:name w:val="myp11"/>
    <w:qFormat/>
    <w:uiPriority w:val="0"/>
    <w:rPr>
      <w:rFonts w:ascii="仿宋_GB2312" w:eastAsia="微软雅黑"/>
      <w:b/>
      <w:kern w:val="2"/>
      <w:sz w:val="32"/>
      <w:szCs w:val="32"/>
      <w:lang w:val="en-US" w:eastAsia="zh-CN" w:bidi="ar-SA"/>
    </w:rPr>
  </w:style>
  <w:style w:type="character" w:customStyle="1" w:styleId="772">
    <w:name w:val="Char Char18"/>
    <w:qFormat/>
    <w:uiPriority w:val="6"/>
    <w:rPr>
      <w:rFonts w:ascii="宋体" w:hAnsi="宋体"/>
      <w:sz w:val="28"/>
    </w:rPr>
  </w:style>
  <w:style w:type="character" w:customStyle="1" w:styleId="773">
    <w:name w:val="javascript"/>
    <w:qFormat/>
    <w:uiPriority w:val="0"/>
  </w:style>
  <w:style w:type="character" w:customStyle="1" w:styleId="774">
    <w:name w:val="页脚 Char1"/>
    <w:qFormat/>
    <w:uiPriority w:val="0"/>
    <w:rPr>
      <w:rFonts w:eastAsia="宋体"/>
      <w:kern w:val="2"/>
      <w:sz w:val="18"/>
      <w:szCs w:val="18"/>
      <w:lang w:val="en-US" w:eastAsia="zh-CN" w:bidi="ar-SA"/>
    </w:rPr>
  </w:style>
  <w:style w:type="character" w:customStyle="1" w:styleId="775">
    <w:name w:val="批注框文本 字符"/>
    <w:qFormat/>
    <w:uiPriority w:val="0"/>
    <w:rPr>
      <w:rFonts w:ascii="Arial" w:hAnsi="Arial" w:eastAsia="黑体" w:cs="Arial"/>
      <w:snapToGrid w:val="0"/>
      <w:kern w:val="0"/>
      <w:sz w:val="18"/>
      <w:szCs w:val="18"/>
    </w:rPr>
  </w:style>
  <w:style w:type="character" w:customStyle="1" w:styleId="776">
    <w:name w:val="纯文本 Char2"/>
    <w:semiHidden/>
    <w:qFormat/>
    <w:uiPriority w:val="99"/>
    <w:rPr>
      <w:rFonts w:ascii="宋体" w:hAnsi="Courier New" w:eastAsia="宋体" w:cs="Courier New"/>
    </w:rPr>
  </w:style>
  <w:style w:type="character" w:customStyle="1" w:styleId="777">
    <w:name w:val="样式 宋体"/>
    <w:qFormat/>
    <w:uiPriority w:val="0"/>
    <w:rPr>
      <w:rFonts w:ascii="宋体" w:hAnsi="宋体"/>
      <w:sz w:val="24"/>
    </w:rPr>
  </w:style>
  <w:style w:type="character" w:customStyle="1" w:styleId="778">
    <w:name w:val="Table Text Char1"/>
    <w:qFormat/>
    <w:uiPriority w:val="0"/>
    <w:rPr>
      <w:rFonts w:eastAsia="宋体"/>
      <w:sz w:val="24"/>
      <w:szCs w:val="24"/>
      <w:lang w:val="en-US" w:eastAsia="zh-CN" w:bidi="ar-SA"/>
    </w:rPr>
  </w:style>
  <w:style w:type="character" w:customStyle="1" w:styleId="779">
    <w:name w:val="正文首行缩进 2 Char1"/>
    <w:qFormat/>
    <w:uiPriority w:val="0"/>
    <w:rPr>
      <w:rFonts w:ascii="Times New Roman" w:hAnsi="Times New Roman" w:eastAsia="宋体" w:cs="Times New Roman"/>
      <w:kern w:val="2"/>
      <w:sz w:val="24"/>
      <w:szCs w:val="24"/>
    </w:rPr>
  </w:style>
  <w:style w:type="character" w:customStyle="1" w:styleId="780">
    <w:name w:val="带编号样式 Char"/>
    <w:qFormat/>
    <w:uiPriority w:val="0"/>
    <w:rPr>
      <w:rFonts w:ascii="仿宋_GB2312" w:eastAsia="仿宋_GB2312"/>
      <w:color w:val="000000"/>
      <w:sz w:val="24"/>
      <w:lang w:bidi="ar-SA"/>
    </w:rPr>
  </w:style>
  <w:style w:type="character" w:customStyle="1" w:styleId="781">
    <w:name w:val="表正文 Char1"/>
    <w:qFormat/>
    <w:uiPriority w:val="0"/>
    <w:rPr>
      <w:rFonts w:ascii="宋体" w:eastAsia="宋体"/>
      <w:snapToGrid w:val="0"/>
      <w:color w:val="000000"/>
      <w:kern w:val="28"/>
      <w:sz w:val="28"/>
    </w:rPr>
  </w:style>
  <w:style w:type="character" w:customStyle="1" w:styleId="782">
    <w:name w:val="表格 Char Char"/>
    <w:qFormat/>
    <w:uiPriority w:val="0"/>
    <w:rPr>
      <w:rFonts w:ascii="宋体" w:hAnsi="宋体" w:eastAsia="宋体"/>
      <w:lang w:bidi="ar-SA"/>
    </w:rPr>
  </w:style>
  <w:style w:type="character" w:customStyle="1" w:styleId="783">
    <w:name w:val="尾注文本 Char"/>
    <w:link w:val="40"/>
    <w:qFormat/>
    <w:uiPriority w:val="0"/>
    <w:rPr>
      <w:kern w:val="2"/>
      <w:sz w:val="21"/>
      <w:szCs w:val="24"/>
      <w:lang w:val="zh-CN"/>
    </w:rPr>
  </w:style>
  <w:style w:type="character" w:customStyle="1" w:styleId="784">
    <w:name w:val="文档结构图 Char"/>
    <w:qFormat/>
    <w:uiPriority w:val="0"/>
    <w:rPr>
      <w:rFonts w:eastAsia="宋体"/>
      <w:kern w:val="2"/>
      <w:sz w:val="21"/>
      <w:szCs w:val="24"/>
      <w:lang w:val="en-US" w:eastAsia="zh-CN" w:bidi="ar-SA"/>
    </w:rPr>
  </w:style>
  <w:style w:type="character" w:customStyle="1" w:styleId="785">
    <w:name w:val="16"/>
    <w:qFormat/>
    <w:uiPriority w:val="0"/>
    <w:rPr>
      <w:rFonts w:hint="eastAsia" w:ascii="宋体" w:hAnsi="宋体" w:eastAsia="宋体"/>
      <w:color w:val="000000"/>
      <w:sz w:val="20"/>
      <w:szCs w:val="20"/>
    </w:rPr>
  </w:style>
  <w:style w:type="character" w:customStyle="1" w:styleId="786">
    <w:name w:val="Body Text(ch) Char Char"/>
    <w:qFormat/>
    <w:uiPriority w:val="0"/>
    <w:rPr>
      <w:rFonts w:ascii="宋体"/>
      <w:kern w:val="2"/>
      <w:sz w:val="24"/>
      <w:szCs w:val="21"/>
      <w:lang w:val="zh-CN"/>
    </w:rPr>
  </w:style>
  <w:style w:type="character" w:customStyle="1" w:styleId="787">
    <w:name w:val="样式7 Char"/>
    <w:qFormat/>
    <w:uiPriority w:val="0"/>
    <w:rPr>
      <w:rFonts w:ascii="仿宋_GB2312" w:hAnsi="仿宋" w:eastAsia="仿宋_GB2312"/>
      <w:b/>
      <w:kern w:val="2"/>
      <w:sz w:val="24"/>
      <w:szCs w:val="24"/>
    </w:rPr>
  </w:style>
  <w:style w:type="character" w:customStyle="1" w:styleId="788">
    <w:name w:val="Char Char29"/>
    <w:qFormat/>
    <w:uiPriority w:val="6"/>
    <w:rPr>
      <w:rFonts w:ascii="Arial" w:hAnsi="Arial" w:eastAsia="微软雅黑"/>
      <w:b/>
      <w:kern w:val="1"/>
      <w:sz w:val="44"/>
      <w:szCs w:val="32"/>
      <w:lang w:val="en-US" w:eastAsia="zh-CN" w:bidi="ar-SA"/>
    </w:rPr>
  </w:style>
  <w:style w:type="character" w:customStyle="1" w:styleId="78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790">
    <w:name w:val="首行缩进 Char"/>
    <w:qFormat/>
    <w:uiPriority w:val="0"/>
    <w:rPr>
      <w:rFonts w:ascii="宋体" w:eastAsia="宋体"/>
      <w:kern w:val="2"/>
      <w:sz w:val="24"/>
      <w:lang w:val="en-US" w:eastAsia="zh-CN" w:bidi="ar-SA"/>
    </w:rPr>
  </w:style>
  <w:style w:type="character" w:customStyle="1" w:styleId="791">
    <w:name w:val="批注文字 Char2"/>
    <w:qFormat/>
    <w:uiPriority w:val="99"/>
    <w:rPr>
      <w:rFonts w:ascii="Times New Roman" w:hAnsi="Times New Roman" w:eastAsia="宋体" w:cs="Times New Roman"/>
      <w:snapToGrid w:val="0"/>
      <w:kern w:val="0"/>
      <w:szCs w:val="24"/>
    </w:rPr>
  </w:style>
  <w:style w:type="character" w:customStyle="1" w:styleId="792">
    <w:name w:val="样式3 Char"/>
    <w:basedOn w:val="793"/>
    <w:qFormat/>
    <w:uiPriority w:val="0"/>
    <w:rPr>
      <w:rFonts w:ascii="仿宋_GB2312" w:hAnsi="仿宋" w:eastAsia="仿宋_GB2312" w:cs="仿宋_GB2312"/>
      <w:sz w:val="32"/>
      <w:szCs w:val="30"/>
      <w:lang w:val="zh-CN"/>
    </w:rPr>
  </w:style>
  <w:style w:type="character" w:customStyle="1" w:styleId="793">
    <w:name w:val="样式2 Char"/>
    <w:qFormat/>
    <w:uiPriority w:val="0"/>
    <w:rPr>
      <w:rFonts w:ascii="仿宋_GB2312" w:hAnsi="仿宋" w:eastAsia="仿宋_GB2312" w:cs="仿宋_GB2312"/>
      <w:b/>
      <w:bCs/>
      <w:sz w:val="32"/>
      <w:szCs w:val="30"/>
      <w:lang w:val="zh-CN"/>
    </w:rPr>
  </w:style>
  <w:style w:type="character" w:customStyle="1" w:styleId="794">
    <w:name w:val="批注主题 Char"/>
    <w:qFormat/>
    <w:uiPriority w:val="0"/>
    <w:rPr>
      <w:rFonts w:eastAsia="宋体"/>
      <w:b/>
      <w:bCs/>
      <w:kern w:val="2"/>
      <w:sz w:val="21"/>
      <w:szCs w:val="24"/>
      <w:lang w:val="en-US" w:eastAsia="zh-CN" w:bidi="ar-SA"/>
    </w:rPr>
  </w:style>
  <w:style w:type="character" w:customStyle="1" w:styleId="795">
    <w:name w:val="公文正文 Char Char"/>
    <w:link w:val="355"/>
    <w:qFormat/>
    <w:uiPriority w:val="0"/>
    <w:rPr>
      <w:rFonts w:ascii="仿宋_GB2312" w:eastAsia="仿宋_GB2312"/>
      <w:kern w:val="2"/>
      <w:sz w:val="24"/>
      <w:szCs w:val="24"/>
    </w:rPr>
  </w:style>
  <w:style w:type="character" w:customStyle="1" w:styleId="796">
    <w:name w:val="未用 Char"/>
    <w:qFormat/>
    <w:uiPriority w:val="0"/>
    <w:rPr>
      <w:rFonts w:ascii="Arial" w:hAnsi="Arial" w:eastAsia="黑体"/>
      <w:kern w:val="2"/>
      <w:sz w:val="21"/>
      <w:szCs w:val="21"/>
      <w:lang w:val="en-US" w:eastAsia="zh-CN" w:bidi="ar-SA"/>
    </w:rPr>
  </w:style>
  <w:style w:type="character" w:customStyle="1" w:styleId="797">
    <w:name w:val="Char Char31"/>
    <w:qFormat/>
    <w:uiPriority w:val="6"/>
    <w:rPr>
      <w:rFonts w:ascii="Arial" w:hAnsi="Arial" w:eastAsia="黑体"/>
      <w:kern w:val="1"/>
      <w:sz w:val="24"/>
      <w:szCs w:val="24"/>
    </w:rPr>
  </w:style>
  <w:style w:type="character" w:customStyle="1" w:styleId="798">
    <w:name w:val="tw4winJump"/>
    <w:qFormat/>
    <w:uiPriority w:val="0"/>
    <w:rPr>
      <w:rFonts w:ascii="Courier New" w:hAnsi="Courier New" w:cs="Courier New"/>
      <w:color w:val="008080"/>
      <w:lang w:val="en-US" w:eastAsia="zh-CN"/>
    </w:rPr>
  </w:style>
  <w:style w:type="character" w:customStyle="1" w:styleId="799">
    <w:name w:val="Char Char19"/>
    <w:qFormat/>
    <w:uiPriority w:val="6"/>
    <w:rPr>
      <w:rFonts w:ascii="宋体" w:hAnsi="宋体"/>
      <w:i/>
      <w:sz w:val="24"/>
      <w:szCs w:val="24"/>
    </w:rPr>
  </w:style>
  <w:style w:type="character" w:customStyle="1" w:styleId="800">
    <w:name w:val="ksfind_class_select1"/>
    <w:basedOn w:val="63"/>
    <w:qFormat/>
    <w:uiPriority w:val="0"/>
    <w:rPr>
      <w:color w:val="000000"/>
      <w:shd w:val="clear" w:color="auto" w:fill="EFD200"/>
    </w:rPr>
  </w:style>
  <w:style w:type="character" w:customStyle="1" w:styleId="801">
    <w:name w:val="正文文本 2 Char1"/>
    <w:link w:val="59"/>
    <w:qFormat/>
    <w:uiPriority w:val="0"/>
    <w:rPr>
      <w:kern w:val="2"/>
      <w:sz w:val="21"/>
      <w:szCs w:val="24"/>
    </w:rPr>
  </w:style>
  <w:style w:type="character" w:customStyle="1" w:styleId="802">
    <w:name w:val="HTML 地址 Char1"/>
    <w:qFormat/>
    <w:uiPriority w:val="0"/>
    <w:rPr>
      <w:rFonts w:ascii="Times New Roman" w:hAnsi="Times New Roman" w:eastAsia="宋体" w:cs="Times New Roman"/>
      <w:i/>
      <w:iCs/>
      <w:szCs w:val="24"/>
    </w:rPr>
  </w:style>
  <w:style w:type="character" w:customStyle="1" w:styleId="803">
    <w:name w:val="正文文本 2 字符"/>
    <w:qFormat/>
    <w:uiPriority w:val="0"/>
    <w:rPr>
      <w:rFonts w:ascii="Arial" w:hAnsi="Arial" w:eastAsia="宋体"/>
      <w:kern w:val="2"/>
      <w:sz w:val="24"/>
      <w:szCs w:val="24"/>
      <w:lang w:val="en-US" w:eastAsia="zh-CN" w:bidi="ar-SA"/>
    </w:rPr>
  </w:style>
  <w:style w:type="character" w:customStyle="1" w:styleId="804">
    <w:name w:val="b11_01b Char"/>
    <w:link w:val="127"/>
    <w:qFormat/>
    <w:uiPriority w:val="0"/>
    <w:rPr>
      <w:rFonts w:ascii="Verdana" w:hAnsi="Verdana"/>
      <w:b/>
      <w:bCs/>
      <w:color w:val="4A82CA"/>
      <w:sz w:val="17"/>
      <w:szCs w:val="17"/>
    </w:rPr>
  </w:style>
  <w:style w:type="character" w:customStyle="1" w:styleId="805">
    <w:name w:val="PI Char"/>
    <w:qFormat/>
    <w:uiPriority w:val="0"/>
    <w:rPr>
      <w:rFonts w:ascii="宋体" w:hAnsi="宋体" w:eastAsia="宋体"/>
      <w:kern w:val="2"/>
      <w:sz w:val="24"/>
      <w:szCs w:val="24"/>
      <w:lang w:val="en-US" w:eastAsia="zh-CN" w:bidi="ar-SA"/>
    </w:rPr>
  </w:style>
  <w:style w:type="character" w:customStyle="1" w:styleId="806">
    <w:name w:val="标题 2 Char Char"/>
    <w:qFormat/>
    <w:uiPriority w:val="0"/>
    <w:rPr>
      <w:rFonts w:ascii="楷体_GB2312" w:hAnsi="Arial" w:eastAsia="楷体_GB2312"/>
      <w:b/>
      <w:bCs/>
      <w:kern w:val="2"/>
      <w:sz w:val="24"/>
      <w:szCs w:val="32"/>
      <w:lang w:val="en-US" w:eastAsia="zh-CN" w:bidi="ar-SA"/>
    </w:rPr>
  </w:style>
  <w:style w:type="character" w:customStyle="1" w:styleId="807">
    <w:name w:val="Char Char1211"/>
    <w:qFormat/>
    <w:uiPriority w:val="0"/>
    <w:rPr>
      <w:rFonts w:ascii="仿宋_GB2312" w:eastAsia="仿宋_GB2312"/>
      <w:b/>
      <w:bCs/>
      <w:kern w:val="2"/>
      <w:sz w:val="24"/>
      <w:szCs w:val="24"/>
      <w:lang w:val="zh-CN" w:eastAsia="zh-CN" w:bidi="ar-SA"/>
    </w:rPr>
  </w:style>
  <w:style w:type="character" w:customStyle="1" w:styleId="808">
    <w:name w:val="Char Char28"/>
    <w:qFormat/>
    <w:uiPriority w:val="6"/>
    <w:rPr>
      <w:rFonts w:ascii="仿宋_GB2312" w:hAnsi="仿宋_GB2312" w:eastAsia="仿宋_GB2312"/>
      <w:kern w:val="1"/>
      <w:sz w:val="28"/>
    </w:rPr>
  </w:style>
  <w:style w:type="character" w:customStyle="1" w:styleId="809">
    <w:name w:val="Char Char211"/>
    <w:qFormat/>
    <w:uiPriority w:val="0"/>
    <w:rPr>
      <w:rFonts w:eastAsia="宋体"/>
      <w:b/>
      <w:bCs/>
      <w:kern w:val="2"/>
      <w:sz w:val="21"/>
      <w:szCs w:val="24"/>
      <w:lang w:val="en-US" w:eastAsia="zh-CN" w:bidi="ar-SA"/>
    </w:rPr>
  </w:style>
  <w:style w:type="character" w:customStyle="1" w:styleId="810">
    <w:name w:val="Char Char8"/>
    <w:qFormat/>
    <w:uiPriority w:val="0"/>
    <w:rPr>
      <w:rFonts w:eastAsia="宋体"/>
      <w:b/>
      <w:sz w:val="24"/>
      <w:lang w:eastAsia="zh-CN"/>
    </w:rPr>
  </w:style>
  <w:style w:type="character" w:customStyle="1" w:styleId="811">
    <w:name w:val="Char Char91"/>
    <w:qFormat/>
    <w:uiPriority w:val="0"/>
    <w:rPr>
      <w:rFonts w:eastAsia="宋体"/>
      <w:kern w:val="2"/>
      <w:sz w:val="18"/>
      <w:szCs w:val="18"/>
      <w:lang w:val="en-US" w:eastAsia="zh-CN" w:bidi="ar-SA"/>
    </w:rPr>
  </w:style>
  <w:style w:type="character" w:customStyle="1" w:styleId="812">
    <w:name w:val="Char Char4"/>
    <w:qFormat/>
    <w:uiPriority w:val="0"/>
    <w:rPr>
      <w:rFonts w:eastAsia="宋体"/>
      <w:b/>
      <w:sz w:val="24"/>
      <w:lang w:eastAsia="zh-CN" w:bidi="ar-SA"/>
    </w:rPr>
  </w:style>
  <w:style w:type="character" w:customStyle="1" w:styleId="813">
    <w:name w:val="正文首行缩进 Char"/>
    <w:link w:val="15"/>
    <w:qFormat/>
    <w:uiPriority w:val="0"/>
    <w:rPr>
      <w:rFonts w:ascii="宋体"/>
      <w:kern w:val="2"/>
      <w:sz w:val="24"/>
      <w:lang w:val="zh-CN"/>
    </w:rPr>
  </w:style>
  <w:style w:type="character" w:customStyle="1" w:styleId="814">
    <w:name w:val="Char Char71"/>
    <w:semiHidden/>
    <w:qFormat/>
    <w:uiPriority w:val="0"/>
    <w:rPr>
      <w:rFonts w:eastAsia="宋体"/>
      <w:kern w:val="2"/>
      <w:sz w:val="21"/>
      <w:szCs w:val="24"/>
      <w:lang w:val="en-US" w:eastAsia="zh-CN" w:bidi="ar-SA"/>
    </w:rPr>
  </w:style>
  <w:style w:type="character" w:customStyle="1" w:styleId="815">
    <w:name w:val="dectext1"/>
    <w:qFormat/>
    <w:uiPriority w:val="0"/>
    <w:rPr>
      <w:rFonts w:ascii="宋体" w:hAnsi="宋体" w:eastAsia="宋体"/>
      <w:color w:val="333333"/>
      <w:sz w:val="21"/>
      <w:szCs w:val="21"/>
      <w:u w:val="none"/>
    </w:rPr>
  </w:style>
  <w:style w:type="character" w:customStyle="1" w:styleId="816">
    <w:name w:val="tpc_content1"/>
    <w:qFormat/>
    <w:uiPriority w:val="0"/>
    <w:rPr>
      <w:sz w:val="20"/>
      <w:szCs w:val="20"/>
    </w:rPr>
  </w:style>
  <w:style w:type="character" w:customStyle="1" w:styleId="817">
    <w:name w:val="Char Char51"/>
    <w:qFormat/>
    <w:uiPriority w:val="0"/>
    <w:rPr>
      <w:rFonts w:ascii="宋体" w:hAnsi="Courier New" w:eastAsia="宋体"/>
      <w:kern w:val="2"/>
      <w:sz w:val="21"/>
      <w:lang w:val="en-US" w:eastAsia="zh-CN"/>
    </w:rPr>
  </w:style>
  <w:style w:type="character" w:customStyle="1" w:styleId="818">
    <w:name w:val="标题4-dyf Char"/>
    <w:link w:val="234"/>
    <w:qFormat/>
    <w:uiPriority w:val="0"/>
    <w:rPr>
      <w:rFonts w:ascii="Cambria" w:hAnsi="Cambria"/>
      <w:b/>
      <w:bCs/>
      <w:color w:val="000000"/>
      <w:kern w:val="2"/>
      <w:sz w:val="21"/>
      <w:szCs w:val="21"/>
    </w:rPr>
  </w:style>
  <w:style w:type="character" w:customStyle="1" w:styleId="819">
    <w:name w:val="标题 1 Char"/>
    <w:link w:val="2"/>
    <w:qFormat/>
    <w:uiPriority w:val="9"/>
    <w:rPr>
      <w:b/>
      <w:bCs/>
      <w:kern w:val="44"/>
      <w:sz w:val="44"/>
      <w:szCs w:val="44"/>
    </w:rPr>
  </w:style>
  <w:style w:type="character" w:customStyle="1" w:styleId="820">
    <w:name w:val="pt9"/>
    <w:qFormat/>
    <w:uiPriority w:val="0"/>
    <w:rPr>
      <w:rFonts w:ascii="仿宋_GB2312" w:eastAsia="微软雅黑"/>
      <w:b/>
      <w:kern w:val="2"/>
      <w:sz w:val="32"/>
      <w:szCs w:val="32"/>
      <w:lang w:val="en-US" w:eastAsia="zh-CN" w:bidi="ar-SA"/>
    </w:rPr>
  </w:style>
  <w:style w:type="character" w:customStyle="1" w:styleId="821">
    <w:name w:val="正文首行缩进 Char1"/>
    <w:qFormat/>
    <w:uiPriority w:val="0"/>
    <w:rPr>
      <w:rFonts w:ascii="宋体" w:hAnsi="Times New Roman" w:eastAsia="宋体" w:cs="Times New Roman"/>
      <w:snapToGrid w:val="0"/>
      <w:kern w:val="2"/>
      <w:sz w:val="24"/>
      <w:szCs w:val="21"/>
      <w:lang w:val="zh-CN"/>
    </w:rPr>
  </w:style>
  <w:style w:type="character" w:customStyle="1" w:styleId="822">
    <w:name w:val="哈哈正文 Char Char"/>
    <w:qFormat/>
    <w:uiPriority w:val="0"/>
    <w:rPr>
      <w:rFonts w:ascii="宋体" w:hAnsi="宋体" w:eastAsia="宋体" w:cs="宋体"/>
      <w:kern w:val="2"/>
      <w:sz w:val="24"/>
      <w:lang w:val="en-US" w:eastAsia="zh-CN" w:bidi="ar-SA"/>
    </w:rPr>
  </w:style>
  <w:style w:type="character" w:customStyle="1" w:styleId="823">
    <w:name w:val="edui-unclickable"/>
    <w:qFormat/>
    <w:uiPriority w:val="0"/>
    <w:rPr>
      <w:color w:val="808080"/>
    </w:rPr>
  </w:style>
  <w:style w:type="character" w:customStyle="1" w:styleId="824">
    <w:name w:val="Char Char212"/>
    <w:qFormat/>
    <w:uiPriority w:val="0"/>
    <w:rPr>
      <w:rFonts w:eastAsia="宋体"/>
      <w:b/>
      <w:bCs/>
      <w:kern w:val="2"/>
      <w:sz w:val="21"/>
      <w:szCs w:val="24"/>
      <w:lang w:val="en-US" w:eastAsia="zh-CN" w:bidi="ar-SA"/>
    </w:rPr>
  </w:style>
  <w:style w:type="character" w:customStyle="1" w:styleId="825">
    <w:name w:val="标题 4 Char"/>
    <w:qFormat/>
    <w:uiPriority w:val="0"/>
    <w:rPr>
      <w:rFonts w:ascii="Arial" w:hAnsi="Arial" w:eastAsia="黑体"/>
      <w:b/>
      <w:kern w:val="2"/>
      <w:sz w:val="28"/>
    </w:rPr>
  </w:style>
  <w:style w:type="character" w:customStyle="1" w:styleId="826">
    <w:name w:val="标题 9 Char"/>
    <w:link w:val="11"/>
    <w:qFormat/>
    <w:uiPriority w:val="0"/>
    <w:rPr>
      <w:rFonts w:ascii="Arial" w:hAnsi="Arial" w:eastAsia="黑体"/>
      <w:kern w:val="2"/>
      <w:sz w:val="21"/>
      <w:szCs w:val="21"/>
    </w:rPr>
  </w:style>
  <w:style w:type="character" w:customStyle="1" w:styleId="827">
    <w:name w:val="正文文本缩进 2 Char1"/>
    <w:semiHidden/>
    <w:qFormat/>
    <w:uiPriority w:val="99"/>
    <w:rPr>
      <w:rFonts w:ascii="Times New Roman" w:hAnsi="Times New Roman" w:eastAsia="宋体" w:cs="Times New Roman"/>
      <w:szCs w:val="24"/>
    </w:rPr>
  </w:style>
  <w:style w:type="character" w:customStyle="1" w:styleId="828">
    <w:name w:val="Char Char34"/>
    <w:qFormat/>
    <w:uiPriority w:val="6"/>
    <w:rPr>
      <w:b/>
      <w:kern w:val="1"/>
      <w:sz w:val="28"/>
      <w:szCs w:val="28"/>
    </w:rPr>
  </w:style>
  <w:style w:type="character" w:customStyle="1" w:styleId="829">
    <w:name w:val="表正文 Char"/>
    <w:qFormat/>
    <w:uiPriority w:val="0"/>
    <w:rPr>
      <w:rFonts w:ascii="宋体" w:eastAsia="宋体"/>
      <w:snapToGrid w:val="0"/>
      <w:color w:val="000000"/>
      <w:kern w:val="28"/>
      <w:sz w:val="28"/>
      <w:lang w:val="en-US" w:eastAsia="zh-CN" w:bidi="ar-SA"/>
    </w:rPr>
  </w:style>
  <w:style w:type="character" w:customStyle="1" w:styleId="830">
    <w:name w:val="哈哈正文 Char"/>
    <w:link w:val="136"/>
    <w:qFormat/>
    <w:uiPriority w:val="0"/>
    <w:rPr>
      <w:rFonts w:ascii="宋体" w:hAnsi="宋体" w:eastAsia="宋体"/>
      <w:kern w:val="2"/>
      <w:sz w:val="24"/>
      <w:lang w:bidi="ar-SA"/>
    </w:rPr>
  </w:style>
  <w:style w:type="character" w:customStyle="1" w:styleId="831">
    <w:name w:val="Char Char32"/>
    <w:qFormat/>
    <w:uiPriority w:val="6"/>
    <w:rPr>
      <w:b/>
      <w:kern w:val="1"/>
      <w:sz w:val="24"/>
      <w:szCs w:val="24"/>
    </w:rPr>
  </w:style>
  <w:style w:type="character" w:customStyle="1" w:styleId="832">
    <w:name w:val="页眉 Char"/>
    <w:qFormat/>
    <w:uiPriority w:val="0"/>
    <w:rPr>
      <w:rFonts w:eastAsia="仿宋_GB2312"/>
      <w:kern w:val="2"/>
      <w:sz w:val="18"/>
      <w:lang w:val="en-US" w:eastAsia="zh-CN"/>
    </w:rPr>
  </w:style>
  <w:style w:type="character" w:customStyle="1" w:styleId="833">
    <w:name w:val="页眉 Char1"/>
    <w:qFormat/>
    <w:uiPriority w:val="0"/>
    <w:rPr>
      <w:rFonts w:eastAsia="宋体"/>
      <w:kern w:val="2"/>
      <w:sz w:val="18"/>
      <w:szCs w:val="18"/>
      <w:lang w:val="en-US" w:eastAsia="zh-CN" w:bidi="ar-SA"/>
    </w:rPr>
  </w:style>
  <w:style w:type="character" w:customStyle="1" w:styleId="834">
    <w:name w:val="Footer Char"/>
    <w:qFormat/>
    <w:locked/>
    <w:uiPriority w:val="0"/>
    <w:rPr>
      <w:rFonts w:eastAsia="宋体"/>
      <w:kern w:val="2"/>
      <w:sz w:val="18"/>
      <w:lang w:val="en-US" w:eastAsia="zh-CN" w:bidi="ar-SA"/>
    </w:rPr>
  </w:style>
  <w:style w:type="character" w:customStyle="1" w:styleId="835">
    <w:name w:val="Char Char102"/>
    <w:semiHidden/>
    <w:qFormat/>
    <w:uiPriority w:val="0"/>
    <w:rPr>
      <w:rFonts w:ascii="宋体" w:hAnsi="宋体"/>
      <w:kern w:val="2"/>
      <w:sz w:val="21"/>
      <w:szCs w:val="24"/>
      <w:lang w:val="en-US" w:eastAsia="zh-CN"/>
    </w:rPr>
  </w:style>
  <w:style w:type="character" w:customStyle="1" w:styleId="836">
    <w:name w:val="Char Char311"/>
    <w:qFormat/>
    <w:uiPriority w:val="0"/>
    <w:rPr>
      <w:rFonts w:eastAsia="宋体"/>
      <w:kern w:val="2"/>
      <w:sz w:val="21"/>
      <w:szCs w:val="24"/>
      <w:lang w:val="en-US" w:eastAsia="zh-CN" w:bidi="ar-SA"/>
    </w:rPr>
  </w:style>
  <w:style w:type="character" w:customStyle="1" w:styleId="837">
    <w:name w:val="普通文字 Char Char1"/>
    <w:qFormat/>
    <w:uiPriority w:val="0"/>
    <w:rPr>
      <w:rFonts w:ascii="宋体" w:hAnsi="Courier New"/>
      <w:kern w:val="2"/>
      <w:sz w:val="21"/>
    </w:rPr>
  </w:style>
  <w:style w:type="character" w:customStyle="1" w:styleId="838">
    <w:name w:val="H6 Char"/>
    <w:qFormat/>
    <w:uiPriority w:val="0"/>
    <w:rPr>
      <w:rFonts w:ascii="Arial" w:hAnsi="Arial" w:eastAsia="黑体"/>
      <w:b/>
      <w:bCs/>
      <w:kern w:val="2"/>
      <w:sz w:val="24"/>
      <w:szCs w:val="24"/>
    </w:rPr>
  </w:style>
  <w:style w:type="character" w:customStyle="1" w:styleId="839">
    <w:name w:val="big1"/>
    <w:qFormat/>
    <w:uiPriority w:val="0"/>
    <w:rPr>
      <w:rFonts w:hint="eastAsia" w:ascii="宋体" w:hAnsi="宋体" w:eastAsia="宋体"/>
      <w:color w:val="333333"/>
      <w:sz w:val="22"/>
      <w:szCs w:val="22"/>
    </w:rPr>
  </w:style>
  <w:style w:type="character" w:customStyle="1" w:styleId="840">
    <w:name w:val="冯 Char"/>
    <w:link w:val="239"/>
    <w:qFormat/>
    <w:uiPriority w:val="0"/>
    <w:rPr>
      <w:rFonts w:ascii="宋体" w:hAnsi="宋体"/>
      <w:color w:val="000000"/>
      <w:sz w:val="24"/>
      <w:szCs w:val="24"/>
    </w:rPr>
  </w:style>
  <w:style w:type="character" w:customStyle="1" w:styleId="841">
    <w:name w:val="Default Char"/>
    <w:link w:val="254"/>
    <w:qFormat/>
    <w:uiPriority w:val="0"/>
    <w:rPr>
      <w:rFonts w:ascii="仿宋_GB2312" w:eastAsia="仿宋_GB2312" w:cs="仿宋_GB2312"/>
      <w:color w:val="000000"/>
      <w:sz w:val="24"/>
      <w:szCs w:val="24"/>
      <w:lang w:val="en-US" w:eastAsia="zh-CN" w:bidi="ar-SA"/>
    </w:rPr>
  </w:style>
  <w:style w:type="character" w:customStyle="1" w:styleId="842">
    <w:name w:val="5正文 Char"/>
    <w:link w:val="138"/>
    <w:qFormat/>
    <w:uiPriority w:val="0"/>
    <w:rPr>
      <w:rFonts w:ascii="仿宋_GB2312" w:hAnsi="微软雅黑" w:eastAsia="仿宋_GB2312"/>
      <w:sz w:val="28"/>
      <w:szCs w:val="21"/>
    </w:rPr>
  </w:style>
  <w:style w:type="character" w:customStyle="1" w:styleId="843">
    <w:name w:val="公文正文 Char"/>
    <w:qFormat/>
    <w:uiPriority w:val="0"/>
    <w:rPr>
      <w:rFonts w:ascii="仿宋_GB2312" w:eastAsia="仿宋_GB2312"/>
      <w:kern w:val="2"/>
      <w:sz w:val="24"/>
      <w:szCs w:val="24"/>
      <w:lang w:val="en-US" w:eastAsia="zh-CN" w:bidi="ar-SA"/>
    </w:rPr>
  </w:style>
  <w:style w:type="character" w:customStyle="1" w:styleId="844">
    <w:name w:val="Char Char6"/>
    <w:qFormat/>
    <w:uiPriority w:val="0"/>
    <w:rPr>
      <w:rFonts w:eastAsia="宋体"/>
      <w:kern w:val="2"/>
      <w:sz w:val="21"/>
      <w:szCs w:val="24"/>
      <w:lang w:val="en-US" w:eastAsia="zh-CN" w:bidi="ar-SA"/>
    </w:rPr>
  </w:style>
  <w:style w:type="character" w:customStyle="1" w:styleId="84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46">
    <w:name w:val="PI Char1"/>
    <w:qFormat/>
    <w:uiPriority w:val="0"/>
    <w:rPr>
      <w:rFonts w:ascii="宋体" w:hAnsi="宋体"/>
      <w:kern w:val="2"/>
      <w:sz w:val="24"/>
      <w:szCs w:val="24"/>
    </w:rPr>
  </w:style>
  <w:style w:type="character" w:customStyle="1" w:styleId="847">
    <w:name w:val="tw4winTerm"/>
    <w:qFormat/>
    <w:uiPriority w:val="0"/>
    <w:rPr>
      <w:color w:val="0000FF"/>
    </w:rPr>
  </w:style>
  <w:style w:type="character" w:customStyle="1" w:styleId="848">
    <w:name w:val="Char Char81"/>
    <w:qFormat/>
    <w:uiPriority w:val="6"/>
    <w:rPr>
      <w:rFonts w:eastAsia="宋体"/>
      <w:b/>
      <w:sz w:val="24"/>
      <w:lang w:eastAsia="zh-CN"/>
    </w:rPr>
  </w:style>
  <w:style w:type="character" w:customStyle="1" w:styleId="849">
    <w:name w:val="Char Char101"/>
    <w:qFormat/>
    <w:uiPriority w:val="6"/>
    <w:rPr>
      <w:rFonts w:ascii="宋体" w:hAnsi="宋体"/>
      <w:kern w:val="2"/>
      <w:sz w:val="21"/>
      <w:szCs w:val="24"/>
      <w:lang w:val="en-US" w:eastAsia="zh-CN"/>
    </w:rPr>
  </w:style>
  <w:style w:type="character" w:customStyle="1" w:styleId="850">
    <w:name w:val="题注 Char"/>
    <w:link w:val="20"/>
    <w:qFormat/>
    <w:uiPriority w:val="0"/>
    <w:rPr>
      <w:b/>
      <w:kern w:val="2"/>
      <w:sz w:val="28"/>
    </w:rPr>
  </w:style>
  <w:style w:type="character" w:customStyle="1" w:styleId="851">
    <w:name w:val="链接"/>
    <w:qFormat/>
    <w:uiPriority w:val="0"/>
    <w:rPr>
      <w:color w:val="0000FF"/>
      <w:sz w:val="21"/>
      <w:szCs w:val="21"/>
      <w:u w:val="single"/>
    </w:rPr>
  </w:style>
  <w:style w:type="character" w:customStyle="1" w:styleId="852">
    <w:name w:val="脚注文本 Char"/>
    <w:link w:val="53"/>
    <w:qFormat/>
    <w:uiPriority w:val="0"/>
    <w:rPr>
      <w:color w:val="0000FF"/>
      <w:sz w:val="21"/>
    </w:rPr>
  </w:style>
  <w:style w:type="character" w:customStyle="1" w:styleId="853">
    <w:name w:val="h4 Char"/>
    <w:qFormat/>
    <w:uiPriority w:val="0"/>
    <w:rPr>
      <w:rFonts w:ascii="Arial" w:hAnsi="Arial" w:eastAsia="黑体"/>
      <w:b/>
      <w:bCs/>
      <w:kern w:val="2"/>
      <w:sz w:val="28"/>
      <w:szCs w:val="28"/>
      <w:lang w:val="zh-CN" w:eastAsia="zh-CN" w:bidi="ar-SA"/>
    </w:rPr>
  </w:style>
  <w:style w:type="character" w:customStyle="1" w:styleId="854">
    <w:name w:val="font21"/>
    <w:qFormat/>
    <w:uiPriority w:val="0"/>
    <w:rPr>
      <w:rFonts w:hint="eastAsia" w:ascii="宋体" w:hAnsi="宋体" w:eastAsia="宋体"/>
      <w:kern w:val="2"/>
      <w:sz w:val="28"/>
      <w:szCs w:val="28"/>
      <w:lang w:val="en-US" w:eastAsia="zh-CN" w:bidi="ar-SA"/>
    </w:rPr>
  </w:style>
  <w:style w:type="character" w:customStyle="1" w:styleId="855">
    <w:name w:val="标题 3 字符"/>
    <w:qFormat/>
    <w:uiPriority w:val="9"/>
    <w:rPr>
      <w:b/>
      <w:bCs/>
      <w:kern w:val="2"/>
      <w:sz w:val="32"/>
      <w:szCs w:val="32"/>
    </w:rPr>
  </w:style>
  <w:style w:type="character" w:customStyle="1" w:styleId="856">
    <w:name w:val="Item List Char"/>
    <w:link w:val="319"/>
    <w:qFormat/>
    <w:uiPriority w:val="0"/>
    <w:rPr>
      <w:rFonts w:ascii="Arial"/>
      <w:bCs/>
      <w:sz w:val="21"/>
      <w:szCs w:val="21"/>
      <w:lang w:val="en-US" w:eastAsia="zh-CN" w:bidi="ar-SA"/>
    </w:rPr>
  </w:style>
  <w:style w:type="character" w:customStyle="1" w:styleId="857">
    <w:name w:val="样式6 Char"/>
    <w:qFormat/>
    <w:uiPriority w:val="0"/>
    <w:rPr>
      <w:rFonts w:ascii="仿宋_GB2312" w:hAnsi="宋体" w:eastAsia="仿宋_GB2312"/>
      <w:b/>
      <w:bCs/>
      <w:kern w:val="2"/>
      <w:sz w:val="24"/>
      <w:szCs w:val="24"/>
      <w:lang w:val="en-US" w:eastAsia="zh-CN" w:bidi="ar-SA"/>
    </w:rPr>
  </w:style>
  <w:style w:type="character" w:customStyle="1" w:styleId="858">
    <w:name w:val="font81"/>
    <w:qFormat/>
    <w:uiPriority w:val="0"/>
    <w:rPr>
      <w:rFonts w:ascii="微软雅黑" w:hAnsi="微软雅黑" w:eastAsia="微软雅黑" w:cs="微软雅黑"/>
      <w:color w:val="000000"/>
      <w:sz w:val="20"/>
      <w:szCs w:val="20"/>
      <w:u w:val="none"/>
    </w:rPr>
  </w:style>
  <w:style w:type="character" w:customStyle="1" w:styleId="859">
    <w:name w:val="Char Char14"/>
    <w:qFormat/>
    <w:uiPriority w:val="6"/>
    <w:rPr>
      <w:rFonts w:ascii="黑体" w:hAnsi="黑体" w:eastAsia="黑体"/>
    </w:rPr>
  </w:style>
  <w:style w:type="character" w:customStyle="1" w:styleId="860">
    <w:name w:val="Char Char26"/>
    <w:qFormat/>
    <w:uiPriority w:val="6"/>
    <w:rPr>
      <w:kern w:val="1"/>
      <w:sz w:val="21"/>
      <w:szCs w:val="24"/>
    </w:rPr>
  </w:style>
  <w:style w:type="character" w:customStyle="1" w:styleId="861">
    <w:name w:val="正文首行缩进 2 Char"/>
    <w:link w:val="43"/>
    <w:qFormat/>
    <w:uiPriority w:val="0"/>
    <w:rPr>
      <w:rFonts w:ascii="宋体" w:hAnsi="宋体"/>
      <w:kern w:val="2"/>
      <w:sz w:val="21"/>
      <w:szCs w:val="24"/>
    </w:rPr>
  </w:style>
  <w:style w:type="character" w:customStyle="1" w:styleId="862">
    <w:name w:val="正文首行缩进 Char Char Char Char Char Char1"/>
    <w:qFormat/>
    <w:uiPriority w:val="0"/>
    <w:rPr>
      <w:rFonts w:ascii="宋体" w:eastAsia="宋体"/>
      <w:kern w:val="2"/>
      <w:sz w:val="24"/>
      <w:szCs w:val="24"/>
      <w:lang w:val="zh-CN" w:bidi="ar-SA"/>
    </w:rPr>
  </w:style>
  <w:style w:type="character" w:customStyle="1" w:styleId="863">
    <w:name w:val="font11"/>
    <w:qFormat/>
    <w:uiPriority w:val="0"/>
    <w:rPr>
      <w:rFonts w:hint="default" w:ascii="Times New Roman" w:hAnsi="Times New Roman" w:cs="Times New Roman"/>
      <w:color w:val="000000"/>
      <w:sz w:val="22"/>
      <w:szCs w:val="22"/>
      <w:u w:val="none"/>
    </w:rPr>
  </w:style>
  <w:style w:type="character" w:customStyle="1" w:styleId="864">
    <w:name w:val="unnamed31"/>
    <w:qFormat/>
    <w:uiPriority w:val="0"/>
    <w:rPr>
      <w:rFonts w:ascii="Tahoma" w:hAnsi="Tahoma" w:eastAsia="宋体"/>
      <w:b/>
      <w:kern w:val="2"/>
      <w:sz w:val="24"/>
      <w:szCs w:val="32"/>
      <w:u w:val="none"/>
      <w:lang w:val="en-US" w:eastAsia="zh-CN" w:bidi="ar-SA"/>
    </w:rPr>
  </w:style>
  <w:style w:type="character" w:customStyle="1" w:styleId="865">
    <w:name w:val="mdeck"/>
    <w:qFormat/>
    <w:uiPriority w:val="0"/>
    <w:rPr>
      <w:rFonts w:ascii="仿宋_GB2312" w:eastAsia="微软雅黑"/>
      <w:b/>
      <w:kern w:val="2"/>
      <w:sz w:val="32"/>
      <w:szCs w:val="32"/>
      <w:lang w:val="en-US" w:eastAsia="zh-CN" w:bidi="ar-SA"/>
    </w:rPr>
  </w:style>
  <w:style w:type="character" w:customStyle="1" w:styleId="866">
    <w:name w:val="blue1"/>
    <w:basedOn w:val="63"/>
    <w:qFormat/>
    <w:uiPriority w:val="0"/>
    <w:rPr>
      <w:rFonts w:ascii="Arial" w:hAnsi="Arial" w:eastAsia="黑体" w:cs="Arial"/>
      <w:snapToGrid w:val="0"/>
      <w:kern w:val="0"/>
      <w:szCs w:val="21"/>
    </w:rPr>
  </w:style>
  <w:style w:type="character" w:customStyle="1" w:styleId="867">
    <w:name w:val="正文文本缩进 2 Char"/>
    <w:link w:val="39"/>
    <w:qFormat/>
    <w:uiPriority w:val="0"/>
    <w:rPr>
      <w:rFonts w:ascii="宋体"/>
      <w:sz w:val="28"/>
    </w:rPr>
  </w:style>
  <w:style w:type="character" w:customStyle="1" w:styleId="868">
    <w:name w:val="标书1 Char"/>
    <w:qFormat/>
    <w:uiPriority w:val="0"/>
    <w:rPr>
      <w:rFonts w:eastAsia="宋体"/>
      <w:b/>
      <w:bCs/>
      <w:kern w:val="44"/>
      <w:sz w:val="44"/>
      <w:szCs w:val="44"/>
      <w:lang w:val="en-US" w:eastAsia="zh-CN" w:bidi="ar-SA"/>
    </w:rPr>
  </w:style>
  <w:style w:type="character" w:customStyle="1" w:styleId="869">
    <w:name w:val="Char Char312"/>
    <w:qFormat/>
    <w:uiPriority w:val="0"/>
    <w:rPr>
      <w:rFonts w:ascii="Times New Roman" w:hAnsi="Times New Roman" w:eastAsia="宋体" w:cs="Times New Roman"/>
      <w:b/>
      <w:kern w:val="2"/>
      <w:sz w:val="32"/>
      <w:szCs w:val="24"/>
      <w:lang w:val="en-US" w:eastAsia="zh-CN" w:bidi="ar-SA"/>
    </w:rPr>
  </w:style>
  <w:style w:type="character" w:customStyle="1" w:styleId="870">
    <w:name w:val="插图说明 Char"/>
    <w:qFormat/>
    <w:uiPriority w:val="0"/>
    <w:rPr>
      <w:rFonts w:eastAsia="黑体"/>
      <w:sz w:val="24"/>
      <w:lang w:val="en-US" w:eastAsia="zh-CN"/>
    </w:rPr>
  </w:style>
  <w:style w:type="character" w:customStyle="1" w:styleId="871">
    <w:name w:val="标题 5 Char"/>
    <w:link w:val="7"/>
    <w:qFormat/>
    <w:uiPriority w:val="9"/>
    <w:rPr>
      <w:b/>
      <w:bCs/>
      <w:kern w:val="2"/>
      <w:sz w:val="28"/>
      <w:szCs w:val="28"/>
    </w:rPr>
  </w:style>
  <w:style w:type="character" w:customStyle="1" w:styleId="872">
    <w:name w:val="Char Char24"/>
    <w:qFormat/>
    <w:uiPriority w:val="6"/>
    <w:rPr>
      <w:kern w:val="1"/>
      <w:sz w:val="21"/>
    </w:rPr>
  </w:style>
  <w:style w:type="character" w:customStyle="1" w:styleId="873">
    <w:name w:val="普通文字 Char1 Char"/>
    <w:qFormat/>
    <w:uiPriority w:val="0"/>
    <w:rPr>
      <w:rFonts w:ascii="宋体" w:hAnsi="Courier New" w:eastAsia="宋体"/>
      <w:kern w:val="2"/>
      <w:sz w:val="21"/>
      <w:szCs w:val="24"/>
      <w:lang w:val="en-US" w:eastAsia="zh-CN" w:bidi="ar-SA"/>
    </w:rPr>
  </w:style>
  <w:style w:type="character" w:customStyle="1" w:styleId="874">
    <w:name w:val="Char Char37"/>
    <w:qFormat/>
    <w:uiPriority w:val="6"/>
    <w:rPr>
      <w:b/>
      <w:kern w:val="1"/>
      <w:sz w:val="44"/>
      <w:szCs w:val="44"/>
    </w:rPr>
  </w:style>
  <w:style w:type="character" w:customStyle="1" w:styleId="875">
    <w:name w:val="h3 Char1"/>
    <w:qFormat/>
    <w:uiPriority w:val="0"/>
    <w:rPr>
      <w:rFonts w:eastAsia="宋体"/>
      <w:b/>
      <w:bCs/>
      <w:kern w:val="2"/>
      <w:sz w:val="32"/>
      <w:szCs w:val="32"/>
      <w:lang w:bidi="ar-SA"/>
    </w:rPr>
  </w:style>
  <w:style w:type="character" w:customStyle="1" w:styleId="876">
    <w:name w:val="h3 Char"/>
    <w:qFormat/>
    <w:uiPriority w:val="0"/>
    <w:rPr>
      <w:rFonts w:eastAsia="宋体"/>
      <w:b/>
      <w:kern w:val="2"/>
      <w:sz w:val="32"/>
      <w:lang w:val="en-US" w:eastAsia="zh-CN" w:bidi="ar-SA"/>
    </w:rPr>
  </w:style>
  <w:style w:type="character" w:customStyle="1" w:styleId="877">
    <w:name w:val="标题 Char1"/>
    <w:qFormat/>
    <w:uiPriority w:val="0"/>
    <w:rPr>
      <w:rFonts w:ascii="Cambria" w:hAnsi="Cambria" w:eastAsia="宋体" w:cs="Times New Roman"/>
      <w:b/>
      <w:bCs/>
      <w:sz w:val="32"/>
      <w:szCs w:val="32"/>
      <w:lang w:bidi="ar-SA"/>
    </w:rPr>
  </w:style>
  <w:style w:type="character" w:customStyle="1" w:styleId="878">
    <w:name w:val="font31"/>
    <w:qFormat/>
    <w:uiPriority w:val="0"/>
    <w:rPr>
      <w:rFonts w:hint="eastAsia" w:ascii="仿宋" w:hAnsi="仿宋" w:eastAsia="仿宋" w:cs="仿宋"/>
      <w:color w:val="000000"/>
      <w:sz w:val="20"/>
      <w:szCs w:val="20"/>
      <w:u w:val="none"/>
    </w:rPr>
  </w:style>
  <w:style w:type="character" w:customStyle="1" w:styleId="879">
    <w:name w:val="gf正文1 Char"/>
    <w:qFormat/>
    <w:uiPriority w:val="0"/>
    <w:rPr>
      <w:rFonts w:ascii="宋体" w:hAnsi="宋体" w:eastAsia="宋体" w:cs="宋体"/>
      <w:kern w:val="2"/>
      <w:sz w:val="24"/>
      <w:szCs w:val="24"/>
      <w:lang w:val="en-US" w:eastAsia="zh-CN" w:bidi="ar-SA"/>
    </w:rPr>
  </w:style>
  <w:style w:type="character" w:customStyle="1" w:styleId="880">
    <w:name w:val="正文文字缩进 2 Char Char"/>
    <w:qFormat/>
    <w:uiPriority w:val="0"/>
    <w:rPr>
      <w:rFonts w:ascii="宋体"/>
      <w:sz w:val="28"/>
    </w:rPr>
  </w:style>
  <w:style w:type="character" w:customStyle="1" w:styleId="881">
    <w:name w:val="正文文本缩进 Char1"/>
    <w:qFormat/>
    <w:uiPriority w:val="0"/>
    <w:rPr>
      <w:rFonts w:ascii="Calibri" w:hAnsi="Calibri"/>
      <w:sz w:val="28"/>
    </w:rPr>
  </w:style>
  <w:style w:type="character" w:customStyle="1" w:styleId="882">
    <w:name w:val="页眉 Char2"/>
    <w:link w:val="44"/>
    <w:qFormat/>
    <w:uiPriority w:val="99"/>
    <w:rPr>
      <w:kern w:val="2"/>
      <w:sz w:val="18"/>
      <w:szCs w:val="18"/>
    </w:rPr>
  </w:style>
  <w:style w:type="character" w:customStyle="1" w:styleId="883">
    <w:name w:val="Char Char7"/>
    <w:semiHidden/>
    <w:qFormat/>
    <w:uiPriority w:val="0"/>
    <w:rPr>
      <w:rFonts w:eastAsia="宋体"/>
      <w:kern w:val="2"/>
      <w:sz w:val="21"/>
      <w:szCs w:val="24"/>
      <w:lang w:val="en-US" w:eastAsia="zh-CN" w:bidi="ar-SA"/>
    </w:rPr>
  </w:style>
  <w:style w:type="character" w:customStyle="1" w:styleId="884">
    <w:name w:val="表名 Char"/>
    <w:qFormat/>
    <w:uiPriority w:val="0"/>
    <w:rPr>
      <w:rFonts w:eastAsia="宋体"/>
      <w:b/>
      <w:bCs/>
      <w:kern w:val="2"/>
      <w:sz w:val="24"/>
      <w:szCs w:val="24"/>
      <w:lang w:val="en-US" w:eastAsia="zh-CN" w:bidi="ar-SA"/>
    </w:rPr>
  </w:style>
  <w:style w:type="character" w:customStyle="1" w:styleId="885">
    <w:name w:val="正文首行缩进 Char Char Char Char Char Char"/>
    <w:qFormat/>
    <w:uiPriority w:val="0"/>
    <w:rPr>
      <w:rFonts w:ascii="宋体" w:eastAsia="宋体"/>
      <w:kern w:val="2"/>
      <w:sz w:val="24"/>
      <w:lang w:val="zh-CN" w:bidi="ar-SA"/>
    </w:rPr>
  </w:style>
  <w:style w:type="character" w:customStyle="1" w:styleId="886">
    <w:name w:val="Document Map Char"/>
    <w:qFormat/>
    <w:locked/>
    <w:uiPriority w:val="0"/>
    <w:rPr>
      <w:rFonts w:eastAsia="宋体"/>
      <w:kern w:val="2"/>
      <w:sz w:val="21"/>
      <w:szCs w:val="24"/>
      <w:lang w:val="en-US" w:eastAsia="zh-CN" w:bidi="ar-SA"/>
    </w:rPr>
  </w:style>
  <w:style w:type="character" w:customStyle="1" w:styleId="887">
    <w:name w:val="标题 6 Char"/>
    <w:link w:val="8"/>
    <w:qFormat/>
    <w:uiPriority w:val="0"/>
    <w:rPr>
      <w:rFonts w:ascii="Arial" w:hAnsi="Arial" w:eastAsia="黑体"/>
      <w:b/>
      <w:bCs/>
      <w:kern w:val="2"/>
      <w:sz w:val="24"/>
      <w:szCs w:val="24"/>
    </w:rPr>
  </w:style>
  <w:style w:type="character" w:customStyle="1" w:styleId="888">
    <w:name w:val="UserStyle_16"/>
    <w:qFormat/>
    <w:uiPriority w:val="0"/>
    <w:rPr>
      <w:rFonts w:ascii="PMingLiU" w:hAnsi="PMingLiU" w:eastAsia="PMingLiU"/>
      <w:color w:val="000000"/>
      <w:kern w:val="2"/>
      <w:position w:val="0"/>
      <w:sz w:val="20"/>
      <w:szCs w:val="20"/>
      <w:lang w:val="zh-CN" w:eastAsia="zh-CN" w:bidi="zh-CN"/>
    </w:rPr>
  </w:style>
  <w:style w:type="character" w:customStyle="1" w:styleId="889">
    <w:name w:val="纯文本 Char_0"/>
    <w:link w:val="173"/>
    <w:qFormat/>
    <w:uiPriority w:val="0"/>
    <w:rPr>
      <w:rFonts w:ascii="宋体" w:hAnsi="Courier New"/>
      <w:kern w:val="2"/>
      <w:sz w:val="21"/>
      <w:szCs w:val="21"/>
      <w:lang w:val="en-US" w:eastAsia="zh-CN"/>
    </w:rPr>
  </w:style>
  <w:style w:type="character" w:customStyle="1" w:styleId="890">
    <w:name w:val="Balloon Text Char"/>
    <w:qFormat/>
    <w:locked/>
    <w:uiPriority w:val="0"/>
    <w:rPr>
      <w:rFonts w:eastAsia="宋体"/>
      <w:kern w:val="2"/>
      <w:sz w:val="18"/>
      <w:szCs w:val="18"/>
      <w:lang w:val="en-US" w:eastAsia="zh-CN" w:bidi="ar-SA"/>
    </w:rPr>
  </w:style>
  <w:style w:type="character" w:customStyle="1" w:styleId="891">
    <w:name w:val="h Char Char1"/>
    <w:qFormat/>
    <w:uiPriority w:val="0"/>
    <w:rPr>
      <w:rFonts w:eastAsia="宋体"/>
      <w:kern w:val="2"/>
      <w:sz w:val="18"/>
      <w:szCs w:val="18"/>
      <w:lang w:val="en-US" w:eastAsia="zh-CN" w:bidi="ar-SA"/>
    </w:rPr>
  </w:style>
  <w:style w:type="character" w:customStyle="1" w:styleId="892">
    <w:name w:val="H5 Char"/>
    <w:qFormat/>
    <w:uiPriority w:val="0"/>
    <w:rPr>
      <w:b/>
      <w:bCs/>
      <w:kern w:val="2"/>
      <w:sz w:val="28"/>
      <w:szCs w:val="28"/>
    </w:rPr>
  </w:style>
  <w:style w:type="character" w:customStyle="1" w:styleId="893">
    <w:name w:val="Char Char27"/>
    <w:qFormat/>
    <w:uiPriority w:val="6"/>
    <w:rPr>
      <w:rFonts w:ascii="宋体" w:hAnsi="宋体" w:eastAsia="宋体"/>
      <w:color w:val="000000"/>
      <w:kern w:val="1"/>
      <w:sz w:val="28"/>
      <w:lang w:val="en-US" w:eastAsia="zh-CN" w:bidi="ar-SA"/>
    </w:rPr>
  </w:style>
  <w:style w:type="character" w:customStyle="1" w:styleId="894">
    <w:name w:val=" Char Char13"/>
    <w:basedOn w:val="63"/>
    <w:link w:val="3"/>
    <w:qFormat/>
    <w:uiPriority w:val="0"/>
    <w:rPr>
      <w:rFonts w:ascii="仿宋_GB2312" w:hAnsi="仿宋" w:eastAsia="仿宋_GB2312"/>
      <w:b/>
      <w:bCs/>
      <w:sz w:val="32"/>
      <w:szCs w:val="32"/>
      <w:lang w:val="zh-CN"/>
    </w:rPr>
  </w:style>
  <w:style w:type="character" w:customStyle="1" w:styleId="895">
    <w:name w:val="HTML 预设格式 Char1"/>
    <w:qFormat/>
    <w:uiPriority w:val="0"/>
    <w:rPr>
      <w:rFonts w:ascii="Courier New" w:hAnsi="Courier New" w:eastAsia="宋体" w:cs="Courier New"/>
      <w:sz w:val="20"/>
      <w:szCs w:val="20"/>
    </w:rPr>
  </w:style>
  <w:style w:type="character" w:customStyle="1" w:styleId="896">
    <w:name w:val="普通文字 Char1"/>
    <w:qFormat/>
    <w:uiPriority w:val="0"/>
    <w:rPr>
      <w:rFonts w:ascii="宋体" w:hAnsi="Courier New" w:eastAsia="宋体"/>
      <w:kern w:val="2"/>
      <w:sz w:val="21"/>
      <w:lang w:val="en-US" w:eastAsia="zh-CN"/>
    </w:rPr>
  </w:style>
  <w:style w:type="character" w:customStyle="1" w:styleId="897">
    <w:name w:val="hei16b1"/>
    <w:qFormat/>
    <w:uiPriority w:val="0"/>
    <w:rPr>
      <w:rFonts w:hint="default" w:ascii="Arial" w:hAnsi="Arial" w:cs="Arial"/>
      <w:b/>
      <w:bCs/>
      <w:color w:val="000000"/>
      <w:sz w:val="24"/>
      <w:szCs w:val="24"/>
    </w:rPr>
  </w:style>
  <w:style w:type="character" w:customStyle="1" w:styleId="898">
    <w:name w:val="Char Char3"/>
    <w:qFormat/>
    <w:uiPriority w:val="0"/>
    <w:rPr>
      <w:rFonts w:eastAsia="宋体"/>
      <w:kern w:val="2"/>
      <w:sz w:val="21"/>
      <w:szCs w:val="24"/>
      <w:lang w:val="en-US" w:eastAsia="zh-CN" w:bidi="ar-SA"/>
    </w:rPr>
  </w:style>
  <w:style w:type="character" w:customStyle="1" w:styleId="899">
    <w:name w:val="标题 2 字符"/>
    <w:qFormat/>
    <w:uiPriority w:val="1"/>
    <w:rPr>
      <w:rFonts w:ascii="仿宋_GB2312" w:hAnsi="Times New Roman" w:eastAsia="仿宋_GB2312" w:cs="Times New Roman"/>
      <w:b/>
      <w:kern w:val="2"/>
      <w:sz w:val="24"/>
      <w:lang w:val="zh-CN"/>
    </w:rPr>
  </w:style>
  <w:style w:type="character" w:customStyle="1" w:styleId="900">
    <w:name w:val="Char Char72"/>
    <w:qFormat/>
    <w:uiPriority w:val="0"/>
    <w:rPr>
      <w:rFonts w:eastAsia="宋体"/>
      <w:kern w:val="2"/>
      <w:sz w:val="21"/>
      <w:szCs w:val="24"/>
      <w:lang w:val="en-US" w:eastAsia="zh-CN" w:bidi="ar-SA"/>
    </w:rPr>
  </w:style>
  <w:style w:type="character" w:customStyle="1" w:styleId="901">
    <w:name w:val="正文文本缩进 Char2"/>
    <w:qFormat/>
    <w:uiPriority w:val="0"/>
    <w:rPr>
      <w:rFonts w:ascii="Times New Roman" w:hAnsi="Times New Roman" w:eastAsia="宋体" w:cs="Times New Roman"/>
      <w:snapToGrid w:val="0"/>
      <w:kern w:val="0"/>
      <w:szCs w:val="24"/>
    </w:rPr>
  </w:style>
  <w:style w:type="character" w:customStyle="1" w:styleId="902">
    <w:name w:val="question-title2"/>
    <w:qFormat/>
    <w:uiPriority w:val="6"/>
    <w:rPr>
      <w:rFonts w:ascii="Arial" w:hAnsi="Arial" w:eastAsia="黑体" w:cs="Arial"/>
      <w:snapToGrid w:val="0"/>
      <w:kern w:val="0"/>
      <w:szCs w:val="21"/>
    </w:rPr>
  </w:style>
  <w:style w:type="character" w:customStyle="1" w:styleId="903">
    <w:name w:val="Char Char10"/>
    <w:semiHidden/>
    <w:qFormat/>
    <w:uiPriority w:val="0"/>
    <w:rPr>
      <w:rFonts w:ascii="宋体" w:hAnsi="宋体"/>
      <w:kern w:val="2"/>
      <w:sz w:val="21"/>
      <w:szCs w:val="24"/>
      <w:lang w:val="en-US" w:eastAsia="zh-CN"/>
    </w:rPr>
  </w:style>
  <w:style w:type="character" w:customStyle="1" w:styleId="904">
    <w:name w:val="shadow11"/>
    <w:qFormat/>
    <w:uiPriority w:val="0"/>
    <w:rPr>
      <w:color w:val="000000"/>
      <w:sz w:val="21"/>
    </w:rPr>
  </w:style>
  <w:style w:type="character" w:customStyle="1" w:styleId="905">
    <w:name w:val="Char Char"/>
    <w:qFormat/>
    <w:uiPriority w:val="0"/>
    <w:rPr>
      <w:rFonts w:ascii="宋体" w:hAnsi="Courier New" w:eastAsia="宋体"/>
      <w:kern w:val="2"/>
      <w:sz w:val="21"/>
      <w:lang w:val="en-US" w:eastAsia="zh-CN" w:bidi="ar-SA"/>
    </w:rPr>
  </w:style>
  <w:style w:type="character" w:customStyle="1" w:styleId="906">
    <w:name w:val="批注文字 Char"/>
    <w:qFormat/>
    <w:uiPriority w:val="99"/>
    <w:rPr>
      <w:kern w:val="2"/>
      <w:sz w:val="21"/>
      <w:szCs w:val="24"/>
    </w:rPr>
  </w:style>
  <w:style w:type="character" w:customStyle="1" w:styleId="907">
    <w:name w:val="Char Char22"/>
    <w:qFormat/>
    <w:uiPriority w:val="6"/>
    <w:rPr>
      <w:rFonts w:ascii="宋体" w:hAnsi="宋体"/>
      <w:kern w:val="1"/>
      <w:sz w:val="24"/>
      <w:szCs w:val="24"/>
    </w:rPr>
  </w:style>
  <w:style w:type="character" w:customStyle="1" w:styleId="908">
    <w:name w:val="pt141"/>
    <w:qFormat/>
    <w:uiPriority w:val="0"/>
    <w:rPr>
      <w:color w:val="330066"/>
      <w:sz w:val="22"/>
      <w:szCs w:val="22"/>
    </w:rPr>
  </w:style>
  <w:style w:type="character" w:customStyle="1" w:styleId="909">
    <w:name w:val="highlight1"/>
    <w:qFormat/>
    <w:uiPriority w:val="0"/>
    <w:rPr>
      <w:rFonts w:ascii="仿宋_GB2312" w:eastAsia="微软雅黑"/>
      <w:b/>
      <w:kern w:val="2"/>
      <w:sz w:val="23"/>
      <w:szCs w:val="23"/>
      <w:lang w:val="en-US" w:eastAsia="zh-CN" w:bidi="ar-SA"/>
    </w:rPr>
  </w:style>
  <w:style w:type="character" w:customStyle="1" w:styleId="910">
    <w:name w:val="FA正文 Char Char"/>
    <w:qFormat/>
    <w:uiPriority w:val="0"/>
    <w:rPr>
      <w:rFonts w:hAnsi="宋体"/>
      <w:kern w:val="2"/>
      <w:sz w:val="24"/>
      <w:lang w:bidi="ar-SA"/>
    </w:rPr>
  </w:style>
  <w:style w:type="character" w:customStyle="1" w:styleId="911">
    <w:name w:val="纯文本 字符"/>
    <w:qFormat/>
    <w:uiPriority w:val="0"/>
    <w:rPr>
      <w:rFonts w:ascii="宋体" w:hAnsi="Courier New" w:eastAsia="宋体" w:cs="Arial"/>
      <w:snapToGrid w:val="0"/>
      <w:kern w:val="2"/>
      <w:sz w:val="21"/>
      <w:szCs w:val="21"/>
      <w:lang w:val="en-US" w:eastAsia="zh-CN" w:bidi="ar-SA"/>
    </w:rPr>
  </w:style>
  <w:style w:type="character" w:customStyle="1" w:styleId="912">
    <w:name w:val="font61"/>
    <w:qFormat/>
    <w:uiPriority w:val="0"/>
    <w:rPr>
      <w:rFonts w:hint="eastAsia" w:ascii="仿宋" w:hAnsi="仿宋" w:eastAsia="仿宋" w:cs="仿宋"/>
      <w:color w:val="000000"/>
      <w:sz w:val="20"/>
      <w:szCs w:val="20"/>
      <w:u w:val="none"/>
    </w:rPr>
  </w:style>
  <w:style w:type="character" w:customStyle="1" w:styleId="9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914">
    <w:name w:val="maywed421"/>
    <w:qFormat/>
    <w:uiPriority w:val="0"/>
    <w:rPr>
      <w:color w:val="366FB6"/>
      <w:u w:val="none"/>
    </w:rPr>
  </w:style>
  <w:style w:type="character" w:customStyle="1" w:styleId="915">
    <w:name w:val="正文文本缩进 Char"/>
    <w:qFormat/>
    <w:uiPriority w:val="0"/>
    <w:rPr>
      <w:rFonts w:ascii="宋体" w:hAnsi="宋体"/>
      <w:kern w:val="2"/>
      <w:sz w:val="24"/>
      <w:szCs w:val="24"/>
    </w:rPr>
  </w:style>
  <w:style w:type="character" w:customStyle="1" w:styleId="916">
    <w:name w:val="md"/>
    <w:basedOn w:val="63"/>
    <w:qFormat/>
    <w:uiPriority w:val="0"/>
    <w:rPr>
      <w:rFonts w:ascii="Arial" w:hAnsi="Arial" w:eastAsia="黑体" w:cs="Arial"/>
      <w:snapToGrid w:val="0"/>
      <w:kern w:val="0"/>
      <w:szCs w:val="21"/>
    </w:rPr>
  </w:style>
  <w:style w:type="character" w:customStyle="1" w:styleId="917">
    <w:name w:val="HTML 地址 Char"/>
    <w:link w:val="32"/>
    <w:qFormat/>
    <w:uiPriority w:val="0"/>
    <w:rPr>
      <w:rFonts w:ascii="宋体" w:hAnsi="宋体"/>
      <w:i/>
      <w:iCs/>
      <w:sz w:val="24"/>
      <w:szCs w:val="24"/>
    </w:rPr>
  </w:style>
  <w:style w:type="character" w:customStyle="1" w:styleId="918">
    <w:name w:val="副标题 Char2"/>
    <w:qFormat/>
    <w:uiPriority w:val="0"/>
    <w:rPr>
      <w:rFonts w:ascii="Cambria" w:hAnsi="Cambria" w:eastAsia="宋体" w:cs="Times New Roman"/>
      <w:b/>
      <w:bCs/>
      <w:snapToGrid w:val="0"/>
      <w:kern w:val="28"/>
      <w:sz w:val="32"/>
      <w:szCs w:val="32"/>
    </w:rPr>
  </w:style>
  <w:style w:type="character" w:customStyle="1" w:styleId="919">
    <w:name w:val="Footer-Even Char1"/>
    <w:qFormat/>
    <w:uiPriority w:val="0"/>
    <w:rPr>
      <w:rFonts w:eastAsia="宋体"/>
      <w:kern w:val="2"/>
      <w:sz w:val="18"/>
      <w:szCs w:val="18"/>
      <w:lang w:val="en-US" w:eastAsia="zh-CN" w:bidi="ar-SA"/>
    </w:rPr>
  </w:style>
  <w:style w:type="character" w:customStyle="1" w:styleId="920">
    <w:name w:val="列出段落 Char2"/>
    <w:qFormat/>
    <w:uiPriority w:val="34"/>
    <w:rPr>
      <w:rFonts w:ascii="Calibri" w:hAnsi="Calibri"/>
      <w:kern w:val="2"/>
      <w:sz w:val="28"/>
    </w:rPr>
  </w:style>
  <w:style w:type="character" w:customStyle="1" w:styleId="921">
    <w:name w:val="标题 1 字符"/>
    <w:link w:val="623"/>
    <w:qFormat/>
    <w:uiPriority w:val="9"/>
    <w:rPr>
      <w:rFonts w:ascii="Times New Roman" w:hAnsi="Times New Roman" w:eastAsia="华文仿宋"/>
      <w:b/>
      <w:bCs/>
      <w:sz w:val="44"/>
      <w:szCs w:val="44"/>
    </w:rPr>
  </w:style>
  <w:style w:type="character" w:customStyle="1" w:styleId="922">
    <w:name w:val="正文样式 Char"/>
    <w:link w:val="266"/>
    <w:qFormat/>
    <w:uiPriority w:val="0"/>
    <w:rPr>
      <w:rFonts w:ascii="Calibri" w:hAnsi="Calibri"/>
      <w:sz w:val="24"/>
      <w:szCs w:val="24"/>
    </w:rPr>
  </w:style>
  <w:style w:type="character" w:customStyle="1" w:styleId="923">
    <w:name w:val="正文段 Char"/>
    <w:link w:val="383"/>
    <w:qFormat/>
    <w:uiPriority w:val="0"/>
    <w:rPr>
      <w:sz w:val="24"/>
    </w:rPr>
  </w:style>
  <w:style w:type="character" w:customStyle="1" w:styleId="924">
    <w:name w:val="表正文 Char3"/>
    <w:qFormat/>
    <w:uiPriority w:val="0"/>
    <w:rPr>
      <w:rFonts w:eastAsia="宋体"/>
    </w:rPr>
  </w:style>
  <w:style w:type="character" w:customStyle="1" w:styleId="925">
    <w:name w:val="NormalCharacter"/>
    <w:semiHidden/>
    <w:qFormat/>
    <w:uiPriority w:val="0"/>
    <w:rPr>
      <w:rFonts w:ascii="等线" w:hAnsi="等线"/>
      <w:kern w:val="2"/>
      <w:sz w:val="21"/>
      <w:szCs w:val="24"/>
      <w:lang w:val="en-US" w:eastAsia="zh-CN" w:bidi="ar-SA"/>
    </w:rPr>
  </w:style>
  <w:style w:type="character" w:customStyle="1" w:styleId="926">
    <w:name w:val="正文 编号 Char"/>
    <w:qFormat/>
    <w:uiPriority w:val="0"/>
    <w:rPr>
      <w:rFonts w:ascii="仿宋_GB2312" w:hAnsi="仿宋_GB2312" w:eastAsia="仿宋_GB2312"/>
      <w:kern w:val="2"/>
      <w:sz w:val="24"/>
      <w:lang w:bidi="ar-SA"/>
    </w:rPr>
  </w:style>
  <w:style w:type="character" w:customStyle="1" w:styleId="927">
    <w:name w:val="gf正文1 Char Char"/>
    <w:link w:val="279"/>
    <w:qFormat/>
    <w:uiPriority w:val="0"/>
    <w:rPr>
      <w:rFonts w:ascii="宋体" w:hAnsi="宋体" w:cs="宋体"/>
      <w:kern w:val="2"/>
      <w:sz w:val="24"/>
      <w:szCs w:val="24"/>
    </w:rPr>
  </w:style>
  <w:style w:type="character" w:customStyle="1" w:styleId="928">
    <w:name w:val="列出段落 Char1"/>
    <w:link w:val="283"/>
    <w:qFormat/>
    <w:uiPriority w:val="0"/>
    <w:rPr>
      <w:rFonts w:ascii="Calibri" w:hAnsi="Calibri"/>
      <w:sz w:val="24"/>
      <w:lang w:eastAsia="en-US"/>
    </w:rPr>
  </w:style>
  <w:style w:type="character" w:customStyle="1" w:styleId="929">
    <w:name w:val="Char Char30"/>
    <w:qFormat/>
    <w:uiPriority w:val="6"/>
    <w:rPr>
      <w:rFonts w:ascii="Arial" w:hAnsi="Arial" w:eastAsia="黑体"/>
      <w:kern w:val="1"/>
      <w:sz w:val="21"/>
      <w:szCs w:val="21"/>
    </w:rPr>
  </w:style>
  <w:style w:type="character" w:customStyle="1" w:styleId="930">
    <w:name w:val="font01"/>
    <w:qFormat/>
    <w:uiPriority w:val="0"/>
    <w:rPr>
      <w:rFonts w:hint="eastAsia" w:ascii="微软雅黑" w:hAnsi="微软雅黑" w:eastAsia="微软雅黑" w:cs="微软雅黑"/>
      <w:color w:val="000000"/>
      <w:sz w:val="20"/>
      <w:szCs w:val="20"/>
      <w:u w:val="none"/>
    </w:rPr>
  </w:style>
  <w:style w:type="character" w:customStyle="1" w:styleId="931">
    <w:name w:val="Char Char20"/>
    <w:qFormat/>
    <w:uiPriority w:val="6"/>
    <w:rPr>
      <w:kern w:val="1"/>
      <w:sz w:val="24"/>
    </w:rPr>
  </w:style>
  <w:style w:type="character" w:customStyle="1" w:styleId="932">
    <w:name w:val="tw4winExternal"/>
    <w:qFormat/>
    <w:uiPriority w:val="0"/>
    <w:rPr>
      <w:rFonts w:ascii="Courier New" w:hAnsi="Courier New" w:cs="Courier New"/>
      <w:color w:val="808080"/>
      <w:lang w:val="en-US" w:eastAsia="zh-CN"/>
    </w:rPr>
  </w:style>
  <w:style w:type="character" w:customStyle="1" w:styleId="933">
    <w:name w:val="标题 4 Char1"/>
    <w:qFormat/>
    <w:uiPriority w:val="9"/>
    <w:rPr>
      <w:rFonts w:ascii="Cambria" w:hAnsi="Cambria" w:eastAsia="宋体" w:cs="Times New Roman"/>
      <w:b/>
      <w:bCs/>
      <w:kern w:val="2"/>
      <w:sz w:val="28"/>
      <w:szCs w:val="28"/>
    </w:rPr>
  </w:style>
  <w:style w:type="character" w:customStyle="1" w:styleId="934">
    <w:name w:val="message1"/>
    <w:qFormat/>
    <w:uiPriority w:val="0"/>
    <w:rPr>
      <w:rFonts w:hint="default" w:ascii="Tahoma" w:hAnsi="Tahoma" w:cs="Tahoma"/>
      <w:sz w:val="18"/>
      <w:szCs w:val="18"/>
    </w:rPr>
  </w:style>
  <w:style w:type="character" w:customStyle="1" w:styleId="935">
    <w:name w:val="Char Char23"/>
    <w:qFormat/>
    <w:uiPriority w:val="6"/>
    <w:rPr>
      <w:color w:val="0000FF"/>
      <w:sz w:val="21"/>
    </w:rPr>
  </w:style>
  <w:style w:type="character" w:customStyle="1" w:styleId="936">
    <w:name w:val="Char Char25"/>
    <w:qFormat/>
    <w:uiPriority w:val="6"/>
    <w:rPr>
      <w:rFonts w:ascii="宋体" w:hAnsi="宋体"/>
      <w:kern w:val="1"/>
      <w:sz w:val="24"/>
      <w:lang w:val="zh-CN"/>
    </w:rPr>
  </w:style>
  <w:style w:type="character" w:customStyle="1" w:styleId="937">
    <w:name w:val="纯文本 Char1"/>
    <w:link w:val="330"/>
    <w:qFormat/>
    <w:uiPriority w:val="0"/>
    <w:rPr>
      <w:rFonts w:ascii="宋体" w:hAnsi="Courier New"/>
    </w:rPr>
  </w:style>
  <w:style w:type="character" w:customStyle="1" w:styleId="938">
    <w:name w:val="样式8 Char"/>
    <w:qFormat/>
    <w:uiPriority w:val="0"/>
    <w:rPr>
      <w:rFonts w:ascii="仿宋_GB2312" w:hAnsi="宋体" w:eastAsia="仿宋_GB2312"/>
      <w:b/>
      <w:bCs/>
      <w:kern w:val="2"/>
      <w:sz w:val="24"/>
      <w:szCs w:val="24"/>
    </w:rPr>
  </w:style>
  <w:style w:type="character" w:customStyle="1" w:styleId="939">
    <w:name w:val="正文文本 字符1"/>
    <w:qFormat/>
    <w:uiPriority w:val="0"/>
    <w:rPr>
      <w:rFonts w:ascii="Calibri" w:hAnsi="Calibri" w:eastAsia="黑体" w:cs="Arial"/>
      <w:snapToGrid w:val="0"/>
      <w:kern w:val="2"/>
      <w:sz w:val="28"/>
      <w:szCs w:val="21"/>
    </w:rPr>
  </w:style>
  <w:style w:type="character" w:customStyle="1" w:styleId="940">
    <w:name w:val="批注框文本 Char1"/>
    <w:qFormat/>
    <w:uiPriority w:val="0"/>
    <w:rPr>
      <w:rFonts w:ascii="Times New Roman" w:hAnsi="Times New Roman" w:eastAsia="宋体" w:cs="Times New Roman"/>
      <w:sz w:val="18"/>
      <w:szCs w:val="18"/>
    </w:rPr>
  </w:style>
  <w:style w:type="character" w:customStyle="1" w:styleId="941">
    <w:name w:val="标题 4 Char2"/>
    <w:link w:val="6"/>
    <w:qFormat/>
    <w:uiPriority w:val="9"/>
    <w:rPr>
      <w:rFonts w:ascii="Arial" w:hAnsi="Arial" w:eastAsia="黑体"/>
      <w:b/>
      <w:bCs/>
      <w:kern w:val="2"/>
      <w:sz w:val="28"/>
      <w:szCs w:val="28"/>
      <w:lang w:val="zh-CN"/>
    </w:rPr>
  </w:style>
  <w:style w:type="character" w:customStyle="1" w:styleId="942">
    <w:name w:val="正文文本 3 Char"/>
    <w:link w:val="24"/>
    <w:qFormat/>
    <w:uiPriority w:val="0"/>
    <w:rPr>
      <w:kern w:val="2"/>
      <w:sz w:val="21"/>
    </w:rPr>
  </w:style>
  <w:style w:type="character" w:customStyle="1" w:styleId="943">
    <w:name w:val="正文说明 Char"/>
    <w:link w:val="335"/>
    <w:qFormat/>
    <w:uiPriority w:val="0"/>
    <w:rPr>
      <w:sz w:val="24"/>
      <w:szCs w:val="24"/>
    </w:rPr>
  </w:style>
  <w:style w:type="character" w:customStyle="1" w:styleId="944">
    <w:name w:val="纯文本 Char Char Char"/>
    <w:qFormat/>
    <w:uiPriority w:val="0"/>
    <w:rPr>
      <w:rFonts w:ascii="宋体" w:hAnsi="Courier New" w:eastAsia="宋体"/>
      <w:kern w:val="2"/>
      <w:sz w:val="21"/>
      <w:lang w:val="en-US" w:eastAsia="zh-CN" w:bidi="ar-SA"/>
    </w:rPr>
  </w:style>
  <w:style w:type="character" w:customStyle="1" w:styleId="945">
    <w:name w:val="Bold"/>
    <w:qFormat/>
    <w:uiPriority w:val="0"/>
    <w:rPr>
      <w:rFonts w:ascii="Arial" w:hAnsi="Arial" w:eastAsia="黑体" w:cs="Times New Roman"/>
      <w:b/>
      <w:kern w:val="2"/>
      <w:sz w:val="32"/>
      <w:szCs w:val="32"/>
      <w:lang w:val="en-US" w:eastAsia="zh-CN" w:bidi="ar-SA"/>
    </w:rPr>
  </w:style>
  <w:style w:type="character" w:customStyle="1" w:styleId="946">
    <w:name w:val="Char Char17"/>
    <w:qFormat/>
    <w:uiPriority w:val="6"/>
    <w:rPr>
      <w:rFonts w:eastAsia="仿宋_GB2312"/>
      <w:sz w:val="24"/>
    </w:rPr>
  </w:style>
  <w:style w:type="character" w:customStyle="1" w:styleId="947">
    <w:name w:val="标题 1 Char Char"/>
    <w:qFormat/>
    <w:uiPriority w:val="0"/>
    <w:rPr>
      <w:rFonts w:hint="eastAsia" w:ascii="宋体" w:hAnsi="宋体" w:eastAsia="宋体"/>
      <w:b/>
      <w:spacing w:val="-2"/>
      <w:sz w:val="24"/>
      <w:lang w:val="en-US" w:eastAsia="zh-CN" w:bidi="ar-SA"/>
    </w:rPr>
  </w:style>
  <w:style w:type="character" w:customStyle="1" w:styleId="948">
    <w:name w:val="标书表格字体格式 Char"/>
    <w:qFormat/>
    <w:uiPriority w:val="0"/>
    <w:rPr>
      <w:kern w:val="2"/>
      <w:sz w:val="21"/>
      <w:szCs w:val="24"/>
      <w:lang w:bidi="ar-SA"/>
    </w:rPr>
  </w:style>
  <w:style w:type="character" w:customStyle="1" w:styleId="949">
    <w:name w:val="文档结构图 字符1"/>
    <w:qFormat/>
    <w:uiPriority w:val="0"/>
    <w:rPr>
      <w:rFonts w:ascii="宋体" w:hAnsi="Calibri" w:eastAsia="黑体" w:cs="Arial"/>
      <w:snapToGrid w:val="0"/>
      <w:kern w:val="2"/>
      <w:sz w:val="18"/>
      <w:szCs w:val="18"/>
    </w:rPr>
  </w:style>
  <w:style w:type="character" w:customStyle="1" w:styleId="950">
    <w:name w:val="正文文本缩进 3 Char"/>
    <w:link w:val="56"/>
    <w:qFormat/>
    <w:uiPriority w:val="0"/>
    <w:rPr>
      <w:kern w:val="2"/>
      <w:sz w:val="24"/>
    </w:rPr>
  </w:style>
  <w:style w:type="character" w:customStyle="1" w:styleId="951">
    <w:name w:val="Char Char33"/>
    <w:qFormat/>
    <w:uiPriority w:val="6"/>
    <w:rPr>
      <w:rFonts w:ascii="Arial" w:hAnsi="Arial" w:eastAsia="黑体"/>
      <w:b/>
      <w:kern w:val="1"/>
      <w:sz w:val="24"/>
      <w:szCs w:val="24"/>
    </w:rPr>
  </w:style>
  <w:style w:type="character" w:customStyle="1" w:styleId="952">
    <w:name w:val="Footer-Even Char"/>
    <w:qFormat/>
    <w:uiPriority w:val="0"/>
    <w:rPr>
      <w:rFonts w:eastAsia="宋体"/>
      <w:kern w:val="2"/>
      <w:sz w:val="18"/>
      <w:lang w:val="en-US" w:eastAsia="zh-CN" w:bidi="ar-SA"/>
    </w:rPr>
  </w:style>
  <w:style w:type="character" w:customStyle="1" w:styleId="953">
    <w:name w:val="页脚 Char2"/>
    <w:link w:val="42"/>
    <w:qFormat/>
    <w:locked/>
    <w:uiPriority w:val="99"/>
    <w:rPr>
      <w:kern w:val="2"/>
      <w:sz w:val="18"/>
      <w:szCs w:val="18"/>
    </w:rPr>
  </w:style>
  <w:style w:type="character" w:customStyle="1" w:styleId="954">
    <w:name w:val="Char Char36"/>
    <w:qFormat/>
    <w:uiPriority w:val="6"/>
    <w:rPr>
      <w:rFonts w:ascii="仿宋_GB2312" w:hAnsi="仿宋_GB2312" w:eastAsia="仿宋_GB2312" w:cs="Arial"/>
      <w:b/>
      <w:kern w:val="1"/>
      <w:sz w:val="32"/>
      <w:szCs w:val="32"/>
      <w:lang w:val="zh-CN" w:eastAsia="zh-CN" w:bidi="ar-SA"/>
    </w:rPr>
  </w:style>
  <w:style w:type="character" w:customStyle="1" w:styleId="955">
    <w:name w:val="apple-converted-space"/>
    <w:qFormat/>
    <w:uiPriority w:val="0"/>
  </w:style>
  <w:style w:type="character" w:customStyle="1" w:styleId="956">
    <w:name w:val="Char Char41"/>
    <w:qFormat/>
    <w:uiPriority w:val="0"/>
    <w:rPr>
      <w:rFonts w:eastAsia="宋体"/>
      <w:b/>
      <w:sz w:val="24"/>
      <w:lang w:eastAsia="zh-CN" w:bidi="ar-SA"/>
    </w:rPr>
  </w:style>
  <w:style w:type="character" w:customStyle="1" w:styleId="957">
    <w:name w:val="Char Char161"/>
    <w:qFormat/>
    <w:uiPriority w:val="0"/>
    <w:rPr>
      <w:rFonts w:eastAsia="宋体"/>
      <w:b/>
      <w:kern w:val="2"/>
      <w:sz w:val="32"/>
      <w:lang w:val="en-US" w:eastAsia="zh-CN"/>
    </w:rPr>
  </w:style>
  <w:style w:type="character" w:customStyle="1" w:styleId="958">
    <w:name w:val="Font Style82"/>
    <w:qFormat/>
    <w:uiPriority w:val="99"/>
    <w:rPr>
      <w:rFonts w:ascii="宋体" w:eastAsia="宋体" w:cs="宋体"/>
      <w:color w:val="000000"/>
      <w:sz w:val="14"/>
      <w:szCs w:val="14"/>
    </w:rPr>
  </w:style>
  <w:style w:type="character" w:customStyle="1" w:styleId="959">
    <w:name w:val="仿宋正文 Char"/>
    <w:link w:val="390"/>
    <w:qFormat/>
    <w:uiPriority w:val="0"/>
    <w:rPr>
      <w:rFonts w:ascii="仿宋_GB2312" w:eastAsia="仿宋_GB2312"/>
      <w:kern w:val="2"/>
      <w:sz w:val="24"/>
      <w:lang w:val="en-US" w:eastAsia="zh-CN" w:bidi="ar-SA"/>
    </w:rPr>
  </w:style>
  <w:style w:type="character" w:customStyle="1" w:styleId="960">
    <w:name w:val="Char Char21"/>
    <w:qFormat/>
    <w:uiPriority w:val="6"/>
    <w:rPr>
      <w:rFonts w:ascii="宋体" w:hAnsi="宋体"/>
      <w:kern w:val="1"/>
      <w:sz w:val="24"/>
      <w:szCs w:val="21"/>
      <w:lang w:val="zh-CN"/>
    </w:rPr>
  </w:style>
  <w:style w:type="character" w:customStyle="1" w:styleId="961">
    <w:name w:val="样式 正文缩进 + 首行缩进:  2 字符 Char Char"/>
    <w:link w:val="181"/>
    <w:qFormat/>
    <w:uiPriority w:val="0"/>
    <w:rPr>
      <w:rFonts w:cs="宋体"/>
      <w:kern w:val="2"/>
      <w:sz w:val="24"/>
    </w:rPr>
  </w:style>
  <w:style w:type="character" w:customStyle="1" w:styleId="962">
    <w:name w:val="gray6"/>
    <w:basedOn w:val="63"/>
    <w:qFormat/>
    <w:uiPriority w:val="0"/>
    <w:rPr>
      <w:rFonts w:ascii="Arial" w:hAnsi="Arial" w:eastAsia="黑体" w:cs="Arial"/>
      <w:snapToGrid w:val="0"/>
      <w:kern w:val="0"/>
      <w:szCs w:val="21"/>
    </w:rPr>
  </w:style>
  <w:style w:type="character" w:customStyle="1" w:styleId="963">
    <w:name w:val="页脚 字符1"/>
    <w:qFormat/>
    <w:locked/>
    <w:uiPriority w:val="99"/>
    <w:rPr>
      <w:kern w:val="2"/>
      <w:sz w:val="18"/>
      <w:szCs w:val="18"/>
    </w:rPr>
  </w:style>
  <w:style w:type="character" w:customStyle="1" w:styleId="964">
    <w:name w:val="无间隔 Char"/>
    <w:link w:val="531"/>
    <w:qFormat/>
    <w:uiPriority w:val="99"/>
    <w:rPr>
      <w:kern w:val="2"/>
      <w:sz w:val="21"/>
      <w:szCs w:val="22"/>
    </w:rPr>
  </w:style>
  <w:style w:type="character" w:customStyle="1" w:styleId="965">
    <w:name w:val="标准文本 Char Char"/>
    <w:link w:val="352"/>
    <w:qFormat/>
    <w:uiPriority w:val="0"/>
    <w:rPr>
      <w:rFonts w:cs="宋体"/>
      <w:kern w:val="2"/>
      <w:sz w:val="24"/>
    </w:rPr>
  </w:style>
  <w:style w:type="character" w:customStyle="1" w:styleId="966">
    <w:name w:val="Char Char213"/>
    <w:qFormat/>
    <w:uiPriority w:val="0"/>
    <w:rPr>
      <w:rFonts w:eastAsia="Century Gothic"/>
      <w:b/>
      <w:bCs/>
      <w:kern w:val="44"/>
      <w:sz w:val="32"/>
      <w:szCs w:val="44"/>
      <w:lang w:val="en-US" w:eastAsia="zh-CN" w:bidi="ar-SA"/>
    </w:rPr>
  </w:style>
  <w:style w:type="character" w:customStyle="1" w:styleId="967">
    <w:name w:val="apple-style-span"/>
    <w:qFormat/>
    <w:uiPriority w:val="0"/>
    <w:rPr>
      <w:rFonts w:ascii="Arial" w:hAnsi="Arial" w:eastAsia="黑体" w:cs="Arial"/>
      <w:snapToGrid w:val="0"/>
      <w:kern w:val="0"/>
      <w:szCs w:val="21"/>
    </w:rPr>
  </w:style>
  <w:style w:type="character" w:customStyle="1" w:styleId="968">
    <w:name w:val="edui-clickable2"/>
    <w:qFormat/>
    <w:uiPriority w:val="0"/>
    <w:rPr>
      <w:color w:val="0000FF"/>
      <w:u w:val="single"/>
    </w:rPr>
  </w:style>
  <w:style w:type="table" w:customStyle="1" w:styleId="969">
    <w:name w:val="网格型2"/>
    <w:basedOn w:val="74"/>
    <w:qFormat/>
    <w:uiPriority w:val="39"/>
    <w:pPr/>
    <w:rPr>
      <w:rFonts w:ascii="等线" w:hAnsi="等线" w:eastAsia="等线"/>
    </w:rPr>
    <w:tblPr>
      <w:tblStyle w:val="7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70">
    <w:name w:val="网格型1"/>
    <w:basedOn w:val="74"/>
    <w:qFormat/>
    <w:uiPriority w:val="39"/>
    <w:pPr/>
    <w:rPr>
      <w:rFonts w:ascii="等线" w:hAnsi="等线" w:eastAsia="等线"/>
    </w:rPr>
    <w:tblPr>
      <w:tblStyle w:val="7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71">
    <w:name w:val="网格型6"/>
    <w:basedOn w:val="74"/>
    <w:qFormat/>
    <w:uiPriority w:val="39"/>
    <w:pPr/>
    <w:rPr>
      <w:rFonts w:ascii="等线" w:hAnsi="等线" w:eastAsia="等线"/>
    </w:rPr>
    <w:tblPr>
      <w:tblStyle w:val="7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72">
    <w:name w:val="网格型3"/>
    <w:basedOn w:val="74"/>
    <w:qFormat/>
    <w:uiPriority w:val="39"/>
    <w:pPr/>
    <w:rPr>
      <w:rFonts w:ascii="等线" w:hAnsi="等线" w:eastAsia="等线"/>
    </w:rPr>
    <w:tblPr>
      <w:tblStyle w:val="7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73">
    <w:name w:val="网格型4"/>
    <w:basedOn w:val="74"/>
    <w:qFormat/>
    <w:uiPriority w:val="39"/>
    <w:pPr/>
    <w:rPr>
      <w:rFonts w:ascii="等线" w:hAnsi="等线" w:eastAsia="等线"/>
    </w:rPr>
    <w:tblPr>
      <w:tblStyle w:val="7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74">
    <w:name w:val="网格型5"/>
    <w:basedOn w:val="74"/>
    <w:qFormat/>
    <w:uiPriority w:val="39"/>
    <w:pPr/>
    <w:rPr>
      <w:rFonts w:ascii="等线" w:hAnsi="等线" w:eastAsia="等线"/>
    </w:rPr>
    <w:tblPr>
      <w:tblStyle w:val="7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75">
    <w:name w:val="Table Normal"/>
    <w:unhideWhenUsed/>
    <w:qFormat/>
    <w:uiPriority w:val="0"/>
    <w:tblPr>
      <w:tblStyle w:val="74"/>
      <w:tblLayout w:type="fixed"/>
      <w:tblCellMar>
        <w:top w:w="0" w:type="dxa"/>
        <w:left w:w="0" w:type="dxa"/>
        <w:bottom w:w="0" w:type="dxa"/>
        <w:right w:w="0" w:type="dxa"/>
      </w:tblCellMar>
    </w:tblPr>
  </w:style>
  <w:style w:type="table" w:customStyle="1" w:styleId="976">
    <w:name w:val="Table Normal1"/>
    <w:unhideWhenUsed/>
    <w:qFormat/>
    <w:uiPriority w:val="2"/>
    <w:pPr>
      <w:widowControl w:val="0"/>
      <w:spacing w:after="0" w:line="240" w:lineRule="auto"/>
    </w:pPr>
    <w:rPr>
      <w:lang w:eastAsia="en-US"/>
    </w:rPr>
    <w:tblPr>
      <w:tblStyle w:val="74"/>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42364</Words>
  <Characters>45085</Characters>
  <Lines>281</Lines>
  <Paragraphs>79</Paragraphs>
  <ScaleCrop>false</ScaleCrop>
  <LinksUpToDate>false</LinksUpToDate>
  <CharactersWithSpaces>0</CharactersWithSpaces>
  <Application>WPS Office 专业版_9.1.0.5343_F1E327BC-269C-435d-A152-05C5408002CA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hs</cp:lastModifiedBy>
  <cp:lastPrinted>2021-12-27T11:06:00Z</cp:lastPrinted>
  <dcterms:modified xsi:type="dcterms:W3CDTF">2024-05-13T03:30:17Z</dcterms:modified>
  <dc:title>杭州市市民卡扩大发卡工程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9D166B95D3C04217932EA6A650122445_13</vt:lpwstr>
  </property>
</Properties>
</file>