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spacing w:line="360" w:lineRule="auto"/>
        <w:jc w:val="both"/>
        <w:rPr>
          <w:rFonts w:ascii="仿宋" w:hAnsi="仿宋" w:eastAsia="仿宋" w:cs="仿宋_GB2312"/>
          <w:b/>
          <w:color w:val="auto"/>
          <w:sz w:val="44"/>
          <w:szCs w:val="4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lang w:eastAsia="zh-CN"/>
        </w:rPr>
        <w:t>杭州市临平区第一人民医院医疗区域运送管理服务项目</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val="en-US" w:eastAsia="zh-CN"/>
        </w:rPr>
        <w:t>HZHZCG2022-040</w:t>
      </w:r>
      <w:r>
        <w:rPr>
          <w:rFonts w:hint="eastAsia" w:ascii="仿宋" w:hAnsi="仿宋" w:eastAsia="仿宋" w:cs="仿宋_GB2312"/>
          <w:color w:val="auto"/>
          <w:sz w:val="30"/>
          <w:szCs w:val="30"/>
          <w:highlight w:val="none"/>
        </w:rPr>
        <w:t>）</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pacing w:line="360" w:lineRule="auto"/>
        <w:jc w:val="center"/>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杭州市临平区第一人民医院</w:t>
      </w:r>
    </w:p>
    <w:p>
      <w:pPr>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lang w:val="en-US" w:eastAsia="zh-CN"/>
        </w:rPr>
        <w:t>杭州恒正造价工程师事务所</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七月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杭州市临平区第一人民医院医疗区域运送管理服务项目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2"/>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 xml:space="preserve">7 </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 xml:space="preserve"> 28</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 xml:space="preserve"> 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HZHZCG2022-040</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w:t>
      </w:r>
      <w:r>
        <w:rPr>
          <w:rFonts w:hint="eastAsia" w:ascii="仿宋_GB2312" w:hAnsi="仿宋" w:eastAsia="仿宋_GB2312"/>
          <w:b/>
          <w:color w:val="auto"/>
          <w:sz w:val="24"/>
          <w:highlight w:val="none"/>
          <w:lang w:val="en-US" w:eastAsia="zh-CN"/>
        </w:rPr>
        <w:t>项目名称</w:t>
      </w:r>
      <w:r>
        <w:rPr>
          <w:rFonts w:ascii="仿宋_GB2312" w:hAnsi="仿宋" w:eastAsia="仿宋_GB2312"/>
          <w:b/>
          <w:color w:val="auto"/>
          <w:sz w:val="24"/>
          <w:highlight w:val="none"/>
        </w:rPr>
        <w:t>：</w:t>
      </w:r>
      <w:r>
        <w:rPr>
          <w:rFonts w:hint="eastAsia" w:ascii="仿宋_GB2312" w:hAnsi="仿宋" w:eastAsia="仿宋_GB2312" w:cs="仿宋_GB2312"/>
          <w:color w:val="auto"/>
          <w:sz w:val="24"/>
          <w:highlight w:val="none"/>
          <w:lang w:eastAsia="zh-CN"/>
        </w:rPr>
        <w:t>杭州市临平区第一人民医院医疗区域运送管理服务项目</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22470000</w:t>
      </w:r>
      <w:r>
        <w:rPr>
          <w:rFonts w:hint="eastAsia" w:ascii="仿宋_GB2312" w:hAnsi="仿宋" w:eastAsia="仿宋_GB2312"/>
          <w:color w:val="auto"/>
          <w:sz w:val="24"/>
          <w:highlight w:val="none"/>
          <w:lang w:eastAsia="zh-CN"/>
        </w:rPr>
        <w:t>元</w:t>
      </w:r>
      <w:r>
        <w:rPr>
          <w:rFonts w:hint="eastAsia" w:ascii="仿宋_GB2312" w:hAnsi="仿宋" w:eastAsia="仿宋_GB2312"/>
          <w:color w:val="auto"/>
          <w:sz w:val="24"/>
          <w:highlight w:val="none"/>
        </w:rPr>
        <w:t xml:space="preserve"> </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最高限价（元）：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22470000</w:t>
      </w:r>
      <w:r>
        <w:rPr>
          <w:rFonts w:hint="eastAsia" w:ascii="仿宋_GB2312" w:hAnsi="仿宋" w:eastAsia="仿宋_GB2312"/>
          <w:color w:val="auto"/>
          <w:sz w:val="24"/>
          <w:highlight w:val="none"/>
          <w:lang w:eastAsia="zh-CN"/>
        </w:rPr>
        <w:t>元</w:t>
      </w:r>
    </w:p>
    <w:p>
      <w:pPr>
        <w:spacing w:line="360" w:lineRule="auto"/>
        <w:ind w:firstLine="480"/>
        <w:rPr>
          <w:rFonts w:hint="default" w:ascii="仿宋_GB2312" w:hAnsi="仿宋" w:eastAsia="仿宋_GB2312"/>
          <w:color w:val="auto"/>
          <w:sz w:val="24"/>
          <w:highlight w:val="none"/>
          <w:lang w:val="en-US" w:eastAsia="zh-CN"/>
        </w:rPr>
      </w:pPr>
    </w:p>
    <w:p>
      <w:pPr>
        <w:pStyle w:val="6"/>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kern w:val="2"/>
          <w:sz w:val="24"/>
          <w:szCs w:val="24"/>
          <w:highlight w:val="none"/>
          <w:lang w:eastAsia="zh-CN"/>
        </w:rPr>
        <w:t>杭州市临平区第一人民医院医疗区域运送管理服务项目</w:t>
      </w:r>
      <w:r>
        <w:rPr>
          <w:rFonts w:hint="eastAsia" w:ascii="仿宋_GB2312" w:hAnsi="仿宋" w:eastAsia="仿宋_GB2312"/>
          <w:bCs/>
          <w:color w:val="auto"/>
          <w:kern w:val="2"/>
          <w:sz w:val="24"/>
          <w:szCs w:val="24"/>
          <w:highlight w:val="none"/>
        </w:rPr>
        <w:t>主要内容</w:t>
      </w:r>
      <w:r>
        <w:rPr>
          <w:rFonts w:hint="eastAsia" w:ascii="仿宋_GB2312" w:hAnsi="仿宋" w:eastAsia="仿宋_GB2312"/>
          <w:bCs/>
          <w:color w:val="auto"/>
          <w:kern w:val="2"/>
          <w:sz w:val="24"/>
          <w:szCs w:val="24"/>
          <w:highlight w:val="none"/>
          <w:lang w:eastAsia="zh-CN"/>
        </w:rPr>
        <w:t>：</w:t>
      </w:r>
      <w:r>
        <w:rPr>
          <w:rFonts w:hint="eastAsia" w:ascii="仿宋_GB2312" w:hAnsi="仿宋" w:eastAsia="仿宋_GB2312"/>
          <w:bCs/>
          <w:color w:val="auto"/>
          <w:kern w:val="2"/>
          <w:sz w:val="24"/>
          <w:szCs w:val="24"/>
          <w:highlight w:val="none"/>
        </w:rPr>
        <w:t>详见招标文件第三部分采购需求。</w:t>
      </w:r>
    </w:p>
    <w:p>
      <w:pPr>
        <w:pStyle w:val="88"/>
        <w:ind w:firstLine="482"/>
        <w:outlineLvl w:val="2"/>
        <w:rPr>
          <w:rFonts w:hint="default" w:ascii="仿宋_GB2312" w:hAnsi="仿宋" w:eastAsia="仿宋_GB2312"/>
          <w:color w:val="auto"/>
          <w:highlight w:val="none"/>
          <w:lang w:val="en-US" w:eastAsia="zh-CN"/>
        </w:rPr>
      </w:pPr>
      <w:r>
        <w:rPr>
          <w:rFonts w:hint="eastAsia" w:ascii="仿宋_GB2312" w:hAnsi="仿宋" w:eastAsia="仿宋_GB2312"/>
          <w:b/>
          <w:color w:val="auto"/>
          <w:highlight w:val="none"/>
        </w:rPr>
        <w:t>合同履约期限：</w:t>
      </w:r>
      <w:r>
        <w:rPr>
          <w:rFonts w:hint="eastAsia" w:ascii="仿宋_GB2312" w:hAnsi="仿宋" w:eastAsia="仿宋_GB2312"/>
          <w:b/>
          <w:color w:val="auto"/>
          <w:highlight w:val="none"/>
          <w:lang w:val="en-US" w:eastAsia="zh-CN"/>
        </w:rPr>
        <w:t>3年</w:t>
      </w:r>
    </w:p>
    <w:p>
      <w:pPr>
        <w:pStyle w:val="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F0FE"/>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t>☐</w:t>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bookmarkStart w:id="170" w:name="_GoBack"/>
      <w:r>
        <w:rPr>
          <w:rFonts w:ascii="MS Gothic" w:hAnsi="MS Gothic" w:eastAsia="MS Gothic" w:cs="Arial"/>
          <w:color w:val="auto"/>
          <w:kern w:val="0"/>
          <w:sz w:val="24"/>
          <w:highlight w:val="none"/>
        </w:rPr>
        <w:sym w:font="Wingdings" w:char="F0FE"/>
      </w:r>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bookmarkEnd w:id="170"/>
    <w:p>
      <w:pPr>
        <w:spacing w:line="360" w:lineRule="auto"/>
        <w:ind w:firstLine="897" w:firstLineChars="374"/>
        <w:rPr>
          <w:rFonts w:ascii="仿宋_GB2312" w:hAnsi="仿宋" w:eastAsia="仿宋_GB2312"/>
          <w:color w:val="auto"/>
          <w:sz w:val="24"/>
          <w:highlight w:val="none"/>
          <w:u w:val="singl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r>
        <w:rPr>
          <w:rFonts w:ascii="MS Gothic" w:hAnsi="MS Gothic" w:eastAsia="MS Gothic" w:cs="Arial"/>
          <w:color w:val="auto"/>
          <w:kern w:val="0"/>
          <w:sz w:val="24"/>
          <w:highlight w:val="none"/>
        </w:rPr>
        <w:sym w:font="Wingdings" w:char="F0FE"/>
      </w:r>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hint="eastAsia" w:ascii="仿宋_GB2312" w:hAnsi="仿宋" w:eastAsia="仿宋_GB2312"/>
          <w:color w:val="auto"/>
          <w:sz w:val="24"/>
          <w:highlight w:val="none"/>
          <w:u w:val="single"/>
          <w:lang w:val="en-US" w:eastAsia="zh-CN"/>
        </w:rPr>
        <w:t>30</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30</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MS Gothic" w:hAnsi="MS Gothic" w:eastAsia="仿宋_GB2312" w:cs="Arial"/>
          <w:color w:val="auto"/>
          <w:kern w:val="0"/>
          <w:sz w:val="24"/>
          <w:highlight w:val="none"/>
        </w:rPr>
        <w:t>☐</w:t>
      </w:r>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 xml:space="preserve"> 7 </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 xml:space="preserve"> 28 </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 xml:space="preserve">  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 xml:space="preserve">28  </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 xml:space="preserve"> 9 </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 xml:space="preserve"> 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lang w:val="en-US" w:eastAsia="zh-CN"/>
        </w:rPr>
        <w:t>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 xml:space="preserve"> 7 </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 xml:space="preserve"> 28 </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 xml:space="preserve"> 9 </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 xml:space="preserve"> 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提出质疑。质疑供应商对采购人、</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的答复不满意或者采购人、</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val="en-US" w:eastAsia="zh-CN"/>
        </w:rPr>
        <w:t>杭州市临平区第一人民医院</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val="en-US" w:eastAsia="zh-CN"/>
        </w:rPr>
        <w:t>杭州市临平区南苑街道迎宾大道３６９号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李鹏</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eastAsia="zh-CN"/>
        </w:rPr>
        <w:t>１５３７２００２０９１</w:t>
      </w:r>
      <w:r>
        <w:rPr>
          <w:rFonts w:hint="eastAsia"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钟忠标</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eastAsia="zh-CN"/>
        </w:rPr>
        <w:t>１５３５６１８８９６６</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 xml:space="preserve">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w:t>
      </w:r>
      <w:r>
        <w:rPr>
          <w:rFonts w:hint="eastAsia" w:ascii="仿宋_GB2312" w:hAnsi="仿宋" w:eastAsia="仿宋_GB2312"/>
          <w:color w:val="auto"/>
          <w:sz w:val="24"/>
          <w:highlight w:val="none"/>
          <w:lang w:val="en-US" w:eastAsia="zh-CN"/>
        </w:rPr>
        <w:t>杭州恒正造价工程师事务所</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hint="eastAsia" w:ascii="仿宋_GB2312" w:hAnsi="仿宋" w:eastAsia="仿宋_GB2312"/>
          <w:color w:val="auto"/>
          <w:sz w:val="24"/>
          <w:highlight w:val="none"/>
          <w:lang w:val="en-US" w:eastAsia="zh-CN"/>
        </w:rPr>
        <w:t>杭州市临平区九州大厦７０３室</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lang w:eastAsia="zh-CN"/>
        </w:rPr>
        <w:t>０５７１－８９２６５５５３</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lang w:val="en-US" w:eastAsia="zh-CN"/>
        </w:rPr>
        <w:t>陈卉</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eastAsia="zh-CN"/>
        </w:rPr>
        <w:t>８９２６５５５２</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张一丹</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eastAsia="zh-CN"/>
        </w:rPr>
        <w:t>８９２６５５５</w:t>
      </w:r>
      <w:r>
        <w:rPr>
          <w:rFonts w:hint="eastAsia" w:ascii="仿宋_GB2312" w:hAnsi="仿宋" w:eastAsia="仿宋_GB2312"/>
          <w:color w:val="auto"/>
          <w:sz w:val="24"/>
          <w:highlight w:val="none"/>
          <w:lang w:val="en-US" w:eastAsia="zh-CN"/>
        </w:rPr>
        <w:t xml:space="preserve"> 3</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val="en-US" w:eastAsia="zh-CN"/>
        </w:rPr>
        <w:t>杭州市临平区财政局</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val="en-US" w:eastAsia="zh-CN"/>
        </w:rPr>
        <w:t>杭州市临平区东湖街道东湖中路２３６号</w:t>
      </w:r>
      <w:r>
        <w:rPr>
          <w:rFonts w:hint="eastAsia" w:ascii="仿宋_GB2312" w:hAnsi="仿宋" w:eastAsia="仿宋_GB2312"/>
          <w:color w:val="auto"/>
          <w:sz w:val="24"/>
          <w:highlight w:val="none"/>
        </w:rPr>
        <w:t xml:space="preserve">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ascii="仿宋" w:hAnsi="仿宋" w:eastAsia="仿宋"/>
          <w:color w:val="auto"/>
          <w:sz w:val="24"/>
          <w:highlight w:val="none"/>
        </w:rPr>
        <w:t>/</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俞征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lang w:eastAsia="zh-CN"/>
        </w:rPr>
        <w:t>０５７１－８９１８５３１２</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5"/>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7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sym w:font="Wingdings" w:char="F0FE"/>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w:t>
            </w:r>
            <w:r>
              <w:rPr>
                <w:rFonts w:hint="eastAsia" w:ascii="仿宋_GB2312" w:hAnsi="仿宋" w:eastAsia="仿宋_GB2312"/>
                <w:color w:val="auto"/>
                <w:sz w:val="24"/>
                <w:highlight w:val="none"/>
                <w:lang w:eastAsia="zh-CN"/>
              </w:rPr>
              <w:t>杭州恒正造价工程师事务所</w:t>
            </w:r>
            <w:r>
              <w:rPr>
                <w:rFonts w:hint="eastAsia" w:ascii="仿宋_GB2312" w:hAnsi="仿宋" w:eastAsia="仿宋_GB2312"/>
                <w:color w:val="auto"/>
                <w:sz w:val="24"/>
                <w:highlight w:val="none"/>
              </w:rPr>
              <w:t>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w:t>
            </w:r>
            <w:r>
              <w:rPr>
                <w:rFonts w:hint="eastAsia" w:ascii="仿宋_GB2312" w:hAnsi="仿宋" w:eastAsia="仿宋_GB2312" w:cs="Arial"/>
                <w:color w:val="auto"/>
                <w:kern w:val="0"/>
                <w:sz w:val="24"/>
                <w:highlight w:val="none"/>
                <w:lang w:eastAsia="zh-CN"/>
              </w:rPr>
              <w:t>杭州恒正造价工程师事务所</w:t>
            </w:r>
            <w:r>
              <w:rPr>
                <w:rFonts w:hint="eastAsia" w:ascii="仿宋_GB2312" w:hAnsi="仿宋" w:eastAsia="仿宋_GB2312" w:cs="Arial"/>
                <w:color w:val="auto"/>
                <w:kern w:val="0"/>
                <w:sz w:val="24"/>
                <w:highlight w:val="none"/>
              </w:rPr>
              <w:t>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color="auto"/>
                <w:lang w:val="en-US" w:eastAsia="zh-CN"/>
              </w:rPr>
              <w:t>杭州市临平区第一人民医院医疗区域运送管理服务项目</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val="en-US" w:eastAsia="zh-CN"/>
              </w:rPr>
              <w:t>物业服务</w:t>
            </w:r>
            <w:r>
              <w:rPr>
                <w:rFonts w:hint="eastAsia" w:ascii="仿宋_GB2312" w:hAnsi="仿宋" w:eastAsia="仿宋_GB2312" w:cs="Arial"/>
                <w:color w:val="auto"/>
                <w:kern w:val="0"/>
                <w:sz w:val="24"/>
                <w:highlight w:val="none"/>
              </w:rPr>
              <w:t>行业；</w:t>
            </w:r>
          </w:p>
          <w:p>
            <w:pPr>
              <w:pStyle w:val="4"/>
              <w:ind w:left="0" w:leftChars="0" w:firstLine="0" w:firstLineChars="0"/>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w:t>
            </w:r>
            <w:r>
              <w:rPr>
                <w:rFonts w:hint="eastAsia" w:ascii="仿宋_GB2312" w:hAnsi="仿宋" w:eastAsia="仿宋_GB2312" w:cs="Arial"/>
                <w:color w:val="auto"/>
                <w:kern w:val="0"/>
                <w:sz w:val="24"/>
                <w:highlight w:val="none"/>
                <w:lang w:eastAsia="zh-CN"/>
              </w:rPr>
              <w:t>杭州恒正造价工程师事务所</w:t>
            </w:r>
            <w:r>
              <w:rPr>
                <w:rFonts w:hint="eastAsia" w:ascii="仿宋_GB2312" w:hAnsi="仿宋" w:eastAsia="仿宋_GB2312" w:cs="Arial"/>
                <w:color w:val="auto"/>
                <w:kern w:val="0"/>
                <w:sz w:val="24"/>
                <w:highlight w:val="none"/>
              </w:rPr>
              <w:t>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olor w:val="auto"/>
                <w:sz w:val="24"/>
                <w:highlight w:val="none"/>
                <w:u w:val="single"/>
                <w:lang w:val="en-US" w:eastAsia="zh-CN"/>
              </w:rPr>
              <w:t>杭州市临平区九洲大厦７０３室</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lang w:val="en-US" w:eastAsia="zh-CN"/>
              </w:rPr>
              <w:t>陈卉，０５７１－８９２６５５５２</w:t>
            </w:r>
            <w:r>
              <w:rPr>
                <w:rFonts w:hint="eastAsia" w:ascii="仿宋_GB2312" w:hAnsi="仿宋" w:eastAsia="仿宋_GB2312"/>
                <w:color w:val="auto"/>
                <w:sz w:val="24"/>
                <w:highlight w:val="none"/>
                <w:u w:val="single"/>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无</w:t>
            </w:r>
            <w:r>
              <w:rPr>
                <w:rFonts w:hint="eastAsia" w:ascii="仿宋_GB2312" w:hAnsi="仿宋" w:eastAsia="仿宋_GB2312"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hint="eastAsia" w:ascii="仿宋_GB2312" w:hAnsi="仿宋" w:eastAsia="仿宋_GB2312" w:cs="仿宋_GB2312"/>
                <w:color w:val="auto"/>
                <w:sz w:val="24"/>
                <w:highlight w:val="none"/>
                <w:lang w:val="en-US" w:eastAsia="zh-CN"/>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本</w:t>
            </w:r>
            <w:r>
              <w:rPr>
                <w:rFonts w:hint="eastAsia" w:ascii="仿宋_GB2312" w:hAnsi="仿宋" w:eastAsia="仿宋_GB2312" w:cs="Times New Roman"/>
                <w:snapToGrid w:val="0"/>
                <w:color w:val="auto"/>
                <w:kern w:val="28"/>
                <w:sz w:val="24"/>
                <w:szCs w:val="24"/>
                <w:highlight w:val="none"/>
                <w:lang w:val="en-US" w:eastAsia="zh-CN" w:bidi="ar-SA"/>
              </w:rPr>
              <w:t>项目的招标代理费用由各标项中标单位支付，代理费用付款按《招标代理服务收费管理暂行办法》的通知（计价格[2002]1980号）文件直接支付给分散采购招标代理单位，投标人在报价时应综合考虑该笔费用，但不单列进投标总价。</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w:t>
      </w:r>
      <w:r>
        <w:rPr>
          <w:rFonts w:hint="eastAsia" w:ascii="仿宋_GB2312" w:hAnsi="仿宋" w:eastAsia="仿宋_GB2312"/>
          <w:color w:val="auto"/>
          <w:sz w:val="24"/>
          <w:highlight w:val="none"/>
          <w:lang w:eastAsia="zh-CN"/>
        </w:rPr>
        <w:t>杭州恒正造价工程师事务所</w:t>
      </w:r>
      <w:r>
        <w:rPr>
          <w:rFonts w:ascii="仿宋_GB2312" w:hAnsi="仿宋" w:eastAsia="仿宋_GB2312"/>
          <w:color w:val="auto"/>
          <w:sz w:val="24"/>
          <w:highlight w:val="none"/>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lang w:eastAsia="zh-CN"/>
        </w:rPr>
        <w:t>　</w:t>
      </w: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供应商对政府采购活动事项有疑问的，可以提出询问，采购人或者杭州恒正造价工程师事务所应当在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商依法提出的询问作出答复，但答复的内容不得涉及商业秘密。供应商提出的询问超出采购人对杭州恒正造价工程师事务所委托授权范围的，杭州恒正造价工程师事务所应当告知供应商向采购人提出。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5"/>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5"/>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8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8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7"/>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5"/>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8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8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8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8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5"/>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hint="eastAsia" w:ascii="仿宋_GB2312" w:hAnsi="仿宋" w:eastAsia="仿宋_GB2312"/>
          <w:color w:val="auto"/>
          <w:sz w:val="24"/>
          <w:highlight w:val="none"/>
          <w:lang w:val="en-US" w:eastAsia="zh-CN"/>
        </w:rPr>
        <w:t>U盘</w:t>
      </w:r>
      <w:r>
        <w:rPr>
          <w:rFonts w:hint="eastAsia" w:ascii="仿宋_GB2312" w:hAnsi="仿宋" w:eastAsia="仿宋_GB2312" w:cs="仿宋_GB2312"/>
          <w:color w:val="auto"/>
          <w:sz w:val="24"/>
          <w:szCs w:val="24"/>
          <w:highlight w:val="none"/>
        </w:rPr>
        <w:t>中。备份投标文件应当密封包装并在包装上加盖公章并注明投标</w:t>
      </w:r>
      <w:r>
        <w:rPr>
          <w:rFonts w:hint="eastAsia" w:ascii="仿宋_GB2312" w:hAnsi="仿宋" w:eastAsia="仿宋_GB2312" w:cs="仿宋_GB2312"/>
          <w:color w:val="auto"/>
          <w:sz w:val="24"/>
          <w:szCs w:val="24"/>
          <w:highlight w:val="none"/>
          <w:lang w:eastAsia="zh-CN"/>
        </w:rPr>
        <w:t>杭州市临平区第一人民医院医疗区域运送管理服务项目</w:t>
      </w:r>
      <w:r>
        <w:rPr>
          <w:rFonts w:hint="eastAsia" w:ascii="仿宋_GB2312" w:hAnsi="仿宋" w:eastAsia="仿宋_GB2312" w:cs="仿宋_GB2312"/>
          <w:color w:val="auto"/>
          <w:sz w:val="24"/>
          <w:szCs w:val="24"/>
          <w:highlight w:val="none"/>
        </w:rPr>
        <w:t>，投标人名称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8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7"/>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8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8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8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ascii="仿宋_GB2312" w:hAnsi="仿宋" w:eastAsia="仿宋_GB2312" w:cs="仿宋_GB2312"/>
          <w:b/>
          <w:color w:val="auto"/>
          <w:sz w:val="32"/>
          <w:highlight w:val="none"/>
        </w:rPr>
      </w:pPr>
    </w:p>
    <w:p>
      <w:pPr>
        <w:pStyle w:val="8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241"/>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241"/>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8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8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8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8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8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8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8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8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8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8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w:t>
      </w:r>
      <w:r>
        <w:rPr>
          <w:rFonts w:hint="eastAsia" w:ascii="仿宋_GB2312" w:hAnsi="仿宋" w:eastAsia="仿宋_GB2312" w:cs="仿宋_GB2312"/>
          <w:color w:val="auto"/>
          <w:sz w:val="24"/>
          <w:highlight w:val="none"/>
          <w:lang w:eastAsia="zh-CN"/>
        </w:rPr>
        <w:t>杭州市临平区第一人民医院医疗区域运送管理服务项目</w:t>
      </w:r>
      <w:r>
        <w:rPr>
          <w:rFonts w:ascii="仿宋_GB2312" w:hAnsi="仿宋" w:eastAsia="仿宋_GB2312" w:cs="仿宋_GB2312"/>
          <w:color w:val="auto"/>
          <w:sz w:val="24"/>
          <w:highlight w:val="none"/>
        </w:rPr>
        <w:t>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8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7"/>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pStyle w:val="4"/>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r>
        <w:rPr>
          <w:rFonts w:hint="eastAsia" w:ascii="仿宋_GB2312" w:hAnsi="仿宋" w:eastAsia="仿宋_GB2312" w:cs="仿宋_GB2312"/>
          <w:color w:val="auto"/>
          <w:highlight w:val="none"/>
          <w:lang w:val="en-US" w:eastAsia="zh-CN"/>
        </w:rPr>
        <w:t xml:space="preserve">                                                                                                                                                                                                                                                                                                                                                                                                                                                                                                                                                                                                                                                                                                                                                                                                                                                                                                                                                                                                                                                                                                                                                                                                                                                                                                                                                                                                                                                                                                                                                                                                                                                                                                                                                                                                                                                                                                                                                                                                                                                                                                                                                                                                                                                                                                                                                                                                                                                                                                                                                                                                                                                                                                                                                                                                                                                    </w:t>
      </w:r>
    </w:p>
    <w:p>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7"/>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widowControl w:val="0"/>
        <w:tabs>
          <w:tab w:val="left" w:pos="0"/>
        </w:tabs>
        <w:wordWrap/>
        <w:adjustRightInd w:val="0"/>
        <w:snapToGrid/>
        <w:spacing w:line="360" w:lineRule="auto"/>
        <w:ind w:left="0" w:leftChars="0" w:right="0" w:firstLine="480" w:firstLineChars="0"/>
        <w:jc w:val="both"/>
        <w:textAlignment w:val="auto"/>
        <w:outlineLvl w:val="9"/>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tabs>
          <w:tab w:val="left" w:pos="0"/>
        </w:tabs>
        <w:wordWrap/>
        <w:adjustRightInd w:val="0"/>
        <w:snapToGrid/>
        <w:spacing w:line="360" w:lineRule="auto"/>
        <w:ind w:left="0" w:leftChars="0" w:right="0" w:firstLine="480" w:firstLineChars="0"/>
        <w:jc w:val="both"/>
        <w:textAlignment w:val="auto"/>
        <w:outlineLvl w:val="9"/>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widowControl w:val="0"/>
        <w:tabs>
          <w:tab w:val="left" w:pos="0"/>
        </w:tabs>
        <w:wordWrap/>
        <w:adjustRightInd w:val="0"/>
        <w:snapToGrid/>
        <w:spacing w:line="360" w:lineRule="auto"/>
        <w:ind w:left="0" w:leftChars="0" w:right="0" w:firstLine="480" w:firstLineChars="0"/>
        <w:jc w:val="both"/>
        <w:textAlignment w:val="auto"/>
        <w:outlineLvl w:val="9"/>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tabs>
          <w:tab w:val="left" w:pos="0"/>
        </w:tabs>
        <w:wordWrap/>
        <w:adjustRightInd w:val="0"/>
        <w:snapToGrid/>
        <w:spacing w:line="360" w:lineRule="auto"/>
        <w:ind w:left="0" w:leftChars="0" w:right="0" w:firstLine="480" w:firstLineChars="0"/>
        <w:jc w:val="both"/>
        <w:textAlignment w:val="auto"/>
        <w:outlineLvl w:val="9"/>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4" w:name="_Hlt74730295"/>
      <w:bookmarkEnd w:id="14"/>
      <w:bookmarkStart w:id="15" w:name="_Hlt68403820"/>
      <w:bookmarkEnd w:id="15"/>
      <w:bookmarkStart w:id="16" w:name="_Hlt75236290"/>
      <w:bookmarkEnd w:id="16"/>
      <w:bookmarkStart w:id="17" w:name="_Hlt74707468"/>
      <w:bookmarkEnd w:id="17"/>
      <w:bookmarkStart w:id="18" w:name="_Hlt68072990"/>
      <w:bookmarkEnd w:id="18"/>
      <w:bookmarkStart w:id="19" w:name="_Hlt74729768"/>
      <w:bookmarkEnd w:id="19"/>
      <w:bookmarkStart w:id="20" w:name="_Hlt75236101"/>
      <w:bookmarkEnd w:id="20"/>
      <w:bookmarkStart w:id="21" w:name="_Hlt68072998"/>
      <w:bookmarkEnd w:id="21"/>
      <w:bookmarkStart w:id="22" w:name="_Hlt75236011"/>
      <w:bookmarkEnd w:id="22"/>
      <w:bookmarkStart w:id="23" w:name="_Hlt68073093"/>
      <w:bookmarkEnd w:id="23"/>
      <w:bookmarkStart w:id="24" w:name="_Hlt68057669"/>
      <w:bookmarkEnd w:id="24"/>
      <w:bookmarkStart w:id="25" w:name="_Hlt74714665"/>
      <w:bookmarkEnd w:id="25"/>
    </w:p>
    <w:bookmarkEnd w:id="11"/>
    <w:bookmarkEnd w:id="12"/>
    <w:p>
      <w:pPr>
        <w:spacing w:line="360" w:lineRule="auto"/>
        <w:jc w:val="center"/>
        <w:outlineLvl w:val="0"/>
        <w:rPr>
          <w:rFonts w:hint="eastAsia" w:ascii="仿宋_GB2312" w:hAnsi="仿宋_GB2312" w:eastAsia="仿宋_GB2312" w:cs="仿宋_GB2312"/>
          <w:b/>
          <w:color w:val="auto"/>
          <w:sz w:val="36"/>
          <w:szCs w:val="36"/>
          <w:highlight w:val="none"/>
        </w:rPr>
      </w:pPr>
      <w:bookmarkStart w:id="26" w:name="第四部分"/>
      <w:r>
        <w:rPr>
          <w:rFonts w:hint="eastAsia" w:ascii="仿宋_GB2312" w:hAnsi="仿宋_GB2312" w:eastAsia="仿宋_GB2312" w:cs="仿宋_GB2312"/>
          <w:b/>
          <w:color w:val="auto"/>
          <w:sz w:val="36"/>
          <w:szCs w:val="36"/>
          <w:highlight w:val="none"/>
        </w:rPr>
        <w:t>第三部分   采购需求</w:t>
      </w:r>
    </w:p>
    <w:p>
      <w:pPr>
        <w:rPr>
          <w:rFonts w:hint="eastAsia" w:ascii="宋体" w:hAnsi="宋体"/>
          <w:b/>
          <w:color w:val="auto"/>
          <w:sz w:val="24"/>
          <w:szCs w:val="24"/>
          <w:highlight w:val="none"/>
        </w:rPr>
      </w:pPr>
    </w:p>
    <w:p>
      <w:pPr>
        <w:shd w:val="clear" w:color="auto" w:fill="FFFFFF"/>
        <w:spacing w:line="460" w:lineRule="exact"/>
        <w:rPr>
          <w:rFonts w:hint="eastAsia" w:ascii="仿宋" w:hAnsi="仿宋" w:eastAsia="仿宋" w:cs="仿宋"/>
          <w:b/>
          <w:bCs/>
          <w:color w:val="auto"/>
          <w:sz w:val="24"/>
          <w:highlight w:val="none"/>
        </w:rPr>
      </w:pPr>
      <w:bookmarkStart w:id="27" w:name="_Toc180298998"/>
      <w:r>
        <w:rPr>
          <w:rFonts w:hint="eastAsia" w:ascii="仿宋" w:hAnsi="仿宋" w:eastAsia="仿宋" w:cs="仿宋"/>
          <w:b/>
          <w:bCs/>
          <w:color w:val="auto"/>
          <w:sz w:val="24"/>
          <w:highlight w:val="none"/>
        </w:rPr>
        <w:t>一、</w:t>
      </w:r>
      <w:bookmarkEnd w:id="27"/>
      <w:r>
        <w:rPr>
          <w:rFonts w:hint="eastAsia" w:ascii="仿宋" w:hAnsi="仿宋" w:eastAsia="仿宋" w:cs="仿宋"/>
          <w:b/>
          <w:bCs/>
          <w:color w:val="auto"/>
          <w:sz w:val="24"/>
          <w:highlight w:val="none"/>
          <w:lang w:eastAsia="zh-CN"/>
        </w:rPr>
        <w:t>运送管理</w:t>
      </w:r>
      <w:r>
        <w:rPr>
          <w:rFonts w:hint="eastAsia" w:ascii="仿宋" w:hAnsi="仿宋" w:eastAsia="仿宋" w:cs="仿宋"/>
          <w:b/>
          <w:bCs/>
          <w:color w:val="auto"/>
          <w:sz w:val="24"/>
          <w:highlight w:val="none"/>
        </w:rPr>
        <w:t>服务面积及功能区块(面积仅供参考)</w:t>
      </w:r>
    </w:p>
    <w:p>
      <w:pPr>
        <w:spacing w:line="400" w:lineRule="exact"/>
        <w:rPr>
          <w:rFonts w:hint="eastAsia" w:ascii="仿宋" w:hAnsi="仿宋" w:eastAsia="仿宋" w:cs="仿宋"/>
          <w:color w:val="auto"/>
          <w:sz w:val="24"/>
          <w:highlight w:val="none"/>
        </w:rPr>
      </w:pPr>
    </w:p>
    <w:tbl>
      <w:tblPr>
        <w:tblStyle w:val="75"/>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880"/>
        <w:gridCol w:w="1115"/>
        <w:gridCol w:w="720"/>
        <w:gridCol w:w="165"/>
        <w:gridCol w:w="1095"/>
        <w:gridCol w:w="25"/>
        <w:gridCol w:w="695"/>
        <w:gridCol w:w="965"/>
        <w:gridCol w:w="1060"/>
        <w:gridCol w:w="120"/>
        <w:gridCol w:w="103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序号</w:t>
            </w:r>
          </w:p>
        </w:tc>
        <w:tc>
          <w:tcPr>
            <w:tcW w:w="8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ind w:firstLine="200" w:firstLineChars="100"/>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区域</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楼层</w:t>
            </w:r>
          </w:p>
        </w:tc>
        <w:tc>
          <w:tcPr>
            <w:tcW w:w="183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2号楼</w:t>
            </w:r>
          </w:p>
        </w:tc>
        <w:tc>
          <w:tcPr>
            <w:tcW w:w="198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3号楼</w:t>
            </w:r>
          </w:p>
        </w:tc>
        <w:tc>
          <w:tcPr>
            <w:tcW w:w="318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1号楼裙楼</w:t>
            </w:r>
          </w:p>
        </w:tc>
        <w:tc>
          <w:tcPr>
            <w:tcW w:w="12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合计使用面积（约M</w:t>
            </w:r>
            <w:r>
              <w:rPr>
                <w:rFonts w:hint="eastAsia" w:ascii="仿宋" w:hAnsi="仿宋" w:eastAsia="仿宋" w:cs="仿宋"/>
                <w:color w:val="auto"/>
                <w:kern w:val="0"/>
                <w:sz w:val="20"/>
                <w:szCs w:val="20"/>
                <w:highlight w:val="none"/>
                <w:vertAlign w:val="superscript"/>
              </w:rPr>
              <w:t>2</w:t>
            </w:r>
            <w:r>
              <w:rPr>
                <w:rFonts w:hint="eastAsia" w:ascii="仿宋" w:hAnsi="仿宋" w:eastAsia="仿宋" w:cs="仿宋"/>
                <w:color w:val="auto"/>
                <w:kern w:val="0"/>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p>
        </w:tc>
        <w:tc>
          <w:tcPr>
            <w:tcW w:w="111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功能</w:t>
            </w:r>
          </w:p>
        </w:tc>
        <w:tc>
          <w:tcPr>
            <w:tcW w:w="7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使用面积（约M</w:t>
            </w:r>
            <w:r>
              <w:rPr>
                <w:rFonts w:hint="eastAsia" w:ascii="仿宋" w:hAnsi="仿宋" w:eastAsia="仿宋" w:cs="仿宋"/>
                <w:color w:val="auto"/>
                <w:kern w:val="0"/>
                <w:sz w:val="20"/>
                <w:szCs w:val="20"/>
                <w:highlight w:val="none"/>
                <w:vertAlign w:val="superscript"/>
              </w:rPr>
              <w:t>2</w:t>
            </w:r>
            <w:r>
              <w:rPr>
                <w:rFonts w:hint="eastAsia" w:ascii="仿宋" w:hAnsi="仿宋" w:eastAsia="仿宋" w:cs="仿宋"/>
                <w:color w:val="auto"/>
                <w:kern w:val="0"/>
                <w:sz w:val="20"/>
                <w:szCs w:val="20"/>
                <w:highlight w:val="none"/>
              </w:rPr>
              <w:t>)</w:t>
            </w:r>
          </w:p>
        </w:tc>
        <w:tc>
          <w:tcPr>
            <w:tcW w:w="1260"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功能</w:t>
            </w:r>
          </w:p>
        </w:tc>
        <w:tc>
          <w:tcPr>
            <w:tcW w:w="720"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使用面积（约M</w:t>
            </w:r>
            <w:r>
              <w:rPr>
                <w:rFonts w:hint="eastAsia" w:ascii="仿宋" w:hAnsi="仿宋" w:eastAsia="仿宋" w:cs="仿宋"/>
                <w:color w:val="auto"/>
                <w:kern w:val="0"/>
                <w:sz w:val="20"/>
                <w:szCs w:val="20"/>
                <w:highlight w:val="none"/>
                <w:vertAlign w:val="superscript"/>
              </w:rPr>
              <w:t>2</w:t>
            </w:r>
            <w:r>
              <w:rPr>
                <w:rFonts w:hint="eastAsia" w:ascii="仿宋" w:hAnsi="仿宋" w:eastAsia="仿宋" w:cs="仿宋"/>
                <w:color w:val="auto"/>
                <w:kern w:val="0"/>
                <w:sz w:val="20"/>
                <w:szCs w:val="20"/>
                <w:highlight w:val="none"/>
              </w:rPr>
              <w:t>)</w:t>
            </w:r>
          </w:p>
        </w:tc>
        <w:tc>
          <w:tcPr>
            <w:tcW w:w="202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功能</w:t>
            </w:r>
          </w:p>
        </w:tc>
        <w:tc>
          <w:tcPr>
            <w:tcW w:w="115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使用面积（约M</w:t>
            </w:r>
            <w:r>
              <w:rPr>
                <w:rFonts w:hint="eastAsia" w:ascii="仿宋" w:hAnsi="仿宋" w:eastAsia="仿宋" w:cs="仿宋"/>
                <w:color w:val="auto"/>
                <w:kern w:val="0"/>
                <w:sz w:val="20"/>
                <w:szCs w:val="20"/>
                <w:highlight w:val="none"/>
                <w:vertAlign w:val="superscript"/>
              </w:rPr>
              <w:t>2</w:t>
            </w:r>
            <w:r>
              <w:rPr>
                <w:rFonts w:hint="eastAsia" w:ascii="仿宋" w:hAnsi="仿宋" w:eastAsia="仿宋" w:cs="仿宋"/>
                <w:color w:val="auto"/>
                <w:kern w:val="0"/>
                <w:sz w:val="20"/>
                <w:szCs w:val="20"/>
                <w:highlight w:val="none"/>
              </w:rPr>
              <w:t>)</w:t>
            </w: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1层</w:t>
            </w:r>
          </w:p>
        </w:tc>
        <w:tc>
          <w:tcPr>
            <w:tcW w:w="111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病房大厅、放射科、监控中心</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3587</w:t>
            </w: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急诊观察室</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919</w:t>
            </w:r>
          </w:p>
        </w:tc>
        <w:tc>
          <w:tcPr>
            <w:tcW w:w="2025" w:type="dxa"/>
            <w:gridSpan w:val="2"/>
            <w:tcBorders>
              <w:top w:val="nil"/>
              <w:left w:val="nil"/>
              <w:bottom w:val="single" w:color="auto" w:sz="4" w:space="0"/>
              <w:right w:val="nil"/>
            </w:tcBorders>
            <w:vAlign w:val="top"/>
          </w:tcPr>
          <w:p>
            <w:pPr>
              <w:widowControl/>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1.输液室：                           2.医技科室 </w:t>
            </w:r>
          </w:p>
          <w:p>
            <w:pPr>
              <w:widowControl/>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（1）放射科               3.门诊区域  </w:t>
            </w:r>
          </w:p>
          <w:p>
            <w:pPr>
              <w:widowControl/>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(1)儿科诊室                           (2)骨科诊室                           (3)口腔科               4.公共区域 </w:t>
            </w:r>
          </w:p>
          <w:p>
            <w:pPr>
              <w:widowControl/>
              <w:jc w:val="left"/>
              <w:rPr>
                <w:rFonts w:hint="eastAsia" w:ascii="仿宋" w:hAnsi="仿宋" w:eastAsia="仿宋" w:cs="仿宋"/>
                <w:color w:val="auto"/>
                <w:highlight w:val="none"/>
              </w:rPr>
            </w:pPr>
            <w:r>
              <w:rPr>
                <w:rFonts w:hint="eastAsia" w:ascii="仿宋" w:hAnsi="仿宋" w:eastAsia="仿宋" w:cs="仿宋"/>
                <w:color w:val="auto"/>
                <w:highlight w:val="none"/>
              </w:rPr>
              <w:t>(1)门诊大厅                            (2)住院大厅                           (3)出入院办理处                       (4)药房及候药大厅</w:t>
            </w:r>
          </w:p>
          <w:p>
            <w:pPr>
              <w:pStyle w:val="82"/>
              <w:rPr>
                <w:rFonts w:hint="eastAsia" w:ascii="仿宋" w:hAnsi="仿宋" w:eastAsia="仿宋" w:cs="仿宋"/>
                <w:color w:val="auto"/>
                <w:highlight w:val="none"/>
                <w:lang w:val="en-US"/>
              </w:rPr>
            </w:pPr>
            <w:r>
              <w:rPr>
                <w:rFonts w:hint="eastAsia" w:ascii="仿宋" w:hAnsi="仿宋" w:eastAsia="仿宋" w:cs="仿宋"/>
                <w:color w:val="auto"/>
                <w:sz w:val="20"/>
                <w:szCs w:val="20"/>
                <w:highlight w:val="none"/>
                <w:lang w:val="en-US"/>
              </w:rPr>
              <w:t>5.急诊</w:t>
            </w:r>
          </w:p>
        </w:tc>
        <w:tc>
          <w:tcPr>
            <w:tcW w:w="1155" w:type="dxa"/>
            <w:gridSpan w:val="2"/>
            <w:tcBorders>
              <w:top w:val="nil"/>
              <w:left w:val="single" w:color="auto" w:sz="4" w:space="0"/>
              <w:bottom w:val="single" w:color="auto" w:sz="4" w:space="0"/>
              <w:right w:val="nil"/>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9742</w:t>
            </w:r>
          </w:p>
        </w:tc>
        <w:tc>
          <w:tcPr>
            <w:tcW w:w="1260"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14248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2层</w:t>
            </w:r>
          </w:p>
        </w:tc>
        <w:tc>
          <w:tcPr>
            <w:tcW w:w="111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病理科、检验科、胎心监护室、</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2000</w:t>
            </w: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供应室</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lang w:val="en-US" w:eastAsia="zh-CN"/>
              </w:rPr>
              <w:t>EICU</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2280</w:t>
            </w:r>
          </w:p>
        </w:tc>
        <w:tc>
          <w:tcPr>
            <w:tcW w:w="2025" w:type="dxa"/>
            <w:gridSpan w:val="2"/>
            <w:tcBorders>
              <w:top w:val="nil"/>
              <w:left w:val="nil"/>
              <w:bottom w:val="single" w:color="auto" w:sz="4" w:space="0"/>
              <w:right w:val="nil"/>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1.医技科室 </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（1）检验科：                                 2.门诊区域 </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(1)内科诊室                           (2)产科诊室                           (3)妇科诊室              3.公共区域 </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(1)分层挂号                           (2)小型超市及候诊</w:t>
            </w:r>
          </w:p>
        </w:tc>
        <w:tc>
          <w:tcPr>
            <w:tcW w:w="1155" w:type="dxa"/>
            <w:gridSpan w:val="2"/>
            <w:tcBorders>
              <w:top w:val="nil"/>
              <w:left w:val="single" w:color="auto" w:sz="4" w:space="0"/>
              <w:bottom w:val="single" w:color="auto" w:sz="4" w:space="0"/>
              <w:right w:val="nil"/>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7720</w:t>
            </w:r>
          </w:p>
        </w:tc>
        <w:tc>
          <w:tcPr>
            <w:tcW w:w="1260"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3层</w:t>
            </w:r>
          </w:p>
        </w:tc>
        <w:tc>
          <w:tcPr>
            <w:tcW w:w="111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ICU及病房</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2438</w:t>
            </w: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手术室</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3386</w:t>
            </w:r>
          </w:p>
        </w:tc>
        <w:tc>
          <w:tcPr>
            <w:tcW w:w="2025" w:type="dxa"/>
            <w:gridSpan w:val="2"/>
            <w:tcBorders>
              <w:top w:val="nil"/>
              <w:left w:val="nil"/>
              <w:bottom w:val="single" w:color="auto" w:sz="4" w:space="0"/>
              <w:right w:val="nil"/>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                         1.门诊区域：</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(1)外科：                                           2公共区域：</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(1)分层挂号                           (2)门诊候诊                           (3)手术ICU等候</w:t>
            </w:r>
          </w:p>
        </w:tc>
        <w:tc>
          <w:tcPr>
            <w:tcW w:w="1155" w:type="dxa"/>
            <w:gridSpan w:val="2"/>
            <w:tcBorders>
              <w:top w:val="nil"/>
              <w:left w:val="single" w:color="auto" w:sz="4" w:space="0"/>
              <w:bottom w:val="single" w:color="auto" w:sz="4" w:space="0"/>
              <w:right w:val="nil"/>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7710</w:t>
            </w:r>
          </w:p>
        </w:tc>
        <w:tc>
          <w:tcPr>
            <w:tcW w:w="1260"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13534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4层</w:t>
            </w:r>
          </w:p>
        </w:tc>
        <w:tc>
          <w:tcPr>
            <w:tcW w:w="111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血透中心</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1636</w:t>
            </w: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内镜中心</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1471</w:t>
            </w:r>
          </w:p>
        </w:tc>
        <w:tc>
          <w:tcPr>
            <w:tcW w:w="2025" w:type="dxa"/>
            <w:gridSpan w:val="2"/>
            <w:tcBorders>
              <w:top w:val="nil"/>
              <w:left w:val="nil"/>
              <w:bottom w:val="single" w:color="auto" w:sz="4" w:space="0"/>
              <w:right w:val="nil"/>
            </w:tcBorders>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1.门诊区域：</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(1)五官科                             (2)眼科 </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（3）名医馆</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（4）中医馆                 2.公共区域：</w:t>
            </w:r>
          </w:p>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(1)分层挂号                           </w:t>
            </w:r>
          </w:p>
        </w:tc>
        <w:tc>
          <w:tcPr>
            <w:tcW w:w="1155" w:type="dxa"/>
            <w:gridSpan w:val="2"/>
            <w:tcBorders>
              <w:top w:val="nil"/>
              <w:left w:val="single" w:color="auto" w:sz="4" w:space="0"/>
              <w:bottom w:val="single" w:color="auto" w:sz="4" w:space="0"/>
              <w:right w:val="nil"/>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4547</w:t>
            </w:r>
          </w:p>
        </w:tc>
        <w:tc>
          <w:tcPr>
            <w:tcW w:w="1260"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7654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7875" w:type="dxa"/>
            <w:gridSpan w:val="11"/>
            <w:tcBorders>
              <w:top w:val="single" w:color="auto" w:sz="4" w:space="0"/>
              <w:left w:val="nil"/>
              <w:bottom w:val="single" w:color="auto" w:sz="4" w:space="0"/>
              <w:right w:val="nil"/>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合  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47936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9675" w:type="dxa"/>
            <w:gridSpan w:val="13"/>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40" w:type="dxa"/>
            <w:vMerge w:val="restart"/>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序号</w:t>
            </w:r>
          </w:p>
        </w:tc>
        <w:tc>
          <w:tcPr>
            <w:tcW w:w="880" w:type="dxa"/>
            <w:vMerge w:val="restart"/>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  区域楼层</w:t>
            </w:r>
          </w:p>
        </w:tc>
        <w:tc>
          <w:tcPr>
            <w:tcW w:w="3120" w:type="dxa"/>
            <w:gridSpan w:val="5"/>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2号楼</w:t>
            </w:r>
          </w:p>
        </w:tc>
        <w:tc>
          <w:tcPr>
            <w:tcW w:w="2840" w:type="dxa"/>
            <w:gridSpan w:val="4"/>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3号楼</w:t>
            </w:r>
          </w:p>
        </w:tc>
        <w:tc>
          <w:tcPr>
            <w:tcW w:w="2295" w:type="dxa"/>
            <w:gridSpan w:val="2"/>
            <w:vMerge w:val="restart"/>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合计使用面积（约M</w:t>
            </w:r>
            <w:r>
              <w:rPr>
                <w:rFonts w:hint="eastAsia" w:ascii="仿宋" w:hAnsi="仿宋" w:eastAsia="仿宋" w:cs="仿宋"/>
                <w:color w:val="auto"/>
                <w:kern w:val="0"/>
                <w:sz w:val="20"/>
                <w:szCs w:val="20"/>
                <w:highlight w:val="none"/>
                <w:vertAlign w:val="superscript"/>
              </w:rPr>
              <w:t>2</w:t>
            </w:r>
            <w:r>
              <w:rPr>
                <w:rFonts w:hint="eastAsia" w:ascii="仿宋" w:hAnsi="仿宋" w:eastAsia="仿宋" w:cs="仿宋"/>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40" w:type="dxa"/>
            <w:vMerge w:val="continue"/>
            <w:vAlign w:val="center"/>
          </w:tcPr>
          <w:p>
            <w:pPr>
              <w:widowControl/>
              <w:jc w:val="left"/>
              <w:rPr>
                <w:rFonts w:hint="eastAsia" w:ascii="仿宋" w:hAnsi="仿宋" w:eastAsia="仿宋" w:cs="仿宋"/>
                <w:color w:val="auto"/>
                <w:kern w:val="0"/>
                <w:sz w:val="20"/>
                <w:szCs w:val="20"/>
                <w:highlight w:val="none"/>
              </w:rPr>
            </w:pPr>
          </w:p>
        </w:tc>
        <w:tc>
          <w:tcPr>
            <w:tcW w:w="880" w:type="dxa"/>
            <w:vMerge w:val="continue"/>
            <w:vAlign w:val="center"/>
          </w:tcPr>
          <w:p>
            <w:pPr>
              <w:widowControl/>
              <w:jc w:val="left"/>
              <w:rPr>
                <w:rFonts w:hint="eastAsia" w:ascii="仿宋" w:hAnsi="仿宋" w:eastAsia="仿宋" w:cs="仿宋"/>
                <w:color w:val="auto"/>
                <w:kern w:val="0"/>
                <w:sz w:val="20"/>
                <w:szCs w:val="20"/>
                <w:highlight w:val="none"/>
              </w:rPr>
            </w:pPr>
          </w:p>
        </w:tc>
        <w:tc>
          <w:tcPr>
            <w:tcW w:w="2000" w:type="dxa"/>
            <w:gridSpan w:val="3"/>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功能</w:t>
            </w:r>
          </w:p>
        </w:tc>
        <w:tc>
          <w:tcPr>
            <w:tcW w:w="1120" w:type="dxa"/>
            <w:gridSpan w:val="2"/>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使用面积（约M</w:t>
            </w:r>
            <w:r>
              <w:rPr>
                <w:rFonts w:hint="eastAsia" w:ascii="仿宋" w:hAnsi="仿宋" w:eastAsia="仿宋" w:cs="仿宋"/>
                <w:color w:val="auto"/>
                <w:kern w:val="0"/>
                <w:sz w:val="20"/>
                <w:szCs w:val="20"/>
                <w:highlight w:val="none"/>
                <w:vertAlign w:val="superscript"/>
              </w:rPr>
              <w:t>2</w:t>
            </w:r>
            <w:r>
              <w:rPr>
                <w:rFonts w:hint="eastAsia" w:ascii="仿宋" w:hAnsi="仿宋" w:eastAsia="仿宋" w:cs="仿宋"/>
                <w:color w:val="auto"/>
                <w:kern w:val="0"/>
                <w:sz w:val="20"/>
                <w:szCs w:val="20"/>
                <w:highlight w:val="none"/>
              </w:rPr>
              <w:t>)</w:t>
            </w:r>
          </w:p>
        </w:tc>
        <w:tc>
          <w:tcPr>
            <w:tcW w:w="1660" w:type="dxa"/>
            <w:gridSpan w:val="2"/>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功能</w:t>
            </w:r>
          </w:p>
        </w:tc>
        <w:tc>
          <w:tcPr>
            <w:tcW w:w="1180" w:type="dxa"/>
            <w:gridSpan w:val="2"/>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使用面积（约M</w:t>
            </w:r>
            <w:r>
              <w:rPr>
                <w:rFonts w:hint="eastAsia" w:ascii="仿宋" w:hAnsi="仿宋" w:eastAsia="仿宋" w:cs="仿宋"/>
                <w:color w:val="auto"/>
                <w:kern w:val="0"/>
                <w:sz w:val="20"/>
                <w:szCs w:val="20"/>
                <w:highlight w:val="none"/>
                <w:vertAlign w:val="superscript"/>
              </w:rPr>
              <w:t>2</w:t>
            </w:r>
            <w:r>
              <w:rPr>
                <w:rFonts w:hint="eastAsia" w:ascii="仿宋" w:hAnsi="仿宋" w:eastAsia="仿宋" w:cs="仿宋"/>
                <w:color w:val="auto"/>
                <w:kern w:val="0"/>
                <w:sz w:val="20"/>
                <w:szCs w:val="20"/>
                <w:highlight w:val="none"/>
              </w:rPr>
              <w:t>)</w:t>
            </w:r>
          </w:p>
        </w:tc>
        <w:tc>
          <w:tcPr>
            <w:tcW w:w="2295" w:type="dxa"/>
            <w:gridSpan w:val="2"/>
            <w:vMerge w:val="continue"/>
            <w:vAlign w:val="center"/>
          </w:tcPr>
          <w:p>
            <w:pPr>
              <w:widowControl/>
              <w:jc w:val="left"/>
              <w:rPr>
                <w:rFonts w:hint="eastAsia" w:ascii="仿宋" w:hAnsi="仿宋" w:eastAsia="仿宋" w:cs="仿宋"/>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技术层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2295" w:type="dxa"/>
            <w:gridSpan w:val="2"/>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五层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1.新生儿监护       2.儿科病房</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2128</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VIP产科病房</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六层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产科病房</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1625</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产房</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七层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1.泌尿科        2.皮肤科病房</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产科家护病房</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八层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妇科病房</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神经外科病房</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九层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骨科病房1</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神经内科病房</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十层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骨科病房2</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康复病房</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十一层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1.骨科病房3       2.烧伤、整形、皮肤</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肾内科</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十二层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普外科病房1</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预留</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十三层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普外科病房2</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1.</w:t>
            </w:r>
            <w:r>
              <w:rPr>
                <w:rFonts w:hint="eastAsia" w:ascii="仿宋" w:hAnsi="仿宋" w:eastAsia="仿宋" w:cs="仿宋"/>
                <w:color w:val="auto"/>
                <w:kern w:val="0"/>
                <w:sz w:val="20"/>
                <w:szCs w:val="20"/>
                <w:highlight w:val="none"/>
              </w:rPr>
              <w:t>血液化疗     2.介入治疗病房</w:t>
            </w:r>
          </w:p>
          <w:p>
            <w:pPr>
              <w:widowControl/>
              <w:jc w:val="left"/>
              <w:rPr>
                <w:rFonts w:hint="eastAsia" w:ascii="仿宋" w:hAnsi="仿宋" w:eastAsia="仿宋" w:cs="仿宋"/>
                <w:color w:val="auto"/>
                <w:kern w:val="0"/>
                <w:sz w:val="20"/>
                <w:szCs w:val="20"/>
                <w:highlight w:val="none"/>
              </w:rPr>
            </w:pP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十四层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1.普外科病房       2.眼科</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pStyle w:val="82"/>
              <w:rPr>
                <w:rFonts w:hint="eastAsia" w:ascii="仿宋" w:hAnsi="仿宋" w:eastAsia="仿宋" w:cs="仿宋"/>
                <w:color w:val="auto"/>
                <w:highlight w:val="none"/>
              </w:rPr>
            </w:pPr>
            <w:r>
              <w:rPr>
                <w:rFonts w:hint="eastAsia" w:ascii="仿宋" w:hAnsi="仿宋" w:eastAsia="仿宋" w:cs="仿宋"/>
                <w:color w:val="auto"/>
                <w:sz w:val="20"/>
                <w:szCs w:val="20"/>
                <w:highlight w:val="none"/>
              </w:rPr>
              <w:t>手外整形病房</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十五层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1.耳鼻喉科        2.口腔科         3.肛肠科</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十六层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消化内科病区</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十七层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内分泌病区</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十八层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心内科病区</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十九层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心内科病区</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17</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二十层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心内、呼吸综合病区</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18</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二十一层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呼吸科病区</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2295" w:type="dxa"/>
            <w:gridSpan w:val="2"/>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19</w:t>
            </w:r>
          </w:p>
        </w:tc>
        <w:tc>
          <w:tcPr>
            <w:tcW w:w="880" w:type="dxa"/>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二十二层</w:t>
            </w: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预留</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w:t>
            </w:r>
          </w:p>
        </w:tc>
        <w:tc>
          <w:tcPr>
            <w:tcW w:w="2295" w:type="dxa"/>
            <w:gridSpan w:val="2"/>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jc w:val="center"/>
              <w:rPr>
                <w:rFonts w:hint="eastAsia" w:ascii="仿宋" w:hAnsi="仿宋" w:eastAsia="仿宋" w:cs="仿宋"/>
                <w:color w:val="auto"/>
                <w:kern w:val="0"/>
                <w:sz w:val="20"/>
                <w:szCs w:val="20"/>
                <w:highlight w:val="none"/>
              </w:rPr>
            </w:pPr>
          </w:p>
        </w:tc>
        <w:tc>
          <w:tcPr>
            <w:tcW w:w="880" w:type="dxa"/>
            <w:vAlign w:val="center"/>
          </w:tcPr>
          <w:p>
            <w:pPr>
              <w:widowControl/>
              <w:jc w:val="center"/>
              <w:rPr>
                <w:rFonts w:hint="eastAsia" w:ascii="仿宋" w:hAnsi="仿宋" w:eastAsia="仿宋" w:cs="仿宋"/>
                <w:color w:val="auto"/>
                <w:kern w:val="0"/>
                <w:sz w:val="20"/>
                <w:szCs w:val="20"/>
                <w:highlight w:val="none"/>
              </w:rPr>
            </w:pPr>
          </w:p>
        </w:tc>
        <w:tc>
          <w:tcPr>
            <w:tcW w:w="2000" w:type="dxa"/>
            <w:gridSpan w:val="3"/>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顶面</w:t>
            </w:r>
          </w:p>
        </w:tc>
        <w:tc>
          <w:tcPr>
            <w:tcW w:w="112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1530</w:t>
            </w:r>
          </w:p>
        </w:tc>
        <w:tc>
          <w:tcPr>
            <w:tcW w:w="1660" w:type="dxa"/>
            <w:gridSpan w:val="2"/>
            <w:vAlign w:val="center"/>
          </w:tcPr>
          <w:p>
            <w:pPr>
              <w:widowControl/>
              <w:jc w:val="left"/>
              <w:rPr>
                <w:rFonts w:hint="eastAsia" w:ascii="仿宋" w:hAnsi="仿宋" w:eastAsia="仿宋" w:cs="仿宋"/>
                <w:color w:val="auto"/>
                <w:kern w:val="0"/>
                <w:sz w:val="20"/>
                <w:szCs w:val="20"/>
                <w:highlight w:val="none"/>
              </w:rPr>
            </w:pPr>
          </w:p>
        </w:tc>
        <w:tc>
          <w:tcPr>
            <w:tcW w:w="1180" w:type="dxa"/>
            <w:gridSpan w:val="2"/>
            <w:vAlign w:val="center"/>
          </w:tcPr>
          <w:p>
            <w:pPr>
              <w:widowControl/>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1460</w:t>
            </w:r>
          </w:p>
        </w:tc>
        <w:tc>
          <w:tcPr>
            <w:tcW w:w="2295" w:type="dxa"/>
            <w:gridSpan w:val="2"/>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380" w:type="dxa"/>
            <w:gridSpan w:val="11"/>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感染楼(共计3层）</w:t>
            </w:r>
          </w:p>
        </w:tc>
        <w:tc>
          <w:tcPr>
            <w:tcW w:w="2295" w:type="dxa"/>
            <w:gridSpan w:val="2"/>
            <w:vAlign w:val="center"/>
          </w:tcPr>
          <w:p>
            <w:pPr>
              <w:widowControl/>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5424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380" w:type="dxa"/>
            <w:gridSpan w:val="11"/>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1-3号楼地下室（包含静配中心）</w:t>
            </w:r>
          </w:p>
        </w:tc>
        <w:tc>
          <w:tcPr>
            <w:tcW w:w="2295" w:type="dxa"/>
            <w:gridSpan w:val="2"/>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380" w:type="dxa"/>
            <w:gridSpan w:val="11"/>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高压氧舱</w:t>
            </w:r>
          </w:p>
        </w:tc>
        <w:tc>
          <w:tcPr>
            <w:tcW w:w="2295" w:type="dxa"/>
            <w:gridSpan w:val="2"/>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3420" w:type="dxa"/>
            <w:gridSpan w:val="5"/>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合计</w:t>
            </w:r>
          </w:p>
        </w:tc>
        <w:tc>
          <w:tcPr>
            <w:tcW w:w="1120" w:type="dxa"/>
            <w:gridSpan w:val="2"/>
            <w:vAlign w:val="center"/>
          </w:tcPr>
          <w:p>
            <w:pPr>
              <w:widowControl/>
              <w:jc w:val="right"/>
              <w:rPr>
                <w:rFonts w:hint="eastAsia" w:ascii="仿宋" w:hAnsi="仿宋" w:eastAsia="仿宋" w:cs="仿宋"/>
                <w:color w:val="auto"/>
                <w:kern w:val="0"/>
                <w:sz w:val="20"/>
                <w:szCs w:val="20"/>
                <w:highlight w:val="none"/>
              </w:rPr>
            </w:pPr>
          </w:p>
        </w:tc>
        <w:tc>
          <w:tcPr>
            <w:tcW w:w="1660" w:type="dxa"/>
            <w:gridSpan w:val="2"/>
            <w:vAlign w:val="center"/>
          </w:tcPr>
          <w:p>
            <w:pPr>
              <w:widowControl/>
              <w:jc w:val="left"/>
              <w:rPr>
                <w:rFonts w:hint="eastAsia" w:ascii="仿宋" w:hAnsi="仿宋" w:eastAsia="仿宋" w:cs="仿宋"/>
                <w:color w:val="auto"/>
                <w:kern w:val="0"/>
                <w:sz w:val="20"/>
                <w:szCs w:val="20"/>
                <w:highlight w:val="none"/>
              </w:rPr>
            </w:pPr>
          </w:p>
        </w:tc>
        <w:tc>
          <w:tcPr>
            <w:tcW w:w="1180" w:type="dxa"/>
            <w:gridSpan w:val="2"/>
            <w:vAlign w:val="center"/>
          </w:tcPr>
          <w:p>
            <w:pPr>
              <w:widowControl/>
              <w:jc w:val="right"/>
              <w:rPr>
                <w:rFonts w:hint="eastAsia" w:ascii="仿宋" w:hAnsi="仿宋" w:eastAsia="仿宋" w:cs="仿宋"/>
                <w:color w:val="auto"/>
                <w:kern w:val="0"/>
                <w:sz w:val="20"/>
                <w:szCs w:val="20"/>
                <w:highlight w:val="none"/>
              </w:rPr>
            </w:pPr>
          </w:p>
        </w:tc>
        <w:tc>
          <w:tcPr>
            <w:tcW w:w="2295" w:type="dxa"/>
            <w:gridSpan w:val="2"/>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3420" w:type="dxa"/>
            <w:gridSpan w:val="5"/>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总合计</w:t>
            </w:r>
          </w:p>
        </w:tc>
        <w:tc>
          <w:tcPr>
            <w:tcW w:w="6255" w:type="dxa"/>
            <w:gridSpan w:val="8"/>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116075</w:t>
            </w:r>
          </w:p>
        </w:tc>
      </w:tr>
    </w:tbl>
    <w:p>
      <w:pPr>
        <w:spacing w:line="400" w:lineRule="exact"/>
        <w:rPr>
          <w:rFonts w:hint="eastAsia" w:ascii="仿宋" w:hAnsi="仿宋" w:eastAsia="仿宋" w:cs="仿宋"/>
        </w:rPr>
      </w:pPr>
      <w:r>
        <w:rPr>
          <w:rFonts w:hint="eastAsia" w:ascii="仿宋" w:hAnsi="仿宋" w:eastAsia="仿宋" w:cs="仿宋"/>
          <w:b/>
          <w:bCs/>
          <w:color w:val="auto"/>
          <w:sz w:val="24"/>
          <w:highlight w:val="none"/>
        </w:rPr>
        <w:t>注：运送覆盖全院范围。</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sz w:val="24"/>
          <w:highlight w:val="none"/>
        </w:rPr>
        <w:t>、运送岗位及专业驻守岗位人员要求：运送岗位包括药房、静配中心、急诊、内镜中心、重症监护室、血透室、手术室、供应室、运送中心、电梯疏导、洗衣房等运送及保洁工作；具体岗位人数由投标单位自行调整。运送岗位全年365天中每一天总人数不得少于132人，所有保洁用品的清洁由中标单位负责：</w:t>
      </w:r>
    </w:p>
    <w:tbl>
      <w:tblPr>
        <w:tblStyle w:val="75"/>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4"/>
        <w:gridCol w:w="3658"/>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区域</w:t>
            </w:r>
          </w:p>
        </w:tc>
        <w:tc>
          <w:tcPr>
            <w:tcW w:w="3658" w:type="dxa"/>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人员</w:t>
            </w:r>
          </w:p>
        </w:tc>
        <w:tc>
          <w:tcPr>
            <w:tcW w:w="2191" w:type="dxa"/>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kern w:val="2"/>
                <w:sz w:val="24"/>
                <w:szCs w:val="22"/>
                <w:lang w:val="en-US" w:eastAsia="zh-CN" w:bidi="ar-SA"/>
              </w:rPr>
            </w:pPr>
            <w:r>
              <w:rPr>
                <w:rFonts w:hint="eastAsia" w:ascii="仿宋" w:hAnsi="仿宋" w:eastAsia="仿宋" w:cs="仿宋"/>
                <w:color w:val="000000"/>
                <w:sz w:val="24"/>
              </w:rPr>
              <w:t>药房</w:t>
            </w:r>
          </w:p>
        </w:tc>
        <w:tc>
          <w:tcPr>
            <w:tcW w:w="3658" w:type="dxa"/>
            <w:vAlign w:val="center"/>
          </w:tcPr>
          <w:p>
            <w:pPr>
              <w:jc w:val="center"/>
              <w:rPr>
                <w:rFonts w:hint="eastAsia" w:ascii="仿宋" w:hAnsi="仿宋" w:eastAsia="仿宋" w:cs="仿宋"/>
                <w:color w:val="000000"/>
                <w:kern w:val="2"/>
                <w:sz w:val="24"/>
                <w:szCs w:val="22"/>
                <w:lang w:val="en-US" w:eastAsia="zh-CN" w:bidi="ar-SA"/>
              </w:rPr>
            </w:pPr>
            <w:r>
              <w:rPr>
                <w:rFonts w:hint="eastAsia" w:ascii="仿宋" w:hAnsi="仿宋" w:eastAsia="仿宋" w:cs="仿宋"/>
                <w:color w:val="000000"/>
                <w:sz w:val="24"/>
              </w:rPr>
              <w:t>运送</w:t>
            </w:r>
          </w:p>
        </w:tc>
        <w:tc>
          <w:tcPr>
            <w:tcW w:w="2191" w:type="dxa"/>
            <w:vAlign w:val="center"/>
          </w:tcPr>
          <w:p>
            <w:pPr>
              <w:jc w:val="center"/>
              <w:rPr>
                <w:rFonts w:hint="eastAsia" w:ascii="仿宋" w:hAnsi="仿宋" w:eastAsia="仿宋" w:cs="仿宋"/>
                <w:color w:val="000000"/>
                <w:kern w:val="2"/>
                <w:sz w:val="24"/>
                <w:szCs w:val="22"/>
                <w:lang w:val="en-US" w:eastAsia="zh-CN" w:bidi="ar-SA"/>
              </w:rPr>
            </w:pPr>
            <w:r>
              <w:rPr>
                <w:rFonts w:hint="eastAsia" w:ascii="仿宋" w:hAnsi="仿宋" w:eastAsia="仿宋" w:cs="仿宋"/>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静配中心</w:t>
            </w:r>
          </w:p>
        </w:tc>
        <w:tc>
          <w:tcPr>
            <w:tcW w:w="3658"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运送</w:t>
            </w: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内镜中心</w:t>
            </w:r>
          </w:p>
        </w:tc>
        <w:tc>
          <w:tcPr>
            <w:tcW w:w="3658"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洗消工</w:t>
            </w: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重症监护室</w:t>
            </w:r>
          </w:p>
        </w:tc>
        <w:tc>
          <w:tcPr>
            <w:tcW w:w="3658"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护理（运送）等</w:t>
            </w: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血透室</w:t>
            </w:r>
          </w:p>
        </w:tc>
        <w:tc>
          <w:tcPr>
            <w:tcW w:w="3658" w:type="dxa"/>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运送</w:t>
            </w: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手术室</w:t>
            </w:r>
          </w:p>
        </w:tc>
        <w:tc>
          <w:tcPr>
            <w:tcW w:w="3658"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运送等</w:t>
            </w: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供应室</w:t>
            </w:r>
          </w:p>
        </w:tc>
        <w:tc>
          <w:tcPr>
            <w:tcW w:w="3658"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洗消工（运送）等</w:t>
            </w: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运送中心</w:t>
            </w:r>
          </w:p>
        </w:tc>
        <w:tc>
          <w:tcPr>
            <w:tcW w:w="3658" w:type="dxa"/>
            <w:vAlign w:val="center"/>
          </w:tcPr>
          <w:p>
            <w:pPr>
              <w:jc w:val="center"/>
              <w:rPr>
                <w:rFonts w:hint="eastAsia" w:ascii="仿宋" w:hAnsi="仿宋" w:eastAsia="仿宋" w:cs="仿宋"/>
                <w:color w:val="000000"/>
                <w:sz w:val="24"/>
              </w:rPr>
            </w:pP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急诊、日间病房、感染楼运送驻守等</w:t>
            </w:r>
          </w:p>
        </w:tc>
        <w:tc>
          <w:tcPr>
            <w:tcW w:w="3658" w:type="dxa"/>
            <w:vAlign w:val="center"/>
          </w:tcPr>
          <w:p>
            <w:pPr>
              <w:jc w:val="center"/>
              <w:rPr>
                <w:rFonts w:hint="eastAsia" w:ascii="仿宋" w:hAnsi="仿宋" w:eastAsia="仿宋" w:cs="仿宋"/>
                <w:color w:val="000000"/>
                <w:sz w:val="24"/>
              </w:rPr>
            </w:pP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电梯工+疏导员</w:t>
            </w:r>
          </w:p>
        </w:tc>
        <w:tc>
          <w:tcPr>
            <w:tcW w:w="3658" w:type="dxa"/>
            <w:vAlign w:val="center"/>
          </w:tcPr>
          <w:p>
            <w:pPr>
              <w:jc w:val="center"/>
              <w:rPr>
                <w:rFonts w:hint="eastAsia" w:ascii="仿宋" w:hAnsi="仿宋" w:eastAsia="仿宋" w:cs="仿宋"/>
                <w:color w:val="000000"/>
                <w:sz w:val="24"/>
              </w:rPr>
            </w:pP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管理人员</w:t>
            </w:r>
          </w:p>
        </w:tc>
        <w:tc>
          <w:tcPr>
            <w:tcW w:w="3658" w:type="dxa"/>
            <w:vAlign w:val="center"/>
          </w:tcPr>
          <w:p>
            <w:pPr>
              <w:jc w:val="center"/>
              <w:rPr>
                <w:rFonts w:hint="eastAsia" w:ascii="仿宋" w:hAnsi="仿宋" w:eastAsia="仿宋" w:cs="仿宋"/>
                <w:color w:val="000000"/>
                <w:sz w:val="24"/>
              </w:rPr>
            </w:pP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54"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共计</w:t>
            </w:r>
          </w:p>
        </w:tc>
        <w:tc>
          <w:tcPr>
            <w:tcW w:w="3658" w:type="dxa"/>
            <w:vAlign w:val="center"/>
          </w:tcPr>
          <w:p>
            <w:pPr>
              <w:jc w:val="center"/>
              <w:rPr>
                <w:rFonts w:hint="eastAsia" w:ascii="仿宋" w:hAnsi="仿宋" w:eastAsia="仿宋" w:cs="仿宋"/>
                <w:color w:val="000000"/>
                <w:sz w:val="24"/>
              </w:rPr>
            </w:pPr>
          </w:p>
        </w:tc>
        <w:tc>
          <w:tcPr>
            <w:tcW w:w="2191"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303" w:type="dxa"/>
            <w:gridSpan w:val="3"/>
            <w:vAlign w:val="center"/>
          </w:tcPr>
          <w:p>
            <w:pPr>
              <w:numPr>
                <w:ilvl w:val="0"/>
                <w:numId w:val="1"/>
              </w:numPr>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具体人员配置根据甲方实际需求做适当调整。</w:t>
            </w:r>
          </w:p>
          <w:p>
            <w:pPr>
              <w:numPr>
                <w:ilvl w:val="0"/>
                <w:numId w:val="1"/>
              </w:numPr>
              <w:jc w:val="center"/>
              <w:rPr>
                <w:rFonts w:hint="eastAsia" w:ascii="仿宋" w:hAnsi="仿宋" w:eastAsia="仿宋" w:cs="仿宋"/>
                <w:color w:val="000000"/>
                <w:sz w:val="24"/>
                <w:lang w:eastAsia="zh-CN"/>
              </w:rPr>
            </w:pPr>
            <w:r>
              <w:rPr>
                <w:rFonts w:hint="eastAsia" w:ascii="仿宋" w:hAnsi="仿宋" w:eastAsia="仿宋" w:cs="仿宋"/>
                <w:b/>
                <w:bCs/>
                <w:color w:val="000000"/>
                <w:sz w:val="24"/>
                <w:lang w:eastAsia="zh-CN"/>
              </w:rPr>
              <w:t>区域内配置运送人员的，需兼顾该区域内的保洁服务</w:t>
            </w:r>
          </w:p>
        </w:tc>
      </w:tr>
    </w:tbl>
    <w:p>
      <w:pPr>
        <w:pStyle w:val="82"/>
        <w:rPr>
          <w:rFonts w:hint="eastAsia" w:ascii="仿宋" w:hAnsi="仿宋" w:eastAsia="仿宋" w:cs="仿宋"/>
          <w:color w:val="auto"/>
          <w:highlight w:val="none"/>
          <w:lang w:val="en-US"/>
        </w:rPr>
      </w:pPr>
    </w:p>
    <w:p>
      <w:pPr>
        <w:numPr>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运送服务要求：</w:t>
      </w:r>
    </w:p>
    <w:p>
      <w:pPr>
        <w:pStyle w:val="82"/>
        <w:rPr>
          <w:rFonts w:hint="eastAsia" w:ascii="仿宋" w:hAnsi="仿宋" w:eastAsia="仿宋" w:cs="仿宋"/>
          <w:color w:val="auto"/>
          <w:highlight w:val="none"/>
        </w:rPr>
      </w:pPr>
    </w:p>
    <w:p>
      <w:pPr>
        <w:pStyle w:val="82"/>
        <w:rPr>
          <w:rFonts w:hint="eastAsia" w:ascii="仿宋" w:hAnsi="仿宋" w:eastAsia="仿宋" w:cs="仿宋"/>
          <w:color w:val="auto"/>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1）．中央运送</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（1）设立24小时的中央调度中心，</w:t>
      </w:r>
      <w:r>
        <w:rPr>
          <w:rFonts w:hint="eastAsia" w:ascii="仿宋" w:hAnsi="仿宋" w:eastAsia="仿宋" w:cs="仿宋"/>
          <w:bCs/>
          <w:color w:val="auto"/>
          <w:kern w:val="0"/>
          <w:sz w:val="24"/>
          <w:highlight w:val="none"/>
          <w:lang w:val="zh-CN"/>
        </w:rPr>
        <w:t>365天/年的连续服务，</w:t>
      </w:r>
      <w:r>
        <w:rPr>
          <w:rFonts w:hint="eastAsia" w:ascii="仿宋" w:hAnsi="仿宋" w:eastAsia="仿宋" w:cs="仿宋"/>
          <w:color w:val="auto"/>
          <w:sz w:val="24"/>
          <w:highlight w:val="none"/>
        </w:rPr>
        <w:t>相关人员配置运送软件。</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（2）医院负责提供运送用工具，中标人应合理调配并负责管理与保养。</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（3）要求对运送的数据进行汇总和统计，能随时提供相应的数据，给院方的决策进行支持。</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（4）运送准确率99%。</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（5）运送人员必须统一服饰，运送人员在运送过程中需配备一般性防护用品，如运送危化品、高危药品等时，必须制定专人运送，并对其进行相应培训，熟知应急事件处理流程，配备相应的应急包。</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（5）运送具体服务要求：</w:t>
      </w:r>
    </w:p>
    <w:tbl>
      <w:tblPr>
        <w:tblStyle w:val="75"/>
        <w:tblW w:w="7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常规收送血尿便标本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急送各种标本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取常规化验结果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收送会诊单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收送检查预约单并预约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临时复印病历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送病人院内做检查(B超,心电图,CT等)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协助护士送病人转科、转床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送资料/复印/感染报告/送物品申领单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临时领办公用品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临时领医疗用品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临时领医疗消耗品(棉纱,棉球,手套等)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临时去供应室取送消毒物品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临时领药(不负责核药)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设备送/报修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为病人导检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协助护士送病人转科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擦拭、消毒、清洁平车、轮椅等运送工具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药库、静配中心、危化品仓库、一次性仓库、总务仓库的每周常规发货及病区临时领用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zh-CN"/>
              </w:rPr>
              <w:t>所有洗涤物品清点（每天），各病区洗涤物品盘点（每月1次）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领盐水/大输液，拆大输液外包装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668" w:type="dxa"/>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医院要求的其他运送项目</w:t>
            </w:r>
          </w:p>
        </w:tc>
      </w:tr>
    </w:tbl>
    <w:p>
      <w:pPr>
        <w:spacing w:line="4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区域</w:t>
      </w:r>
      <w:r>
        <w:rPr>
          <w:rFonts w:hint="eastAsia" w:ascii="仿宋" w:hAnsi="仿宋" w:eastAsia="仿宋" w:cs="仿宋"/>
          <w:b/>
          <w:bCs/>
          <w:color w:val="auto"/>
          <w:sz w:val="24"/>
          <w:highlight w:val="none"/>
        </w:rPr>
        <w:t>环境保洁具体工作要求：</w:t>
      </w:r>
    </w:p>
    <w:p>
      <w:pPr>
        <w:pStyle w:val="82"/>
        <w:rPr>
          <w:rFonts w:hint="eastAsia" w:ascii="仿宋" w:hAnsi="仿宋" w:eastAsia="仿宋" w:cs="仿宋"/>
          <w:b/>
          <w:color w:val="auto"/>
          <w:highlight w:val="none"/>
        </w:rPr>
      </w:pPr>
    </w:p>
    <w:p>
      <w:pPr>
        <w:pStyle w:val="82"/>
        <w:rPr>
          <w:rFonts w:hint="eastAsia" w:ascii="仿宋" w:hAnsi="仿宋" w:eastAsia="仿宋" w:cs="仿宋"/>
          <w:b/>
          <w:color w:val="auto"/>
          <w:highlight w:val="none"/>
        </w:rPr>
      </w:pPr>
    </w:p>
    <w:tbl>
      <w:tblPr>
        <w:tblStyle w:val="75"/>
        <w:tblW w:w="863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2"/>
        <w:gridCol w:w="512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56"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区 域</w:t>
            </w: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 号</w:t>
            </w:r>
          </w:p>
        </w:tc>
        <w:tc>
          <w:tcPr>
            <w:tcW w:w="512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  作  内  容</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restart"/>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手术室</w:t>
            </w:r>
          </w:p>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、ICU</w:t>
            </w:r>
          </w:p>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药房、静配中心、急诊、内镜中心、重症监护室、血透室、手术室、供应室、运送中心等招标要求内的范围</w:t>
            </w:r>
          </w:p>
          <w:p>
            <w:pPr>
              <w:spacing w:line="400" w:lineRule="exact"/>
              <w:jc w:val="center"/>
              <w:rPr>
                <w:rFonts w:hint="eastAsia" w:ascii="仿宋" w:hAnsi="仿宋" w:eastAsia="仿宋" w:cs="仿宋"/>
                <w:color w:val="auto"/>
                <w:sz w:val="24"/>
                <w:highlight w:val="none"/>
              </w:rPr>
            </w:pPr>
          </w:p>
          <w:p>
            <w:pPr>
              <w:spacing w:line="400" w:lineRule="exact"/>
              <w:jc w:val="center"/>
              <w:rPr>
                <w:rFonts w:hint="eastAsia" w:ascii="仿宋" w:hAnsi="仿宋" w:eastAsia="仿宋" w:cs="仿宋"/>
                <w:color w:val="auto"/>
                <w:sz w:val="24"/>
                <w:highlight w:val="none"/>
              </w:rPr>
            </w:pPr>
          </w:p>
          <w:p>
            <w:pPr>
              <w:spacing w:line="400" w:lineRule="exact"/>
              <w:jc w:val="center"/>
              <w:rPr>
                <w:rFonts w:hint="eastAsia" w:ascii="仿宋" w:hAnsi="仿宋" w:eastAsia="仿宋" w:cs="仿宋"/>
                <w:color w:val="auto"/>
                <w:sz w:val="24"/>
                <w:highlight w:val="none"/>
              </w:rPr>
            </w:pPr>
          </w:p>
          <w:p>
            <w:pPr>
              <w:spacing w:line="400" w:lineRule="exact"/>
              <w:jc w:val="center"/>
              <w:rPr>
                <w:rFonts w:hint="eastAsia" w:ascii="仿宋" w:hAnsi="仿宋" w:eastAsia="仿宋" w:cs="仿宋"/>
                <w:color w:val="auto"/>
                <w:sz w:val="24"/>
                <w:highlight w:val="none"/>
              </w:rPr>
            </w:pPr>
          </w:p>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收集区域内垃圾、更换垃圾袋</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区域内地面扫尘（无扬尘干扫）</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区域内地面湿拖（进行地面消毒、清洁）</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区域内家具（桌椅、橱柜等）、台面擦拭</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区域内电脑、电话、仪器（含各种医用器材）、低处电器表面清洗或擦拭</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区域内洗手池、水池、水龙头、皂盒、清洗、擦拭</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卫生间（含水龙头、洗手池、台面、马桶、地面）冲洗、擦拭、消毒</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随时保持洁净和随时维护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区域内窗台、阳台、把手、栏杆、花盆、开关盒、接线盒、各类低处标牌、垃圾桶擦拭</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开水机、冰箱（如有）外表面清洁消毒</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门、门框、低处窗框擦拭</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玻璃及窗框</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低处墙面除尘、落地瓷砖、踢脚板、地角、低处管道擦拭</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非医疗不锈钢物体表面清洁、保养</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高处标牌、壁挂物擦拭</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每月2次和随时维护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高处除尘</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灯具、烟感、监视器、通风口、管道、空调、风扇、空调等高处设备擦拭清洁</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地面机洗、打蜡、晶面处理或保养</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每2月1次和随时维护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窗帘、隔帘、卷帘拆换（污染时随时拆换）</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拆装及更换窗帘、隔帘、每季度1次</w:t>
            </w:r>
          </w:p>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拆装及清洗卷帘每年2次；随时维护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平车上布类整理、更换，床上用品拆换、终末消毒工作</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5122" w:type="dxa"/>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巡视保洁</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5122" w:type="dxa"/>
            <w:vAlign w:val="center"/>
          </w:tcPr>
          <w:p>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管理公共部位开水房、微波炉及其他消防安全设施的维护和保养</w:t>
            </w:r>
          </w:p>
        </w:tc>
        <w:tc>
          <w:tcPr>
            <w:tcW w:w="160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56" w:type="dxa"/>
            <w:vMerge w:val="continue"/>
            <w:vAlign w:val="center"/>
          </w:tcPr>
          <w:p>
            <w:pPr>
              <w:spacing w:line="400" w:lineRule="exact"/>
              <w:jc w:val="center"/>
              <w:rPr>
                <w:rFonts w:hint="eastAsia" w:ascii="仿宋" w:hAnsi="仿宋" w:eastAsia="仿宋" w:cs="仿宋"/>
                <w:color w:val="auto"/>
                <w:sz w:val="24"/>
                <w:highlight w:val="none"/>
              </w:rPr>
            </w:pPr>
          </w:p>
        </w:tc>
        <w:tc>
          <w:tcPr>
            <w:tcW w:w="952"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5122" w:type="dxa"/>
            <w:vAlign w:val="center"/>
          </w:tcPr>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PVC地面清洁打蜡</w:t>
            </w:r>
          </w:p>
        </w:tc>
        <w:tc>
          <w:tcPr>
            <w:tcW w:w="1608" w:type="dxa"/>
            <w:vAlign w:val="center"/>
          </w:tcPr>
          <w:p>
            <w:pPr>
              <w:spacing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清洁2周1次打蜡一年一次</w:t>
            </w:r>
          </w:p>
        </w:tc>
      </w:tr>
    </w:tbl>
    <w:p>
      <w:pPr>
        <w:spacing w:line="400" w:lineRule="exact"/>
        <w:ind w:left="48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备注：上述所列工作内容均将作为每月考核依据进行评分。</w:t>
      </w:r>
    </w:p>
    <w:p>
      <w:pPr>
        <w:spacing w:line="4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、保洁服务内容：</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服务范围内的清洁卫生（包括内墙、玻璃、高处灯具、通风口、地面、室内家具、楼梯、走廊、通道、窗户、门、桌、椅、床、柜、宣传栏、洗手间、电梯间、室内、外绿化地、公共通道等），不包括外墙清洗和虫害控制。</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（2）室内地面的养护：定期抛光、喷磨、刷洗、补蜡、全面起/打蜡。</w:t>
      </w:r>
    </w:p>
    <w:p>
      <w:pPr>
        <w:spacing w:line="460" w:lineRule="exact"/>
        <w:rPr>
          <w:rFonts w:hint="eastAsia" w:ascii="仿宋" w:hAnsi="仿宋" w:eastAsia="仿宋" w:cs="仿宋"/>
          <w:color w:val="auto"/>
          <w:highlight w:val="none"/>
        </w:rPr>
      </w:pPr>
      <w:r>
        <w:rPr>
          <w:rFonts w:hint="eastAsia" w:ascii="仿宋" w:hAnsi="仿宋" w:eastAsia="仿宋" w:cs="仿宋"/>
          <w:color w:val="auto"/>
          <w:sz w:val="24"/>
          <w:highlight w:val="none"/>
        </w:rPr>
        <w:t>（3）公共区域地面的养护：定期进行抛光、喷磨、刷洗、补蜡、全面起/打蜡。</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（5）终末消毒。</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（6）拆装及更换窗帘、隔帘每季度1次。拆装及清洗卷帘每年2次，每少一次扣款5000元，（特殊科室按院感要求执行）</w:t>
      </w:r>
    </w:p>
    <w:p>
      <w:pPr>
        <w:pStyle w:val="82"/>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7</w:t>
      </w:r>
      <w:r>
        <w:rPr>
          <w:rFonts w:hint="eastAsia" w:ascii="仿宋" w:hAnsi="仿宋" w:eastAsia="仿宋" w:cs="仿宋"/>
          <w:color w:val="auto"/>
          <w:highlight w:val="none"/>
        </w:rPr>
        <w:t>）服务区域排污道疏通：提供</w:t>
      </w:r>
      <w:r>
        <w:rPr>
          <w:rFonts w:hint="eastAsia" w:ascii="仿宋" w:hAnsi="仿宋" w:eastAsia="仿宋" w:cs="仿宋"/>
          <w:color w:val="auto"/>
          <w:highlight w:val="none"/>
          <w:lang w:val="en-US"/>
        </w:rPr>
        <w:t>24小时排污道疏通服务。</w:t>
      </w:r>
    </w:p>
    <w:p>
      <w:pPr>
        <w:shd w:val="clear" w:color="auto" w:fill="FFFFFF"/>
        <w:spacing w:line="460" w:lineRule="exact"/>
        <w:rPr>
          <w:rFonts w:hint="eastAsia" w:ascii="仿宋" w:hAnsi="仿宋" w:eastAsia="仿宋" w:cs="仿宋"/>
          <w:color w:val="auto"/>
          <w:sz w:val="24"/>
          <w:highlight w:val="none"/>
        </w:rPr>
      </w:pPr>
    </w:p>
    <w:p>
      <w:pPr>
        <w:shd w:val="clear" w:color="auto" w:fill="FFFFFF"/>
        <w:spacing w:line="4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六</w:t>
      </w:r>
      <w:r>
        <w:rPr>
          <w:rFonts w:hint="eastAsia" w:ascii="仿宋" w:hAnsi="仿宋" w:eastAsia="仿宋" w:cs="仿宋"/>
          <w:b/>
          <w:bCs/>
          <w:color w:val="auto"/>
          <w:sz w:val="24"/>
          <w:highlight w:val="none"/>
        </w:rPr>
        <w:t>、洗消工服务</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（1）掌握器械初洗浸泡的药剂配比</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（2）掌握特殊器械清洗的方法与步骤</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（3）协助医护人员污染物品的接收及无菌物品的发送等工作</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（4）洗消工必须经过专业培训后，经招标方认可方可上岗</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（5）医院要求的其他工作等</w:t>
      </w:r>
    </w:p>
    <w:p>
      <w:pPr>
        <w:shd w:val="clear" w:color="auto" w:fill="FFFFFF"/>
        <w:spacing w:line="4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、电梯工及疏导员服务</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（1）电梯工必须取得专业资格证书，经招标方确认后方可上岗</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（2）手术专用电梯必须确保24小时不缺岗</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（3）掌握电梯故障的应急处理流程</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（4）负责每日对电梯的消毒和清洁工作</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（5）疏导员应保持微笑服务，使用文明用语</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（6）疏导、引导乘梯、侯梯人员有序乘梯</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（7）医院要求的其他工作等</w:t>
      </w:r>
    </w:p>
    <w:p>
      <w:pPr>
        <w:shd w:val="clear" w:color="auto" w:fill="FFFFFF"/>
        <w:spacing w:line="460" w:lineRule="exact"/>
        <w:rPr>
          <w:rFonts w:hint="eastAsia" w:ascii="仿宋" w:hAnsi="仿宋" w:eastAsia="仿宋" w:cs="仿宋"/>
          <w:b/>
          <w:color w:val="auto"/>
          <w:sz w:val="24"/>
          <w:highlight w:val="none"/>
        </w:rPr>
      </w:pPr>
      <w:r>
        <w:rPr>
          <w:rFonts w:hint="eastAsia" w:ascii="仿宋" w:hAnsi="仿宋" w:eastAsia="仿宋" w:cs="仿宋"/>
          <w:b/>
          <w:color w:val="auto"/>
          <w:highlight w:val="none"/>
          <w:lang w:val="en-US" w:eastAsia="zh-CN"/>
        </w:rPr>
        <w:t>九</w:t>
      </w:r>
      <w:r>
        <w:rPr>
          <w:rFonts w:hint="eastAsia" w:ascii="仿宋" w:hAnsi="仿宋" w:eastAsia="仿宋" w:cs="仿宋"/>
          <w:b/>
          <w:color w:val="auto"/>
          <w:highlight w:val="none"/>
        </w:rPr>
        <w:t>、</w:t>
      </w:r>
      <w:r>
        <w:rPr>
          <w:rFonts w:hint="eastAsia" w:ascii="仿宋" w:hAnsi="仿宋" w:eastAsia="仿宋" w:cs="仿宋"/>
          <w:b/>
          <w:color w:val="auto"/>
          <w:sz w:val="24"/>
          <w:highlight w:val="none"/>
        </w:rPr>
        <w:t>从业人员要求：</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1）、公司内部有岗位培训机构，服务人员100%经过岗前培训合格才上岗；</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2）、管理员具有</w:t>
      </w:r>
      <w:r>
        <w:rPr>
          <w:rFonts w:hint="eastAsia" w:ascii="仿宋" w:hAnsi="仿宋" w:eastAsia="仿宋" w:cs="仿宋"/>
          <w:color w:val="auto"/>
          <w:sz w:val="24"/>
          <w:highlight w:val="none"/>
          <w:lang w:eastAsia="zh-CN"/>
        </w:rPr>
        <w:t>大学</w:t>
      </w:r>
      <w:r>
        <w:rPr>
          <w:rFonts w:hint="eastAsia" w:ascii="仿宋" w:hAnsi="仿宋" w:eastAsia="仿宋" w:cs="仿宋"/>
          <w:color w:val="auto"/>
          <w:sz w:val="24"/>
          <w:highlight w:val="none"/>
        </w:rPr>
        <w:t>以上学历；</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3）、清洁员、运送员等从业人员，应具有相关的健康证。</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男性年龄不大于</w:t>
      </w:r>
      <w:r>
        <w:rPr>
          <w:rFonts w:hint="eastAsia" w:ascii="仿宋" w:hAnsi="仿宋" w:eastAsia="仿宋" w:cs="仿宋"/>
          <w:color w:val="auto"/>
          <w:sz w:val="24"/>
          <w:highlight w:val="none"/>
          <w:lang w:val="en-US" w:eastAsia="zh-CN"/>
        </w:rPr>
        <w:t>60周岁，女性年龄不大于55周岁。</w:t>
      </w:r>
    </w:p>
    <w:p>
      <w:pPr>
        <w:shd w:val="clear" w:color="auto" w:fill="FFFFFF"/>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十、其他说明：</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1）.中标人办公等各类水、电等费用由医院承担，但必须按照医院的节能要求执行。</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2）.医院将提供中标人管理办公用房及仓库用房，在服务期限内提供给中标人免费使用。</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3）.中标人配置项目相关人员的装备。</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4）.中标人自备电脑、打印机等办公设备和耗材。</w:t>
      </w:r>
    </w:p>
    <w:p>
      <w:pPr>
        <w:pStyle w:val="82"/>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5）.</w:t>
      </w:r>
      <w:r>
        <w:rPr>
          <w:rFonts w:hint="eastAsia" w:ascii="仿宋" w:hAnsi="仿宋" w:eastAsia="仿宋" w:cs="仿宋"/>
          <w:color w:val="auto"/>
          <w:highlight w:val="none"/>
          <w:lang w:val="en-US" w:eastAsia="zh-CN"/>
        </w:rPr>
        <w:t>医院</w:t>
      </w:r>
      <w:r>
        <w:rPr>
          <w:rFonts w:hint="eastAsia" w:ascii="仿宋" w:hAnsi="仿宋" w:eastAsia="仿宋" w:cs="仿宋"/>
          <w:color w:val="auto"/>
          <w:highlight w:val="none"/>
          <w:lang w:val="en-US"/>
        </w:rPr>
        <w:t>配备刷脸考勤系统，并</w:t>
      </w:r>
      <w:r>
        <w:rPr>
          <w:rFonts w:hint="eastAsia" w:ascii="仿宋" w:hAnsi="仿宋" w:eastAsia="仿宋" w:cs="仿宋"/>
          <w:color w:val="auto"/>
          <w:highlight w:val="none"/>
          <w:lang w:val="en-US" w:eastAsia="zh-CN"/>
        </w:rPr>
        <w:t>已</w:t>
      </w:r>
      <w:r>
        <w:rPr>
          <w:rFonts w:hint="eastAsia" w:ascii="仿宋" w:hAnsi="仿宋" w:eastAsia="仿宋" w:cs="仿宋"/>
          <w:color w:val="auto"/>
          <w:highlight w:val="none"/>
          <w:lang w:val="en-US"/>
        </w:rPr>
        <w:t>将系统连接至招标人管理办公室</w:t>
      </w:r>
      <w:r>
        <w:rPr>
          <w:rFonts w:hint="eastAsia" w:ascii="仿宋" w:hAnsi="仿宋" w:eastAsia="仿宋" w:cs="仿宋"/>
          <w:color w:val="auto"/>
          <w:highlight w:val="none"/>
          <w:lang w:val="en-US" w:eastAsia="zh-CN"/>
        </w:rPr>
        <w:t>，中标人需配合完成每日考勤任务</w:t>
      </w:r>
      <w:r>
        <w:rPr>
          <w:rFonts w:hint="eastAsia" w:ascii="仿宋" w:hAnsi="仿宋" w:eastAsia="仿宋" w:cs="仿宋"/>
          <w:color w:val="auto"/>
          <w:highlight w:val="none"/>
          <w:lang w:val="en-US"/>
        </w:rPr>
        <w:t>。</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6）.中标人的各岗位员工要统一服装，并由中标人负责其员工工服配备和洗涤。</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7）.中标人有岗前培训机构，服务人员100%经过岗前培训合格才上岗。</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8）.未经医院同意，中标人不得在合同期限内将本项目的管理权转包或发包。</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9）.中标人须严格按照标准化的操作程序、完善的培训体系和质量控制体系完成本项目服务，以保证整个服务系统安全、高效、有序和有计划地运转。</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10）.中标人有责任配合医院接受上级领导部门的监督、检查，提供必须的资料。</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11）.中标人须严格按照国家和杭州市政府规定给所有的员工缴纳各种社会保险（包括养老、医疗、工伤、生育险、失业保险等）和住房公积金。</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12）.中标人自行负责其招聘员工的一切工资、福利；如发生工伤、疾病乃至死亡的一切责任及费用由中标人全部负责；中标人应严格遵守国家有关的法律、法规及行业标准。</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 全部服务人员的工作时间应严格按国家有关法律、法规要求的标准执行，因工作原因产生的加班（含节假日加班）应严格按国家有关法律、法规要求的标准给付员工加班薪资。</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（b）所有员工入院服务时都必须体检，并且合格的才能上岗（费用由中标方负责）。</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13).院方不接受投标方任何因遗漏报价而发生的费用追加，因投标方违反《劳动法》等法律法规而造成院方的连带责任和损失全部由中标方承担。</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14). 医院负责提供各类垃圾桶、医疗垃圾袋，负责生活垃圾、医疗垃圾的外运费和垃圾处理费用；中标人负责提供生活垃圾袋及各类一次性防护用品。</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15)、中标方须认真履行职责，严格按服务协议中的质量保证体系做好院内的承包服务工作。确保在岗在位，各尽其职，保证符合各项服务基本频次要求和各项质量标准。</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16)、中标单位人员不得在医院范围内从事殡葬等相关服务，经核实，发现一次罚款5000元并辞退涉事物业员工。</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17、中标单位物业员工不得参与普通病房的保姆服务</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18、运送人员根据投标单位现场踏勘及医院发展，综合考量确定投标人数。</w:t>
      </w:r>
    </w:p>
    <w:p>
      <w:pPr>
        <w:tabs>
          <w:tab w:val="right" w:pos="9241"/>
        </w:tabs>
        <w:spacing w:before="120" w:after="120" w:line="460" w:lineRule="exact"/>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十一</w:t>
      </w:r>
      <w:r>
        <w:rPr>
          <w:rFonts w:hint="eastAsia" w:ascii="仿宋" w:hAnsi="仿宋" w:eastAsia="仿宋" w:cs="仿宋"/>
          <w:b/>
          <w:color w:val="auto"/>
          <w:highlight w:val="none"/>
        </w:rPr>
        <w:t>、考核机制和付款方式：</w:t>
      </w:r>
      <w:r>
        <w:rPr>
          <w:rFonts w:hint="eastAsia" w:ascii="仿宋" w:hAnsi="仿宋" w:eastAsia="仿宋" w:cs="仿宋"/>
          <w:b/>
          <w:color w:val="auto"/>
          <w:highlight w:val="none"/>
        </w:rPr>
        <w:tab/>
      </w:r>
    </w:p>
    <w:p>
      <w:pPr>
        <w:spacing w:line="480" w:lineRule="exact"/>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按招标人的招标文件及其它有关规定、技术标准执行，通过随机检查、每季定期检查和年度考核三种方式评定物业管理质量。人员考核由刷脸系统为准，招标方将根据实际刷脸考核人数按实结算。</w:t>
      </w:r>
    </w:p>
    <w:p>
      <w:pPr>
        <w:spacing w:line="480" w:lineRule="exact"/>
        <w:ind w:firstLine="360" w:firstLineChars="15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质量考核招标方管理人员将对发生或存在的较大问题将以书面整改通知书形式下发贵公司，如每月超过3份或未按招标方要求整改，每月产生的不良事件，经评估后，若有责。招标方将对中标方处以300元——10000元的经济处罚，如发生重大不良事件导致招标方出现重大经济损失的，视情节可处以10000元以上处罚，追究法律责任并终止其合同。</w:t>
      </w:r>
    </w:p>
    <w:p>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检查考核由招标人等有关部门人员参加，对物业管理质量及项目经理进行综合考核评定，考核每季不少于一次，第一个季度为试用期，如试用期物业管理服务考核不合格的，招标人有权单方面解除合同。从第二个季度开始对每次物业管理考核分数达不到合格分数的，发出限期整改通知书；对每季考核平均分数低于合格分数的，按每差1分扣除当季度每月经费2%处罚；连续2次考核分数低于合格分数的，招标方有权无偿清退承包方，并抄报行业主管部门。</w:t>
      </w:r>
    </w:p>
    <w:p>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招标人根据考核结果采取按月分期付款方式支付给承包方，付款时间在每个月的25日左右。</w:t>
      </w:r>
    </w:p>
    <w:p>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考核内容及合格分数由招标人最终确定，承包方应予以接受，否则招标方有权无偿清退承包方。</w:t>
      </w:r>
    </w:p>
    <w:p>
      <w:pPr>
        <w:shd w:val="clear" w:color="auto" w:fill="FFFFFF"/>
        <w:spacing w:line="4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十二</w:t>
      </w:r>
      <w:r>
        <w:rPr>
          <w:rFonts w:hint="eastAsia" w:ascii="仿宋" w:hAnsi="仿宋" w:eastAsia="仿宋" w:cs="仿宋"/>
          <w:b/>
          <w:bCs/>
          <w:color w:val="auto"/>
          <w:sz w:val="24"/>
          <w:highlight w:val="none"/>
        </w:rPr>
        <w:t>、管理服务费用报价要求</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1、投标人应考虑企业自身实力、经验及项目实施过程中的各种因素，根据采购要求，详细说明所能提供的各项具体服务内容，自主确定报价，实行总价包干，并提供报价组成与成本分析。</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的报价应包括为完成本项目服务可能发生的全部费用及投标人的利润和应交纳的税金等（包括人员工资、各种社会保险、人员食宿与交通、办公费、加班费等）。投标人对合同内容的费用、质量、安全、文明服务等实行全面承包。前三个月为试用期如果本地区最低工资上调，涉及到工资差额、固定岗位工资差额、假日工资差额部份由中标单位承担。正式合同期内及续签合同期内如果本地区最低工资上调，涉及到工资差额、固定岗位工资差额、假日工资差额部份由中标单位及采购人各承担一半。</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3、中标人作为劳动用工的主体，负责劳动用工的所有事宜，劳动用工的所有责任和风险（如劳资纠纷等）由中标人负责。</w:t>
      </w:r>
    </w:p>
    <w:p>
      <w:pPr>
        <w:shd w:val="clear" w:color="auto" w:fill="FFFFFF"/>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六、服务期限：</w:t>
      </w:r>
      <w:r>
        <w:rPr>
          <w:rFonts w:hint="eastAsia" w:ascii="仿宋" w:hAnsi="仿宋" w:eastAsia="仿宋" w:cs="仿宋"/>
          <w:color w:val="auto"/>
          <w:sz w:val="24"/>
          <w:highlight w:val="none"/>
          <w:lang w:val="en-US" w:eastAsia="zh-CN"/>
        </w:rPr>
        <w:t>服务期3年，合同一年一考核一签合同，</w:t>
      </w:r>
      <w:r>
        <w:rPr>
          <w:rFonts w:hint="eastAsia" w:ascii="仿宋" w:hAnsi="仿宋" w:eastAsia="仿宋" w:cs="仿宋"/>
          <w:color w:val="auto"/>
          <w:sz w:val="24"/>
          <w:highlight w:val="none"/>
        </w:rPr>
        <w:t>前三个月为试用期，如试用期物业管理服务考核不合格的，招标人有权单方面解除合同。合同期满，供应商应根据采购单位的要求延续提供1-2个月的服务，费用标准按原合同规定执行。</w:t>
      </w:r>
    </w:p>
    <w:p>
      <w:pPr>
        <w:widowControl w:val="0"/>
        <w:numPr>
          <w:ilvl w:val="0"/>
          <w:numId w:val="2"/>
        </w:numPr>
        <w:tabs>
          <w:tab w:val="left" w:pos="425"/>
        </w:tabs>
        <w:wordWrap/>
        <w:adjustRightInd w:val="0"/>
        <w:snapToGrid/>
        <w:spacing w:line="360" w:lineRule="auto"/>
        <w:ind w:left="0" w:leftChars="0" w:right="0" w:firstLine="400" w:firstLineChars="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82"/>
        <w:rPr>
          <w:rFonts w:hint="eastAsia" w:ascii="仿宋_GB2312" w:hAnsi="仿宋_GB2312" w:eastAsia="仿宋_GB2312" w:cs="仿宋_GB2312"/>
          <w:color w:val="auto"/>
          <w:highlight w:val="none"/>
        </w:rPr>
      </w:pPr>
    </w:p>
    <w:p>
      <w:pPr>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w:t>
      </w:r>
      <w:r>
        <w:rPr>
          <w:rFonts w:hint="eastAsia" w:ascii="仿宋_GB2312" w:hAnsi="仿宋_GB2312" w:eastAsia="仿宋_GB2312" w:cs="仿宋_GB2312"/>
          <w:b/>
          <w:color w:val="auto"/>
          <w:sz w:val="36"/>
          <w:szCs w:val="36"/>
          <w:highlight w:val="none"/>
          <w:lang w:val="en-US" w:eastAsia="zh-CN"/>
        </w:rPr>
        <w:t>四</w:t>
      </w:r>
      <w:r>
        <w:rPr>
          <w:rFonts w:hint="eastAsia" w:ascii="仿宋_GB2312" w:hAnsi="仿宋_GB2312" w:eastAsia="仿宋_GB2312" w:cs="仿宋_GB2312"/>
          <w:b/>
          <w:color w:val="auto"/>
          <w:sz w:val="36"/>
          <w:szCs w:val="36"/>
          <w:highlight w:val="none"/>
        </w:rPr>
        <w:t xml:space="preserve">部分   </w:t>
      </w:r>
      <w:r>
        <w:rPr>
          <w:rFonts w:hint="eastAsia" w:ascii="仿宋_GB2312" w:hAnsi="仿宋_GB2312" w:eastAsia="仿宋_GB2312" w:cs="仿宋_GB2312"/>
          <w:b/>
          <w:color w:val="auto"/>
          <w:sz w:val="36"/>
          <w:szCs w:val="36"/>
          <w:highlight w:val="none"/>
          <w:lang w:val="en-US" w:eastAsia="zh-CN"/>
        </w:rPr>
        <w:t>评标办法</w:t>
      </w:r>
    </w:p>
    <w:p>
      <w:pPr>
        <w:snapToGrid w:val="0"/>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2"/>
          <w:highlight w:val="none"/>
        </w:rPr>
        <w:t>评标方法</w:t>
      </w:r>
    </w:p>
    <w:p>
      <w:pPr>
        <w:pStyle w:val="35"/>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highlight w:val="none"/>
        </w:rPr>
        <w:t>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r>
        <w:rPr>
          <w:rFonts w:hint="eastAsia" w:ascii="仿宋_GB2312" w:hAnsi="仿宋_GB2312" w:eastAsia="仿宋_GB2312" w:cs="仿宋_GB2312"/>
          <w:b/>
          <w:color w:val="auto"/>
          <w:sz w:val="24"/>
          <w:szCs w:val="24"/>
          <w:highlight w:val="none"/>
        </w:rPr>
        <w:t>评标办法</w:t>
      </w:r>
    </w:p>
    <w:p>
      <w:pPr>
        <w:snapToGrid w:val="0"/>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color w:val="auto"/>
          <w:sz w:val="24"/>
          <w:highlight w:val="none"/>
        </w:rPr>
        <w:t>本项目采用综合评分法</w:t>
      </w:r>
      <w:r>
        <w:rPr>
          <w:rFonts w:hint="eastAsia" w:ascii="仿宋_GB2312" w:hAnsi="仿宋_GB2312" w:eastAsia="仿宋_GB2312" w:cs="仿宋_GB2312"/>
          <w:color w:val="auto"/>
          <w:sz w:val="24"/>
          <w:highlight w:val="none"/>
        </w:rPr>
        <w:t>，总分为100分，其中商务技术</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rPr>
        <w:t>0分，价格分</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0分。</w:t>
      </w:r>
    </w:p>
    <w:p>
      <w:pPr>
        <w:snapToGrid w:val="0"/>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color w:val="auto"/>
          <w:sz w:val="24"/>
          <w:highlight w:val="none"/>
        </w:rPr>
        <w:t>商务技术评标细则（</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rPr>
        <w:t>0分）</w:t>
      </w: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评标标准如下：</w:t>
      </w:r>
    </w:p>
    <w:tbl>
      <w:tblPr>
        <w:tblStyle w:val="7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56"/>
        <w:gridCol w:w="1302"/>
        <w:gridCol w:w="635"/>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38" w:hRule="atLeast"/>
          <w:jc w:val="center"/>
        </w:trPr>
        <w:tc>
          <w:tcPr>
            <w:tcW w:w="756" w:type="dxa"/>
            <w:vAlign w:val="center"/>
          </w:tcPr>
          <w:p>
            <w:pPr>
              <w:jc w:val="center"/>
              <w:rPr>
                <w:rFonts w:ascii="仿宋" w:hAnsi="仿宋" w:eastAsia="仿宋" w:cs="楷体"/>
                <w:b/>
                <w:bCs/>
                <w:color w:val="000000"/>
                <w:sz w:val="24"/>
                <w:highlight w:val="none"/>
              </w:rPr>
            </w:pPr>
            <w:r>
              <w:rPr>
                <w:rFonts w:hint="eastAsia" w:ascii="仿宋" w:hAnsi="仿宋" w:eastAsia="仿宋" w:cs="楷体"/>
                <w:b/>
                <w:bCs/>
                <w:color w:val="000000"/>
                <w:sz w:val="24"/>
                <w:highlight w:val="none"/>
              </w:rPr>
              <w:t>序号</w:t>
            </w:r>
          </w:p>
        </w:tc>
        <w:tc>
          <w:tcPr>
            <w:tcW w:w="1302" w:type="dxa"/>
            <w:vAlign w:val="center"/>
          </w:tcPr>
          <w:p>
            <w:pPr>
              <w:jc w:val="center"/>
              <w:rPr>
                <w:rFonts w:ascii="仿宋" w:hAnsi="仿宋" w:eastAsia="仿宋" w:cs="楷体"/>
                <w:b/>
                <w:bCs/>
                <w:color w:val="000000"/>
                <w:sz w:val="24"/>
                <w:highlight w:val="none"/>
              </w:rPr>
            </w:pPr>
            <w:r>
              <w:rPr>
                <w:rFonts w:hint="eastAsia" w:ascii="仿宋" w:hAnsi="仿宋" w:eastAsia="仿宋" w:cs="楷体"/>
                <w:b/>
                <w:bCs/>
                <w:color w:val="000000"/>
                <w:sz w:val="24"/>
                <w:highlight w:val="none"/>
              </w:rPr>
              <w:t>评审项目</w:t>
            </w:r>
          </w:p>
        </w:tc>
        <w:tc>
          <w:tcPr>
            <w:tcW w:w="635" w:type="dxa"/>
            <w:vAlign w:val="center"/>
          </w:tcPr>
          <w:p>
            <w:pPr>
              <w:jc w:val="center"/>
              <w:rPr>
                <w:rFonts w:ascii="仿宋" w:hAnsi="仿宋" w:eastAsia="仿宋" w:cs="楷体"/>
                <w:b/>
                <w:bCs/>
                <w:color w:val="000000"/>
                <w:sz w:val="24"/>
                <w:highlight w:val="none"/>
              </w:rPr>
            </w:pPr>
            <w:r>
              <w:rPr>
                <w:rFonts w:hint="eastAsia" w:ascii="仿宋" w:hAnsi="仿宋" w:eastAsia="仿宋" w:cs="楷体"/>
                <w:b/>
                <w:bCs/>
                <w:color w:val="000000"/>
                <w:sz w:val="24"/>
                <w:highlight w:val="none"/>
              </w:rPr>
              <w:t>分值</w:t>
            </w:r>
          </w:p>
        </w:tc>
        <w:tc>
          <w:tcPr>
            <w:tcW w:w="6593" w:type="dxa"/>
            <w:vAlign w:val="center"/>
          </w:tcPr>
          <w:p>
            <w:pPr>
              <w:jc w:val="center"/>
              <w:rPr>
                <w:rFonts w:ascii="仿宋" w:hAnsi="仿宋" w:eastAsia="仿宋" w:cs="楷体"/>
                <w:b/>
                <w:bCs/>
                <w:color w:val="000000"/>
                <w:sz w:val="24"/>
                <w:highlight w:val="none"/>
              </w:rPr>
            </w:pPr>
            <w:r>
              <w:rPr>
                <w:rFonts w:hint="eastAsia" w:ascii="仿宋" w:hAnsi="仿宋" w:eastAsia="仿宋" w:cs="楷体"/>
                <w:b/>
                <w:bCs/>
                <w:color w:val="000000"/>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04" w:hRule="atLeast"/>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1</w:t>
            </w:r>
          </w:p>
        </w:tc>
        <w:tc>
          <w:tcPr>
            <w:tcW w:w="1302" w:type="dxa"/>
            <w:vAlign w:val="center"/>
          </w:tcPr>
          <w:p>
            <w:pPr>
              <w:rPr>
                <w:rFonts w:ascii="仿宋" w:hAnsi="仿宋" w:eastAsia="仿宋" w:cs="楷体"/>
                <w:color w:val="000000"/>
                <w:sz w:val="24"/>
                <w:highlight w:val="none"/>
              </w:rPr>
            </w:pPr>
            <w:r>
              <w:rPr>
                <w:rFonts w:hint="eastAsia" w:ascii="仿宋" w:hAnsi="仿宋" w:eastAsia="仿宋" w:cs="楷体"/>
                <w:color w:val="000000"/>
                <w:sz w:val="24"/>
                <w:highlight w:val="none"/>
              </w:rPr>
              <w:t>投标人资信</w:t>
            </w:r>
          </w:p>
        </w:tc>
        <w:tc>
          <w:tcPr>
            <w:tcW w:w="635"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lang w:val="en-US" w:eastAsia="zh-CN"/>
              </w:rPr>
              <w:t>5</w:t>
            </w:r>
            <w:r>
              <w:rPr>
                <w:rFonts w:hint="eastAsia" w:ascii="仿宋" w:hAnsi="仿宋" w:eastAsia="仿宋" w:cs="楷体"/>
                <w:color w:val="000000"/>
                <w:sz w:val="24"/>
                <w:highlight w:val="none"/>
              </w:rPr>
              <w:t>分</w:t>
            </w:r>
          </w:p>
        </w:tc>
        <w:tc>
          <w:tcPr>
            <w:tcW w:w="6593" w:type="dxa"/>
            <w:vAlign w:val="center"/>
          </w:tcPr>
          <w:p>
            <w:pPr>
              <w:numPr>
                <w:ilvl w:val="0"/>
                <w:numId w:val="3"/>
              </w:numPr>
              <w:rPr>
                <w:rFonts w:ascii="仿宋" w:hAnsi="仿宋" w:eastAsia="仿宋" w:cs="楷体"/>
                <w:color w:val="000000"/>
                <w:sz w:val="24"/>
                <w:highlight w:val="none"/>
              </w:rPr>
            </w:pPr>
            <w:r>
              <w:rPr>
                <w:rFonts w:hint="eastAsia" w:ascii="仿宋" w:hAnsi="仿宋" w:eastAsia="仿宋" w:cs="楷体"/>
                <w:color w:val="000000"/>
                <w:sz w:val="24"/>
                <w:highlight w:val="none"/>
              </w:rPr>
              <w:t>投标人具有有效的质量体系认证认证、职业健康安全管理体系认证、环境管理体系认证、信息安全管理体系认证证书</w:t>
            </w:r>
            <w:r>
              <w:rPr>
                <w:rFonts w:hint="eastAsia" w:ascii="仿宋" w:hAnsi="仿宋" w:eastAsia="仿宋" w:cs="楷体"/>
                <w:color w:val="000000"/>
                <w:sz w:val="24"/>
                <w:highlight w:val="none"/>
                <w:lang w:eastAsia="zh-CN"/>
              </w:rPr>
              <w:t>、企业诚信管理体系认证证书</w:t>
            </w:r>
            <w:r>
              <w:rPr>
                <w:rFonts w:hint="eastAsia" w:ascii="仿宋" w:hAnsi="仿宋" w:eastAsia="仿宋" w:cs="楷体"/>
                <w:color w:val="000000"/>
                <w:sz w:val="24"/>
                <w:highlight w:val="none"/>
              </w:rPr>
              <w:t>，</w:t>
            </w:r>
            <w:r>
              <w:rPr>
                <w:rFonts w:hint="eastAsia" w:ascii="仿宋" w:hAnsi="仿宋" w:eastAsia="仿宋" w:cs="楷体"/>
                <w:color w:val="000000"/>
                <w:sz w:val="24"/>
                <w:highlight w:val="none"/>
                <w:lang w:val="en-US" w:eastAsia="zh-CN"/>
              </w:rPr>
              <w:t>有一项得1分，最高5分</w:t>
            </w:r>
            <w:r>
              <w:rPr>
                <w:rFonts w:hint="eastAsia" w:ascii="仿宋" w:hAnsi="仿宋" w:eastAsia="仿宋" w:cs="楷体"/>
                <w:color w:val="000000"/>
                <w:sz w:val="24"/>
                <w:highlight w:val="none"/>
              </w:rPr>
              <w:t>。</w:t>
            </w:r>
          </w:p>
          <w:p>
            <w:pPr>
              <w:rPr>
                <w:rFonts w:ascii="仿宋" w:hAnsi="仿宋" w:eastAsia="仿宋"/>
                <w:color w:val="000000"/>
                <w:sz w:val="24"/>
                <w:highlight w:val="none"/>
              </w:rPr>
            </w:pPr>
            <w:r>
              <w:rPr>
                <w:rFonts w:hint="eastAsia" w:ascii="仿宋" w:hAnsi="仿宋" w:eastAsia="仿宋" w:cs="楷体"/>
                <w:color w:val="000000"/>
                <w:sz w:val="24"/>
                <w:highlight w:val="none"/>
              </w:rPr>
              <w:t>备注：须提供相关认证证书复印件并加盖投标人公章，未提供不得分。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2</w:t>
            </w:r>
          </w:p>
        </w:tc>
        <w:tc>
          <w:tcPr>
            <w:tcW w:w="1302" w:type="dxa"/>
            <w:vAlign w:val="center"/>
          </w:tcPr>
          <w:p>
            <w:pPr>
              <w:rPr>
                <w:rFonts w:ascii="仿宋" w:hAnsi="仿宋" w:eastAsia="仿宋" w:cs="楷体"/>
                <w:color w:val="000000"/>
                <w:sz w:val="24"/>
                <w:highlight w:val="none"/>
              </w:rPr>
            </w:pPr>
            <w:r>
              <w:rPr>
                <w:rFonts w:hint="eastAsia" w:ascii="仿宋" w:hAnsi="仿宋" w:eastAsia="仿宋" w:cs="楷体"/>
                <w:color w:val="000000"/>
                <w:sz w:val="24"/>
                <w:highlight w:val="none"/>
              </w:rPr>
              <w:t>同类项目业绩</w:t>
            </w:r>
          </w:p>
        </w:tc>
        <w:tc>
          <w:tcPr>
            <w:tcW w:w="635" w:type="dxa"/>
            <w:vAlign w:val="center"/>
          </w:tcPr>
          <w:p>
            <w:pPr>
              <w:rPr>
                <w:rFonts w:ascii="仿宋" w:hAnsi="仿宋" w:eastAsia="仿宋" w:cs="楷体"/>
                <w:color w:val="000000"/>
                <w:sz w:val="24"/>
                <w:highlight w:val="none"/>
              </w:rPr>
            </w:pPr>
            <w:r>
              <w:rPr>
                <w:rFonts w:hint="eastAsia" w:ascii="仿宋" w:hAnsi="仿宋" w:eastAsia="仿宋" w:cs="楷体"/>
                <w:color w:val="000000"/>
                <w:sz w:val="24"/>
                <w:highlight w:val="none"/>
                <w:lang w:val="en-US" w:eastAsia="zh-CN"/>
              </w:rPr>
              <w:t>1</w:t>
            </w:r>
            <w:r>
              <w:rPr>
                <w:rFonts w:hint="eastAsia" w:ascii="仿宋" w:hAnsi="仿宋" w:eastAsia="仿宋" w:cs="楷体"/>
                <w:color w:val="000000"/>
                <w:sz w:val="24"/>
                <w:highlight w:val="none"/>
              </w:rPr>
              <w:t>分</w:t>
            </w:r>
          </w:p>
        </w:tc>
        <w:tc>
          <w:tcPr>
            <w:tcW w:w="6593" w:type="dxa"/>
            <w:vAlign w:val="center"/>
          </w:tcPr>
          <w:p>
            <w:pPr>
              <w:rPr>
                <w:rFonts w:ascii="仿宋" w:hAnsi="仿宋" w:eastAsia="仿宋" w:cs="楷体"/>
                <w:color w:val="000000"/>
                <w:sz w:val="24"/>
                <w:highlight w:val="none"/>
              </w:rPr>
            </w:pPr>
            <w:r>
              <w:rPr>
                <w:rFonts w:hint="eastAsia" w:ascii="仿宋" w:hAnsi="仿宋" w:eastAsia="仿宋" w:cs="楷体"/>
                <w:color w:val="000000"/>
                <w:sz w:val="24"/>
                <w:highlight w:val="none"/>
              </w:rPr>
              <w:t>根据投标人201</w:t>
            </w:r>
            <w:r>
              <w:rPr>
                <w:rFonts w:hint="eastAsia" w:ascii="仿宋" w:hAnsi="仿宋" w:eastAsia="仿宋" w:cs="楷体"/>
                <w:color w:val="000000"/>
                <w:sz w:val="24"/>
                <w:highlight w:val="none"/>
                <w:lang w:val="en-US" w:eastAsia="zh-CN"/>
              </w:rPr>
              <w:t>9</w:t>
            </w:r>
            <w:r>
              <w:rPr>
                <w:rFonts w:hint="eastAsia" w:ascii="仿宋" w:hAnsi="仿宋" w:eastAsia="仿宋" w:cs="楷体"/>
                <w:color w:val="000000"/>
                <w:sz w:val="24"/>
                <w:highlight w:val="none"/>
              </w:rPr>
              <w:t>年1月1日以来（以合同签订时间为准）签订的,每具有一个</w:t>
            </w:r>
            <w:r>
              <w:rPr>
                <w:rFonts w:hint="eastAsia" w:ascii="仿宋" w:hAnsi="仿宋" w:eastAsia="仿宋" w:cs="楷体"/>
                <w:color w:val="000000"/>
                <w:sz w:val="24"/>
                <w:highlight w:val="none"/>
                <w:lang w:val="en-US" w:eastAsia="zh-CN"/>
              </w:rPr>
              <w:t>医院</w:t>
            </w:r>
            <w:r>
              <w:rPr>
                <w:rFonts w:hint="eastAsia" w:ascii="仿宋" w:hAnsi="仿宋" w:eastAsia="仿宋" w:cs="楷体"/>
                <w:color w:val="000000"/>
                <w:sz w:val="24"/>
                <w:highlight w:val="none"/>
              </w:rPr>
              <w:t>物业管理项目业绩可得</w:t>
            </w:r>
            <w:r>
              <w:rPr>
                <w:rFonts w:hint="eastAsia" w:ascii="仿宋" w:hAnsi="仿宋" w:eastAsia="仿宋" w:cs="楷体"/>
                <w:color w:val="000000"/>
                <w:sz w:val="24"/>
                <w:highlight w:val="none"/>
                <w:lang w:val="en-US" w:eastAsia="zh-CN"/>
              </w:rPr>
              <w:t>0.5</w:t>
            </w:r>
            <w:r>
              <w:rPr>
                <w:rFonts w:hint="eastAsia" w:ascii="仿宋" w:hAnsi="仿宋" w:eastAsia="仿宋" w:cs="楷体"/>
                <w:color w:val="000000"/>
                <w:sz w:val="24"/>
                <w:highlight w:val="none"/>
              </w:rPr>
              <w:t>分，最多可得</w:t>
            </w:r>
            <w:r>
              <w:rPr>
                <w:rFonts w:hint="eastAsia" w:ascii="仿宋" w:hAnsi="仿宋" w:eastAsia="仿宋" w:cs="楷体"/>
                <w:color w:val="000000"/>
                <w:sz w:val="24"/>
                <w:highlight w:val="none"/>
                <w:lang w:val="en-US" w:eastAsia="zh-CN"/>
              </w:rPr>
              <w:t>1</w:t>
            </w:r>
            <w:r>
              <w:rPr>
                <w:rFonts w:hint="eastAsia" w:ascii="仿宋" w:hAnsi="仿宋" w:eastAsia="仿宋" w:cs="楷体"/>
                <w:color w:val="000000"/>
                <w:sz w:val="24"/>
                <w:highlight w:val="none"/>
              </w:rPr>
              <w:t>分。（提供合同</w:t>
            </w:r>
            <w:r>
              <w:rPr>
                <w:rFonts w:hint="eastAsia" w:ascii="仿宋" w:hAnsi="仿宋" w:eastAsia="仿宋" w:cs="楷体"/>
                <w:color w:val="000000"/>
                <w:sz w:val="24"/>
                <w:highlight w:val="none"/>
                <w:lang w:eastAsia="zh-CN"/>
              </w:rPr>
              <w:t>、中标通知书</w:t>
            </w:r>
            <w:r>
              <w:rPr>
                <w:rFonts w:hint="eastAsia" w:ascii="仿宋" w:hAnsi="仿宋" w:eastAsia="仿宋" w:cs="楷体"/>
                <w:color w:val="000000"/>
                <w:sz w:val="24"/>
                <w:highlight w:val="none"/>
              </w:rPr>
              <w:t>及客户满意证明材料，缺一不可, 否则不得分）</w:t>
            </w:r>
          </w:p>
          <w:p>
            <w:pPr>
              <w:rPr>
                <w:rFonts w:ascii="仿宋" w:hAnsi="仿宋" w:eastAsia="仿宋" w:cs="楷体"/>
                <w:color w:val="000000"/>
                <w:sz w:val="24"/>
                <w:highlight w:val="none"/>
              </w:rPr>
            </w:pPr>
            <w:r>
              <w:rPr>
                <w:rFonts w:hint="eastAsia" w:ascii="仿宋" w:hAnsi="仿宋" w:eastAsia="仿宋" w:cs="楷体"/>
                <w:color w:val="000000"/>
                <w:sz w:val="24"/>
                <w:highlight w:val="none"/>
              </w:rPr>
              <w:t>备注：续签的合同按</w:t>
            </w:r>
            <w:r>
              <w:rPr>
                <w:rFonts w:hint="eastAsia" w:ascii="仿宋" w:hAnsi="仿宋" w:eastAsia="仿宋" w:cs="楷体"/>
                <w:color w:val="000000"/>
                <w:sz w:val="24"/>
                <w:highlight w:val="none"/>
                <w:lang w:val="en-US" w:eastAsia="zh-CN"/>
              </w:rPr>
              <w:t>第</w:t>
            </w:r>
            <w:r>
              <w:rPr>
                <w:rFonts w:hint="eastAsia" w:ascii="仿宋" w:hAnsi="仿宋" w:eastAsia="仿宋" w:cs="楷体"/>
                <w:color w:val="000000"/>
                <w:sz w:val="24"/>
                <w:highlight w:val="none"/>
              </w:rPr>
              <w:t>一份</w:t>
            </w:r>
            <w:r>
              <w:rPr>
                <w:rFonts w:hint="eastAsia" w:ascii="仿宋" w:hAnsi="仿宋" w:eastAsia="仿宋" w:cs="楷体"/>
                <w:color w:val="000000"/>
                <w:sz w:val="24"/>
                <w:highlight w:val="none"/>
                <w:lang w:val="en-US" w:eastAsia="zh-CN"/>
              </w:rPr>
              <w:t>初始</w:t>
            </w:r>
            <w:r>
              <w:rPr>
                <w:rFonts w:hint="eastAsia" w:ascii="仿宋" w:hAnsi="仿宋" w:eastAsia="仿宋" w:cs="楷体"/>
                <w:color w:val="000000"/>
                <w:sz w:val="24"/>
                <w:highlight w:val="none"/>
              </w:rPr>
              <w:t>合同认定。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3</w:t>
            </w:r>
          </w:p>
        </w:tc>
        <w:tc>
          <w:tcPr>
            <w:tcW w:w="1302" w:type="dxa"/>
            <w:vAlign w:val="center"/>
          </w:tcPr>
          <w:p>
            <w:pPr>
              <w:pStyle w:val="107"/>
              <w:adjustRightInd w:val="0"/>
              <w:snapToGrid w:val="0"/>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rPr>
              <w:t>拟派项目负责人（经理）相关情况</w:t>
            </w:r>
          </w:p>
        </w:tc>
        <w:tc>
          <w:tcPr>
            <w:tcW w:w="635" w:type="dxa"/>
            <w:vAlign w:val="center"/>
          </w:tcPr>
          <w:p>
            <w:pPr>
              <w:spacing w:before="100" w:beforeAutospacing="1" w:after="100" w:afterAutospacing="1"/>
              <w:jc w:val="center"/>
              <w:rPr>
                <w:rFonts w:ascii="仿宋" w:hAnsi="仿宋" w:eastAsia="仿宋" w:cs="楷体"/>
                <w:color w:val="000000"/>
                <w:kern w:val="2"/>
                <w:sz w:val="24"/>
                <w:szCs w:val="24"/>
                <w:highlight w:val="none"/>
                <w:lang w:val="en-US" w:eastAsia="zh-CN" w:bidi="ar-SA"/>
              </w:rPr>
            </w:pPr>
            <w:r>
              <w:rPr>
                <w:rFonts w:ascii="仿宋" w:hAnsi="仿宋" w:eastAsia="仿宋" w:cs="楷体"/>
                <w:color w:val="000000"/>
                <w:sz w:val="24"/>
                <w:highlight w:val="none"/>
              </w:rPr>
              <w:t>6</w:t>
            </w:r>
            <w:r>
              <w:rPr>
                <w:rFonts w:hint="eastAsia" w:ascii="仿宋" w:hAnsi="仿宋" w:eastAsia="仿宋" w:cs="楷体"/>
                <w:color w:val="000000"/>
                <w:sz w:val="24"/>
                <w:highlight w:val="none"/>
              </w:rPr>
              <w:t>分</w:t>
            </w:r>
          </w:p>
        </w:tc>
        <w:tc>
          <w:tcPr>
            <w:tcW w:w="6593" w:type="dxa"/>
            <w:vAlign w:val="center"/>
          </w:tcPr>
          <w:p>
            <w:pPr>
              <w:pStyle w:val="107"/>
              <w:adjustRightInd w:val="0"/>
              <w:snapToGrid w:val="0"/>
              <w:rPr>
                <w:rFonts w:ascii="仿宋" w:hAnsi="仿宋" w:eastAsia="仿宋" w:cs="楷体"/>
                <w:color w:val="000000"/>
                <w:kern w:val="2"/>
                <w:sz w:val="24"/>
                <w:szCs w:val="24"/>
                <w:highlight w:val="none"/>
              </w:rPr>
            </w:pPr>
            <w:r>
              <w:rPr>
                <w:rFonts w:hint="eastAsia" w:ascii="仿宋" w:hAnsi="仿宋" w:eastAsia="仿宋" w:cs="楷体"/>
                <w:color w:val="000000"/>
                <w:kern w:val="2"/>
                <w:sz w:val="24"/>
                <w:szCs w:val="24"/>
                <w:highlight w:val="none"/>
              </w:rPr>
              <w:t>1、拟派项目经理具有三甲医院服务管理经验，得2分，需提供医院证明材料；</w:t>
            </w:r>
          </w:p>
          <w:p>
            <w:pPr>
              <w:pStyle w:val="107"/>
              <w:adjustRightInd w:val="0"/>
              <w:snapToGrid w:val="0"/>
              <w:rPr>
                <w:rFonts w:ascii="仿宋" w:hAnsi="仿宋" w:eastAsia="仿宋" w:cs="楷体"/>
                <w:b/>
                <w:bCs/>
                <w:color w:val="000000"/>
                <w:kern w:val="2"/>
                <w:sz w:val="24"/>
                <w:szCs w:val="24"/>
                <w:highlight w:val="none"/>
              </w:rPr>
            </w:pPr>
            <w:r>
              <w:rPr>
                <w:rFonts w:hint="eastAsia" w:ascii="仿宋" w:hAnsi="仿宋" w:eastAsia="仿宋" w:cs="楷体"/>
                <w:color w:val="000000"/>
                <w:kern w:val="2"/>
                <w:sz w:val="24"/>
                <w:szCs w:val="24"/>
                <w:highlight w:val="none"/>
              </w:rPr>
              <w:t>2、拟派项目负责人有本科及以上学历的得2分；</w:t>
            </w:r>
          </w:p>
          <w:p>
            <w:pPr>
              <w:pStyle w:val="107"/>
              <w:adjustRightInd w:val="0"/>
              <w:snapToGrid w:val="0"/>
              <w:rPr>
                <w:rFonts w:ascii="仿宋" w:hAnsi="仿宋" w:eastAsia="仿宋" w:cs="楷体"/>
                <w:color w:val="000000"/>
                <w:kern w:val="2"/>
                <w:sz w:val="24"/>
                <w:szCs w:val="24"/>
                <w:highlight w:val="none"/>
              </w:rPr>
            </w:pPr>
            <w:r>
              <w:rPr>
                <w:rFonts w:hint="eastAsia" w:ascii="仿宋" w:hAnsi="仿宋" w:eastAsia="仿宋" w:cs="楷体"/>
                <w:color w:val="000000"/>
                <w:kern w:val="2"/>
                <w:sz w:val="24"/>
                <w:szCs w:val="24"/>
                <w:highlight w:val="none"/>
              </w:rPr>
              <w:t>3、项目经理需要有全国物业经理证书，得2分；</w:t>
            </w:r>
          </w:p>
          <w:p>
            <w:pPr>
              <w:pStyle w:val="107"/>
              <w:adjustRightInd w:val="0"/>
              <w:snapToGrid w:val="0"/>
              <w:rPr>
                <w:rFonts w:hint="eastAsia"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rPr>
              <w:t>备注：拟派项目负责人须提供相关证书复印件、院方证明，并同时提供所在投标供应商社保证明文件，缺一不可，否则不予给分。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ascii="仿宋" w:hAnsi="仿宋" w:eastAsia="仿宋" w:cs="楷体"/>
                <w:color w:val="000000"/>
                <w:sz w:val="24"/>
                <w:highlight w:val="none"/>
              </w:rPr>
              <w:t>4</w:t>
            </w:r>
          </w:p>
        </w:tc>
        <w:tc>
          <w:tcPr>
            <w:tcW w:w="1302" w:type="dxa"/>
            <w:vAlign w:val="center"/>
          </w:tcPr>
          <w:p>
            <w:pPr>
              <w:pStyle w:val="107"/>
              <w:adjustRightInd w:val="0"/>
              <w:snapToGrid w:val="0"/>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rPr>
              <w:t>项目组成员</w:t>
            </w:r>
          </w:p>
        </w:tc>
        <w:tc>
          <w:tcPr>
            <w:tcW w:w="635" w:type="dxa"/>
            <w:vAlign w:val="center"/>
          </w:tcPr>
          <w:p>
            <w:pPr>
              <w:pStyle w:val="107"/>
              <w:adjustRightInd w:val="0"/>
              <w:snapToGrid w:val="0"/>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rPr>
              <w:t>6分</w:t>
            </w:r>
          </w:p>
        </w:tc>
        <w:tc>
          <w:tcPr>
            <w:tcW w:w="6593" w:type="dxa"/>
            <w:vAlign w:val="center"/>
          </w:tcPr>
          <w:p>
            <w:pPr>
              <w:pStyle w:val="107"/>
              <w:adjustRightInd w:val="0"/>
              <w:snapToGrid w:val="0"/>
              <w:rPr>
                <w:rFonts w:ascii="仿宋" w:hAnsi="仿宋" w:eastAsia="仿宋" w:cs="楷体"/>
                <w:color w:val="000000"/>
                <w:sz w:val="24"/>
                <w:szCs w:val="24"/>
                <w:highlight w:val="none"/>
              </w:rPr>
            </w:pPr>
            <w:r>
              <w:rPr>
                <w:rFonts w:hint="eastAsia" w:ascii="仿宋" w:hAnsi="仿宋" w:eastAsia="仿宋" w:cs="楷体"/>
                <w:color w:val="000000"/>
                <w:sz w:val="24"/>
                <w:szCs w:val="24"/>
                <w:highlight w:val="none"/>
              </w:rPr>
              <w:t>1.拟派</w:t>
            </w:r>
            <w:r>
              <w:rPr>
                <w:rFonts w:hint="eastAsia" w:ascii="仿宋" w:hAnsi="仿宋" w:eastAsia="仿宋" w:cs="楷体"/>
                <w:color w:val="000000"/>
                <w:sz w:val="24"/>
                <w:szCs w:val="24"/>
                <w:highlight w:val="none"/>
                <w:lang w:val="en-US" w:eastAsia="zh-CN"/>
              </w:rPr>
              <w:t>运送</w:t>
            </w:r>
            <w:r>
              <w:rPr>
                <w:rFonts w:hint="eastAsia" w:ascii="仿宋" w:hAnsi="仿宋" w:eastAsia="仿宋" w:cs="楷体"/>
                <w:color w:val="000000"/>
                <w:sz w:val="24"/>
                <w:szCs w:val="24"/>
                <w:highlight w:val="none"/>
              </w:rPr>
              <w:t>主管相关情况：</w:t>
            </w:r>
          </w:p>
          <w:p>
            <w:pPr>
              <w:pStyle w:val="107"/>
              <w:adjustRightInd w:val="0"/>
              <w:snapToGrid w:val="0"/>
              <w:rPr>
                <w:rFonts w:ascii="仿宋" w:hAnsi="仿宋" w:eastAsia="仿宋" w:cs="楷体"/>
                <w:color w:val="000000"/>
                <w:sz w:val="24"/>
                <w:szCs w:val="24"/>
                <w:highlight w:val="none"/>
              </w:rPr>
            </w:pPr>
            <w:r>
              <w:rPr>
                <w:rFonts w:hint="eastAsia" w:ascii="仿宋" w:hAnsi="仿宋" w:eastAsia="仿宋" w:cs="楷体"/>
                <w:color w:val="000000"/>
                <w:sz w:val="24"/>
                <w:szCs w:val="24"/>
                <w:highlight w:val="none"/>
              </w:rPr>
              <w:t>①具有大专学历及以上得</w:t>
            </w:r>
            <w:r>
              <w:rPr>
                <w:rFonts w:hint="eastAsia" w:ascii="仿宋" w:hAnsi="仿宋" w:eastAsia="仿宋" w:cs="楷体"/>
                <w:color w:val="000000"/>
                <w:sz w:val="24"/>
                <w:szCs w:val="24"/>
                <w:highlight w:val="none"/>
                <w:lang w:val="en-US" w:eastAsia="zh-CN"/>
              </w:rPr>
              <w:t>2</w:t>
            </w:r>
            <w:r>
              <w:rPr>
                <w:rFonts w:hint="eastAsia" w:ascii="仿宋" w:hAnsi="仿宋" w:eastAsia="仿宋" w:cs="楷体"/>
                <w:color w:val="000000"/>
                <w:sz w:val="24"/>
                <w:szCs w:val="24"/>
                <w:highlight w:val="none"/>
              </w:rPr>
              <w:t>分；</w:t>
            </w:r>
          </w:p>
          <w:p>
            <w:pPr>
              <w:pStyle w:val="107"/>
              <w:adjustRightInd w:val="0"/>
              <w:snapToGrid w:val="0"/>
              <w:rPr>
                <w:rFonts w:ascii="仿宋" w:hAnsi="仿宋" w:eastAsia="仿宋" w:cs="楷体"/>
                <w:color w:val="000000"/>
                <w:sz w:val="24"/>
                <w:szCs w:val="24"/>
                <w:highlight w:val="none"/>
              </w:rPr>
            </w:pPr>
            <w:r>
              <w:rPr>
                <w:rFonts w:hint="eastAsia" w:ascii="仿宋" w:hAnsi="仿宋" w:eastAsia="仿宋" w:cs="楷体"/>
                <w:color w:val="000000"/>
                <w:sz w:val="24"/>
                <w:szCs w:val="24"/>
                <w:highlight w:val="none"/>
              </w:rPr>
              <w:t>②具有3年及以上担任</w:t>
            </w:r>
            <w:r>
              <w:rPr>
                <w:rFonts w:hint="eastAsia" w:ascii="仿宋" w:hAnsi="仿宋" w:eastAsia="仿宋" w:cs="楷体"/>
                <w:color w:val="000000"/>
                <w:sz w:val="24"/>
                <w:szCs w:val="24"/>
                <w:highlight w:val="none"/>
                <w:lang w:eastAsia="zh-CN"/>
              </w:rPr>
              <w:t>医院</w:t>
            </w:r>
            <w:r>
              <w:rPr>
                <w:rFonts w:hint="eastAsia" w:ascii="仿宋" w:hAnsi="仿宋" w:eastAsia="仿宋" w:cs="楷体"/>
                <w:color w:val="000000"/>
                <w:sz w:val="24"/>
                <w:szCs w:val="24"/>
                <w:highlight w:val="none"/>
                <w:lang w:val="en-US" w:eastAsia="zh-CN"/>
              </w:rPr>
              <w:t>运送</w:t>
            </w:r>
            <w:r>
              <w:rPr>
                <w:rFonts w:hint="eastAsia" w:ascii="仿宋" w:hAnsi="仿宋" w:eastAsia="仿宋" w:cs="楷体"/>
                <w:color w:val="000000"/>
                <w:sz w:val="24"/>
                <w:szCs w:val="24"/>
                <w:highlight w:val="none"/>
              </w:rPr>
              <w:t>主管物业服务的工作经验，得</w:t>
            </w:r>
            <w:r>
              <w:rPr>
                <w:rFonts w:hint="eastAsia" w:ascii="仿宋" w:hAnsi="仿宋" w:eastAsia="仿宋" w:cs="楷体"/>
                <w:color w:val="000000"/>
                <w:sz w:val="24"/>
                <w:szCs w:val="24"/>
                <w:highlight w:val="none"/>
                <w:lang w:val="en-US" w:eastAsia="zh-CN"/>
              </w:rPr>
              <w:t>2</w:t>
            </w:r>
            <w:r>
              <w:rPr>
                <w:rFonts w:hint="eastAsia" w:ascii="仿宋" w:hAnsi="仿宋" w:eastAsia="仿宋" w:cs="楷体"/>
                <w:color w:val="000000"/>
                <w:sz w:val="24"/>
                <w:szCs w:val="24"/>
                <w:highlight w:val="none"/>
              </w:rPr>
              <w:t>分（须提供证明材料）；</w:t>
            </w:r>
            <w:r>
              <w:rPr>
                <w:rFonts w:hint="eastAsia" w:ascii="仿宋" w:hAnsi="仿宋" w:eastAsia="仿宋" w:cs="楷体"/>
                <w:color w:val="000000"/>
                <w:sz w:val="24"/>
                <w:szCs w:val="24"/>
                <w:highlight w:val="none"/>
                <w:lang w:eastAsia="zh-CN"/>
              </w:rPr>
              <w:t>具有三甲医院服务管理经验的，得</w:t>
            </w:r>
            <w:r>
              <w:rPr>
                <w:rFonts w:hint="eastAsia" w:ascii="仿宋" w:hAnsi="仿宋" w:eastAsia="仿宋" w:cs="楷体"/>
                <w:color w:val="000000"/>
                <w:sz w:val="24"/>
                <w:szCs w:val="24"/>
                <w:highlight w:val="none"/>
                <w:lang w:val="en-US" w:eastAsia="zh-CN"/>
              </w:rPr>
              <w:t>2分。</w:t>
            </w:r>
          </w:p>
          <w:p>
            <w:pPr>
              <w:pStyle w:val="107"/>
              <w:adjustRightInd w:val="0"/>
              <w:snapToGrid w:val="0"/>
              <w:rPr>
                <w:rFonts w:ascii="仿宋" w:hAnsi="仿宋" w:eastAsia="仿宋" w:cs="楷体"/>
                <w:color w:val="000000"/>
                <w:sz w:val="24"/>
                <w:szCs w:val="24"/>
                <w:highlight w:val="none"/>
              </w:rPr>
            </w:pPr>
            <w:r>
              <w:rPr>
                <w:rFonts w:hint="eastAsia" w:ascii="仿宋" w:hAnsi="仿宋" w:eastAsia="仿宋" w:cs="楷体"/>
                <w:color w:val="000000"/>
                <w:sz w:val="24"/>
                <w:szCs w:val="24"/>
                <w:highlight w:val="none"/>
              </w:rPr>
              <w:t>备注：</w:t>
            </w:r>
            <w:r>
              <w:rPr>
                <w:rFonts w:hint="eastAsia" w:ascii="仿宋" w:hAnsi="仿宋" w:eastAsia="仿宋" w:cs="楷体"/>
                <w:color w:val="000000"/>
                <w:kern w:val="2"/>
                <w:sz w:val="24"/>
                <w:szCs w:val="24"/>
                <w:highlight w:val="none"/>
              </w:rPr>
              <w:t>提供相关证书复印件，院方证明，并同时提供所在投标供应商社保证明文件，缺一不可，否则不予给分。</w:t>
            </w:r>
          </w:p>
          <w:p>
            <w:pPr>
              <w:pStyle w:val="107"/>
              <w:adjustRightInd w:val="0"/>
              <w:snapToGrid w:val="0"/>
              <w:rPr>
                <w:rFonts w:ascii="仿宋" w:hAnsi="仿宋" w:eastAsia="仿宋" w:cs="楷体"/>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ascii="仿宋" w:hAnsi="仿宋" w:eastAsia="仿宋" w:cs="楷体"/>
                <w:color w:val="000000"/>
                <w:sz w:val="24"/>
                <w:highlight w:val="none"/>
              </w:rPr>
              <w:t>5</w:t>
            </w:r>
          </w:p>
        </w:tc>
        <w:tc>
          <w:tcPr>
            <w:tcW w:w="1302" w:type="dxa"/>
            <w:vAlign w:val="center"/>
          </w:tcPr>
          <w:p>
            <w:pPr>
              <w:pStyle w:val="107"/>
              <w:adjustRightInd w:val="0"/>
              <w:snapToGrid w:val="0"/>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rPr>
              <w:t>项目人员各岗位人员配置</w:t>
            </w:r>
          </w:p>
        </w:tc>
        <w:tc>
          <w:tcPr>
            <w:tcW w:w="635" w:type="dxa"/>
            <w:vAlign w:val="center"/>
          </w:tcPr>
          <w:p>
            <w:pPr>
              <w:pStyle w:val="107"/>
              <w:adjustRightInd w:val="0"/>
              <w:snapToGrid w:val="0"/>
              <w:jc w:val="center"/>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lang w:val="en-US" w:eastAsia="zh-CN"/>
              </w:rPr>
              <w:t>5</w:t>
            </w:r>
            <w:r>
              <w:rPr>
                <w:rFonts w:hint="eastAsia" w:ascii="仿宋" w:hAnsi="仿宋" w:eastAsia="仿宋" w:cs="楷体"/>
                <w:color w:val="000000"/>
                <w:kern w:val="2"/>
                <w:sz w:val="24"/>
                <w:szCs w:val="24"/>
                <w:highlight w:val="none"/>
              </w:rPr>
              <w:t>分</w:t>
            </w:r>
          </w:p>
        </w:tc>
        <w:tc>
          <w:tcPr>
            <w:tcW w:w="6593" w:type="dxa"/>
            <w:vAlign w:val="center"/>
          </w:tcPr>
          <w:p>
            <w:pPr>
              <w:pStyle w:val="107"/>
              <w:adjustRightInd w:val="0"/>
              <w:snapToGrid w:val="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工作时间安排是否合理、根据人员配置是否合理、数量是否充足，由评委进行综合评审</w:t>
            </w:r>
            <w:r>
              <w:rPr>
                <w:rFonts w:hint="eastAsia" w:ascii="仿宋" w:hAnsi="仿宋" w:eastAsia="仿宋" w:cs="楷体"/>
                <w:color w:val="000000"/>
                <w:sz w:val="24"/>
                <w:szCs w:val="24"/>
                <w:highlight w:val="none"/>
                <w:lang w:eastAsia="zh-CN"/>
              </w:rPr>
              <w:t>，</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6</w:t>
            </w:r>
          </w:p>
        </w:tc>
        <w:tc>
          <w:tcPr>
            <w:tcW w:w="1302" w:type="dxa"/>
            <w:vAlign w:val="center"/>
          </w:tcPr>
          <w:p>
            <w:pPr>
              <w:pStyle w:val="107"/>
              <w:adjustRightInd w:val="0"/>
              <w:snapToGrid w:val="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运送特色服务方案</w:t>
            </w:r>
          </w:p>
        </w:tc>
        <w:tc>
          <w:tcPr>
            <w:tcW w:w="635" w:type="dxa"/>
            <w:vAlign w:val="center"/>
          </w:tcPr>
          <w:p>
            <w:pPr>
              <w:pStyle w:val="107"/>
              <w:adjustRightInd w:val="0"/>
              <w:snapToGrid w:val="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9分</w:t>
            </w:r>
          </w:p>
        </w:tc>
        <w:tc>
          <w:tcPr>
            <w:tcW w:w="6593" w:type="dxa"/>
            <w:vAlign w:val="center"/>
          </w:tcPr>
          <w:p>
            <w:pPr>
              <w:pStyle w:val="107"/>
              <w:adjustRightInd w:val="0"/>
              <w:snapToGrid w:val="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评委根据各投标人提供的运送服务方案中服务目标是否清晰，服务内容是否完善，对医院运送是否有详细的数据分析，是否提供明确的运送服务标准，以及各项运送流程的科学性、合理性、详细程度、完整性，由评委进行综合评审。</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少部分符合的得3分，不符合或不提供</w:t>
            </w:r>
            <w:r>
              <w:rPr>
                <w:rFonts w:hint="eastAsia" w:ascii="仿宋" w:hAnsi="仿宋" w:eastAsia="仿宋" w:cs="仿宋"/>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90" w:hRule="atLeast"/>
          <w:jc w:val="center"/>
        </w:trPr>
        <w:tc>
          <w:tcPr>
            <w:tcW w:w="756" w:type="dxa"/>
            <w:vAlign w:val="center"/>
          </w:tcPr>
          <w:p>
            <w:pPr>
              <w:jc w:val="center"/>
              <w:rPr>
                <w:rFonts w:ascii="仿宋" w:hAnsi="仿宋" w:eastAsia="仿宋" w:cs="楷体"/>
                <w:color w:val="000000"/>
                <w:sz w:val="24"/>
                <w:highlight w:val="yellow"/>
              </w:rPr>
            </w:pPr>
            <w:r>
              <w:rPr>
                <w:rFonts w:hint="eastAsia" w:ascii="仿宋" w:hAnsi="仿宋" w:eastAsia="仿宋" w:cs="楷体"/>
                <w:color w:val="000000"/>
                <w:sz w:val="24"/>
                <w:highlight w:val="none"/>
              </w:rPr>
              <w:t>7</w:t>
            </w:r>
          </w:p>
        </w:tc>
        <w:tc>
          <w:tcPr>
            <w:tcW w:w="1302" w:type="dxa"/>
            <w:vAlign w:val="center"/>
          </w:tcPr>
          <w:p>
            <w:pPr>
              <w:pStyle w:val="107"/>
              <w:adjustRightInd w:val="0"/>
              <w:snapToGrid w:val="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防止院内感染措施方案</w:t>
            </w:r>
          </w:p>
        </w:tc>
        <w:tc>
          <w:tcPr>
            <w:tcW w:w="635" w:type="dxa"/>
            <w:vAlign w:val="center"/>
          </w:tcPr>
          <w:p>
            <w:pPr>
              <w:pStyle w:val="107"/>
              <w:adjustRightInd w:val="0"/>
              <w:snapToGrid w:val="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5</w:t>
            </w:r>
            <w:r>
              <w:rPr>
                <w:rFonts w:hint="eastAsia" w:ascii="仿宋" w:hAnsi="仿宋" w:eastAsia="仿宋" w:cs="楷体"/>
                <w:color w:val="000000"/>
                <w:sz w:val="24"/>
                <w:szCs w:val="24"/>
                <w:highlight w:val="none"/>
              </w:rPr>
              <w:t>分</w:t>
            </w:r>
          </w:p>
        </w:tc>
        <w:tc>
          <w:tcPr>
            <w:tcW w:w="6593" w:type="dxa"/>
            <w:vAlign w:val="center"/>
          </w:tcPr>
          <w:p>
            <w:pPr>
              <w:pStyle w:val="107"/>
              <w:adjustRightInd w:val="0"/>
              <w:snapToGrid w:val="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防止院内感染措施</w:t>
            </w:r>
            <w:r>
              <w:rPr>
                <w:rFonts w:hint="eastAsia" w:ascii="仿宋" w:hAnsi="仿宋" w:eastAsia="仿宋" w:cs="楷体"/>
                <w:color w:val="000000"/>
                <w:sz w:val="24"/>
                <w:szCs w:val="24"/>
                <w:highlight w:val="none"/>
                <w:lang w:eastAsia="zh-CN"/>
              </w:rPr>
              <w:t>；</w:t>
            </w:r>
            <w:r>
              <w:rPr>
                <w:rFonts w:hint="eastAsia" w:ascii="仿宋" w:hAnsi="仿宋" w:eastAsia="仿宋" w:cs="楷体"/>
                <w:color w:val="000000"/>
                <w:sz w:val="24"/>
                <w:szCs w:val="24"/>
                <w:highlight w:val="none"/>
              </w:rPr>
              <w:t>院内感染</w:t>
            </w:r>
            <w:r>
              <w:rPr>
                <w:rFonts w:hint="eastAsia" w:ascii="仿宋" w:hAnsi="仿宋" w:eastAsia="仿宋" w:cs="楷体"/>
                <w:color w:val="000000"/>
                <w:sz w:val="24"/>
                <w:szCs w:val="24"/>
                <w:highlight w:val="none"/>
                <w:lang w:val="en-US" w:eastAsia="zh-CN"/>
              </w:rPr>
              <w:t>处置</w:t>
            </w:r>
            <w:r>
              <w:rPr>
                <w:rFonts w:hint="eastAsia" w:ascii="仿宋" w:hAnsi="仿宋" w:eastAsia="仿宋" w:cs="楷体"/>
                <w:color w:val="000000"/>
                <w:sz w:val="24"/>
                <w:szCs w:val="24"/>
                <w:highlight w:val="none"/>
              </w:rPr>
              <w:t>方案是否明确且具有可操作性，由评委根据投标情况给分</w:t>
            </w:r>
            <w:r>
              <w:rPr>
                <w:rFonts w:hint="eastAsia" w:ascii="仿宋" w:hAnsi="仿宋" w:eastAsia="仿宋" w:cs="楷体"/>
                <w:color w:val="000000"/>
                <w:sz w:val="24"/>
                <w:szCs w:val="24"/>
                <w:highlight w:val="none"/>
                <w:lang w:eastAsia="zh-CN"/>
              </w:rPr>
              <w:t>，</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8</w:t>
            </w:r>
          </w:p>
        </w:tc>
        <w:tc>
          <w:tcPr>
            <w:tcW w:w="1302" w:type="dxa"/>
            <w:vAlign w:val="center"/>
          </w:tcPr>
          <w:p>
            <w:pPr>
              <w:pStyle w:val="107"/>
              <w:adjustRightInd w:val="0"/>
              <w:snapToGrid w:val="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项目管理</w:t>
            </w:r>
          </w:p>
        </w:tc>
        <w:tc>
          <w:tcPr>
            <w:tcW w:w="635" w:type="dxa"/>
            <w:vAlign w:val="center"/>
          </w:tcPr>
          <w:p>
            <w:pPr>
              <w:pStyle w:val="107"/>
              <w:adjustRightInd w:val="0"/>
              <w:snapToGrid w:val="0"/>
              <w:jc w:val="center"/>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5</w:t>
            </w:r>
            <w:r>
              <w:rPr>
                <w:rFonts w:hint="eastAsia" w:ascii="仿宋" w:hAnsi="仿宋" w:eastAsia="仿宋" w:cs="楷体"/>
                <w:color w:val="000000"/>
                <w:sz w:val="24"/>
                <w:szCs w:val="24"/>
                <w:highlight w:val="none"/>
              </w:rPr>
              <w:t>分</w:t>
            </w:r>
          </w:p>
        </w:tc>
        <w:tc>
          <w:tcPr>
            <w:tcW w:w="6593" w:type="dxa"/>
            <w:vAlign w:val="center"/>
          </w:tcPr>
          <w:p>
            <w:pPr>
              <w:pStyle w:val="107"/>
              <w:adjustRightInd w:val="0"/>
              <w:snapToGrid w:val="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根据管理服务组织机构设置（附组织机构图）、运作流程（附运作流程图）、激励机制、监督机制、自我约束机制和信息反馈渠道及处理机制、岗位职责。</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9</w:t>
            </w:r>
          </w:p>
        </w:tc>
        <w:tc>
          <w:tcPr>
            <w:tcW w:w="1302" w:type="dxa"/>
            <w:vAlign w:val="center"/>
          </w:tcPr>
          <w:p>
            <w:pPr>
              <w:pStyle w:val="107"/>
              <w:adjustRightInd w:val="0"/>
              <w:snapToGrid w:val="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特色服务方案</w:t>
            </w:r>
            <w:r>
              <w:rPr>
                <w:rFonts w:hint="eastAsia" w:ascii="仿宋" w:hAnsi="仿宋" w:eastAsia="仿宋" w:cs="楷体"/>
                <w:color w:val="000000"/>
                <w:sz w:val="24"/>
                <w:szCs w:val="24"/>
                <w:highlight w:val="none"/>
                <w:lang w:val="en-US" w:eastAsia="zh-CN"/>
              </w:rPr>
              <w:t>及合理化建议</w:t>
            </w:r>
          </w:p>
        </w:tc>
        <w:tc>
          <w:tcPr>
            <w:tcW w:w="635" w:type="dxa"/>
            <w:vAlign w:val="center"/>
          </w:tcPr>
          <w:p>
            <w:pPr>
              <w:pStyle w:val="107"/>
              <w:adjustRightInd w:val="0"/>
              <w:snapToGrid w:val="0"/>
              <w:jc w:val="center"/>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5</w:t>
            </w:r>
            <w:r>
              <w:rPr>
                <w:rFonts w:hint="eastAsia" w:ascii="仿宋" w:hAnsi="仿宋" w:eastAsia="仿宋" w:cs="楷体"/>
                <w:color w:val="000000"/>
                <w:sz w:val="24"/>
                <w:szCs w:val="24"/>
                <w:highlight w:val="none"/>
              </w:rPr>
              <w:t>分</w:t>
            </w:r>
          </w:p>
        </w:tc>
        <w:tc>
          <w:tcPr>
            <w:tcW w:w="6593" w:type="dxa"/>
            <w:vAlign w:val="center"/>
          </w:tcPr>
          <w:p>
            <w:pPr>
              <w:pStyle w:val="107"/>
              <w:adjustRightInd w:val="0"/>
              <w:snapToGrid w:val="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根据针对本项目日常物业服务管理情况进行分析，并提出针对性的特色服务，</w:t>
            </w:r>
            <w:r>
              <w:rPr>
                <w:rFonts w:hint="eastAsia" w:ascii="仿宋" w:hAnsi="仿宋" w:eastAsia="仿宋" w:cs="仿宋"/>
                <w:bCs/>
                <w:color w:val="000000"/>
                <w:sz w:val="24"/>
                <w:szCs w:val="24"/>
                <w:highlight w:val="none"/>
              </w:rPr>
              <w:t>对本项目提出的建议具有合理性；</w:t>
            </w:r>
            <w:r>
              <w:rPr>
                <w:rFonts w:hint="eastAsia" w:ascii="仿宋" w:hAnsi="仿宋" w:eastAsia="仿宋" w:cs="楷体"/>
                <w:color w:val="000000"/>
                <w:sz w:val="24"/>
                <w:szCs w:val="24"/>
                <w:highlight w:val="none"/>
              </w:rPr>
              <w:t>。</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1</w:t>
            </w:r>
            <w:r>
              <w:rPr>
                <w:rFonts w:ascii="仿宋" w:hAnsi="仿宋" w:eastAsia="仿宋" w:cs="楷体"/>
                <w:color w:val="000000"/>
                <w:sz w:val="24"/>
                <w:highlight w:val="none"/>
              </w:rPr>
              <w:t>0</w:t>
            </w:r>
          </w:p>
        </w:tc>
        <w:tc>
          <w:tcPr>
            <w:tcW w:w="1302" w:type="dxa"/>
            <w:vAlign w:val="center"/>
          </w:tcPr>
          <w:p>
            <w:pPr>
              <w:pStyle w:val="107"/>
              <w:adjustRightInd w:val="0"/>
              <w:snapToGrid w:val="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运送软件信息化方案</w:t>
            </w:r>
          </w:p>
        </w:tc>
        <w:tc>
          <w:tcPr>
            <w:tcW w:w="635" w:type="dxa"/>
            <w:vAlign w:val="center"/>
          </w:tcPr>
          <w:p>
            <w:pPr>
              <w:pStyle w:val="107"/>
              <w:adjustRightInd w:val="0"/>
              <w:snapToGrid w:val="0"/>
              <w:jc w:val="center"/>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9</w:t>
            </w:r>
            <w:r>
              <w:rPr>
                <w:rFonts w:hint="eastAsia" w:ascii="仿宋" w:hAnsi="仿宋" w:eastAsia="仿宋" w:cs="楷体"/>
                <w:color w:val="000000"/>
                <w:sz w:val="24"/>
                <w:szCs w:val="24"/>
                <w:highlight w:val="none"/>
              </w:rPr>
              <w:t>分</w:t>
            </w:r>
          </w:p>
        </w:tc>
        <w:tc>
          <w:tcPr>
            <w:tcW w:w="6593" w:type="dxa"/>
            <w:vAlign w:val="center"/>
          </w:tcPr>
          <w:p>
            <w:pPr>
              <w:pStyle w:val="107"/>
              <w:adjustRightInd w:val="0"/>
              <w:snapToGrid w:val="0"/>
              <w:rPr>
                <w:rFonts w:hint="eastAsia" w:ascii="仿宋" w:hAnsi="仿宋" w:eastAsia="仿宋" w:cs="楷体"/>
                <w:color w:val="000000"/>
                <w:sz w:val="24"/>
                <w:szCs w:val="24"/>
                <w:highlight w:val="none"/>
              </w:rPr>
            </w:pPr>
            <w:r>
              <w:rPr>
                <w:rFonts w:hint="eastAsia" w:ascii="仿宋" w:hAnsi="仿宋" w:eastAsia="仿宋" w:cs="楷体"/>
                <w:color w:val="000000"/>
                <w:sz w:val="24"/>
                <w:szCs w:val="24"/>
                <w:highlight w:val="none"/>
              </w:rPr>
              <w:t>根据投标单位配备的运送软件的合理性、先进性、实用性等情况，</w:t>
            </w:r>
          </w:p>
          <w:p>
            <w:pPr>
              <w:pStyle w:val="107"/>
              <w:numPr>
                <w:ilvl w:val="0"/>
                <w:numId w:val="4"/>
              </w:numPr>
              <w:adjustRightInd w:val="0"/>
              <w:snapToGrid w:val="0"/>
              <w:rPr>
                <w:rFonts w:hint="eastAsia" w:ascii="仿宋" w:hAnsi="仿宋" w:eastAsia="仿宋" w:cs="楷体"/>
                <w:color w:val="000000"/>
                <w:sz w:val="24"/>
                <w:szCs w:val="24"/>
                <w:highlight w:val="none"/>
              </w:rPr>
            </w:pPr>
            <w:r>
              <w:rPr>
                <w:rFonts w:hint="eastAsia" w:ascii="仿宋" w:hAnsi="仿宋" w:eastAsia="仿宋" w:cs="楷体"/>
                <w:color w:val="000000"/>
                <w:sz w:val="24"/>
                <w:szCs w:val="24"/>
                <w:highlight w:val="none"/>
              </w:rPr>
              <w:t>供应商具有物业服务管理相关信息系统（自主研发或自购均可），包括中央运送智慧服务系统、医疗垃圾运送智能管理系统、生活垃圾分类智能管理系统、医院保洁服务管理系统、医院后勤物业服务智慧管理系统，每提供一个得</w:t>
            </w:r>
            <w:r>
              <w:rPr>
                <w:rFonts w:hint="eastAsia" w:ascii="仿宋" w:hAnsi="仿宋" w:eastAsia="仿宋" w:cs="楷体"/>
                <w:color w:val="000000"/>
                <w:sz w:val="24"/>
                <w:szCs w:val="24"/>
                <w:highlight w:val="none"/>
                <w:lang w:val="en-US" w:eastAsia="zh-CN"/>
              </w:rPr>
              <w:t>1</w:t>
            </w:r>
            <w:r>
              <w:rPr>
                <w:rFonts w:hint="eastAsia" w:ascii="仿宋" w:hAnsi="仿宋" w:eastAsia="仿宋" w:cs="楷体"/>
                <w:color w:val="000000"/>
                <w:sz w:val="24"/>
                <w:szCs w:val="24"/>
                <w:highlight w:val="none"/>
              </w:rPr>
              <w:t>分，最高得</w:t>
            </w:r>
            <w:r>
              <w:rPr>
                <w:rFonts w:hint="eastAsia" w:ascii="仿宋" w:hAnsi="仿宋" w:eastAsia="仿宋" w:cs="楷体"/>
                <w:color w:val="000000"/>
                <w:sz w:val="24"/>
                <w:szCs w:val="24"/>
                <w:highlight w:val="none"/>
                <w:lang w:val="en-US" w:eastAsia="zh-CN"/>
              </w:rPr>
              <w:t>5</w:t>
            </w:r>
            <w:r>
              <w:rPr>
                <w:rFonts w:hint="eastAsia" w:ascii="仿宋" w:hAnsi="仿宋" w:eastAsia="仿宋" w:cs="楷体"/>
                <w:color w:val="000000"/>
                <w:sz w:val="24"/>
                <w:szCs w:val="24"/>
                <w:highlight w:val="none"/>
              </w:rPr>
              <w:t>分。</w:t>
            </w:r>
            <w:r>
              <w:rPr>
                <w:rFonts w:hint="eastAsia" w:ascii="仿宋" w:hAnsi="仿宋" w:eastAsia="仿宋" w:cs="楷体"/>
                <w:color w:val="000000"/>
                <w:sz w:val="24"/>
                <w:szCs w:val="24"/>
                <w:highlight w:val="none"/>
                <w:lang w:eastAsia="zh-CN"/>
              </w:rPr>
              <w:t>（提供软件证书或购买证明材料）</w:t>
            </w:r>
          </w:p>
          <w:p>
            <w:pPr>
              <w:pStyle w:val="107"/>
              <w:numPr>
                <w:ilvl w:val="0"/>
                <w:numId w:val="4"/>
              </w:numPr>
              <w:adjustRightInd w:val="0"/>
              <w:snapToGrid w:val="0"/>
              <w:rPr>
                <w:rFonts w:hint="eastAsia" w:ascii="仿宋" w:hAnsi="仿宋" w:eastAsia="仿宋" w:cs="楷体"/>
                <w:color w:val="000000"/>
                <w:sz w:val="24"/>
                <w:szCs w:val="24"/>
                <w:highlight w:val="none"/>
              </w:rPr>
            </w:pPr>
            <w:r>
              <w:rPr>
                <w:rFonts w:hint="eastAsia" w:ascii="仿宋" w:hAnsi="仿宋" w:eastAsia="仿宋" w:cs="楷体"/>
                <w:color w:val="000000"/>
                <w:sz w:val="24"/>
                <w:szCs w:val="24"/>
                <w:highlight w:val="none"/>
              </w:rPr>
              <w:t>拟投入本项目的信息化运送软件管理系统的功能：对人员合理管理，能自动生成工时、工作量等数据清单，运送工作任务可由PC端、手机APP等下单，有抢单功能，有数据分析统计功能，为院方提供各种参考数据。本项2分，每缺少一项扣0.5分，扣完为止；</w:t>
            </w:r>
          </w:p>
          <w:p>
            <w:pPr>
              <w:pStyle w:val="107"/>
              <w:adjustRightInd w:val="0"/>
              <w:snapToGrid w:val="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3、</w:t>
            </w:r>
            <w:r>
              <w:rPr>
                <w:rFonts w:hint="eastAsia" w:ascii="仿宋" w:hAnsi="仿宋" w:eastAsia="仿宋" w:cs="楷体"/>
                <w:color w:val="000000"/>
                <w:sz w:val="24"/>
                <w:szCs w:val="24"/>
                <w:highlight w:val="none"/>
              </w:rPr>
              <w:t>关于供应商信息化运送软件的证明：①需与医院HIS系统相连能力证明、②具有科室下单功能证明、③提供现服务医院使用运送软件满意度证明。本项</w:t>
            </w:r>
            <w:r>
              <w:rPr>
                <w:rFonts w:hint="eastAsia" w:ascii="仿宋" w:hAnsi="仿宋" w:eastAsia="仿宋" w:cs="楷体"/>
                <w:color w:val="000000"/>
                <w:sz w:val="24"/>
                <w:szCs w:val="24"/>
                <w:highlight w:val="none"/>
                <w:lang w:val="en-US" w:eastAsia="zh-CN"/>
              </w:rPr>
              <w:t>2</w:t>
            </w:r>
            <w:r>
              <w:rPr>
                <w:rFonts w:hint="eastAsia" w:ascii="仿宋" w:hAnsi="仿宋" w:eastAsia="仿宋" w:cs="楷体"/>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1</w:t>
            </w:r>
            <w:r>
              <w:rPr>
                <w:rFonts w:ascii="仿宋" w:hAnsi="仿宋" w:eastAsia="仿宋" w:cs="楷体"/>
                <w:color w:val="000000"/>
                <w:sz w:val="24"/>
                <w:highlight w:val="none"/>
              </w:rPr>
              <w:t>1</w:t>
            </w:r>
          </w:p>
        </w:tc>
        <w:tc>
          <w:tcPr>
            <w:tcW w:w="1302" w:type="dxa"/>
            <w:vAlign w:val="center"/>
          </w:tcPr>
          <w:p>
            <w:pPr>
              <w:pStyle w:val="107"/>
              <w:adjustRightInd w:val="0"/>
              <w:snapToGrid w:val="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质量保证</w:t>
            </w:r>
          </w:p>
        </w:tc>
        <w:tc>
          <w:tcPr>
            <w:tcW w:w="635" w:type="dxa"/>
            <w:vAlign w:val="center"/>
          </w:tcPr>
          <w:p>
            <w:pPr>
              <w:pStyle w:val="107"/>
              <w:adjustRightInd w:val="0"/>
              <w:snapToGrid w:val="0"/>
              <w:jc w:val="center"/>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5</w:t>
            </w:r>
            <w:r>
              <w:rPr>
                <w:rFonts w:hint="eastAsia" w:ascii="仿宋" w:hAnsi="仿宋" w:eastAsia="仿宋" w:cs="楷体"/>
                <w:color w:val="000000"/>
                <w:sz w:val="24"/>
                <w:szCs w:val="24"/>
                <w:highlight w:val="none"/>
              </w:rPr>
              <w:t>分</w:t>
            </w:r>
          </w:p>
        </w:tc>
        <w:tc>
          <w:tcPr>
            <w:tcW w:w="6593" w:type="dxa"/>
            <w:vAlign w:val="center"/>
          </w:tcPr>
          <w:p>
            <w:pPr>
              <w:pStyle w:val="107"/>
              <w:adjustRightInd w:val="0"/>
              <w:snapToGrid w:val="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根据质量管理保证措施</w:t>
            </w:r>
            <w:r>
              <w:rPr>
                <w:rFonts w:hint="eastAsia" w:ascii="仿宋" w:hAnsi="仿宋" w:eastAsia="仿宋" w:cs="仿宋"/>
                <w:bCs/>
                <w:color w:val="000000"/>
                <w:sz w:val="24"/>
                <w:szCs w:val="24"/>
                <w:highlight w:val="none"/>
                <w:lang w:eastAsia="zh-CN"/>
              </w:rPr>
              <w:t>；</w:t>
            </w:r>
            <w:r>
              <w:rPr>
                <w:rFonts w:hint="eastAsia" w:ascii="仿宋" w:hAnsi="仿宋" w:eastAsia="仿宋" w:cs="楷体"/>
                <w:color w:val="000000"/>
                <w:sz w:val="24"/>
                <w:szCs w:val="24"/>
                <w:highlight w:val="none"/>
              </w:rPr>
              <w:t>承诺的合理性、有效性评分</w:t>
            </w:r>
            <w:r>
              <w:rPr>
                <w:rFonts w:hint="eastAsia" w:ascii="仿宋" w:hAnsi="仿宋" w:eastAsia="仿宋" w:cs="楷体"/>
                <w:color w:val="000000"/>
                <w:sz w:val="24"/>
                <w:szCs w:val="24"/>
                <w:highlight w:val="none"/>
                <w:lang w:eastAsia="zh-CN"/>
              </w:rPr>
              <w:t>。</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1</w:t>
            </w:r>
            <w:r>
              <w:rPr>
                <w:rFonts w:ascii="仿宋" w:hAnsi="仿宋" w:eastAsia="仿宋" w:cs="楷体"/>
                <w:color w:val="000000"/>
                <w:sz w:val="24"/>
                <w:highlight w:val="none"/>
              </w:rPr>
              <w:t>2</w:t>
            </w:r>
          </w:p>
        </w:tc>
        <w:tc>
          <w:tcPr>
            <w:tcW w:w="1302" w:type="dxa"/>
            <w:vAlign w:val="center"/>
          </w:tcPr>
          <w:p>
            <w:pPr>
              <w:pStyle w:val="107"/>
              <w:adjustRightInd w:val="0"/>
              <w:snapToGrid w:val="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培训方案</w:t>
            </w:r>
          </w:p>
        </w:tc>
        <w:tc>
          <w:tcPr>
            <w:tcW w:w="635" w:type="dxa"/>
            <w:vAlign w:val="center"/>
          </w:tcPr>
          <w:p>
            <w:pPr>
              <w:pStyle w:val="107"/>
              <w:adjustRightInd w:val="0"/>
              <w:snapToGrid w:val="0"/>
              <w:jc w:val="center"/>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5</w:t>
            </w:r>
            <w:r>
              <w:rPr>
                <w:rFonts w:hint="eastAsia" w:ascii="仿宋" w:hAnsi="仿宋" w:eastAsia="仿宋" w:cs="楷体"/>
                <w:color w:val="000000"/>
                <w:sz w:val="24"/>
                <w:szCs w:val="24"/>
                <w:highlight w:val="none"/>
              </w:rPr>
              <w:t>分</w:t>
            </w:r>
          </w:p>
        </w:tc>
        <w:tc>
          <w:tcPr>
            <w:tcW w:w="6593" w:type="dxa"/>
            <w:vAlign w:val="center"/>
          </w:tcPr>
          <w:p>
            <w:pPr>
              <w:adjustRightInd w:val="0"/>
              <w:snapToGrid w:val="0"/>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0"/>
                <w:sz w:val="24"/>
                <w:highlight w:val="none"/>
              </w:rPr>
              <w:t>根据各岗位培训计划的详细程度及培训方案的系统性、可操作性，具有详细的年度培训计划，包括岗前培训、在岗培训，由评委进行综合评审。</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1</w:t>
            </w:r>
            <w:r>
              <w:rPr>
                <w:rFonts w:ascii="仿宋" w:hAnsi="仿宋" w:eastAsia="仿宋" w:cs="楷体"/>
                <w:color w:val="000000"/>
                <w:sz w:val="24"/>
                <w:highlight w:val="none"/>
              </w:rPr>
              <w:t>3</w:t>
            </w:r>
          </w:p>
        </w:tc>
        <w:tc>
          <w:tcPr>
            <w:tcW w:w="1302" w:type="dxa"/>
            <w:vAlign w:val="center"/>
          </w:tcPr>
          <w:p>
            <w:pPr>
              <w:pStyle w:val="107"/>
              <w:adjustRightInd w:val="0"/>
              <w:snapToGrid w:val="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突发事件应急处理措施</w:t>
            </w:r>
          </w:p>
        </w:tc>
        <w:tc>
          <w:tcPr>
            <w:tcW w:w="635" w:type="dxa"/>
            <w:vAlign w:val="center"/>
          </w:tcPr>
          <w:p>
            <w:pPr>
              <w:pStyle w:val="107"/>
              <w:adjustRightInd w:val="0"/>
              <w:snapToGrid w:val="0"/>
              <w:jc w:val="center"/>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5</w:t>
            </w:r>
            <w:r>
              <w:rPr>
                <w:rFonts w:hint="eastAsia" w:ascii="仿宋" w:hAnsi="仿宋" w:eastAsia="仿宋" w:cs="楷体"/>
                <w:color w:val="000000"/>
                <w:sz w:val="24"/>
                <w:szCs w:val="24"/>
                <w:highlight w:val="none"/>
              </w:rPr>
              <w:t>分</w:t>
            </w:r>
          </w:p>
        </w:tc>
        <w:tc>
          <w:tcPr>
            <w:tcW w:w="6593" w:type="dxa"/>
            <w:vAlign w:val="center"/>
          </w:tcPr>
          <w:p>
            <w:pPr>
              <w:adjustRightInd w:val="0"/>
              <w:snapToGrid w:val="0"/>
              <w:rPr>
                <w:rFonts w:hint="eastAsia" w:ascii="仿宋" w:hAnsi="仿宋" w:eastAsia="仿宋" w:cs="楷体"/>
                <w:color w:val="000000"/>
                <w:kern w:val="0"/>
                <w:sz w:val="24"/>
                <w:highlight w:val="none"/>
              </w:rPr>
            </w:pPr>
            <w:r>
              <w:rPr>
                <w:rFonts w:hint="eastAsia" w:ascii="仿宋" w:hAnsi="仿宋" w:eastAsia="仿宋" w:cs="楷体"/>
                <w:color w:val="000000"/>
                <w:kern w:val="0"/>
                <w:sz w:val="24"/>
                <w:highlight w:val="none"/>
                <w:lang w:val="en-US" w:eastAsia="zh-CN"/>
              </w:rPr>
              <w:t>1、</w:t>
            </w:r>
            <w:r>
              <w:rPr>
                <w:rFonts w:hint="eastAsia" w:ascii="仿宋" w:hAnsi="仿宋" w:eastAsia="仿宋" w:cs="楷体"/>
                <w:color w:val="000000"/>
                <w:kern w:val="0"/>
                <w:sz w:val="24"/>
                <w:highlight w:val="none"/>
              </w:rPr>
              <w:t>针对各类检查和突发性公卫事件等任务的应急方案及措施的全面性、针对性评分。</w:t>
            </w:r>
          </w:p>
          <w:p>
            <w:pPr>
              <w:adjustRightInd w:val="0"/>
              <w:snapToGrid w:val="0"/>
              <w:rPr>
                <w:rFonts w:hint="eastAsia" w:ascii="仿宋" w:hAnsi="仿宋" w:eastAsia="仿宋" w:cs="楷体"/>
                <w:color w:val="000000"/>
                <w:kern w:val="0"/>
                <w:sz w:val="24"/>
                <w:highlight w:val="none"/>
              </w:rPr>
            </w:pPr>
            <w:r>
              <w:rPr>
                <w:rFonts w:hint="eastAsia" w:ascii="仿宋" w:hAnsi="仿宋" w:eastAsia="仿宋" w:cs="楷体"/>
                <w:color w:val="000000"/>
                <w:kern w:val="0"/>
                <w:sz w:val="24"/>
                <w:highlight w:val="none"/>
              </w:rPr>
              <w:t>1）管理区域内安全防范措施、消防、抗台、抗震等紧急预案；</w:t>
            </w:r>
          </w:p>
          <w:p>
            <w:pPr>
              <w:adjustRightInd w:val="0"/>
              <w:snapToGrid w:val="0"/>
              <w:rPr>
                <w:rFonts w:hint="eastAsia" w:ascii="仿宋" w:hAnsi="仿宋" w:eastAsia="仿宋" w:cs="楷体"/>
                <w:color w:val="000000"/>
                <w:kern w:val="0"/>
                <w:sz w:val="24"/>
                <w:highlight w:val="none"/>
                <w:lang w:eastAsia="zh-CN"/>
              </w:rPr>
            </w:pPr>
            <w:r>
              <w:rPr>
                <w:rFonts w:hint="eastAsia" w:ascii="仿宋" w:hAnsi="仿宋" w:eastAsia="仿宋" w:cs="楷体"/>
                <w:color w:val="000000"/>
                <w:kern w:val="0"/>
                <w:sz w:val="24"/>
                <w:highlight w:val="none"/>
              </w:rPr>
              <w:t>2）管理区域内的防盗、防火的安全防范巡查等设备应急检修措施等</w:t>
            </w:r>
            <w:r>
              <w:rPr>
                <w:rFonts w:hint="eastAsia" w:ascii="仿宋" w:hAnsi="仿宋" w:eastAsia="仿宋" w:cs="楷体"/>
                <w:color w:val="000000"/>
                <w:kern w:val="0"/>
                <w:sz w:val="24"/>
                <w:highlight w:val="none"/>
                <w:lang w:eastAsia="zh-CN"/>
              </w:rPr>
              <w:t>；</w:t>
            </w:r>
          </w:p>
          <w:p>
            <w:pPr>
              <w:adjustRightInd w:val="0"/>
              <w:snapToGrid w:val="0"/>
              <w:rPr>
                <w:rFonts w:hint="eastAsia" w:ascii="仿宋" w:hAnsi="仿宋" w:eastAsia="仿宋" w:cs="楷体"/>
                <w:color w:val="000000"/>
                <w:kern w:val="0"/>
                <w:sz w:val="24"/>
                <w:highlight w:val="none"/>
                <w:lang w:eastAsia="zh-CN"/>
              </w:rPr>
            </w:pPr>
            <w:r>
              <w:rPr>
                <w:rFonts w:hint="eastAsia" w:ascii="仿宋" w:hAnsi="仿宋" w:eastAsia="仿宋" w:cs="楷体"/>
                <w:color w:val="000000"/>
                <w:kern w:val="0"/>
                <w:sz w:val="24"/>
                <w:highlight w:val="none"/>
                <w:lang w:val="en-US" w:eastAsia="zh-CN"/>
              </w:rPr>
              <w:t>3）</w:t>
            </w:r>
            <w:r>
              <w:rPr>
                <w:rFonts w:hint="eastAsia" w:ascii="仿宋" w:hAnsi="仿宋" w:eastAsia="仿宋" w:cs="楷体"/>
                <w:color w:val="000000"/>
                <w:kern w:val="0"/>
                <w:sz w:val="24"/>
                <w:highlight w:val="none"/>
              </w:rPr>
              <w:t>管理区域内</w:t>
            </w:r>
            <w:r>
              <w:rPr>
                <w:rFonts w:hint="eastAsia" w:ascii="仿宋" w:hAnsi="仿宋" w:eastAsia="仿宋" w:cs="楷体"/>
                <w:color w:val="000000"/>
                <w:kern w:val="0"/>
                <w:sz w:val="24"/>
                <w:highlight w:val="none"/>
                <w:lang w:val="en-US" w:eastAsia="zh-CN"/>
              </w:rPr>
              <w:t>新冠疫情防控、防范措施</w:t>
            </w:r>
            <w:r>
              <w:rPr>
                <w:rFonts w:hint="eastAsia" w:ascii="仿宋" w:hAnsi="仿宋" w:eastAsia="仿宋" w:cs="楷体"/>
                <w:color w:val="000000"/>
                <w:kern w:val="0"/>
                <w:sz w:val="24"/>
                <w:highlight w:val="none"/>
                <w:lang w:eastAsia="zh-CN"/>
              </w:rPr>
              <w:t>；</w:t>
            </w:r>
          </w:p>
          <w:p>
            <w:pPr>
              <w:adjustRightInd w:val="0"/>
              <w:snapToGrid w:val="0"/>
              <w:rPr>
                <w:rFonts w:hint="eastAsia" w:ascii="仿宋" w:hAnsi="仿宋" w:eastAsia="仿宋" w:cs="楷体"/>
                <w:color w:val="000000"/>
                <w:kern w:val="0"/>
                <w:sz w:val="24"/>
                <w:highlight w:val="none"/>
                <w:lang w:eastAsia="zh-CN"/>
              </w:rPr>
            </w:pPr>
            <w:r>
              <w:rPr>
                <w:rFonts w:hint="eastAsia" w:ascii="仿宋" w:hAnsi="仿宋" w:eastAsia="仿宋" w:cs="楷体"/>
                <w:color w:val="000000"/>
                <w:kern w:val="0"/>
                <w:sz w:val="24"/>
                <w:highlight w:val="none"/>
                <w:lang w:val="en-US" w:eastAsia="zh-CN"/>
              </w:rPr>
              <w:t>4）</w:t>
            </w:r>
            <w:r>
              <w:rPr>
                <w:rFonts w:hint="eastAsia" w:ascii="仿宋" w:hAnsi="仿宋" w:eastAsia="仿宋" w:cs="楷体"/>
                <w:color w:val="000000"/>
                <w:kern w:val="0"/>
                <w:sz w:val="24"/>
                <w:highlight w:val="none"/>
              </w:rPr>
              <w:t>应急方案各项运送流程合理性</w:t>
            </w:r>
            <w:r>
              <w:rPr>
                <w:rFonts w:hint="eastAsia" w:ascii="仿宋" w:hAnsi="仿宋" w:eastAsia="仿宋" w:cs="楷体"/>
                <w:color w:val="000000"/>
                <w:kern w:val="0"/>
                <w:sz w:val="24"/>
                <w:highlight w:val="none"/>
                <w:lang w:eastAsia="zh-CN"/>
              </w:rPr>
              <w:t>。</w:t>
            </w:r>
          </w:p>
          <w:p>
            <w:pPr>
              <w:adjustRightInd w:val="0"/>
              <w:snapToGrid w:val="0"/>
              <w:rPr>
                <w:rFonts w:ascii="Times New Roman" w:hAnsi="Times New Roman" w:eastAsia="宋体" w:cs="Times New Roman"/>
                <w:color w:val="000000"/>
                <w:kern w:val="2"/>
                <w:sz w:val="21"/>
                <w:szCs w:val="24"/>
                <w:highlight w:val="none"/>
                <w:lang w:val="en-US" w:eastAsia="zh-CN" w:bidi="ar-SA"/>
              </w:rPr>
            </w:pP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kern w:val="0"/>
                <w:sz w:val="24"/>
                <w:highlight w:val="none"/>
              </w:rPr>
              <w:t>1</w:t>
            </w:r>
            <w:r>
              <w:rPr>
                <w:rFonts w:ascii="仿宋" w:hAnsi="仿宋" w:eastAsia="仿宋" w:cs="楷体"/>
                <w:color w:val="000000"/>
                <w:kern w:val="0"/>
                <w:sz w:val="24"/>
                <w:highlight w:val="none"/>
              </w:rPr>
              <w:t>4</w:t>
            </w:r>
          </w:p>
        </w:tc>
        <w:tc>
          <w:tcPr>
            <w:tcW w:w="1302" w:type="dxa"/>
            <w:vAlign w:val="center"/>
          </w:tcPr>
          <w:p>
            <w:pPr>
              <w:ind w:left="-50" w:leftChars="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kern w:val="0"/>
                <w:sz w:val="24"/>
                <w:highlight w:val="none"/>
              </w:rPr>
              <w:t>拟投入本项目设备、工具</w:t>
            </w:r>
          </w:p>
        </w:tc>
        <w:tc>
          <w:tcPr>
            <w:tcW w:w="635" w:type="dxa"/>
            <w:vAlign w:val="center"/>
          </w:tcPr>
          <w:p>
            <w:pPr>
              <w:jc w:val="center"/>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kern w:val="0"/>
                <w:sz w:val="24"/>
                <w:highlight w:val="none"/>
                <w:lang w:val="en-US" w:eastAsia="zh-CN"/>
              </w:rPr>
              <w:t>5</w:t>
            </w:r>
            <w:r>
              <w:rPr>
                <w:rFonts w:hint="eastAsia" w:ascii="仿宋" w:hAnsi="仿宋" w:eastAsia="仿宋" w:cs="楷体"/>
                <w:color w:val="000000"/>
                <w:kern w:val="0"/>
                <w:sz w:val="24"/>
                <w:highlight w:val="none"/>
              </w:rPr>
              <w:t>分</w:t>
            </w:r>
          </w:p>
        </w:tc>
        <w:tc>
          <w:tcPr>
            <w:tcW w:w="6593" w:type="dxa"/>
            <w:vAlign w:val="center"/>
          </w:tcPr>
          <w:p>
            <w:pPr>
              <w:ind w:left="-50" w:leftChars="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kern w:val="0"/>
                <w:sz w:val="24"/>
                <w:highlight w:val="none"/>
              </w:rPr>
              <w:t>根据本项目所能提供的相关机械设备、工具配备情况优劣评分。</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65" w:hRule="atLeast"/>
          <w:jc w:val="center"/>
        </w:trPr>
        <w:tc>
          <w:tcPr>
            <w:tcW w:w="756" w:type="dxa"/>
            <w:vAlign w:val="center"/>
          </w:tcPr>
          <w:p>
            <w:pPr>
              <w:jc w:val="center"/>
              <w:rPr>
                <w:rFonts w:ascii="仿宋" w:hAnsi="仿宋" w:eastAsia="仿宋" w:cs="楷体"/>
                <w:color w:val="000000"/>
                <w:kern w:val="0"/>
                <w:sz w:val="24"/>
                <w:highlight w:val="none"/>
              </w:rPr>
            </w:pPr>
            <w:r>
              <w:rPr>
                <w:rFonts w:hint="eastAsia" w:ascii="仿宋" w:hAnsi="仿宋" w:eastAsia="仿宋" w:cs="楷体"/>
                <w:color w:val="000000"/>
                <w:kern w:val="0"/>
                <w:sz w:val="24"/>
                <w:highlight w:val="none"/>
              </w:rPr>
              <w:t>1</w:t>
            </w:r>
            <w:r>
              <w:rPr>
                <w:rFonts w:ascii="仿宋" w:hAnsi="仿宋" w:eastAsia="仿宋" w:cs="楷体"/>
                <w:color w:val="000000"/>
                <w:kern w:val="0"/>
                <w:sz w:val="24"/>
                <w:highlight w:val="none"/>
              </w:rPr>
              <w:t>5</w:t>
            </w:r>
          </w:p>
        </w:tc>
        <w:tc>
          <w:tcPr>
            <w:tcW w:w="1302" w:type="dxa"/>
            <w:vAlign w:val="center"/>
          </w:tcPr>
          <w:p>
            <w:pPr>
              <w:ind w:left="-50" w:leftChars="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kern w:val="0"/>
                <w:sz w:val="24"/>
                <w:highlight w:val="none"/>
              </w:rPr>
              <w:t>拟投入消耗品</w:t>
            </w:r>
          </w:p>
        </w:tc>
        <w:tc>
          <w:tcPr>
            <w:tcW w:w="635" w:type="dxa"/>
            <w:vAlign w:val="center"/>
          </w:tcPr>
          <w:p>
            <w:pPr>
              <w:ind w:left="-50" w:leftChars="0"/>
              <w:jc w:val="center"/>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kern w:val="0"/>
                <w:sz w:val="24"/>
                <w:highlight w:val="none"/>
                <w:lang w:val="en-US" w:eastAsia="zh-CN"/>
              </w:rPr>
              <w:t>5</w:t>
            </w:r>
            <w:r>
              <w:rPr>
                <w:rFonts w:hint="eastAsia" w:ascii="仿宋" w:hAnsi="仿宋" w:eastAsia="仿宋" w:cs="楷体"/>
                <w:color w:val="000000"/>
                <w:kern w:val="0"/>
                <w:sz w:val="24"/>
                <w:highlight w:val="none"/>
              </w:rPr>
              <w:t>分</w:t>
            </w:r>
          </w:p>
        </w:tc>
        <w:tc>
          <w:tcPr>
            <w:tcW w:w="6593" w:type="dxa"/>
            <w:vAlign w:val="center"/>
          </w:tcPr>
          <w:p>
            <w:pPr>
              <w:ind w:left="-50" w:leftChars="0"/>
              <w:rPr>
                <w:rFonts w:ascii="仿宋" w:hAnsi="仿宋" w:eastAsia="仿宋" w:cs="楷体"/>
                <w:color w:val="000000"/>
                <w:kern w:val="0"/>
                <w:sz w:val="24"/>
                <w:szCs w:val="24"/>
                <w:highlight w:val="none"/>
                <w:lang w:val="en-US" w:eastAsia="zh-CN" w:bidi="ar-SA"/>
              </w:rPr>
            </w:pPr>
            <w:r>
              <w:rPr>
                <w:rFonts w:hint="eastAsia" w:ascii="仿宋" w:hAnsi="仿宋" w:eastAsia="仿宋" w:cs="楷体"/>
                <w:color w:val="000000"/>
                <w:kern w:val="0"/>
                <w:sz w:val="24"/>
                <w:highlight w:val="none"/>
              </w:rPr>
              <w:t>根据投标人拟投入本项目使用的保洁清洁剂、</w:t>
            </w:r>
            <w:r>
              <w:rPr>
                <w:rFonts w:hint="eastAsia" w:ascii="仿宋" w:hAnsi="仿宋" w:eastAsia="仿宋" w:cs="楷体"/>
                <w:color w:val="000000"/>
                <w:kern w:val="0"/>
                <w:sz w:val="24"/>
                <w:highlight w:val="none"/>
                <w:lang w:eastAsia="zh-CN"/>
              </w:rPr>
              <w:t>地巾、抹布、</w:t>
            </w:r>
            <w:r>
              <w:rPr>
                <w:rFonts w:hint="eastAsia" w:ascii="仿宋" w:hAnsi="仿宋" w:eastAsia="仿宋" w:cs="楷体"/>
                <w:color w:val="000000"/>
                <w:kern w:val="0"/>
                <w:sz w:val="24"/>
                <w:highlight w:val="none"/>
              </w:rPr>
              <w:t>地板打蜡剂等消耗品的配置合理性、产品环保性能（需提供的使用说明、性能参数）进行打分，</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952" w:hRule="atLeast"/>
          <w:jc w:val="center"/>
        </w:trPr>
        <w:tc>
          <w:tcPr>
            <w:tcW w:w="756" w:type="dxa"/>
            <w:vAlign w:val="center"/>
          </w:tcPr>
          <w:p>
            <w:pPr>
              <w:jc w:val="center"/>
              <w:rPr>
                <w:rFonts w:ascii="仿宋" w:hAnsi="仿宋" w:eastAsia="仿宋" w:cs="楷体"/>
                <w:color w:val="000000"/>
                <w:kern w:val="0"/>
                <w:sz w:val="24"/>
                <w:highlight w:val="none"/>
              </w:rPr>
            </w:pPr>
            <w:r>
              <w:rPr>
                <w:rFonts w:hint="eastAsia" w:ascii="仿宋" w:hAnsi="仿宋" w:eastAsia="仿宋" w:cs="楷体"/>
                <w:color w:val="000000"/>
                <w:sz w:val="24"/>
                <w:highlight w:val="none"/>
              </w:rPr>
              <w:t>1</w:t>
            </w:r>
            <w:r>
              <w:rPr>
                <w:rFonts w:ascii="仿宋" w:hAnsi="仿宋" w:eastAsia="仿宋" w:cs="楷体"/>
                <w:color w:val="000000"/>
                <w:sz w:val="24"/>
                <w:highlight w:val="none"/>
              </w:rPr>
              <w:t>6</w:t>
            </w:r>
          </w:p>
        </w:tc>
        <w:tc>
          <w:tcPr>
            <w:tcW w:w="1302" w:type="dxa"/>
            <w:vAlign w:val="center"/>
          </w:tcPr>
          <w:p>
            <w:pPr>
              <w:jc w:val="left"/>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sz w:val="24"/>
                <w:highlight w:val="none"/>
              </w:rPr>
              <w:t>服务承诺</w:t>
            </w:r>
          </w:p>
        </w:tc>
        <w:tc>
          <w:tcPr>
            <w:tcW w:w="635" w:type="dxa"/>
            <w:vAlign w:val="center"/>
          </w:tcPr>
          <w:p>
            <w:pPr>
              <w:jc w:val="center"/>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sz w:val="24"/>
                <w:highlight w:val="none"/>
                <w:lang w:val="en-US" w:eastAsia="zh-CN"/>
              </w:rPr>
              <w:t>4</w:t>
            </w:r>
            <w:r>
              <w:rPr>
                <w:rFonts w:hint="eastAsia" w:ascii="仿宋" w:hAnsi="仿宋" w:eastAsia="仿宋" w:cs="楷体"/>
                <w:color w:val="000000"/>
                <w:sz w:val="24"/>
                <w:highlight w:val="none"/>
              </w:rPr>
              <w:t>分</w:t>
            </w:r>
          </w:p>
        </w:tc>
        <w:tc>
          <w:tcPr>
            <w:tcW w:w="6593" w:type="dxa"/>
            <w:vAlign w:val="center"/>
          </w:tcPr>
          <w:p>
            <w:pPr>
              <w:jc w:val="left"/>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sz w:val="24"/>
                <w:highlight w:val="none"/>
              </w:rPr>
              <w:t>根据投标人对招标方在本项目服务内容外对招标人的服务承诺，由评委进行综合评审</w:t>
            </w:r>
            <w:r>
              <w:rPr>
                <w:rFonts w:hint="eastAsia" w:ascii="仿宋" w:hAnsi="仿宋" w:eastAsia="仿宋" w:cs="楷体"/>
                <w:color w:val="000000"/>
                <w:sz w:val="24"/>
                <w:highlight w:val="none"/>
                <w:lang w:eastAsia="zh-CN"/>
              </w:rPr>
              <w:t>，</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r>
              <w:rPr>
                <w:rFonts w:hint="eastAsia" w:ascii="仿宋" w:hAnsi="仿宋" w:eastAsia="仿宋" w:cs="楷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rPr>
              <w:t>1</w:t>
            </w:r>
            <w:r>
              <w:rPr>
                <w:rFonts w:ascii="仿宋" w:hAnsi="仿宋" w:eastAsia="仿宋" w:cs="楷体"/>
                <w:color w:val="000000"/>
                <w:sz w:val="24"/>
                <w:highlight w:val="none"/>
              </w:rPr>
              <w:t>7</w:t>
            </w:r>
          </w:p>
        </w:tc>
        <w:tc>
          <w:tcPr>
            <w:tcW w:w="1302" w:type="dxa"/>
            <w:vAlign w:val="center"/>
          </w:tcPr>
          <w:p>
            <w:pPr>
              <w:jc w:val="left"/>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sz w:val="24"/>
                <w:highlight w:val="none"/>
              </w:rPr>
              <w:t>交接过渡方案</w:t>
            </w:r>
          </w:p>
        </w:tc>
        <w:tc>
          <w:tcPr>
            <w:tcW w:w="635" w:type="dxa"/>
            <w:vAlign w:val="center"/>
          </w:tcPr>
          <w:p>
            <w:pPr>
              <w:jc w:val="center"/>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sz w:val="24"/>
                <w:highlight w:val="none"/>
                <w:lang w:val="en-US" w:eastAsia="zh-CN"/>
              </w:rPr>
              <w:t>5</w:t>
            </w:r>
            <w:r>
              <w:rPr>
                <w:rFonts w:hint="eastAsia" w:ascii="仿宋" w:hAnsi="仿宋" w:eastAsia="仿宋" w:cs="楷体"/>
                <w:color w:val="000000"/>
                <w:sz w:val="24"/>
                <w:highlight w:val="none"/>
              </w:rPr>
              <w:t>分</w:t>
            </w:r>
          </w:p>
        </w:tc>
        <w:tc>
          <w:tcPr>
            <w:tcW w:w="6593" w:type="dxa"/>
            <w:vAlign w:val="center"/>
          </w:tcPr>
          <w:p>
            <w:pPr>
              <w:jc w:val="left"/>
              <w:rPr>
                <w:rFonts w:ascii="仿宋" w:hAnsi="仿宋" w:eastAsia="仿宋" w:cs="楷体"/>
                <w:color w:val="000000"/>
                <w:kern w:val="2"/>
                <w:sz w:val="24"/>
                <w:szCs w:val="24"/>
                <w:highlight w:val="none"/>
                <w:lang w:val="en-US" w:eastAsia="zh-CN" w:bidi="ar-SA"/>
              </w:rPr>
            </w:pPr>
            <w:r>
              <w:rPr>
                <w:rFonts w:hint="eastAsia" w:ascii="仿宋" w:hAnsi="仿宋" w:eastAsia="仿宋" w:cs="楷体"/>
                <w:color w:val="000000"/>
                <w:sz w:val="24"/>
                <w:highlight w:val="none"/>
              </w:rPr>
              <w:t>针对本项目提出的各项工作交接过渡方案，合理性可操作性，由评委进行综合评审，</w:t>
            </w:r>
            <w:r>
              <w:rPr>
                <w:rFonts w:hint="eastAsia" w:ascii="仿宋" w:hAnsi="仿宋" w:eastAsia="仿宋" w:cs="仿宋"/>
                <w:sz w:val="24"/>
                <w:highlight w:val="none"/>
              </w:rPr>
              <w:t>符合的得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分，部分符合的得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少部分符合的得1分，不符合或不提供</w:t>
            </w:r>
            <w:r>
              <w:rPr>
                <w:rFonts w:hint="eastAsia" w:ascii="仿宋" w:hAnsi="仿宋" w:eastAsia="仿宋" w:cs="仿宋"/>
                <w:sz w:val="24"/>
                <w:highlight w:val="none"/>
              </w:rPr>
              <w:t>不得分。</w:t>
            </w:r>
            <w:r>
              <w:rPr>
                <w:rFonts w:hint="eastAsia" w:ascii="仿宋" w:hAnsi="仿宋" w:eastAsia="仿宋" w:cs="楷体"/>
                <w:color w:val="000000"/>
                <w:sz w:val="24"/>
                <w:highlight w:val="none"/>
              </w:rPr>
              <w:t>（无条件配合做出承诺）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2058" w:type="dxa"/>
            <w:gridSpan w:val="2"/>
            <w:vAlign w:val="center"/>
          </w:tcPr>
          <w:p>
            <w:pPr>
              <w:jc w:val="left"/>
              <w:rPr>
                <w:rFonts w:ascii="仿宋" w:hAnsi="仿宋" w:eastAsia="仿宋" w:cs="楷体"/>
                <w:color w:val="000000"/>
                <w:sz w:val="24"/>
                <w:highlight w:val="none"/>
              </w:rPr>
            </w:pPr>
            <w:r>
              <w:rPr>
                <w:rFonts w:hint="eastAsia" w:ascii="仿宋" w:hAnsi="仿宋" w:eastAsia="仿宋" w:cs="楷体"/>
                <w:color w:val="000000"/>
                <w:sz w:val="24"/>
                <w:highlight w:val="none"/>
              </w:rPr>
              <w:t>商务技术得分</w:t>
            </w:r>
          </w:p>
        </w:tc>
        <w:tc>
          <w:tcPr>
            <w:tcW w:w="635" w:type="dxa"/>
            <w:vAlign w:val="center"/>
          </w:tcPr>
          <w:p>
            <w:pPr>
              <w:jc w:val="center"/>
              <w:rPr>
                <w:rFonts w:ascii="仿宋" w:hAnsi="仿宋" w:eastAsia="仿宋" w:cs="楷体"/>
                <w:color w:val="000000"/>
                <w:sz w:val="24"/>
                <w:highlight w:val="none"/>
              </w:rPr>
            </w:pPr>
            <w:r>
              <w:rPr>
                <w:rFonts w:hint="eastAsia" w:ascii="仿宋" w:hAnsi="仿宋" w:eastAsia="仿宋" w:cs="楷体"/>
                <w:color w:val="000000"/>
                <w:sz w:val="24"/>
                <w:highlight w:val="none"/>
                <w:lang w:val="en-US" w:eastAsia="zh-CN"/>
              </w:rPr>
              <w:t>9</w:t>
            </w:r>
            <w:r>
              <w:rPr>
                <w:rFonts w:ascii="仿宋" w:hAnsi="仿宋" w:eastAsia="仿宋" w:cs="楷体"/>
                <w:color w:val="000000"/>
                <w:sz w:val="24"/>
                <w:highlight w:val="none"/>
              </w:rPr>
              <w:t>0</w:t>
            </w:r>
            <w:r>
              <w:rPr>
                <w:rFonts w:hint="eastAsia" w:ascii="仿宋" w:hAnsi="仿宋" w:eastAsia="仿宋" w:cs="楷体"/>
                <w:color w:val="000000"/>
                <w:sz w:val="24"/>
                <w:highlight w:val="none"/>
              </w:rPr>
              <w:t>分</w:t>
            </w:r>
          </w:p>
        </w:tc>
        <w:tc>
          <w:tcPr>
            <w:tcW w:w="6593" w:type="dxa"/>
            <w:vAlign w:val="center"/>
          </w:tcPr>
          <w:p>
            <w:pPr>
              <w:jc w:val="left"/>
              <w:rPr>
                <w:rFonts w:ascii="仿宋" w:hAnsi="仿宋" w:eastAsia="仿宋" w:cs="楷体"/>
                <w:color w:val="000000"/>
                <w:sz w:val="24"/>
                <w:highlight w:val="none"/>
              </w:rPr>
            </w:pPr>
          </w:p>
        </w:tc>
      </w:tr>
    </w:tbl>
    <w:p>
      <w:pPr>
        <w:snapToGrid w:val="0"/>
        <w:spacing w:line="360" w:lineRule="auto"/>
        <w:jc w:val="center"/>
        <w:rPr>
          <w:rFonts w:ascii="仿宋" w:hAnsi="仿宋" w:eastAsia="仿宋" w:cs="仿宋_GB2312"/>
          <w:b/>
          <w:color w:val="auto"/>
          <w:sz w:val="32"/>
          <w:szCs w:val="20"/>
          <w:highlight w:val="none"/>
        </w:rPr>
      </w:pPr>
    </w:p>
    <w:p>
      <w:pPr>
        <w:snapToGrid w:val="0"/>
        <w:spacing w:line="360" w:lineRule="auto"/>
        <w:rPr>
          <w:rFonts w:ascii="仿宋_GB2312" w:hAnsi="仿宋" w:eastAsia="仿宋_GB2312" w:cs="仿宋_GB2312"/>
          <w:b/>
          <w:color w:val="auto"/>
          <w:sz w:val="36"/>
          <w:szCs w:val="36"/>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rPr>
          <w:rFonts w:hint="eastAsia" w:eastAsia="仿宋_GB2312"/>
          <w:color w:val="auto"/>
          <w:highlight w:val="none"/>
          <w:lang w:val="en-US" w:eastAsia="zh-CN"/>
        </w:rPr>
      </w:pP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3、商务分+技术分=评标委员会所有成员评分合计数/评标委员会组成人员数</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b/>
          <w:bCs/>
          <w:color w:val="auto"/>
          <w:sz w:val="24"/>
          <w:highlight w:val="none"/>
        </w:rPr>
        <w:t>价格分（</w:t>
      </w: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b/>
          <w:bCs/>
          <w:color w:val="auto"/>
          <w:sz w:val="24"/>
          <w:highlight w:val="none"/>
        </w:rPr>
        <w:t>0分）</w:t>
      </w:r>
      <w:r>
        <w:rPr>
          <w:rFonts w:hint="eastAsia" w:ascii="仿宋_GB2312" w:hAnsi="仿宋_GB2312" w:eastAsia="仿宋_GB2312" w:cs="仿宋_GB2312"/>
          <w:color w:val="auto"/>
          <w:sz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价格分=（评标基准价/投标报价）×</w:t>
      </w: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b/>
          <w:bCs/>
          <w:color w:val="auto"/>
          <w:sz w:val="24"/>
          <w:highlight w:val="none"/>
        </w:rPr>
        <w:t>0%×100；</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因落实政府采购政策进行价格调整的，以调整后的价格计算评标基准价和投标报价。</w:t>
      </w:r>
    </w:p>
    <w:p>
      <w:pPr>
        <w:snapToGrid w:val="0"/>
        <w:spacing w:line="360" w:lineRule="auto"/>
        <w:ind w:firstLine="482"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5、投标人评标综合得分=价格分+商务分+技术分</w:t>
      </w:r>
    </w:p>
    <w:p>
      <w:pPr>
        <w:pStyle w:val="619"/>
        <w:snapToGrid w:val="0"/>
        <w:ind w:left="480" w:firstLine="0" w:firstLineChars="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注：以上所涉及的证明材料，需提供扫描件制作进投标响应文件内，未提供的不得分。</w:t>
      </w:r>
    </w:p>
    <w:p>
      <w:pPr>
        <w:snapToGrid w:val="0"/>
        <w:spacing w:line="360" w:lineRule="auto"/>
        <w:ind w:firstLine="472"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报价是中标的一个重要因素，但最低报价不是中标的唯一依据。</w:t>
      </w:r>
    </w:p>
    <w:p>
      <w:pPr>
        <w:snapToGrid w:val="0"/>
        <w:spacing w:line="360" w:lineRule="auto"/>
        <w:ind w:firstLine="472" w:firstLineChars="196"/>
        <w:rPr>
          <w:rFonts w:hint="eastAsia" w:ascii="仿宋_GB2312" w:hAnsi="仿宋_GB2312" w:eastAsia="仿宋_GB2312" w:cs="仿宋_GB2312"/>
          <w:b/>
          <w:color w:val="auto"/>
          <w:sz w:val="24"/>
          <w:highlight w:val="none"/>
        </w:rPr>
      </w:pP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注：根据浙江省财政厅、浙江省中小企业局转发财政部、工业和信息化部关于印发《政府采购促进中小企业发展暂行办法》的通知（浙财采监[2012]11号），</w:t>
      </w:r>
      <w:r>
        <w:rPr>
          <w:rFonts w:hint="eastAsia" w:ascii="仿宋_GB2312" w:hAnsi="仿宋_GB2312" w:eastAsia="仿宋_GB2312" w:cs="仿宋_GB2312"/>
          <w:b/>
          <w:bCs/>
          <w:color w:val="auto"/>
          <w:sz w:val="24"/>
          <w:highlight w:val="none"/>
        </w:rPr>
        <w:t>对小型或微型企业</w:t>
      </w:r>
      <w:r>
        <w:rPr>
          <w:rFonts w:hint="eastAsia" w:ascii="仿宋_GB2312" w:hAnsi="仿宋_GB2312" w:eastAsia="仿宋_GB2312" w:cs="仿宋_GB2312"/>
          <w:color w:val="auto"/>
          <w:sz w:val="24"/>
          <w:highlight w:val="none"/>
        </w:rPr>
        <w:t>的投标报价给予</w:t>
      </w:r>
      <w:r>
        <w:rPr>
          <w:rFonts w:hint="eastAsia" w:ascii="仿宋_GB2312" w:hAnsi="仿宋_GB2312" w:eastAsia="仿宋_GB2312" w:cs="仿宋_GB2312"/>
          <w:b/>
          <w:bCs/>
          <w:color w:val="auto"/>
          <w:sz w:val="24"/>
          <w:highlight w:val="none"/>
          <w:u w:val="single"/>
          <w:lang w:val="en-US" w:eastAsia="zh-CN"/>
        </w:rPr>
        <w:t>20</w:t>
      </w:r>
      <w:r>
        <w:rPr>
          <w:rFonts w:hint="eastAsia" w:ascii="仿宋_GB2312" w:hAnsi="仿宋_GB2312" w:eastAsia="仿宋_GB2312" w:cs="仿宋_GB2312"/>
          <w:b/>
          <w:bCs/>
          <w:color w:val="auto"/>
          <w:sz w:val="24"/>
          <w:highlight w:val="none"/>
          <w:u w:val="single"/>
        </w:rPr>
        <w:t>%</w:t>
      </w:r>
      <w:r>
        <w:rPr>
          <w:rFonts w:hint="eastAsia" w:ascii="仿宋_GB2312" w:hAnsi="仿宋_GB2312" w:eastAsia="仿宋_GB2312" w:cs="仿宋_GB2312"/>
          <w:color w:val="auto"/>
          <w:sz w:val="24"/>
          <w:highlight w:val="none"/>
        </w:rPr>
        <w:t>的扣除，并用扣除后的价格计算价格评分。同时符合以下所有要求的投标人被认定为小型、微型企业：</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（2）投标人所投标项内产品均为小型、微型企业提供的服务【注：按《关于印发中小企业划型标准规定的通知》中“租赁和商务服务业”规定提供制造商出具的《中小企业声明函》】。</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（3）联合体参加投标的，联合协议中约定，小型、微型企业的协议合同金额占到联合体协议合同总金额30%以上的，投标报价给予</w:t>
      </w:r>
      <w:r>
        <w:rPr>
          <w:rFonts w:hint="eastAsia" w:ascii="仿宋_GB2312" w:hAnsi="仿宋_GB2312" w:eastAsia="仿宋_GB2312" w:cs="仿宋_GB2312"/>
          <w:color w:val="auto"/>
          <w:sz w:val="24"/>
          <w:highlight w:val="none"/>
          <w:u w:val="single"/>
          <w:lang w:val="en-US" w:eastAsia="zh-CN"/>
        </w:rPr>
        <w:t>6</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的扣除，并用扣除后的价格计算价格评分；如联合体各方均为小型、微型企业的，提供本企业生产的产品或提供其他小型、微型企业的产品的，投标报价给予</w:t>
      </w:r>
      <w:r>
        <w:rPr>
          <w:rFonts w:hint="eastAsia" w:ascii="仿宋_GB2312" w:hAnsi="仿宋_GB2312" w:eastAsia="仿宋_GB2312" w:cs="仿宋_GB2312"/>
          <w:color w:val="auto"/>
          <w:sz w:val="24"/>
          <w:highlight w:val="none"/>
          <w:u w:val="single"/>
          <w:lang w:val="en-US" w:eastAsia="zh-CN"/>
        </w:rPr>
        <w:t>20</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监狱企业视同小微企业，参加本项目投标的，享受小微企业同等的价格扣除。【注：提供《监狱企业声明函》】。</w:t>
      </w:r>
    </w:p>
    <w:p>
      <w:pPr>
        <w:pStyle w:val="475"/>
        <w:spacing w:line="360" w:lineRule="auto"/>
        <w:ind w:left="360" w:firstLine="0" w:firstLineChars="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（5）残疾人福利性单位参加投标【提供《残疾人福利性单位声明函》】，视为小型、微型企业，享受小微企业政策扶持。</w:t>
      </w:r>
    </w:p>
    <w:p>
      <w:pPr>
        <w:adjustRightInd/>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r>
        <w:rPr>
          <w:rFonts w:hint="eastAsia" w:ascii="仿宋_GB2312" w:hAnsi="仿宋" w:eastAsia="仿宋_GB2312" w:cs="Arial"/>
          <w:b/>
          <w:bCs/>
          <w:color w:val="auto"/>
          <w:kern w:val="0"/>
          <w:sz w:val="24"/>
          <w:highlight w:val="none"/>
        </w:rPr>
        <w:t>评审小组成员个人主观打分偏离所有评审小组成员主观打分平均值30%以上的，由评委会启动评分畸高、畸低行为认定程序。</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88"/>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3.4.1.1投标文件中开标一览表(报价表)内容与投标文件中相应内容不一致的，以开标一览表(报价表)为准;</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3.4.1.2大写金额和小写金额不一致的，以大写金额为准;</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3.4.1.3单价金额小数点或者百分比有明显错位的，以开标一览表的总价为准，并修改单价;</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3.4.1.4总价金额与按单价汇总金额不一致的，以单价金额计算结果为准。</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3.4.3投标报价超过招标文件中规定的预算金额或者最高限价的，投标无效。</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color w:val="auto"/>
          <w:kern w:val="0"/>
          <w:szCs w:val="24"/>
          <w:highlight w:val="none"/>
          <w:lang w:val="en-US" w:eastAsia="zh-CN"/>
        </w:rPr>
        <w:t>2</w:t>
      </w:r>
      <w:r>
        <w:rPr>
          <w:rFonts w:hint="eastAsia" w:ascii="仿宋_GB2312" w:hAnsi="仿宋_GB2312" w:eastAsia="仿宋_GB2312" w:cs="仿宋_GB2312"/>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auto"/>
          <w:kern w:val="0"/>
          <w:szCs w:val="24"/>
          <w:highlight w:val="none"/>
          <w:lang w:val="en-US" w:eastAsia="zh-CN"/>
        </w:rPr>
        <w:t>6</w:t>
      </w:r>
      <w:r>
        <w:rPr>
          <w:rFonts w:hint="eastAsia" w:ascii="仿宋_GB2312" w:hAnsi="仿宋_GB2312" w:eastAsia="仿宋_GB2312" w:cs="仿宋_GB2312"/>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88"/>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4"/>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7"/>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bookmarkEnd w:id="26"/>
      <w:bookmarkStart w:id="28" w:name="第五部分"/>
      <w:bookmarkStart w:id="29" w:name="_Toc86217003"/>
    </w:p>
    <w:p>
      <w:pPr>
        <w:pStyle w:val="27"/>
        <w:snapToGrid w:val="0"/>
        <w:spacing w:line="360" w:lineRule="auto"/>
        <w:ind w:left="0" w:leftChars="0" w:firstLine="0" w:firstLineChars="0"/>
        <w:rPr>
          <w:rFonts w:hint="eastAsia" w:ascii="仿宋_GB2312" w:hAnsi="仿宋" w:eastAsia="仿宋_GB2312" w:cs="仿宋_GB2312"/>
          <w:color w:val="auto"/>
          <w:highlight w:val="none"/>
          <w:lang w:val="en-US" w:eastAsia="zh-CN"/>
        </w:rPr>
      </w:pPr>
    </w:p>
    <w:p>
      <w:pPr>
        <w:pStyle w:val="27"/>
        <w:snapToGrid w:val="0"/>
        <w:spacing w:line="360" w:lineRule="auto"/>
        <w:ind w:left="0" w:leftChars="0" w:firstLine="0" w:firstLineChars="0"/>
        <w:rPr>
          <w:rFonts w:hint="eastAsia" w:ascii="仿宋_GB2312" w:hAnsi="仿宋" w:eastAsia="仿宋_GB2312" w:cs="仿宋_GB2312"/>
          <w:color w:val="auto"/>
          <w:highlight w:val="none"/>
          <w:lang w:val="en-US" w:eastAsia="zh-CN"/>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outlineLvl w:val="0"/>
        <w:rPr>
          <w:rFonts w:hint="eastAsia" w:ascii="仿宋_GB2312" w:hAnsi="仿宋" w:eastAsia="仿宋_GB2312" w:cs="仿宋_GB2312"/>
          <w:b/>
          <w:color w:val="auto"/>
          <w:sz w:val="36"/>
          <w:szCs w:val="36"/>
          <w:highlight w:val="none"/>
        </w:rPr>
      </w:pPr>
    </w:p>
    <w:p>
      <w:pPr>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autoSpaceDE w:val="0"/>
        <w:autoSpaceDN w:val="0"/>
        <w:snapToGrid w:val="0"/>
        <w:spacing w:line="360" w:lineRule="auto"/>
        <w:ind w:firstLine="436" w:firstLineChars="182"/>
        <w:rPr>
          <w:rFonts w:hint="eastAsia" w:ascii="华文仿宋" w:hAnsi="华文仿宋" w:eastAsia="华文仿宋" w:cs="华文仿宋"/>
          <w:color w:val="auto"/>
          <w:sz w:val="24"/>
          <w:highlight w:val="none"/>
          <w:lang w:eastAsia="zh-CN"/>
        </w:rPr>
      </w:pPr>
      <w:bookmarkStart w:id="30" w:name="_Toc331685783"/>
      <w:r>
        <w:rPr>
          <w:rFonts w:hint="eastAsia" w:ascii="华文仿宋" w:hAnsi="华文仿宋" w:eastAsia="华文仿宋" w:cs="华文仿宋"/>
          <w:color w:val="auto"/>
          <w:sz w:val="24"/>
          <w:highlight w:val="none"/>
        </w:rPr>
        <w:t>项目名称：</w:t>
      </w:r>
    </w:p>
    <w:p>
      <w:pPr>
        <w:pStyle w:val="35"/>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rPr>
        <w:t>招标编号：</w:t>
      </w:r>
    </w:p>
    <w:p>
      <w:pPr>
        <w:pStyle w:val="35"/>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rPr>
        <w:t>甲方：</w:t>
      </w:r>
    </w:p>
    <w:p>
      <w:pPr>
        <w:snapToGrid w:val="0"/>
        <w:spacing w:line="360" w:lineRule="auto"/>
        <w:ind w:firstLine="480" w:firstLineChars="200"/>
        <w:jc w:val="left"/>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乙方：</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甲、乙双方根据</w:t>
      </w:r>
      <w:r>
        <w:rPr>
          <w:rFonts w:hint="eastAsia" w:ascii="华文仿宋" w:hAnsi="华文仿宋" w:eastAsia="华文仿宋" w:cs="华文仿宋"/>
          <w:color w:val="auto"/>
          <w:sz w:val="24"/>
          <w:highlight w:val="none"/>
          <w:u w:val="single"/>
          <w:lang w:eastAsia="zh-CN"/>
        </w:rPr>
        <w:t>（</w:t>
      </w:r>
      <w:r>
        <w:rPr>
          <w:rFonts w:hint="eastAsia" w:ascii="华文仿宋" w:hAnsi="华文仿宋" w:eastAsia="华文仿宋" w:cs="华文仿宋"/>
          <w:color w:val="auto"/>
          <w:sz w:val="24"/>
          <w:highlight w:val="none"/>
          <w:u w:val="single"/>
          <w:lang w:val="en-US" w:eastAsia="zh-CN"/>
        </w:rPr>
        <w:t>招标项目名称</w:t>
      </w:r>
      <w:r>
        <w:rPr>
          <w:rFonts w:hint="eastAsia" w:ascii="华文仿宋" w:hAnsi="华文仿宋" w:eastAsia="华文仿宋" w:cs="华文仿宋"/>
          <w:color w:val="auto"/>
          <w:sz w:val="24"/>
          <w:highlight w:val="none"/>
          <w:u w:val="single"/>
          <w:lang w:eastAsia="zh-CN"/>
        </w:rPr>
        <w:t>）（</w:t>
      </w:r>
      <w:r>
        <w:rPr>
          <w:rFonts w:hint="eastAsia" w:ascii="华文仿宋" w:hAnsi="华文仿宋" w:eastAsia="华文仿宋" w:cs="华文仿宋"/>
          <w:color w:val="auto"/>
          <w:sz w:val="24"/>
          <w:highlight w:val="none"/>
          <w:u w:val="single"/>
          <w:lang w:val="en-US" w:eastAsia="zh-CN"/>
        </w:rPr>
        <w:t>招标项目编号</w:t>
      </w:r>
      <w:r>
        <w:rPr>
          <w:rFonts w:hint="eastAsia" w:ascii="华文仿宋" w:hAnsi="华文仿宋" w:eastAsia="华文仿宋" w:cs="华文仿宋"/>
          <w:color w:val="auto"/>
          <w:sz w:val="24"/>
          <w:highlight w:val="none"/>
          <w:u w:val="single"/>
          <w:lang w:eastAsia="zh-CN"/>
        </w:rPr>
        <w:t>：                       ）</w:t>
      </w:r>
      <w:r>
        <w:rPr>
          <w:rFonts w:hint="eastAsia" w:ascii="华文仿宋" w:hAnsi="华文仿宋" w:eastAsia="华文仿宋" w:cs="华文仿宋"/>
          <w:color w:val="auto"/>
          <w:sz w:val="24"/>
          <w:highlight w:val="none"/>
          <w:lang w:eastAsia="zh-CN"/>
        </w:rPr>
        <w:t>政府采购</w:t>
      </w:r>
      <w:r>
        <w:rPr>
          <w:rFonts w:hint="eastAsia" w:ascii="华文仿宋" w:hAnsi="华文仿宋" w:eastAsia="华文仿宋" w:cs="华文仿宋"/>
          <w:color w:val="auto"/>
          <w:sz w:val="24"/>
          <w:szCs w:val="24"/>
          <w:highlight w:val="none"/>
          <w:lang w:eastAsia="zh-CN"/>
        </w:rPr>
        <w:t>公开招标的结果，签署本合同。</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一、服务内容</w:t>
      </w:r>
    </w:p>
    <w:p>
      <w:pPr>
        <w:adjustRightInd w:val="0"/>
        <w:snapToGrid w:val="0"/>
        <w:spacing w:line="336"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u w:val="single"/>
          <w:lang w:eastAsia="zh-CN"/>
        </w:rPr>
        <w:t>（</w:t>
      </w:r>
      <w:r>
        <w:rPr>
          <w:rFonts w:hint="eastAsia" w:ascii="华文仿宋" w:hAnsi="华文仿宋" w:eastAsia="华文仿宋" w:cs="华文仿宋"/>
          <w:color w:val="auto"/>
          <w:sz w:val="24"/>
          <w:highlight w:val="none"/>
          <w:u w:val="single"/>
          <w:lang w:val="en-US" w:eastAsia="zh-CN"/>
        </w:rPr>
        <w:t>招标项目名称</w:t>
      </w:r>
      <w:r>
        <w:rPr>
          <w:rFonts w:hint="eastAsia" w:ascii="华文仿宋" w:hAnsi="华文仿宋" w:eastAsia="华文仿宋" w:cs="华文仿宋"/>
          <w:color w:val="auto"/>
          <w:sz w:val="24"/>
          <w:highlight w:val="none"/>
          <w:u w:val="single"/>
          <w:lang w:eastAsia="zh-CN"/>
        </w:rPr>
        <w:t>）</w:t>
      </w:r>
      <w:r>
        <w:rPr>
          <w:rFonts w:hint="eastAsia" w:ascii="华文仿宋" w:hAnsi="华文仿宋" w:eastAsia="华文仿宋" w:cs="华文仿宋"/>
          <w:color w:val="auto"/>
          <w:sz w:val="24"/>
          <w:highlight w:val="none"/>
        </w:rPr>
        <w:t>，具体内容和相关要求详见招标文件</w:t>
      </w:r>
      <w:r>
        <w:rPr>
          <w:rFonts w:hint="eastAsia" w:ascii="华文仿宋" w:hAnsi="华文仿宋" w:eastAsia="华文仿宋" w:cs="华文仿宋"/>
          <w:color w:val="auto"/>
          <w:sz w:val="24"/>
          <w:highlight w:val="none"/>
          <w:lang w:val="en-US" w:eastAsia="zh-CN"/>
        </w:rPr>
        <w:t>招标文件</w:t>
      </w:r>
      <w:r>
        <w:rPr>
          <w:rFonts w:hint="eastAsia" w:ascii="华文仿宋" w:hAnsi="华文仿宋" w:eastAsia="华文仿宋" w:cs="华文仿宋"/>
          <w:color w:val="auto"/>
          <w:sz w:val="24"/>
          <w:highlight w:val="none"/>
        </w:rPr>
        <w:t>“</w:t>
      </w:r>
      <w:r>
        <w:rPr>
          <w:rFonts w:hint="eastAsia" w:ascii="华文仿宋" w:hAnsi="华文仿宋" w:eastAsia="华文仿宋" w:cs="华文仿宋"/>
          <w:color w:val="auto"/>
          <w:kern w:val="0"/>
          <w:sz w:val="24"/>
          <w:highlight w:val="none"/>
        </w:rPr>
        <w:t>第三部分”</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二、</w:t>
      </w:r>
      <w:r>
        <w:rPr>
          <w:rFonts w:hint="eastAsia" w:ascii="华文仿宋" w:hAnsi="华文仿宋" w:eastAsia="华文仿宋" w:cs="华文仿宋"/>
          <w:b/>
          <w:bCs/>
          <w:color w:val="auto"/>
          <w:sz w:val="24"/>
          <w:highlight w:val="none"/>
          <w:lang w:eastAsia="zh-CN" w:bidi="en-US"/>
        </w:rPr>
        <w:t>服务时间要求</w:t>
      </w:r>
    </w:p>
    <w:p>
      <w:pPr>
        <w:pStyle w:val="167"/>
        <w:snapToGrid w:val="0"/>
        <w:spacing w:line="360" w:lineRule="auto"/>
        <w:ind w:firstLine="480" w:firstLineChars="200"/>
        <w:rPr>
          <w:rFonts w:hint="eastAsia" w:ascii="华文仿宋" w:hAnsi="华文仿宋" w:eastAsia="华文仿宋" w:cs="华文仿宋"/>
          <w:bCs/>
          <w:color w:val="auto"/>
          <w:sz w:val="24"/>
          <w:szCs w:val="24"/>
          <w:highlight w:val="none"/>
          <w:lang w:eastAsia="zh-CN"/>
        </w:rPr>
      </w:pPr>
      <w:r>
        <w:rPr>
          <w:rFonts w:hint="eastAsia" w:ascii="华文仿宋" w:hAnsi="华文仿宋" w:eastAsia="华文仿宋" w:cs="华文仿宋"/>
          <w:bCs/>
          <w:color w:val="auto"/>
          <w:sz w:val="24"/>
          <w:szCs w:val="24"/>
          <w:highlight w:val="none"/>
          <w:lang w:eastAsia="zh-CN"/>
        </w:rPr>
        <w:t>以招标文件约定。</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二、合同金额</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标项</w:t>
      </w:r>
      <w:r>
        <w:rPr>
          <w:rFonts w:hint="eastAsia" w:ascii="华文仿宋" w:hAnsi="华文仿宋" w:eastAsia="华文仿宋" w:cs="华文仿宋"/>
          <w:color w:val="auto"/>
          <w:sz w:val="24"/>
          <w:szCs w:val="24"/>
          <w:highlight w:val="none"/>
          <w:u w:val="single"/>
          <w:lang w:eastAsia="zh-CN"/>
        </w:rPr>
        <w:t xml:space="preserve">    </w:t>
      </w:r>
      <w:r>
        <w:rPr>
          <w:rFonts w:hint="eastAsia" w:ascii="华文仿宋" w:hAnsi="华文仿宋" w:eastAsia="华文仿宋" w:cs="华文仿宋"/>
          <w:color w:val="auto"/>
          <w:sz w:val="24"/>
          <w:szCs w:val="24"/>
          <w:highlight w:val="none"/>
          <w:lang w:eastAsia="zh-CN"/>
        </w:rPr>
        <w:t>合同金额为（大写）</w:t>
      </w:r>
      <w:r>
        <w:rPr>
          <w:rFonts w:hint="eastAsia" w:ascii="华文仿宋" w:hAnsi="华文仿宋" w:eastAsia="华文仿宋" w:cs="华文仿宋"/>
          <w:color w:val="auto"/>
          <w:sz w:val="24"/>
          <w:szCs w:val="24"/>
          <w:highlight w:val="none"/>
          <w:u w:val="single"/>
          <w:lang w:eastAsia="zh-CN"/>
        </w:rPr>
        <w:t xml:space="preserve">            </w:t>
      </w:r>
      <w:r>
        <w:rPr>
          <w:rFonts w:hint="eastAsia" w:ascii="华文仿宋" w:hAnsi="华文仿宋" w:eastAsia="华文仿宋" w:cs="华文仿宋"/>
          <w:color w:val="auto"/>
          <w:sz w:val="24"/>
          <w:szCs w:val="24"/>
          <w:highlight w:val="none"/>
          <w:lang w:eastAsia="zh-CN"/>
        </w:rPr>
        <w:t>元（￥</w:t>
      </w:r>
      <w:r>
        <w:rPr>
          <w:rFonts w:hint="eastAsia" w:ascii="华文仿宋" w:hAnsi="华文仿宋" w:eastAsia="华文仿宋" w:cs="华文仿宋"/>
          <w:color w:val="auto"/>
          <w:sz w:val="24"/>
          <w:szCs w:val="24"/>
          <w:highlight w:val="none"/>
          <w:u w:val="single"/>
          <w:lang w:eastAsia="zh-CN"/>
        </w:rPr>
        <w:t xml:space="preserve">        </w:t>
      </w:r>
      <w:r>
        <w:rPr>
          <w:rFonts w:hint="eastAsia" w:ascii="华文仿宋" w:hAnsi="华文仿宋" w:eastAsia="华文仿宋" w:cs="华文仿宋"/>
          <w:color w:val="auto"/>
          <w:sz w:val="24"/>
          <w:szCs w:val="24"/>
          <w:highlight w:val="none"/>
          <w:lang w:eastAsia="zh-CN"/>
        </w:rPr>
        <w:t>元）人民币。</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三、技术资料</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1、乙方应按招标文件规定的时间向甲方提供有关技术资料。</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四、知识产权</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乙方应保证提供服务过程中不会侵犯任何第三方的知识产权。</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五、履约保证金</w:t>
      </w:r>
    </w:p>
    <w:p>
      <w:pPr>
        <w:pStyle w:val="167"/>
        <w:snapToGrid w:val="0"/>
        <w:spacing w:line="360" w:lineRule="auto"/>
        <w:ind w:firstLine="480" w:firstLineChars="200"/>
        <w:rPr>
          <w:rFonts w:hint="eastAsia" w:ascii="华文仿宋" w:hAnsi="华文仿宋" w:eastAsia="华文仿宋" w:cs="华文仿宋"/>
          <w:bCs/>
          <w:color w:val="auto"/>
          <w:sz w:val="24"/>
          <w:szCs w:val="24"/>
          <w:highlight w:val="none"/>
          <w:lang w:eastAsia="zh-CN"/>
        </w:rPr>
      </w:pPr>
      <w:r>
        <w:rPr>
          <w:rFonts w:hint="eastAsia" w:ascii="华文仿宋" w:hAnsi="华文仿宋" w:eastAsia="华文仿宋" w:cs="华文仿宋"/>
          <w:bCs/>
          <w:color w:val="auto"/>
          <w:sz w:val="24"/>
          <w:szCs w:val="24"/>
          <w:highlight w:val="none"/>
          <w:lang w:eastAsia="zh-CN"/>
        </w:rPr>
        <w:t>以招标文件约定。</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六、转包或分包</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1、本合同范围的服务，应由乙方直接供应，不得转让他人供应；</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2、除非得到甲方的书面同意，乙方不得将本合同范围的服务全部或部分分包给他人供应；</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3、如有转让和未经甲方同意的分包行为，甲方有权解除合同，没收履约保证金并追究乙方的违约责任。</w:t>
      </w:r>
    </w:p>
    <w:p>
      <w:pPr>
        <w:pStyle w:val="167"/>
        <w:snapToGrid w:val="0"/>
        <w:spacing w:line="360" w:lineRule="auto"/>
        <w:ind w:firstLine="482"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七、合同履行时间、履行方式及履行地点</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1、履行时间：   ；</w:t>
      </w:r>
    </w:p>
    <w:p>
      <w:pPr>
        <w:pStyle w:val="167"/>
        <w:snapToGrid w:val="0"/>
        <w:spacing w:line="360" w:lineRule="auto"/>
        <w:ind w:firstLine="480" w:firstLineChars="200"/>
        <w:rPr>
          <w:rFonts w:hint="eastAsia" w:ascii="华文仿宋" w:hAnsi="华文仿宋" w:eastAsia="华文仿宋" w:cs="华文仿宋"/>
          <w:color w:val="auto"/>
          <w:sz w:val="24"/>
          <w:highlight w:val="none"/>
          <w:lang w:eastAsia="zh-CN"/>
        </w:rPr>
      </w:pPr>
      <w:r>
        <w:rPr>
          <w:rFonts w:hint="eastAsia" w:ascii="华文仿宋" w:hAnsi="华文仿宋" w:eastAsia="华文仿宋" w:cs="华文仿宋"/>
          <w:color w:val="auto"/>
          <w:sz w:val="24"/>
          <w:szCs w:val="24"/>
          <w:highlight w:val="none"/>
          <w:lang w:eastAsia="zh-CN"/>
        </w:rPr>
        <w:t>2、</w:t>
      </w:r>
      <w:r>
        <w:rPr>
          <w:rFonts w:hint="eastAsia" w:ascii="华文仿宋" w:hAnsi="华文仿宋" w:eastAsia="华文仿宋" w:cs="华文仿宋"/>
          <w:color w:val="auto"/>
          <w:sz w:val="24"/>
          <w:highlight w:val="none"/>
          <w:lang w:eastAsia="zh-CN"/>
        </w:rPr>
        <w:t>履行地点：    。</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八、款项支付</w:t>
      </w:r>
    </w:p>
    <w:p>
      <w:pPr>
        <w:autoSpaceDE w:val="0"/>
        <w:autoSpaceDN w:val="0"/>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合同签订后支付合同总额的30%，中标供应商完成</w:t>
      </w:r>
      <w:r>
        <w:rPr>
          <w:rFonts w:hint="eastAsia" w:ascii="华文仿宋" w:hAnsi="华文仿宋" w:eastAsia="华文仿宋" w:cs="华文仿宋"/>
          <w:color w:val="auto"/>
          <w:sz w:val="24"/>
          <w:highlight w:val="none"/>
          <w:lang w:val="en-US" w:eastAsia="zh-CN"/>
        </w:rPr>
        <w:t>服务</w:t>
      </w:r>
      <w:r>
        <w:rPr>
          <w:rFonts w:hint="eastAsia" w:ascii="华文仿宋" w:hAnsi="华文仿宋" w:eastAsia="华文仿宋" w:cs="华文仿宋"/>
          <w:color w:val="auto"/>
          <w:sz w:val="24"/>
          <w:highlight w:val="none"/>
        </w:rPr>
        <w:t>，经采购人验收通过后，付清余款。</w:t>
      </w:r>
    </w:p>
    <w:p>
      <w:pPr>
        <w:autoSpaceDE w:val="0"/>
        <w:autoSpaceDN w:val="0"/>
        <w:snapToGrid w:val="0"/>
        <w:spacing w:line="360" w:lineRule="auto"/>
        <w:ind w:firstLine="482" w:firstLineChars="200"/>
        <w:rPr>
          <w:rFonts w:hint="eastAsia" w:ascii="华文仿宋" w:hAnsi="华文仿宋" w:eastAsia="华文仿宋" w:cs="华文仿宋"/>
          <w:b/>
          <w:color w:val="auto"/>
          <w:sz w:val="24"/>
          <w:highlight w:val="none"/>
        </w:rPr>
      </w:pPr>
      <w:r>
        <w:rPr>
          <w:rFonts w:hint="eastAsia" w:ascii="华文仿宋" w:hAnsi="华文仿宋" w:eastAsia="华文仿宋" w:cs="华文仿宋"/>
          <w:b/>
          <w:color w:val="auto"/>
          <w:sz w:val="24"/>
          <w:highlight w:val="none"/>
        </w:rPr>
        <w:t>九、税费</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本合同执行中相关的一切税费均由乙方负担。</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十、质量保证及后续服务</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1、乙方应按招标文件规定向甲方提供服务。</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2、乙方提供的服务成果在服务质量保证期内发生故障，乙方应负责免费提供后续服务。对达不到要求者，根据实际情况，经双方协商，可按以下办法处理：</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（1）重做：由乙方承担所发生的全部费用。</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（2）解除合同。</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3、在服务质量保证期内，乙方应对出现的质量及安全问题负责处理解决并承担一切费用。</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十一、违约责任</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1、甲方无正当理由拒收接受服务的，甲方向乙方偿付合同款项百分之五作为违约金。</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2、甲方无故逾期验收和办理款项支付手续的，甲方应按逾期付款总额每日万分之五向乙方支付违约金。</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十二、不可抗力事件处理</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3、不可抗力事件延续120天以上，双方应通过友好协商，确定是否继续履行合同。</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十三、诉讼</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双方在执行合同中所发生的一切争议，应通过协商解决。如协商不成，可向甲方所在地法院起诉。</w:t>
      </w:r>
    </w:p>
    <w:p>
      <w:pPr>
        <w:pStyle w:val="167"/>
        <w:snapToGrid w:val="0"/>
        <w:spacing w:line="360" w:lineRule="auto"/>
        <w:ind w:firstLine="482" w:firstLineChars="200"/>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十四、合同生效及其它</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1、合同经双方法定代表人或授权代表签字并加盖单位公章后生效。</w:t>
      </w:r>
    </w:p>
    <w:p>
      <w:pPr>
        <w:pStyle w:val="167"/>
        <w:snapToGrid w:val="0"/>
        <w:spacing w:line="360" w:lineRule="auto"/>
        <w:ind w:firstLine="480" w:firstLineChars="200"/>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3、招标文件、投标文件及评标过程中形成的文字资料、询标纪要均作为本合同的组成部分，具有同等效力。本合同未尽事宜，遵照《合同法》有关条文执行。</w:t>
      </w:r>
    </w:p>
    <w:p>
      <w:pPr>
        <w:pStyle w:val="35"/>
        <w:snapToGrid w:val="0"/>
        <w:spacing w:line="360" w:lineRule="auto"/>
        <w:ind w:firstLine="480" w:firstLineChars="200"/>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4、本合同一式肆份，具有同等法律效力，甲乙双方各执两份。</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甲方（盖章）：                             乙方（盖章）：        </w:t>
      </w:r>
    </w:p>
    <w:p>
      <w:pPr>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    法定代表人：                              法定代表人：    </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或受委托人（签字）：                       或受委托人（签字）：  </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联系人：                                  联系人：</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地址：                                    地址： </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电话：                                    电话：</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传真：                                    传真：</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开户银行：                                开户银行： </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帐号：                                    帐号：</w:t>
      </w:r>
    </w:p>
    <w:p>
      <w:pPr>
        <w:snapToGrid w:val="0"/>
        <w:spacing w:line="360" w:lineRule="auto"/>
        <w:ind w:firstLine="480" w:firstLineChars="200"/>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签订时间：                                签订时间：</w:t>
      </w:r>
    </w:p>
    <w:p>
      <w:pPr>
        <w:pStyle w:val="44"/>
        <w:ind w:firstLine="480"/>
        <w:rPr>
          <w:rFonts w:hint="eastAsia" w:ascii="华文仿宋" w:hAnsi="华文仿宋" w:eastAsia="华文仿宋" w:cs="华文仿宋"/>
          <w:color w:val="auto"/>
          <w:sz w:val="24"/>
          <w:highlight w:val="none"/>
        </w:rPr>
      </w:pPr>
    </w:p>
    <w:p>
      <w:pPr>
        <w:pStyle w:val="44"/>
        <w:ind w:firstLine="480"/>
        <w:rPr>
          <w:rFonts w:hint="eastAsia" w:ascii="华文仿宋" w:hAnsi="华文仿宋" w:eastAsia="华文仿宋" w:cs="华文仿宋"/>
          <w:color w:val="auto"/>
          <w:sz w:val="24"/>
          <w:highlight w:val="none"/>
        </w:rPr>
      </w:pPr>
    </w:p>
    <w:p>
      <w:pPr>
        <w:pStyle w:val="44"/>
        <w:ind w:firstLine="480"/>
        <w:rPr>
          <w:rFonts w:hint="eastAsia" w:ascii="华文仿宋" w:hAnsi="华文仿宋" w:eastAsia="华文仿宋" w:cs="华文仿宋"/>
          <w:color w:val="auto"/>
          <w:sz w:val="24"/>
          <w:highlight w:val="none"/>
        </w:rPr>
      </w:pPr>
    </w:p>
    <w:p>
      <w:pPr>
        <w:pStyle w:val="44"/>
        <w:ind w:firstLine="480"/>
        <w:rPr>
          <w:rFonts w:hint="eastAsia" w:ascii="华文仿宋" w:hAnsi="华文仿宋" w:eastAsia="华文仿宋" w:cs="华文仿宋"/>
          <w:color w:val="auto"/>
          <w:sz w:val="24"/>
          <w:highlight w:val="none"/>
        </w:rPr>
      </w:pPr>
    </w:p>
    <w:p>
      <w:pPr>
        <w:pStyle w:val="44"/>
        <w:ind w:firstLine="5280" w:firstLineChars="2200"/>
        <w:rPr>
          <w:rFonts w:hint="eastAsia" w:ascii="华文仿宋" w:hAnsi="华文仿宋" w:eastAsia="华文仿宋" w:cs="华文仿宋"/>
          <w:color w:val="auto"/>
          <w:highlight w:val="none"/>
        </w:rPr>
      </w:pPr>
      <w:r>
        <w:rPr>
          <w:rFonts w:hint="eastAsia" w:ascii="华文仿宋" w:hAnsi="华文仿宋" w:eastAsia="华文仿宋" w:cs="华文仿宋"/>
          <w:color w:val="auto"/>
          <w:sz w:val="24"/>
          <w:highlight w:val="none"/>
        </w:rPr>
        <w:t>签订地点：</w:t>
      </w:r>
    </w:p>
    <w:p>
      <w:pPr>
        <w:widowControl/>
        <w:spacing w:line="560" w:lineRule="exact"/>
        <w:jc w:val="left"/>
        <w:rPr>
          <w:rFonts w:ascii="仿宋" w:hAnsi="仿宋" w:eastAsia="仿宋"/>
          <w:b/>
          <w:color w:val="auto"/>
          <w:sz w:val="24"/>
          <w:highlight w:val="none"/>
        </w:rPr>
      </w:pPr>
    </w:p>
    <w:p>
      <w:pPr>
        <w:pStyle w:val="386"/>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合同一般条款</w:t>
      </w:r>
      <w:bookmarkEnd w:id="30"/>
    </w:p>
    <w:p>
      <w:pPr>
        <w:spacing w:line="560" w:lineRule="exact"/>
        <w:ind w:firstLine="482" w:firstLineChars="200"/>
        <w:outlineLvl w:val="0"/>
        <w:rPr>
          <w:rFonts w:ascii="仿宋" w:hAnsi="仿宋" w:eastAsia="仿宋"/>
          <w:b/>
          <w:color w:val="auto"/>
          <w:sz w:val="24"/>
          <w:highlight w:val="none"/>
        </w:rPr>
      </w:pPr>
      <w:bookmarkStart w:id="31" w:name="_Toc19614"/>
      <w:bookmarkStart w:id="32" w:name="_Toc487900349"/>
      <w:bookmarkStart w:id="33" w:name="_Toc16917"/>
      <w:bookmarkStart w:id="34" w:name="_Ref467379205"/>
      <w:bookmarkStart w:id="35" w:name="_Ref467379101"/>
      <w:bookmarkStart w:id="36" w:name="_Toc28763"/>
      <w:bookmarkStart w:id="37" w:name="_Ref467379214"/>
      <w:bookmarkStart w:id="38" w:name="_Toc259093669"/>
      <w:bookmarkStart w:id="39" w:name="_Ref467379225"/>
      <w:bookmarkStart w:id="40" w:name="_Toc279701240"/>
      <w:bookmarkStart w:id="41" w:name="_Ref467378499"/>
      <w:bookmarkStart w:id="42" w:name="_Ref467379195"/>
      <w:bookmarkStart w:id="43" w:name="_Ref467379109"/>
      <w:bookmarkStart w:id="44" w:name="_Ref467378404"/>
      <w:bookmarkStart w:id="45" w:name="_Ref467378463"/>
      <w:bookmarkStart w:id="46" w:name="_Ref467379094"/>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highlight w:val="none"/>
        </w:rPr>
      </w:pPr>
      <w:bookmarkStart w:id="47"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7"/>
      <w:r>
        <w:rPr>
          <w:rFonts w:hint="eastAsia" w:ascii="仿宋" w:hAnsi="仿宋" w:eastAsia="仿宋"/>
          <w:color w:val="auto"/>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highlight w:val="none"/>
        </w:rPr>
      </w:pPr>
      <w:bookmarkStart w:id="48"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w:t>
      </w:r>
      <w:bookmarkEnd w:id="48"/>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highlight w:val="none"/>
        </w:rPr>
      </w:pPr>
      <w:bookmarkStart w:id="49"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bookmarkEnd w:id="49"/>
    </w:p>
    <w:p>
      <w:pPr>
        <w:spacing w:line="560" w:lineRule="exact"/>
        <w:ind w:firstLine="482" w:firstLineChars="200"/>
        <w:outlineLvl w:val="0"/>
        <w:rPr>
          <w:rFonts w:ascii="仿宋" w:hAnsi="仿宋" w:eastAsia="仿宋"/>
          <w:b/>
          <w:color w:val="auto"/>
          <w:sz w:val="24"/>
          <w:highlight w:val="none"/>
        </w:rPr>
      </w:pPr>
      <w:bookmarkStart w:id="50" w:name="_Toc27635"/>
      <w:bookmarkStart w:id="51" w:name="_Toc32504"/>
      <w:bookmarkStart w:id="52" w:name="_Toc279701241"/>
      <w:bookmarkStart w:id="53" w:name="_Toc259093670"/>
      <w:bookmarkStart w:id="54" w:name="_Toc487900350"/>
      <w:bookmarkStart w:id="55" w:name="_Toc13336"/>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50"/>
      <w:bookmarkEnd w:id="51"/>
      <w:bookmarkEnd w:id="52"/>
      <w:bookmarkEnd w:id="53"/>
      <w:bookmarkEnd w:id="54"/>
      <w:bookmarkEnd w:id="55"/>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highlight w:val="none"/>
        </w:rPr>
      </w:pPr>
      <w:bookmarkStart w:id="56" w:name="_Toc259093671"/>
      <w:bookmarkStart w:id="57" w:name="_Toc31634"/>
      <w:bookmarkStart w:id="58" w:name="_Toc279701242"/>
      <w:bookmarkStart w:id="59" w:name="_Toc487900351"/>
      <w:bookmarkStart w:id="60" w:name="_Toc27853"/>
      <w:bookmarkStart w:id="61" w:name="_Toc9829"/>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56"/>
      <w:bookmarkEnd w:id="57"/>
      <w:bookmarkEnd w:id="58"/>
      <w:bookmarkEnd w:id="59"/>
      <w:bookmarkEnd w:id="60"/>
      <w:bookmarkEnd w:id="61"/>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62" w:name="_Toc4194"/>
      <w:bookmarkStart w:id="63" w:name="_Toc29149"/>
      <w:bookmarkStart w:id="64" w:name="_Toc11932"/>
      <w:r>
        <w:rPr>
          <w:rFonts w:ascii="仿宋" w:hAnsi="仿宋" w:eastAsia="仿宋"/>
          <w:b/>
          <w:color w:val="auto"/>
          <w:sz w:val="24"/>
          <w:highlight w:val="none"/>
        </w:rPr>
        <w:t xml:space="preserve">2.4 </w:t>
      </w:r>
      <w:r>
        <w:rPr>
          <w:rFonts w:hint="eastAsia" w:ascii="仿宋" w:hAnsi="仿宋" w:eastAsia="仿宋"/>
          <w:b/>
          <w:color w:val="auto"/>
          <w:sz w:val="24"/>
          <w:highlight w:val="none"/>
        </w:rPr>
        <w:t>包装和装运</w:t>
      </w:r>
      <w:bookmarkEnd w:id="62"/>
      <w:bookmarkEnd w:id="63"/>
      <w:bookmarkEnd w:id="64"/>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65" w:name="_Ref467378591"/>
      <w:bookmarkStart w:id="66" w:name="_Ref467378541"/>
      <w:bookmarkStart w:id="67" w:name="_Toc259093674"/>
      <w:bookmarkStart w:id="68" w:name="_Ref467379542"/>
      <w:bookmarkStart w:id="69" w:name="_Toc487900354"/>
      <w:bookmarkStart w:id="70" w:name="_Ref467379527"/>
      <w:bookmarkStart w:id="71" w:name="_Toc279701245"/>
      <w:bookmarkStart w:id="72" w:name="_Ref467379536"/>
      <w:bookmarkStart w:id="73" w:name="_Toc19074"/>
      <w:bookmarkStart w:id="74" w:name="_Toc30272"/>
      <w:bookmarkStart w:id="75" w:name="_Toc26182"/>
      <w:r>
        <w:rPr>
          <w:rFonts w:ascii="仿宋" w:hAnsi="仿宋" w:eastAsia="仿宋"/>
          <w:b/>
          <w:color w:val="auto"/>
          <w:sz w:val="24"/>
          <w:highlight w:val="none"/>
        </w:rPr>
        <w:t>2.</w:t>
      </w:r>
      <w:bookmarkEnd w:id="65"/>
      <w:bookmarkEnd w:id="66"/>
      <w:bookmarkEnd w:id="67"/>
      <w:bookmarkEnd w:id="68"/>
      <w:bookmarkEnd w:id="69"/>
      <w:bookmarkEnd w:id="70"/>
      <w:bookmarkEnd w:id="71"/>
      <w:bookmarkEnd w:id="72"/>
      <w:r>
        <w:rPr>
          <w:rFonts w:ascii="仿宋" w:hAnsi="仿宋" w:eastAsia="仿宋"/>
          <w:b/>
          <w:color w:val="auto"/>
          <w:sz w:val="24"/>
          <w:highlight w:val="none"/>
        </w:rPr>
        <w:t xml:space="preserve">5 </w:t>
      </w:r>
      <w:r>
        <w:rPr>
          <w:rFonts w:hint="eastAsia" w:ascii="仿宋" w:hAnsi="仿宋" w:eastAsia="仿宋"/>
          <w:b/>
          <w:color w:val="auto"/>
          <w:sz w:val="24"/>
          <w:highlight w:val="none"/>
        </w:rPr>
        <w:t>履约检查和问题反馈</w:t>
      </w:r>
      <w:bookmarkEnd w:id="73"/>
      <w:bookmarkEnd w:id="74"/>
      <w:bookmarkEnd w:id="75"/>
    </w:p>
    <w:p>
      <w:pPr>
        <w:spacing w:line="560" w:lineRule="exact"/>
        <w:ind w:firstLine="480" w:firstLineChars="200"/>
        <w:rPr>
          <w:rFonts w:ascii="仿宋" w:hAnsi="仿宋" w:eastAsia="仿宋"/>
          <w:color w:val="auto"/>
          <w:sz w:val="24"/>
          <w:highlight w:val="none"/>
        </w:rPr>
      </w:pPr>
      <w:bookmarkStart w:id="76" w:name="_Ref467379657"/>
      <w:r>
        <w:rPr>
          <w:rFonts w:ascii="仿宋" w:hAnsi="仿宋" w:eastAsia="仿宋"/>
          <w:color w:val="auto"/>
          <w:sz w:val="24"/>
          <w:highlight w:val="none"/>
        </w:rPr>
        <w:t>2.5.1</w:t>
      </w:r>
      <w:bookmarkEnd w:id="76"/>
      <w:bookmarkStart w:id="77" w:name="_Toc186431854"/>
      <w:bookmarkStart w:id="78" w:name="_Ref467379793"/>
      <w:bookmarkStart w:id="79" w:name="_Ref467379807"/>
      <w:bookmarkStart w:id="80" w:name="_Toc279701247"/>
      <w:bookmarkStart w:id="81" w:name="_Toc259093676"/>
      <w:bookmarkStart w:id="82" w:name="_Toc487900357"/>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Start w:id="83" w:name="_Toc186431855"/>
      <w:bookmarkEnd w:id="77"/>
      <w:r>
        <w:rPr>
          <w:rFonts w:hint="eastAsia" w:ascii="仿宋" w:hAnsi="仿宋" w:eastAsia="仿宋"/>
          <w:color w:val="auto"/>
          <w:sz w:val="24"/>
          <w:highlight w:val="none"/>
        </w:rPr>
        <w:t>。</w:t>
      </w:r>
    </w:p>
    <w:bookmarkEnd w:id="78"/>
    <w:bookmarkEnd w:id="79"/>
    <w:bookmarkEnd w:id="80"/>
    <w:bookmarkEnd w:id="81"/>
    <w:bookmarkEnd w:id="82"/>
    <w:bookmarkEnd w:id="83"/>
    <w:p>
      <w:pPr>
        <w:spacing w:line="560" w:lineRule="exact"/>
        <w:ind w:firstLine="482" w:firstLineChars="200"/>
        <w:outlineLvl w:val="0"/>
        <w:rPr>
          <w:rFonts w:ascii="仿宋" w:hAnsi="仿宋" w:eastAsia="仿宋"/>
          <w:b/>
          <w:color w:val="auto"/>
          <w:sz w:val="24"/>
          <w:highlight w:val="none"/>
        </w:rPr>
      </w:pPr>
      <w:bookmarkStart w:id="84" w:name="_Ref467379852"/>
      <w:bookmarkStart w:id="85" w:name="_Ref467379923"/>
      <w:bookmarkStart w:id="86" w:name="_Ref467379863"/>
      <w:bookmarkStart w:id="87" w:name="_Toc259093677"/>
      <w:bookmarkStart w:id="88" w:name="_Toc279701248"/>
      <w:bookmarkStart w:id="89" w:name="_Toc487900358"/>
      <w:bookmarkStart w:id="90" w:name="_Toc3225"/>
      <w:bookmarkStart w:id="91" w:name="_Toc774"/>
      <w:bookmarkStart w:id="92" w:name="_Toc16110"/>
      <w:r>
        <w:rPr>
          <w:rFonts w:ascii="仿宋" w:hAnsi="仿宋" w:eastAsia="仿宋"/>
          <w:b/>
          <w:color w:val="auto"/>
          <w:sz w:val="24"/>
          <w:highlight w:val="none"/>
        </w:rPr>
        <w:t xml:space="preserve">2.6 </w:t>
      </w:r>
      <w:r>
        <w:rPr>
          <w:rFonts w:hint="eastAsia" w:ascii="仿宋" w:hAnsi="仿宋" w:eastAsia="仿宋"/>
          <w:b/>
          <w:color w:val="auto"/>
          <w:sz w:val="24"/>
          <w:highlight w:val="none"/>
        </w:rPr>
        <w:t>技术资料</w:t>
      </w:r>
      <w:bookmarkEnd w:id="84"/>
      <w:bookmarkEnd w:id="85"/>
      <w:bookmarkEnd w:id="86"/>
      <w:bookmarkEnd w:id="87"/>
      <w:bookmarkEnd w:id="88"/>
      <w:bookmarkEnd w:id="89"/>
      <w:r>
        <w:rPr>
          <w:rFonts w:hint="eastAsia" w:ascii="仿宋" w:hAnsi="仿宋" w:eastAsia="仿宋"/>
          <w:b/>
          <w:color w:val="auto"/>
          <w:sz w:val="24"/>
          <w:highlight w:val="none"/>
        </w:rPr>
        <w:t>和保密义务</w:t>
      </w:r>
      <w:bookmarkEnd w:id="90"/>
      <w:bookmarkEnd w:id="91"/>
      <w:bookmarkEnd w:id="9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highlight w:val="none"/>
        </w:rPr>
      </w:pPr>
      <w:bookmarkStart w:id="93" w:name="_Toc7860"/>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93"/>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highlight w:val="none"/>
        </w:rPr>
      </w:pPr>
      <w:bookmarkStart w:id="94" w:name="_Toc17244"/>
      <w:bookmarkStart w:id="95" w:name="_Toc279701252"/>
      <w:bookmarkStart w:id="96" w:name="_Toc487900362"/>
      <w:bookmarkStart w:id="97" w:name="_Toc259093681"/>
      <w:r>
        <w:rPr>
          <w:rFonts w:ascii="仿宋" w:hAnsi="仿宋" w:eastAsia="仿宋"/>
          <w:b/>
          <w:color w:val="auto"/>
          <w:sz w:val="24"/>
          <w:highlight w:val="none"/>
        </w:rPr>
        <w:t xml:space="preserve">2.8 </w:t>
      </w:r>
      <w:r>
        <w:rPr>
          <w:rFonts w:hint="eastAsia" w:ascii="仿宋" w:hAnsi="仿宋" w:eastAsia="仿宋"/>
          <w:b/>
          <w:color w:val="auto"/>
          <w:sz w:val="24"/>
          <w:highlight w:val="none"/>
        </w:rPr>
        <w:t>货物的风险负担</w:t>
      </w:r>
      <w:bookmarkEnd w:id="94"/>
    </w:p>
    <w:p>
      <w:pP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98" w:name="_Toc14055"/>
      <w:r>
        <w:rPr>
          <w:rFonts w:ascii="仿宋" w:hAnsi="仿宋" w:eastAsia="仿宋"/>
          <w:b/>
          <w:color w:val="auto"/>
          <w:sz w:val="24"/>
          <w:highlight w:val="none"/>
        </w:rPr>
        <w:t xml:space="preserve">2.9 </w:t>
      </w:r>
      <w:r>
        <w:rPr>
          <w:rFonts w:hint="eastAsia" w:ascii="仿宋" w:hAnsi="仿宋" w:eastAsia="仿宋"/>
          <w:b/>
          <w:color w:val="auto"/>
          <w:sz w:val="24"/>
          <w:highlight w:val="none"/>
        </w:rPr>
        <w:t>延迟交货</w:t>
      </w:r>
      <w:bookmarkEnd w:id="95"/>
      <w:bookmarkEnd w:id="96"/>
      <w:bookmarkEnd w:id="97"/>
      <w:bookmarkEnd w:id="98"/>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highlight w:val="none"/>
        </w:rPr>
      </w:pPr>
      <w:bookmarkStart w:id="99" w:name="_Toc7502"/>
      <w:bookmarkStart w:id="100" w:name="_Toc279701254"/>
      <w:bookmarkStart w:id="101" w:name="_Ref467378121"/>
      <w:bookmarkStart w:id="102" w:name="_Toc487900364"/>
      <w:bookmarkStart w:id="103" w:name="_Toc259093683"/>
      <w:r>
        <w:rPr>
          <w:rFonts w:ascii="仿宋" w:hAnsi="仿宋" w:eastAsia="仿宋"/>
          <w:b/>
          <w:color w:val="auto"/>
          <w:sz w:val="24"/>
          <w:highlight w:val="none"/>
        </w:rPr>
        <w:t xml:space="preserve">2.10 </w:t>
      </w:r>
      <w:r>
        <w:rPr>
          <w:rFonts w:hint="eastAsia" w:ascii="仿宋" w:hAnsi="仿宋" w:eastAsia="仿宋"/>
          <w:b/>
          <w:color w:val="auto"/>
          <w:sz w:val="24"/>
          <w:highlight w:val="none"/>
        </w:rPr>
        <w:t>合同变更</w:t>
      </w:r>
      <w:bookmarkEnd w:id="99"/>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04" w:name="_Toc279701259"/>
      <w:bookmarkStart w:id="105" w:name="_Toc259093688"/>
      <w:bookmarkStart w:id="106" w:name="_Toc487900369"/>
    </w:p>
    <w:p>
      <w:pPr>
        <w:spacing w:line="560" w:lineRule="exact"/>
        <w:ind w:firstLine="482" w:firstLineChars="200"/>
        <w:outlineLvl w:val="0"/>
        <w:rPr>
          <w:rFonts w:ascii="仿宋" w:hAnsi="仿宋" w:eastAsia="仿宋"/>
          <w:b/>
          <w:color w:val="auto"/>
          <w:sz w:val="24"/>
          <w:highlight w:val="none"/>
        </w:rPr>
      </w:pPr>
      <w:bookmarkStart w:id="107" w:name="_Toc15237"/>
      <w:bookmarkStart w:id="108" w:name="_Toc10366"/>
      <w:bookmarkStart w:id="109" w:name="_Toc22955"/>
      <w:r>
        <w:rPr>
          <w:rFonts w:ascii="仿宋" w:hAnsi="仿宋" w:eastAsia="仿宋"/>
          <w:b/>
          <w:color w:val="auto"/>
          <w:sz w:val="24"/>
          <w:highlight w:val="none"/>
        </w:rPr>
        <w:t xml:space="preserve">2.11 </w:t>
      </w:r>
      <w:r>
        <w:rPr>
          <w:rFonts w:hint="eastAsia" w:ascii="仿宋" w:hAnsi="仿宋" w:eastAsia="仿宋"/>
          <w:b/>
          <w:color w:val="auto"/>
          <w:sz w:val="24"/>
          <w:highlight w:val="none"/>
        </w:rPr>
        <w:t>合同转让</w:t>
      </w:r>
      <w:bookmarkEnd w:id="104"/>
      <w:bookmarkEnd w:id="105"/>
      <w:bookmarkEnd w:id="106"/>
      <w:r>
        <w:rPr>
          <w:rFonts w:hint="eastAsia" w:ascii="仿宋" w:hAnsi="仿宋" w:eastAsia="仿宋"/>
          <w:b/>
          <w:color w:val="auto"/>
          <w:sz w:val="24"/>
          <w:highlight w:val="none"/>
        </w:rPr>
        <w:t>和分包</w:t>
      </w:r>
      <w:bookmarkEnd w:id="107"/>
      <w:bookmarkEnd w:id="108"/>
      <w:bookmarkEnd w:id="109"/>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highlight w:val="none"/>
        </w:rPr>
      </w:pPr>
      <w:bookmarkStart w:id="110" w:name="_Toc14066"/>
      <w:bookmarkStart w:id="111" w:name="_Toc16508"/>
      <w:bookmarkStart w:id="112" w:name="_Toc13566"/>
      <w:r>
        <w:rPr>
          <w:rFonts w:ascii="仿宋" w:hAnsi="仿宋" w:eastAsia="仿宋"/>
          <w:b/>
          <w:color w:val="auto"/>
          <w:sz w:val="24"/>
          <w:highlight w:val="none"/>
        </w:rPr>
        <w:t xml:space="preserve">2.12 </w:t>
      </w:r>
      <w:r>
        <w:rPr>
          <w:rFonts w:hint="eastAsia" w:ascii="仿宋" w:hAnsi="仿宋" w:eastAsia="仿宋"/>
          <w:b/>
          <w:color w:val="auto"/>
          <w:sz w:val="24"/>
          <w:highlight w:val="none"/>
        </w:rPr>
        <w:t>不可抗力</w:t>
      </w:r>
      <w:bookmarkEnd w:id="110"/>
      <w:bookmarkEnd w:id="111"/>
      <w:bookmarkEnd w:id="11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b/>
          <w:color w:val="auto"/>
          <w:sz w:val="24"/>
          <w:highlight w:val="none"/>
        </w:rPr>
      </w:pPr>
      <w:bookmarkStart w:id="113" w:name="_Toc6969"/>
      <w:bookmarkStart w:id="114" w:name="_Toc487900365"/>
      <w:bookmarkStart w:id="115" w:name="_Toc279701255"/>
      <w:bookmarkStart w:id="116" w:name="_Toc689"/>
      <w:bookmarkStart w:id="117" w:name="_Toc259093684"/>
      <w:bookmarkStart w:id="118" w:name="_Toc30676"/>
      <w:r>
        <w:rPr>
          <w:rFonts w:ascii="仿宋" w:hAnsi="仿宋" w:eastAsia="仿宋"/>
          <w:b/>
          <w:color w:val="auto"/>
          <w:sz w:val="24"/>
          <w:highlight w:val="none"/>
        </w:rPr>
        <w:t xml:space="preserve">2.13 </w:t>
      </w:r>
      <w:r>
        <w:rPr>
          <w:rFonts w:hint="eastAsia" w:ascii="仿宋" w:hAnsi="仿宋" w:eastAsia="仿宋"/>
          <w:b/>
          <w:color w:val="auto"/>
          <w:sz w:val="24"/>
          <w:highlight w:val="none"/>
        </w:rPr>
        <w:t>税费</w:t>
      </w:r>
      <w:bookmarkEnd w:id="113"/>
      <w:bookmarkEnd w:id="114"/>
      <w:bookmarkEnd w:id="115"/>
      <w:bookmarkEnd w:id="116"/>
      <w:bookmarkEnd w:id="117"/>
      <w:bookmarkEnd w:id="118"/>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highlight w:val="none"/>
        </w:rPr>
      </w:pPr>
      <w:bookmarkStart w:id="119" w:name="_Toc8298"/>
      <w:bookmarkStart w:id="120" w:name="_Toc259093687"/>
      <w:bookmarkStart w:id="121" w:name="_Toc7102"/>
      <w:bookmarkStart w:id="122" w:name="_Toc16959"/>
      <w:bookmarkStart w:id="123" w:name="_Toc487900368"/>
      <w:bookmarkStart w:id="124" w:name="_Toc279701258"/>
      <w:r>
        <w:rPr>
          <w:rFonts w:ascii="仿宋" w:hAnsi="仿宋" w:eastAsia="仿宋"/>
          <w:b/>
          <w:color w:val="auto"/>
          <w:sz w:val="24"/>
          <w:highlight w:val="none"/>
        </w:rPr>
        <w:t>2.14乙方破产</w:t>
      </w:r>
      <w:bookmarkEnd w:id="119"/>
      <w:bookmarkEnd w:id="120"/>
      <w:bookmarkEnd w:id="121"/>
      <w:bookmarkEnd w:id="122"/>
      <w:bookmarkEnd w:id="123"/>
      <w:bookmarkEnd w:id="124"/>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highlight w:val="none"/>
        </w:rPr>
      </w:pPr>
      <w:bookmarkStart w:id="125" w:name="_Toc6134"/>
      <w:bookmarkStart w:id="126" w:name="_Toc15387"/>
      <w:bookmarkStart w:id="127" w:name="_Toc29333"/>
      <w:r>
        <w:rPr>
          <w:rFonts w:ascii="仿宋" w:hAnsi="仿宋" w:eastAsia="仿宋"/>
          <w:b/>
          <w:color w:val="auto"/>
          <w:sz w:val="24"/>
          <w:highlight w:val="none"/>
        </w:rPr>
        <w:t xml:space="preserve">2.15 </w:t>
      </w:r>
      <w:r>
        <w:rPr>
          <w:rFonts w:hint="eastAsia" w:ascii="仿宋" w:hAnsi="仿宋" w:eastAsia="仿宋"/>
          <w:b/>
          <w:color w:val="auto"/>
          <w:sz w:val="24"/>
          <w:highlight w:val="none"/>
        </w:rPr>
        <w:t>合同中止、终止</w:t>
      </w:r>
      <w:bookmarkEnd w:id="125"/>
      <w:bookmarkEnd w:id="126"/>
      <w:bookmarkEnd w:id="127"/>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highlight w:val="none"/>
        </w:rPr>
      </w:pPr>
      <w:bookmarkStart w:id="128" w:name="_Toc14563"/>
      <w:bookmarkStart w:id="129" w:name="_Toc1125"/>
      <w:bookmarkStart w:id="130" w:name="_Toc6596"/>
      <w:r>
        <w:rPr>
          <w:rFonts w:ascii="仿宋" w:hAnsi="仿宋" w:eastAsia="仿宋"/>
          <w:b/>
          <w:color w:val="auto"/>
          <w:sz w:val="24"/>
          <w:highlight w:val="none"/>
        </w:rPr>
        <w:t>2.16检验和验收</w:t>
      </w:r>
      <w:bookmarkEnd w:id="128"/>
      <w:bookmarkEnd w:id="129"/>
      <w:bookmarkEnd w:id="130"/>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100"/>
    <w:bookmarkEnd w:id="101"/>
    <w:bookmarkEnd w:id="102"/>
    <w:bookmarkEnd w:id="103"/>
    <w:p>
      <w:pPr>
        <w:spacing w:line="560" w:lineRule="exact"/>
        <w:ind w:firstLine="482" w:firstLineChars="200"/>
        <w:outlineLvl w:val="0"/>
        <w:rPr>
          <w:rFonts w:ascii="仿宋" w:hAnsi="仿宋" w:eastAsia="仿宋"/>
          <w:b/>
          <w:color w:val="auto"/>
          <w:sz w:val="24"/>
          <w:highlight w:val="none"/>
        </w:rPr>
      </w:pPr>
      <w:bookmarkStart w:id="131" w:name="_Toc487900371"/>
      <w:bookmarkStart w:id="132" w:name="_Toc279701261"/>
      <w:bookmarkStart w:id="133" w:name="_Toc259093690"/>
      <w:bookmarkStart w:id="134" w:name="_Toc11284"/>
      <w:bookmarkStart w:id="135" w:name="_Toc19604"/>
      <w:bookmarkStart w:id="136" w:name="_Toc25182"/>
      <w:r>
        <w:rPr>
          <w:rFonts w:ascii="仿宋" w:hAnsi="仿宋" w:eastAsia="仿宋"/>
          <w:b/>
          <w:color w:val="auto"/>
          <w:sz w:val="24"/>
          <w:highlight w:val="none"/>
        </w:rPr>
        <w:t xml:space="preserve">2.17 </w:t>
      </w:r>
      <w:r>
        <w:rPr>
          <w:rFonts w:hint="eastAsia" w:ascii="仿宋" w:hAnsi="仿宋" w:eastAsia="仿宋"/>
          <w:b/>
          <w:color w:val="auto"/>
          <w:sz w:val="24"/>
          <w:highlight w:val="none"/>
        </w:rPr>
        <w:t>通知</w:t>
      </w:r>
      <w:bookmarkEnd w:id="131"/>
      <w:bookmarkEnd w:id="132"/>
      <w:bookmarkEnd w:id="133"/>
      <w:r>
        <w:rPr>
          <w:rFonts w:hint="eastAsia" w:ascii="仿宋" w:hAnsi="仿宋" w:eastAsia="仿宋"/>
          <w:b/>
          <w:color w:val="auto"/>
          <w:sz w:val="24"/>
          <w:highlight w:val="none"/>
        </w:rPr>
        <w:t>和送达</w:t>
      </w:r>
      <w:bookmarkEnd w:id="134"/>
      <w:bookmarkEnd w:id="135"/>
      <w:bookmarkEnd w:id="136"/>
    </w:p>
    <w:p>
      <w:pPr>
        <w:spacing w:line="560" w:lineRule="exact"/>
        <w:ind w:firstLine="480" w:firstLineChars="200"/>
        <w:rPr>
          <w:rFonts w:ascii="仿宋" w:hAnsi="仿宋" w:eastAsia="仿宋"/>
          <w:color w:val="auto"/>
          <w:sz w:val="24"/>
          <w:highlight w:val="none"/>
        </w:rPr>
      </w:pPr>
      <w:bookmarkStart w:id="137" w:name="_Toc6698"/>
      <w:bookmarkStart w:id="138" w:name="_Toc3135"/>
      <w:bookmarkStart w:id="139" w:name="_Toc487900372"/>
      <w:bookmarkStart w:id="140" w:name="_Toc259093691"/>
      <w:bookmarkStart w:id="141" w:name="_Toc279701262"/>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137"/>
      <w:bookmarkEnd w:id="138"/>
    </w:p>
    <w:p>
      <w:pPr>
        <w:spacing w:line="560" w:lineRule="exact"/>
        <w:ind w:firstLine="480" w:firstLineChars="200"/>
        <w:rPr>
          <w:rFonts w:ascii="仿宋" w:hAnsi="仿宋" w:eastAsia="仿宋"/>
          <w:color w:val="auto"/>
          <w:sz w:val="24"/>
          <w:highlight w:val="none"/>
        </w:rPr>
      </w:pPr>
      <w:bookmarkStart w:id="142" w:name="_Toc23128"/>
      <w:bookmarkStart w:id="143" w:name="_Toc23294"/>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142"/>
      <w:bookmarkEnd w:id="143"/>
    </w:p>
    <w:p>
      <w:pPr>
        <w:spacing w:line="560" w:lineRule="exact"/>
        <w:ind w:firstLine="482" w:firstLineChars="200"/>
        <w:outlineLvl w:val="0"/>
        <w:rPr>
          <w:rFonts w:ascii="仿宋" w:hAnsi="仿宋" w:eastAsia="仿宋"/>
          <w:b/>
          <w:color w:val="auto"/>
          <w:sz w:val="24"/>
          <w:highlight w:val="none"/>
        </w:rPr>
      </w:pPr>
      <w:bookmarkStart w:id="144" w:name="_Toc30599"/>
      <w:bookmarkStart w:id="145" w:name="_Toc18540"/>
      <w:bookmarkStart w:id="146" w:name="_Toc4355"/>
      <w:r>
        <w:rPr>
          <w:rFonts w:ascii="仿宋" w:hAnsi="仿宋" w:eastAsia="仿宋"/>
          <w:b/>
          <w:color w:val="auto"/>
          <w:sz w:val="24"/>
          <w:highlight w:val="none"/>
        </w:rPr>
        <w:t xml:space="preserve">2.18 </w:t>
      </w:r>
      <w:r>
        <w:rPr>
          <w:rFonts w:hint="eastAsia" w:ascii="仿宋" w:hAnsi="仿宋" w:eastAsia="仿宋"/>
          <w:b/>
          <w:color w:val="auto"/>
          <w:sz w:val="24"/>
          <w:highlight w:val="none"/>
        </w:rPr>
        <w:t>计量单位</w:t>
      </w:r>
      <w:bookmarkEnd w:id="139"/>
      <w:bookmarkEnd w:id="140"/>
      <w:bookmarkEnd w:id="141"/>
      <w:bookmarkEnd w:id="144"/>
      <w:bookmarkEnd w:id="145"/>
      <w:bookmarkEnd w:id="146"/>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spacing w:line="560" w:lineRule="exact"/>
        <w:ind w:firstLine="482" w:firstLineChars="200"/>
        <w:outlineLvl w:val="0"/>
        <w:rPr>
          <w:rFonts w:ascii="仿宋" w:hAnsi="仿宋" w:eastAsia="仿宋"/>
          <w:b/>
          <w:color w:val="auto"/>
          <w:sz w:val="24"/>
          <w:highlight w:val="none"/>
        </w:rPr>
      </w:pPr>
      <w:bookmarkStart w:id="147" w:name="_Toc259093692"/>
      <w:bookmarkStart w:id="148" w:name="_Toc10330"/>
      <w:bookmarkStart w:id="149" w:name="_Toc279701263"/>
      <w:bookmarkStart w:id="150" w:name="_Toc487900373"/>
      <w:bookmarkStart w:id="151" w:name="_Toc18567"/>
      <w:bookmarkStart w:id="152" w:name="_Toc12773"/>
      <w:r>
        <w:rPr>
          <w:rFonts w:ascii="仿宋" w:hAnsi="仿宋" w:eastAsia="仿宋"/>
          <w:b/>
          <w:color w:val="auto"/>
          <w:sz w:val="24"/>
          <w:highlight w:val="none"/>
        </w:rPr>
        <w:t xml:space="preserve">2.19 </w:t>
      </w:r>
      <w:r>
        <w:rPr>
          <w:rFonts w:hint="eastAsia" w:ascii="仿宋" w:hAnsi="仿宋" w:eastAsia="仿宋"/>
          <w:b/>
          <w:color w:val="auto"/>
          <w:sz w:val="24"/>
          <w:highlight w:val="none"/>
        </w:rPr>
        <w:t>合同使用的文字和适用的法律</w:t>
      </w:r>
      <w:bookmarkEnd w:id="147"/>
      <w:bookmarkEnd w:id="148"/>
      <w:bookmarkEnd w:id="149"/>
      <w:bookmarkEnd w:id="150"/>
      <w:bookmarkEnd w:id="151"/>
      <w:bookmarkEnd w:id="15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spacing w:line="560" w:lineRule="exact"/>
        <w:ind w:firstLine="482" w:firstLineChars="200"/>
        <w:outlineLvl w:val="0"/>
        <w:rPr>
          <w:rFonts w:ascii="仿宋" w:hAnsi="仿宋" w:eastAsia="仿宋"/>
          <w:b/>
          <w:color w:val="auto"/>
          <w:sz w:val="24"/>
          <w:highlight w:val="none"/>
        </w:rPr>
      </w:pPr>
      <w:bookmarkStart w:id="153" w:name="_Toc279701264"/>
      <w:bookmarkStart w:id="154" w:name="_Toc12004"/>
      <w:bookmarkStart w:id="155" w:name="_Toc3148"/>
      <w:bookmarkStart w:id="156" w:name="_Toc16673"/>
      <w:bookmarkStart w:id="157" w:name="_Toc259093693"/>
      <w:bookmarkStart w:id="158" w:name="_Toc487900374"/>
      <w:r>
        <w:rPr>
          <w:rFonts w:ascii="仿宋" w:hAnsi="仿宋" w:eastAsia="仿宋"/>
          <w:b/>
          <w:color w:val="auto"/>
          <w:sz w:val="24"/>
          <w:highlight w:val="none"/>
        </w:rPr>
        <w:t xml:space="preserve">2.20 </w:t>
      </w:r>
      <w:r>
        <w:rPr>
          <w:rFonts w:hint="eastAsia" w:ascii="仿宋" w:hAnsi="仿宋" w:eastAsia="仿宋"/>
          <w:b/>
          <w:color w:val="auto"/>
          <w:sz w:val="24"/>
          <w:highlight w:val="none"/>
        </w:rPr>
        <w:t>履约保证金</w:t>
      </w:r>
      <w:bookmarkEnd w:id="153"/>
      <w:bookmarkEnd w:id="154"/>
      <w:bookmarkEnd w:id="155"/>
      <w:bookmarkEnd w:id="156"/>
      <w:bookmarkEnd w:id="157"/>
    </w:p>
    <w:p>
      <w:pPr>
        <w:pStyle w:val="617"/>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2.20.1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2.20.2  </w:t>
      </w:r>
      <w:r>
        <w:rPr>
          <w:rFonts w:hint="eastAsia" w:ascii="仿宋" w:hAnsi="仿宋" w:eastAsia="仿宋"/>
          <w:color w:val="auto"/>
          <w:sz w:val="24"/>
          <w:highlight w:val="none"/>
        </w:rPr>
        <w:t>履约保证金在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约定的方式将履约保证金退还乙方，逾期退还的，乙方可要求甲方支付违约金，违约金按每迟延退还一日的应退还而未退还金额的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.4</w:t>
      </w:r>
      <w:r>
        <w:rPr>
          <w:rFonts w:hint="eastAsia" w:ascii="仿宋" w:hAnsi="仿宋" w:eastAsia="仿宋"/>
          <w:color w:val="auto"/>
          <w:sz w:val="24"/>
          <w:highlight w:val="none"/>
        </w:rPr>
        <w:t> 甲方根据杭州市政府采购网公布的供应商履约评价情况减免履约保证金。乙方履约验收评价总分为</w:t>
      </w:r>
      <w:r>
        <w:rPr>
          <w:rFonts w:ascii="仿宋" w:hAnsi="仿宋" w:eastAsia="仿宋"/>
          <w:color w:val="auto"/>
          <w:sz w:val="24"/>
          <w:highlight w:val="none"/>
        </w:rPr>
        <w:t>100分的，甲方免收履约保证金；评价总分在90分以上的，收取履约保证金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%；评价总分在不满90分或者暂无评分的，收取履约保证金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w:t>
      </w:r>
    </w:p>
    <w:p>
      <w:pPr>
        <w:spacing w:line="560" w:lineRule="exact"/>
        <w:ind w:firstLine="480" w:firstLineChars="200"/>
        <w:rPr>
          <w:color w:val="auto"/>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.5</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1</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bookmarkEnd w:id="158"/>
    <w:p>
      <w:pPr>
        <w:spacing w:line="560" w:lineRule="exact"/>
        <w:ind w:firstLine="482" w:firstLineChars="200"/>
        <w:outlineLvl w:val="0"/>
        <w:rPr>
          <w:rFonts w:ascii="仿宋" w:hAnsi="仿宋" w:eastAsia="仿宋"/>
          <w:b/>
          <w:color w:val="auto"/>
          <w:sz w:val="24"/>
          <w:highlight w:val="none"/>
        </w:rPr>
      </w:pPr>
      <w:bookmarkStart w:id="159" w:name="_Toc14001"/>
      <w:bookmarkStart w:id="160" w:name="_Toc6885"/>
      <w:bookmarkStart w:id="161" w:name="_Toc19890"/>
      <w:r>
        <w:rPr>
          <w:rFonts w:ascii="仿宋" w:hAnsi="仿宋" w:eastAsia="仿宋"/>
          <w:b/>
          <w:color w:val="auto"/>
          <w:sz w:val="24"/>
          <w:highlight w:val="none"/>
        </w:rPr>
        <w:t>2.2</w:t>
      </w:r>
      <w:r>
        <w:rPr>
          <w:rFonts w:hint="eastAsia" w:ascii="仿宋" w:hAnsi="仿宋" w:eastAsia="仿宋"/>
          <w:b/>
          <w:color w:val="auto"/>
          <w:sz w:val="24"/>
          <w:highlight w:val="none"/>
        </w:rPr>
        <w:t>2合同份数</w:t>
      </w:r>
      <w:bookmarkEnd w:id="159"/>
      <w:bookmarkEnd w:id="160"/>
      <w:bookmarkEnd w:id="161"/>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spacing w:line="560" w:lineRule="exact"/>
        <w:ind w:firstLine="480" w:firstLineChars="200"/>
        <w:rPr>
          <w:rFonts w:ascii="仿宋" w:hAnsi="仿宋" w:eastAsia="仿宋"/>
          <w:color w:val="auto"/>
          <w:sz w:val="24"/>
          <w:highlight w:val="none"/>
        </w:rPr>
      </w:pPr>
    </w:p>
    <w:p>
      <w:pPr>
        <w:spacing w:line="560" w:lineRule="exact"/>
        <w:ind w:firstLine="480" w:firstLineChars="200"/>
        <w:rPr>
          <w:rFonts w:ascii="仿宋" w:hAnsi="仿宋" w:eastAsia="仿宋"/>
          <w:color w:val="auto"/>
          <w:sz w:val="24"/>
          <w:highlight w:val="none"/>
        </w:rPr>
      </w:pPr>
    </w:p>
    <w:p>
      <w:pPr>
        <w:pStyle w:val="386"/>
        <w:spacing w:line="560" w:lineRule="exact"/>
        <w:jc w:val="center"/>
        <w:rPr>
          <w:rFonts w:ascii="仿宋" w:hAnsi="仿宋" w:eastAsia="仿宋"/>
          <w:b/>
          <w:color w:val="auto"/>
          <w:szCs w:val="24"/>
          <w:highlight w:val="none"/>
        </w:rPr>
      </w:pPr>
      <w:r>
        <w:rPr>
          <w:rFonts w:ascii="仿宋" w:hAnsi="仿宋" w:eastAsia="仿宋" w:cs="黑体"/>
          <w:color w:val="auto"/>
          <w:kern w:val="0"/>
          <w:szCs w:val="24"/>
          <w:highlight w:val="none"/>
        </w:rPr>
        <w:br w:type="page"/>
      </w:r>
      <w:bookmarkStart w:id="162" w:name="_Toc331685784"/>
      <w:r>
        <w:rPr>
          <w:rFonts w:hint="eastAsia" w:ascii="仿宋" w:hAnsi="仿宋" w:eastAsia="仿宋"/>
          <w:b/>
          <w:color w:val="auto"/>
          <w:szCs w:val="24"/>
          <w:highlight w:val="none"/>
        </w:rPr>
        <w:t xml:space="preserve"> </w:t>
      </w:r>
      <w:bookmarkEnd w:id="162"/>
      <w:r>
        <w:rPr>
          <w:rFonts w:hint="eastAsia" w:ascii="仿宋" w:hAnsi="仿宋" w:eastAsia="仿宋"/>
          <w:b/>
          <w:color w:val="auto"/>
          <w:szCs w:val="24"/>
          <w:highlight w:val="none"/>
        </w:rPr>
        <w:t>第三部分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合同专用条款</w:t>
      </w:r>
    </w:p>
    <w:p>
      <w:pP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8275" w:type="dxa"/>
            <w:vAlign w:val="top"/>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8275" w:type="dxa"/>
            <w:vAlign w:val="top"/>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r>
              <w:rPr>
                <w:rFonts w:ascii="仿宋" w:hAnsi="仿宋" w:eastAsia="仿宋"/>
                <w:color w:val="auto"/>
                <w:sz w:val="24"/>
                <w:highlight w:val="none"/>
              </w:rPr>
              <w:t xml:space="preserve"> </w:t>
            </w:r>
          </w:p>
        </w:tc>
        <w:tc>
          <w:tcPr>
            <w:tcW w:w="8275" w:type="dxa"/>
            <w:vAlign w:val="center"/>
          </w:tcPr>
          <w:p>
            <w:pPr>
              <w:spacing w:line="360" w:lineRule="auto"/>
              <w:rPr>
                <w:rFonts w:ascii="仿宋" w:hAnsi="仿宋" w:eastAsia="仿宋"/>
                <w:color w:val="auto"/>
                <w:sz w:val="24"/>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28"/>
      <w:r>
        <w:rPr>
          <w:rFonts w:ascii="仿宋" w:hAnsi="仿宋" w:eastAsia="仿宋" w:cs="仿宋_GB2312"/>
          <w:b/>
          <w:color w:val="auto"/>
          <w:sz w:val="36"/>
          <w:szCs w:val="20"/>
          <w:highlight w:val="none"/>
        </w:rPr>
        <w:t xml:space="preserve"> </w:t>
      </w:r>
      <w:bookmarkEnd w:id="29"/>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杭州恒正造价工程师事务所</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lang w:eastAsia="zh-CN"/>
        </w:rPr>
        <w:t>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HZHZCG2022-040</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杭州市临平区第一人民医院医疗区域运送管理服务项目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lang w:eastAsia="zh-CN"/>
        </w:rPr>
        <w:t>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lang w:eastAsia="zh-CN"/>
        </w:rPr>
        <w:t>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u w:val="single" w:color="auto"/>
          <w:lang w:eastAsia="zh-CN"/>
        </w:rPr>
        <w:t>　　　　　　　</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杭州恒正造价工程师事务所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杭州市临平区第一人民医院医疗区域运送管理服务项目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HZHZCG2022-040</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杭州恒正造价工程师事务所</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杭州市临平区第一人民医院医疗区域运送管理服务项目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HZHZCG2022-040</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9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7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90"/>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杭州市临平区第一人民医院医疗区域运送管理服务项目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HZHZCG2022-040</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杭州市临平区第一人民医院医疗区域运送管理服务项目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HZHZCG2022-040</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75"/>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4"/>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76"/>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杭州市临平区第一人民医院</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杭州恒正造价工程师事务所</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杭州市临平区第一人民医院医疗区域运送管理服务项目</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lang w:eastAsia="zh-CN"/>
        </w:rPr>
        <w:t>HZHZCG2022-040</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75"/>
        <w:tblW w:w="104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70"/>
        <w:gridCol w:w="2095"/>
        <w:gridCol w:w="20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blHeader/>
          <w:jc w:val="center"/>
        </w:trPr>
        <w:tc>
          <w:tcPr>
            <w:tcW w:w="6270" w:type="dxa"/>
            <w:tcBorders>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09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209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6270" w:type="dxa"/>
            <w:tcBorders>
              <w:right w:val="single" w:color="auto" w:sz="4" w:space="0"/>
            </w:tcBorders>
            <w:vAlign w:val="center"/>
          </w:tcPr>
          <w:p>
            <w:pPr>
              <w:spacing w:line="360" w:lineRule="auto"/>
              <w:jc w:val="center"/>
              <w:rPr>
                <w:rFonts w:hint="eastAsia" w:ascii="仿宋" w:hAnsi="仿宋" w:eastAsia="仿宋" w:cs="仿宋"/>
                <w:color w:val="auto"/>
                <w:sz w:val="24"/>
                <w:highlight w:val="none"/>
                <w:lang w:eastAsia="zh-CN"/>
              </w:rPr>
            </w:pPr>
            <w:r>
              <w:rPr>
                <w:rFonts w:hint="eastAsia" w:ascii="仿宋_GB2312" w:hAnsi="仿宋" w:eastAsia="仿宋_GB2312" w:cs="仿宋_GB2312"/>
                <w:color w:val="auto"/>
                <w:sz w:val="24"/>
                <w:highlight w:val="none"/>
                <w:lang w:eastAsia="zh-CN"/>
              </w:rPr>
              <w:t>杭州市临平区第一人民医院医疗区域运送管理服务项目</w:t>
            </w:r>
          </w:p>
        </w:tc>
        <w:tc>
          <w:tcPr>
            <w:tcW w:w="209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响应招标文件要求</w:t>
            </w:r>
          </w:p>
        </w:tc>
        <w:tc>
          <w:tcPr>
            <w:tcW w:w="209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0" w:hRule="atLeast"/>
          <w:jc w:val="center"/>
        </w:trPr>
        <w:tc>
          <w:tcPr>
            <w:tcW w:w="6270"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4190" w:type="dxa"/>
            <w:gridSpan w:val="2"/>
            <w:tcBorders>
              <w:lef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w:t>
      </w:r>
      <w:r>
        <w:rPr>
          <w:rFonts w:hint="eastAsia" w:ascii="仿宋_GB2312" w:hAnsi="仿宋" w:eastAsia="仿宋_GB2312" w:cs="仿宋_GB2312"/>
          <w:color w:val="auto"/>
          <w:kern w:val="0"/>
          <w:sz w:val="24"/>
          <w:highlight w:val="none"/>
          <w:lang w:val="zh-CN"/>
        </w:rPr>
        <w:t>杭州市临平区第一人民医院医疗区域运送管理服务项目</w:t>
      </w:r>
      <w:r>
        <w:rPr>
          <w:rFonts w:ascii="仿宋_GB2312" w:hAnsi="仿宋" w:eastAsia="仿宋_GB2312" w:cs="仿宋_GB2312"/>
          <w:color w:val="auto"/>
          <w:kern w:val="0"/>
          <w:sz w:val="24"/>
          <w:highlight w:val="none"/>
          <w:lang w:val="zh-CN"/>
        </w:rPr>
        <w:t>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hd w:val="clear" w:color="auto" w:fill="FFFFFF"/>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投标人名称(公章)：</w:t>
      </w:r>
    </w:p>
    <w:p>
      <w:pPr>
        <w:shd w:val="clear" w:color="auto" w:fill="FFFFFF"/>
        <w:snapToGrid w:val="0"/>
        <w:spacing w:line="360" w:lineRule="auto"/>
        <w:ind w:firstLine="480" w:firstLineChars="200"/>
        <w:jc w:val="righ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法定（授权）代表人（</w:t>
      </w:r>
      <w:r>
        <w:rPr>
          <w:rFonts w:hint="eastAsia" w:ascii="仿宋" w:hAnsi="仿宋" w:eastAsia="仿宋" w:cs="仿宋"/>
          <w:color w:val="auto"/>
          <w:kern w:val="0"/>
          <w:sz w:val="24"/>
          <w:szCs w:val="24"/>
          <w:highlight w:val="none"/>
        </w:rPr>
        <w:t>盖章或签字</w:t>
      </w:r>
      <w:r>
        <w:rPr>
          <w:rFonts w:hint="eastAsia" w:ascii="仿宋" w:hAnsi="仿宋" w:eastAsia="仿宋" w:cs="仿宋"/>
          <w:color w:val="auto"/>
          <w:kern w:val="0"/>
          <w:sz w:val="24"/>
          <w:szCs w:val="24"/>
          <w:highlight w:val="none"/>
          <w:lang w:val="zh-CN"/>
        </w:rPr>
        <w:t>）：</w:t>
      </w:r>
    </w:p>
    <w:p>
      <w:pPr>
        <w:snapToGrid w:val="0"/>
        <w:spacing w:line="360" w:lineRule="auto"/>
        <w:ind w:firstLine="480" w:firstLineChars="200"/>
        <w:jc w:val="right"/>
        <w:rPr>
          <w:rFonts w:ascii="仿宋_GB2312" w:hAnsi="仿宋" w:eastAsia="仿宋_GB2312" w:cs="仿宋_GB2312"/>
          <w:color w:val="auto"/>
          <w:kern w:val="0"/>
          <w:sz w:val="24"/>
          <w:highlight w:val="none"/>
          <w:lang w:val="zh-CN"/>
        </w:rPr>
      </w:pPr>
      <w:r>
        <w:rPr>
          <w:rFonts w:hint="eastAsia" w:ascii="仿宋" w:hAnsi="仿宋" w:eastAsia="仿宋" w:cs="仿宋"/>
          <w:color w:val="auto"/>
          <w:kern w:val="0"/>
          <w:sz w:val="24"/>
          <w:szCs w:val="24"/>
          <w:highlight w:val="none"/>
          <w:lang w:val="zh-CN"/>
        </w:rPr>
        <w:t xml:space="preserve">日期：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pPr>
        <w:pageBreakBefore/>
        <w:shd w:val="clear" w:color="auto" w:fill="FFFFFF"/>
        <w:snapToGrid w:val="0"/>
        <w:spacing w:line="360" w:lineRule="auto"/>
        <w:ind w:firstLine="643" w:firstLineChars="200"/>
        <w:jc w:val="center"/>
        <w:outlineLvl w:val="1"/>
        <w:rPr>
          <w:rFonts w:hint="eastAsia" w:ascii="仿宋" w:hAnsi="仿宋" w:eastAsia="仿宋" w:cs="仿宋"/>
          <w:b/>
          <w:color w:val="auto"/>
          <w:sz w:val="28"/>
          <w:szCs w:val="28"/>
          <w:highlight w:val="none"/>
        </w:rPr>
      </w:pPr>
      <w:r>
        <w:rPr>
          <w:rFonts w:hint="eastAsia" w:ascii="仿宋" w:hAnsi="仿宋" w:eastAsia="仿宋" w:cs="仿宋"/>
          <w:b/>
          <w:bCs/>
          <w:color w:val="auto"/>
          <w:sz w:val="32"/>
          <w:szCs w:val="32"/>
          <w:highlight w:val="none"/>
        </w:rPr>
        <w:t>报价明细清单</w:t>
      </w:r>
    </w:p>
    <w:p>
      <w:pPr>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                          招标编号：</w:t>
      </w:r>
    </w:p>
    <w:tbl>
      <w:tblPr>
        <w:tblStyle w:val="75"/>
        <w:tblW w:w="95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73"/>
        <w:gridCol w:w="2284"/>
        <w:gridCol w:w="727"/>
        <w:gridCol w:w="861"/>
        <w:gridCol w:w="1522"/>
        <w:gridCol w:w="944"/>
        <w:gridCol w:w="2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60" w:hRule="atLeast"/>
          <w:jc w:val="center"/>
        </w:trPr>
        <w:tc>
          <w:tcPr>
            <w:tcW w:w="573"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284"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w:t>
            </w:r>
          </w:p>
        </w:tc>
        <w:tc>
          <w:tcPr>
            <w:tcW w:w="727"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计量单位</w:t>
            </w:r>
          </w:p>
        </w:tc>
        <w:tc>
          <w:tcPr>
            <w:tcW w:w="861"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522" w:type="dxa"/>
            <w:tcBorders>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单价</w:t>
            </w:r>
          </w:p>
        </w:tc>
        <w:tc>
          <w:tcPr>
            <w:tcW w:w="944" w:type="dxa"/>
            <w:tcBorders>
              <w:lef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小计（元）</w:t>
            </w:r>
          </w:p>
        </w:tc>
        <w:tc>
          <w:tcPr>
            <w:tcW w:w="2647"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80" w:hRule="atLeast"/>
          <w:jc w:val="center"/>
        </w:trPr>
        <w:tc>
          <w:tcPr>
            <w:tcW w:w="573"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2284" w:type="dxa"/>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highlight w:val="none"/>
                <w:lang w:val="en-US"/>
              </w:rPr>
            </w:pPr>
          </w:p>
        </w:tc>
        <w:tc>
          <w:tcPr>
            <w:tcW w:w="727"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p>
        </w:tc>
        <w:tc>
          <w:tcPr>
            <w:tcW w:w="861"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val="en-US" w:eastAsia="zh-CN"/>
              </w:rPr>
            </w:pPr>
          </w:p>
        </w:tc>
        <w:tc>
          <w:tcPr>
            <w:tcW w:w="1522" w:type="dxa"/>
            <w:tcBorders>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c>
          <w:tcPr>
            <w:tcW w:w="944" w:type="dxa"/>
            <w:tcBorders>
              <w:lef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p>
        </w:tc>
        <w:tc>
          <w:tcPr>
            <w:tcW w:w="2647"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80" w:hRule="atLeast"/>
          <w:jc w:val="center"/>
        </w:trPr>
        <w:tc>
          <w:tcPr>
            <w:tcW w:w="573"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p>
        </w:tc>
        <w:tc>
          <w:tcPr>
            <w:tcW w:w="2284" w:type="dxa"/>
            <w:tcMar>
              <w:top w:w="15" w:type="dxa"/>
              <w:left w:w="15" w:type="dxa"/>
              <w:right w:w="15" w:type="dxa"/>
            </w:tcMar>
            <w:vAlign w:val="center"/>
          </w:tcPr>
          <w:p>
            <w:pPr>
              <w:widowControl/>
              <w:jc w:val="both"/>
              <w:textAlignment w:val="center"/>
              <w:rPr>
                <w:rFonts w:hint="eastAsia" w:ascii="仿宋" w:hAnsi="仿宋" w:eastAsia="仿宋" w:cs="仿宋"/>
                <w:color w:val="auto"/>
                <w:kern w:val="0"/>
                <w:sz w:val="24"/>
                <w:highlight w:val="none"/>
              </w:rPr>
            </w:pPr>
          </w:p>
        </w:tc>
        <w:tc>
          <w:tcPr>
            <w:tcW w:w="727"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val="en-US" w:eastAsia="zh-CN"/>
              </w:rPr>
            </w:pPr>
          </w:p>
        </w:tc>
        <w:tc>
          <w:tcPr>
            <w:tcW w:w="861"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val="en-US" w:eastAsia="zh-CN"/>
              </w:rPr>
            </w:pPr>
          </w:p>
        </w:tc>
        <w:tc>
          <w:tcPr>
            <w:tcW w:w="1522" w:type="dxa"/>
            <w:tcBorders>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c>
          <w:tcPr>
            <w:tcW w:w="944" w:type="dxa"/>
            <w:tcBorders>
              <w:lef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p>
        </w:tc>
        <w:tc>
          <w:tcPr>
            <w:tcW w:w="2647"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80" w:hRule="atLeast"/>
          <w:jc w:val="center"/>
        </w:trPr>
        <w:tc>
          <w:tcPr>
            <w:tcW w:w="573"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3</w:t>
            </w:r>
          </w:p>
        </w:tc>
        <w:tc>
          <w:tcPr>
            <w:tcW w:w="2284"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c>
          <w:tcPr>
            <w:tcW w:w="727"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p>
        </w:tc>
        <w:tc>
          <w:tcPr>
            <w:tcW w:w="861"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p>
        </w:tc>
        <w:tc>
          <w:tcPr>
            <w:tcW w:w="1522" w:type="dxa"/>
            <w:tcBorders>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c>
          <w:tcPr>
            <w:tcW w:w="944" w:type="dxa"/>
            <w:tcBorders>
              <w:lef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p>
        </w:tc>
        <w:tc>
          <w:tcPr>
            <w:tcW w:w="2647"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80" w:hRule="atLeast"/>
          <w:jc w:val="center"/>
        </w:trPr>
        <w:tc>
          <w:tcPr>
            <w:tcW w:w="573"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w:t>
            </w:r>
          </w:p>
        </w:tc>
        <w:tc>
          <w:tcPr>
            <w:tcW w:w="2284" w:type="dxa"/>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highlight w:val="none"/>
                <w:lang w:val="en-US"/>
              </w:rPr>
            </w:pPr>
          </w:p>
        </w:tc>
        <w:tc>
          <w:tcPr>
            <w:tcW w:w="727"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c>
          <w:tcPr>
            <w:tcW w:w="861"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c>
          <w:tcPr>
            <w:tcW w:w="1522" w:type="dxa"/>
            <w:tcBorders>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c>
          <w:tcPr>
            <w:tcW w:w="944" w:type="dxa"/>
            <w:tcBorders>
              <w:lef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p>
        </w:tc>
        <w:tc>
          <w:tcPr>
            <w:tcW w:w="2647"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80" w:hRule="atLeast"/>
          <w:jc w:val="center"/>
        </w:trPr>
        <w:tc>
          <w:tcPr>
            <w:tcW w:w="573"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5</w:t>
            </w:r>
          </w:p>
        </w:tc>
        <w:tc>
          <w:tcPr>
            <w:tcW w:w="2284" w:type="dxa"/>
            <w:tcMar>
              <w:top w:w="15" w:type="dxa"/>
              <w:left w:w="15" w:type="dxa"/>
              <w:right w:w="15" w:type="dxa"/>
            </w:tcMar>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rPr>
                <w:rFonts w:hint="default" w:ascii="仿宋" w:hAnsi="仿宋" w:eastAsia="仿宋" w:cs="仿宋"/>
                <w:color w:val="auto"/>
                <w:kern w:val="0"/>
                <w:sz w:val="24"/>
                <w:highlight w:val="none"/>
                <w:lang w:val="en-US"/>
              </w:rPr>
            </w:pPr>
          </w:p>
        </w:tc>
        <w:tc>
          <w:tcPr>
            <w:tcW w:w="727" w:type="dxa"/>
            <w:tcMar>
              <w:top w:w="15" w:type="dxa"/>
              <w:left w:w="15" w:type="dxa"/>
              <w:right w:w="15" w:type="dxa"/>
            </w:tcMar>
            <w:vAlign w:val="center"/>
          </w:tcPr>
          <w:p>
            <w:pPr>
              <w:widowControl/>
              <w:ind w:firstLine="240" w:firstLineChars="100"/>
              <w:jc w:val="both"/>
              <w:textAlignment w:val="center"/>
              <w:rPr>
                <w:rFonts w:hint="default" w:ascii="仿宋" w:hAnsi="仿宋" w:eastAsia="仿宋" w:cs="仿宋"/>
                <w:color w:val="auto"/>
                <w:kern w:val="0"/>
                <w:sz w:val="24"/>
                <w:highlight w:val="none"/>
                <w:lang w:val="en-US" w:eastAsia="zh-CN"/>
              </w:rPr>
            </w:pPr>
          </w:p>
        </w:tc>
        <w:tc>
          <w:tcPr>
            <w:tcW w:w="861"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p>
        </w:tc>
        <w:tc>
          <w:tcPr>
            <w:tcW w:w="1522" w:type="dxa"/>
            <w:tcBorders>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p>
        </w:tc>
        <w:tc>
          <w:tcPr>
            <w:tcW w:w="944" w:type="dxa"/>
            <w:tcBorders>
              <w:left w:val="single" w:color="auto" w:sz="4" w:space="0"/>
            </w:tcBorders>
            <w:vAlign w:val="center"/>
          </w:tcPr>
          <w:p>
            <w:pPr>
              <w:widowControl/>
              <w:jc w:val="center"/>
              <w:textAlignment w:val="center"/>
              <w:rPr>
                <w:rFonts w:hint="eastAsia" w:ascii="仿宋" w:hAnsi="仿宋" w:eastAsia="仿宋" w:cs="仿宋"/>
                <w:color w:val="auto"/>
                <w:kern w:val="0"/>
                <w:sz w:val="24"/>
                <w:highlight w:val="none"/>
              </w:rPr>
            </w:pPr>
          </w:p>
        </w:tc>
        <w:tc>
          <w:tcPr>
            <w:tcW w:w="2647" w:type="dxa"/>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80" w:hRule="atLeast"/>
          <w:jc w:val="center"/>
        </w:trPr>
        <w:tc>
          <w:tcPr>
            <w:tcW w:w="573"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2284" w:type="dxa"/>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合计</w:t>
            </w:r>
          </w:p>
        </w:tc>
        <w:tc>
          <w:tcPr>
            <w:tcW w:w="6701" w:type="dxa"/>
            <w:gridSpan w:val="5"/>
            <w:tcMar>
              <w:top w:w="15" w:type="dxa"/>
              <w:left w:w="15" w:type="dxa"/>
              <w:right w:w="15" w:type="dxa"/>
            </w:tcMar>
            <w:vAlign w:val="center"/>
          </w:tcPr>
          <w:p>
            <w:pPr>
              <w:widowControl/>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小写：                    元</w:t>
            </w:r>
          </w:p>
          <w:p>
            <w:pPr>
              <w:widowControl/>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大写：                    元</w:t>
            </w:r>
          </w:p>
        </w:tc>
      </w:tr>
    </w:tbl>
    <w:p>
      <w:pPr>
        <w:pStyle w:val="3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注：</w:t>
      </w: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 xml:space="preserve">可根据具体情况调整报价明细清单格式，但应包括项目涉及的一切相关税费等费用。  </w:t>
      </w:r>
    </w:p>
    <w:p>
      <w:pPr>
        <w:pStyle w:val="35"/>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2、分项报价表中合计总价应与开标一览表中的各项相应报价相一致。    </w:t>
      </w:r>
    </w:p>
    <w:p>
      <w:pPr>
        <w:pStyle w:val="35"/>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3、漏报视作包含在投标总价内。 </w:t>
      </w:r>
    </w:p>
    <w:p>
      <w:pPr>
        <w:shd w:val="clear" w:color="auto" w:fill="FFFFFF"/>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投标人名称(公章)：</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法定（授权）代表人（</w:t>
      </w:r>
      <w:r>
        <w:rPr>
          <w:rFonts w:hint="eastAsia" w:ascii="仿宋" w:hAnsi="仿宋" w:eastAsia="仿宋" w:cs="仿宋"/>
          <w:color w:val="auto"/>
          <w:kern w:val="0"/>
          <w:sz w:val="24"/>
          <w:szCs w:val="24"/>
          <w:highlight w:val="none"/>
        </w:rPr>
        <w:t>盖章或签字</w:t>
      </w:r>
      <w:r>
        <w:rPr>
          <w:rFonts w:hint="eastAsia" w:ascii="仿宋" w:hAnsi="仿宋" w:eastAsia="仿宋" w:cs="仿宋"/>
          <w:color w:val="auto"/>
          <w:kern w:val="0"/>
          <w:sz w:val="24"/>
          <w:szCs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日期：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pPr>
        <w:pStyle w:val="377"/>
        <w:tabs>
          <w:tab w:val="clear" w:pos="720"/>
        </w:tabs>
        <w:snapToGrid w:val="0"/>
        <w:spacing w:before="120" w:after="120"/>
        <w:jc w:val="both"/>
        <w:outlineLvl w:val="9"/>
        <w:rPr>
          <w:rFonts w:ascii="仿宋_GB2312" w:hAnsi="仿宋" w:eastAsia="仿宋_GB2312" w:cs="仿宋_GB2312"/>
          <w:color w:val="auto"/>
          <w:kern w:val="2"/>
          <w:sz w:val="32"/>
          <w:szCs w:val="32"/>
          <w:highlight w:val="none"/>
        </w:rPr>
        <w:sectPr>
          <w:pgSz w:w="11906" w:h="16838" w:orient="landscape"/>
          <w:pgMar w:top="1247" w:right="1417" w:bottom="1276" w:left="1417" w:header="851" w:footer="992" w:gutter="0"/>
          <w:pgNumType w:fmt="decimal"/>
          <w:cols w:space="720" w:num="1"/>
          <w:titlePg/>
          <w:rtlGutter w:val="0"/>
          <w:docGrid w:linePitch="312" w:charSpace="0"/>
        </w:sectPr>
      </w:pPr>
    </w:p>
    <w:p>
      <w:pPr>
        <w:pStyle w:val="377"/>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spacing w:line="360" w:lineRule="auto"/>
        <w:ind w:right="42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4"/>
        <w:numPr>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4"/>
        <w:numPr>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163" w:name="_Toc465665161"/>
      <w:r>
        <w:rPr>
          <w:rFonts w:hint="eastAsia" w:ascii="仿宋_GB2312" w:hAnsi="仿宋" w:eastAsia="仿宋_GB2312"/>
          <w:color w:val="auto"/>
          <w:highlight w:val="none"/>
        </w:rPr>
        <w:t>附件</w:t>
      </w:r>
      <w:bookmarkEnd w:id="163"/>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164" w:name="OLE_LINK14"/>
      <w:bookmarkStart w:id="165" w:name="OLE_LINK13"/>
      <w:r>
        <w:rPr>
          <w:rFonts w:hint="eastAsia" w:ascii="仿宋_GB2312" w:hAnsi="仿宋" w:eastAsia="仿宋_GB2312"/>
          <w:b/>
          <w:color w:val="auto"/>
          <w:spacing w:val="6"/>
          <w:sz w:val="32"/>
          <w:szCs w:val="32"/>
          <w:highlight w:val="none"/>
        </w:rPr>
        <w:t>残疾人福利性单位声明函</w:t>
      </w:r>
    </w:p>
    <w:bookmarkEnd w:id="164"/>
    <w:bookmarkEnd w:id="165"/>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w:t>
      </w:r>
      <w:r>
        <w:rPr>
          <w:rFonts w:hint="eastAsia" w:ascii="仿宋_GB2312" w:hAnsi="仿宋" w:eastAsia="仿宋_GB2312"/>
          <w:color w:val="auto"/>
          <w:sz w:val="24"/>
          <w:highlight w:val="none"/>
          <w:lang w:eastAsia="zh-CN"/>
        </w:rPr>
        <w:t>杭州市临平区第一人民医院医疗区域运送管理服务项目</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lang w:val="en-US" w:eastAsia="zh-CN"/>
        </w:rPr>
        <w:t>杭州市临平区第一人民医院</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杭州恒正造价工程师事务所：</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杭州市临平区第一人民医院医疗区域运送管理服务项目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HZHZCG2022-040</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color w:val="auto"/>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杭州市临平区第一人民医院医疗区域运送管理服务项目</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杭州市临平区第一人民医院医疗区域运送管理服务项目</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PMingLiU_x0004_falt">
    <w:altName w:val="Microsoft JhengHei"/>
    <w:panose1 w:val="02010601000101010101"/>
    <w:charset w:val="88"/>
    <w:family w:val="auto"/>
    <w:pitch w:val="default"/>
    <w:sig w:usb0="00000000" w:usb1="00000000" w:usb2="00000010" w:usb3="00000000" w:csb0="00100000" w:csb1="00000000"/>
  </w:font>
  <w:font w:name="??">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framePr w:wrap="around" w:vAnchor="text" w:hAnchor="margin" w:xAlign="right" w:y="1"/>
      <w:rPr>
        <w:rStyle w:val="68"/>
      </w:rPr>
    </w:pPr>
    <w:r>
      <w:fldChar w:fldCharType="begin"/>
    </w:r>
    <w:r>
      <w:rPr>
        <w:rStyle w:val="68"/>
      </w:rPr>
      <w:instrText xml:space="preserve">PAGE  </w:instrText>
    </w:r>
    <w:r>
      <w:fldChar w:fldCharType="separate"/>
    </w:r>
    <w:r>
      <w:rPr>
        <w:rStyle w:val="68"/>
      </w:rPr>
      <w:t>27</w: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166" w:name="_Toc131845147"/>
    <w:bookmarkStart w:id="167" w:name="_Toc164085800"/>
    <w:bookmarkStart w:id="168" w:name="_Toc36110187"/>
    <w:bookmarkStart w:id="169" w:name="_Toc91899912"/>
    <w:r>
      <w:rPr>
        <w:rFonts w:hint="eastAsia" w:ascii="仿宋_GB2312" w:eastAsia="仿宋_GB2312"/>
        <w:kern w:val="0"/>
        <w:szCs w:val="21"/>
      </w:rPr>
      <w:t xml:space="preserve"> 页</w:t>
    </w:r>
    <w:bookmarkEnd w:id="166"/>
    <w:bookmarkEnd w:id="167"/>
    <w:bookmarkEnd w:id="168"/>
    <w:bookmarkEnd w:id="16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framePr w:wrap="around" w:vAnchor="text" w:hAnchor="margin" w:xAlign="right" w:y="1"/>
      <w:rPr>
        <w:rStyle w:val="68"/>
      </w:rPr>
    </w:pPr>
    <w:r>
      <w:fldChar w:fldCharType="begin"/>
    </w:r>
    <w:r>
      <w:rPr>
        <w:rStyle w:val="68"/>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5"/>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97104044">
    <w:nsid w:val="2F82D7AC"/>
    <w:multiLevelType w:val="singleLevel"/>
    <w:tmpl w:val="2F82D7AC"/>
    <w:lvl w:ilvl="0" w:tentative="1">
      <w:start w:val="1"/>
      <w:numFmt w:val="decimal"/>
      <w:lvlText w:val="%1."/>
      <w:lvlJc w:val="left"/>
      <w:pPr>
        <w:tabs>
          <w:tab w:val="left" w:pos="312"/>
        </w:tabs>
      </w:pPr>
    </w:lvl>
  </w:abstractNum>
  <w:abstractNum w:abstractNumId="1648796516">
    <w:nsid w:val="6246A364"/>
    <w:multiLevelType w:val="singleLevel"/>
    <w:tmpl w:val="6246A364"/>
    <w:lvl w:ilvl="0" w:tentative="1">
      <w:start w:val="1"/>
      <w:numFmt w:val="decimal"/>
      <w:suff w:val="nothing"/>
      <w:lvlText w:val="%1．"/>
      <w:lvlJc w:val="left"/>
      <w:pPr>
        <w:ind w:left="0" w:leftChars="0" w:firstLine="400" w:firstLineChars="0"/>
      </w:pPr>
      <w:rPr>
        <w:rFonts w:hint="default"/>
      </w:rPr>
    </w:lvl>
  </w:abstractNum>
  <w:abstractNum w:abstractNumId="3277015929">
    <w:nsid w:val="C3534B79"/>
    <w:multiLevelType w:val="singleLevel"/>
    <w:tmpl w:val="C3534B79"/>
    <w:lvl w:ilvl="0" w:tentative="1">
      <w:start w:val="1"/>
      <w:numFmt w:val="decimal"/>
      <w:suff w:val="nothing"/>
      <w:lvlText w:val="%1、"/>
      <w:lvlJc w:val="left"/>
    </w:lvl>
  </w:abstractNum>
  <w:abstractNum w:abstractNumId="1656550980">
    <w:nsid w:val="62BCF644"/>
    <w:multiLevelType w:val="singleLevel"/>
    <w:tmpl w:val="62BCF644"/>
    <w:lvl w:ilvl="0" w:tentative="1">
      <w:start w:val="1"/>
      <w:numFmt w:val="decimal"/>
      <w:suff w:val="nothing"/>
      <w:lvlText w:val="%1、"/>
      <w:lvlJc w:val="left"/>
    </w:lvl>
  </w:abstractNum>
  <w:num w:numId="1">
    <w:abstractNumId w:val="1656550980"/>
  </w:num>
  <w:num w:numId="2">
    <w:abstractNumId w:val="1648796516"/>
  </w:num>
  <w:num w:numId="3">
    <w:abstractNumId w:val="797104044"/>
  </w:num>
  <w:num w:numId="4">
    <w:abstractNumId w:val="32770159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YyMzFmMjUwY2M5M2U3YTU2ODM3NGQ4YmVkMGE5ZG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23"/>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60E"/>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A0733"/>
    <w:rsid w:val="019F7441"/>
    <w:rsid w:val="01B37585"/>
    <w:rsid w:val="01BA1319"/>
    <w:rsid w:val="01D55165"/>
    <w:rsid w:val="01DF6BF8"/>
    <w:rsid w:val="01EC2C57"/>
    <w:rsid w:val="023747AF"/>
    <w:rsid w:val="02680801"/>
    <w:rsid w:val="026B2E25"/>
    <w:rsid w:val="02824D4D"/>
    <w:rsid w:val="02BA0289"/>
    <w:rsid w:val="02DC4B10"/>
    <w:rsid w:val="02DD76CE"/>
    <w:rsid w:val="02F36323"/>
    <w:rsid w:val="02F5619C"/>
    <w:rsid w:val="030D350D"/>
    <w:rsid w:val="0326446A"/>
    <w:rsid w:val="032D5555"/>
    <w:rsid w:val="032F27C8"/>
    <w:rsid w:val="033F4FE1"/>
    <w:rsid w:val="036634D2"/>
    <w:rsid w:val="03C97144"/>
    <w:rsid w:val="03DD35E4"/>
    <w:rsid w:val="04076900"/>
    <w:rsid w:val="041A5A3B"/>
    <w:rsid w:val="042311BA"/>
    <w:rsid w:val="042B157A"/>
    <w:rsid w:val="045525AB"/>
    <w:rsid w:val="048F763B"/>
    <w:rsid w:val="049F330E"/>
    <w:rsid w:val="04AA775C"/>
    <w:rsid w:val="04AF1889"/>
    <w:rsid w:val="04F66F48"/>
    <w:rsid w:val="05251E14"/>
    <w:rsid w:val="05A16594"/>
    <w:rsid w:val="05A7762D"/>
    <w:rsid w:val="05C11F8B"/>
    <w:rsid w:val="05FB7CD5"/>
    <w:rsid w:val="060E5941"/>
    <w:rsid w:val="06110FAF"/>
    <w:rsid w:val="063B6F48"/>
    <w:rsid w:val="06493CA7"/>
    <w:rsid w:val="065A6178"/>
    <w:rsid w:val="066F1CF3"/>
    <w:rsid w:val="06930BB8"/>
    <w:rsid w:val="06AD0181"/>
    <w:rsid w:val="06CC0A35"/>
    <w:rsid w:val="07245D42"/>
    <w:rsid w:val="07264C62"/>
    <w:rsid w:val="0779354C"/>
    <w:rsid w:val="079061F5"/>
    <w:rsid w:val="07FB435D"/>
    <w:rsid w:val="08061376"/>
    <w:rsid w:val="08452D77"/>
    <w:rsid w:val="086401F8"/>
    <w:rsid w:val="08751CAA"/>
    <w:rsid w:val="087E4C40"/>
    <w:rsid w:val="08D66AD6"/>
    <w:rsid w:val="08DA33A3"/>
    <w:rsid w:val="08E80F13"/>
    <w:rsid w:val="09184D77"/>
    <w:rsid w:val="09335624"/>
    <w:rsid w:val="0944690F"/>
    <w:rsid w:val="09535675"/>
    <w:rsid w:val="095F057D"/>
    <w:rsid w:val="09642282"/>
    <w:rsid w:val="09733572"/>
    <w:rsid w:val="09772C16"/>
    <w:rsid w:val="098353B5"/>
    <w:rsid w:val="09A92330"/>
    <w:rsid w:val="09B06B87"/>
    <w:rsid w:val="09C13146"/>
    <w:rsid w:val="09E04166"/>
    <w:rsid w:val="0A1C0718"/>
    <w:rsid w:val="0A1F33AB"/>
    <w:rsid w:val="0A3E7710"/>
    <w:rsid w:val="0A5B7E63"/>
    <w:rsid w:val="0AA374A5"/>
    <w:rsid w:val="0AAB7649"/>
    <w:rsid w:val="0ABC5606"/>
    <w:rsid w:val="0AC460B7"/>
    <w:rsid w:val="0AC515BB"/>
    <w:rsid w:val="0B30404E"/>
    <w:rsid w:val="0B4C6C14"/>
    <w:rsid w:val="0B631A88"/>
    <w:rsid w:val="0B683D45"/>
    <w:rsid w:val="0B737155"/>
    <w:rsid w:val="0B7F3F11"/>
    <w:rsid w:val="0B884417"/>
    <w:rsid w:val="0BF6188C"/>
    <w:rsid w:val="0BF73C91"/>
    <w:rsid w:val="0C13125D"/>
    <w:rsid w:val="0C170175"/>
    <w:rsid w:val="0C571A41"/>
    <w:rsid w:val="0C5C1171"/>
    <w:rsid w:val="0C5E1CBC"/>
    <w:rsid w:val="0C615B50"/>
    <w:rsid w:val="0C8445DA"/>
    <w:rsid w:val="0C87121B"/>
    <w:rsid w:val="0CA30B4B"/>
    <w:rsid w:val="0CC007F7"/>
    <w:rsid w:val="0CC25B7D"/>
    <w:rsid w:val="0CC37D7B"/>
    <w:rsid w:val="0CFE707A"/>
    <w:rsid w:val="0D063BDA"/>
    <w:rsid w:val="0D08375F"/>
    <w:rsid w:val="0D184CFB"/>
    <w:rsid w:val="0D4A7419"/>
    <w:rsid w:val="0D827401"/>
    <w:rsid w:val="0D84094E"/>
    <w:rsid w:val="0D8A00E9"/>
    <w:rsid w:val="0D8D589E"/>
    <w:rsid w:val="0DA01C73"/>
    <w:rsid w:val="0DD63300"/>
    <w:rsid w:val="0DF50604"/>
    <w:rsid w:val="0DF702FE"/>
    <w:rsid w:val="0DF907CA"/>
    <w:rsid w:val="0E060E51"/>
    <w:rsid w:val="0E1267A4"/>
    <w:rsid w:val="0E1B1632"/>
    <w:rsid w:val="0E5604B2"/>
    <w:rsid w:val="0E6D5D79"/>
    <w:rsid w:val="0E9D0089"/>
    <w:rsid w:val="0EB803EE"/>
    <w:rsid w:val="0EE73304"/>
    <w:rsid w:val="0EF94D4B"/>
    <w:rsid w:val="0F0363F2"/>
    <w:rsid w:val="0F4958DC"/>
    <w:rsid w:val="0F515DF7"/>
    <w:rsid w:val="0F596BA8"/>
    <w:rsid w:val="0F6248D2"/>
    <w:rsid w:val="0F693536"/>
    <w:rsid w:val="0F721BE3"/>
    <w:rsid w:val="0F7B0511"/>
    <w:rsid w:val="0F7B76D9"/>
    <w:rsid w:val="0F816ACD"/>
    <w:rsid w:val="0F9832DB"/>
    <w:rsid w:val="0FB97DD9"/>
    <w:rsid w:val="0FBF3FD2"/>
    <w:rsid w:val="0FBF7FF3"/>
    <w:rsid w:val="0FCD487B"/>
    <w:rsid w:val="10646583"/>
    <w:rsid w:val="107D4B15"/>
    <w:rsid w:val="108A3C80"/>
    <w:rsid w:val="10C26171"/>
    <w:rsid w:val="10F33360"/>
    <w:rsid w:val="10FC16EA"/>
    <w:rsid w:val="110F1D40"/>
    <w:rsid w:val="11266F33"/>
    <w:rsid w:val="114B0570"/>
    <w:rsid w:val="115320F9"/>
    <w:rsid w:val="118963A1"/>
    <w:rsid w:val="11C6522A"/>
    <w:rsid w:val="11E104CC"/>
    <w:rsid w:val="11E20309"/>
    <w:rsid w:val="12255233"/>
    <w:rsid w:val="122B6934"/>
    <w:rsid w:val="12530213"/>
    <w:rsid w:val="127723A9"/>
    <w:rsid w:val="127D6363"/>
    <w:rsid w:val="12862074"/>
    <w:rsid w:val="12883966"/>
    <w:rsid w:val="129E45B4"/>
    <w:rsid w:val="12AF723E"/>
    <w:rsid w:val="12D81596"/>
    <w:rsid w:val="13072A44"/>
    <w:rsid w:val="13251FF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0191E"/>
    <w:rsid w:val="15762120"/>
    <w:rsid w:val="15C47445"/>
    <w:rsid w:val="15D62BE2"/>
    <w:rsid w:val="16930A17"/>
    <w:rsid w:val="16A8729C"/>
    <w:rsid w:val="16B33777"/>
    <w:rsid w:val="16BC70A7"/>
    <w:rsid w:val="16C6339E"/>
    <w:rsid w:val="172F2D79"/>
    <w:rsid w:val="17557BEF"/>
    <w:rsid w:val="177A3293"/>
    <w:rsid w:val="17BF5F86"/>
    <w:rsid w:val="17D349C1"/>
    <w:rsid w:val="17D426A8"/>
    <w:rsid w:val="1830729E"/>
    <w:rsid w:val="1870062C"/>
    <w:rsid w:val="18817102"/>
    <w:rsid w:val="18830A15"/>
    <w:rsid w:val="18852B28"/>
    <w:rsid w:val="188B5321"/>
    <w:rsid w:val="18A85F03"/>
    <w:rsid w:val="18F32AFF"/>
    <w:rsid w:val="19932372"/>
    <w:rsid w:val="19A20DD5"/>
    <w:rsid w:val="19AE03F1"/>
    <w:rsid w:val="1A071A03"/>
    <w:rsid w:val="1A1F16AE"/>
    <w:rsid w:val="1A3B5C77"/>
    <w:rsid w:val="1A555BBE"/>
    <w:rsid w:val="1A984BAD"/>
    <w:rsid w:val="1AB8220E"/>
    <w:rsid w:val="1ABF0FF7"/>
    <w:rsid w:val="1AE4166C"/>
    <w:rsid w:val="1AF06CFB"/>
    <w:rsid w:val="1AF11B8D"/>
    <w:rsid w:val="1B11359C"/>
    <w:rsid w:val="1B2A271F"/>
    <w:rsid w:val="1B530544"/>
    <w:rsid w:val="1B5B2EEE"/>
    <w:rsid w:val="1B713184"/>
    <w:rsid w:val="1BA209CF"/>
    <w:rsid w:val="1BA558EC"/>
    <w:rsid w:val="1BB4777D"/>
    <w:rsid w:val="1BD75AB8"/>
    <w:rsid w:val="1C0459C2"/>
    <w:rsid w:val="1C1B3B4A"/>
    <w:rsid w:val="1C88086E"/>
    <w:rsid w:val="1D266CE1"/>
    <w:rsid w:val="1D3963AF"/>
    <w:rsid w:val="1D3F0ED1"/>
    <w:rsid w:val="1D5B14D4"/>
    <w:rsid w:val="1D6A673C"/>
    <w:rsid w:val="1D9247AE"/>
    <w:rsid w:val="1DB567EC"/>
    <w:rsid w:val="1DD1717A"/>
    <w:rsid w:val="1DE816D0"/>
    <w:rsid w:val="1DF51A98"/>
    <w:rsid w:val="1E161E6D"/>
    <w:rsid w:val="1E3D060F"/>
    <w:rsid w:val="1E3F7D2E"/>
    <w:rsid w:val="1E4134E4"/>
    <w:rsid w:val="1E5062B3"/>
    <w:rsid w:val="1E523514"/>
    <w:rsid w:val="1E714A66"/>
    <w:rsid w:val="1E802593"/>
    <w:rsid w:val="1EA703CC"/>
    <w:rsid w:val="1EB7330C"/>
    <w:rsid w:val="1F0A0FF3"/>
    <w:rsid w:val="1F3B67A5"/>
    <w:rsid w:val="1F5771FF"/>
    <w:rsid w:val="1F6E461D"/>
    <w:rsid w:val="1F842044"/>
    <w:rsid w:val="1FB2188E"/>
    <w:rsid w:val="1FE864E5"/>
    <w:rsid w:val="1FE868A9"/>
    <w:rsid w:val="20034907"/>
    <w:rsid w:val="2012512B"/>
    <w:rsid w:val="20173E4B"/>
    <w:rsid w:val="20306FE9"/>
    <w:rsid w:val="2040320F"/>
    <w:rsid w:val="204E48BC"/>
    <w:rsid w:val="208921B3"/>
    <w:rsid w:val="208D52D1"/>
    <w:rsid w:val="209059F9"/>
    <w:rsid w:val="20973DEB"/>
    <w:rsid w:val="20B26522"/>
    <w:rsid w:val="20B44310"/>
    <w:rsid w:val="211116EB"/>
    <w:rsid w:val="216133FC"/>
    <w:rsid w:val="21B50560"/>
    <w:rsid w:val="21D56769"/>
    <w:rsid w:val="21E52EF3"/>
    <w:rsid w:val="21E83A2C"/>
    <w:rsid w:val="21FB5D7B"/>
    <w:rsid w:val="220B1C3D"/>
    <w:rsid w:val="221D1D20"/>
    <w:rsid w:val="22257114"/>
    <w:rsid w:val="22334A87"/>
    <w:rsid w:val="22BE6801"/>
    <w:rsid w:val="233500BF"/>
    <w:rsid w:val="23377FF7"/>
    <w:rsid w:val="236B425F"/>
    <w:rsid w:val="23836192"/>
    <w:rsid w:val="23901F29"/>
    <w:rsid w:val="239C0061"/>
    <w:rsid w:val="23B65BEB"/>
    <w:rsid w:val="23B908A4"/>
    <w:rsid w:val="23E95BEF"/>
    <w:rsid w:val="23FD0064"/>
    <w:rsid w:val="245375B0"/>
    <w:rsid w:val="24642C0A"/>
    <w:rsid w:val="24B22173"/>
    <w:rsid w:val="24B506C7"/>
    <w:rsid w:val="24B95AD9"/>
    <w:rsid w:val="24BE24DA"/>
    <w:rsid w:val="24CF5825"/>
    <w:rsid w:val="24D663E6"/>
    <w:rsid w:val="24D77F2B"/>
    <w:rsid w:val="25207D76"/>
    <w:rsid w:val="258B00E2"/>
    <w:rsid w:val="25A917A6"/>
    <w:rsid w:val="25BE27CC"/>
    <w:rsid w:val="25E5683B"/>
    <w:rsid w:val="25F74A5C"/>
    <w:rsid w:val="2628662C"/>
    <w:rsid w:val="262D45DE"/>
    <w:rsid w:val="26A53EF9"/>
    <w:rsid w:val="26A94201"/>
    <w:rsid w:val="26AC274F"/>
    <w:rsid w:val="27044A29"/>
    <w:rsid w:val="271D34C8"/>
    <w:rsid w:val="276142BF"/>
    <w:rsid w:val="27783712"/>
    <w:rsid w:val="27907362"/>
    <w:rsid w:val="27B81FB9"/>
    <w:rsid w:val="28333E1D"/>
    <w:rsid w:val="28454BD6"/>
    <w:rsid w:val="28455253"/>
    <w:rsid w:val="28551971"/>
    <w:rsid w:val="285B1C53"/>
    <w:rsid w:val="2892191C"/>
    <w:rsid w:val="289F7086"/>
    <w:rsid w:val="28BC0562"/>
    <w:rsid w:val="28C32028"/>
    <w:rsid w:val="28CC490F"/>
    <w:rsid w:val="28DE40AA"/>
    <w:rsid w:val="28F12FBA"/>
    <w:rsid w:val="29345E77"/>
    <w:rsid w:val="294C65AD"/>
    <w:rsid w:val="295F57ED"/>
    <w:rsid w:val="29806583"/>
    <w:rsid w:val="298B3C4C"/>
    <w:rsid w:val="29A84CE7"/>
    <w:rsid w:val="29F26D24"/>
    <w:rsid w:val="2A15033F"/>
    <w:rsid w:val="2A1662C1"/>
    <w:rsid w:val="2A1C7367"/>
    <w:rsid w:val="2A2815FA"/>
    <w:rsid w:val="2A6D6092"/>
    <w:rsid w:val="2A6F342B"/>
    <w:rsid w:val="2A7D76B4"/>
    <w:rsid w:val="2A9248E5"/>
    <w:rsid w:val="2B437463"/>
    <w:rsid w:val="2B7807EE"/>
    <w:rsid w:val="2BBF00EC"/>
    <w:rsid w:val="2BC37CFD"/>
    <w:rsid w:val="2BD5237F"/>
    <w:rsid w:val="2BDE0D63"/>
    <w:rsid w:val="2BE536CE"/>
    <w:rsid w:val="2BE758D9"/>
    <w:rsid w:val="2C09049E"/>
    <w:rsid w:val="2C0A653C"/>
    <w:rsid w:val="2C191F85"/>
    <w:rsid w:val="2C1C696A"/>
    <w:rsid w:val="2C3A179D"/>
    <w:rsid w:val="2CE82D6F"/>
    <w:rsid w:val="2D343236"/>
    <w:rsid w:val="2DD15014"/>
    <w:rsid w:val="2DF72DE4"/>
    <w:rsid w:val="2E0220AF"/>
    <w:rsid w:val="2E06778F"/>
    <w:rsid w:val="2E4317F2"/>
    <w:rsid w:val="2E4B082A"/>
    <w:rsid w:val="2E5D4E86"/>
    <w:rsid w:val="2E5D790B"/>
    <w:rsid w:val="2E9A3C18"/>
    <w:rsid w:val="2EAA029D"/>
    <w:rsid w:val="2EBB0FEE"/>
    <w:rsid w:val="2EC63002"/>
    <w:rsid w:val="2ED1015D"/>
    <w:rsid w:val="2F0A6B38"/>
    <w:rsid w:val="2F4D684B"/>
    <w:rsid w:val="2F946CCB"/>
    <w:rsid w:val="2FD25781"/>
    <w:rsid w:val="2FFD7934"/>
    <w:rsid w:val="30733ACD"/>
    <w:rsid w:val="308C3862"/>
    <w:rsid w:val="309379D8"/>
    <w:rsid w:val="30A270F7"/>
    <w:rsid w:val="30DF1478"/>
    <w:rsid w:val="30EC586F"/>
    <w:rsid w:val="319C6071"/>
    <w:rsid w:val="31AC537E"/>
    <w:rsid w:val="31AF5092"/>
    <w:rsid w:val="31E3679B"/>
    <w:rsid w:val="31E732FD"/>
    <w:rsid w:val="32517576"/>
    <w:rsid w:val="327B34E1"/>
    <w:rsid w:val="32BE5C2C"/>
    <w:rsid w:val="32F553A9"/>
    <w:rsid w:val="32FB6478"/>
    <w:rsid w:val="33263B3F"/>
    <w:rsid w:val="33334E8E"/>
    <w:rsid w:val="336963EB"/>
    <w:rsid w:val="33816EEB"/>
    <w:rsid w:val="33A651CD"/>
    <w:rsid w:val="33EB55CD"/>
    <w:rsid w:val="33EC4C02"/>
    <w:rsid w:val="340D2360"/>
    <w:rsid w:val="3410665D"/>
    <w:rsid w:val="34184207"/>
    <w:rsid w:val="34211214"/>
    <w:rsid w:val="342E63AB"/>
    <w:rsid w:val="34313AAC"/>
    <w:rsid w:val="347E3BAB"/>
    <w:rsid w:val="34950E68"/>
    <w:rsid w:val="34986E94"/>
    <w:rsid w:val="34AF62C9"/>
    <w:rsid w:val="34CB4388"/>
    <w:rsid w:val="34FA6E12"/>
    <w:rsid w:val="34FC7CFD"/>
    <w:rsid w:val="34FF5980"/>
    <w:rsid w:val="35527407"/>
    <w:rsid w:val="358D5588"/>
    <w:rsid w:val="35F2150E"/>
    <w:rsid w:val="363A3B40"/>
    <w:rsid w:val="365302AE"/>
    <w:rsid w:val="36607A0A"/>
    <w:rsid w:val="366E227C"/>
    <w:rsid w:val="366F2E0D"/>
    <w:rsid w:val="367B6A5C"/>
    <w:rsid w:val="369A2C21"/>
    <w:rsid w:val="36A74ADA"/>
    <w:rsid w:val="36AD60D5"/>
    <w:rsid w:val="36B224F9"/>
    <w:rsid w:val="36EC0CC9"/>
    <w:rsid w:val="3702714D"/>
    <w:rsid w:val="37055B53"/>
    <w:rsid w:val="373F410B"/>
    <w:rsid w:val="379A05C5"/>
    <w:rsid w:val="37EE7094"/>
    <w:rsid w:val="38296C89"/>
    <w:rsid w:val="383002EB"/>
    <w:rsid w:val="38586797"/>
    <w:rsid w:val="38650F93"/>
    <w:rsid w:val="38BC0149"/>
    <w:rsid w:val="38D5034D"/>
    <w:rsid w:val="38D65DCF"/>
    <w:rsid w:val="38D87D1C"/>
    <w:rsid w:val="39636459"/>
    <w:rsid w:val="396B7F6C"/>
    <w:rsid w:val="39B417A9"/>
    <w:rsid w:val="39BB7346"/>
    <w:rsid w:val="39FC5695"/>
    <w:rsid w:val="3A006D8E"/>
    <w:rsid w:val="3A1E15E9"/>
    <w:rsid w:val="3A3651E5"/>
    <w:rsid w:val="3A744481"/>
    <w:rsid w:val="3A8C7BEF"/>
    <w:rsid w:val="3A906246"/>
    <w:rsid w:val="3AC363D6"/>
    <w:rsid w:val="3AC60AFD"/>
    <w:rsid w:val="3B2349B7"/>
    <w:rsid w:val="3B616CFF"/>
    <w:rsid w:val="3B6259F6"/>
    <w:rsid w:val="3B976654"/>
    <w:rsid w:val="3B9A2097"/>
    <w:rsid w:val="3BB4167F"/>
    <w:rsid w:val="3BBA6E0C"/>
    <w:rsid w:val="3BC01EFC"/>
    <w:rsid w:val="3BCA786A"/>
    <w:rsid w:val="3BD31E2F"/>
    <w:rsid w:val="3BF15831"/>
    <w:rsid w:val="3BF868F0"/>
    <w:rsid w:val="3C086B8B"/>
    <w:rsid w:val="3C105946"/>
    <w:rsid w:val="3C471448"/>
    <w:rsid w:val="3C5F759A"/>
    <w:rsid w:val="3C6C525A"/>
    <w:rsid w:val="3CA73211"/>
    <w:rsid w:val="3CCE23CB"/>
    <w:rsid w:val="3CD17D17"/>
    <w:rsid w:val="3CE62CF6"/>
    <w:rsid w:val="3D2924E6"/>
    <w:rsid w:val="3D3C7F39"/>
    <w:rsid w:val="3D440F09"/>
    <w:rsid w:val="3D4504A0"/>
    <w:rsid w:val="3D85737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355EF"/>
    <w:rsid w:val="3F060E16"/>
    <w:rsid w:val="3F1D1096"/>
    <w:rsid w:val="3F2F0234"/>
    <w:rsid w:val="3F4C5D72"/>
    <w:rsid w:val="3F6363FE"/>
    <w:rsid w:val="3F756B8F"/>
    <w:rsid w:val="3F95482B"/>
    <w:rsid w:val="4019356B"/>
    <w:rsid w:val="40592157"/>
    <w:rsid w:val="406E1CAE"/>
    <w:rsid w:val="40A0133A"/>
    <w:rsid w:val="40BF6BC9"/>
    <w:rsid w:val="40C31A53"/>
    <w:rsid w:val="40FF545D"/>
    <w:rsid w:val="410067C8"/>
    <w:rsid w:val="418F0D2A"/>
    <w:rsid w:val="41C041EE"/>
    <w:rsid w:val="41D01505"/>
    <w:rsid w:val="41D97316"/>
    <w:rsid w:val="42474939"/>
    <w:rsid w:val="424C3C57"/>
    <w:rsid w:val="42613FF3"/>
    <w:rsid w:val="42660D96"/>
    <w:rsid w:val="428667D2"/>
    <w:rsid w:val="42CD1CE0"/>
    <w:rsid w:val="42E1381E"/>
    <w:rsid w:val="42ED6459"/>
    <w:rsid w:val="42FE58DD"/>
    <w:rsid w:val="43174B3D"/>
    <w:rsid w:val="43351302"/>
    <w:rsid w:val="434B790E"/>
    <w:rsid w:val="4360274F"/>
    <w:rsid w:val="43977AB6"/>
    <w:rsid w:val="43A3342B"/>
    <w:rsid w:val="43C77C27"/>
    <w:rsid w:val="43DE09EE"/>
    <w:rsid w:val="43E01C6A"/>
    <w:rsid w:val="44002FAD"/>
    <w:rsid w:val="4414063F"/>
    <w:rsid w:val="449101DD"/>
    <w:rsid w:val="44C147DB"/>
    <w:rsid w:val="44DE1391"/>
    <w:rsid w:val="451B225C"/>
    <w:rsid w:val="452410C9"/>
    <w:rsid w:val="45317DFB"/>
    <w:rsid w:val="455D245B"/>
    <w:rsid w:val="456D3CE4"/>
    <w:rsid w:val="4579042C"/>
    <w:rsid w:val="457F0571"/>
    <w:rsid w:val="45851176"/>
    <w:rsid w:val="45C63B94"/>
    <w:rsid w:val="460E7DA5"/>
    <w:rsid w:val="46422483"/>
    <w:rsid w:val="4659254A"/>
    <w:rsid w:val="465B0637"/>
    <w:rsid w:val="465E3F0D"/>
    <w:rsid w:val="466A16E6"/>
    <w:rsid w:val="468766C5"/>
    <w:rsid w:val="46893F2B"/>
    <w:rsid w:val="46C4686E"/>
    <w:rsid w:val="46D54246"/>
    <w:rsid w:val="46D61CC7"/>
    <w:rsid w:val="477B778F"/>
    <w:rsid w:val="478203EC"/>
    <w:rsid w:val="47B025FA"/>
    <w:rsid w:val="47C81250"/>
    <w:rsid w:val="47E51E85"/>
    <w:rsid w:val="4809698F"/>
    <w:rsid w:val="4811697D"/>
    <w:rsid w:val="48410F19"/>
    <w:rsid w:val="487A3E25"/>
    <w:rsid w:val="488B5503"/>
    <w:rsid w:val="48937E21"/>
    <w:rsid w:val="489A0361"/>
    <w:rsid w:val="48B42AEC"/>
    <w:rsid w:val="48B94FF3"/>
    <w:rsid w:val="48E37AAB"/>
    <w:rsid w:val="48FD4B4C"/>
    <w:rsid w:val="490A68E0"/>
    <w:rsid w:val="491055FE"/>
    <w:rsid w:val="495F5B3E"/>
    <w:rsid w:val="496F77D7"/>
    <w:rsid w:val="497654FD"/>
    <w:rsid w:val="49825129"/>
    <w:rsid w:val="49B64211"/>
    <w:rsid w:val="49F6167F"/>
    <w:rsid w:val="4A064FA0"/>
    <w:rsid w:val="4A16615C"/>
    <w:rsid w:val="4A4424D7"/>
    <w:rsid w:val="4A6766A0"/>
    <w:rsid w:val="4AB82D0F"/>
    <w:rsid w:val="4ADA535A"/>
    <w:rsid w:val="4AEB7664"/>
    <w:rsid w:val="4AF33434"/>
    <w:rsid w:val="4AFD7C19"/>
    <w:rsid w:val="4B0567D1"/>
    <w:rsid w:val="4B236AAE"/>
    <w:rsid w:val="4B707271"/>
    <w:rsid w:val="4B9739F7"/>
    <w:rsid w:val="4BB772C7"/>
    <w:rsid w:val="4BEE2503"/>
    <w:rsid w:val="4C1D24EE"/>
    <w:rsid w:val="4C245A30"/>
    <w:rsid w:val="4CB6685F"/>
    <w:rsid w:val="4CC367FE"/>
    <w:rsid w:val="4CFF2AE1"/>
    <w:rsid w:val="4D077F3C"/>
    <w:rsid w:val="4D123355"/>
    <w:rsid w:val="4D210A97"/>
    <w:rsid w:val="4D2A3B31"/>
    <w:rsid w:val="4D312C52"/>
    <w:rsid w:val="4D3D03C8"/>
    <w:rsid w:val="4D5E08FC"/>
    <w:rsid w:val="4D905305"/>
    <w:rsid w:val="4D964A72"/>
    <w:rsid w:val="4D9C1254"/>
    <w:rsid w:val="4E02140A"/>
    <w:rsid w:val="4E036E8C"/>
    <w:rsid w:val="4E1A0CAF"/>
    <w:rsid w:val="4E793892"/>
    <w:rsid w:val="4E800872"/>
    <w:rsid w:val="4E932EF7"/>
    <w:rsid w:val="4EC569ED"/>
    <w:rsid w:val="4ED50EA1"/>
    <w:rsid w:val="4EEC050C"/>
    <w:rsid w:val="4EFF0028"/>
    <w:rsid w:val="4F104EC3"/>
    <w:rsid w:val="4F47354A"/>
    <w:rsid w:val="4F911C54"/>
    <w:rsid w:val="4FAF6B47"/>
    <w:rsid w:val="4FD64808"/>
    <w:rsid w:val="4FE625E0"/>
    <w:rsid w:val="501A61F6"/>
    <w:rsid w:val="5021480F"/>
    <w:rsid w:val="50750E8F"/>
    <w:rsid w:val="50962ECB"/>
    <w:rsid w:val="50A42E38"/>
    <w:rsid w:val="50A4577F"/>
    <w:rsid w:val="50B73D1F"/>
    <w:rsid w:val="50BD5BC9"/>
    <w:rsid w:val="50C11EEE"/>
    <w:rsid w:val="50E97CFC"/>
    <w:rsid w:val="50FA4028"/>
    <w:rsid w:val="510D65B7"/>
    <w:rsid w:val="511157AB"/>
    <w:rsid w:val="512B0DC7"/>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780202"/>
    <w:rsid w:val="5382528E"/>
    <w:rsid w:val="53932FAA"/>
    <w:rsid w:val="5397158E"/>
    <w:rsid w:val="54013861"/>
    <w:rsid w:val="54456651"/>
    <w:rsid w:val="54487265"/>
    <w:rsid w:val="54497256"/>
    <w:rsid w:val="544D6070"/>
    <w:rsid w:val="5457656B"/>
    <w:rsid w:val="54605E1E"/>
    <w:rsid w:val="54B3506A"/>
    <w:rsid w:val="54CA0D16"/>
    <w:rsid w:val="54DD4057"/>
    <w:rsid w:val="54E7490F"/>
    <w:rsid w:val="550764A4"/>
    <w:rsid w:val="550B2BF6"/>
    <w:rsid w:val="55214EB5"/>
    <w:rsid w:val="55364EFD"/>
    <w:rsid w:val="553F42EB"/>
    <w:rsid w:val="555D4828"/>
    <w:rsid w:val="557A4C8B"/>
    <w:rsid w:val="558931E1"/>
    <w:rsid w:val="55923347"/>
    <w:rsid w:val="55925180"/>
    <w:rsid w:val="55983B1B"/>
    <w:rsid w:val="55A8376B"/>
    <w:rsid w:val="55DC29B6"/>
    <w:rsid w:val="55DD4241"/>
    <w:rsid w:val="55E524FA"/>
    <w:rsid w:val="566B6D1E"/>
    <w:rsid w:val="56E968A5"/>
    <w:rsid w:val="57032A2C"/>
    <w:rsid w:val="570F5219"/>
    <w:rsid w:val="575D12B5"/>
    <w:rsid w:val="57610A87"/>
    <w:rsid w:val="577B1140"/>
    <w:rsid w:val="577B7F21"/>
    <w:rsid w:val="577F181B"/>
    <w:rsid w:val="57921984"/>
    <w:rsid w:val="579737F0"/>
    <w:rsid w:val="57AB7B30"/>
    <w:rsid w:val="57AF5251"/>
    <w:rsid w:val="57B26373"/>
    <w:rsid w:val="57B47272"/>
    <w:rsid w:val="57B63F04"/>
    <w:rsid w:val="57BC467E"/>
    <w:rsid w:val="57BD1549"/>
    <w:rsid w:val="57CD20C2"/>
    <w:rsid w:val="57D675AB"/>
    <w:rsid w:val="57D95FDD"/>
    <w:rsid w:val="57F6575D"/>
    <w:rsid w:val="5889054F"/>
    <w:rsid w:val="58917D2F"/>
    <w:rsid w:val="5894085C"/>
    <w:rsid w:val="58AE4F0C"/>
    <w:rsid w:val="58B85899"/>
    <w:rsid w:val="58D7284D"/>
    <w:rsid w:val="58E363A9"/>
    <w:rsid w:val="591304B3"/>
    <w:rsid w:val="595E1678"/>
    <w:rsid w:val="596D5BD4"/>
    <w:rsid w:val="597E3DD8"/>
    <w:rsid w:val="59A20C97"/>
    <w:rsid w:val="59F80043"/>
    <w:rsid w:val="5A09252F"/>
    <w:rsid w:val="5A0B2778"/>
    <w:rsid w:val="5A2A7C7B"/>
    <w:rsid w:val="5A3E2560"/>
    <w:rsid w:val="5A571A44"/>
    <w:rsid w:val="5A5D3B6E"/>
    <w:rsid w:val="5A637A76"/>
    <w:rsid w:val="5A6D33BA"/>
    <w:rsid w:val="5A792B1F"/>
    <w:rsid w:val="5A874767"/>
    <w:rsid w:val="5AAB14CE"/>
    <w:rsid w:val="5AAD6F28"/>
    <w:rsid w:val="5AD50114"/>
    <w:rsid w:val="5AD63A24"/>
    <w:rsid w:val="5B2E1A1D"/>
    <w:rsid w:val="5B3B553A"/>
    <w:rsid w:val="5B843A1C"/>
    <w:rsid w:val="5B873E3F"/>
    <w:rsid w:val="5BAC6AF2"/>
    <w:rsid w:val="5C02690E"/>
    <w:rsid w:val="5C0A490D"/>
    <w:rsid w:val="5C114298"/>
    <w:rsid w:val="5C196DA7"/>
    <w:rsid w:val="5C2A048C"/>
    <w:rsid w:val="5C533E08"/>
    <w:rsid w:val="5C80234E"/>
    <w:rsid w:val="5C8A680C"/>
    <w:rsid w:val="5CAF2E9D"/>
    <w:rsid w:val="5CC85389"/>
    <w:rsid w:val="5D0C4701"/>
    <w:rsid w:val="5D0F0395"/>
    <w:rsid w:val="5D221076"/>
    <w:rsid w:val="5D397964"/>
    <w:rsid w:val="5D41498A"/>
    <w:rsid w:val="5D5A391C"/>
    <w:rsid w:val="5D5F10C0"/>
    <w:rsid w:val="5D664BCA"/>
    <w:rsid w:val="5D891B7B"/>
    <w:rsid w:val="5DAD38EE"/>
    <w:rsid w:val="5DC21A60"/>
    <w:rsid w:val="5DE24514"/>
    <w:rsid w:val="5DF65C52"/>
    <w:rsid w:val="5E006862"/>
    <w:rsid w:val="5E0207B9"/>
    <w:rsid w:val="5E1834A1"/>
    <w:rsid w:val="5E261785"/>
    <w:rsid w:val="5E4A7017"/>
    <w:rsid w:val="5E552BBA"/>
    <w:rsid w:val="5E611C10"/>
    <w:rsid w:val="5E754D87"/>
    <w:rsid w:val="5E867220"/>
    <w:rsid w:val="5ED660A5"/>
    <w:rsid w:val="5EFC7377"/>
    <w:rsid w:val="5F06174D"/>
    <w:rsid w:val="5F3A3602"/>
    <w:rsid w:val="5F6277C6"/>
    <w:rsid w:val="5F6D0B1D"/>
    <w:rsid w:val="5F8D0B82"/>
    <w:rsid w:val="5F9C25E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523A6"/>
    <w:rsid w:val="619F7F92"/>
    <w:rsid w:val="61F94C26"/>
    <w:rsid w:val="62000E56"/>
    <w:rsid w:val="620152D8"/>
    <w:rsid w:val="624F3E49"/>
    <w:rsid w:val="62632286"/>
    <w:rsid w:val="62885958"/>
    <w:rsid w:val="62EC2D61"/>
    <w:rsid w:val="62F40B65"/>
    <w:rsid w:val="62FC2CFE"/>
    <w:rsid w:val="63024505"/>
    <w:rsid w:val="635B1DB5"/>
    <w:rsid w:val="63711FED"/>
    <w:rsid w:val="63880DDC"/>
    <w:rsid w:val="638D750D"/>
    <w:rsid w:val="63AC6CC0"/>
    <w:rsid w:val="63D7745D"/>
    <w:rsid w:val="63F06D02"/>
    <w:rsid w:val="64055776"/>
    <w:rsid w:val="64240056"/>
    <w:rsid w:val="643E143A"/>
    <w:rsid w:val="644E4B1D"/>
    <w:rsid w:val="64844E61"/>
    <w:rsid w:val="648B6EEF"/>
    <w:rsid w:val="64C158BF"/>
    <w:rsid w:val="64CE2EAA"/>
    <w:rsid w:val="64E32E12"/>
    <w:rsid w:val="6518586B"/>
    <w:rsid w:val="653C3090"/>
    <w:rsid w:val="65854376"/>
    <w:rsid w:val="658767BE"/>
    <w:rsid w:val="65892531"/>
    <w:rsid w:val="65EE45C9"/>
    <w:rsid w:val="66195831"/>
    <w:rsid w:val="662E75B1"/>
    <w:rsid w:val="66342C2E"/>
    <w:rsid w:val="663E784C"/>
    <w:rsid w:val="668B6A45"/>
    <w:rsid w:val="66946DBD"/>
    <w:rsid w:val="66FF570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CE76BE"/>
    <w:rsid w:val="68E937A3"/>
    <w:rsid w:val="692E7F1E"/>
    <w:rsid w:val="693E15D3"/>
    <w:rsid w:val="69627681"/>
    <w:rsid w:val="6977531D"/>
    <w:rsid w:val="699C2751"/>
    <w:rsid w:val="69CC2BFF"/>
    <w:rsid w:val="69FD55B8"/>
    <w:rsid w:val="6A0B1C62"/>
    <w:rsid w:val="6A2406C8"/>
    <w:rsid w:val="6ADE0BD1"/>
    <w:rsid w:val="6AE82773"/>
    <w:rsid w:val="6AE96859"/>
    <w:rsid w:val="6B1000B4"/>
    <w:rsid w:val="6B147746"/>
    <w:rsid w:val="6B24787C"/>
    <w:rsid w:val="6B260059"/>
    <w:rsid w:val="6B464D0B"/>
    <w:rsid w:val="6B4D3EAC"/>
    <w:rsid w:val="6B573233"/>
    <w:rsid w:val="6B5B6274"/>
    <w:rsid w:val="6B822971"/>
    <w:rsid w:val="6B850073"/>
    <w:rsid w:val="6B935D53"/>
    <w:rsid w:val="6C196F71"/>
    <w:rsid w:val="6C226FCB"/>
    <w:rsid w:val="6C31226F"/>
    <w:rsid w:val="6C552F0B"/>
    <w:rsid w:val="6C7723FC"/>
    <w:rsid w:val="6C8C67B7"/>
    <w:rsid w:val="6C9D744C"/>
    <w:rsid w:val="6CB32CE3"/>
    <w:rsid w:val="6CFF3162"/>
    <w:rsid w:val="6D0547A0"/>
    <w:rsid w:val="6D167928"/>
    <w:rsid w:val="6D26299B"/>
    <w:rsid w:val="6D3C51C6"/>
    <w:rsid w:val="6D4772EC"/>
    <w:rsid w:val="6D9078AF"/>
    <w:rsid w:val="6DAA3FEF"/>
    <w:rsid w:val="6DC0172B"/>
    <w:rsid w:val="6DCB690C"/>
    <w:rsid w:val="6DD41A5B"/>
    <w:rsid w:val="6DF43C2E"/>
    <w:rsid w:val="6DF51CA3"/>
    <w:rsid w:val="6E1D22B5"/>
    <w:rsid w:val="6E8335BD"/>
    <w:rsid w:val="6E8E12EF"/>
    <w:rsid w:val="6E972936"/>
    <w:rsid w:val="6E9C0605"/>
    <w:rsid w:val="6E9C3E88"/>
    <w:rsid w:val="6ED446C5"/>
    <w:rsid w:val="6F2A7D94"/>
    <w:rsid w:val="6F8331F1"/>
    <w:rsid w:val="6FAE1A09"/>
    <w:rsid w:val="6FD75BF8"/>
    <w:rsid w:val="707723D0"/>
    <w:rsid w:val="70F5661B"/>
    <w:rsid w:val="71167A14"/>
    <w:rsid w:val="71360107"/>
    <w:rsid w:val="713B688E"/>
    <w:rsid w:val="71915DBC"/>
    <w:rsid w:val="71CE71C3"/>
    <w:rsid w:val="71D277C9"/>
    <w:rsid w:val="71D43752"/>
    <w:rsid w:val="71F1796A"/>
    <w:rsid w:val="72154626"/>
    <w:rsid w:val="72262B5D"/>
    <w:rsid w:val="72283FF7"/>
    <w:rsid w:val="722E7212"/>
    <w:rsid w:val="723A0474"/>
    <w:rsid w:val="725923E4"/>
    <w:rsid w:val="72864BF7"/>
    <w:rsid w:val="729023FC"/>
    <w:rsid w:val="72FE5336"/>
    <w:rsid w:val="739F163C"/>
    <w:rsid w:val="73C0646E"/>
    <w:rsid w:val="74206713"/>
    <w:rsid w:val="742222F5"/>
    <w:rsid w:val="74476126"/>
    <w:rsid w:val="745820F0"/>
    <w:rsid w:val="74706664"/>
    <w:rsid w:val="747F3682"/>
    <w:rsid w:val="749C4185"/>
    <w:rsid w:val="74AF2AFE"/>
    <w:rsid w:val="74E032CD"/>
    <w:rsid w:val="75067759"/>
    <w:rsid w:val="752E6DCD"/>
    <w:rsid w:val="7551380D"/>
    <w:rsid w:val="75600BE5"/>
    <w:rsid w:val="7564475C"/>
    <w:rsid w:val="756844AB"/>
    <w:rsid w:val="7583797F"/>
    <w:rsid w:val="75D20F1D"/>
    <w:rsid w:val="75DA2C18"/>
    <w:rsid w:val="75E21BF7"/>
    <w:rsid w:val="75F54412"/>
    <w:rsid w:val="761D08E0"/>
    <w:rsid w:val="765D347C"/>
    <w:rsid w:val="76826699"/>
    <w:rsid w:val="76C87133"/>
    <w:rsid w:val="76CD08D5"/>
    <w:rsid w:val="76DB4B92"/>
    <w:rsid w:val="77052AA4"/>
    <w:rsid w:val="770B4B5C"/>
    <w:rsid w:val="77136511"/>
    <w:rsid w:val="77340A39"/>
    <w:rsid w:val="77351FD0"/>
    <w:rsid w:val="77472422"/>
    <w:rsid w:val="777F31F2"/>
    <w:rsid w:val="77D1700D"/>
    <w:rsid w:val="77E05E39"/>
    <w:rsid w:val="77E2713E"/>
    <w:rsid w:val="77EC04CC"/>
    <w:rsid w:val="77F90F61"/>
    <w:rsid w:val="77FC7CE8"/>
    <w:rsid w:val="78646412"/>
    <w:rsid w:val="78775729"/>
    <w:rsid w:val="78A42DB0"/>
    <w:rsid w:val="78A656AB"/>
    <w:rsid w:val="78B2245C"/>
    <w:rsid w:val="78E172CC"/>
    <w:rsid w:val="78EA1D1F"/>
    <w:rsid w:val="7904172F"/>
    <w:rsid w:val="790F7E27"/>
    <w:rsid w:val="792A231A"/>
    <w:rsid w:val="79316829"/>
    <w:rsid w:val="797E66A9"/>
    <w:rsid w:val="79A00398"/>
    <w:rsid w:val="79A97383"/>
    <w:rsid w:val="79E27E8B"/>
    <w:rsid w:val="79F850CE"/>
    <w:rsid w:val="79FD443C"/>
    <w:rsid w:val="7A1D1975"/>
    <w:rsid w:val="7A3E5150"/>
    <w:rsid w:val="7A4670D6"/>
    <w:rsid w:val="7A5336BF"/>
    <w:rsid w:val="7A534B63"/>
    <w:rsid w:val="7A615382"/>
    <w:rsid w:val="7A67303B"/>
    <w:rsid w:val="7AAB1D04"/>
    <w:rsid w:val="7ABA4368"/>
    <w:rsid w:val="7AD05746"/>
    <w:rsid w:val="7B257FFD"/>
    <w:rsid w:val="7B2C33A2"/>
    <w:rsid w:val="7B343476"/>
    <w:rsid w:val="7B5A2978"/>
    <w:rsid w:val="7B5A7E4C"/>
    <w:rsid w:val="7B667AF9"/>
    <w:rsid w:val="7B7468F8"/>
    <w:rsid w:val="7BEE0103"/>
    <w:rsid w:val="7C0A0FE4"/>
    <w:rsid w:val="7C254906"/>
    <w:rsid w:val="7C3D50C9"/>
    <w:rsid w:val="7C590818"/>
    <w:rsid w:val="7C7C10F6"/>
    <w:rsid w:val="7C853BEA"/>
    <w:rsid w:val="7C881368"/>
    <w:rsid w:val="7C8B7B9B"/>
    <w:rsid w:val="7CE27788"/>
    <w:rsid w:val="7D0C32F1"/>
    <w:rsid w:val="7D0F408D"/>
    <w:rsid w:val="7D145441"/>
    <w:rsid w:val="7D3014EE"/>
    <w:rsid w:val="7D491C6C"/>
    <w:rsid w:val="7D5429C0"/>
    <w:rsid w:val="7D6E6D43"/>
    <w:rsid w:val="7DA02AA7"/>
    <w:rsid w:val="7DA3270A"/>
    <w:rsid w:val="7DB57A34"/>
    <w:rsid w:val="7DE60973"/>
    <w:rsid w:val="7DEF0916"/>
    <w:rsid w:val="7E1E5218"/>
    <w:rsid w:val="7E5A619F"/>
    <w:rsid w:val="7E9A4E1F"/>
    <w:rsid w:val="7EA7723A"/>
    <w:rsid w:val="7EB3166A"/>
    <w:rsid w:val="7EBE547D"/>
    <w:rsid w:val="7EF50D3F"/>
    <w:rsid w:val="7EF56FBB"/>
    <w:rsid w:val="7F0768EB"/>
    <w:rsid w:val="7F122D08"/>
    <w:rsid w:val="7F143BEC"/>
    <w:rsid w:val="7F715AF2"/>
    <w:rsid w:val="7F811247"/>
    <w:rsid w:val="7F886E69"/>
    <w:rsid w:val="7F941FDD"/>
    <w:rsid w:val="7FC21827"/>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link w:val="65"/>
    <w:unhideWhenUsed/>
    <w:qFormat/>
    <w:uiPriority w:val="1"/>
    <w:rPr>
      <w:rFonts w:ascii="仿宋_GB2312" w:eastAsia="仿宋_GB2312"/>
      <w:b/>
      <w:sz w:val="32"/>
      <w:szCs w:val="32"/>
    </w:rPr>
  </w:style>
  <w:style w:type="table" w:default="1" w:styleId="75">
    <w:name w:val="Normal Table"/>
    <w:unhideWhenUsed/>
    <w:qFormat/>
    <w:uiPriority w:val="99"/>
    <w:tblPr>
      <w:tblStyle w:val="75"/>
      <w:tblLayout w:type="fixed"/>
      <w:tblCellMar>
        <w:top w:w="0" w:type="dxa"/>
        <w:left w:w="108" w:type="dxa"/>
        <w:bottom w:w="0" w:type="dxa"/>
        <w:right w:w="108" w:type="dxa"/>
      </w:tblCellMar>
    </w:tblPr>
  </w:style>
  <w:style w:type="paragraph" w:customStyle="1" w:styleId="2">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3">
    <w:name w:val="annotation subject"/>
    <w:basedOn w:val="14"/>
    <w:next w:val="14"/>
    <w:link w:val="632"/>
    <w:qFormat/>
    <w:uiPriority w:val="0"/>
    <w:rPr>
      <w:b/>
      <w:bCs/>
    </w:rPr>
  </w:style>
  <w:style w:type="paragraph" w:styleId="14">
    <w:name w:val="annotation text"/>
    <w:basedOn w:val="1"/>
    <w:link w:val="855"/>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link w:val="834"/>
    <w:qFormat/>
    <w:uiPriority w:val="0"/>
    <w:pPr>
      <w:ind w:firstLine="420"/>
    </w:pPr>
    <w:rPr>
      <w:rFonts w:hAnsi="Calibri" w:cs="Times New Roman"/>
      <w:szCs w:val="20"/>
    </w:rPr>
  </w:style>
  <w:style w:type="paragraph" w:styleId="17">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752"/>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7"/>
    <w:qFormat/>
    <w:uiPriority w:val="0"/>
    <w:pPr>
      <w:shd w:val="clear" w:color="auto" w:fill="000080"/>
    </w:pPr>
  </w:style>
  <w:style w:type="paragraph" w:styleId="24">
    <w:name w:val="Salutation"/>
    <w:basedOn w:val="1"/>
    <w:next w:val="1"/>
    <w:link w:val="815"/>
    <w:qFormat/>
    <w:uiPriority w:val="0"/>
    <w:rPr>
      <w:rFonts w:ascii="仿宋_GB2312" w:eastAsia="仿宋_GB2312"/>
      <w:sz w:val="28"/>
      <w:szCs w:val="20"/>
    </w:rPr>
  </w:style>
  <w:style w:type="paragraph" w:styleId="25">
    <w:name w:val="Body Text 3"/>
    <w:basedOn w:val="1"/>
    <w:link w:val="843"/>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link w:val="78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659"/>
    <w:qFormat/>
    <w:uiPriority w:val="0"/>
    <w:rPr>
      <w:rFonts w:ascii="宋体" w:hAnsi="Courier New" w:cs="Arial"/>
      <w:snapToGrid w:val="0"/>
      <w:szCs w:val="21"/>
    </w:rPr>
  </w:style>
  <w:style w:type="paragraph" w:customStyle="1" w:styleId="36">
    <w:name w:val="正文1"/>
    <w:basedOn w:val="1"/>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9"/>
    <w:qFormat/>
    <w:uiPriority w:val="0"/>
    <w:pPr>
      <w:ind w:left="100" w:leftChars="2500"/>
    </w:pPr>
    <w:rPr>
      <w:rFonts w:ascii="宋体"/>
      <w:sz w:val="24"/>
      <w:szCs w:val="21"/>
      <w:lang w:val="zh-CN"/>
    </w:rPr>
  </w:style>
  <w:style w:type="paragraph" w:styleId="40">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1">
    <w:name w:val="endnote text"/>
    <w:basedOn w:val="1"/>
    <w:link w:val="940"/>
    <w:qFormat/>
    <w:uiPriority w:val="0"/>
    <w:rPr>
      <w:lang w:val="zh-CN"/>
    </w:rPr>
  </w:style>
  <w:style w:type="paragraph" w:styleId="42">
    <w:name w:val="Balloon Text"/>
    <w:basedOn w:val="1"/>
    <w:link w:val="716"/>
    <w:qFormat/>
    <w:uiPriority w:val="0"/>
    <w:rPr>
      <w:sz w:val="18"/>
      <w:szCs w:val="18"/>
    </w:rPr>
  </w:style>
  <w:style w:type="paragraph" w:styleId="43">
    <w:name w:val="footer"/>
    <w:basedOn w:val="1"/>
    <w:link w:val="891"/>
    <w:qFormat/>
    <w:uiPriority w:val="99"/>
    <w:pPr>
      <w:tabs>
        <w:tab w:val="center" w:pos="4153"/>
        <w:tab w:val="right" w:pos="8306"/>
      </w:tabs>
      <w:snapToGrid w:val="0"/>
      <w:jc w:val="left"/>
    </w:pPr>
    <w:rPr>
      <w:sz w:val="18"/>
      <w:szCs w:val="18"/>
    </w:rPr>
  </w:style>
  <w:style w:type="paragraph" w:styleId="44">
    <w:name w:val="Body Text First Indent 2"/>
    <w:basedOn w:val="27"/>
    <w:link w:val="655"/>
    <w:qFormat/>
    <w:uiPriority w:val="0"/>
    <w:pPr>
      <w:adjustRightInd/>
      <w:spacing w:after="120" w:line="240" w:lineRule="auto"/>
      <w:ind w:left="420" w:leftChars="200" w:firstLine="210"/>
    </w:pPr>
    <w:rPr>
      <w:sz w:val="21"/>
    </w:rPr>
  </w:style>
  <w:style w:type="paragraph" w:styleId="45">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825"/>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4"/>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19"/>
    <w:qFormat/>
    <w:uiPriority w:val="0"/>
    <w:pPr>
      <w:spacing w:after="120" w:line="480" w:lineRule="auto"/>
    </w:pPr>
  </w:style>
  <w:style w:type="paragraph" w:styleId="61">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3"/>
    <w:qFormat/>
    <w:uiPriority w:val="10"/>
    <w:pPr>
      <w:widowControl/>
      <w:overflowPunct w:val="0"/>
      <w:autoSpaceDE w:val="0"/>
      <w:autoSpaceDN w:val="0"/>
      <w:jc w:val="center"/>
      <w:textAlignment w:val="baseline"/>
    </w:pPr>
    <w:rPr>
      <w:b/>
      <w:kern w:val="0"/>
      <w:sz w:val="24"/>
      <w:szCs w:val="20"/>
    </w:rPr>
  </w:style>
  <w:style w:type="paragraph" w:customStyle="1" w:styleId="65">
    <w:name w:val="Char1"/>
    <w:basedOn w:val="1"/>
    <w:link w:val="64"/>
    <w:qFormat/>
    <w:uiPriority w:val="0"/>
    <w:rPr>
      <w:rFonts w:ascii="仿宋_GB2312" w:eastAsia="仿宋_GB2312"/>
      <w:b/>
      <w:sz w:val="32"/>
      <w:szCs w:val="32"/>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4"/>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4"/>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Style w:val="7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pPr/>
    <w:tblPr>
      <w:tblStyle w:val="7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Style w:val="75"/>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Style w:val="75"/>
        <w:tblLayout w:type="fixed"/>
      </w:tblPr>
      <w:tcPr>
        <w:tcBorders>
          <w:top w:val="nil"/>
          <w:left w:val="nil"/>
          <w:bottom w:val="nil"/>
          <w:right w:val="nil"/>
          <w:insideH w:val="nil"/>
          <w:insideV w:val="nil"/>
          <w:tl2br w:val="nil"/>
          <w:tr2bl w:val="nil"/>
        </w:tcBorders>
        <w:textDirection w:val="lrTb"/>
      </w:tcPr>
    </w:tblStylePr>
  </w:style>
  <w:style w:type="table" w:styleId="79">
    <w:name w:val="Table Grid 5"/>
    <w:basedOn w:val="75"/>
    <w:qFormat/>
    <w:uiPriority w:val="0"/>
    <w:pPr>
      <w:widowControl w:val="0"/>
      <w:jc w:val="both"/>
    </w:pPr>
    <w:tblPr>
      <w:tblStyle w:val="75"/>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Style w:val="75"/>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5"/>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5"/>
        <w:tblLayout w:type="fixed"/>
      </w:tblPr>
      <w:tcPr>
        <w:tcBorders>
          <w:top w:val="nil"/>
          <w:left w:val="nil"/>
          <w:bottom w:val="nil"/>
          <w:right w:val="nil"/>
          <w:insideH w:val="nil"/>
          <w:insideV w:val="nil"/>
          <w:tl2br w:val="nil"/>
          <w:tr2bl w:val="nil"/>
        </w:tcBorders>
        <w:textDirection w:val="lrTb"/>
      </w:tcPr>
    </w:tblStylePr>
    <w:tblStylePr w:type="nwCell">
      <w:tblPr>
        <w:tblStyle w:val="75"/>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80">
    <w:name w:val="Table Grid 8"/>
    <w:basedOn w:val="75"/>
    <w:qFormat/>
    <w:uiPriority w:val="0"/>
    <w:pPr>
      <w:widowControl w:val="0"/>
      <w:jc w:val="both"/>
    </w:pPr>
    <w:tblPr>
      <w:tblStyle w:val="75"/>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Style w:val="75"/>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5"/>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5"/>
        <w:tblLayout w:type="fixed"/>
      </w:tblPr>
      <w:tcPr>
        <w:tcBorders>
          <w:top w:val="nil"/>
          <w:left w:val="nil"/>
          <w:bottom w:val="nil"/>
          <w:right w:val="nil"/>
          <w:insideH w:val="nil"/>
          <w:insideV w:val="nil"/>
          <w:tl2br w:val="nil"/>
          <w:tr2bl w:val="nil"/>
        </w:tcBorders>
        <w:textDirection w:val="lrTb"/>
      </w:tcPr>
    </w:tblStylePr>
  </w:style>
  <w:style w:type="table" w:styleId="81">
    <w:name w:val="Table Professional"/>
    <w:basedOn w:val="75"/>
    <w:qFormat/>
    <w:uiPriority w:val="0"/>
    <w:pPr>
      <w:widowControl w:val="0"/>
      <w:jc w:val="both"/>
    </w:pPr>
    <w:tblPr>
      <w:tblStyle w:val="75"/>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Style w:val="75"/>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4"/>
    <w:qFormat/>
    <w:uiPriority w:val="0"/>
    <w:pPr>
      <w:spacing w:before="156" w:line="360" w:lineRule="auto"/>
      <w:ind w:firstLine="510" w:firstLineChars="200"/>
    </w:pPr>
    <w:rPr>
      <w:sz w:val="24"/>
      <w:szCs w:val="20"/>
    </w:rPr>
  </w:style>
  <w:style w:type="paragraph" w:customStyle="1" w:styleId="89">
    <w:name w:val="无间隔1"/>
    <w:link w:val="672"/>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0"/>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5"/>
    <w:qFormat/>
    <w:uiPriority w:val="0"/>
    <w:pPr>
      <w:ind w:left="0" w:right="466" w:firstLine="288"/>
    </w:pPr>
    <w:rPr>
      <w:rFonts w:hAnsi="宋体"/>
    </w:rPr>
  </w:style>
  <w:style w:type="paragraph" w:customStyle="1" w:styleId="9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7"/>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6"/>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5"/>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8"/>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1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2"/>
    <w:next w:val="2"/>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2"/>
    <w:next w:val="2"/>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60"/>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1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40"/>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17"/>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17"/>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3"/>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1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8"/>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6">
    <w:name w:val="_Style 947"/>
    <w:basedOn w:val="1"/>
    <w:next w:val="102"/>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Body text|21"/>
    <w:basedOn w:val="1"/>
    <w:link w:val="959"/>
    <w:qFormat/>
    <w:uiPriority w:val="0"/>
    <w:pPr>
      <w:shd w:val="clear" w:color="auto" w:fill="FFFFFF"/>
      <w:spacing w:after="240" w:line="200" w:lineRule="exact"/>
      <w:jc w:val="distribute"/>
    </w:pPr>
    <w:rPr>
      <w:rFonts w:ascii="PMingLiU_x0004_falt" w:hAnsi="PMingLiU_x0004_falt" w:eastAsia="PMingLiU_x0004_falt"/>
      <w:b/>
      <w:kern w:val="0"/>
      <w:sz w:val="20"/>
      <w:szCs w:val="20"/>
    </w:rPr>
  </w:style>
  <w:style w:type="paragraph" w:customStyle="1" w:styleId="619">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620">
    <w:name w:val="标题 21"/>
    <w:basedOn w:val="36"/>
    <w:next w:val="36"/>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character" w:customStyle="1" w:styleId="621">
    <w:name w:val="表格非标题文字 Char"/>
    <w:link w:val="83"/>
    <w:qFormat/>
    <w:uiPriority w:val="0"/>
    <w:rPr>
      <w:rFonts w:ascii="Futura Bk" w:hAnsi="Futura Bk"/>
      <w:kern w:val="2"/>
      <w:sz w:val="18"/>
      <w:szCs w:val="21"/>
      <w:lang w:val="en-US" w:eastAsia="zh-CN" w:bidi="ar-SA"/>
    </w:rPr>
  </w:style>
  <w:style w:type="character" w:customStyle="1" w:styleId="622">
    <w:name w:val="*正文 Char"/>
    <w:link w:val="84"/>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5"/>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1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6"/>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7"/>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44"/>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4"/>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8"/>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1"/>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9"/>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9"/>
    <w:qFormat/>
    <w:uiPriority w:val="0"/>
    <w:rPr>
      <w:rFonts w:ascii="Arial" w:hAnsi="Arial" w:eastAsia="黑体"/>
      <w:b/>
      <w:bCs/>
      <w:kern w:val="2"/>
      <w:sz w:val="24"/>
      <w:szCs w:val="24"/>
    </w:rPr>
  </w:style>
  <w:style w:type="character" w:customStyle="1" w:styleId="680">
    <w:name w:val="纯文本 Char_0"/>
    <w:link w:val="90"/>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2"/>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3"/>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9"/>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2"/>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4"/>
    <w:qFormat/>
    <w:locked/>
    <w:uiPriority w:val="0"/>
    <w:rPr>
      <w:rFonts w:ascii="Tahoma" w:hAnsi="Tahoma"/>
      <w:sz w:val="24"/>
      <w:szCs w:val="24"/>
    </w:rPr>
  </w:style>
  <w:style w:type="character" w:customStyle="1" w:styleId="720">
    <w:name w:val="正文缩进 Char2"/>
    <w:link w:val="6"/>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5"/>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3"/>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4"/>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7"/>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8"/>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21"/>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2"/>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7"/>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3"/>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8"/>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4"/>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1"/>
    <w:qFormat/>
    <w:uiPriority w:val="0"/>
    <w:rPr>
      <w:rFonts w:ascii="黑体" w:hAnsi="Courier New" w:eastAsia="黑体"/>
    </w:rPr>
  </w:style>
  <w:style w:type="character" w:customStyle="1" w:styleId="819">
    <w:name w:val="正文文本 2 Char1"/>
    <w:link w:val="60"/>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0"/>
    <w:qFormat/>
    <w:uiPriority w:val="0"/>
    <w:rPr>
      <w:b/>
      <w:bCs/>
      <w:kern w:val="2"/>
      <w:sz w:val="24"/>
      <w:szCs w:val="24"/>
    </w:rPr>
  </w:style>
  <w:style w:type="character" w:customStyle="1" w:styleId="823">
    <w:name w:val="正文文本缩进 2 Char"/>
    <w:link w:val="40"/>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4"/>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16"/>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5"/>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4"/>
    <w:qFormat/>
    <w:uiPriority w:val="0"/>
    <w:rPr>
      <w:kern w:val="2"/>
      <w:sz w:val="21"/>
      <w:szCs w:val="24"/>
    </w:rPr>
  </w:style>
  <w:style w:type="character" w:customStyle="1" w:styleId="856">
    <w:name w:val="签名 Char"/>
    <w:link w:val="46"/>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7"/>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3"/>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5"/>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4"/>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17"/>
    <w:qFormat/>
    <w:uiPriority w:val="0"/>
    <w:rPr>
      <w:rFonts w:ascii="宋体" w:hAnsi="Arial" w:eastAsia="宋体" w:cs="Arial"/>
      <w:snapToGrid w:val="0"/>
      <w:kern w:val="2"/>
      <w:sz w:val="24"/>
      <w:szCs w:val="21"/>
      <w:lang w:val="zh-CN" w:eastAsia="zh-CN" w:bidi="ar-SA"/>
    </w:rPr>
  </w:style>
  <w:style w:type="character" w:customStyle="1" w:styleId="933">
    <w:name w:val="gray6"/>
    <w:basedOn w:val="64"/>
    <w:qFormat/>
    <w:uiPriority w:val="0"/>
    <w:rPr>
      <w:rFonts w:ascii="Arial" w:hAnsi="Arial" w:eastAsia="黑体" w:cs="Arial"/>
      <w:snapToGrid w:val="0"/>
      <w:kern w:val="0"/>
      <w:szCs w:val="21"/>
    </w:rPr>
  </w:style>
  <w:style w:type="character" w:customStyle="1" w:styleId="934">
    <w:name w:val="hui"/>
    <w:basedOn w:val="64"/>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1"/>
    <w:qFormat/>
    <w:uiPriority w:val="0"/>
    <w:rPr>
      <w:kern w:val="2"/>
      <w:sz w:val="21"/>
      <w:szCs w:val="24"/>
      <w:lang w:val="zh-CN"/>
    </w:rPr>
  </w:style>
  <w:style w:type="character" w:customStyle="1" w:styleId="941">
    <w:name w:val="无间隔 Char"/>
    <w:link w:val="167"/>
    <w:qFormat/>
    <w:uiPriority w:val="99"/>
    <w:rPr>
      <w:kern w:val="2"/>
      <w:sz w:val="21"/>
      <w:szCs w:val="22"/>
    </w:rPr>
  </w:style>
  <w:style w:type="character" w:customStyle="1" w:styleId="942">
    <w:name w:val="标准文本 Char Char"/>
    <w:link w:val="605"/>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4"/>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Body text|2_"/>
    <w:basedOn w:val="64"/>
    <w:link w:val="618"/>
    <w:qFormat/>
    <w:uiPriority w:val="0"/>
    <w:rPr>
      <w:rFonts w:ascii="PMingLiU_x0004_falt" w:hAnsi="PMingLiU_x0004_falt" w:eastAsia="PMingLiU_x0004_falt"/>
      <w:b w:val="0"/>
      <w:kern w:val="0"/>
      <w:sz w:val="20"/>
      <w:szCs w:val="20"/>
    </w:rPr>
  </w:style>
  <w:style w:type="character" w:customStyle="1" w:styleId="960">
    <w:name w:val="Body text|2"/>
    <w:basedOn w:val="959"/>
    <w:qFormat/>
    <w:uiPriority w:val="0"/>
    <w:rPr>
      <w:color w:val="000000"/>
      <w:spacing w:val="0"/>
      <w:w w:val="100"/>
      <w:position w:val="0"/>
      <w:lang w:val="zh-CN" w:eastAsia="zh-CN"/>
    </w:rPr>
  </w:style>
  <w:style w:type="character" w:customStyle="1" w:styleId="961">
    <w:name w:val="NormalCharacter"/>
    <w:semiHidden/>
    <w:qFormat/>
    <w:uiPriority w:val="0"/>
    <w:rPr>
      <w:rFonts w:ascii="等线" w:hAnsi="等线"/>
      <w:kern w:val="2"/>
      <w:sz w:val="21"/>
      <w:szCs w:val="24"/>
      <w:lang w:val="en-US" w:eastAsia="zh-CN" w:bidi="ar-SA"/>
    </w:rPr>
  </w:style>
  <w:style w:type="table" w:customStyle="1" w:styleId="962">
    <w:name w:val="网格型2"/>
    <w:basedOn w:val="75"/>
    <w:qFormat/>
    <w:uiPriority w:val="39"/>
    <w:pPr/>
    <w:rPr>
      <w:rFonts w:ascii="等线" w:hAnsi="等线" w:eastAsia="等线"/>
    </w:rPr>
    <w:tblPr>
      <w:tblStyle w:val="7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3">
    <w:name w:val="网格型1"/>
    <w:basedOn w:val="75"/>
    <w:qFormat/>
    <w:uiPriority w:val="39"/>
    <w:pPr/>
    <w:rPr>
      <w:rFonts w:ascii="等线" w:hAnsi="等线" w:eastAsia="等线"/>
    </w:rPr>
    <w:tblPr>
      <w:tblStyle w:val="7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4">
    <w:name w:val="网格型6"/>
    <w:basedOn w:val="75"/>
    <w:qFormat/>
    <w:uiPriority w:val="39"/>
    <w:pPr/>
    <w:rPr>
      <w:rFonts w:ascii="等线" w:hAnsi="等线" w:eastAsia="等线"/>
    </w:rPr>
    <w:tblPr>
      <w:tblStyle w:val="7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5">
    <w:name w:val="网格型3"/>
    <w:basedOn w:val="75"/>
    <w:qFormat/>
    <w:uiPriority w:val="39"/>
    <w:pPr/>
    <w:rPr>
      <w:rFonts w:ascii="等线" w:hAnsi="等线" w:eastAsia="等线"/>
    </w:rPr>
    <w:tblPr>
      <w:tblStyle w:val="7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6">
    <w:name w:val="网格型4"/>
    <w:basedOn w:val="75"/>
    <w:qFormat/>
    <w:uiPriority w:val="39"/>
    <w:pPr/>
    <w:rPr>
      <w:rFonts w:ascii="等线" w:hAnsi="等线" w:eastAsia="等线"/>
    </w:rPr>
    <w:tblPr>
      <w:tblStyle w:val="7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67">
    <w:name w:val="网格型5"/>
    <w:basedOn w:val="75"/>
    <w:qFormat/>
    <w:uiPriority w:val="39"/>
    <w:pPr/>
    <w:rPr>
      <w:rFonts w:ascii="等线" w:hAnsi="等线" w:eastAsia="等线"/>
    </w:rPr>
    <w:tblPr>
      <w:tblStyle w:val="7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39067</Words>
  <Characters>41192</Characters>
  <Lines>287</Lines>
  <Paragraphs>81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cp:lastModifiedBy>
  <cp:lastPrinted>2022-05-06T10:56:00Z</cp:lastPrinted>
  <dcterms:modified xsi:type="dcterms:W3CDTF">2022-07-08T02:49:45Z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79F87BD07A5B4C10ABB30AB91E70051E</vt:lpwstr>
  </property>
</Properties>
</file>