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 w:hAnsi="仿宋" w:eastAsia="仿宋" w:cs="仿宋_GB2312"/>
          <w:b/>
          <w:sz w:val="44"/>
          <w:szCs w:val="44"/>
        </w:rPr>
      </w:pPr>
    </w:p>
    <w:p>
      <w:pPr>
        <w:pStyle w:val="24"/>
        <w:jc w:val="center"/>
        <w:rPr>
          <w:sz w:val="22"/>
          <w:szCs w:val="20"/>
        </w:rPr>
      </w:pPr>
      <w:r>
        <w:rPr>
          <w:rFonts w:hint="eastAsia" w:ascii="仿宋" w:hAnsi="仿宋" w:eastAsia="仿宋" w:cs="仿宋_GB2312"/>
          <w:b/>
          <w:bCs/>
          <w:sz w:val="56"/>
          <w:szCs w:val="56"/>
        </w:rPr>
        <w:t>临平区崇贤新城单元详细规划</w:t>
      </w:r>
    </w:p>
    <w:p>
      <w:pPr>
        <w:pStyle w:val="25"/>
      </w:pPr>
    </w:p>
    <w:p/>
    <w:p>
      <w:pPr>
        <w:pStyle w:val="25"/>
      </w:pPr>
    </w:p>
    <w:p/>
    <w:p>
      <w:pPr>
        <w:pStyle w:val="206"/>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tabs>
          <w:tab w:val="center" w:pos="4535"/>
          <w:tab w:val="left" w:pos="7649"/>
        </w:tabs>
        <w:adjustRightInd/>
        <w:spacing w:line="360" w:lineRule="auto"/>
        <w:jc w:val="left"/>
        <w:rPr>
          <w:rFonts w:ascii="仿宋" w:hAnsi="仿宋" w:eastAsia="仿宋" w:cs="仿宋_GB2312"/>
          <w:b/>
          <w:sz w:val="44"/>
          <w:szCs w:val="44"/>
        </w:rPr>
      </w:pPr>
      <w:r>
        <w:rPr>
          <w:rFonts w:ascii="仿宋" w:hAnsi="仿宋" w:eastAsia="仿宋" w:cs="仿宋_GB2312"/>
          <w:b/>
          <w:sz w:val="44"/>
          <w:szCs w:val="44"/>
        </w:rPr>
        <w:tab/>
      </w:r>
      <w:r>
        <w:rPr>
          <w:rFonts w:ascii="仿宋" w:hAnsi="仿宋" w:eastAsia="仿宋" w:cs="仿宋_GB2312"/>
          <w:b/>
          <w:sz w:val="44"/>
          <w:szCs w:val="44"/>
        </w:rPr>
        <w:t xml:space="preserve"> （电子招投标）</w:t>
      </w:r>
      <w:r>
        <w:rPr>
          <w:rFonts w:ascii="仿宋" w:hAnsi="仿宋" w:eastAsia="仿宋" w:cs="仿宋_GB2312"/>
          <w:b/>
          <w:sz w:val="44"/>
          <w:szCs w:val="44"/>
        </w:rPr>
        <w:tab/>
      </w:r>
    </w:p>
    <w:p>
      <w:pPr>
        <w:pStyle w:val="24"/>
      </w:pPr>
    </w:p>
    <w:p>
      <w:pPr>
        <w:snapToGrid w:val="0"/>
        <w:spacing w:line="36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lang w:eastAsia="zh-CN"/>
        </w:rPr>
        <w:t>SDGL-2023016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4"/>
      </w:pPr>
    </w:p>
    <w:p>
      <w:pPr>
        <w:spacing w:line="360" w:lineRule="auto"/>
        <w:rPr>
          <w:rFonts w:ascii="仿宋" w:hAnsi="仿宋" w:eastAsia="仿宋" w:cs="仿宋_GB2312"/>
          <w:sz w:val="24"/>
        </w:rPr>
      </w:pP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招标人：杭州市临平区超山风景名胜区管理委员会</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招标代理机构：晟大项目管理（浙江）有限公司</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二三</w:t>
      </w:r>
      <w:r>
        <w:rPr>
          <w:rFonts w:hint="eastAsia" w:ascii="宋体" w:hAnsi="宋体" w:cs="宋体"/>
          <w:bCs/>
          <w:sz w:val="36"/>
          <w:szCs w:val="36"/>
        </w:rPr>
        <w:t xml:space="preserve"> </w:t>
      </w:r>
      <w:r>
        <w:rPr>
          <w:rFonts w:hint="eastAsia" w:ascii="仿宋_GB2312" w:hAnsi="仿宋_GB2312" w:eastAsia="仿宋_GB2312" w:cs="仿宋_GB2312"/>
          <w:bCs/>
          <w:sz w:val="36"/>
          <w:szCs w:val="36"/>
        </w:rPr>
        <w:t xml:space="preserve">年 </w:t>
      </w:r>
      <w:r>
        <w:rPr>
          <w:rFonts w:hint="eastAsia" w:ascii="仿宋_GB2312" w:hAnsi="仿宋_GB2312" w:eastAsia="仿宋_GB2312" w:cs="仿宋_GB2312"/>
          <w:bCs/>
          <w:sz w:val="36"/>
          <w:szCs w:val="36"/>
          <w:lang w:val="en-US" w:eastAsia="zh-CN"/>
        </w:rPr>
        <w:t>三</w:t>
      </w:r>
      <w:r>
        <w:rPr>
          <w:rFonts w:hint="eastAsia" w:ascii="仿宋_GB2312" w:hAnsi="仿宋_GB2312" w:eastAsia="仿宋_GB2312" w:cs="仿宋_GB2312"/>
          <w:bCs/>
          <w:sz w:val="36"/>
          <w:szCs w:val="36"/>
        </w:rPr>
        <w:t>月</w:t>
      </w:r>
    </w:p>
    <w:p>
      <w:pPr>
        <w:spacing w:line="360" w:lineRule="auto"/>
        <w:jc w:val="center"/>
        <w:rPr>
          <w:rFonts w:ascii="仿宋" w:hAnsi="仿宋" w:eastAsia="仿宋" w:cs="仿宋_GB2312"/>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28"/>
        <w:ind w:firstLine="420"/>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（临平区崇贤新城单元详细规划）</w:t>
      </w:r>
      <w:r>
        <w:rPr>
          <w:rFonts w:hint="eastAsia" w:ascii="仿宋_GB2312" w:hAnsi="仿宋" w:eastAsia="仿宋_GB2312"/>
          <w:sz w:val="24"/>
        </w:rPr>
        <w:t>招标项目的潜在投标人应在政采云平台（</w:t>
      </w:r>
      <w:r>
        <w:rPr>
          <w:rFonts w:hint="eastAsia"/>
        </w:rPr>
        <w:fldChar w:fldCharType="begin"/>
      </w:r>
      <w:r>
        <w:instrText xml:space="preserve"> HYPERLINK "https://www.zcygov.cn/）获取（下载）招标文件，并于2021年" </w:instrText>
      </w:r>
      <w:r>
        <w:rPr>
          <w:rFonts w:hint="eastAsia"/>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 xml:space="preserve"> 月 日09点30分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SDGL-2023016</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临平区崇贤新城单元详细规划</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650000.00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最高限价（元）：650000.00</w:t>
      </w:r>
      <w:r>
        <w:rPr>
          <w:rFonts w:ascii="仿宋_GB2312" w:hAnsi="仿宋" w:eastAsia="仿宋_GB2312"/>
          <w:sz w:val="24"/>
        </w:rPr>
        <w:t xml:space="preserve"> </w:t>
      </w:r>
      <w:r>
        <w:rPr>
          <w:rFonts w:hint="eastAsia" w:ascii="仿宋_GB2312" w:hAnsi="仿宋" w:eastAsia="仿宋_GB2312"/>
          <w:sz w:val="24"/>
        </w:rPr>
        <w:t xml:space="preserve"> </w:t>
      </w:r>
    </w:p>
    <w:p>
      <w:pPr>
        <w:pStyle w:val="16"/>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临平区崇贤新城单元详细规划，详见招标文件第三部分采购需求。</w:t>
      </w:r>
    </w:p>
    <w:p>
      <w:pPr>
        <w:pStyle w:val="16"/>
        <w:spacing w:line="360" w:lineRule="auto"/>
        <w:ind w:firstLine="480"/>
        <w:outlineLvl w:val="2"/>
        <w:rPr>
          <w:rFonts w:ascii="仿宋_GB2312" w:hAnsi="仿宋" w:eastAsia="仿宋_GB2312"/>
          <w:b/>
          <w:color w:val="auto"/>
          <w:sz w:val="24"/>
        </w:rPr>
      </w:pPr>
      <w:r>
        <w:rPr>
          <w:rFonts w:hint="eastAsia" w:ascii="仿宋_GB2312" w:hAnsi="仿宋" w:eastAsia="仿宋_GB2312"/>
          <w:b/>
          <w:color w:val="auto"/>
          <w:sz w:val="24"/>
        </w:rPr>
        <w:t>合同履约期限：详见招标文件第三部分采购需求。</w:t>
      </w:r>
    </w:p>
    <w:p>
      <w:pPr>
        <w:pStyle w:val="16"/>
        <w:spacing w:line="360" w:lineRule="auto"/>
        <w:ind w:firstLine="480"/>
        <w:rPr>
          <w:rFonts w:ascii="仿宋_GB2312" w:hAnsi="仿宋" w:eastAsia="仿宋_GB2312"/>
          <w:b/>
          <w:color w:val="FF0000"/>
          <w:sz w:val="24"/>
        </w:rPr>
      </w:pPr>
      <w:r>
        <w:rPr>
          <w:rFonts w:hint="eastAsia" w:ascii="仿宋_GB2312" w:hAnsi="仿宋" w:eastAsia="仿宋_GB2312"/>
          <w:b/>
          <w:color w:val="auto"/>
          <w:sz w:val="24"/>
          <w:highlight w:val="yellow"/>
        </w:rPr>
        <w:t>本项目接受联合体投标：</w:t>
      </w:r>
      <w:r>
        <w:rPr>
          <w:rFonts w:hint="eastAsia" w:ascii="仿宋_GB2312" w:hAnsi="仿宋" w:eastAsia="仿宋_GB2312"/>
          <w:b/>
          <w:color w:val="auto"/>
          <w:sz w:val="24"/>
          <w:highlight w:val="yellow"/>
        </w:rPr>
        <w:sym w:font="Wingdings" w:char="00FE"/>
      </w:r>
      <w:r>
        <w:rPr>
          <w:rFonts w:hint="eastAsia" w:ascii="仿宋_GB2312" w:hAnsi="仿宋" w:eastAsia="仿宋_GB2312"/>
          <w:b/>
          <w:color w:val="auto"/>
          <w:sz w:val="24"/>
          <w:highlight w:val="yellow"/>
        </w:rPr>
        <w:t xml:space="preserve">是， </w:t>
      </w:r>
      <w:r>
        <w:rPr>
          <w:rFonts w:hint="eastAsia" w:ascii="仿宋_GB2312" w:hAnsi="仿宋" w:eastAsia="仿宋_GB2312"/>
          <w:b/>
          <w:color w:val="auto"/>
          <w:sz w:val="24"/>
          <w:highlight w:val="yellow"/>
        </w:rPr>
        <w:sym w:font="Wingdings" w:char="00A8"/>
      </w:r>
      <w:r>
        <w:rPr>
          <w:rFonts w:hint="eastAsia" w:ascii="仿宋_GB2312" w:hAnsi="仿宋" w:eastAsia="仿宋_GB2312"/>
          <w:b/>
          <w:color w:val="auto"/>
          <w:sz w:val="24"/>
          <w:highlight w:val="yellow"/>
        </w:rPr>
        <w:t>否。</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yellow"/>
        </w:rPr>
      </w:pPr>
      <w:r>
        <w:rPr>
          <w:rFonts w:ascii="仿宋" w:hAnsi="仿宋" w:eastAsia="仿宋" w:cs="仿宋_GB2312"/>
          <w:snapToGrid w:val="0"/>
          <w:kern w:val="28"/>
          <w:sz w:val="24"/>
          <w:szCs w:val="20"/>
        </w:rPr>
        <w:t xml:space="preserve">    </w:t>
      </w:r>
      <w:r>
        <w:rPr>
          <w:rFonts w:ascii="仿宋" w:hAnsi="仿宋" w:eastAsia="仿宋" w:cs="仿宋_GB2312"/>
          <w:snapToGrid w:val="0"/>
          <w:kern w:val="28"/>
          <w:sz w:val="24"/>
          <w:szCs w:val="20"/>
          <w:highlight w:val="yellow"/>
        </w:rPr>
        <w:t>2.</w:t>
      </w:r>
      <w:r>
        <w:rPr>
          <w:rFonts w:hint="eastAsia" w:ascii="仿宋" w:hAnsi="仿宋" w:eastAsia="仿宋" w:cs="仿宋_GB2312"/>
          <w:snapToGrid w:val="0"/>
          <w:kern w:val="28"/>
          <w:sz w:val="24"/>
          <w:szCs w:val="20"/>
          <w:highlight w:val="yellow"/>
        </w:rPr>
        <w:t>落实政府采购政策需满足的资格要求：</w:t>
      </w:r>
    </w:p>
    <w:p>
      <w:pPr>
        <w:spacing w:line="360" w:lineRule="auto"/>
        <w:ind w:firstLine="480" w:firstLineChars="200"/>
        <w:rPr>
          <w:rFonts w:ascii="仿宋_GB2312" w:hAnsi="仿宋" w:eastAsia="仿宋_GB2312"/>
          <w:sz w:val="24"/>
          <w:highlight w:val="yellow"/>
        </w:rPr>
      </w:pPr>
      <w:r>
        <w:rPr>
          <w:rFonts w:ascii="MS Gothic" w:hAnsi="MS Gothic" w:eastAsia="仿宋_GB2312" w:cs="Arial"/>
          <w:kern w:val="0"/>
          <w:sz w:val="24"/>
          <w:highlight w:val="yellow"/>
        </w:rPr>
        <w:sym w:font="Wingdings" w:char="00A8"/>
      </w:r>
      <w:r>
        <w:rPr>
          <w:rFonts w:hint="eastAsia" w:ascii="仿宋_GB2312" w:hAnsi="仿宋" w:eastAsia="仿宋_GB2312"/>
          <w:sz w:val="24"/>
          <w:highlight w:val="yellow"/>
        </w:rPr>
        <w:t>无；</w:t>
      </w:r>
    </w:p>
    <w:p>
      <w:pPr>
        <w:spacing w:line="360" w:lineRule="auto"/>
        <w:ind w:firstLine="480" w:firstLineChars="200"/>
        <w:rPr>
          <w:rFonts w:ascii="仿宋_GB2312" w:hAnsi="仿宋" w:eastAsia="仿宋_GB2312"/>
          <w:sz w:val="24"/>
          <w:highlight w:val="yellow"/>
        </w:rPr>
      </w:pPr>
      <w:r>
        <w:rPr>
          <w:rFonts w:ascii="MS Gothic" w:hAnsi="MS Gothic" w:eastAsia="MS Gothic" w:cs="Arial"/>
          <w:kern w:val="0"/>
          <w:sz w:val="24"/>
          <w:highlight w:val="yellow"/>
        </w:rPr>
        <w:sym w:font="Wingdings" w:char="00FE"/>
      </w:r>
      <w:r>
        <w:rPr>
          <w:rFonts w:hint="eastAsia" w:ascii="仿宋_GB2312" w:hAnsi="仿宋" w:eastAsia="仿宋_GB2312" w:cs="Arial"/>
          <w:kern w:val="0"/>
          <w:sz w:val="24"/>
          <w:highlight w:val="yellow"/>
        </w:rPr>
        <w:t>专</w:t>
      </w:r>
      <w:r>
        <w:rPr>
          <w:rFonts w:hint="eastAsia" w:ascii="仿宋_GB2312" w:hAnsi="仿宋" w:eastAsia="仿宋_GB2312"/>
          <w:sz w:val="24"/>
          <w:highlight w:val="yellow"/>
        </w:rPr>
        <w:t>门面向中小企业</w:t>
      </w:r>
    </w:p>
    <w:p>
      <w:pPr>
        <w:spacing w:line="360" w:lineRule="auto"/>
        <w:ind w:firstLine="897" w:firstLineChars="374"/>
        <w:rPr>
          <w:rFonts w:ascii="仿宋_GB2312" w:hAnsi="仿宋" w:eastAsia="仿宋_GB2312"/>
          <w:sz w:val="24"/>
          <w:highlight w:val="yellow"/>
          <w:u w:val="single"/>
        </w:rPr>
      </w:pPr>
      <w:r>
        <w:rPr>
          <w:rFonts w:ascii="MS Gothic" w:hAnsi="MS Gothic" w:eastAsia="MS Gothic" w:cs="Arial"/>
          <w:kern w:val="0"/>
          <w:sz w:val="24"/>
          <w:highlight w:val="yellow"/>
        </w:rPr>
        <w:sym w:font="Wingdings" w:char="00A8"/>
      </w:r>
      <w:r>
        <w:rPr>
          <w:rFonts w:hint="eastAsia" w:ascii="仿宋_GB2312" w:hAnsi="仿宋" w:eastAsia="仿宋_GB2312"/>
          <w:sz w:val="24"/>
          <w:highlight w:val="yellow"/>
        </w:rPr>
        <w:t>货物全部由符合政策要求的中小企业制造，提供中小企业声明函；</w:t>
      </w:r>
    </w:p>
    <w:p>
      <w:pPr>
        <w:spacing w:line="360" w:lineRule="auto"/>
        <w:ind w:firstLine="897" w:firstLineChars="374"/>
        <w:rPr>
          <w:rFonts w:ascii="仿宋_GB2312" w:hAnsi="仿宋" w:eastAsia="仿宋_GB2312"/>
          <w:sz w:val="24"/>
          <w:highlight w:val="yellow"/>
        </w:rPr>
      </w:pPr>
      <w:r>
        <w:rPr>
          <w:rFonts w:ascii="MS Gothic" w:hAnsi="MS Gothic" w:eastAsia="仿宋_GB2312" w:cs="Arial"/>
          <w:kern w:val="0"/>
          <w:sz w:val="24"/>
          <w:highlight w:val="yellow"/>
        </w:rPr>
        <w:t>☐</w:t>
      </w:r>
      <w:r>
        <w:rPr>
          <w:rFonts w:hint="eastAsia" w:ascii="仿宋_GB2312" w:hAnsi="仿宋" w:eastAsia="仿宋_GB2312"/>
          <w:sz w:val="24"/>
          <w:highlight w:val="yellow"/>
        </w:rPr>
        <w:t>货物全部由符合政策要求的小微企业制造，提供中小企业声明函；</w:t>
      </w:r>
    </w:p>
    <w:p>
      <w:pPr>
        <w:spacing w:line="360" w:lineRule="auto"/>
        <w:ind w:firstLine="897" w:firstLineChars="374"/>
        <w:rPr>
          <w:rFonts w:ascii="仿宋_GB2312" w:hAnsi="仿宋" w:eastAsia="仿宋_GB2312"/>
          <w:sz w:val="24"/>
          <w:highlight w:val="yellow"/>
        </w:rPr>
      </w:pPr>
      <w:r>
        <w:rPr>
          <w:rFonts w:ascii="MS Gothic" w:hAnsi="MS Gothic" w:eastAsia="MS Gothic" w:cs="Arial"/>
          <w:kern w:val="0"/>
          <w:sz w:val="24"/>
          <w:highlight w:val="yellow"/>
        </w:rPr>
        <w:sym w:font="Wingdings" w:char="00FE"/>
      </w:r>
      <w:r>
        <w:rPr>
          <w:rFonts w:hint="eastAsia" w:ascii="仿宋_GB2312" w:hAnsi="仿宋" w:eastAsia="仿宋_GB2312"/>
          <w:sz w:val="24"/>
          <w:highlight w:val="yellow"/>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highlight w:val="yellow"/>
        </w:rPr>
        <w:t>☐</w:t>
      </w:r>
      <w:r>
        <w:rPr>
          <w:rFonts w:hint="eastAsia" w:ascii="仿宋_GB2312" w:hAnsi="仿宋" w:eastAsia="仿宋_GB2312"/>
          <w:sz w:val="24"/>
          <w:highlight w:val="yellow"/>
        </w:rPr>
        <w:t>服务全部由符合政策要求的小微企业承接，提供中小企业声明函；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highlight w:val="yellow"/>
        </w:rPr>
        <w:t>3.本项目的特定资格要求：</w:t>
      </w:r>
      <w:r>
        <w:rPr>
          <w:rFonts w:hint="eastAsia" w:ascii="仿宋_GB2312" w:hAnsi="仿宋" w:eastAsia="仿宋_GB2312"/>
          <w:sz w:val="24"/>
          <w:highlight w:val="yellow"/>
        </w:rPr>
        <w:t>具有城乡规划编制甲级及以上资质；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3</w:t>
      </w:r>
      <w:r>
        <w:rPr>
          <w:rFonts w:ascii="仿宋_GB2312" w:hAnsi="仿宋" w:eastAsia="仿宋_GB2312"/>
          <w:sz w:val="24"/>
          <w:u w:val="single"/>
        </w:rPr>
        <w:t>月</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24</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0</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 xml:space="preserve">2023年 </w:t>
      </w:r>
      <w:r>
        <w:rPr>
          <w:rFonts w:hint="eastAsia" w:ascii="仿宋_GB2312" w:hAnsi="仿宋" w:eastAsia="仿宋_GB2312"/>
          <w:sz w:val="24"/>
          <w:u w:val="single"/>
          <w:lang w:val="en-US" w:eastAsia="zh-CN"/>
        </w:rPr>
        <w:t>3</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24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分00秒</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ascii="仿宋_GB2312" w:hAnsi="仿宋" w:eastAsia="仿宋_GB2312"/>
          <w:sz w:val="24"/>
          <w:u w:val="single"/>
        </w:rPr>
        <w:t xml:space="preserve"> </w:t>
      </w:r>
      <w:r>
        <w:rPr>
          <w:rFonts w:hint="eastAsia" w:ascii="仿宋_GB2312" w:hAnsi="仿宋" w:eastAsia="仿宋_GB2312"/>
          <w:sz w:val="24"/>
          <w:u w:val="single"/>
        </w:rPr>
        <w:t>2023年</w:t>
      </w:r>
      <w:r>
        <w:rPr>
          <w:rFonts w:hint="eastAsia" w:ascii="仿宋_GB2312" w:hAnsi="仿宋" w:eastAsia="仿宋_GB2312"/>
          <w:sz w:val="24"/>
          <w:u w:val="single"/>
          <w:lang w:val="en-US" w:eastAsia="zh-CN"/>
        </w:rPr>
        <w:t>3</w:t>
      </w:r>
      <w:bookmarkStart w:id="523" w:name="_GoBack"/>
      <w:bookmarkEnd w:id="523"/>
      <w:r>
        <w:rPr>
          <w:rFonts w:hint="eastAsia" w:ascii="仿宋_GB2312" w:hAnsi="仿宋" w:eastAsia="仿宋_GB2312"/>
          <w:sz w:val="24"/>
          <w:u w:val="single"/>
        </w:rPr>
        <w:t>月</w:t>
      </w:r>
      <w:r>
        <w:rPr>
          <w:rFonts w:hint="eastAsia" w:ascii="仿宋_GB2312" w:hAnsi="仿宋" w:eastAsia="仿宋_GB2312"/>
          <w:sz w:val="24"/>
          <w:u w:val="single"/>
          <w:lang w:val="en-US" w:eastAsia="zh-CN"/>
        </w:rPr>
        <w:t>24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分00秒</w:t>
      </w:r>
      <w:r>
        <w:rPr>
          <w:rFonts w:hint="eastAsia" w:ascii="仿宋_GB2312" w:hAnsi="仿宋" w:eastAsia="仿宋_GB2312"/>
          <w:bCs/>
          <w:sz w:val="24"/>
          <w:u w:val="single"/>
        </w:rPr>
        <w:t>；</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名称：杭州市临平区超山风景名胜区管理委员会</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地址：杭州市临平区塘栖镇龙超路7号。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项目联系人（询问）：杨庆平       联系电话：13805751219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质疑联系人：姚柠炎               联系电话：0571-86372679  </w:t>
      </w:r>
    </w:p>
    <w:p>
      <w:pPr>
        <w:widowControl/>
        <w:spacing w:line="360" w:lineRule="auto"/>
        <w:ind w:firstLine="482" w:firstLineChars="200"/>
        <w:jc w:val="left"/>
        <w:outlineLvl w:val="1"/>
        <w:rPr>
          <w:rFonts w:ascii="仿宋_GB2312" w:hAnsi="仿宋_GB2312" w:eastAsia="仿宋_GB2312" w:cs="仿宋_GB2312"/>
          <w:b/>
          <w:sz w:val="24"/>
        </w:rPr>
      </w:pPr>
      <w:bookmarkStart w:id="10" w:name="_Toc31571"/>
      <w:bookmarkStart w:id="11" w:name="_Toc28359009"/>
      <w:bookmarkStart w:id="12" w:name="_Toc28359086"/>
    </w:p>
    <w:p>
      <w:pPr>
        <w:widowControl/>
        <w:spacing w:line="360" w:lineRule="auto"/>
        <w:ind w:firstLine="482" w:firstLineChars="200"/>
        <w:jc w:val="left"/>
        <w:outlineLvl w:val="1"/>
        <w:rPr>
          <w:rFonts w:ascii="仿宋_GB2312" w:hAnsi="仿宋_GB2312" w:eastAsia="仿宋_GB2312" w:cs="仿宋_GB2312"/>
          <w:b/>
          <w:sz w:val="24"/>
        </w:rPr>
      </w:pPr>
      <w:r>
        <w:rPr>
          <w:rFonts w:hint="eastAsia" w:ascii="仿宋_GB2312" w:hAnsi="仿宋_GB2312" w:eastAsia="仿宋_GB2312" w:cs="仿宋_GB2312"/>
          <w:b/>
          <w:sz w:val="24"/>
        </w:rPr>
        <w:t>2.采购代理机构信息</w:t>
      </w:r>
      <w:bookmarkEnd w:id="10"/>
      <w:bookmarkEnd w:id="11"/>
      <w:bookmarkEnd w:id="12"/>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名称：晟大项目管理（浙江）有限公司</w:t>
      </w:r>
    </w:p>
    <w:p>
      <w:p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地址：杭州市临平区星桥街道星源路368号元星大厦9楼。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color w:val="000000"/>
          <w:sz w:val="24"/>
        </w:rPr>
        <w:t>询问）：屠佳明          联系电话：13588728251</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 xml:space="preserve">质疑联系人：沈明                </w:t>
      </w:r>
      <w:r>
        <w:rPr>
          <w:rFonts w:hint="eastAsia" w:ascii="仿宋_GB2312" w:hAnsi="仿宋_GB2312" w:eastAsia="仿宋_GB2312" w:cs="仿宋_GB2312"/>
          <w:sz w:val="24"/>
        </w:rPr>
        <w:t>联系电话：13251003888</w:t>
      </w:r>
    </w:p>
    <w:p>
      <w:pPr>
        <w:snapToGrid w:val="0"/>
        <w:spacing w:line="360" w:lineRule="auto"/>
        <w:ind w:firstLine="482" w:firstLineChars="200"/>
        <w:outlineLvl w:val="1"/>
        <w:rPr>
          <w:rFonts w:ascii="仿宋_GB2312" w:hAnsi="仿宋_GB2312" w:eastAsia="仿宋_GB2312" w:cs="仿宋_GB2312"/>
          <w:b/>
          <w:sz w:val="24"/>
        </w:rPr>
      </w:pPr>
      <w:bookmarkStart w:id="13" w:name="_Toc28359010"/>
      <w:bookmarkStart w:id="14" w:name="_Toc28359087"/>
      <w:bookmarkStart w:id="15" w:name="_Toc19946"/>
    </w:p>
    <w:p>
      <w:pPr>
        <w:snapToGrid w:val="0"/>
        <w:spacing w:line="360" w:lineRule="auto"/>
        <w:ind w:firstLine="482" w:firstLineChars="200"/>
        <w:outlineLvl w:val="1"/>
        <w:rPr>
          <w:rFonts w:ascii="仿宋_GB2312" w:hAnsi="仿宋_GB2312" w:eastAsia="仿宋_GB2312" w:cs="仿宋_GB2312"/>
          <w:b/>
          <w:sz w:val="24"/>
        </w:rPr>
      </w:pPr>
      <w:r>
        <w:rPr>
          <w:rFonts w:hint="eastAsia" w:ascii="仿宋_GB2312" w:hAnsi="仿宋_GB2312" w:eastAsia="仿宋_GB2312" w:cs="仿宋_GB2312"/>
          <w:b/>
          <w:sz w:val="24"/>
        </w:rPr>
        <w:t>3.</w:t>
      </w:r>
      <w:bookmarkEnd w:id="13"/>
      <w:bookmarkEnd w:id="14"/>
      <w:r>
        <w:rPr>
          <w:rFonts w:hint="eastAsia" w:ascii="仿宋_GB2312" w:hAnsi="仿宋_GB2312" w:eastAsia="仿宋_GB2312" w:cs="仿宋_GB2312"/>
          <w:b/>
          <w:sz w:val="24"/>
        </w:rPr>
        <w:t>同级政府采购监督管理部门</w:t>
      </w:r>
      <w:bookmarkEnd w:id="15"/>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名称：杭州市临平区财政局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地址：杭州市临平区东湖中路236号财税大楼。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联系人：俞征        联系电话：0571-89185312</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监督投诉电话：0571-89185312</w:t>
      </w:r>
    </w:p>
    <w:p>
      <w:pPr>
        <w:pStyle w:val="28"/>
        <w:ind w:firstLine="420"/>
        <w:rPr>
          <w:rFonts w:ascii="仿宋_GB2312" w:hAnsi="仿宋_GB2312" w:eastAsia="仿宋_GB2312" w:cs="仿宋_GB2312"/>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jc w:val="center"/>
        <w:rPr>
          <w:rFonts w:ascii="仿宋" w:hAnsi="仿宋" w:eastAsia="仿宋" w:cs="仿宋_GB2312"/>
          <w:b/>
          <w:sz w:val="32"/>
          <w:szCs w:val="20"/>
        </w:rPr>
      </w:pPr>
      <w:r>
        <w:rPr>
          <w:rFonts w:hint="eastAsia" w:ascii="仿宋" w:hAnsi="仿宋" w:eastAsia="仿宋" w:cs="仿宋_GB2312"/>
          <w:b/>
          <w:sz w:val="32"/>
          <w:szCs w:val="20"/>
        </w:rPr>
        <w:t>前 附 表</w:t>
      </w:r>
    </w:p>
    <w:tbl>
      <w:tblPr>
        <w:tblStyle w:val="62"/>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39"/>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62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15"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15" w:type="dxa"/>
            <w:vAlign w:val="center"/>
          </w:tcPr>
          <w:p>
            <w:pPr>
              <w:snapToGrid w:val="0"/>
              <w:spacing w:line="288" w:lineRule="auto"/>
              <w:ind w:firstLine="240" w:firstLineChars="100"/>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288" w:lineRule="auto"/>
              <w:ind w:firstLine="241" w:firstLineChars="100"/>
              <w:jc w:val="left"/>
              <w:rPr>
                <w:rFonts w:ascii="仿宋_GB2312" w:hAnsi="仿宋" w:eastAsia="仿宋_GB2312" w:cs="仿宋_GB2312"/>
                <w:b/>
                <w:kern w:val="0"/>
                <w:sz w:val="24"/>
              </w:rPr>
            </w:pPr>
            <w:r>
              <w:rPr>
                <w:rFonts w:hint="eastAsia" w:ascii="仿宋_GB2312" w:hAnsi="仿宋" w:eastAsia="仿宋_GB2312" w:cs="仿宋_GB2312"/>
                <w:b/>
                <w:kern w:val="0"/>
                <w:sz w:val="24"/>
                <w:lang w:val="zh-CN"/>
              </w:rPr>
              <w:t>项目预算价</w:t>
            </w:r>
            <w:r>
              <w:rPr>
                <w:rFonts w:hint="eastAsia" w:ascii="仿宋_GB2312" w:hAnsi="仿宋" w:eastAsia="仿宋_GB2312" w:cs="仿宋_GB2312"/>
                <w:b/>
                <w:kern w:val="0"/>
                <w:sz w:val="24"/>
              </w:rPr>
              <w:t>65万元；</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288"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投标报价超过招标文件中规定的预算金额的</w:t>
            </w:r>
            <w:r>
              <w:rPr>
                <w:rFonts w:ascii="仿宋_GB2312" w:hAnsi="仿宋" w:eastAsia="仿宋_GB2312"/>
                <w:b/>
                <w:kern w:val="0"/>
                <w:sz w:val="24"/>
                <w:lang w:val="zh-CN"/>
              </w:rPr>
              <w:t>;</w:t>
            </w:r>
          </w:p>
          <w:p>
            <w:pPr>
              <w:spacing w:line="288"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288"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trPr>
        <w:tc>
          <w:tcPr>
            <w:tcW w:w="629" w:type="dxa"/>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2</w:t>
            </w:r>
          </w:p>
        </w:tc>
        <w:tc>
          <w:tcPr>
            <w:tcW w:w="1739" w:type="dxa"/>
            <w:vAlign w:val="center"/>
          </w:tcPr>
          <w:p>
            <w:pPr>
              <w:snapToGrid w:val="0"/>
              <w:spacing w:line="288"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15" w:type="dxa"/>
            <w:vAlign w:val="center"/>
          </w:tcPr>
          <w:p>
            <w:pPr>
              <w:spacing w:line="288"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p>
          <w:p>
            <w:pPr>
              <w:spacing w:line="288" w:lineRule="auto"/>
              <w:rPr>
                <w:rFonts w:ascii="仿宋_GB2312" w:hAnsi="仿宋" w:eastAsia="仿宋_GB2312" w:cs="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rPr>
        <w:tc>
          <w:tcPr>
            <w:tcW w:w="629" w:type="dxa"/>
            <w:vMerge w:val="restart"/>
            <w:vAlign w:val="center"/>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3</w:t>
            </w:r>
          </w:p>
        </w:tc>
        <w:tc>
          <w:tcPr>
            <w:tcW w:w="1739" w:type="dxa"/>
            <w:vMerge w:val="restart"/>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15" w:type="dxa"/>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288"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trPr>
        <w:tc>
          <w:tcPr>
            <w:tcW w:w="629" w:type="dxa"/>
            <w:vMerge w:val="continue"/>
            <w:vAlign w:val="center"/>
          </w:tcPr>
          <w:p>
            <w:pPr>
              <w:snapToGrid w:val="0"/>
              <w:spacing w:line="288" w:lineRule="auto"/>
              <w:jc w:val="center"/>
              <w:rPr>
                <w:rFonts w:ascii="仿宋_GB2312" w:hAnsi="仿宋" w:eastAsia="仿宋_GB2312" w:cs="仿宋_GB2312"/>
                <w:sz w:val="24"/>
              </w:rPr>
            </w:pPr>
          </w:p>
        </w:tc>
        <w:tc>
          <w:tcPr>
            <w:tcW w:w="1739" w:type="dxa"/>
            <w:vMerge w:val="continue"/>
            <w:vAlign w:val="center"/>
          </w:tcPr>
          <w:p>
            <w:pPr>
              <w:snapToGrid w:val="0"/>
              <w:spacing w:line="288" w:lineRule="auto"/>
              <w:jc w:val="center"/>
              <w:rPr>
                <w:rFonts w:ascii="仿宋_GB2312" w:hAnsi="仿宋" w:eastAsia="仿宋_GB2312" w:cs="仿宋_GB2312"/>
                <w:b/>
                <w:sz w:val="24"/>
              </w:rPr>
            </w:pPr>
          </w:p>
        </w:tc>
        <w:tc>
          <w:tcPr>
            <w:tcW w:w="6415" w:type="dxa"/>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4</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15" w:type="dxa"/>
            <w:vAlign w:val="center"/>
          </w:tcPr>
          <w:p>
            <w:pPr>
              <w:spacing w:line="288"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5</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15" w:type="dxa"/>
            <w:vAlign w:val="center"/>
          </w:tcPr>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288"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6</w:t>
            </w:r>
          </w:p>
        </w:tc>
        <w:tc>
          <w:tcPr>
            <w:tcW w:w="1739" w:type="dxa"/>
            <w:vAlign w:val="center"/>
          </w:tcPr>
          <w:p>
            <w:pPr>
              <w:snapToGrid w:val="0"/>
              <w:spacing w:line="288"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15" w:type="dxa"/>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A8"/>
            </w:r>
            <w:r>
              <w:rPr>
                <w:rFonts w:ascii="仿宋_GB2312" w:hAnsi="仿宋" w:eastAsia="仿宋_GB2312"/>
                <w:kern w:val="0"/>
                <w:sz w:val="24"/>
              </w:rPr>
              <w:t>B</w:t>
            </w:r>
            <w:r>
              <w:rPr>
                <w:rFonts w:hint="eastAsia" w:ascii="仿宋_GB2312" w:hAnsi="仿宋" w:eastAsia="仿宋_GB2312"/>
                <w:sz w:val="24"/>
              </w:rPr>
              <w:t>组织，具体详见评标办法。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7</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是否允许采购进口产品（服务项目不采用）</w:t>
            </w:r>
          </w:p>
        </w:tc>
        <w:tc>
          <w:tcPr>
            <w:tcW w:w="6415" w:type="dxa"/>
            <w:vAlign w:val="center"/>
          </w:tcPr>
          <w:p>
            <w:pPr>
              <w:spacing w:line="288"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288"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trPr>
        <w:tc>
          <w:tcPr>
            <w:tcW w:w="629" w:type="dxa"/>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8</w:t>
            </w:r>
          </w:p>
        </w:tc>
        <w:tc>
          <w:tcPr>
            <w:tcW w:w="1739" w:type="dxa"/>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15" w:type="dxa"/>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5" w:hRule="atLeast"/>
        </w:trPr>
        <w:tc>
          <w:tcPr>
            <w:tcW w:w="629" w:type="dxa"/>
            <w:vAlign w:val="center"/>
          </w:tcPr>
          <w:p>
            <w:pPr>
              <w:snapToGrid w:val="0"/>
              <w:spacing w:line="360" w:lineRule="auto"/>
              <w:jc w:val="center"/>
              <w:rPr>
                <w:rFonts w:ascii="仿宋_GB2312" w:hAnsi="仿宋" w:eastAsia="仿宋_GB2312" w:cs="仿宋_GB2312"/>
                <w:sz w:val="24"/>
                <w:highlight w:val="yellow"/>
              </w:rPr>
            </w:pPr>
          </w:p>
          <w:p>
            <w:pPr>
              <w:snapToGrid w:val="0"/>
              <w:spacing w:line="360" w:lineRule="auto"/>
              <w:jc w:val="center"/>
              <w:rPr>
                <w:rFonts w:ascii="仿宋_GB2312" w:hAnsi="仿宋" w:eastAsia="仿宋_GB2312" w:cs="仿宋_GB2312"/>
                <w:sz w:val="24"/>
                <w:highlight w:val="yellow"/>
              </w:rPr>
            </w:pPr>
            <w:r>
              <w:rPr>
                <w:rFonts w:ascii="仿宋_GB2312" w:hAnsi="仿宋" w:eastAsia="仿宋_GB2312" w:cs="仿宋_GB2312"/>
                <w:sz w:val="24"/>
                <w:highlight w:val="yellow"/>
              </w:rPr>
              <w:t>9</w:t>
            </w:r>
          </w:p>
        </w:tc>
        <w:tc>
          <w:tcPr>
            <w:tcW w:w="1739" w:type="dxa"/>
            <w:vAlign w:val="center"/>
          </w:tcPr>
          <w:p>
            <w:pPr>
              <w:snapToGrid w:val="0"/>
              <w:jc w:val="center"/>
              <w:rPr>
                <w:rFonts w:ascii="仿宋_GB2312" w:hAnsi="仿宋_GB2312" w:eastAsia="仿宋_GB2312" w:cs="仿宋_GB2312"/>
                <w:b/>
                <w:szCs w:val="21"/>
                <w:highlight w:val="yellow"/>
              </w:rPr>
            </w:pPr>
            <w:r>
              <w:rPr>
                <w:rFonts w:hint="eastAsia" w:ascii="仿宋_GB2312" w:hAnsi="仿宋_GB2312" w:eastAsia="仿宋_GB2312" w:cs="仿宋_GB2312"/>
                <w:b/>
                <w:szCs w:val="21"/>
                <w:highlight w:val="yellow"/>
              </w:rPr>
              <w:t>采购标的对应的中小企业划分标准所属行业</w:t>
            </w:r>
          </w:p>
        </w:tc>
        <w:tc>
          <w:tcPr>
            <w:tcW w:w="6415" w:type="dxa"/>
            <w:vAlign w:val="center"/>
          </w:tcPr>
          <w:p>
            <w:pPr>
              <w:pStyle w:val="620"/>
              <w:tabs>
                <w:tab w:val="left" w:pos="1070"/>
              </w:tabs>
              <w:ind w:right="52" w:firstLine="210" w:firstLineChars="100"/>
              <w:rPr>
                <w:rFonts w:hAnsi="仿宋_GB2312" w:cs="仿宋_GB2312"/>
                <w:sz w:val="21"/>
                <w:szCs w:val="21"/>
                <w:highlight w:val="yellow"/>
                <w:lang w:eastAsia="zh-CN"/>
              </w:rPr>
            </w:pPr>
            <w:r>
              <w:rPr>
                <w:rFonts w:hint="eastAsia" w:ascii="仿宋_GB2312" w:hAnsi="仿宋_GB2312" w:eastAsia="仿宋_GB2312" w:cs="仿宋_GB2312"/>
                <w:color w:val="000000"/>
                <w:sz w:val="21"/>
                <w:szCs w:val="21"/>
                <w:highlight w:val="yellow"/>
                <w:lang w:eastAsia="zh-CN"/>
              </w:rPr>
              <w:t>（1）标的：临平区崇贤新城单元详细规划，属于</w:t>
            </w:r>
            <w:r>
              <w:rPr>
                <w:rFonts w:hint="eastAsia" w:ascii="仿宋_GB2312" w:hAnsi="仿宋_GB2312" w:eastAsia="仿宋_GB2312" w:cs="仿宋_GB2312"/>
                <w:color w:val="000000"/>
                <w:sz w:val="21"/>
                <w:szCs w:val="21"/>
                <w:highlight w:val="yellow"/>
                <w:u w:val="single"/>
                <w:lang w:eastAsia="zh-CN"/>
              </w:rPr>
              <w:t>其它未列明</w:t>
            </w:r>
            <w:r>
              <w:rPr>
                <w:rFonts w:hint="eastAsia" w:ascii="仿宋_GB2312" w:hAnsi="仿宋_GB2312" w:eastAsia="仿宋_GB2312" w:cs="仿宋_GB2312"/>
                <w:color w:val="000000"/>
                <w:sz w:val="21"/>
                <w:szCs w:val="21"/>
                <w:highlight w:val="yellow"/>
                <w:lang w:eastAsia="zh-CN"/>
              </w:rPr>
              <w:t>行业；具体详见《中小企业划型标准规定》。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73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15" w:type="dxa"/>
            <w:vAlign w:val="center"/>
          </w:tcPr>
          <w:p>
            <w:pPr>
              <w:snapToGrid w:val="0"/>
              <w:spacing w:line="312" w:lineRule="auto"/>
              <w:ind w:firstLine="480" w:firstLineChars="20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rPr>
        <w:tc>
          <w:tcPr>
            <w:tcW w:w="629"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739"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15" w:type="dxa"/>
            <w:vAlign w:val="center"/>
          </w:tcPr>
          <w:p>
            <w:pPr>
              <w:spacing w:line="312" w:lineRule="auto"/>
              <w:ind w:firstLine="480" w:firstLineChars="200"/>
              <w:rPr>
                <w:rFonts w:ascii="仿宋_GB2312" w:hAnsi="仿宋" w:eastAsia="仿宋_GB2312"/>
                <w:sz w:val="24"/>
              </w:rPr>
            </w:pPr>
            <w:r>
              <w:rPr>
                <w:rFonts w:hint="eastAsia" w:ascii="仿宋_GB2312" w:hAnsi="仿宋" w:eastAsia="仿宋_GB2312"/>
                <w:snapToGrid w:val="0"/>
                <w:color w:val="FF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rPr>
        <w:tc>
          <w:tcPr>
            <w:tcW w:w="629" w:type="dxa"/>
            <w:vMerge w:val="continue"/>
          </w:tcPr>
          <w:p>
            <w:pPr>
              <w:spacing w:line="360" w:lineRule="auto"/>
              <w:ind w:firstLine="420" w:firstLineChars="200"/>
            </w:pPr>
          </w:p>
        </w:tc>
        <w:tc>
          <w:tcPr>
            <w:tcW w:w="1739" w:type="dxa"/>
            <w:vMerge w:val="continue"/>
            <w:vAlign w:val="center"/>
          </w:tcPr>
          <w:p>
            <w:pPr>
              <w:spacing w:line="360" w:lineRule="auto"/>
              <w:ind w:firstLine="420" w:firstLineChars="200"/>
            </w:pPr>
          </w:p>
        </w:tc>
        <w:tc>
          <w:tcPr>
            <w:tcW w:w="6415" w:type="dxa"/>
            <w:vAlign w:val="center"/>
          </w:tcPr>
          <w:p>
            <w:pPr>
              <w:spacing w:line="288" w:lineRule="auto"/>
              <w:ind w:firstLine="480" w:firstLineChars="200"/>
              <w:rPr>
                <w:rFonts w:ascii="仿宋_GB2312" w:hAnsi="仿宋" w:eastAsia="仿宋_GB2312"/>
                <w:snapToGrid w:val="0"/>
                <w:kern w:val="28"/>
                <w:sz w:val="24"/>
              </w:rPr>
            </w:pPr>
            <w:r>
              <w:rPr>
                <w:rFonts w:hint="eastAsia" w:ascii="仿宋_GB2312" w:hAnsi="仿宋" w:eastAsia="仿宋_GB2312"/>
                <w:snapToGrid w:val="0"/>
                <w:color w:val="FF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73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415" w:type="dxa"/>
            <w:vAlign w:val="center"/>
          </w:tcPr>
          <w:p>
            <w:pPr>
              <w:pStyle w:val="36"/>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杭州市临平区星桥街道星源路368号元星大厦9楼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沈明13251003888</w:t>
            </w:r>
            <w:r>
              <w:rPr>
                <w:rFonts w:hint="eastAsia" w:ascii="仿宋_GB2312" w:hAnsi="仿宋" w:eastAsia="仿宋_GB2312" w:cs="Times New Roman"/>
                <w:kern w:val="28"/>
                <w:sz w:val="24"/>
                <w:szCs w:val="24"/>
              </w:rPr>
              <w:t xml:space="preserve"> 。</w:t>
            </w:r>
          </w:p>
          <w:p>
            <w:pPr>
              <w:pStyle w:val="36"/>
              <w:spacing w:line="360" w:lineRule="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4"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73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415" w:type="dxa"/>
            <w:vAlign w:val="center"/>
          </w:tcPr>
          <w:p>
            <w:pPr>
              <w:spacing w:line="360" w:lineRule="auto"/>
              <w:ind w:firstLine="420" w:firstLineChars="200"/>
            </w:pPr>
            <w:r>
              <w:rPr>
                <w:rFonts w:hint="eastAsia"/>
              </w:rPr>
              <w:t>本项目的招标代理费用由中标单位支付，参照《招标代理服务收费管理暂行办法》的通知（计价格[2002]1980号）文件直接支付给分散采购招标代理单位，投标人在报价时应综合考虑该笔费用，但不单列进投标总价。</w:t>
            </w:r>
          </w:p>
          <w:p>
            <w:pPr>
              <w:pStyle w:val="206"/>
              <w:ind w:firstLine="0" w:firstLineChars="0"/>
            </w:pPr>
            <w:r>
              <w:rPr>
                <w:rFonts w:hint="eastAsia"/>
              </w:rPr>
              <w:drawing>
                <wp:inline distT="0" distB="0" distL="114300" distR="114300">
                  <wp:extent cx="3689985" cy="1826895"/>
                  <wp:effectExtent l="0" t="0" r="5715" b="1905"/>
                  <wp:docPr id="3" name="图片 3" descr="164327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3279091(1)"/>
                          <pic:cNvPicPr>
                            <a:picLocks noChangeAspect="1"/>
                          </pic:cNvPicPr>
                        </pic:nvPicPr>
                        <pic:blipFill>
                          <a:blip r:embed="rId37"/>
                          <a:stretch>
                            <a:fillRect/>
                          </a:stretch>
                        </pic:blipFill>
                        <pic:spPr>
                          <a:xfrm>
                            <a:off x="0" y="0"/>
                            <a:ext cx="3689985" cy="1826895"/>
                          </a:xfrm>
                          <a:prstGeom prst="rect">
                            <a:avLst/>
                          </a:prstGeom>
                        </pic:spPr>
                      </pic:pic>
                    </a:graphicData>
                  </a:graphic>
                </wp:inline>
              </w:drawing>
            </w:r>
          </w:p>
        </w:tc>
      </w:tr>
      <w:bookmarkEnd w:id="9"/>
    </w:tbl>
    <w:p>
      <w:pPr>
        <w:adjustRightInd/>
        <w:spacing w:line="360" w:lineRule="auto"/>
        <w:outlineLvl w:val="0"/>
        <w:rPr>
          <w:rFonts w:ascii="仿宋_GB2312" w:hAnsi="仿宋" w:eastAsia="仿宋_GB2312" w:cs="仿宋_GB2312"/>
          <w:b/>
          <w:sz w:val="32"/>
          <w:szCs w:val="20"/>
        </w:rPr>
      </w:pPr>
      <w:bookmarkStart w:id="16" w:name="_Toc164416483"/>
      <w:bookmarkStart w:id="17" w:name="第三部分"/>
    </w:p>
    <w:p>
      <w:pPr>
        <w:adjustRightInd/>
        <w:spacing w:line="360" w:lineRule="auto"/>
        <w:ind w:firstLine="3845" w:firstLineChars="1197"/>
        <w:outlineLvl w:val="0"/>
        <w:rPr>
          <w:rFonts w:ascii="仿宋_GB2312" w:hAnsi="仿宋" w:eastAsia="仿宋_GB2312" w:cs="仿宋_GB2312"/>
          <w:b/>
          <w:sz w:val="32"/>
          <w:szCs w:val="20"/>
        </w:rPr>
      </w:pPr>
    </w:p>
    <w:p>
      <w:r>
        <w:br w:type="page"/>
      </w:r>
    </w:p>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以联合体形式参加政府采购活动，联合体各方均为中小企业的，联合体视同中小企业。其中，联合体各方均为小微企业的，联合体视同小微企业（本项目不采用）。</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FF0000"/>
          <w:sz w:val="24"/>
        </w:rPr>
      </w:pPr>
      <w:r>
        <w:rPr>
          <w:rFonts w:ascii="仿宋_GB2312" w:hAnsi="仿宋" w:eastAsia="仿宋_GB2312"/>
          <w:sz w:val="24"/>
        </w:rPr>
        <w:t>3.4.2</w:t>
      </w:r>
      <w:r>
        <w:rPr>
          <w:rFonts w:ascii="仿宋_GB2312" w:hAnsi="仿宋" w:eastAsia="仿宋_GB2312"/>
          <w:color w:val="FF0000"/>
          <w:sz w:val="24"/>
        </w:rPr>
        <w:t>首台套产品</w:t>
      </w:r>
      <w:r>
        <w:rPr>
          <w:rFonts w:hint="eastAsia" w:ascii="仿宋_GB2312" w:hAnsi="仿宋" w:eastAsia="仿宋_GB2312"/>
          <w:color w:val="FF0000"/>
          <w:sz w:val="24"/>
        </w:rPr>
        <w:t>被纳入《首台套产品推广应用指导目录》之日起</w:t>
      </w:r>
      <w:r>
        <w:rPr>
          <w:rFonts w:ascii="仿宋_GB2312" w:hAnsi="仿宋" w:eastAsia="仿宋_GB2312"/>
          <w:color w:val="FF0000"/>
          <w:sz w:val="24"/>
        </w:rPr>
        <w:t>2年内，以及产品核心技术高于国内领先水平，并具有明晰自主知识产权的“制造精品”产品，</w:t>
      </w:r>
      <w:r>
        <w:rPr>
          <w:rFonts w:hint="eastAsia" w:ascii="仿宋_GB2312" w:hAnsi="仿宋" w:eastAsia="仿宋_GB2312"/>
          <w:color w:val="FF0000"/>
          <w:sz w:val="24"/>
        </w:rPr>
        <w:t>自认定之日起</w:t>
      </w:r>
      <w:r>
        <w:rPr>
          <w:rFonts w:ascii="仿宋_GB2312" w:hAnsi="仿宋" w:eastAsia="仿宋_GB2312"/>
          <w:color w:val="FF0000"/>
          <w:sz w:val="24"/>
        </w:rPr>
        <w:t>2年内视同已具备相应销售业绩，参加政府采购活动</w:t>
      </w:r>
      <w:r>
        <w:rPr>
          <w:rFonts w:hint="eastAsia" w:ascii="仿宋_GB2312" w:hAnsi="仿宋" w:eastAsia="仿宋_GB2312"/>
          <w:color w:val="FF0000"/>
          <w:sz w:val="24"/>
        </w:rPr>
        <w:t>时业绩分值为满分。</w:t>
      </w:r>
    </w:p>
    <w:p>
      <w:pPr>
        <w:spacing w:line="360" w:lineRule="auto"/>
        <w:rPr>
          <w:rFonts w:ascii="仿宋_GB2312" w:hAnsi="仿宋" w:eastAsia="仿宋_GB2312"/>
          <w:b/>
          <w:sz w:val="24"/>
        </w:rPr>
      </w:pPr>
      <w:r>
        <w:rPr>
          <w:rFonts w:ascii="仿宋_GB2312" w:hAnsi="仿宋" w:eastAsia="仿宋_GB2312"/>
          <w:sz w:val="24"/>
        </w:rPr>
        <w:t>3.5</w:t>
      </w:r>
      <w:r>
        <w:rPr>
          <w:rFonts w:ascii="仿宋_GB2312" w:hAnsi="仿宋" w:eastAsia="仿宋_GB2312"/>
          <w:color w:val="FF0000"/>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FF0000"/>
          <w:sz w:val="24"/>
        </w:rPr>
        <w:t>登录</w:t>
      </w:r>
      <w:r>
        <w:rPr>
          <w:rFonts w:ascii="仿宋_GB2312" w:hAnsi="仿宋" w:eastAsia="仿宋_GB2312"/>
          <w:color w:val="FF0000"/>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8"/>
        <w:shd w:val="clear" w:color="auto" w:fill="FFFFFF"/>
        <w:snapToGrid w:val="0"/>
        <w:spacing w:after="240" w:afterAutospacing="0" w:line="360" w:lineRule="auto"/>
        <w:ind w:firstLine="400"/>
        <w:contextualSpacing/>
        <w:rPr>
          <w:rFonts w:ascii="仿宋_GB2312" w:hAnsi="仿宋" w:eastAsia="仿宋_GB2312"/>
          <w:color w:val="FF0000"/>
        </w:rPr>
      </w:pPr>
      <w:r>
        <w:rPr>
          <w:rFonts w:ascii="仿宋_GB2312" w:hAnsi="仿宋" w:eastAsia="仿宋_GB2312" w:cs="微软雅黑"/>
          <w:color w:val="FF0000"/>
          <w:lang w:val="zh-CN"/>
        </w:rPr>
        <w:t>4.2</w:t>
      </w:r>
      <w:r>
        <w:rPr>
          <w:rFonts w:ascii="仿宋_GB2312" w:hAnsi="仿宋" w:eastAsia="仿宋_GB2312"/>
          <w:color w:val="FF0000"/>
        </w:rPr>
        <w:t>.4</w:t>
      </w:r>
      <w:r>
        <w:rPr>
          <w:rFonts w:hint="eastAsia" w:ascii="仿宋_GB2312" w:hAnsi="仿宋" w:eastAsia="仿宋_GB2312"/>
          <w:color w:val="FF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FF0000"/>
        </w:rPr>
        <w:t>2021〕17号）,</w:t>
      </w:r>
      <w:r>
        <w:rPr>
          <w:rFonts w:hint="eastAsia" w:ascii="仿宋_GB2312" w:hAnsi="仿宋" w:eastAsia="仿宋_GB2312"/>
          <w:color w:val="FF0000"/>
        </w:rPr>
        <w:t>采购人或者采购机构在质疑回复后</w:t>
      </w:r>
      <w:r>
        <w:rPr>
          <w:rFonts w:ascii="仿宋_GB2312" w:hAnsi="仿宋" w:eastAsia="仿宋_GB2312"/>
          <w:color w:val="FF0000"/>
        </w:rPr>
        <w:t>5个工作日内，在浙江政府采购网的“其他公告”栏目公开质疑答复，答复内容应当完整。质疑</w:t>
      </w:r>
      <w:r>
        <w:rPr>
          <w:rFonts w:hint="eastAsia" w:ascii="仿宋_GB2312" w:hAnsi="仿宋" w:eastAsia="仿宋_GB2312"/>
          <w:color w:val="FF0000"/>
        </w:rPr>
        <w:t>函作为附件上传。</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rPr>
          <w:rFonts w:ascii="仿宋_GB2312" w:hAnsi="仿宋" w:eastAsia="仿宋_GB2312" w:cs="仿宋_GB2312"/>
          <w:color w:val="FF0000"/>
          <w:sz w:val="24"/>
          <w:highlight w:val="yellow"/>
        </w:rPr>
      </w:pPr>
      <w:r>
        <w:rPr>
          <w:rFonts w:ascii="仿宋_GB2312" w:hAnsi="仿宋" w:eastAsia="仿宋_GB2312" w:cs="仿宋_GB2312"/>
          <w:color w:val="FF0000"/>
          <w:sz w:val="24"/>
          <w:highlight w:val="yellow"/>
        </w:rPr>
        <w:t>11.1</w:t>
      </w:r>
      <w:r>
        <w:rPr>
          <w:rFonts w:hint="eastAsia" w:ascii="仿宋_GB2312" w:hAnsi="仿宋" w:eastAsia="仿宋_GB2312" w:cs="仿宋_GB2312"/>
          <w:b/>
          <w:color w:val="FF0000"/>
          <w:sz w:val="24"/>
          <w:highlight w:val="yellow"/>
        </w:rPr>
        <w:t>资格文件</w:t>
      </w:r>
      <w:r>
        <w:rPr>
          <w:rFonts w:hint="eastAsia" w:ascii="仿宋_GB2312" w:hAnsi="仿宋" w:eastAsia="仿宋_GB2312" w:cs="仿宋_GB2312"/>
          <w:color w:val="FF0000"/>
          <w:sz w:val="24"/>
          <w:highlight w:val="yellow"/>
        </w:rPr>
        <w:t>：</w:t>
      </w:r>
    </w:p>
    <w:p>
      <w:pPr>
        <w:snapToGrid w:val="0"/>
        <w:spacing w:line="360" w:lineRule="auto"/>
        <w:ind w:firstLine="843" w:firstLineChars="400"/>
        <w:rPr>
          <w:rFonts w:ascii="仿宋_GB2312" w:hAnsi="仿宋" w:eastAsia="仿宋_GB2312" w:cs="仿宋_GB2312"/>
          <w:color w:val="FF0000"/>
          <w:sz w:val="24"/>
          <w:highlight w:val="yellow"/>
        </w:rPr>
      </w:pPr>
      <w:r>
        <w:rPr>
          <w:rFonts w:hint="eastAsia" w:ascii="仿宋_GB2312" w:hAnsi="仿宋" w:eastAsia="仿宋_GB2312"/>
          <w:b/>
          <w:color w:val="FF0000"/>
          <w:highlight w:val="yellow"/>
        </w:rPr>
        <w:t>▲</w:t>
      </w:r>
      <w:r>
        <w:rPr>
          <w:rFonts w:ascii="仿宋_GB2312" w:hAnsi="仿宋" w:eastAsia="仿宋_GB2312" w:cs="仿宋_GB2312"/>
          <w:color w:val="FF0000"/>
          <w:sz w:val="24"/>
          <w:highlight w:val="yellow"/>
        </w:rPr>
        <w:t>11.1.1符合参加政府采购活动应当具备的一般条件的承诺函；</w:t>
      </w:r>
    </w:p>
    <w:p>
      <w:pPr>
        <w:snapToGrid w:val="0"/>
        <w:spacing w:line="360" w:lineRule="auto"/>
        <w:ind w:firstLine="843" w:firstLineChars="400"/>
        <w:rPr>
          <w:rFonts w:ascii="仿宋_GB2312" w:hAnsi="仿宋" w:eastAsia="仿宋_GB2312" w:cs="仿宋_GB2312"/>
          <w:color w:val="FF0000"/>
          <w:sz w:val="24"/>
          <w:highlight w:val="yellow"/>
        </w:rPr>
      </w:pPr>
      <w:r>
        <w:rPr>
          <w:rFonts w:hint="eastAsia" w:ascii="仿宋_GB2312" w:hAnsi="仿宋" w:eastAsia="仿宋_GB2312"/>
          <w:b/>
          <w:color w:val="FF0000"/>
          <w:highlight w:val="yellow"/>
        </w:rPr>
        <w:t>▲</w:t>
      </w:r>
      <w:r>
        <w:rPr>
          <w:rFonts w:ascii="仿宋_GB2312" w:hAnsi="仿宋" w:eastAsia="仿宋_GB2312" w:cs="仿宋_GB2312"/>
          <w:color w:val="FF0000"/>
          <w:sz w:val="24"/>
          <w:highlight w:val="yellow"/>
        </w:rPr>
        <w:t>11.1.2落实政府采购政策需满足的资格要求</w:t>
      </w:r>
      <w:r>
        <w:rPr>
          <w:rFonts w:hint="eastAsia" w:ascii="仿宋_GB2312" w:hAnsi="仿宋" w:eastAsia="仿宋_GB2312" w:cs="仿宋_GB2312"/>
          <w:color w:val="FF0000"/>
          <w:sz w:val="24"/>
          <w:highlight w:val="yellow"/>
        </w:rPr>
        <w:t xml:space="preserve">: </w:t>
      </w:r>
      <w:r>
        <w:rPr>
          <w:rFonts w:hint="eastAsia" w:ascii="仿宋_GB2312" w:hAnsi="仿宋" w:eastAsia="仿宋_GB2312" w:cs="仿宋_GB2312"/>
          <w:color w:val="FF0000"/>
          <w:sz w:val="24"/>
          <w:highlight w:val="yellow"/>
          <w:lang w:val="en-US" w:eastAsia="zh-CN"/>
        </w:rPr>
        <w:t xml:space="preserve"> </w:t>
      </w:r>
      <w:r>
        <w:rPr>
          <w:rFonts w:hint="eastAsia" w:ascii="仿宋_GB2312" w:hAnsi="仿宋" w:eastAsia="仿宋_GB2312" w:cs="仿宋_GB2312"/>
          <w:color w:val="FF0000"/>
          <w:sz w:val="24"/>
          <w:highlight w:val="yellow"/>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color w:val="FF0000"/>
          <w:sz w:val="24"/>
          <w:highlight w:val="yellow"/>
        </w:rPr>
        <w:t>11.1.3本项目的特定资格要求</w:t>
      </w:r>
      <w:r>
        <w:rPr>
          <w:rFonts w:hint="eastAsia" w:ascii="仿宋_GB2312" w:hAnsi="仿宋" w:eastAsia="仿宋_GB2312" w:cs="仿宋_GB2312"/>
          <w:color w:val="FF0000"/>
          <w:sz w:val="24"/>
          <w:highlight w:val="yellow"/>
        </w:rPr>
        <w:t>:</w:t>
      </w:r>
      <w:r>
        <w:rPr>
          <w:rFonts w:hint="eastAsia"/>
          <w:highlight w:val="yellow"/>
        </w:rPr>
        <w:t xml:space="preserve"> </w:t>
      </w:r>
      <w:r>
        <w:rPr>
          <w:rFonts w:hint="eastAsia" w:ascii="仿宋_GB2312" w:hAnsi="仿宋" w:eastAsia="仿宋_GB2312" w:cs="仿宋_GB2312"/>
          <w:color w:val="FF0000"/>
          <w:sz w:val="24"/>
          <w:highlight w:val="yellow"/>
        </w:rPr>
        <w:t>具有城乡规划编制甲级及以上资质</w:t>
      </w:r>
      <w:r>
        <w:rPr>
          <w:rFonts w:ascii="仿宋_GB2312" w:hAnsi="仿宋" w:eastAsia="仿宋_GB2312" w:cs="仿宋_GB2312"/>
          <w:color w:val="FF0000"/>
          <w:sz w:val="24"/>
          <w:highlight w:val="yellow"/>
        </w:rPr>
        <w:t>。</w:t>
      </w:r>
    </w:p>
    <w:p>
      <w:pPr>
        <w:snapToGrid w:val="0"/>
        <w:spacing w:line="360" w:lineRule="auto"/>
        <w:ind w:left="105" w:leftChars="50" w:firstLine="482" w:firstLineChars="200"/>
        <w:rPr>
          <w:rFonts w:ascii="仿宋_GB2312" w:hAnsi="仿宋_GB2312" w:eastAsia="仿宋_GB2312" w:cs="仿宋_GB2312"/>
          <w:sz w:val="24"/>
        </w:rPr>
      </w:pPr>
      <w:r>
        <w:rPr>
          <w:rFonts w:hint="eastAsia" w:ascii="仿宋_GB2312" w:hAnsi="仿宋_GB2312" w:eastAsia="仿宋_GB2312" w:cs="仿宋_GB2312"/>
          <w:b/>
          <w:bCs/>
          <w:color w:val="000000"/>
          <w:sz w:val="24"/>
        </w:rPr>
        <w:t>注：上述资格条件审查材料有一项不提供的，视为资格审查不通过。上述内容部分格式及内容详见“</w:t>
      </w:r>
      <w:r>
        <w:rPr>
          <w:rFonts w:hint="eastAsia" w:ascii="仿宋_GB2312" w:hAnsi="仿宋_GB2312" w:eastAsia="仿宋_GB2312" w:cs="仿宋_GB2312"/>
          <w:sz w:val="24"/>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11.2.1投标函</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r>
        <w:rPr>
          <w:rFonts w:ascii="仿宋_GB2312" w:hAnsi="仿宋" w:eastAsia="仿宋_GB2312" w:cs="仿宋_GB2312"/>
          <w:b/>
          <w:sz w:val="24"/>
        </w:rPr>
        <w:t>；</w:t>
      </w:r>
      <w:r>
        <w:rPr>
          <w:rFonts w:ascii="仿宋_GB2312" w:hAnsi="仿宋" w:eastAsia="仿宋_GB2312" w:cs="仿宋_GB2312"/>
          <w:b/>
          <w:sz w:val="24"/>
          <w:lang w:val="zh-CN"/>
        </w:rPr>
        <w:t xml:space="preserve"> </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11.2.2授权委托书或法定代表人（单位负责人、自然人本人）身份证明；</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w:t>
      </w:r>
      <w:r>
        <w:rPr>
          <w:rFonts w:hint="eastAsia" w:ascii="仿宋_GB2312" w:hAnsi="仿宋" w:eastAsia="仿宋_GB2312" w:cs="仿宋_GB2312"/>
          <w:b/>
          <w:sz w:val="24"/>
        </w:rPr>
        <w:t>5</w:t>
      </w:r>
      <w:r>
        <w:rPr>
          <w:rFonts w:ascii="仿宋_GB2312" w:hAnsi="仿宋" w:eastAsia="仿宋_GB2312" w:cs="仿宋_GB2312"/>
          <w:b/>
          <w:sz w:val="24"/>
        </w:rPr>
        <w:t>商务技术偏离表；</w:t>
      </w:r>
    </w:p>
    <w:p>
      <w:pPr>
        <w:snapToGrid w:val="0"/>
        <w:spacing w:line="360" w:lineRule="auto"/>
        <w:ind w:firstLine="632" w:firstLineChars="300"/>
        <w:rPr>
          <w:rFonts w:ascii="仿宋_GB2312" w:hAnsi="仿宋" w:eastAsia="仿宋_GB2312" w:cs="仿宋_GB2312"/>
          <w:sz w:val="24"/>
          <w:lang w:val="zh-CN"/>
        </w:rPr>
      </w:pPr>
      <w:r>
        <w:rPr>
          <w:rFonts w:hint="eastAsia" w:ascii="仿宋_GB2312" w:hAnsi="仿宋" w:eastAsia="仿宋_GB2312"/>
          <w:b/>
        </w:rPr>
        <w:t>▲</w:t>
      </w:r>
      <w:r>
        <w:rPr>
          <w:rFonts w:ascii="仿宋_GB2312" w:hAnsi="仿宋" w:eastAsia="仿宋_GB2312" w:cs="仿宋_GB2312"/>
          <w:b/>
          <w:sz w:val="24"/>
          <w:lang w:val="zh-CN"/>
        </w:rPr>
        <w:t>11.</w:t>
      </w:r>
      <w:r>
        <w:rPr>
          <w:rFonts w:ascii="仿宋_GB2312" w:hAnsi="仿宋" w:eastAsia="仿宋_GB2312" w:cs="仿宋_GB2312"/>
          <w:b/>
          <w:sz w:val="24"/>
        </w:rPr>
        <w:t>2</w:t>
      </w:r>
      <w:r>
        <w:rPr>
          <w:rFonts w:ascii="仿宋_GB2312" w:hAnsi="仿宋" w:eastAsia="仿宋_GB2312" w:cs="仿宋_GB2312"/>
          <w:b/>
          <w:sz w:val="24"/>
          <w:lang w:val="zh-CN"/>
        </w:rPr>
        <w:t>.</w:t>
      </w:r>
      <w:r>
        <w:rPr>
          <w:rFonts w:hint="eastAsia" w:ascii="仿宋_GB2312" w:hAnsi="仿宋" w:eastAsia="仿宋_GB2312" w:cs="仿宋_GB2312"/>
          <w:b/>
          <w:sz w:val="24"/>
        </w:rPr>
        <w:t>6</w:t>
      </w:r>
      <w:r>
        <w:rPr>
          <w:rFonts w:hint="eastAsia" w:ascii="仿宋_GB2312" w:hAnsi="仿宋" w:eastAsia="仿宋_GB2312" w:cs="仿宋_GB2312"/>
          <w:b/>
          <w:sz w:val="24"/>
          <w:lang w:val="zh-CN"/>
        </w:rPr>
        <w:t>政府采购供应商廉洁自律承诺书；</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8投标人认为需要提供的与本项目有关的其他文件和说明</w:t>
      </w:r>
      <w:r>
        <w:rPr>
          <w:rFonts w:hint="eastAsia" w:ascii="仿宋_GB2312" w:hAnsi="仿宋" w:eastAsia="仿宋_GB2312" w:cs="仿宋_GB2312"/>
          <w:sz w:val="24"/>
          <w:lang w:val="zh-CN"/>
        </w:rPr>
        <w:t>。</w:t>
      </w:r>
    </w:p>
    <w:p>
      <w:pPr>
        <w:pStyle w:val="28"/>
        <w:ind w:left="0" w:leftChars="0" w:firstLine="0" w:firstLineChars="0"/>
      </w:pPr>
      <w:r>
        <w:rPr>
          <w:rFonts w:hint="eastAsia"/>
        </w:rPr>
        <w:t xml:space="preserve">     注：本项目无须提供联合协议和分包意向协议。</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9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3"/>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93"/>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3"/>
        <w:spacing w:before="0"/>
        <w:ind w:firstLine="480"/>
        <w:rPr>
          <w:rFonts w:ascii="仿宋_GB2312" w:hAnsi="仿宋" w:eastAsia="仿宋_GB2312" w:cs="仿宋_GB2312"/>
        </w:rPr>
      </w:pPr>
    </w:p>
    <w:p>
      <w:pPr>
        <w:pStyle w:val="93"/>
        <w:spacing w:before="0"/>
        <w:ind w:firstLine="643"/>
        <w:rPr>
          <w:rFonts w:ascii="仿宋_GB2312" w:hAnsi="仿宋" w:eastAsia="仿宋_GB2312" w:cs="仿宋_GB2312"/>
          <w:b/>
          <w:sz w:val="32"/>
        </w:rPr>
      </w:pPr>
    </w:p>
    <w:p>
      <w:pPr>
        <w:pStyle w:val="9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4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rPr>
        <w:t xml:space="preserve">. </w:t>
      </w:r>
      <w:r>
        <w:rPr>
          <w:rFonts w:ascii="仿宋_GB2312" w:hAnsi="仿宋" w:eastAsia="仿宋_GB2312" w:cs="仿宋_GB2312"/>
          <w:b/>
          <w:sz w:val="24"/>
          <w:szCs w:val="20"/>
        </w:rPr>
        <w:t>资格审查</w:t>
      </w:r>
    </w:p>
    <w:p>
      <w:pPr>
        <w:pStyle w:val="9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 xml:space="preserve">. </w:t>
      </w:r>
      <w:r>
        <w:rPr>
          <w:rFonts w:ascii="仿宋_GB2312" w:hAnsi="仿宋" w:eastAsia="仿宋_GB2312" w:cs="仿宋_GB2312"/>
          <w:b/>
          <w:szCs w:val="24"/>
        </w:rPr>
        <w:t>信用信息查询</w:t>
      </w:r>
    </w:p>
    <w:p>
      <w:pPr>
        <w:pStyle w:val="93"/>
        <w:spacing w:before="0"/>
        <w:ind w:firstLine="495" w:firstLineChars="0"/>
        <w:rPr>
          <w:rFonts w:ascii="仿宋_GB2312" w:hAnsi="仿宋" w:eastAsia="仿宋_GB2312" w:cs="Arial"/>
          <w:color w:val="FF0000"/>
          <w:kern w:val="0"/>
          <w:szCs w:val="24"/>
        </w:rPr>
      </w:pPr>
      <w:r>
        <w:rPr>
          <w:rFonts w:ascii="仿宋_GB2312" w:hAnsi="仿宋" w:eastAsia="仿宋_GB2312" w:cs="Arial"/>
          <w:color w:val="FF0000"/>
          <w:kern w:val="0"/>
          <w:szCs w:val="24"/>
        </w:rPr>
        <w:t>20.1信用信息查询渠道及截止时间：采购机构将通过“信用中国”网站(www.creditchina.gov.cn)、中国政府采购网(www.ccgp.gov.cn)渠道查询投标人投标截止时间当天的信用记录。</w:t>
      </w:r>
    </w:p>
    <w:p>
      <w:pPr>
        <w:pStyle w:val="9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8"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3"/>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3"/>
        <w:snapToGrid w:val="0"/>
        <w:spacing w:before="0"/>
        <w:ind w:firstLine="482"/>
        <w:rPr>
          <w:rFonts w:ascii="仿宋_GB2312" w:hAnsi="仿宋" w:eastAsia="仿宋_GB2312" w:cs="仿宋_GB2312"/>
          <w:b/>
          <w:szCs w:val="24"/>
        </w:rPr>
      </w:pPr>
    </w:p>
    <w:p>
      <w:pPr>
        <w:pStyle w:val="9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pStyle w:val="93"/>
        <w:snapToGrid w:val="0"/>
        <w:spacing w:before="0"/>
        <w:ind w:firstLine="480"/>
        <w:rPr>
          <w:rFonts w:ascii="仿宋_GB2312" w:hAnsi="仿宋" w:eastAsia="仿宋_GB2312" w:cs="Arial"/>
          <w:kern w:val="0"/>
        </w:rPr>
      </w:pPr>
      <w:r>
        <w:rPr>
          <w:rFonts w:ascii="仿宋_GB2312" w:hAnsi="仿宋" w:eastAsia="仿宋_GB2312" w:cs="仿宋_GB2312"/>
        </w:rPr>
        <w:t>25.1</w:t>
      </w:r>
      <w:r>
        <w:rPr>
          <w:rFonts w:ascii="仿宋_GB2312" w:hAnsi="仿宋" w:eastAsia="仿宋_GB2312" w:cs="Arial"/>
          <w:kern w:val="0"/>
        </w:rPr>
        <w:t xml:space="preserve"> 采购人与中标人应当通过电子交易平台在中标通知书发出之日起</w:t>
      </w:r>
      <w:r>
        <w:rPr>
          <w:rFonts w:hint="eastAsia" w:ascii="仿宋_GB2312" w:hAnsi="仿宋" w:eastAsia="仿宋_GB2312" w:cs="Arial"/>
          <w:kern w:val="0"/>
        </w:rPr>
        <w:t>十个工作日</w:t>
      </w:r>
      <w:r>
        <w:rPr>
          <w:rFonts w:ascii="仿宋_GB2312" w:hAnsi="仿宋" w:eastAsia="仿宋_GB2312" w:cs="Arial"/>
          <w:kern w:val="0"/>
        </w:rPr>
        <w:t>内，按照招标文件确定的事项签订政府采购合同，并在</w:t>
      </w:r>
      <w:r>
        <w:rPr>
          <w:rFonts w:hint="eastAsia" w:ascii="仿宋_GB2312" w:hAnsi="仿宋" w:eastAsia="仿宋_GB2312" w:cs="Arial"/>
          <w:kern w:val="0"/>
        </w:rPr>
        <w:t>合同签订之日起2个工作日</w:t>
      </w:r>
      <w:r>
        <w:rPr>
          <w:rFonts w:ascii="仿宋_GB2312" w:hAnsi="仿宋" w:eastAsia="仿宋_GB2312" w:cs="Arial"/>
          <w:kern w:val="0"/>
        </w:rPr>
        <w:t>内依法发布合同公告。</w:t>
      </w:r>
    </w:p>
    <w:p>
      <w:pPr>
        <w:pStyle w:val="9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firstLine="480" w:firstLineChars="200"/>
      </w:pPr>
      <w:r>
        <w:rPr>
          <w:rFonts w:hint="eastAsia"/>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3"/>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3"/>
        <w:numPr>
          <w:ilvl w:val="0"/>
          <w:numId w:val="4"/>
        </w:numPr>
        <w:snapToGrid w:val="0"/>
        <w:spacing w:before="0"/>
        <w:ind w:firstLine="48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8"/>
    <w:p>
      <w:pPr>
        <w:tabs>
          <w:tab w:val="left" w:pos="0"/>
        </w:tabs>
        <w:spacing w:line="360" w:lineRule="auto"/>
        <w:ind w:firstLine="480"/>
        <w:rPr>
          <w:rFonts w:ascii="仿宋_GB2312" w:hAnsi="仿宋" w:eastAsia="仿宋_GB2312" w:cs="Helvetica"/>
          <w:kern w:val="0"/>
          <w:sz w:val="24"/>
        </w:rPr>
        <w:sectPr>
          <w:footerReference r:id="rId9" w:type="first"/>
          <w:footerReference r:id="rId8" w:type="default"/>
          <w:pgSz w:w="11906" w:h="16838"/>
          <w:pgMar w:top="680" w:right="1418" w:bottom="468" w:left="1418" w:header="851" w:footer="992" w:gutter="0"/>
          <w:cols w:space="720" w:num="1"/>
          <w:titlePg/>
          <w:docGrid w:linePitch="312" w:charSpace="0"/>
        </w:sectPr>
      </w:pPr>
      <w:bookmarkStart w:id="19" w:name="_Hlt75236011"/>
      <w:bookmarkEnd w:id="19"/>
      <w:bookmarkStart w:id="20" w:name="_Hlt68403820"/>
      <w:bookmarkEnd w:id="20"/>
      <w:bookmarkStart w:id="21" w:name="_Hlt74730295"/>
      <w:bookmarkEnd w:id="21"/>
      <w:bookmarkStart w:id="22" w:name="_Hlt68073093"/>
      <w:bookmarkEnd w:id="22"/>
      <w:bookmarkStart w:id="23" w:name="_Hlt75236101"/>
      <w:bookmarkEnd w:id="23"/>
      <w:bookmarkStart w:id="24" w:name="_Hlt74707468"/>
      <w:bookmarkEnd w:id="24"/>
      <w:bookmarkStart w:id="25" w:name="_Hlt68072990"/>
      <w:bookmarkEnd w:id="25"/>
      <w:bookmarkStart w:id="26" w:name="_Hlt68072998"/>
      <w:bookmarkEnd w:id="26"/>
      <w:bookmarkStart w:id="27" w:name="_Hlt74714665"/>
      <w:bookmarkEnd w:id="27"/>
      <w:bookmarkStart w:id="28" w:name="_Hlt68057669"/>
      <w:bookmarkEnd w:id="28"/>
      <w:bookmarkStart w:id="29" w:name="_Hlt75236290"/>
      <w:bookmarkEnd w:id="29"/>
      <w:bookmarkStart w:id="30" w:name="_Hlt74729768"/>
      <w:bookmarkEnd w:id="30"/>
    </w:p>
    <w:bookmarkEnd w:id="16"/>
    <w:bookmarkEnd w:id="17"/>
    <w:p>
      <w:pPr>
        <w:adjustRightInd/>
        <w:spacing w:line="360" w:lineRule="auto"/>
        <w:jc w:val="center"/>
        <w:outlineLvl w:val="0"/>
        <w:rPr>
          <w:rFonts w:ascii="仿宋" w:hAnsi="仿宋" w:eastAsia="仿宋" w:cs="仿宋_GB2312"/>
          <w:b/>
          <w:sz w:val="36"/>
          <w:szCs w:val="20"/>
        </w:rPr>
      </w:pPr>
      <w:bookmarkStart w:id="31" w:name="第四部分"/>
      <w:r>
        <w:rPr>
          <w:rFonts w:hint="eastAsia" w:ascii="仿宋" w:hAnsi="仿宋" w:eastAsia="仿宋" w:cs="仿宋_GB2312"/>
          <w:b/>
          <w:sz w:val="36"/>
          <w:szCs w:val="20"/>
        </w:rPr>
        <w:t>第三部分   采购需求</w:t>
      </w:r>
    </w:p>
    <w:p>
      <w:pPr>
        <w:spacing w:line="360" w:lineRule="auto"/>
        <w:ind w:firstLine="482" w:firstLineChars="200"/>
        <w:rPr>
          <w:rFonts w:ascii="宋体" w:hAnsi="宋体" w:cs="宋体"/>
          <w:b/>
          <w:bCs/>
          <w:sz w:val="24"/>
        </w:rPr>
      </w:pPr>
      <w:bookmarkStart w:id="32" w:name="_Toc392678397"/>
      <w:bookmarkStart w:id="33" w:name="_Toc1841"/>
      <w:bookmarkStart w:id="34" w:name="_Toc91688383"/>
      <w:r>
        <w:rPr>
          <w:rFonts w:hint="eastAsia" w:ascii="宋体" w:hAnsi="宋体" w:cs="宋体"/>
          <w:b/>
          <w:bCs/>
          <w:sz w:val="24"/>
        </w:rPr>
        <w:t>一、项目背景</w:t>
      </w:r>
      <w:bookmarkEnd w:id="32"/>
      <w:bookmarkEnd w:id="33"/>
      <w:bookmarkStart w:id="35" w:name="_Toc123660445"/>
      <w:bookmarkStart w:id="36" w:name="_Toc16664"/>
      <w:bookmarkStart w:id="37" w:name="_Toc392678399"/>
      <w:bookmarkStart w:id="38" w:name="_Toc185078203"/>
    </w:p>
    <w:p>
      <w:pPr>
        <w:spacing w:line="360" w:lineRule="auto"/>
        <w:ind w:firstLine="480" w:firstLineChars="200"/>
        <w:rPr>
          <w:rFonts w:ascii="宋体" w:hAnsi="宋体" w:cs="宋体"/>
          <w:b/>
          <w:sz w:val="24"/>
          <w:highlight w:val="yellow"/>
        </w:rPr>
      </w:pPr>
      <w:r>
        <w:rPr>
          <w:rFonts w:hint="eastAsia" w:ascii="宋体" w:hAnsi="宋体" w:cs="宋体"/>
          <w:color w:val="000000"/>
          <w:sz w:val="24"/>
          <w:highlight w:val="yellow"/>
        </w:rPr>
        <w:t>在最新国土空间规划背景下，合理有序落实大运河科创城的刚性管控和战略引领新要求，科学安排用地功能，完善基础设施配套，指导片区未来开发建设，特开展临平区崇贤新城单元详细规划编制工作。</w:t>
      </w:r>
    </w:p>
    <w:p>
      <w:pPr>
        <w:spacing w:line="360" w:lineRule="auto"/>
        <w:ind w:firstLine="482" w:firstLineChars="200"/>
        <w:rPr>
          <w:rFonts w:ascii="宋体" w:hAnsi="宋体" w:cs="宋体"/>
          <w:b/>
          <w:bCs/>
          <w:sz w:val="24"/>
        </w:rPr>
      </w:pPr>
      <w:r>
        <w:rPr>
          <w:rFonts w:hint="eastAsia" w:ascii="宋体" w:hAnsi="宋体" w:cs="宋体"/>
          <w:b/>
          <w:bCs/>
          <w:sz w:val="24"/>
        </w:rPr>
        <w:t>二、规划范围</w:t>
      </w:r>
      <w:bookmarkEnd w:id="35"/>
      <w:bookmarkEnd w:id="36"/>
      <w:bookmarkEnd w:id="37"/>
      <w:bookmarkEnd w:id="38"/>
      <w:bookmarkStart w:id="39" w:name="_Toc392678405"/>
      <w:bookmarkStart w:id="40" w:name="_Toc9856"/>
    </w:p>
    <w:p>
      <w:pPr>
        <w:spacing w:line="360" w:lineRule="auto"/>
        <w:ind w:firstLine="480" w:firstLineChars="200"/>
        <w:rPr>
          <w:rFonts w:ascii="宋体" w:hAnsi="宋体" w:cs="宋体"/>
          <w:color w:val="000000"/>
          <w:sz w:val="24"/>
          <w:highlight w:val="yellow"/>
        </w:rPr>
      </w:pPr>
      <w:r>
        <w:rPr>
          <w:rFonts w:hint="eastAsia" w:ascii="宋体" w:hAnsi="宋体" w:cs="宋体"/>
          <w:color w:val="000000"/>
          <w:sz w:val="24"/>
          <w:highlight w:val="yellow"/>
        </w:rPr>
        <w:t>规划范围东、南至拱墅区界、西至京杭大运河、北至杭州绕城高速，规划总用地面积约7.22方公里。（详见附图）</w:t>
      </w:r>
    </w:p>
    <w:p>
      <w:pPr>
        <w:pStyle w:val="27"/>
        <w:spacing w:line="360" w:lineRule="auto"/>
        <w:rPr>
          <w:rFonts w:cs="宋体"/>
        </w:rPr>
      </w:pPr>
      <w:r>
        <w:rPr>
          <w:rFonts w:hint="eastAsia" w:cs="宋体"/>
        </w:rPr>
        <w:drawing>
          <wp:inline distT="0" distB="0" distL="0" distR="0">
            <wp:extent cx="5314315" cy="2763520"/>
            <wp:effectExtent l="0" t="0" r="635" b="0"/>
            <wp:docPr id="5" name="图片 5" descr="卫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卫星图"/>
                    <pic:cNvPicPr>
                      <a:picLocks noChangeAspect="1"/>
                    </pic:cNvPicPr>
                  </pic:nvPicPr>
                  <pic:blipFill>
                    <a:blip r:embed="rId38">
                      <a:extLst>
                        <a:ext uri="{28A0092B-C50C-407E-A947-70E740481C1C}">
                          <a14:useLocalDpi xmlns:a14="http://schemas.microsoft.com/office/drawing/2010/main" val="0"/>
                        </a:ext>
                      </a:extLst>
                    </a:blip>
                    <a:srcRect t="12484" b="13991"/>
                    <a:stretch>
                      <a:fillRect/>
                    </a:stretch>
                  </pic:blipFill>
                  <pic:spPr>
                    <a:xfrm>
                      <a:off x="0" y="0"/>
                      <a:ext cx="5314315" cy="2763520"/>
                    </a:xfrm>
                    <a:prstGeom prst="rect">
                      <a:avLst/>
                    </a:prstGeom>
                  </pic:spPr>
                </pic:pic>
              </a:graphicData>
            </a:graphic>
          </wp:inline>
        </w:drawing>
      </w:r>
    </w:p>
    <w:p>
      <w:pPr>
        <w:spacing w:line="360" w:lineRule="auto"/>
        <w:ind w:firstLine="482" w:firstLineChars="200"/>
        <w:rPr>
          <w:rFonts w:ascii="宋体" w:hAnsi="宋体" w:cs="宋体"/>
          <w:b/>
          <w:bCs/>
          <w:sz w:val="24"/>
        </w:rPr>
      </w:pPr>
      <w:r>
        <w:rPr>
          <w:rFonts w:hint="eastAsia" w:ascii="宋体" w:hAnsi="宋体" w:cs="宋体"/>
          <w:b/>
          <w:bCs/>
          <w:sz w:val="24"/>
        </w:rPr>
        <w:t>三、项目要求：</w:t>
      </w:r>
    </w:p>
    <w:bookmarkEnd w:id="39"/>
    <w:bookmarkEnd w:id="40"/>
    <w:p>
      <w:pPr>
        <w:spacing w:line="360" w:lineRule="auto"/>
        <w:ind w:firstLine="472" w:firstLineChars="196"/>
        <w:rPr>
          <w:rFonts w:ascii="宋体" w:hAnsi="宋体" w:cs="宋体"/>
          <w:b/>
          <w:sz w:val="24"/>
        </w:rPr>
      </w:pPr>
      <w:r>
        <w:rPr>
          <w:rFonts w:hint="eastAsia" w:ascii="宋体" w:hAnsi="宋体" w:cs="宋体"/>
          <w:b/>
          <w:sz w:val="24"/>
        </w:rPr>
        <w:t>1、规划研究深度</w:t>
      </w:r>
    </w:p>
    <w:p>
      <w:pPr>
        <w:spacing w:line="360" w:lineRule="auto"/>
        <w:ind w:firstLine="470" w:firstLineChars="196"/>
        <w:rPr>
          <w:rFonts w:ascii="宋体" w:hAnsi="宋体" w:cs="宋体"/>
          <w:sz w:val="24"/>
        </w:rPr>
      </w:pPr>
      <w:r>
        <w:rPr>
          <w:rFonts w:hint="eastAsia" w:ascii="宋体" w:hAnsi="宋体" w:cs="宋体"/>
          <w:sz w:val="24"/>
        </w:rPr>
        <w:t>编制成果能够用于城市规划管理，并为编制城市专项规划及规划项目审批等提供依据和支持。规划成果深度应达到杭州市控规编制工作的要求，并满足城市规划有关规范的要求。</w:t>
      </w:r>
    </w:p>
    <w:p>
      <w:pPr>
        <w:spacing w:line="360" w:lineRule="auto"/>
        <w:ind w:firstLine="472" w:firstLineChars="196"/>
        <w:rPr>
          <w:rFonts w:ascii="宋体" w:hAnsi="宋体" w:cs="宋体"/>
          <w:b/>
          <w:sz w:val="24"/>
          <w:highlight w:val="yellow"/>
        </w:rPr>
      </w:pPr>
      <w:r>
        <w:rPr>
          <w:rFonts w:hint="eastAsia" w:ascii="宋体" w:hAnsi="宋体" w:cs="宋体"/>
          <w:b/>
          <w:sz w:val="24"/>
          <w:highlight w:val="yellow"/>
        </w:rPr>
        <w:t>2、本次控规编制主要内容（包括但不限于以下内容）：</w:t>
      </w:r>
    </w:p>
    <w:p>
      <w:pPr>
        <w:pStyle w:val="27"/>
        <w:spacing w:line="360" w:lineRule="auto"/>
        <w:ind w:firstLine="482"/>
        <w:rPr>
          <w:rFonts w:cs="宋体"/>
          <w:highlight w:val="yellow"/>
        </w:rPr>
      </w:pPr>
      <w:r>
        <w:rPr>
          <w:rFonts w:hint="eastAsia" w:cs="宋体"/>
          <w:b/>
          <w:bCs/>
          <w:highlight w:val="yellow"/>
        </w:rPr>
        <w:t>1</w:t>
      </w:r>
      <w:r>
        <w:rPr>
          <w:rFonts w:hint="eastAsia"/>
          <w:b/>
          <w:bCs/>
          <w:highlight w:val="yellow"/>
        </w:rPr>
        <w:t>）</w:t>
      </w:r>
      <w:r>
        <w:rPr>
          <w:rFonts w:hint="eastAsia" w:cs="宋体"/>
          <w:b/>
          <w:bCs/>
          <w:highlight w:val="yellow"/>
        </w:rPr>
        <w:t>开展控规实施评估和现状分析。</w:t>
      </w:r>
      <w:r>
        <w:rPr>
          <w:rFonts w:hint="eastAsia" w:cs="宋体"/>
          <w:highlight w:val="yellow"/>
        </w:rPr>
        <w:t>基于原控规用地、公共服务配套设施等实施情况评估，明晰本轮控规需要优化提升的内容及需要解决或避免的问题。对单元内现状用地、交通、经济发展和配套设施等进行充分调研及分析。</w:t>
      </w:r>
    </w:p>
    <w:p>
      <w:pPr>
        <w:pStyle w:val="27"/>
        <w:spacing w:line="360" w:lineRule="auto"/>
        <w:ind w:firstLine="482"/>
        <w:rPr>
          <w:rFonts w:cs="宋体"/>
          <w:highlight w:val="yellow"/>
        </w:rPr>
      </w:pPr>
      <w:r>
        <w:rPr>
          <w:rFonts w:hint="eastAsia" w:cs="宋体"/>
          <w:b/>
          <w:bCs/>
          <w:highlight w:val="yellow"/>
        </w:rPr>
        <w:t>2</w:t>
      </w:r>
      <w:r>
        <w:rPr>
          <w:rFonts w:hint="eastAsia"/>
          <w:b/>
          <w:bCs/>
          <w:highlight w:val="yellow"/>
        </w:rPr>
        <w:t>）</w:t>
      </w:r>
      <w:r>
        <w:rPr>
          <w:rFonts w:hint="eastAsia" w:cs="宋体"/>
          <w:b/>
          <w:bCs/>
          <w:highlight w:val="yellow"/>
        </w:rPr>
        <w:t>落实上位规划要求。</w:t>
      </w:r>
      <w:r>
        <w:rPr>
          <w:rFonts w:hint="eastAsia" w:cs="宋体"/>
          <w:highlight w:val="yellow"/>
        </w:rPr>
        <w:t>一是落实在编国土空间规划中“三线”刚性管控要求。二是落实各类各级上位规划对本单元的功能定位、空间布局、设施配套等各方面的要求。</w:t>
      </w:r>
    </w:p>
    <w:p>
      <w:pPr>
        <w:pStyle w:val="481"/>
        <w:tabs>
          <w:tab w:val="left" w:pos="567"/>
        </w:tabs>
        <w:ind w:firstLine="482"/>
        <w:outlineLvl w:val="1"/>
        <w:rPr>
          <w:rFonts w:ascii="宋体" w:hAnsi="宋体" w:cs="宋体"/>
          <w:szCs w:val="24"/>
          <w:highlight w:val="yellow"/>
        </w:rPr>
      </w:pPr>
      <w:r>
        <w:rPr>
          <w:rFonts w:hint="eastAsia" w:ascii="宋体" w:hAnsi="宋体" w:cs="宋体"/>
          <w:b/>
          <w:bCs/>
          <w:szCs w:val="24"/>
          <w:highlight w:val="yellow"/>
        </w:rPr>
        <w:t>3</w:t>
      </w:r>
      <w:r>
        <w:rPr>
          <w:rFonts w:hint="eastAsia"/>
          <w:b/>
          <w:bCs/>
          <w:szCs w:val="24"/>
          <w:highlight w:val="yellow"/>
        </w:rPr>
        <w:t>）</w:t>
      </w:r>
      <w:r>
        <w:rPr>
          <w:rFonts w:hint="eastAsia" w:ascii="宋体" w:hAnsi="宋体" w:cs="宋体"/>
          <w:b/>
          <w:bCs/>
          <w:szCs w:val="24"/>
          <w:highlight w:val="yellow"/>
        </w:rPr>
        <w:t>明确发展规模和优化空间功能布局。</w:t>
      </w:r>
      <w:r>
        <w:rPr>
          <w:rFonts w:hint="eastAsia" w:ascii="宋体" w:hAnsi="宋体" w:cs="宋体"/>
          <w:szCs w:val="24"/>
          <w:highlight w:val="yellow"/>
        </w:rPr>
        <w:t>综合考虑资源环境容量、人口和产业发展等因素，在不突破上位国土空间规划约束性指标要求下，合理预测单元人口和建设用地规模。结合单元目标定位和特征，合理优化空间布局和用地结构，协同周边发展，提升空间发展质量和绩效。</w:t>
      </w:r>
    </w:p>
    <w:p>
      <w:pPr>
        <w:pStyle w:val="481"/>
        <w:tabs>
          <w:tab w:val="left" w:pos="567"/>
        </w:tabs>
        <w:ind w:firstLine="482"/>
        <w:outlineLvl w:val="1"/>
        <w:rPr>
          <w:rFonts w:ascii="宋体" w:hAnsi="宋体" w:cs="宋体"/>
          <w:szCs w:val="24"/>
          <w:highlight w:val="yellow"/>
        </w:rPr>
      </w:pPr>
      <w:r>
        <w:rPr>
          <w:rFonts w:hint="eastAsia" w:ascii="宋体" w:hAnsi="宋体" w:cs="宋体"/>
          <w:b/>
          <w:bCs/>
          <w:szCs w:val="24"/>
          <w:highlight w:val="yellow"/>
        </w:rPr>
        <w:t>4</w:t>
      </w:r>
      <w:r>
        <w:rPr>
          <w:rFonts w:hint="eastAsia"/>
          <w:b/>
          <w:bCs/>
          <w:szCs w:val="24"/>
          <w:highlight w:val="yellow"/>
        </w:rPr>
        <w:t>）</w:t>
      </w:r>
      <w:r>
        <w:rPr>
          <w:rFonts w:hint="eastAsia" w:ascii="宋体" w:hAnsi="宋体" w:cs="宋体"/>
          <w:b/>
          <w:bCs/>
          <w:szCs w:val="24"/>
          <w:highlight w:val="yellow"/>
        </w:rPr>
        <w:t>提高公共服务和人居环境品质。</w:t>
      </w:r>
      <w:r>
        <w:rPr>
          <w:rFonts w:hint="eastAsia" w:ascii="宋体" w:hAnsi="宋体" w:cs="宋体"/>
          <w:szCs w:val="24"/>
          <w:highlight w:val="yellow"/>
        </w:rPr>
        <w:t>落实公共政策要求，切实保障公共服务设施及基础设施的布局。根据《杭州市城市规划公共服务设施基本配套规定（修订）》及近年来编制的文教卫体、市政设施、交通设施等专项规划中明确的设施规模及空间布局要求,并结合单元情况，对单元人口规模、需配建的服务设施进行预测及合理布局。</w:t>
      </w:r>
    </w:p>
    <w:p>
      <w:pPr>
        <w:pStyle w:val="481"/>
        <w:tabs>
          <w:tab w:val="left" w:pos="567"/>
        </w:tabs>
        <w:ind w:firstLine="482"/>
        <w:outlineLvl w:val="1"/>
        <w:rPr>
          <w:rFonts w:ascii="宋体" w:hAnsi="宋体" w:cs="宋体"/>
          <w:szCs w:val="24"/>
          <w:highlight w:val="yellow"/>
        </w:rPr>
      </w:pPr>
      <w:r>
        <w:rPr>
          <w:rFonts w:hint="eastAsia" w:ascii="宋体" w:hAnsi="宋体" w:cs="宋体"/>
          <w:b/>
          <w:bCs/>
          <w:szCs w:val="24"/>
          <w:highlight w:val="yellow"/>
        </w:rPr>
        <w:t>5</w:t>
      </w:r>
      <w:r>
        <w:rPr>
          <w:rFonts w:hint="eastAsia"/>
          <w:b/>
          <w:bCs/>
          <w:szCs w:val="24"/>
          <w:highlight w:val="yellow"/>
        </w:rPr>
        <w:t>）</w:t>
      </w:r>
      <w:r>
        <w:rPr>
          <w:rFonts w:hint="eastAsia" w:ascii="宋体" w:hAnsi="宋体" w:cs="宋体"/>
          <w:b/>
          <w:bCs/>
          <w:szCs w:val="24"/>
          <w:highlight w:val="yellow"/>
        </w:rPr>
        <w:t>规划高效交通和市政设施。</w:t>
      </w:r>
      <w:r>
        <w:rPr>
          <w:rFonts w:hint="eastAsia" w:ascii="宋体" w:hAnsi="宋体" w:cs="宋体"/>
          <w:szCs w:val="24"/>
          <w:highlight w:val="yellow"/>
        </w:rPr>
        <w:t>一是完善交通设施，落实重要区域交通设施、主干路网，深化细化各级路网、交通场站等综合交通体系，支撑地区发展，做好与周边单元交界地区的通道衔接。。二是完善市政设施，落实重要区域性市政设施、设施通道和应急避难场所，深化细化各类管线管廊、基础设施地块和控制要求，做好与周边单元交界地区的容量协调和廊道衔接。</w:t>
      </w:r>
    </w:p>
    <w:p>
      <w:pPr>
        <w:pStyle w:val="27"/>
        <w:spacing w:line="360" w:lineRule="auto"/>
        <w:ind w:firstLine="482"/>
        <w:rPr>
          <w:rFonts w:cs="宋体"/>
          <w:highlight w:val="yellow"/>
        </w:rPr>
      </w:pPr>
      <w:r>
        <w:rPr>
          <w:rFonts w:hint="eastAsia" w:cs="宋体"/>
          <w:b/>
          <w:bCs/>
          <w:highlight w:val="yellow"/>
        </w:rPr>
        <w:t>6</w:t>
      </w:r>
      <w:r>
        <w:rPr>
          <w:rFonts w:hint="eastAsia"/>
          <w:b/>
          <w:bCs/>
          <w:highlight w:val="yellow"/>
        </w:rPr>
        <w:t>）</w:t>
      </w:r>
      <w:r>
        <w:rPr>
          <w:rFonts w:hint="eastAsia" w:cs="宋体"/>
          <w:b/>
          <w:bCs/>
          <w:highlight w:val="yellow"/>
        </w:rPr>
        <w:t>完善生态和农业管控。</w:t>
      </w:r>
      <w:r>
        <w:rPr>
          <w:rFonts w:hint="eastAsia" w:cs="宋体"/>
          <w:highlight w:val="yellow"/>
        </w:rPr>
        <w:t>落实“山水林田湖草”全要素管控的要求，对单元内城镇开发边界以外的生态和农业空间，按照上位规划和相关要求，加强整体保护、系统修复、综合治理，进行底线管控、用途管制和适度利用。</w:t>
      </w:r>
    </w:p>
    <w:p>
      <w:pPr>
        <w:spacing w:line="360" w:lineRule="auto"/>
        <w:ind w:firstLine="472" w:firstLineChars="196"/>
        <w:rPr>
          <w:rFonts w:ascii="宋体" w:hAnsi="宋体" w:cs="宋体"/>
          <w:sz w:val="24"/>
        </w:rPr>
      </w:pPr>
      <w:r>
        <w:rPr>
          <w:rFonts w:hint="eastAsia" w:ascii="宋体" w:hAnsi="宋体" w:cs="宋体"/>
          <w:b/>
          <w:bCs/>
          <w:sz w:val="24"/>
        </w:rPr>
        <w:t>7</w:t>
      </w:r>
      <w:r>
        <w:rPr>
          <w:rFonts w:hint="eastAsia"/>
          <w:b/>
          <w:bCs/>
          <w:sz w:val="24"/>
        </w:rPr>
        <w:t>）</w:t>
      </w:r>
      <w:r>
        <w:rPr>
          <w:rFonts w:hint="eastAsia" w:ascii="宋体" w:hAnsi="宋体" w:cs="宋体"/>
          <w:b/>
          <w:bCs/>
          <w:sz w:val="24"/>
        </w:rPr>
        <w:t>落实“阳光规划”编制要求。</w:t>
      </w:r>
      <w:r>
        <w:rPr>
          <w:rFonts w:hint="eastAsia" w:ascii="宋体" w:hAnsi="宋体" w:cs="宋体"/>
          <w:sz w:val="24"/>
        </w:rPr>
        <w:t>按照“将公众参与贯穿整个编制全过程”的要求，做好前期公众调查及中后期意见征求工作。</w:t>
      </w:r>
    </w:p>
    <w:p>
      <w:pPr>
        <w:spacing w:line="360" w:lineRule="auto"/>
        <w:ind w:firstLine="472" w:firstLineChars="196"/>
        <w:rPr>
          <w:rFonts w:ascii="宋体" w:hAnsi="宋体" w:cs="宋体"/>
          <w:sz w:val="24"/>
        </w:rPr>
      </w:pPr>
      <w:r>
        <w:rPr>
          <w:rFonts w:hint="eastAsia" w:ascii="宋体" w:hAnsi="宋体" w:cs="宋体"/>
          <w:b/>
          <w:bCs/>
          <w:sz w:val="24"/>
        </w:rPr>
        <w:t>8</w:t>
      </w:r>
      <w:r>
        <w:rPr>
          <w:rFonts w:hint="eastAsia"/>
          <w:b/>
          <w:bCs/>
          <w:sz w:val="24"/>
        </w:rPr>
        <w:t>）</w:t>
      </w:r>
      <w:r>
        <w:rPr>
          <w:rFonts w:hint="eastAsia" w:ascii="宋体" w:hAnsi="宋体" w:cs="宋体"/>
          <w:b/>
          <w:bCs/>
          <w:sz w:val="24"/>
        </w:rPr>
        <w:t>其他服务。</w:t>
      </w:r>
      <w:r>
        <w:rPr>
          <w:rFonts w:hint="eastAsia" w:ascii="宋体" w:hAnsi="宋体" w:cs="宋体"/>
          <w:sz w:val="24"/>
        </w:rPr>
        <w:t>主动发挥专业技术优势，做好与项目相关的请示、报告、汇报材料、信访回复等材料的撰写工作。积极配合开展与本项目有相关的规划方案公示、意见收集整理及反馈、规划宣传、解释等各类会议及活动。</w:t>
      </w:r>
    </w:p>
    <w:p>
      <w:pPr>
        <w:adjustRightInd/>
        <w:spacing w:line="360" w:lineRule="auto"/>
        <w:ind w:firstLine="472" w:firstLineChars="196"/>
        <w:rPr>
          <w:rFonts w:ascii="宋体" w:hAnsi="宋体" w:cs="宋体"/>
          <w:b/>
          <w:sz w:val="24"/>
        </w:rPr>
      </w:pPr>
      <w:r>
        <w:rPr>
          <w:rFonts w:hint="eastAsia" w:ascii="宋体" w:hAnsi="宋体" w:cs="宋体"/>
          <w:b/>
          <w:sz w:val="24"/>
        </w:rPr>
        <w:t>四、规划深度要求</w:t>
      </w:r>
    </w:p>
    <w:p>
      <w:pPr>
        <w:pStyle w:val="27"/>
        <w:spacing w:line="360" w:lineRule="auto"/>
        <w:ind w:firstLine="482"/>
        <w:rPr>
          <w:b/>
          <w:bCs/>
        </w:rPr>
      </w:pPr>
      <w:r>
        <w:rPr>
          <w:rFonts w:hint="eastAsia"/>
          <w:b/>
          <w:bCs/>
        </w:rPr>
        <w:t>1、控制性详细规划的内容</w:t>
      </w:r>
    </w:p>
    <w:p>
      <w:pPr>
        <w:pStyle w:val="27"/>
        <w:spacing w:line="360" w:lineRule="auto"/>
      </w:pPr>
      <w:r>
        <w:rPr>
          <w:rFonts w:hint="eastAsia"/>
        </w:rPr>
        <w:t>1）确定规划范围内各类不同使用性质的用地面积与用地界线。</w:t>
      </w:r>
    </w:p>
    <w:p>
      <w:pPr>
        <w:pStyle w:val="27"/>
        <w:spacing w:line="360" w:lineRule="auto"/>
      </w:pPr>
      <w:r>
        <w:rPr>
          <w:rFonts w:hint="eastAsia"/>
        </w:rPr>
        <w:t>2）确定各地块建筑容量、高度控制及建筑形态、交通、配套设施及其他控制要求。</w:t>
      </w:r>
    </w:p>
    <w:p>
      <w:pPr>
        <w:pStyle w:val="27"/>
        <w:spacing w:line="360" w:lineRule="auto"/>
      </w:pPr>
      <w:r>
        <w:rPr>
          <w:rFonts w:hint="eastAsia"/>
        </w:rPr>
        <w:t>3）确定各级道路的红线位置，控制点坐标和标高。</w:t>
      </w:r>
    </w:p>
    <w:p>
      <w:pPr>
        <w:pStyle w:val="27"/>
        <w:spacing w:line="360" w:lineRule="auto"/>
      </w:pPr>
      <w:r>
        <w:rPr>
          <w:rFonts w:hint="eastAsia"/>
        </w:rPr>
        <w:t>4）根据规划容量，确定工程管线的走向、管径和工程设施的用地界线。</w:t>
      </w:r>
    </w:p>
    <w:p>
      <w:pPr>
        <w:pStyle w:val="27"/>
        <w:spacing w:line="360" w:lineRule="auto"/>
      </w:pPr>
      <w:r>
        <w:rPr>
          <w:rFonts w:hint="eastAsia"/>
        </w:rPr>
        <w:t>5）制定相应的土地使用及建筑管理规定。</w:t>
      </w:r>
    </w:p>
    <w:p>
      <w:pPr>
        <w:pStyle w:val="27"/>
        <w:spacing w:line="360" w:lineRule="auto"/>
        <w:ind w:firstLine="482"/>
        <w:rPr>
          <w:b/>
          <w:bCs/>
        </w:rPr>
      </w:pPr>
      <w:r>
        <w:rPr>
          <w:rFonts w:hint="eastAsia"/>
          <w:b/>
          <w:bCs/>
        </w:rPr>
        <w:t xml:space="preserve">2、控制性详细规划的控制指标 </w:t>
      </w:r>
    </w:p>
    <w:p>
      <w:pPr>
        <w:pStyle w:val="27"/>
        <w:spacing w:line="360" w:lineRule="auto"/>
        <w:ind w:firstLine="482"/>
        <w:rPr>
          <w:b/>
          <w:bCs/>
        </w:rPr>
      </w:pPr>
      <w:r>
        <w:rPr>
          <w:rFonts w:hint="eastAsia"/>
          <w:b/>
          <w:bCs/>
        </w:rPr>
        <w:t>（1）规定性指标：</w:t>
      </w:r>
    </w:p>
    <w:p>
      <w:pPr>
        <w:pStyle w:val="27"/>
        <w:spacing w:line="360" w:lineRule="auto"/>
      </w:pPr>
      <w:r>
        <w:rPr>
          <w:rFonts w:hint="eastAsia"/>
        </w:rPr>
        <w:t>1）用地性质：规划用地的使用功能，可根据用地分类标准小类进行标注。</w:t>
      </w:r>
    </w:p>
    <w:p>
      <w:pPr>
        <w:pStyle w:val="27"/>
        <w:spacing w:line="360" w:lineRule="auto"/>
      </w:pPr>
      <w:r>
        <w:rPr>
          <w:rFonts w:hint="eastAsia"/>
        </w:rPr>
        <w:t>2）用地面积：规划地块规定的面积。</w:t>
      </w:r>
    </w:p>
    <w:p>
      <w:pPr>
        <w:pStyle w:val="27"/>
        <w:spacing w:line="360" w:lineRule="auto"/>
      </w:pPr>
      <w:r>
        <w:rPr>
          <w:rFonts w:hint="eastAsia"/>
        </w:rPr>
        <w:t>3）建筑密度：即规划地块内各类建筑基底占地面积与地块面积之比。</w:t>
      </w:r>
    </w:p>
    <w:p>
      <w:pPr>
        <w:pStyle w:val="27"/>
        <w:spacing w:line="360" w:lineRule="auto"/>
        <w:rPr>
          <w:highlight w:val="yellow"/>
        </w:rPr>
      </w:pPr>
      <w:r>
        <w:rPr>
          <w:rFonts w:hint="eastAsia"/>
          <w:highlight w:val="yellow"/>
        </w:rPr>
        <w:t>4）建筑高度：按建筑物室外地面至女儿墙顶的高度计算。</w:t>
      </w:r>
    </w:p>
    <w:p>
      <w:pPr>
        <w:pStyle w:val="27"/>
        <w:spacing w:line="360" w:lineRule="auto"/>
      </w:pPr>
      <w:r>
        <w:rPr>
          <w:rFonts w:hint="eastAsia"/>
        </w:rPr>
        <w:t>5）容积率：即规划地块内各类建筑总面积的总和占规划地块面积的比率。</w:t>
      </w:r>
    </w:p>
    <w:p>
      <w:pPr>
        <w:pStyle w:val="27"/>
        <w:spacing w:line="360" w:lineRule="auto"/>
      </w:pPr>
      <w:r>
        <w:rPr>
          <w:rFonts w:hint="eastAsia"/>
        </w:rPr>
        <w:t>6）绿地率：规划地块内各类绿地面积的总和占规划地块面积的比率。</w:t>
      </w:r>
    </w:p>
    <w:p>
      <w:pPr>
        <w:pStyle w:val="27"/>
        <w:spacing w:line="360" w:lineRule="auto"/>
      </w:pPr>
      <w:r>
        <w:rPr>
          <w:rFonts w:hint="eastAsia"/>
        </w:rPr>
        <w:t>7）交通出入口方位：规划地块内允许设置主要出入口的方向和位置。</w:t>
      </w:r>
    </w:p>
    <w:p>
      <w:pPr>
        <w:pStyle w:val="27"/>
        <w:spacing w:line="360" w:lineRule="auto"/>
      </w:pPr>
      <w:r>
        <w:rPr>
          <w:rFonts w:hint="eastAsia"/>
        </w:rPr>
        <w:t>8）停车泊位及其它需要配置的公共设施：如有。</w:t>
      </w:r>
    </w:p>
    <w:p>
      <w:pPr>
        <w:pStyle w:val="27"/>
        <w:spacing w:line="360" w:lineRule="auto"/>
      </w:pPr>
      <w:r>
        <w:rPr>
          <w:rFonts w:hint="eastAsia"/>
        </w:rPr>
        <w:t>9）其他内容。</w:t>
      </w:r>
    </w:p>
    <w:p>
      <w:pPr>
        <w:pStyle w:val="27"/>
        <w:spacing w:line="360" w:lineRule="auto"/>
        <w:ind w:firstLine="482"/>
        <w:rPr>
          <w:b/>
          <w:bCs/>
        </w:rPr>
      </w:pPr>
      <w:r>
        <w:rPr>
          <w:rFonts w:hint="eastAsia"/>
          <w:b/>
          <w:bCs/>
        </w:rPr>
        <w:t>（2）指导性指标：</w:t>
      </w:r>
    </w:p>
    <w:p>
      <w:pPr>
        <w:pStyle w:val="27"/>
        <w:spacing w:line="360" w:lineRule="auto"/>
      </w:pPr>
      <w:r>
        <w:rPr>
          <w:rFonts w:hint="eastAsia"/>
        </w:rPr>
        <w:t>1）建筑形式、体量、色彩、风格要求。</w:t>
      </w:r>
    </w:p>
    <w:p>
      <w:pPr>
        <w:pStyle w:val="27"/>
        <w:spacing w:line="360" w:lineRule="auto"/>
      </w:pPr>
      <w:r>
        <w:rPr>
          <w:rFonts w:hint="eastAsia"/>
        </w:rPr>
        <w:t>2）其他环境要求。</w:t>
      </w:r>
    </w:p>
    <w:p>
      <w:pPr>
        <w:pStyle w:val="27"/>
        <w:spacing w:line="360" w:lineRule="auto"/>
        <w:ind w:firstLine="482"/>
        <w:rPr>
          <w:b/>
          <w:bCs/>
        </w:rPr>
      </w:pPr>
      <w:r>
        <w:rPr>
          <w:rFonts w:hint="eastAsia"/>
          <w:b/>
          <w:bCs/>
        </w:rPr>
        <w:t>3、 控制性详细规划的成果</w:t>
      </w:r>
    </w:p>
    <w:p>
      <w:pPr>
        <w:pStyle w:val="27"/>
        <w:spacing w:line="360" w:lineRule="auto"/>
        <w:rPr>
          <w:rFonts w:cs="宋体"/>
        </w:rPr>
      </w:pPr>
      <w:r>
        <w:rPr>
          <w:rFonts w:hint="eastAsia" w:cs="宋体"/>
        </w:rPr>
        <w:t>规划成果按《杭州市城市规划编制电子成果提交规范（修编）》要求完成，由规划文本、规划说明书、规划图纸、基础资料汇编组成。成果形式为纸质文档和电子文档。</w:t>
      </w:r>
    </w:p>
    <w:p>
      <w:pPr>
        <w:pStyle w:val="27"/>
        <w:spacing w:line="360" w:lineRule="auto"/>
        <w:ind w:firstLine="482"/>
        <w:rPr>
          <w:b/>
          <w:bCs/>
        </w:rPr>
      </w:pPr>
      <w:r>
        <w:rPr>
          <w:rFonts w:hint="eastAsia"/>
          <w:b/>
          <w:bCs/>
        </w:rPr>
        <w:t>（1）规划文本</w:t>
      </w:r>
    </w:p>
    <w:p>
      <w:pPr>
        <w:pStyle w:val="27"/>
        <w:spacing w:line="360" w:lineRule="auto"/>
        <w:rPr>
          <w:rFonts w:cs="宋体"/>
        </w:rPr>
      </w:pPr>
      <w:r>
        <w:rPr>
          <w:rFonts w:hint="eastAsia" w:cs="宋体"/>
        </w:rPr>
        <w:t>规划文本包括但不限于以下内容：</w:t>
      </w:r>
    </w:p>
    <w:p>
      <w:pPr>
        <w:pStyle w:val="27"/>
        <w:spacing w:line="360" w:lineRule="auto"/>
        <w:rPr>
          <w:highlight w:val="yellow"/>
        </w:rPr>
      </w:pPr>
      <w:r>
        <w:rPr>
          <w:rFonts w:hint="eastAsia"/>
          <w:highlight w:val="yellow"/>
        </w:rPr>
        <w:t>1）总则</w:t>
      </w:r>
    </w:p>
    <w:p>
      <w:pPr>
        <w:pStyle w:val="27"/>
        <w:spacing w:line="360" w:lineRule="auto"/>
        <w:rPr>
          <w:highlight w:val="yellow"/>
        </w:rPr>
      </w:pPr>
      <w:r>
        <w:rPr>
          <w:highlight w:val="yellow"/>
        </w:rPr>
        <w:t>2</w:t>
      </w:r>
      <w:r>
        <w:rPr>
          <w:rFonts w:hint="eastAsia" w:cs="宋体"/>
          <w:highlight w:val="yellow"/>
        </w:rPr>
        <w:t>）发展定位与规模</w:t>
      </w:r>
    </w:p>
    <w:p>
      <w:pPr>
        <w:pStyle w:val="27"/>
        <w:spacing w:line="360" w:lineRule="auto"/>
        <w:rPr>
          <w:highlight w:val="yellow"/>
        </w:rPr>
      </w:pPr>
      <w:r>
        <w:rPr>
          <w:highlight w:val="yellow"/>
        </w:rPr>
        <w:t>3</w:t>
      </w:r>
      <w:r>
        <w:rPr>
          <w:rFonts w:hint="eastAsia" w:cs="宋体"/>
          <w:highlight w:val="yellow"/>
        </w:rPr>
        <w:t>）空间结构</w:t>
      </w:r>
    </w:p>
    <w:p>
      <w:pPr>
        <w:pStyle w:val="27"/>
        <w:spacing w:line="360" w:lineRule="auto"/>
        <w:rPr>
          <w:highlight w:val="yellow"/>
        </w:rPr>
      </w:pPr>
      <w:r>
        <w:rPr>
          <w:highlight w:val="yellow"/>
        </w:rPr>
        <w:t>4</w:t>
      </w:r>
      <w:r>
        <w:rPr>
          <w:rFonts w:hint="eastAsia" w:cs="宋体"/>
          <w:highlight w:val="yellow"/>
        </w:rPr>
        <w:t>）土地利用规划</w:t>
      </w:r>
    </w:p>
    <w:p>
      <w:pPr>
        <w:pStyle w:val="27"/>
        <w:spacing w:line="360" w:lineRule="auto"/>
        <w:rPr>
          <w:highlight w:val="yellow"/>
        </w:rPr>
      </w:pPr>
      <w:r>
        <w:rPr>
          <w:highlight w:val="yellow"/>
        </w:rPr>
        <w:t>5</w:t>
      </w:r>
      <w:r>
        <w:rPr>
          <w:rFonts w:hint="eastAsia" w:cs="宋体"/>
          <w:highlight w:val="yellow"/>
        </w:rPr>
        <w:t>）公共设施规划</w:t>
      </w:r>
    </w:p>
    <w:p>
      <w:pPr>
        <w:pStyle w:val="27"/>
        <w:spacing w:line="360" w:lineRule="auto"/>
        <w:rPr>
          <w:highlight w:val="yellow"/>
        </w:rPr>
      </w:pPr>
      <w:r>
        <w:rPr>
          <w:highlight w:val="yellow"/>
        </w:rPr>
        <w:t>6</w:t>
      </w:r>
      <w:r>
        <w:rPr>
          <w:rFonts w:hint="eastAsia" w:cs="宋体"/>
          <w:highlight w:val="yellow"/>
        </w:rPr>
        <w:t>）绿地景观系统规划</w:t>
      </w:r>
    </w:p>
    <w:p>
      <w:pPr>
        <w:pStyle w:val="27"/>
        <w:spacing w:line="360" w:lineRule="auto"/>
        <w:rPr>
          <w:highlight w:val="yellow"/>
        </w:rPr>
      </w:pPr>
      <w:r>
        <w:rPr>
          <w:rFonts w:hint="eastAsia"/>
          <w:highlight w:val="yellow"/>
        </w:rPr>
        <w:t>7</w:t>
      </w:r>
      <w:r>
        <w:rPr>
          <w:rFonts w:hint="eastAsia" w:cs="宋体"/>
          <w:highlight w:val="yellow"/>
        </w:rPr>
        <w:t>）道路交通系统规划</w:t>
      </w:r>
    </w:p>
    <w:p>
      <w:pPr>
        <w:pStyle w:val="27"/>
        <w:spacing w:line="360" w:lineRule="auto"/>
        <w:rPr>
          <w:highlight w:val="yellow"/>
        </w:rPr>
      </w:pPr>
      <w:r>
        <w:rPr>
          <w:rFonts w:hint="eastAsia"/>
          <w:highlight w:val="yellow"/>
        </w:rPr>
        <w:t>8</w:t>
      </w:r>
      <w:r>
        <w:rPr>
          <w:rFonts w:hint="eastAsia" w:cs="宋体"/>
          <w:highlight w:val="yellow"/>
        </w:rPr>
        <w:t>）市政设施规划</w:t>
      </w:r>
    </w:p>
    <w:p>
      <w:pPr>
        <w:pStyle w:val="27"/>
        <w:spacing w:line="360" w:lineRule="auto"/>
        <w:rPr>
          <w:highlight w:val="yellow"/>
        </w:rPr>
      </w:pPr>
      <w:r>
        <w:rPr>
          <w:rFonts w:hint="eastAsia"/>
          <w:highlight w:val="yellow"/>
        </w:rPr>
        <w:t>9</w:t>
      </w:r>
      <w:r>
        <w:rPr>
          <w:rFonts w:hint="eastAsia" w:cs="宋体"/>
          <w:highlight w:val="yellow"/>
        </w:rPr>
        <w:t>）综合防灾规划</w:t>
      </w:r>
    </w:p>
    <w:p>
      <w:pPr>
        <w:pStyle w:val="27"/>
        <w:spacing w:line="360" w:lineRule="auto"/>
        <w:rPr>
          <w:highlight w:val="yellow"/>
        </w:rPr>
      </w:pPr>
      <w:r>
        <w:rPr>
          <w:rFonts w:hint="eastAsia"/>
          <w:highlight w:val="yellow"/>
        </w:rPr>
        <w:t>10</w:t>
      </w:r>
      <w:r>
        <w:rPr>
          <w:rFonts w:hint="eastAsia" w:cs="宋体"/>
          <w:highlight w:val="yellow"/>
        </w:rPr>
        <w:t>）近期建设规划</w:t>
      </w:r>
    </w:p>
    <w:p>
      <w:pPr>
        <w:pStyle w:val="27"/>
        <w:spacing w:line="360" w:lineRule="auto"/>
        <w:rPr>
          <w:highlight w:val="yellow"/>
        </w:rPr>
      </w:pPr>
      <w:r>
        <w:rPr>
          <w:rFonts w:hint="eastAsia"/>
          <w:highlight w:val="yellow"/>
        </w:rPr>
        <w:t>11</w:t>
      </w:r>
      <w:r>
        <w:rPr>
          <w:rFonts w:hint="eastAsia" w:cs="宋体"/>
          <w:highlight w:val="yellow"/>
        </w:rPr>
        <w:t>）规划实施保障措施</w:t>
      </w:r>
    </w:p>
    <w:p>
      <w:pPr>
        <w:pStyle w:val="27"/>
        <w:spacing w:line="360" w:lineRule="auto"/>
        <w:rPr>
          <w:highlight w:val="yellow"/>
        </w:rPr>
      </w:pPr>
      <w:r>
        <w:rPr>
          <w:rFonts w:hint="eastAsia"/>
          <w:highlight w:val="yellow"/>
        </w:rPr>
        <w:t>12）各地块控制指标一览表。</w:t>
      </w:r>
    </w:p>
    <w:p>
      <w:pPr>
        <w:pStyle w:val="27"/>
        <w:spacing w:line="360" w:lineRule="auto"/>
        <w:rPr>
          <w:highlight w:val="yellow"/>
        </w:rPr>
      </w:pPr>
      <w:r>
        <w:rPr>
          <w:rFonts w:hint="eastAsia"/>
          <w:highlight w:val="yellow"/>
        </w:rPr>
        <w:t>13）有关名词解释及通用的规定。</w:t>
      </w:r>
    </w:p>
    <w:p>
      <w:pPr>
        <w:pStyle w:val="27"/>
        <w:spacing w:line="360" w:lineRule="auto"/>
        <w:ind w:firstLine="482"/>
        <w:rPr>
          <w:b/>
          <w:bCs/>
        </w:rPr>
      </w:pPr>
      <w:r>
        <w:rPr>
          <w:rFonts w:hint="eastAsia"/>
          <w:b/>
          <w:bCs/>
        </w:rPr>
        <w:t>(2) 规划说明</w:t>
      </w:r>
    </w:p>
    <w:p>
      <w:pPr>
        <w:pStyle w:val="27"/>
        <w:spacing w:line="360" w:lineRule="auto"/>
        <w:rPr>
          <w:rFonts w:cs="宋体"/>
        </w:rPr>
      </w:pPr>
      <w:r>
        <w:rPr>
          <w:rFonts w:hint="eastAsia" w:cs="宋体"/>
        </w:rPr>
        <w:t>规划说明书由正文和附录两部分组成。</w:t>
      </w:r>
      <w:r>
        <w:rPr>
          <w:rFonts w:cs="宋体"/>
        </w:rPr>
        <w:t>其中</w:t>
      </w:r>
      <w:r>
        <w:rPr>
          <w:rFonts w:hint="eastAsia" w:cs="宋体"/>
        </w:rPr>
        <w:t>：规划说明书正文应当与规划文本的条文相对应，对规划文本条文做出详细说明。规划说明书附录主要包括以下主要内容：</w:t>
      </w:r>
    </w:p>
    <w:p>
      <w:pPr>
        <w:pStyle w:val="27"/>
        <w:spacing w:line="360" w:lineRule="auto"/>
        <w:rPr>
          <w:rFonts w:cs="宋体"/>
        </w:rPr>
      </w:pPr>
      <w:r>
        <w:rPr>
          <w:rFonts w:hint="eastAsia" w:cs="宋体"/>
        </w:rPr>
        <w:t>1）现状分析评价报告</w:t>
      </w:r>
    </w:p>
    <w:p>
      <w:pPr>
        <w:pStyle w:val="27"/>
        <w:spacing w:line="360" w:lineRule="auto"/>
        <w:rPr>
          <w:rFonts w:cs="宋体"/>
        </w:rPr>
      </w:pPr>
      <w:r>
        <w:rPr>
          <w:rFonts w:hint="eastAsia" w:cs="宋体"/>
        </w:rPr>
        <w:t>2）其它专题研究报告</w:t>
      </w:r>
    </w:p>
    <w:p>
      <w:pPr>
        <w:pStyle w:val="27"/>
        <w:spacing w:line="360" w:lineRule="auto"/>
        <w:rPr>
          <w:rFonts w:cs="宋体"/>
        </w:rPr>
      </w:pPr>
      <w:r>
        <w:rPr>
          <w:rFonts w:hint="eastAsia" w:cs="宋体"/>
        </w:rPr>
        <w:t>3）专家评审意见及落实情况</w:t>
      </w:r>
    </w:p>
    <w:p>
      <w:pPr>
        <w:pStyle w:val="27"/>
        <w:spacing w:line="360" w:lineRule="auto"/>
        <w:rPr>
          <w:rFonts w:cs="宋体"/>
        </w:rPr>
      </w:pPr>
      <w:r>
        <w:rPr>
          <w:rFonts w:hint="eastAsia" w:cs="宋体"/>
        </w:rPr>
        <w:t>4）相关部门建议</w:t>
      </w:r>
    </w:p>
    <w:p>
      <w:pPr>
        <w:pStyle w:val="27"/>
        <w:spacing w:line="360" w:lineRule="auto"/>
        <w:rPr>
          <w:rFonts w:cs="宋体"/>
        </w:rPr>
      </w:pPr>
      <w:r>
        <w:rPr>
          <w:rFonts w:hint="eastAsia" w:cs="宋体"/>
        </w:rPr>
        <w:t>5）公众意见</w:t>
      </w:r>
    </w:p>
    <w:p>
      <w:pPr>
        <w:pStyle w:val="27"/>
        <w:spacing w:line="360" w:lineRule="auto"/>
        <w:rPr>
          <w:rFonts w:cs="宋体"/>
        </w:rPr>
      </w:pPr>
      <w:r>
        <w:rPr>
          <w:rFonts w:hint="eastAsia" w:cs="宋体"/>
        </w:rPr>
        <w:t>6）政府批复</w:t>
      </w:r>
    </w:p>
    <w:p>
      <w:pPr>
        <w:pStyle w:val="27"/>
        <w:spacing w:line="360" w:lineRule="auto"/>
        <w:ind w:firstLine="482"/>
        <w:rPr>
          <w:b/>
          <w:bCs/>
        </w:rPr>
      </w:pPr>
      <w:r>
        <w:rPr>
          <w:rFonts w:hint="eastAsia" w:cs="宋体"/>
          <w:b/>
          <w:bCs/>
        </w:rPr>
        <w:t>（</w:t>
      </w:r>
      <w:r>
        <w:rPr>
          <w:rFonts w:hint="eastAsia"/>
          <w:b/>
          <w:bCs/>
        </w:rPr>
        <w:t>3</w:t>
      </w:r>
      <w:r>
        <w:rPr>
          <w:rFonts w:hint="eastAsia" w:cs="宋体"/>
          <w:b/>
          <w:bCs/>
        </w:rPr>
        <w:t>）规划图纸</w:t>
      </w:r>
    </w:p>
    <w:p>
      <w:pPr>
        <w:pStyle w:val="27"/>
        <w:spacing w:line="360" w:lineRule="auto"/>
        <w:rPr>
          <w:rFonts w:cs="宋体"/>
        </w:rPr>
      </w:pPr>
      <w:r>
        <w:rPr>
          <w:rFonts w:hint="eastAsia" w:cs="宋体"/>
        </w:rPr>
        <w:t>规划图纸所表达的内容应当清晰、准确，与规划文本内容相符。现状图、规划图和分析图应当分别表示，图例应当一致。主要图纸应包括但不限于：</w:t>
      </w:r>
    </w:p>
    <w:p>
      <w:pPr>
        <w:pStyle w:val="27"/>
        <w:spacing w:line="360" w:lineRule="auto"/>
      </w:pPr>
      <w:r>
        <w:t>1</w:t>
      </w:r>
      <w:r>
        <w:rPr>
          <w:rFonts w:hint="eastAsia" w:cs="宋体"/>
        </w:rPr>
        <w:t>）区位图</w:t>
      </w:r>
    </w:p>
    <w:p>
      <w:pPr>
        <w:pStyle w:val="27"/>
        <w:spacing w:line="360" w:lineRule="auto"/>
      </w:pPr>
      <w:r>
        <w:t>2</w:t>
      </w:r>
      <w:r>
        <w:rPr>
          <w:rFonts w:hint="eastAsia" w:cs="宋体"/>
        </w:rPr>
        <w:t>）用地现状图</w:t>
      </w:r>
    </w:p>
    <w:p>
      <w:pPr>
        <w:pStyle w:val="27"/>
        <w:spacing w:line="360" w:lineRule="auto"/>
      </w:pPr>
      <w:r>
        <w:t>3</w:t>
      </w:r>
      <w:r>
        <w:rPr>
          <w:rFonts w:hint="eastAsia" w:cs="宋体"/>
        </w:rPr>
        <w:t>）用地规划图</w:t>
      </w:r>
    </w:p>
    <w:p>
      <w:pPr>
        <w:pStyle w:val="27"/>
        <w:spacing w:line="360" w:lineRule="auto"/>
      </w:pPr>
      <w:r>
        <w:t>4</w:t>
      </w:r>
      <w:r>
        <w:rPr>
          <w:rFonts w:hint="eastAsia" w:cs="宋体"/>
        </w:rPr>
        <w:t>）规划结构图</w:t>
      </w:r>
    </w:p>
    <w:p>
      <w:pPr>
        <w:pStyle w:val="27"/>
        <w:spacing w:line="360" w:lineRule="auto"/>
      </w:pPr>
      <w:r>
        <w:t>5</w:t>
      </w:r>
      <w:r>
        <w:rPr>
          <w:rFonts w:hint="eastAsia" w:cs="宋体"/>
        </w:rPr>
        <w:t>）公共设施规划图</w:t>
      </w:r>
    </w:p>
    <w:p>
      <w:pPr>
        <w:pStyle w:val="27"/>
        <w:spacing w:line="360" w:lineRule="auto"/>
      </w:pPr>
      <w:r>
        <w:t>6</w:t>
      </w:r>
      <w:r>
        <w:rPr>
          <w:rFonts w:hint="eastAsia" w:cs="宋体"/>
        </w:rPr>
        <w:t>）道路系统规划图</w:t>
      </w:r>
    </w:p>
    <w:p>
      <w:pPr>
        <w:pStyle w:val="27"/>
        <w:spacing w:line="360" w:lineRule="auto"/>
      </w:pPr>
      <w:r>
        <w:t>7</w:t>
      </w:r>
      <w:r>
        <w:rPr>
          <w:rFonts w:hint="eastAsia" w:cs="宋体"/>
        </w:rPr>
        <w:t>）绿地景观规划图</w:t>
      </w:r>
    </w:p>
    <w:p>
      <w:pPr>
        <w:pStyle w:val="27"/>
        <w:spacing w:line="360" w:lineRule="auto"/>
      </w:pPr>
      <w:r>
        <w:t>8</w:t>
      </w:r>
      <w:r>
        <w:rPr>
          <w:rFonts w:hint="eastAsia" w:cs="宋体"/>
        </w:rPr>
        <w:t>）景观风貌控制图</w:t>
      </w:r>
    </w:p>
    <w:p>
      <w:pPr>
        <w:pStyle w:val="27"/>
        <w:spacing w:line="360" w:lineRule="auto"/>
      </w:pPr>
      <w:r>
        <w:t>9</w:t>
      </w:r>
      <w:r>
        <w:rPr>
          <w:rFonts w:hint="eastAsia" w:cs="宋体"/>
        </w:rPr>
        <w:t>）主要市政设施规划图</w:t>
      </w:r>
    </w:p>
    <w:p>
      <w:pPr>
        <w:pStyle w:val="27"/>
        <w:spacing w:line="360" w:lineRule="auto"/>
      </w:pPr>
      <w:r>
        <w:t>10</w:t>
      </w:r>
      <w:r>
        <w:rPr>
          <w:rFonts w:hint="eastAsia" w:cs="宋体"/>
        </w:rPr>
        <w:t>）其它规划分析图</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七、成果要求</w:t>
      </w:r>
    </w:p>
    <w:p>
      <w:pPr>
        <w:pStyle w:val="27"/>
        <w:spacing w:line="360" w:lineRule="auto"/>
      </w:pPr>
      <w:r>
        <w:rPr>
          <w:rFonts w:hint="eastAsia"/>
        </w:rPr>
        <w:t>1、本次规划的所有成果内容及深度均应严格符合相关法律、法规、标准和技术规范的要求，并通过采购人组织的评审。</w:t>
      </w:r>
    </w:p>
    <w:p>
      <w:pPr>
        <w:pStyle w:val="27"/>
        <w:spacing w:line="360" w:lineRule="auto"/>
        <w:rPr>
          <w:color w:val="000000"/>
        </w:rPr>
      </w:pPr>
      <w:r>
        <w:rPr>
          <w:rFonts w:hint="eastAsia"/>
        </w:rPr>
        <w:t>2、最终成果包括规划文本、图件、附件三部分内容及所有相关的电子版资料（U</w:t>
      </w:r>
      <w:r>
        <w:rPr>
          <w:rFonts w:hint="eastAsia"/>
          <w:color w:val="000000"/>
        </w:rPr>
        <w:t>盘或光盘，含CAD格式）。各阶段成果份数具体以评审阶段采购人所需为准，采购人不另行支付费用。</w:t>
      </w:r>
    </w:p>
    <w:p>
      <w:pPr>
        <w:snapToGrid w:val="0"/>
        <w:spacing w:line="360" w:lineRule="auto"/>
        <w:ind w:firstLine="482" w:firstLineChars="200"/>
        <w:outlineLvl w:val="1"/>
        <w:rPr>
          <w:rFonts w:ascii="宋体" w:hAnsi="宋体" w:cs="宋体"/>
          <w:b/>
          <w:bCs/>
          <w:color w:val="000000"/>
          <w:sz w:val="24"/>
        </w:rPr>
      </w:pPr>
      <w:bookmarkStart w:id="41" w:name="_Toc91688384"/>
      <w:r>
        <w:rPr>
          <w:rFonts w:hint="eastAsia" w:ascii="宋体" w:hAnsi="宋体" w:cs="宋体"/>
          <w:b/>
          <w:bCs/>
          <w:color w:val="000000"/>
          <w:sz w:val="24"/>
        </w:rPr>
        <w:t>八、服务要求</w:t>
      </w:r>
      <w:bookmarkEnd w:id="41"/>
    </w:p>
    <w:p>
      <w:pPr>
        <w:spacing w:line="360" w:lineRule="auto"/>
        <w:ind w:firstLine="480" w:firstLineChars="200"/>
        <w:rPr>
          <w:rFonts w:ascii="宋体" w:hAnsi="宋体" w:cs="宋体"/>
          <w:color w:val="000000"/>
          <w:sz w:val="24"/>
        </w:rPr>
      </w:pPr>
      <w:r>
        <w:rPr>
          <w:rFonts w:hint="eastAsia" w:ascii="宋体" w:hAnsi="宋体" w:cs="宋体"/>
          <w:color w:val="000000"/>
          <w:sz w:val="24"/>
        </w:rPr>
        <w:t>规划中间成果稿：在中标后</w:t>
      </w:r>
      <w:r>
        <w:rPr>
          <w:rFonts w:ascii="宋体" w:hAnsi="宋体" w:cs="宋体"/>
          <w:color w:val="000000"/>
          <w:sz w:val="24"/>
          <w:highlight w:val="red"/>
        </w:rPr>
        <w:t>1</w:t>
      </w:r>
      <w:r>
        <w:rPr>
          <w:rFonts w:hint="eastAsia" w:ascii="宋体" w:hAnsi="宋体" w:cs="宋体"/>
          <w:color w:val="000000"/>
          <w:sz w:val="24"/>
          <w:highlight w:val="red"/>
        </w:rPr>
        <w:t>个月</w:t>
      </w:r>
      <w:r>
        <w:rPr>
          <w:rFonts w:hint="eastAsia" w:ascii="宋体" w:hAnsi="宋体" w:cs="宋体"/>
          <w:color w:val="000000"/>
          <w:sz w:val="24"/>
        </w:rPr>
        <w:t>内完成；</w:t>
      </w:r>
    </w:p>
    <w:p>
      <w:pPr>
        <w:spacing w:line="360" w:lineRule="auto"/>
        <w:ind w:firstLine="480" w:firstLineChars="200"/>
        <w:rPr>
          <w:rFonts w:ascii="宋体" w:hAnsi="宋体" w:cs="宋体"/>
          <w:color w:val="000000"/>
          <w:sz w:val="24"/>
        </w:rPr>
      </w:pPr>
      <w:r>
        <w:rPr>
          <w:rFonts w:hint="eastAsia" w:ascii="宋体" w:hAnsi="宋体" w:cs="宋体"/>
          <w:color w:val="000000"/>
          <w:sz w:val="24"/>
        </w:rPr>
        <w:t>规划成果送审稿：在中标后4个月内完成；</w:t>
      </w:r>
    </w:p>
    <w:p>
      <w:pPr>
        <w:spacing w:line="360" w:lineRule="auto"/>
        <w:ind w:firstLine="480" w:firstLineChars="200"/>
        <w:rPr>
          <w:rFonts w:ascii="宋体" w:hAnsi="宋体" w:cs="宋体"/>
          <w:color w:val="000000"/>
          <w:sz w:val="24"/>
        </w:rPr>
      </w:pPr>
      <w:r>
        <w:rPr>
          <w:rFonts w:hint="eastAsia" w:ascii="宋体" w:hAnsi="宋体" w:cs="宋体"/>
          <w:color w:val="000000"/>
          <w:sz w:val="24"/>
        </w:rPr>
        <w:t>规划成果报批稿：在中标后5个月内完成（含一个月公示时间）；</w:t>
      </w:r>
    </w:p>
    <w:p>
      <w:pPr>
        <w:adjustRightInd/>
        <w:spacing w:line="360" w:lineRule="auto"/>
        <w:ind w:firstLine="480" w:firstLineChars="200"/>
        <w:rPr>
          <w:rFonts w:ascii="宋体" w:hAnsi="宋体" w:cs="宋体"/>
          <w:b/>
          <w:bCs/>
          <w:color w:val="000000"/>
          <w:sz w:val="24"/>
        </w:rPr>
      </w:pPr>
      <w:r>
        <w:rPr>
          <w:rFonts w:hint="eastAsia" w:ascii="宋体" w:hAnsi="宋体" w:cs="宋体"/>
          <w:color w:val="000000"/>
          <w:sz w:val="24"/>
        </w:rPr>
        <w:t>规划最终成果稿：按规定程序和时间完成报批工作。</w:t>
      </w:r>
    </w:p>
    <w:p>
      <w:pPr>
        <w:adjustRightInd/>
        <w:spacing w:line="360" w:lineRule="auto"/>
        <w:ind w:firstLine="482" w:firstLineChars="200"/>
        <w:rPr>
          <w:rFonts w:ascii="宋体" w:hAnsi="宋体" w:cs="宋体"/>
          <w:b/>
          <w:bCs/>
          <w:color w:val="000000"/>
          <w:sz w:val="24"/>
        </w:rPr>
      </w:pPr>
      <w:r>
        <w:rPr>
          <w:rFonts w:hint="eastAsia" w:ascii="宋体" w:hAnsi="宋体" w:cs="宋体"/>
          <w:b/>
          <w:bCs/>
          <w:color w:val="000000"/>
          <w:sz w:val="24"/>
        </w:rPr>
        <w:t>九、知识产权及保密要求</w:t>
      </w:r>
    </w:p>
    <w:p>
      <w:pPr>
        <w:pStyle w:val="27"/>
        <w:spacing w:line="360" w:lineRule="auto"/>
        <w:rPr>
          <w:color w:val="000000"/>
        </w:rPr>
      </w:pPr>
      <w:r>
        <w:rPr>
          <w:rFonts w:hint="eastAsia"/>
          <w:color w:val="000000"/>
        </w:rPr>
        <w:t>1、</w:t>
      </w:r>
      <w:r>
        <w:rPr>
          <w:rFonts w:hint="eastAsia" w:cs="宋体"/>
          <w:color w:val="000000"/>
        </w:rPr>
        <w:t>本项目所有成果的所有权和版权属于采购人所有。如需利用成果数据或研究成果进行课题申报或课题研究，由双方联合申报，特殊情况另行协商。</w:t>
      </w:r>
    </w:p>
    <w:p>
      <w:pPr>
        <w:pStyle w:val="27"/>
        <w:spacing w:line="360" w:lineRule="auto"/>
        <w:rPr>
          <w:color w:val="000000"/>
        </w:rPr>
      </w:pPr>
      <w:r>
        <w:rPr>
          <w:rFonts w:hint="eastAsia"/>
          <w:color w:val="000000"/>
        </w:rPr>
        <w:t>2、供应商保证响应文件及资料均未侵犯他人的知识产权，否则须承担由此引起的全部法律责任和经济责任。</w:t>
      </w:r>
    </w:p>
    <w:p>
      <w:pPr>
        <w:pStyle w:val="27"/>
        <w:spacing w:line="360" w:lineRule="auto"/>
      </w:pPr>
      <w:r>
        <w:rPr>
          <w:rFonts w:hint="eastAsia"/>
          <w:color w:val="000000"/>
        </w:rPr>
        <w:t>3、若供应商使用他人的专利、专有技术时，所涉及到的费用及产生的纠纷，由</w:t>
      </w:r>
      <w:r>
        <w:rPr>
          <w:rFonts w:hint="eastAsia"/>
        </w:rPr>
        <w:t>供应商自行解决。</w:t>
      </w:r>
    </w:p>
    <w:p>
      <w:pPr>
        <w:pStyle w:val="27"/>
        <w:spacing w:line="360" w:lineRule="auto"/>
      </w:pPr>
      <w:r>
        <w:rPr>
          <w:rFonts w:hint="eastAsia"/>
        </w:rPr>
        <w:t>4、采购人提供的相关资料只供本次活动使用，各供应商应承担保密义务，不得擅自拷贝和传播。</w:t>
      </w:r>
    </w:p>
    <w:p>
      <w:pPr>
        <w:pStyle w:val="27"/>
        <w:spacing w:line="360" w:lineRule="auto"/>
      </w:pPr>
      <w:r>
        <w:rPr>
          <w:rFonts w:hint="eastAsia"/>
        </w:rPr>
        <w:t>5、采购人有权在本项目实施过程中按照实际情况对中标方案进行调整。</w:t>
      </w:r>
    </w:p>
    <w:p>
      <w:pPr>
        <w:pStyle w:val="27"/>
        <w:spacing w:line="360" w:lineRule="auto"/>
      </w:pPr>
      <w:r>
        <w:rPr>
          <w:rFonts w:hint="eastAsia"/>
        </w:rPr>
        <w:t>6、采购人有权通过传媒或其它形式介绍、展示或评价中标规划方案，所有展示、推介、广告均不再向成交供应商支付费用。</w:t>
      </w:r>
    </w:p>
    <w:p>
      <w:pPr>
        <w:pStyle w:val="27"/>
        <w:spacing w:line="360" w:lineRule="auto"/>
      </w:pPr>
      <w:r>
        <w:rPr>
          <w:rFonts w:hint="eastAsia"/>
        </w:rPr>
        <w:t>7、成交供应商未经采购人许可，不得将中标方案成果用于其他任何项目的投标和设计，不得在国内外刊物、学术或技术交流会上发表该方案成果。</w:t>
      </w:r>
    </w:p>
    <w:p>
      <w:pPr>
        <w:pStyle w:val="27"/>
        <w:spacing w:line="360" w:lineRule="auto"/>
      </w:pPr>
      <w:r>
        <w:rPr>
          <w:rFonts w:hint="eastAsia"/>
        </w:rPr>
        <w:t>8、 成交供应商应妥善保存的所有原稿原图、电子设计稿件、最终文稿（含相关电子版），采购人若需要，应予提供；服务合同终止后，成交供应商应将所有本项目相关材料交给采购人。</w:t>
      </w:r>
    </w:p>
    <w:p>
      <w:pPr>
        <w:pStyle w:val="27"/>
        <w:spacing w:line="360" w:lineRule="auto"/>
      </w:pPr>
      <w:r>
        <w:rPr>
          <w:rFonts w:hint="eastAsia"/>
        </w:rPr>
        <w:t>9、成交供应商如违反上述知识产权及保密条款要求，应赔偿因此给采购人造成的各项损失。</w:t>
      </w:r>
    </w:p>
    <w:p>
      <w:pPr>
        <w:pStyle w:val="27"/>
        <w:spacing w:line="360" w:lineRule="auto"/>
        <w:ind w:firstLine="482"/>
        <w:rPr>
          <w:rFonts w:cs="宋体"/>
          <w:b/>
          <w:bCs/>
        </w:rPr>
      </w:pPr>
      <w:r>
        <w:rPr>
          <w:rFonts w:hint="eastAsia"/>
          <w:b/>
          <w:bCs/>
        </w:rPr>
        <w:t>十、</w:t>
      </w:r>
      <w:r>
        <w:rPr>
          <w:rFonts w:hint="eastAsia" w:cs="宋体"/>
          <w:b/>
          <w:bCs/>
        </w:rPr>
        <w:t>报价要求</w:t>
      </w:r>
    </w:p>
    <w:p>
      <w:pPr>
        <w:pStyle w:val="27"/>
        <w:spacing w:line="360" w:lineRule="auto"/>
      </w:pPr>
      <w:r>
        <w:rPr>
          <w:rFonts w:hint="eastAsia"/>
        </w:rPr>
        <w:t>本项目采用总价包干方式服务，供应商应根据项目要求合理报价。报价包括但不限于本合同资料收集、调研、成果编制、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十一、付款方式</w:t>
      </w:r>
    </w:p>
    <w:p>
      <w:pPr>
        <w:pStyle w:val="27"/>
        <w:spacing w:line="360" w:lineRule="auto"/>
      </w:pPr>
      <w:r>
        <w:rPr>
          <w:rFonts w:hint="eastAsia"/>
        </w:rPr>
        <w:t>1、合同签订后，采购人支付合同总价的40%；</w:t>
      </w:r>
    </w:p>
    <w:p>
      <w:pPr>
        <w:pStyle w:val="27"/>
        <w:spacing w:line="360" w:lineRule="auto"/>
      </w:pPr>
      <w:r>
        <w:rPr>
          <w:rFonts w:hint="eastAsia"/>
        </w:rPr>
        <w:t>2、提交规划</w:t>
      </w:r>
      <w:r>
        <w:rPr>
          <w:rFonts w:hint="eastAsia" w:cs="宋体"/>
          <w:color w:val="000000"/>
        </w:rPr>
        <w:t>成果送审稿</w:t>
      </w:r>
      <w:r>
        <w:rPr>
          <w:rFonts w:hint="eastAsia"/>
        </w:rPr>
        <w:t>，支付合同价的20%；</w:t>
      </w:r>
    </w:p>
    <w:p>
      <w:pPr>
        <w:pStyle w:val="28"/>
        <w:ind w:left="0" w:leftChars="0" w:firstLine="480"/>
      </w:pPr>
      <w:r>
        <w:rPr>
          <w:rFonts w:hint="eastAsia"/>
          <w:sz w:val="24"/>
        </w:rPr>
        <w:t>3、提交规划</w:t>
      </w:r>
      <w:r>
        <w:rPr>
          <w:rFonts w:hint="eastAsia" w:cs="宋体"/>
          <w:color w:val="000000"/>
          <w:sz w:val="24"/>
        </w:rPr>
        <w:t>报批稿，</w:t>
      </w:r>
      <w:r>
        <w:rPr>
          <w:rFonts w:hint="eastAsia"/>
          <w:sz w:val="24"/>
        </w:rPr>
        <w:t>支付合同价的20%；</w:t>
      </w:r>
    </w:p>
    <w:p>
      <w:pPr>
        <w:pStyle w:val="27"/>
        <w:spacing w:line="360" w:lineRule="auto"/>
      </w:pPr>
      <w:r>
        <w:rPr>
          <w:rFonts w:hint="eastAsia"/>
        </w:rPr>
        <w:t>4、提交正式全部成果（经报批通过的），通过履约服务验收合格后支付剩余款项。</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十二、质量标准和验收</w:t>
      </w:r>
    </w:p>
    <w:p>
      <w:pPr>
        <w:tabs>
          <w:tab w:val="left" w:pos="706"/>
        </w:tabs>
        <w:spacing w:line="360" w:lineRule="auto"/>
        <w:ind w:firstLine="480" w:firstLineChars="200"/>
        <w:jc w:val="left"/>
        <w:rPr>
          <w:rFonts w:ascii="Arial" w:hAnsi="Arial"/>
          <w:color w:val="000000"/>
        </w:rPr>
      </w:pPr>
      <w:r>
        <w:rPr>
          <w:rFonts w:hint="eastAsia" w:ascii="宋体" w:hAnsi="宋体" w:cs="宋体"/>
          <w:color w:val="000000"/>
          <w:kern w:val="0"/>
          <w:sz w:val="24"/>
        </w:rPr>
        <w:t>投标人提交的规划成果（包括内容、深度和质量）应符合中华人民共和国标准及行政主管部门颁布的现有法规、规程、规范和技术标准，符合规划设计任务书的有关要求和国家、浙江省有关标准，并通过评审。</w:t>
      </w:r>
      <w:r>
        <w:rPr>
          <w:rFonts w:hint="eastAsia" w:ascii="宋体" w:hAnsi="宋体" w:cs="宋体"/>
          <w:color w:val="000000"/>
          <w:sz w:val="24"/>
        </w:rPr>
        <w:t>服务项目可根据项目特点对服务期内的服务实施情况进行分期考核,结合考核情况和服务效果进行验收，具体按合同执行。</w:t>
      </w:r>
    </w:p>
    <w:bookmarkEnd w:id="34"/>
    <w:p>
      <w:pPr>
        <w:rPr>
          <w:rFonts w:ascii="仿宋" w:hAnsi="仿宋" w:eastAsia="仿宋" w:cs="仿宋"/>
          <w:b/>
          <w:sz w:val="36"/>
          <w:szCs w:val="36"/>
        </w:rPr>
      </w:pPr>
      <w:r>
        <w:rPr>
          <w:rFonts w:ascii="仿宋" w:hAnsi="仿宋" w:eastAsia="仿宋" w:cs="仿宋"/>
          <w:b/>
          <w:sz w:val="36"/>
          <w:szCs w:val="36"/>
        </w:rPr>
        <w:br w:type="page"/>
      </w:r>
    </w:p>
    <w:p>
      <w:pPr>
        <w:pStyle w:val="84"/>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42" w:name="_Toc184312072"/>
      <w:bookmarkEnd w:id="42"/>
      <w:bookmarkStart w:id="43" w:name="_Toc184313266"/>
      <w:bookmarkEnd w:id="43"/>
      <w:bookmarkStart w:id="44" w:name="_Toc184314467"/>
      <w:bookmarkEnd w:id="44"/>
      <w:bookmarkStart w:id="45" w:name="_Toc184313282"/>
      <w:bookmarkEnd w:id="45"/>
      <w:bookmarkStart w:id="46" w:name="_Toc184312103"/>
      <w:bookmarkEnd w:id="46"/>
      <w:bookmarkStart w:id="47" w:name="_Toc184312104"/>
      <w:bookmarkEnd w:id="47"/>
      <w:bookmarkStart w:id="48" w:name="_Toc184314415"/>
      <w:bookmarkEnd w:id="48"/>
      <w:bookmarkStart w:id="49" w:name="_Toc184313306"/>
      <w:bookmarkEnd w:id="49"/>
      <w:bookmarkStart w:id="50" w:name="_Toc184312132"/>
      <w:bookmarkEnd w:id="50"/>
      <w:bookmarkStart w:id="51" w:name="_Toc184313296"/>
      <w:bookmarkEnd w:id="51"/>
      <w:bookmarkStart w:id="52" w:name="_Toc184312077"/>
      <w:bookmarkEnd w:id="52"/>
      <w:bookmarkStart w:id="53" w:name="_Toc184308089"/>
      <w:bookmarkEnd w:id="53"/>
      <w:bookmarkStart w:id="54" w:name="_Toc184313257"/>
      <w:bookmarkEnd w:id="54"/>
      <w:bookmarkStart w:id="55" w:name="_Toc184313293"/>
      <w:bookmarkEnd w:id="55"/>
      <w:bookmarkStart w:id="56" w:name="_Toc184308051"/>
      <w:bookmarkEnd w:id="56"/>
      <w:bookmarkStart w:id="57" w:name="_Toc184314420"/>
      <w:bookmarkEnd w:id="57"/>
      <w:bookmarkStart w:id="58" w:name="_Toc184310304"/>
      <w:bookmarkEnd w:id="58"/>
      <w:bookmarkStart w:id="59" w:name="_Toc184312071"/>
      <w:bookmarkEnd w:id="59"/>
      <w:bookmarkStart w:id="60" w:name="_Toc184308071"/>
      <w:bookmarkEnd w:id="60"/>
      <w:bookmarkStart w:id="61" w:name="_Toc184312085"/>
      <w:bookmarkEnd w:id="61"/>
      <w:bookmarkStart w:id="62" w:name="_Toc184308070"/>
      <w:bookmarkEnd w:id="62"/>
      <w:bookmarkStart w:id="63" w:name="_Toc184308103"/>
      <w:bookmarkEnd w:id="63"/>
      <w:bookmarkStart w:id="64" w:name="_Toc184314456"/>
      <w:bookmarkEnd w:id="64"/>
      <w:bookmarkStart w:id="65" w:name="_Toc184313264"/>
      <w:bookmarkEnd w:id="65"/>
      <w:bookmarkStart w:id="66" w:name="_Toc184314450"/>
      <w:bookmarkEnd w:id="66"/>
      <w:bookmarkStart w:id="67" w:name="_Toc184314435"/>
      <w:bookmarkEnd w:id="67"/>
      <w:bookmarkStart w:id="68" w:name="_Toc184310301"/>
      <w:bookmarkEnd w:id="68"/>
      <w:bookmarkStart w:id="69" w:name="_Toc184308108"/>
      <w:bookmarkEnd w:id="69"/>
      <w:bookmarkStart w:id="70" w:name="_Toc184312115"/>
      <w:bookmarkEnd w:id="70"/>
      <w:bookmarkStart w:id="71" w:name="_Toc184313304"/>
      <w:bookmarkEnd w:id="71"/>
      <w:bookmarkStart w:id="72" w:name="_Toc184308039"/>
      <w:bookmarkEnd w:id="72"/>
      <w:bookmarkStart w:id="73" w:name="_Toc184314446"/>
      <w:bookmarkEnd w:id="73"/>
      <w:bookmarkStart w:id="74" w:name="_Toc184314481"/>
      <w:bookmarkEnd w:id="74"/>
      <w:bookmarkStart w:id="75" w:name="_Toc184310293"/>
      <w:bookmarkEnd w:id="75"/>
      <w:bookmarkStart w:id="76" w:name="_Toc184310320"/>
      <w:bookmarkEnd w:id="76"/>
      <w:bookmarkStart w:id="77" w:name="_Toc184313301"/>
      <w:bookmarkEnd w:id="77"/>
      <w:bookmarkStart w:id="78" w:name="_Toc184313307"/>
      <w:bookmarkEnd w:id="78"/>
      <w:bookmarkStart w:id="79" w:name="_Toc184310314"/>
      <w:bookmarkEnd w:id="79"/>
      <w:bookmarkStart w:id="80" w:name="_Toc184313238"/>
      <w:bookmarkEnd w:id="80"/>
      <w:bookmarkStart w:id="81" w:name="_Toc184312113"/>
      <w:bookmarkEnd w:id="81"/>
      <w:bookmarkStart w:id="82" w:name="_Toc184310327"/>
      <w:bookmarkEnd w:id="82"/>
      <w:bookmarkStart w:id="83" w:name="_Toc184310280"/>
      <w:bookmarkEnd w:id="83"/>
      <w:bookmarkStart w:id="84" w:name="_Toc184313252"/>
      <w:bookmarkEnd w:id="84"/>
      <w:bookmarkStart w:id="85" w:name="_Toc184314426"/>
      <w:bookmarkEnd w:id="85"/>
      <w:bookmarkStart w:id="86" w:name="_Toc184312116"/>
      <w:bookmarkEnd w:id="86"/>
      <w:bookmarkStart w:id="87" w:name="_Toc184314439"/>
      <w:bookmarkEnd w:id="87"/>
      <w:bookmarkStart w:id="88" w:name="_Toc184308044"/>
      <w:bookmarkEnd w:id="88"/>
      <w:bookmarkStart w:id="89" w:name="_Toc184312095"/>
      <w:bookmarkEnd w:id="89"/>
      <w:bookmarkStart w:id="90" w:name="_Toc184314479"/>
      <w:bookmarkEnd w:id="90"/>
      <w:bookmarkStart w:id="91" w:name="_Toc184312114"/>
      <w:bookmarkEnd w:id="91"/>
      <w:bookmarkStart w:id="92" w:name="_Toc184312068"/>
      <w:bookmarkEnd w:id="92"/>
      <w:bookmarkStart w:id="93" w:name="_Toc184310325"/>
      <w:bookmarkEnd w:id="93"/>
      <w:bookmarkStart w:id="94" w:name="_Toc184310279"/>
      <w:bookmarkEnd w:id="94"/>
      <w:bookmarkStart w:id="95" w:name="_Toc184310302"/>
      <w:bookmarkEnd w:id="95"/>
      <w:bookmarkStart w:id="96" w:name="_Toc184312079"/>
      <w:bookmarkEnd w:id="96"/>
      <w:bookmarkStart w:id="97" w:name="_Toc184310299"/>
      <w:bookmarkEnd w:id="97"/>
      <w:bookmarkStart w:id="98" w:name="_Toc184308050"/>
      <w:bookmarkEnd w:id="98"/>
      <w:bookmarkStart w:id="99" w:name="_Toc184312137"/>
      <w:bookmarkEnd w:id="99"/>
      <w:bookmarkStart w:id="100" w:name="_Toc184308057"/>
      <w:bookmarkEnd w:id="100"/>
      <w:bookmarkStart w:id="101" w:name="_Toc184314444"/>
      <w:bookmarkEnd w:id="101"/>
      <w:bookmarkStart w:id="102" w:name="_Toc184314438"/>
      <w:bookmarkEnd w:id="102"/>
      <w:bookmarkStart w:id="103" w:name="_Toc184312124"/>
      <w:bookmarkEnd w:id="103"/>
      <w:bookmarkStart w:id="104" w:name="_Toc184312076"/>
      <w:bookmarkEnd w:id="104"/>
      <w:bookmarkStart w:id="105" w:name="_Toc184308037"/>
      <w:bookmarkEnd w:id="105"/>
      <w:bookmarkStart w:id="106" w:name="_Toc184310330"/>
      <w:bookmarkEnd w:id="106"/>
      <w:bookmarkStart w:id="107" w:name="_Toc184310305"/>
      <w:bookmarkEnd w:id="107"/>
      <w:bookmarkStart w:id="108" w:name="_Toc184314434"/>
      <w:bookmarkEnd w:id="108"/>
      <w:bookmarkStart w:id="109" w:name="_Toc184308069"/>
      <w:bookmarkEnd w:id="109"/>
      <w:bookmarkStart w:id="110" w:name="_Toc184308090"/>
      <w:bookmarkEnd w:id="110"/>
      <w:bookmarkStart w:id="111" w:name="_Toc184312119"/>
      <w:bookmarkEnd w:id="111"/>
      <w:bookmarkStart w:id="112" w:name="_Toc184308042"/>
      <w:bookmarkEnd w:id="112"/>
      <w:bookmarkStart w:id="113" w:name="_Toc184314411"/>
      <w:bookmarkEnd w:id="113"/>
      <w:bookmarkStart w:id="114" w:name="_Toc184314469"/>
      <w:bookmarkEnd w:id="114"/>
      <w:bookmarkStart w:id="115" w:name="_Toc184310294"/>
      <w:bookmarkEnd w:id="115"/>
      <w:bookmarkStart w:id="116" w:name="_Toc184310310"/>
      <w:bookmarkEnd w:id="116"/>
      <w:bookmarkStart w:id="117" w:name="_Toc184314429"/>
      <w:bookmarkEnd w:id="117"/>
      <w:bookmarkStart w:id="118" w:name="_Toc184308100"/>
      <w:bookmarkEnd w:id="118"/>
      <w:bookmarkStart w:id="119" w:name="_Toc184308053"/>
      <w:bookmarkEnd w:id="119"/>
      <w:bookmarkStart w:id="120" w:name="_Toc184313287"/>
      <w:bookmarkEnd w:id="120"/>
      <w:bookmarkStart w:id="121" w:name="_Toc184310274"/>
      <w:bookmarkEnd w:id="121"/>
      <w:bookmarkStart w:id="122" w:name="_Toc184308102"/>
      <w:bookmarkEnd w:id="122"/>
      <w:bookmarkStart w:id="123" w:name="_Toc184308062"/>
      <w:bookmarkEnd w:id="123"/>
      <w:bookmarkStart w:id="124" w:name="_Toc184312091"/>
      <w:bookmarkEnd w:id="124"/>
      <w:bookmarkStart w:id="125" w:name="_Toc184314419"/>
      <w:bookmarkEnd w:id="125"/>
      <w:bookmarkStart w:id="126" w:name="_Toc184308045"/>
      <w:bookmarkEnd w:id="126"/>
      <w:bookmarkStart w:id="127" w:name="_Toc184308083"/>
      <w:bookmarkEnd w:id="127"/>
      <w:bookmarkStart w:id="128" w:name="_Toc184314410"/>
      <w:bookmarkEnd w:id="128"/>
      <w:bookmarkStart w:id="129" w:name="_Toc184308068"/>
      <w:bookmarkEnd w:id="129"/>
      <w:bookmarkStart w:id="130" w:name="_Toc184310329"/>
      <w:bookmarkEnd w:id="130"/>
      <w:bookmarkStart w:id="131" w:name="_Toc184308091"/>
      <w:bookmarkEnd w:id="131"/>
      <w:bookmarkStart w:id="132" w:name="_Toc184308104"/>
      <w:bookmarkEnd w:id="132"/>
      <w:bookmarkStart w:id="133" w:name="_Toc184313239"/>
      <w:bookmarkEnd w:id="133"/>
      <w:bookmarkStart w:id="134" w:name="_Toc184314472"/>
      <w:bookmarkEnd w:id="134"/>
      <w:bookmarkStart w:id="135" w:name="_Toc184313310"/>
      <w:bookmarkEnd w:id="135"/>
      <w:bookmarkStart w:id="136" w:name="_Toc184308099"/>
      <w:bookmarkEnd w:id="136"/>
      <w:bookmarkStart w:id="137" w:name="_Toc184308065"/>
      <w:bookmarkEnd w:id="137"/>
      <w:bookmarkStart w:id="138" w:name="_Toc184308052"/>
      <w:bookmarkEnd w:id="138"/>
      <w:bookmarkStart w:id="139" w:name="_Toc184310311"/>
      <w:bookmarkEnd w:id="139"/>
      <w:bookmarkStart w:id="140" w:name="_Toc184310285"/>
      <w:bookmarkEnd w:id="140"/>
      <w:bookmarkStart w:id="141" w:name="_Toc184310300"/>
      <w:bookmarkEnd w:id="141"/>
      <w:bookmarkStart w:id="142" w:name="_Toc184313253"/>
      <w:bookmarkEnd w:id="142"/>
      <w:bookmarkStart w:id="143" w:name="_Toc184308107"/>
      <w:bookmarkEnd w:id="143"/>
      <w:bookmarkStart w:id="144" w:name="_Toc184313289"/>
      <w:bookmarkEnd w:id="144"/>
      <w:bookmarkStart w:id="145" w:name="_Toc184308105"/>
      <w:bookmarkEnd w:id="145"/>
      <w:bookmarkStart w:id="146" w:name="_Toc184313270"/>
      <w:bookmarkEnd w:id="146"/>
      <w:bookmarkStart w:id="147" w:name="_Toc184313269"/>
      <w:bookmarkEnd w:id="147"/>
      <w:bookmarkStart w:id="148" w:name="_Toc184312120"/>
      <w:bookmarkEnd w:id="148"/>
      <w:bookmarkStart w:id="149" w:name="_Toc184314432"/>
      <w:bookmarkEnd w:id="149"/>
      <w:bookmarkStart w:id="150" w:name="_Toc184308076"/>
      <w:bookmarkEnd w:id="150"/>
      <w:bookmarkStart w:id="151" w:name="_Toc184314416"/>
      <w:bookmarkEnd w:id="151"/>
      <w:bookmarkStart w:id="152" w:name="_Toc184314455"/>
      <w:bookmarkEnd w:id="152"/>
      <w:bookmarkStart w:id="153" w:name="_Toc184312092"/>
      <w:bookmarkEnd w:id="153"/>
      <w:bookmarkStart w:id="154" w:name="_Toc184313254"/>
      <w:bookmarkEnd w:id="154"/>
      <w:bookmarkStart w:id="155" w:name="_Toc184313278"/>
      <w:bookmarkEnd w:id="155"/>
      <w:bookmarkStart w:id="156" w:name="_Toc184312083"/>
      <w:bookmarkEnd w:id="156"/>
      <w:bookmarkStart w:id="157" w:name="_Toc184312094"/>
      <w:bookmarkEnd w:id="157"/>
      <w:bookmarkStart w:id="158" w:name="_Toc184312123"/>
      <w:bookmarkEnd w:id="158"/>
      <w:bookmarkStart w:id="159" w:name="_Toc184310322"/>
      <w:bookmarkEnd w:id="159"/>
      <w:bookmarkStart w:id="160" w:name="_Toc184313290"/>
      <w:bookmarkEnd w:id="160"/>
      <w:bookmarkStart w:id="161" w:name="_Toc184314476"/>
      <w:bookmarkEnd w:id="161"/>
      <w:bookmarkStart w:id="162" w:name="_Toc184310333"/>
      <w:bookmarkEnd w:id="162"/>
      <w:bookmarkStart w:id="163" w:name="_Toc184308097"/>
      <w:bookmarkEnd w:id="163"/>
      <w:bookmarkStart w:id="164" w:name="_Toc184308066"/>
      <w:bookmarkEnd w:id="164"/>
      <w:bookmarkStart w:id="165" w:name="_Toc184308067"/>
      <w:bookmarkEnd w:id="165"/>
      <w:bookmarkStart w:id="166" w:name="_Toc184310317"/>
      <w:bookmarkEnd w:id="166"/>
      <w:bookmarkStart w:id="167" w:name="_Toc184314477"/>
      <w:bookmarkEnd w:id="167"/>
      <w:bookmarkStart w:id="168" w:name="_Toc184312127"/>
      <w:bookmarkEnd w:id="168"/>
      <w:bookmarkStart w:id="169" w:name="_Toc184310332"/>
      <w:bookmarkEnd w:id="169"/>
      <w:bookmarkStart w:id="170" w:name="_Toc184314412"/>
      <w:bookmarkEnd w:id="170"/>
      <w:bookmarkStart w:id="171" w:name="_Toc184312087"/>
      <w:bookmarkEnd w:id="171"/>
      <w:bookmarkStart w:id="172" w:name="_Toc184312080"/>
      <w:bookmarkEnd w:id="172"/>
      <w:bookmarkStart w:id="173" w:name="_Toc184308048"/>
      <w:bookmarkEnd w:id="173"/>
      <w:bookmarkStart w:id="174" w:name="_Toc184313248"/>
      <w:bookmarkEnd w:id="174"/>
      <w:bookmarkStart w:id="175" w:name="_Toc184312122"/>
      <w:bookmarkEnd w:id="175"/>
      <w:bookmarkStart w:id="176" w:name="_Toc184313273"/>
      <w:bookmarkEnd w:id="176"/>
      <w:bookmarkStart w:id="177" w:name="_Toc184310324"/>
      <w:bookmarkEnd w:id="177"/>
      <w:bookmarkStart w:id="178" w:name="_Toc184314480"/>
      <w:bookmarkEnd w:id="178"/>
      <w:bookmarkStart w:id="179" w:name="_Toc184310289"/>
      <w:bookmarkEnd w:id="179"/>
      <w:bookmarkStart w:id="180" w:name="_Toc184310318"/>
      <w:bookmarkEnd w:id="180"/>
      <w:bookmarkStart w:id="181" w:name="_Toc184312100"/>
      <w:bookmarkEnd w:id="181"/>
      <w:bookmarkStart w:id="182" w:name="_Toc184308088"/>
      <w:bookmarkEnd w:id="182"/>
      <w:bookmarkStart w:id="183" w:name="_Toc184312075"/>
      <w:bookmarkEnd w:id="183"/>
      <w:bookmarkStart w:id="184" w:name="_Toc184310308"/>
      <w:bookmarkEnd w:id="184"/>
      <w:bookmarkStart w:id="185" w:name="_Toc184310338"/>
      <w:bookmarkEnd w:id="185"/>
      <w:bookmarkStart w:id="186" w:name="_Toc184310278"/>
      <w:bookmarkEnd w:id="186"/>
      <w:bookmarkStart w:id="187" w:name="_Toc184313277"/>
      <w:bookmarkEnd w:id="187"/>
      <w:bookmarkStart w:id="188" w:name="_Toc184314425"/>
      <w:bookmarkEnd w:id="188"/>
      <w:bookmarkStart w:id="189" w:name="_Toc184312130"/>
      <w:bookmarkEnd w:id="189"/>
      <w:bookmarkStart w:id="190" w:name="_Toc184313274"/>
      <w:bookmarkEnd w:id="190"/>
      <w:bookmarkStart w:id="191" w:name="_Toc184308072"/>
      <w:bookmarkEnd w:id="191"/>
      <w:bookmarkStart w:id="192" w:name="_Toc184308075"/>
      <w:bookmarkEnd w:id="192"/>
      <w:bookmarkStart w:id="193" w:name="_Toc184314422"/>
      <w:bookmarkEnd w:id="193"/>
      <w:bookmarkStart w:id="194" w:name="_Toc184313245"/>
      <w:bookmarkEnd w:id="194"/>
      <w:bookmarkStart w:id="195" w:name="_Toc184308059"/>
      <w:bookmarkEnd w:id="195"/>
      <w:bookmarkStart w:id="196" w:name="_Toc184313302"/>
      <w:bookmarkEnd w:id="196"/>
      <w:bookmarkStart w:id="197" w:name="_Toc184308086"/>
      <w:bookmarkEnd w:id="197"/>
      <w:bookmarkStart w:id="198" w:name="_Toc184310316"/>
      <w:bookmarkEnd w:id="198"/>
      <w:bookmarkStart w:id="199" w:name="_Toc184314424"/>
      <w:bookmarkEnd w:id="199"/>
      <w:bookmarkStart w:id="200" w:name="_Toc184314473"/>
      <w:bookmarkEnd w:id="200"/>
      <w:bookmarkStart w:id="201" w:name="_Toc184310313"/>
      <w:bookmarkEnd w:id="201"/>
      <w:bookmarkStart w:id="202" w:name="_Toc184312107"/>
      <w:bookmarkEnd w:id="202"/>
      <w:bookmarkStart w:id="203" w:name="_Toc184310337"/>
      <w:bookmarkEnd w:id="203"/>
      <w:bookmarkStart w:id="204" w:name="_Toc184308040"/>
      <w:bookmarkEnd w:id="204"/>
      <w:bookmarkStart w:id="205" w:name="_Toc184310341"/>
      <w:bookmarkEnd w:id="205"/>
      <w:bookmarkStart w:id="206" w:name="_Toc184314482"/>
      <w:bookmarkEnd w:id="206"/>
      <w:bookmarkStart w:id="207" w:name="_Toc184314457"/>
      <w:bookmarkEnd w:id="207"/>
      <w:bookmarkStart w:id="208" w:name="_Toc184312093"/>
      <w:bookmarkEnd w:id="208"/>
      <w:bookmarkStart w:id="209" w:name="_Toc184314413"/>
      <w:bookmarkEnd w:id="209"/>
      <w:bookmarkStart w:id="210" w:name="_Toc184310297"/>
      <w:bookmarkEnd w:id="210"/>
      <w:bookmarkStart w:id="211" w:name="_Toc184313249"/>
      <w:bookmarkEnd w:id="211"/>
      <w:bookmarkStart w:id="212" w:name="_Toc184313284"/>
      <w:bookmarkEnd w:id="212"/>
      <w:bookmarkStart w:id="213" w:name="_Toc184313243"/>
      <w:bookmarkEnd w:id="213"/>
      <w:bookmarkStart w:id="214" w:name="_Toc184313276"/>
      <w:bookmarkEnd w:id="214"/>
      <w:bookmarkStart w:id="215" w:name="_Toc184314431"/>
      <w:bookmarkEnd w:id="215"/>
      <w:bookmarkStart w:id="216" w:name="_Toc184314449"/>
      <w:bookmarkEnd w:id="216"/>
      <w:bookmarkStart w:id="217" w:name="_Toc184310342"/>
      <w:bookmarkEnd w:id="217"/>
      <w:bookmarkStart w:id="218" w:name="_Toc184313309"/>
      <w:bookmarkEnd w:id="218"/>
      <w:bookmarkStart w:id="219" w:name="_Toc184310323"/>
      <w:bookmarkEnd w:id="219"/>
      <w:bookmarkStart w:id="220" w:name="_Toc184312134"/>
      <w:bookmarkEnd w:id="220"/>
      <w:bookmarkStart w:id="221" w:name="_Toc184313283"/>
      <w:bookmarkEnd w:id="221"/>
      <w:bookmarkStart w:id="222" w:name="_Toc184313251"/>
      <w:bookmarkEnd w:id="222"/>
      <w:bookmarkStart w:id="223" w:name="_Toc184313299"/>
      <w:bookmarkEnd w:id="223"/>
      <w:bookmarkStart w:id="224" w:name="_Toc184312105"/>
      <w:bookmarkEnd w:id="224"/>
      <w:bookmarkStart w:id="225" w:name="_Toc184314430"/>
      <w:bookmarkEnd w:id="225"/>
      <w:bookmarkStart w:id="226" w:name="_Toc184312125"/>
      <w:bookmarkEnd w:id="226"/>
      <w:bookmarkStart w:id="227" w:name="_Toc184310306"/>
      <w:bookmarkEnd w:id="227"/>
      <w:bookmarkStart w:id="228" w:name="_Toc184313300"/>
      <w:bookmarkEnd w:id="228"/>
      <w:bookmarkStart w:id="229" w:name="_Toc184310296"/>
      <w:bookmarkEnd w:id="229"/>
      <w:bookmarkStart w:id="230" w:name="_Toc184312121"/>
      <w:bookmarkEnd w:id="230"/>
      <w:bookmarkStart w:id="231" w:name="_Toc184313271"/>
      <w:bookmarkEnd w:id="231"/>
      <w:bookmarkStart w:id="232" w:name="_Toc184314437"/>
      <w:bookmarkEnd w:id="232"/>
      <w:bookmarkStart w:id="233" w:name="_Toc184308041"/>
      <w:bookmarkEnd w:id="233"/>
      <w:bookmarkStart w:id="234" w:name="_Toc184310272"/>
      <w:bookmarkEnd w:id="234"/>
      <w:bookmarkStart w:id="235" w:name="_Toc184313256"/>
      <w:bookmarkEnd w:id="235"/>
      <w:bookmarkStart w:id="236" w:name="_Toc184314461"/>
      <w:bookmarkEnd w:id="236"/>
      <w:bookmarkStart w:id="237" w:name="_Toc184308073"/>
      <w:bookmarkEnd w:id="237"/>
      <w:bookmarkStart w:id="238" w:name="_Toc184310292"/>
      <w:bookmarkEnd w:id="238"/>
      <w:bookmarkStart w:id="239" w:name="_Toc184314442"/>
      <w:bookmarkEnd w:id="239"/>
      <w:bookmarkStart w:id="240" w:name="_Toc184313295"/>
      <w:bookmarkEnd w:id="240"/>
      <w:bookmarkStart w:id="241" w:name="_Toc184314423"/>
      <w:bookmarkEnd w:id="241"/>
      <w:bookmarkStart w:id="242" w:name="_Toc184310340"/>
      <w:bookmarkEnd w:id="242"/>
      <w:bookmarkStart w:id="243" w:name="_Toc184308087"/>
      <w:bookmarkEnd w:id="243"/>
      <w:bookmarkStart w:id="244" w:name="_Toc184314417"/>
      <w:bookmarkEnd w:id="244"/>
      <w:bookmarkStart w:id="245" w:name="_Toc184308084"/>
      <w:bookmarkEnd w:id="245"/>
      <w:bookmarkStart w:id="246" w:name="_Toc184312110"/>
      <w:bookmarkEnd w:id="246"/>
      <w:bookmarkStart w:id="247" w:name="_Toc184313265"/>
      <w:bookmarkEnd w:id="247"/>
      <w:bookmarkStart w:id="248" w:name="_Toc184310312"/>
      <w:bookmarkEnd w:id="248"/>
      <w:bookmarkStart w:id="249" w:name="_Toc184312126"/>
      <w:bookmarkEnd w:id="249"/>
      <w:bookmarkStart w:id="250" w:name="_Toc184308038"/>
      <w:bookmarkEnd w:id="250"/>
      <w:bookmarkStart w:id="251" w:name="_Toc184308106"/>
      <w:bookmarkEnd w:id="251"/>
      <w:bookmarkStart w:id="252" w:name="_Toc184314421"/>
      <w:bookmarkEnd w:id="252"/>
      <w:bookmarkStart w:id="253" w:name="_Toc184314471"/>
      <w:bookmarkEnd w:id="253"/>
      <w:bookmarkStart w:id="254" w:name="_Toc184312135"/>
      <w:bookmarkEnd w:id="254"/>
      <w:bookmarkStart w:id="255" w:name="_Toc184308080"/>
      <w:bookmarkEnd w:id="255"/>
      <w:bookmarkStart w:id="256" w:name="_Toc184310291"/>
      <w:bookmarkEnd w:id="256"/>
      <w:bookmarkStart w:id="257" w:name="_Toc184314452"/>
      <w:bookmarkEnd w:id="257"/>
      <w:bookmarkStart w:id="258" w:name="_Toc184313285"/>
      <w:bookmarkEnd w:id="258"/>
      <w:bookmarkStart w:id="259" w:name="_Toc184310328"/>
      <w:bookmarkEnd w:id="259"/>
      <w:bookmarkStart w:id="260" w:name="_Toc184312086"/>
      <w:bookmarkEnd w:id="260"/>
      <w:bookmarkStart w:id="261" w:name="_Toc184313247"/>
      <w:bookmarkEnd w:id="261"/>
      <w:bookmarkStart w:id="262" w:name="_Toc184313260"/>
      <w:bookmarkEnd w:id="262"/>
      <w:bookmarkStart w:id="263" w:name="_Toc184310331"/>
      <w:bookmarkEnd w:id="263"/>
      <w:bookmarkStart w:id="264" w:name="_Toc184308056"/>
      <w:bookmarkEnd w:id="264"/>
      <w:bookmarkStart w:id="265" w:name="_Toc184313244"/>
      <w:bookmarkEnd w:id="265"/>
      <w:bookmarkStart w:id="266" w:name="_Toc184313281"/>
      <w:bookmarkEnd w:id="266"/>
      <w:bookmarkStart w:id="267" w:name="_Toc184313286"/>
      <w:bookmarkEnd w:id="267"/>
      <w:bookmarkStart w:id="268" w:name="_Toc184313298"/>
      <w:bookmarkEnd w:id="268"/>
      <w:bookmarkStart w:id="269" w:name="_Toc184314428"/>
      <w:bookmarkEnd w:id="269"/>
      <w:bookmarkStart w:id="270" w:name="_Toc184313261"/>
      <w:bookmarkEnd w:id="270"/>
      <w:bookmarkStart w:id="271" w:name="_Toc184310343"/>
      <w:bookmarkEnd w:id="271"/>
      <w:bookmarkStart w:id="272" w:name="_Toc184312108"/>
      <w:bookmarkEnd w:id="272"/>
      <w:bookmarkStart w:id="273" w:name="_Toc184310288"/>
      <w:bookmarkEnd w:id="273"/>
      <w:bookmarkStart w:id="274" w:name="_Toc184310282"/>
      <w:bookmarkEnd w:id="274"/>
      <w:bookmarkStart w:id="275" w:name="_Toc184313255"/>
      <w:bookmarkEnd w:id="275"/>
      <w:bookmarkStart w:id="276" w:name="_Toc184308098"/>
      <w:bookmarkEnd w:id="276"/>
      <w:bookmarkStart w:id="277" w:name="_Toc184308093"/>
      <w:bookmarkEnd w:id="277"/>
      <w:bookmarkStart w:id="278" w:name="_Toc184310287"/>
      <w:bookmarkEnd w:id="278"/>
      <w:bookmarkStart w:id="279" w:name="_Toc184310298"/>
      <w:bookmarkEnd w:id="279"/>
      <w:bookmarkStart w:id="280" w:name="_Toc184312088"/>
      <w:bookmarkEnd w:id="280"/>
      <w:bookmarkStart w:id="281" w:name="_Toc184310319"/>
      <w:bookmarkEnd w:id="281"/>
      <w:bookmarkStart w:id="282" w:name="_Toc184310336"/>
      <w:bookmarkEnd w:id="282"/>
      <w:bookmarkStart w:id="283" w:name="_Toc184313242"/>
      <w:bookmarkEnd w:id="283"/>
      <w:bookmarkStart w:id="284" w:name="_Toc184312097"/>
      <w:bookmarkEnd w:id="284"/>
      <w:bookmarkStart w:id="285" w:name="_Toc184313305"/>
      <w:bookmarkEnd w:id="285"/>
      <w:bookmarkStart w:id="286" w:name="_Toc184312090"/>
      <w:bookmarkEnd w:id="286"/>
      <w:bookmarkStart w:id="287" w:name="_Toc184310284"/>
      <w:bookmarkEnd w:id="287"/>
      <w:bookmarkStart w:id="288" w:name="_Toc184308046"/>
      <w:bookmarkEnd w:id="288"/>
      <w:bookmarkStart w:id="289" w:name="_Toc184312111"/>
      <w:bookmarkEnd w:id="289"/>
      <w:bookmarkStart w:id="290" w:name="_Toc184312089"/>
      <w:bookmarkEnd w:id="290"/>
      <w:bookmarkStart w:id="291" w:name="_Toc184312109"/>
      <w:bookmarkEnd w:id="291"/>
      <w:bookmarkStart w:id="292" w:name="_Toc184312074"/>
      <w:bookmarkEnd w:id="292"/>
      <w:bookmarkStart w:id="293" w:name="_Toc184312081"/>
      <w:bookmarkEnd w:id="293"/>
      <w:bookmarkStart w:id="294" w:name="_Toc184313288"/>
      <w:bookmarkEnd w:id="294"/>
      <w:bookmarkStart w:id="295" w:name="_Toc184314451"/>
      <w:bookmarkEnd w:id="295"/>
      <w:bookmarkStart w:id="296" w:name="_Toc184314433"/>
      <w:bookmarkEnd w:id="296"/>
      <w:bookmarkStart w:id="297" w:name="_Toc184310281"/>
      <w:bookmarkEnd w:id="297"/>
      <w:bookmarkStart w:id="298" w:name="_Toc184312128"/>
      <w:bookmarkEnd w:id="298"/>
      <w:bookmarkStart w:id="299" w:name="_Toc184314445"/>
      <w:bookmarkEnd w:id="299"/>
      <w:bookmarkStart w:id="300" w:name="_Toc184314460"/>
      <w:bookmarkEnd w:id="300"/>
      <w:bookmarkStart w:id="301" w:name="_Toc184313275"/>
      <w:bookmarkEnd w:id="301"/>
      <w:bookmarkStart w:id="302" w:name="_Toc184312129"/>
      <w:bookmarkEnd w:id="302"/>
      <w:bookmarkStart w:id="303" w:name="_Toc184310335"/>
      <w:bookmarkEnd w:id="303"/>
      <w:bookmarkStart w:id="304" w:name="_Toc184308094"/>
      <w:bookmarkEnd w:id="304"/>
      <w:bookmarkStart w:id="305" w:name="_Toc184308060"/>
      <w:bookmarkEnd w:id="305"/>
      <w:bookmarkStart w:id="306" w:name="_Toc184314443"/>
      <w:bookmarkEnd w:id="306"/>
      <w:bookmarkStart w:id="307" w:name="_Toc184314463"/>
      <w:bookmarkEnd w:id="307"/>
      <w:bookmarkStart w:id="308" w:name="_Toc184310321"/>
      <w:bookmarkEnd w:id="308"/>
      <w:bookmarkStart w:id="309" w:name="_Toc184312073"/>
      <w:bookmarkEnd w:id="309"/>
      <w:bookmarkStart w:id="310" w:name="_Toc184308092"/>
      <w:bookmarkEnd w:id="310"/>
      <w:bookmarkStart w:id="311" w:name="_Toc184308095"/>
      <w:bookmarkEnd w:id="311"/>
      <w:bookmarkStart w:id="312" w:name="_Toc184314475"/>
      <w:bookmarkEnd w:id="312"/>
      <w:bookmarkStart w:id="313" w:name="_Toc184310315"/>
      <w:bookmarkEnd w:id="313"/>
      <w:bookmarkStart w:id="314" w:name="_Toc184312084"/>
      <w:bookmarkEnd w:id="314"/>
      <w:bookmarkStart w:id="315" w:name="_Toc184314474"/>
      <w:bookmarkEnd w:id="315"/>
      <w:bookmarkStart w:id="316" w:name="_Toc184313267"/>
      <w:bookmarkEnd w:id="316"/>
      <w:bookmarkStart w:id="317" w:name="_Toc184308081"/>
      <w:bookmarkEnd w:id="317"/>
      <w:bookmarkStart w:id="318" w:name="_Toc184314458"/>
      <w:bookmarkEnd w:id="318"/>
      <w:bookmarkStart w:id="319" w:name="_Toc184308055"/>
      <w:bookmarkEnd w:id="319"/>
      <w:bookmarkStart w:id="320" w:name="_Toc184308078"/>
      <w:bookmarkEnd w:id="320"/>
      <w:bookmarkStart w:id="321" w:name="_Toc184312139"/>
      <w:bookmarkEnd w:id="321"/>
      <w:bookmarkStart w:id="322" w:name="_Toc184308063"/>
      <w:bookmarkEnd w:id="322"/>
      <w:bookmarkStart w:id="323" w:name="_Toc184310307"/>
      <w:bookmarkEnd w:id="323"/>
      <w:bookmarkStart w:id="324" w:name="_Toc184310326"/>
      <w:bookmarkEnd w:id="324"/>
      <w:bookmarkStart w:id="325" w:name="_Toc184313240"/>
      <w:bookmarkEnd w:id="325"/>
      <w:bookmarkStart w:id="326" w:name="_Toc184310309"/>
      <w:bookmarkEnd w:id="326"/>
      <w:bookmarkStart w:id="327" w:name="_Toc184308082"/>
      <w:bookmarkEnd w:id="327"/>
      <w:bookmarkStart w:id="328" w:name="_Toc184313246"/>
      <w:bookmarkEnd w:id="328"/>
      <w:bookmarkStart w:id="329" w:name="_Toc184312096"/>
      <w:bookmarkEnd w:id="329"/>
      <w:bookmarkStart w:id="330" w:name="_Toc184313241"/>
      <w:bookmarkEnd w:id="330"/>
      <w:bookmarkStart w:id="331" w:name="_Toc184308058"/>
      <w:bookmarkEnd w:id="331"/>
      <w:bookmarkStart w:id="332" w:name="_Toc184312098"/>
      <w:bookmarkEnd w:id="332"/>
      <w:bookmarkStart w:id="333" w:name="_Toc184314454"/>
      <w:bookmarkEnd w:id="333"/>
      <w:bookmarkStart w:id="334" w:name="_Toc184313308"/>
      <w:bookmarkEnd w:id="334"/>
      <w:bookmarkStart w:id="335" w:name="_Toc184314468"/>
      <w:bookmarkEnd w:id="335"/>
      <w:bookmarkStart w:id="336" w:name="_Toc184314447"/>
      <w:bookmarkEnd w:id="336"/>
      <w:bookmarkStart w:id="337" w:name="_Toc184314466"/>
      <w:bookmarkEnd w:id="337"/>
      <w:bookmarkStart w:id="338" w:name="_Toc184308074"/>
      <w:bookmarkEnd w:id="338"/>
      <w:bookmarkStart w:id="339" w:name="_Toc184310273"/>
      <w:bookmarkEnd w:id="339"/>
      <w:bookmarkStart w:id="340" w:name="_Toc184310339"/>
      <w:bookmarkEnd w:id="340"/>
      <w:bookmarkStart w:id="341" w:name="_Toc184312112"/>
      <w:bookmarkEnd w:id="341"/>
      <w:bookmarkStart w:id="342" w:name="_Toc184308047"/>
      <w:bookmarkEnd w:id="342"/>
      <w:bookmarkStart w:id="343" w:name="_Toc184313297"/>
      <w:bookmarkEnd w:id="343"/>
      <w:bookmarkStart w:id="344" w:name="_Toc184310277"/>
      <w:bookmarkEnd w:id="344"/>
      <w:bookmarkStart w:id="345" w:name="_Toc184313272"/>
      <w:bookmarkEnd w:id="345"/>
      <w:bookmarkStart w:id="346" w:name="_Toc184314453"/>
      <w:bookmarkEnd w:id="346"/>
      <w:bookmarkStart w:id="347" w:name="_Toc184312133"/>
      <w:bookmarkEnd w:id="347"/>
      <w:bookmarkStart w:id="348" w:name="_Toc184313280"/>
      <w:bookmarkEnd w:id="348"/>
      <w:bookmarkStart w:id="349" w:name="_Toc184314462"/>
      <w:bookmarkEnd w:id="349"/>
      <w:bookmarkStart w:id="350" w:name="_Toc184313250"/>
      <w:bookmarkEnd w:id="350"/>
      <w:bookmarkStart w:id="351" w:name="_Toc184310334"/>
      <w:bookmarkEnd w:id="351"/>
      <w:bookmarkStart w:id="352" w:name="_Toc184314418"/>
      <w:bookmarkEnd w:id="352"/>
      <w:bookmarkStart w:id="353" w:name="_Toc184308049"/>
      <w:bookmarkEnd w:id="353"/>
      <w:bookmarkStart w:id="354" w:name="_Toc184312069"/>
      <w:bookmarkEnd w:id="354"/>
      <w:bookmarkStart w:id="355" w:name="_Toc184308079"/>
      <w:bookmarkEnd w:id="355"/>
      <w:bookmarkStart w:id="356" w:name="_Toc184308085"/>
      <w:bookmarkEnd w:id="356"/>
      <w:bookmarkStart w:id="357" w:name="_Toc184312082"/>
      <w:bookmarkEnd w:id="357"/>
      <w:bookmarkStart w:id="358" w:name="_Toc184312099"/>
      <w:bookmarkEnd w:id="358"/>
      <w:bookmarkStart w:id="359" w:name="_Toc184310283"/>
      <w:bookmarkEnd w:id="359"/>
      <w:bookmarkStart w:id="360" w:name="_Toc184313268"/>
      <w:bookmarkEnd w:id="360"/>
      <w:bookmarkStart w:id="361" w:name="_Toc184314441"/>
      <w:bookmarkEnd w:id="361"/>
      <w:bookmarkStart w:id="362" w:name="_Toc184313303"/>
      <w:bookmarkEnd w:id="362"/>
      <w:bookmarkStart w:id="363" w:name="_Toc184312102"/>
      <w:bookmarkEnd w:id="363"/>
      <w:bookmarkStart w:id="364" w:name="_Toc184312118"/>
      <w:bookmarkEnd w:id="364"/>
      <w:bookmarkStart w:id="365" w:name="_Toc184314414"/>
      <w:bookmarkEnd w:id="365"/>
      <w:bookmarkStart w:id="366" w:name="_Toc184308054"/>
      <w:bookmarkEnd w:id="366"/>
      <w:bookmarkStart w:id="367" w:name="_Toc184313279"/>
      <w:bookmarkEnd w:id="367"/>
      <w:bookmarkStart w:id="368" w:name="_Toc184308043"/>
      <w:bookmarkEnd w:id="368"/>
      <w:bookmarkStart w:id="369" w:name="_Toc184312136"/>
      <w:bookmarkEnd w:id="369"/>
      <w:bookmarkStart w:id="370" w:name="_Toc184314436"/>
      <w:bookmarkEnd w:id="370"/>
      <w:bookmarkStart w:id="371" w:name="_Toc184314427"/>
      <w:bookmarkEnd w:id="371"/>
      <w:bookmarkStart w:id="372" w:name="_Toc184312106"/>
      <w:bookmarkEnd w:id="372"/>
      <w:bookmarkStart w:id="373" w:name="_Toc184313292"/>
      <w:bookmarkEnd w:id="373"/>
      <w:bookmarkStart w:id="374" w:name="_Toc184314470"/>
      <w:bookmarkEnd w:id="374"/>
      <w:bookmarkStart w:id="375" w:name="_Toc184313263"/>
      <w:bookmarkEnd w:id="375"/>
      <w:bookmarkStart w:id="376" w:name="_Toc184313258"/>
      <w:bookmarkEnd w:id="376"/>
      <w:bookmarkStart w:id="377" w:name="_Toc184314448"/>
      <w:bookmarkEnd w:id="377"/>
      <w:bookmarkStart w:id="378" w:name="_Toc184314459"/>
      <w:bookmarkEnd w:id="378"/>
      <w:bookmarkStart w:id="379" w:name="_Toc184312101"/>
      <w:bookmarkEnd w:id="379"/>
      <w:bookmarkStart w:id="380" w:name="_Toc184308101"/>
      <w:bookmarkEnd w:id="380"/>
      <w:bookmarkStart w:id="381" w:name="_Toc184312070"/>
      <w:bookmarkEnd w:id="381"/>
      <w:bookmarkStart w:id="382" w:name="_Toc184308064"/>
      <w:bookmarkEnd w:id="382"/>
      <w:bookmarkStart w:id="383" w:name="_Toc184314464"/>
      <w:bookmarkEnd w:id="383"/>
      <w:bookmarkStart w:id="384" w:name="_Toc184312078"/>
      <w:bookmarkEnd w:id="384"/>
      <w:bookmarkStart w:id="385" w:name="_Toc184313291"/>
      <w:bookmarkEnd w:id="385"/>
      <w:bookmarkStart w:id="386" w:name="_Toc184314478"/>
      <w:bookmarkEnd w:id="386"/>
      <w:bookmarkStart w:id="387" w:name="_Toc184308096"/>
      <w:bookmarkEnd w:id="387"/>
      <w:bookmarkStart w:id="388" w:name="_Toc184312131"/>
      <w:bookmarkEnd w:id="388"/>
      <w:bookmarkStart w:id="389" w:name="_Toc184312138"/>
      <w:bookmarkEnd w:id="389"/>
      <w:bookmarkStart w:id="390" w:name="_Toc184314465"/>
      <w:bookmarkEnd w:id="390"/>
      <w:bookmarkStart w:id="391" w:name="_Toc184310276"/>
      <w:bookmarkEnd w:id="391"/>
      <w:bookmarkStart w:id="392" w:name="_Toc184310344"/>
      <w:bookmarkEnd w:id="392"/>
      <w:bookmarkStart w:id="393" w:name="_Toc184308077"/>
      <w:bookmarkEnd w:id="393"/>
      <w:bookmarkStart w:id="394" w:name="_Toc184308061"/>
      <w:bookmarkEnd w:id="394"/>
      <w:bookmarkStart w:id="395" w:name="_Toc184310275"/>
      <w:bookmarkEnd w:id="395"/>
      <w:bookmarkStart w:id="396" w:name="_Toc184312067"/>
      <w:bookmarkEnd w:id="396"/>
      <w:bookmarkStart w:id="397" w:name="_Toc184310290"/>
      <w:bookmarkEnd w:id="397"/>
      <w:bookmarkStart w:id="398" w:name="_Toc184310303"/>
      <w:bookmarkEnd w:id="398"/>
      <w:bookmarkStart w:id="399" w:name="_Toc184313259"/>
      <w:bookmarkEnd w:id="399"/>
      <w:bookmarkStart w:id="400" w:name="_Toc184314440"/>
      <w:bookmarkEnd w:id="400"/>
      <w:bookmarkStart w:id="401" w:name="_Toc184308036"/>
      <w:bookmarkEnd w:id="401"/>
      <w:bookmarkStart w:id="402" w:name="_Toc184310295"/>
      <w:bookmarkEnd w:id="402"/>
      <w:bookmarkStart w:id="403" w:name="_Toc184313262"/>
      <w:bookmarkEnd w:id="403"/>
      <w:bookmarkStart w:id="404" w:name="_Toc184312117"/>
      <w:bookmarkEnd w:id="404"/>
      <w:bookmarkStart w:id="405" w:name="_Toc184310286"/>
      <w:bookmarkEnd w:id="405"/>
      <w:bookmarkStart w:id="406" w:name="_Toc184313294"/>
      <w:bookmarkEnd w:id="406"/>
      <w:r>
        <w:rPr>
          <w:rFonts w:hint="eastAsia" w:ascii="仿宋" w:hAnsi="仿宋" w:eastAsia="仿宋" w:cs="仿宋"/>
          <w:b/>
          <w:sz w:val="36"/>
          <w:szCs w:val="36"/>
        </w:rPr>
        <w:t>评标办法</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1、评标办法前附表</w:t>
      </w:r>
    </w:p>
    <w:p>
      <w:pPr>
        <w:pStyle w:val="93"/>
        <w:spacing w:before="0"/>
        <w:ind w:firstLine="602" w:firstLineChars="250"/>
        <w:rPr>
          <w:rFonts w:ascii="仿宋" w:hAnsi="仿宋" w:eastAsia="仿宋" w:cs="仿宋"/>
          <w:color w:val="000000"/>
          <w:szCs w:val="24"/>
        </w:rPr>
      </w:pPr>
      <w:r>
        <w:rPr>
          <w:rFonts w:hint="eastAsia" w:ascii="仿宋" w:hAnsi="仿宋" w:eastAsia="仿宋" w:cs="仿宋"/>
          <w:b/>
          <w:color w:val="000000"/>
          <w:szCs w:val="24"/>
        </w:rPr>
        <w:t>本次评标采用综合评分法，总分为100分。</w:t>
      </w:r>
      <w:r>
        <w:rPr>
          <w:rFonts w:hint="eastAsia" w:ascii="仿宋" w:hAnsi="仿宋" w:eastAsia="仿宋"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6"/>
        <w:spacing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各投标人的综合得分为：投标价格得分+技术商务得分</w:t>
      </w:r>
    </w:p>
    <w:p>
      <w:pPr>
        <w:spacing w:line="360" w:lineRule="auto"/>
        <w:ind w:firstLine="480" w:firstLineChars="200"/>
        <w:rPr>
          <w:rFonts w:ascii="仿宋" w:hAnsi="仿宋" w:eastAsia="仿宋" w:cs="仿宋"/>
          <w:sz w:val="24"/>
        </w:rPr>
      </w:pPr>
      <w:r>
        <w:rPr>
          <w:rFonts w:hint="eastAsia" w:ascii="仿宋" w:hAnsi="仿宋" w:eastAsia="仿宋" w:cs="仿宋"/>
          <w:bCs/>
          <w:color w:val="000000"/>
          <w:sz w:val="24"/>
        </w:rPr>
        <w:t>2、评分细则：</w:t>
      </w:r>
    </w:p>
    <w:tbl>
      <w:tblPr>
        <w:tblStyle w:val="62"/>
        <w:tblpPr w:leftFromText="180" w:rightFromText="180" w:vertAnchor="text" w:horzAnchor="page" w:tblpXSpec="center" w:tblpY="598"/>
        <w:tblOverlap w:val="never"/>
        <w:tblW w:w="9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08"/>
        <w:gridCol w:w="5735"/>
        <w:gridCol w:w="666"/>
        <w:gridCol w:w="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08"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sz w:val="24"/>
                <w:szCs w:val="24"/>
              </w:rPr>
              <w:t>评分项目</w:t>
            </w:r>
          </w:p>
        </w:tc>
        <w:tc>
          <w:tcPr>
            <w:tcW w:w="5735" w:type="dxa"/>
            <w:vAlign w:val="center"/>
          </w:tcPr>
          <w:p>
            <w:pPr>
              <w:pStyle w:val="474"/>
              <w:widowControl w:val="0"/>
              <w:spacing w:line="360" w:lineRule="auto"/>
              <w:jc w:val="center"/>
              <w:rPr>
                <w:rFonts w:ascii="仿宋" w:hAnsi="仿宋" w:eastAsia="仿宋" w:cs="仿宋"/>
                <w:b/>
                <w:bCs/>
                <w:kern w:val="2"/>
                <w:sz w:val="24"/>
                <w:szCs w:val="24"/>
              </w:rPr>
            </w:pPr>
            <w:r>
              <w:rPr>
                <w:rFonts w:hint="eastAsia" w:ascii="仿宋" w:hAnsi="仿宋" w:eastAsia="仿宋" w:cs="仿宋"/>
                <w:b/>
                <w:bCs/>
                <w:sz w:val="24"/>
                <w:szCs w:val="24"/>
              </w:rPr>
              <w:t>评标标准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权重</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1508"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投标人业绩</w:t>
            </w:r>
          </w:p>
          <w:p>
            <w:pPr>
              <w:pStyle w:val="474"/>
              <w:widowControl w:val="0"/>
              <w:spacing w:line="312" w:lineRule="auto"/>
              <w:jc w:val="center"/>
              <w:rPr>
                <w:rFonts w:ascii="仿宋" w:hAnsi="仿宋" w:eastAsia="仿宋" w:cs="仿宋"/>
                <w:kern w:val="2"/>
                <w:sz w:val="24"/>
                <w:szCs w:val="24"/>
              </w:rPr>
            </w:pPr>
          </w:p>
        </w:tc>
        <w:tc>
          <w:tcPr>
            <w:tcW w:w="5735" w:type="dxa"/>
            <w:vAlign w:val="center"/>
          </w:tcPr>
          <w:p>
            <w:pPr>
              <w:spacing w:line="360" w:lineRule="auto"/>
              <w:jc w:val="left"/>
              <w:rPr>
                <w:rFonts w:ascii="仿宋" w:hAnsi="仿宋" w:eastAsia="仿宋" w:cs="仿宋"/>
                <w:sz w:val="24"/>
              </w:rPr>
            </w:pPr>
            <w:r>
              <w:rPr>
                <w:rFonts w:hint="eastAsia" w:ascii="仿宋" w:hAnsi="仿宋" w:eastAsia="仿宋" w:cs="仿宋"/>
                <w:sz w:val="24"/>
              </w:rPr>
              <w:t>投标人自2017年1月1日起至今（以合同签署时间为准）承接过类似项目业绩，每提供一个得0.5分，最高得1分。</w:t>
            </w:r>
          </w:p>
          <w:p>
            <w:pPr>
              <w:pStyle w:val="474"/>
              <w:widowControl w:val="0"/>
              <w:spacing w:line="360" w:lineRule="auto"/>
              <w:jc w:val="left"/>
              <w:rPr>
                <w:rFonts w:ascii="仿宋" w:hAnsi="仿宋" w:eastAsia="仿宋" w:cs="仿宋"/>
                <w:kern w:val="2"/>
                <w:sz w:val="24"/>
                <w:szCs w:val="24"/>
              </w:rPr>
            </w:pPr>
            <w:r>
              <w:rPr>
                <w:rFonts w:hint="eastAsia" w:ascii="仿宋" w:hAnsi="仿宋" w:eastAsia="仿宋" w:cs="仿宋"/>
                <w:b/>
                <w:bCs/>
                <w:kern w:val="2"/>
                <w:sz w:val="24"/>
                <w:szCs w:val="24"/>
              </w:rPr>
              <w:t>（注：投标文件中需提供合同复印件并加盖投标单位公章）</w:t>
            </w:r>
          </w:p>
        </w:tc>
        <w:tc>
          <w:tcPr>
            <w:tcW w:w="666"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1</w:t>
            </w:r>
          </w:p>
        </w:tc>
        <w:tc>
          <w:tcPr>
            <w:tcW w:w="762"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客观分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1508"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管理体系</w:t>
            </w:r>
          </w:p>
          <w:p>
            <w:pPr>
              <w:pStyle w:val="474"/>
              <w:widowControl w:val="0"/>
              <w:spacing w:line="312" w:lineRule="auto"/>
              <w:jc w:val="center"/>
              <w:rPr>
                <w:rFonts w:ascii="仿宋" w:hAnsi="仿宋" w:eastAsia="仿宋" w:cs="仿宋"/>
                <w:kern w:val="2"/>
                <w:sz w:val="24"/>
                <w:szCs w:val="24"/>
              </w:rPr>
            </w:pPr>
          </w:p>
        </w:tc>
        <w:tc>
          <w:tcPr>
            <w:tcW w:w="5735" w:type="dxa"/>
            <w:vAlign w:val="center"/>
          </w:tcPr>
          <w:p>
            <w:pPr>
              <w:pStyle w:val="474"/>
              <w:widowControl w:val="0"/>
              <w:spacing w:line="360" w:lineRule="auto"/>
              <w:jc w:val="left"/>
              <w:rPr>
                <w:rFonts w:ascii="仿宋" w:hAnsi="仿宋" w:eastAsia="仿宋" w:cs="仿宋"/>
                <w:kern w:val="2"/>
                <w:sz w:val="24"/>
                <w:szCs w:val="24"/>
              </w:rPr>
            </w:pPr>
            <w:r>
              <w:rPr>
                <w:rFonts w:hint="eastAsia" w:ascii="仿宋" w:hAnsi="仿宋" w:eastAsia="仿宋" w:cs="仿宋"/>
                <w:kern w:val="2"/>
                <w:sz w:val="24"/>
                <w:szCs w:val="24"/>
              </w:rPr>
              <w:t>投标人具有质量管理体系认证、环境管理体系认证、职业健康安全管理体系认证且在有效期内的，每一项得2分，最高得6分。（</w:t>
            </w:r>
            <w:r>
              <w:rPr>
                <w:rFonts w:hint="eastAsia" w:ascii="仿宋" w:hAnsi="仿宋" w:eastAsia="仿宋" w:cs="仿宋"/>
                <w:b/>
                <w:bCs/>
                <w:kern w:val="2"/>
                <w:sz w:val="24"/>
                <w:szCs w:val="24"/>
              </w:rPr>
              <w:t>提供相关证书复印件加盖公章，否则不得分）</w:t>
            </w:r>
          </w:p>
        </w:tc>
        <w:tc>
          <w:tcPr>
            <w:tcW w:w="666"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6</w:t>
            </w:r>
          </w:p>
        </w:tc>
        <w:tc>
          <w:tcPr>
            <w:tcW w:w="762"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客观分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3</w:t>
            </w:r>
          </w:p>
        </w:tc>
        <w:tc>
          <w:tcPr>
            <w:tcW w:w="1508"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奖项情况</w:t>
            </w:r>
          </w:p>
          <w:p>
            <w:pPr>
              <w:pStyle w:val="474"/>
              <w:widowControl w:val="0"/>
              <w:spacing w:line="312" w:lineRule="auto"/>
              <w:jc w:val="center"/>
              <w:rPr>
                <w:rFonts w:ascii="仿宋" w:hAnsi="仿宋" w:eastAsia="仿宋" w:cs="仿宋"/>
                <w:kern w:val="2"/>
                <w:sz w:val="24"/>
                <w:szCs w:val="24"/>
              </w:rPr>
            </w:pPr>
          </w:p>
        </w:tc>
        <w:tc>
          <w:tcPr>
            <w:tcW w:w="5735" w:type="dxa"/>
            <w:vAlign w:val="center"/>
          </w:tcPr>
          <w:p>
            <w:pPr>
              <w:pStyle w:val="474"/>
              <w:widowControl w:val="0"/>
              <w:spacing w:line="360" w:lineRule="auto"/>
              <w:rPr>
                <w:rFonts w:ascii="仿宋" w:hAnsi="仿宋" w:eastAsia="仿宋" w:cs="仿宋"/>
                <w:kern w:val="2"/>
                <w:sz w:val="24"/>
                <w:szCs w:val="24"/>
              </w:rPr>
            </w:pPr>
            <w:r>
              <w:rPr>
                <w:rFonts w:hint="eastAsia" w:ascii="仿宋" w:hAnsi="仿宋" w:eastAsia="仿宋" w:cs="仿宋"/>
                <w:kern w:val="2"/>
                <w:sz w:val="24"/>
                <w:szCs w:val="24"/>
              </w:rPr>
              <w:t>投标人自2017年1月1日起至今参与的规划编制类项目获得省级及以上奖项的有一个得2分，承担过的规划编制类项目获得市级奖项的有一个得1分；就高计取，本项最高得4分。（</w:t>
            </w:r>
            <w:r>
              <w:rPr>
                <w:rFonts w:hint="eastAsia" w:ascii="仿宋" w:hAnsi="仿宋" w:eastAsia="仿宋" w:cs="仿宋"/>
                <w:b/>
                <w:bCs/>
                <w:kern w:val="2"/>
                <w:sz w:val="24"/>
                <w:szCs w:val="24"/>
              </w:rPr>
              <w:t>提供项目获奖文件或获奖证书的复印件加盖公章，否则不得分）</w:t>
            </w:r>
          </w:p>
        </w:tc>
        <w:tc>
          <w:tcPr>
            <w:tcW w:w="666"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4</w:t>
            </w:r>
          </w:p>
        </w:tc>
        <w:tc>
          <w:tcPr>
            <w:tcW w:w="762"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客观分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1508" w:type="dxa"/>
            <w:vAlign w:val="center"/>
          </w:tcPr>
          <w:p>
            <w:pPr>
              <w:spacing w:line="460" w:lineRule="exact"/>
              <w:jc w:val="center"/>
              <w:outlineLvl w:val="0"/>
              <w:rPr>
                <w:rFonts w:ascii="仿宋" w:hAnsi="仿宋" w:eastAsia="仿宋" w:cs="仿宋"/>
                <w:sz w:val="24"/>
              </w:rPr>
            </w:pPr>
            <w:r>
              <w:rPr>
                <w:rFonts w:hint="eastAsia" w:ascii="仿宋" w:hAnsi="仿宋" w:eastAsia="仿宋" w:cs="仿宋"/>
                <w:sz w:val="24"/>
              </w:rPr>
              <w:t>项目组成员</w:t>
            </w:r>
          </w:p>
          <w:p>
            <w:pPr>
              <w:pStyle w:val="474"/>
              <w:widowControl w:val="0"/>
              <w:spacing w:line="312" w:lineRule="auto"/>
              <w:jc w:val="center"/>
              <w:rPr>
                <w:rFonts w:ascii="仿宋" w:hAnsi="仿宋" w:eastAsia="仿宋" w:cs="仿宋"/>
                <w:kern w:val="2"/>
                <w:sz w:val="24"/>
                <w:szCs w:val="24"/>
              </w:rPr>
            </w:pPr>
          </w:p>
        </w:tc>
        <w:tc>
          <w:tcPr>
            <w:tcW w:w="5735" w:type="dxa"/>
            <w:vAlign w:val="center"/>
          </w:tcPr>
          <w:p>
            <w:pPr>
              <w:spacing w:line="360" w:lineRule="auto"/>
              <w:jc w:val="left"/>
              <w:rPr>
                <w:rFonts w:ascii="仿宋" w:hAnsi="仿宋" w:eastAsia="仿宋" w:cs="仿宋"/>
                <w:b/>
                <w:bCs/>
                <w:sz w:val="24"/>
              </w:rPr>
            </w:pPr>
            <w:r>
              <w:rPr>
                <w:rFonts w:hint="eastAsia" w:ascii="仿宋" w:hAnsi="仿宋" w:eastAsia="仿宋" w:cs="仿宋"/>
                <w:sz w:val="24"/>
              </w:rPr>
              <w:t>（1）项目负责人具备城乡规划专业高级及以上职称的，得3分；同时还具备国家注册城市规划师的，加2分，其余情况不得分。本项最高得5分。</w:t>
            </w:r>
            <w:r>
              <w:rPr>
                <w:rFonts w:hint="eastAsia" w:ascii="仿宋" w:hAnsi="仿宋" w:eastAsia="仿宋" w:cs="仿宋"/>
                <w:b/>
                <w:bCs/>
                <w:sz w:val="24"/>
              </w:rPr>
              <w:t>（提供职称证、注册证书的复印件加盖公章，否则不得分）</w:t>
            </w:r>
          </w:p>
          <w:p>
            <w:pPr>
              <w:spacing w:line="360" w:lineRule="auto"/>
              <w:jc w:val="left"/>
              <w:rPr>
                <w:rFonts w:ascii="仿宋" w:hAnsi="仿宋" w:eastAsia="仿宋" w:cs="仿宋"/>
                <w:sz w:val="24"/>
              </w:rPr>
            </w:pPr>
            <w:r>
              <w:rPr>
                <w:rFonts w:hint="eastAsia" w:ascii="仿宋" w:hAnsi="仿宋" w:eastAsia="仿宋" w:cs="仿宋"/>
                <w:sz w:val="24"/>
              </w:rPr>
              <w:t>（2）设计项目组人员配备结构合理，项目组成员不少于5人的得4分，少于5人的不得分。</w:t>
            </w:r>
          </w:p>
          <w:p>
            <w:pPr>
              <w:pStyle w:val="474"/>
              <w:widowControl w:val="0"/>
              <w:spacing w:line="360" w:lineRule="auto"/>
              <w:jc w:val="left"/>
              <w:rPr>
                <w:rFonts w:ascii="仿宋" w:hAnsi="仿宋" w:eastAsia="仿宋" w:cs="仿宋"/>
                <w:kern w:val="2"/>
                <w:sz w:val="24"/>
                <w:szCs w:val="24"/>
              </w:rPr>
            </w:pPr>
            <w:r>
              <w:rPr>
                <w:rFonts w:hint="eastAsia" w:ascii="仿宋" w:hAnsi="仿宋" w:eastAsia="仿宋" w:cs="仿宋"/>
                <w:sz w:val="24"/>
                <w:szCs w:val="24"/>
              </w:rPr>
              <w:t>（3）设计项目组人员除项目负责人外，还具有规划、建筑、市政和景观专业中级工程师及以上职称证书的，有1个得2分，各专业领域最多计1人，同一人员只计取一次，最多得8分。</w:t>
            </w:r>
            <w:r>
              <w:rPr>
                <w:rFonts w:hint="eastAsia" w:ascii="仿宋" w:hAnsi="仿宋" w:eastAsia="仿宋" w:cs="仿宋"/>
                <w:b/>
                <w:bCs/>
                <w:sz w:val="24"/>
                <w:szCs w:val="24"/>
              </w:rPr>
              <w:t>（提供相关证书复印件加盖公章，否则不得分）</w:t>
            </w:r>
          </w:p>
        </w:tc>
        <w:tc>
          <w:tcPr>
            <w:tcW w:w="666"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17</w:t>
            </w:r>
          </w:p>
        </w:tc>
        <w:tc>
          <w:tcPr>
            <w:tcW w:w="762" w:type="dxa"/>
            <w:vAlign w:val="center"/>
          </w:tcPr>
          <w:p>
            <w:pPr>
              <w:pStyle w:val="474"/>
              <w:widowControl w:val="0"/>
              <w:spacing w:line="312"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客观分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5</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rPr>
              <w:t>项目理解分析</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根据投标人对本单元发展背景认知程度的完整性、准确性、科学性等进行打分。（0-4分）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（1）分析完整、准确、科学的，视为满足，得4分；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（2）分析有欠缺，但基本完整、准确、科学的，视为部分满足，得2分；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（3）提出分析，但不全面或者不合理的，视为不满足，得0分。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4</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rPr>
              <w:t>现状调研分析</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根据投标人对本项目对项目现状调研是否充分、现状表现是否丰富、对存在的问题分析是否到位、对相关规划解读是否到位等进行打分（0-8分）</w:t>
            </w:r>
          </w:p>
          <w:p>
            <w:pPr>
              <w:numPr>
                <w:ilvl w:val="0"/>
                <w:numId w:val="5"/>
              </w:numPr>
              <w:spacing w:line="276" w:lineRule="auto"/>
              <w:jc w:val="left"/>
              <w:rPr>
                <w:rFonts w:ascii="仿宋" w:hAnsi="仿宋" w:eastAsia="仿宋" w:cs="仿宋"/>
                <w:color w:val="000000"/>
                <w:sz w:val="24"/>
              </w:rPr>
            </w:pPr>
            <w:r>
              <w:rPr>
                <w:rFonts w:hint="eastAsia" w:ascii="仿宋" w:hAnsi="仿宋" w:eastAsia="仿宋" w:cs="仿宋"/>
                <w:color w:val="000000"/>
                <w:sz w:val="24"/>
              </w:rPr>
              <w:t>调研充分的得2分，一般的得1分，不充分的得0分；</w:t>
            </w:r>
          </w:p>
          <w:p>
            <w:pPr>
              <w:numPr>
                <w:ilvl w:val="0"/>
                <w:numId w:val="5"/>
              </w:numPr>
              <w:spacing w:line="276" w:lineRule="auto"/>
              <w:jc w:val="left"/>
              <w:rPr>
                <w:rFonts w:ascii="仿宋" w:hAnsi="仿宋" w:eastAsia="仿宋" w:cs="仿宋"/>
                <w:color w:val="000000"/>
                <w:sz w:val="24"/>
              </w:rPr>
            </w:pPr>
            <w:r>
              <w:rPr>
                <w:rFonts w:hint="eastAsia" w:ascii="仿宋" w:hAnsi="仿宋" w:eastAsia="仿宋" w:cs="仿宋"/>
                <w:color w:val="000000"/>
                <w:sz w:val="24"/>
              </w:rPr>
              <w:t>现状表现丰富的得2分，一般的得1分，不丰富的得0分；</w:t>
            </w:r>
          </w:p>
          <w:p>
            <w:pPr>
              <w:numPr>
                <w:ilvl w:val="0"/>
                <w:numId w:val="5"/>
              </w:numPr>
              <w:spacing w:line="276" w:lineRule="auto"/>
              <w:jc w:val="left"/>
              <w:rPr>
                <w:rFonts w:ascii="仿宋" w:hAnsi="仿宋" w:eastAsia="仿宋" w:cs="仿宋"/>
                <w:sz w:val="24"/>
              </w:rPr>
            </w:pPr>
            <w:r>
              <w:rPr>
                <w:rFonts w:hint="eastAsia" w:ascii="仿宋" w:hAnsi="仿宋" w:eastAsia="仿宋" w:cs="仿宋"/>
                <w:color w:val="000000"/>
                <w:sz w:val="24"/>
              </w:rPr>
              <w:t>对存在的问题分析到位的得2分，一般的得1分，不到位的得0分；</w:t>
            </w:r>
          </w:p>
          <w:p>
            <w:pPr>
              <w:numPr>
                <w:ilvl w:val="0"/>
                <w:numId w:val="5"/>
              </w:numPr>
              <w:spacing w:line="276" w:lineRule="auto"/>
              <w:jc w:val="left"/>
              <w:rPr>
                <w:rFonts w:ascii="仿宋" w:hAnsi="仿宋" w:eastAsia="仿宋" w:cs="仿宋"/>
                <w:sz w:val="24"/>
              </w:rPr>
            </w:pPr>
            <w:r>
              <w:rPr>
                <w:rFonts w:hint="eastAsia" w:ascii="仿宋" w:hAnsi="仿宋" w:eastAsia="仿宋" w:cs="仿宋"/>
                <w:color w:val="000000"/>
                <w:sz w:val="24"/>
              </w:rPr>
              <w:t>对相关规划解读到位的得2分，一般的得1分，不到位的得0分；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8</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7</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rPr>
              <w:t>规划思路、理念等分析</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根据投标人对本项目基本思路、规划理念、规划原则、发展目标定位等方案进行打分（0-5分）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（1）上述方案阐述完整、合理的，视为满足采购要求，得5分；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（2）上述方案阐述存在缺陷，但基本完整、合理的，视为部分满足采购要求，得2.5分；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5</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8</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lang w:val="zh-TW"/>
              </w:rPr>
              <w:t>空间</w:t>
            </w:r>
            <w:r>
              <w:rPr>
                <w:rFonts w:hint="eastAsia" w:ascii="仿宋" w:hAnsi="仿宋" w:eastAsia="仿宋" w:cs="仿宋"/>
                <w:sz w:val="24"/>
                <w:szCs w:val="24"/>
              </w:rPr>
              <w:t>布局</w:t>
            </w:r>
            <w:r>
              <w:rPr>
                <w:rFonts w:hint="eastAsia" w:ascii="仿宋" w:hAnsi="仿宋" w:eastAsia="仿宋" w:cs="仿宋"/>
                <w:sz w:val="24"/>
                <w:szCs w:val="24"/>
                <w:lang w:val="zh-TW"/>
              </w:rPr>
              <w:t>规划</w:t>
            </w:r>
            <w:r>
              <w:rPr>
                <w:rFonts w:hint="eastAsia" w:ascii="仿宋" w:hAnsi="仿宋" w:eastAsia="仿宋" w:cs="仿宋"/>
                <w:sz w:val="24"/>
                <w:szCs w:val="24"/>
              </w:rPr>
              <w:t>初步方案</w:t>
            </w:r>
          </w:p>
          <w:p>
            <w:pPr>
              <w:pStyle w:val="474"/>
              <w:widowControl w:val="0"/>
              <w:spacing w:line="312" w:lineRule="auto"/>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结合上位规划和三区三线方案，明确单元功能定位，优化整体空间结构，统筹各类用地，提出优化后单元空间布局方案、规划结构、相关指标体系等内容是否科学合理等进行打分（0-8分）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（1）上述方案阐述完整、合理的，视为满足采购要求，得8分；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（2）上述方案阐述存在缺陷，但基本完整、合理的，视为部分满足采购要求，得4分；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8</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9</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lang w:val="zh-TW"/>
              </w:rPr>
              <w:t>公服设施配套研究</w:t>
            </w:r>
            <w:r>
              <w:rPr>
                <w:rFonts w:hint="eastAsia" w:ascii="仿宋" w:hAnsi="仿宋" w:eastAsia="仿宋" w:cs="仿宋"/>
                <w:sz w:val="24"/>
                <w:szCs w:val="24"/>
              </w:rPr>
              <w:t>初步方案</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充分分析规划人口，</w:t>
            </w:r>
            <w:r>
              <w:rPr>
                <w:rFonts w:hint="eastAsia" w:ascii="仿宋" w:hAnsi="仿宋" w:eastAsia="仿宋" w:cs="仿宋"/>
                <w:sz w:val="24"/>
                <w:szCs w:val="24"/>
                <w:lang w:val="zh-TW"/>
              </w:rPr>
              <w:t>对</w:t>
            </w:r>
            <w:r>
              <w:rPr>
                <w:rFonts w:hint="eastAsia" w:ascii="仿宋" w:hAnsi="仿宋" w:eastAsia="仿宋" w:cs="仿宋"/>
                <w:sz w:val="24"/>
                <w:szCs w:val="24"/>
              </w:rPr>
              <w:t>单元内</w:t>
            </w:r>
            <w:r>
              <w:rPr>
                <w:rFonts w:hint="eastAsia" w:ascii="仿宋" w:hAnsi="仿宋" w:eastAsia="仿宋" w:cs="仿宋"/>
                <w:sz w:val="24"/>
                <w:szCs w:val="24"/>
                <w:lang w:val="zh-TW"/>
              </w:rPr>
              <w:t>公共服务设施的需求分析到位</w:t>
            </w:r>
            <w:r>
              <w:rPr>
                <w:rFonts w:hint="eastAsia" w:ascii="仿宋" w:hAnsi="仿宋" w:eastAsia="仿宋" w:cs="仿宋"/>
                <w:sz w:val="24"/>
                <w:szCs w:val="24"/>
              </w:rPr>
              <w:t>预测规模基本合理</w:t>
            </w:r>
            <w:r>
              <w:rPr>
                <w:rFonts w:hint="eastAsia" w:ascii="仿宋" w:hAnsi="仿宋" w:eastAsia="仿宋" w:cs="仿宋"/>
                <w:sz w:val="24"/>
                <w:szCs w:val="24"/>
                <w:lang w:val="zh-TW"/>
              </w:rPr>
              <w:t>，</w:t>
            </w:r>
            <w:r>
              <w:rPr>
                <w:rFonts w:hint="eastAsia" w:ascii="仿宋" w:hAnsi="仿宋" w:eastAsia="仿宋" w:cs="仿宋"/>
                <w:sz w:val="24"/>
                <w:szCs w:val="24"/>
              </w:rPr>
              <w:t>并提出公共服务设施空间总体优化方案等是否科学合理等进行打分（0-6分）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（2）上述方案阐述存在缺陷，但基本完整、合理的，视为部分满足采购要求，得3分；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10</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lang w:val="zh-TW"/>
              </w:rPr>
              <w:t>高效交通和市政设施</w:t>
            </w:r>
            <w:r>
              <w:rPr>
                <w:rFonts w:hint="eastAsia" w:ascii="仿宋" w:hAnsi="仿宋" w:eastAsia="仿宋" w:cs="仿宋"/>
                <w:sz w:val="24"/>
                <w:szCs w:val="24"/>
              </w:rPr>
              <w:t>方案</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衔接专项规划，深化路网规划，与周边单元通道衔接妥善，内部路网等级、线形、竖向等科学合理，公共交通、慢行系统等布局到位；合理确定市政容量，优化市政设施、管线等初步布局方案等是否科学合理等进行打分（0-6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（2）上述方案阐述存在缺陷，但基本完整、合理的，视为部分满足采购要求，得3分；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11</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rPr>
              <w:t>重点地区的管控衔接思路</w:t>
            </w: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对规划单元内存量更新的工业园区及沿京杭大运河、高速公路及其他重点地区的提出确实可行的管控思路和实施方案，相关内容是否科学合理等进行打分（0-6分）。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（2）上述方案阐述存在缺陷，但基本完整、合理的，视为部分满足采购要求，得3分；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12</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lang w:val="zh-TW"/>
              </w:rPr>
              <w:t>生态和农业空间管控</w:t>
            </w: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根据投标人对本项目内涉及的生态保护和农业农村的布局优化等规划内容的设计思路方案进行打分（0-6分）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（1）上述方案阐述完整、合理的，视为满足采购要求，得6分；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（2）上述方案阐述存在缺陷，但基本完整、合理的，视为部分满足采购要求，得3分；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（3）上述方案阐述不完整或不合理的，视为不满足采购要求，得0分。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6</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13</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rPr>
              <w:t>技术路线</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根据投标人对本项目技术路线采取正确的技术路线，措施得当、技术可行等内容进行打分（0-5分）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（1）以上内容阐述全面且合理的，视为满足采购要求，得5分；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（2）阐述存在欠缺，但基本完整、合理的，视为部分满足采购要求得2.5分；</w:t>
            </w:r>
          </w:p>
          <w:p>
            <w:pPr>
              <w:pStyle w:val="474"/>
              <w:widowControl w:val="0"/>
              <w:spacing w:line="360" w:lineRule="auto"/>
              <w:jc w:val="left"/>
              <w:rPr>
                <w:rFonts w:ascii="仿宋" w:hAnsi="仿宋" w:eastAsia="仿宋" w:cs="仿宋"/>
                <w:sz w:val="24"/>
                <w:szCs w:val="24"/>
                <w:lang w:val="zh-TW"/>
              </w:rPr>
            </w:pPr>
            <w:r>
              <w:rPr>
                <w:rFonts w:hint="eastAsia" w:ascii="仿宋" w:hAnsi="仿宋" w:eastAsia="仿宋" w:cs="仿宋"/>
                <w:color w:val="000000"/>
                <w:sz w:val="24"/>
                <w:szCs w:val="24"/>
              </w:rPr>
              <w:t>（3）阐述不完整或不具备合理性的，视为不满足采购要求，得0分。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5</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14</w:t>
            </w:r>
          </w:p>
        </w:tc>
        <w:tc>
          <w:tcPr>
            <w:tcW w:w="1508" w:type="dxa"/>
            <w:vAlign w:val="center"/>
          </w:tcPr>
          <w:p>
            <w:pPr>
              <w:pStyle w:val="474"/>
              <w:widowControl w:val="0"/>
              <w:spacing w:line="460" w:lineRule="exact"/>
              <w:jc w:val="center"/>
              <w:rPr>
                <w:rFonts w:ascii="仿宋" w:hAnsi="仿宋" w:eastAsia="仿宋" w:cs="仿宋"/>
                <w:sz w:val="24"/>
                <w:szCs w:val="24"/>
              </w:rPr>
            </w:pPr>
            <w:r>
              <w:rPr>
                <w:rFonts w:hint="eastAsia" w:ascii="仿宋" w:hAnsi="仿宋" w:eastAsia="仿宋" w:cs="仿宋"/>
                <w:sz w:val="24"/>
                <w:szCs w:val="24"/>
              </w:rPr>
              <w:t>质量保障措施</w:t>
            </w:r>
          </w:p>
          <w:p>
            <w:pPr>
              <w:pStyle w:val="474"/>
              <w:widowControl w:val="0"/>
              <w:spacing w:line="312" w:lineRule="auto"/>
              <w:jc w:val="center"/>
              <w:rPr>
                <w:rFonts w:ascii="仿宋" w:hAnsi="仿宋" w:eastAsia="仿宋" w:cs="仿宋"/>
                <w:sz w:val="24"/>
                <w:szCs w:val="24"/>
              </w:rPr>
            </w:pP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rPr>
              <w:t>质量保证体系完备周全，具有针对性应对措施。后续服务保障体系健全，应对措施科学，承诺后续技术支持服务（0-3分）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（1）以上内容阐述全面且合理的，视为满足采购要求，得3分；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（2）阐述存在欠缺，但基本完整、合理的，视为部分满足采购要求得1.5分；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（3）阐述不完整或不具备合理性的，视为不满足采购要求，得0分。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3</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15</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rPr>
              <w:t>时间进度</w:t>
            </w:r>
          </w:p>
        </w:tc>
        <w:tc>
          <w:tcPr>
            <w:tcW w:w="5735" w:type="dxa"/>
            <w:vAlign w:val="center"/>
          </w:tcPr>
          <w:p>
            <w:pPr>
              <w:spacing w:line="276" w:lineRule="auto"/>
              <w:jc w:val="left"/>
              <w:rPr>
                <w:rFonts w:ascii="仿宋" w:hAnsi="仿宋" w:eastAsia="仿宋" w:cs="仿宋"/>
                <w:sz w:val="24"/>
              </w:rPr>
            </w:pPr>
            <w:r>
              <w:rPr>
                <w:rFonts w:hint="eastAsia" w:ascii="仿宋" w:hAnsi="仿宋" w:eastAsia="仿宋" w:cs="仿宋"/>
                <w:sz w:val="24"/>
              </w:rPr>
              <w:t>根据投标人对本项目整体进度时间安排合理进度等进行打分（0-3分）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（1）以上内容阐述全面且合理的，视为满足采购要求，得3分；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（2）阐述存在欠缺，但基本完整、合理的，视为部分满足采购要求得1.5分；</w:t>
            </w:r>
          </w:p>
          <w:p>
            <w:pPr>
              <w:pStyle w:val="474"/>
              <w:widowControl w:val="0"/>
              <w:spacing w:line="360" w:lineRule="auto"/>
              <w:jc w:val="left"/>
              <w:rPr>
                <w:rFonts w:ascii="仿宋" w:hAnsi="仿宋" w:eastAsia="仿宋" w:cs="仿宋"/>
                <w:sz w:val="24"/>
                <w:szCs w:val="24"/>
                <w:lang w:val="zh-TW"/>
              </w:rPr>
            </w:pPr>
            <w:r>
              <w:rPr>
                <w:rFonts w:hint="eastAsia" w:ascii="仿宋" w:hAnsi="仿宋" w:eastAsia="仿宋" w:cs="仿宋"/>
                <w:color w:val="000000"/>
                <w:sz w:val="24"/>
                <w:szCs w:val="24"/>
              </w:rPr>
              <w:t>（3）阐述不完整或不具备合理性的，视为不满足采购要求，得0分。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3</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16</w:t>
            </w:r>
          </w:p>
        </w:tc>
        <w:tc>
          <w:tcPr>
            <w:tcW w:w="1508" w:type="dxa"/>
            <w:vAlign w:val="center"/>
          </w:tcPr>
          <w:p>
            <w:pPr>
              <w:pStyle w:val="474"/>
              <w:widowControl w:val="0"/>
              <w:spacing w:line="312" w:lineRule="auto"/>
              <w:jc w:val="center"/>
              <w:rPr>
                <w:rFonts w:ascii="仿宋" w:hAnsi="仿宋" w:eastAsia="仿宋" w:cs="仿宋"/>
                <w:sz w:val="24"/>
                <w:szCs w:val="24"/>
              </w:rPr>
            </w:pPr>
            <w:r>
              <w:rPr>
                <w:rFonts w:hint="eastAsia" w:ascii="仿宋" w:hAnsi="仿宋" w:eastAsia="仿宋" w:cs="仿宋"/>
                <w:sz w:val="24"/>
                <w:szCs w:val="24"/>
                <w:lang w:val="zh-TW"/>
              </w:rPr>
              <w:t>其它有助提高</w:t>
            </w:r>
            <w:r>
              <w:rPr>
                <w:rFonts w:hint="eastAsia" w:ascii="仿宋" w:hAnsi="仿宋" w:eastAsia="仿宋" w:cs="仿宋"/>
                <w:sz w:val="24"/>
                <w:szCs w:val="24"/>
              </w:rPr>
              <w:t>项目</w:t>
            </w:r>
            <w:r>
              <w:rPr>
                <w:rFonts w:hint="eastAsia" w:ascii="仿宋" w:hAnsi="仿宋" w:eastAsia="仿宋" w:cs="仿宋"/>
                <w:sz w:val="24"/>
                <w:szCs w:val="24"/>
                <w:lang w:val="zh-TW"/>
              </w:rPr>
              <w:t>研究深度和广度的建议</w:t>
            </w:r>
          </w:p>
        </w:tc>
        <w:tc>
          <w:tcPr>
            <w:tcW w:w="5735" w:type="dxa"/>
            <w:vAlign w:val="center"/>
          </w:tcPr>
          <w:p>
            <w:pPr>
              <w:pStyle w:val="474"/>
              <w:widowControl w:val="0"/>
              <w:spacing w:line="360" w:lineRule="auto"/>
              <w:jc w:val="left"/>
              <w:rPr>
                <w:rFonts w:ascii="仿宋" w:hAnsi="仿宋" w:eastAsia="仿宋" w:cs="仿宋"/>
                <w:sz w:val="24"/>
                <w:szCs w:val="24"/>
              </w:rPr>
            </w:pPr>
            <w:r>
              <w:rPr>
                <w:rFonts w:hint="eastAsia" w:ascii="仿宋" w:hAnsi="仿宋" w:eastAsia="仿宋" w:cs="仿宋"/>
                <w:sz w:val="24"/>
                <w:szCs w:val="24"/>
                <w:lang w:val="zh-TW"/>
              </w:rPr>
              <w:t>其它有助提高项目的研究深度和广度的建议（</w:t>
            </w:r>
            <w:r>
              <w:rPr>
                <w:rFonts w:hint="eastAsia" w:ascii="仿宋" w:hAnsi="仿宋" w:eastAsia="仿宋" w:cs="仿宋"/>
                <w:sz w:val="24"/>
                <w:szCs w:val="24"/>
              </w:rPr>
              <w:t>0-</w:t>
            </w:r>
            <w:r>
              <w:rPr>
                <w:rFonts w:hint="eastAsia" w:ascii="仿宋" w:hAnsi="仿宋" w:eastAsia="仿宋" w:cs="仿宋"/>
                <w:sz w:val="24"/>
                <w:szCs w:val="24"/>
                <w:lang w:val="zh-TW"/>
              </w:rPr>
              <w:t>2</w:t>
            </w:r>
            <w:r>
              <w:rPr>
                <w:rFonts w:hint="eastAsia" w:ascii="仿宋" w:hAnsi="仿宋" w:eastAsia="仿宋" w:cs="仿宋"/>
                <w:sz w:val="24"/>
                <w:szCs w:val="24"/>
              </w:rPr>
              <w:t>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（1）以上内容阐述全面且合理的，视为满足采购要求，得2分；</w:t>
            </w:r>
          </w:p>
          <w:p>
            <w:pPr>
              <w:spacing w:line="276" w:lineRule="auto"/>
              <w:jc w:val="left"/>
              <w:rPr>
                <w:rFonts w:ascii="仿宋" w:hAnsi="仿宋" w:eastAsia="仿宋" w:cs="仿宋"/>
                <w:color w:val="000000"/>
                <w:sz w:val="24"/>
              </w:rPr>
            </w:pPr>
            <w:r>
              <w:rPr>
                <w:rFonts w:hint="eastAsia" w:ascii="仿宋" w:hAnsi="仿宋" w:eastAsia="仿宋" w:cs="仿宋"/>
                <w:color w:val="000000"/>
                <w:sz w:val="24"/>
              </w:rPr>
              <w:t>（2）阐述存在欠缺，但基本完整、合理的，视为部分满足采购要求得1分；</w:t>
            </w:r>
          </w:p>
          <w:p>
            <w:pPr>
              <w:pStyle w:val="474"/>
              <w:widowControl w:val="0"/>
              <w:spacing w:line="360" w:lineRule="auto"/>
              <w:jc w:val="left"/>
              <w:rPr>
                <w:rFonts w:ascii="仿宋" w:hAnsi="仿宋" w:eastAsia="仿宋" w:cs="仿宋"/>
                <w:sz w:val="24"/>
                <w:szCs w:val="24"/>
              </w:rPr>
            </w:pPr>
            <w:r>
              <w:rPr>
                <w:rFonts w:hint="eastAsia" w:ascii="仿宋" w:hAnsi="仿宋" w:eastAsia="仿宋" w:cs="仿宋"/>
                <w:color w:val="000000"/>
                <w:sz w:val="24"/>
                <w:szCs w:val="24"/>
              </w:rPr>
              <w:t>（3）阐述不完整或不具备合理性的，视为不满足采购要求，得0分。</w:t>
            </w:r>
          </w:p>
        </w:tc>
        <w:tc>
          <w:tcPr>
            <w:tcW w:w="666"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2</w:t>
            </w:r>
          </w:p>
        </w:tc>
        <w:tc>
          <w:tcPr>
            <w:tcW w:w="762"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主观分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vAlign w:val="center"/>
          </w:tcPr>
          <w:p>
            <w:pPr>
              <w:pStyle w:val="474"/>
              <w:widowControl w:val="0"/>
              <w:spacing w:line="312" w:lineRule="auto"/>
              <w:jc w:val="center"/>
              <w:rPr>
                <w:rFonts w:ascii="仿宋" w:hAnsi="仿宋" w:eastAsia="仿宋" w:cs="仿宋"/>
                <w:b/>
                <w:bCs/>
                <w:sz w:val="24"/>
                <w:szCs w:val="24"/>
              </w:rPr>
            </w:pPr>
            <w:r>
              <w:rPr>
                <w:rFonts w:hint="eastAsia" w:ascii="仿宋" w:hAnsi="仿宋" w:eastAsia="仿宋" w:cs="仿宋"/>
                <w:b/>
                <w:bCs/>
                <w:sz w:val="24"/>
                <w:szCs w:val="24"/>
              </w:rPr>
              <w:t>17</w:t>
            </w:r>
          </w:p>
        </w:tc>
        <w:tc>
          <w:tcPr>
            <w:tcW w:w="1508" w:type="dxa"/>
            <w:vAlign w:val="center"/>
          </w:tcPr>
          <w:p>
            <w:pPr>
              <w:spacing w:line="360" w:lineRule="auto"/>
              <w:outlineLvl w:val="0"/>
              <w:rPr>
                <w:rFonts w:ascii="仿宋" w:hAnsi="仿宋" w:eastAsia="仿宋" w:cs="仿宋"/>
                <w:sz w:val="24"/>
                <w:lang w:val="zh-TW"/>
              </w:rPr>
            </w:pPr>
            <w:r>
              <w:rPr>
                <w:rFonts w:hint="eastAsia" w:ascii="仿宋" w:hAnsi="仿宋" w:eastAsia="仿宋" w:cs="仿宋"/>
                <w:sz w:val="24"/>
              </w:rPr>
              <w:t>价格分</w:t>
            </w:r>
          </w:p>
        </w:tc>
        <w:tc>
          <w:tcPr>
            <w:tcW w:w="5735" w:type="dxa"/>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
                <w:sz w:val="24"/>
                <w:lang w:val="zh-TW"/>
              </w:rPr>
            </w:pPr>
            <w:r>
              <w:rPr>
                <w:rFonts w:hint="eastAsia" w:ascii="仿宋" w:hAnsi="仿宋" w:eastAsia="仿宋" w:cs="仿宋"/>
                <w:sz w:val="24"/>
              </w:rPr>
              <w:t>因落实政府采购政策需要进行价格调整的，以调整后的价格计算评标基准价和投标报价。</w:t>
            </w:r>
          </w:p>
        </w:tc>
        <w:tc>
          <w:tcPr>
            <w:tcW w:w="666" w:type="dxa"/>
            <w:vAlign w:val="center"/>
          </w:tcPr>
          <w:p>
            <w:pPr>
              <w:spacing w:line="360" w:lineRule="auto"/>
              <w:ind w:firstLine="120" w:firstLineChars="50"/>
              <w:outlineLvl w:val="0"/>
              <w:rPr>
                <w:rFonts w:ascii="仿宋" w:hAnsi="仿宋" w:eastAsia="仿宋" w:cs="仿宋"/>
                <w:sz w:val="24"/>
              </w:rPr>
            </w:pPr>
            <w:r>
              <w:rPr>
                <w:rFonts w:hint="eastAsia" w:ascii="仿宋" w:hAnsi="仿宋" w:eastAsia="仿宋" w:cs="仿宋"/>
                <w:sz w:val="24"/>
              </w:rPr>
              <w:t>10分</w:t>
            </w:r>
          </w:p>
        </w:tc>
        <w:tc>
          <w:tcPr>
            <w:tcW w:w="762" w:type="dxa"/>
            <w:vAlign w:val="center"/>
          </w:tcPr>
          <w:p>
            <w:pPr>
              <w:pStyle w:val="474"/>
              <w:widowControl w:val="0"/>
              <w:spacing w:line="312" w:lineRule="auto"/>
              <w:jc w:val="center"/>
              <w:rPr>
                <w:rFonts w:ascii="仿宋" w:hAnsi="仿宋" w:eastAsia="仿宋" w:cs="仿宋"/>
                <w:b/>
                <w:bCs/>
                <w:sz w:val="24"/>
                <w:szCs w:val="24"/>
              </w:rPr>
            </w:pPr>
          </w:p>
        </w:tc>
      </w:tr>
    </w:tbl>
    <w:p>
      <w:pPr>
        <w:pStyle w:val="28"/>
        <w:spacing w:line="360" w:lineRule="auto"/>
        <w:ind w:left="0" w:leftChars="0" w:firstLine="482"/>
      </w:pPr>
      <w:r>
        <w:rPr>
          <w:rFonts w:hint="eastAsia" w:ascii="仿宋_GB2312" w:hAnsi="仿宋_GB2312" w:eastAsia="仿宋_GB2312" w:cs="仿宋_GB2312"/>
          <w:b/>
          <w:bCs/>
          <w:color w:val="000000"/>
          <w:sz w:val="24"/>
        </w:rPr>
        <w:t>3、各投标人的综合得分为：技术商务得分+投标价格得分之和，总和为100分，其中：商务技术得分90分，投标价格得分10分。</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3"/>
        <w:spacing w:before="0"/>
        <w:ind w:firstLine="480"/>
        <w:rPr>
          <w:rFonts w:ascii="仿宋" w:hAnsi="仿宋" w:eastAsia="仿宋" w:cs="仿宋"/>
          <w:color w:val="FF0000"/>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430" w:leftChars="205"/>
        <w:rPr>
          <w:kern w:val="0"/>
          <w:sz w:val="24"/>
          <w:szCs w:val="24"/>
        </w:rPr>
      </w:pPr>
      <w:r>
        <w:rPr>
          <w:kern w:val="0"/>
          <w:sz w:val="24"/>
          <w:szCs w:val="24"/>
        </w:rPr>
        <w:t xml:space="preserve">4.2.13 </w:t>
      </w:r>
      <w:r>
        <w:rPr>
          <w:rFonts w:hint="eastAsia"/>
          <w:kern w:val="0"/>
          <w:sz w:val="24"/>
          <w:szCs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31"/>
    <w:p>
      <w:bookmarkStart w:id="407" w:name="第五部分"/>
      <w:bookmarkStart w:id="408" w:name="_Toc86217003"/>
    </w:p>
    <w:p>
      <w:pPr>
        <w:pStyle w:val="86"/>
        <w:ind w:left="0" w:firstLine="0"/>
      </w:pPr>
    </w:p>
    <w:p/>
    <w:p>
      <w:pPr>
        <w:pStyle w:val="84"/>
      </w:pPr>
    </w:p>
    <w:p>
      <w:pPr>
        <w:pStyle w:val="84"/>
      </w:pPr>
    </w:p>
    <w:p>
      <w:pPr>
        <w:pStyle w:val="84"/>
      </w:pPr>
    </w:p>
    <w:p>
      <w:r>
        <w:br w:type="page"/>
      </w:r>
    </w:p>
    <w:p>
      <w:pPr>
        <w:spacing w:line="360" w:lineRule="auto"/>
        <w:ind w:left="720" w:leftChars="343" w:firstLine="1084" w:firstLineChars="300"/>
        <w:outlineLvl w:val="0"/>
        <w:rPr>
          <w:rFonts w:ascii="仿宋" w:hAnsi="仿宋" w:eastAsia="仿宋" w:cs="仿宋"/>
          <w:b/>
          <w:bCs/>
          <w:sz w:val="36"/>
          <w:szCs w:val="36"/>
        </w:rPr>
      </w:pPr>
      <w:bookmarkStart w:id="409" w:name="_Toc331685784"/>
      <w:r>
        <w:rPr>
          <w:rFonts w:hint="eastAsia" w:ascii="仿宋" w:hAnsi="仿宋" w:eastAsia="仿宋" w:cs="仿宋"/>
          <w:b/>
          <w:bCs/>
          <w:sz w:val="36"/>
          <w:szCs w:val="36"/>
        </w:rPr>
        <w:t xml:space="preserve">    </w:t>
      </w:r>
    </w:p>
    <w:p>
      <w:pPr>
        <w:spacing w:line="360" w:lineRule="auto"/>
        <w:ind w:left="720" w:leftChars="343" w:firstLine="1084" w:firstLineChars="300"/>
        <w:outlineLvl w:val="0"/>
        <w:rPr>
          <w:rFonts w:ascii="仿宋" w:hAnsi="仿宋" w:eastAsia="仿宋" w:cs="仿宋"/>
          <w:b/>
          <w:bCs/>
          <w:sz w:val="36"/>
          <w:szCs w:val="36"/>
        </w:rPr>
      </w:pPr>
    </w:p>
    <w:p>
      <w:pPr>
        <w:spacing w:line="360" w:lineRule="auto"/>
        <w:ind w:left="720" w:leftChars="343" w:firstLine="1084" w:firstLineChars="300"/>
        <w:outlineLvl w:val="0"/>
        <w:rPr>
          <w:rFonts w:ascii="仿宋" w:hAnsi="仿宋" w:eastAsia="仿宋" w:cs="仿宋"/>
          <w:b/>
          <w:bCs/>
          <w:sz w:val="36"/>
          <w:szCs w:val="36"/>
        </w:rPr>
      </w:pPr>
    </w:p>
    <w:p>
      <w:pPr>
        <w:spacing w:line="360" w:lineRule="auto"/>
        <w:ind w:left="720" w:leftChars="343" w:firstLine="1084" w:firstLineChars="300"/>
        <w:outlineLvl w:val="0"/>
        <w:rPr>
          <w:rFonts w:ascii="仿宋" w:hAnsi="仿宋" w:eastAsia="仿宋" w:cs="仿宋"/>
          <w:b/>
          <w:bCs/>
          <w:sz w:val="36"/>
          <w:szCs w:val="36"/>
        </w:rPr>
      </w:pPr>
      <w:r>
        <w:rPr>
          <w:rFonts w:hint="eastAsia" w:ascii="仿宋" w:hAnsi="仿宋" w:eastAsia="仿宋" w:cs="仿宋"/>
          <w:b/>
          <w:bCs/>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bCs/>
          <w:sz w:val="28"/>
          <w:szCs w:val="28"/>
        </w:rPr>
      </w:pPr>
    </w:p>
    <w:p>
      <w:pPr>
        <w:spacing w:line="480" w:lineRule="auto"/>
        <w:jc w:val="center"/>
        <w:rPr>
          <w:rFonts w:ascii="仿宋" w:hAnsi="仿宋" w:eastAsia="仿宋" w:cs="仿宋"/>
          <w:b/>
          <w:bCs/>
          <w:sz w:val="36"/>
          <w:szCs w:val="36"/>
        </w:rPr>
      </w:pPr>
      <w:r>
        <w:rPr>
          <w:rFonts w:hint="eastAsia" w:ascii="仿宋" w:hAnsi="仿宋" w:eastAsia="仿宋" w:cs="仿宋"/>
          <w:b/>
          <w:bCs/>
          <w:sz w:val="36"/>
          <w:szCs w:val="36"/>
        </w:rPr>
        <w:t>政府采购合同参考范本</w:t>
      </w:r>
    </w:p>
    <w:p>
      <w:pPr>
        <w:spacing w:line="480" w:lineRule="auto"/>
        <w:jc w:val="center"/>
        <w:rPr>
          <w:rFonts w:ascii="仿宋" w:hAnsi="仿宋" w:eastAsia="仿宋" w:cs="仿宋"/>
          <w:b/>
          <w:bCs/>
          <w:sz w:val="36"/>
          <w:szCs w:val="36"/>
        </w:rPr>
      </w:pPr>
      <w:r>
        <w:rPr>
          <w:rFonts w:hint="eastAsia" w:ascii="仿宋" w:hAnsi="仿宋" w:eastAsia="仿宋" w:cs="仿宋"/>
          <w:b/>
          <w:bCs/>
          <w:sz w:val="36"/>
          <w:szCs w:val="36"/>
        </w:rPr>
        <w:t>（服务类）</w:t>
      </w:r>
    </w:p>
    <w:p>
      <w:pPr>
        <w:pStyle w:val="81"/>
        <w:ind w:left="0" w:leftChars="0" w:firstLine="0" w:firstLineChars="0"/>
        <w:jc w:val="center"/>
        <w:rPr>
          <w:rFonts w:ascii="仿宋" w:hAnsi="仿宋" w:eastAsia="仿宋" w:cs="仿宋"/>
          <w:b/>
          <w:bCs/>
        </w:rPr>
      </w:pPr>
      <w:r>
        <w:rPr>
          <w:rFonts w:hint="eastAsia" w:ascii="仿宋" w:hAnsi="仿宋" w:eastAsia="仿宋" w:cs="仿宋"/>
          <w:b/>
          <w:bCs/>
          <w:sz w:val="28"/>
          <w:szCs w:val="28"/>
        </w:rPr>
        <w:t>第一部分 合同书</w:t>
      </w:r>
    </w:p>
    <w:p>
      <w:pPr>
        <w:pStyle w:val="81"/>
        <w:ind w:left="0" w:leftChars="0" w:firstLine="0" w:firstLineChars="0"/>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sz w:val="24"/>
          <w:u w:val="single"/>
        </w:rPr>
        <w:t xml:space="preserve">                                   </w:t>
      </w:r>
    </w:p>
    <w:p>
      <w:pPr>
        <w:pStyle w:val="290"/>
        <w:spacing w:before="120" w:line="22" w:lineRule="atLeast"/>
        <w:rPr>
          <w:rFonts w:ascii="仿宋" w:hAnsi="仿宋" w:eastAsia="仿宋" w:cs="仿宋"/>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 xml:space="preserve">    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 xml:space="preserve">    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r>
        <w:rPr>
          <w:rFonts w:hint="eastAsia" w:ascii="仿宋" w:hAnsi="仿宋" w:eastAsia="仿宋" w:cs="仿宋"/>
          <w:sz w:val="24"/>
        </w:rPr>
        <w:t xml:space="preserve">  </w:t>
      </w: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 xml:space="preserve">    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 xml:space="preserve">    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10" w:type="default"/>
          <w:footerReference r:id="rId11" w:type="default"/>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60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600" w:lineRule="exact"/>
        <w:ind w:firstLine="482" w:firstLineChars="200"/>
        <w:outlineLvl w:val="0"/>
        <w:rPr>
          <w:rFonts w:ascii="仿宋" w:hAnsi="仿宋" w:eastAsia="仿宋" w:cs="仿宋"/>
          <w:b/>
          <w:bCs/>
          <w:sz w:val="24"/>
        </w:rPr>
      </w:pPr>
      <w:bookmarkStart w:id="410" w:name="_Toc2232"/>
      <w:bookmarkStart w:id="411" w:name="_Toc24059"/>
      <w:bookmarkStart w:id="412" w:name="_Toc3029"/>
      <w:r>
        <w:rPr>
          <w:rFonts w:hint="eastAsia" w:ascii="仿宋" w:hAnsi="仿宋" w:eastAsia="仿宋" w:cs="仿宋"/>
          <w:b/>
          <w:bCs/>
          <w:sz w:val="24"/>
        </w:rPr>
        <w:t>1.1 合同组成部分</w:t>
      </w:r>
      <w:bookmarkEnd w:id="410"/>
      <w:bookmarkEnd w:id="411"/>
      <w:bookmarkEnd w:id="412"/>
    </w:p>
    <w:p>
      <w:pPr>
        <w:spacing w:line="60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60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60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600" w:lineRule="exact"/>
        <w:ind w:firstLine="482" w:firstLineChars="200"/>
        <w:outlineLvl w:val="0"/>
        <w:rPr>
          <w:rFonts w:ascii="仿宋" w:hAnsi="仿宋" w:eastAsia="仿宋" w:cs="仿宋"/>
          <w:b/>
          <w:bCs/>
          <w:sz w:val="24"/>
        </w:rPr>
      </w:pPr>
      <w:bookmarkStart w:id="413" w:name="_Toc21295"/>
      <w:bookmarkStart w:id="414" w:name="_Toc27126"/>
      <w:bookmarkStart w:id="415" w:name="_Toc24300"/>
      <w:r>
        <w:rPr>
          <w:rFonts w:hint="eastAsia" w:ascii="仿宋" w:hAnsi="仿宋" w:eastAsia="仿宋" w:cs="仿宋"/>
          <w:b/>
          <w:bCs/>
          <w:sz w:val="24"/>
        </w:rPr>
        <w:t xml:space="preserve">1.2 </w:t>
      </w:r>
      <w:bookmarkEnd w:id="413"/>
      <w:bookmarkEnd w:id="414"/>
      <w:bookmarkEnd w:id="415"/>
      <w:r>
        <w:rPr>
          <w:rFonts w:hint="eastAsia" w:ascii="仿宋" w:hAnsi="仿宋" w:eastAsia="仿宋" w:cs="仿宋"/>
          <w:b/>
          <w:bCs/>
          <w:sz w:val="24"/>
        </w:rPr>
        <w:t>服务</w:t>
      </w:r>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1.2.1 服务名称：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1.2.2 服务数量：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1.2.3 服务质量：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2" w:firstLineChars="200"/>
        <w:outlineLvl w:val="0"/>
        <w:rPr>
          <w:rFonts w:ascii="仿宋" w:hAnsi="仿宋" w:eastAsia="仿宋" w:cs="仿宋"/>
          <w:b/>
          <w:bCs/>
          <w:sz w:val="24"/>
        </w:rPr>
      </w:pPr>
      <w:bookmarkStart w:id="416" w:name="_Toc22618"/>
      <w:bookmarkStart w:id="417" w:name="_Toc10340"/>
      <w:bookmarkStart w:id="418" w:name="_Toc1814"/>
      <w:r>
        <w:rPr>
          <w:rFonts w:hint="eastAsia" w:ascii="仿宋" w:hAnsi="仿宋" w:eastAsia="仿宋" w:cs="仿宋"/>
          <w:b/>
          <w:bCs/>
          <w:sz w:val="24"/>
        </w:rPr>
        <w:t>1.3 付款</w:t>
      </w:r>
      <w:bookmarkEnd w:id="416"/>
      <w:bookmarkEnd w:id="417"/>
      <w:bookmarkEnd w:id="418"/>
      <w:r>
        <w:rPr>
          <w:rFonts w:hint="eastAsia" w:ascii="仿宋" w:hAnsi="仿宋" w:eastAsia="仿宋" w:cs="仿宋"/>
          <w:b/>
          <w:bCs/>
          <w:sz w:val="24"/>
        </w:rPr>
        <w:t>方式、时间和条件</w:t>
      </w:r>
    </w:p>
    <w:p>
      <w:pPr>
        <w:pStyle w:val="623"/>
        <w:spacing w:before="0" w:beforeAutospacing="0" w:after="0" w:afterAutospacing="0" w:line="600" w:lineRule="exact"/>
        <w:ind w:firstLine="480"/>
        <w:rPr>
          <w:rFonts w:ascii="仿宋" w:hAnsi="仿宋" w:eastAsia="仿宋" w:cs="仿宋"/>
          <w:kern w:val="2"/>
        </w:rPr>
      </w:pPr>
      <w:r>
        <w:rPr>
          <w:rFonts w:hint="eastAsia" w:ascii="仿宋" w:hAnsi="仿宋" w:eastAsia="仿宋" w:cs="仿宋"/>
        </w:rPr>
        <w:t>1.3.1</w:t>
      </w:r>
      <w:r>
        <w:rPr>
          <w:rFonts w:hint="eastAsia" w:ascii="仿宋" w:hAnsi="仿宋" w:eastAsia="仿宋" w:cs="仿宋"/>
          <w:kern w:val="2"/>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cs="仿宋"/>
          <w:sz w:val="24"/>
        </w:rPr>
      </w:pPr>
      <w:r>
        <w:rPr>
          <w:rFonts w:hint="eastAsia" w:ascii="仿宋" w:hAnsi="仿宋" w:eastAsia="仿宋" w:cs="仿宋"/>
          <w:sz w:val="24"/>
        </w:rPr>
        <w:t>1.3.2甲方在政府采购合同中约定预付款，预付款比例为合同金额的</w:t>
      </w:r>
      <w:r>
        <w:rPr>
          <w:rFonts w:hint="eastAsia" w:ascii="仿宋" w:hAnsi="仿宋" w:eastAsia="仿宋" w:cs="仿宋"/>
          <w:sz w:val="24"/>
          <w:lang w:val="en-US" w:eastAsia="zh-CN"/>
        </w:rPr>
        <w:t>4</w:t>
      </w:r>
      <w:r>
        <w:rPr>
          <w:rFonts w:hint="eastAsia" w:ascii="仿宋" w:hAnsi="仿宋" w:eastAsia="仿宋" w:cs="仿宋"/>
          <w:sz w:val="24"/>
        </w:rPr>
        <w:t>0％；项目分年安排预算的，每年预付款比例为项目年度计划支付资金额的</w:t>
      </w:r>
      <w:r>
        <w:rPr>
          <w:rFonts w:hint="eastAsia" w:ascii="仿宋" w:hAnsi="仿宋" w:eastAsia="仿宋" w:cs="仿宋"/>
          <w:sz w:val="24"/>
          <w:lang w:val="en-US" w:eastAsia="zh-CN"/>
        </w:rPr>
        <w:t>4</w:t>
      </w:r>
      <w:r>
        <w:rPr>
          <w:rFonts w:hint="eastAsia" w:ascii="仿宋" w:hAnsi="仿宋" w:eastAsia="仿宋" w:cs="仿宋"/>
          <w:sz w:val="24"/>
        </w:rPr>
        <w:t>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ascii="仿宋" w:hAnsi="仿宋" w:eastAsia="仿宋" w:cs="仿宋"/>
          <w:sz w:val="24"/>
        </w:rPr>
      </w:pPr>
      <w:r>
        <w:rPr>
          <w:rFonts w:hint="eastAsia" w:ascii="仿宋" w:hAnsi="仿宋" w:eastAsia="仿宋" w:cs="仿宋"/>
          <w:sz w:val="24"/>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仿宋" w:hAnsi="仿宋" w:eastAsia="仿宋" w:cs="仿宋"/>
          <w:sz w:val="24"/>
        </w:rPr>
      </w:pPr>
      <w:r>
        <w:rPr>
          <w:rFonts w:hint="eastAsia" w:ascii="仿宋" w:hAnsi="仿宋" w:eastAsia="仿宋" w:cs="仿宋"/>
          <w:sz w:val="24"/>
        </w:rPr>
        <w:t>1.3.4资金支付的方式、时间和条件详见</w:t>
      </w:r>
      <w:r>
        <w:rPr>
          <w:rFonts w:hint="eastAsia" w:ascii="仿宋" w:hAnsi="仿宋" w:eastAsia="仿宋" w:cs="仿宋"/>
          <w:b/>
          <w:bCs/>
          <w:i/>
          <w:iCs/>
          <w:sz w:val="24"/>
          <w:u w:val="single"/>
        </w:rPr>
        <w:t>合同专用条款</w:t>
      </w:r>
      <w:r>
        <w:rPr>
          <w:rFonts w:hint="eastAsia" w:ascii="仿宋" w:hAnsi="仿宋" w:eastAsia="仿宋" w:cs="仿宋"/>
          <w:sz w:val="24"/>
        </w:rPr>
        <w:t>。</w:t>
      </w:r>
    </w:p>
    <w:p>
      <w:pPr>
        <w:spacing w:line="600" w:lineRule="exact"/>
        <w:ind w:firstLine="480" w:firstLineChars="200"/>
        <w:outlineLvl w:val="0"/>
        <w:rPr>
          <w:rFonts w:ascii="仿宋" w:hAnsi="仿宋" w:eastAsia="仿宋" w:cs="仿宋"/>
          <w:sz w:val="24"/>
        </w:rPr>
      </w:pPr>
      <w:r>
        <w:rPr>
          <w:rFonts w:hint="eastAsia" w:ascii="仿宋" w:hAnsi="仿宋" w:eastAsia="仿宋" w:cs="仿宋"/>
          <w:sz w:val="24"/>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ascii="仿宋" w:hAnsi="仿宋" w:eastAsia="仿宋" w:cs="仿宋"/>
          <w:b/>
          <w:bCs/>
          <w:sz w:val="24"/>
        </w:rPr>
      </w:pPr>
      <w:bookmarkStart w:id="419" w:name="_Toc32071"/>
      <w:bookmarkStart w:id="420" w:name="_Toc2846"/>
      <w:bookmarkStart w:id="421" w:name="_Toc19304"/>
      <w:r>
        <w:rPr>
          <w:rFonts w:hint="eastAsia" w:ascii="仿宋" w:hAnsi="仿宋" w:eastAsia="仿宋" w:cs="仿宋"/>
          <w:b/>
          <w:bCs/>
          <w:sz w:val="24"/>
        </w:rPr>
        <w:t>1.4 服务期限、地点和方式</w:t>
      </w:r>
      <w:bookmarkEnd w:id="419"/>
      <w:bookmarkEnd w:id="420"/>
      <w:bookmarkEnd w:id="421"/>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1.4.1 服务期限：详见</w:t>
      </w:r>
      <w:r>
        <w:rPr>
          <w:rFonts w:hint="eastAsia" w:ascii="仿宋" w:hAnsi="仿宋" w:eastAsia="仿宋" w:cs="仿宋"/>
          <w:b/>
          <w:bCs/>
          <w:i/>
          <w:iCs/>
          <w:sz w:val="24"/>
          <w:u w:val="single"/>
        </w:rPr>
        <w:t>合同专用条款</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1.4.2 服务地点：</w:t>
      </w:r>
      <w:r>
        <w:rPr>
          <w:rFonts w:hint="eastAsia" w:ascii="仿宋" w:hAnsi="仿宋" w:eastAsia="仿宋" w:cs="仿宋"/>
          <w:b/>
          <w:bCs/>
          <w:i/>
          <w:iCs/>
          <w:sz w:val="24"/>
          <w:u w:val="single"/>
        </w:rPr>
        <w:t>合同专用条款</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1.4.3 服务方式：</w:t>
      </w:r>
      <w:r>
        <w:rPr>
          <w:rFonts w:hint="eastAsia" w:ascii="仿宋" w:hAnsi="仿宋" w:eastAsia="仿宋" w:cs="仿宋"/>
          <w:b/>
          <w:bCs/>
          <w:i/>
          <w:iCs/>
          <w:sz w:val="24"/>
          <w:u w:val="single"/>
        </w:rPr>
        <w:t>合同专用条款</w:t>
      </w:r>
      <w:r>
        <w:rPr>
          <w:rFonts w:hint="eastAsia" w:ascii="仿宋" w:hAnsi="仿宋" w:eastAsia="仿宋" w:cs="仿宋"/>
          <w:sz w:val="24"/>
        </w:rPr>
        <w:t>。</w:t>
      </w:r>
    </w:p>
    <w:p>
      <w:pPr>
        <w:spacing w:line="600" w:lineRule="exact"/>
        <w:ind w:firstLine="482" w:firstLineChars="200"/>
        <w:outlineLvl w:val="0"/>
        <w:rPr>
          <w:rFonts w:ascii="仿宋" w:hAnsi="仿宋" w:eastAsia="仿宋" w:cs="仿宋"/>
          <w:b/>
          <w:bCs/>
          <w:sz w:val="24"/>
        </w:rPr>
      </w:pPr>
      <w:bookmarkStart w:id="422" w:name="_Toc27250"/>
      <w:bookmarkStart w:id="423" w:name="_Toc19554"/>
      <w:bookmarkStart w:id="424" w:name="_Toc21423"/>
      <w:r>
        <w:rPr>
          <w:rFonts w:hint="eastAsia" w:ascii="仿宋" w:hAnsi="仿宋" w:eastAsia="仿宋" w:cs="仿宋"/>
          <w:b/>
          <w:bCs/>
          <w:sz w:val="24"/>
        </w:rPr>
        <w:t>1.5 违约责任</w:t>
      </w:r>
      <w:bookmarkEnd w:id="422"/>
      <w:bookmarkEnd w:id="423"/>
      <w:bookmarkEnd w:id="424"/>
    </w:p>
    <w:p>
      <w:pPr>
        <w:spacing w:line="600" w:lineRule="exact"/>
        <w:ind w:firstLine="480" w:firstLineChars="200"/>
        <w:rPr>
          <w:rFonts w:ascii="仿宋" w:hAnsi="仿宋" w:eastAsia="仿宋" w:cs="仿宋"/>
          <w:sz w:val="24"/>
        </w:rPr>
      </w:pPr>
      <w:r>
        <w:rPr>
          <w:rFonts w:hint="eastAsia" w:ascii="仿宋" w:hAnsi="仿宋" w:eastAsia="仿宋" w:cs="仿宋"/>
          <w:sz w:val="24"/>
        </w:rPr>
        <w:t>1.5.1</w:t>
      </w:r>
      <w:bookmarkStart w:id="425" w:name="_Toc16021"/>
      <w:bookmarkStart w:id="426" w:name="_Toc28375"/>
      <w:bookmarkStart w:id="427" w:name="_Toc15583"/>
      <w:r>
        <w:rPr>
          <w:rFonts w:hint="eastAsia" w:ascii="仿宋" w:hAnsi="仿宋" w:eastAsia="仿宋" w:cs="仿宋"/>
          <w:sz w:val="24"/>
        </w:rPr>
        <w:t>甲方无正当理由拒收接受服务的，甲方向乙方偿付合同款项百分之五作为违约金。</w:t>
      </w:r>
    </w:p>
    <w:p>
      <w:pPr>
        <w:spacing w:line="600" w:lineRule="exact"/>
        <w:ind w:firstLine="480" w:firstLineChars="200"/>
        <w:rPr>
          <w:rFonts w:ascii="仿宋" w:hAnsi="仿宋" w:eastAsia="仿宋" w:cs="仿宋"/>
          <w:sz w:val="24"/>
        </w:rPr>
      </w:pPr>
      <w:r>
        <w:rPr>
          <w:rFonts w:hint="eastAsia" w:ascii="仿宋" w:hAnsi="仿宋" w:eastAsia="仿宋" w:cs="仿宋"/>
          <w:sz w:val="24"/>
        </w:rPr>
        <w:t>1.5.2甲方无故逾期验收和办理款项支付手续的，甲方应按逾期付款总额每日万分之五向乙方支付违约金。</w:t>
      </w:r>
    </w:p>
    <w:p>
      <w:pPr>
        <w:spacing w:line="600" w:lineRule="exact"/>
        <w:ind w:firstLine="480" w:firstLineChars="200"/>
        <w:rPr>
          <w:rFonts w:ascii="仿宋" w:hAnsi="仿宋" w:eastAsia="仿宋" w:cs="仿宋"/>
          <w:sz w:val="24"/>
        </w:rPr>
      </w:pPr>
      <w:r>
        <w:rPr>
          <w:rFonts w:hint="eastAsia" w:ascii="仿宋" w:hAnsi="仿宋" w:eastAsia="仿宋" w:cs="仿宋"/>
          <w:sz w:val="24"/>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ascii="仿宋" w:hAnsi="仿宋" w:eastAsia="仿宋" w:cs="仿宋"/>
          <w:b/>
          <w:bCs/>
          <w:sz w:val="24"/>
        </w:rPr>
      </w:pPr>
      <w:r>
        <w:rPr>
          <w:rFonts w:hint="eastAsia" w:ascii="仿宋" w:hAnsi="仿宋" w:eastAsia="仿宋" w:cs="仿宋"/>
          <w:b/>
          <w:bCs/>
          <w:sz w:val="24"/>
        </w:rPr>
        <w:t>1.6 合同争议的解决</w:t>
      </w:r>
      <w:bookmarkEnd w:id="425"/>
      <w:bookmarkEnd w:id="426"/>
      <w:bookmarkEnd w:id="427"/>
    </w:p>
    <w:p>
      <w:pPr>
        <w:spacing w:line="60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bCs/>
          <w:i/>
          <w:iCs/>
          <w:sz w:val="24"/>
          <w:u w:val="single"/>
        </w:rPr>
        <w:t xml:space="preserve"> 合同专用条款  </w:t>
      </w:r>
      <w:r>
        <w:rPr>
          <w:rFonts w:hint="eastAsia" w:ascii="仿宋" w:hAnsi="仿宋" w:eastAsia="仿宋" w:cs="仿宋"/>
          <w:sz w:val="24"/>
        </w:rPr>
        <w:t>条款规定的方式解决：</w:t>
      </w:r>
    </w:p>
    <w:p>
      <w:pPr>
        <w:spacing w:line="600" w:lineRule="exact"/>
        <w:ind w:firstLine="480" w:firstLineChars="20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bCs/>
          <w:i/>
          <w:iCs/>
          <w:sz w:val="24"/>
          <w:u w:val="single"/>
        </w:rPr>
        <w:t>合同专用条款</w:t>
      </w:r>
      <w:r>
        <w:rPr>
          <w:rFonts w:hint="eastAsia" w:ascii="仿宋" w:hAnsi="仿宋" w:eastAsia="仿宋" w:cs="仿宋"/>
          <w:sz w:val="24"/>
        </w:rPr>
        <w:t>仲裁委员会依申请仲裁时其现行有效的仲裁规则裁决；</w:t>
      </w:r>
    </w:p>
    <w:p>
      <w:pPr>
        <w:spacing w:line="600" w:lineRule="exact"/>
        <w:ind w:firstLine="480" w:firstLineChars="20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bCs/>
          <w:i/>
          <w:iCs/>
          <w:sz w:val="24"/>
          <w:u w:val="single"/>
        </w:rPr>
        <w:t>合同专用条款</w:t>
      </w:r>
      <w:r>
        <w:rPr>
          <w:rFonts w:hint="eastAsia" w:ascii="仿宋" w:hAnsi="仿宋" w:eastAsia="仿宋" w:cs="仿宋"/>
          <w:sz w:val="24"/>
        </w:rPr>
        <w:t>人民法院起诉。</w:t>
      </w:r>
      <w:bookmarkStart w:id="428" w:name="_Toc15322"/>
      <w:bookmarkStart w:id="429" w:name="_Toc11173"/>
      <w:bookmarkStart w:id="430" w:name="_Toc7245"/>
    </w:p>
    <w:p>
      <w:pPr>
        <w:spacing w:line="600" w:lineRule="exact"/>
        <w:ind w:firstLine="482" w:firstLineChars="200"/>
        <w:rPr>
          <w:rFonts w:ascii="仿宋" w:hAnsi="仿宋" w:eastAsia="仿宋" w:cs="仿宋"/>
          <w:b/>
          <w:bCs/>
          <w:sz w:val="24"/>
        </w:rPr>
      </w:pPr>
      <w:r>
        <w:rPr>
          <w:rFonts w:hint="eastAsia" w:ascii="仿宋" w:hAnsi="仿宋" w:eastAsia="仿宋" w:cs="仿宋"/>
          <w:b/>
          <w:bCs/>
          <w:sz w:val="24"/>
        </w:rPr>
        <w:t>1.7 合同生效</w:t>
      </w:r>
      <w:bookmarkEnd w:id="428"/>
      <w:bookmarkEnd w:id="429"/>
      <w:bookmarkEnd w:id="430"/>
    </w:p>
    <w:p>
      <w:pPr>
        <w:spacing w:line="600" w:lineRule="exact"/>
        <w:ind w:firstLine="480" w:firstLineChars="200"/>
        <w:rPr>
          <w:rFonts w:ascii="仿宋" w:hAnsi="仿宋" w:eastAsia="仿宋" w:cs="仿宋"/>
          <w:sz w:val="24"/>
        </w:rPr>
      </w:pPr>
      <w:r>
        <w:rPr>
          <w:rFonts w:hint="eastAsia" w:ascii="仿宋" w:hAnsi="仿宋" w:eastAsia="仿宋" w:cs="仿宋"/>
          <w:sz w:val="24"/>
        </w:rPr>
        <w:t>本合同自双方当事人盖章或者签字时生效。</w:t>
      </w:r>
    </w:p>
    <w:p>
      <w:pPr>
        <w:autoSpaceDE w:val="0"/>
        <w:autoSpaceDN w:val="0"/>
        <w:spacing w:line="600" w:lineRule="exact"/>
        <w:rPr>
          <w:rFonts w:ascii="仿宋" w:hAnsi="仿宋" w:eastAsia="仿宋" w:cs="仿宋"/>
          <w:sz w:val="24"/>
          <w:lang w:val="zh-CN"/>
        </w:rPr>
      </w:pPr>
    </w:p>
    <w:p>
      <w:pPr>
        <w:autoSpaceDE w:val="0"/>
        <w:autoSpaceDN w:val="0"/>
        <w:spacing w:line="600" w:lineRule="exact"/>
        <w:rPr>
          <w:rFonts w:ascii="仿宋" w:hAnsi="仿宋" w:eastAsia="仿宋" w:cs="仿宋"/>
          <w:sz w:val="24"/>
          <w:lang w:val="zh-CN"/>
        </w:rPr>
      </w:pPr>
      <w:r>
        <w:rPr>
          <w:rFonts w:hint="eastAsia" w:ascii="仿宋" w:hAnsi="仿宋" w:eastAsia="仿宋" w:cs="仿宋"/>
          <w:b/>
          <w:bCs/>
          <w:sz w:val="24"/>
          <w:lang w:val="zh-CN"/>
        </w:rPr>
        <w:t>甲方</w:t>
      </w:r>
      <w:r>
        <w:rPr>
          <w:rFonts w:hint="eastAsia" w:ascii="仿宋" w:hAnsi="仿宋" w:eastAsia="仿宋" w:cs="仿宋"/>
          <w:sz w:val="24"/>
          <w:lang w:val="zh-CN"/>
        </w:rPr>
        <w:t xml:space="preserve">：                             </w:t>
      </w:r>
      <w:r>
        <w:rPr>
          <w:rFonts w:hint="eastAsia" w:ascii="仿宋" w:hAnsi="仿宋" w:eastAsia="仿宋" w:cs="仿宋"/>
          <w:b/>
          <w:bCs/>
          <w:sz w:val="24"/>
          <w:lang w:val="zh-CN"/>
        </w:rPr>
        <w:t xml:space="preserve">      乙方</w:t>
      </w:r>
      <w:r>
        <w:rPr>
          <w:rFonts w:hint="eastAsia" w:ascii="仿宋" w:hAnsi="仿宋" w:eastAsia="仿宋" w:cs="仿宋"/>
          <w:sz w:val="24"/>
          <w:lang w:val="zh-CN"/>
        </w:rPr>
        <w:t>：</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600" w:lineRule="exact"/>
        <w:rPr>
          <w:rFonts w:ascii="仿宋" w:hAnsi="仿宋" w:eastAsia="仿宋" w:cs="仿宋"/>
          <w:sz w:val="24"/>
          <w:lang w:val="zh-CN"/>
        </w:rPr>
      </w:pP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授权代表（签字）：                        或授权代表（签字）：</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60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60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bookmarkStart w:id="431" w:name="_Toc331685783"/>
    </w:p>
    <w:p>
      <w:pPr>
        <w:pStyle w:val="81"/>
        <w:spacing w:after="0" w:line="600" w:lineRule="exact"/>
        <w:ind w:left="0" w:leftChars="0" w:firstLine="0" w:firstLineChars="0"/>
        <w:rPr>
          <w:rFonts w:ascii="仿宋" w:hAnsi="仿宋" w:eastAsia="仿宋" w:cs="仿宋"/>
          <w:b/>
          <w:bCs/>
        </w:rPr>
      </w:pPr>
    </w:p>
    <w:p>
      <w:pPr>
        <w:pStyle w:val="81"/>
        <w:spacing w:after="0" w:line="600" w:lineRule="exact"/>
        <w:ind w:left="0" w:leftChars="0" w:firstLine="0" w:firstLineChars="0"/>
        <w:jc w:val="center"/>
        <w:rPr>
          <w:rFonts w:ascii="仿宋" w:hAnsi="仿宋" w:eastAsia="仿宋" w:cs="仿宋"/>
          <w:b/>
          <w:bCs/>
          <w:sz w:val="28"/>
          <w:szCs w:val="28"/>
        </w:rPr>
      </w:pPr>
      <w:r>
        <w:rPr>
          <w:rFonts w:hint="eastAsia" w:ascii="仿宋" w:hAnsi="仿宋" w:eastAsia="仿宋" w:cs="仿宋"/>
          <w:b/>
          <w:bCs/>
          <w:sz w:val="28"/>
          <w:szCs w:val="28"/>
        </w:rPr>
        <w:t>第二部分 合同一般条款</w:t>
      </w:r>
      <w:bookmarkEnd w:id="431"/>
    </w:p>
    <w:p>
      <w:pPr>
        <w:spacing w:line="600" w:lineRule="exact"/>
        <w:ind w:firstLine="482" w:firstLineChars="200"/>
        <w:outlineLvl w:val="0"/>
        <w:rPr>
          <w:rFonts w:ascii="仿宋" w:hAnsi="仿宋" w:eastAsia="仿宋" w:cs="仿宋"/>
          <w:b/>
          <w:bCs/>
          <w:sz w:val="24"/>
        </w:rPr>
      </w:pPr>
      <w:bookmarkStart w:id="432" w:name="_Toc487900349"/>
      <w:bookmarkStart w:id="433" w:name="_Toc28763"/>
      <w:bookmarkStart w:id="434" w:name="_Toc16917"/>
      <w:bookmarkStart w:id="435" w:name="_Ref467379214"/>
      <w:bookmarkStart w:id="436" w:name="_Ref467379109"/>
      <w:bookmarkStart w:id="437" w:name="_Ref467379101"/>
      <w:bookmarkStart w:id="438" w:name="_Ref467378499"/>
      <w:bookmarkStart w:id="439" w:name="_Ref467378404"/>
      <w:bookmarkStart w:id="440" w:name="_Toc19614"/>
      <w:bookmarkStart w:id="441" w:name="_Toc279701240"/>
      <w:bookmarkStart w:id="442" w:name="_Ref467379195"/>
      <w:bookmarkStart w:id="443" w:name="_Toc259093669"/>
      <w:bookmarkStart w:id="444" w:name="_Ref467379225"/>
      <w:bookmarkStart w:id="445" w:name="_Ref467379205"/>
      <w:bookmarkStart w:id="446" w:name="_Ref467378463"/>
      <w:bookmarkStart w:id="447" w:name="_Ref467379094"/>
      <w:r>
        <w:rPr>
          <w:rFonts w:hint="eastAsia" w:ascii="仿宋" w:hAnsi="仿宋" w:eastAsia="仿宋" w:cs="仿宋"/>
          <w:b/>
          <w:bCs/>
          <w:sz w:val="24"/>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60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60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600" w:lineRule="exact"/>
        <w:ind w:firstLine="480" w:firstLineChars="200"/>
        <w:rPr>
          <w:rFonts w:ascii="仿宋" w:hAnsi="仿宋" w:eastAsia="仿宋" w:cs="仿宋"/>
          <w:sz w:val="24"/>
        </w:rPr>
      </w:pPr>
      <w:bookmarkStart w:id="448" w:name="_Ref467378840"/>
      <w:r>
        <w:rPr>
          <w:rFonts w:hint="eastAsia" w:ascii="仿宋" w:hAnsi="仿宋" w:eastAsia="仿宋" w:cs="仿宋"/>
          <w:sz w:val="24"/>
        </w:rPr>
        <w:t>2.1.3 “甲方”系指与中标供应商签署合同的采购人</w:t>
      </w:r>
      <w:bookmarkEnd w:id="448"/>
      <w:r>
        <w:rPr>
          <w:rFonts w:hint="eastAsia" w:ascii="仿宋" w:hAnsi="仿宋" w:eastAsia="仿宋" w:cs="仿宋"/>
          <w:sz w:val="24"/>
        </w:rPr>
        <w:t>；采购人委托采购代理机构代表其与乙方签订合同的，采购人的授权委托书作为合同附件。</w:t>
      </w:r>
    </w:p>
    <w:p>
      <w:pPr>
        <w:spacing w:line="600" w:lineRule="exact"/>
        <w:ind w:firstLine="480" w:firstLineChars="200"/>
        <w:rPr>
          <w:rFonts w:ascii="仿宋" w:hAnsi="仿宋" w:eastAsia="仿宋" w:cs="仿宋"/>
          <w:sz w:val="24"/>
        </w:rPr>
      </w:pPr>
      <w:bookmarkStart w:id="449" w:name="_Ref467379400"/>
      <w:r>
        <w:rPr>
          <w:rFonts w:hint="eastAsia" w:ascii="仿宋" w:hAnsi="仿宋" w:eastAsia="仿宋" w:cs="仿宋"/>
          <w:sz w:val="24"/>
        </w:rPr>
        <w:t>2.1.4 “乙方”系指根据合同约定交付货物的中标供应商</w:t>
      </w:r>
      <w:bookmarkEnd w:id="449"/>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cs="仿宋"/>
          <w:sz w:val="24"/>
        </w:rPr>
      </w:pPr>
      <w:bookmarkStart w:id="450" w:name="_Ref467379436"/>
      <w:r>
        <w:rPr>
          <w:rFonts w:hint="eastAsia" w:ascii="仿宋" w:hAnsi="仿宋" w:eastAsia="仿宋" w:cs="仿宋"/>
          <w:sz w:val="24"/>
        </w:rPr>
        <w:t>2.1.5 “现场”系指合同约定服务地点。</w:t>
      </w:r>
      <w:bookmarkEnd w:id="450"/>
    </w:p>
    <w:p>
      <w:pPr>
        <w:spacing w:line="600" w:lineRule="exact"/>
        <w:ind w:firstLine="482" w:firstLineChars="200"/>
        <w:outlineLvl w:val="0"/>
        <w:rPr>
          <w:rFonts w:ascii="仿宋" w:hAnsi="仿宋" w:eastAsia="仿宋" w:cs="仿宋"/>
          <w:b/>
          <w:bCs/>
          <w:sz w:val="24"/>
        </w:rPr>
      </w:pPr>
      <w:bookmarkStart w:id="451" w:name="_Toc31634"/>
      <w:bookmarkStart w:id="452" w:name="_Toc259093671"/>
      <w:bookmarkStart w:id="453" w:name="_Toc279701242"/>
      <w:bookmarkStart w:id="454" w:name="_Toc27853"/>
      <w:bookmarkStart w:id="455" w:name="_Toc9829"/>
      <w:bookmarkStart w:id="456" w:name="_Toc487900351"/>
      <w:r>
        <w:rPr>
          <w:rFonts w:hint="eastAsia" w:ascii="仿宋" w:hAnsi="仿宋" w:eastAsia="仿宋" w:cs="仿宋"/>
          <w:b/>
          <w:bCs/>
          <w:sz w:val="24"/>
        </w:rPr>
        <w:t>2.2 知识产权</w:t>
      </w:r>
      <w:bookmarkEnd w:id="451"/>
      <w:bookmarkEnd w:id="452"/>
      <w:bookmarkEnd w:id="453"/>
      <w:bookmarkEnd w:id="454"/>
      <w:bookmarkEnd w:id="455"/>
      <w:bookmarkEnd w:id="456"/>
    </w:p>
    <w:p>
      <w:pPr>
        <w:spacing w:line="600" w:lineRule="exact"/>
        <w:ind w:firstLine="480" w:firstLineChars="200"/>
        <w:rPr>
          <w:rFonts w:ascii="仿宋" w:hAnsi="仿宋" w:eastAsia="仿宋" w:cs="仿宋"/>
          <w:sz w:val="24"/>
        </w:rPr>
      </w:pPr>
      <w:r>
        <w:rPr>
          <w:rFonts w:hint="eastAsia" w:ascii="仿宋" w:hAnsi="仿宋" w:eastAsia="仿宋" w:cs="仿宋"/>
          <w:sz w:val="24"/>
        </w:rPr>
        <w:t>2.2.1 乙方应保证提供服务过程中不会侵犯任何第三方的知识产权。</w:t>
      </w:r>
    </w:p>
    <w:p>
      <w:pPr>
        <w:spacing w:line="600" w:lineRule="exact"/>
        <w:ind w:firstLine="482" w:firstLineChars="200"/>
        <w:outlineLvl w:val="0"/>
        <w:rPr>
          <w:rFonts w:ascii="仿宋" w:hAnsi="仿宋" w:eastAsia="仿宋" w:cs="仿宋"/>
          <w:b/>
          <w:bCs/>
          <w:sz w:val="24"/>
        </w:rPr>
      </w:pPr>
      <w:bookmarkStart w:id="457" w:name="_Toc7502"/>
      <w:bookmarkStart w:id="458" w:name="_Toc259093683"/>
      <w:bookmarkStart w:id="459" w:name="_Toc487900364"/>
      <w:bookmarkStart w:id="460" w:name="_Toc279701254"/>
      <w:bookmarkStart w:id="461" w:name="_Ref467378121"/>
      <w:r>
        <w:rPr>
          <w:rFonts w:hint="eastAsia" w:ascii="仿宋" w:hAnsi="仿宋" w:eastAsia="仿宋" w:cs="仿宋"/>
          <w:b/>
          <w:bCs/>
          <w:sz w:val="24"/>
        </w:rPr>
        <w:t>2.3合同变更</w:t>
      </w:r>
      <w:bookmarkEnd w:id="457"/>
    </w:p>
    <w:p>
      <w:pPr>
        <w:spacing w:line="60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62" w:name="_Toc487900369"/>
      <w:bookmarkStart w:id="463" w:name="_Toc279701259"/>
      <w:bookmarkStart w:id="464" w:name="_Toc259093688"/>
    </w:p>
    <w:p>
      <w:pPr>
        <w:spacing w:line="600" w:lineRule="exact"/>
        <w:ind w:firstLine="482" w:firstLineChars="200"/>
        <w:outlineLvl w:val="0"/>
        <w:rPr>
          <w:rFonts w:ascii="仿宋" w:hAnsi="仿宋" w:eastAsia="仿宋" w:cs="仿宋"/>
          <w:b/>
          <w:bCs/>
          <w:sz w:val="24"/>
        </w:rPr>
      </w:pPr>
      <w:bookmarkStart w:id="465" w:name="_Toc15237"/>
      <w:bookmarkStart w:id="466" w:name="_Toc22955"/>
      <w:bookmarkStart w:id="467" w:name="_Toc10366"/>
      <w:r>
        <w:rPr>
          <w:rFonts w:hint="eastAsia" w:ascii="仿宋" w:hAnsi="仿宋" w:eastAsia="仿宋" w:cs="仿宋"/>
          <w:b/>
          <w:bCs/>
          <w:sz w:val="24"/>
        </w:rPr>
        <w:t>2.4 转让</w:t>
      </w:r>
      <w:bookmarkEnd w:id="462"/>
      <w:bookmarkEnd w:id="463"/>
      <w:bookmarkEnd w:id="464"/>
      <w:r>
        <w:rPr>
          <w:rFonts w:hint="eastAsia" w:ascii="仿宋" w:hAnsi="仿宋" w:eastAsia="仿宋" w:cs="仿宋"/>
          <w:b/>
          <w:bCs/>
          <w:sz w:val="24"/>
        </w:rPr>
        <w:t>和分包</w:t>
      </w:r>
      <w:bookmarkEnd w:id="465"/>
      <w:bookmarkEnd w:id="466"/>
      <w:bookmarkEnd w:id="467"/>
    </w:p>
    <w:p>
      <w:pPr>
        <w:spacing w:line="600" w:lineRule="exact"/>
        <w:ind w:firstLine="480" w:firstLineChars="200"/>
        <w:rPr>
          <w:rFonts w:ascii="仿宋" w:hAnsi="仿宋" w:eastAsia="仿宋" w:cs="仿宋"/>
          <w:sz w:val="24"/>
        </w:rPr>
      </w:pPr>
      <w:r>
        <w:rPr>
          <w:rFonts w:hint="eastAsia" w:ascii="仿宋" w:hAnsi="仿宋" w:eastAsia="仿宋" w:cs="仿宋"/>
          <w:sz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cs="仿宋"/>
          <w:b/>
          <w:bCs/>
          <w:sz w:val="24"/>
        </w:rPr>
      </w:pPr>
      <w:bookmarkStart w:id="468" w:name="_Toc13566"/>
      <w:bookmarkStart w:id="469" w:name="_Toc16508"/>
      <w:bookmarkStart w:id="470" w:name="_Toc14066"/>
      <w:r>
        <w:rPr>
          <w:rFonts w:hint="eastAsia" w:ascii="仿宋" w:hAnsi="仿宋" w:eastAsia="仿宋" w:cs="仿宋"/>
          <w:b/>
          <w:bCs/>
          <w:sz w:val="24"/>
        </w:rPr>
        <w:t>2.5不可抗力</w:t>
      </w:r>
      <w:bookmarkEnd w:id="468"/>
      <w:bookmarkEnd w:id="469"/>
      <w:bookmarkEnd w:id="470"/>
    </w:p>
    <w:p>
      <w:pPr>
        <w:spacing w:line="600" w:lineRule="exact"/>
        <w:ind w:firstLine="480" w:firstLineChars="200"/>
        <w:rPr>
          <w:rFonts w:ascii="仿宋" w:hAnsi="仿宋" w:eastAsia="仿宋" w:cs="仿宋"/>
          <w:sz w:val="24"/>
        </w:rPr>
      </w:pPr>
      <w:r>
        <w:rPr>
          <w:rFonts w:hint="eastAsia" w:ascii="仿宋" w:hAnsi="仿宋" w:eastAsia="仿宋" w:cs="仿宋"/>
          <w:sz w:val="24"/>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cs="仿宋"/>
          <w:sz w:val="24"/>
        </w:rPr>
      </w:pPr>
      <w:r>
        <w:rPr>
          <w:rFonts w:hint="eastAsia" w:ascii="仿宋" w:hAnsi="仿宋" w:eastAsia="仿宋" w:cs="仿宋"/>
          <w:sz w:val="24"/>
        </w:rPr>
        <w:t>2.5.2 因不可抗力致使不能实现合同目的的，当事人可以解除合同；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2.5.3 因不可抗力致使合同有变更必要的，双方当事人应在</w:t>
      </w:r>
      <w:r>
        <w:rPr>
          <w:rFonts w:hint="eastAsia" w:ascii="仿宋" w:hAnsi="仿宋" w:eastAsia="仿宋" w:cs="仿宋"/>
          <w:b/>
          <w:bCs/>
          <w:i/>
          <w:iCs/>
          <w:sz w:val="24"/>
          <w:u w:val="single"/>
        </w:rPr>
        <w:t>合同专用条款</w:t>
      </w:r>
      <w:r>
        <w:rPr>
          <w:rFonts w:hint="eastAsia" w:ascii="仿宋" w:hAnsi="仿宋" w:eastAsia="仿宋" w:cs="仿宋"/>
          <w:sz w:val="24"/>
        </w:rPr>
        <w:t>约定时间内以书面形式变更合同；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2.5.4受不可抗力影响的一方在不可抗力发生后，应在</w:t>
      </w:r>
      <w:r>
        <w:rPr>
          <w:rFonts w:hint="eastAsia" w:ascii="仿宋" w:hAnsi="仿宋" w:eastAsia="仿宋" w:cs="仿宋"/>
          <w:b/>
          <w:bCs/>
          <w:i/>
          <w:iCs/>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bCs/>
          <w:i/>
          <w:iCs/>
          <w:sz w:val="24"/>
          <w:u w:val="single"/>
        </w:rPr>
        <w:t>合同专用条款</w:t>
      </w:r>
      <w:r>
        <w:rPr>
          <w:rFonts w:hint="eastAsia" w:ascii="仿宋" w:hAnsi="仿宋" w:eastAsia="仿宋" w:cs="仿宋"/>
          <w:sz w:val="24"/>
        </w:rPr>
        <w:t>约定时间内，将有关部门出具的证明文件送达对方当事人。</w:t>
      </w:r>
    </w:p>
    <w:p>
      <w:pPr>
        <w:spacing w:line="600" w:lineRule="exact"/>
        <w:ind w:firstLine="482" w:firstLineChars="200"/>
        <w:outlineLvl w:val="0"/>
        <w:rPr>
          <w:rFonts w:ascii="仿宋" w:hAnsi="仿宋" w:eastAsia="仿宋" w:cs="仿宋"/>
          <w:b/>
          <w:bCs/>
          <w:sz w:val="24"/>
        </w:rPr>
      </w:pPr>
      <w:bookmarkStart w:id="471" w:name="_Toc259093684"/>
      <w:bookmarkStart w:id="472" w:name="_Toc689"/>
      <w:bookmarkStart w:id="473" w:name="_Toc6969"/>
      <w:bookmarkStart w:id="474" w:name="_Toc30676"/>
      <w:bookmarkStart w:id="475" w:name="_Toc279701255"/>
      <w:bookmarkStart w:id="476" w:name="_Toc487900365"/>
      <w:r>
        <w:rPr>
          <w:rFonts w:hint="eastAsia" w:ascii="仿宋" w:hAnsi="仿宋" w:eastAsia="仿宋" w:cs="仿宋"/>
          <w:b/>
          <w:bCs/>
          <w:sz w:val="24"/>
        </w:rPr>
        <w:t>2.6 税费</w:t>
      </w:r>
      <w:bookmarkEnd w:id="471"/>
      <w:bookmarkEnd w:id="472"/>
      <w:bookmarkEnd w:id="473"/>
      <w:bookmarkEnd w:id="474"/>
      <w:bookmarkEnd w:id="475"/>
      <w:bookmarkEnd w:id="476"/>
    </w:p>
    <w:p>
      <w:pPr>
        <w:spacing w:line="60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600" w:lineRule="exact"/>
        <w:ind w:firstLine="482" w:firstLineChars="200"/>
        <w:outlineLvl w:val="0"/>
        <w:rPr>
          <w:rFonts w:ascii="仿宋" w:hAnsi="仿宋" w:eastAsia="仿宋" w:cs="仿宋"/>
          <w:b/>
          <w:bCs/>
          <w:sz w:val="24"/>
        </w:rPr>
      </w:pPr>
      <w:bookmarkStart w:id="477" w:name="_Toc487900368"/>
      <w:bookmarkStart w:id="478" w:name="_Toc279701258"/>
      <w:bookmarkStart w:id="479" w:name="_Toc259093687"/>
      <w:bookmarkStart w:id="480" w:name="_Toc7102"/>
      <w:bookmarkStart w:id="481" w:name="_Toc8298"/>
      <w:bookmarkStart w:id="482" w:name="_Toc16959"/>
      <w:r>
        <w:rPr>
          <w:rFonts w:hint="eastAsia" w:ascii="仿宋" w:hAnsi="仿宋" w:eastAsia="仿宋" w:cs="仿宋"/>
          <w:b/>
          <w:bCs/>
          <w:sz w:val="24"/>
        </w:rPr>
        <w:t>2.7乙方破产</w:t>
      </w:r>
      <w:bookmarkEnd w:id="477"/>
      <w:bookmarkEnd w:id="478"/>
      <w:bookmarkEnd w:id="479"/>
      <w:bookmarkEnd w:id="480"/>
      <w:bookmarkEnd w:id="481"/>
      <w:bookmarkEnd w:id="482"/>
    </w:p>
    <w:p>
      <w:pPr>
        <w:spacing w:line="60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cs="仿宋"/>
          <w:b/>
          <w:bCs/>
          <w:sz w:val="24"/>
        </w:rPr>
      </w:pPr>
      <w:bookmarkStart w:id="483" w:name="_Toc6134"/>
      <w:bookmarkStart w:id="484" w:name="_Toc15387"/>
      <w:bookmarkStart w:id="485" w:name="_Toc29333"/>
      <w:r>
        <w:rPr>
          <w:rFonts w:hint="eastAsia" w:ascii="仿宋" w:hAnsi="仿宋" w:eastAsia="仿宋" w:cs="仿宋"/>
          <w:b/>
          <w:bCs/>
          <w:sz w:val="24"/>
        </w:rPr>
        <w:t>2.8 合同中止、终止</w:t>
      </w:r>
      <w:bookmarkEnd w:id="483"/>
      <w:bookmarkEnd w:id="484"/>
      <w:bookmarkEnd w:id="485"/>
    </w:p>
    <w:p>
      <w:pPr>
        <w:spacing w:line="600" w:lineRule="exact"/>
        <w:ind w:firstLine="480" w:firstLineChars="200"/>
        <w:rPr>
          <w:rFonts w:ascii="仿宋" w:hAnsi="仿宋" w:eastAsia="仿宋" w:cs="仿宋"/>
          <w:sz w:val="24"/>
        </w:rPr>
      </w:pPr>
      <w:r>
        <w:rPr>
          <w:rFonts w:hint="eastAsia" w:ascii="仿宋" w:hAnsi="仿宋" w:eastAsia="仿宋" w:cs="仿宋"/>
          <w:sz w:val="24"/>
        </w:rPr>
        <w:t>2.8.1 双方当事人不得擅自中止或者终止合同；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2.8.2合同继续履行将损害国家利益和社会公共利益的，双方当事人应当中止或者终止合同。有过错的一方应当承担赔偿责任，双方当事人都有过错的，各自承担相应的责任。</w:t>
      </w:r>
      <w:bookmarkEnd w:id="458"/>
      <w:bookmarkEnd w:id="459"/>
      <w:bookmarkEnd w:id="460"/>
      <w:bookmarkEnd w:id="461"/>
    </w:p>
    <w:p>
      <w:pPr>
        <w:spacing w:line="600" w:lineRule="exact"/>
        <w:ind w:firstLine="482" w:firstLineChars="200"/>
        <w:outlineLvl w:val="0"/>
        <w:rPr>
          <w:rFonts w:ascii="仿宋" w:hAnsi="仿宋" w:eastAsia="仿宋" w:cs="仿宋"/>
          <w:b/>
          <w:bCs/>
          <w:sz w:val="24"/>
        </w:rPr>
      </w:pPr>
      <w:bookmarkStart w:id="486" w:name="_Toc279701261"/>
      <w:bookmarkStart w:id="487" w:name="_Toc487900371"/>
      <w:bookmarkStart w:id="488" w:name="_Toc259093690"/>
      <w:bookmarkStart w:id="489" w:name="_Toc25182"/>
      <w:bookmarkStart w:id="490" w:name="_Toc19604"/>
      <w:bookmarkStart w:id="491" w:name="_Toc11284"/>
      <w:r>
        <w:rPr>
          <w:rFonts w:hint="eastAsia" w:ascii="仿宋" w:hAnsi="仿宋" w:eastAsia="仿宋" w:cs="仿宋"/>
          <w:b/>
          <w:bCs/>
          <w:sz w:val="24"/>
        </w:rPr>
        <w:t>2.9 通知</w:t>
      </w:r>
      <w:bookmarkEnd w:id="486"/>
      <w:bookmarkEnd w:id="487"/>
      <w:bookmarkEnd w:id="488"/>
      <w:r>
        <w:rPr>
          <w:rFonts w:hint="eastAsia" w:ascii="仿宋" w:hAnsi="仿宋" w:eastAsia="仿宋" w:cs="仿宋"/>
          <w:b/>
          <w:bCs/>
          <w:sz w:val="24"/>
        </w:rPr>
        <w:t>和送达</w:t>
      </w:r>
      <w:bookmarkEnd w:id="489"/>
      <w:bookmarkEnd w:id="490"/>
      <w:bookmarkEnd w:id="491"/>
    </w:p>
    <w:p>
      <w:pPr>
        <w:spacing w:line="600" w:lineRule="exact"/>
        <w:ind w:firstLine="480" w:firstLineChars="200"/>
        <w:rPr>
          <w:rFonts w:ascii="仿宋" w:hAnsi="仿宋" w:eastAsia="仿宋" w:cs="仿宋"/>
          <w:sz w:val="24"/>
        </w:rPr>
      </w:pPr>
      <w:bookmarkStart w:id="492" w:name="_Toc6698"/>
      <w:bookmarkStart w:id="493" w:name="_Toc3135"/>
      <w:bookmarkStart w:id="494" w:name="_Toc259093691"/>
      <w:bookmarkStart w:id="495" w:name="_Toc279701262"/>
      <w:bookmarkStart w:id="496" w:name="_Toc487900372"/>
      <w:r>
        <w:rPr>
          <w:rFonts w:hint="eastAsia" w:ascii="仿宋" w:hAnsi="仿宋" w:eastAsia="仿宋" w:cs="仿宋"/>
          <w:sz w:val="24"/>
        </w:rPr>
        <w:t xml:space="preserve">2.9.1任何一方因履行合同而以合同第一部分尾部所列明的传真或电子邮件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492"/>
      <w:bookmarkEnd w:id="493"/>
    </w:p>
    <w:p>
      <w:pPr>
        <w:spacing w:line="600" w:lineRule="exact"/>
        <w:ind w:firstLine="480" w:firstLineChars="200"/>
        <w:rPr>
          <w:rFonts w:ascii="仿宋" w:hAnsi="仿宋" w:eastAsia="仿宋" w:cs="仿宋"/>
          <w:sz w:val="24"/>
        </w:rPr>
      </w:pPr>
      <w:bookmarkStart w:id="497" w:name="_Toc23294"/>
      <w:bookmarkStart w:id="498" w:name="_Toc23128"/>
      <w:r>
        <w:rPr>
          <w:rFonts w:hint="eastAsia" w:ascii="仿宋" w:hAnsi="仿宋" w:eastAsia="仿宋" w:cs="仿宋"/>
          <w:sz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bookmarkEnd w:id="496"/>
      <w:bookmarkEnd w:id="497"/>
      <w:bookmarkEnd w:id="498"/>
    </w:p>
    <w:p>
      <w:pPr>
        <w:spacing w:line="600" w:lineRule="exact"/>
        <w:ind w:firstLine="482" w:firstLineChars="200"/>
        <w:outlineLvl w:val="0"/>
        <w:rPr>
          <w:rFonts w:ascii="仿宋" w:hAnsi="仿宋" w:eastAsia="仿宋" w:cs="仿宋"/>
          <w:b/>
          <w:bCs/>
          <w:sz w:val="24"/>
        </w:rPr>
      </w:pPr>
      <w:bookmarkStart w:id="499" w:name="_Toc259093692"/>
      <w:bookmarkStart w:id="500" w:name="_Toc18567"/>
      <w:bookmarkStart w:id="501" w:name="_Toc10330"/>
      <w:bookmarkStart w:id="502" w:name="_Toc12773"/>
      <w:bookmarkStart w:id="503" w:name="_Toc279701263"/>
      <w:bookmarkStart w:id="504" w:name="_Toc487900373"/>
      <w:r>
        <w:rPr>
          <w:rFonts w:hint="eastAsia" w:ascii="仿宋" w:hAnsi="仿宋" w:eastAsia="仿宋" w:cs="仿宋"/>
          <w:b/>
          <w:bCs/>
          <w:sz w:val="24"/>
        </w:rPr>
        <w:t>2.10 合同使用的文字和适用的法律</w:t>
      </w:r>
      <w:bookmarkEnd w:id="499"/>
      <w:bookmarkEnd w:id="500"/>
      <w:bookmarkEnd w:id="501"/>
      <w:bookmarkEnd w:id="502"/>
      <w:bookmarkEnd w:id="503"/>
      <w:bookmarkEnd w:id="504"/>
    </w:p>
    <w:p>
      <w:pPr>
        <w:spacing w:line="600" w:lineRule="exact"/>
        <w:ind w:firstLine="480" w:firstLineChars="200"/>
        <w:rPr>
          <w:rFonts w:ascii="仿宋" w:hAnsi="仿宋" w:eastAsia="仿宋" w:cs="仿宋"/>
          <w:sz w:val="24"/>
        </w:rPr>
      </w:pPr>
      <w:r>
        <w:rPr>
          <w:rFonts w:hint="eastAsia" w:ascii="仿宋" w:hAnsi="仿宋" w:eastAsia="仿宋" w:cs="仿宋"/>
          <w:sz w:val="24"/>
        </w:rPr>
        <w:t>2.10.1 合同使用汉语书就、变更和解释；</w:t>
      </w:r>
    </w:p>
    <w:p>
      <w:pPr>
        <w:spacing w:line="600" w:lineRule="exact"/>
        <w:ind w:firstLine="480" w:firstLineChars="200"/>
        <w:rPr>
          <w:rFonts w:ascii="仿宋" w:hAnsi="仿宋" w:eastAsia="仿宋" w:cs="仿宋"/>
          <w:sz w:val="24"/>
        </w:rPr>
      </w:pPr>
      <w:r>
        <w:rPr>
          <w:rFonts w:hint="eastAsia" w:ascii="仿宋" w:hAnsi="仿宋" w:eastAsia="仿宋" w:cs="仿宋"/>
          <w:sz w:val="24"/>
        </w:rPr>
        <w:t>2.10.2 合同适用中华人民共和国法律。</w:t>
      </w:r>
    </w:p>
    <w:p>
      <w:pPr>
        <w:spacing w:line="600" w:lineRule="exact"/>
        <w:ind w:firstLine="482" w:firstLineChars="200"/>
        <w:outlineLvl w:val="0"/>
        <w:rPr>
          <w:rFonts w:ascii="仿宋" w:hAnsi="仿宋" w:eastAsia="仿宋" w:cs="仿宋"/>
          <w:b/>
          <w:bCs/>
          <w:sz w:val="24"/>
        </w:rPr>
      </w:pPr>
      <w:bookmarkStart w:id="505" w:name="_Toc12004"/>
      <w:bookmarkStart w:id="506" w:name="_Toc16673"/>
      <w:bookmarkStart w:id="507" w:name="_Toc259093693"/>
      <w:bookmarkStart w:id="508" w:name="_Toc279701264"/>
      <w:bookmarkStart w:id="509" w:name="_Toc3148"/>
      <w:bookmarkStart w:id="510" w:name="_Toc487900374"/>
      <w:r>
        <w:rPr>
          <w:rFonts w:hint="eastAsia" w:ascii="仿宋" w:hAnsi="仿宋" w:eastAsia="仿宋" w:cs="仿宋"/>
          <w:b/>
          <w:bCs/>
          <w:sz w:val="24"/>
        </w:rPr>
        <w:t>2.11 履约保证金</w:t>
      </w:r>
      <w:bookmarkEnd w:id="505"/>
      <w:bookmarkEnd w:id="506"/>
      <w:bookmarkEnd w:id="507"/>
      <w:bookmarkEnd w:id="508"/>
      <w:bookmarkEnd w:id="509"/>
    </w:p>
    <w:p>
      <w:pPr>
        <w:spacing w:line="600" w:lineRule="exact"/>
        <w:ind w:firstLine="480" w:firstLineChars="200"/>
        <w:outlineLvl w:val="0"/>
        <w:rPr>
          <w:rFonts w:ascii="仿宋" w:hAnsi="仿宋" w:eastAsia="仿宋" w:cs="仿宋"/>
          <w:sz w:val="24"/>
        </w:rPr>
      </w:pPr>
      <w:r>
        <w:rPr>
          <w:rFonts w:hint="eastAsia" w:ascii="仿宋" w:hAnsi="仿宋" w:eastAsia="仿宋" w:cs="仿宋"/>
          <w:sz w:val="24"/>
        </w:rPr>
        <w:t>2.11.1 采购文件要求乙方提交履约保证金的，乙方应按</w:t>
      </w:r>
      <w:r>
        <w:rPr>
          <w:rFonts w:hint="eastAsia" w:ascii="仿宋" w:hAnsi="仿宋" w:eastAsia="仿宋" w:cs="仿宋"/>
          <w:b/>
          <w:bCs/>
          <w:i/>
          <w:iCs/>
          <w:sz w:val="24"/>
          <w:u w:val="single"/>
        </w:rPr>
        <w:t>合同专用条款</w:t>
      </w:r>
      <w:r>
        <w:rPr>
          <w:rFonts w:hint="eastAsia" w:ascii="仿宋" w:hAnsi="仿宋" w:eastAsia="仿宋" w:cs="仿宋"/>
          <w:sz w:val="24"/>
        </w:rPr>
        <w:t>约定的方式，以支票、汇票、本票或者金融机构、担保机构出具的保函等非现金形式，提交不超过合同金额1%的履约保证金；鼓励和支持乙方以银行、保险公司出具的保函形式提供履约保证。</w:t>
      </w:r>
    </w:p>
    <w:p>
      <w:pPr>
        <w:spacing w:line="600" w:lineRule="exact"/>
        <w:ind w:firstLine="480" w:firstLineChars="200"/>
        <w:rPr>
          <w:rFonts w:ascii="仿宋" w:hAnsi="仿宋" w:eastAsia="仿宋" w:cs="仿宋"/>
          <w:sz w:val="24"/>
        </w:rPr>
      </w:pPr>
      <w:r>
        <w:rPr>
          <w:rFonts w:hint="eastAsia" w:ascii="仿宋" w:hAnsi="仿宋" w:eastAsia="仿宋" w:cs="仿宋"/>
          <w:sz w:val="24"/>
        </w:rPr>
        <w:t>2.11.2  履约保证金在</w:t>
      </w:r>
      <w:r>
        <w:rPr>
          <w:rFonts w:hint="eastAsia" w:ascii="仿宋" w:hAnsi="仿宋" w:eastAsia="仿宋" w:cs="仿宋"/>
          <w:b/>
          <w:bCs/>
          <w:i/>
          <w:iCs/>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bCs/>
          <w:i/>
          <w:iCs/>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600" w:lineRule="exact"/>
        <w:ind w:firstLine="480" w:firstLineChars="200"/>
        <w:rPr>
          <w:rFonts w:ascii="仿宋" w:hAnsi="仿宋" w:eastAsia="仿宋" w:cs="仿宋"/>
          <w:sz w:val="24"/>
        </w:rPr>
      </w:pPr>
      <w:r>
        <w:rPr>
          <w:rFonts w:hint="eastAsia" w:ascii="仿宋" w:hAnsi="仿宋" w:eastAsia="仿宋" w:cs="仿宋"/>
          <w:sz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仿宋" w:hAnsi="仿宋" w:eastAsia="仿宋" w:cs="仿宋"/>
          <w:sz w:val="24"/>
        </w:rPr>
      </w:pPr>
      <w:r>
        <w:rPr>
          <w:rFonts w:hint="eastAsia" w:ascii="仿宋" w:hAnsi="仿宋" w:eastAsia="仿宋" w:cs="仿宋"/>
          <w:sz w:val="24"/>
        </w:rPr>
        <w:t>2.11.4甲方在乙方履行完合同约定义务事项后及时退还，延迟退还的，应当按照合同约定和法律规定承担相应的赔偿责任。</w:t>
      </w:r>
    </w:p>
    <w:p>
      <w:pPr>
        <w:spacing w:line="600" w:lineRule="exact"/>
        <w:ind w:firstLine="480" w:firstLineChars="200"/>
        <w:rPr>
          <w:rFonts w:ascii="仿宋" w:hAnsi="仿宋" w:eastAsia="仿宋" w:cs="仿宋"/>
          <w:sz w:val="24"/>
        </w:rPr>
      </w:pPr>
      <w:r>
        <w:rPr>
          <w:rFonts w:hint="eastAsia" w:ascii="仿宋" w:hAnsi="仿宋" w:eastAsia="仿宋" w:cs="仿宋"/>
          <w:sz w:val="24"/>
        </w:rPr>
        <w:t>2.12对于因甲方原因导致变更、中止或者终止政府采购合同的，甲方应当依照合同约定对供应商受到的损失予以赔偿或者补偿。</w:t>
      </w:r>
      <w:bookmarkEnd w:id="510"/>
    </w:p>
    <w:p>
      <w:pPr>
        <w:spacing w:line="600" w:lineRule="exact"/>
        <w:ind w:firstLine="482" w:firstLineChars="200"/>
        <w:outlineLvl w:val="0"/>
        <w:rPr>
          <w:rFonts w:ascii="仿宋" w:hAnsi="仿宋" w:eastAsia="仿宋" w:cs="仿宋"/>
          <w:b/>
          <w:bCs/>
          <w:sz w:val="24"/>
        </w:rPr>
      </w:pPr>
      <w:bookmarkStart w:id="511" w:name="_Toc14001"/>
      <w:bookmarkStart w:id="512" w:name="_Toc6885"/>
      <w:bookmarkStart w:id="513" w:name="_Toc19890"/>
      <w:r>
        <w:rPr>
          <w:rFonts w:hint="eastAsia" w:ascii="仿宋" w:hAnsi="仿宋" w:eastAsia="仿宋" w:cs="仿宋"/>
          <w:b/>
          <w:bCs/>
          <w:sz w:val="24"/>
        </w:rPr>
        <w:t>2.13合同份数</w:t>
      </w:r>
      <w:bookmarkEnd w:id="511"/>
      <w:bookmarkEnd w:id="512"/>
      <w:bookmarkEnd w:id="513"/>
    </w:p>
    <w:p>
      <w:pPr>
        <w:spacing w:line="60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bCs/>
          <w:i/>
          <w:iCs/>
          <w:sz w:val="24"/>
          <w:u w:val="single"/>
        </w:rPr>
        <w:t>合同专用条款</w:t>
      </w:r>
      <w:r>
        <w:rPr>
          <w:rFonts w:hint="eastAsia" w:ascii="仿宋" w:hAnsi="仿宋" w:eastAsia="仿宋" w:cs="仿宋"/>
          <w:sz w:val="24"/>
        </w:rPr>
        <w:t>规定，每份均具有同等法律效力。</w:t>
      </w:r>
    </w:p>
    <w:p>
      <w:pPr>
        <w:pStyle w:val="81"/>
        <w:spacing w:after="0" w:line="600" w:lineRule="exact"/>
        <w:ind w:left="0" w:leftChars="0" w:firstLine="0" w:firstLineChars="0"/>
        <w:jc w:val="center"/>
        <w:rPr>
          <w:rFonts w:ascii="仿宋" w:hAnsi="仿宋" w:eastAsia="仿宋" w:cs="仿宋"/>
          <w:b/>
          <w:bCs/>
          <w:sz w:val="28"/>
          <w:szCs w:val="28"/>
        </w:rPr>
      </w:pPr>
      <w:r>
        <w:rPr>
          <w:rFonts w:hint="eastAsia" w:ascii="仿宋" w:hAnsi="仿宋" w:eastAsia="仿宋" w:cs="仿宋"/>
          <w:kern w:val="0"/>
        </w:rPr>
        <w:br w:type="page"/>
      </w:r>
      <w:r>
        <w:rPr>
          <w:rFonts w:hint="eastAsia" w:ascii="仿宋" w:hAnsi="仿宋" w:eastAsia="仿宋" w:cs="仿宋"/>
          <w:b/>
          <w:bCs/>
          <w:sz w:val="28"/>
          <w:szCs w:val="28"/>
        </w:rPr>
        <w:t>第三部分  合同专用条款</w:t>
      </w:r>
    </w:p>
    <w:p>
      <w:pPr>
        <w:spacing w:line="60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条款号</w:t>
            </w:r>
          </w:p>
        </w:tc>
        <w:tc>
          <w:tcPr>
            <w:tcW w:w="8275" w:type="dxa"/>
            <w:vAlign w:val="center"/>
          </w:tcPr>
          <w:p>
            <w:pPr>
              <w:jc w:val="center"/>
              <w:rPr>
                <w:rFonts w:ascii="仿宋" w:hAnsi="仿宋" w:eastAsia="仿宋" w:cs="仿宋"/>
                <w:b/>
                <w:bCs/>
                <w:sz w:val="24"/>
              </w:rPr>
            </w:pPr>
            <w:r>
              <w:rPr>
                <w:rFonts w:hint="eastAsia" w:ascii="仿宋" w:hAnsi="仿宋" w:eastAsia="仿宋" w:cs="仿宋"/>
                <w:b/>
                <w:bCs/>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1.4.4</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1.6.7</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2.3.2</w:t>
            </w:r>
          </w:p>
        </w:tc>
        <w:tc>
          <w:tcPr>
            <w:tcW w:w="8275" w:type="dxa"/>
            <w:vAlign w:val="center"/>
          </w:tcPr>
          <w:p>
            <w:pPr>
              <w:ind w:left="-420" w:leftChars="-200" w:right="-420" w:rightChars="-200" w:firstLine="480" w:firstLineChars="200"/>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2.4.1</w:t>
            </w:r>
          </w:p>
        </w:tc>
        <w:tc>
          <w:tcPr>
            <w:tcW w:w="8275" w:type="dxa"/>
            <w:vAlign w:val="center"/>
          </w:tcPr>
          <w:p>
            <w:pPr>
              <w:ind w:left="-420" w:leftChars="-200" w:right="-420" w:rightChars="-200" w:firstLine="480" w:firstLineChars="200"/>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2.4.2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2.8</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2.12.3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2.12.4</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2.16.1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2.16.3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2.20.1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2.20.2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8275" w:type="dxa"/>
            <w:vAlign w:val="center"/>
          </w:tcPr>
          <w:p>
            <w:pPr>
              <w:jc w:val="center"/>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jc w:val="center"/>
        <w:rPr>
          <w:rFonts w:ascii="仿宋" w:hAnsi="仿宋" w:eastAsia="仿宋" w:cs="仿宋"/>
          <w:b/>
          <w:bCs/>
          <w:sz w:val="24"/>
        </w:rPr>
      </w:pPr>
      <w:r>
        <w:rPr>
          <w:rFonts w:hint="eastAsia" w:ascii="仿宋" w:hAnsi="仿宋" w:eastAsia="仿宋" w:cs="仿宋"/>
          <w:b/>
          <w:bCs/>
          <w:sz w:val="24"/>
        </w:rPr>
        <w:t>此仅为合同书样本，中标单位需根据实际情况和采购人签订相应的合同！</w:t>
      </w:r>
    </w:p>
    <w:p>
      <w:pPr>
        <w:rPr>
          <w:rFonts w:ascii="仿宋_GB2312" w:hAnsi="仿宋_GB2312" w:eastAsia="仿宋_GB2312" w:cs="仿宋_GB2312"/>
          <w:b/>
        </w:rPr>
      </w:pPr>
      <w:r>
        <w:rPr>
          <w:rFonts w:hint="eastAsia" w:ascii="仿宋_GB2312" w:hAnsi="仿宋_GB2312" w:eastAsia="仿宋_GB2312" w:cs="仿宋_GB2312"/>
          <w:b/>
        </w:rPr>
        <w:br w:type="page"/>
      </w:r>
    </w:p>
    <w:bookmarkEnd w:id="409"/>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07"/>
      <w:r>
        <w:rPr>
          <w:rFonts w:hint="eastAsia" w:ascii="仿宋" w:hAnsi="仿宋" w:eastAsia="仿宋" w:cs="仿宋"/>
          <w:b/>
          <w:sz w:val="36"/>
          <w:szCs w:val="20"/>
        </w:rPr>
        <w:t xml:space="preserve"> </w:t>
      </w:r>
      <w:bookmarkEnd w:id="408"/>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rPr>
          <w:rFonts w:ascii="仿宋" w:hAnsi="仿宋" w:eastAsia="仿宋" w:cs="仿宋"/>
          <w:b/>
          <w:kern w:val="0"/>
          <w:sz w:val="36"/>
          <w:szCs w:val="36"/>
        </w:rPr>
      </w:pPr>
    </w:p>
    <w:p>
      <w:pPr>
        <w:pStyle w:val="28"/>
        <w:ind w:firstLine="723"/>
        <w:rPr>
          <w:rFonts w:ascii="仿宋_GB2312" w:hAnsi="仿宋" w:eastAsia="仿宋_GB2312" w:cs="仿宋_GB2312"/>
          <w:b/>
          <w:kern w:val="0"/>
          <w:sz w:val="36"/>
          <w:szCs w:val="36"/>
        </w:rPr>
      </w:pPr>
    </w:p>
    <w:p>
      <w:pPr>
        <w:pStyle w:val="2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Pr>
        <w:pStyle w:val="84"/>
        <w:rPr>
          <w:rFonts w:ascii="仿宋_GB2312" w:hAnsi="仿宋" w:eastAsia="仿宋_GB2312" w:cs="仿宋_GB2312"/>
          <w:b/>
          <w:sz w:val="36"/>
          <w:szCs w:val="36"/>
        </w:rPr>
      </w:pPr>
    </w:p>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4"/>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招标编号： </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pPr>
        <w:pStyle w:val="28"/>
        <w:ind w:firstLine="420"/>
      </w:pPr>
    </w:p>
    <w:p>
      <w:pPr>
        <w:spacing w:line="360" w:lineRule="auto"/>
        <w:jc w:val="center"/>
        <w:outlineLvl w:val="0"/>
        <w:rPr>
          <w:rFonts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 录</w:t>
      </w:r>
    </w:p>
    <w:p>
      <w:pPr>
        <w:spacing w:line="360" w:lineRule="auto"/>
        <w:jc w:val="center"/>
        <w:outlineLvl w:val="0"/>
        <w:rPr>
          <w:rFonts w:ascii="华文仿宋" w:hAnsi="华文仿宋" w:eastAsia="华文仿宋" w:cs="华文仿宋"/>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27"/>
        <w:ind w:firstLine="0" w:firstLineChars="0"/>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widowControl/>
        <w:snapToGrid w:val="0"/>
        <w:spacing w:line="360" w:lineRule="auto"/>
        <w:jc w:val="left"/>
        <w:rPr>
          <w:rFonts w:ascii="宋体" w:hAnsi="宋体" w:cs="宋体"/>
          <w:color w:val="000000"/>
          <w:kern w:val="0"/>
          <w:sz w:val="24"/>
        </w:rPr>
      </w:pPr>
    </w:p>
    <w:p>
      <w:pPr>
        <w:pStyle w:val="27"/>
      </w:pP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28"/>
        <w:ind w:firstLine="480"/>
        <w:rPr>
          <w:rFonts w:cs="宋体"/>
          <w:color w:val="000000"/>
          <w:sz w:val="24"/>
        </w:rPr>
      </w:pPr>
    </w:p>
    <w:p>
      <w:pPr>
        <w:pStyle w:val="25"/>
      </w:pPr>
    </w:p>
    <w:p/>
    <w:p>
      <w:pPr>
        <w:pStyle w:val="28"/>
        <w:ind w:firstLine="420"/>
      </w:pPr>
    </w:p>
    <w:p>
      <w:pPr>
        <w:pStyle w:val="25"/>
      </w:pPr>
    </w:p>
    <w:p/>
    <w:p>
      <w:pPr>
        <w:pStyle w:val="28"/>
        <w:ind w:firstLine="420"/>
      </w:pPr>
    </w:p>
    <w:p>
      <w:pPr>
        <w:pStyle w:val="25"/>
      </w:pPr>
    </w:p>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我方参与临平区崇贤新城单元详细规划【招标编号：</w:t>
      </w:r>
      <w:r>
        <w:rPr>
          <w:rFonts w:hint="eastAsia" w:ascii="仿宋_GB2312" w:hAnsi="仿宋" w:eastAsia="仿宋_GB2312"/>
          <w:sz w:val="24"/>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28"/>
        <w:ind w:firstLine="420"/>
      </w:pPr>
    </w:p>
    <w:p>
      <w:pPr>
        <w:snapToGrid w:val="0"/>
        <w:spacing w:line="360" w:lineRule="auto"/>
        <w:ind w:right="480"/>
        <w:jc w:val="center"/>
        <w:rPr>
          <w:rFonts w:ascii="仿宋_GB2312" w:hAnsi="仿宋" w:eastAsia="仿宋_GB2312" w:cs="仿宋_GB2312"/>
          <w:b/>
          <w:kern w:val="0"/>
          <w:sz w:val="32"/>
          <w:szCs w:val="32"/>
        </w:rPr>
      </w:pPr>
    </w:p>
    <w:p>
      <w:pPr>
        <w:pStyle w:val="84"/>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spacing w:line="360" w:lineRule="auto"/>
        <w:ind w:left="150" w:firstLine="480" w:firstLineChars="200"/>
        <w:jc w:val="left"/>
        <w:rPr>
          <w:rFonts w:ascii="仿宋_GB2312" w:hAnsi="仿宋" w:eastAsia="仿宋_GB2312" w:cs="仿宋_GB2312"/>
          <w:color w:val="FF0000"/>
          <w:sz w:val="24"/>
        </w:rPr>
      </w:pPr>
      <w:r>
        <w:rPr>
          <w:rFonts w:hint="eastAsia" w:ascii="仿宋_GB2312" w:hAnsi="仿宋" w:eastAsia="仿宋_GB2312" w:cs="仿宋_GB2312"/>
          <w:color w:val="FF0000"/>
          <w:sz w:val="24"/>
          <w:highlight w:val="yellow"/>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_GB2312" w:hAnsi="仿宋" w:eastAsia="仿宋_GB2312" w:cs="仿宋_GB2312"/>
          <w:sz w:val="24"/>
        </w:rPr>
      </w:pP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pStyle w:val="28"/>
        <w:ind w:firstLine="643"/>
        <w:rPr>
          <w:rFonts w:ascii="仿宋_GB2312" w:hAnsi="仿宋" w:eastAsia="仿宋_GB2312" w:cs="仿宋_GB2312"/>
          <w:b/>
          <w:kern w:val="0"/>
          <w:sz w:val="32"/>
          <w:szCs w:val="32"/>
        </w:rPr>
      </w:pPr>
    </w:p>
    <w:p>
      <w:pPr>
        <w:pStyle w:val="2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8"/>
        <w:ind w:firstLine="420"/>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pStyle w:val="27"/>
        <w:spacing w:line="360" w:lineRule="auto"/>
        <w:rPr>
          <w:rFonts w:ascii="仿宋_GB2312" w:hAnsi="仿宋_GB2312" w:eastAsia="仿宋_GB2312" w:cs="仿宋_GB231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514" w:name="_Toc17190"/>
      <w:r>
        <w:rPr>
          <w:rFonts w:hint="eastAsia" w:ascii="仿宋_GB2312" w:hAnsi="仿宋_GB2312" w:eastAsia="仿宋_GB2312" w:cs="仿宋_GB2312"/>
          <w:b/>
          <w:bCs/>
          <w:color w:val="000000"/>
          <w:sz w:val="52"/>
          <w:szCs w:val="52"/>
        </w:rPr>
        <w:t>商 务 技 术 文 件</w:t>
      </w:r>
      <w:bookmarkEnd w:id="514"/>
    </w:p>
    <w:p>
      <w:pPr>
        <w:widowControl/>
        <w:spacing w:line="360" w:lineRule="auto"/>
        <w:ind w:right="-2"/>
        <w:jc w:val="center"/>
        <w:outlineLvl w:val="1"/>
        <w:rPr>
          <w:rFonts w:ascii="仿宋_GB2312" w:hAnsi="仿宋_GB2312" w:eastAsia="仿宋_GB2312" w:cs="仿宋_GB2312"/>
          <w:b/>
          <w:color w:val="000000"/>
          <w:sz w:val="36"/>
          <w:szCs w:val="36"/>
        </w:rPr>
      </w:pPr>
      <w:bookmarkStart w:id="515" w:name="_Toc27078"/>
      <w:r>
        <w:rPr>
          <w:rFonts w:hint="eastAsia" w:ascii="仿宋_GB2312" w:hAnsi="仿宋_GB2312" w:eastAsia="仿宋_GB2312" w:cs="仿宋_GB2312"/>
          <w:b/>
          <w:color w:val="000000"/>
          <w:sz w:val="36"/>
          <w:szCs w:val="36"/>
        </w:rPr>
        <w:t>（线上电子招投标）</w:t>
      </w:r>
      <w:bookmarkEnd w:id="515"/>
    </w:p>
    <w:p>
      <w:pPr>
        <w:pStyle w:val="84"/>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516" w:name="_Toc28851"/>
      <w:r>
        <w:rPr>
          <w:rFonts w:hint="eastAsia" w:ascii="仿宋_GB2312" w:hAnsi="仿宋_GB2312" w:eastAsia="仿宋_GB2312" w:cs="仿宋_GB2312"/>
          <w:b/>
          <w:bCs/>
          <w:color w:val="000000"/>
          <w:sz w:val="36"/>
          <w:szCs w:val="36"/>
        </w:rPr>
        <w:t xml:space="preserve">  招标编号：</w:t>
      </w:r>
      <w:bookmarkEnd w:id="516"/>
      <w:r>
        <w:rPr>
          <w:rFonts w:hint="eastAsia" w:ascii="仿宋_GB2312" w:hAnsi="仿宋_GB2312" w:eastAsia="仿宋_GB2312" w:cs="仿宋_GB2312"/>
          <w:b/>
          <w:bCs/>
          <w:color w:val="000000"/>
          <w:sz w:val="36"/>
          <w:szCs w:val="36"/>
        </w:rPr>
        <w:t xml:space="preserve"> </w:t>
      </w:r>
    </w:p>
    <w:p>
      <w:pPr>
        <w:pStyle w:val="84"/>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27"/>
        <w:spacing w:line="360" w:lineRule="auto"/>
        <w:rPr>
          <w:rFonts w:ascii="仿宋_GB2312" w:hAnsi="仿宋_GB2312" w:eastAsia="仿宋_GB2312" w:cs="仿宋_GB231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pPr>
        <w:pStyle w:val="28"/>
        <w:ind w:firstLine="420"/>
        <w:rPr>
          <w:rFonts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28"/>
        <w:ind w:firstLine="643"/>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8"/>
        <w:ind w:firstLine="643"/>
        <w:rPr>
          <w:rFonts w:ascii="仿宋_GB2312" w:hAnsi="仿宋" w:eastAsia="仿宋_GB2312" w:cs="仿宋_GB2312"/>
          <w:b/>
          <w:kern w:val="0"/>
          <w:sz w:val="32"/>
          <w:szCs w:val="32"/>
        </w:rPr>
      </w:pPr>
    </w:p>
    <w:p>
      <w:pPr>
        <w:pStyle w:val="25"/>
      </w:pPr>
    </w:p>
    <w:p>
      <w:pPr>
        <w:pStyle w:val="4"/>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12"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杭州市临平区超山风景名胜区管理委员会</w:t>
      </w:r>
      <w:r>
        <w:rPr>
          <w:rFonts w:hint="eastAsia" w:ascii="仿宋_GB2312" w:hAnsi="仿宋" w:eastAsia="仿宋_GB2312" w:cs="仿宋_GB2312"/>
          <w:sz w:val="24"/>
        </w:rPr>
        <w:t>）、（晟大项目管理（浙江）有限公司）：</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rPr>
        <w:t>临平区崇贤新城单元详细规划</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12"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12"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12" w:lineRule="auto"/>
        <w:ind w:firstLine="3600" w:firstLineChars="1500"/>
        <w:rPr>
          <w:rFonts w:ascii="仿宋_GB2312" w:hAnsi="仿宋" w:eastAsia="仿宋_GB2312" w:cs="仿宋_GB2312"/>
          <w:sz w:val="24"/>
        </w:rPr>
      </w:pPr>
    </w:p>
    <w:p>
      <w:pPr>
        <w:spacing w:line="312"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12"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杭州市临平区超山风景名胜区管理委员会</w:t>
      </w:r>
      <w:r>
        <w:rPr>
          <w:rFonts w:hint="eastAsia" w:ascii="仿宋_GB2312" w:hAnsi="仿宋" w:eastAsia="仿宋_GB2312" w:cs="仿宋_GB2312"/>
          <w:sz w:val="24"/>
        </w:rPr>
        <w:t>）、（晟大项目管理（浙江）有限公司）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rPr>
        <w:t>临平区崇贤新城单元详细规划</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投标人名称(公章或电子公章)：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28"/>
        <w:ind w:firstLine="420"/>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tcPr>
          <w:p>
            <w:pPr>
              <w:pStyle w:val="9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8"/>
        <w:ind w:left="0" w:leftChars="0" w:firstLine="0" w:firstLineChars="0"/>
      </w:pPr>
    </w:p>
    <w:p>
      <w:pPr>
        <w:pStyle w:val="25"/>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r>
        <w:rPr>
          <w:rFonts w:hint="eastAsia" w:ascii="仿宋_GB2312" w:hAnsi="仿宋" w:eastAsia="仿宋_GB2312" w:cs="仿宋_GB2312"/>
          <w:b/>
          <w:kern w:val="0"/>
          <w:sz w:val="32"/>
          <w:szCs w:val="32"/>
        </w:rPr>
        <w:t>(无须提供）</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临平区崇贤新城单元详细规划【招标编号：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临平区崇贤新城单元详细规划【招标编号：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8"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tcPr>
          <w:p>
            <w:pPr>
              <w:rPr>
                <w:rFonts w:ascii="仿宋" w:hAnsi="仿宋" w:eastAsia="仿宋" w:cs="仿宋_GB2312"/>
                <w:sz w:val="24"/>
              </w:rPr>
            </w:pPr>
          </w:p>
          <w:p>
            <w:r>
              <w:rPr>
                <w:rFonts w:hint="eastAsia" w:ascii="仿宋" w:hAnsi="仿宋" w:eastAsia="仿宋" w:cs="仿宋_GB2312"/>
                <w:sz w:val="24"/>
              </w:rPr>
              <w:t>详见投标文件所有内容。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210"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679" w:type="dxa"/>
          </w:tcPr>
          <w:p>
            <w:pPr>
              <w:rPr>
                <w:rFonts w:ascii="仿宋" w:hAnsi="仿宋" w:eastAsia="仿宋" w:cs="仿宋_GB2312"/>
                <w:sz w:val="24"/>
              </w:rPr>
            </w:pPr>
          </w:p>
          <w:p>
            <w:pPr>
              <w:rPr>
                <w:rFonts w:ascii="仿宋" w:hAnsi="仿宋" w:eastAsia="仿宋" w:cs="仿宋_GB2312"/>
                <w:sz w:val="24"/>
              </w:rPr>
            </w:pPr>
          </w:p>
          <w:p>
            <w:pPr>
              <w:pStyle w:val="4"/>
              <w:rPr>
                <w:rFonts w:eastAsia="仿宋"/>
              </w:rPr>
            </w:pPr>
            <w:r>
              <w:rPr>
                <w:rFonts w:hint="eastAsia" w:ascii="仿宋" w:eastAsia="仿宋" w:cs="仿宋_GB2312"/>
                <w:sz w:val="24"/>
              </w:rPr>
              <w:t>服务项目无须提供。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210"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9"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ascii="仿宋_GB2312" w:hAnsi="仿宋" w:eastAsia="仿宋_GB2312" w:cs="仿宋_GB2312"/>
          <w:kern w:val="0"/>
          <w:sz w:val="24"/>
          <w:lang w:val="zh-CN"/>
        </w:rPr>
        <w:t xml:space="preserve"> 投标人名称(公章或电子公章)：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8"/>
        <w:ind w:firstLine="643"/>
        <w:rPr>
          <w:rFonts w:ascii="仿宋_GB2312" w:hAnsi="仿宋" w:eastAsia="仿宋_GB2312"/>
          <w:b/>
          <w:bCs/>
          <w:sz w:val="32"/>
          <w:szCs w:val="32"/>
        </w:rPr>
      </w:pPr>
    </w:p>
    <w:p>
      <w:pPr>
        <w:pStyle w:val="25"/>
      </w:pPr>
    </w:p>
    <w:p>
      <w:pPr>
        <w:rPr>
          <w:rFonts w:ascii="仿宋_GB2312" w:hAnsi="仿宋" w:eastAsia="仿宋_GB2312" w:cs="仿宋_GB2312"/>
          <w:b/>
          <w:kern w:val="0"/>
          <w:sz w:val="32"/>
          <w:szCs w:val="32"/>
        </w:rPr>
      </w:pPr>
    </w:p>
    <w:p>
      <w:pPr>
        <w:pStyle w:val="27"/>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杭州市临平区超山风景名胜区管理委员会</w:t>
      </w:r>
      <w:r>
        <w:rPr>
          <w:rFonts w:hint="eastAsia" w:ascii="仿宋_GB2312" w:hAnsi="仿宋" w:eastAsia="仿宋_GB2312" w:cs="仿宋_GB2312"/>
          <w:sz w:val="24"/>
        </w:rPr>
        <w:t>）、（晟大项目管理（浙江）有限公司）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517" w:name="_Toc105"/>
      <w:r>
        <w:rPr>
          <w:rFonts w:hint="eastAsia" w:ascii="仿宋_GB2312" w:hAnsi="仿宋_GB2312" w:eastAsia="仿宋_GB2312" w:cs="仿宋_GB2312"/>
          <w:b/>
          <w:bCs/>
          <w:color w:val="000000"/>
          <w:sz w:val="52"/>
          <w:szCs w:val="52"/>
        </w:rPr>
        <w:t>报 价 文 件</w:t>
      </w:r>
      <w:bookmarkEnd w:id="517"/>
    </w:p>
    <w:p>
      <w:pPr>
        <w:widowControl/>
        <w:spacing w:line="360" w:lineRule="auto"/>
        <w:ind w:right="-2"/>
        <w:jc w:val="center"/>
        <w:outlineLvl w:val="1"/>
        <w:rPr>
          <w:rFonts w:ascii="仿宋_GB2312" w:hAnsi="仿宋_GB2312" w:eastAsia="仿宋_GB2312" w:cs="仿宋_GB2312"/>
          <w:b/>
          <w:color w:val="000000"/>
          <w:sz w:val="36"/>
          <w:szCs w:val="36"/>
        </w:rPr>
      </w:pPr>
      <w:bookmarkStart w:id="518" w:name="_Toc22501"/>
      <w:r>
        <w:rPr>
          <w:rFonts w:hint="eastAsia" w:ascii="仿宋_GB2312" w:hAnsi="仿宋_GB2312" w:eastAsia="仿宋_GB2312" w:cs="仿宋_GB2312"/>
          <w:b/>
          <w:color w:val="000000"/>
          <w:sz w:val="36"/>
          <w:szCs w:val="36"/>
        </w:rPr>
        <w:t>（线上电子招投标）</w:t>
      </w:r>
      <w:bookmarkEnd w:id="518"/>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519"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519"/>
      <w:r>
        <w:rPr>
          <w:rFonts w:hint="eastAsia" w:ascii="仿宋_GB2312" w:hAnsi="仿宋_GB2312" w:eastAsia="仿宋_GB2312" w:cs="仿宋_GB2312"/>
          <w:b/>
          <w:bCs/>
          <w:color w:val="000000"/>
          <w:sz w:val="36"/>
          <w:szCs w:val="36"/>
        </w:rPr>
        <w:t xml:space="preserve"> </w:t>
      </w:r>
    </w:p>
    <w:p>
      <w:pPr>
        <w:pStyle w:val="84"/>
        <w:spacing w:line="360" w:lineRule="auto"/>
        <w:rPr>
          <w:rFonts w:ascii="仿宋_GB2312" w:hAnsi="仿宋_GB2312" w:eastAsia="仿宋_GB2312" w:cs="仿宋_GB2312"/>
          <w:sz w:val="72"/>
          <w:szCs w:val="7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4"/>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384"/>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杭州市临平区超山风景名胜区管理委员会</w:t>
      </w:r>
      <w:r>
        <w:rPr>
          <w:rFonts w:hint="eastAsia" w:ascii="仿宋_GB2312" w:hAnsi="仿宋" w:eastAsia="仿宋_GB2312" w:cs="仿宋_GB2312"/>
          <w:sz w:val="24"/>
        </w:rPr>
        <w:t>）、（晟大项目管理（浙江）有限公司）</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szCs w:val="20"/>
              </w:rPr>
            </w:pPr>
            <w:r>
              <w:rPr>
                <w:rFonts w:hint="eastAsia" w:ascii="宋体" w:hAnsi="宋体" w:cs="宋体"/>
                <w:b/>
                <w:sz w:val="24"/>
                <w:szCs w:val="20"/>
              </w:rPr>
              <w:t>序号</w:t>
            </w:r>
          </w:p>
        </w:tc>
        <w:tc>
          <w:tcPr>
            <w:tcW w:w="992" w:type="dxa"/>
            <w:vAlign w:val="center"/>
          </w:tcPr>
          <w:p>
            <w:pPr>
              <w:spacing w:line="360" w:lineRule="auto"/>
              <w:jc w:val="center"/>
              <w:rPr>
                <w:rFonts w:ascii="宋体" w:hAnsi="宋体" w:cs="宋体"/>
                <w:b/>
                <w:sz w:val="24"/>
                <w:szCs w:val="20"/>
              </w:rPr>
            </w:pPr>
            <w:r>
              <w:rPr>
                <w:rFonts w:hint="eastAsia" w:ascii="宋体" w:hAnsi="宋体" w:cs="宋体"/>
                <w:b/>
                <w:sz w:val="24"/>
                <w:szCs w:val="20"/>
              </w:rPr>
              <w:t>名称</w:t>
            </w:r>
          </w:p>
        </w:tc>
        <w:tc>
          <w:tcPr>
            <w:tcW w:w="2268" w:type="dxa"/>
          </w:tcPr>
          <w:p>
            <w:pPr>
              <w:spacing w:line="360" w:lineRule="auto"/>
              <w:jc w:val="center"/>
              <w:rPr>
                <w:rFonts w:ascii="宋体" w:hAnsi="宋体" w:cs="宋体"/>
                <w:b/>
                <w:sz w:val="24"/>
                <w:szCs w:val="20"/>
              </w:rPr>
            </w:pPr>
          </w:p>
          <w:p>
            <w:pPr>
              <w:spacing w:line="360" w:lineRule="auto"/>
              <w:jc w:val="center"/>
              <w:rPr>
                <w:rFonts w:ascii="宋体" w:hAnsi="宋体" w:cs="宋体"/>
                <w:b/>
                <w:sz w:val="24"/>
                <w:szCs w:val="20"/>
              </w:rPr>
            </w:pPr>
            <w:r>
              <w:rPr>
                <w:rFonts w:hint="eastAsia" w:ascii="宋体" w:hAnsi="宋体" w:cs="宋体"/>
                <w:b/>
                <w:sz w:val="24"/>
                <w:szCs w:val="20"/>
              </w:rPr>
              <w:t>服务范围</w:t>
            </w:r>
          </w:p>
        </w:tc>
        <w:tc>
          <w:tcPr>
            <w:tcW w:w="2410" w:type="dxa"/>
            <w:vAlign w:val="center"/>
          </w:tcPr>
          <w:p>
            <w:pPr>
              <w:spacing w:line="360" w:lineRule="auto"/>
              <w:jc w:val="center"/>
              <w:rPr>
                <w:rFonts w:ascii="宋体" w:hAnsi="宋体" w:cs="宋体"/>
                <w:b/>
                <w:sz w:val="24"/>
                <w:szCs w:val="20"/>
              </w:rPr>
            </w:pPr>
            <w:r>
              <w:rPr>
                <w:rFonts w:hint="eastAsia" w:ascii="宋体" w:hAnsi="宋体" w:cs="宋体"/>
                <w:b/>
                <w:sz w:val="24"/>
                <w:szCs w:val="20"/>
              </w:rPr>
              <w:t>服务要求</w:t>
            </w:r>
          </w:p>
        </w:tc>
        <w:tc>
          <w:tcPr>
            <w:tcW w:w="2268" w:type="dxa"/>
            <w:vAlign w:val="center"/>
          </w:tcPr>
          <w:p>
            <w:pPr>
              <w:spacing w:line="360" w:lineRule="auto"/>
              <w:jc w:val="center"/>
              <w:rPr>
                <w:rFonts w:ascii="宋体" w:hAnsi="宋体" w:cs="宋体"/>
                <w:b/>
                <w:sz w:val="24"/>
                <w:szCs w:val="20"/>
              </w:rPr>
            </w:pPr>
            <w:r>
              <w:rPr>
                <w:rFonts w:hint="eastAsia" w:ascii="宋体" w:hAnsi="宋体" w:cs="宋体"/>
                <w:b/>
                <w:sz w:val="24"/>
                <w:szCs w:val="20"/>
              </w:rPr>
              <w:t>服务时间</w:t>
            </w:r>
          </w:p>
        </w:tc>
        <w:tc>
          <w:tcPr>
            <w:tcW w:w="2126" w:type="dxa"/>
            <w:vAlign w:val="center"/>
          </w:tcPr>
          <w:p>
            <w:pPr>
              <w:spacing w:line="360" w:lineRule="auto"/>
              <w:jc w:val="center"/>
              <w:rPr>
                <w:rFonts w:ascii="宋体" w:hAnsi="宋体" w:cs="宋体"/>
                <w:b/>
                <w:sz w:val="24"/>
                <w:szCs w:val="20"/>
              </w:rPr>
            </w:pPr>
            <w:r>
              <w:rPr>
                <w:rFonts w:hint="eastAsia" w:ascii="宋体" w:hAnsi="宋体" w:cs="宋体"/>
                <w:b/>
                <w:sz w:val="24"/>
                <w:szCs w:val="20"/>
              </w:rPr>
              <w:t>服务标准</w:t>
            </w:r>
          </w:p>
        </w:tc>
        <w:tc>
          <w:tcPr>
            <w:tcW w:w="2127" w:type="dxa"/>
          </w:tcPr>
          <w:p>
            <w:pPr>
              <w:spacing w:line="360" w:lineRule="auto"/>
              <w:jc w:val="center"/>
              <w:rPr>
                <w:rFonts w:ascii="宋体" w:hAnsi="宋体" w:cs="宋体"/>
                <w:b/>
                <w:sz w:val="24"/>
                <w:szCs w:val="20"/>
              </w:rPr>
            </w:pPr>
          </w:p>
          <w:p>
            <w:pPr>
              <w:spacing w:line="360" w:lineRule="auto"/>
              <w:jc w:val="center"/>
              <w:rPr>
                <w:rFonts w:ascii="宋体" w:hAnsi="宋体" w:cs="宋体"/>
                <w:b/>
                <w:sz w:val="24"/>
                <w:szCs w:val="20"/>
              </w:rPr>
            </w:pPr>
            <w:r>
              <w:rPr>
                <w:rFonts w:hint="eastAsia" w:ascii="宋体" w:hAnsi="宋体" w:cs="宋体"/>
                <w:b/>
                <w:sz w:val="24"/>
                <w:szCs w:val="20"/>
              </w:rPr>
              <w:t>服务人数</w:t>
            </w:r>
          </w:p>
        </w:tc>
        <w:tc>
          <w:tcPr>
            <w:tcW w:w="2126" w:type="dxa"/>
            <w:vAlign w:val="center"/>
          </w:tcPr>
          <w:p>
            <w:pPr>
              <w:spacing w:line="360" w:lineRule="auto"/>
              <w:jc w:val="center"/>
              <w:rPr>
                <w:rFonts w:ascii="宋体" w:hAnsi="宋体" w:cs="宋体"/>
                <w:b/>
                <w:sz w:val="24"/>
                <w:szCs w:val="20"/>
              </w:rPr>
            </w:pPr>
          </w:p>
          <w:p>
            <w:pPr>
              <w:spacing w:line="360" w:lineRule="auto"/>
              <w:jc w:val="center"/>
              <w:rPr>
                <w:rFonts w:ascii="宋体" w:hAnsi="宋体" w:cs="宋体"/>
                <w:b/>
                <w:sz w:val="24"/>
                <w:szCs w:val="20"/>
              </w:rPr>
            </w:pPr>
            <w:r>
              <w:rPr>
                <w:rFonts w:hint="eastAsia" w:ascii="宋体" w:hAnsi="宋体" w:cs="宋体"/>
                <w:b/>
                <w:sz w:val="24"/>
                <w:szCs w:val="20"/>
              </w:rPr>
              <w:t>备注（如果有）</w:t>
            </w:r>
          </w:p>
          <w:p>
            <w:pPr>
              <w:spacing w:line="360" w:lineRule="auto"/>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szCs w:val="20"/>
              </w:rPr>
            </w:pPr>
            <w:r>
              <w:rPr>
                <w:rFonts w:hint="eastAsia" w:ascii="宋体" w:hAnsi="宋体" w:cs="宋体"/>
                <w:sz w:val="24"/>
                <w:szCs w:val="20"/>
              </w:rPr>
              <w:t>1</w:t>
            </w:r>
          </w:p>
        </w:tc>
        <w:tc>
          <w:tcPr>
            <w:tcW w:w="992" w:type="dxa"/>
            <w:vAlign w:val="center"/>
          </w:tcPr>
          <w:p>
            <w:pPr>
              <w:snapToGrid w:val="0"/>
              <w:spacing w:line="360" w:lineRule="auto"/>
              <w:jc w:val="center"/>
              <w:rPr>
                <w:rFonts w:ascii="宋体" w:hAnsi="宋体" w:cs="宋体"/>
                <w:sz w:val="24"/>
                <w:szCs w:val="20"/>
              </w:rPr>
            </w:pPr>
            <w:r>
              <w:rPr>
                <w:rFonts w:hint="eastAsia" w:ascii="宋体" w:hAnsi="宋体" w:cs="宋体"/>
                <w:sz w:val="24"/>
                <w:szCs w:val="20"/>
              </w:rPr>
              <w:t>XX</w:t>
            </w:r>
          </w:p>
        </w:tc>
        <w:tc>
          <w:tcPr>
            <w:tcW w:w="2268" w:type="dxa"/>
            <w:vAlign w:val="center"/>
          </w:tcPr>
          <w:p>
            <w:pPr>
              <w:snapToGrid w:val="0"/>
              <w:spacing w:line="360" w:lineRule="auto"/>
              <w:jc w:val="center"/>
              <w:rPr>
                <w:rFonts w:ascii="宋体" w:hAnsi="宋体" w:cs="宋体"/>
                <w:sz w:val="24"/>
                <w:szCs w:val="20"/>
              </w:rPr>
            </w:pPr>
          </w:p>
        </w:tc>
        <w:tc>
          <w:tcPr>
            <w:tcW w:w="2410"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c>
          <w:tcPr>
            <w:tcW w:w="2127" w:type="dxa"/>
          </w:tcPr>
          <w:p>
            <w:pPr>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rPr>
            </w:pPr>
            <w:r>
              <w:rPr>
                <w:rFonts w:hint="eastAsia" w:ascii="宋体" w:hAnsi="宋体" w:cs="宋体"/>
                <w:sz w:val="24"/>
                <w:szCs w:val="20"/>
              </w:rPr>
              <w:t>2</w:t>
            </w:r>
          </w:p>
        </w:tc>
        <w:tc>
          <w:tcPr>
            <w:tcW w:w="992" w:type="dxa"/>
            <w:vAlign w:val="center"/>
          </w:tcPr>
          <w:p>
            <w:pPr>
              <w:snapToGrid w:val="0"/>
              <w:spacing w:line="360" w:lineRule="auto"/>
              <w:jc w:val="center"/>
              <w:rPr>
                <w:rFonts w:ascii="宋体" w:hAnsi="宋体" w:cs="宋体"/>
                <w:sz w:val="24"/>
                <w:szCs w:val="20"/>
              </w:rPr>
            </w:pPr>
            <w:r>
              <w:rPr>
                <w:rFonts w:hint="eastAsia" w:ascii="宋体" w:hAnsi="宋体" w:cs="宋体"/>
                <w:sz w:val="24"/>
                <w:szCs w:val="20"/>
              </w:rPr>
              <w:t>XX</w:t>
            </w:r>
          </w:p>
        </w:tc>
        <w:tc>
          <w:tcPr>
            <w:tcW w:w="2268" w:type="dxa"/>
            <w:vAlign w:val="center"/>
          </w:tcPr>
          <w:p>
            <w:pPr>
              <w:snapToGrid w:val="0"/>
              <w:spacing w:line="360" w:lineRule="auto"/>
              <w:jc w:val="center"/>
              <w:rPr>
                <w:rFonts w:ascii="宋体" w:hAnsi="宋体" w:cs="宋体"/>
                <w:sz w:val="24"/>
                <w:szCs w:val="20"/>
              </w:rPr>
            </w:pPr>
          </w:p>
        </w:tc>
        <w:tc>
          <w:tcPr>
            <w:tcW w:w="2410"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c>
          <w:tcPr>
            <w:tcW w:w="2127" w:type="dxa"/>
          </w:tcPr>
          <w:p>
            <w:pPr>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rPr>
            </w:pPr>
            <w:r>
              <w:rPr>
                <w:rFonts w:hint="eastAsia" w:ascii="宋体" w:hAnsi="宋体" w:cs="宋体"/>
                <w:sz w:val="24"/>
                <w:szCs w:val="20"/>
              </w:rPr>
              <w:t>…</w:t>
            </w:r>
          </w:p>
        </w:tc>
        <w:tc>
          <w:tcPr>
            <w:tcW w:w="992"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410"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c>
          <w:tcPr>
            <w:tcW w:w="2127" w:type="dxa"/>
          </w:tcPr>
          <w:p>
            <w:pPr>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rPr>
            </w:pPr>
          </w:p>
        </w:tc>
        <w:tc>
          <w:tcPr>
            <w:tcW w:w="992"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410"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c>
          <w:tcPr>
            <w:tcW w:w="2127" w:type="dxa"/>
          </w:tcPr>
          <w:p>
            <w:pPr>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szCs w:val="20"/>
              </w:rPr>
            </w:pPr>
          </w:p>
        </w:tc>
        <w:tc>
          <w:tcPr>
            <w:tcW w:w="992"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410" w:type="dxa"/>
            <w:vAlign w:val="center"/>
          </w:tcPr>
          <w:p>
            <w:pPr>
              <w:snapToGrid w:val="0"/>
              <w:spacing w:line="360" w:lineRule="auto"/>
              <w:jc w:val="center"/>
              <w:rPr>
                <w:rFonts w:ascii="宋体" w:hAnsi="宋体" w:cs="宋体"/>
                <w:sz w:val="24"/>
                <w:szCs w:val="20"/>
              </w:rPr>
            </w:pPr>
          </w:p>
        </w:tc>
        <w:tc>
          <w:tcPr>
            <w:tcW w:w="2268" w:type="dxa"/>
            <w:vAlign w:val="center"/>
          </w:tcPr>
          <w:p>
            <w:pPr>
              <w:snapToGrid w:val="0"/>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c>
          <w:tcPr>
            <w:tcW w:w="2127" w:type="dxa"/>
          </w:tcPr>
          <w:p>
            <w:pPr>
              <w:spacing w:line="360" w:lineRule="auto"/>
              <w:jc w:val="center"/>
              <w:rPr>
                <w:rFonts w:ascii="宋体" w:hAnsi="宋体" w:cs="宋体"/>
                <w:sz w:val="24"/>
                <w:szCs w:val="20"/>
              </w:rPr>
            </w:pPr>
          </w:p>
        </w:tc>
        <w:tc>
          <w:tcPr>
            <w:tcW w:w="2126" w:type="dxa"/>
            <w:vAlign w:val="center"/>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szCs w:val="20"/>
              </w:rPr>
            </w:pPr>
            <w:r>
              <w:rPr>
                <w:rFonts w:hint="eastAsia" w:ascii="宋体" w:hAnsi="宋体" w:cs="宋体"/>
                <w:b/>
                <w:sz w:val="24"/>
                <w:szCs w:val="20"/>
              </w:rPr>
              <w:t>投标报价（小写）</w:t>
            </w:r>
          </w:p>
        </w:tc>
        <w:tc>
          <w:tcPr>
            <w:tcW w:w="8647" w:type="dxa"/>
            <w:gridSpan w:val="4"/>
          </w:tcPr>
          <w:p>
            <w:pPr>
              <w:spacing w:line="360"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szCs w:val="20"/>
              </w:rPr>
            </w:pPr>
            <w:r>
              <w:rPr>
                <w:rFonts w:hint="eastAsia" w:ascii="宋体" w:hAnsi="宋体" w:cs="宋体"/>
                <w:b/>
                <w:sz w:val="24"/>
                <w:szCs w:val="20"/>
              </w:rPr>
              <w:t>投标报价（大写）</w:t>
            </w:r>
          </w:p>
        </w:tc>
        <w:tc>
          <w:tcPr>
            <w:tcW w:w="8647" w:type="dxa"/>
            <w:gridSpan w:val="4"/>
          </w:tcPr>
          <w:p>
            <w:pPr>
              <w:spacing w:line="360" w:lineRule="auto"/>
              <w:jc w:val="center"/>
              <w:rPr>
                <w:rFonts w:ascii="宋体" w:hAnsi="宋体" w:cs="宋体"/>
                <w:sz w:val="24"/>
                <w:szCs w:val="20"/>
              </w:rPr>
            </w:pPr>
          </w:p>
        </w:tc>
      </w:tr>
    </w:tbl>
    <w:p>
      <w:pPr>
        <w:pStyle w:val="4"/>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3</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4"/>
        <w:rPr>
          <w:rFonts w:ascii="宋体" w:hAnsi="宋体" w:cs="宋体"/>
          <w:kern w:val="0"/>
          <w:sz w:val="24"/>
        </w:rPr>
      </w:pPr>
      <w:r>
        <w:rPr>
          <w:rFonts w:hint="eastAsia" w:cs="仿宋_GB2312"/>
          <w:kern w:val="0"/>
          <w:sz w:val="24"/>
        </w:rPr>
        <w:t xml:space="preserve">    </w:t>
      </w:r>
      <w:r>
        <w:rPr>
          <w:rFonts w:hint="eastAsia" w:ascii="宋体" w:hAnsi="宋体" w:cs="宋体"/>
          <w:kern w:val="0"/>
          <w:sz w:val="24"/>
        </w:rPr>
        <w:t>4、特别提示：采购机构将对项目名称和项目编号，中标供应商名称、地址和中标金额，主要中标标的名称、服务范围、服务要求、服务时间、服务标准等予以公示。</w:t>
      </w:r>
    </w:p>
    <w:p>
      <w:pPr>
        <w:pStyle w:val="4"/>
      </w:pPr>
    </w:p>
    <w:p>
      <w:pPr>
        <w:rPr>
          <w:rFonts w:ascii="仿宋_GB2312" w:hAnsi="仿宋" w:eastAsia="仿宋_GB2312" w:cs="仿宋_GB2312"/>
          <w:kern w:val="0"/>
          <w:sz w:val="24"/>
          <w:highlight w:val="green"/>
          <w:lang w:val="zh-CN"/>
        </w:rPr>
      </w:pPr>
    </w:p>
    <w:p>
      <w:pPr>
        <w:pStyle w:val="4"/>
        <w:sectPr>
          <w:pgSz w:w="16838" w:h="11906" w:orient="landscape"/>
          <w:pgMar w:top="1418" w:right="1247" w:bottom="1418" w:left="1276" w:header="851" w:footer="992" w:gutter="0"/>
          <w:cols w:space="720" w:num="1"/>
          <w:titlePg/>
          <w:docGrid w:linePitch="312" w:charSpace="0"/>
        </w:sectPr>
      </w:pPr>
    </w:p>
    <w:p>
      <w:pPr>
        <w:pStyle w:val="4"/>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ind w:firstLine="960" w:firstLineChars="400"/>
        <w:rPr>
          <w:rFonts w:ascii="仿宋" w:eastAsia="仿宋"/>
          <w:sz w:val="24"/>
          <w:szCs w:val="24"/>
        </w:rPr>
      </w:pPr>
      <w:r>
        <w:rPr>
          <w:rFonts w:hint="eastAsia" w:ascii="仿宋" w:eastAsia="仿宋"/>
          <w:sz w:val="24"/>
          <w:szCs w:val="24"/>
        </w:rPr>
        <w:t>（三）杭州e融平台申请融资</w:t>
      </w:r>
    </w:p>
    <w:p>
      <w:pPr>
        <w:pStyle w:val="4"/>
        <w:ind w:firstLine="960" w:firstLineChars="400"/>
        <w:rPr>
          <w:rFonts w:ascii="仿宋" w:eastAsia="仿宋"/>
          <w:sz w:val="24"/>
          <w:szCs w:val="24"/>
        </w:rPr>
      </w:pPr>
      <w:r>
        <w:rPr>
          <w:rFonts w:hint="eastAsia" w:ascii="仿宋" w:eastAsia="仿宋"/>
          <w:sz w:val="24"/>
          <w:szCs w:val="24"/>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20" w:name="_Toc465665161"/>
      <w:r>
        <w:rPr>
          <w:rFonts w:hint="eastAsia" w:ascii="仿宋_GB2312" w:hAnsi="仿宋" w:eastAsia="仿宋_GB2312"/>
        </w:rPr>
        <w:t>附件</w:t>
      </w:r>
      <w:bookmarkEnd w:id="52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21" w:name="OLE_LINK13"/>
      <w:bookmarkStart w:id="522" w:name="OLE_LINK14"/>
      <w:r>
        <w:rPr>
          <w:rFonts w:hint="eastAsia" w:ascii="仿宋_GB2312" w:hAnsi="仿宋" w:eastAsia="仿宋_GB2312"/>
          <w:b/>
          <w:spacing w:val="6"/>
          <w:sz w:val="32"/>
          <w:szCs w:val="32"/>
        </w:rPr>
        <w:t>残疾人福利性单位声明函</w:t>
      </w:r>
    </w:p>
    <w:bookmarkEnd w:id="521"/>
    <w:bookmarkEnd w:id="52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临平区崇贤新城单元详细规划</w:t>
      </w:r>
      <w:r>
        <w:rPr>
          <w:rFonts w:hint="eastAsia" w:ascii="仿宋" w:hAnsi="仿宋" w:eastAsia="仿宋" w:cs="仿宋_GB2312"/>
          <w:sz w:val="24"/>
        </w:rPr>
        <w:t>【招标编号：（</w:t>
      </w:r>
      <w:r>
        <w:rPr>
          <w:rFonts w:hint="eastAsia" w:ascii="仿宋" w:hAnsi="仿宋" w:eastAsia="仿宋" w:cs="仿宋_GB2312"/>
          <w:sz w:val="24"/>
          <w:lang w:eastAsia="zh-CN"/>
        </w:rPr>
        <w:t>SDGL-2023016</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889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275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pStyle w:val="2"/>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（临平区崇贤新城单元详细规划）</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p>
    <w:p>
      <w:pPr>
        <w:spacing w:line="360" w:lineRule="auto"/>
        <w:jc w:val="left"/>
        <w:rPr>
          <w:rFonts w:ascii="仿宋_GB2312" w:hAnsi="宋体" w:eastAsia="仿宋_GB2312"/>
          <w:b/>
          <w:bCs/>
          <w:szCs w:val="21"/>
        </w:rPr>
      </w:pPr>
      <w:r>
        <w:rPr>
          <w:rFonts w:hint="eastAsia" w:ascii="仿宋_GB2312" w:hAnsi="宋体" w:eastAsia="仿宋_GB2312"/>
          <w:b/>
          <w:bCs/>
          <w:szCs w:val="21"/>
        </w:rPr>
        <w:t>注：从业人员、营业收入、资产总额填报上一年度数据，无上一年度数据的新成立企业可不填报。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cs="仿宋_GB2312"/>
          <w:sz w:val="24"/>
        </w:rPr>
      </w:pPr>
    </w:p>
    <w:p>
      <w:pPr>
        <w:rPr>
          <w:rFonts w:ascii="仿宋_GB2312" w:hAnsi="仿宋" w:eastAsia="仿宋_GB2312" w:cs="仿宋_GB2312"/>
          <w:sz w:val="24"/>
        </w:rPr>
      </w:pPr>
    </w:p>
    <w:p>
      <w:pPr>
        <w:pStyle w:val="4"/>
        <w:rPr>
          <w:rFonts w:cs="仿宋_GB2312"/>
          <w:sz w:val="24"/>
        </w:rPr>
      </w:pPr>
    </w:p>
    <w:p>
      <w:p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仿宋" w:hAnsi="仿宋" w:eastAsia="仿宋" w:cs="仿宋"/>
                <w:b/>
                <w:sz w:val="32"/>
                <w:szCs w:val="32"/>
              </w:rPr>
            </w:pPr>
            <w:r>
              <w:rPr>
                <w:rFonts w:hint="eastAsia" w:ascii="仿宋" w:hAnsi="仿宋" w:eastAsia="仿宋" w:cs="仿宋"/>
                <w:b/>
                <w:kern w:val="0"/>
                <w:sz w:val="32"/>
                <w:szCs w:val="32"/>
                <w:lang w:bidi="ar"/>
              </w:rPr>
              <w:t>中小微行业划型标准规定</w:t>
            </w:r>
            <w:r>
              <w:rPr>
                <w:rFonts w:hint="eastAsia" w:ascii="仿宋" w:hAnsi="仿宋" w:eastAsia="仿宋" w:cs="仿宋"/>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414"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4"/>
        <w:rPr>
          <w:rFonts w:ascii="仿宋" w:eastAsia="仿宋" w:cs="仿宋"/>
        </w:rPr>
        <w:sectPr>
          <w:pgSz w:w="16838" w:h="11906" w:orient="landscape"/>
          <w:pgMar w:top="1418" w:right="1276" w:bottom="1418" w:left="1247" w:header="851" w:footer="992" w:gutter="0"/>
          <w:cols w:space="720" w:num="1"/>
          <w:titlePg/>
          <w:docGrid w:linePitch="312" w:charSpace="0"/>
        </w:sectPr>
      </w:pPr>
    </w:p>
    <w:p>
      <w:pPr>
        <w:rPr>
          <w:rFonts w:ascii="仿宋" w:hAnsi="仿宋" w:eastAsia="仿宋" w:cs="仿宋"/>
        </w:rPr>
      </w:pPr>
    </w:p>
    <w:p>
      <w:pPr>
        <w:rPr>
          <w:rFonts w:ascii="仿宋" w:hAnsi="仿宋" w:eastAsia="仿宋" w:cs="仿宋"/>
          <w:b/>
          <w:sz w:val="48"/>
          <w:szCs w:val="48"/>
        </w:rPr>
      </w:pPr>
      <w:r>
        <w:rPr>
          <w:rFonts w:hint="eastAsia" w:ascii="仿宋" w:hAnsi="仿宋" w:eastAsia="仿宋" w:cs="仿宋"/>
          <w:sz w:val="30"/>
          <w:szCs w:val="30"/>
        </w:rPr>
        <w:t>附件（中标后提供）：</w:t>
      </w:r>
    </w:p>
    <w:p>
      <w:pPr>
        <w:jc w:val="center"/>
        <w:rPr>
          <w:rFonts w:ascii="仿宋" w:hAnsi="仿宋" w:eastAsia="仿宋" w:cs="仿宋"/>
          <w:b/>
          <w:sz w:val="48"/>
          <w:szCs w:val="48"/>
        </w:rPr>
      </w:pPr>
    </w:p>
    <w:p>
      <w:pPr>
        <w:jc w:val="center"/>
        <w:rPr>
          <w:rFonts w:ascii="仿宋" w:hAnsi="仿宋" w:eastAsia="仿宋" w:cs="仿宋"/>
          <w:b/>
          <w:sz w:val="48"/>
          <w:szCs w:val="48"/>
        </w:rPr>
      </w:pPr>
      <w:r>
        <w:rPr>
          <w:rFonts w:hint="eastAsia" w:ascii="仿宋" w:hAnsi="仿宋" w:eastAsia="仿宋" w:cs="仿宋"/>
          <w:b/>
          <w:sz w:val="48"/>
          <w:szCs w:val="48"/>
        </w:rPr>
        <w:t>承 诺 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u w:val="single"/>
        </w:rPr>
        <w:t xml:space="preserve">晟大项目管理（浙江）有限公司 </w:t>
      </w:r>
      <w:r>
        <w:rPr>
          <w:rFonts w:hint="eastAsia" w:ascii="仿宋" w:hAnsi="仿宋" w:eastAsia="仿宋" w:cs="仿宋"/>
          <w:sz w:val="30"/>
          <w:szCs w:val="30"/>
        </w:rPr>
        <w:t>：</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pPr>
        <w:spacing w:line="780" w:lineRule="exact"/>
        <w:ind w:firstLine="450" w:firstLineChars="150"/>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2023年   月   日</w:t>
      </w:r>
    </w:p>
    <w:p>
      <w:pPr>
        <w:spacing w:line="360" w:lineRule="auto"/>
        <w:ind w:firstLine="480" w:firstLineChars="200"/>
        <w:rPr>
          <w:rFonts w:ascii="仿宋" w:hAnsi="仿宋" w:eastAsia="仿宋" w:cs="仿宋"/>
          <w:color w:val="000000"/>
          <w:sz w:val="24"/>
        </w:rPr>
      </w:pPr>
    </w:p>
    <w:p>
      <w:pPr>
        <w:rPr>
          <w:rFonts w:ascii="仿宋" w:hAnsi="仿宋" w:eastAsia="仿宋" w:cs="仿宋"/>
        </w:rPr>
      </w:pPr>
    </w:p>
    <w:p>
      <w:pPr>
        <w:pStyle w:val="25"/>
        <w:ind w:firstLine="0"/>
        <w:rPr>
          <w:rFonts w:ascii="仿宋" w:hAnsi="仿宋" w:eastAsia="仿宋" w:cs="仿宋"/>
        </w:rPr>
      </w:pPr>
    </w:p>
    <w:p>
      <w:pPr>
        <w:pStyle w:val="4"/>
        <w:rPr>
          <w:rFonts w:ascii="仿宋" w:eastAsia="仿宋" w:cs="仿宋"/>
        </w:rPr>
      </w:pPr>
    </w:p>
    <w:p>
      <w:pPr>
        <w:rPr>
          <w:rFonts w:ascii="仿宋" w:hAnsi="仿宋" w:eastAsia="仿宋" w:cs="仿宋"/>
        </w:rPr>
      </w:pPr>
    </w:p>
    <w:p>
      <w:pPr>
        <w:pStyle w:val="972"/>
        <w:numPr>
          <w:ilvl w:val="255"/>
          <w:numId w:val="0"/>
        </w:numPr>
        <w:snapToGrid w:val="0"/>
        <w:spacing w:before="120" w:after="120"/>
        <w:rPr>
          <w:rFonts w:ascii="仿宋" w:hAnsi="仿宋" w:eastAsia="仿宋" w:cs="仿宋"/>
          <w:b/>
          <w:sz w:val="28"/>
          <w:szCs w:val="28"/>
          <w:highlight w:val="yellow"/>
        </w:rPr>
      </w:pPr>
    </w:p>
    <w:p>
      <w:pPr>
        <w:pStyle w:val="972"/>
        <w:numPr>
          <w:ilvl w:val="255"/>
          <w:numId w:val="0"/>
        </w:numPr>
        <w:snapToGrid w:val="0"/>
        <w:spacing w:before="120" w:after="120"/>
        <w:rPr>
          <w:rFonts w:ascii="仿宋" w:hAnsi="仿宋" w:eastAsia="仿宋" w:cs="仿宋"/>
          <w:b/>
          <w:sz w:val="28"/>
          <w:szCs w:val="28"/>
          <w:highlight w:val="yellow"/>
        </w:rPr>
      </w:pPr>
    </w:p>
    <w:p>
      <w:pPr>
        <w:pStyle w:val="972"/>
        <w:numPr>
          <w:ilvl w:val="255"/>
          <w:numId w:val="0"/>
        </w:numPr>
        <w:snapToGrid w:val="0"/>
        <w:spacing w:before="120" w:after="120"/>
        <w:rPr>
          <w:rFonts w:ascii="仿宋" w:hAnsi="仿宋" w:eastAsia="仿宋" w:cs="仿宋"/>
          <w:b/>
          <w:sz w:val="28"/>
          <w:szCs w:val="28"/>
          <w:highlight w:val="yellow"/>
        </w:rPr>
      </w:pPr>
      <w:r>
        <w:rPr>
          <w:rFonts w:hint="eastAsia" w:ascii="仿宋" w:hAnsi="仿宋" w:eastAsia="仿宋" w:cs="仿宋"/>
          <w:b/>
          <w:sz w:val="28"/>
          <w:szCs w:val="28"/>
          <w:highlight w:val="yellow"/>
        </w:rPr>
        <w:t>确认声明书（将以下表格填写完成后，与投标文件同步制作递交）</w:t>
      </w:r>
    </w:p>
    <w:p>
      <w:pPr>
        <w:pStyle w:val="972"/>
        <w:snapToGrid w:val="0"/>
        <w:spacing w:before="120" w:after="120"/>
        <w:jc w:val="center"/>
        <w:rPr>
          <w:rFonts w:ascii="仿宋" w:hAnsi="仿宋" w:eastAsia="仿宋" w:cs="仿宋"/>
          <w:kern w:val="0"/>
          <w:sz w:val="21"/>
          <w:szCs w:val="21"/>
        </w:rPr>
      </w:pPr>
      <w:r>
        <w:rPr>
          <w:rFonts w:hint="eastAsia" w:ascii="仿宋" w:hAnsi="仿宋" w:eastAsia="仿宋" w:cs="仿宋"/>
          <w:b/>
        </w:rPr>
        <w:t>（要求在电子投标文件解密后，自行核实下述承诺内容，如有不符，重新联系代理公司重新按新的内容邮箱递交）</w:t>
      </w:r>
    </w:p>
    <w:p>
      <w:pPr>
        <w:pStyle w:val="972"/>
        <w:snapToGrid w:val="0"/>
        <w:spacing w:before="120" w:after="120"/>
        <w:jc w:val="center"/>
        <w:rPr>
          <w:rFonts w:ascii="仿宋" w:hAnsi="仿宋" w:eastAsia="仿宋" w:cs="仿宋"/>
          <w:b/>
        </w:rPr>
      </w:pPr>
    </w:p>
    <w:p>
      <w:pPr>
        <w:pStyle w:val="972"/>
        <w:snapToGrid w:val="0"/>
        <w:spacing w:before="120" w:after="120"/>
        <w:jc w:val="center"/>
        <w:rPr>
          <w:rFonts w:ascii="仿宋" w:hAnsi="仿宋" w:eastAsia="仿宋" w:cs="仿宋"/>
          <w:b/>
        </w:rPr>
      </w:pPr>
      <w:r>
        <w:rPr>
          <w:rFonts w:hint="eastAsia" w:ascii="仿宋" w:hAnsi="仿宋" w:eastAsia="仿宋" w:cs="仿宋"/>
          <w:b/>
        </w:rPr>
        <w:t>政府采购活动现场确认声明书</w:t>
      </w:r>
    </w:p>
    <w:p>
      <w:pPr>
        <w:pStyle w:val="972"/>
        <w:snapToGrid w:val="0"/>
        <w:spacing w:before="120" w:after="120" w:line="380" w:lineRule="exact"/>
        <w:rPr>
          <w:rFonts w:ascii="仿宋" w:hAnsi="仿宋" w:eastAsia="仿宋" w:cs="仿宋"/>
          <w:b/>
        </w:rPr>
      </w:pPr>
      <w:r>
        <w:rPr>
          <w:rFonts w:hint="eastAsia" w:ascii="仿宋" w:hAnsi="仿宋" w:eastAsia="仿宋" w:cs="仿宋"/>
          <w:kern w:val="0"/>
          <w:u w:val="single"/>
        </w:rPr>
        <w:t xml:space="preserve">                        </w:t>
      </w:r>
      <w:r>
        <w:rPr>
          <w:rFonts w:hint="eastAsia" w:ascii="仿宋" w:hAnsi="仿宋" w:eastAsia="仿宋" w:cs="仿宋"/>
          <w:kern w:val="0"/>
        </w:rPr>
        <w:t>：</w:t>
      </w:r>
    </w:p>
    <w:p>
      <w:pPr>
        <w:pStyle w:val="972"/>
        <w:snapToGrid w:val="0"/>
        <w:spacing w:before="120" w:after="120" w:line="380" w:lineRule="exact"/>
        <w:ind w:firstLine="504" w:firstLineChars="200"/>
        <w:rPr>
          <w:rFonts w:ascii="仿宋" w:hAnsi="仿宋" w:eastAsia="仿宋" w:cs="仿宋"/>
          <w:spacing w:val="6"/>
        </w:rPr>
      </w:pPr>
      <w:r>
        <w:rPr>
          <w:rFonts w:hint="eastAsia" w:ascii="仿宋" w:hAnsi="仿宋" w:eastAsia="仿宋" w:cs="仿宋"/>
          <w:spacing w:val="6"/>
        </w:rPr>
        <w:t>本人经由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合法授权参加</w:t>
      </w:r>
      <w:r>
        <w:rPr>
          <w:rFonts w:hint="eastAsia" w:ascii="仿宋" w:hAnsi="仿宋" w:eastAsia="仿宋" w:cs="仿宋"/>
          <w:spacing w:val="6"/>
          <w:u w:val="single"/>
        </w:rPr>
        <w:t xml:space="preserve">                </w:t>
      </w:r>
      <w:r>
        <w:rPr>
          <w:rFonts w:hint="eastAsia" w:ascii="仿宋" w:hAnsi="仿宋" w:eastAsia="仿宋" w:cs="仿宋"/>
          <w:spacing w:val="6"/>
        </w:rPr>
        <w:t>项目（编号：</w:t>
      </w:r>
      <w:r>
        <w:rPr>
          <w:rFonts w:hint="eastAsia" w:ascii="仿宋" w:hAnsi="仿宋" w:eastAsia="仿宋" w:cs="仿宋"/>
          <w:spacing w:val="6"/>
          <w:u w:val="single"/>
        </w:rPr>
        <w:t xml:space="preserve">        </w:t>
      </w:r>
      <w:r>
        <w:rPr>
          <w:rFonts w:hint="eastAsia" w:ascii="仿宋" w:hAnsi="仿宋" w:eastAsia="仿宋" w:cs="仿宋"/>
          <w:spacing w:val="6"/>
        </w:rPr>
        <w:t xml:space="preserve">）政府采购活动，经与本单位法人代表（负责人）联系确认，现就有关公平竞争事项郑重声明如下： </w:t>
      </w:r>
    </w:p>
    <w:p>
      <w:pPr>
        <w:pStyle w:val="973"/>
        <w:widowControl/>
        <w:numPr>
          <w:ilvl w:val="0"/>
          <w:numId w:val="6"/>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973"/>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973"/>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973"/>
        <w:widowControl/>
        <w:snapToGrid w:val="0"/>
        <w:spacing w:line="380" w:lineRule="exact"/>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972"/>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A.法定代表人或负责人或实际控制人是同一人</w:t>
      </w:r>
    </w:p>
    <w:p>
      <w:pPr>
        <w:pStyle w:val="972"/>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B.法定代表人或负责人或实际控制人是夫妻关系</w:t>
      </w:r>
    </w:p>
    <w:p>
      <w:pPr>
        <w:pStyle w:val="972"/>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C.法定代表人或负责人或实际控制人是直系血亲关系</w:t>
      </w:r>
    </w:p>
    <w:p>
      <w:pPr>
        <w:pStyle w:val="972"/>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D.法定代表人或负责人或实际控制人存在三代以内旁系血亲关系</w:t>
      </w:r>
    </w:p>
    <w:p>
      <w:pPr>
        <w:pStyle w:val="972"/>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E.法定代表人或负责人或实际控制人存在近姻亲关系</w:t>
      </w:r>
    </w:p>
    <w:p>
      <w:pPr>
        <w:pStyle w:val="972"/>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F.法定代表人或负责人或实际控制人存在股份控制或实际控制关系</w:t>
      </w:r>
    </w:p>
    <w:p>
      <w:pPr>
        <w:pStyle w:val="972"/>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G.存在共同直接或间接投资设立子公司、联营企业和合营企业情况</w:t>
      </w:r>
    </w:p>
    <w:p>
      <w:pPr>
        <w:pStyle w:val="972"/>
        <w:adjustRightInd/>
        <w:snapToGrid w:val="0"/>
        <w:spacing w:before="120" w:after="120" w:line="300" w:lineRule="exact"/>
        <w:rPr>
          <w:rFonts w:ascii="仿宋" w:hAnsi="仿宋" w:eastAsia="仿宋" w:cs="仿宋"/>
        </w:rPr>
      </w:pPr>
      <w:r>
        <w:rPr>
          <w:rFonts w:hint="eastAsia" w:ascii="仿宋" w:hAnsi="仿宋" w:eastAsia="仿宋" w:cs="仿宋"/>
          <w:kern w:val="0"/>
        </w:rPr>
        <w:t xml:space="preserve">  H.存在分级代理或代销关系、同一生产制造商关系、</w:t>
      </w:r>
      <w:r>
        <w:rPr>
          <w:rFonts w:hint="eastAsia" w:ascii="仿宋" w:hAnsi="仿宋" w:eastAsia="仿宋" w:cs="仿宋"/>
        </w:rPr>
        <w:t>管理关系、重要业务（占主营业务收入50%以上）或重要财务往来关系（如融资）等其他实质性控制关系</w:t>
      </w:r>
    </w:p>
    <w:p>
      <w:pPr>
        <w:pStyle w:val="972"/>
        <w:snapToGrid w:val="0"/>
        <w:spacing w:before="120" w:after="120" w:line="380" w:lineRule="exact"/>
        <w:rPr>
          <w:rFonts w:ascii="仿宋" w:hAnsi="仿宋" w:eastAsia="仿宋" w:cs="仿宋"/>
          <w:spacing w:val="6"/>
        </w:rPr>
      </w:pPr>
      <w:r>
        <w:rPr>
          <w:rFonts w:hint="eastAsia" w:ascii="仿宋" w:hAnsi="仿宋" w:eastAsia="仿宋" w:cs="仿宋"/>
        </w:rPr>
        <w:t xml:space="preserve">    I</w:t>
      </w:r>
      <w:r>
        <w:rPr>
          <w:rFonts w:hint="eastAsia" w:ascii="仿宋" w:hAnsi="仿宋" w:eastAsia="仿宋" w:cs="仿宋"/>
          <w:kern w:val="0"/>
        </w:rPr>
        <w:t>.</w:t>
      </w:r>
      <w:r>
        <w:rPr>
          <w:rFonts w:hint="eastAsia" w:ascii="仿宋" w:hAnsi="仿宋" w:eastAsia="仿宋" w:cs="仿宋"/>
        </w:rPr>
        <w:t>其他利害关系情况</w:t>
      </w:r>
      <w:r>
        <w:rPr>
          <w:rFonts w:hint="eastAsia" w:ascii="仿宋" w:hAnsi="仿宋" w:eastAsia="仿宋" w:cs="仿宋"/>
          <w:u w:val="single"/>
        </w:rPr>
        <w:t xml:space="preserve">                              </w:t>
      </w:r>
      <w:r>
        <w:rPr>
          <w:rFonts w:hint="eastAsia" w:ascii="仿宋" w:hAnsi="仿宋" w:eastAsia="仿宋" w:cs="仿宋"/>
          <w:kern w:val="0"/>
        </w:rPr>
        <w:t>。</w:t>
      </w:r>
    </w:p>
    <w:p>
      <w:pPr>
        <w:pStyle w:val="973"/>
        <w:widowControl/>
        <w:numPr>
          <w:ilvl w:val="0"/>
          <w:numId w:val="7"/>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973"/>
        <w:widowControl/>
        <w:numPr>
          <w:ilvl w:val="0"/>
          <w:numId w:val="7"/>
        </w:numPr>
        <w:snapToGrid w:val="0"/>
        <w:spacing w:line="380" w:lineRule="exact"/>
        <w:ind w:firstLine="453" w:firstLineChars="189"/>
        <w:rPr>
          <w:rFonts w:hint="default" w:ascii="仿宋" w:hAnsi="仿宋" w:eastAsia="仿宋" w:cs="仿宋"/>
          <w:sz w:val="24"/>
          <w:szCs w:val="24"/>
        </w:rPr>
      </w:pPr>
      <w:r>
        <w:rPr>
          <w:rFonts w:ascii="仿宋" w:hAnsi="仿宋" w:eastAsia="仿宋" w:cs="仿宋"/>
          <w:kern w:val="0"/>
          <w:sz w:val="24"/>
          <w:szCs w:val="24"/>
        </w:rPr>
        <w:t>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972"/>
        <w:snapToGrid w:val="0"/>
        <w:spacing w:before="120" w:after="120"/>
        <w:ind w:firstLine="480" w:firstLineChars="200"/>
        <w:rPr>
          <w:rFonts w:ascii="仿宋" w:hAnsi="仿宋" w:eastAsia="仿宋" w:cs="仿宋"/>
        </w:rPr>
      </w:pPr>
      <w:r>
        <w:rPr>
          <w:rFonts w:hint="eastAsia" w:ascii="仿宋" w:hAnsi="仿宋" w:eastAsia="仿宋" w:cs="仿宋"/>
        </w:rPr>
        <w:t xml:space="preserve">                                          供应商盖章：</w:t>
      </w:r>
    </w:p>
    <w:p>
      <w:pPr>
        <w:pStyle w:val="972"/>
        <w:snapToGrid w:val="0"/>
        <w:spacing w:before="120" w:after="120"/>
        <w:ind w:firstLine="5520" w:firstLineChars="2300"/>
        <w:rPr>
          <w:rFonts w:ascii="仿宋" w:hAnsi="仿宋" w:eastAsia="仿宋" w:cs="仿宋"/>
        </w:rPr>
      </w:pPr>
      <w:r>
        <w:rPr>
          <w:rFonts w:hint="eastAsia" w:ascii="仿宋" w:hAnsi="仿宋" w:eastAsia="仿宋" w:cs="仿宋"/>
        </w:rPr>
        <w:t>授权委托代表签名：</w:t>
      </w:r>
    </w:p>
    <w:p>
      <w:pPr>
        <w:snapToGrid w:val="0"/>
        <w:spacing w:line="360" w:lineRule="auto"/>
        <w:jc w:val="left"/>
        <w:rPr>
          <w:sz w:val="24"/>
        </w:rPr>
      </w:pPr>
      <w:r>
        <w:rPr>
          <w:rFonts w:hint="eastAsia" w:ascii="仿宋" w:hAnsi="仿宋" w:eastAsia="仿宋" w:cs="仿宋"/>
          <w:sz w:val="24"/>
        </w:rPr>
        <w:t xml:space="preserve">                                               年    月    日</w:t>
      </w:r>
    </w:p>
    <w:sectPr>
      <w:headerReference r:id="rId32" w:type="first"/>
      <w:footerReference r:id="rId35" w:type="first"/>
      <w:headerReference r:id="rId31" w:type="default"/>
      <w:footerReference r:id="rId33" w:type="default"/>
      <w:footerReference r:id="rId3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ksdb">
    <w:panose1 w:val="02000500000000000000"/>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58</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71</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3"/>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WBWMUBAACjAwAADgAAAGRycy9lMm9Eb2MueG1srVNNb9swDL0P6H8Q&#10;dF/sBGiRGXGKDkGLAcO6odsPUGQ5FqAvkHLs/PtSsp0O3aWHXWRSpB75Hund/WgNOytA7V3N16uS&#10;M+Wkb7Q71fzP78fPW84wCtcI452q+UUhv9/ffNoNoVIb33nTKGAE4rAaQs27GENVFCg7ZQWufFCO&#10;gq0HKyK5cCoaEAOhW1NsyvKuGDw0AbxUiHR7mIJ8RoSPAPq21VIdvOytcnFCBWVEJErY6YB8n7tt&#10;WyXjc9uiiszUnJjGfFIRso/pLPY7UZ1AhE7LuQXxkRbecbJCOyp6hTqIKFgP+h8oqyV49G1cSW+L&#10;iUhWhFisy3favHQiqMyFpMZwFR3/H6z8cf4JTDc1v+PMCUsD/9WLhj0A+IGtkz5DwIrSXgIlxvGr&#10;H2lrlnuky0R7bMGmLxFiFCd1L1d11RiZTI+2m+22pJCk2OIQfvH2PADGJ+UtS0bNgcaXVRXn7xin&#10;1CUlVXP+URuTR2gcG2r+5XZzmx9cIwRuHNVIJKZmkxXH4zgzO/rmQsQGWoGaO9p4zsw3RwqnbVkM&#10;WIzjYvQB9KmjHte5HoaHPlI3uclUYYKdC9PsMs15z9Jy/O3nrLd/a/8K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KlgVjFAQAAowMAAA4AAAAAAAAAAQAgAAAAHgEAAGRycy9lMm9Eb2MueG1s&#10;UEsFBgAAAAAGAAYAWQEAAFUFA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rect id="Rectangle 2" o:spid="_x0000_s1026" o:spt="1"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67N++AQAAmAMAAA4AAABkcnMvZTJvRG9jLnhtbK1TTW/bMAy9D9h/&#10;EHRf7BjokBlxigJBiwHDVqzbD1Bk2RagL5BK7Pz7UbKdDt2lh11kUqQe+R7p/f1kDbsoQO1dw7eb&#10;kjPlpG+16xv++9fjpx1nGIVrhfFONfyqkN8fPn7Yj6FWlR+8aRUwAnFYj6HhQ4yhLgqUg7ICNz4o&#10;R8HOgxWRXOiLFsRI6NYUVVl+LkYPbQAvFSLdHucgXxDhPYC+67RURy/PVrk4o4IyIhIlHHRAfsjd&#10;dp2S8UfXoYrMNJyYxnxSEbJP6SwOe1H3IMKg5dKCeE8LbzhZoR0VvUEdRRTsDPofKKslePRd3Ehv&#10;i5lIVoRYbMs32rwMIqjMhaTGcBMd/x+s/H55BqbbhtPYnbA08J8kmnC9UaxK8owBa8p6Cc+weEhm&#10;4jp1YNOXWLApS3q9SaqmyCRdbnfVbleS2pJiq0M4xevzABiflLcsGQ0HKp+lFJdvGOfUNSVVc/5R&#10;G0P3ojaOjQ3/clfd5Qe3CIEbRzVS63OzyYrTaVoYnHx7Jdojzb3hjtacM/PVkaxpRVYDVuO0GucA&#10;uh+ox22uh+HhHKmb3GSqMMMuhWlgmeayXGkj/vZz1usPd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o67N++AQAAmAMAAA4AAAAAAAAAAQAgAAAAHwEAAGRycy9lMm9Eb2MueG1sUEsFBgAA&#10;AAAGAAYAWQEAAE8FAAAAAA==&#10;">
              <v:fill on="f" focussize="0,0"/>
              <v:stroke on="f"/>
              <v:imagedata o:title=""/>
              <o:lock v:ext="edit" aspectratio="f"/>
              <v:textbox inset="0mm,0mm,0mm,0mm" style="mso-fit-shape-to-text:t;">
                <w:txbxContent>
                  <w:p/>
                </w:txbxContent>
              </v:textbox>
            </v:rect>
          </w:pict>
        </mc:Fallback>
      </mc:AlternateContent>
    </w:r>
    <w:r>
      <w:rPr>
        <w:color w:val="0000FF"/>
      </w:rPr>
      <w:t xml:space="preserve">                       </w:t>
    </w:r>
    <w:r>
      <w:rPr>
        <w:color w:val="0000FF"/>
        <w:u w:val="thick"/>
      </w:rPr>
      <w:t xml:space="preserve">                                                                         </w:t>
    </w:r>
    <w:r>
      <w:rPr>
        <w:color w:val="0000FF"/>
      </w:rPr>
      <w:t xml:space="preserve">     </w:t>
    </w:r>
    <w:r>
      <w:rPr>
        <w:color w:val="0000FF"/>
        <w:u w:val="thick"/>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eastAsia="??"/>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22</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50xD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7DizAlLN/7n+8/fv34wKpA7&#10;fcCKmp7CI0wZUpikDi3Y9CYRbMiOni+OqiEyScXlerVel2S2pLM5IZzi+fMAGD8pb1kKag50ZdlJ&#10;cfqCcWydW9I05++0MVQXlXH/FAgzVYrEeOSYojjsh4n43jdnEtvTbdfc0XJzZj47MjMtxhzAHOzn&#10;4BhAHzqitsy8MNweI5HI3NKEEXYaTNeU1U0rlfbgZZ67nn+j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vnTEMABAACO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48</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ED1D4594"/>
    <w:multiLevelType w:val="singleLevel"/>
    <w:tmpl w:val="ED1D4594"/>
    <w:lvl w:ilvl="0" w:tentative="0">
      <w:start w:val="1"/>
      <w:numFmt w:val="decimal"/>
      <w:suff w:val="nothing"/>
      <w:lvlText w:val="（%1）"/>
      <w:lvlJc w:val="left"/>
    </w:lvl>
  </w:abstractNum>
  <w:abstractNum w:abstractNumId="2">
    <w:nsid w:val="2A107D1F"/>
    <w:multiLevelType w:val="singleLevel"/>
    <w:tmpl w:val="2A107D1F"/>
    <w:lvl w:ilvl="0" w:tentative="0">
      <w:start w:val="13"/>
      <w:numFmt w:val="decimal"/>
      <w:suff w:val="space"/>
      <w:lvlText w:val="%1."/>
      <w:lvlJc w:val="left"/>
    </w:lvl>
  </w:abstractNum>
  <w:abstractNum w:abstractNumId="3">
    <w:nsid w:val="517C102A"/>
    <w:multiLevelType w:val="singleLevel"/>
    <w:tmpl w:val="517C102A"/>
    <w:lvl w:ilvl="0" w:tentative="0">
      <w:start w:val="28"/>
      <w:numFmt w:val="decimal"/>
      <w:suff w:val="space"/>
      <w:lvlText w:val="%1."/>
      <w:lvlJc w:val="left"/>
      <w:pPr>
        <w:ind w:left="120" w:firstLine="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3414110"/>
    <w:multiLevelType w:val="singleLevel"/>
    <w:tmpl w:val="73414110"/>
    <w:lvl w:ilvl="0" w:tentative="0">
      <w:start w:val="8"/>
      <w:numFmt w:val="decimal"/>
      <w:suff w:val="space"/>
      <w:lvlText w:val="%1."/>
      <w:lvlJc w:val="left"/>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hOGI1NGExNTJhOTRhZjEyZjQ4MGZiNWM2MGUw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CA2"/>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1D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2FF7"/>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31"/>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27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B6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44"/>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EFA"/>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EF7"/>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B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02"/>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9C9"/>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759"/>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C1"/>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470"/>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B82"/>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34"/>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24"/>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EB"/>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27"/>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AD9"/>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8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61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CE"/>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08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22C"/>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0FD"/>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9A8"/>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6E3"/>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9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BE4"/>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2FA"/>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63159"/>
    <w:rsid w:val="016E6084"/>
    <w:rsid w:val="017C7CCD"/>
    <w:rsid w:val="019F7441"/>
    <w:rsid w:val="01B37585"/>
    <w:rsid w:val="01BA1319"/>
    <w:rsid w:val="01C42535"/>
    <w:rsid w:val="01D55165"/>
    <w:rsid w:val="01DF6BF8"/>
    <w:rsid w:val="01EC2C57"/>
    <w:rsid w:val="01ED6FD3"/>
    <w:rsid w:val="01FF31C9"/>
    <w:rsid w:val="02642858"/>
    <w:rsid w:val="026B2E25"/>
    <w:rsid w:val="02824D4D"/>
    <w:rsid w:val="02DC4B10"/>
    <w:rsid w:val="02DD76CE"/>
    <w:rsid w:val="02F36323"/>
    <w:rsid w:val="02F5619C"/>
    <w:rsid w:val="0326446A"/>
    <w:rsid w:val="032D5555"/>
    <w:rsid w:val="036634D2"/>
    <w:rsid w:val="037B768C"/>
    <w:rsid w:val="038C7DA2"/>
    <w:rsid w:val="03A2514E"/>
    <w:rsid w:val="03B41ADC"/>
    <w:rsid w:val="03DD35E4"/>
    <w:rsid w:val="03FE1DD3"/>
    <w:rsid w:val="04076900"/>
    <w:rsid w:val="040A5050"/>
    <w:rsid w:val="041A5A3B"/>
    <w:rsid w:val="042311BA"/>
    <w:rsid w:val="042B157A"/>
    <w:rsid w:val="04640655"/>
    <w:rsid w:val="048F763B"/>
    <w:rsid w:val="049F330E"/>
    <w:rsid w:val="04AA775C"/>
    <w:rsid w:val="04AF1889"/>
    <w:rsid w:val="04C42EA2"/>
    <w:rsid w:val="04F66F48"/>
    <w:rsid w:val="05251E14"/>
    <w:rsid w:val="054B313A"/>
    <w:rsid w:val="05740424"/>
    <w:rsid w:val="05831998"/>
    <w:rsid w:val="05850F7F"/>
    <w:rsid w:val="05A16594"/>
    <w:rsid w:val="05A7762D"/>
    <w:rsid w:val="05BE3D95"/>
    <w:rsid w:val="05C32B5B"/>
    <w:rsid w:val="060E5941"/>
    <w:rsid w:val="06110FAF"/>
    <w:rsid w:val="06493CA7"/>
    <w:rsid w:val="065A6178"/>
    <w:rsid w:val="066F1CF3"/>
    <w:rsid w:val="06930BB8"/>
    <w:rsid w:val="06A002FD"/>
    <w:rsid w:val="0706025D"/>
    <w:rsid w:val="07245D42"/>
    <w:rsid w:val="07264C62"/>
    <w:rsid w:val="0779354C"/>
    <w:rsid w:val="07D06867"/>
    <w:rsid w:val="08061376"/>
    <w:rsid w:val="08452D77"/>
    <w:rsid w:val="086401F8"/>
    <w:rsid w:val="08751CAA"/>
    <w:rsid w:val="087E4C40"/>
    <w:rsid w:val="08AC4379"/>
    <w:rsid w:val="08D66AD6"/>
    <w:rsid w:val="08D77648"/>
    <w:rsid w:val="08DA33A3"/>
    <w:rsid w:val="08E80F13"/>
    <w:rsid w:val="08FD1DEA"/>
    <w:rsid w:val="090B38A8"/>
    <w:rsid w:val="09335624"/>
    <w:rsid w:val="09336957"/>
    <w:rsid w:val="0944690F"/>
    <w:rsid w:val="09535675"/>
    <w:rsid w:val="095F057D"/>
    <w:rsid w:val="09642282"/>
    <w:rsid w:val="09733572"/>
    <w:rsid w:val="09772C16"/>
    <w:rsid w:val="098353B5"/>
    <w:rsid w:val="098E09A3"/>
    <w:rsid w:val="09A92330"/>
    <w:rsid w:val="09B06B87"/>
    <w:rsid w:val="09C13146"/>
    <w:rsid w:val="09E04166"/>
    <w:rsid w:val="0A1C0718"/>
    <w:rsid w:val="0A1E3055"/>
    <w:rsid w:val="0A3E7710"/>
    <w:rsid w:val="0A5B7E63"/>
    <w:rsid w:val="0AA374A5"/>
    <w:rsid w:val="0AAB7649"/>
    <w:rsid w:val="0ABC5606"/>
    <w:rsid w:val="0AF4451F"/>
    <w:rsid w:val="0B30404E"/>
    <w:rsid w:val="0B4C6C14"/>
    <w:rsid w:val="0B631A88"/>
    <w:rsid w:val="0B683D45"/>
    <w:rsid w:val="0B7F3F11"/>
    <w:rsid w:val="0B884417"/>
    <w:rsid w:val="0B8F4947"/>
    <w:rsid w:val="0B953FC7"/>
    <w:rsid w:val="0BC042E6"/>
    <w:rsid w:val="0BC12A34"/>
    <w:rsid w:val="0BCF6505"/>
    <w:rsid w:val="0BF6188C"/>
    <w:rsid w:val="0BF73C91"/>
    <w:rsid w:val="0C0360CB"/>
    <w:rsid w:val="0C170175"/>
    <w:rsid w:val="0C370E2F"/>
    <w:rsid w:val="0C571A41"/>
    <w:rsid w:val="0C5C1171"/>
    <w:rsid w:val="0C5E1CBC"/>
    <w:rsid w:val="0C615B50"/>
    <w:rsid w:val="0C83507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826F4"/>
    <w:rsid w:val="0E297747"/>
    <w:rsid w:val="0E5604B2"/>
    <w:rsid w:val="0E6179B4"/>
    <w:rsid w:val="0E6D5D79"/>
    <w:rsid w:val="0E8D69FB"/>
    <w:rsid w:val="0E9D0089"/>
    <w:rsid w:val="0EB803EE"/>
    <w:rsid w:val="0EDE2DB2"/>
    <w:rsid w:val="0EF94D4B"/>
    <w:rsid w:val="0F0942D3"/>
    <w:rsid w:val="0F467CDF"/>
    <w:rsid w:val="0F4958DC"/>
    <w:rsid w:val="0F515DF7"/>
    <w:rsid w:val="0F596BA8"/>
    <w:rsid w:val="0F6248D2"/>
    <w:rsid w:val="0F693536"/>
    <w:rsid w:val="0F7B0511"/>
    <w:rsid w:val="0F7B76D9"/>
    <w:rsid w:val="0F816ACD"/>
    <w:rsid w:val="0F9832DB"/>
    <w:rsid w:val="0FA8600F"/>
    <w:rsid w:val="0FBF3FD2"/>
    <w:rsid w:val="0FBF7FF3"/>
    <w:rsid w:val="0FCD437E"/>
    <w:rsid w:val="103319CE"/>
    <w:rsid w:val="104E5D16"/>
    <w:rsid w:val="10646583"/>
    <w:rsid w:val="10743176"/>
    <w:rsid w:val="107D4B15"/>
    <w:rsid w:val="108A3C80"/>
    <w:rsid w:val="10A02A07"/>
    <w:rsid w:val="10A22BBA"/>
    <w:rsid w:val="10B71B0D"/>
    <w:rsid w:val="10C26171"/>
    <w:rsid w:val="10F33360"/>
    <w:rsid w:val="10FC16EA"/>
    <w:rsid w:val="110F1D40"/>
    <w:rsid w:val="111B5819"/>
    <w:rsid w:val="11266F33"/>
    <w:rsid w:val="116023BF"/>
    <w:rsid w:val="11645C1A"/>
    <w:rsid w:val="118963A1"/>
    <w:rsid w:val="11B77A5C"/>
    <w:rsid w:val="11C6522A"/>
    <w:rsid w:val="11E104CC"/>
    <w:rsid w:val="11E20309"/>
    <w:rsid w:val="11FE246E"/>
    <w:rsid w:val="12255233"/>
    <w:rsid w:val="12530213"/>
    <w:rsid w:val="12761D1D"/>
    <w:rsid w:val="127723A9"/>
    <w:rsid w:val="12862074"/>
    <w:rsid w:val="12883966"/>
    <w:rsid w:val="129427A7"/>
    <w:rsid w:val="129E45B4"/>
    <w:rsid w:val="12D81596"/>
    <w:rsid w:val="13072A44"/>
    <w:rsid w:val="13172C53"/>
    <w:rsid w:val="13484B32"/>
    <w:rsid w:val="135F4BE2"/>
    <w:rsid w:val="139B1A0A"/>
    <w:rsid w:val="139D25C7"/>
    <w:rsid w:val="13BF3CE4"/>
    <w:rsid w:val="13C90F7E"/>
    <w:rsid w:val="13EA12E4"/>
    <w:rsid w:val="14045069"/>
    <w:rsid w:val="140674DA"/>
    <w:rsid w:val="141008D8"/>
    <w:rsid w:val="14125FE6"/>
    <w:rsid w:val="146D271E"/>
    <w:rsid w:val="14731F34"/>
    <w:rsid w:val="14982588"/>
    <w:rsid w:val="149A5AD9"/>
    <w:rsid w:val="14A7619D"/>
    <w:rsid w:val="150536C3"/>
    <w:rsid w:val="150C1963"/>
    <w:rsid w:val="151447A0"/>
    <w:rsid w:val="154A6454"/>
    <w:rsid w:val="154F2FA5"/>
    <w:rsid w:val="15762120"/>
    <w:rsid w:val="15AE2D7F"/>
    <w:rsid w:val="15DE6F34"/>
    <w:rsid w:val="16301C52"/>
    <w:rsid w:val="1686445B"/>
    <w:rsid w:val="16A8729C"/>
    <w:rsid w:val="16B33777"/>
    <w:rsid w:val="16BC70A7"/>
    <w:rsid w:val="16C6339E"/>
    <w:rsid w:val="16E11DEE"/>
    <w:rsid w:val="16E41182"/>
    <w:rsid w:val="172F2D79"/>
    <w:rsid w:val="17557BEF"/>
    <w:rsid w:val="177E0790"/>
    <w:rsid w:val="17BF5F86"/>
    <w:rsid w:val="17D349C1"/>
    <w:rsid w:val="17E31439"/>
    <w:rsid w:val="17E7150C"/>
    <w:rsid w:val="1830729E"/>
    <w:rsid w:val="1870062C"/>
    <w:rsid w:val="1875671E"/>
    <w:rsid w:val="18817102"/>
    <w:rsid w:val="18830A15"/>
    <w:rsid w:val="18852B28"/>
    <w:rsid w:val="188B5321"/>
    <w:rsid w:val="19401D80"/>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A301E7"/>
    <w:rsid w:val="1BB4777D"/>
    <w:rsid w:val="1BD75AB8"/>
    <w:rsid w:val="1BDC68CC"/>
    <w:rsid w:val="1C0459C2"/>
    <w:rsid w:val="1C1B3B4A"/>
    <w:rsid w:val="1C8431EB"/>
    <w:rsid w:val="1C88086E"/>
    <w:rsid w:val="1D266CE1"/>
    <w:rsid w:val="1D3963AF"/>
    <w:rsid w:val="1D6A673C"/>
    <w:rsid w:val="1D9247AE"/>
    <w:rsid w:val="1D926BE2"/>
    <w:rsid w:val="1DB567EC"/>
    <w:rsid w:val="1DF51A98"/>
    <w:rsid w:val="1E3D060F"/>
    <w:rsid w:val="1E3F7D2E"/>
    <w:rsid w:val="1E4134E4"/>
    <w:rsid w:val="1E5062B3"/>
    <w:rsid w:val="1E523514"/>
    <w:rsid w:val="1E714A66"/>
    <w:rsid w:val="1E802593"/>
    <w:rsid w:val="1E870D71"/>
    <w:rsid w:val="1EA703CC"/>
    <w:rsid w:val="1EB7330C"/>
    <w:rsid w:val="1F0A0FF3"/>
    <w:rsid w:val="1F5771FF"/>
    <w:rsid w:val="1F5E1D3F"/>
    <w:rsid w:val="1F6B09CC"/>
    <w:rsid w:val="1F796E16"/>
    <w:rsid w:val="1F890B18"/>
    <w:rsid w:val="1F911058"/>
    <w:rsid w:val="1FE868A9"/>
    <w:rsid w:val="1FED554B"/>
    <w:rsid w:val="20034907"/>
    <w:rsid w:val="20173E4B"/>
    <w:rsid w:val="204E48BC"/>
    <w:rsid w:val="20567085"/>
    <w:rsid w:val="207D067D"/>
    <w:rsid w:val="208921B3"/>
    <w:rsid w:val="20973DEB"/>
    <w:rsid w:val="20A93C8E"/>
    <w:rsid w:val="20B26522"/>
    <w:rsid w:val="20B44310"/>
    <w:rsid w:val="20FE5F27"/>
    <w:rsid w:val="211116EB"/>
    <w:rsid w:val="215B4CA0"/>
    <w:rsid w:val="216133FC"/>
    <w:rsid w:val="21C42E7D"/>
    <w:rsid w:val="21D45AC3"/>
    <w:rsid w:val="21D56769"/>
    <w:rsid w:val="21E52EF3"/>
    <w:rsid w:val="21FB5D7B"/>
    <w:rsid w:val="220B1C3D"/>
    <w:rsid w:val="221D1D20"/>
    <w:rsid w:val="22334A87"/>
    <w:rsid w:val="22477E35"/>
    <w:rsid w:val="2297354C"/>
    <w:rsid w:val="22BE6801"/>
    <w:rsid w:val="233500BF"/>
    <w:rsid w:val="23377FF7"/>
    <w:rsid w:val="236B425F"/>
    <w:rsid w:val="2383244E"/>
    <w:rsid w:val="23836192"/>
    <w:rsid w:val="23901F29"/>
    <w:rsid w:val="23971A56"/>
    <w:rsid w:val="239816A9"/>
    <w:rsid w:val="239C0061"/>
    <w:rsid w:val="23B908A4"/>
    <w:rsid w:val="23CE11F0"/>
    <w:rsid w:val="23D47425"/>
    <w:rsid w:val="23E95BEF"/>
    <w:rsid w:val="23FC5D5D"/>
    <w:rsid w:val="23FD0064"/>
    <w:rsid w:val="240A0748"/>
    <w:rsid w:val="245375B0"/>
    <w:rsid w:val="24642C0A"/>
    <w:rsid w:val="24B22173"/>
    <w:rsid w:val="24B95AD9"/>
    <w:rsid w:val="24BE24DA"/>
    <w:rsid w:val="24CF5825"/>
    <w:rsid w:val="24D663E6"/>
    <w:rsid w:val="24D77F2B"/>
    <w:rsid w:val="24E175C6"/>
    <w:rsid w:val="253E6F3E"/>
    <w:rsid w:val="25585215"/>
    <w:rsid w:val="258B00E2"/>
    <w:rsid w:val="259E6EE0"/>
    <w:rsid w:val="25A917A6"/>
    <w:rsid w:val="25BE27CC"/>
    <w:rsid w:val="25F74A5C"/>
    <w:rsid w:val="2628662C"/>
    <w:rsid w:val="262D45DE"/>
    <w:rsid w:val="26A53EF9"/>
    <w:rsid w:val="26A94201"/>
    <w:rsid w:val="26AC025C"/>
    <w:rsid w:val="26AC274F"/>
    <w:rsid w:val="27044A29"/>
    <w:rsid w:val="27135B8A"/>
    <w:rsid w:val="271D34C8"/>
    <w:rsid w:val="276142BF"/>
    <w:rsid w:val="27783712"/>
    <w:rsid w:val="27907362"/>
    <w:rsid w:val="28133675"/>
    <w:rsid w:val="28333E1D"/>
    <w:rsid w:val="28454BD6"/>
    <w:rsid w:val="28455253"/>
    <w:rsid w:val="28551971"/>
    <w:rsid w:val="285B1C53"/>
    <w:rsid w:val="289F7086"/>
    <w:rsid w:val="28C32028"/>
    <w:rsid w:val="28CC490F"/>
    <w:rsid w:val="28CE678A"/>
    <w:rsid w:val="28DE40AA"/>
    <w:rsid w:val="29345E77"/>
    <w:rsid w:val="294C65AD"/>
    <w:rsid w:val="296E1FE3"/>
    <w:rsid w:val="29806583"/>
    <w:rsid w:val="298B3C4C"/>
    <w:rsid w:val="299D769A"/>
    <w:rsid w:val="29AA44E3"/>
    <w:rsid w:val="29C966E1"/>
    <w:rsid w:val="29CB7498"/>
    <w:rsid w:val="29F01EC0"/>
    <w:rsid w:val="29F26D24"/>
    <w:rsid w:val="2A15033F"/>
    <w:rsid w:val="2A1662C1"/>
    <w:rsid w:val="2A1C7367"/>
    <w:rsid w:val="2A2815FA"/>
    <w:rsid w:val="2A5C57A7"/>
    <w:rsid w:val="2A6D6092"/>
    <w:rsid w:val="2A7D76B4"/>
    <w:rsid w:val="2B202B57"/>
    <w:rsid w:val="2B437463"/>
    <w:rsid w:val="2B623AE5"/>
    <w:rsid w:val="2B717030"/>
    <w:rsid w:val="2B7807EE"/>
    <w:rsid w:val="2B8F395A"/>
    <w:rsid w:val="2BBF00EC"/>
    <w:rsid w:val="2BC37CFD"/>
    <w:rsid w:val="2BD5237F"/>
    <w:rsid w:val="2BE536CE"/>
    <w:rsid w:val="2BE758D9"/>
    <w:rsid w:val="2C07444B"/>
    <w:rsid w:val="2C09049E"/>
    <w:rsid w:val="2C0A653C"/>
    <w:rsid w:val="2C191F85"/>
    <w:rsid w:val="2C857573"/>
    <w:rsid w:val="2C8A7339"/>
    <w:rsid w:val="2CA0159A"/>
    <w:rsid w:val="2CE82D6F"/>
    <w:rsid w:val="2D343236"/>
    <w:rsid w:val="2DD15014"/>
    <w:rsid w:val="2DF72DE4"/>
    <w:rsid w:val="2E0220AF"/>
    <w:rsid w:val="2E4B082A"/>
    <w:rsid w:val="2E5D4E86"/>
    <w:rsid w:val="2E5D790B"/>
    <w:rsid w:val="2E9A3C18"/>
    <w:rsid w:val="2EBB0FEE"/>
    <w:rsid w:val="2EC63002"/>
    <w:rsid w:val="2F0A6B38"/>
    <w:rsid w:val="2F9341F7"/>
    <w:rsid w:val="2F946CCB"/>
    <w:rsid w:val="2FD25781"/>
    <w:rsid w:val="2FFD7934"/>
    <w:rsid w:val="303C03E0"/>
    <w:rsid w:val="30733ACD"/>
    <w:rsid w:val="308C3862"/>
    <w:rsid w:val="309379D8"/>
    <w:rsid w:val="30A270F7"/>
    <w:rsid w:val="30DF1478"/>
    <w:rsid w:val="30EC586F"/>
    <w:rsid w:val="310E1743"/>
    <w:rsid w:val="319C6071"/>
    <w:rsid w:val="31AC537E"/>
    <w:rsid w:val="31AE67F8"/>
    <w:rsid w:val="31E3679B"/>
    <w:rsid w:val="31E732FD"/>
    <w:rsid w:val="324E00CB"/>
    <w:rsid w:val="32517576"/>
    <w:rsid w:val="32BA70F6"/>
    <w:rsid w:val="32BE5C2C"/>
    <w:rsid w:val="32FB6478"/>
    <w:rsid w:val="33263B3F"/>
    <w:rsid w:val="336963EB"/>
    <w:rsid w:val="33816EEB"/>
    <w:rsid w:val="339E0DDD"/>
    <w:rsid w:val="33EB55CD"/>
    <w:rsid w:val="33EC4C02"/>
    <w:rsid w:val="340D2360"/>
    <w:rsid w:val="3410665D"/>
    <w:rsid w:val="34211214"/>
    <w:rsid w:val="342E63AB"/>
    <w:rsid w:val="34572B3B"/>
    <w:rsid w:val="34923951"/>
    <w:rsid w:val="34950E68"/>
    <w:rsid w:val="34986E94"/>
    <w:rsid w:val="34AF62C9"/>
    <w:rsid w:val="34CB4388"/>
    <w:rsid w:val="34FA6E12"/>
    <w:rsid w:val="354D11F5"/>
    <w:rsid w:val="35527ED3"/>
    <w:rsid w:val="358931C8"/>
    <w:rsid w:val="358D5588"/>
    <w:rsid w:val="35981D80"/>
    <w:rsid w:val="35CF507F"/>
    <w:rsid w:val="363A3B40"/>
    <w:rsid w:val="365302AE"/>
    <w:rsid w:val="36607A0A"/>
    <w:rsid w:val="366E227C"/>
    <w:rsid w:val="366F2E0D"/>
    <w:rsid w:val="367B6A5C"/>
    <w:rsid w:val="36A74ADA"/>
    <w:rsid w:val="36AD60D5"/>
    <w:rsid w:val="36B224F9"/>
    <w:rsid w:val="36EC0CC9"/>
    <w:rsid w:val="36FC5E87"/>
    <w:rsid w:val="37206361"/>
    <w:rsid w:val="373F410B"/>
    <w:rsid w:val="378660C8"/>
    <w:rsid w:val="37C347CB"/>
    <w:rsid w:val="37D7045D"/>
    <w:rsid w:val="37EE7094"/>
    <w:rsid w:val="38296C89"/>
    <w:rsid w:val="383002EB"/>
    <w:rsid w:val="38586797"/>
    <w:rsid w:val="38BC0149"/>
    <w:rsid w:val="38C20BE6"/>
    <w:rsid w:val="38D87D1C"/>
    <w:rsid w:val="392C0A3B"/>
    <w:rsid w:val="39636459"/>
    <w:rsid w:val="396B7F6C"/>
    <w:rsid w:val="39B417A9"/>
    <w:rsid w:val="39FC5695"/>
    <w:rsid w:val="3A006D8E"/>
    <w:rsid w:val="3A1E0383"/>
    <w:rsid w:val="3A3651E5"/>
    <w:rsid w:val="3A616A18"/>
    <w:rsid w:val="3A744481"/>
    <w:rsid w:val="3A8C7BEF"/>
    <w:rsid w:val="3A906246"/>
    <w:rsid w:val="3AA54601"/>
    <w:rsid w:val="3ADE3FB6"/>
    <w:rsid w:val="3B0741BF"/>
    <w:rsid w:val="3B2349B7"/>
    <w:rsid w:val="3B616CFF"/>
    <w:rsid w:val="3B6259F6"/>
    <w:rsid w:val="3B916CB3"/>
    <w:rsid w:val="3B976654"/>
    <w:rsid w:val="3BC01EFC"/>
    <w:rsid w:val="3BCA786A"/>
    <w:rsid w:val="3BD00A1F"/>
    <w:rsid w:val="3BD31E2F"/>
    <w:rsid w:val="3BF15831"/>
    <w:rsid w:val="3C063CB7"/>
    <w:rsid w:val="3C105946"/>
    <w:rsid w:val="3C471448"/>
    <w:rsid w:val="3C553E04"/>
    <w:rsid w:val="3C5F759A"/>
    <w:rsid w:val="3C6C525A"/>
    <w:rsid w:val="3CCE23CB"/>
    <w:rsid w:val="3CD17D17"/>
    <w:rsid w:val="3CD53D12"/>
    <w:rsid w:val="3D3C7F39"/>
    <w:rsid w:val="3D440F09"/>
    <w:rsid w:val="3D4504A0"/>
    <w:rsid w:val="3D74475E"/>
    <w:rsid w:val="3D8734BB"/>
    <w:rsid w:val="3D9A11D4"/>
    <w:rsid w:val="3D9B6F7F"/>
    <w:rsid w:val="3DA16D89"/>
    <w:rsid w:val="3DA364BE"/>
    <w:rsid w:val="3DCE0312"/>
    <w:rsid w:val="3DE041CB"/>
    <w:rsid w:val="3E0D48F6"/>
    <w:rsid w:val="3E1868B4"/>
    <w:rsid w:val="3E377251"/>
    <w:rsid w:val="3E42664B"/>
    <w:rsid w:val="3E5A7334"/>
    <w:rsid w:val="3E7B5D6B"/>
    <w:rsid w:val="3E843E66"/>
    <w:rsid w:val="3E8F51FE"/>
    <w:rsid w:val="3E926F87"/>
    <w:rsid w:val="3E9A59DE"/>
    <w:rsid w:val="3EAF4836"/>
    <w:rsid w:val="3EC33DFA"/>
    <w:rsid w:val="3EC6723B"/>
    <w:rsid w:val="3F060E16"/>
    <w:rsid w:val="3F1D1096"/>
    <w:rsid w:val="3F2F0234"/>
    <w:rsid w:val="3F6363FE"/>
    <w:rsid w:val="3F756B8F"/>
    <w:rsid w:val="3F95482B"/>
    <w:rsid w:val="3FF46A69"/>
    <w:rsid w:val="400420D2"/>
    <w:rsid w:val="4019356B"/>
    <w:rsid w:val="40381A73"/>
    <w:rsid w:val="40592157"/>
    <w:rsid w:val="406E1CAE"/>
    <w:rsid w:val="40A0133A"/>
    <w:rsid w:val="40A74181"/>
    <w:rsid w:val="40C31A53"/>
    <w:rsid w:val="40FF545D"/>
    <w:rsid w:val="410067C8"/>
    <w:rsid w:val="413E3059"/>
    <w:rsid w:val="418F0D2A"/>
    <w:rsid w:val="419B38C1"/>
    <w:rsid w:val="41D01505"/>
    <w:rsid w:val="41E2613A"/>
    <w:rsid w:val="41F76AC7"/>
    <w:rsid w:val="42383FAC"/>
    <w:rsid w:val="42474939"/>
    <w:rsid w:val="424C3C57"/>
    <w:rsid w:val="425B181D"/>
    <w:rsid w:val="42613FF3"/>
    <w:rsid w:val="42660D96"/>
    <w:rsid w:val="428667D2"/>
    <w:rsid w:val="42BA0E65"/>
    <w:rsid w:val="42CD1CE0"/>
    <w:rsid w:val="42E1381E"/>
    <w:rsid w:val="42ED6459"/>
    <w:rsid w:val="42FE58DD"/>
    <w:rsid w:val="43174B3D"/>
    <w:rsid w:val="434B790E"/>
    <w:rsid w:val="4360274F"/>
    <w:rsid w:val="43977AB6"/>
    <w:rsid w:val="43A3342B"/>
    <w:rsid w:val="43C168D5"/>
    <w:rsid w:val="43C77C27"/>
    <w:rsid w:val="43DE09EE"/>
    <w:rsid w:val="43F85D4D"/>
    <w:rsid w:val="44002FAD"/>
    <w:rsid w:val="4404182E"/>
    <w:rsid w:val="44467546"/>
    <w:rsid w:val="449101DD"/>
    <w:rsid w:val="44DE1391"/>
    <w:rsid w:val="451B225C"/>
    <w:rsid w:val="452410C9"/>
    <w:rsid w:val="45246A6A"/>
    <w:rsid w:val="4530540F"/>
    <w:rsid w:val="45317DFB"/>
    <w:rsid w:val="456D3CE4"/>
    <w:rsid w:val="4579042C"/>
    <w:rsid w:val="457F0571"/>
    <w:rsid w:val="457F1EFB"/>
    <w:rsid w:val="45851176"/>
    <w:rsid w:val="45C63B94"/>
    <w:rsid w:val="460E7DA5"/>
    <w:rsid w:val="46162856"/>
    <w:rsid w:val="46226200"/>
    <w:rsid w:val="463074C6"/>
    <w:rsid w:val="46422483"/>
    <w:rsid w:val="4659254A"/>
    <w:rsid w:val="465B0637"/>
    <w:rsid w:val="465E3F0D"/>
    <w:rsid w:val="466A16E6"/>
    <w:rsid w:val="467C3BC0"/>
    <w:rsid w:val="46893F2B"/>
    <w:rsid w:val="46BF6057"/>
    <w:rsid w:val="46C4686E"/>
    <w:rsid w:val="477B778F"/>
    <w:rsid w:val="478203EC"/>
    <w:rsid w:val="47B025FA"/>
    <w:rsid w:val="47B332AF"/>
    <w:rsid w:val="47CA7D9C"/>
    <w:rsid w:val="4809698F"/>
    <w:rsid w:val="4811697D"/>
    <w:rsid w:val="48135E3E"/>
    <w:rsid w:val="48542939"/>
    <w:rsid w:val="48713C67"/>
    <w:rsid w:val="487A3E25"/>
    <w:rsid w:val="488B5503"/>
    <w:rsid w:val="48937E21"/>
    <w:rsid w:val="489A0361"/>
    <w:rsid w:val="48B94FF3"/>
    <w:rsid w:val="48E37AAB"/>
    <w:rsid w:val="48F863BB"/>
    <w:rsid w:val="48FD4B4C"/>
    <w:rsid w:val="490A68E0"/>
    <w:rsid w:val="491055FE"/>
    <w:rsid w:val="495F5B3E"/>
    <w:rsid w:val="496F77D7"/>
    <w:rsid w:val="497654FD"/>
    <w:rsid w:val="49862D98"/>
    <w:rsid w:val="49B64211"/>
    <w:rsid w:val="49F6167F"/>
    <w:rsid w:val="4A064FA0"/>
    <w:rsid w:val="4A16615C"/>
    <w:rsid w:val="4A4424D7"/>
    <w:rsid w:val="4AB82D0F"/>
    <w:rsid w:val="4AEB7664"/>
    <w:rsid w:val="4AFD7C19"/>
    <w:rsid w:val="4B0567D1"/>
    <w:rsid w:val="4B071261"/>
    <w:rsid w:val="4B236AAE"/>
    <w:rsid w:val="4B3527A5"/>
    <w:rsid w:val="4B707271"/>
    <w:rsid w:val="4B9739F7"/>
    <w:rsid w:val="4BD45567"/>
    <w:rsid w:val="4BEE2503"/>
    <w:rsid w:val="4C245A30"/>
    <w:rsid w:val="4CB22BAD"/>
    <w:rsid w:val="4CB6685F"/>
    <w:rsid w:val="4CC367FE"/>
    <w:rsid w:val="4D077F3C"/>
    <w:rsid w:val="4D0D2958"/>
    <w:rsid w:val="4D123355"/>
    <w:rsid w:val="4D2A3B31"/>
    <w:rsid w:val="4D312C52"/>
    <w:rsid w:val="4D905305"/>
    <w:rsid w:val="4D964A72"/>
    <w:rsid w:val="4D9C1254"/>
    <w:rsid w:val="4DC05E89"/>
    <w:rsid w:val="4E793892"/>
    <w:rsid w:val="4E800872"/>
    <w:rsid w:val="4EC569ED"/>
    <w:rsid w:val="4ED50EA1"/>
    <w:rsid w:val="4EEC050C"/>
    <w:rsid w:val="4F104EC3"/>
    <w:rsid w:val="4F471CD3"/>
    <w:rsid w:val="4F47354A"/>
    <w:rsid w:val="4F7B7070"/>
    <w:rsid w:val="4F911C54"/>
    <w:rsid w:val="4FE625E0"/>
    <w:rsid w:val="5021480F"/>
    <w:rsid w:val="50373AF5"/>
    <w:rsid w:val="504B7753"/>
    <w:rsid w:val="50750E8F"/>
    <w:rsid w:val="508056A4"/>
    <w:rsid w:val="50962ECB"/>
    <w:rsid w:val="50A42E38"/>
    <w:rsid w:val="50A4577F"/>
    <w:rsid w:val="50B73D1F"/>
    <w:rsid w:val="50BD5BC9"/>
    <w:rsid w:val="50C11EEE"/>
    <w:rsid w:val="50E97CFC"/>
    <w:rsid w:val="50FA4028"/>
    <w:rsid w:val="51093F81"/>
    <w:rsid w:val="510D65B7"/>
    <w:rsid w:val="511157AB"/>
    <w:rsid w:val="5142540C"/>
    <w:rsid w:val="518832C8"/>
    <w:rsid w:val="51A0432A"/>
    <w:rsid w:val="51A86090"/>
    <w:rsid w:val="51B7396D"/>
    <w:rsid w:val="522E4CC3"/>
    <w:rsid w:val="5244713B"/>
    <w:rsid w:val="52615633"/>
    <w:rsid w:val="52977FD4"/>
    <w:rsid w:val="52A25790"/>
    <w:rsid w:val="52A96B6F"/>
    <w:rsid w:val="52B45975"/>
    <w:rsid w:val="52C917FE"/>
    <w:rsid w:val="52D94AA4"/>
    <w:rsid w:val="52EA3A62"/>
    <w:rsid w:val="52F50BB8"/>
    <w:rsid w:val="53097272"/>
    <w:rsid w:val="532D19BD"/>
    <w:rsid w:val="53414394"/>
    <w:rsid w:val="53544462"/>
    <w:rsid w:val="5397158E"/>
    <w:rsid w:val="53AF75D0"/>
    <w:rsid w:val="53B4545D"/>
    <w:rsid w:val="53E75832"/>
    <w:rsid w:val="54013861"/>
    <w:rsid w:val="540868D8"/>
    <w:rsid w:val="5415414D"/>
    <w:rsid w:val="542A104D"/>
    <w:rsid w:val="54487265"/>
    <w:rsid w:val="544D6070"/>
    <w:rsid w:val="545E28FC"/>
    <w:rsid w:val="54601646"/>
    <w:rsid w:val="54605E1E"/>
    <w:rsid w:val="54B3506A"/>
    <w:rsid w:val="54C61495"/>
    <w:rsid w:val="54CA0D16"/>
    <w:rsid w:val="54DD4057"/>
    <w:rsid w:val="54E7490F"/>
    <w:rsid w:val="550764A4"/>
    <w:rsid w:val="550B2BF6"/>
    <w:rsid w:val="55214EB5"/>
    <w:rsid w:val="55364EFD"/>
    <w:rsid w:val="55376345"/>
    <w:rsid w:val="555D4828"/>
    <w:rsid w:val="557A4C8B"/>
    <w:rsid w:val="557B0F98"/>
    <w:rsid w:val="558931E1"/>
    <w:rsid w:val="55923347"/>
    <w:rsid w:val="55925180"/>
    <w:rsid w:val="55983B1B"/>
    <w:rsid w:val="55A8376B"/>
    <w:rsid w:val="55C02308"/>
    <w:rsid w:val="55DC29B6"/>
    <w:rsid w:val="55DD4241"/>
    <w:rsid w:val="561617E7"/>
    <w:rsid w:val="562E14F6"/>
    <w:rsid w:val="563D3E2F"/>
    <w:rsid w:val="566B6D1E"/>
    <w:rsid w:val="569357FD"/>
    <w:rsid w:val="56EE0C86"/>
    <w:rsid w:val="57032A2C"/>
    <w:rsid w:val="570F5219"/>
    <w:rsid w:val="57184197"/>
    <w:rsid w:val="575D12B5"/>
    <w:rsid w:val="57610A87"/>
    <w:rsid w:val="5768746A"/>
    <w:rsid w:val="577B1140"/>
    <w:rsid w:val="577B7F21"/>
    <w:rsid w:val="577F181B"/>
    <w:rsid w:val="57827D4C"/>
    <w:rsid w:val="57921984"/>
    <w:rsid w:val="579737F0"/>
    <w:rsid w:val="57AB7B30"/>
    <w:rsid w:val="57AF5251"/>
    <w:rsid w:val="57B26373"/>
    <w:rsid w:val="57B63F04"/>
    <w:rsid w:val="57CD20C2"/>
    <w:rsid w:val="57CE2F91"/>
    <w:rsid w:val="57D675AB"/>
    <w:rsid w:val="57D95FDD"/>
    <w:rsid w:val="58917D2F"/>
    <w:rsid w:val="5894085C"/>
    <w:rsid w:val="58AE4F0C"/>
    <w:rsid w:val="58B85899"/>
    <w:rsid w:val="58D565A1"/>
    <w:rsid w:val="58E363A9"/>
    <w:rsid w:val="5900361E"/>
    <w:rsid w:val="595E1678"/>
    <w:rsid w:val="596D5BD4"/>
    <w:rsid w:val="597E3DD8"/>
    <w:rsid w:val="59DB3E62"/>
    <w:rsid w:val="59F80043"/>
    <w:rsid w:val="5A09252F"/>
    <w:rsid w:val="5A0B2778"/>
    <w:rsid w:val="5A1E7905"/>
    <w:rsid w:val="5A2A7C7B"/>
    <w:rsid w:val="5A3E2560"/>
    <w:rsid w:val="5A5D3B6E"/>
    <w:rsid w:val="5A637A76"/>
    <w:rsid w:val="5A6D33BA"/>
    <w:rsid w:val="5A792B1F"/>
    <w:rsid w:val="5A824FB6"/>
    <w:rsid w:val="5A874767"/>
    <w:rsid w:val="5A9B71F2"/>
    <w:rsid w:val="5AAD6F28"/>
    <w:rsid w:val="5AC152B3"/>
    <w:rsid w:val="5AC635BB"/>
    <w:rsid w:val="5AC73CC7"/>
    <w:rsid w:val="5AD50114"/>
    <w:rsid w:val="5AD63A24"/>
    <w:rsid w:val="5B2E1A1D"/>
    <w:rsid w:val="5B6F05E7"/>
    <w:rsid w:val="5B843A1C"/>
    <w:rsid w:val="5B873E3F"/>
    <w:rsid w:val="5B94004E"/>
    <w:rsid w:val="5C02690E"/>
    <w:rsid w:val="5C196DA7"/>
    <w:rsid w:val="5C2A048C"/>
    <w:rsid w:val="5C38556A"/>
    <w:rsid w:val="5C80234E"/>
    <w:rsid w:val="5C872197"/>
    <w:rsid w:val="5C8A680C"/>
    <w:rsid w:val="5CD57BC5"/>
    <w:rsid w:val="5CFA37F2"/>
    <w:rsid w:val="5D0C4701"/>
    <w:rsid w:val="5D0F0395"/>
    <w:rsid w:val="5D221076"/>
    <w:rsid w:val="5D397964"/>
    <w:rsid w:val="5D437F7D"/>
    <w:rsid w:val="5D5A391C"/>
    <w:rsid w:val="5D5F10C0"/>
    <w:rsid w:val="5D891B7B"/>
    <w:rsid w:val="5D981E59"/>
    <w:rsid w:val="5DAD38EE"/>
    <w:rsid w:val="5DEB56F0"/>
    <w:rsid w:val="5E006862"/>
    <w:rsid w:val="5E0207B9"/>
    <w:rsid w:val="5E1834A1"/>
    <w:rsid w:val="5E261785"/>
    <w:rsid w:val="5E40270F"/>
    <w:rsid w:val="5E4A7017"/>
    <w:rsid w:val="5E552BBA"/>
    <w:rsid w:val="5E611C10"/>
    <w:rsid w:val="5E792877"/>
    <w:rsid w:val="5EFC7377"/>
    <w:rsid w:val="5F06174D"/>
    <w:rsid w:val="5F06522E"/>
    <w:rsid w:val="5F30217A"/>
    <w:rsid w:val="5F3A3602"/>
    <w:rsid w:val="5F6277C6"/>
    <w:rsid w:val="5F6D0B1D"/>
    <w:rsid w:val="5F8D0B82"/>
    <w:rsid w:val="5FCC5339"/>
    <w:rsid w:val="5FE34A5B"/>
    <w:rsid w:val="5FFE1E36"/>
    <w:rsid w:val="60232584"/>
    <w:rsid w:val="605E54D0"/>
    <w:rsid w:val="607330CE"/>
    <w:rsid w:val="60825176"/>
    <w:rsid w:val="608368E3"/>
    <w:rsid w:val="609F2AC4"/>
    <w:rsid w:val="60E5134B"/>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744735"/>
    <w:rsid w:val="62885958"/>
    <w:rsid w:val="62EB66B3"/>
    <w:rsid w:val="62F40B65"/>
    <w:rsid w:val="62FB6C04"/>
    <w:rsid w:val="62FC2CFE"/>
    <w:rsid w:val="63024505"/>
    <w:rsid w:val="63091321"/>
    <w:rsid w:val="635B1DB5"/>
    <w:rsid w:val="63711FED"/>
    <w:rsid w:val="63880DDC"/>
    <w:rsid w:val="638D750D"/>
    <w:rsid w:val="63AC6CC0"/>
    <w:rsid w:val="63DF054D"/>
    <w:rsid w:val="63EF7892"/>
    <w:rsid w:val="64055776"/>
    <w:rsid w:val="64184872"/>
    <w:rsid w:val="64240056"/>
    <w:rsid w:val="643E143A"/>
    <w:rsid w:val="646F78AA"/>
    <w:rsid w:val="648B6EEF"/>
    <w:rsid w:val="64A64465"/>
    <w:rsid w:val="64C158BF"/>
    <w:rsid w:val="64CE2EAA"/>
    <w:rsid w:val="651A79AA"/>
    <w:rsid w:val="653C3090"/>
    <w:rsid w:val="65854376"/>
    <w:rsid w:val="658767BE"/>
    <w:rsid w:val="65892531"/>
    <w:rsid w:val="65EA4748"/>
    <w:rsid w:val="66195831"/>
    <w:rsid w:val="662E75B1"/>
    <w:rsid w:val="662F4228"/>
    <w:rsid w:val="66342C2E"/>
    <w:rsid w:val="663E784C"/>
    <w:rsid w:val="668B6A45"/>
    <w:rsid w:val="669C4947"/>
    <w:rsid w:val="672F3F24"/>
    <w:rsid w:val="673E055F"/>
    <w:rsid w:val="67551CE3"/>
    <w:rsid w:val="675E5CB8"/>
    <w:rsid w:val="67625388"/>
    <w:rsid w:val="67A22552"/>
    <w:rsid w:val="67B22DCC"/>
    <w:rsid w:val="67BE71AA"/>
    <w:rsid w:val="67D90273"/>
    <w:rsid w:val="67DC7FE5"/>
    <w:rsid w:val="67DE5875"/>
    <w:rsid w:val="67E55852"/>
    <w:rsid w:val="67EB1AB4"/>
    <w:rsid w:val="67F0048D"/>
    <w:rsid w:val="67FA1285"/>
    <w:rsid w:val="68551F4F"/>
    <w:rsid w:val="687C10C9"/>
    <w:rsid w:val="68840C16"/>
    <w:rsid w:val="68876EFB"/>
    <w:rsid w:val="68884654"/>
    <w:rsid w:val="689B3ABC"/>
    <w:rsid w:val="689F3C9C"/>
    <w:rsid w:val="689F444F"/>
    <w:rsid w:val="68B96DBB"/>
    <w:rsid w:val="68CA2805"/>
    <w:rsid w:val="68E937A3"/>
    <w:rsid w:val="693E15D3"/>
    <w:rsid w:val="69627681"/>
    <w:rsid w:val="6977531D"/>
    <w:rsid w:val="6985191D"/>
    <w:rsid w:val="69CC2BFF"/>
    <w:rsid w:val="69FD55B8"/>
    <w:rsid w:val="6A0B1C62"/>
    <w:rsid w:val="6A2406C8"/>
    <w:rsid w:val="6A927E4E"/>
    <w:rsid w:val="6AB9362D"/>
    <w:rsid w:val="6ADE0BD1"/>
    <w:rsid w:val="6AE96859"/>
    <w:rsid w:val="6AFF68CB"/>
    <w:rsid w:val="6B147746"/>
    <w:rsid w:val="6B24787C"/>
    <w:rsid w:val="6B573233"/>
    <w:rsid w:val="6B5B6274"/>
    <w:rsid w:val="6B935D53"/>
    <w:rsid w:val="6BD61E9B"/>
    <w:rsid w:val="6C196F71"/>
    <w:rsid w:val="6C1D0DCA"/>
    <w:rsid w:val="6C226FCB"/>
    <w:rsid w:val="6C31226F"/>
    <w:rsid w:val="6C552F0B"/>
    <w:rsid w:val="6C6116EB"/>
    <w:rsid w:val="6C6E3AF0"/>
    <w:rsid w:val="6C8C67B7"/>
    <w:rsid w:val="6C9D744C"/>
    <w:rsid w:val="6CDE381E"/>
    <w:rsid w:val="6D167928"/>
    <w:rsid w:val="6D26299B"/>
    <w:rsid w:val="6D310192"/>
    <w:rsid w:val="6D4772EC"/>
    <w:rsid w:val="6D9078AF"/>
    <w:rsid w:val="6DA71E62"/>
    <w:rsid w:val="6DAA3FEF"/>
    <w:rsid w:val="6DC0172B"/>
    <w:rsid w:val="6DCB690C"/>
    <w:rsid w:val="6DD41A5B"/>
    <w:rsid w:val="6DF43C2E"/>
    <w:rsid w:val="6DF51CA3"/>
    <w:rsid w:val="6E655927"/>
    <w:rsid w:val="6E7C509D"/>
    <w:rsid w:val="6E8335BD"/>
    <w:rsid w:val="6E8E12EF"/>
    <w:rsid w:val="6E972936"/>
    <w:rsid w:val="6ED446C5"/>
    <w:rsid w:val="6F2A7D94"/>
    <w:rsid w:val="6F743CD3"/>
    <w:rsid w:val="6F8331F1"/>
    <w:rsid w:val="6FAE1A09"/>
    <w:rsid w:val="6FD75BF8"/>
    <w:rsid w:val="707723D0"/>
    <w:rsid w:val="70D93627"/>
    <w:rsid w:val="70F5661B"/>
    <w:rsid w:val="71317516"/>
    <w:rsid w:val="71360107"/>
    <w:rsid w:val="713A123F"/>
    <w:rsid w:val="713B688E"/>
    <w:rsid w:val="7143471F"/>
    <w:rsid w:val="71535E5D"/>
    <w:rsid w:val="71613D0A"/>
    <w:rsid w:val="71D43752"/>
    <w:rsid w:val="71F1796A"/>
    <w:rsid w:val="72154626"/>
    <w:rsid w:val="72262B5D"/>
    <w:rsid w:val="72283FF7"/>
    <w:rsid w:val="722E7212"/>
    <w:rsid w:val="723A0474"/>
    <w:rsid w:val="725923E4"/>
    <w:rsid w:val="72692FC4"/>
    <w:rsid w:val="72864BF7"/>
    <w:rsid w:val="729023FC"/>
    <w:rsid w:val="72A70177"/>
    <w:rsid w:val="731955B0"/>
    <w:rsid w:val="73C0646E"/>
    <w:rsid w:val="742222F5"/>
    <w:rsid w:val="74476126"/>
    <w:rsid w:val="74706664"/>
    <w:rsid w:val="747F3682"/>
    <w:rsid w:val="749C4185"/>
    <w:rsid w:val="75067759"/>
    <w:rsid w:val="752E6DCD"/>
    <w:rsid w:val="75495E1C"/>
    <w:rsid w:val="7551380D"/>
    <w:rsid w:val="75600BE5"/>
    <w:rsid w:val="7564475C"/>
    <w:rsid w:val="7583797F"/>
    <w:rsid w:val="75D20F1D"/>
    <w:rsid w:val="75DA2C18"/>
    <w:rsid w:val="75F54412"/>
    <w:rsid w:val="761D08E0"/>
    <w:rsid w:val="765D347C"/>
    <w:rsid w:val="76826699"/>
    <w:rsid w:val="76873D7E"/>
    <w:rsid w:val="76C2663F"/>
    <w:rsid w:val="76C87133"/>
    <w:rsid w:val="76CD08D5"/>
    <w:rsid w:val="76DB4B92"/>
    <w:rsid w:val="77052AA4"/>
    <w:rsid w:val="77111DAB"/>
    <w:rsid w:val="77136511"/>
    <w:rsid w:val="77340A39"/>
    <w:rsid w:val="77351FD0"/>
    <w:rsid w:val="77472422"/>
    <w:rsid w:val="777F31F2"/>
    <w:rsid w:val="77D1700D"/>
    <w:rsid w:val="77EC04CC"/>
    <w:rsid w:val="78192AA1"/>
    <w:rsid w:val="78775729"/>
    <w:rsid w:val="788B1499"/>
    <w:rsid w:val="78982777"/>
    <w:rsid w:val="78A42DB0"/>
    <w:rsid w:val="78A656AB"/>
    <w:rsid w:val="78B2245C"/>
    <w:rsid w:val="78C24964"/>
    <w:rsid w:val="78DB50B6"/>
    <w:rsid w:val="78E172CC"/>
    <w:rsid w:val="78EA1D1F"/>
    <w:rsid w:val="7904172F"/>
    <w:rsid w:val="790F7E27"/>
    <w:rsid w:val="792A231A"/>
    <w:rsid w:val="79316829"/>
    <w:rsid w:val="797E66A9"/>
    <w:rsid w:val="79A97383"/>
    <w:rsid w:val="79E27E8B"/>
    <w:rsid w:val="79F850CE"/>
    <w:rsid w:val="79FD443C"/>
    <w:rsid w:val="7A1D1975"/>
    <w:rsid w:val="7A3E5150"/>
    <w:rsid w:val="7A3E76AA"/>
    <w:rsid w:val="7A4670D6"/>
    <w:rsid w:val="7A534B63"/>
    <w:rsid w:val="7A615382"/>
    <w:rsid w:val="7A67303B"/>
    <w:rsid w:val="7AAB1D04"/>
    <w:rsid w:val="7ABA4368"/>
    <w:rsid w:val="7ABC4865"/>
    <w:rsid w:val="7AD05746"/>
    <w:rsid w:val="7B1228E5"/>
    <w:rsid w:val="7B257FFD"/>
    <w:rsid w:val="7B343476"/>
    <w:rsid w:val="7B5A2978"/>
    <w:rsid w:val="7B5A4286"/>
    <w:rsid w:val="7B5A7E4C"/>
    <w:rsid w:val="7B667AF9"/>
    <w:rsid w:val="7B670E83"/>
    <w:rsid w:val="7B735457"/>
    <w:rsid w:val="7B7468F8"/>
    <w:rsid w:val="7BEE0103"/>
    <w:rsid w:val="7C0A0FE4"/>
    <w:rsid w:val="7C162241"/>
    <w:rsid w:val="7C224DAA"/>
    <w:rsid w:val="7C254906"/>
    <w:rsid w:val="7C590818"/>
    <w:rsid w:val="7C6819CF"/>
    <w:rsid w:val="7C7C10F6"/>
    <w:rsid w:val="7C853BEA"/>
    <w:rsid w:val="7C881368"/>
    <w:rsid w:val="7CD51E1C"/>
    <w:rsid w:val="7CE27788"/>
    <w:rsid w:val="7CF7112C"/>
    <w:rsid w:val="7D0C32F1"/>
    <w:rsid w:val="7D0F408D"/>
    <w:rsid w:val="7D133070"/>
    <w:rsid w:val="7D2F777E"/>
    <w:rsid w:val="7D491C6C"/>
    <w:rsid w:val="7D5429C0"/>
    <w:rsid w:val="7D54367E"/>
    <w:rsid w:val="7D553C43"/>
    <w:rsid w:val="7D6E6D43"/>
    <w:rsid w:val="7DB57A34"/>
    <w:rsid w:val="7DDC005F"/>
    <w:rsid w:val="7DE60973"/>
    <w:rsid w:val="7DEF0916"/>
    <w:rsid w:val="7E167186"/>
    <w:rsid w:val="7E1E5218"/>
    <w:rsid w:val="7E1E5516"/>
    <w:rsid w:val="7E576F8D"/>
    <w:rsid w:val="7E9A4E1F"/>
    <w:rsid w:val="7EA7723A"/>
    <w:rsid w:val="7EB42631"/>
    <w:rsid w:val="7ED152B8"/>
    <w:rsid w:val="7EDA196C"/>
    <w:rsid w:val="7EF56FBB"/>
    <w:rsid w:val="7F0768EB"/>
    <w:rsid w:val="7F1430D0"/>
    <w:rsid w:val="7F143BEC"/>
    <w:rsid w:val="7F594514"/>
    <w:rsid w:val="7F715AF2"/>
    <w:rsid w:val="7F886E69"/>
    <w:rsid w:val="7FC0595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tabs>
        <w:tab w:val="left" w:pos="432"/>
      </w:tabs>
      <w:adjustRightInd/>
      <w:jc w:val="left"/>
      <w:outlineLvl w:val="1"/>
    </w:pPr>
    <w:rPr>
      <w:rFonts w:ascii="仿宋_GB2312" w:hAnsi="仿宋" w:eastAsia="仿宋_GB2312"/>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0"/>
    <w:qFormat/>
    <w:uiPriority w:val="0"/>
    <w:pPr>
      <w:shd w:val="clear" w:color="auto" w:fill="000080"/>
    </w:pPr>
  </w:style>
  <w:style w:type="paragraph" w:styleId="20">
    <w:name w:val="annotation text"/>
    <w:basedOn w:val="1"/>
    <w:link w:val="858"/>
    <w:qFormat/>
    <w:uiPriority w:val="99"/>
    <w:pPr>
      <w:jc w:val="left"/>
    </w:pPr>
  </w:style>
  <w:style w:type="paragraph" w:styleId="21">
    <w:name w:val="Salutation"/>
    <w:basedOn w:val="1"/>
    <w:next w:val="1"/>
    <w:link w:val="818"/>
    <w:qFormat/>
    <w:uiPriority w:val="0"/>
    <w:rPr>
      <w:rFonts w:ascii="仿宋_GB2312" w:eastAsia="仿宋_GB2312"/>
      <w:sz w:val="28"/>
      <w:szCs w:val="20"/>
    </w:rPr>
  </w:style>
  <w:style w:type="paragraph" w:styleId="22">
    <w:name w:val="Body Text 3"/>
    <w:basedOn w:val="1"/>
    <w:link w:val="84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7"/>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6"/>
    <w:qFormat/>
    <w:uiPriority w:val="0"/>
    <w:pPr>
      <w:spacing w:line="480" w:lineRule="exact"/>
      <w:ind w:firstLine="480" w:firstLineChars="200"/>
    </w:pPr>
    <w:rPr>
      <w:rFonts w:ascii="宋体" w:hAnsi="宋体"/>
      <w:sz w:val="24"/>
    </w:rPr>
  </w:style>
  <w:style w:type="paragraph" w:styleId="28">
    <w:name w:val="Body Text First Indent 2"/>
    <w:basedOn w:val="27"/>
    <w:next w:val="1"/>
    <w:link w:val="658"/>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66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2"/>
    <w:qFormat/>
    <w:uiPriority w:val="0"/>
    <w:pPr>
      <w:ind w:left="100" w:leftChars="2500"/>
    </w:pPr>
    <w:rPr>
      <w:rFonts w:ascii="宋体"/>
      <w:sz w:val="24"/>
      <w:szCs w:val="21"/>
      <w:lang w:val="zh-CN"/>
    </w:rPr>
  </w:style>
  <w:style w:type="paragraph" w:styleId="40">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1">
    <w:name w:val="endnote text"/>
    <w:basedOn w:val="1"/>
    <w:link w:val="943"/>
    <w:qFormat/>
    <w:uiPriority w:val="0"/>
    <w:rPr>
      <w:lang w:val="zh-CN"/>
    </w:rPr>
  </w:style>
  <w:style w:type="paragraph" w:styleId="42">
    <w:name w:val="Balloon Text"/>
    <w:basedOn w:val="1"/>
    <w:link w:val="719"/>
    <w:qFormat/>
    <w:uiPriority w:val="0"/>
    <w:rPr>
      <w:sz w:val="18"/>
      <w:szCs w:val="18"/>
    </w:rPr>
  </w:style>
  <w:style w:type="paragraph" w:styleId="43">
    <w:name w:val="footer"/>
    <w:basedOn w:val="1"/>
    <w:link w:val="894"/>
    <w:qFormat/>
    <w:uiPriority w:val="99"/>
    <w:pPr>
      <w:tabs>
        <w:tab w:val="center" w:pos="4153"/>
        <w:tab w:val="right" w:pos="8306"/>
      </w:tabs>
      <w:snapToGrid w:val="0"/>
      <w:jc w:val="left"/>
    </w:pPr>
    <w:rPr>
      <w:sz w:val="18"/>
      <w:szCs w:val="18"/>
    </w:rPr>
  </w:style>
  <w:style w:type="paragraph" w:styleId="44">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2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2"/>
    <w:qFormat/>
    <w:uiPriority w:val="0"/>
    <w:pPr>
      <w:spacing w:after="120" w:line="480" w:lineRule="auto"/>
    </w:pPr>
  </w:style>
  <w:style w:type="paragraph" w:styleId="58">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0">
    <w:name w:val="正文文本首行缩进 21"/>
    <w:basedOn w:val="81"/>
    <w:qFormat/>
    <w:uiPriority w:val="99"/>
    <w:pPr>
      <w:tabs>
        <w:tab w:val="right" w:leader="dot" w:pos="8268"/>
      </w:tabs>
      <w:spacing w:line="200" w:lineRule="atLeast"/>
      <w:ind w:firstLine="420"/>
    </w:pPr>
    <w:rPr>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5"/>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11"/>
    <w:basedOn w:val="27"/>
    <w:qFormat/>
    <w:uiPriority w:val="99"/>
    <w:pPr>
      <w:spacing w:line="200" w:lineRule="atLeast"/>
      <w:ind w:firstLine="420"/>
    </w:pPr>
    <w:rPr>
      <w:rFonts w:hAnsi="Courier New"/>
      <w:spacing w:val="-4"/>
      <w:sz w:val="18"/>
    </w:rPr>
  </w:style>
  <w:style w:type="paragraph" w:customStyle="1" w:styleId="86">
    <w:name w:val="正文首行缩进 21"/>
    <w:basedOn w:val="87"/>
    <w:next w:val="1"/>
    <w:qFormat/>
    <w:uiPriority w:val="0"/>
    <w:pPr>
      <w:ind w:firstLine="210"/>
    </w:pPr>
  </w:style>
  <w:style w:type="paragraph" w:customStyle="1" w:styleId="87">
    <w:name w:val="正文文本缩进1"/>
    <w:basedOn w:val="1"/>
    <w:next w:val="1"/>
    <w:qFormat/>
    <w:uiPriority w:val="0"/>
    <w:pPr>
      <w:widowControl/>
      <w:spacing w:after="120"/>
      <w:ind w:left="420"/>
    </w:pPr>
    <w:rPr>
      <w:color w:val="000000"/>
    </w:rPr>
  </w:style>
  <w:style w:type="paragraph" w:customStyle="1" w:styleId="88">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67"/>
    <w:qFormat/>
    <w:uiPriority w:val="0"/>
    <w:pPr>
      <w:spacing w:before="156" w:line="360" w:lineRule="auto"/>
      <w:ind w:firstLine="510" w:firstLineChars="200"/>
    </w:pPr>
    <w:rPr>
      <w:sz w:val="24"/>
      <w:szCs w:val="20"/>
    </w:rPr>
  </w:style>
  <w:style w:type="paragraph" w:customStyle="1" w:styleId="94">
    <w:name w:val="无间隔1"/>
    <w:link w:val="675"/>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3"/>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2"/>
    <w:qFormat/>
    <w:uiPriority w:val="0"/>
    <w:pPr>
      <w:snapToGrid w:val="0"/>
      <w:spacing w:before="240" w:after="240"/>
      <w:jc w:val="center"/>
    </w:pPr>
    <w:rPr>
      <w:rFonts w:ascii="Calibri" w:hAnsi="Calibri" w:eastAsia="宋体"/>
      <w:kern w:val="0"/>
      <w:szCs w:val="20"/>
    </w:rPr>
  </w:style>
  <w:style w:type="paragraph" w:customStyle="1" w:styleId="99">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28"/>
    <w:qFormat/>
    <w:uiPriority w:val="0"/>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0"/>
    <w:qFormat/>
    <w:uiPriority w:val="0"/>
    <w:pPr>
      <w:adjustRightInd/>
      <w:spacing w:line="360" w:lineRule="auto"/>
      <w:ind w:firstLine="480" w:firstLineChars="200"/>
    </w:pPr>
    <w:rPr>
      <w:kern w:val="0"/>
      <w:sz w:val="24"/>
    </w:rPr>
  </w:style>
  <w:style w:type="paragraph" w:customStyle="1" w:styleId="106">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列表段落1"/>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1"/>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3"/>
    <w:qFormat/>
    <w:uiPriority w:val="0"/>
    <w:pPr>
      <w:tabs>
        <w:tab w:val="left" w:pos="2356"/>
      </w:tabs>
    </w:pPr>
  </w:style>
  <w:style w:type="paragraph" w:customStyle="1" w:styleId="111">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36"/>
    <w:qFormat/>
    <w:uiPriority w:val="0"/>
    <w:pPr>
      <w:adjustRightInd/>
    </w:pPr>
    <w:rPr>
      <w:rFonts w:ascii="宋体" w:hAnsi="Courier New"/>
      <w:kern w:val="0"/>
      <w:sz w:val="20"/>
      <w:szCs w:val="20"/>
    </w:rPr>
  </w:style>
  <w:style w:type="paragraph" w:customStyle="1" w:styleId="114">
    <w:name w:val="正文说明"/>
    <w:basedOn w:val="1"/>
    <w:link w:val="848"/>
    <w:qFormat/>
    <w:uiPriority w:val="0"/>
    <w:pPr>
      <w:adjustRightInd/>
      <w:spacing w:line="360" w:lineRule="auto"/>
    </w:pPr>
    <w:rPr>
      <w:kern w:val="0"/>
      <w:sz w:val="24"/>
    </w:rPr>
  </w:style>
  <w:style w:type="paragraph" w:customStyle="1" w:styleId="115">
    <w:name w:val="Table Text"/>
    <w:basedOn w:val="1"/>
    <w:link w:val="854"/>
    <w:qFormat/>
    <w:uiPriority w:val="0"/>
    <w:pPr>
      <w:widowControl/>
      <w:spacing w:before="60" w:after="60"/>
      <w:jc w:val="left"/>
    </w:pPr>
    <w:rPr>
      <w:kern w:val="0"/>
      <w:sz w:val="24"/>
    </w:rPr>
  </w:style>
  <w:style w:type="paragraph" w:customStyle="1" w:styleId="116">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6"/>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6"/>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eastAsia="宋体"/>
      <w:kern w:val="0"/>
      <w:sz w:val="2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无间隔2"/>
    <w:basedOn w:val="1"/>
    <w:link w:val="944"/>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7"/>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next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6"/>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eastAsia="宋体"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qFormat/>
    <w:uiPriority w:val="0"/>
    <w:pPr>
      <w:tabs>
        <w:tab w:val="left" w:pos="480"/>
        <w:tab w:val="clear" w:pos="432"/>
      </w:tabs>
      <w:ind w:left="480" w:hanging="480"/>
    </w:pPr>
    <w:rPr>
      <w:rFonts w:ascii="Times New Roman" w:eastAsia="宋体"/>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6"/>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jc w:val="both"/>
    </w:pPr>
    <w:rPr>
      <w:rFonts w:ascii="宋体" w:hAnsi="Arial" w:eastAsia="宋体"/>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0"/>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4"/>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9"/>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4"/>
    <w:qFormat/>
    <w:uiPriority w:val="0"/>
    <w:pPr>
      <w:tabs>
        <w:tab w:val="clear" w:pos="432"/>
      </w:tabs>
      <w:spacing w:before="160" w:after="160" w:line="720" w:lineRule="exact"/>
      <w:jc w:val="center"/>
    </w:pPr>
    <w:rPr>
      <w:rFonts w:ascii="Arial" w:hAnsi="Arial" w:eastAsia="楷体"/>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4">
    <w:name w:val="表格非标题文字 Char"/>
    <w:link w:val="88"/>
    <w:qFormat/>
    <w:uiPriority w:val="0"/>
    <w:rPr>
      <w:rFonts w:ascii="Futura Bk" w:hAnsi="Futura Bk"/>
      <w:kern w:val="2"/>
      <w:sz w:val="18"/>
      <w:szCs w:val="21"/>
      <w:lang w:val="en-US" w:eastAsia="zh-CN" w:bidi="ar-SA"/>
    </w:rPr>
  </w:style>
  <w:style w:type="character" w:customStyle="1" w:styleId="625">
    <w:name w:val="*正文 Char"/>
    <w:link w:val="89"/>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90"/>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1"/>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91"/>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2"/>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28"/>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3"/>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4"/>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basedOn w:val="69"/>
    <w:qFormat/>
    <w:uiPriority w:val="0"/>
    <w:rPr>
      <w:rFonts w:hint="eastAsia" w:ascii="仿宋_GB2312" w:eastAsia="仿宋_GB2312" w:cs="仿宋_GB2312"/>
      <w:color w:val="000000"/>
      <w:sz w:val="22"/>
      <w:szCs w:val="22"/>
      <w:u w:val="none"/>
    </w:rPr>
  </w:style>
  <w:style w:type="character" w:customStyle="1" w:styleId="682">
    <w:name w:val="标题 6 字符"/>
    <w:link w:val="8"/>
    <w:qFormat/>
    <w:uiPriority w:val="0"/>
    <w:rPr>
      <w:rFonts w:ascii="Arial" w:hAnsi="Arial" w:eastAsia="黑体"/>
      <w:b/>
      <w:bCs/>
      <w:kern w:val="2"/>
      <w:sz w:val="24"/>
      <w:szCs w:val="24"/>
    </w:rPr>
  </w:style>
  <w:style w:type="character" w:customStyle="1" w:styleId="683">
    <w:name w:val="纯文本 Char_0"/>
    <w:link w:val="95"/>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7"/>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8"/>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9"/>
    <w:qFormat/>
    <w:uiPriority w:val="0"/>
    <w:rPr>
      <w:rFonts w:ascii="宋体"/>
      <w:kern w:val="2"/>
      <w:sz w:val="24"/>
      <w:szCs w:val="21"/>
      <w:lang w:val="zh-CN"/>
    </w:rPr>
  </w:style>
  <w:style w:type="character" w:customStyle="1" w:styleId="713">
    <w:name w:val="标题 9 字符"/>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42"/>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9"/>
    <w:qFormat/>
    <w:locked/>
    <w:uiPriority w:val="0"/>
    <w:rPr>
      <w:rFonts w:ascii="Tahoma" w:hAnsi="Tahoma"/>
      <w:sz w:val="24"/>
      <w:szCs w:val="24"/>
    </w:rPr>
  </w:style>
  <w:style w:type="character" w:customStyle="1" w:styleId="723">
    <w:name w:val="正文缩进 字符2"/>
    <w:link w:val="16"/>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100"/>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3"/>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2"/>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3"/>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4"/>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5"/>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6"/>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7"/>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7"/>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9"/>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0"/>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8"/>
    <w:qFormat/>
    <w:uiPriority w:val="0"/>
    <w:rPr>
      <w:rFonts w:ascii="黑体" w:hAnsi="Courier New" w:eastAsia="黑体"/>
    </w:rPr>
  </w:style>
  <w:style w:type="character" w:customStyle="1" w:styleId="822">
    <w:name w:val="正文文本 2 字符1"/>
    <w:link w:val="57"/>
    <w:qFormat/>
    <w:uiPriority w:val="0"/>
    <w:rPr>
      <w:kern w:val="2"/>
      <w:sz w:val="21"/>
      <w:szCs w:val="24"/>
    </w:rPr>
  </w:style>
  <w:style w:type="character" w:customStyle="1" w:styleId="823">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9"/>
    <w:qFormat/>
    <w:uiPriority w:val="0"/>
    <w:rPr>
      <w:b/>
      <w:bCs/>
      <w:kern w:val="2"/>
      <w:sz w:val="24"/>
      <w:szCs w:val="24"/>
    </w:rPr>
  </w:style>
  <w:style w:type="character" w:customStyle="1" w:styleId="826">
    <w:name w:val="正文文本缩进 2 字符"/>
    <w:link w:val="40"/>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2"/>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3"/>
    <w:qFormat/>
    <w:uiPriority w:val="0"/>
    <w:rPr>
      <w:rFonts w:ascii="宋体" w:hAnsi="Courier New"/>
    </w:rPr>
  </w:style>
  <w:style w:type="character" w:customStyle="1" w:styleId="837">
    <w:name w:val="正文文本首行缩进 字符"/>
    <w:link w:val="2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4"/>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5"/>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20"/>
    <w:qFormat/>
    <w:uiPriority w:val="0"/>
    <w:rPr>
      <w:kern w:val="2"/>
      <w:sz w:val="21"/>
      <w:szCs w:val="24"/>
    </w:rPr>
  </w:style>
  <w:style w:type="character" w:customStyle="1" w:styleId="859">
    <w:name w:val="签名 字符"/>
    <w:link w:val="45"/>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6"/>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7"/>
    <w:qFormat/>
    <w:uiPriority w:val="0"/>
    <w:rPr>
      <w:rFonts w:ascii="宋体"/>
    </w:rPr>
  </w:style>
  <w:style w:type="character" w:customStyle="1" w:styleId="870">
    <w:name w:val="标题 8 字符"/>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4"/>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8"/>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3"/>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9"/>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4"/>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20"/>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21"/>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2"/>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3"/>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4"/>
    <w:qFormat/>
    <w:uiPriority w:val="0"/>
    <w:rPr>
      <w:rFonts w:cs="宋体"/>
      <w:kern w:val="2"/>
      <w:sz w:val="24"/>
    </w:rPr>
  </w:style>
  <w:style w:type="character" w:customStyle="1" w:styleId="9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41"/>
    <w:qFormat/>
    <w:uiPriority w:val="0"/>
    <w:rPr>
      <w:kern w:val="2"/>
      <w:sz w:val="21"/>
      <w:szCs w:val="24"/>
      <w:lang w:val="zh-CN"/>
    </w:rPr>
  </w:style>
  <w:style w:type="character" w:customStyle="1" w:styleId="944">
    <w:name w:val="无间隔 Char"/>
    <w:link w:val="174"/>
    <w:qFormat/>
    <w:uiPriority w:val="99"/>
    <w:rPr>
      <w:kern w:val="2"/>
      <w:sz w:val="21"/>
      <w:szCs w:val="22"/>
    </w:rPr>
  </w:style>
  <w:style w:type="character" w:customStyle="1" w:styleId="945">
    <w:name w:val="标准文本 Char Char"/>
    <w:link w:val="611"/>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No Spacing1"/>
    <w:qFormat/>
    <w:uiPriority w:val="0"/>
    <w:rPr>
      <w:rFonts w:ascii="Times New Roman" w:hAnsi="Times New Roman" w:eastAsia="??" w:cs="宋体"/>
      <w:sz w:val="22"/>
      <w:szCs w:val="22"/>
      <w:lang w:val="en-US" w:eastAsia="en-US" w:bidi="ar-SA"/>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Indent1"/>
    <w:basedOn w:val="1"/>
    <w:qFormat/>
    <w:uiPriority w:val="0"/>
    <w:pPr>
      <w:ind w:firstLine="420"/>
    </w:pPr>
    <w:rPr>
      <w:szCs w:val="20"/>
    </w:rPr>
  </w:style>
  <w:style w:type="paragraph" w:customStyle="1" w:styleId="971">
    <w:name w:val="列表段落2"/>
    <w:basedOn w:val="1"/>
    <w:qFormat/>
    <w:uiPriority w:val="34"/>
    <w:pPr>
      <w:ind w:firstLine="420" w:firstLineChars="200"/>
    </w:pPr>
  </w:style>
  <w:style w:type="paragraph" w:customStyle="1" w:styleId="972">
    <w:name w:val="纯文本3"/>
    <w:basedOn w:val="1"/>
    <w:qFormat/>
    <w:uiPriority w:val="0"/>
    <w:pPr>
      <w:spacing w:before="156" w:beforeLines="50" w:after="156" w:afterLines="50" w:line="400" w:lineRule="exact"/>
    </w:pPr>
    <w:rPr>
      <w:rFonts w:ascii="宋体" w:hAnsi="Courier New"/>
      <w:sz w:val="24"/>
    </w:rPr>
  </w:style>
  <w:style w:type="paragraph" w:customStyle="1" w:styleId="97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5">
    <w:name w:val="正文文本首行缩进 22"/>
    <w:basedOn w:val="27"/>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2.jpe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35373</Words>
  <Characters>37510</Characters>
  <Lines>319</Lines>
  <Paragraphs>89</Paragraphs>
  <TotalTime>46</TotalTime>
  <ScaleCrop>false</ScaleCrop>
  <LinksUpToDate>false</LinksUpToDate>
  <CharactersWithSpaces>43033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2022-10-08T13:56:00Z</dcterms:created>
  <dc:creator>玥</dc:creator>
  <cp:lastModifiedBy>WPS_1546044933</cp:lastModifiedBy>
  <cp:lastPrinted>2022-06-13T12:08:00Z</cp:lastPrinted>
  <dcterms:modified xsi:type="dcterms:W3CDTF">2023-03-02T02:06:46Z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576E2423540F4922813E7C1CC13EE523</vt:lpwstr>
  </property>
</Properties>
</file>