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color w:val="auto"/>
          <w:sz w:val="24"/>
          <w:highlight w:val="none"/>
        </w:rPr>
      </w:pPr>
    </w:p>
    <w:p>
      <w:pPr>
        <w:spacing w:line="360" w:lineRule="auto"/>
        <w:jc w:val="center"/>
        <w:rPr>
          <w:rFonts w:hint="eastAsia" w:ascii="仿宋_GB2312" w:hAnsi="仿宋_GB2312" w:eastAsia="仿宋_GB2312" w:cs="仿宋_GB2312"/>
          <w:b/>
          <w:color w:val="auto"/>
          <w:sz w:val="24"/>
          <w:highlight w:val="none"/>
        </w:rPr>
      </w:pPr>
    </w:p>
    <w:p>
      <w:pPr>
        <w:adjustRightInd/>
        <w:spacing w:line="360" w:lineRule="auto"/>
        <w:jc w:val="center"/>
        <w:rPr>
          <w:rFonts w:hint="eastAsia" w:ascii="仿宋_GB2312" w:hAnsi="仿宋_GB2312" w:eastAsia="仿宋_GB2312" w:cs="仿宋_GB2312"/>
          <w:b/>
          <w:color w:val="auto"/>
          <w:sz w:val="48"/>
          <w:szCs w:val="48"/>
          <w:highlight w:val="none"/>
          <w:lang w:eastAsia="zh-CN"/>
        </w:rPr>
      </w:pPr>
      <w:r>
        <w:rPr>
          <w:rFonts w:hint="eastAsia" w:ascii="仿宋_GB2312" w:hAnsi="仿宋_GB2312" w:eastAsia="仿宋_GB2312" w:cs="仿宋_GB2312"/>
          <w:b/>
          <w:color w:val="auto"/>
          <w:sz w:val="48"/>
          <w:szCs w:val="48"/>
          <w:highlight w:val="none"/>
          <w:lang w:eastAsia="zh-CN"/>
        </w:rPr>
        <w:t>数字城管信息采集服务外包项目</w:t>
      </w:r>
    </w:p>
    <w:p>
      <w:pPr>
        <w:adjustRightInd/>
        <w:spacing w:line="360" w:lineRule="auto"/>
        <w:jc w:val="center"/>
        <w:rPr>
          <w:rFonts w:hint="eastAsia" w:ascii="仿宋_GB2312" w:hAnsi="仿宋_GB2312" w:eastAsia="仿宋_GB2312" w:cs="仿宋_GB2312"/>
          <w:color w:val="auto"/>
          <w:sz w:val="48"/>
          <w:szCs w:val="48"/>
          <w:highlight w:val="none"/>
        </w:rPr>
      </w:pPr>
      <w:r>
        <w:rPr>
          <w:rFonts w:hint="eastAsia" w:ascii="仿宋_GB2312" w:hAnsi="仿宋_GB2312" w:eastAsia="仿宋_GB2312" w:cs="仿宋_GB2312"/>
          <w:color w:val="auto"/>
          <w:sz w:val="48"/>
          <w:szCs w:val="48"/>
          <w:highlight w:val="none"/>
        </w:rPr>
        <w:t>招标文件（试行）</w:t>
      </w:r>
    </w:p>
    <w:p>
      <w:pPr>
        <w:adjustRightInd/>
        <w:spacing w:line="360" w:lineRule="auto"/>
        <w:jc w:val="center"/>
        <w:rPr>
          <w:rFonts w:hint="eastAsia"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rPr>
        <w:t xml:space="preserve"> （电子招投标）</w:t>
      </w:r>
    </w:p>
    <w:p>
      <w:pPr>
        <w:snapToGrid w:val="0"/>
        <w:spacing w:line="360" w:lineRule="auto"/>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编号: （</w:t>
      </w:r>
      <w:r>
        <w:rPr>
          <w:rFonts w:hint="eastAsia" w:ascii="仿宋_GB2312" w:hAnsi="仿宋_GB2312" w:eastAsia="仿宋_GB2312" w:cs="仿宋_GB2312"/>
          <w:color w:val="auto"/>
          <w:sz w:val="30"/>
          <w:szCs w:val="30"/>
          <w:highlight w:val="none"/>
          <w:lang w:eastAsia="zh-CN"/>
        </w:rPr>
        <w:t>SDGL-2022057</w:t>
      </w:r>
      <w:r>
        <w:rPr>
          <w:rFonts w:hint="eastAsia" w:ascii="仿宋_GB2312" w:hAnsi="仿宋_GB2312" w:eastAsia="仿宋_GB2312" w:cs="仿宋_GB2312"/>
          <w:color w:val="auto"/>
          <w:sz w:val="30"/>
          <w:szCs w:val="30"/>
          <w:highlight w:val="none"/>
        </w:rPr>
        <w:t>）</w:t>
      </w:r>
    </w:p>
    <w:p>
      <w:pPr>
        <w:adjustRightInd/>
        <w:spacing w:line="360" w:lineRule="auto"/>
        <w:jc w:val="center"/>
        <w:rPr>
          <w:rFonts w:hint="eastAsia" w:ascii="仿宋_GB2312" w:hAnsi="仿宋_GB2312" w:eastAsia="仿宋_GB2312" w:cs="仿宋_GB2312"/>
          <w:color w:val="auto"/>
          <w:sz w:val="28"/>
          <w:szCs w:val="20"/>
          <w:highlight w:val="none"/>
          <w:lang w:val="en-US" w:eastAsia="zh-CN"/>
        </w:rPr>
      </w:pPr>
      <w:r>
        <w:rPr>
          <w:rFonts w:hint="eastAsia" w:ascii="仿宋_GB2312" w:hAnsi="仿宋_GB2312" w:eastAsia="仿宋_GB2312" w:cs="仿宋_GB2312"/>
          <w:color w:val="auto"/>
          <w:sz w:val="28"/>
          <w:szCs w:val="20"/>
          <w:highlight w:val="none"/>
          <w:lang w:val="en-US" w:eastAsia="zh-CN"/>
        </w:rPr>
        <w:t xml:space="preserve">  </w:t>
      </w:r>
    </w:p>
    <w:p>
      <w:pPr>
        <w:pStyle w:val="2"/>
        <w:rPr>
          <w:rFonts w:hint="eastAsia" w:ascii="仿宋_GB2312" w:hAnsi="仿宋_GB2312" w:eastAsia="仿宋_GB2312" w:cs="仿宋_GB2312"/>
          <w:color w:val="auto"/>
          <w:sz w:val="28"/>
          <w:szCs w:val="20"/>
          <w:highlight w:val="none"/>
          <w:lang w:val="en-US" w:eastAsia="zh-CN"/>
        </w:rPr>
      </w:pPr>
    </w:p>
    <w:p>
      <w:pPr>
        <w:rPr>
          <w:rFonts w:hint="eastAsia" w:ascii="仿宋_GB2312" w:hAnsi="仿宋_GB2312" w:eastAsia="仿宋_GB2312" w:cs="仿宋_GB2312"/>
          <w:color w:val="auto"/>
          <w:sz w:val="28"/>
          <w:szCs w:val="20"/>
          <w:highlight w:val="none"/>
          <w:lang w:val="en-US" w:eastAsia="zh-CN"/>
        </w:rPr>
      </w:pPr>
    </w:p>
    <w:p>
      <w:pPr>
        <w:pStyle w:val="2"/>
        <w:rPr>
          <w:rFonts w:hint="eastAsia" w:ascii="仿宋_GB2312" w:hAnsi="仿宋_GB2312" w:eastAsia="仿宋_GB2312" w:cs="仿宋_GB2312"/>
          <w:color w:val="auto"/>
          <w:sz w:val="28"/>
          <w:szCs w:val="20"/>
          <w:highlight w:val="none"/>
          <w:lang w:val="en-US" w:eastAsia="zh-CN"/>
        </w:rPr>
      </w:pPr>
    </w:p>
    <w:p>
      <w:pPr>
        <w:rPr>
          <w:rFonts w:hint="eastAsia" w:ascii="仿宋_GB2312" w:hAnsi="仿宋_GB2312" w:eastAsia="仿宋_GB2312" w:cs="仿宋_GB2312"/>
          <w:color w:val="auto"/>
          <w:sz w:val="28"/>
          <w:szCs w:val="20"/>
          <w:highlight w:val="none"/>
          <w:lang w:val="en-US" w:eastAsia="zh-CN"/>
        </w:rPr>
      </w:pPr>
    </w:p>
    <w:p>
      <w:pPr>
        <w:pStyle w:val="2"/>
        <w:rPr>
          <w:rFonts w:hint="eastAsia" w:ascii="仿宋_GB2312" w:hAnsi="仿宋_GB2312" w:eastAsia="仿宋_GB2312" w:cs="仿宋_GB2312"/>
          <w:color w:val="auto"/>
          <w:sz w:val="28"/>
          <w:szCs w:val="20"/>
          <w:highlight w:val="none"/>
          <w:lang w:val="en-US" w:eastAsia="zh-CN"/>
        </w:rPr>
      </w:pPr>
    </w:p>
    <w:p>
      <w:pPr>
        <w:rPr>
          <w:rFonts w:hint="eastAsia" w:ascii="仿宋_GB2312" w:hAnsi="仿宋_GB2312" w:eastAsia="仿宋_GB2312" w:cs="仿宋_GB2312"/>
          <w:color w:val="auto"/>
          <w:sz w:val="28"/>
          <w:szCs w:val="20"/>
          <w:highlight w:val="none"/>
          <w:lang w:val="en-US" w:eastAsia="zh-CN"/>
        </w:rPr>
      </w:pPr>
    </w:p>
    <w:p>
      <w:pPr>
        <w:pStyle w:val="2"/>
        <w:rPr>
          <w:rFonts w:hint="eastAsia" w:ascii="仿宋_GB2312" w:hAnsi="仿宋_GB2312" w:eastAsia="仿宋_GB2312" w:cs="仿宋_GB2312"/>
          <w:color w:val="auto"/>
          <w:sz w:val="28"/>
          <w:szCs w:val="20"/>
          <w:highlight w:val="none"/>
          <w:lang w:val="en-US" w:eastAsia="zh-CN"/>
        </w:rPr>
      </w:pPr>
    </w:p>
    <w:p>
      <w:pPr>
        <w:rPr>
          <w:rFonts w:hint="eastAsia" w:ascii="仿宋_GB2312" w:hAnsi="仿宋_GB2312" w:eastAsia="仿宋_GB2312" w:cs="仿宋_GB2312"/>
          <w:color w:val="auto"/>
          <w:sz w:val="28"/>
          <w:szCs w:val="20"/>
          <w:highlight w:val="none"/>
          <w:lang w:val="en-US" w:eastAsia="zh-CN"/>
        </w:rPr>
      </w:pPr>
    </w:p>
    <w:p>
      <w:pPr>
        <w:pStyle w:val="2"/>
        <w:rPr>
          <w:rFonts w:hint="default"/>
          <w:color w:val="auto"/>
          <w:highlight w:val="none"/>
          <w:lang w:val="en-US" w:eastAsia="zh-CN"/>
        </w:rPr>
      </w:pPr>
    </w:p>
    <w:p>
      <w:pPr>
        <w:spacing w:line="360" w:lineRule="auto"/>
        <w:jc w:val="center"/>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32"/>
          <w:szCs w:val="32"/>
          <w:highlight w:val="none"/>
        </w:rPr>
      </w:pPr>
    </w:p>
    <w:p>
      <w:pPr>
        <w:snapToGrid w:val="0"/>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采购人：</w:t>
      </w:r>
      <w:r>
        <w:rPr>
          <w:rFonts w:hint="eastAsia" w:ascii="仿宋_GB2312" w:hAnsi="仿宋_GB2312" w:eastAsia="仿宋_GB2312" w:cs="仿宋_GB2312"/>
          <w:color w:val="auto"/>
          <w:sz w:val="32"/>
          <w:szCs w:val="32"/>
          <w:highlight w:val="none"/>
          <w:lang w:eastAsia="zh-CN"/>
        </w:rPr>
        <w:t>杭州市临平区综合行政执法局</w:t>
      </w:r>
      <w:r>
        <w:rPr>
          <w:rFonts w:hint="eastAsia" w:ascii="仿宋_GB2312" w:hAnsi="仿宋_GB2312" w:eastAsia="仿宋_GB2312" w:cs="仿宋_GB2312"/>
          <w:color w:val="auto"/>
          <w:sz w:val="32"/>
          <w:szCs w:val="32"/>
          <w:highlight w:val="none"/>
        </w:rPr>
        <w:t xml:space="preserve"> </w:t>
      </w:r>
    </w:p>
    <w:p>
      <w:pPr>
        <w:snapToGrid w:val="0"/>
        <w:spacing w:line="360" w:lineRule="auto"/>
        <w:jc w:val="center"/>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采购代理机构：</w:t>
      </w:r>
      <w:r>
        <w:rPr>
          <w:rFonts w:hint="eastAsia" w:ascii="仿宋_GB2312" w:hAnsi="仿宋_GB2312" w:eastAsia="仿宋_GB2312" w:cs="仿宋_GB2312"/>
          <w:bCs/>
          <w:color w:val="auto"/>
          <w:sz w:val="32"/>
          <w:szCs w:val="32"/>
          <w:highlight w:val="none"/>
          <w:lang w:eastAsia="zh-CN"/>
        </w:rPr>
        <w:t>晟大项目管理（浙江）有限公司</w:t>
      </w:r>
    </w:p>
    <w:p>
      <w:pPr>
        <w:snapToGrid w:val="0"/>
        <w:spacing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二〇二二年</w:t>
      </w:r>
      <w:r>
        <w:rPr>
          <w:rFonts w:hint="eastAsia" w:ascii="仿宋_GB2312" w:hAnsi="仿宋_GB2312" w:eastAsia="仿宋_GB2312" w:cs="仿宋_GB2312"/>
          <w:bCs/>
          <w:color w:val="auto"/>
          <w:sz w:val="32"/>
          <w:szCs w:val="32"/>
          <w:highlight w:val="none"/>
          <w:lang w:val="en-US" w:eastAsia="zh-CN"/>
        </w:rPr>
        <w:t>八</w:t>
      </w:r>
      <w:r>
        <w:rPr>
          <w:rFonts w:hint="eastAsia" w:ascii="仿宋_GB2312" w:hAnsi="仿宋_GB2312" w:eastAsia="仿宋_GB2312" w:cs="仿宋_GB2312"/>
          <w:bCs/>
          <w:color w:val="auto"/>
          <w:sz w:val="32"/>
          <w:szCs w:val="32"/>
          <w:highlight w:val="none"/>
        </w:rPr>
        <w:t>月</w:t>
      </w:r>
    </w:p>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bookmarkStart w:id="0" w:name="_Hlt67893495"/>
      <w:bookmarkEnd w:id="0"/>
    </w:p>
    <w:p>
      <w:pPr>
        <w:spacing w:line="360" w:lineRule="auto"/>
        <w:jc w:val="center"/>
        <w:rPr>
          <w:rFonts w:hint="eastAsia" w:ascii="仿宋_GB2312" w:hAnsi="仿宋_GB2312" w:eastAsia="仿宋_GB2312" w:cs="仿宋_GB2312"/>
          <w:color w:val="auto"/>
          <w:sz w:val="24"/>
          <w:highlight w:val="none"/>
        </w:rPr>
      </w:pPr>
    </w:p>
    <w:p>
      <w:pPr>
        <w:spacing w:line="360" w:lineRule="auto"/>
        <w:jc w:val="center"/>
        <w:rPr>
          <w:rFonts w:hint="eastAsia" w:ascii="仿宋_GB2312" w:hAnsi="仿宋_GB2312" w:eastAsia="仿宋_GB2312" w:cs="仿宋_GB2312"/>
          <w:b/>
          <w:color w:val="auto"/>
          <w:sz w:val="48"/>
          <w:szCs w:val="48"/>
          <w:highlight w:val="none"/>
        </w:rPr>
      </w:pPr>
      <w:r>
        <w:rPr>
          <w:rFonts w:hint="eastAsia" w:ascii="仿宋_GB2312" w:hAnsi="仿宋_GB2312" w:eastAsia="仿宋_GB2312" w:cs="仿宋_GB2312"/>
          <w:b/>
          <w:color w:val="auto"/>
          <w:sz w:val="48"/>
          <w:szCs w:val="48"/>
          <w:highlight w:val="none"/>
        </w:rPr>
        <w:t>目录</w:t>
      </w:r>
    </w:p>
    <w:p>
      <w:pPr>
        <w:spacing w:line="360" w:lineRule="auto"/>
        <w:rPr>
          <w:rFonts w:hint="eastAsia" w:ascii="仿宋_GB2312" w:hAnsi="仿宋_GB2312" w:eastAsia="仿宋_GB2312" w:cs="仿宋_GB2312"/>
          <w:color w:val="auto"/>
          <w:sz w:val="32"/>
          <w:szCs w:val="32"/>
          <w:highlight w:val="none"/>
        </w:rPr>
      </w:pPr>
    </w:p>
    <w:p>
      <w:pPr>
        <w:spacing w:line="360" w:lineRule="auto"/>
        <w:rPr>
          <w:rFonts w:hint="eastAsia" w:ascii="仿宋_GB2312" w:hAnsi="仿宋_GB2312" w:eastAsia="仿宋_GB2312" w:cs="仿宋_GB2312"/>
          <w:color w:val="auto"/>
          <w:sz w:val="32"/>
          <w:szCs w:val="32"/>
          <w:highlight w:val="none"/>
        </w:rPr>
      </w:pPr>
    </w:p>
    <w:p>
      <w:pPr>
        <w:spacing w:line="360" w:lineRule="auto"/>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第一部分招标公告</w:t>
      </w:r>
    </w:p>
    <w:p>
      <w:pPr>
        <w:spacing w:line="360" w:lineRule="auto"/>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第二部分投标人须知</w:t>
      </w:r>
    </w:p>
    <w:p>
      <w:pPr>
        <w:spacing w:line="360" w:lineRule="auto"/>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第三部分采购需求</w:t>
      </w:r>
    </w:p>
    <w:p>
      <w:pPr>
        <w:spacing w:line="360" w:lineRule="auto"/>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第四部分评标办法</w:t>
      </w:r>
    </w:p>
    <w:p>
      <w:pPr>
        <w:spacing w:line="360" w:lineRule="auto"/>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第五部分拟签订的合同文本</w:t>
      </w:r>
    </w:p>
    <w:p>
      <w:pPr>
        <w:spacing w:line="360" w:lineRule="auto"/>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第六部分应提交的有关格式范例</w:t>
      </w:r>
    </w:p>
    <w:p>
      <w:pPr>
        <w:spacing w:line="360" w:lineRule="auto"/>
        <w:ind w:firstLine="549" w:firstLineChars="229"/>
        <w:rPr>
          <w:rFonts w:hint="eastAsia" w:ascii="仿宋_GB2312" w:hAnsi="仿宋_GB2312" w:eastAsia="仿宋_GB2312" w:cs="仿宋_GB2312"/>
          <w:color w:val="auto"/>
          <w:sz w:val="24"/>
          <w:highlight w:val="none"/>
        </w:rPr>
      </w:pPr>
      <w:bookmarkStart w:id="1" w:name="_Hlt91233176"/>
      <w:bookmarkEnd w:id="1"/>
      <w:bookmarkStart w:id="2" w:name="_Toc91899869"/>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24"/>
          <w:highlight w:val="none"/>
        </w:rPr>
      </w:pPr>
    </w:p>
    <w:p>
      <w:pPr>
        <w:adjustRightInd/>
        <w:spacing w:line="360" w:lineRule="auto"/>
        <w:jc w:val="center"/>
        <w:outlineLvl w:val="0"/>
        <w:rPr>
          <w:rFonts w:hint="eastAsia" w:ascii="仿宋_GB2312" w:hAnsi="仿宋_GB2312" w:eastAsia="仿宋_GB2312" w:cs="仿宋_GB2312"/>
          <w:b/>
          <w:color w:val="auto"/>
          <w:sz w:val="36"/>
          <w:szCs w:val="20"/>
          <w:highlight w:val="none"/>
        </w:rPr>
      </w:pPr>
      <w:bookmarkStart w:id="3" w:name="第一部分"/>
      <w:r>
        <w:rPr>
          <w:rFonts w:hint="eastAsia" w:ascii="仿宋_GB2312" w:hAnsi="仿宋_GB2312" w:eastAsia="仿宋_GB2312" w:cs="仿宋_GB2312"/>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_GB2312" w:hAnsi="仿宋_GB2312" w:eastAsia="仿宋_GB2312" w:cs="仿宋_GB2312"/>
          <w:b/>
          <w:color w:val="auto"/>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lang w:eastAsia="zh-CN"/>
        </w:rPr>
        <w:t>数字城管信息采集服务外包项目</w:t>
      </w:r>
      <w:r>
        <w:rPr>
          <w:rFonts w:hint="eastAsia" w:ascii="仿宋_GB2312" w:hAnsi="仿宋_GB2312" w:eastAsia="仿宋_GB2312" w:cs="仿宋_GB2312"/>
          <w:color w:val="auto"/>
          <w:sz w:val="24"/>
          <w:highlight w:val="none"/>
        </w:rPr>
        <w:t>招标项目的潜在投标人应在政采云平台（</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"https://www.zcygov.cn/）获取（下载）招标文件，并于2021年" </w:instrText>
      </w:r>
      <w:r>
        <w:rPr>
          <w:rFonts w:hint="eastAsia" w:ascii="仿宋_GB2312" w:hAnsi="仿宋_GB2312" w:eastAsia="仿宋_GB2312" w:cs="仿宋_GB2312"/>
          <w:color w:val="auto"/>
          <w:highlight w:val="none"/>
        </w:rPr>
        <w:fldChar w:fldCharType="separate"/>
      </w:r>
      <w:r>
        <w:rPr>
          <w:rStyle w:val="76"/>
          <w:rFonts w:hint="eastAsia" w:ascii="仿宋_GB2312" w:hAnsi="仿宋_GB2312" w:eastAsia="仿宋_GB2312" w:cs="仿宋_GB2312"/>
          <w:color w:val="auto"/>
          <w:kern w:val="2"/>
          <w:sz w:val="24"/>
          <w:szCs w:val="24"/>
          <w:highlight w:val="none"/>
        </w:rPr>
        <w:t>https://www.zcygov.cn/）获取（下载）招标文件，并于</w:t>
      </w:r>
      <w:r>
        <w:rPr>
          <w:rFonts w:hint="eastAsia" w:ascii="仿宋_GB2312" w:hAnsi="仿宋_GB2312" w:eastAsia="仿宋_GB2312" w:cs="仿宋_GB2312"/>
          <w:color w:val="auto"/>
          <w:sz w:val="24"/>
          <w:highlight w:val="none"/>
          <w:u w:val="single"/>
        </w:rPr>
        <w:t>202</w:t>
      </w:r>
      <w:r>
        <w:rPr>
          <w:rFonts w:hint="eastAsia" w:ascii="仿宋_GB2312" w:hAnsi="仿宋_GB2312" w:eastAsia="仿宋_GB2312" w:cs="仿宋_GB2312"/>
          <w:color w:val="auto"/>
          <w:sz w:val="24"/>
          <w:highlight w:val="none"/>
          <w:u w:val="single"/>
          <w:lang w:val="en-US" w:eastAsia="zh-CN"/>
        </w:rPr>
        <w:t>2</w:t>
      </w:r>
      <w:r>
        <w:rPr>
          <w:rFonts w:hint="eastAsia" w:ascii="仿宋_GB2312" w:hAnsi="仿宋_GB2312" w:eastAsia="仿宋_GB2312" w:cs="仿宋_GB2312"/>
          <w:color w:val="auto"/>
          <w:sz w:val="24"/>
          <w:highlight w:val="none"/>
          <w:u w:val="single"/>
        </w:rPr>
        <w:t>年</w:t>
      </w:r>
      <w:r>
        <w:rPr>
          <w:rFonts w:hint="eastAsia" w:ascii="仿宋_GB2312" w:hAnsi="仿宋_GB2312" w:eastAsia="仿宋_GB2312" w:cs="仿宋_GB2312"/>
          <w:color w:val="auto"/>
          <w:sz w:val="24"/>
          <w:highlight w:val="none"/>
          <w:u w:val="single"/>
          <w:lang w:val="en-US" w:eastAsia="zh-CN"/>
        </w:rPr>
        <w:t>9</w:t>
      </w:r>
      <w:r>
        <w:rPr>
          <w:rFonts w:hint="eastAsia" w:ascii="仿宋_GB2312" w:hAnsi="仿宋_GB2312" w:eastAsia="仿宋_GB2312" w:cs="仿宋_GB2312"/>
          <w:color w:val="auto"/>
          <w:sz w:val="24"/>
          <w:highlight w:val="none"/>
          <w:u w:val="single"/>
        </w:rPr>
        <w:t>月</w:t>
      </w:r>
      <w:r>
        <w:rPr>
          <w:rFonts w:hint="eastAsia" w:ascii="仿宋_GB2312" w:hAnsi="仿宋_GB2312" w:eastAsia="仿宋_GB2312" w:cs="仿宋_GB2312"/>
          <w:color w:val="auto"/>
          <w:sz w:val="24"/>
          <w:highlight w:val="none"/>
          <w:u w:val="single"/>
          <w:lang w:val="en-US" w:eastAsia="zh-CN"/>
        </w:rPr>
        <w:t>19</w:t>
      </w:r>
      <w:r>
        <w:rPr>
          <w:rFonts w:hint="eastAsia" w:ascii="仿宋_GB2312" w:hAnsi="仿宋_GB2312" w:eastAsia="仿宋_GB2312" w:cs="仿宋_GB2312"/>
          <w:color w:val="auto"/>
          <w:sz w:val="24"/>
          <w:highlight w:val="none"/>
          <w:u w:val="single"/>
        </w:rPr>
        <w:t>日</w:t>
      </w:r>
      <w:r>
        <w:rPr>
          <w:rFonts w:hint="eastAsia" w:ascii="仿宋_GB2312" w:hAnsi="仿宋_GB2312" w:eastAsia="仿宋_GB2312" w:cs="仿宋_GB2312"/>
          <w:color w:val="auto"/>
          <w:sz w:val="24"/>
          <w:highlight w:val="none"/>
          <w:u w:val="single"/>
          <w:lang w:val="en-US" w:eastAsia="zh-CN"/>
        </w:rPr>
        <w:t>10</w:t>
      </w:r>
      <w:r>
        <w:rPr>
          <w:rFonts w:hint="eastAsia" w:ascii="仿宋_GB2312" w:hAnsi="仿宋_GB2312" w:eastAsia="仿宋_GB2312" w:cs="仿宋_GB2312"/>
          <w:color w:val="auto"/>
          <w:sz w:val="24"/>
          <w:highlight w:val="none"/>
          <w:u w:val="single"/>
        </w:rPr>
        <w:t>点</w:t>
      </w:r>
      <w:r>
        <w:rPr>
          <w:rFonts w:hint="eastAsia" w:ascii="仿宋_GB2312" w:hAnsi="仿宋_GB2312" w:eastAsia="仿宋_GB2312" w:cs="仿宋_GB2312"/>
          <w:color w:val="auto"/>
          <w:sz w:val="24"/>
          <w:highlight w:val="none"/>
          <w:u w:val="single"/>
          <w:lang w:val="en-US" w:eastAsia="zh-CN"/>
        </w:rPr>
        <w:t>00</w:t>
      </w:r>
      <w:r>
        <w:rPr>
          <w:rFonts w:hint="eastAsia" w:ascii="仿宋_GB2312" w:hAnsi="仿宋_GB2312" w:eastAsia="仿宋_GB2312" w:cs="仿宋_GB2312"/>
          <w:color w:val="auto"/>
          <w:sz w:val="24"/>
          <w:highlight w:val="none"/>
          <w:u w:val="single"/>
        </w:rPr>
        <w:t>分</w:t>
      </w:r>
      <w:r>
        <w:rPr>
          <w:rFonts w:hint="eastAsia" w:ascii="仿宋_GB2312" w:hAnsi="仿宋_GB2312" w:eastAsia="仿宋_GB2312" w:cs="仿宋_GB2312"/>
          <w:bCs/>
          <w:color w:val="auto"/>
          <w:sz w:val="24"/>
          <w:highlight w:val="none"/>
          <w:u w:val="single"/>
        </w:rPr>
        <w:t>00秒</w:t>
      </w:r>
      <w:r>
        <w:rPr>
          <w:rFonts w:hint="eastAsia" w:ascii="仿宋_GB2312" w:hAnsi="仿宋_GB2312" w:eastAsia="仿宋_GB2312" w:cs="仿宋_GB2312"/>
          <w:bCs/>
          <w:color w:val="auto"/>
          <w:sz w:val="24"/>
          <w:highlight w:val="none"/>
          <w:u w:val="single"/>
        </w:rPr>
        <w:fldChar w:fldCharType="end"/>
      </w:r>
      <w:r>
        <w:rPr>
          <w:rFonts w:hint="eastAsia" w:ascii="仿宋_GB2312" w:hAnsi="仿宋_GB2312" w:eastAsia="仿宋_GB2312" w:cs="仿宋_GB2312"/>
          <w:bCs/>
          <w:color w:val="auto"/>
          <w:sz w:val="24"/>
          <w:highlight w:val="none"/>
        </w:rPr>
        <w:t>（北京时间）前</w:t>
      </w:r>
      <w:r>
        <w:rPr>
          <w:rFonts w:hint="eastAsia" w:ascii="仿宋_GB2312" w:hAnsi="仿宋_GB2312" w:eastAsia="仿宋_GB2312" w:cs="仿宋_GB2312"/>
          <w:color w:val="auto"/>
          <w:sz w:val="24"/>
          <w:highlight w:val="none"/>
        </w:rPr>
        <w:t>递交（上传）投标文件。</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一、项目基本情况</w:t>
      </w:r>
    </w:p>
    <w:p>
      <w:pPr>
        <w:spacing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
          <w:color w:val="auto"/>
          <w:sz w:val="24"/>
          <w:highlight w:val="none"/>
        </w:rPr>
        <w:t>项目编号：</w:t>
      </w:r>
      <w:r>
        <w:rPr>
          <w:rFonts w:hint="eastAsia" w:ascii="仿宋_GB2312" w:hAnsi="仿宋_GB2312" w:eastAsia="仿宋_GB2312" w:cs="仿宋_GB2312"/>
          <w:color w:val="auto"/>
          <w:sz w:val="24"/>
          <w:highlight w:val="none"/>
          <w:lang w:eastAsia="zh-CN"/>
        </w:rPr>
        <w:t>SDGL-2022057</w:t>
      </w:r>
    </w:p>
    <w:p>
      <w:pPr>
        <w:spacing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
          <w:color w:val="auto"/>
          <w:sz w:val="24"/>
          <w:highlight w:val="none"/>
        </w:rPr>
        <w:t xml:space="preserve"> 项目名称：</w:t>
      </w:r>
      <w:r>
        <w:rPr>
          <w:rFonts w:hint="eastAsia" w:ascii="仿宋_GB2312" w:hAnsi="仿宋_GB2312" w:eastAsia="仿宋_GB2312" w:cs="仿宋_GB2312"/>
          <w:color w:val="auto"/>
          <w:sz w:val="24"/>
          <w:highlight w:val="none"/>
          <w:lang w:eastAsia="zh-CN"/>
        </w:rPr>
        <w:t>数字城管信息采集服务外包项目</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 xml:space="preserve"> 预算金额（元）：</w:t>
      </w:r>
      <w:r>
        <w:rPr>
          <w:rFonts w:hint="eastAsia" w:ascii="仿宋_GB2312" w:hAnsi="仿宋_GB2312" w:eastAsia="仿宋_GB2312" w:cs="仿宋_GB2312"/>
          <w:b/>
          <w:color w:val="auto"/>
          <w:sz w:val="24"/>
          <w:highlight w:val="none"/>
          <w:lang w:val="en-US" w:eastAsia="zh-CN"/>
        </w:rPr>
        <w:t>20240000</w:t>
      </w:r>
    </w:p>
    <w:p>
      <w:pPr>
        <w:spacing w:line="36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最高限价（元）：</w:t>
      </w:r>
      <w:r>
        <w:rPr>
          <w:rFonts w:hint="eastAsia" w:ascii="仿宋_GB2312" w:hAnsi="仿宋_GB2312" w:eastAsia="仿宋_GB2312" w:cs="仿宋_GB2312"/>
          <w:b/>
          <w:color w:val="auto"/>
          <w:sz w:val="24"/>
          <w:highlight w:val="none"/>
          <w:lang w:val="en-US" w:eastAsia="zh-CN"/>
        </w:rPr>
        <w:t>20240000</w:t>
      </w:r>
    </w:p>
    <w:p>
      <w:pPr>
        <w:pStyle w:val="5"/>
        <w:spacing w:line="360" w:lineRule="auto"/>
        <w:ind w:firstLine="480"/>
        <w:rPr>
          <w:rFonts w:hint="eastAsia"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
          <w:color w:val="auto"/>
          <w:sz w:val="24"/>
          <w:highlight w:val="none"/>
        </w:rPr>
        <w:t>采购需求：</w:t>
      </w:r>
      <w:r>
        <w:rPr>
          <w:rFonts w:hint="eastAsia" w:ascii="仿宋_GB2312" w:hAnsi="仿宋_GB2312" w:eastAsia="仿宋_GB2312" w:cs="仿宋_GB2312"/>
          <w:color w:val="auto"/>
          <w:sz w:val="24"/>
          <w:highlight w:val="none"/>
          <w:lang w:eastAsia="zh-CN"/>
        </w:rPr>
        <w:t>数字城管信息采集服务外包项目</w:t>
      </w:r>
      <w:r>
        <w:rPr>
          <w:rFonts w:hint="eastAsia" w:ascii="仿宋_GB2312" w:hAnsi="仿宋_GB2312" w:eastAsia="仿宋_GB2312" w:cs="仿宋_GB2312"/>
          <w:bCs/>
          <w:color w:val="auto"/>
          <w:kern w:val="2"/>
          <w:sz w:val="24"/>
          <w:szCs w:val="24"/>
          <w:highlight w:val="none"/>
        </w:rPr>
        <w:t>主要内容：详见招标文件第三部分采购需求。</w:t>
      </w:r>
    </w:p>
    <w:p>
      <w:pPr>
        <w:wordWrap/>
        <w:spacing w:line="400" w:lineRule="exact"/>
        <w:ind w:firstLine="480" w:firstLineChars="200"/>
        <w:textAlignment w:val="auto"/>
        <w:rPr>
          <w:color w:val="auto"/>
          <w:sz w:val="24"/>
          <w:highlight w:val="none"/>
        </w:rPr>
      </w:pPr>
      <w:r>
        <w:rPr>
          <w:color w:val="auto"/>
          <w:sz w:val="24"/>
          <w:highlight w:val="none"/>
        </w:rPr>
        <w:t>标项</w:t>
      </w:r>
      <w:r>
        <w:rPr>
          <w:rFonts w:hint="eastAsia"/>
          <w:color w:val="auto"/>
          <w:sz w:val="24"/>
          <w:highlight w:val="none"/>
          <w:lang w:val="en-US" w:eastAsia="zh-CN"/>
        </w:rPr>
        <w:t>一</w:t>
      </w:r>
      <w:r>
        <w:rPr>
          <w:color w:val="auto"/>
          <w:sz w:val="24"/>
          <w:highlight w:val="none"/>
        </w:rPr>
        <w:t>:</w:t>
      </w:r>
    </w:p>
    <w:p>
      <w:pPr>
        <w:wordWrap/>
        <w:spacing w:line="400" w:lineRule="exact"/>
        <w:textAlignment w:val="auto"/>
        <w:rPr>
          <w:rFonts w:hint="eastAsia" w:eastAsia="宋体"/>
          <w:color w:val="auto"/>
          <w:sz w:val="24"/>
          <w:highlight w:val="none"/>
          <w:lang w:eastAsia="zh-CN"/>
        </w:rPr>
      </w:pPr>
      <w:r>
        <w:rPr>
          <w:color w:val="auto"/>
          <w:sz w:val="24"/>
          <w:highlight w:val="none"/>
        </w:rPr>
        <w:t xml:space="preserve">标项名称: </w:t>
      </w:r>
      <w:r>
        <w:rPr>
          <w:rFonts w:hint="eastAsia" w:ascii="宋体" w:hAnsi="宋体"/>
          <w:color w:val="auto"/>
          <w:sz w:val="24"/>
          <w:highlight w:val="none"/>
          <w:lang w:eastAsia="zh-CN"/>
        </w:rPr>
        <w:t>数字城管信息采集服务外包项目</w:t>
      </w:r>
      <w:r>
        <w:rPr>
          <w:color w:val="auto"/>
          <w:sz w:val="24"/>
          <w:highlight w:val="none"/>
        </w:rPr>
        <w:t>标项</w:t>
      </w:r>
      <w:r>
        <w:rPr>
          <w:rFonts w:hint="eastAsia"/>
          <w:color w:val="auto"/>
          <w:sz w:val="24"/>
          <w:highlight w:val="none"/>
          <w:lang w:val="en-US" w:eastAsia="zh-CN"/>
        </w:rPr>
        <w:t>一</w:t>
      </w:r>
    </w:p>
    <w:p>
      <w:pPr>
        <w:wordWrap/>
        <w:spacing w:line="400" w:lineRule="exact"/>
        <w:textAlignment w:val="auto"/>
        <w:rPr>
          <w:color w:val="auto"/>
          <w:sz w:val="24"/>
          <w:highlight w:val="none"/>
        </w:rPr>
      </w:pPr>
      <w:r>
        <w:rPr>
          <w:color w:val="auto"/>
          <w:sz w:val="24"/>
          <w:highlight w:val="none"/>
        </w:rPr>
        <w:t xml:space="preserve">    数量: 1  </w:t>
      </w:r>
    </w:p>
    <w:p>
      <w:pPr>
        <w:wordWrap/>
        <w:spacing w:line="400" w:lineRule="exact"/>
        <w:textAlignment w:val="auto"/>
        <w:rPr>
          <w:rFonts w:hint="eastAsia"/>
          <w:color w:val="auto"/>
          <w:sz w:val="24"/>
          <w:highlight w:val="none"/>
        </w:rPr>
      </w:pPr>
      <w:r>
        <w:rPr>
          <w:color w:val="auto"/>
          <w:sz w:val="24"/>
          <w:highlight w:val="none"/>
        </w:rPr>
        <w:t xml:space="preserve">    预算金额（元）: </w:t>
      </w:r>
      <w:r>
        <w:rPr>
          <w:rFonts w:hint="eastAsia"/>
          <w:color w:val="auto"/>
          <w:sz w:val="24"/>
          <w:highlight w:val="none"/>
          <w:lang w:val="en-US" w:eastAsia="zh-CN"/>
        </w:rPr>
        <w:t>726</w:t>
      </w:r>
      <w:r>
        <w:rPr>
          <w:rFonts w:hint="eastAsia"/>
          <w:color w:val="auto"/>
          <w:sz w:val="24"/>
          <w:highlight w:val="none"/>
        </w:rPr>
        <w:t>0000</w:t>
      </w:r>
    </w:p>
    <w:p>
      <w:pPr>
        <w:wordWrap/>
        <w:spacing w:line="400" w:lineRule="exact"/>
        <w:textAlignment w:val="auto"/>
        <w:rPr>
          <w:color w:val="auto"/>
          <w:sz w:val="24"/>
          <w:highlight w:val="none"/>
        </w:rPr>
      </w:pPr>
      <w:r>
        <w:rPr>
          <w:color w:val="auto"/>
          <w:sz w:val="24"/>
          <w:highlight w:val="none"/>
        </w:rPr>
        <w:t xml:space="preserve">    简要规格描述或项目基本概况介绍、用途：</w:t>
      </w:r>
      <w:r>
        <w:rPr>
          <w:rFonts w:ascii="宋体" w:hAnsi="宋体" w:eastAsia="宋体"/>
          <w:color w:val="auto"/>
          <w:sz w:val="24"/>
          <w:highlight w:val="none"/>
        </w:rPr>
        <w:t>南苑街道、临平新城、乔司街道</w:t>
      </w:r>
      <w:r>
        <w:rPr>
          <w:rFonts w:hint="eastAsia" w:ascii="宋体" w:hAnsi="宋体"/>
          <w:color w:val="auto"/>
          <w:sz w:val="24"/>
          <w:highlight w:val="none"/>
          <w:lang w:eastAsia="zh-CN"/>
        </w:rPr>
        <w:t>信息采集</w:t>
      </w:r>
      <w:r>
        <w:rPr>
          <w:rFonts w:hint="eastAsia"/>
          <w:color w:val="auto"/>
          <w:sz w:val="24"/>
          <w:highlight w:val="none"/>
        </w:rPr>
        <w:t>，具体</w:t>
      </w:r>
      <w:r>
        <w:rPr>
          <w:color w:val="auto"/>
          <w:sz w:val="24"/>
          <w:highlight w:val="none"/>
        </w:rPr>
        <w:t xml:space="preserve">详见采购文件 </w:t>
      </w:r>
    </w:p>
    <w:p>
      <w:pPr>
        <w:wordWrap/>
        <w:spacing w:line="400" w:lineRule="exact"/>
        <w:textAlignment w:val="auto"/>
        <w:rPr>
          <w:rFonts w:hint="eastAsia"/>
          <w:color w:val="auto"/>
          <w:sz w:val="24"/>
          <w:highlight w:val="none"/>
          <w:lang w:val="en-US" w:eastAsia="zh-CN"/>
        </w:rPr>
      </w:pPr>
      <w:r>
        <w:rPr>
          <w:color w:val="auto"/>
          <w:sz w:val="24"/>
          <w:highlight w:val="none"/>
        </w:rPr>
        <w:t xml:space="preserve"> </w:t>
      </w:r>
      <w:r>
        <w:rPr>
          <w:rFonts w:hint="eastAsia"/>
          <w:color w:val="auto"/>
          <w:sz w:val="24"/>
          <w:highlight w:val="none"/>
          <w:lang w:val="en-US" w:eastAsia="zh-CN"/>
        </w:rPr>
        <w:t xml:space="preserve">   </w:t>
      </w:r>
    </w:p>
    <w:p>
      <w:pPr>
        <w:wordWrap/>
        <w:spacing w:line="400" w:lineRule="exact"/>
        <w:ind w:firstLine="480" w:firstLineChars="200"/>
        <w:textAlignment w:val="auto"/>
        <w:rPr>
          <w:color w:val="auto"/>
          <w:sz w:val="24"/>
          <w:highlight w:val="none"/>
        </w:rPr>
      </w:pPr>
      <w:r>
        <w:rPr>
          <w:color w:val="auto"/>
          <w:sz w:val="24"/>
          <w:highlight w:val="none"/>
        </w:rPr>
        <w:t>标项</w:t>
      </w:r>
      <w:r>
        <w:rPr>
          <w:rFonts w:hint="eastAsia"/>
          <w:color w:val="auto"/>
          <w:sz w:val="24"/>
          <w:highlight w:val="none"/>
          <w:lang w:val="en-US" w:eastAsia="zh-CN"/>
        </w:rPr>
        <w:t>二</w:t>
      </w:r>
      <w:r>
        <w:rPr>
          <w:color w:val="auto"/>
          <w:sz w:val="24"/>
          <w:highlight w:val="none"/>
        </w:rPr>
        <w:t>:</w:t>
      </w:r>
    </w:p>
    <w:p>
      <w:pPr>
        <w:wordWrap/>
        <w:spacing w:line="400" w:lineRule="exact"/>
        <w:textAlignment w:val="auto"/>
        <w:rPr>
          <w:rFonts w:hint="eastAsia" w:eastAsia="宋体"/>
          <w:color w:val="auto"/>
          <w:sz w:val="24"/>
          <w:highlight w:val="none"/>
          <w:lang w:eastAsia="zh-CN"/>
        </w:rPr>
      </w:pPr>
      <w:r>
        <w:rPr>
          <w:color w:val="auto"/>
          <w:sz w:val="24"/>
          <w:highlight w:val="none"/>
        </w:rPr>
        <w:t xml:space="preserve">标项名称: </w:t>
      </w:r>
      <w:r>
        <w:rPr>
          <w:rFonts w:hint="eastAsia" w:ascii="宋体" w:hAnsi="宋体"/>
          <w:color w:val="auto"/>
          <w:sz w:val="24"/>
          <w:highlight w:val="none"/>
          <w:lang w:eastAsia="zh-CN"/>
        </w:rPr>
        <w:t>数字城管信息采集服务外包项目</w:t>
      </w:r>
      <w:r>
        <w:rPr>
          <w:color w:val="auto"/>
          <w:sz w:val="24"/>
          <w:highlight w:val="none"/>
        </w:rPr>
        <w:t>标项</w:t>
      </w:r>
      <w:r>
        <w:rPr>
          <w:rFonts w:hint="eastAsia"/>
          <w:color w:val="auto"/>
          <w:sz w:val="24"/>
          <w:highlight w:val="none"/>
          <w:lang w:val="en-US" w:eastAsia="zh-CN"/>
        </w:rPr>
        <w:t>二</w:t>
      </w:r>
    </w:p>
    <w:p>
      <w:pPr>
        <w:wordWrap/>
        <w:spacing w:line="400" w:lineRule="exact"/>
        <w:textAlignment w:val="auto"/>
        <w:rPr>
          <w:color w:val="auto"/>
          <w:sz w:val="24"/>
          <w:highlight w:val="none"/>
        </w:rPr>
      </w:pPr>
      <w:r>
        <w:rPr>
          <w:color w:val="auto"/>
          <w:sz w:val="24"/>
          <w:highlight w:val="none"/>
        </w:rPr>
        <w:t xml:space="preserve">    数量: 1  </w:t>
      </w:r>
    </w:p>
    <w:p>
      <w:pPr>
        <w:wordWrap/>
        <w:spacing w:line="400" w:lineRule="exact"/>
        <w:textAlignment w:val="auto"/>
        <w:rPr>
          <w:rFonts w:hint="eastAsia"/>
          <w:color w:val="auto"/>
          <w:sz w:val="24"/>
          <w:highlight w:val="none"/>
        </w:rPr>
      </w:pPr>
      <w:r>
        <w:rPr>
          <w:color w:val="auto"/>
          <w:sz w:val="24"/>
          <w:highlight w:val="none"/>
        </w:rPr>
        <w:t xml:space="preserve">    预算金额（元）:</w:t>
      </w:r>
      <w:r>
        <w:rPr>
          <w:rFonts w:hint="eastAsia"/>
          <w:color w:val="auto"/>
          <w:sz w:val="24"/>
          <w:highlight w:val="none"/>
          <w:lang w:val="en-US" w:eastAsia="zh-CN"/>
        </w:rPr>
        <w:t>7520000</w:t>
      </w:r>
    </w:p>
    <w:p>
      <w:pPr>
        <w:wordWrap/>
        <w:spacing w:line="400" w:lineRule="exact"/>
        <w:textAlignment w:val="auto"/>
        <w:rPr>
          <w:color w:val="auto"/>
          <w:sz w:val="24"/>
          <w:highlight w:val="none"/>
        </w:rPr>
      </w:pPr>
      <w:r>
        <w:rPr>
          <w:color w:val="auto"/>
          <w:sz w:val="24"/>
          <w:highlight w:val="none"/>
        </w:rPr>
        <w:t xml:space="preserve">    简要规格描述或项目基本概况介绍、用途：</w:t>
      </w:r>
      <w:r>
        <w:rPr>
          <w:rFonts w:ascii="宋体" w:hAnsi="宋体" w:eastAsia="宋体"/>
          <w:color w:val="auto"/>
          <w:sz w:val="24"/>
          <w:highlight w:val="none"/>
        </w:rPr>
        <w:t>临平街道、东湖街道、运河街道</w:t>
      </w:r>
      <w:r>
        <w:rPr>
          <w:rFonts w:hint="eastAsia" w:ascii="宋体" w:hAnsi="宋体"/>
          <w:color w:val="auto"/>
          <w:sz w:val="24"/>
          <w:highlight w:val="none"/>
          <w:lang w:eastAsia="zh-CN"/>
        </w:rPr>
        <w:t>信息采集</w:t>
      </w:r>
      <w:r>
        <w:rPr>
          <w:rFonts w:hint="eastAsia"/>
          <w:color w:val="auto"/>
          <w:sz w:val="24"/>
          <w:highlight w:val="none"/>
        </w:rPr>
        <w:t>，具体</w:t>
      </w:r>
      <w:r>
        <w:rPr>
          <w:color w:val="auto"/>
          <w:sz w:val="24"/>
          <w:highlight w:val="none"/>
        </w:rPr>
        <w:t xml:space="preserve">详见采购文件 </w:t>
      </w:r>
    </w:p>
    <w:p>
      <w:pPr>
        <w:wordWrap/>
        <w:spacing w:line="400" w:lineRule="exact"/>
        <w:ind w:firstLine="480" w:firstLineChars="200"/>
        <w:textAlignment w:val="auto"/>
        <w:rPr>
          <w:color w:val="auto"/>
          <w:sz w:val="24"/>
          <w:highlight w:val="none"/>
        </w:rPr>
      </w:pPr>
    </w:p>
    <w:p>
      <w:pPr>
        <w:wordWrap/>
        <w:spacing w:line="400" w:lineRule="exact"/>
        <w:ind w:firstLine="480" w:firstLineChars="200"/>
        <w:textAlignment w:val="auto"/>
        <w:rPr>
          <w:color w:val="auto"/>
          <w:sz w:val="24"/>
          <w:highlight w:val="none"/>
        </w:rPr>
      </w:pPr>
      <w:r>
        <w:rPr>
          <w:color w:val="auto"/>
          <w:sz w:val="24"/>
          <w:highlight w:val="none"/>
        </w:rPr>
        <w:t>标项</w:t>
      </w:r>
      <w:r>
        <w:rPr>
          <w:rFonts w:hint="eastAsia"/>
          <w:color w:val="auto"/>
          <w:sz w:val="24"/>
          <w:highlight w:val="none"/>
          <w:lang w:val="en-US" w:eastAsia="zh-CN"/>
        </w:rPr>
        <w:t>三</w:t>
      </w:r>
      <w:r>
        <w:rPr>
          <w:color w:val="auto"/>
          <w:sz w:val="24"/>
          <w:highlight w:val="none"/>
        </w:rPr>
        <w:t>:</w:t>
      </w:r>
    </w:p>
    <w:p>
      <w:pPr>
        <w:wordWrap/>
        <w:spacing w:line="400" w:lineRule="exact"/>
        <w:textAlignment w:val="auto"/>
        <w:rPr>
          <w:rFonts w:hint="eastAsia" w:eastAsia="宋体"/>
          <w:color w:val="auto"/>
          <w:sz w:val="24"/>
          <w:highlight w:val="none"/>
          <w:lang w:eastAsia="zh-CN"/>
        </w:rPr>
      </w:pPr>
      <w:r>
        <w:rPr>
          <w:color w:val="auto"/>
          <w:sz w:val="24"/>
          <w:highlight w:val="none"/>
        </w:rPr>
        <w:t xml:space="preserve">标项名称: </w:t>
      </w:r>
      <w:r>
        <w:rPr>
          <w:rFonts w:hint="eastAsia" w:ascii="宋体" w:hAnsi="宋体"/>
          <w:color w:val="auto"/>
          <w:sz w:val="24"/>
          <w:highlight w:val="none"/>
          <w:lang w:eastAsia="zh-CN"/>
        </w:rPr>
        <w:t>数字城管信息采集服务外包项目</w:t>
      </w:r>
      <w:r>
        <w:rPr>
          <w:color w:val="auto"/>
          <w:sz w:val="24"/>
          <w:highlight w:val="none"/>
        </w:rPr>
        <w:t>标项</w:t>
      </w:r>
      <w:r>
        <w:rPr>
          <w:rFonts w:hint="eastAsia"/>
          <w:color w:val="auto"/>
          <w:sz w:val="24"/>
          <w:highlight w:val="none"/>
          <w:lang w:val="en-US" w:eastAsia="zh-CN"/>
        </w:rPr>
        <w:t>三</w:t>
      </w:r>
    </w:p>
    <w:p>
      <w:pPr>
        <w:wordWrap/>
        <w:spacing w:line="400" w:lineRule="exact"/>
        <w:textAlignment w:val="auto"/>
        <w:rPr>
          <w:color w:val="auto"/>
          <w:sz w:val="24"/>
          <w:highlight w:val="none"/>
        </w:rPr>
      </w:pPr>
      <w:r>
        <w:rPr>
          <w:color w:val="auto"/>
          <w:sz w:val="24"/>
          <w:highlight w:val="none"/>
        </w:rPr>
        <w:t xml:space="preserve">    数量: 1  </w:t>
      </w:r>
    </w:p>
    <w:p>
      <w:pPr>
        <w:wordWrap/>
        <w:spacing w:line="400" w:lineRule="exact"/>
        <w:textAlignment w:val="auto"/>
        <w:rPr>
          <w:rFonts w:hint="eastAsia"/>
          <w:color w:val="auto"/>
          <w:sz w:val="24"/>
          <w:highlight w:val="none"/>
        </w:rPr>
      </w:pPr>
      <w:r>
        <w:rPr>
          <w:color w:val="auto"/>
          <w:sz w:val="24"/>
          <w:highlight w:val="none"/>
        </w:rPr>
        <w:t xml:space="preserve">    预算金额（元）: </w:t>
      </w:r>
      <w:r>
        <w:rPr>
          <w:rFonts w:hint="eastAsia"/>
          <w:color w:val="auto"/>
          <w:sz w:val="24"/>
          <w:highlight w:val="none"/>
          <w:lang w:val="en-US" w:eastAsia="zh-CN"/>
        </w:rPr>
        <w:t>5460000</w:t>
      </w:r>
    </w:p>
    <w:p>
      <w:pPr>
        <w:wordWrap/>
        <w:spacing w:line="400" w:lineRule="exact"/>
        <w:textAlignment w:val="auto"/>
        <w:rPr>
          <w:color w:val="auto"/>
          <w:sz w:val="24"/>
          <w:highlight w:val="none"/>
        </w:rPr>
      </w:pPr>
      <w:r>
        <w:rPr>
          <w:color w:val="auto"/>
          <w:sz w:val="24"/>
          <w:highlight w:val="none"/>
        </w:rPr>
        <w:t xml:space="preserve">    简要规格描述或项目基本概况介绍、用途：</w:t>
      </w:r>
      <w:r>
        <w:rPr>
          <w:rFonts w:hint="eastAsia" w:ascii="宋体" w:hAnsi="宋体" w:eastAsia="宋体"/>
          <w:color w:val="auto"/>
          <w:sz w:val="24"/>
          <w:highlight w:val="none"/>
          <w:lang w:val="en-US" w:eastAsia="zh-CN"/>
        </w:rPr>
        <w:t>星桥街道、崇贤街道、塘栖镇</w:t>
      </w:r>
      <w:r>
        <w:rPr>
          <w:rFonts w:hint="eastAsia" w:ascii="宋体" w:hAnsi="宋体"/>
          <w:color w:val="auto"/>
          <w:sz w:val="24"/>
          <w:highlight w:val="none"/>
          <w:lang w:eastAsia="zh-CN"/>
        </w:rPr>
        <w:t>信息采集</w:t>
      </w:r>
      <w:r>
        <w:rPr>
          <w:rFonts w:hint="eastAsia"/>
          <w:color w:val="auto"/>
          <w:sz w:val="24"/>
          <w:highlight w:val="none"/>
        </w:rPr>
        <w:t>，具体</w:t>
      </w:r>
      <w:r>
        <w:rPr>
          <w:color w:val="auto"/>
          <w:sz w:val="24"/>
          <w:highlight w:val="none"/>
        </w:rPr>
        <w:t xml:space="preserve">详见采购文件 </w:t>
      </w:r>
    </w:p>
    <w:p>
      <w:pPr>
        <w:numPr>
          <w:ilvl w:val="0"/>
          <w:numId w:val="1"/>
        </w:numPr>
        <w:spacing w:line="360" w:lineRule="auto"/>
        <w:jc w:val="left"/>
        <w:rPr>
          <w:color w:val="auto"/>
          <w:sz w:val="24"/>
          <w:highlight w:val="none"/>
        </w:rPr>
      </w:pPr>
      <w:r>
        <w:rPr>
          <w:color w:val="auto"/>
          <w:sz w:val="24"/>
          <w:highlight w:val="none"/>
        </w:rPr>
        <w:t>备注： 期限</w:t>
      </w:r>
      <w:r>
        <w:rPr>
          <w:rFonts w:hint="eastAsia"/>
          <w:color w:val="auto"/>
          <w:sz w:val="24"/>
          <w:highlight w:val="none"/>
          <w:lang w:val="en-US" w:eastAsia="zh-CN"/>
        </w:rPr>
        <w:t>2</w:t>
      </w:r>
      <w:r>
        <w:rPr>
          <w:rFonts w:hint="eastAsia"/>
          <w:color w:val="auto"/>
          <w:sz w:val="24"/>
          <w:highlight w:val="none"/>
        </w:rPr>
        <w:t>年</w:t>
      </w:r>
      <w:r>
        <w:rPr>
          <w:rFonts w:hint="eastAsia"/>
          <w:color w:val="auto"/>
          <w:sz w:val="24"/>
          <w:highlight w:val="none"/>
          <w:lang w:eastAsia="zh-CN"/>
        </w:rPr>
        <w:t>，</w:t>
      </w:r>
      <w:r>
        <w:rPr>
          <w:rFonts w:hint="eastAsia" w:ascii="仿宋_GB2312" w:hAnsi="仿宋_GB2312" w:cs="仿宋_GB2312"/>
          <w:color w:val="auto"/>
          <w:sz w:val="24"/>
          <w:highlight w:val="none"/>
          <w:u w:val="none"/>
          <w:lang w:val="en-US" w:eastAsia="zh-CN"/>
        </w:rPr>
        <w:t>合同一年一签，2022-2023年度合同期满后，采购人将对该项目供应商的履约情况进行考核评估，供应商能严格履行合同，服务良好的，采购人根据实际情况及需求并报经批准可续签下一年度合同。(如供应商服务质量未达到采购人需求或因实际情况变化、工作需要等原因，采购人也可重新进行招标)</w:t>
      </w:r>
      <w:r>
        <w:rPr>
          <w:rFonts w:hint="eastAsia" w:ascii="宋体" w:hAnsi="宋体" w:cs="仿宋_GB2312"/>
          <w:color w:val="auto"/>
          <w:sz w:val="24"/>
          <w:highlight w:val="none"/>
          <w:u w:val="none"/>
          <w:lang w:val="en-US" w:eastAsia="zh-CN"/>
        </w:rPr>
        <w:t xml:space="preserve"> </w:t>
      </w:r>
      <w:r>
        <w:rPr>
          <w:color w:val="auto"/>
          <w:sz w:val="24"/>
          <w:highlight w:val="none"/>
        </w:rPr>
        <w:t>。</w:t>
      </w:r>
    </w:p>
    <w:p>
      <w:pPr>
        <w:adjustRightInd w:val="0"/>
        <w:snapToGrid w:val="0"/>
        <w:spacing w:line="336" w:lineRule="auto"/>
        <w:ind w:firstLine="482" w:firstLineChars="200"/>
        <w:rPr>
          <w:color w:val="auto"/>
          <w:highlight w:val="none"/>
        </w:rPr>
      </w:pPr>
      <w:r>
        <w:rPr>
          <w:rFonts w:hint="eastAsia" w:ascii="宋体" w:hAnsi="宋体"/>
          <w:b/>
          <w:bCs/>
          <w:color w:val="auto"/>
          <w:sz w:val="24"/>
          <w:highlight w:val="none"/>
        </w:rPr>
        <w:t>本招标采购文件内如未明确为哪个标项要求，即为所有标项的共同要求和内容，如已明示为哪个标项的具体要求，即按相关要求执行。</w:t>
      </w:r>
    </w:p>
    <w:p>
      <w:pPr>
        <w:pStyle w:val="5"/>
        <w:spacing w:line="360" w:lineRule="auto"/>
        <w:ind w:firstLine="48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本项目接受联合体投标：</w:t>
      </w:r>
      <w:r>
        <w:rPr>
          <w:rFonts w:hint="eastAsia" w:ascii="仿宋_GB2312" w:hAnsi="仿宋_GB2312" w:eastAsia="仿宋_GB2312" w:cs="仿宋_GB2312"/>
          <w:color w:val="auto"/>
          <w:kern w:val="0"/>
          <w:sz w:val="24"/>
          <w:highlight w:val="none"/>
        </w:rPr>
        <w:sym w:font="Wingdings" w:char="00FE"/>
      </w:r>
      <w:r>
        <w:rPr>
          <w:rFonts w:hint="eastAsia" w:ascii="仿宋_GB2312" w:hAnsi="仿宋_GB2312" w:eastAsia="仿宋_GB2312" w:cs="仿宋_GB2312"/>
          <w:b/>
          <w:color w:val="auto"/>
          <w:sz w:val="24"/>
          <w:highlight w:val="none"/>
        </w:rPr>
        <w:t>是，</w:t>
      </w:r>
      <w:r>
        <w:rPr>
          <w:rFonts w:hint="eastAsia" w:ascii="仿宋_GB2312" w:hAnsi="仿宋_GB2312" w:eastAsia="仿宋_GB2312" w:cs="仿宋_GB2312"/>
          <w:color w:val="auto"/>
          <w:kern w:val="0"/>
          <w:sz w:val="24"/>
          <w:highlight w:val="none"/>
        </w:rPr>
        <w:sym w:font="Wingdings" w:char="00A8"/>
      </w:r>
      <w:r>
        <w:rPr>
          <w:rFonts w:hint="eastAsia" w:ascii="仿宋_GB2312" w:hAnsi="仿宋_GB2312" w:eastAsia="仿宋_GB2312" w:cs="仿宋_GB2312"/>
          <w:b/>
          <w:color w:val="auto"/>
          <w:sz w:val="24"/>
          <w:highlight w:val="none"/>
        </w:rPr>
        <w:t>否</w:t>
      </w:r>
      <w:r>
        <w:rPr>
          <w:rFonts w:hint="eastAsia" w:ascii="仿宋_GB2312" w:hAnsi="仿宋_GB2312" w:eastAsia="仿宋_GB2312" w:cs="仿宋_GB2312"/>
          <w:color w:val="auto"/>
          <w:kern w:val="0"/>
          <w:sz w:val="24"/>
          <w:highlight w:val="none"/>
        </w:rPr>
        <w:t>。</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二、申请人的资格要求：</w:t>
      </w:r>
    </w:p>
    <w:p>
      <w:pPr>
        <w:spacing w:line="360" w:lineRule="auto"/>
        <w:ind w:firstLine="480"/>
        <w:rPr>
          <w:rFonts w:hint="eastAsia"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00A8"/>
      </w:r>
      <w:r>
        <w:rPr>
          <w:rFonts w:hint="eastAsia" w:ascii="仿宋_GB2312" w:hAnsi="仿宋_GB2312" w:eastAsia="仿宋_GB2312" w:cs="仿宋_GB2312"/>
          <w:color w:val="auto"/>
          <w:sz w:val="24"/>
          <w:highlight w:val="none"/>
        </w:rPr>
        <w:t>无；</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00FE"/>
      </w:r>
      <w:r>
        <w:rPr>
          <w:rFonts w:hint="eastAsia" w:ascii="仿宋_GB2312" w:hAnsi="仿宋_GB2312" w:eastAsia="仿宋_GB2312" w:cs="仿宋_GB2312"/>
          <w:color w:val="auto"/>
          <w:kern w:val="0"/>
          <w:sz w:val="24"/>
          <w:highlight w:val="none"/>
        </w:rPr>
        <w:t>专</w:t>
      </w:r>
      <w:r>
        <w:rPr>
          <w:rFonts w:hint="eastAsia" w:ascii="仿宋_GB2312" w:hAnsi="仿宋_GB2312" w:eastAsia="仿宋_GB2312" w:cs="仿宋_GB2312"/>
          <w:color w:val="auto"/>
          <w:sz w:val="24"/>
          <w:highlight w:val="none"/>
        </w:rPr>
        <w:t>门面向中小企业</w:t>
      </w:r>
    </w:p>
    <w:p>
      <w:pPr>
        <w:spacing w:line="360" w:lineRule="auto"/>
        <w:ind w:firstLine="897" w:firstLineChars="374"/>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kern w:val="0"/>
          <w:sz w:val="24"/>
          <w:highlight w:val="none"/>
        </w:rPr>
        <w:sym w:font="Wingdings" w:char="00A8"/>
      </w:r>
      <w:r>
        <w:rPr>
          <w:rFonts w:hint="eastAsia" w:ascii="仿宋_GB2312" w:hAnsi="仿宋_GB2312" w:eastAsia="仿宋_GB2312" w:cs="仿宋_GB2312"/>
          <w:color w:val="auto"/>
          <w:sz w:val="24"/>
          <w:highlight w:val="none"/>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4"/>
          <w:highlight w:val="none"/>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00FE"/>
      </w:r>
      <w:r>
        <w:rPr>
          <w:rFonts w:hint="eastAsia" w:ascii="仿宋_GB2312" w:hAnsi="仿宋_GB2312" w:eastAsia="仿宋_GB2312" w:cs="仿宋_GB2312"/>
          <w:color w:val="auto"/>
          <w:sz w:val="24"/>
          <w:highlight w:val="none"/>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00FE"/>
      </w:r>
      <w:r>
        <w:rPr>
          <w:rFonts w:hint="eastAsia" w:ascii="仿宋_GB2312" w:hAnsi="仿宋_GB2312" w:eastAsia="仿宋_GB2312" w:cs="仿宋_GB2312"/>
          <w:color w:val="auto"/>
          <w:sz w:val="24"/>
          <w:highlight w:val="none"/>
        </w:rPr>
        <w:t>服务全部由符合政策要求的小微企业承接，提供中小企业声明函；</w:t>
      </w:r>
    </w:p>
    <w:p>
      <w:pPr>
        <w:rPr>
          <w:rFonts w:hint="eastAsia" w:ascii="仿宋_GB2312" w:hAnsi="仿宋_GB2312" w:eastAsia="仿宋_GB2312" w:cs="仿宋_GB2312"/>
          <w:color w:val="auto"/>
          <w:highlight w:val="none"/>
        </w:rPr>
      </w:pP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4"/>
          <w:highlight w:val="none"/>
        </w:rPr>
        <w:t>要求以联合体形式参加，提供联合协议和中小企业声明函，联合协议中中小企业合同金额应当达到%，小微企业合同金额应当达到%;</w:t>
      </w:r>
      <w:r>
        <w:rPr>
          <w:rFonts w:hint="eastAsia" w:ascii="仿宋_GB2312" w:hAnsi="仿宋_GB2312" w:eastAsia="仿宋_GB2312" w:cs="仿宋_GB2312"/>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auto"/>
          <w:sz w:val="24"/>
          <w:highlight w:val="none"/>
        </w:rPr>
        <w:t>；</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4"/>
          <w:highlight w:val="none"/>
        </w:rPr>
        <w:t>要求合同分包，提供分包意向协议和中小企业声明函，分包意向协议中中小企业合同金额应当达到% ，小微企业合同金额应当达到% ;</w:t>
      </w:r>
      <w:r>
        <w:rPr>
          <w:rFonts w:hint="eastAsia" w:ascii="仿宋_GB2312" w:hAnsi="仿宋_GB2312" w:eastAsia="仿宋_GB2312" w:cs="仿宋_GB2312"/>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auto"/>
          <w:sz w:val="24"/>
          <w:highlight w:val="none"/>
        </w:rPr>
        <w:t>；</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3.本项目的特定资格要求：无；</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三、获取招标文件</w:t>
      </w:r>
    </w:p>
    <w:p>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时间：</w:t>
      </w:r>
      <w:r>
        <w:rPr>
          <w:rFonts w:hint="eastAsia" w:ascii="仿宋_GB2312" w:hAnsi="仿宋_GB2312" w:eastAsia="仿宋_GB2312" w:cs="仿宋_GB2312"/>
          <w:color w:val="auto"/>
          <w:sz w:val="24"/>
          <w:highlight w:val="none"/>
        </w:rPr>
        <w:t>/至</w:t>
      </w:r>
      <w:r>
        <w:rPr>
          <w:rFonts w:hint="eastAsia" w:ascii="仿宋_GB2312" w:hAnsi="仿宋_GB2312" w:eastAsia="仿宋_GB2312" w:cs="仿宋_GB2312"/>
          <w:color w:val="auto"/>
          <w:sz w:val="24"/>
          <w:highlight w:val="none"/>
          <w:u w:val="single"/>
          <w:lang w:val="en-US" w:eastAsia="zh-CN"/>
        </w:rPr>
        <w:t>2022年9月 19日</w:t>
      </w:r>
      <w:r>
        <w:rPr>
          <w:rFonts w:hint="eastAsia" w:ascii="仿宋_GB2312" w:hAnsi="仿宋_GB2312" w:eastAsia="仿宋_GB2312" w:cs="仿宋_GB2312"/>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地点（网址）：</w:t>
      </w:r>
      <w:r>
        <w:rPr>
          <w:rFonts w:hint="eastAsia" w:ascii="仿宋_GB2312" w:hAnsi="仿宋_GB2312" w:eastAsia="仿宋_GB2312" w:cs="仿宋_GB2312"/>
          <w:color w:val="auto"/>
          <w:sz w:val="24"/>
          <w:highlight w:val="none"/>
        </w:rPr>
        <w:t xml:space="preserve">政采云平台（https://www.zcygov.cn/） </w:t>
      </w:r>
    </w:p>
    <w:p>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方式：</w:t>
      </w:r>
      <w:r>
        <w:rPr>
          <w:rFonts w:hint="eastAsia" w:ascii="仿宋_GB2312" w:hAnsi="仿宋_GB2312" w:eastAsia="仿宋_GB2312" w:cs="仿宋_GB2312"/>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售价（元）：</w:t>
      </w:r>
      <w:r>
        <w:rPr>
          <w:rFonts w:hint="eastAsia" w:ascii="仿宋_GB2312" w:hAnsi="仿宋_GB2312" w:eastAsia="仿宋_GB2312" w:cs="仿宋_GB2312"/>
          <w:color w:val="auto"/>
          <w:sz w:val="24"/>
          <w:highlight w:val="none"/>
        </w:rPr>
        <w:t xml:space="preserve">0 </w:t>
      </w:r>
      <w:r>
        <w:rPr>
          <w:rFonts w:hint="eastAsia" w:ascii="仿宋_GB2312" w:hAnsi="仿宋_GB2312" w:eastAsia="仿宋_GB2312" w:cs="仿宋_GB2312"/>
          <w:color w:val="auto"/>
          <w:sz w:val="24"/>
          <w:highlight w:val="none"/>
        </w:rPr>
        <w:tab/>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四、提交投标文件截止时间、开标时间和地点</w:t>
      </w:r>
    </w:p>
    <w:p>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提交投标文件截止时间：</w:t>
      </w:r>
      <w:r>
        <w:rPr>
          <w:rFonts w:hint="eastAsia" w:ascii="仿宋_GB2312" w:hAnsi="仿宋_GB2312" w:eastAsia="仿宋_GB2312" w:cs="仿宋_GB2312"/>
          <w:color w:val="auto"/>
          <w:sz w:val="24"/>
          <w:highlight w:val="none"/>
          <w:u w:val="single"/>
          <w:lang w:val="en-US" w:eastAsia="zh-CN"/>
        </w:rPr>
        <w:t>2022年9月19日10点00分</w:t>
      </w:r>
      <w:r>
        <w:rPr>
          <w:rFonts w:hint="eastAsia" w:ascii="仿宋_GB2312" w:hAnsi="仿宋_GB2312" w:eastAsia="仿宋_GB2312" w:cs="仿宋_GB2312"/>
          <w:color w:val="auto"/>
          <w:sz w:val="24"/>
          <w:highlight w:val="none"/>
        </w:rPr>
        <w:t>（北京时间）</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投标地点（网址）：</w:t>
      </w:r>
      <w:r>
        <w:rPr>
          <w:rFonts w:hint="eastAsia" w:ascii="仿宋_GB2312" w:hAnsi="仿宋_GB2312" w:eastAsia="仿宋_GB2312" w:cs="仿宋_GB2312"/>
          <w:color w:val="auto"/>
          <w:sz w:val="24"/>
          <w:highlight w:val="none"/>
        </w:rPr>
        <w:t xml:space="preserve">政采云平台（https://www.zcygov.cn/） </w:t>
      </w:r>
    </w:p>
    <w:p>
      <w:pPr>
        <w:spacing w:line="360" w:lineRule="auto"/>
        <w:ind w:firstLine="482" w:firstLineChars="200"/>
        <w:rPr>
          <w:rFonts w:hint="eastAsia" w:ascii="仿宋_GB2312" w:hAnsi="仿宋_GB2312" w:eastAsia="仿宋_GB2312" w:cs="仿宋_GB2312"/>
          <w:bCs/>
          <w:color w:val="auto"/>
          <w:sz w:val="24"/>
          <w:highlight w:val="none"/>
          <w:u w:val="single"/>
        </w:rPr>
      </w:pPr>
      <w:r>
        <w:rPr>
          <w:rFonts w:hint="eastAsia" w:ascii="仿宋_GB2312" w:hAnsi="仿宋_GB2312" w:eastAsia="仿宋_GB2312" w:cs="仿宋_GB2312"/>
          <w:b/>
          <w:color w:val="auto"/>
          <w:sz w:val="24"/>
          <w:highlight w:val="none"/>
        </w:rPr>
        <w:t>开标时间：</w:t>
      </w:r>
      <w:r>
        <w:rPr>
          <w:rFonts w:hint="eastAsia" w:ascii="仿宋_GB2312" w:hAnsi="仿宋_GB2312" w:eastAsia="仿宋_GB2312" w:cs="仿宋_GB2312"/>
          <w:color w:val="auto"/>
          <w:sz w:val="24"/>
          <w:highlight w:val="none"/>
          <w:u w:val="single"/>
          <w:lang w:val="en-US" w:eastAsia="zh-CN"/>
        </w:rPr>
        <w:t>2022年9</w:t>
      </w:r>
      <w:bookmarkStart w:id="409" w:name="_GoBack"/>
      <w:bookmarkEnd w:id="409"/>
      <w:r>
        <w:rPr>
          <w:rFonts w:hint="eastAsia" w:ascii="仿宋_GB2312" w:hAnsi="仿宋_GB2312" w:eastAsia="仿宋_GB2312" w:cs="仿宋_GB2312"/>
          <w:color w:val="auto"/>
          <w:sz w:val="24"/>
          <w:highlight w:val="none"/>
          <w:u w:val="single"/>
          <w:lang w:val="en-US" w:eastAsia="zh-CN"/>
        </w:rPr>
        <w:t>月19日10点00分</w:t>
      </w:r>
    </w:p>
    <w:p>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开标地点（网址）：</w:t>
      </w:r>
      <w:r>
        <w:rPr>
          <w:rFonts w:hint="eastAsia" w:ascii="仿宋_GB2312" w:hAnsi="仿宋_GB2312" w:eastAsia="仿宋_GB2312" w:cs="仿宋_GB2312"/>
          <w:b w:val="0"/>
          <w:bCs/>
          <w:color w:val="auto"/>
          <w:sz w:val="24"/>
          <w:highlight w:val="none"/>
        </w:rPr>
        <w:t>政采云平台（https://www.zcygov.cn/）</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五、公告期限</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自本公告发布之日起5个工作日。</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六、其他补充事宜</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 xml:space="preserve"> </w:t>
      </w:r>
      <w:r>
        <w:rPr>
          <w:rFonts w:ascii="仿宋_GB2312" w:hAnsi="仿宋" w:eastAsia="仿宋_GB2312"/>
          <w:color w:val="auto"/>
          <w:sz w:val="24"/>
          <w:highlight w:val="none"/>
        </w:rPr>
        <w:t>1.采购人信息</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杭州市临平区综合行政执法局</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地    址：</w:t>
      </w:r>
      <w:r>
        <w:rPr>
          <w:rFonts w:hint="eastAsia" w:ascii="仿宋" w:hAnsi="仿宋" w:eastAsia="仿宋" w:cs="仿宋"/>
          <w:i w:val="0"/>
          <w:iCs w:val="0"/>
          <w:caps w:val="0"/>
          <w:color w:val="auto"/>
          <w:spacing w:val="0"/>
          <w:sz w:val="27"/>
          <w:szCs w:val="27"/>
          <w:highlight w:val="none"/>
          <w:lang w:eastAsia="zh-CN"/>
        </w:rPr>
        <w:t>浙江省杭州市余杭区临平藕花洲大街西段211号</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项目联系人（询问）：</w:t>
      </w:r>
      <w:r>
        <w:rPr>
          <w:rFonts w:hint="eastAsia" w:ascii="仿宋" w:hAnsi="仿宋" w:eastAsia="仿宋" w:cs="仿宋"/>
          <w:i w:val="0"/>
          <w:iCs w:val="0"/>
          <w:caps w:val="0"/>
          <w:color w:val="auto"/>
          <w:spacing w:val="0"/>
          <w:sz w:val="27"/>
          <w:szCs w:val="27"/>
          <w:highlight w:val="none"/>
        </w:rPr>
        <w:t>姚宝良</w:t>
      </w:r>
      <w:r>
        <w:rPr>
          <w:rFonts w:hint="eastAsia" w:ascii="仿宋_GB2312" w:hAnsi="仿宋" w:eastAsia="仿宋_GB2312"/>
          <w:color w:val="auto"/>
          <w:sz w:val="24"/>
          <w:highlight w:val="none"/>
          <w:lang w:val="en-US" w:eastAsia="zh-CN"/>
        </w:rPr>
        <w:t xml:space="preserve"> </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项目联系方式（询问）：</w:t>
      </w:r>
      <w:r>
        <w:rPr>
          <w:rFonts w:hint="eastAsia" w:ascii="仿宋" w:hAnsi="仿宋" w:eastAsia="仿宋" w:cs="仿宋"/>
          <w:i w:val="0"/>
          <w:iCs w:val="0"/>
          <w:caps w:val="0"/>
          <w:color w:val="auto"/>
          <w:spacing w:val="0"/>
          <w:sz w:val="27"/>
          <w:szCs w:val="27"/>
          <w:highlight w:val="none"/>
        </w:rPr>
        <w:t>0571-89287123</w:t>
      </w:r>
      <w:r>
        <w:rPr>
          <w:rFonts w:hint="eastAsia" w:ascii="仿宋_GB2312" w:hAnsi="仿宋" w:eastAsia="仿宋_GB2312"/>
          <w:color w:val="auto"/>
          <w:sz w:val="24"/>
          <w:highlight w:val="none"/>
          <w:lang w:val="en-US" w:eastAsia="zh-CN"/>
        </w:rPr>
        <w:t xml:space="preserve"> </w:t>
      </w:r>
    </w:p>
    <w:p>
      <w:pPr>
        <w:spacing w:line="360" w:lineRule="auto"/>
        <w:rPr>
          <w:rFonts w:hint="eastAsia" w:ascii="仿宋_GB2312" w:hAnsi="仿宋_GB2312" w:eastAsia="仿宋_GB2312" w:cs="仿宋_GB2312"/>
          <w:color w:val="auto"/>
          <w:sz w:val="24"/>
          <w:highlight w:val="none"/>
          <w:lang w:eastAsia="zh-CN"/>
        </w:rPr>
      </w:pPr>
      <w:r>
        <w:rPr>
          <w:rFonts w:ascii="仿宋_GB2312" w:hAnsi="仿宋" w:eastAsia="仿宋_GB2312"/>
          <w:color w:val="auto"/>
          <w:sz w:val="24"/>
          <w:highlight w:val="none"/>
        </w:rPr>
        <w:t xml:space="preserve">    </w:t>
      </w:r>
      <w:r>
        <w:rPr>
          <w:rFonts w:hint="eastAsia" w:ascii="仿宋_GB2312" w:hAnsi="仿宋_GB2312" w:eastAsia="仿宋_GB2312" w:cs="仿宋_GB2312"/>
          <w:color w:val="auto"/>
          <w:sz w:val="24"/>
          <w:highlight w:val="none"/>
        </w:rPr>
        <w:t>质疑联系人：</w:t>
      </w:r>
      <w:r>
        <w:rPr>
          <w:rFonts w:hint="eastAsia" w:ascii="仿宋" w:hAnsi="仿宋" w:eastAsia="仿宋" w:cs="仿宋"/>
          <w:i w:val="0"/>
          <w:iCs w:val="0"/>
          <w:caps w:val="0"/>
          <w:color w:val="auto"/>
          <w:spacing w:val="0"/>
          <w:sz w:val="27"/>
          <w:szCs w:val="27"/>
          <w:highlight w:val="none"/>
        </w:rPr>
        <w:t>俞杭婧</w:t>
      </w:r>
      <w:r>
        <w:rPr>
          <w:rFonts w:hint="eastAsia" w:ascii="仿宋_GB2312" w:hAnsi="仿宋_GB2312" w:eastAsia="仿宋_GB2312" w:cs="仿宋_GB2312"/>
          <w:color w:val="auto"/>
          <w:sz w:val="24"/>
          <w:highlight w:val="none"/>
          <w:lang w:val="en-US" w:eastAsia="zh-CN"/>
        </w:rPr>
        <w:t xml:space="preserve"> </w:t>
      </w:r>
    </w:p>
    <w:p>
      <w:pPr>
        <w:spacing w:line="360" w:lineRule="auto"/>
        <w:rPr>
          <w:rFonts w:hint="eastAsia" w:ascii="仿宋_GB2312" w:hAnsi="仿宋" w:eastAsia="仿宋_GB2312"/>
          <w:color w:val="auto"/>
          <w:sz w:val="24"/>
          <w:highlight w:val="none"/>
          <w:lang w:eastAsia="zh-CN"/>
        </w:rPr>
      </w:pPr>
      <w:r>
        <w:rPr>
          <w:rFonts w:hint="eastAsia" w:ascii="仿宋_GB2312" w:hAnsi="仿宋_GB2312" w:eastAsia="仿宋_GB2312" w:cs="仿宋_GB2312"/>
          <w:color w:val="auto"/>
          <w:sz w:val="24"/>
          <w:highlight w:val="none"/>
        </w:rPr>
        <w:t xml:space="preserve">    质疑联系方式：</w:t>
      </w:r>
      <w:r>
        <w:rPr>
          <w:rFonts w:hint="eastAsia" w:ascii="仿宋" w:hAnsi="仿宋" w:eastAsia="仿宋" w:cs="仿宋"/>
          <w:i w:val="0"/>
          <w:iCs w:val="0"/>
          <w:caps w:val="0"/>
          <w:color w:val="auto"/>
          <w:spacing w:val="0"/>
          <w:sz w:val="27"/>
          <w:szCs w:val="27"/>
          <w:highlight w:val="none"/>
        </w:rPr>
        <w:t>0571-86137021</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2.采购代理机构信息            </w:t>
      </w:r>
    </w:p>
    <w:p>
      <w:pPr>
        <w:spacing w:line="360" w:lineRule="auto"/>
        <w:ind w:firstLine="48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名称：</w:t>
      </w:r>
      <w:r>
        <w:rPr>
          <w:rFonts w:hint="eastAsia" w:ascii="仿宋_GB2312" w:hAnsi="仿宋_GB2312" w:eastAsia="仿宋_GB2312" w:cs="仿宋_GB2312"/>
          <w:color w:val="auto"/>
          <w:sz w:val="24"/>
          <w:highlight w:val="none"/>
          <w:lang w:eastAsia="zh-CN"/>
        </w:rPr>
        <w:t>晟大项目管理（浙江）有限公司</w:t>
      </w:r>
    </w:p>
    <w:p>
      <w:pPr>
        <w:spacing w:line="36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r>
        <w:rPr>
          <w:rFonts w:hint="eastAsia" w:ascii="仿宋_GB2312" w:hAnsi="仿宋_GB2312" w:eastAsia="仿宋_GB2312" w:cs="仿宋_GB2312"/>
          <w:color w:val="auto"/>
          <w:sz w:val="24"/>
          <w:highlight w:val="none"/>
          <w:lang w:eastAsia="zh-CN"/>
        </w:rPr>
        <w:t>杭州市临平区星桥街道星源路368号元星大厦9楼</w:t>
      </w:r>
    </w:p>
    <w:p>
      <w:pPr>
        <w:spacing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 xml:space="preserve">    项目联系人（询问）：</w:t>
      </w:r>
      <w:r>
        <w:rPr>
          <w:rFonts w:hint="eastAsia" w:ascii="仿宋_GB2312" w:hAnsi="仿宋_GB2312" w:eastAsia="仿宋_GB2312" w:cs="仿宋_GB2312"/>
          <w:color w:val="auto"/>
          <w:sz w:val="24"/>
          <w:highlight w:val="none"/>
          <w:lang w:val="en-US" w:eastAsia="zh-CN"/>
        </w:rPr>
        <w:t>屠佳明</w:t>
      </w:r>
    </w:p>
    <w:p>
      <w:pPr>
        <w:spacing w:line="360" w:lineRule="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 xml:space="preserve">    项目联系方式（询问）：</w:t>
      </w:r>
      <w:r>
        <w:rPr>
          <w:rFonts w:hint="eastAsia" w:ascii="仿宋_GB2312" w:hAnsi="仿宋_GB2312" w:eastAsia="仿宋_GB2312" w:cs="仿宋_GB2312"/>
          <w:color w:val="auto"/>
          <w:sz w:val="24"/>
          <w:highlight w:val="none"/>
          <w:lang w:val="en-US" w:eastAsia="zh-CN"/>
        </w:rPr>
        <w:t>13588728251</w:t>
      </w:r>
    </w:p>
    <w:p>
      <w:pPr>
        <w:spacing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 xml:space="preserve">    质疑联系人：</w:t>
      </w:r>
      <w:r>
        <w:rPr>
          <w:rFonts w:hint="eastAsia" w:ascii="仿宋_GB2312" w:hAnsi="仿宋_GB2312" w:eastAsia="仿宋_GB2312" w:cs="仿宋_GB2312"/>
          <w:color w:val="auto"/>
          <w:sz w:val="24"/>
          <w:highlight w:val="none"/>
          <w:lang w:val="en-US" w:eastAsia="zh-CN"/>
        </w:rPr>
        <w:t>沈明</w:t>
      </w:r>
    </w:p>
    <w:p>
      <w:pPr>
        <w:spacing w:line="360" w:lineRule="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 xml:space="preserve">    质疑联系方式：</w:t>
      </w:r>
      <w:r>
        <w:rPr>
          <w:rFonts w:hint="eastAsia" w:ascii="仿宋_GB2312" w:hAnsi="仿宋_GB2312" w:eastAsia="仿宋_GB2312" w:cs="仿宋_GB2312"/>
          <w:color w:val="auto"/>
          <w:sz w:val="24"/>
          <w:highlight w:val="none"/>
          <w:lang w:val="en-US" w:eastAsia="zh-CN"/>
        </w:rPr>
        <w:t>13251003888</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3.同级政府采购监督管理部门</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名    称：杭州市</w:t>
      </w:r>
      <w:r>
        <w:rPr>
          <w:rFonts w:hint="eastAsia" w:ascii="仿宋_GB2312" w:hAnsi="仿宋_GB2312" w:eastAsia="仿宋_GB2312" w:cs="仿宋_GB2312"/>
          <w:color w:val="auto"/>
          <w:sz w:val="24"/>
          <w:highlight w:val="none"/>
          <w:lang w:val="en-US" w:eastAsia="zh-CN"/>
        </w:rPr>
        <w:t>临平</w:t>
      </w:r>
      <w:r>
        <w:rPr>
          <w:rFonts w:hint="eastAsia" w:ascii="仿宋_GB2312" w:hAnsi="仿宋_GB2312" w:eastAsia="仿宋_GB2312" w:cs="仿宋_GB2312"/>
          <w:color w:val="auto"/>
          <w:sz w:val="24"/>
          <w:highlight w:val="none"/>
        </w:rPr>
        <w:t>区财政局 </w:t>
      </w:r>
    </w:p>
    <w:p>
      <w:pPr>
        <w:spacing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    联系人 ：</w:t>
      </w:r>
      <w:r>
        <w:rPr>
          <w:rFonts w:hint="eastAsia" w:ascii="仿宋_GB2312" w:hAnsi="仿宋_GB2312" w:eastAsia="仿宋_GB2312" w:cs="仿宋_GB2312"/>
          <w:color w:val="auto"/>
          <w:sz w:val="24"/>
          <w:highlight w:val="none"/>
          <w:lang w:val="en-US" w:eastAsia="zh-CN"/>
        </w:rPr>
        <w:t>俞征</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监督投诉电话：0571-89185312 </w:t>
      </w:r>
    </w:p>
    <w:p>
      <w:pPr>
        <w:spacing w:line="360" w:lineRule="auto"/>
        <w:ind w:firstLine="600" w:firstLineChars="2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地址：杭州市临平区东湖中路236号余杭财税大楼</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CA问题联系电话（人工）：汇信CA 400-888-4636；天谷CA 400-087-8198。</w:t>
      </w:r>
    </w:p>
    <w:p>
      <w:pPr>
        <w:pStyle w:val="33"/>
        <w:spacing w:line="360" w:lineRule="auto"/>
        <w:ind w:firstLine="480" w:firstLineChars="200"/>
        <w:rPr>
          <w:rFonts w:hint="eastAsia" w:ascii="仿宋_GB2312" w:hAnsi="仿宋_GB2312" w:eastAsia="仿宋_GB2312" w:cs="仿宋_GB2312"/>
          <w:color w:val="auto"/>
          <w:sz w:val="24"/>
          <w:szCs w:val="24"/>
          <w:highlight w:val="none"/>
        </w:rPr>
      </w:pPr>
    </w:p>
    <w:p>
      <w:pPr>
        <w:adjustRightInd/>
        <w:spacing w:line="360" w:lineRule="auto"/>
        <w:jc w:val="center"/>
        <w:outlineLvl w:val="0"/>
        <w:rPr>
          <w:rFonts w:hint="eastAsia"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20"/>
          <w:highlight w:val="none"/>
        </w:rPr>
        <w:br w:type="page"/>
      </w:r>
      <w:r>
        <w:rPr>
          <w:rFonts w:hint="eastAsia" w:ascii="仿宋_GB2312" w:hAnsi="仿宋_GB2312" w:eastAsia="仿宋_GB2312" w:cs="仿宋_GB2312"/>
          <w:b/>
          <w:color w:val="auto"/>
          <w:sz w:val="36"/>
          <w:szCs w:val="20"/>
          <w:highlight w:val="none"/>
        </w:rPr>
        <w:t>第二部分</w:t>
      </w:r>
      <w:bookmarkEnd w:id="8"/>
      <w:r>
        <w:rPr>
          <w:rFonts w:hint="eastAsia" w:ascii="仿宋_GB2312" w:hAnsi="仿宋_GB2312" w:eastAsia="仿宋_GB2312" w:cs="仿宋_GB2312"/>
          <w:b/>
          <w:color w:val="auto"/>
          <w:sz w:val="36"/>
          <w:szCs w:val="20"/>
          <w:highlight w:val="none"/>
        </w:rPr>
        <w:t xml:space="preserve"> 投标人须知</w:t>
      </w:r>
      <w:bookmarkEnd w:id="9"/>
    </w:p>
    <w:p>
      <w:pPr>
        <w:snapToGrid w:val="0"/>
        <w:spacing w:line="360" w:lineRule="auto"/>
        <w:jc w:val="center"/>
        <w:rPr>
          <w:rFonts w:hint="eastAsia"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有关本项目实施所需的所有费用（含税费）均计入报价。</w:t>
            </w:r>
            <w:r>
              <w:rPr>
                <w:rFonts w:hint="eastAsia" w:ascii="仿宋_GB2312" w:hAnsi="仿宋_GB2312" w:eastAsia="仿宋_GB2312" w:cs="仿宋_GB2312"/>
                <w:color w:val="auto"/>
                <w:sz w:val="24"/>
                <w:highlight w:val="none"/>
              </w:rPr>
              <w:t>开标一览表（报价表）是报价的唯一载体</w:t>
            </w:r>
            <w:r>
              <w:rPr>
                <w:rFonts w:hint="eastAsia" w:ascii="仿宋_GB2312" w:hAnsi="仿宋_GB2312"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_GB2312"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color w:val="auto"/>
                <w:sz w:val="24"/>
                <w:szCs w:val="21"/>
                <w:highlight w:val="none"/>
              </w:rPr>
              <w:t>;</w:t>
            </w:r>
          </w:p>
          <w:p>
            <w:pPr>
              <w:spacing w:line="360" w:lineRule="auto"/>
              <w:ind w:firstLine="241"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kern w:val="0"/>
                <w:sz w:val="24"/>
                <w:highlight w:val="none"/>
              </w:rPr>
              <w:t>投标人对根据修正原则修正后的报价不确认的</w:t>
            </w:r>
            <w:r>
              <w:rPr>
                <w:rFonts w:hint="eastAsia" w:ascii="仿宋_GB2312" w:hAnsi="仿宋_GB2312" w:eastAsia="仿宋_GB2312" w:cs="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 A</w:t>
            </w:r>
            <w:r>
              <w:rPr>
                <w:rFonts w:hint="eastAsia" w:ascii="仿宋_GB2312" w:hAnsi="仿宋_GB2312" w:eastAsia="仿宋_GB2312" w:cs="仿宋_GB2312"/>
                <w:color w:val="auto"/>
                <w:sz w:val="24"/>
                <w:highlight w:val="none"/>
              </w:rPr>
              <w:t>同意将非主体、非关键性的工作分包。</w:t>
            </w: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 xml:space="preserve"> B</w:t>
            </w:r>
            <w:r>
              <w:rPr>
                <w:rFonts w:hint="eastAsia" w:ascii="仿宋_GB2312" w:hAnsi="仿宋_GB2312" w:eastAsia="仿宋_GB2312" w:cs="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（1）资格证明文件：见招标文件第二部分11.1。</w:t>
            </w:r>
          </w:p>
          <w:p>
            <w:pPr>
              <w:spacing w:line="360" w:lineRule="auto"/>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不组织。</w:t>
            </w:r>
          </w:p>
          <w:p>
            <w:pPr>
              <w:spacing w:line="360" w:lineRule="auto"/>
              <w:rPr>
                <w:rFonts w:hint="eastAsia" w:ascii="仿宋_GB2312" w:hAnsi="仿宋_GB2312" w:eastAsia="仿宋_GB2312" w:cs="仿宋_GB2312"/>
                <w:color w:val="auto"/>
                <w:sz w:val="24"/>
                <w:szCs w:val="20"/>
                <w:highlight w:val="none"/>
              </w:rPr>
            </w:pPr>
            <w:r>
              <w:rPr>
                <w:rFonts w:hint="eastAsia" w:ascii="仿宋_GB2312" w:hAnsi="仿宋_GB2312" w:eastAsia="仿宋_GB2312" w:cs="仿宋_GB2312"/>
                <w:color w:val="auto"/>
                <w:kern w:val="0"/>
                <w:sz w:val="24"/>
                <w:highlight w:val="none"/>
              </w:rPr>
              <w:t>☐B组织，</w:t>
            </w:r>
            <w:r>
              <w:rPr>
                <w:rFonts w:hint="eastAsia" w:ascii="仿宋_GB2312" w:hAnsi="仿宋_GB2312" w:eastAsia="仿宋_GB2312" w:cs="仿宋_GB2312"/>
                <w:color w:val="auto"/>
                <w:sz w:val="24"/>
                <w:highlight w:val="none"/>
              </w:rPr>
              <w:t>时间：,地点：，联系人：，联系方式：</w:t>
            </w:r>
            <w:r>
              <w:rPr>
                <w:rFonts w:hint="eastAsia" w:ascii="仿宋_GB2312" w:hAnsi="仿宋_GB2312" w:eastAsia="仿宋_GB2312" w:cs="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2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不要求提供。</w:t>
            </w:r>
          </w:p>
          <w:p>
            <w:pPr>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☐B要求提供，</w:t>
            </w:r>
          </w:p>
          <w:p>
            <w:pPr>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snapToGrid w:val="0"/>
                <w:color w:val="auto"/>
                <w:kern w:val="28"/>
                <w:sz w:val="24"/>
                <w:highlight w:val="none"/>
              </w:rPr>
              <w:t>样品：</w:t>
            </w:r>
            <w:r>
              <w:rPr>
                <w:rFonts w:hint="eastAsia" w:ascii="仿宋_GB2312" w:hAnsi="仿宋_GB2312" w:eastAsia="仿宋_GB2312" w:cs="仿宋_GB2312"/>
                <w:color w:val="auto"/>
                <w:kern w:val="0"/>
                <w:sz w:val="24"/>
                <w:highlight w:val="none"/>
              </w:rPr>
              <w:t>；</w:t>
            </w:r>
          </w:p>
          <w:p>
            <w:pPr>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snapToGrid w:val="0"/>
                <w:color w:val="auto"/>
                <w:kern w:val="28"/>
                <w:sz w:val="24"/>
                <w:highlight w:val="none"/>
              </w:rPr>
              <w:t>样品制作的标准和要求：</w:t>
            </w:r>
            <w:r>
              <w:rPr>
                <w:rFonts w:hint="eastAsia" w:ascii="仿宋_GB2312" w:hAnsi="仿宋_GB2312" w:eastAsia="仿宋_GB2312" w:cs="仿宋_GB2312"/>
                <w:color w:val="auto"/>
                <w:kern w:val="0"/>
                <w:sz w:val="24"/>
                <w:highlight w:val="none"/>
              </w:rPr>
              <w:t>；</w:t>
            </w:r>
          </w:p>
          <w:p>
            <w:pPr>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（3）样品的评审方法以及评审标准</w:t>
            </w:r>
            <w:r>
              <w:rPr>
                <w:rFonts w:hint="eastAsia" w:ascii="仿宋_GB2312" w:hAnsi="仿宋_GB2312" w:eastAsia="仿宋_GB2312" w:cs="仿宋_GB2312"/>
                <w:snapToGrid w:val="0"/>
                <w:color w:val="auto"/>
                <w:kern w:val="28"/>
                <w:sz w:val="24"/>
                <w:highlight w:val="none"/>
              </w:rPr>
              <w:t>：详见</w:t>
            </w:r>
            <w:r>
              <w:rPr>
                <w:rFonts w:hint="eastAsia" w:ascii="仿宋_GB2312" w:hAnsi="仿宋_GB2312" w:eastAsia="仿宋_GB2312" w:cs="仿宋_GB2312"/>
                <w:color w:val="auto"/>
                <w:sz w:val="24"/>
                <w:highlight w:val="none"/>
                <w:u w:val="single"/>
              </w:rPr>
              <w:t>评标办法</w:t>
            </w:r>
            <w:r>
              <w:rPr>
                <w:rFonts w:hint="eastAsia" w:ascii="仿宋_GB2312" w:hAnsi="仿宋_GB2312" w:eastAsia="仿宋_GB2312" w:cs="仿宋_GB2312"/>
                <w:color w:val="auto"/>
                <w:kern w:val="0"/>
                <w:sz w:val="24"/>
                <w:highlight w:val="none"/>
              </w:rPr>
              <w:t>；</w:t>
            </w:r>
          </w:p>
          <w:p>
            <w:pPr>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（4）是否需要随样品提交检测报告：</w:t>
            </w: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否；☐是，检测机构的要求</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rPr>
              <w:t>；检测内容</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rPr>
              <w:t>。</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（5）提供样品的时间：</w:t>
            </w:r>
            <w:r>
              <w:rPr>
                <w:rFonts w:hint="eastAsia" w:ascii="仿宋_GB2312" w:hAnsi="仿宋_GB2312" w:eastAsia="仿宋_GB2312" w:cs="仿宋_GB2312"/>
                <w:color w:val="auto"/>
                <w:kern w:val="0"/>
                <w:sz w:val="24"/>
                <w:highlight w:val="none"/>
              </w:rPr>
              <w:t>；地点：；联系人</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28"/>
                <w:sz w:val="24"/>
                <w:highlight w:val="none"/>
              </w:rPr>
              <w:t>联系电话：</w:t>
            </w:r>
            <w:r>
              <w:rPr>
                <w:rFonts w:hint="eastAsia" w:ascii="仿宋_GB2312" w:hAnsi="仿宋_GB2312" w:eastAsia="仿宋_GB2312" w:cs="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53"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不组织。</w:t>
            </w:r>
          </w:p>
          <w:p>
            <w:pPr>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☐B组织。</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（2）方案讲解演示可选择以下其中一种方式：</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本项目不允许采购进口产品。</w:t>
            </w:r>
          </w:p>
          <w:p>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货物类，单一产品或</w:t>
            </w:r>
            <w:r>
              <w:rPr>
                <w:rFonts w:hint="eastAsia" w:ascii="仿宋_GB2312" w:hAnsi="仿宋_GB2312" w:eastAsia="仿宋_GB2312" w:cs="仿宋_GB2312"/>
                <w:color w:val="auto"/>
                <w:kern w:val="0"/>
                <w:sz w:val="24"/>
                <w:highlight w:val="none"/>
              </w:rPr>
              <w:t>核心产品为：</w:t>
            </w:r>
            <w:r>
              <w:rPr>
                <w:rFonts w:hint="eastAsia" w:ascii="仿宋_GB2312" w:hAnsi="仿宋_GB2312" w:eastAsia="仿宋_GB2312" w:cs="仿宋_GB2312"/>
                <w:color w:val="auto"/>
                <w:sz w:val="24"/>
                <w:highlight w:val="none"/>
              </w:rPr>
              <w:t>。</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B</w:t>
            </w:r>
            <w:r>
              <w:rPr>
                <w:rFonts w:hint="eastAsia" w:ascii="仿宋_GB2312" w:hAnsi="仿宋_GB2312" w:eastAsia="仿宋_GB2312" w:cs="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采购标的：</w:t>
            </w:r>
            <w:r>
              <w:rPr>
                <w:rFonts w:hint="eastAsia" w:ascii="仿宋_GB2312" w:hAnsi="仿宋_GB2312" w:eastAsia="仿宋_GB2312" w:cs="仿宋_GB2312"/>
                <w:color w:val="auto"/>
                <w:kern w:val="0"/>
                <w:sz w:val="24"/>
                <w:highlight w:val="none"/>
                <w:lang w:val="en-US" w:eastAsia="zh-CN"/>
              </w:rPr>
              <w:t>信息采集服务</w:t>
            </w:r>
            <w:r>
              <w:rPr>
                <w:rFonts w:hint="eastAsia" w:ascii="仿宋_GB2312" w:hAnsi="仿宋_GB2312" w:eastAsia="仿宋_GB2312" w:cs="仿宋_GB2312"/>
                <w:color w:val="auto"/>
                <w:kern w:val="0"/>
                <w:sz w:val="24"/>
                <w:highlight w:val="none"/>
              </w:rPr>
              <w:t>；所属行业：其他未列明行业。</w:t>
            </w:r>
          </w:p>
          <w:p>
            <w:pPr>
              <w:pStyle w:val="2"/>
              <w:rPr>
                <w:rFonts w:hint="eastAsia" w:ascii="仿宋_GB2312" w:hAnsi="仿宋_GB2312" w:eastAsia="仿宋_GB2312" w:cs="仿宋_GB2312"/>
                <w:color w:val="auto"/>
                <w:highlight w:val="none"/>
                <w:lang w:val="en-US"/>
              </w:rPr>
            </w:pPr>
            <w:r>
              <w:rPr>
                <w:rFonts w:hint="eastAsia" w:ascii="仿宋_GB2312" w:hAnsi="仿宋_GB2312" w:eastAsia="仿宋_GB2312" w:cs="仿宋_GB2312"/>
                <w:b w:val="0"/>
                <w:bCs w:val="0"/>
                <w:color w:val="auto"/>
                <w:kern w:val="0"/>
                <w:sz w:val="24"/>
                <w:szCs w:val="24"/>
                <w:highlight w:val="none"/>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仿宋_GB2312" w:hAnsi="仿宋_GB2312" w:eastAsia="仿宋_GB2312" w:cs="仿宋_GB2312"/>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_GB2312" w:hAnsi="仿宋_GB2312" w:eastAsia="仿宋_GB2312" w:cs="仿宋_GB2312"/>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_GB2312" w:hAnsi="仿宋_GB2312" w:eastAsia="仿宋_GB2312" w:cs="仿宋_GB2312"/>
                <w:color w:val="auto"/>
                <w:kern w:val="28"/>
                <w:sz w:val="24"/>
                <w:highlight w:val="none"/>
              </w:rPr>
            </w:pPr>
            <w:r>
              <w:rPr>
                <w:rFonts w:hint="eastAsia" w:ascii="仿宋_GB2312" w:hAnsi="仿宋_GB2312" w:eastAsia="仿宋_GB2312" w:cs="仿宋_GB2312"/>
                <w:color w:val="auto"/>
                <w:kern w:val="28"/>
                <w:sz w:val="24"/>
                <w:szCs w:val="24"/>
                <w:highlight w:val="none"/>
              </w:rPr>
              <w:t>备份投标文件送达地点：</w:t>
            </w:r>
            <w:r>
              <w:rPr>
                <w:rFonts w:hint="eastAsia" w:ascii="仿宋_GB2312" w:hAnsi="仿宋_GB2312" w:eastAsia="仿宋_GB2312" w:cs="仿宋_GB2312"/>
                <w:color w:val="auto"/>
                <w:kern w:val="28"/>
                <w:sz w:val="24"/>
                <w:szCs w:val="24"/>
                <w:highlight w:val="none"/>
                <w:lang w:eastAsia="zh-CN"/>
              </w:rPr>
              <w:t>杭州市临平区星桥街道星源路368号元星大厦9楼</w:t>
            </w:r>
            <w:r>
              <w:rPr>
                <w:rFonts w:hint="eastAsia" w:ascii="仿宋_GB2312" w:hAnsi="仿宋_GB2312" w:eastAsia="仿宋_GB2312" w:cs="仿宋_GB2312"/>
                <w:color w:val="auto"/>
                <w:kern w:val="28"/>
                <w:sz w:val="24"/>
                <w:szCs w:val="24"/>
                <w:highlight w:val="none"/>
              </w:rPr>
              <w:t>；备份投标文件签收人员联系电话：</w:t>
            </w:r>
            <w:r>
              <w:rPr>
                <w:rFonts w:hint="eastAsia" w:ascii="仿宋_GB2312" w:hAnsi="仿宋_GB2312" w:eastAsia="仿宋_GB2312" w:cs="仿宋_GB2312"/>
                <w:color w:val="auto"/>
                <w:kern w:val="28"/>
                <w:sz w:val="24"/>
                <w:szCs w:val="24"/>
                <w:highlight w:val="none"/>
                <w:lang w:val="en-US" w:eastAsia="zh-CN"/>
              </w:rPr>
              <w:t>13251003888</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leftChars="0" w:right="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szCs w:val="20"/>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1"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kern w:val="0"/>
                <w:sz w:val="24"/>
                <w:szCs w:val="20"/>
                <w:highlight w:val="none"/>
              </w:rPr>
              <w:t>☐</w:t>
            </w:r>
            <w:r>
              <w:rPr>
                <w:rFonts w:hint="eastAsia" w:ascii="仿宋" w:hAnsi="仿宋" w:eastAsia="仿宋" w:cs="仿宋"/>
                <w:snapToGrid w:val="0"/>
                <w:color w:val="auto"/>
                <w:kern w:val="28"/>
                <w:sz w:val="24"/>
                <w:szCs w:val="20"/>
                <w:highlight w:val="none"/>
              </w:rPr>
              <w:t>联合体投标的，联合体各方均需按招标文件第四部分评标标准要求提供资信证明文件，否则视为不符合要求。</w:t>
            </w:r>
          </w:p>
          <w:p>
            <w:pPr>
              <w:spacing w:before="0" w:beforeAutospacing="0" w:after="0" w:afterAutospacing="0" w:line="360" w:lineRule="auto"/>
              <w:ind w:left="0" w:leftChars="0" w:right="0"/>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szCs w:val="20"/>
                <w:highlight w:val="none"/>
              </w:rPr>
              <w:sym w:font="Wingdings" w:char="F0FE"/>
            </w:r>
            <w:r>
              <w:rPr>
                <w:rFonts w:hint="eastAsia" w:ascii="仿宋" w:hAnsi="仿宋" w:eastAsia="仿宋" w:cs="仿宋"/>
                <w:snapToGrid w:val="0"/>
                <w:color w:val="auto"/>
                <w:kern w:val="28"/>
                <w:sz w:val="24"/>
                <w:szCs w:val="20"/>
                <w:highlight w:val="none"/>
              </w:rPr>
              <w:t>联合体投标的，联合体中有一方或者联合体成员根据分工按招标文件第四部分评标标准要求提供资信证明文件的，</w:t>
            </w:r>
            <w:r>
              <w:rPr>
                <w:rFonts w:hint="eastAsia" w:ascii="仿宋" w:hAnsi="仿宋" w:eastAsia="仿宋" w:cs="仿宋"/>
                <w:snapToGrid w:val="0"/>
                <w:color w:val="auto"/>
                <w:kern w:val="28"/>
                <w:sz w:val="24"/>
                <w:szCs w:val="20"/>
                <w:highlight w:val="none"/>
                <w:lang w:val="en-US" w:eastAsia="zh-CN"/>
              </w:rPr>
              <w:t>否则</w:t>
            </w:r>
            <w:r>
              <w:rPr>
                <w:rFonts w:hint="eastAsia" w:ascii="仿宋" w:hAnsi="仿宋" w:eastAsia="仿宋" w:cs="仿宋"/>
                <w:snapToGrid w:val="0"/>
                <w:color w:val="auto"/>
                <w:kern w:val="28"/>
                <w:sz w:val="24"/>
                <w:szCs w:val="20"/>
                <w:highlight w:val="none"/>
              </w:rPr>
              <w:t>视为不符合要求。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napToGrid w:val="0"/>
                <w:color w:val="auto"/>
                <w:kern w:val="28"/>
                <w:sz w:val="24"/>
                <w:highlight w:val="none"/>
                <w:lang w:eastAsia="zh-CN"/>
              </w:rPr>
            </w:pPr>
            <w:r>
              <w:rPr>
                <w:rFonts w:hint="eastAsia" w:ascii="仿宋_GB2312" w:hAnsi="仿宋_GB2312" w:eastAsia="仿宋_GB2312" w:cs="仿宋_GB2312"/>
                <w:snapToGrid w:val="0"/>
                <w:color w:val="auto"/>
                <w:kern w:val="28"/>
                <w:sz w:val="24"/>
                <w:highlight w:val="none"/>
                <w:lang w:val="en-US" w:eastAsia="zh-CN"/>
              </w:rPr>
              <w:t>各标项</w:t>
            </w:r>
            <w:r>
              <w:rPr>
                <w:rFonts w:hint="eastAsia" w:ascii="仿宋_GB2312" w:hAnsi="仿宋_GB2312" w:eastAsia="仿宋_GB2312" w:cs="仿宋_GB2312"/>
                <w:snapToGrid w:val="0"/>
                <w:color w:val="auto"/>
                <w:kern w:val="28"/>
                <w:sz w:val="24"/>
                <w:highlight w:val="none"/>
              </w:rPr>
              <w:t>中标人在领取中标通知书时需</w:t>
            </w:r>
            <w:r>
              <w:rPr>
                <w:rFonts w:hint="eastAsia" w:ascii="仿宋_GB2312" w:hAnsi="仿宋_GB2312" w:eastAsia="仿宋_GB2312" w:cs="仿宋_GB2312"/>
                <w:snapToGrid w:val="0"/>
                <w:color w:val="auto"/>
                <w:kern w:val="28"/>
                <w:sz w:val="24"/>
                <w:highlight w:val="none"/>
                <w:lang w:val="en-US" w:eastAsia="zh-CN"/>
              </w:rPr>
              <w:t>按计价格【2002】1980号文件服务类计取</w:t>
            </w:r>
            <w:r>
              <w:rPr>
                <w:rFonts w:hint="eastAsia" w:ascii="仿宋_GB2312" w:hAnsi="仿宋_GB2312" w:eastAsia="仿宋_GB2312" w:cs="仿宋_GB2312"/>
                <w:snapToGrid w:val="0"/>
                <w:color w:val="auto"/>
                <w:kern w:val="28"/>
                <w:sz w:val="24"/>
                <w:highlight w:val="none"/>
              </w:rPr>
              <w:t>向招标代理机构支付人民币</w:t>
            </w:r>
            <w:r>
              <w:rPr>
                <w:rFonts w:hint="eastAsia" w:ascii="仿宋_GB2312" w:hAnsi="仿宋_GB2312" w:eastAsia="仿宋_GB2312" w:cs="仿宋_GB2312"/>
                <w:snapToGrid w:val="0"/>
                <w:color w:val="auto"/>
                <w:kern w:val="28"/>
                <w:sz w:val="24"/>
                <w:highlight w:val="none"/>
                <w:lang w:val="en-US" w:eastAsia="zh-CN"/>
              </w:rPr>
              <w:t>标项一：25000元，标项二26000元，标项三：20000元</w:t>
            </w:r>
            <w:r>
              <w:rPr>
                <w:rFonts w:hint="eastAsia" w:ascii="仿宋_GB2312" w:hAnsi="仿宋_GB2312" w:eastAsia="仿宋_GB2312" w:cs="仿宋_GB2312"/>
                <w:snapToGrid w:val="0"/>
                <w:color w:val="auto"/>
                <w:kern w:val="28"/>
                <w:sz w:val="24"/>
                <w:highlight w:val="none"/>
              </w:rPr>
              <w:t>招标代理服务费，费用包含在总报价中，不单独列项报价。</w:t>
            </w:r>
          </w:p>
          <w:p>
            <w:pPr>
              <w:spacing w:line="360" w:lineRule="auto"/>
              <w:rPr>
                <w:rFonts w:hint="eastAsia" w:ascii="仿宋_GB2312" w:hAnsi="仿宋_GB2312" w:eastAsia="仿宋_GB2312" w:cs="仿宋_GB2312"/>
                <w:snapToGrid w:val="0"/>
                <w:color w:val="auto"/>
                <w:kern w:val="28"/>
                <w:sz w:val="24"/>
                <w:highlight w:val="none"/>
                <w:lang w:eastAsia="zh-CN"/>
              </w:rPr>
            </w:pPr>
            <w:r>
              <w:rPr>
                <w:rFonts w:hint="eastAsia" w:ascii="仿宋_GB2312" w:hAnsi="仿宋_GB2312" w:eastAsia="仿宋_GB2312" w:cs="仿宋_GB2312"/>
                <w:snapToGrid w:val="0"/>
                <w:color w:val="auto"/>
                <w:kern w:val="28"/>
                <w:sz w:val="24"/>
                <w:highlight w:val="none"/>
              </w:rPr>
              <w:t>中标服务费的交纳方式：以转帐或支票的形式支付</w:t>
            </w:r>
            <w:r>
              <w:rPr>
                <w:rFonts w:hint="eastAsia" w:ascii="仿宋_GB2312" w:hAnsi="仿宋_GB2312" w:eastAsia="仿宋_GB2312" w:cs="仿宋_GB2312"/>
                <w:snapToGrid w:val="0"/>
                <w:color w:val="auto"/>
                <w:kern w:val="28"/>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snapToGrid w:val="0"/>
                <w:color w:val="auto"/>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snapToGrid w:val="0"/>
                <w:color w:val="auto"/>
                <w:kern w:val="28"/>
                <w:sz w:val="24"/>
                <w:highlight w:val="none"/>
                <w:lang w:val="en-US" w:eastAsia="zh-CN"/>
              </w:rPr>
            </w:pPr>
            <w:r>
              <w:rPr>
                <w:rFonts w:hint="eastAsia" w:ascii="仿宋_GB2312" w:hAnsi="仿宋_GB2312" w:eastAsia="仿宋_GB2312" w:cs="仿宋_GB2312"/>
                <w:snapToGrid w:val="0"/>
                <w:color w:val="auto"/>
                <w:kern w:val="28"/>
                <w:sz w:val="24"/>
                <w:highlight w:val="none"/>
                <w:lang w:val="en-US" w:eastAsia="zh-CN"/>
              </w:rPr>
              <w:t>其他说明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napToGrid w:val="0"/>
                <w:color w:val="auto"/>
                <w:kern w:val="28"/>
                <w:sz w:val="24"/>
                <w:highlight w:val="none"/>
              </w:rPr>
            </w:pPr>
            <w:r>
              <w:rPr>
                <w:rFonts w:hint="eastAsia"/>
                <w:b/>
                <w:bCs/>
                <w:color w:val="auto"/>
                <w:sz w:val="24"/>
                <w:szCs w:val="24"/>
                <w:highlight w:val="none"/>
                <w:lang w:val="en-US" w:eastAsia="zh-CN"/>
              </w:rPr>
              <w:t>本次招标共有三个标项；供应商可自行选择标项响应投标，但供应商中标只能中一个标项，中标次序按开标时间的先后顺序确定（各标项按标项一、二、三的顺序依次进行开评标，如投标人中先开标项的项目，则后面标项不再推荐为中标候选人）。</w:t>
            </w:r>
          </w:p>
        </w:tc>
      </w:tr>
    </w:tbl>
    <w:p>
      <w:pPr>
        <w:snapToGrid w:val="0"/>
        <w:spacing w:line="360" w:lineRule="auto"/>
        <w:jc w:val="center"/>
        <w:rPr>
          <w:rFonts w:hint="eastAsia" w:ascii="仿宋_GB2312" w:hAnsi="仿宋_GB2312" w:eastAsia="仿宋_GB2312" w:cs="仿宋_GB2312"/>
          <w:b/>
          <w:color w:val="auto"/>
          <w:sz w:val="32"/>
          <w:szCs w:val="20"/>
          <w:highlight w:val="none"/>
        </w:rPr>
      </w:pPr>
    </w:p>
    <w:p>
      <w:pPr>
        <w:pStyle w:val="2"/>
        <w:rPr>
          <w:rFonts w:hint="eastAsia" w:ascii="仿宋_GB2312" w:hAnsi="仿宋_GB2312" w:eastAsia="仿宋_GB2312" w:cs="仿宋_GB2312"/>
          <w:b/>
          <w:color w:val="auto"/>
          <w:sz w:val="32"/>
          <w:szCs w:val="20"/>
          <w:highlight w:val="none"/>
        </w:rPr>
      </w:pPr>
    </w:p>
    <w:p>
      <w:pPr>
        <w:rPr>
          <w:rFonts w:hint="eastAsia" w:ascii="仿宋_GB2312" w:hAnsi="仿宋_GB2312" w:eastAsia="仿宋_GB2312" w:cs="仿宋_GB2312"/>
          <w:b/>
          <w:color w:val="auto"/>
          <w:sz w:val="32"/>
          <w:szCs w:val="20"/>
          <w:highlight w:val="none"/>
        </w:rPr>
      </w:pPr>
    </w:p>
    <w:p>
      <w:pPr>
        <w:pStyle w:val="2"/>
        <w:rPr>
          <w:rFonts w:hint="eastAsia" w:ascii="仿宋_GB2312" w:hAnsi="仿宋_GB2312" w:eastAsia="仿宋_GB2312" w:cs="仿宋_GB2312"/>
          <w:b/>
          <w:color w:val="auto"/>
          <w:sz w:val="32"/>
          <w:szCs w:val="20"/>
          <w:highlight w:val="none"/>
        </w:rPr>
      </w:pPr>
    </w:p>
    <w:p>
      <w:pPr>
        <w:rPr>
          <w:rFonts w:hint="eastAsia" w:ascii="仿宋_GB2312" w:hAnsi="仿宋_GB2312" w:eastAsia="仿宋_GB2312" w:cs="仿宋_GB2312"/>
          <w:b/>
          <w:color w:val="auto"/>
          <w:sz w:val="32"/>
          <w:szCs w:val="20"/>
          <w:highlight w:val="none"/>
        </w:rPr>
      </w:pPr>
    </w:p>
    <w:p>
      <w:pPr>
        <w:pStyle w:val="2"/>
        <w:rPr>
          <w:rFonts w:hint="eastAsia" w:ascii="仿宋_GB2312" w:hAnsi="仿宋_GB2312" w:eastAsia="仿宋_GB2312" w:cs="仿宋_GB2312"/>
          <w:b/>
          <w:color w:val="auto"/>
          <w:sz w:val="32"/>
          <w:szCs w:val="20"/>
          <w:highlight w:val="none"/>
        </w:rPr>
      </w:pPr>
    </w:p>
    <w:p>
      <w:pPr>
        <w:rPr>
          <w:rFonts w:hint="eastAsia" w:ascii="仿宋_GB2312" w:hAnsi="仿宋_GB2312" w:eastAsia="仿宋_GB2312" w:cs="仿宋_GB2312"/>
          <w:b/>
          <w:color w:val="auto"/>
          <w:sz w:val="32"/>
          <w:szCs w:val="20"/>
          <w:highlight w:val="none"/>
        </w:rPr>
      </w:pPr>
    </w:p>
    <w:p>
      <w:pPr>
        <w:pStyle w:val="2"/>
        <w:rPr>
          <w:rFonts w:hint="eastAsia" w:ascii="仿宋_GB2312" w:hAnsi="仿宋_GB2312" w:eastAsia="仿宋_GB2312" w:cs="仿宋_GB2312"/>
          <w:b/>
          <w:color w:val="auto"/>
          <w:sz w:val="32"/>
          <w:szCs w:val="20"/>
          <w:highlight w:val="none"/>
        </w:rPr>
      </w:pPr>
    </w:p>
    <w:p>
      <w:pPr>
        <w:rPr>
          <w:rFonts w:hint="eastAsia" w:ascii="仿宋_GB2312" w:hAnsi="仿宋_GB2312" w:eastAsia="仿宋_GB2312" w:cs="仿宋_GB2312"/>
          <w:b/>
          <w:color w:val="auto"/>
          <w:sz w:val="32"/>
          <w:szCs w:val="20"/>
          <w:highlight w:val="none"/>
        </w:rPr>
      </w:pPr>
    </w:p>
    <w:p>
      <w:pPr>
        <w:pStyle w:val="2"/>
        <w:rPr>
          <w:rFonts w:hint="eastAsia" w:ascii="仿宋_GB2312" w:hAnsi="仿宋_GB2312" w:eastAsia="仿宋_GB2312" w:cs="仿宋_GB2312"/>
          <w:b/>
          <w:color w:val="auto"/>
          <w:sz w:val="32"/>
          <w:szCs w:val="20"/>
          <w:highlight w:val="none"/>
        </w:rPr>
      </w:pPr>
    </w:p>
    <w:p>
      <w:pPr>
        <w:rPr>
          <w:rFonts w:hint="eastAsia" w:ascii="仿宋_GB2312" w:hAnsi="仿宋_GB2312" w:eastAsia="仿宋_GB2312" w:cs="仿宋_GB2312"/>
          <w:b/>
          <w:color w:val="auto"/>
          <w:sz w:val="32"/>
          <w:szCs w:val="20"/>
          <w:highlight w:val="none"/>
        </w:rPr>
      </w:pPr>
    </w:p>
    <w:p>
      <w:pPr>
        <w:pStyle w:val="2"/>
        <w:rPr>
          <w:rFonts w:hint="eastAsia" w:ascii="仿宋_GB2312" w:hAnsi="仿宋_GB2312" w:eastAsia="仿宋_GB2312" w:cs="仿宋_GB2312"/>
          <w:b/>
          <w:color w:val="auto"/>
          <w:sz w:val="32"/>
          <w:szCs w:val="20"/>
          <w:highlight w:val="none"/>
        </w:rPr>
      </w:pPr>
    </w:p>
    <w:p>
      <w:pPr>
        <w:rPr>
          <w:rFonts w:hint="eastAsia" w:ascii="仿宋_GB2312" w:hAnsi="仿宋_GB2312" w:eastAsia="仿宋_GB2312" w:cs="仿宋_GB2312"/>
          <w:b/>
          <w:color w:val="auto"/>
          <w:sz w:val="32"/>
          <w:szCs w:val="20"/>
          <w:highlight w:val="none"/>
        </w:rPr>
      </w:pPr>
    </w:p>
    <w:p>
      <w:pPr>
        <w:pStyle w:val="2"/>
        <w:rPr>
          <w:rFonts w:hint="eastAsia" w:ascii="仿宋_GB2312" w:hAnsi="仿宋_GB2312" w:eastAsia="仿宋_GB2312" w:cs="仿宋_GB2312"/>
          <w:b/>
          <w:color w:val="auto"/>
          <w:sz w:val="32"/>
          <w:szCs w:val="20"/>
          <w:highlight w:val="none"/>
        </w:rPr>
      </w:pPr>
    </w:p>
    <w:p>
      <w:pPr>
        <w:rPr>
          <w:rFonts w:hint="eastAsia" w:ascii="仿宋_GB2312" w:hAnsi="仿宋_GB2312" w:eastAsia="仿宋_GB2312" w:cs="仿宋_GB2312"/>
          <w:b/>
          <w:color w:val="auto"/>
          <w:sz w:val="32"/>
          <w:szCs w:val="20"/>
          <w:highlight w:val="none"/>
        </w:rPr>
      </w:pPr>
    </w:p>
    <w:bookmarkEnd w:id="10"/>
    <w:p>
      <w:pPr>
        <w:adjustRightInd/>
        <w:spacing w:line="360" w:lineRule="auto"/>
        <w:ind w:firstLine="3845" w:firstLineChars="1197"/>
        <w:outlineLvl w:val="0"/>
        <w:rPr>
          <w:rFonts w:hint="eastAsia" w:ascii="仿宋_GB2312" w:hAnsi="仿宋_GB2312" w:eastAsia="仿宋_GB2312" w:cs="仿宋_GB2312"/>
          <w:b/>
          <w:color w:val="auto"/>
          <w:sz w:val="32"/>
          <w:szCs w:val="20"/>
          <w:highlight w:val="none"/>
        </w:rPr>
      </w:pPr>
      <w:bookmarkStart w:id="11" w:name="_Toc164416483"/>
      <w:bookmarkStart w:id="12" w:name="第三部分"/>
    </w:p>
    <w:p>
      <w:pPr>
        <w:adjustRightInd/>
        <w:spacing w:line="360" w:lineRule="auto"/>
        <w:ind w:firstLine="3845" w:firstLineChars="1197"/>
        <w:outlineLvl w:val="0"/>
        <w:rPr>
          <w:rFonts w:hint="eastAsia"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一、总则</w:t>
      </w:r>
    </w:p>
    <w:p>
      <w:pPr>
        <w:snapToGrid w:val="0"/>
        <w:spacing w:line="360" w:lineRule="auto"/>
        <w:ind w:firstLine="361" w:firstLineChars="150"/>
        <w:jc w:val="left"/>
        <w:outlineLvl w:val="1"/>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 适用范围</w:t>
      </w:r>
    </w:p>
    <w:p>
      <w:pPr>
        <w:snapToGrid w:val="0"/>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   2.定义</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 “采购人”系指招标公告中载明的本项目的采购人。</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 “采购机构”系指招标公告中载明的本项目的采购机构。</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 “投标人”系指是指响应招标、参加投标竞争的法人、其他组织或者自然人。</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 “▲”系指实质性要求条款，“★”系产品采购项目中单一产品或核心产品，“</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4"/>
          <w:highlight w:val="none"/>
        </w:rPr>
        <w:t>”系指适用本项目的要求，“</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4"/>
          <w:highlight w:val="none"/>
        </w:rPr>
        <w:t>”系指不适用本项目的要求。</w:t>
      </w:r>
    </w:p>
    <w:p>
      <w:pPr>
        <w:spacing w:line="360" w:lineRule="auto"/>
        <w:ind w:firstLine="241" w:firstLineChars="1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3.采购项目需要落实的政府采购政策</w:t>
      </w:r>
    </w:p>
    <w:p>
      <w:pPr>
        <w:spacing w:line="360" w:lineRule="auto"/>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 支持绿色发展</w:t>
      </w:r>
    </w:p>
    <w:p>
      <w:pPr>
        <w:spacing w:line="360" w:lineRule="auto"/>
        <w:ind w:firstLine="480"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3.3支持中小企业发展</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Cs/>
          <w:color w:val="auto"/>
          <w:sz w:val="24"/>
          <w:highlight w:val="none"/>
        </w:rPr>
        <w:t>3.3.2</w:t>
      </w:r>
      <w:r>
        <w:rPr>
          <w:rFonts w:hint="eastAsia" w:ascii="仿宋_GB2312" w:hAnsi="仿宋_GB2312" w:eastAsia="仿宋_GB2312" w:cs="仿宋_GB2312"/>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w:t>
      </w:r>
      <w:r>
        <w:rPr>
          <w:rFonts w:hint="eastAsia" w:ascii="仿宋_GB2312" w:hAnsi="仿宋_GB2312" w:eastAsia="仿宋_GB2312" w:cs="仿宋_GB2312"/>
          <w:bCs/>
          <w:color w:val="auto"/>
          <w:sz w:val="24"/>
          <w:highlight w:val="none"/>
        </w:rPr>
        <w:t>支持创新发展</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3.4.1 采购人优先采购被认定为首台套产品和“制造精品”的自主创新产品。</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b/>
          <w:color w:val="auto"/>
          <w:sz w:val="24"/>
          <w:highlight w:val="none"/>
        </w:rPr>
        <w:t>4. 询问、质疑、投诉</w:t>
      </w:r>
    </w:p>
    <w:p>
      <w:pPr>
        <w:autoSpaceDE w:val="0"/>
        <w:autoSpaceDN w:val="0"/>
        <w:spacing w:line="360" w:lineRule="auto"/>
        <w:ind w:firstLine="240"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4.1供应商询问</w:t>
      </w:r>
    </w:p>
    <w:p>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4.2供应商质疑</w:t>
      </w:r>
    </w:p>
    <w:p>
      <w:pPr>
        <w:pStyle w:val="33"/>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4.2</w:t>
      </w:r>
      <w:r>
        <w:rPr>
          <w:rFonts w:hint="eastAsia" w:ascii="仿宋_GB2312" w:hAnsi="仿宋_GB2312" w:eastAsia="仿宋_GB2312" w:cs="仿宋_GB2312"/>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4.2</w:t>
      </w:r>
      <w:r>
        <w:rPr>
          <w:rFonts w:hint="eastAsia" w:ascii="仿宋_GB2312" w:hAnsi="仿宋_GB2312" w:eastAsia="仿宋_GB2312" w:cs="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仿宋_GB2312" w:hAnsi="仿宋_GB2312" w:eastAsia="仿宋_GB2312" w:cs="仿宋_GB2312"/>
          <w:color w:val="auto"/>
          <w:kern w:val="2"/>
          <w:sz w:val="24"/>
          <w:highlight w:val="none"/>
        </w:rPr>
      </w:pPr>
      <w:r>
        <w:rPr>
          <w:rFonts w:hint="eastAsia" w:ascii="仿宋_GB2312" w:hAnsi="仿宋_GB2312" w:eastAsia="仿宋_GB2312" w:cs="仿宋_GB2312"/>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4.2.2.3对采购结果提出质疑的，质疑期限自采购结果公告期限届满之日起计算。</w:t>
      </w:r>
    </w:p>
    <w:p>
      <w:pPr>
        <w:pStyle w:val="33"/>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4.2.3</w:t>
      </w:r>
      <w:r>
        <w:rPr>
          <w:rFonts w:hint="eastAsia" w:ascii="仿宋_GB2312" w:hAnsi="仿宋_GB2312" w:eastAsia="仿宋_GB2312" w:cs="仿宋_GB2312"/>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4.2.3.1供应商的姓名或者名称、地址、邮编、联系人及联系电话；</w:t>
      </w:r>
    </w:p>
    <w:p>
      <w:pPr>
        <w:pStyle w:val="33"/>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4.2.3.2质疑项目的名称、编号；</w:t>
      </w:r>
    </w:p>
    <w:p>
      <w:pPr>
        <w:pStyle w:val="33"/>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4.2.3.3具体、明确的质疑事项和与质疑事项相关的请求；</w:t>
      </w:r>
    </w:p>
    <w:p>
      <w:pPr>
        <w:pStyle w:val="33"/>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4.2.3.4事实依据；</w:t>
      </w:r>
    </w:p>
    <w:p>
      <w:pPr>
        <w:pStyle w:val="33"/>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4.2.3.5必要的法律依据；</w:t>
      </w:r>
    </w:p>
    <w:p>
      <w:pPr>
        <w:pStyle w:val="33"/>
        <w:spacing w:line="360" w:lineRule="auto"/>
        <w:ind w:firstLine="960" w:firstLineChars="4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4.2.3.6提出质疑的日期。</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质疑函范本及制作说明详见附件2。</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zh-CN"/>
        </w:rPr>
        <w:t>4.2</w:t>
      </w:r>
      <w:r>
        <w:rPr>
          <w:rFonts w:hint="eastAsia" w:ascii="仿宋_GB2312" w:hAnsi="仿宋_GB2312" w:eastAsia="仿宋_GB2312" w:cs="仿宋_GB2312"/>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zh-CN"/>
        </w:rPr>
        <w:t>4.2</w:t>
      </w:r>
      <w:r>
        <w:rPr>
          <w:rFonts w:hint="eastAsia" w:ascii="仿宋_GB2312" w:hAnsi="仿宋_GB2312" w:eastAsia="仿宋_GB2312" w:cs="仿宋_GB2312"/>
          <w:color w:val="auto"/>
          <w:highlight w:val="none"/>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4.3供应商投诉</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4.3.</w:t>
      </w:r>
      <w:r>
        <w:rPr>
          <w:rFonts w:hint="eastAsia" w:ascii="仿宋_GB2312" w:hAnsi="仿宋_GB2312" w:eastAsia="仿宋_GB2312" w:cs="仿宋_GB2312"/>
          <w:color w:val="auto"/>
          <w:highlight w:val="none"/>
          <w:lang w:val="zh-CN"/>
        </w:rPr>
        <w:t>2</w:t>
      </w:r>
      <w:r>
        <w:rPr>
          <w:rFonts w:hint="eastAsia" w:ascii="仿宋_GB2312" w:hAnsi="仿宋_GB2312" w:eastAsia="仿宋_GB2312" w:cs="仿宋_GB2312"/>
          <w:color w:val="auto"/>
          <w:highlight w:val="none"/>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4.3.3供应商投诉应当有明确的请求和必要的证明材料。</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4.3.5 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投诉书范本及制作说明详见附件3。</w:t>
      </w:r>
    </w:p>
    <w:p>
      <w:pPr>
        <w:pStyle w:val="86"/>
        <w:snapToGrid w:val="0"/>
        <w:spacing w:before="0"/>
        <w:ind w:firstLine="360"/>
        <w:rPr>
          <w:rFonts w:hint="eastAsia" w:ascii="仿宋_GB2312" w:hAnsi="仿宋_GB2312" w:eastAsia="仿宋_GB2312" w:cs="仿宋_GB2312"/>
          <w:color w:val="auto"/>
          <w:sz w:val="18"/>
          <w:szCs w:val="18"/>
          <w:highlight w:val="none"/>
        </w:rPr>
      </w:pPr>
    </w:p>
    <w:p>
      <w:pPr>
        <w:adjustRightInd/>
        <w:spacing w:line="360" w:lineRule="auto"/>
        <w:jc w:val="center"/>
        <w:outlineLvl w:val="0"/>
        <w:rPr>
          <w:rFonts w:hint="eastAsia"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 xml:space="preserve">      二、招标文件的构成、澄清、修改</w:t>
      </w:r>
    </w:p>
    <w:p>
      <w:pPr>
        <w:pStyle w:val="33"/>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5．招标文件的构成</w:t>
      </w:r>
    </w:p>
    <w:p>
      <w:pPr>
        <w:pStyle w:val="33"/>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 招标文件包括下列文件及附件：</w:t>
      </w:r>
    </w:p>
    <w:p>
      <w:pPr>
        <w:pStyle w:val="33"/>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5.1.1招标公告；</w:t>
      </w:r>
    </w:p>
    <w:p>
      <w:pPr>
        <w:pStyle w:val="33"/>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5.1.2投标人须知；</w:t>
      </w:r>
    </w:p>
    <w:p>
      <w:pPr>
        <w:pStyle w:val="33"/>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5.1.3采购需求；</w:t>
      </w:r>
    </w:p>
    <w:p>
      <w:pPr>
        <w:pStyle w:val="33"/>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5.1.4评标办法；</w:t>
      </w:r>
    </w:p>
    <w:p>
      <w:pPr>
        <w:pStyle w:val="33"/>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5.1.5拟签订的合同文本；</w:t>
      </w:r>
    </w:p>
    <w:p>
      <w:pPr>
        <w:pStyle w:val="33"/>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5.1.6</w:t>
      </w:r>
      <w:r>
        <w:rPr>
          <w:rFonts w:hint="eastAsia" w:ascii="仿宋_GB2312" w:hAnsi="仿宋_GB2312" w:eastAsia="仿宋_GB2312" w:cs="仿宋_GB2312"/>
          <w:color w:val="auto"/>
          <w:sz w:val="24"/>
          <w:szCs w:val="24"/>
          <w:highlight w:val="none"/>
        </w:rPr>
        <w:t>应提交的有关格式范例。</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5.2与本项目有关的</w:t>
      </w:r>
      <w:r>
        <w:rPr>
          <w:rFonts w:hint="eastAsia" w:ascii="仿宋_GB2312" w:hAnsi="仿宋_GB2312" w:eastAsia="仿宋_GB2312" w:cs="仿宋_GB2312"/>
          <w:bCs/>
          <w:color w:val="auto"/>
          <w:sz w:val="24"/>
          <w:highlight w:val="none"/>
        </w:rPr>
        <w:t>澄清或者修改的内容为招标文件的组成部分</w:t>
      </w:r>
      <w:r>
        <w:rPr>
          <w:rFonts w:hint="eastAsia" w:ascii="仿宋_GB2312" w:hAnsi="仿宋_GB2312" w:eastAsia="仿宋_GB2312" w:cs="仿宋_GB2312"/>
          <w:color w:val="auto"/>
          <w:sz w:val="24"/>
          <w:highlight w:val="none"/>
        </w:rPr>
        <w:t>。</w:t>
      </w:r>
    </w:p>
    <w:p>
      <w:pPr>
        <w:pStyle w:val="33"/>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6. 招标文件的澄清、修改</w:t>
      </w:r>
    </w:p>
    <w:p>
      <w:pPr>
        <w:pStyle w:val="8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6.1已获取招标文件的潜在投标人，若有问题需要澄清，应于投标截止时间前，以书面形式向采购机构提出。</w:t>
      </w:r>
    </w:p>
    <w:p>
      <w:pPr>
        <w:pStyle w:val="8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_GB2312" w:hAnsi="仿宋_GB2312" w:eastAsia="仿宋_GB2312" w:cs="仿宋_GB2312"/>
          <w:color w:val="auto"/>
          <w:sz w:val="18"/>
          <w:szCs w:val="18"/>
          <w:highlight w:val="none"/>
          <w:lang w:val="en-US"/>
        </w:rPr>
      </w:pPr>
    </w:p>
    <w:p>
      <w:pPr>
        <w:adjustRightInd/>
        <w:spacing w:line="360" w:lineRule="auto"/>
        <w:jc w:val="center"/>
        <w:outlineLvl w:val="0"/>
        <w:rPr>
          <w:rFonts w:hint="eastAsia" w:ascii="仿宋_GB2312" w:hAnsi="仿宋_GB2312" w:eastAsia="仿宋_GB2312" w:cs="仿宋_GB2312"/>
          <w:b/>
          <w:color w:val="auto"/>
          <w:sz w:val="30"/>
          <w:szCs w:val="20"/>
          <w:highlight w:val="none"/>
        </w:rPr>
      </w:pPr>
      <w:r>
        <w:rPr>
          <w:rFonts w:hint="eastAsia" w:ascii="仿宋_GB2312" w:hAnsi="仿宋_GB2312" w:eastAsia="仿宋_GB2312" w:cs="仿宋_GB2312"/>
          <w:b/>
          <w:color w:val="auto"/>
          <w:sz w:val="30"/>
          <w:szCs w:val="20"/>
          <w:highlight w:val="none"/>
        </w:rPr>
        <w:t>三、投标</w:t>
      </w:r>
    </w:p>
    <w:p>
      <w:pPr>
        <w:pStyle w:val="33"/>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7. 招标文件的获取</w:t>
      </w:r>
    </w:p>
    <w:p>
      <w:pPr>
        <w:spacing w:line="360" w:lineRule="auto"/>
        <w:ind w:firstLine="480" w:firstLineChars="200"/>
        <w:rPr>
          <w:rFonts w:hint="eastAsia"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详见招标公告中获取招标文件的时间期限、地点、方式及招标文件售价。</w:t>
      </w:r>
    </w:p>
    <w:p>
      <w:pPr>
        <w:pStyle w:val="33"/>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8.开标前答疑会或现场考察</w:t>
      </w:r>
    </w:p>
    <w:p>
      <w:pPr>
        <w:pStyle w:val="33"/>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kern w:val="28"/>
          <w:sz w:val="24"/>
          <w:szCs w:val="24"/>
          <w:highlight w:val="none"/>
        </w:rPr>
        <w:t>9.投标保证金</w:t>
      </w:r>
    </w:p>
    <w:p>
      <w:pPr>
        <w:pStyle w:val="5"/>
        <w:spacing w:line="360" w:lineRule="auto"/>
        <w:ind w:firstLine="470" w:firstLineChars="196"/>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本项目不需缴纳投标保证金。</w:t>
      </w:r>
    </w:p>
    <w:p>
      <w:pPr>
        <w:pStyle w:val="33"/>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10. 投标文件的语言</w:t>
      </w:r>
    </w:p>
    <w:p>
      <w:pPr>
        <w:autoSpaceDE w:val="0"/>
        <w:autoSpaceDN w:val="0"/>
        <w:spacing w:line="360" w:lineRule="auto"/>
        <w:ind w:firstLine="480" w:firstLineChars="2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投标文件及投标人与采购有关的来往通知、函件和文件均应使用中文。</w:t>
      </w:r>
    </w:p>
    <w:p>
      <w:pPr>
        <w:pStyle w:val="33"/>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11. 投标文件的组成</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w:t>
      </w:r>
      <w:r>
        <w:rPr>
          <w:rFonts w:hint="eastAsia" w:ascii="仿宋_GB2312" w:hAnsi="仿宋_GB2312" w:eastAsia="仿宋_GB2312" w:cs="仿宋_GB2312"/>
          <w:b/>
          <w:color w:val="auto"/>
          <w:sz w:val="24"/>
          <w:highlight w:val="none"/>
        </w:rPr>
        <w:t>资格文件</w:t>
      </w:r>
      <w:r>
        <w:rPr>
          <w:rFonts w:hint="eastAsia" w:ascii="仿宋_GB2312" w:hAnsi="仿宋_GB2312" w:eastAsia="仿宋_GB2312" w:cs="仿宋_GB2312"/>
          <w:color w:val="auto"/>
          <w:sz w:val="24"/>
          <w:highlight w:val="none"/>
        </w:rPr>
        <w:t>：</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11.1.2落实政府采购政策需满足的资格要求；</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11.1.3本项目的特定资格要求。</w:t>
      </w:r>
    </w:p>
    <w:p>
      <w:pPr>
        <w:snapToGrid w:val="0"/>
        <w:spacing w:line="360" w:lineRule="auto"/>
        <w:ind w:firstLine="480" w:firstLineChars="2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11.</w:t>
      </w:r>
      <w:r>
        <w:rPr>
          <w:rFonts w:hint="eastAsia" w:ascii="仿宋_GB2312" w:hAnsi="仿宋_GB2312" w:eastAsia="仿宋_GB2312" w:cs="仿宋_GB2312"/>
          <w:color w:val="auto"/>
          <w:sz w:val="24"/>
          <w:highlight w:val="none"/>
        </w:rPr>
        <w:t>2商务技术</w:t>
      </w:r>
      <w:r>
        <w:rPr>
          <w:rFonts w:hint="eastAsia" w:ascii="仿宋_GB2312" w:hAnsi="仿宋_GB2312" w:eastAsia="仿宋_GB2312" w:cs="仿宋_GB2312"/>
          <w:color w:val="auto"/>
          <w:sz w:val="24"/>
          <w:highlight w:val="none"/>
          <w:lang w:val="zh-CN"/>
        </w:rPr>
        <w:t>文件：</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11.2.1投标函；</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11.2.3联合协议；</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11.2.4分包意向协议；</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11.2.5符合性审查资料；</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11.2.6评标标准相应的商务技术资料；</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11.2.7商务技术偏离表；</w:t>
      </w:r>
    </w:p>
    <w:p>
      <w:pPr>
        <w:snapToGrid w:val="0"/>
        <w:spacing w:line="360" w:lineRule="auto"/>
        <w:ind w:firstLine="960" w:firstLineChars="4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11.</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lang w:val="zh-CN"/>
        </w:rPr>
        <w:t>政府采购供应商廉洁自律承诺书；</w:t>
      </w:r>
    </w:p>
    <w:p>
      <w:pPr>
        <w:pStyle w:val="2"/>
        <w:ind w:left="664" w:leftChars="316" w:firstLine="228" w:firstLineChars="95"/>
        <w:rPr>
          <w:rFonts w:hint="eastAsia"/>
          <w:color w:val="auto"/>
          <w:highlight w:val="none"/>
          <w:lang w:val="zh-CN"/>
        </w:rPr>
      </w:pPr>
      <w:r>
        <w:rPr>
          <w:rFonts w:hint="default" w:ascii="仿宋_GB2312" w:hAnsi="仿宋_GB2312" w:eastAsia="仿宋_GB2312" w:cs="仿宋_GB2312"/>
          <w:b w:val="0"/>
          <w:bCs w:val="0"/>
          <w:color w:val="auto"/>
          <w:kern w:val="2"/>
          <w:sz w:val="24"/>
          <w:szCs w:val="24"/>
          <w:highlight w:val="none"/>
          <w:lang w:val="zh-CN" w:eastAsia="zh-CN" w:bidi="ar-SA"/>
        </w:rPr>
        <w:t>11.2.</w:t>
      </w:r>
      <w:r>
        <w:rPr>
          <w:rFonts w:hint="eastAsia" w:hAnsi="仿宋_GB2312" w:cs="仿宋_GB2312"/>
          <w:b w:val="0"/>
          <w:bCs w:val="0"/>
          <w:color w:val="auto"/>
          <w:kern w:val="2"/>
          <w:sz w:val="24"/>
          <w:szCs w:val="24"/>
          <w:highlight w:val="none"/>
          <w:lang w:val="en-US" w:eastAsia="zh-CN" w:bidi="ar-SA"/>
        </w:rPr>
        <w:t>9</w:t>
      </w:r>
      <w:r>
        <w:rPr>
          <w:rFonts w:hint="default" w:ascii="仿宋_GB2312" w:hAnsi="仿宋_GB2312" w:eastAsia="仿宋_GB2312" w:cs="仿宋_GB2312"/>
          <w:b w:val="0"/>
          <w:bCs w:val="0"/>
          <w:color w:val="auto"/>
          <w:kern w:val="2"/>
          <w:sz w:val="24"/>
          <w:szCs w:val="24"/>
          <w:highlight w:val="none"/>
          <w:lang w:val="zh-CN" w:eastAsia="zh-CN" w:bidi="ar-SA"/>
        </w:rPr>
        <w:t>投标</w:t>
      </w:r>
      <w:r>
        <w:rPr>
          <w:rFonts w:hint="default" w:ascii="仿宋_GB2312" w:hAnsi="仿宋_GB2312" w:eastAsia="仿宋_GB2312" w:cs="仿宋_GB2312"/>
          <w:b w:val="0"/>
          <w:bCs w:val="0"/>
          <w:color w:val="auto"/>
          <w:kern w:val="2"/>
          <w:sz w:val="24"/>
          <w:szCs w:val="24"/>
          <w:highlight w:val="none"/>
          <w:lang w:val="en-US" w:eastAsia="zh-CN" w:bidi="ar-SA"/>
        </w:rPr>
        <w:t>人</w:t>
      </w:r>
      <w:r>
        <w:rPr>
          <w:rFonts w:hint="default" w:ascii="仿宋_GB2312" w:hAnsi="仿宋_GB2312" w:eastAsia="仿宋_GB2312" w:cs="仿宋_GB2312"/>
          <w:b w:val="0"/>
          <w:bCs w:val="0"/>
          <w:color w:val="auto"/>
          <w:kern w:val="2"/>
          <w:sz w:val="24"/>
          <w:szCs w:val="24"/>
          <w:highlight w:val="none"/>
          <w:lang w:val="zh-CN" w:eastAsia="zh-CN" w:bidi="ar-SA"/>
        </w:rPr>
        <w:t>认为需要的其他文件资料</w:t>
      </w:r>
      <w:r>
        <w:rPr>
          <w:rFonts w:hint="default" w:ascii="仿宋_GB2312" w:hAnsi="仿宋" w:eastAsia="仿宋_GB2312" w:cs="仿宋_GB2312"/>
          <w:color w:val="auto"/>
          <w:sz w:val="24"/>
          <w:szCs w:val="20"/>
          <w:highlight w:val="none"/>
          <w:lang w:val="zh-CN" w:eastAsia="zh-CN"/>
        </w:rPr>
        <w:t>（如有）</w:t>
      </w:r>
      <w:r>
        <w:rPr>
          <w:rFonts w:hint="eastAsia" w:cs="仿宋_GB2312"/>
          <w:color w:val="auto"/>
          <w:sz w:val="24"/>
          <w:szCs w:val="20"/>
          <w:highlight w:val="none"/>
          <w:lang w:val="zh-CN" w:eastAsia="zh-CN"/>
        </w:rPr>
        <w:t>。</w:t>
      </w:r>
    </w:p>
    <w:p>
      <w:pPr>
        <w:snapToGrid w:val="0"/>
        <w:spacing w:line="360" w:lineRule="auto"/>
        <w:ind w:firstLine="480" w:firstLineChars="200"/>
        <w:rPr>
          <w:rFonts w:hint="eastAsia" w:ascii="仿宋_GB2312" w:hAnsi="仿宋_GB2312" w:eastAsia="仿宋_GB2312" w:cs="仿宋_GB2312"/>
          <w:color w:val="auto"/>
          <w:sz w:val="24"/>
          <w:highlight w:val="none"/>
          <w:u w:val="single"/>
          <w:lang w:val="zh-CN"/>
        </w:rPr>
      </w:pPr>
      <w:r>
        <w:rPr>
          <w:rFonts w:hint="eastAsia" w:ascii="仿宋_GB2312" w:hAnsi="仿宋_GB2312" w:eastAsia="仿宋_GB2312" w:cs="仿宋_GB2312"/>
          <w:color w:val="auto"/>
          <w:kern w:val="0"/>
          <w:sz w:val="24"/>
          <w:highlight w:val="none"/>
          <w:lang w:val="zh-CN"/>
        </w:rPr>
        <w:t>11.</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b/>
          <w:color w:val="auto"/>
          <w:sz w:val="24"/>
          <w:highlight w:val="none"/>
        </w:rPr>
        <w:t>报价文件：</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11.3.1开标一览表（报价表）；</w:t>
      </w:r>
    </w:p>
    <w:p>
      <w:pPr>
        <w:snapToGrid w:val="0"/>
        <w:spacing w:line="360" w:lineRule="auto"/>
        <w:ind w:firstLine="960" w:firstLineChars="4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11.3.</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中小企业声明函</w:t>
      </w:r>
      <w:r>
        <w:rPr>
          <w:rFonts w:hint="eastAsia" w:ascii="仿宋_GB2312" w:hAnsi="仿宋_GB2312" w:eastAsia="仿宋_GB2312" w:cs="仿宋_GB2312"/>
          <w:color w:val="auto"/>
          <w:sz w:val="24"/>
          <w:highlight w:val="none"/>
          <w:lang w:eastAsia="zh-CN"/>
        </w:rPr>
        <w:t>；</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11.3.3</w:t>
      </w:r>
      <w:r>
        <w:rPr>
          <w:rFonts w:hint="default" w:ascii="仿宋_GB2312" w:hAnsi="仿宋" w:eastAsia="仿宋_GB2312" w:cs="仿宋_GB2312"/>
          <w:color w:val="auto"/>
          <w:sz w:val="24"/>
          <w:highlight w:val="none"/>
        </w:rPr>
        <w:t>投标人针对报价需要说明的其他文件和说明</w:t>
      </w:r>
      <w:r>
        <w:rPr>
          <w:rFonts w:hint="default" w:ascii="仿宋_GB2312" w:hAnsi="仿宋" w:eastAsia="仿宋_GB2312" w:cs="仿宋_GB2312"/>
          <w:color w:val="auto"/>
          <w:sz w:val="24"/>
          <w:highlight w:val="none"/>
          <w:lang w:eastAsia="zh-CN"/>
        </w:rPr>
        <w:t>（如有）</w:t>
      </w:r>
      <w:r>
        <w:rPr>
          <w:rFonts w:hint="eastAsia" w:ascii="仿宋_GB2312" w:hAnsi="仿宋_GB2312" w:eastAsia="仿宋_GB2312" w:cs="仿宋_GB2312"/>
          <w:color w:val="auto"/>
          <w:sz w:val="24"/>
          <w:highlight w:val="none"/>
        </w:rPr>
        <w:t>。</w:t>
      </w:r>
    </w:p>
    <w:p>
      <w:pPr>
        <w:spacing w:line="360" w:lineRule="auto"/>
        <w:ind w:firstLine="723" w:firstLineChars="3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投标文件含有采购人不能接受的附加条件的，投标无效；</w:t>
      </w:r>
    </w:p>
    <w:p>
      <w:pPr>
        <w:spacing w:line="360" w:lineRule="auto"/>
        <w:ind w:firstLine="723" w:firstLineChars="300"/>
        <w:rPr>
          <w:rFonts w:hint="eastAsia" w:ascii="仿宋_GB2312" w:hAnsi="仿宋_GB2312" w:eastAsia="仿宋_GB2312" w:cs="仿宋_GB2312"/>
          <w:b/>
          <w:color w:val="auto"/>
          <w:sz w:val="24"/>
          <w:szCs w:val="21"/>
          <w:highlight w:val="none"/>
        </w:rPr>
      </w:pPr>
      <w:r>
        <w:rPr>
          <w:rFonts w:hint="eastAsia" w:ascii="仿宋_GB2312" w:hAnsi="仿宋_GB2312" w:eastAsia="仿宋_GB2312" w:cs="仿宋_GB2312"/>
          <w:b/>
          <w:color w:val="auto"/>
          <w:sz w:val="24"/>
          <w:highlight w:val="none"/>
        </w:rPr>
        <w:t>投标人提供虚假材料投标的，投标无效。</w:t>
      </w:r>
    </w:p>
    <w:p>
      <w:pPr>
        <w:pStyle w:val="86"/>
        <w:snapToGrid w:val="0"/>
        <w:spacing w:before="0"/>
        <w:ind w:firstLine="0" w:firstLineChars="0"/>
        <w:outlineLvl w:val="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12</w:t>
      </w:r>
      <w:r>
        <w:rPr>
          <w:rFonts w:hint="eastAsia" w:ascii="仿宋_GB2312" w:hAnsi="仿宋_GB2312" w:eastAsia="仿宋_GB2312" w:cs="仿宋_GB2312"/>
          <w:b/>
          <w:color w:val="auto"/>
          <w:kern w:val="0"/>
          <w:szCs w:val="24"/>
          <w:highlight w:val="none"/>
          <w:lang w:val="zh-CN"/>
        </w:rPr>
        <w:t xml:space="preserve">. </w:t>
      </w:r>
      <w:r>
        <w:rPr>
          <w:rFonts w:hint="eastAsia" w:ascii="仿宋_GB2312" w:hAnsi="仿宋_GB2312" w:eastAsia="仿宋_GB2312" w:cs="仿宋_GB2312"/>
          <w:b/>
          <w:color w:val="auto"/>
          <w:szCs w:val="24"/>
          <w:highlight w:val="none"/>
        </w:rPr>
        <w:t>投标文件的编制</w:t>
      </w:r>
    </w:p>
    <w:p>
      <w:pPr>
        <w:spacing w:line="360" w:lineRule="auto"/>
        <w:ind w:firstLine="480"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13.投标文件的签署、盖章</w:t>
      </w:r>
    </w:p>
    <w:p>
      <w:pPr>
        <w:pStyle w:val="86"/>
        <w:snapToGrid w:val="0"/>
        <w:spacing w:before="0"/>
        <w:ind w:firstLine="480"/>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szCs w:val="24"/>
          <w:highlight w:val="none"/>
        </w:rPr>
        <w:t>13.1投标文件按照招标文件第六部分格式要</w:t>
      </w:r>
      <w:r>
        <w:rPr>
          <w:rFonts w:hint="eastAsia" w:ascii="仿宋_GB2312" w:hAnsi="仿宋_GB2312" w:eastAsia="仿宋_GB2312" w:cs="仿宋_GB2312"/>
          <w:color w:val="auto"/>
          <w:highlight w:val="none"/>
        </w:rPr>
        <w:t>求进行签署、盖章。</w:t>
      </w:r>
      <w:r>
        <w:rPr>
          <w:rFonts w:hint="eastAsia" w:ascii="仿宋_GB2312" w:hAnsi="仿宋_GB2312" w:eastAsia="仿宋_GB2312" w:cs="仿宋_GB2312"/>
          <w:b/>
          <w:color w:val="auto"/>
          <w:highlight w:val="none"/>
        </w:rPr>
        <w:t>▲投标人的投标文件未按照招标文件要求签署、盖章的，其投标无效</w:t>
      </w:r>
      <w:r>
        <w:rPr>
          <w:rFonts w:hint="eastAsia" w:ascii="仿宋_GB2312" w:hAnsi="仿宋_GB2312" w:eastAsia="仿宋_GB2312" w:cs="仿宋_GB2312"/>
          <w:color w:val="auto"/>
          <w:szCs w:val="24"/>
          <w:highlight w:val="none"/>
        </w:rPr>
        <w:t>。</w:t>
      </w:r>
    </w:p>
    <w:p>
      <w:pPr>
        <w:pStyle w:val="8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highlight w:val="none"/>
        </w:rPr>
        <w:t>13.3招标文件对投标文件签署、盖章的要求适用于电子签名。</w:t>
      </w:r>
    </w:p>
    <w:p>
      <w:pPr>
        <w:pStyle w:val="86"/>
        <w:spacing w:before="0"/>
        <w:ind w:firstLine="0" w:firstLineChars="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14. 投标文件的提交、补充、修改、撤回</w:t>
      </w:r>
    </w:p>
    <w:p>
      <w:pPr>
        <w:pStyle w:val="86"/>
        <w:ind w:firstLine="48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15.备份投标文件</w:t>
      </w:r>
    </w:p>
    <w:p>
      <w:pPr>
        <w:pStyle w:val="33"/>
        <w:spacing w:line="360" w:lineRule="auto"/>
        <w:ind w:firstLine="360" w:firstLineChars="15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_GB2312" w:eastAsia="仿宋_GB2312" w:cs="仿宋_GB2312"/>
          <w:b/>
          <w:color w:val="auto"/>
          <w:sz w:val="24"/>
          <w:szCs w:val="24"/>
          <w:highlight w:val="none"/>
        </w:rPr>
        <w:t>但采购人、采购机构不强制或变相强制投标人提交备份投标文件。</w:t>
      </w:r>
    </w:p>
    <w:p>
      <w:pPr>
        <w:pStyle w:val="33"/>
        <w:spacing w:line="360" w:lineRule="auto"/>
        <w:ind w:firstLine="480"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15.2备份投标文件须在“政采云投标客户端”制作生成，并储存在</w:t>
      </w:r>
      <w:r>
        <w:rPr>
          <w:rFonts w:hint="eastAsia" w:ascii="仿宋_GB2312" w:hAnsi="仿宋_GB2312" w:eastAsia="仿宋_GB2312" w:cs="仿宋_GB2312"/>
          <w:color w:val="auto"/>
          <w:sz w:val="24"/>
          <w:highlight w:val="none"/>
        </w:rPr>
        <w:t>DVD光盘或U【】盘</w:t>
      </w:r>
      <w:r>
        <w:rPr>
          <w:rFonts w:hint="eastAsia" w:ascii="仿宋_GB2312" w:hAnsi="仿宋_GB2312" w:eastAsia="仿宋_GB2312" w:cs="仿宋_GB2312"/>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_GB2312" w:eastAsia="仿宋_GB2312" w:cs="仿宋_GB2312"/>
          <w:b/>
          <w:color w:val="auto"/>
          <w:sz w:val="24"/>
          <w:highlight w:val="none"/>
        </w:rPr>
        <w:t>不符合上述制作、</w:t>
      </w:r>
      <w:r>
        <w:rPr>
          <w:rFonts w:hint="eastAsia" w:ascii="仿宋_GB2312" w:hAnsi="仿宋_GB2312" w:eastAsia="仿宋_GB2312" w:cs="仿宋_GB2312"/>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3"/>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15.5投标人仅提交备份投标文件，没有在电子交易平台传输递交投标文件的，投标无效。</w:t>
      </w:r>
    </w:p>
    <w:p>
      <w:pPr>
        <w:pStyle w:val="86"/>
        <w:spacing w:before="0"/>
        <w:ind w:firstLine="0" w:firstLineChars="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16.投标文件的无效处理</w:t>
      </w:r>
    </w:p>
    <w:p>
      <w:pPr>
        <w:pStyle w:val="25"/>
        <w:spacing w:line="360" w:lineRule="auto"/>
        <w:ind w:firstLine="360"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有招标文件第四部分</w:t>
      </w:r>
      <w:r>
        <w:rPr>
          <w:rFonts w:hint="eastAsia" w:ascii="仿宋_GB2312" w:hAnsi="仿宋_GB2312" w:eastAsia="仿宋_GB2312" w:cs="仿宋_GB2312"/>
          <w:color w:val="auto"/>
          <w:highlight w:val="none"/>
        </w:rPr>
        <w:t>第13项规定</w:t>
      </w:r>
      <w:r>
        <w:rPr>
          <w:rFonts w:hint="eastAsia" w:ascii="仿宋_GB2312" w:hAnsi="仿宋_GB2312" w:eastAsia="仿宋_GB2312" w:cs="仿宋_GB2312"/>
          <w:color w:val="auto"/>
          <w:szCs w:val="21"/>
          <w:highlight w:val="none"/>
        </w:rPr>
        <w:t>的情形之一的，投标无效：</w:t>
      </w:r>
    </w:p>
    <w:p>
      <w:pPr>
        <w:pStyle w:val="86"/>
        <w:spacing w:before="0"/>
        <w:ind w:firstLine="0" w:firstLineChars="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17.投标有效期</w:t>
      </w:r>
    </w:p>
    <w:p>
      <w:pPr>
        <w:spacing w:line="360" w:lineRule="auto"/>
        <w:ind w:firstLine="480" w:firstLineChars="200"/>
        <w:rPr>
          <w:rFonts w:hint="eastAsia" w:ascii="仿宋_GB2312" w:hAnsi="仿宋_GB2312" w:eastAsia="仿宋_GB2312" w:cs="仿宋_GB2312"/>
          <w:b/>
          <w:color w:val="auto"/>
          <w:sz w:val="24"/>
          <w:szCs w:val="21"/>
          <w:highlight w:val="none"/>
        </w:rPr>
      </w:pPr>
      <w:r>
        <w:rPr>
          <w:rFonts w:hint="eastAsia" w:ascii="仿宋_GB2312" w:hAnsi="仿宋_GB2312" w:eastAsia="仿宋_GB2312" w:cs="仿宋_GB2312"/>
          <w:color w:val="auto"/>
          <w:sz w:val="24"/>
          <w:szCs w:val="20"/>
          <w:highlight w:val="none"/>
        </w:rPr>
        <w:t>17.1投标有效期为从提交投标文件的截止之日起90天。▲</w:t>
      </w:r>
      <w:r>
        <w:rPr>
          <w:rFonts w:hint="eastAsia" w:ascii="仿宋_GB2312" w:hAnsi="仿宋_GB2312" w:eastAsia="仿宋_GB2312" w:cs="仿宋_GB2312"/>
          <w:b/>
          <w:color w:val="auto"/>
          <w:sz w:val="24"/>
          <w:szCs w:val="20"/>
          <w:highlight w:val="none"/>
        </w:rPr>
        <w:t>投标人的投标文件中承</w:t>
      </w:r>
      <w:r>
        <w:rPr>
          <w:rFonts w:hint="eastAsia" w:ascii="仿宋_GB2312" w:hAnsi="仿宋_GB2312" w:eastAsia="仿宋_GB2312" w:cs="仿宋_GB2312"/>
          <w:b/>
          <w:color w:val="auto"/>
          <w:sz w:val="24"/>
          <w:szCs w:val="21"/>
          <w:highlight w:val="none"/>
        </w:rPr>
        <w:t>诺的投标有效期少于招标文件中载明的投标有效期的，投标无效。</w:t>
      </w:r>
    </w:p>
    <w:p>
      <w:pPr>
        <w:pStyle w:val="86"/>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17.2投标文件合格投递后，自投标截止日期起，在投标有效期内有效。</w:t>
      </w:r>
    </w:p>
    <w:p>
      <w:pPr>
        <w:pStyle w:val="86"/>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hint="eastAsia" w:ascii="仿宋_GB2312" w:hAnsi="仿宋_GB2312" w:eastAsia="仿宋_GB2312" w:cs="仿宋_GB2312"/>
          <w:b/>
          <w:color w:val="auto"/>
          <w:sz w:val="32"/>
          <w:highlight w:val="none"/>
        </w:rPr>
      </w:pPr>
    </w:p>
    <w:p>
      <w:pPr>
        <w:pStyle w:val="86"/>
        <w:spacing w:before="0"/>
        <w:ind w:firstLine="1928" w:firstLineChars="600"/>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四、开标、资格审查与信用信息查询</w:t>
      </w:r>
    </w:p>
    <w:p>
      <w:pPr>
        <w:pStyle w:val="240"/>
        <w:spacing w:before="0" w:line="360" w:lineRule="auto"/>
        <w:ind w:left="0" w:firstLine="241" w:firstLineChars="100"/>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szCs w:val="24"/>
          <w:highlight w:val="none"/>
        </w:rPr>
        <w:t>18.开标</w:t>
      </w:r>
    </w:p>
    <w:p>
      <w:pPr>
        <w:pStyle w:val="240"/>
        <w:spacing w:before="0" w:line="360" w:lineRule="auto"/>
        <w:ind w:left="0" w:firstLine="480" w:firstLineChars="200"/>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　18.3</w:t>
      </w:r>
      <w:r>
        <w:rPr>
          <w:rFonts w:hint="eastAsia" w:ascii="仿宋_GB2312" w:hAnsi="仿宋_GB2312"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_GB2312" w:hAnsi="仿宋_GB2312" w:eastAsia="仿宋_GB2312" w:cs="仿宋_GB2312"/>
          <w:b/>
          <w:color w:val="auto"/>
          <w:sz w:val="24"/>
          <w:szCs w:val="20"/>
          <w:highlight w:val="none"/>
        </w:rPr>
      </w:pPr>
      <w:r>
        <w:rPr>
          <w:rFonts w:hint="eastAsia" w:ascii="仿宋_GB2312" w:hAnsi="仿宋_GB2312" w:eastAsia="仿宋_GB2312" w:cs="仿宋_GB2312"/>
          <w:b/>
          <w:color w:val="auto"/>
          <w:sz w:val="24"/>
          <w:szCs w:val="20"/>
          <w:highlight w:val="none"/>
        </w:rPr>
        <w:t>　19、资格审查</w:t>
      </w:r>
    </w:p>
    <w:p>
      <w:pPr>
        <w:pStyle w:val="86"/>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19.2</w:t>
      </w:r>
      <w:r>
        <w:rPr>
          <w:rFonts w:hint="eastAsia" w:ascii="仿宋_GB2312" w:hAnsi="仿宋_GB2312" w:eastAsia="仿宋_GB2312" w:cs="仿宋_GB2312"/>
          <w:color w:val="auto"/>
          <w:sz w:val="24"/>
          <w:highlight w:val="none"/>
        </w:rPr>
        <w:t>采购人或采购机构依据法律法规和招标文件的规定，对投标人的基本资格条件、特定资格条件进行审查。</w:t>
      </w:r>
    </w:p>
    <w:p>
      <w:pPr>
        <w:pStyle w:val="86"/>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Cs w:val="24"/>
          <w:highlight w:val="none"/>
        </w:rPr>
        <w:t>19.3投标人未按照招标文件要求提供与</w:t>
      </w:r>
      <w:r>
        <w:rPr>
          <w:rFonts w:hint="eastAsia" w:ascii="仿宋_GB2312" w:hAnsi="仿宋_GB2312" w:eastAsia="仿宋_GB2312" w:cs="仿宋_GB2312"/>
          <w:color w:val="auto"/>
          <w:highlight w:val="none"/>
        </w:rPr>
        <w:t>基本资格条件、特定资格条件相应的</w:t>
      </w:r>
      <w:r>
        <w:rPr>
          <w:rFonts w:hint="eastAsia" w:ascii="仿宋_GB2312" w:hAnsi="仿宋_GB2312" w:eastAsia="仿宋_GB2312" w:cs="仿宋_GB2312"/>
          <w:color w:val="auto"/>
          <w:kern w:val="0"/>
          <w:szCs w:val="24"/>
          <w:highlight w:val="none"/>
        </w:rPr>
        <w:t>有效资格证明材料的，视为</w:t>
      </w:r>
      <w:r>
        <w:rPr>
          <w:rFonts w:hint="eastAsia" w:ascii="仿宋_GB2312" w:hAnsi="仿宋_GB2312" w:eastAsia="仿宋_GB2312" w:cs="仿宋_GB2312"/>
          <w:color w:val="auto"/>
          <w:highlight w:val="none"/>
        </w:rPr>
        <w:t>投标人不具备招标文件中规定的资格要求，其投标无效。</w:t>
      </w:r>
    </w:p>
    <w:p>
      <w:pPr>
        <w:pStyle w:val="86"/>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Cs w:val="24"/>
          <w:highlight w:val="none"/>
        </w:rPr>
        <w:t>19.</w:t>
      </w:r>
      <w:r>
        <w:rPr>
          <w:rFonts w:hint="eastAsia" w:ascii="仿宋_GB2312" w:hAnsi="仿宋_GB2312" w:eastAsia="仿宋_GB2312" w:cs="仿宋_GB2312"/>
          <w:color w:val="auto"/>
          <w:highlight w:val="none"/>
        </w:rPr>
        <w:t>4对未通过资格审查的投标人，采购人或采购机构告知其未通过的原因。</w:t>
      </w:r>
    </w:p>
    <w:p>
      <w:pPr>
        <w:pStyle w:val="86"/>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Cs w:val="24"/>
          <w:highlight w:val="none"/>
        </w:rPr>
        <w:t>19.</w:t>
      </w:r>
      <w:r>
        <w:rPr>
          <w:rFonts w:hint="eastAsia" w:ascii="仿宋_GB2312" w:hAnsi="仿宋_GB2312" w:eastAsia="仿宋_GB2312" w:cs="仿宋_GB2312"/>
          <w:color w:val="auto"/>
          <w:highlight w:val="none"/>
        </w:rPr>
        <w:t>5合格投标人不足3家的，不再评标。</w:t>
      </w:r>
    </w:p>
    <w:p>
      <w:pPr>
        <w:pStyle w:val="86"/>
        <w:spacing w:before="0"/>
        <w:ind w:firstLine="0" w:firstLineChars="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20、信用信息查询</w:t>
      </w:r>
    </w:p>
    <w:p>
      <w:pPr>
        <w:pStyle w:val="86"/>
        <w:spacing w:before="0"/>
        <w:ind w:firstLine="495" w:firstLineChars="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6"/>
        <w:spacing w:before="0"/>
        <w:ind w:firstLine="495" w:firstLineChars="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20.2信用信息查询记录和证据留存的具体方式：现场查询的投标人的信用记录、查询结果经确认后将与采购文件一起存档。</w:t>
      </w:r>
    </w:p>
    <w:p>
      <w:pPr>
        <w:pStyle w:val="86"/>
        <w:spacing w:before="0"/>
        <w:ind w:firstLine="495" w:firstLineChars="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color w:val="auto"/>
          <w:highlight w:val="none"/>
        </w:rPr>
        <w:t>。</w:t>
      </w:r>
    </w:p>
    <w:p>
      <w:pPr>
        <w:pStyle w:val="86"/>
        <w:spacing w:before="0"/>
        <w:ind w:firstLine="0" w:firstLineChars="0"/>
        <w:rPr>
          <w:rFonts w:hint="eastAsia" w:ascii="仿宋_GB2312" w:hAnsi="仿宋_GB2312" w:eastAsia="仿宋_GB2312" w:cs="仿宋_GB2312"/>
          <w:color w:val="auto"/>
          <w:kern w:val="0"/>
          <w:szCs w:val="24"/>
          <w:highlight w:val="none"/>
        </w:rPr>
      </w:pPr>
    </w:p>
    <w:p>
      <w:pPr>
        <w:snapToGrid w:val="0"/>
        <w:spacing w:line="360" w:lineRule="auto"/>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五、评标</w:t>
      </w:r>
    </w:p>
    <w:p>
      <w:pPr>
        <w:spacing w:line="360" w:lineRule="auto"/>
        <w:rPr>
          <w:rFonts w:hint="eastAsia" w:ascii="仿宋_GB2312" w:hAnsi="仿宋_GB2312" w:eastAsia="仿宋_GB2312" w:cs="仿宋_GB2312"/>
          <w:b/>
          <w:color w:val="auto"/>
          <w:sz w:val="24"/>
          <w:highlight w:val="none"/>
        </w:rPr>
      </w:pPr>
      <w:bookmarkStart w:id="13" w:name="_Toc91899903"/>
      <w:r>
        <w:rPr>
          <w:rFonts w:hint="eastAsia" w:ascii="仿宋_GB2312" w:hAnsi="仿宋_GB2312" w:eastAsia="仿宋_GB2312" w:cs="仿宋_GB2312"/>
          <w:b/>
          <w:color w:val="auto"/>
          <w:sz w:val="24"/>
          <w:highlight w:val="none"/>
        </w:rPr>
        <w:t>21.</w:t>
      </w:r>
      <w:r>
        <w:rPr>
          <w:rFonts w:hint="eastAsia" w:ascii="仿宋_GB2312" w:hAnsi="仿宋_GB2312"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color w:val="auto"/>
          <w:sz w:val="24"/>
          <w:highlight w:val="none"/>
        </w:rPr>
        <w:t>详见招标文件第四部分评标办法。</w:t>
      </w:r>
    </w:p>
    <w:p>
      <w:pPr>
        <w:spacing w:line="360" w:lineRule="auto"/>
        <w:rPr>
          <w:rFonts w:hint="eastAsia" w:ascii="仿宋_GB2312" w:hAnsi="仿宋_GB2312" w:eastAsia="仿宋_GB2312" w:cs="仿宋_GB2312"/>
          <w:b/>
          <w:color w:val="auto"/>
          <w:sz w:val="24"/>
          <w:highlight w:val="none"/>
        </w:rPr>
      </w:pPr>
    </w:p>
    <w:p>
      <w:pPr>
        <w:snapToGrid w:val="0"/>
        <w:spacing w:line="360" w:lineRule="auto"/>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六、定标</w:t>
      </w:r>
    </w:p>
    <w:p>
      <w:pPr>
        <w:pStyle w:val="25"/>
        <w:spacing w:line="360" w:lineRule="auto"/>
        <w:ind w:left="479" w:hanging="479" w:hangingChars="199"/>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22. 确定中标供应商</w:t>
      </w:r>
    </w:p>
    <w:p>
      <w:pPr>
        <w:pStyle w:val="86"/>
        <w:snapToGrid w:val="0"/>
        <w:spacing w:before="0"/>
        <w:ind w:firstLine="480"/>
        <w:rPr>
          <w:rFonts w:hint="eastAsia" w:ascii="仿宋_GB2312" w:hAnsi="仿宋_GB2312" w:eastAsia="仿宋_GB2312" w:cs="仿宋_GB2312"/>
          <w:b/>
          <w:color w:val="auto"/>
          <w:szCs w:val="24"/>
          <w:highlight w:val="none"/>
        </w:rPr>
      </w:pPr>
      <w:r>
        <w:rPr>
          <w:rFonts w:hint="eastAsia" w:ascii="仿宋_GB2312" w:hAnsi="仿宋" w:eastAsia="仿宋_GB2312" w:cs="仿宋_GB2312"/>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_GB2312" w:hAnsi="仿宋_GB2312" w:eastAsia="仿宋_GB2312" w:cs="仿宋_GB2312"/>
          <w:color w:val="auto"/>
          <w:szCs w:val="24"/>
          <w:highlight w:val="none"/>
        </w:rPr>
        <w:t>。</w:t>
      </w:r>
    </w:p>
    <w:p>
      <w:pPr>
        <w:pStyle w:val="86"/>
        <w:snapToGrid w:val="0"/>
        <w:spacing w:before="0"/>
        <w:ind w:firstLine="0" w:firstLineChars="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23. 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_GB2312" w:hAnsi="仿宋_GB2312" w:eastAsia="仿宋_GB2312" w:cs="仿宋_GB2312"/>
          <w:color w:val="auto"/>
          <w:sz w:val="24"/>
          <w:highlight w:val="none"/>
        </w:rPr>
      </w:pPr>
      <w:r>
        <w:rPr>
          <w:rFonts w:ascii="仿宋_GB2312" w:hAnsi="仿宋" w:eastAsia="仿宋_GB2312" w:cs="仿宋_GB2312"/>
          <w:color w:val="auto"/>
          <w:sz w:val="24"/>
          <w:highlight w:val="none"/>
        </w:rPr>
        <w:t>23.3公告期限为1个工作日</w:t>
      </w:r>
      <w:r>
        <w:rPr>
          <w:rFonts w:hint="eastAsia" w:ascii="仿宋_GB2312" w:hAnsi="仿宋_GB2312" w:eastAsia="仿宋_GB2312" w:cs="仿宋_GB2312"/>
          <w:color w:val="auto"/>
          <w:sz w:val="24"/>
          <w:highlight w:val="none"/>
        </w:rPr>
        <w:t>。</w:t>
      </w:r>
    </w:p>
    <w:p>
      <w:pPr>
        <w:snapToGrid w:val="0"/>
        <w:spacing w:line="360" w:lineRule="auto"/>
        <w:ind w:left="120" w:leftChars="57" w:firstLine="482" w:firstLineChars="150"/>
        <w:jc w:val="center"/>
        <w:rPr>
          <w:rFonts w:hint="eastAsia" w:ascii="仿宋_GB2312" w:hAnsi="仿宋_GB2312" w:eastAsia="仿宋_GB2312" w:cs="仿宋_GB2312"/>
          <w:b/>
          <w:color w:val="auto"/>
          <w:sz w:val="32"/>
          <w:highlight w:val="none"/>
        </w:rPr>
      </w:pPr>
    </w:p>
    <w:p>
      <w:pPr>
        <w:snapToGrid w:val="0"/>
        <w:spacing w:line="360" w:lineRule="auto"/>
        <w:ind w:left="120" w:leftChars="57" w:firstLine="482" w:firstLineChars="150"/>
        <w:jc w:val="center"/>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七、合同授予</w:t>
      </w:r>
    </w:p>
    <w:p>
      <w:pPr>
        <w:pStyle w:val="25"/>
        <w:spacing w:line="360" w:lineRule="auto"/>
        <w:ind w:left="479" w:hanging="479" w:hangingChars="199"/>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 xml:space="preserve">24. </w:t>
      </w:r>
      <w:r>
        <w:rPr>
          <w:rFonts w:hint="eastAsia" w:ascii="仿宋_GB2312" w:hAnsi="仿宋_GB2312" w:eastAsia="仿宋_GB2312" w:cs="仿宋_GB2312"/>
          <w:color w:val="auto"/>
          <w:highlight w:val="none"/>
        </w:rPr>
        <w:t>合同主要条款详见第五部分拟签订的合同文本。</w:t>
      </w:r>
    </w:p>
    <w:p>
      <w:pPr>
        <w:pStyle w:val="25"/>
        <w:spacing w:line="360" w:lineRule="auto"/>
        <w:ind w:left="479" w:hanging="479" w:hangingChars="199"/>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25. 合同的签订</w:t>
      </w:r>
    </w:p>
    <w:p>
      <w:pPr>
        <w:widowControl/>
        <w:shd w:val="clear" w:color="auto" w:fill="FFFFFF"/>
        <w:spacing w:line="360" w:lineRule="auto"/>
        <w:ind w:firstLine="48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25.1</w:t>
      </w:r>
      <w:r>
        <w:rPr>
          <w:rFonts w:hint="eastAsia" w:ascii="仿宋_GB2312" w:hAnsi="仿宋_GB2312" w:eastAsia="仿宋_GB2312" w:cs="仿宋_GB2312"/>
          <w:color w:val="auto"/>
          <w:kern w:val="0"/>
          <w:sz w:val="24"/>
          <w:highlight w:val="none"/>
        </w:rPr>
        <w:t xml:space="preserve"> </w:t>
      </w:r>
      <w:r>
        <w:rPr>
          <w:rFonts w:ascii="仿宋_GB2312" w:hAnsi="仿宋" w:eastAsia="仿宋_GB2312" w:cs="Arial"/>
          <w:color w:val="auto"/>
          <w:kern w:val="0"/>
          <w:sz w:val="24"/>
          <w:highlight w:val="none"/>
        </w:rPr>
        <w:t>采购人与中标人应当通过电子交易平台在中标通知书发出之日起</w:t>
      </w:r>
      <w:r>
        <w:rPr>
          <w:rFonts w:hint="eastAsia" w:ascii="仿宋_GB2312" w:hAnsi="仿宋" w:eastAsia="仿宋_GB2312" w:cs="Arial"/>
          <w:color w:val="auto"/>
          <w:kern w:val="0"/>
          <w:sz w:val="24"/>
          <w:highlight w:val="none"/>
          <w:lang w:eastAsia="zh-CN"/>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86"/>
        <w:snapToGrid w:val="0"/>
        <w:spacing w:before="0"/>
        <w:ind w:firstLine="48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25.3如签订合同并生效后，供应商无故拒绝或延期，除按照合同条款处理外，列入不良行为记录一次，并给予通报。</w:t>
      </w:r>
    </w:p>
    <w:p>
      <w:pPr>
        <w:pStyle w:val="8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26. 履约保证金</w:t>
      </w:r>
    </w:p>
    <w:p>
      <w:pPr>
        <w:tabs>
          <w:tab w:val="left" w:pos="0"/>
        </w:tabs>
        <w:spacing w:line="360" w:lineRule="auto"/>
        <w:ind w:firstLine="482"/>
        <w:rPr>
          <w:rFonts w:hint="eastAsia" w:ascii="仿宋_GB2312" w:hAnsi="仿宋_GB2312" w:eastAsia="仿宋_GB2312" w:cs="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r>
        <w:rPr>
          <w:rFonts w:hint="eastAsia" w:ascii="仿宋_GB2312" w:hAnsi="仿宋_GB2312" w:eastAsia="仿宋_GB2312" w:cs="仿宋_GB2312"/>
          <w:b/>
          <w:color w:val="auto"/>
          <w:sz w:val="24"/>
          <w:highlight w:val="none"/>
        </w:rPr>
        <w:t>。</w:t>
      </w:r>
    </w:p>
    <w:p>
      <w:pPr>
        <w:pStyle w:val="2"/>
        <w:ind w:left="0" w:firstLine="480" w:firstLineChars="200"/>
        <w:rPr>
          <w:rFonts w:hint="eastAsia" w:ascii="仿宋_GB2312" w:hAnsi="仿宋_GB2312" w:eastAsia="仿宋_GB2312" w:cs="仿宋_GB2312"/>
          <w:color w:val="auto"/>
          <w:highlight w:val="none"/>
          <w:lang w:val="en-US"/>
        </w:rPr>
      </w:pPr>
      <w:r>
        <w:rPr>
          <w:rFonts w:hint="eastAsia" w:ascii="仿宋_GB2312" w:hAnsi="仿宋_GB2312" w:eastAsia="仿宋_GB2312" w:cs="仿宋_GB2312"/>
          <w:b w:val="0"/>
          <w:bCs w:val="0"/>
          <w:snapToGrid w:val="0"/>
          <w:color w:val="auto"/>
          <w:kern w:val="28"/>
          <w:sz w:val="24"/>
          <w:highlight w:val="none"/>
        </w:rPr>
        <w:t>供应商</w:t>
      </w:r>
      <w:r>
        <w:rPr>
          <w:rFonts w:hint="eastAsia" w:ascii="仿宋_GB2312" w:hAnsi="仿宋_GB2312" w:eastAsia="仿宋_GB2312" w:cs="仿宋_GB2312"/>
          <w:b w:val="0"/>
          <w:bCs w:val="0"/>
          <w:snapToGrid w:val="0"/>
          <w:color w:val="auto"/>
          <w:kern w:val="28"/>
          <w:sz w:val="24"/>
          <w:highlight w:val="none"/>
          <w:lang w:val="en-US"/>
        </w:rPr>
        <w:t>可</w:t>
      </w:r>
      <w:r>
        <w:rPr>
          <w:rFonts w:hint="eastAsia" w:ascii="仿宋_GB2312" w:hAnsi="仿宋_GB2312" w:eastAsia="仿宋_GB2312" w:cs="仿宋_GB2312"/>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_GB2312" w:eastAsia="仿宋_GB2312" w:cs="仿宋_GB2312"/>
          <w:b/>
          <w:color w:val="auto"/>
          <w:sz w:val="32"/>
          <w:highlight w:val="none"/>
        </w:rPr>
      </w:pPr>
    </w:p>
    <w:p>
      <w:pPr>
        <w:snapToGrid w:val="0"/>
        <w:spacing w:line="360" w:lineRule="auto"/>
        <w:ind w:firstLine="3357" w:firstLineChars="1045"/>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32"/>
          <w:highlight w:val="none"/>
        </w:rPr>
        <w:t>八、电子交易活动的中止</w:t>
      </w:r>
    </w:p>
    <w:p>
      <w:pPr>
        <w:pStyle w:val="86"/>
        <w:snapToGrid w:val="0"/>
        <w:spacing w:before="0"/>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b/>
          <w:color w:val="auto"/>
          <w:szCs w:val="24"/>
          <w:highlight w:val="none"/>
        </w:rPr>
        <w:t>7. 电子交易活动的中止。</w:t>
      </w:r>
      <w:r>
        <w:rPr>
          <w:rFonts w:hint="eastAsia" w:ascii="仿宋_GB2312" w:hAnsi="仿宋_GB2312"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27.1电子交易平台发生故障而无法登录访问的； </w:t>
      </w:r>
    </w:p>
    <w:p>
      <w:pPr>
        <w:pStyle w:val="8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27.2电子交易平台应用或数据库出现错误，不能进行正常操作的；</w:t>
      </w:r>
    </w:p>
    <w:p>
      <w:pPr>
        <w:pStyle w:val="8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27.3电子交易平台发现严重安全漏洞，有潜在泄密危险的；</w:t>
      </w:r>
    </w:p>
    <w:p>
      <w:pPr>
        <w:pStyle w:val="8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27.4病毒发作导致不能进行正常操作的； </w:t>
      </w:r>
    </w:p>
    <w:p>
      <w:pPr>
        <w:pStyle w:val="8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27.5其他无法保证电子交易的公平、公正和安全的情况。</w:t>
      </w:r>
    </w:p>
    <w:p>
      <w:pPr>
        <w:pStyle w:val="86"/>
        <w:snapToGrid w:val="0"/>
        <w:spacing w:before="0"/>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九、验收</w:t>
      </w:r>
    </w:p>
    <w:p>
      <w:pPr>
        <w:pStyle w:val="25"/>
        <w:spacing w:line="360" w:lineRule="auto"/>
        <w:ind w:firstLine="0" w:firstLineChars="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29.验收</w:t>
      </w:r>
    </w:p>
    <w:p>
      <w:pPr>
        <w:tabs>
          <w:tab w:val="left" w:pos="0"/>
        </w:tabs>
        <w:spacing w:line="360" w:lineRule="auto"/>
        <w:ind w:firstLine="48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_GB2312" w:hAnsi="仿宋_GB2312" w:eastAsia="仿宋_GB2312" w:cs="仿宋_GB2312"/>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75236290"/>
      <w:bookmarkEnd w:id="15"/>
      <w:bookmarkStart w:id="16" w:name="_Hlt68057669"/>
      <w:bookmarkEnd w:id="16"/>
      <w:bookmarkStart w:id="17" w:name="_Hlt68073093"/>
      <w:bookmarkEnd w:id="17"/>
      <w:bookmarkStart w:id="18" w:name="_Hlt75236011"/>
      <w:bookmarkEnd w:id="18"/>
      <w:bookmarkStart w:id="19" w:name="_Hlt68403820"/>
      <w:bookmarkEnd w:id="19"/>
      <w:bookmarkStart w:id="20" w:name="_Hlt74729768"/>
      <w:bookmarkEnd w:id="20"/>
      <w:bookmarkStart w:id="21" w:name="_Hlt74714665"/>
      <w:bookmarkEnd w:id="21"/>
      <w:bookmarkStart w:id="22" w:name="_Hlt74707468"/>
      <w:bookmarkEnd w:id="22"/>
      <w:bookmarkStart w:id="23" w:name="_Hlt75236101"/>
      <w:bookmarkEnd w:id="23"/>
      <w:bookmarkStart w:id="24" w:name="_Hlt74730295"/>
      <w:bookmarkEnd w:id="24"/>
      <w:bookmarkStart w:id="25" w:name="_Hlt68072990"/>
      <w:bookmarkEnd w:id="25"/>
    </w:p>
    <w:bookmarkEnd w:id="11"/>
    <w:bookmarkEnd w:id="12"/>
    <w:p>
      <w:pPr>
        <w:spacing w:line="360" w:lineRule="auto"/>
        <w:jc w:val="center"/>
        <w:outlineLvl w:val="0"/>
        <w:rPr>
          <w:rFonts w:hint="eastAsia" w:ascii="仿宋_GB2312" w:hAnsi="仿宋_GB2312" w:eastAsia="仿宋_GB2312" w:cs="仿宋_GB2312"/>
          <w:b/>
          <w:color w:val="auto"/>
          <w:sz w:val="36"/>
          <w:szCs w:val="36"/>
          <w:highlight w:val="none"/>
        </w:rPr>
      </w:pPr>
      <w:bookmarkStart w:id="26" w:name="第四部分"/>
      <w:r>
        <w:rPr>
          <w:rFonts w:hint="eastAsia" w:ascii="仿宋_GB2312" w:hAnsi="仿宋_GB2312" w:eastAsia="仿宋_GB2312" w:cs="仿宋_GB2312"/>
          <w:b/>
          <w:color w:val="auto"/>
          <w:sz w:val="36"/>
          <w:szCs w:val="36"/>
          <w:highlight w:val="none"/>
        </w:rPr>
        <w:t>第三部分采购需求</w:t>
      </w:r>
    </w:p>
    <w:p>
      <w:pPr>
        <w:tabs>
          <w:tab w:val="left" w:pos="6300"/>
        </w:tabs>
        <w:adjustRightInd w:val="0"/>
        <w:snapToGrid w:val="0"/>
        <w:spacing w:line="360" w:lineRule="auto"/>
        <w:rPr>
          <w:rFonts w:ascii="宋体" w:hAnsi="宋体"/>
          <w:b/>
          <w:color w:val="auto"/>
          <w:sz w:val="24"/>
          <w:highlight w:val="none"/>
        </w:rPr>
      </w:pPr>
      <w:r>
        <w:rPr>
          <w:rFonts w:ascii="宋体" w:hAnsi="宋体"/>
          <w:b/>
          <w:bCs/>
          <w:color w:val="auto"/>
          <w:sz w:val="24"/>
          <w:highlight w:val="none"/>
        </w:rPr>
        <w:t>一、</w:t>
      </w:r>
      <w:r>
        <w:rPr>
          <w:rFonts w:ascii="宋体" w:hAnsi="宋体"/>
          <w:b/>
          <w:color w:val="auto"/>
          <w:sz w:val="24"/>
          <w:highlight w:val="none"/>
        </w:rPr>
        <w:t>项目概述</w:t>
      </w:r>
    </w:p>
    <w:p>
      <w:pPr>
        <w:bidi w:val="0"/>
        <w:ind w:firstLine="480" w:firstLineChars="200"/>
        <w:rPr>
          <w:rFonts w:hint="eastAsia" w:ascii="仿宋" w:hAnsi="仿宋" w:eastAsia="仿宋" w:cs="仿宋"/>
          <w:sz w:val="24"/>
          <w:szCs w:val="32"/>
        </w:rPr>
      </w:pPr>
      <w:r>
        <w:rPr>
          <w:rFonts w:hint="eastAsia" w:ascii="仿宋" w:hAnsi="仿宋" w:eastAsia="仿宋" w:cs="仿宋"/>
          <w:sz w:val="24"/>
          <w:szCs w:val="32"/>
        </w:rPr>
        <w:t>依托空间信息技术、工作流技术、计算机网络技术、无线通信技术等先进技术手段，实现城市部件和事件管理的数字化、网络化和空间可视化，创新城市管理模式，再造城市管理流程，建立一套科学完善的监督评价体系，并实现政府信息化建设相关资源的共享，提高城市管理水平，构建和谐社会，提升城市品位。</w:t>
      </w:r>
      <w:r>
        <w:rPr>
          <w:rFonts w:hint="eastAsia" w:ascii="仿宋" w:hAnsi="仿宋" w:eastAsia="仿宋" w:cs="仿宋"/>
          <w:sz w:val="24"/>
          <w:szCs w:val="32"/>
          <w:lang w:val="en-US" w:eastAsia="zh-CN"/>
        </w:rPr>
        <w:t>本项目</w:t>
      </w:r>
      <w:r>
        <w:rPr>
          <w:rFonts w:hint="eastAsia" w:ascii="仿宋" w:hAnsi="仿宋" w:eastAsia="仿宋" w:cs="仿宋"/>
          <w:sz w:val="24"/>
          <w:szCs w:val="32"/>
        </w:rPr>
        <w:t>信息采集是本着 “群专结合”和“政府花钱买服务”、“养事不养人”的原则，将数字城管覆盖范围内的城市事、部件委托具有信息采集、劳动和社会保障事务代理服务、劳动合作交流等人力资源项目管理和服务能力</w:t>
      </w:r>
      <w:r>
        <w:rPr>
          <w:rFonts w:hint="eastAsia" w:ascii="仿宋" w:hAnsi="仿宋" w:eastAsia="仿宋" w:cs="仿宋"/>
          <w:sz w:val="24"/>
          <w:szCs w:val="32"/>
          <w:lang w:val="en-US" w:eastAsia="zh-CN"/>
        </w:rPr>
        <w:t>且具有完善的内部管理制度</w:t>
      </w:r>
      <w:r>
        <w:rPr>
          <w:rFonts w:hint="eastAsia" w:ascii="仿宋" w:hAnsi="仿宋" w:eastAsia="仿宋" w:cs="仿宋"/>
          <w:sz w:val="24"/>
          <w:szCs w:val="32"/>
        </w:rPr>
        <w:t>的公司或事业法人单位</w:t>
      </w:r>
      <w:r>
        <w:rPr>
          <w:rFonts w:hint="eastAsia" w:ascii="仿宋" w:hAnsi="仿宋" w:eastAsia="仿宋" w:cs="仿宋"/>
          <w:sz w:val="24"/>
          <w:szCs w:val="32"/>
          <w:lang w:eastAsia="zh-CN"/>
        </w:rPr>
        <w:t>，</w:t>
      </w:r>
      <w:r>
        <w:rPr>
          <w:rFonts w:hint="eastAsia" w:ascii="仿宋" w:hAnsi="仿宋" w:eastAsia="仿宋" w:cs="仿宋"/>
          <w:sz w:val="24"/>
          <w:szCs w:val="32"/>
        </w:rPr>
        <w:t>按照</w:t>
      </w:r>
      <w:r>
        <w:rPr>
          <w:rFonts w:hint="eastAsia" w:ascii="仿宋" w:hAnsi="仿宋" w:eastAsia="仿宋" w:cs="仿宋"/>
          <w:sz w:val="24"/>
          <w:szCs w:val="32"/>
          <w:lang w:val="en-US" w:eastAsia="zh-CN"/>
        </w:rPr>
        <w:t>数字化</w:t>
      </w:r>
      <w:r>
        <w:rPr>
          <w:rFonts w:hint="eastAsia" w:ascii="仿宋" w:hAnsi="仿宋" w:eastAsia="仿宋" w:cs="仿宋"/>
          <w:sz w:val="24"/>
          <w:szCs w:val="32"/>
        </w:rPr>
        <w:t>城市</w:t>
      </w:r>
      <w:r>
        <w:rPr>
          <w:rFonts w:hint="eastAsia" w:ascii="仿宋" w:hAnsi="仿宋" w:eastAsia="仿宋" w:cs="仿宋"/>
          <w:sz w:val="24"/>
          <w:szCs w:val="32"/>
          <w:lang w:val="en-US" w:eastAsia="zh-CN"/>
        </w:rPr>
        <w:t>管理部件、</w:t>
      </w:r>
      <w:r>
        <w:rPr>
          <w:rFonts w:hint="eastAsia" w:ascii="仿宋" w:hAnsi="仿宋" w:eastAsia="仿宋" w:cs="仿宋"/>
          <w:sz w:val="24"/>
          <w:szCs w:val="32"/>
        </w:rPr>
        <w:t>事件标准、巡查监管要求</w:t>
      </w:r>
      <w:r>
        <w:rPr>
          <w:rFonts w:hint="eastAsia" w:ascii="仿宋" w:hAnsi="仿宋" w:eastAsia="仿宋" w:cs="仿宋"/>
          <w:sz w:val="24"/>
          <w:szCs w:val="32"/>
          <w:lang w:eastAsia="zh-CN"/>
        </w:rPr>
        <w:t>，</w:t>
      </w:r>
      <w:r>
        <w:rPr>
          <w:rFonts w:hint="eastAsia" w:ascii="仿宋" w:hAnsi="仿宋" w:eastAsia="仿宋" w:cs="仿宋"/>
          <w:sz w:val="24"/>
          <w:szCs w:val="32"/>
        </w:rPr>
        <w:t>并以</w:t>
      </w:r>
      <w:r>
        <w:rPr>
          <w:rFonts w:hint="eastAsia" w:ascii="仿宋" w:hAnsi="仿宋" w:eastAsia="仿宋" w:cs="仿宋"/>
          <w:sz w:val="24"/>
          <w:szCs w:val="32"/>
          <w:lang w:val="en-US" w:eastAsia="zh-CN"/>
        </w:rPr>
        <w:t>网格为</w:t>
      </w:r>
      <w:r>
        <w:rPr>
          <w:rFonts w:hint="eastAsia" w:ascii="仿宋" w:hAnsi="仿宋" w:eastAsia="仿宋" w:cs="仿宋"/>
          <w:sz w:val="24"/>
          <w:szCs w:val="32"/>
        </w:rPr>
        <w:t>基本工作区域，进行全面、公正、及时</w:t>
      </w:r>
      <w:r>
        <w:rPr>
          <w:rFonts w:hint="eastAsia" w:ascii="仿宋" w:hAnsi="仿宋" w:eastAsia="仿宋" w:cs="仿宋"/>
          <w:sz w:val="24"/>
          <w:szCs w:val="32"/>
          <w:lang w:val="en-US" w:eastAsia="zh-CN"/>
        </w:rPr>
        <w:t>和有效信息数据采集</w:t>
      </w:r>
      <w:r>
        <w:rPr>
          <w:rFonts w:hint="eastAsia" w:ascii="仿宋" w:hAnsi="仿宋" w:eastAsia="仿宋" w:cs="仿宋"/>
          <w:sz w:val="24"/>
          <w:szCs w:val="32"/>
        </w:rPr>
        <w:t>（立案）、准确传输以及核查、核实等，保证</w:t>
      </w:r>
      <w:r>
        <w:rPr>
          <w:rFonts w:hint="eastAsia" w:ascii="仿宋" w:hAnsi="仿宋" w:eastAsia="仿宋" w:cs="仿宋"/>
          <w:sz w:val="24"/>
          <w:szCs w:val="32"/>
          <w:lang w:val="en-US" w:eastAsia="zh-CN"/>
        </w:rPr>
        <w:t>城市管理</w:t>
      </w:r>
      <w:r>
        <w:rPr>
          <w:rFonts w:hint="eastAsia" w:ascii="仿宋" w:hAnsi="仿宋" w:eastAsia="仿宋" w:cs="仿宋"/>
          <w:sz w:val="24"/>
          <w:szCs w:val="32"/>
        </w:rPr>
        <w:t>问题的及时</w:t>
      </w:r>
      <w:r>
        <w:rPr>
          <w:rFonts w:hint="eastAsia" w:ascii="仿宋" w:hAnsi="仿宋" w:eastAsia="仿宋" w:cs="仿宋"/>
          <w:sz w:val="24"/>
          <w:szCs w:val="32"/>
          <w:lang w:eastAsia="zh-CN"/>
        </w:rPr>
        <w:t>、</w:t>
      </w:r>
      <w:r>
        <w:rPr>
          <w:rFonts w:hint="eastAsia" w:ascii="仿宋" w:hAnsi="仿宋" w:eastAsia="仿宋" w:cs="仿宋"/>
          <w:sz w:val="24"/>
          <w:szCs w:val="32"/>
        </w:rPr>
        <w:t>全面</w:t>
      </w:r>
      <w:r>
        <w:rPr>
          <w:rFonts w:hint="eastAsia" w:ascii="仿宋" w:hAnsi="仿宋" w:eastAsia="仿宋" w:cs="仿宋"/>
          <w:sz w:val="24"/>
          <w:szCs w:val="32"/>
          <w:lang w:val="en-US" w:eastAsia="zh-CN"/>
        </w:rPr>
        <w:t>发现</w:t>
      </w:r>
      <w:r>
        <w:rPr>
          <w:rFonts w:hint="eastAsia" w:ascii="仿宋" w:hAnsi="仿宋" w:eastAsia="仿宋" w:cs="仿宋"/>
          <w:sz w:val="24"/>
          <w:szCs w:val="32"/>
        </w:rPr>
        <w:t>。</w:t>
      </w:r>
    </w:p>
    <w:p>
      <w:pPr>
        <w:pStyle w:val="385"/>
        <w:tabs>
          <w:tab w:val="left" w:pos="6300"/>
        </w:tabs>
        <w:spacing w:after="0"/>
        <w:ind w:left="0" w:leftChars="0"/>
        <w:rPr>
          <w:rFonts w:hint="eastAsia" w:ascii="宋体" w:hAnsi="宋体"/>
          <w:b/>
          <w:bCs/>
          <w:color w:val="auto"/>
          <w:highlight w:val="none"/>
          <w:lang w:val="en-US" w:eastAsia="zh-CN"/>
        </w:rPr>
      </w:pPr>
    </w:p>
    <w:p>
      <w:pPr>
        <w:pStyle w:val="385"/>
        <w:tabs>
          <w:tab w:val="left" w:pos="6300"/>
        </w:tabs>
        <w:spacing w:after="0"/>
        <w:ind w:left="0" w:leftChars="0"/>
        <w:rPr>
          <w:rFonts w:ascii="宋体" w:hAnsi="宋体"/>
          <w:b/>
          <w:bCs/>
          <w:color w:val="auto"/>
          <w:highlight w:val="none"/>
        </w:rPr>
      </w:pPr>
      <w:r>
        <w:rPr>
          <w:rFonts w:hint="eastAsia" w:ascii="宋体" w:hAnsi="宋体"/>
          <w:b/>
          <w:bCs/>
          <w:color w:val="auto"/>
          <w:highlight w:val="none"/>
          <w:lang w:val="en-US" w:eastAsia="zh-CN"/>
        </w:rPr>
        <w:t>1.</w:t>
      </w:r>
      <w:r>
        <w:rPr>
          <w:rFonts w:ascii="宋体" w:hAnsi="宋体"/>
          <w:b/>
          <w:bCs/>
          <w:color w:val="auto"/>
          <w:highlight w:val="none"/>
        </w:rPr>
        <w:t>项目</w:t>
      </w:r>
      <w:r>
        <w:rPr>
          <w:rFonts w:hint="eastAsia" w:ascii="宋体" w:hAnsi="宋体"/>
          <w:b/>
          <w:bCs/>
          <w:color w:val="auto"/>
          <w:highlight w:val="none"/>
          <w:lang w:val="en-US" w:eastAsia="zh-CN"/>
        </w:rPr>
        <w:t>总体要求</w:t>
      </w:r>
      <w:r>
        <w:rPr>
          <w:rFonts w:ascii="宋体" w:hAnsi="宋体"/>
          <w:b/>
          <w:bCs/>
          <w:color w:val="auto"/>
          <w:highlight w:val="none"/>
        </w:rPr>
        <w:t xml:space="preserve">： </w:t>
      </w:r>
    </w:p>
    <w:tbl>
      <w:tblPr>
        <w:tblStyle w:val="6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050"/>
        <w:gridCol w:w="3853"/>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Align w:val="center"/>
          </w:tcPr>
          <w:p>
            <w:pPr>
              <w:pStyle w:val="33"/>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p>
        </w:tc>
        <w:tc>
          <w:tcPr>
            <w:tcW w:w="2050" w:type="dxa"/>
            <w:vAlign w:val="center"/>
          </w:tcPr>
          <w:p>
            <w:pPr>
              <w:pStyle w:val="33"/>
              <w:spacing w:line="360" w:lineRule="auto"/>
              <w:ind w:firstLine="720" w:firstLineChars="3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街道</w:t>
            </w:r>
          </w:p>
        </w:tc>
        <w:tc>
          <w:tcPr>
            <w:tcW w:w="3853" w:type="dxa"/>
            <w:vAlign w:val="center"/>
          </w:tcPr>
          <w:p>
            <w:pPr>
              <w:pStyle w:val="33"/>
              <w:spacing w:line="360" w:lineRule="auto"/>
              <w:ind w:firstLine="480" w:firstLine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人员配置要求</w:t>
            </w:r>
          </w:p>
        </w:tc>
        <w:tc>
          <w:tcPr>
            <w:tcW w:w="1622" w:type="dxa"/>
            <w:vAlign w:val="center"/>
          </w:tcPr>
          <w:p>
            <w:pPr>
              <w:pStyle w:val="33"/>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70" w:type="dxa"/>
            <w:vAlign w:val="center"/>
          </w:tcPr>
          <w:p>
            <w:pPr>
              <w:pStyle w:val="33"/>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2050" w:type="dxa"/>
            <w:vAlign w:val="center"/>
          </w:tcPr>
          <w:p>
            <w:pPr>
              <w:pStyle w:val="3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南苑街道、乔司街道</w:t>
            </w:r>
          </w:p>
        </w:tc>
        <w:tc>
          <w:tcPr>
            <w:tcW w:w="3853" w:type="dxa"/>
            <w:vAlign w:val="center"/>
          </w:tcPr>
          <w:p>
            <w:pPr>
              <w:pStyle w:val="33"/>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项目组人员不少于60人，其中采集员51人，管理员8人（包含宣传员1人），项目负责人1人。</w:t>
            </w:r>
          </w:p>
        </w:tc>
        <w:tc>
          <w:tcPr>
            <w:tcW w:w="1622" w:type="dxa"/>
            <w:vAlign w:val="center"/>
          </w:tcPr>
          <w:p>
            <w:pPr>
              <w:widowControl/>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auto"/>
                <w:kern w:val="0"/>
                <w:sz w:val="24"/>
                <w:szCs w:val="24"/>
                <w:highlight w:val="none"/>
                <w:u w:val="none"/>
                <w:lang w:val="en-US" w:eastAsia="zh-CN"/>
              </w:rPr>
              <w:t>726万元/两年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70" w:type="dxa"/>
            <w:vAlign w:val="center"/>
          </w:tcPr>
          <w:p>
            <w:pPr>
              <w:pStyle w:val="33"/>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2050" w:type="dxa"/>
            <w:vAlign w:val="center"/>
          </w:tcPr>
          <w:p>
            <w:pPr>
              <w:pStyle w:val="3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临平街道、东湖街道、运河街道</w:t>
            </w:r>
          </w:p>
        </w:tc>
        <w:tc>
          <w:tcPr>
            <w:tcW w:w="3853" w:type="dxa"/>
            <w:vAlign w:val="center"/>
          </w:tcPr>
          <w:p>
            <w:pPr>
              <w:pStyle w:val="3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项目组人员不少于62人，其中采集员53人，管理员8人（包含宣传员1人），项目负责人1人。</w:t>
            </w:r>
          </w:p>
        </w:tc>
        <w:tc>
          <w:tcPr>
            <w:tcW w:w="1622" w:type="dxa"/>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rPr>
              <w:t>752万元/两年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70" w:type="dxa"/>
            <w:vAlign w:val="center"/>
          </w:tcPr>
          <w:p>
            <w:pPr>
              <w:pStyle w:val="33"/>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2050" w:type="dxa"/>
            <w:vAlign w:val="center"/>
          </w:tcPr>
          <w:p>
            <w:pPr>
              <w:pStyle w:val="33"/>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星桥街道、崇贤街道、塘栖镇</w:t>
            </w:r>
          </w:p>
        </w:tc>
        <w:tc>
          <w:tcPr>
            <w:tcW w:w="3853" w:type="dxa"/>
            <w:vAlign w:val="center"/>
          </w:tcPr>
          <w:p>
            <w:pPr>
              <w:pStyle w:val="3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项目组人员不少于45人，其中采集员38人，管理员6人（包含宣传员1人），项目负责人1人。</w:t>
            </w:r>
          </w:p>
        </w:tc>
        <w:tc>
          <w:tcPr>
            <w:tcW w:w="1622" w:type="dxa"/>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rPr>
              <w:t>546万元/两年</w:t>
            </w:r>
          </w:p>
        </w:tc>
      </w:tr>
    </w:tbl>
    <w:p>
      <w:pPr>
        <w:tabs>
          <w:tab w:val="left" w:pos="6300"/>
        </w:tabs>
        <w:adjustRightInd w:val="0"/>
        <w:snapToGrid w:val="0"/>
        <w:spacing w:line="360" w:lineRule="auto"/>
        <w:rPr>
          <w:rFonts w:hint="eastAsia" w:ascii="仿宋" w:hAnsi="仿宋" w:eastAsia="仿宋" w:cs="仿宋"/>
          <w:b/>
          <w:bCs/>
          <w:color w:val="auto"/>
          <w:sz w:val="24"/>
          <w:szCs w:val="24"/>
          <w:highlight w:val="none"/>
        </w:rPr>
      </w:pPr>
    </w:p>
    <w:p>
      <w:pPr>
        <w:tabs>
          <w:tab w:val="left" w:pos="6300"/>
        </w:tabs>
        <w:adjustRightInd w:val="0"/>
        <w:snapToGrid w:val="0"/>
        <w:spacing w:line="360" w:lineRule="auto"/>
        <w:rPr>
          <w:rFonts w:ascii="宋体" w:hAnsi="宋体"/>
          <w:b/>
          <w:bCs/>
          <w:color w:val="auto"/>
          <w:sz w:val="24"/>
          <w:highlight w:val="none"/>
        </w:rPr>
        <w:sectPr>
          <w:headerReference r:id="rId9" w:type="first"/>
          <w:headerReference r:id="rId8" w:type="default"/>
          <w:footerReference r:id="rId10" w:type="default"/>
          <w:footerReference r:id="rId11" w:type="even"/>
          <w:pgSz w:w="11907" w:h="16839"/>
          <w:pgMar w:top="1304" w:right="1565" w:bottom="1247" w:left="1344" w:header="851" w:footer="992" w:gutter="0"/>
          <w:cols w:space="720" w:num="1"/>
          <w:docGrid w:type="lines" w:linePitch="312" w:charSpace="0"/>
        </w:sectPr>
      </w:pPr>
    </w:p>
    <w:p>
      <w:pPr>
        <w:tabs>
          <w:tab w:val="left" w:pos="6300"/>
        </w:tabs>
        <w:adjustRightInd w:val="0"/>
        <w:snapToGrid w:val="0"/>
        <w:spacing w:line="360" w:lineRule="auto"/>
        <w:rPr>
          <w:rFonts w:ascii="宋体" w:hAnsi="宋体"/>
          <w:b/>
          <w:bCs/>
          <w:color w:val="auto"/>
          <w:sz w:val="24"/>
          <w:highlight w:val="none"/>
        </w:rPr>
      </w:pPr>
      <w:r>
        <w:rPr>
          <w:rFonts w:hint="eastAsia" w:ascii="宋体" w:hAnsi="宋体"/>
          <w:b/>
          <w:bCs/>
          <w:color w:val="auto"/>
          <w:sz w:val="24"/>
          <w:highlight w:val="none"/>
          <w:lang w:val="en-US" w:eastAsia="zh-CN"/>
        </w:rPr>
        <w:t>2.项目</w:t>
      </w:r>
      <w:r>
        <w:rPr>
          <w:rFonts w:ascii="宋体" w:hAnsi="宋体"/>
          <w:b/>
          <w:bCs/>
          <w:color w:val="auto"/>
          <w:sz w:val="24"/>
          <w:highlight w:val="none"/>
        </w:rPr>
        <w:t>实施范围：</w:t>
      </w:r>
    </w:p>
    <w:tbl>
      <w:tblPr>
        <w:tblStyle w:val="62"/>
        <w:tblW w:w="14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845"/>
        <w:gridCol w:w="2535"/>
        <w:gridCol w:w="3060"/>
        <w:gridCol w:w="2655"/>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标段</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   单位</w:t>
            </w: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南</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西</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w:t>
            </w:r>
          </w:p>
        </w:tc>
        <w:tc>
          <w:tcPr>
            <w:tcW w:w="184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南苑街道</w:t>
            </w: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临东路</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临东路、望梅路</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望梅路</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上塘河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45" w:type="dxa"/>
            <w:vMerge w:val="continue"/>
            <w:tcBorders>
              <w:left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东湖南路</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杭甬高速</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临东路及海宁界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45" w:type="dxa"/>
            <w:vMerge w:val="continue"/>
            <w:tcBorders>
              <w:left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杭乔路</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鑫业路</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杭浦高速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4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文正街</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望梅路</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汀城路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乔司街道</w:t>
            </w: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迎宾路（不含）</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北沙港红线范围、东仁路以及沪杭高速（不含）</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世纪大道西</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望梅路（不含）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乔司港</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外翁线与01省道交叉处</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博卡路</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永玄路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东湖南路</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三卫路</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杭海路</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绕城高速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临平街道</w:t>
            </w: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临东路</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上塘河</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望梅路（上塘河至宝幢路）</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星光街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东湖街道</w:t>
            </w: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新丝路</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星光街</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304省道</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新洲路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运河街道</w:t>
            </w: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亭五线</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旺盛路东延</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东湖北路</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运溪路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禾丰港（东明桥）</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运溪路</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万寿路</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京杭运河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金锁桥</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博陆小学</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东湖北路</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京杭运河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星桥街道</w:t>
            </w: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星星路、望梅路</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临丁路、星桥南路延伸</w:t>
            </w:r>
            <w:r>
              <w:rPr>
                <w:rFonts w:hint="eastAsia" w:ascii="仿宋" w:hAnsi="仿宋" w:eastAsia="仿宋" w:cs="仿宋"/>
                <w:color w:val="auto"/>
                <w:sz w:val="24"/>
                <w:szCs w:val="24"/>
                <w:highlight w:val="none"/>
                <w:lang w:val="en-US" w:eastAsia="zh-CN"/>
              </w:rPr>
              <w:t>、宝旋路（华丰路）、星都路南延</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江干区交界处</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星发街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塘栖镇</w:t>
            </w: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塘栖路</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运溪路（不含）</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圆满路</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里仁北路（不含运河综保景区）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崇贤街道</w:t>
            </w: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崇超南路</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宣杭铁路</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丽水路</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绕城高速</w:t>
            </w:r>
          </w:p>
        </w:tc>
      </w:tr>
    </w:tbl>
    <w:p>
      <w:pPr>
        <w:tabs>
          <w:tab w:val="left" w:pos="6300"/>
        </w:tabs>
        <w:adjustRightInd w:val="0"/>
        <w:snapToGrid w:val="0"/>
        <w:spacing w:line="360" w:lineRule="auto"/>
        <w:rPr>
          <w:rFonts w:ascii="宋体" w:hAnsi="宋体"/>
          <w:b/>
          <w:bCs/>
          <w:color w:val="auto"/>
          <w:sz w:val="24"/>
          <w:highlight w:val="none"/>
        </w:rPr>
        <w:sectPr>
          <w:pgSz w:w="16839" w:h="11907" w:orient="landscape"/>
          <w:pgMar w:top="1344" w:right="1304" w:bottom="1565" w:left="1247" w:header="851" w:footer="992" w:gutter="0"/>
          <w:cols w:space="720" w:num="1"/>
          <w:docGrid w:linePitch="312" w:charSpace="0"/>
        </w:sectPr>
      </w:pPr>
    </w:p>
    <w:p>
      <w:pPr>
        <w:tabs>
          <w:tab w:val="left" w:pos="6300"/>
        </w:tabs>
        <w:adjustRightInd w:val="0"/>
        <w:snapToGrid w:val="0"/>
        <w:spacing w:line="360" w:lineRule="auto"/>
        <w:rPr>
          <w:rFonts w:ascii="宋体" w:hAnsi="宋体"/>
          <w:b/>
          <w:bCs/>
          <w:color w:val="auto"/>
          <w:sz w:val="24"/>
          <w:highlight w:val="none"/>
        </w:rPr>
      </w:pPr>
      <w:r>
        <w:rPr>
          <w:rFonts w:ascii="宋体" w:hAnsi="宋体"/>
          <w:b/>
          <w:bCs/>
          <w:color w:val="auto"/>
          <w:sz w:val="24"/>
          <w:highlight w:val="none"/>
        </w:rPr>
        <w:t>二、服务要求：</w:t>
      </w:r>
    </w:p>
    <w:p>
      <w:pPr>
        <w:pStyle w:val="25"/>
        <w:tabs>
          <w:tab w:val="left" w:pos="6300"/>
        </w:tabs>
        <w:spacing w:line="360" w:lineRule="auto"/>
        <w:ind w:firstLine="0"/>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1.项目有关要求</w:t>
      </w:r>
    </w:p>
    <w:p>
      <w:pPr>
        <w:pStyle w:val="385"/>
        <w:tabs>
          <w:tab w:val="left" w:pos="6300"/>
        </w:tabs>
        <w:spacing w:after="0"/>
        <w:ind w:left="0" w:leftChars="0" w:firstLine="434" w:firstLineChars="1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随着城市发展变化</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道路</w:t>
      </w:r>
      <w:r>
        <w:rPr>
          <w:rFonts w:hint="eastAsia" w:ascii="仿宋" w:hAnsi="仿宋" w:eastAsia="仿宋" w:cs="仿宋"/>
          <w:color w:val="auto"/>
          <w:highlight w:val="none"/>
        </w:rPr>
        <w:t>等级按需作出调整</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局部区域大小也需根据区域形态和管理要求作相应调整</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供应商在服务期内应无条件配合</w:t>
      </w:r>
      <w:r>
        <w:rPr>
          <w:rFonts w:hint="eastAsia" w:ascii="仿宋" w:hAnsi="仿宋" w:eastAsia="仿宋" w:cs="仿宋"/>
          <w:color w:val="auto"/>
          <w:highlight w:val="none"/>
          <w:lang w:eastAsia="zh-CN"/>
        </w:rPr>
        <w:t>。</w:t>
      </w:r>
    </w:p>
    <w:p>
      <w:pPr>
        <w:pStyle w:val="385"/>
        <w:tabs>
          <w:tab w:val="left" w:pos="6300"/>
        </w:tabs>
        <w:spacing w:after="0"/>
        <w:ind w:left="0" w:leftChars="0" w:firstLine="434" w:firstLineChars="1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为体现公正</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公平</w:t>
      </w:r>
      <w:r>
        <w:rPr>
          <w:rFonts w:hint="eastAsia" w:ascii="仿宋" w:hAnsi="仿宋" w:eastAsia="仿宋" w:cs="仿宋"/>
          <w:color w:val="auto"/>
          <w:highlight w:val="none"/>
        </w:rPr>
        <w:t>，有属地</w:t>
      </w:r>
      <w:r>
        <w:rPr>
          <w:rFonts w:hint="eastAsia" w:ascii="仿宋" w:hAnsi="仿宋" w:eastAsia="仿宋" w:cs="仿宋"/>
          <w:color w:val="auto"/>
          <w:highlight w:val="none"/>
          <w:lang w:val="en-US" w:eastAsia="zh-CN"/>
        </w:rPr>
        <w:t>养护</w:t>
      </w:r>
      <w:r>
        <w:rPr>
          <w:rFonts w:hint="eastAsia" w:ascii="仿宋" w:hAnsi="仿宋" w:eastAsia="仿宋" w:cs="仿宋"/>
          <w:color w:val="auto"/>
          <w:highlight w:val="none"/>
        </w:rPr>
        <w:t>职责的公司或事业法人单位，不得在当地实施采集</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工作</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否则采购人有权终止合同，产生的后果由中标人承担</w:t>
      </w:r>
      <w:r>
        <w:rPr>
          <w:rFonts w:hint="eastAsia" w:ascii="仿宋" w:hAnsi="仿宋" w:eastAsia="仿宋" w:cs="仿宋"/>
          <w:color w:val="auto"/>
          <w:highlight w:val="none"/>
          <w:lang w:eastAsia="zh-CN"/>
        </w:rPr>
        <w:t>。</w:t>
      </w:r>
    </w:p>
    <w:p>
      <w:pPr>
        <w:pStyle w:val="385"/>
        <w:tabs>
          <w:tab w:val="left" w:pos="6300"/>
        </w:tabs>
        <w:spacing w:after="0"/>
        <w:ind w:left="0" w:leftChars="0" w:firstLine="434" w:firstLineChars="1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必须考虑节假日的轮休及劳动保障方面的因素,配备</w:t>
      </w:r>
      <w:r>
        <w:rPr>
          <w:rFonts w:hint="eastAsia" w:ascii="仿宋" w:hAnsi="仿宋" w:eastAsia="仿宋" w:cs="仿宋"/>
          <w:color w:val="auto"/>
          <w:highlight w:val="none"/>
          <w:lang w:val="en-US" w:eastAsia="zh-CN"/>
        </w:rPr>
        <w:t>充足、</w:t>
      </w:r>
      <w:r>
        <w:rPr>
          <w:rFonts w:hint="eastAsia" w:ascii="仿宋" w:hAnsi="仿宋" w:eastAsia="仿宋" w:cs="仿宋"/>
          <w:color w:val="auto"/>
          <w:highlight w:val="none"/>
        </w:rPr>
        <w:t>合理的巡查人员</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以保证在岗人员数量</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超出法定工作时间</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需按相关规定支付员工加班费用</w:t>
      </w:r>
      <w:r>
        <w:rPr>
          <w:rFonts w:hint="eastAsia" w:ascii="仿宋" w:hAnsi="仿宋" w:eastAsia="仿宋" w:cs="仿宋"/>
          <w:color w:val="auto"/>
          <w:highlight w:val="none"/>
          <w:lang w:eastAsia="zh-CN"/>
        </w:rPr>
        <w:t>。</w:t>
      </w:r>
    </w:p>
    <w:p>
      <w:pPr>
        <w:pStyle w:val="385"/>
        <w:tabs>
          <w:tab w:val="left" w:pos="6300"/>
        </w:tabs>
        <w:spacing w:after="0"/>
        <w:ind w:left="0" w:leftChars="0" w:firstLine="434" w:firstLineChars="1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合同期满后</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会对</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的履约情况进行考核评估,并视情况作为下一年度是否续签的依据</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每年一签，</w:t>
      </w:r>
      <w:r>
        <w:rPr>
          <w:rFonts w:hint="eastAsia" w:ascii="仿宋" w:hAnsi="仿宋" w:eastAsia="仿宋" w:cs="仿宋"/>
          <w:color w:val="auto"/>
          <w:highlight w:val="none"/>
        </w:rPr>
        <w:t>最多可续签两年。</w:t>
      </w:r>
    </w:p>
    <w:p>
      <w:pPr>
        <w:pStyle w:val="25"/>
        <w:tabs>
          <w:tab w:val="left" w:pos="6300"/>
        </w:tabs>
        <w:spacing w:line="360" w:lineRule="auto"/>
        <w:ind w:firstLine="0"/>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服务</w:t>
      </w:r>
      <w:r>
        <w:rPr>
          <w:rFonts w:ascii="宋体" w:hAnsi="宋体" w:eastAsia="宋体"/>
          <w:b/>
          <w:color w:val="auto"/>
          <w:sz w:val="24"/>
          <w:highlight w:val="none"/>
        </w:rPr>
        <w:t>内容</w:t>
      </w:r>
      <w:r>
        <w:rPr>
          <w:rFonts w:hint="eastAsia" w:ascii="宋体" w:hAnsi="宋体" w:eastAsia="宋体"/>
          <w:b/>
          <w:color w:val="auto"/>
          <w:sz w:val="24"/>
          <w:highlight w:val="none"/>
          <w:lang w:val="en-US" w:eastAsia="zh-CN"/>
        </w:rPr>
        <w:t>及标准</w:t>
      </w:r>
    </w:p>
    <w:p>
      <w:pPr>
        <w:pStyle w:val="385"/>
        <w:tabs>
          <w:tab w:val="left" w:pos="6300"/>
        </w:tabs>
        <w:spacing w:after="0"/>
        <w:ind w:left="0" w:leftChars="0" w:firstLine="434" w:firstLineChars="181"/>
        <w:rPr>
          <w:rFonts w:hint="eastAsia" w:ascii="仿宋" w:hAnsi="仿宋" w:eastAsia="仿宋" w:cs="仿宋"/>
          <w:b/>
          <w:bCs/>
          <w:color w:val="auto"/>
          <w:highlight w:val="none"/>
        </w:rPr>
      </w:pPr>
      <w:r>
        <w:rPr>
          <w:rFonts w:hint="eastAsia" w:ascii="仿宋" w:hAnsi="仿宋" w:eastAsia="仿宋" w:cs="仿宋"/>
          <w:color w:val="auto"/>
          <w:highlight w:val="none"/>
          <w:lang w:val="en-US" w:eastAsia="zh-CN"/>
        </w:rPr>
        <w:t>（1）工作内容及质量标准：</w:t>
      </w:r>
      <w:r>
        <w:rPr>
          <w:rFonts w:hint="eastAsia" w:ascii="仿宋" w:hAnsi="仿宋" w:eastAsia="仿宋" w:cs="仿宋"/>
          <w:color w:val="auto"/>
          <w:highlight w:val="none"/>
        </w:rPr>
        <w:t>依据</w:t>
      </w:r>
      <w:r>
        <w:rPr>
          <w:rFonts w:hint="eastAsia" w:ascii="仿宋" w:hAnsi="仿宋" w:eastAsia="仿宋" w:cs="仿宋"/>
          <w:color w:val="auto"/>
          <w:highlight w:val="none"/>
          <w:lang w:val="en-US" w:eastAsia="zh-CN"/>
        </w:rPr>
        <w:t>规范要求</w:t>
      </w:r>
      <w:r>
        <w:rPr>
          <w:rFonts w:hint="eastAsia" w:ascii="仿宋" w:hAnsi="仿宋" w:eastAsia="仿宋" w:cs="仿宋"/>
          <w:color w:val="auto"/>
          <w:highlight w:val="none"/>
        </w:rPr>
        <w:t>，负责对城市事件问题动态信息及部件是否完好、变更信息的限时采集及立案操作；对热线投诉和社区联系站等途径反馈问题进行核实；对所发现问题进行结案前核查；根据城市管理工作的要求，实施全区行政区域范围内各类专项信息普查</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做好应急响应、重大活动保障以及其它采购人要求开展的有关</w:t>
      </w:r>
      <w:r>
        <w:rPr>
          <w:rFonts w:hint="eastAsia" w:ascii="仿宋" w:hAnsi="仿宋" w:eastAsia="仿宋" w:cs="仿宋"/>
          <w:color w:val="auto"/>
          <w:highlight w:val="none"/>
        </w:rPr>
        <w:t>工作。</w:t>
      </w:r>
      <w:r>
        <w:rPr>
          <w:rFonts w:hint="eastAsia" w:ascii="仿宋" w:hAnsi="仿宋" w:eastAsia="仿宋" w:cs="仿宋"/>
          <w:b/>
          <w:bCs/>
          <w:color w:val="auto"/>
          <w:highlight w:val="none"/>
        </w:rPr>
        <w:t>质量标准：数据准确率达到99%以上。</w:t>
      </w:r>
    </w:p>
    <w:p>
      <w:pPr>
        <w:tabs>
          <w:tab w:val="left" w:pos="1980"/>
        </w:tabs>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有效数据：标项一额定本项目总上报有效信息（含核查、普查数据）不少于20万件，标项二额定本项目总上报有效信息（含核查、普查数据）</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万件，标项三额定本项目总上报有效信息不少于（含核查、普查数据）15万件。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具体服从采购人需求</w:t>
      </w:r>
      <w:r>
        <w:rPr>
          <w:rFonts w:hint="eastAsia" w:ascii="仿宋" w:hAnsi="仿宋" w:eastAsia="仿宋" w:cs="仿宋"/>
          <w:color w:val="auto"/>
          <w:sz w:val="24"/>
          <w:highlight w:val="none"/>
          <w:lang w:eastAsia="zh-CN"/>
        </w:rPr>
        <w:t>）</w:t>
      </w:r>
    </w:p>
    <w:p>
      <w:pPr>
        <w:tabs>
          <w:tab w:val="left" w:pos="6300"/>
        </w:tabs>
        <w:spacing w:line="360" w:lineRule="auto"/>
        <w:ind w:firstLine="56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个标项分别报价，报价为完成本招标文件所述的服务项目内容指标所需的全部费用，即按</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要求完工的价格，包括</w:t>
      </w:r>
      <w:r>
        <w:rPr>
          <w:rFonts w:hint="eastAsia" w:ascii="仿宋" w:hAnsi="仿宋" w:eastAsia="仿宋" w:cs="仿宋"/>
          <w:color w:val="auto"/>
          <w:sz w:val="24"/>
          <w:szCs w:val="22"/>
          <w:highlight w:val="none"/>
        </w:rPr>
        <w:t>服务方案和规范制度编写费、调研费、设备（包括机动巡查车辆、办公</w:t>
      </w:r>
      <w:r>
        <w:rPr>
          <w:rFonts w:hint="eastAsia" w:ascii="仿宋" w:hAnsi="仿宋" w:eastAsia="仿宋" w:cs="仿宋"/>
          <w:color w:val="auto"/>
          <w:sz w:val="24"/>
          <w:szCs w:val="22"/>
          <w:highlight w:val="none"/>
          <w:lang w:val="en-US" w:eastAsia="zh-CN"/>
        </w:rPr>
        <w:t>及</w:t>
      </w:r>
      <w:r>
        <w:rPr>
          <w:rFonts w:hint="eastAsia" w:ascii="仿宋" w:hAnsi="仿宋" w:eastAsia="仿宋" w:cs="仿宋"/>
          <w:color w:val="auto"/>
          <w:sz w:val="24"/>
          <w:szCs w:val="22"/>
          <w:highlight w:val="none"/>
        </w:rPr>
        <w:t>应急设备等）购置维修费、方案计划评审费、培训费、信息采集费（包含采集器及其流量费）等须由投标单位支付的所有费用（包括各种人工费、机械使用费、管理、利润、税务费、必要的保险费用、必须的专用工具、辅助材料费及合同实施过程中不可预见的费用等）的总和</w:t>
      </w:r>
      <w:r>
        <w:rPr>
          <w:rFonts w:hint="eastAsia" w:ascii="仿宋" w:hAnsi="仿宋" w:eastAsia="仿宋" w:cs="仿宋"/>
          <w:color w:val="auto"/>
          <w:sz w:val="24"/>
          <w:highlight w:val="none"/>
        </w:rPr>
        <w:t>。本项目的信息采集费（包含采集器及其流量费），由中标单位向运营商采用租用或带机入网的方式（与运营商签订的合同报</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备案），采集器机型由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、中标单位、运营商在符合上述费用范围内酌情选定。</w:t>
      </w:r>
    </w:p>
    <w:p>
      <w:pPr>
        <w:tabs>
          <w:tab w:val="left" w:pos="6300"/>
        </w:tabs>
        <w:spacing w:line="360" w:lineRule="auto"/>
        <w:rPr>
          <w:rFonts w:ascii="宋体" w:hAnsi="宋体"/>
          <w:b/>
          <w:bCs/>
          <w:color w:val="auto"/>
          <w:sz w:val="24"/>
          <w:highlight w:val="none"/>
        </w:rPr>
      </w:pPr>
      <w:r>
        <w:rPr>
          <w:rFonts w:hint="eastAsia" w:ascii="宋体" w:hAnsi="宋体"/>
          <w:b/>
          <w:bCs/>
          <w:color w:val="auto"/>
          <w:sz w:val="24"/>
          <w:highlight w:val="none"/>
          <w:lang w:val="en-US" w:eastAsia="zh-CN"/>
        </w:rPr>
        <w:t>3.具体工作</w:t>
      </w:r>
      <w:r>
        <w:rPr>
          <w:rFonts w:ascii="宋体" w:hAnsi="宋体"/>
          <w:b/>
          <w:bCs/>
          <w:color w:val="auto"/>
          <w:sz w:val="24"/>
          <w:highlight w:val="none"/>
        </w:rPr>
        <w:t>要求</w:t>
      </w:r>
    </w:p>
    <w:p>
      <w:pPr>
        <w:tabs>
          <w:tab w:val="left" w:pos="63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（1）工作时间。信息采集巡查工作时间应与数字城管运行时间同步，具体为： 8：00－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0，以上时间包括节假日、双休日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工作时间具体服从采购人需求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。根据工作需要，要求中标单位管理员到采购人办公场地联合办公，遇防汛、抗雪、防灾或重大活动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重点区域保障需延长采集巡查时间</w:t>
      </w:r>
      <w:r>
        <w:rPr>
          <w:rFonts w:hint="eastAsia" w:ascii="仿宋" w:hAnsi="仿宋" w:eastAsia="仿宋" w:cs="仿宋"/>
          <w:color w:val="auto"/>
          <w:sz w:val="24"/>
          <w:szCs w:val="24"/>
          <w:highlight w:val="none"/>
          <w:lang w:eastAsia="zh-CN"/>
        </w:rPr>
        <w:t>及其他各项任务要求的</w:t>
      </w:r>
      <w:r>
        <w:rPr>
          <w:rFonts w:hint="eastAsia" w:ascii="仿宋" w:hAnsi="仿宋" w:eastAsia="仿宋" w:cs="仿宋"/>
          <w:color w:val="auto"/>
          <w:sz w:val="24"/>
          <w:szCs w:val="24"/>
          <w:highlight w:val="none"/>
        </w:rPr>
        <w:t>，中标单位应无条件服从。</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（2）人员（车辆）配备具体要求：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标项一配置：人数不少于</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人（含管理员</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人、项目负责人1人）,工作时间路面巡查人数不少于</w:t>
      </w: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人（其中巡查机动车不少于2辆），非正常工作时间（中午11:30-12:30、晚上17:30-21:00）路面巡查人数不少于</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标项二配置：人数不少于</w:t>
      </w: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人（含管理员8人、项目负责人1人），工作时间路面巡查人数不少于</w:t>
      </w:r>
      <w:r>
        <w:rPr>
          <w:rFonts w:hint="eastAsia" w:ascii="仿宋" w:hAnsi="仿宋" w:eastAsia="仿宋" w:cs="仿宋"/>
          <w:color w:val="auto"/>
          <w:sz w:val="24"/>
          <w:szCs w:val="24"/>
          <w:highlight w:val="none"/>
          <w:lang w:val="en-US" w:eastAsia="zh-CN"/>
        </w:rPr>
        <w:t>39</w:t>
      </w:r>
      <w:r>
        <w:rPr>
          <w:rFonts w:hint="eastAsia" w:ascii="仿宋" w:hAnsi="仿宋" w:eastAsia="仿宋" w:cs="仿宋"/>
          <w:color w:val="auto"/>
          <w:sz w:val="24"/>
          <w:szCs w:val="24"/>
          <w:highlight w:val="none"/>
        </w:rPr>
        <w:t>人（其中巡查机动车不少于2辆）,非正常工作时间（中午11:30-12:30、晚上17:30-21:00）路面巡查人数不少于13人。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标项三配置：人数不少于</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人（含管理员</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人、项目负责人1人），工作时间路面巡查人数不少于</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人（其中巡查机动车不少于2辆）,非正常工作时间（中午11:30-12:30）路面巡查人数不少于</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人。</w:t>
      </w:r>
    </w:p>
    <w:p>
      <w:pPr>
        <w:tabs>
          <w:tab w:val="left" w:pos="63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队伍基本素质要求：身体健康，具有较强责任心和事业心。项目负责人、管理员需熟悉办公设备及信息采集器的管理与维护</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eastAsia="zh-CN"/>
        </w:rPr>
        <w:t>管理员中配备一名宣传员</w:t>
      </w:r>
      <w:r>
        <w:rPr>
          <w:rFonts w:hint="eastAsia" w:ascii="仿宋" w:hAnsi="仿宋" w:eastAsia="仿宋" w:cs="仿宋"/>
          <w:color w:val="auto"/>
          <w:sz w:val="24"/>
          <w:szCs w:val="24"/>
          <w:highlight w:val="none"/>
        </w:rPr>
        <w:t>；采集员队伍中有一年以上信息采集经验人员不少于30%；高中以上学历人员不少于60%，采集人员年龄在55周岁(女性50周岁）及以下人员不少于60%；采集员配置人数以数字城管系统统计的路面巡查人数为准，因系统等客观原因造成人员掉线的需提前报备，无报备的按不在位纳入考核。</w:t>
      </w:r>
    </w:p>
    <w:p>
      <w:pPr>
        <w:tabs>
          <w:tab w:val="left" w:pos="63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（3）巡查设施。各标项应开展机动车巡查，其中行人、非机动车不能进入的高架、立交桥、快速路等区域使用机动车巡查，每天不少于一次；配备各类井盖（含重型）的开启设施、应急维护设施。</w:t>
      </w:r>
    </w:p>
    <w:p>
      <w:pPr>
        <w:spacing w:line="360" w:lineRule="auto"/>
        <w:rPr>
          <w:rFonts w:hint="eastAsia" w:ascii="仿宋" w:hAnsi="仿宋" w:eastAsia="仿宋" w:cs="仿宋"/>
          <w:b/>
          <w:bCs/>
          <w:color w:val="auto"/>
          <w:sz w:val="24"/>
          <w:szCs w:val="24"/>
          <w:highlight w:val="none"/>
          <w:shd w:val="clear" w:color="FFFFFF" w:fill="D9D9D9"/>
          <w:lang w:eastAsia="zh-CN"/>
        </w:rPr>
      </w:pPr>
      <w:r>
        <w:rPr>
          <w:rFonts w:hint="eastAsia" w:ascii="仿宋" w:hAnsi="仿宋" w:eastAsia="仿宋" w:cs="仿宋"/>
          <w:color w:val="auto"/>
          <w:sz w:val="24"/>
          <w:szCs w:val="24"/>
          <w:highlight w:val="none"/>
          <w:shd w:val="clear" w:color="auto" w:fill="auto"/>
        </w:rPr>
        <w:t xml:space="preserve">    （4）巡查频率。根据城市管理需要将各镇、街数字城管覆盖范围内的</w:t>
      </w:r>
      <w:r>
        <w:rPr>
          <w:rFonts w:hint="eastAsia" w:ascii="仿宋" w:hAnsi="仿宋" w:eastAsia="仿宋" w:cs="仿宋"/>
          <w:color w:val="auto"/>
          <w:sz w:val="24"/>
          <w:szCs w:val="24"/>
          <w:highlight w:val="none"/>
          <w:shd w:val="clear" w:color="auto" w:fill="auto"/>
          <w:lang w:eastAsia="zh-CN"/>
        </w:rPr>
        <w:t>所有</w:t>
      </w:r>
      <w:r>
        <w:rPr>
          <w:rFonts w:hint="eastAsia" w:ascii="仿宋" w:hAnsi="仿宋" w:eastAsia="仿宋" w:cs="仿宋"/>
          <w:color w:val="auto"/>
          <w:sz w:val="24"/>
          <w:szCs w:val="24"/>
          <w:highlight w:val="none"/>
          <w:shd w:val="clear" w:color="auto" w:fill="auto"/>
        </w:rPr>
        <w:t>城市道路（包括道路周边绿化、河道</w:t>
      </w:r>
      <w:r>
        <w:rPr>
          <w:rFonts w:hint="eastAsia" w:ascii="仿宋" w:hAnsi="仿宋" w:eastAsia="仿宋" w:cs="仿宋"/>
          <w:color w:val="auto"/>
          <w:sz w:val="24"/>
          <w:szCs w:val="24"/>
          <w:highlight w:val="none"/>
          <w:shd w:val="clear" w:color="auto" w:fill="auto"/>
          <w:lang w:eastAsia="zh-CN"/>
        </w:rPr>
        <w:t>、新建道路</w:t>
      </w:r>
      <w:r>
        <w:rPr>
          <w:rFonts w:hint="eastAsia" w:ascii="仿宋" w:hAnsi="仿宋" w:eastAsia="仿宋" w:cs="仿宋"/>
          <w:color w:val="auto"/>
          <w:sz w:val="24"/>
          <w:szCs w:val="24"/>
          <w:highlight w:val="none"/>
          <w:shd w:val="clear" w:color="auto" w:fill="auto"/>
        </w:rPr>
        <w:t>）具体分为一类道路、二类道路、三类道路（详见附表</w:t>
      </w:r>
      <w:r>
        <w:rPr>
          <w:rFonts w:hint="eastAsia" w:ascii="仿宋" w:hAnsi="仿宋" w:eastAsia="仿宋" w:cs="仿宋"/>
          <w:color w:val="auto"/>
          <w:sz w:val="24"/>
          <w:szCs w:val="24"/>
          <w:highlight w:val="none"/>
          <w:shd w:val="clear" w:color="auto" w:fill="auto"/>
          <w:lang w:val="en-US" w:eastAsia="zh-CN"/>
        </w:rPr>
        <w:t>一</w:t>
      </w:r>
      <w:r>
        <w:rPr>
          <w:rFonts w:hint="eastAsia" w:ascii="仿宋" w:hAnsi="仿宋" w:eastAsia="仿宋" w:cs="仿宋"/>
          <w:color w:val="auto"/>
          <w:sz w:val="24"/>
          <w:szCs w:val="24"/>
          <w:highlight w:val="none"/>
          <w:shd w:val="clear" w:color="auto" w:fill="auto"/>
        </w:rPr>
        <w:t>）、其他区域（数字城管实施范围内除一类、二类道路、三类道路外的其他区域）。一类道路、二类道路为2小时巡查圈，三类道路4小时巡查圈，其他区域8小时巡查圈，</w:t>
      </w:r>
      <w:r>
        <w:rPr>
          <w:rFonts w:hint="eastAsia" w:ascii="仿宋" w:hAnsi="仿宋" w:eastAsia="仿宋" w:cs="仿宋"/>
          <w:b/>
          <w:bCs/>
          <w:color w:val="auto"/>
          <w:sz w:val="24"/>
          <w:szCs w:val="24"/>
          <w:highlight w:val="none"/>
          <w:shd w:val="clear" w:color="auto" w:fill="auto"/>
        </w:rPr>
        <w:t>一类、二类道路每天巡查不少于</w:t>
      </w:r>
      <w:r>
        <w:rPr>
          <w:rFonts w:hint="eastAsia" w:ascii="仿宋" w:hAnsi="仿宋" w:eastAsia="仿宋" w:cs="仿宋"/>
          <w:b/>
          <w:bCs/>
          <w:color w:val="auto"/>
          <w:sz w:val="24"/>
          <w:szCs w:val="24"/>
          <w:highlight w:val="none"/>
          <w:shd w:val="clear" w:color="auto" w:fill="auto"/>
          <w:lang w:eastAsia="zh-CN"/>
        </w:rPr>
        <w:t>四</w:t>
      </w:r>
      <w:r>
        <w:rPr>
          <w:rFonts w:hint="eastAsia" w:ascii="仿宋" w:hAnsi="仿宋" w:eastAsia="仿宋" w:cs="仿宋"/>
          <w:b/>
          <w:bCs/>
          <w:color w:val="auto"/>
          <w:sz w:val="24"/>
          <w:szCs w:val="24"/>
          <w:highlight w:val="none"/>
          <w:shd w:val="clear" w:color="auto" w:fill="auto"/>
        </w:rPr>
        <w:t>次，三类道路每天巡查不少于</w:t>
      </w:r>
      <w:r>
        <w:rPr>
          <w:rFonts w:hint="eastAsia" w:ascii="仿宋" w:hAnsi="仿宋" w:eastAsia="仿宋" w:cs="仿宋"/>
          <w:b/>
          <w:bCs/>
          <w:color w:val="auto"/>
          <w:sz w:val="24"/>
          <w:szCs w:val="24"/>
          <w:highlight w:val="none"/>
          <w:shd w:val="clear" w:color="auto" w:fill="auto"/>
          <w:lang w:eastAsia="zh-CN"/>
        </w:rPr>
        <w:t>二</w:t>
      </w:r>
      <w:r>
        <w:rPr>
          <w:rFonts w:hint="eastAsia" w:ascii="仿宋" w:hAnsi="仿宋" w:eastAsia="仿宋" w:cs="仿宋"/>
          <w:b/>
          <w:bCs/>
          <w:color w:val="auto"/>
          <w:sz w:val="24"/>
          <w:szCs w:val="24"/>
          <w:highlight w:val="none"/>
          <w:shd w:val="clear" w:color="auto" w:fill="auto"/>
        </w:rPr>
        <w:t>次</w:t>
      </w:r>
      <w:r>
        <w:rPr>
          <w:rFonts w:hint="eastAsia" w:ascii="仿宋" w:hAnsi="仿宋" w:eastAsia="仿宋" w:cs="仿宋"/>
          <w:b/>
          <w:bCs/>
          <w:color w:val="auto"/>
          <w:sz w:val="24"/>
          <w:szCs w:val="24"/>
          <w:highlight w:val="none"/>
          <w:shd w:val="clear" w:color="auto" w:fill="auto"/>
          <w:lang w:eastAsia="zh-CN"/>
        </w:rPr>
        <w:t>，其他区域每天巡查不少于一次。（</w:t>
      </w:r>
      <w:r>
        <w:rPr>
          <w:rFonts w:hint="eastAsia" w:ascii="仿宋" w:hAnsi="仿宋" w:eastAsia="仿宋" w:cs="仿宋"/>
          <w:b/>
          <w:bCs/>
          <w:color w:val="auto"/>
          <w:sz w:val="24"/>
          <w:szCs w:val="24"/>
          <w:highlight w:val="none"/>
          <w:shd w:val="clear" w:color="auto" w:fill="auto"/>
          <w:lang w:val="en-US" w:eastAsia="zh-CN"/>
        </w:rPr>
        <w:t>包含但不仅限于附表一所列道路，应覆盖项目实施范围内的所有道路包括合同期内新建完成的道路</w:t>
      </w:r>
      <w:r>
        <w:rPr>
          <w:rFonts w:hint="eastAsia" w:ascii="仿宋" w:hAnsi="仿宋" w:eastAsia="仿宋" w:cs="仿宋"/>
          <w:b/>
          <w:bCs/>
          <w:color w:val="auto"/>
          <w:sz w:val="24"/>
          <w:szCs w:val="24"/>
          <w:highlight w:val="none"/>
          <w:shd w:val="clear" w:color="auto" w:fill="auto"/>
          <w:lang w:eastAsia="zh-CN"/>
        </w:rPr>
        <w:t>）</w:t>
      </w:r>
    </w:p>
    <w:p>
      <w:pPr>
        <w:tabs>
          <w:tab w:val="left" w:pos="6300"/>
        </w:tabs>
        <w:spacing w:line="360" w:lineRule="auto"/>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采集质量</w:t>
      </w:r>
      <w:r>
        <w:rPr>
          <w:rFonts w:hint="eastAsia" w:ascii="仿宋" w:hAnsi="仿宋" w:eastAsia="仿宋" w:cs="仿宋"/>
          <w:color w:val="auto"/>
          <w:sz w:val="24"/>
          <w:szCs w:val="24"/>
          <w:highlight w:val="none"/>
        </w:rPr>
        <w:t>。应严格按事、部件标准实行“全视野”采集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应采尽采，控制漏报；应保障信息采集的准确率，避免差错件。</w:t>
      </w:r>
    </w:p>
    <w:p>
      <w:pPr>
        <w:tabs>
          <w:tab w:val="left" w:pos="6300"/>
        </w:tabs>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覆盖率。类别覆盖率需达到市级考核要求。</w:t>
      </w:r>
    </w:p>
    <w:p>
      <w:pPr>
        <w:tabs>
          <w:tab w:val="left" w:pos="63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）及时回复。采集员必须根据核实（查）指令要求，在限定时间内回复。核查时间为：突发事件必须在半小时内完成，其他事件、部件问题必须在1小时内完成。</w:t>
      </w:r>
    </w:p>
    <w:p>
      <w:pPr>
        <w:tabs>
          <w:tab w:val="left" w:pos="63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）简易处置。采集员应对情节轻微且力所能及的问题实施简易处置。</w:t>
      </w:r>
    </w:p>
    <w:p>
      <w:pPr>
        <w:tabs>
          <w:tab w:val="left" w:pos="63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）普查保障。应保质保量完成</w:t>
      </w:r>
      <w:r>
        <w:rPr>
          <w:rFonts w:hint="eastAsia" w:ascii="仿宋" w:hAnsi="仿宋" w:eastAsia="仿宋" w:cs="仿宋"/>
          <w:color w:val="auto"/>
          <w:sz w:val="24"/>
          <w:szCs w:val="24"/>
          <w:highlight w:val="none"/>
          <w:lang w:val="en-US" w:eastAsia="zh-CN"/>
        </w:rPr>
        <w:t>全区范围内的</w:t>
      </w:r>
      <w:r>
        <w:rPr>
          <w:rFonts w:hint="eastAsia" w:ascii="仿宋" w:hAnsi="仿宋" w:eastAsia="仿宋" w:cs="仿宋"/>
          <w:color w:val="auto"/>
          <w:sz w:val="24"/>
          <w:szCs w:val="24"/>
          <w:highlight w:val="none"/>
        </w:rPr>
        <w:t>普查任务，并按要求</w:t>
      </w:r>
      <w:r>
        <w:rPr>
          <w:rFonts w:hint="eastAsia" w:ascii="仿宋" w:hAnsi="仿宋" w:eastAsia="仿宋" w:cs="仿宋"/>
          <w:color w:val="auto"/>
          <w:sz w:val="24"/>
          <w:szCs w:val="24"/>
          <w:highlight w:val="none"/>
          <w:lang w:eastAsia="zh-CN"/>
        </w:rPr>
        <w:t>完成长效管理中涉及的各项普查</w:t>
      </w:r>
      <w:r>
        <w:rPr>
          <w:rFonts w:hint="eastAsia" w:ascii="仿宋" w:hAnsi="仿宋" w:eastAsia="仿宋" w:cs="仿宋"/>
          <w:color w:val="auto"/>
          <w:sz w:val="24"/>
          <w:szCs w:val="24"/>
          <w:highlight w:val="none"/>
        </w:rPr>
        <w:t>任务及甲方交办的其</w:t>
      </w:r>
      <w:r>
        <w:rPr>
          <w:rFonts w:hint="eastAsia" w:ascii="仿宋" w:hAnsi="仿宋" w:eastAsia="仿宋" w:cs="仿宋"/>
          <w:color w:val="auto"/>
          <w:sz w:val="24"/>
          <w:szCs w:val="24"/>
          <w:highlight w:val="none"/>
          <w:lang w:val="en-US" w:eastAsia="zh-CN"/>
        </w:rPr>
        <w:t>它</w:t>
      </w:r>
      <w:r>
        <w:rPr>
          <w:rFonts w:hint="eastAsia" w:ascii="仿宋" w:hAnsi="仿宋" w:eastAsia="仿宋" w:cs="仿宋"/>
          <w:color w:val="auto"/>
          <w:sz w:val="24"/>
          <w:szCs w:val="24"/>
          <w:highlight w:val="none"/>
        </w:rPr>
        <w:t>普查任务。</w:t>
      </w:r>
    </w:p>
    <w:p>
      <w:pPr>
        <w:tabs>
          <w:tab w:val="left" w:pos="630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（10）宣传工作。</w:t>
      </w:r>
      <w:r>
        <w:rPr>
          <w:rFonts w:hint="eastAsia" w:ascii="仿宋" w:hAnsi="仿宋" w:eastAsia="仿宋" w:cs="仿宋"/>
          <w:b/>
          <w:bCs/>
          <w:color w:val="auto"/>
          <w:sz w:val="24"/>
          <w:szCs w:val="24"/>
          <w:highlight w:val="none"/>
          <w:lang w:eastAsia="zh-CN"/>
        </w:rPr>
        <w:t>管理员中需配备一名宣传员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主动并根据采购人要求做好相关宣传工作。按要求上报微博2篇/月，微信（抖音）2篇/月，动态1篇/旬，月报1篇/月以及其它临时宣传工作。</w:t>
      </w:r>
    </w:p>
    <w:p>
      <w:pPr>
        <w:tabs>
          <w:tab w:val="left" w:pos="63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）工作台账：</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应建立本公司信息采集绩效考核办法,明确质量管理目标、管理制度、工作程序、工作记录、人员管控和考核检查奖惩办法，做好设备管理、建立对应工作台账。</w:t>
      </w:r>
    </w:p>
    <w:p>
      <w:pPr>
        <w:tabs>
          <w:tab w:val="left" w:pos="63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）指令执行：采集公司</w:t>
      </w:r>
      <w:r>
        <w:rPr>
          <w:rFonts w:hint="eastAsia" w:ascii="仿宋" w:hAnsi="仿宋" w:eastAsia="仿宋" w:cs="仿宋"/>
          <w:color w:val="auto"/>
          <w:sz w:val="24"/>
          <w:szCs w:val="24"/>
          <w:highlight w:val="none"/>
          <w:lang w:eastAsia="zh-CN"/>
        </w:rPr>
        <w:t>须服从甲方下达的</w:t>
      </w:r>
      <w:r>
        <w:rPr>
          <w:rFonts w:hint="eastAsia" w:ascii="仿宋" w:hAnsi="仿宋" w:eastAsia="仿宋" w:cs="仿宋"/>
          <w:color w:val="auto"/>
          <w:sz w:val="24"/>
          <w:szCs w:val="24"/>
          <w:highlight w:val="none"/>
          <w:lang w:val="en-US" w:eastAsia="zh-CN"/>
        </w:rPr>
        <w:t>各项</w:t>
      </w:r>
      <w:r>
        <w:rPr>
          <w:rFonts w:hint="eastAsia" w:ascii="仿宋" w:hAnsi="仿宋" w:eastAsia="仿宋" w:cs="仿宋"/>
          <w:color w:val="auto"/>
          <w:sz w:val="24"/>
          <w:szCs w:val="24"/>
          <w:highlight w:val="none"/>
          <w:lang w:eastAsia="zh-CN"/>
        </w:rPr>
        <w:t>保障、应急处置</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信息报送等工作指令，并严格执行到位</w:t>
      </w:r>
      <w:r>
        <w:rPr>
          <w:rFonts w:hint="eastAsia" w:ascii="仿宋" w:hAnsi="仿宋" w:eastAsia="仿宋" w:cs="仿宋"/>
          <w:color w:val="auto"/>
          <w:sz w:val="24"/>
          <w:szCs w:val="24"/>
          <w:highlight w:val="none"/>
        </w:rPr>
        <w:t>。</w:t>
      </w:r>
    </w:p>
    <w:p>
      <w:pPr>
        <w:tabs>
          <w:tab w:val="left" w:pos="63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）员工管理。</w:t>
      </w:r>
    </w:p>
    <w:p>
      <w:pPr>
        <w:tabs>
          <w:tab w:val="left" w:pos="63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①采集员和项目负责人不得擅自变更。如采集员“三定”有变更，应提前三天以书面形式告知采购人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并经采购人同意后方可实施</w:t>
      </w:r>
      <w:r>
        <w:rPr>
          <w:rFonts w:hint="eastAsia" w:ascii="仿宋" w:hAnsi="仿宋" w:eastAsia="仿宋" w:cs="仿宋"/>
          <w:color w:val="auto"/>
          <w:sz w:val="24"/>
          <w:szCs w:val="24"/>
          <w:highlight w:val="none"/>
        </w:rPr>
        <w:t>；项目负责人如需变更或暂离岗位的，应提前</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天以书面形式告知采购人并做好工作对接，且暂离不得超过5天。项目负责人应</w:t>
      </w:r>
      <w:r>
        <w:rPr>
          <w:rFonts w:hint="eastAsia" w:ascii="仿宋" w:hAnsi="仿宋" w:eastAsia="仿宋" w:cs="仿宋"/>
          <w:color w:val="auto"/>
          <w:sz w:val="24"/>
          <w:szCs w:val="24"/>
          <w:highlight w:val="none"/>
          <w:lang w:val="en-US" w:eastAsia="zh-CN"/>
        </w:rPr>
        <w:t>根据采购人要求按时</w:t>
      </w:r>
      <w:r>
        <w:rPr>
          <w:rFonts w:hint="eastAsia" w:ascii="仿宋" w:hAnsi="仿宋" w:eastAsia="仿宋" w:cs="仿宋"/>
          <w:color w:val="auto"/>
          <w:sz w:val="24"/>
          <w:szCs w:val="24"/>
          <w:highlight w:val="none"/>
        </w:rPr>
        <w:t>参加甲方组织的</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会议。</w:t>
      </w:r>
    </w:p>
    <w:p>
      <w:pPr>
        <w:tabs>
          <w:tab w:val="left" w:pos="63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中标人应足额配置人员，保持队伍相对稳定，按要求确保管理人员学历在大专及以上的保持一定比例，紧抓培训质量和持证上岗，做好人员日常巡查轨迹、劳动纪律等的监督管理，落实定区、异地采集，并按要求做好三个月一次的人员网格轮岗。</w:t>
      </w:r>
    </w:p>
    <w:p>
      <w:pPr>
        <w:tabs>
          <w:tab w:val="left" w:pos="6300"/>
        </w:tabs>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③遵守国家法律法规和工作制度</w:t>
      </w:r>
      <w:r>
        <w:rPr>
          <w:rFonts w:hint="eastAsia" w:ascii="仿宋" w:hAnsi="仿宋" w:eastAsia="仿宋" w:cs="仿宋"/>
          <w:color w:val="auto"/>
          <w:sz w:val="24"/>
          <w:szCs w:val="24"/>
          <w:highlight w:val="none"/>
          <w:lang w:eastAsia="zh-CN"/>
        </w:rPr>
        <w:t>。</w:t>
      </w:r>
    </w:p>
    <w:p>
      <w:pPr>
        <w:numPr>
          <w:ilvl w:val="0"/>
          <w:numId w:val="0"/>
        </w:numPr>
        <w:tabs>
          <w:tab w:val="left" w:pos="63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诚信管理：采集公司应遵守信息采集职业道德要求，杜绝报复性采集行为、 “吃、拿、卡、要”，虚假信息，有责纠纷（投诉）、通过投诉信访、贴心城管APP等手段恶意拉低区域漏报率、涉嫌与网络单位串通修改留置案卷等行为，并加强对人员越级上访的管理。</w:t>
      </w:r>
    </w:p>
    <w:p>
      <w:pPr>
        <w:numPr>
          <w:ilvl w:val="0"/>
          <w:numId w:val="0"/>
        </w:numPr>
        <w:tabs>
          <w:tab w:val="left" w:pos="630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合法经营：采集公司及时发放职工的工资福利，不得无故拖欠员工工资、克扣员工福利或其他违反经营行为，做好员工相关保险的交纳；采集公司开除违规人员，应在开除后次日向采购人通报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采购人概不负责中标人所有人员的有关社保、医疗、薪酬等问题。</w:t>
      </w:r>
    </w:p>
    <w:p>
      <w:pPr>
        <w:tabs>
          <w:tab w:val="left" w:pos="63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）做好装备、设备的管理，</w:t>
      </w:r>
      <w:r>
        <w:rPr>
          <w:rFonts w:hint="eastAsia" w:ascii="仿宋" w:hAnsi="仿宋" w:eastAsia="仿宋" w:cs="仿宋"/>
          <w:color w:val="auto"/>
          <w:sz w:val="24"/>
          <w:szCs w:val="24"/>
          <w:highlight w:val="none"/>
          <w:lang w:val="en-US" w:eastAsia="zh-CN"/>
        </w:rPr>
        <w:t>确保</w:t>
      </w:r>
      <w:r>
        <w:rPr>
          <w:rFonts w:hint="eastAsia" w:ascii="仿宋" w:hAnsi="仿宋" w:eastAsia="仿宋" w:cs="仿宋"/>
          <w:color w:val="auto"/>
          <w:sz w:val="24"/>
          <w:szCs w:val="24"/>
          <w:highlight w:val="none"/>
        </w:rPr>
        <w:t>正常</w:t>
      </w:r>
      <w:r>
        <w:rPr>
          <w:rFonts w:hint="eastAsia" w:ascii="仿宋" w:hAnsi="仿宋" w:eastAsia="仿宋" w:cs="仿宋"/>
          <w:color w:val="auto"/>
          <w:sz w:val="24"/>
          <w:szCs w:val="24"/>
          <w:highlight w:val="none"/>
          <w:lang w:val="en-US" w:eastAsia="zh-CN"/>
        </w:rPr>
        <w:t>使用</w:t>
      </w:r>
      <w:r>
        <w:rPr>
          <w:rFonts w:hint="eastAsia" w:ascii="仿宋" w:hAnsi="仿宋" w:eastAsia="仿宋" w:cs="仿宋"/>
          <w:color w:val="auto"/>
          <w:sz w:val="24"/>
          <w:szCs w:val="24"/>
          <w:highlight w:val="none"/>
        </w:rPr>
        <w:t>。</w:t>
      </w:r>
    </w:p>
    <w:p>
      <w:pPr>
        <w:tabs>
          <w:tab w:val="left" w:pos="63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）其他事项。</w:t>
      </w:r>
    </w:p>
    <w:p>
      <w:pPr>
        <w:pStyle w:val="33"/>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①中标采集公司根据采购需求设定采集员以及信息采集器的工作区域，合同履行前一周内向采购人提供各信息采集员的巡查线路。</w:t>
      </w:r>
    </w:p>
    <w:p>
      <w:pPr>
        <w:pStyle w:val="33"/>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②采购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对采集公司按月进行考核，满分为100分，每扣1分，折扣合同款5000元。得分在70分（含）以上的为合格；如出现连续两次不合格的，中标采集公司必须更换项目负责人，累计3次考核不合格的，采购人有权终止合同。</w:t>
      </w:r>
    </w:p>
    <w:p>
      <w:pPr>
        <w:pStyle w:val="33"/>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③中标采集公司在合同期间，</w:t>
      </w:r>
      <w:r>
        <w:rPr>
          <w:rFonts w:hint="eastAsia" w:ascii="仿宋" w:hAnsi="仿宋" w:eastAsia="仿宋" w:cs="仿宋"/>
          <w:color w:val="auto"/>
          <w:sz w:val="24"/>
          <w:szCs w:val="24"/>
          <w:highlight w:val="none"/>
          <w:lang w:val="en-US" w:eastAsia="zh-CN"/>
        </w:rPr>
        <w:t>因工作不力、违约或违规等情况，</w:t>
      </w:r>
      <w:r>
        <w:rPr>
          <w:rFonts w:hint="eastAsia" w:ascii="仿宋" w:hAnsi="仿宋" w:eastAsia="仿宋" w:cs="仿宋"/>
          <w:color w:val="auto"/>
          <w:sz w:val="24"/>
          <w:szCs w:val="24"/>
          <w:highlight w:val="none"/>
        </w:rPr>
        <w:t>被采购人中止合同的，费用结算至合同中止日，采购人有权追缴预付款、没收履约保证金，由此引起的一切后果由中标采集公司承担。</w:t>
      </w:r>
    </w:p>
    <w:p>
      <w:pPr>
        <w:pStyle w:val="33"/>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④中标采集公司要对所属人员（含劳务外包人员）的工作行为负责，要加强所属人员的教育与培训工作，防止安全事故、违法</w:t>
      </w:r>
      <w:r>
        <w:rPr>
          <w:rFonts w:hint="eastAsia" w:ascii="仿宋" w:hAnsi="仿宋" w:eastAsia="仿宋" w:cs="仿宋"/>
          <w:color w:val="auto"/>
          <w:sz w:val="24"/>
          <w:szCs w:val="24"/>
          <w:highlight w:val="none"/>
          <w:lang w:val="en-US" w:eastAsia="zh-CN"/>
        </w:rPr>
        <w:t>违</w:t>
      </w:r>
      <w:r>
        <w:rPr>
          <w:rFonts w:hint="eastAsia" w:ascii="仿宋" w:hAnsi="仿宋" w:eastAsia="仿宋" w:cs="仿宋"/>
          <w:color w:val="auto"/>
          <w:sz w:val="24"/>
          <w:szCs w:val="24"/>
          <w:highlight w:val="none"/>
        </w:rPr>
        <w:t>纪、有责民事纠纷等现象</w:t>
      </w:r>
      <w:r>
        <w:rPr>
          <w:rFonts w:hint="eastAsia" w:ascii="仿宋" w:hAnsi="仿宋" w:eastAsia="仿宋" w:cs="仿宋"/>
          <w:color w:val="auto"/>
          <w:sz w:val="24"/>
          <w:szCs w:val="24"/>
          <w:highlight w:val="none"/>
          <w:lang w:val="en-US" w:eastAsia="zh-CN"/>
        </w:rPr>
        <w:t>发生</w:t>
      </w:r>
      <w:r>
        <w:rPr>
          <w:rFonts w:hint="eastAsia" w:ascii="仿宋" w:hAnsi="仿宋" w:eastAsia="仿宋" w:cs="仿宋"/>
          <w:color w:val="auto"/>
          <w:sz w:val="24"/>
          <w:szCs w:val="24"/>
          <w:highlight w:val="none"/>
        </w:rPr>
        <w:t>。所有采集员、管理人员及项目负责人工作中的安全责任以及法律纠纷</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均由中标采集公司自行承担。</w:t>
      </w:r>
    </w:p>
    <w:p>
      <w:pPr>
        <w:pStyle w:val="33"/>
        <w:tabs>
          <w:tab w:val="left" w:pos="6300"/>
        </w:tabs>
        <w:snapToGrid w:val="0"/>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信息采集费的支付</w:t>
      </w:r>
    </w:p>
    <w:p>
      <w:pPr>
        <w:pStyle w:val="33"/>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项目合同履行后7日内，由采购人按</w:t>
      </w:r>
      <w:r>
        <w:rPr>
          <w:rFonts w:hint="eastAsia" w:ascii="仿宋" w:hAnsi="仿宋" w:eastAsia="仿宋" w:cs="仿宋"/>
          <w:color w:val="auto"/>
          <w:sz w:val="24"/>
          <w:highlight w:val="none"/>
          <w:lang w:val="en-US" w:eastAsia="zh-CN"/>
        </w:rPr>
        <w:t>一年</w:t>
      </w:r>
      <w:r>
        <w:rPr>
          <w:rFonts w:hint="eastAsia" w:ascii="仿宋" w:hAnsi="仿宋" w:eastAsia="仿宋" w:cs="仿宋"/>
          <w:color w:val="auto"/>
          <w:sz w:val="24"/>
          <w:highlight w:val="none"/>
        </w:rPr>
        <w:t>合同金额的2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％支付预付款，其余款项根据考核结果，按照比例，分</w:t>
      </w:r>
      <w:r>
        <w:rPr>
          <w:rFonts w:hint="eastAsia" w:ascii="仿宋" w:hAnsi="仿宋" w:eastAsia="仿宋" w:cs="仿宋"/>
          <w:color w:val="auto"/>
          <w:sz w:val="24"/>
          <w:highlight w:val="none"/>
          <w:lang w:val="en-US" w:eastAsia="zh-CN"/>
        </w:rPr>
        <w:t>批进行</w:t>
      </w:r>
      <w:r>
        <w:rPr>
          <w:rFonts w:hint="eastAsia" w:ascii="仿宋" w:hAnsi="仿宋" w:eastAsia="仿宋" w:cs="仿宋"/>
          <w:color w:val="auto"/>
          <w:sz w:val="24"/>
          <w:highlight w:val="none"/>
        </w:rPr>
        <w:t>支付。</w:t>
      </w:r>
    </w:p>
    <w:p>
      <w:pPr>
        <w:tabs>
          <w:tab w:val="left" w:pos="6300"/>
        </w:tabs>
        <w:spacing w:line="360" w:lineRule="auto"/>
        <w:rPr>
          <w:rFonts w:ascii="宋体" w:hAnsi="宋体"/>
          <w:b/>
          <w:color w:val="auto"/>
          <w:sz w:val="24"/>
          <w:highlight w:val="none"/>
        </w:rPr>
      </w:pPr>
      <w:r>
        <w:rPr>
          <w:rFonts w:hint="eastAsia" w:ascii="宋体" w:hAnsi="宋体"/>
          <w:b/>
          <w:bCs/>
          <w:color w:val="auto"/>
          <w:sz w:val="24"/>
          <w:szCs w:val="24"/>
          <w:highlight w:val="none"/>
          <w:lang w:val="en-US" w:eastAsia="zh-CN"/>
        </w:rPr>
        <w:t xml:space="preserve"> </w:t>
      </w:r>
      <w:r>
        <w:rPr>
          <w:rFonts w:hint="eastAsia" w:ascii="宋体" w:hAnsi="宋体"/>
          <w:b/>
          <w:color w:val="auto"/>
          <w:sz w:val="24"/>
          <w:highlight w:val="none"/>
          <w:lang w:val="en-US" w:eastAsia="zh-CN"/>
        </w:rPr>
        <w:t>5</w:t>
      </w:r>
      <w:r>
        <w:rPr>
          <w:rFonts w:ascii="宋体" w:hAnsi="宋体"/>
          <w:b/>
          <w:color w:val="auto"/>
          <w:sz w:val="24"/>
          <w:highlight w:val="none"/>
        </w:rPr>
        <w:t>.采集队伍的组建</w:t>
      </w:r>
    </w:p>
    <w:p>
      <w:pPr>
        <w:tabs>
          <w:tab w:val="left" w:pos="630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中标单位需在履行合同前7日内完成信息采集</w:t>
      </w:r>
      <w:r>
        <w:rPr>
          <w:rFonts w:hint="eastAsia" w:ascii="仿宋" w:hAnsi="仿宋" w:eastAsia="仿宋" w:cs="仿宋"/>
          <w:color w:val="auto"/>
          <w:sz w:val="24"/>
          <w:highlight w:val="none"/>
          <w:lang w:eastAsia="zh-CN"/>
        </w:rPr>
        <w:t>及管理</w:t>
      </w:r>
      <w:r>
        <w:rPr>
          <w:rFonts w:hint="eastAsia" w:ascii="仿宋" w:hAnsi="仿宋" w:eastAsia="仿宋" w:cs="仿宋"/>
          <w:color w:val="auto"/>
          <w:sz w:val="24"/>
          <w:highlight w:val="none"/>
        </w:rPr>
        <w:t>队伍</w:t>
      </w:r>
      <w:r>
        <w:rPr>
          <w:rFonts w:hint="eastAsia" w:ascii="仿宋" w:hAnsi="仿宋" w:eastAsia="仿宋" w:cs="仿宋"/>
          <w:color w:val="auto"/>
          <w:sz w:val="24"/>
          <w:highlight w:val="none"/>
          <w:lang w:eastAsia="zh-CN"/>
        </w:rPr>
        <w:t>的组建</w:t>
      </w:r>
      <w:r>
        <w:rPr>
          <w:rFonts w:hint="eastAsia" w:ascii="仿宋" w:hAnsi="仿宋" w:eastAsia="仿宋" w:cs="仿宋"/>
          <w:color w:val="auto"/>
          <w:sz w:val="24"/>
          <w:highlight w:val="none"/>
        </w:rPr>
        <w:t>培训等前期工作。</w:t>
      </w:r>
    </w:p>
    <w:p>
      <w:pPr>
        <w:tabs>
          <w:tab w:val="left" w:pos="6300"/>
        </w:tabs>
        <w:spacing w:line="360" w:lineRule="auto"/>
        <w:rPr>
          <w:rStyle w:val="78"/>
          <w:rFonts w:ascii="宋体" w:hAnsi="宋体"/>
          <w:color w:val="auto"/>
          <w:highlight w:val="none"/>
        </w:rPr>
      </w:pPr>
      <w:r>
        <w:rPr>
          <w:rFonts w:hint="eastAsia" w:ascii="宋体" w:hAnsi="宋体"/>
          <w:b/>
          <w:color w:val="auto"/>
          <w:sz w:val="24"/>
          <w:highlight w:val="none"/>
          <w:lang w:val="en-US" w:eastAsia="zh-CN"/>
        </w:rPr>
        <w:t>6</w:t>
      </w:r>
      <w:r>
        <w:rPr>
          <w:rFonts w:ascii="宋体" w:hAnsi="宋体"/>
          <w:b/>
          <w:color w:val="auto"/>
          <w:sz w:val="24"/>
          <w:highlight w:val="none"/>
        </w:rPr>
        <w:t>.项目验收</w:t>
      </w:r>
    </w:p>
    <w:p>
      <w:pPr>
        <w:tabs>
          <w:tab w:val="left" w:pos="6300"/>
        </w:tabs>
        <w:spacing w:line="360" w:lineRule="auto"/>
        <w:ind w:firstLine="5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项目验收根据《区政府购买服务采购管理暂行办法》第三十一、三十二条规定，招标人按月按照《</w:t>
      </w:r>
      <w:r>
        <w:rPr>
          <w:rFonts w:hint="eastAsia" w:ascii="仿宋" w:hAnsi="仿宋" w:eastAsia="仿宋" w:cs="仿宋"/>
          <w:color w:val="auto"/>
          <w:sz w:val="24"/>
          <w:highlight w:val="none"/>
          <w:lang w:eastAsia="zh-CN"/>
        </w:rPr>
        <w:t>临平区</w:t>
      </w:r>
      <w:r>
        <w:rPr>
          <w:rFonts w:hint="eastAsia" w:ascii="仿宋" w:hAnsi="仿宋" w:eastAsia="仿宋" w:cs="仿宋"/>
          <w:color w:val="auto"/>
          <w:sz w:val="24"/>
          <w:highlight w:val="none"/>
        </w:rPr>
        <w:t>数字城管信息采集绩效评价办法》进行考核</w:t>
      </w:r>
      <w:r>
        <w:rPr>
          <w:rFonts w:hint="eastAsia" w:ascii="仿宋" w:hAnsi="仿宋" w:eastAsia="仿宋" w:cs="仿宋"/>
          <w:color w:val="auto"/>
          <w:sz w:val="24"/>
          <w:highlight w:val="none"/>
          <w:lang w:eastAsia="zh-CN"/>
        </w:rPr>
        <w:t>（考核要求根据工作要求进行调整）</w:t>
      </w:r>
      <w:r>
        <w:rPr>
          <w:rFonts w:hint="eastAsia" w:ascii="仿宋" w:hAnsi="仿宋" w:eastAsia="仿宋" w:cs="仿宋"/>
          <w:color w:val="auto"/>
          <w:sz w:val="24"/>
          <w:highlight w:val="none"/>
        </w:rPr>
        <w:t>，考核结果</w:t>
      </w:r>
      <w:r>
        <w:rPr>
          <w:rFonts w:hint="eastAsia" w:ascii="仿宋" w:hAnsi="仿宋" w:eastAsia="仿宋" w:cs="仿宋"/>
          <w:color w:val="auto"/>
          <w:sz w:val="24"/>
          <w:highlight w:val="none"/>
          <w:lang w:val="en-US" w:eastAsia="zh-CN"/>
        </w:rPr>
        <w:t>与</w:t>
      </w:r>
      <w:r>
        <w:rPr>
          <w:rFonts w:hint="eastAsia" w:ascii="仿宋" w:hAnsi="仿宋" w:eastAsia="仿宋" w:cs="仿宋"/>
          <w:color w:val="auto"/>
          <w:sz w:val="24"/>
          <w:highlight w:val="none"/>
        </w:rPr>
        <w:t>费用支付及履约评价</w:t>
      </w:r>
      <w:r>
        <w:rPr>
          <w:rFonts w:hint="eastAsia" w:ascii="仿宋" w:hAnsi="仿宋" w:eastAsia="仿宋" w:cs="仿宋"/>
          <w:color w:val="auto"/>
          <w:sz w:val="24"/>
          <w:highlight w:val="none"/>
          <w:lang w:val="en-US" w:eastAsia="zh-CN"/>
        </w:rPr>
        <w:t>挂钩</w:t>
      </w:r>
      <w:r>
        <w:rPr>
          <w:rFonts w:hint="eastAsia" w:ascii="仿宋" w:hAnsi="仿宋" w:eastAsia="仿宋" w:cs="仿宋"/>
          <w:color w:val="auto"/>
          <w:sz w:val="24"/>
          <w:highlight w:val="none"/>
        </w:rPr>
        <w:t>。</w:t>
      </w:r>
    </w:p>
    <w:p>
      <w:pPr>
        <w:tabs>
          <w:tab w:val="left" w:pos="6300"/>
        </w:tabs>
        <w:spacing w:line="360" w:lineRule="auto"/>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7.其它</w:t>
      </w:r>
    </w:p>
    <w:p>
      <w:pPr>
        <w:pStyle w:val="59"/>
        <w:ind w:firstLine="482" w:firstLineChars="200"/>
        <w:jc w:val="left"/>
        <w:rPr>
          <w:rFonts w:hint="eastAsia" w:ascii="仿宋" w:hAnsi="仿宋" w:eastAsia="仿宋" w:cs="仿宋"/>
          <w:color w:val="auto"/>
          <w:sz w:val="24"/>
          <w:highlight w:val="none"/>
        </w:rPr>
        <w:sectPr>
          <w:headerReference r:id="rId13" w:type="first"/>
          <w:headerReference r:id="rId12" w:type="default"/>
          <w:footerReference r:id="rId14" w:type="default"/>
          <w:footerReference r:id="rId15" w:type="even"/>
          <w:pgSz w:w="11906" w:h="16838"/>
          <w:pgMar w:top="1440" w:right="1797" w:bottom="1440" w:left="1797" w:header="851" w:footer="992" w:gutter="0"/>
          <w:cols w:space="720" w:num="1"/>
          <w:titlePg/>
          <w:rtlGutter w:val="0"/>
          <w:docGrid w:type="lines" w:linePitch="312" w:charSpace="0"/>
        </w:sectPr>
      </w:pPr>
      <w:r>
        <w:rPr>
          <w:rFonts w:hint="eastAsia" w:ascii="仿宋" w:hAnsi="仿宋" w:eastAsia="仿宋" w:cs="仿宋"/>
          <w:color w:val="auto"/>
          <w:sz w:val="24"/>
          <w:highlight w:val="none"/>
        </w:rPr>
        <w:t>投标文件编制要求：投标文件要求编制完整、格式规范、内容齐全、表述准确、条理清晰，内容无前后矛盾，符合招标文件要求。相关资料的提供情况真实、完整、清晰、有序、合理。</w:t>
      </w:r>
    </w:p>
    <w:p>
      <w:pPr>
        <w:pStyle w:val="2"/>
        <w:numPr>
          <w:ilvl w:val="0"/>
          <w:numId w:val="0"/>
        </w:numPr>
        <w:tabs>
          <w:tab w:val="left" w:pos="706"/>
          <w:tab w:val="clear" w:pos="432"/>
        </w:tabs>
        <w:jc w:val="both"/>
        <w:rPr>
          <w:rFonts w:hint="default" w:eastAsia="宋体"/>
          <w:b w:val="0"/>
          <w:bCs w:val="0"/>
          <w:color w:val="auto"/>
          <w:sz w:val="28"/>
          <w:szCs w:val="28"/>
          <w:highlight w:val="none"/>
          <w:lang w:val="en-US" w:eastAsia="zh-CN"/>
        </w:rPr>
      </w:pPr>
      <w:r>
        <w:rPr>
          <w:rFonts w:hint="eastAsia" w:eastAsia="宋体"/>
          <w:b w:val="0"/>
          <w:bCs w:val="0"/>
          <w:color w:val="auto"/>
          <w:sz w:val="28"/>
          <w:szCs w:val="28"/>
          <w:highlight w:val="none"/>
          <w:lang w:val="en-US" w:eastAsia="zh-CN"/>
        </w:rPr>
        <w:t>附表一</w:t>
      </w:r>
    </w:p>
    <w:p>
      <w:pPr>
        <w:pStyle w:val="2"/>
        <w:numPr>
          <w:ilvl w:val="0"/>
          <w:numId w:val="0"/>
        </w:numPr>
        <w:tabs>
          <w:tab w:val="left" w:pos="706"/>
          <w:tab w:val="clear" w:pos="432"/>
        </w:tabs>
        <w:ind w:firstLine="6746" w:firstLineChars="2100"/>
        <w:jc w:val="both"/>
        <w:rPr>
          <w:rFonts w:hint="eastAsia" w:eastAsia="宋体"/>
          <w:color w:val="auto"/>
          <w:sz w:val="32"/>
          <w:szCs w:val="32"/>
          <w:highlight w:val="none"/>
          <w:lang w:eastAsia="zh-CN"/>
        </w:rPr>
      </w:pPr>
      <w:r>
        <w:rPr>
          <w:rFonts w:hint="eastAsia" w:eastAsia="宋体"/>
          <w:color w:val="auto"/>
          <w:sz w:val="32"/>
          <w:szCs w:val="32"/>
          <w:highlight w:val="none"/>
          <w:lang w:eastAsia="zh-CN"/>
        </w:rPr>
        <w:t>南苑街道</w:t>
      </w:r>
    </w:p>
    <w:p>
      <w:pPr>
        <w:pStyle w:val="59"/>
        <w:jc w:val="left"/>
        <w:rPr>
          <w:rFonts w:hint="eastAsia" w:ascii="宋体" w:hAnsi="宋体"/>
          <w:color w:val="auto"/>
          <w:sz w:val="24"/>
          <w:highlight w:val="none"/>
        </w:rPr>
      </w:pPr>
    </w:p>
    <w:tbl>
      <w:tblPr>
        <w:tblStyle w:val="62"/>
        <w:tblpPr w:leftFromText="180" w:rightFromText="180" w:vertAnchor="text" w:horzAnchor="page" w:tblpX="668" w:tblpY="172"/>
        <w:tblOverlap w:val="never"/>
        <w:tblW w:w="15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
        <w:gridCol w:w="1287"/>
        <w:gridCol w:w="2163"/>
        <w:gridCol w:w="787"/>
        <w:gridCol w:w="466"/>
        <w:gridCol w:w="1624"/>
        <w:gridCol w:w="2145"/>
        <w:gridCol w:w="780"/>
        <w:gridCol w:w="493"/>
        <w:gridCol w:w="1682"/>
        <w:gridCol w:w="294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4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w:t>
            </w:r>
          </w:p>
        </w:tc>
        <w:tc>
          <w:tcPr>
            <w:tcW w:w="501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二类</w:t>
            </w:r>
          </w:p>
        </w:tc>
        <w:tc>
          <w:tcPr>
            <w:tcW w:w="594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路段名称</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米</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路段名称</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米</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路段名称</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藕花洲大街</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望梅路—东湖路</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6300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南兴路</w:t>
            </w:r>
          </w:p>
        </w:tc>
        <w:tc>
          <w:tcPr>
            <w:tcW w:w="2145" w:type="dxa"/>
            <w:tcBorders>
              <w:top w:val="nil"/>
              <w:left w:val="nil"/>
              <w:bottom w:val="nil"/>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龙兴街—临东路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星河南路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藕花洲大街—汀城路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临东路—藕花洲大街</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2900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新丰路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人民大道—汀城路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2960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车站路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藕花洲大街—老铁路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东湖南路</w:t>
            </w:r>
          </w:p>
        </w:tc>
        <w:tc>
          <w:tcPr>
            <w:tcW w:w="2163" w:type="dxa"/>
            <w:tcBorders>
              <w:top w:val="nil"/>
              <w:left w:val="nil"/>
              <w:bottom w:val="nil"/>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河南埭路—临东路</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2300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政法西街</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迎宾路—新丰路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博爱路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南丰路—东湖南路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红丰南路</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龙兴街—世纪大道</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2300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河南埭路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迎宾路—东湖南路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810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观霞街</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东梅路—新城路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人民大道</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临东路—望梅路</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3100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菜市路</w:t>
            </w:r>
          </w:p>
        </w:tc>
        <w:tc>
          <w:tcPr>
            <w:tcW w:w="2145" w:type="dxa"/>
            <w:tcBorders>
              <w:top w:val="nil"/>
              <w:left w:val="nil"/>
              <w:bottom w:val="nil"/>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藕花洲大街—铁路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170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观霞支路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世纪大道—观霞街</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世纪大道</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临东路—望梅路</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4200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逸仙路</w:t>
            </w:r>
          </w:p>
        </w:tc>
        <w:tc>
          <w:tcPr>
            <w:tcW w:w="2145" w:type="dxa"/>
            <w:tcBorders>
              <w:top w:val="nil"/>
              <w:left w:val="nil"/>
              <w:bottom w:val="nil"/>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河南埭路—菜市路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240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望日街</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迎宾路—新康家园</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南大街</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临东路—河南埭路</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1300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广和街</w:t>
            </w:r>
          </w:p>
        </w:tc>
        <w:tc>
          <w:tcPr>
            <w:tcW w:w="2145" w:type="dxa"/>
            <w:tcBorders>
              <w:top w:val="nil"/>
              <w:left w:val="nil"/>
              <w:bottom w:val="nil"/>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新城路—龙湖路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650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迎宾路延伸段</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迎宾路—新城路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府前路</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西大街—藕花洲大街</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155</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新城路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临东路—广和街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2500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汀城路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迎宾路—望梅路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政法街</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南兴路—迎宾路</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462</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城建集团东侧支路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人民大道—政法街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临东路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迎宾路—上塘河</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10</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迎宾路</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汀城路-翁梅地铁站</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1200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玩月街</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迎宾路—临东路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迎体路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东梅路—东湖南路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平吴街</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东湖南路—红丰南路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南平巷</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东梅路—新城路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万兴街</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南丰路—临东路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秀浦街</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南大街—玩月街</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龙兴街</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广和街—临东路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北湖街</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迎宾路—雪海路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新颜南路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龙兴街—人民大道</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黄鹤山街</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迎宾路—学海路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东梅路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人民大道—南苑街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临城路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三曹街—临东路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市民之家周边</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河畔东路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东梅路一南大街</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17</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香雪路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人民大道—世纪大道西</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17</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绸长路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东大街一藕花洲大街延伸段</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18</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雪海路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人民大道—北湖街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18</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东大街东延</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东大街一藕花洲大街延伸段</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19</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叠华街</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新丰路—世纪大道西</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19</w:t>
            </w:r>
          </w:p>
        </w:tc>
        <w:tc>
          <w:tcPr>
            <w:tcW w:w="1682" w:type="dxa"/>
            <w:tcBorders>
              <w:top w:val="nil"/>
              <w:left w:val="nil"/>
              <w:bottom w:val="nil"/>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w:t>
            </w:r>
          </w:p>
        </w:tc>
        <w:tc>
          <w:tcPr>
            <w:tcW w:w="2940" w:type="dxa"/>
            <w:tcBorders>
              <w:top w:val="nil"/>
              <w:left w:val="nil"/>
              <w:bottom w:val="nil"/>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杭浦高速桥下辅路-鑫业路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藕花洲大街延伸段(东段)</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东湖南路—东大街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翁乔路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杭浦高速桥下辅路-鑫业路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21</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南苑街</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东湖南路—世纪大道西</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2800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21</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耕读路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杭浦高速桥下辅路-鑫业路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22</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爱民路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藕花洲大街—逸仙路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170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22</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临乔路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杭浦高速桥下辅路-鑫业路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23</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世纪大道西</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迎宾路一望梅路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3400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23</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杭浦高速桥下辅路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迎宾路-临乔路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24</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龙湖路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人民大道—龙兴街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525</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24</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翁梅路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迎宾路-临乔路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25</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南丰路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人民大道—龙兴街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594</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25</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天万路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迎宾路-临乔路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26</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昕更路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三曹街—南苑街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290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26</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羊坝头路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迎宾路-临乔路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27</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三曹街</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东湖南路—迎宾路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766</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27</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鑫业路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迎宾路-临乔路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28</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望梅路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人民大道—汀城路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28</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临东路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迎宾路—新城路 </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29</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虞琴路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南大街—新城路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270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29</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临城路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临东路—新望梅路 </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30</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新丰路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汀城路一文正街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1500</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崇韵街</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迎宾路—新城路 </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31</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雪海路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汀城街一望梅路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666</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31</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永乐路</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迎宾路—南大街 </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kern w:val="2"/>
                <w:sz w:val="24"/>
                <w:szCs w:val="24"/>
                <w:highlight w:val="none"/>
                <w:u w:val="none"/>
                <w:lang w:val="en-US" w:eastAsia="zh-CN" w:bidi="ar-SA"/>
              </w:rPr>
            </w:pPr>
          </w:p>
        </w:tc>
        <w:tc>
          <w:tcPr>
            <w:tcW w:w="21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kern w:val="2"/>
                <w:sz w:val="24"/>
                <w:szCs w:val="24"/>
                <w:highlight w:val="none"/>
                <w:u w:val="none"/>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kern w:val="2"/>
                <w:sz w:val="24"/>
                <w:szCs w:val="24"/>
                <w:highlight w:val="none"/>
                <w:u w:val="none"/>
                <w:lang w:val="en-US" w:eastAsia="zh-CN" w:bidi="ar-SA"/>
              </w:rPr>
            </w:pPr>
          </w:p>
        </w:tc>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32</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石门街</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迎宾路一新丰路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325</w:t>
            </w:r>
          </w:p>
        </w:tc>
        <w:tc>
          <w:tcPr>
            <w:tcW w:w="4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32</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崇韵街</w:t>
            </w:r>
          </w:p>
        </w:tc>
        <w:tc>
          <w:tcPr>
            <w:tcW w:w="294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迎宾路一新丰路</w:t>
            </w:r>
          </w:p>
        </w:tc>
        <w:tc>
          <w:tcPr>
            <w:tcW w:w="82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kern w:val="2"/>
                <w:sz w:val="24"/>
                <w:szCs w:val="24"/>
                <w:highlight w:val="none"/>
                <w:u w:val="none"/>
                <w:lang w:val="en-US" w:eastAsia="zh-CN" w:bidi="ar-SA"/>
              </w:rPr>
            </w:pPr>
          </w:p>
        </w:tc>
        <w:tc>
          <w:tcPr>
            <w:tcW w:w="21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kern w:val="2"/>
                <w:sz w:val="24"/>
                <w:szCs w:val="24"/>
                <w:highlight w:val="none"/>
                <w:u w:val="none"/>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kern w:val="2"/>
                <w:sz w:val="24"/>
                <w:szCs w:val="24"/>
                <w:highlight w:val="none"/>
                <w:u w:val="none"/>
                <w:lang w:val="en-US" w:eastAsia="zh-CN" w:bidi="ar-SA"/>
              </w:rPr>
            </w:pPr>
          </w:p>
        </w:tc>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33</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新望梅路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迎宾路一世纪大道西</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1790</w:t>
            </w:r>
          </w:p>
        </w:tc>
        <w:tc>
          <w:tcPr>
            <w:tcW w:w="4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33</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许庄路</w:t>
            </w:r>
          </w:p>
        </w:tc>
        <w:tc>
          <w:tcPr>
            <w:tcW w:w="294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永乐街一汀城路</w:t>
            </w:r>
          </w:p>
        </w:tc>
        <w:tc>
          <w:tcPr>
            <w:tcW w:w="82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c>
          <w:tcPr>
            <w:tcW w:w="21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34</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汀兰街</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汀城路-永乐街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200</w:t>
            </w:r>
          </w:p>
        </w:tc>
        <w:tc>
          <w:tcPr>
            <w:tcW w:w="4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940"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c>
          <w:tcPr>
            <w:tcW w:w="21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35</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永乐街</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望梅路一仙家桥路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1070</w:t>
            </w:r>
          </w:p>
        </w:tc>
        <w:tc>
          <w:tcPr>
            <w:tcW w:w="4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940"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c>
          <w:tcPr>
            <w:tcW w:w="21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36</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汀城路</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迎宾路一望梅路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1340</w:t>
            </w:r>
          </w:p>
        </w:tc>
        <w:tc>
          <w:tcPr>
            <w:tcW w:w="4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940"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小计</w:t>
            </w:r>
          </w:p>
        </w:tc>
        <w:tc>
          <w:tcPr>
            <w:tcW w:w="21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rPr>
              <w:t>24217</w:t>
            </w:r>
          </w:p>
        </w:tc>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rPr>
              <w:t>36136</w:t>
            </w:r>
          </w:p>
        </w:tc>
        <w:tc>
          <w:tcPr>
            <w:tcW w:w="4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940"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26064</w:t>
            </w:r>
          </w:p>
        </w:tc>
      </w:tr>
    </w:tbl>
    <w:p>
      <w:pPr>
        <w:pStyle w:val="2"/>
        <w:numPr>
          <w:ilvl w:val="0"/>
          <w:numId w:val="0"/>
        </w:numPr>
        <w:tabs>
          <w:tab w:val="left" w:pos="706"/>
          <w:tab w:val="clear" w:pos="432"/>
        </w:tabs>
        <w:ind w:firstLine="6746" w:firstLineChars="2100"/>
        <w:rPr>
          <w:rFonts w:hint="eastAsia" w:eastAsia="宋体"/>
          <w:color w:val="auto"/>
          <w:sz w:val="32"/>
          <w:szCs w:val="32"/>
          <w:highlight w:val="none"/>
          <w:lang w:eastAsia="zh-CN"/>
        </w:rPr>
      </w:pPr>
    </w:p>
    <w:p>
      <w:pPr>
        <w:pStyle w:val="2"/>
        <w:numPr>
          <w:ilvl w:val="0"/>
          <w:numId w:val="0"/>
        </w:numPr>
        <w:tabs>
          <w:tab w:val="left" w:pos="706"/>
          <w:tab w:val="clear" w:pos="432"/>
        </w:tabs>
        <w:ind w:firstLine="6746" w:firstLineChars="2100"/>
        <w:rPr>
          <w:rFonts w:hint="eastAsia" w:eastAsia="宋体"/>
          <w:color w:val="auto"/>
          <w:sz w:val="32"/>
          <w:szCs w:val="32"/>
          <w:highlight w:val="none"/>
          <w:lang w:eastAsia="zh-CN"/>
        </w:rPr>
      </w:pPr>
    </w:p>
    <w:p>
      <w:pPr>
        <w:rPr>
          <w:rFonts w:hint="eastAsia" w:eastAsia="宋体"/>
          <w:color w:val="auto"/>
          <w:sz w:val="32"/>
          <w:szCs w:val="32"/>
          <w:highlight w:val="none"/>
          <w:lang w:eastAsia="zh-CN"/>
        </w:rPr>
      </w:pPr>
    </w:p>
    <w:p>
      <w:pPr>
        <w:pStyle w:val="2"/>
        <w:rPr>
          <w:rFonts w:hint="eastAsia" w:eastAsia="宋体"/>
          <w:color w:val="auto"/>
          <w:sz w:val="32"/>
          <w:szCs w:val="32"/>
          <w:highlight w:val="none"/>
          <w:lang w:eastAsia="zh-CN"/>
        </w:rPr>
      </w:pPr>
    </w:p>
    <w:p>
      <w:pPr>
        <w:rPr>
          <w:rFonts w:hint="eastAsia" w:eastAsia="宋体"/>
          <w:color w:val="auto"/>
          <w:sz w:val="32"/>
          <w:szCs w:val="32"/>
          <w:highlight w:val="none"/>
          <w:lang w:eastAsia="zh-CN"/>
        </w:rPr>
      </w:pPr>
    </w:p>
    <w:p>
      <w:pPr>
        <w:rPr>
          <w:rFonts w:hint="eastAsia"/>
          <w:color w:val="auto"/>
          <w:highlight w:val="none"/>
          <w:lang w:eastAsia="zh-CN"/>
        </w:rPr>
      </w:pPr>
    </w:p>
    <w:p>
      <w:pPr>
        <w:pStyle w:val="2"/>
        <w:numPr>
          <w:ilvl w:val="0"/>
          <w:numId w:val="0"/>
        </w:numPr>
        <w:tabs>
          <w:tab w:val="left" w:pos="706"/>
          <w:tab w:val="clear" w:pos="432"/>
        </w:tabs>
        <w:ind w:firstLine="6746" w:firstLineChars="2100"/>
        <w:rPr>
          <w:rFonts w:hint="eastAsia" w:eastAsia="宋体"/>
          <w:color w:val="auto"/>
          <w:sz w:val="32"/>
          <w:szCs w:val="32"/>
          <w:highlight w:val="none"/>
          <w:lang w:eastAsia="zh-CN"/>
        </w:rPr>
      </w:pPr>
      <w:r>
        <w:rPr>
          <w:rFonts w:hint="eastAsia" w:eastAsia="宋体"/>
          <w:color w:val="auto"/>
          <w:sz w:val="32"/>
          <w:szCs w:val="32"/>
          <w:highlight w:val="none"/>
          <w:lang w:eastAsia="zh-CN"/>
        </w:rPr>
        <w:t>乔司街道</w:t>
      </w:r>
    </w:p>
    <w:tbl>
      <w:tblPr>
        <w:tblStyle w:val="62"/>
        <w:tblpPr w:leftFromText="180" w:rightFromText="180" w:vertAnchor="text" w:horzAnchor="page" w:tblpX="987" w:tblpY="920"/>
        <w:tblOverlap w:val="never"/>
        <w:tblW w:w="143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7"/>
        <w:gridCol w:w="1096"/>
        <w:gridCol w:w="2169"/>
        <w:gridCol w:w="739"/>
        <w:gridCol w:w="507"/>
        <w:gridCol w:w="1362"/>
        <w:gridCol w:w="2435"/>
        <w:gridCol w:w="807"/>
        <w:gridCol w:w="462"/>
        <w:gridCol w:w="1384"/>
        <w:gridCol w:w="1789"/>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9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w:t>
            </w:r>
          </w:p>
        </w:tc>
        <w:tc>
          <w:tcPr>
            <w:tcW w:w="511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二类</w:t>
            </w:r>
          </w:p>
        </w:tc>
        <w:tc>
          <w:tcPr>
            <w:tcW w:w="484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路段名称</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路段名称</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路段名称</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南街</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乔莫西路一乔莫东路</w:t>
            </w:r>
          </w:p>
        </w:tc>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870</w:t>
            </w:r>
          </w:p>
        </w:tc>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保庆街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乔莫东路一乔莫西路</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707</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乔安路</w:t>
            </w:r>
          </w:p>
        </w:tc>
        <w:tc>
          <w:tcPr>
            <w:tcW w:w="178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乔莫东路一乔莫西路</w:t>
            </w:r>
          </w:p>
        </w:tc>
        <w:tc>
          <w:tcPr>
            <w:tcW w:w="121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乔井路</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乔莫西路一乔莫东路</w:t>
            </w:r>
          </w:p>
        </w:tc>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870</w:t>
            </w:r>
          </w:p>
        </w:tc>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永玄路</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乔莫西路一乔莫东路</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799</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乔莫东路</w:t>
            </w:r>
          </w:p>
        </w:tc>
        <w:tc>
          <w:tcPr>
            <w:tcW w:w="178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 杭海路一永玄路</w:t>
            </w:r>
          </w:p>
        </w:tc>
        <w:tc>
          <w:tcPr>
            <w:tcW w:w="121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城隍中路</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杭海路一永玄路</w:t>
            </w:r>
          </w:p>
        </w:tc>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1034</w:t>
            </w:r>
          </w:p>
        </w:tc>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永乔路</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乔莫西路一乔莫东路</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493</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毛桃路</w:t>
            </w:r>
          </w:p>
        </w:tc>
        <w:tc>
          <w:tcPr>
            <w:tcW w:w="178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乔莫东路一城皇中路</w:t>
            </w:r>
          </w:p>
        </w:tc>
        <w:tc>
          <w:tcPr>
            <w:tcW w:w="121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永玄路</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乔莫西路-博卡路</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600</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仙塘路</w:t>
            </w:r>
          </w:p>
        </w:tc>
        <w:tc>
          <w:tcPr>
            <w:tcW w:w="178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乔莫东路一城皇中路</w:t>
            </w:r>
          </w:p>
        </w:tc>
        <w:tc>
          <w:tcPr>
            <w:tcW w:w="121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保庆街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乔莫西路-博卡路</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500</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兴市路</w:t>
            </w:r>
          </w:p>
        </w:tc>
        <w:tc>
          <w:tcPr>
            <w:tcW w:w="178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杭海路一乔井路</w:t>
            </w:r>
          </w:p>
        </w:tc>
        <w:tc>
          <w:tcPr>
            <w:tcW w:w="121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乔安路</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乔莫西路-博卡路</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500</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桃安路</w:t>
            </w:r>
          </w:p>
        </w:tc>
        <w:tc>
          <w:tcPr>
            <w:tcW w:w="178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杭海路一乔井路</w:t>
            </w:r>
          </w:p>
        </w:tc>
        <w:tc>
          <w:tcPr>
            <w:tcW w:w="121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南街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乔莫西路-博卡路</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600</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乔中路</w:t>
            </w:r>
          </w:p>
        </w:tc>
        <w:tc>
          <w:tcPr>
            <w:tcW w:w="178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博卡路一永玄路</w:t>
            </w:r>
          </w:p>
        </w:tc>
        <w:tc>
          <w:tcPr>
            <w:tcW w:w="121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博卡路</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乔莫西路-永玄路</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1800</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乔井路</w:t>
            </w:r>
          </w:p>
        </w:tc>
        <w:tc>
          <w:tcPr>
            <w:tcW w:w="178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乔莫西路一博卡路</w:t>
            </w:r>
          </w:p>
        </w:tc>
        <w:tc>
          <w:tcPr>
            <w:tcW w:w="121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乔中路</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博卡路-永玄路</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1300</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博卡路</w:t>
            </w:r>
          </w:p>
        </w:tc>
        <w:tc>
          <w:tcPr>
            <w:tcW w:w="178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杭海路一永玄路</w:t>
            </w:r>
          </w:p>
        </w:tc>
        <w:tc>
          <w:tcPr>
            <w:tcW w:w="121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文正街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迎宾路-世纪大道西</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1112</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乔莫西路</w:t>
            </w:r>
          </w:p>
        </w:tc>
        <w:tc>
          <w:tcPr>
            <w:tcW w:w="178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博卡路一永玄路</w:t>
            </w:r>
          </w:p>
        </w:tc>
        <w:tc>
          <w:tcPr>
            <w:tcW w:w="121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11</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东仁街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汀雨路一星河南路</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825</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杭海路</w:t>
            </w:r>
          </w:p>
        </w:tc>
        <w:tc>
          <w:tcPr>
            <w:tcW w:w="178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乔莫东路一博卡路</w:t>
            </w:r>
          </w:p>
        </w:tc>
        <w:tc>
          <w:tcPr>
            <w:tcW w:w="121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12</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汀兰街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世纪大道西-星河南路</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1001</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博卡路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乔莫西路一乔中路</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13</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良熟路</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世纪大道西一文正街</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1740</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乔中路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博卡路一南街</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14</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东仁街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汀城路一文正街</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500</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博卡路   </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乔莫西路 一南街</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15</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星河南路</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汀城路一文正街</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1960</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乔莫西路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南街一博卡路  </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16</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汀雨路</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世纪大道西-文正街</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1711</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稼东路 </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绕城高速一石塘东路 </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17</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永乐街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望梅路一仙家桥路</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672</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17</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友爱路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石塘东路一绕城高速</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18</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汀城路</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汀兰路一望梅路</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983</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18</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月牙二路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绕城高速一石塘东路 </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19</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石塘东路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东湖高架一杭海路</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杭州绕城高速地面道路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杭海路一东湖高架 </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21</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东湖高架地面道路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石塘东路一绕城高速</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22</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杭海路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绕城高速一石塘东路 </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23</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胜家路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胜桑路一三卫路</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24</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杭海路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胜桑路一三卫路 </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25</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胜桑路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杭乔路一杭海路 </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26</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杭乔路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三卫路一胜桑路</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27</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三卫路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杭海路一杭乔路 </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28</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通盛路 </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胜桑路一三卫路 </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29</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方塘埠路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杭海路一杭乔路</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30</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科卫路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杭海路一杭乔路</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31</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三卫路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杭乔路一东湖高架桥</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32</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东湖高架地面道路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三卫路一胜桑街 </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33</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胜桑街</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东湖高架桥一杭乔路</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34</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杭乔路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三卫路一胜桑街</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35</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友爱路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胜桑街一三卫路 </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36</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方塘埠路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杭乔路一友爱路 </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auto"/>
                <w:sz w:val="24"/>
                <w:szCs w:val="24"/>
                <w:highlight w:val="none"/>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37</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科卫路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友爱路一杭乔路 </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c>
          <w:tcPr>
            <w:tcW w:w="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锦良街</w:t>
            </w:r>
          </w:p>
        </w:tc>
        <w:tc>
          <w:tcPr>
            <w:tcW w:w="178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汀雨路一汀兰街</w:t>
            </w:r>
          </w:p>
        </w:tc>
        <w:tc>
          <w:tcPr>
            <w:tcW w:w="121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c>
          <w:tcPr>
            <w:tcW w:w="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世纪大道西</w:t>
            </w:r>
          </w:p>
        </w:tc>
        <w:tc>
          <w:tcPr>
            <w:tcW w:w="178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望梅路一文正街</w:t>
            </w:r>
          </w:p>
        </w:tc>
        <w:tc>
          <w:tcPr>
            <w:tcW w:w="121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p>
        </w:tc>
        <w:tc>
          <w:tcPr>
            <w:tcW w:w="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仙家桥路</w:t>
            </w:r>
          </w:p>
        </w:tc>
        <w:tc>
          <w:tcPr>
            <w:tcW w:w="178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星河南路一汀城路</w:t>
            </w:r>
          </w:p>
        </w:tc>
        <w:tc>
          <w:tcPr>
            <w:tcW w:w="121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小计</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2774</w:t>
            </w: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17803</w:t>
            </w:r>
          </w:p>
        </w:tc>
        <w:tc>
          <w:tcPr>
            <w:tcW w:w="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789"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auto"/>
                <w:sz w:val="24"/>
                <w:szCs w:val="24"/>
                <w:highlight w:val="none"/>
                <w:u w:val="none"/>
              </w:rPr>
            </w:pPr>
          </w:p>
        </w:tc>
        <w:tc>
          <w:tcPr>
            <w:tcW w:w="121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39512</w:t>
            </w:r>
          </w:p>
        </w:tc>
      </w:tr>
    </w:tbl>
    <w:p>
      <w:pPr>
        <w:pStyle w:val="59"/>
        <w:jc w:val="left"/>
        <w:rPr>
          <w:rFonts w:hint="eastAsia" w:ascii="宋体" w:hAnsi="宋体"/>
          <w:color w:val="auto"/>
          <w:sz w:val="24"/>
          <w:highlight w:val="none"/>
        </w:rPr>
      </w:pPr>
    </w:p>
    <w:p>
      <w:pPr>
        <w:pStyle w:val="59"/>
        <w:jc w:val="left"/>
        <w:rPr>
          <w:rFonts w:hint="eastAsia" w:ascii="宋体" w:hAnsi="宋体"/>
          <w:color w:val="auto"/>
          <w:sz w:val="24"/>
          <w:highlight w:val="none"/>
        </w:rPr>
        <w:sectPr>
          <w:pgSz w:w="16838" w:h="11906" w:orient="landscape"/>
          <w:pgMar w:top="1797" w:right="1440" w:bottom="1797" w:left="1440" w:header="851" w:footer="992" w:gutter="0"/>
          <w:cols w:space="720" w:num="1"/>
          <w:titlePg/>
          <w:rtlGutter w:val="0"/>
          <w:docGrid w:type="lines" w:linePitch="312" w:charSpace="0"/>
        </w:sectPr>
      </w:pPr>
    </w:p>
    <w:p>
      <w:pPr>
        <w:ind w:firstLine="6425" w:firstLineChars="2000"/>
        <w:rPr>
          <w:rFonts w:hint="eastAsia"/>
          <w:b/>
          <w:bCs/>
          <w:color w:val="auto"/>
          <w:sz w:val="32"/>
          <w:szCs w:val="32"/>
          <w:highlight w:val="none"/>
          <w:lang w:eastAsia="zh-CN"/>
        </w:rPr>
      </w:pPr>
      <w:r>
        <w:rPr>
          <w:rFonts w:hint="eastAsia"/>
          <w:b/>
          <w:bCs/>
          <w:color w:val="auto"/>
          <w:sz w:val="32"/>
          <w:szCs w:val="32"/>
          <w:highlight w:val="none"/>
          <w:lang w:eastAsia="zh-CN"/>
        </w:rPr>
        <w:t>临平街道</w:t>
      </w:r>
    </w:p>
    <w:p>
      <w:pPr>
        <w:pStyle w:val="59"/>
        <w:jc w:val="left"/>
        <w:rPr>
          <w:rFonts w:hint="eastAsia" w:ascii="宋体" w:hAnsi="宋体"/>
          <w:color w:val="auto"/>
          <w:sz w:val="24"/>
          <w:highlight w:val="none"/>
        </w:rPr>
      </w:pPr>
    </w:p>
    <w:tbl>
      <w:tblPr>
        <w:tblStyle w:val="62"/>
        <w:tblW w:w="14840" w:type="dxa"/>
        <w:tblInd w:w="-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
        <w:gridCol w:w="1235"/>
        <w:gridCol w:w="2146"/>
        <w:gridCol w:w="773"/>
        <w:gridCol w:w="519"/>
        <w:gridCol w:w="1281"/>
        <w:gridCol w:w="2273"/>
        <w:gridCol w:w="854"/>
        <w:gridCol w:w="484"/>
        <w:gridCol w:w="1489"/>
        <w:gridCol w:w="2561"/>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8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w:t>
            </w:r>
          </w:p>
        </w:tc>
        <w:tc>
          <w:tcPr>
            <w:tcW w:w="492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二类</w:t>
            </w:r>
          </w:p>
        </w:tc>
        <w:tc>
          <w:tcPr>
            <w:tcW w:w="533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道路名称</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道路名称</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道路名称</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星光街</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临东路-望梅路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5900</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木桥浜路</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北大街-邱山大街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760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干河罕路</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东湖中路-北大街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邱山大街</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藕花洲大街-星光街</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2400</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西大街</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北大街-邱山大街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660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红丰路中段</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藕花洲大街东段-星光街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东湖中路</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东大街-星光街</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1080</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龙王塘路</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西大街-邱山大街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400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碧天路</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梅堰路-东湖中路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北大街</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上塘河-邱山大街</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1100</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沿山路</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星光街-景星观路</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920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景园路</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邱山大街-沿山路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史家埭路</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东湖中路-北大街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260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复兴弄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九曲营路-邱山大街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九曲营路</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东大街-北大街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1100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安宁街</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红丰路-梅堰路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星火南路</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邱山大街-星光街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460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北庙北弄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禾丰路-邱山大街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保健路</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木桥浜路-沿山路</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780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前横弄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北大街-马家弄</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朝阳西路</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北大街-木桥浜路</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540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广严寺弄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将军殿弄-木桥浜路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育才路</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星火南路-沿山路</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220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佳肴弄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朝阳东路-九曲营路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景星观路</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邱山大街-星光街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1000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方家弄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后横弄-木桥浜路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东大街</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藕花洲大街东段-北大街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1300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油车弄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木桥浜路向北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朝阳东路</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梅堰路-北大街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700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肖家弄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东大街-朝阳东路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景山路</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邱山大街-沿山路</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380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赵家弄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东大街-史家埭路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梅堰路</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东大街-邱山大街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790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缸甏弄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北大街-缸甏弄</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庙东菜场</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庙东菜场南侧</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保安弄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朝阳西路-邱山大街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17</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邱山菜场</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17</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百姓弄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邱山大街-百姓弄小区</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18</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宝幢路</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上塘河-望梅路</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1400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18</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美人堂弄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西大街-美人堂弄3号</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19</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丁山路</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星丁街-宝幢路    宝幢路-望梅路</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750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19</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庙东路</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九曲营路-邱山大街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安平路</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邱山大街-宝幢路</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2600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丝织弄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邱山大街-星光街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21</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禾丰路</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九曲营路-星光街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22</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将军殿弄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西大街-木桥浜路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23</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水车河弄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朝阳西路-邱山大街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24</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马家弄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西大街-后横弄</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25</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为民弄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木桥浜路-邱山大街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26</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后横弄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将军殿弄-北大街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27</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清水弄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肖家弄-东湖中路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28</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星丁路</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宝幢路-丁山路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29</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望梅路</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上塘河-星光街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星河路</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上塘河-星光街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31</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啤酒弄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景山路-景星观路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32</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府前路</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上塘河-区政府</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33</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美味弄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保健路-沿山路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34</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进修弄</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朝阳东路-九曲营路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35</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藕花洲大街东延</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新颜路-红丰路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36</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临东路</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铁路线-星光街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37</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新颜路</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藕花洲大街东延-星光街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38</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荷花路</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星光街-振兴路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39</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碧荷街</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星火北路-荷花路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40</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映荷街</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荷花路-星光街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41</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汀洲路</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星光街-荷花小区北门</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43</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风荷路</w:t>
            </w:r>
          </w:p>
        </w:tc>
        <w:tc>
          <w:tcPr>
            <w:tcW w:w="2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嘉丰苑-碧荷街</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小计</w:t>
            </w: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10480</w:t>
            </w: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15180</w:t>
            </w:r>
          </w:p>
        </w:tc>
        <w:tc>
          <w:tcPr>
            <w:tcW w:w="4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4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5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17559</w:t>
            </w:r>
          </w:p>
        </w:tc>
      </w:tr>
    </w:tbl>
    <w:p>
      <w:pPr>
        <w:pStyle w:val="59"/>
        <w:jc w:val="left"/>
        <w:rPr>
          <w:rFonts w:hint="eastAsia" w:ascii="宋体" w:hAnsi="宋体"/>
          <w:color w:val="auto"/>
          <w:sz w:val="24"/>
          <w:highlight w:val="none"/>
        </w:rPr>
        <w:sectPr>
          <w:pgSz w:w="16838" w:h="11906" w:orient="landscape"/>
          <w:pgMar w:top="1797" w:right="1440" w:bottom="1797" w:left="1440" w:header="851" w:footer="992" w:gutter="0"/>
          <w:cols w:space="720" w:num="1"/>
          <w:titlePg/>
          <w:rtlGutter w:val="0"/>
          <w:docGrid w:type="lines" w:linePitch="312" w:charSpace="0"/>
        </w:sectPr>
      </w:pPr>
    </w:p>
    <w:p>
      <w:pPr>
        <w:pStyle w:val="2"/>
        <w:numPr>
          <w:ilvl w:val="0"/>
          <w:numId w:val="0"/>
        </w:numPr>
        <w:tabs>
          <w:tab w:val="left" w:pos="706"/>
          <w:tab w:val="clear" w:pos="432"/>
        </w:tabs>
        <w:ind w:firstLine="6746" w:firstLineChars="2100"/>
        <w:rPr>
          <w:rFonts w:hint="eastAsia"/>
          <w:color w:val="auto"/>
          <w:sz w:val="32"/>
          <w:szCs w:val="32"/>
          <w:highlight w:val="none"/>
          <w:lang w:val="en-US" w:eastAsia="zh-CN"/>
        </w:rPr>
      </w:pPr>
      <w:r>
        <w:rPr>
          <w:rFonts w:hint="eastAsia"/>
          <w:color w:val="auto"/>
          <w:sz w:val="32"/>
          <w:szCs w:val="32"/>
          <w:highlight w:val="none"/>
          <w:lang w:val="en-US" w:eastAsia="zh-CN"/>
        </w:rPr>
        <w:t>东湖街道</w:t>
      </w:r>
    </w:p>
    <w:p>
      <w:pPr>
        <w:pStyle w:val="59"/>
        <w:jc w:val="left"/>
        <w:rPr>
          <w:rFonts w:hint="eastAsia" w:ascii="宋体" w:hAnsi="宋体"/>
          <w:color w:val="auto"/>
          <w:sz w:val="24"/>
          <w:highlight w:val="none"/>
        </w:rPr>
      </w:pPr>
    </w:p>
    <w:tbl>
      <w:tblPr>
        <w:tblStyle w:val="62"/>
        <w:tblW w:w="14867" w:type="dxa"/>
        <w:tblInd w:w="-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5"/>
        <w:gridCol w:w="1257"/>
        <w:gridCol w:w="2077"/>
        <w:gridCol w:w="750"/>
        <w:gridCol w:w="612"/>
        <w:gridCol w:w="1200"/>
        <w:gridCol w:w="2308"/>
        <w:gridCol w:w="773"/>
        <w:gridCol w:w="565"/>
        <w:gridCol w:w="1592"/>
        <w:gridCol w:w="2285"/>
        <w:gridCol w:w="1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一类</w:t>
            </w:r>
          </w:p>
        </w:tc>
        <w:tc>
          <w:tcPr>
            <w:tcW w:w="489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二类</w:t>
            </w:r>
          </w:p>
        </w:tc>
        <w:tc>
          <w:tcPr>
            <w:tcW w:w="551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序</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道路名称</w:t>
            </w:r>
          </w:p>
        </w:tc>
        <w:tc>
          <w:tcPr>
            <w:tcW w:w="2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起止点</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长度</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序</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道路名称</w:t>
            </w:r>
          </w:p>
        </w:tc>
        <w:tc>
          <w:tcPr>
            <w:tcW w:w="2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起止点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长度</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序</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道路名称</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起止点</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东湖北路</w:t>
            </w:r>
          </w:p>
        </w:tc>
        <w:tc>
          <w:tcPr>
            <w:tcW w:w="2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星光街-新洲路</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2160</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兴国路</w:t>
            </w:r>
          </w:p>
        </w:tc>
        <w:tc>
          <w:tcPr>
            <w:tcW w:w="2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星光街-新洲路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2210</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新颜路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星光街-320国道</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星河路</w:t>
            </w:r>
          </w:p>
        </w:tc>
        <w:tc>
          <w:tcPr>
            <w:tcW w:w="2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星光街-新洲路</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2100</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顺达路</w:t>
            </w:r>
          </w:p>
        </w:tc>
        <w:tc>
          <w:tcPr>
            <w:tcW w:w="2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星光街-新洲路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1850</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天荷路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新颜路-雨荷路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红丰北路</w:t>
            </w:r>
          </w:p>
        </w:tc>
        <w:tc>
          <w:tcPr>
            <w:tcW w:w="2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星光街-320国道</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1820</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雨荷路</w:t>
            </w:r>
          </w:p>
        </w:tc>
        <w:tc>
          <w:tcPr>
            <w:tcW w:w="2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星光街-320国道</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1450</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汀洲路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荷花小区北门-新洲路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北沙西路</w:t>
            </w:r>
          </w:p>
        </w:tc>
        <w:tc>
          <w:tcPr>
            <w:tcW w:w="2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东湖北路-望梅路</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4800</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港园路</w:t>
            </w:r>
          </w:p>
        </w:tc>
        <w:tc>
          <w:tcPr>
            <w:tcW w:w="2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超峰东路-天荷路  星光街-港园支路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1100</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月荷路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星辰路-320国道</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5</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振兴西路</w:t>
            </w:r>
          </w:p>
        </w:tc>
        <w:tc>
          <w:tcPr>
            <w:tcW w:w="2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东湖北路-望梅路</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4600</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北沙东路</w:t>
            </w:r>
          </w:p>
        </w:tc>
        <w:tc>
          <w:tcPr>
            <w:tcW w:w="2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新丝路-东湖北路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1870</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5</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映荷街</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荷禹路-月荷路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6</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荷禹路</w:t>
            </w:r>
          </w:p>
        </w:tc>
        <w:tc>
          <w:tcPr>
            <w:tcW w:w="2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星光街-新洲路</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1860</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6</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振兴东路</w:t>
            </w:r>
          </w:p>
        </w:tc>
        <w:tc>
          <w:tcPr>
            <w:tcW w:w="2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新丝路-东湖北路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1600</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6</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叶家桥港绿地</w:t>
            </w:r>
          </w:p>
        </w:tc>
        <w:tc>
          <w:tcPr>
            <w:tcW w:w="22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7</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星光街</w:t>
            </w:r>
          </w:p>
        </w:tc>
        <w:tc>
          <w:tcPr>
            <w:tcW w:w="2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新丝路-望梅路</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5900</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7</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金家角河道绿地</w:t>
            </w:r>
          </w:p>
        </w:tc>
        <w:tc>
          <w:tcPr>
            <w:tcW w:w="22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8</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小林港绿地</w:t>
            </w:r>
          </w:p>
        </w:tc>
        <w:tc>
          <w:tcPr>
            <w:tcW w:w="22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9</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荷花路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振兴路-天荷路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10</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碧荷街</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星火北路-荷花路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11</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超峰西路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东湖北路-星火北路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12</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塘宁路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北沙西路-新洲路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13</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超峰东路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新丝路-东湖北路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14</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新丝路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星光街-320国道</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15</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新天路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星光街-320国道</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16</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港园支路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红丰路-东湖北路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17</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登科街</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登峰巷-新颜路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18</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登峰巷</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超峰东路-振兴东路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19</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星火北路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星光街-振兴西路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20</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星辰路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顺达路-星河路   上环桥路-望梅路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21</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风荷路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嘉丰苑-北沙西路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22</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上环桥路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星光街-振兴西路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23</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兴国支路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上环桥路-兴国路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24</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320国道</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新丝路-望梅路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25</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海蓝弄</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顺达路-月荷路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26</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映荷支路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星辰路-映荷街</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27</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顺达支路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顺达路-映荷支路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28</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皂吉河路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北沙西路-320国道</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29</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支路一</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振兴西路-北沙西路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30</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支路二</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振兴西路-北沙西路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31</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月颂巷</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海蓝弄-北沙西路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32</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兴中路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320国道-新洲路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33</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顺风路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320国道-新洲路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34</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长宁路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320国道-新洲路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35</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华中路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320国道-新洲路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36</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清宁路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320国道-新洲路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37</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新洲路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东湖北路-兴国路</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38</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望梅路</w:t>
            </w:r>
          </w:p>
        </w:tc>
        <w:tc>
          <w:tcPr>
            <w:tcW w:w="2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星光街-320国道</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23240</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10080</w:t>
            </w:r>
          </w:p>
        </w:tc>
        <w:tc>
          <w:tcPr>
            <w:tcW w:w="5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5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40755</w:t>
            </w:r>
          </w:p>
        </w:tc>
      </w:tr>
    </w:tbl>
    <w:p>
      <w:pPr>
        <w:pStyle w:val="59"/>
        <w:jc w:val="left"/>
        <w:rPr>
          <w:rFonts w:hint="eastAsia" w:ascii="宋体" w:hAnsi="宋体"/>
          <w:color w:val="auto"/>
          <w:sz w:val="24"/>
          <w:highlight w:val="none"/>
        </w:rPr>
        <w:sectPr>
          <w:pgSz w:w="16838" w:h="11906" w:orient="landscape"/>
          <w:pgMar w:top="1797" w:right="1440" w:bottom="1797" w:left="1440" w:header="851" w:footer="992" w:gutter="0"/>
          <w:cols w:space="720" w:num="1"/>
          <w:titlePg/>
          <w:rtlGutter w:val="0"/>
          <w:docGrid w:type="lines" w:linePitch="312" w:charSpace="0"/>
        </w:sectPr>
      </w:pPr>
    </w:p>
    <w:p>
      <w:pPr>
        <w:pStyle w:val="59"/>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运河街道</w:t>
      </w:r>
    </w:p>
    <w:p>
      <w:pPr>
        <w:pStyle w:val="59"/>
        <w:jc w:val="both"/>
        <w:rPr>
          <w:rFonts w:hint="eastAsia"/>
          <w:b/>
          <w:bCs/>
          <w:color w:val="auto"/>
          <w:sz w:val="32"/>
          <w:szCs w:val="32"/>
          <w:highlight w:val="none"/>
          <w:lang w:val="en-US" w:eastAsia="zh-CN"/>
        </w:rPr>
      </w:pPr>
    </w:p>
    <w:tbl>
      <w:tblPr>
        <w:tblStyle w:val="62"/>
        <w:tblW w:w="14849" w:type="dxa"/>
        <w:tblInd w:w="-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2"/>
        <w:gridCol w:w="1327"/>
        <w:gridCol w:w="2193"/>
        <w:gridCol w:w="669"/>
        <w:gridCol w:w="473"/>
        <w:gridCol w:w="1119"/>
        <w:gridCol w:w="1904"/>
        <w:gridCol w:w="831"/>
        <w:gridCol w:w="692"/>
        <w:gridCol w:w="1223"/>
        <w:gridCol w:w="3139"/>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9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w:t>
            </w:r>
          </w:p>
        </w:tc>
        <w:tc>
          <w:tcPr>
            <w:tcW w:w="432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二类</w:t>
            </w:r>
          </w:p>
        </w:tc>
        <w:tc>
          <w:tcPr>
            <w:tcW w:w="593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道路名称</w:t>
            </w:r>
          </w:p>
        </w:tc>
        <w:tc>
          <w:tcPr>
            <w:tcW w:w="2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道路名称</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道路名称</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湖潭路</w:t>
            </w:r>
          </w:p>
        </w:tc>
        <w:tc>
          <w:tcPr>
            <w:tcW w:w="2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亭趾幼儿园-东湖北路</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550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湖潭路</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永宁路-亭趾幼儿园</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680</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双桥路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天顺路-长寿路</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鹿溪路</w:t>
            </w:r>
          </w:p>
        </w:tc>
        <w:tc>
          <w:tcPr>
            <w:tcW w:w="2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天顺路-东湖北路</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350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日辉路</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联新路-湖潭路</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300</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泾洋路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繁荣路-东明路</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万丰东路</w:t>
            </w:r>
          </w:p>
        </w:tc>
        <w:tc>
          <w:tcPr>
            <w:tcW w:w="2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繁荣路-东明路</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380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育士路</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鹿溪路-运溪路</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550</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金锁路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亭博线-天顺路</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万丰西路</w:t>
            </w:r>
          </w:p>
        </w:tc>
        <w:tc>
          <w:tcPr>
            <w:tcW w:w="2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繁荣路-东明路</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380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繁荣路</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五杭小学-万寿路</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430</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银桥路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永宁路-日辉路</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兴旺大道</w:t>
            </w:r>
          </w:p>
        </w:tc>
        <w:tc>
          <w:tcPr>
            <w:tcW w:w="2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永宁路-东湖北路</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400</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长寿路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双桥路-鹿溪路</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东湖北路</w:t>
            </w:r>
          </w:p>
        </w:tc>
        <w:tc>
          <w:tcPr>
            <w:tcW w:w="2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兴盛路-运河</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3700</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旺盛路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东湖北路-运南路</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丰林路</w:t>
            </w:r>
          </w:p>
        </w:tc>
        <w:tc>
          <w:tcPr>
            <w:tcW w:w="2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运溪路-在建幼儿园</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650</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亭望街</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东湖北路向东</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天顺路</w:t>
            </w:r>
          </w:p>
        </w:tc>
        <w:tc>
          <w:tcPr>
            <w:tcW w:w="2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双桥路-鹿溪路</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200</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运溪路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育士路-东湖北路</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北田街</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联新路-东湖北路</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东明路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泾洋路-五杭大桥</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东泗路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繁荣路-五杭大桥</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万寿路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泾洋路-繁荣路</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花园路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日辉路-东湖北路</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联新路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日辉路-兴旺大道 兴旺村居家养老服务中心-东湖北路</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永旺路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运河第一幼儿园-东湖北路</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永宁路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运溪路-湖潭路</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17</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雕凤路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东湖北路-丰林路</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18</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运南路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旺盛路-湖潭路</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19</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政民路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东湖北路-支一路</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支一路</w:t>
            </w:r>
          </w:p>
        </w:tc>
        <w:tc>
          <w:tcPr>
            <w:tcW w:w="3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政民路-兴旺大道</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小计</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6610</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1960</w:t>
            </w:r>
          </w:p>
        </w:tc>
        <w:tc>
          <w:tcPr>
            <w:tcW w:w="6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31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11740</w:t>
            </w:r>
          </w:p>
        </w:tc>
      </w:tr>
    </w:tbl>
    <w:p>
      <w:pPr>
        <w:pStyle w:val="59"/>
        <w:jc w:val="both"/>
        <w:rPr>
          <w:rFonts w:hint="eastAsia"/>
          <w:b/>
          <w:bCs/>
          <w:color w:val="auto"/>
          <w:sz w:val="32"/>
          <w:szCs w:val="32"/>
          <w:highlight w:val="none"/>
          <w:lang w:val="en-US" w:eastAsia="zh-CN"/>
        </w:rPr>
        <w:sectPr>
          <w:pgSz w:w="16838" w:h="11906" w:orient="landscape"/>
          <w:pgMar w:top="1797" w:right="1440" w:bottom="1797" w:left="1440" w:header="851" w:footer="992" w:gutter="0"/>
          <w:cols w:space="720" w:num="1"/>
          <w:titlePg/>
          <w:rtlGutter w:val="0"/>
          <w:docGrid w:type="lines" w:linePitch="312" w:charSpace="0"/>
        </w:sectPr>
      </w:pPr>
    </w:p>
    <w:p>
      <w:pPr>
        <w:pStyle w:val="2"/>
        <w:numPr>
          <w:ilvl w:val="0"/>
          <w:numId w:val="0"/>
        </w:numPr>
        <w:tabs>
          <w:tab w:val="left" w:pos="706"/>
          <w:tab w:val="clear" w:pos="432"/>
        </w:tabs>
        <w:ind w:left="560" w:leftChars="0" w:firstLine="5783" w:firstLineChars="18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星桥街道</w:t>
      </w:r>
    </w:p>
    <w:p>
      <w:pPr>
        <w:pStyle w:val="59"/>
        <w:jc w:val="both"/>
        <w:rPr>
          <w:rFonts w:hint="eastAsia"/>
          <w:b/>
          <w:bCs/>
          <w:color w:val="auto"/>
          <w:sz w:val="32"/>
          <w:szCs w:val="32"/>
          <w:highlight w:val="none"/>
          <w:lang w:val="en-US" w:eastAsia="zh-CN"/>
        </w:rPr>
      </w:pPr>
    </w:p>
    <w:tbl>
      <w:tblPr>
        <w:tblStyle w:val="62"/>
        <w:tblW w:w="14680" w:type="dxa"/>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9"/>
        <w:gridCol w:w="1339"/>
        <w:gridCol w:w="1950"/>
        <w:gridCol w:w="796"/>
        <w:gridCol w:w="496"/>
        <w:gridCol w:w="1419"/>
        <w:gridCol w:w="2181"/>
        <w:gridCol w:w="785"/>
        <w:gridCol w:w="450"/>
        <w:gridCol w:w="1615"/>
        <w:gridCol w:w="2273"/>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w:t>
            </w:r>
          </w:p>
        </w:tc>
        <w:tc>
          <w:tcPr>
            <w:tcW w:w="488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二类</w:t>
            </w:r>
          </w:p>
        </w:tc>
        <w:tc>
          <w:tcPr>
            <w:tcW w:w="5365" w:type="dxa"/>
            <w:gridSpan w:val="4"/>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路段名称</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路段名称</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路段名称</w:t>
            </w:r>
          </w:p>
        </w:tc>
        <w:tc>
          <w:tcPr>
            <w:tcW w:w="2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天鹤路</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星都大道一江干区交叉口</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1220</w:t>
            </w: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欢东路</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天鹤路一场环路环岛</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680</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星韵路</w:t>
            </w:r>
          </w:p>
        </w:tc>
        <w:tc>
          <w:tcPr>
            <w:tcW w:w="227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星发街一天都大道</w:t>
            </w:r>
          </w:p>
        </w:tc>
        <w:tc>
          <w:tcPr>
            <w:tcW w:w="10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星都大道</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星发街一临丁路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3975</w:t>
            </w: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欢西路</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天鹤路一场环路环岛</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660</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星一路（星旺路）</w:t>
            </w:r>
          </w:p>
        </w:tc>
        <w:tc>
          <w:tcPr>
            <w:tcW w:w="227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星都大道一星星路</w:t>
            </w:r>
          </w:p>
        </w:tc>
        <w:tc>
          <w:tcPr>
            <w:tcW w:w="10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天都大道</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星桥南路一江干区交叉口</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2364</w:t>
            </w: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星源路</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星发街一临丁路</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2191</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星二路（星灵路）</w:t>
            </w:r>
          </w:p>
        </w:tc>
        <w:tc>
          <w:tcPr>
            <w:tcW w:w="227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星都大道一星星路</w:t>
            </w:r>
          </w:p>
        </w:tc>
        <w:tc>
          <w:tcPr>
            <w:tcW w:w="10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星桥大道</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星发街一藕花洲大街西段</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1500</w:t>
            </w: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星四路（星灿路）</w:t>
            </w:r>
          </w:p>
        </w:tc>
        <w:tc>
          <w:tcPr>
            <w:tcW w:w="218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星都大道一星星路</w:t>
            </w:r>
          </w:p>
        </w:tc>
        <w:tc>
          <w:tcPr>
            <w:tcW w:w="7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910</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星三路（星隆路）</w:t>
            </w:r>
          </w:p>
        </w:tc>
        <w:tc>
          <w:tcPr>
            <w:tcW w:w="227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星都大道一星星路</w:t>
            </w:r>
          </w:p>
        </w:tc>
        <w:tc>
          <w:tcPr>
            <w:tcW w:w="10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w:t>
            </w: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藕花洲大街西段</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望梅路一星都大道</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1926</w:t>
            </w: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星翰路</w:t>
            </w:r>
          </w:p>
        </w:tc>
        <w:tc>
          <w:tcPr>
            <w:tcW w:w="218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星星路一星都大道</w:t>
            </w:r>
          </w:p>
        </w:tc>
        <w:tc>
          <w:tcPr>
            <w:tcW w:w="7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1380</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天祥东路</w:t>
            </w:r>
          </w:p>
        </w:tc>
        <w:tc>
          <w:tcPr>
            <w:tcW w:w="227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欢东路-段头路</w:t>
            </w:r>
          </w:p>
        </w:tc>
        <w:tc>
          <w:tcPr>
            <w:tcW w:w="10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w:t>
            </w: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临丁路</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望梅路一江干区交叉口</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4400</w:t>
            </w: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学前路</w:t>
            </w:r>
          </w:p>
        </w:tc>
        <w:tc>
          <w:tcPr>
            <w:tcW w:w="218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宝旋路一星都大道</w:t>
            </w:r>
          </w:p>
        </w:tc>
        <w:tc>
          <w:tcPr>
            <w:tcW w:w="7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917</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天祥西路</w:t>
            </w:r>
          </w:p>
        </w:tc>
        <w:tc>
          <w:tcPr>
            <w:tcW w:w="227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欢西路一天禧路</w:t>
            </w:r>
          </w:p>
        </w:tc>
        <w:tc>
          <w:tcPr>
            <w:tcW w:w="10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星桥南路</w:t>
            </w:r>
          </w:p>
        </w:tc>
        <w:tc>
          <w:tcPr>
            <w:tcW w:w="195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藕花洲大街西段一临丁路</w:t>
            </w:r>
          </w:p>
        </w:tc>
        <w:tc>
          <w:tcPr>
            <w:tcW w:w="79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1100</w:t>
            </w: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星旋路</w:t>
            </w:r>
          </w:p>
        </w:tc>
        <w:tc>
          <w:tcPr>
            <w:tcW w:w="218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藕花洲大街西段一临丁路</w:t>
            </w:r>
          </w:p>
        </w:tc>
        <w:tc>
          <w:tcPr>
            <w:tcW w:w="7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600</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天星路</w:t>
            </w:r>
          </w:p>
        </w:tc>
        <w:tc>
          <w:tcPr>
            <w:tcW w:w="227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场环路环岛一天禧路</w:t>
            </w:r>
          </w:p>
        </w:tc>
        <w:tc>
          <w:tcPr>
            <w:tcW w:w="10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东港路</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星星路一临梅路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800</w:t>
            </w: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星星路</w:t>
            </w:r>
          </w:p>
        </w:tc>
        <w:tc>
          <w:tcPr>
            <w:tcW w:w="218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星发街一东港路</w:t>
            </w:r>
          </w:p>
        </w:tc>
        <w:tc>
          <w:tcPr>
            <w:tcW w:w="7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1200</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天韵路</w:t>
            </w:r>
          </w:p>
        </w:tc>
        <w:tc>
          <w:tcPr>
            <w:tcW w:w="227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天禧路一星都大道</w:t>
            </w:r>
          </w:p>
        </w:tc>
        <w:tc>
          <w:tcPr>
            <w:tcW w:w="10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华丰路</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临丁路一星都大道</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1600</w:t>
            </w: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欢乐大道</w:t>
            </w:r>
          </w:p>
        </w:tc>
        <w:tc>
          <w:tcPr>
            <w:tcW w:w="218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临丁路一场环路环岛</w:t>
            </w:r>
          </w:p>
        </w:tc>
        <w:tc>
          <w:tcPr>
            <w:tcW w:w="7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810</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天禧路</w:t>
            </w:r>
          </w:p>
        </w:tc>
        <w:tc>
          <w:tcPr>
            <w:tcW w:w="227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天祥西路一天韵路</w:t>
            </w:r>
          </w:p>
        </w:tc>
        <w:tc>
          <w:tcPr>
            <w:tcW w:w="10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星桥南路</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临丁路一华丰路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800</w:t>
            </w: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星雨路</w:t>
            </w:r>
          </w:p>
        </w:tc>
        <w:tc>
          <w:tcPr>
            <w:tcW w:w="218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就是桐扣街(太平路一星桥南路)</w:t>
            </w:r>
          </w:p>
        </w:tc>
        <w:tc>
          <w:tcPr>
            <w:tcW w:w="7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700</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天都城环岛路</w:t>
            </w:r>
          </w:p>
        </w:tc>
        <w:tc>
          <w:tcPr>
            <w:tcW w:w="227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东至天都大道，南至欢乐大道，西至天都大道西段，北至欢东路</w:t>
            </w:r>
          </w:p>
        </w:tc>
        <w:tc>
          <w:tcPr>
            <w:tcW w:w="10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星都大道</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临丁路一华丰路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900</w:t>
            </w: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星港路（太平路）</w:t>
            </w:r>
          </w:p>
        </w:tc>
        <w:tc>
          <w:tcPr>
            <w:tcW w:w="218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藕花洲大街西段一临丁路</w:t>
            </w:r>
          </w:p>
        </w:tc>
        <w:tc>
          <w:tcPr>
            <w:tcW w:w="7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605</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保障路便道</w:t>
            </w:r>
          </w:p>
        </w:tc>
        <w:tc>
          <w:tcPr>
            <w:tcW w:w="2273"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auto"/>
                <w:sz w:val="24"/>
                <w:szCs w:val="24"/>
                <w:highlight w:val="none"/>
                <w:u w:val="none"/>
              </w:rPr>
            </w:pPr>
          </w:p>
        </w:tc>
        <w:tc>
          <w:tcPr>
            <w:tcW w:w="10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远展街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星桥南路一星都大道</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800</w:t>
            </w: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卜贾路</w:t>
            </w:r>
          </w:p>
        </w:tc>
        <w:tc>
          <w:tcPr>
            <w:tcW w:w="218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临丁路一天都大道</w:t>
            </w:r>
          </w:p>
        </w:tc>
        <w:tc>
          <w:tcPr>
            <w:tcW w:w="7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640</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枉山铁路桥下</w:t>
            </w:r>
          </w:p>
        </w:tc>
        <w:tc>
          <w:tcPr>
            <w:tcW w:w="2273"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auto"/>
                <w:sz w:val="24"/>
                <w:szCs w:val="24"/>
                <w:highlight w:val="none"/>
                <w:u w:val="none"/>
              </w:rPr>
            </w:pPr>
          </w:p>
        </w:tc>
        <w:tc>
          <w:tcPr>
            <w:tcW w:w="10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星源南路</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临丁路一华丰路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800</w:t>
            </w: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星贾路</w:t>
            </w:r>
          </w:p>
        </w:tc>
        <w:tc>
          <w:tcPr>
            <w:tcW w:w="218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就是卜贾路(天华路)天都路-临丁路</w:t>
            </w:r>
          </w:p>
        </w:tc>
        <w:tc>
          <w:tcPr>
            <w:tcW w:w="7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1300</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五云中路</w:t>
            </w:r>
          </w:p>
        </w:tc>
        <w:tc>
          <w:tcPr>
            <w:tcW w:w="227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星源路一星韵南路</w:t>
            </w:r>
          </w:p>
        </w:tc>
        <w:tc>
          <w:tcPr>
            <w:tcW w:w="10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天祥东路东段</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星都大道一段头路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400</w:t>
            </w: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东港路</w:t>
            </w:r>
          </w:p>
        </w:tc>
        <w:tc>
          <w:tcPr>
            <w:tcW w:w="218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星都大道一星星路</w:t>
            </w:r>
          </w:p>
        </w:tc>
        <w:tc>
          <w:tcPr>
            <w:tcW w:w="7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1600</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沙桥路便道</w:t>
            </w:r>
          </w:p>
        </w:tc>
        <w:tc>
          <w:tcPr>
            <w:tcW w:w="227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藕花洲大街西段-临丁路</w:t>
            </w:r>
          </w:p>
        </w:tc>
        <w:tc>
          <w:tcPr>
            <w:tcW w:w="10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天韵路</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星都大道一天华路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600</w:t>
            </w: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宝旋路</w:t>
            </w:r>
          </w:p>
        </w:tc>
        <w:tc>
          <w:tcPr>
            <w:tcW w:w="218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就是星旋路（藕花洲大街西段一临丁路）</w:t>
            </w:r>
          </w:p>
        </w:tc>
        <w:tc>
          <w:tcPr>
            <w:tcW w:w="7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268</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auto"/>
                <w:sz w:val="24"/>
                <w:szCs w:val="24"/>
                <w:highlight w:val="none"/>
                <w:u w:val="none"/>
              </w:rPr>
            </w:pPr>
          </w:p>
        </w:tc>
        <w:tc>
          <w:tcPr>
            <w:tcW w:w="1027"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桐扣街</w:t>
            </w:r>
          </w:p>
        </w:tc>
        <w:tc>
          <w:tcPr>
            <w:tcW w:w="218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太平路一星桥南路</w:t>
            </w:r>
          </w:p>
        </w:tc>
        <w:tc>
          <w:tcPr>
            <w:tcW w:w="7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730</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auto"/>
                <w:sz w:val="24"/>
                <w:szCs w:val="24"/>
                <w:highlight w:val="none"/>
                <w:u w:val="none"/>
              </w:rPr>
            </w:pPr>
          </w:p>
        </w:tc>
        <w:tc>
          <w:tcPr>
            <w:tcW w:w="1027"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17</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星发街</w:t>
            </w:r>
          </w:p>
        </w:tc>
        <w:tc>
          <w:tcPr>
            <w:tcW w:w="218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望梅路一星都大道</w:t>
            </w:r>
          </w:p>
        </w:tc>
        <w:tc>
          <w:tcPr>
            <w:tcW w:w="7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2600</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auto"/>
                <w:sz w:val="24"/>
                <w:szCs w:val="24"/>
                <w:highlight w:val="none"/>
                <w:u w:val="none"/>
              </w:rPr>
            </w:pPr>
          </w:p>
        </w:tc>
        <w:tc>
          <w:tcPr>
            <w:tcW w:w="1027"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小计</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23185</w:t>
            </w:r>
          </w:p>
        </w:tc>
        <w:tc>
          <w:tcPr>
            <w:tcW w:w="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17791</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273"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auto"/>
                <w:sz w:val="24"/>
                <w:szCs w:val="24"/>
                <w:highlight w:val="none"/>
                <w:u w:val="none"/>
              </w:rPr>
            </w:pPr>
          </w:p>
        </w:tc>
        <w:tc>
          <w:tcPr>
            <w:tcW w:w="10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11244</w:t>
            </w:r>
          </w:p>
        </w:tc>
      </w:tr>
    </w:tbl>
    <w:p>
      <w:pPr>
        <w:pStyle w:val="59"/>
        <w:jc w:val="both"/>
        <w:rPr>
          <w:rFonts w:hint="eastAsia"/>
          <w:b/>
          <w:bCs/>
          <w:color w:val="auto"/>
          <w:sz w:val="32"/>
          <w:szCs w:val="32"/>
          <w:highlight w:val="none"/>
          <w:lang w:val="en-US" w:eastAsia="zh-CN"/>
        </w:rPr>
        <w:sectPr>
          <w:pgSz w:w="16838" w:h="11906" w:orient="landscape"/>
          <w:pgMar w:top="1797" w:right="1440" w:bottom="1797" w:left="1440" w:header="851" w:footer="992" w:gutter="0"/>
          <w:cols w:space="720" w:num="1"/>
          <w:titlePg/>
          <w:rtlGutter w:val="0"/>
          <w:docGrid w:type="lines" w:linePitch="312" w:charSpace="0"/>
        </w:sectPr>
      </w:pPr>
    </w:p>
    <w:p>
      <w:pPr>
        <w:pStyle w:val="59"/>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崇贤街道</w:t>
      </w:r>
    </w:p>
    <w:tbl>
      <w:tblPr>
        <w:tblStyle w:val="62"/>
        <w:tblW w:w="14829" w:type="dxa"/>
        <w:tblInd w:w="-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
        <w:gridCol w:w="1038"/>
        <w:gridCol w:w="2169"/>
        <w:gridCol w:w="843"/>
        <w:gridCol w:w="530"/>
        <w:gridCol w:w="1108"/>
        <w:gridCol w:w="2054"/>
        <w:gridCol w:w="900"/>
        <w:gridCol w:w="577"/>
        <w:gridCol w:w="1338"/>
        <w:gridCol w:w="2954"/>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1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w:t>
            </w:r>
          </w:p>
        </w:tc>
        <w:tc>
          <w:tcPr>
            <w:tcW w:w="459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二类</w:t>
            </w:r>
          </w:p>
        </w:tc>
        <w:tc>
          <w:tcPr>
            <w:tcW w:w="57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路名</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路名</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路名</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星海路</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众望街-龙腾街</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1320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尚贤街</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前村街-崇文街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640</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塘康路</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绕城高速-龙腾街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府新街</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崇超南路-星海南路</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450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尚民路</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塘康路-尚贤路</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377</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龙腾街</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洋弯路-崇超南路</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崇杭街</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沾驾桥路-崇超南路</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2750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崇文街</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拱宸外滩-龙腾街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1910</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前村街</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沾驾桥路-崇超南路</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崇超路</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众望街-龙腾街</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1120</w:t>
            </w:r>
          </w:p>
        </w:tc>
        <w:tc>
          <w:tcPr>
            <w:tcW w:w="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0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沾驾桥路</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前村街以南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0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众望街</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江南院子-崇超南路</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0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沾丁路</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前村街以南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0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崇昌路</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前村街-龙腾街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0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向阳路</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前村街-龙腾街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0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卧龙浜路</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前村街-崇文街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0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汇贤街</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崇超南路-星海南路</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0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府西路</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众望街-前村街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0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联合路</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前村街-崇杭街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0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尚德路</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龙腾街-崇文街</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小计</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5640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小计</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0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2927</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小计</w:t>
            </w:r>
          </w:p>
        </w:tc>
        <w:tc>
          <w:tcPr>
            <w:tcW w:w="13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13778</w:t>
            </w:r>
          </w:p>
        </w:tc>
      </w:tr>
    </w:tbl>
    <w:p>
      <w:pPr>
        <w:pStyle w:val="59"/>
        <w:jc w:val="both"/>
        <w:rPr>
          <w:rFonts w:hint="eastAsia"/>
          <w:b/>
          <w:bCs/>
          <w:color w:val="auto"/>
          <w:sz w:val="32"/>
          <w:szCs w:val="32"/>
          <w:highlight w:val="none"/>
          <w:lang w:val="en-US" w:eastAsia="zh-CN"/>
        </w:rPr>
        <w:sectPr>
          <w:pgSz w:w="16838" w:h="11906" w:orient="landscape"/>
          <w:pgMar w:top="1797" w:right="1440" w:bottom="1797" w:left="1440" w:header="851" w:footer="992" w:gutter="0"/>
          <w:cols w:space="720" w:num="1"/>
          <w:titlePg/>
          <w:rtlGutter w:val="0"/>
          <w:docGrid w:type="lines" w:linePitch="312" w:charSpace="0"/>
        </w:sectPr>
      </w:pPr>
    </w:p>
    <w:p>
      <w:pPr>
        <w:ind w:firstLine="7068" w:firstLineChars="2200"/>
        <w:rPr>
          <w:rFonts w:hint="eastAsia"/>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塘栖镇</w:t>
      </w:r>
    </w:p>
    <w:tbl>
      <w:tblPr>
        <w:tblStyle w:val="62"/>
        <w:tblW w:w="14379"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185"/>
        <w:gridCol w:w="1890"/>
        <w:gridCol w:w="720"/>
        <w:gridCol w:w="465"/>
        <w:gridCol w:w="1170"/>
        <w:gridCol w:w="1920"/>
        <w:gridCol w:w="691"/>
        <w:gridCol w:w="577"/>
        <w:gridCol w:w="1615"/>
        <w:gridCol w:w="243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w:t>
            </w:r>
          </w:p>
        </w:tc>
        <w:tc>
          <w:tcPr>
            <w:tcW w:w="424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二类</w:t>
            </w:r>
          </w:p>
        </w:tc>
        <w:tc>
          <w:tcPr>
            <w:tcW w:w="557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道路名称</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起始点</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道路名称</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起始点</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道路名称</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起始点</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塘栖路</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运溪路-运河</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3080</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圆满路</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运溪路-运河</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1220</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鼎盛街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塘栖路-西界河路</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绿荫街</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塘栖路-圆满路</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1670</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文苑路</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运溪路-人民路</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750</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西小河街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西小河公寓-圆满路</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人民路</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塘栖路-圆满路</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1450</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石目路</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运溪路-绿荫街</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500</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东仁路步行街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东小河街-里仁路</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广济路</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运溪路-塘栖古镇</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1230</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圣堂漾路</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人民路-西石塘街</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515</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市新街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致和堂街-东小河街</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298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皮匠弄</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致和堂街-西石塘街</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里仁路</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塘栖路-花园桥</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西横头街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广济路-圆满路</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334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致和堂街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广济路</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485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北小河街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西小河街-西石塘街</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中心街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东小河街-致和堂街</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东小河街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塘栖路-东小河公寓</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仓桥路</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西小河街-致和堂街</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西界河路</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运溪路-绿荫街</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西石塘街</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花园桥-圆满路</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里仁北路</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塘姚线-大苑线</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塘姚线</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里仁路-里仁北路</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20" w:type="dxa"/>
            <w:tcBorders>
              <w:top w:val="nil"/>
              <w:left w:val="nil"/>
              <w:bottom w:val="nil"/>
              <w:right w:val="nil"/>
            </w:tcBorders>
            <w:vAlign w:val="bottom"/>
          </w:tcPr>
          <w:p>
            <w:pPr>
              <w:rPr>
                <w:rFonts w:hint="eastAsia" w:ascii="仿宋" w:hAnsi="仿宋" w:eastAsia="仿宋" w:cs="仿宋"/>
                <w:i w:val="0"/>
                <w:iCs w:val="0"/>
                <w:color w:val="auto"/>
                <w:sz w:val="24"/>
                <w:szCs w:val="24"/>
                <w:highlight w:val="none"/>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1" w:type="dxa"/>
            <w:tcBorders>
              <w:top w:val="nil"/>
              <w:left w:val="nil"/>
              <w:bottom w:val="nil"/>
              <w:right w:val="nil"/>
            </w:tcBorders>
            <w:vAlign w:val="bottom"/>
          </w:tcPr>
          <w:p>
            <w:pPr>
              <w:rPr>
                <w:rFonts w:hint="eastAsia" w:ascii="仿宋" w:hAnsi="仿宋" w:eastAsia="仿宋" w:cs="仿宋"/>
                <w:i w:val="0"/>
                <w:iCs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17</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圆满路延伸里仁北路段</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里仁北路-西石塘街</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小计</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7430</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2985</w:t>
            </w: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1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2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8040 </w:t>
            </w:r>
          </w:p>
        </w:tc>
      </w:tr>
    </w:tbl>
    <w:p>
      <w:pPr>
        <w:pStyle w:val="59"/>
        <w:jc w:val="both"/>
        <w:rPr>
          <w:rFonts w:hint="eastAsia" w:ascii="宋体" w:hAnsi="宋体" w:eastAsia="宋体" w:cs="宋体"/>
          <w:b/>
          <w:bCs/>
          <w:color w:val="auto"/>
          <w:sz w:val="24"/>
          <w:szCs w:val="24"/>
          <w:highlight w:val="none"/>
          <w:lang w:val="en-US" w:eastAsia="zh-CN"/>
        </w:rPr>
        <w:sectPr>
          <w:pgSz w:w="16838" w:h="11906" w:orient="landscape"/>
          <w:pgMar w:top="1797" w:right="1440" w:bottom="1797" w:left="1440" w:header="851" w:footer="992" w:gutter="0"/>
          <w:cols w:space="720" w:num="1"/>
          <w:titlePg/>
          <w:rtlGutter w:val="0"/>
          <w:docGrid w:type="lines" w:linePitch="312" w:charSpace="0"/>
        </w:sectPr>
      </w:pPr>
      <w:r>
        <w:rPr>
          <w:rFonts w:hint="eastAsia"/>
          <w:b w:val="0"/>
          <w:bCs w:val="0"/>
          <w:color w:val="auto"/>
          <w:sz w:val="24"/>
          <w:szCs w:val="24"/>
          <w:highlight w:val="none"/>
          <w:lang w:val="en-US" w:eastAsia="zh-CN"/>
        </w:rPr>
        <w:t>注：</w:t>
      </w:r>
      <w:r>
        <w:rPr>
          <w:rFonts w:hint="eastAsia" w:ascii="宋体" w:hAnsi="宋体" w:eastAsia="宋体" w:cs="宋体"/>
          <w:b/>
          <w:bCs/>
          <w:color w:val="auto"/>
          <w:sz w:val="24"/>
          <w:szCs w:val="24"/>
          <w:highlight w:val="none"/>
          <w:lang w:val="en-US" w:eastAsia="zh-CN"/>
        </w:rPr>
        <w:t>具体以项目</w:t>
      </w:r>
      <w:r>
        <w:rPr>
          <w:rFonts w:hint="eastAsia" w:ascii="宋体" w:hAnsi="宋体" w:eastAsia="宋体" w:cs="宋体"/>
          <w:b/>
          <w:bCs/>
          <w:color w:val="auto"/>
          <w:sz w:val="24"/>
          <w:szCs w:val="24"/>
          <w:highlight w:val="none"/>
        </w:rPr>
        <w:t>实施范围</w:t>
      </w:r>
      <w:r>
        <w:rPr>
          <w:rFonts w:hint="eastAsia" w:ascii="宋体" w:hAnsi="宋体" w:eastAsia="宋体" w:cs="宋体"/>
          <w:b/>
          <w:bCs/>
          <w:color w:val="auto"/>
          <w:sz w:val="24"/>
          <w:szCs w:val="24"/>
          <w:highlight w:val="none"/>
          <w:lang w:eastAsia="zh-CN"/>
        </w:rPr>
        <w:t>为准</w:t>
      </w:r>
    </w:p>
    <w:p>
      <w:pPr>
        <w:pStyle w:val="25"/>
        <w:tabs>
          <w:tab w:val="left" w:pos="426"/>
        </w:tabs>
        <w:spacing w:line="360" w:lineRule="auto"/>
        <w:ind w:firstLine="723"/>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lang w:eastAsia="zh-CN"/>
        </w:rPr>
        <w:t>临平区</w:t>
      </w:r>
      <w:r>
        <w:rPr>
          <w:rFonts w:hint="eastAsia" w:ascii="宋体" w:hAnsi="宋体" w:eastAsia="宋体" w:cs="宋体"/>
          <w:b/>
          <w:color w:val="auto"/>
          <w:sz w:val="36"/>
          <w:szCs w:val="36"/>
          <w:highlight w:val="none"/>
        </w:rPr>
        <w:t>数字城管信息采集绩效评价办法</w:t>
      </w:r>
    </w:p>
    <w:p>
      <w:pPr>
        <w:spacing w:line="360" w:lineRule="auto"/>
        <w:ind w:firstLine="480" w:firstLineChars="200"/>
        <w:rPr>
          <w:rFonts w:ascii="仿宋_GB2312" w:eastAsia="仿宋_GB2312"/>
          <w:color w:val="auto"/>
          <w:sz w:val="32"/>
          <w:szCs w:val="32"/>
          <w:highlight w:val="none"/>
        </w:rPr>
      </w:pPr>
      <w:r>
        <w:rPr>
          <w:rFonts w:hint="eastAsia" w:ascii="仿宋_GB2312" w:eastAsia="仿宋_GB2312"/>
          <w:color w:val="auto"/>
          <w:sz w:val="24"/>
          <w:szCs w:val="24"/>
          <w:highlight w:val="none"/>
        </w:rPr>
        <w:t>为践行新发展理念，服务保障具有独特韵味的世界名城建设，展现重要窗口的“头雁风采”；强化队伍管理</w:t>
      </w:r>
      <w:r>
        <w:rPr>
          <w:rFonts w:hint="eastAsia" w:ascii="Calibri" w:hAnsi="Calibri" w:eastAsia="仿宋_GB2312"/>
          <w:color w:val="auto"/>
          <w:sz w:val="24"/>
          <w:szCs w:val="24"/>
          <w:highlight w:val="none"/>
        </w:rPr>
        <w:t>、</w:t>
      </w:r>
      <w:r>
        <w:rPr>
          <w:rFonts w:hint="eastAsia" w:ascii="仿宋_GB2312" w:eastAsia="仿宋_GB2312"/>
          <w:color w:val="auto"/>
          <w:sz w:val="24"/>
          <w:szCs w:val="24"/>
          <w:highlight w:val="none"/>
        </w:rPr>
        <w:t>破解顽症难题，实现城市管理水平新提升，现根据杭州市数字城管信息采集工作的实际需要，制定本评价办法。</w:t>
      </w:r>
    </w:p>
    <w:p>
      <w:pPr>
        <w:spacing w:line="360" w:lineRule="auto"/>
        <w:ind w:firstLine="480" w:firstLineChars="200"/>
        <w:rPr>
          <w:rFonts w:ascii="黑体" w:eastAsia="黑体"/>
          <w:color w:val="auto"/>
          <w:sz w:val="24"/>
          <w:szCs w:val="24"/>
          <w:highlight w:val="none"/>
        </w:rPr>
      </w:pPr>
      <w:r>
        <w:rPr>
          <w:rFonts w:hint="eastAsia" w:ascii="黑体" w:eastAsia="黑体"/>
          <w:color w:val="auto"/>
          <w:sz w:val="24"/>
          <w:szCs w:val="24"/>
          <w:highlight w:val="none"/>
        </w:rPr>
        <w:t>一、评价对象</w:t>
      </w:r>
    </w:p>
    <w:p>
      <w:pPr>
        <w:spacing w:line="360" w:lineRule="auto"/>
        <w:ind w:firstLine="480" w:firstLineChars="200"/>
        <w:rPr>
          <w:rFonts w:hint="eastAsia" w:ascii="仿宋" w:hAnsi="仿宋" w:eastAsia="仿宋" w:cs="仿宋_GB2312"/>
          <w:color w:val="auto"/>
          <w:sz w:val="24"/>
          <w:szCs w:val="24"/>
          <w:highlight w:val="none"/>
          <w:lang w:val="zh-CN"/>
        </w:rPr>
      </w:pPr>
      <w:r>
        <w:rPr>
          <w:rFonts w:hint="eastAsia" w:ascii="仿宋" w:hAnsi="仿宋" w:eastAsia="仿宋" w:cs="仿宋_GB2312"/>
          <w:color w:val="auto"/>
          <w:sz w:val="24"/>
          <w:szCs w:val="24"/>
          <w:highlight w:val="none"/>
          <w:lang w:val="zh-CN"/>
        </w:rPr>
        <w:t>临平区域内数字城管信息采集项目中标企业。</w:t>
      </w:r>
    </w:p>
    <w:p>
      <w:pPr>
        <w:spacing w:line="360" w:lineRule="auto"/>
        <w:ind w:firstLine="480" w:firstLineChars="200"/>
        <w:rPr>
          <w:rFonts w:ascii="黑体" w:eastAsia="黑体"/>
          <w:color w:val="auto"/>
          <w:sz w:val="24"/>
          <w:szCs w:val="24"/>
          <w:highlight w:val="none"/>
        </w:rPr>
      </w:pPr>
      <w:r>
        <w:rPr>
          <w:rFonts w:hint="eastAsia" w:ascii="黑体" w:eastAsia="黑体"/>
          <w:color w:val="auto"/>
          <w:sz w:val="24"/>
          <w:szCs w:val="24"/>
          <w:highlight w:val="none"/>
        </w:rPr>
        <w:t>二、评价内容</w:t>
      </w:r>
    </w:p>
    <w:p>
      <w:pPr>
        <w:spacing w:line="360" w:lineRule="auto"/>
        <w:ind w:firstLine="482" w:firstLineChars="200"/>
        <w:rPr>
          <w:rFonts w:ascii="楷体" w:hAnsi="楷体" w:eastAsia="楷体" w:cs="楷体"/>
          <w:b/>
          <w:bCs/>
          <w:color w:val="auto"/>
          <w:sz w:val="24"/>
          <w:szCs w:val="24"/>
          <w:highlight w:val="none"/>
        </w:rPr>
      </w:pPr>
      <w:r>
        <w:rPr>
          <w:rFonts w:ascii="楷体" w:hAnsi="楷体" w:eastAsia="楷体" w:cs="楷体"/>
          <w:b/>
          <w:bCs/>
          <w:color w:val="auto"/>
          <w:sz w:val="24"/>
          <w:szCs w:val="24"/>
          <w:highlight w:val="none"/>
        </w:rPr>
        <w:t>(一)结果指标</w:t>
      </w:r>
    </w:p>
    <w:p>
      <w:pPr>
        <w:spacing w:line="360" w:lineRule="auto"/>
        <w:ind w:firstLine="482" w:firstLineChars="200"/>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1.</w:t>
      </w:r>
      <w:r>
        <w:rPr>
          <w:rFonts w:hint="eastAsia" w:ascii="仿宋_GB2312" w:hAnsi="仿宋" w:eastAsia="仿宋_GB2312" w:cs="仿宋"/>
          <w:b/>
          <w:bCs/>
          <w:color w:val="auto"/>
          <w:sz w:val="24"/>
          <w:szCs w:val="24"/>
          <w:highlight w:val="none"/>
        </w:rPr>
        <w:t>全面性</w:t>
      </w:r>
    </w:p>
    <w:p>
      <w:pPr>
        <w:pStyle w:val="167"/>
        <w:spacing w:line="360" w:lineRule="auto"/>
        <w:ind w:firstLine="330" w:firstLineChars="137"/>
        <w:rPr>
          <w:rFonts w:hint="eastAsia" w:ascii="仿宋_GB2312" w:eastAsia="仿宋_GB2312"/>
          <w:color w:val="auto"/>
          <w:sz w:val="24"/>
          <w:szCs w:val="24"/>
          <w:highlight w:val="none"/>
        </w:rPr>
      </w:pPr>
      <w:r>
        <w:rPr>
          <w:rFonts w:hint="eastAsia" w:ascii="仿宋_GB2312" w:eastAsia="仿宋_GB2312"/>
          <w:b/>
          <w:bCs/>
          <w:color w:val="auto"/>
          <w:sz w:val="24"/>
          <w:szCs w:val="24"/>
          <w:highlight w:val="none"/>
        </w:rPr>
        <w:t>（</w:t>
      </w:r>
      <w:r>
        <w:rPr>
          <w:rFonts w:hint="eastAsia" w:ascii="仿宋_GB2312" w:eastAsia="仿宋_GB2312"/>
          <w:b/>
          <w:bCs/>
          <w:color w:val="auto"/>
          <w:sz w:val="24"/>
          <w:szCs w:val="24"/>
          <w:highlight w:val="none"/>
          <w:lang w:val="en-US" w:eastAsia="zh-CN"/>
        </w:rPr>
        <w:t>1</w:t>
      </w:r>
      <w:r>
        <w:rPr>
          <w:rFonts w:hint="eastAsia" w:ascii="仿宋_GB2312" w:eastAsia="仿宋_GB2312"/>
          <w:b/>
          <w:bCs/>
          <w:color w:val="auto"/>
          <w:sz w:val="24"/>
          <w:szCs w:val="24"/>
          <w:highlight w:val="none"/>
        </w:rPr>
        <w:t>）漏报件。</w:t>
      </w:r>
      <w:r>
        <w:rPr>
          <w:rFonts w:hint="eastAsia" w:ascii="仿宋_GB2312" w:hAnsi="仿宋" w:eastAsia="仿宋_GB2312" w:cs="仿宋"/>
          <w:bCs/>
          <w:color w:val="auto"/>
          <w:sz w:val="24"/>
          <w:szCs w:val="24"/>
          <w:highlight w:val="none"/>
          <w:lang w:eastAsia="zh-CN"/>
        </w:rPr>
        <w:t>确保采集工作区域内无漏报件，含媒体曝光、领导批示、市民投诉、上级部门检查、指挥保障检查及行业监管部门反映的各类问题</w:t>
      </w:r>
      <w:r>
        <w:rPr>
          <w:rFonts w:hint="eastAsia" w:ascii="仿宋_GB2312" w:hAnsi="仿宋" w:eastAsia="仿宋_GB2312" w:cs="仿宋"/>
          <w:bCs/>
          <w:color w:val="auto"/>
          <w:sz w:val="24"/>
          <w:szCs w:val="24"/>
          <w:highlight w:val="none"/>
        </w:rPr>
        <w:t>。</w:t>
      </w:r>
    </w:p>
    <w:p>
      <w:pPr>
        <w:pStyle w:val="167"/>
        <w:spacing w:line="360" w:lineRule="auto"/>
        <w:ind w:firstLine="330" w:firstLineChars="137"/>
        <w:rPr>
          <w:rFonts w:ascii="仿宋_GB2312" w:hAnsi="宋体" w:eastAsia="仿宋_GB2312"/>
          <w:color w:val="auto"/>
          <w:sz w:val="24"/>
          <w:szCs w:val="24"/>
          <w:highlight w:val="none"/>
        </w:rPr>
      </w:pPr>
      <w:r>
        <w:rPr>
          <w:rFonts w:hint="eastAsia" w:ascii="仿宋_GB2312" w:hAnsi="仿宋" w:eastAsia="仿宋_GB2312" w:cs="仿宋"/>
          <w:b/>
          <w:color w:val="auto"/>
          <w:sz w:val="24"/>
          <w:szCs w:val="24"/>
          <w:highlight w:val="none"/>
        </w:rPr>
        <w:t>（</w:t>
      </w:r>
      <w:r>
        <w:rPr>
          <w:rFonts w:hint="eastAsia" w:ascii="仿宋_GB2312" w:hAnsi="仿宋" w:eastAsia="仿宋_GB2312" w:cs="仿宋"/>
          <w:b/>
          <w:color w:val="auto"/>
          <w:sz w:val="24"/>
          <w:szCs w:val="24"/>
          <w:highlight w:val="none"/>
          <w:lang w:val="en-US" w:eastAsia="zh-CN"/>
        </w:rPr>
        <w:t>2</w:t>
      </w:r>
      <w:r>
        <w:rPr>
          <w:rFonts w:hint="eastAsia" w:ascii="仿宋_GB2312" w:hAnsi="仿宋" w:eastAsia="仿宋_GB2312" w:cs="仿宋"/>
          <w:b/>
          <w:color w:val="auto"/>
          <w:sz w:val="24"/>
          <w:szCs w:val="24"/>
          <w:highlight w:val="none"/>
        </w:rPr>
        <w:t>）类别覆盖率。</w:t>
      </w:r>
      <w:r>
        <w:rPr>
          <w:rFonts w:hint="eastAsia" w:ascii="仿宋_GB2312" w:hAnsi="仿宋" w:eastAsia="仿宋_GB2312" w:cs="仿宋"/>
          <w:bCs/>
          <w:color w:val="auto"/>
          <w:sz w:val="24"/>
          <w:szCs w:val="24"/>
          <w:highlight w:val="none"/>
        </w:rPr>
        <w:t>类别覆盖率是指每月正常立案派遣的有效立案类别数占核定的事、部类别总数的比重。</w:t>
      </w:r>
      <w:r>
        <w:rPr>
          <w:rFonts w:hint="eastAsia" w:ascii="仿宋_GB2312" w:hAnsi="宋体" w:eastAsia="仿宋_GB2312"/>
          <w:color w:val="auto"/>
          <w:sz w:val="24"/>
          <w:szCs w:val="24"/>
          <w:highlight w:val="none"/>
        </w:rPr>
        <w:t>其计算公式为：类别覆盖率</w:t>
      </w:r>
      <w:r>
        <w:rPr>
          <w:rFonts w:ascii="仿宋_GB2312" w:hAnsi="宋体" w:eastAsia="仿宋_GB2312"/>
          <w:color w:val="auto"/>
          <w:sz w:val="24"/>
          <w:szCs w:val="24"/>
          <w:highlight w:val="none"/>
        </w:rPr>
        <w:t>=有效立案类别数/核定</w:t>
      </w:r>
      <w:r>
        <w:rPr>
          <w:rFonts w:hint="eastAsia" w:ascii="仿宋_GB2312" w:hAnsi="宋体" w:eastAsia="仿宋_GB2312"/>
          <w:color w:val="auto"/>
          <w:sz w:val="24"/>
          <w:szCs w:val="24"/>
          <w:highlight w:val="none"/>
        </w:rPr>
        <w:t>的事部件类别总数。</w:t>
      </w:r>
    </w:p>
    <w:p>
      <w:pPr>
        <w:pStyle w:val="167"/>
        <w:spacing w:line="360" w:lineRule="auto"/>
        <w:ind w:firstLine="480" w:firstLineChars="200"/>
        <w:rPr>
          <w:rFonts w:hint="eastAsia"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采集公司</w:t>
      </w:r>
      <w:r>
        <w:rPr>
          <w:rFonts w:hint="eastAsia" w:ascii="仿宋_GB2312" w:hAnsi="仿宋" w:eastAsia="仿宋_GB2312" w:cs="仿宋"/>
          <w:color w:val="auto"/>
          <w:sz w:val="24"/>
          <w:szCs w:val="24"/>
          <w:highlight w:val="none"/>
        </w:rPr>
        <w:t>每月采集覆盖类别应不少于核定事、部件类别总数的</w:t>
      </w:r>
      <w:r>
        <w:rPr>
          <w:rFonts w:ascii="仿宋_GB2312" w:hAnsi="仿宋" w:eastAsia="仿宋_GB2312" w:cs="仿宋"/>
          <w:color w:val="auto"/>
          <w:sz w:val="24"/>
          <w:szCs w:val="24"/>
          <w:highlight w:val="none"/>
        </w:rPr>
        <w:t>80%。</w:t>
      </w:r>
      <w:r>
        <w:rPr>
          <w:rFonts w:hint="eastAsia" w:ascii="仿宋_GB2312" w:hAnsi="仿宋" w:eastAsia="仿宋_GB2312" w:cs="仿宋"/>
          <w:bCs/>
          <w:color w:val="auto"/>
          <w:sz w:val="24"/>
          <w:szCs w:val="24"/>
          <w:highlight w:val="none"/>
        </w:rPr>
        <w:t>有效立案类别数计算方式：剔除作废案卷后，立案数大于</w:t>
      </w:r>
      <w:r>
        <w:rPr>
          <w:rFonts w:ascii="仿宋_GB2312" w:hAnsi="仿宋" w:eastAsia="仿宋_GB2312" w:cs="仿宋"/>
          <w:bCs/>
          <w:color w:val="auto"/>
          <w:sz w:val="24"/>
          <w:szCs w:val="24"/>
          <w:highlight w:val="none"/>
        </w:rPr>
        <w:t>3的类别数+立案数小于等于3的类别数*0.5；当月遇有连续7天（含）以上假期、应急保障或38摄氏度以上高温保障任务时，为立案数大于2的类别数+立案数小于等于2的类别数*0.5；但</w:t>
      </w:r>
      <w:r>
        <w:rPr>
          <w:rFonts w:hint="eastAsia" w:ascii="仿宋_GB2312" w:hAnsi="仿宋" w:eastAsia="仿宋_GB2312" w:cs="仿宋"/>
          <w:bCs/>
          <w:color w:val="auto"/>
          <w:sz w:val="24"/>
          <w:szCs w:val="24"/>
          <w:highlight w:val="none"/>
        </w:rPr>
        <w:t>当月有重大案卷的类别除外。核定的事部件类别总数是指不考虑个别因素确定的数字城管事部件类别数。根据《杭州市数字化城市管理部件和事件立案结案规范（2020年修订版）》的相关规定暂定为为1</w:t>
      </w:r>
      <w:r>
        <w:rPr>
          <w:rFonts w:hint="eastAsia" w:ascii="仿宋_GB2312" w:hAnsi="仿宋" w:eastAsia="仿宋_GB2312" w:cs="仿宋"/>
          <w:bCs/>
          <w:color w:val="auto"/>
          <w:sz w:val="24"/>
          <w:szCs w:val="24"/>
          <w:highlight w:val="none"/>
          <w:lang w:val="en-US" w:eastAsia="zh-CN"/>
        </w:rPr>
        <w:t>34</w:t>
      </w:r>
      <w:r>
        <w:rPr>
          <w:rFonts w:ascii="仿宋_GB2312" w:hAnsi="仿宋" w:eastAsia="仿宋_GB2312" w:cs="仿宋"/>
          <w:bCs/>
          <w:color w:val="auto"/>
          <w:sz w:val="24"/>
          <w:szCs w:val="24"/>
          <w:highlight w:val="none"/>
        </w:rPr>
        <w:t>类</w:t>
      </w:r>
      <w:r>
        <w:rPr>
          <w:rFonts w:hint="eastAsia" w:ascii="仿宋_GB2312" w:hAnsi="仿宋" w:eastAsia="仿宋_GB2312" w:cs="仿宋"/>
          <w:bCs/>
          <w:color w:val="auto"/>
          <w:sz w:val="24"/>
          <w:szCs w:val="24"/>
          <w:highlight w:val="none"/>
        </w:rPr>
        <w:t xml:space="preserve">（如因实际情况变化以会议纪要明确为准）。  </w:t>
      </w:r>
    </w:p>
    <w:p>
      <w:pPr>
        <w:pStyle w:val="167"/>
        <w:spacing w:line="360" w:lineRule="auto"/>
        <w:ind w:firstLine="330" w:firstLineChars="137"/>
        <w:rPr>
          <w:rFonts w:hint="eastAsia" w:ascii="仿宋_GB2312" w:hAnsi="仿宋" w:eastAsia="仿宋_GB2312" w:cs="仿宋"/>
          <w:bCs/>
          <w:color w:val="auto"/>
          <w:sz w:val="24"/>
          <w:szCs w:val="24"/>
          <w:highlight w:val="none"/>
        </w:rPr>
      </w:pPr>
      <w:r>
        <w:rPr>
          <w:rFonts w:hint="eastAsia" w:ascii="仿宋_GB2312" w:hAnsi="仿宋" w:eastAsia="仿宋_GB2312" w:cs="仿宋"/>
          <w:b/>
          <w:bCs/>
          <w:color w:val="auto"/>
          <w:sz w:val="24"/>
          <w:szCs w:val="24"/>
          <w:highlight w:val="none"/>
        </w:rPr>
        <w:t>（</w:t>
      </w:r>
      <w:r>
        <w:rPr>
          <w:rFonts w:hint="eastAsia" w:ascii="仿宋_GB2312" w:hAnsi="仿宋" w:eastAsia="仿宋_GB2312" w:cs="仿宋"/>
          <w:b/>
          <w:bCs/>
          <w:color w:val="auto"/>
          <w:sz w:val="24"/>
          <w:szCs w:val="24"/>
          <w:highlight w:val="none"/>
          <w:lang w:val="en-US" w:eastAsia="zh-CN"/>
        </w:rPr>
        <w:t>3</w:t>
      </w:r>
      <w:r>
        <w:rPr>
          <w:rFonts w:hint="eastAsia" w:ascii="仿宋_GB2312" w:hAnsi="仿宋" w:eastAsia="仿宋_GB2312" w:cs="仿宋"/>
          <w:b/>
          <w:bCs/>
          <w:color w:val="auto"/>
          <w:sz w:val="24"/>
          <w:szCs w:val="24"/>
          <w:highlight w:val="none"/>
        </w:rPr>
        <w:t>）视频采集。</w:t>
      </w:r>
      <w:r>
        <w:rPr>
          <w:rFonts w:hint="eastAsia" w:ascii="仿宋_GB2312" w:hAnsi="仿宋" w:eastAsia="仿宋_GB2312" w:cs="仿宋"/>
          <w:bCs/>
          <w:color w:val="auto"/>
          <w:sz w:val="24"/>
          <w:szCs w:val="24"/>
          <w:highlight w:val="none"/>
          <w:lang w:eastAsia="zh-CN"/>
        </w:rPr>
        <w:t>各采集公司应建立常态化视频巡查制度，</w:t>
      </w:r>
      <w:r>
        <w:rPr>
          <w:rFonts w:hint="eastAsia" w:ascii="仿宋_GB2312" w:hAnsi="仿宋" w:eastAsia="仿宋_GB2312" w:cs="仿宋"/>
          <w:bCs/>
          <w:color w:val="auto"/>
          <w:sz w:val="24"/>
          <w:szCs w:val="24"/>
          <w:highlight w:val="none"/>
        </w:rPr>
        <w:t>落实专人每日开展视频巡查，并将发现</w:t>
      </w:r>
      <w:r>
        <w:rPr>
          <w:rFonts w:hint="eastAsia" w:ascii="仿宋_GB2312" w:hAnsi="仿宋" w:eastAsia="仿宋_GB2312" w:cs="仿宋"/>
          <w:bCs/>
          <w:color w:val="auto"/>
          <w:sz w:val="24"/>
          <w:szCs w:val="24"/>
          <w:highlight w:val="none"/>
          <w:lang w:eastAsia="zh-CN"/>
        </w:rPr>
        <w:t>的</w:t>
      </w:r>
      <w:r>
        <w:rPr>
          <w:rFonts w:hint="eastAsia" w:ascii="仿宋_GB2312" w:hAnsi="仿宋" w:eastAsia="仿宋_GB2312" w:cs="仿宋"/>
          <w:bCs/>
          <w:color w:val="auto"/>
          <w:sz w:val="24"/>
          <w:szCs w:val="24"/>
          <w:highlight w:val="none"/>
        </w:rPr>
        <w:t>问题及时</w:t>
      </w:r>
      <w:r>
        <w:rPr>
          <w:rFonts w:hint="eastAsia" w:ascii="仿宋_GB2312" w:hAnsi="仿宋" w:eastAsia="仿宋_GB2312" w:cs="仿宋"/>
          <w:bCs/>
          <w:color w:val="auto"/>
          <w:sz w:val="24"/>
          <w:szCs w:val="24"/>
          <w:highlight w:val="none"/>
          <w:lang w:eastAsia="zh-CN"/>
        </w:rPr>
        <w:t>立案</w:t>
      </w:r>
      <w:r>
        <w:rPr>
          <w:rFonts w:hint="eastAsia" w:ascii="仿宋_GB2312" w:hAnsi="仿宋" w:eastAsia="仿宋_GB2312" w:cs="仿宋"/>
          <w:bCs/>
          <w:color w:val="auto"/>
          <w:sz w:val="24"/>
          <w:szCs w:val="24"/>
          <w:highlight w:val="none"/>
        </w:rPr>
        <w:t>交办处置。在国庆、春节等重大节假日期间，应加大巡查频次。</w:t>
      </w:r>
    </w:p>
    <w:p>
      <w:pPr>
        <w:pStyle w:val="167"/>
        <w:spacing w:line="360" w:lineRule="auto"/>
        <w:ind w:firstLine="482" w:firstLineChars="200"/>
        <w:rPr>
          <w:rFonts w:hint="eastAsia" w:ascii="仿宋_GB2312" w:eastAsia="仿宋_GB2312"/>
          <w:b/>
          <w:color w:val="auto"/>
          <w:sz w:val="24"/>
          <w:szCs w:val="24"/>
          <w:highlight w:val="none"/>
        </w:rPr>
      </w:pPr>
      <w:r>
        <w:rPr>
          <w:rFonts w:ascii="仿宋_GB2312" w:hAnsi="仿宋" w:eastAsia="仿宋_GB2312" w:cs="仿宋"/>
          <w:b/>
          <w:color w:val="auto"/>
          <w:kern w:val="0"/>
          <w:sz w:val="24"/>
          <w:szCs w:val="24"/>
          <w:highlight w:val="none"/>
        </w:rPr>
        <w:t>2.</w:t>
      </w:r>
      <w:r>
        <w:rPr>
          <w:rFonts w:hint="eastAsia" w:ascii="仿宋_GB2312" w:hAnsi="仿宋" w:eastAsia="仿宋_GB2312" w:cs="仿宋"/>
          <w:b/>
          <w:color w:val="auto"/>
          <w:kern w:val="0"/>
          <w:sz w:val="24"/>
          <w:szCs w:val="24"/>
          <w:highlight w:val="none"/>
        </w:rPr>
        <w:t>准确性</w:t>
      </w:r>
    </w:p>
    <w:p>
      <w:pPr>
        <w:pStyle w:val="167"/>
        <w:spacing w:line="360" w:lineRule="auto"/>
        <w:ind w:firstLine="330" w:firstLineChars="137"/>
        <w:rPr>
          <w:rFonts w:hint="eastAsia" w:ascii="仿宋_GB2312" w:hAnsi="仿宋" w:eastAsia="仿宋_GB2312" w:cs="仿宋"/>
          <w:color w:val="auto"/>
          <w:sz w:val="24"/>
          <w:szCs w:val="24"/>
          <w:highlight w:val="none"/>
        </w:rPr>
      </w:pPr>
      <w:r>
        <w:rPr>
          <w:rFonts w:hint="eastAsia" w:ascii="仿宋_GB2312" w:hAnsi="仿宋" w:eastAsia="仿宋_GB2312" w:cs="仿宋"/>
          <w:b/>
          <w:color w:val="auto"/>
          <w:sz w:val="24"/>
          <w:szCs w:val="24"/>
          <w:highlight w:val="none"/>
        </w:rPr>
        <w:t>差错件。</w:t>
      </w:r>
      <w:r>
        <w:rPr>
          <w:rFonts w:hint="eastAsia" w:ascii="仿宋_GB2312" w:hAnsi="仿宋" w:eastAsia="仿宋_GB2312" w:cs="仿宋"/>
          <w:color w:val="auto"/>
          <w:sz w:val="24"/>
          <w:szCs w:val="24"/>
          <w:highlight w:val="none"/>
        </w:rPr>
        <w:t>采集（立案）、核实（查）差错</w:t>
      </w:r>
      <w:r>
        <w:rPr>
          <w:rFonts w:hint="eastAsia" w:ascii="仿宋_GB2312" w:hAnsi="仿宋" w:eastAsia="仿宋_GB2312" w:cs="仿宋"/>
          <w:color w:val="auto"/>
          <w:sz w:val="24"/>
          <w:szCs w:val="24"/>
          <w:highlight w:val="none"/>
          <w:lang w:eastAsia="zh-CN"/>
        </w:rPr>
        <w:t>的</w:t>
      </w:r>
      <w:r>
        <w:rPr>
          <w:rFonts w:hint="eastAsia" w:ascii="仿宋_GB2312" w:hAnsi="仿宋" w:eastAsia="仿宋_GB2312" w:cs="仿宋"/>
          <w:color w:val="auto"/>
          <w:sz w:val="24"/>
          <w:szCs w:val="24"/>
          <w:highlight w:val="none"/>
          <w:lang w:val="en-US" w:eastAsia="zh-CN"/>
        </w:rPr>
        <w:t>；</w:t>
      </w:r>
      <w:r>
        <w:rPr>
          <w:rFonts w:hint="eastAsia" w:ascii="仿宋_GB2312" w:hAnsi="仿宋" w:eastAsia="仿宋_GB2312" w:cs="仿宋"/>
          <w:color w:val="auto"/>
          <w:sz w:val="24"/>
          <w:szCs w:val="24"/>
          <w:highlight w:val="none"/>
        </w:rPr>
        <w:t>被上级主管部门扣分或给问题处置带来重大影响</w:t>
      </w:r>
      <w:r>
        <w:rPr>
          <w:rFonts w:hint="eastAsia" w:ascii="仿宋_GB2312" w:hAnsi="仿宋" w:eastAsia="仿宋_GB2312" w:cs="仿宋"/>
          <w:color w:val="auto"/>
          <w:sz w:val="24"/>
          <w:szCs w:val="24"/>
          <w:highlight w:val="none"/>
          <w:lang w:eastAsia="zh-CN"/>
        </w:rPr>
        <w:t>的；</w:t>
      </w:r>
      <w:r>
        <w:rPr>
          <w:rFonts w:hint="eastAsia" w:ascii="仿宋_GB2312" w:hAnsi="仿宋" w:eastAsia="仿宋_GB2312" w:cs="仿宋"/>
          <w:color w:val="auto"/>
          <w:sz w:val="24"/>
          <w:szCs w:val="24"/>
          <w:highlight w:val="none"/>
          <w:lang w:val="en-US" w:eastAsia="zh-CN"/>
        </w:rPr>
        <w:t>规定处置时间内，同一问题无重复上报。</w:t>
      </w:r>
    </w:p>
    <w:p>
      <w:pPr>
        <w:pStyle w:val="167"/>
        <w:spacing w:line="360" w:lineRule="auto"/>
        <w:ind w:firstLine="496" w:firstLineChars="206"/>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3.及时性</w:t>
      </w:r>
    </w:p>
    <w:p>
      <w:pPr>
        <w:pStyle w:val="167"/>
        <w:spacing w:line="360" w:lineRule="auto"/>
        <w:ind w:firstLine="330" w:firstLineChars="137"/>
        <w:rPr>
          <w:rFonts w:ascii="仿宋_GB2312" w:hAnsi="仿宋" w:eastAsia="仿宋_GB2312" w:cs="仿宋"/>
          <w:color w:val="auto"/>
          <w:sz w:val="24"/>
          <w:szCs w:val="24"/>
          <w:highlight w:val="none"/>
        </w:rPr>
      </w:pPr>
      <w:r>
        <w:rPr>
          <w:rFonts w:hint="eastAsia" w:ascii="仿宋_GB2312" w:hAnsi="仿宋" w:eastAsia="仿宋_GB2312" w:cs="仿宋"/>
          <w:b/>
          <w:color w:val="auto"/>
          <w:sz w:val="24"/>
          <w:szCs w:val="24"/>
          <w:highlight w:val="none"/>
        </w:rPr>
        <w:t>（1）</w:t>
      </w:r>
      <w:r>
        <w:rPr>
          <w:rFonts w:ascii="仿宋_GB2312" w:hAnsi="仿宋" w:eastAsia="仿宋_GB2312" w:cs="仿宋"/>
          <w:b/>
          <w:color w:val="auto"/>
          <w:sz w:val="24"/>
          <w:szCs w:val="24"/>
          <w:highlight w:val="none"/>
        </w:rPr>
        <w:t>立案及时率。</w:t>
      </w:r>
      <w:r>
        <w:rPr>
          <w:rFonts w:hint="eastAsia" w:ascii="仿宋_GB2312" w:hAnsi="仿宋" w:eastAsia="仿宋_GB2312" w:cs="仿宋"/>
          <w:color w:val="auto"/>
          <w:sz w:val="24"/>
          <w:szCs w:val="24"/>
          <w:highlight w:val="none"/>
        </w:rPr>
        <w:t>采集公司应在</w:t>
      </w:r>
      <w:r>
        <w:rPr>
          <w:rFonts w:ascii="仿宋_GB2312" w:hAnsi="仿宋" w:eastAsia="仿宋_GB2312" w:cs="仿宋"/>
          <w:color w:val="auto"/>
          <w:sz w:val="24"/>
          <w:szCs w:val="24"/>
          <w:highlight w:val="none"/>
        </w:rPr>
        <w:t>10分钟内完成</w:t>
      </w:r>
      <w:r>
        <w:rPr>
          <w:rFonts w:hint="eastAsia" w:ascii="仿宋_GB2312" w:hAnsi="仿宋" w:eastAsia="仿宋_GB2312" w:cs="仿宋"/>
          <w:color w:val="auto"/>
          <w:sz w:val="24"/>
          <w:szCs w:val="24"/>
          <w:highlight w:val="none"/>
        </w:rPr>
        <w:t>上报案卷的</w:t>
      </w:r>
      <w:r>
        <w:rPr>
          <w:rFonts w:ascii="仿宋_GB2312" w:hAnsi="仿宋" w:eastAsia="仿宋_GB2312" w:cs="仿宋"/>
          <w:color w:val="auto"/>
          <w:sz w:val="24"/>
          <w:szCs w:val="24"/>
          <w:highlight w:val="none"/>
        </w:rPr>
        <w:t>立案。</w:t>
      </w:r>
    </w:p>
    <w:p>
      <w:pPr>
        <w:pStyle w:val="167"/>
        <w:spacing w:line="360" w:lineRule="auto"/>
        <w:ind w:firstLine="330" w:firstLineChars="137"/>
        <w:rPr>
          <w:rFonts w:ascii="仿宋_GB2312" w:hAnsi="仿宋" w:eastAsia="仿宋_GB2312" w:cs="仿宋"/>
          <w:color w:val="auto"/>
          <w:sz w:val="24"/>
          <w:szCs w:val="24"/>
          <w:highlight w:val="none"/>
        </w:rPr>
      </w:pPr>
      <w:r>
        <w:rPr>
          <w:rFonts w:hint="eastAsia" w:ascii="仿宋_GB2312" w:hAnsi="仿宋" w:eastAsia="仿宋_GB2312" w:cs="仿宋"/>
          <w:b/>
          <w:color w:val="auto"/>
          <w:sz w:val="24"/>
          <w:szCs w:val="24"/>
          <w:highlight w:val="none"/>
        </w:rPr>
        <w:t>（2）</w:t>
      </w:r>
      <w:r>
        <w:rPr>
          <w:rFonts w:ascii="仿宋_GB2312" w:hAnsi="仿宋" w:eastAsia="仿宋_GB2312" w:cs="仿宋"/>
          <w:b/>
          <w:color w:val="auto"/>
          <w:sz w:val="24"/>
          <w:szCs w:val="24"/>
          <w:highlight w:val="none"/>
        </w:rPr>
        <w:t>核查发送及时率。</w:t>
      </w:r>
      <w:r>
        <w:rPr>
          <w:rFonts w:hint="eastAsia" w:ascii="仿宋_GB2312" w:hAnsi="仿宋" w:eastAsia="仿宋_GB2312" w:cs="仿宋"/>
          <w:color w:val="auto"/>
          <w:sz w:val="24"/>
          <w:szCs w:val="24"/>
          <w:highlight w:val="none"/>
        </w:rPr>
        <w:t>采集公司应在</w:t>
      </w:r>
      <w:r>
        <w:rPr>
          <w:rFonts w:ascii="仿宋_GB2312" w:hAnsi="仿宋" w:eastAsia="仿宋_GB2312" w:cs="仿宋"/>
          <w:color w:val="auto"/>
          <w:sz w:val="24"/>
          <w:szCs w:val="24"/>
          <w:highlight w:val="none"/>
        </w:rPr>
        <w:t>20分钟内完成核查</w:t>
      </w:r>
      <w:r>
        <w:rPr>
          <w:rFonts w:hint="eastAsia" w:ascii="仿宋_GB2312" w:hAnsi="仿宋" w:eastAsia="仿宋_GB2312" w:cs="仿宋"/>
          <w:color w:val="auto"/>
          <w:sz w:val="24"/>
          <w:szCs w:val="24"/>
          <w:highlight w:val="none"/>
        </w:rPr>
        <w:t>信息发送</w:t>
      </w:r>
      <w:r>
        <w:rPr>
          <w:rFonts w:ascii="仿宋_GB2312" w:hAnsi="仿宋" w:eastAsia="仿宋_GB2312" w:cs="仿宋"/>
          <w:color w:val="auto"/>
          <w:sz w:val="24"/>
          <w:szCs w:val="24"/>
          <w:highlight w:val="none"/>
        </w:rPr>
        <w:t>。</w:t>
      </w:r>
    </w:p>
    <w:p>
      <w:pPr>
        <w:pStyle w:val="167"/>
        <w:spacing w:line="360" w:lineRule="auto"/>
        <w:ind w:firstLine="330" w:firstLineChars="137"/>
        <w:rPr>
          <w:rFonts w:ascii="仿宋_GB2312" w:hAnsi="仿宋" w:eastAsia="仿宋_GB2312" w:cs="仿宋"/>
          <w:color w:val="auto"/>
          <w:sz w:val="24"/>
          <w:szCs w:val="24"/>
          <w:highlight w:val="none"/>
        </w:rPr>
      </w:pPr>
      <w:r>
        <w:rPr>
          <w:rFonts w:hint="eastAsia" w:ascii="仿宋_GB2312" w:hAnsi="仿宋" w:eastAsia="仿宋_GB2312" w:cs="仿宋"/>
          <w:b/>
          <w:color w:val="auto"/>
          <w:sz w:val="24"/>
          <w:szCs w:val="24"/>
          <w:highlight w:val="none"/>
        </w:rPr>
        <w:t>（3）</w:t>
      </w:r>
      <w:r>
        <w:rPr>
          <w:rFonts w:ascii="仿宋_GB2312" w:hAnsi="仿宋" w:eastAsia="仿宋_GB2312" w:cs="仿宋"/>
          <w:b/>
          <w:color w:val="auto"/>
          <w:sz w:val="24"/>
          <w:szCs w:val="24"/>
          <w:highlight w:val="none"/>
        </w:rPr>
        <w:t>核查回复及时率。</w:t>
      </w:r>
      <w:r>
        <w:rPr>
          <w:rFonts w:hint="eastAsia" w:ascii="仿宋_GB2312" w:hAnsi="仿宋" w:eastAsia="仿宋_GB2312" w:cs="仿宋"/>
          <w:color w:val="auto"/>
          <w:sz w:val="24"/>
          <w:szCs w:val="24"/>
          <w:highlight w:val="none"/>
        </w:rPr>
        <w:t>采集人员应在</w:t>
      </w:r>
      <w:r>
        <w:rPr>
          <w:rFonts w:hint="eastAsia" w:ascii="仿宋_GB2312" w:hAnsi="仿宋" w:eastAsia="仿宋_GB2312" w:cs="仿宋"/>
          <w:color w:val="auto"/>
          <w:sz w:val="24"/>
          <w:szCs w:val="24"/>
          <w:highlight w:val="none"/>
          <w:lang w:val="en-US" w:eastAsia="zh-CN"/>
        </w:rPr>
        <w:t>1</w:t>
      </w:r>
      <w:r>
        <w:rPr>
          <w:rFonts w:ascii="仿宋_GB2312" w:hAnsi="仿宋" w:eastAsia="仿宋_GB2312" w:cs="仿宋"/>
          <w:color w:val="auto"/>
          <w:sz w:val="24"/>
          <w:szCs w:val="24"/>
          <w:highlight w:val="none"/>
        </w:rPr>
        <w:t>小时内完成核查</w:t>
      </w:r>
      <w:r>
        <w:rPr>
          <w:rFonts w:hint="eastAsia" w:ascii="仿宋_GB2312" w:hAnsi="仿宋" w:eastAsia="仿宋_GB2312" w:cs="仿宋"/>
          <w:color w:val="auto"/>
          <w:sz w:val="24"/>
          <w:szCs w:val="24"/>
          <w:highlight w:val="none"/>
        </w:rPr>
        <w:t>信息</w:t>
      </w:r>
      <w:r>
        <w:rPr>
          <w:rFonts w:ascii="仿宋_GB2312" w:hAnsi="仿宋" w:eastAsia="仿宋_GB2312" w:cs="仿宋"/>
          <w:color w:val="auto"/>
          <w:sz w:val="24"/>
          <w:szCs w:val="24"/>
          <w:highlight w:val="none"/>
        </w:rPr>
        <w:t>回复。</w:t>
      </w:r>
    </w:p>
    <w:p>
      <w:pPr>
        <w:pStyle w:val="167"/>
        <w:spacing w:line="360" w:lineRule="auto"/>
        <w:ind w:firstLine="330" w:firstLineChars="137"/>
        <w:rPr>
          <w:rFonts w:hint="eastAsia" w:ascii="仿宋_GB2312" w:hAnsi="仿宋" w:eastAsia="仿宋_GB2312" w:cs="仿宋"/>
          <w:color w:val="auto"/>
          <w:sz w:val="24"/>
          <w:szCs w:val="24"/>
          <w:highlight w:val="none"/>
          <w:lang w:val="en-US" w:eastAsia="zh-CN"/>
        </w:rPr>
      </w:pPr>
      <w:r>
        <w:rPr>
          <w:rFonts w:hint="eastAsia" w:ascii="仿宋_GB2312" w:hAnsi="仿宋" w:eastAsia="仿宋_GB2312" w:cs="仿宋"/>
          <w:b/>
          <w:color w:val="auto"/>
          <w:sz w:val="24"/>
          <w:szCs w:val="24"/>
          <w:highlight w:val="none"/>
        </w:rPr>
        <w:t>（4）指令核实。</w:t>
      </w:r>
      <w:r>
        <w:rPr>
          <w:rFonts w:hint="eastAsia" w:ascii="仿宋_GB2312" w:hAnsi="仿宋" w:eastAsia="仿宋_GB2312" w:cs="仿宋"/>
          <w:color w:val="auto"/>
          <w:sz w:val="24"/>
          <w:szCs w:val="24"/>
          <w:highlight w:val="none"/>
        </w:rPr>
        <w:t>核实指令应及时回复</w:t>
      </w:r>
      <w:r>
        <w:rPr>
          <w:rFonts w:hint="eastAsia" w:ascii="仿宋_GB2312" w:hAnsi="仿宋" w:eastAsia="仿宋_GB2312" w:cs="仿宋"/>
          <w:color w:val="auto"/>
          <w:sz w:val="24"/>
          <w:szCs w:val="24"/>
          <w:highlight w:val="none"/>
          <w:lang w:val="en-US" w:eastAsia="zh-CN"/>
        </w:rPr>
        <w:t>。</w:t>
      </w:r>
    </w:p>
    <w:p>
      <w:pPr>
        <w:pStyle w:val="167"/>
        <w:spacing w:line="360" w:lineRule="auto"/>
        <w:ind w:firstLine="330" w:firstLineChars="137"/>
        <w:rPr>
          <w:rFonts w:hint="eastAsia" w:ascii="仿宋_GB2312" w:hAnsi="仿宋" w:eastAsia="仿宋_GB2312" w:cs="仿宋"/>
          <w:b/>
          <w:color w:val="auto"/>
          <w:sz w:val="24"/>
          <w:szCs w:val="24"/>
          <w:highlight w:val="none"/>
        </w:rPr>
      </w:pPr>
      <w:r>
        <w:rPr>
          <w:rFonts w:hint="eastAsia" w:ascii="仿宋_GB2312" w:hAnsi="仿宋" w:eastAsia="仿宋_GB2312" w:cs="仿宋"/>
          <w:b/>
          <w:color w:val="auto"/>
          <w:sz w:val="24"/>
          <w:szCs w:val="24"/>
          <w:highlight w:val="none"/>
        </w:rPr>
        <w:t>（5）其它。</w:t>
      </w:r>
    </w:p>
    <w:p>
      <w:pPr>
        <w:pStyle w:val="167"/>
        <w:spacing w:line="360" w:lineRule="auto"/>
        <w:ind w:firstLine="330" w:firstLineChars="137"/>
        <w:rPr>
          <w:rFonts w:ascii="楷体" w:hAnsi="楷体" w:eastAsia="楷体" w:cs="仿宋"/>
          <w:b/>
          <w:color w:val="auto"/>
          <w:sz w:val="24"/>
          <w:szCs w:val="24"/>
          <w:highlight w:val="none"/>
        </w:rPr>
      </w:pPr>
      <w:r>
        <w:rPr>
          <w:rFonts w:hint="eastAsia" w:ascii="楷体" w:hAnsi="楷体" w:eastAsia="楷体" w:cs="仿宋"/>
          <w:b/>
          <w:color w:val="auto"/>
          <w:sz w:val="24"/>
          <w:szCs w:val="24"/>
          <w:highlight w:val="none"/>
        </w:rPr>
        <w:t>（二）</w:t>
      </w:r>
      <w:r>
        <w:rPr>
          <w:rFonts w:ascii="楷体" w:hAnsi="楷体" w:eastAsia="楷体" w:cs="仿宋"/>
          <w:b/>
          <w:color w:val="auto"/>
          <w:sz w:val="24"/>
          <w:szCs w:val="24"/>
          <w:highlight w:val="none"/>
        </w:rPr>
        <w:t>过程指标</w:t>
      </w:r>
    </w:p>
    <w:p>
      <w:pPr>
        <w:pStyle w:val="167"/>
        <w:spacing w:line="360" w:lineRule="auto"/>
        <w:ind w:firstLine="496" w:firstLineChars="206"/>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4.人员管理</w:t>
      </w:r>
    </w:p>
    <w:p>
      <w:pPr>
        <w:pStyle w:val="167"/>
        <w:spacing w:line="360" w:lineRule="auto"/>
        <w:ind w:firstLine="482" w:firstLineChars="200"/>
        <w:rPr>
          <w:rFonts w:hint="eastAsia" w:ascii="仿宋_GB2312" w:eastAsia="仿宋_GB2312"/>
          <w:color w:val="auto"/>
          <w:sz w:val="24"/>
          <w:szCs w:val="24"/>
          <w:highlight w:val="none"/>
        </w:rPr>
      </w:pPr>
      <w:r>
        <w:rPr>
          <w:rFonts w:hint="eastAsia" w:ascii="仿宋_GB2312" w:eastAsia="仿宋_GB2312"/>
          <w:b/>
          <w:color w:val="auto"/>
          <w:sz w:val="24"/>
          <w:szCs w:val="24"/>
          <w:highlight w:val="none"/>
        </w:rPr>
        <w:t>（1）人员配置。</w:t>
      </w:r>
      <w:r>
        <w:rPr>
          <w:rFonts w:hint="eastAsia" w:ascii="仿宋_GB2312" w:eastAsia="仿宋_GB2312"/>
          <w:color w:val="auto"/>
          <w:sz w:val="24"/>
          <w:szCs w:val="24"/>
          <w:highlight w:val="none"/>
        </w:rPr>
        <w:t>采集公司应按合同要求配置专职工作人员，确保</w:t>
      </w:r>
      <w:r>
        <w:rPr>
          <w:rFonts w:hint="eastAsia" w:ascii="仿宋_GB2312" w:eastAsia="仿宋_GB2312"/>
          <w:color w:val="auto"/>
          <w:sz w:val="24"/>
          <w:szCs w:val="24"/>
          <w:highlight w:val="none"/>
          <w:lang w:val="en-US" w:eastAsia="zh-CN"/>
        </w:rPr>
        <w:t>正常工作时间（8:00-11:30、12:30-17:30）期间</w:t>
      </w:r>
      <w:r>
        <w:rPr>
          <w:rFonts w:hint="eastAsia" w:ascii="仿宋_GB2312" w:eastAsia="仿宋_GB2312"/>
          <w:color w:val="auto"/>
          <w:sz w:val="24"/>
          <w:szCs w:val="24"/>
          <w:highlight w:val="none"/>
        </w:rPr>
        <w:t>每个工作网格至少1名采集员在岗</w:t>
      </w:r>
      <w:r>
        <w:rPr>
          <w:rFonts w:hint="eastAsia" w:ascii="仿宋_GB2312" w:eastAsia="仿宋_GB2312"/>
          <w:color w:val="auto"/>
          <w:sz w:val="24"/>
          <w:szCs w:val="24"/>
          <w:highlight w:val="none"/>
          <w:lang w:eastAsia="zh-CN"/>
        </w:rPr>
        <w:t>；非正常工作时间（</w:t>
      </w:r>
      <w:r>
        <w:rPr>
          <w:rFonts w:hint="eastAsia" w:ascii="仿宋_GB2312" w:eastAsia="仿宋_GB2312"/>
          <w:color w:val="auto"/>
          <w:sz w:val="24"/>
          <w:szCs w:val="24"/>
          <w:highlight w:val="none"/>
        </w:rPr>
        <w:t>11:30-12：30、1</w:t>
      </w:r>
      <w:r>
        <w:rPr>
          <w:rFonts w:hint="eastAsia" w:ascii="仿宋_GB2312" w:eastAsia="仿宋_GB2312"/>
          <w:color w:val="auto"/>
          <w:sz w:val="24"/>
          <w:szCs w:val="24"/>
          <w:highlight w:val="none"/>
          <w:lang w:val="en-US" w:eastAsia="zh-CN"/>
        </w:rPr>
        <w:t>7：3</w:t>
      </w:r>
      <w:r>
        <w:rPr>
          <w:rFonts w:hint="eastAsia" w:ascii="仿宋_GB2312" w:eastAsia="仿宋_GB2312"/>
          <w:color w:val="auto"/>
          <w:sz w:val="24"/>
          <w:szCs w:val="24"/>
          <w:highlight w:val="none"/>
        </w:rPr>
        <w:t>0-21:</w:t>
      </w:r>
      <w:r>
        <w:rPr>
          <w:rFonts w:hint="eastAsia" w:ascii="仿宋_GB2312" w:eastAsia="仿宋_GB2312"/>
          <w:color w:val="auto"/>
          <w:sz w:val="24"/>
          <w:szCs w:val="24"/>
          <w:highlight w:val="none"/>
          <w:lang w:val="en-US" w:eastAsia="zh-CN"/>
        </w:rPr>
        <w:t>0</w:t>
      </w:r>
      <w:r>
        <w:rPr>
          <w:rFonts w:hint="eastAsia" w:ascii="仿宋_GB2312" w:eastAsia="仿宋_GB2312"/>
          <w:color w:val="auto"/>
          <w:sz w:val="24"/>
          <w:szCs w:val="24"/>
          <w:highlight w:val="none"/>
        </w:rPr>
        <w:t>0</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期间每两个工作网格至少1名采集员在岗位；国家法定节假日根据需要配备网格人员数。</w:t>
      </w:r>
    </w:p>
    <w:p>
      <w:pPr>
        <w:pStyle w:val="167"/>
        <w:spacing w:line="360" w:lineRule="auto"/>
        <w:ind w:firstLine="482" w:firstLineChars="200"/>
        <w:rPr>
          <w:rFonts w:hint="eastAsia" w:ascii="仿宋_GB2312" w:eastAsia="仿宋_GB2312"/>
          <w:color w:val="auto"/>
          <w:sz w:val="24"/>
          <w:szCs w:val="24"/>
          <w:highlight w:val="none"/>
        </w:rPr>
      </w:pPr>
      <w:r>
        <w:rPr>
          <w:rFonts w:hint="eastAsia" w:ascii="仿宋_GB2312" w:eastAsia="仿宋_GB2312"/>
          <w:b/>
          <w:color w:val="auto"/>
          <w:sz w:val="24"/>
          <w:szCs w:val="24"/>
          <w:highlight w:val="none"/>
        </w:rPr>
        <w:t>（2）队伍稳定。</w:t>
      </w:r>
      <w:r>
        <w:rPr>
          <w:rFonts w:hint="eastAsia" w:ascii="仿宋_GB2312" w:eastAsia="仿宋_GB2312"/>
          <w:color w:val="auto"/>
          <w:sz w:val="24"/>
          <w:szCs w:val="24"/>
          <w:highlight w:val="none"/>
        </w:rPr>
        <w:t>采集公司应按要求做好队伍管理，确保队伍稳定。采集员月流动比例不超过5%。员工流动比例=(离职人员数/额定人数)×100%。</w:t>
      </w:r>
    </w:p>
    <w:p>
      <w:pPr>
        <w:pStyle w:val="167"/>
        <w:spacing w:line="360" w:lineRule="auto"/>
        <w:ind w:firstLine="482" w:firstLineChars="200"/>
        <w:rPr>
          <w:rFonts w:hint="eastAsia" w:ascii="仿宋_GB2312" w:eastAsia="仿宋_GB2312"/>
          <w:color w:val="auto"/>
          <w:sz w:val="24"/>
          <w:szCs w:val="24"/>
          <w:highlight w:val="none"/>
        </w:rPr>
      </w:pPr>
      <w:r>
        <w:rPr>
          <w:rFonts w:hint="eastAsia" w:ascii="仿宋_GB2312" w:eastAsia="仿宋_GB2312"/>
          <w:b/>
          <w:color w:val="auto"/>
          <w:sz w:val="24"/>
          <w:szCs w:val="24"/>
          <w:highlight w:val="none"/>
        </w:rPr>
        <w:t>（3）年龄结构。</w:t>
      </w:r>
      <w:r>
        <w:rPr>
          <w:rFonts w:hint="eastAsia" w:ascii="仿宋_GB2312" w:eastAsia="仿宋_GB2312"/>
          <w:color w:val="auto"/>
          <w:sz w:val="24"/>
          <w:szCs w:val="24"/>
          <w:highlight w:val="none"/>
        </w:rPr>
        <w:t>采集队伍年龄结构比例（指5</w:t>
      </w:r>
      <w:r>
        <w:rPr>
          <w:rFonts w:hint="eastAsia" w:ascii="仿宋_GB2312" w:eastAsia="仿宋_GB2312"/>
          <w:color w:val="auto"/>
          <w:sz w:val="24"/>
          <w:szCs w:val="24"/>
          <w:highlight w:val="none"/>
          <w:lang w:val="en-US" w:eastAsia="zh-CN"/>
        </w:rPr>
        <w:t>5</w:t>
      </w:r>
      <w:r>
        <w:rPr>
          <w:rFonts w:hint="eastAsia" w:ascii="仿宋_GB2312" w:eastAsia="仿宋_GB2312"/>
          <w:color w:val="auto"/>
          <w:sz w:val="24"/>
          <w:szCs w:val="24"/>
          <w:highlight w:val="none"/>
        </w:rPr>
        <w:t>周岁及以下人数占额定采集员人数的比率）以</w:t>
      </w:r>
      <w:r>
        <w:rPr>
          <w:rFonts w:hint="eastAsia" w:ascii="仿宋_GB2312" w:eastAsia="仿宋_GB2312"/>
          <w:color w:val="auto"/>
          <w:sz w:val="24"/>
          <w:szCs w:val="24"/>
          <w:highlight w:val="none"/>
          <w:lang w:val="en-US" w:eastAsia="zh-CN"/>
        </w:rPr>
        <w:t>60</w:t>
      </w:r>
      <w:r>
        <w:rPr>
          <w:rFonts w:hint="eastAsia" w:ascii="仿宋_GB2312" w:eastAsia="仿宋_GB2312"/>
          <w:color w:val="auto"/>
          <w:sz w:val="24"/>
          <w:szCs w:val="24"/>
          <w:highlight w:val="none"/>
        </w:rPr>
        <w:t>%为基准值。年龄结构比例=（5</w:t>
      </w:r>
      <w:r>
        <w:rPr>
          <w:rFonts w:hint="eastAsia" w:ascii="仿宋_GB2312" w:eastAsia="仿宋_GB2312"/>
          <w:color w:val="auto"/>
          <w:sz w:val="24"/>
          <w:szCs w:val="24"/>
          <w:highlight w:val="none"/>
          <w:lang w:val="en-US" w:eastAsia="zh-CN"/>
        </w:rPr>
        <w:t>5</w:t>
      </w:r>
      <w:r>
        <w:rPr>
          <w:rFonts w:hint="eastAsia" w:ascii="仿宋_GB2312" w:eastAsia="仿宋_GB2312"/>
          <w:color w:val="auto"/>
          <w:sz w:val="24"/>
          <w:szCs w:val="24"/>
          <w:highlight w:val="none"/>
        </w:rPr>
        <w:t>岁及以下人数/合同额定人数）×100％。</w:t>
      </w:r>
    </w:p>
    <w:p>
      <w:pPr>
        <w:pStyle w:val="167"/>
        <w:spacing w:line="360" w:lineRule="auto"/>
        <w:ind w:firstLine="482" w:firstLineChars="200"/>
        <w:rPr>
          <w:rFonts w:hint="eastAsia" w:ascii="仿宋_GB2312" w:eastAsia="仿宋_GB2312"/>
          <w:color w:val="auto"/>
          <w:sz w:val="24"/>
          <w:szCs w:val="24"/>
          <w:highlight w:val="none"/>
        </w:rPr>
      </w:pPr>
      <w:r>
        <w:rPr>
          <w:rFonts w:hint="eastAsia" w:ascii="仿宋_GB2312" w:eastAsia="仿宋_GB2312"/>
          <w:b/>
          <w:color w:val="auto"/>
          <w:sz w:val="24"/>
          <w:szCs w:val="24"/>
          <w:highlight w:val="none"/>
        </w:rPr>
        <w:t>（4）学历构成。</w:t>
      </w:r>
      <w:r>
        <w:rPr>
          <w:rFonts w:hint="eastAsia" w:ascii="仿宋_GB2312" w:eastAsia="仿宋_GB2312"/>
          <w:color w:val="auto"/>
          <w:sz w:val="24"/>
          <w:szCs w:val="24"/>
          <w:highlight w:val="none"/>
        </w:rPr>
        <w:t>采集队伍学历结构比例（指高中及以上学历的人数占额定采集员人数的比率）以</w:t>
      </w:r>
      <w:r>
        <w:rPr>
          <w:rFonts w:hint="eastAsia" w:ascii="仿宋_GB2312" w:eastAsia="仿宋_GB2312"/>
          <w:color w:val="auto"/>
          <w:sz w:val="24"/>
          <w:szCs w:val="24"/>
          <w:highlight w:val="none"/>
          <w:lang w:val="en-US" w:eastAsia="zh-CN"/>
        </w:rPr>
        <w:t>60</w:t>
      </w:r>
      <w:r>
        <w:rPr>
          <w:rFonts w:hint="eastAsia" w:ascii="仿宋_GB2312" w:eastAsia="仿宋_GB2312"/>
          <w:color w:val="auto"/>
          <w:sz w:val="24"/>
          <w:szCs w:val="24"/>
          <w:highlight w:val="none"/>
        </w:rPr>
        <w:t>%为基准值。采集队伍学历结构比例=（高中及以上学历人数/合同额定采集员人数）×100％。管理员学历</w:t>
      </w:r>
      <w:r>
        <w:rPr>
          <w:rFonts w:hint="eastAsia" w:ascii="仿宋_GB2312" w:eastAsia="仿宋_GB2312"/>
          <w:color w:val="auto"/>
          <w:sz w:val="24"/>
          <w:szCs w:val="24"/>
          <w:highlight w:val="none"/>
          <w:lang w:eastAsia="zh-CN"/>
        </w:rPr>
        <w:t>需全部大专以上</w:t>
      </w:r>
      <w:r>
        <w:rPr>
          <w:rFonts w:hint="eastAsia" w:ascii="仿宋_GB2312" w:eastAsia="仿宋_GB2312"/>
          <w:color w:val="auto"/>
          <w:sz w:val="24"/>
          <w:szCs w:val="24"/>
          <w:highlight w:val="none"/>
        </w:rPr>
        <w:t>。</w:t>
      </w:r>
    </w:p>
    <w:p>
      <w:pPr>
        <w:pStyle w:val="167"/>
        <w:spacing w:line="360" w:lineRule="auto"/>
        <w:ind w:firstLine="482" w:firstLineChars="200"/>
        <w:rPr>
          <w:rFonts w:hint="eastAsia" w:ascii="仿宋_GB2312" w:eastAsia="仿宋_GB2312"/>
          <w:color w:val="auto"/>
          <w:sz w:val="24"/>
          <w:szCs w:val="24"/>
          <w:highlight w:val="none"/>
          <w:lang w:val="en-US" w:eastAsia="zh-CN"/>
        </w:rPr>
      </w:pPr>
      <w:r>
        <w:rPr>
          <w:rFonts w:hint="eastAsia" w:ascii="仿宋_GB2312" w:eastAsia="仿宋_GB2312"/>
          <w:b/>
          <w:color w:val="auto"/>
          <w:sz w:val="24"/>
          <w:szCs w:val="24"/>
          <w:highlight w:val="none"/>
        </w:rPr>
        <w:t>（</w:t>
      </w:r>
      <w:r>
        <w:rPr>
          <w:rFonts w:hint="eastAsia" w:ascii="仿宋_GB2312" w:eastAsia="仿宋_GB2312"/>
          <w:b/>
          <w:color w:val="auto"/>
          <w:sz w:val="24"/>
          <w:szCs w:val="24"/>
          <w:highlight w:val="none"/>
          <w:lang w:val="en-US" w:eastAsia="zh-CN"/>
        </w:rPr>
        <w:t>5</w:t>
      </w:r>
      <w:r>
        <w:rPr>
          <w:rFonts w:hint="eastAsia" w:ascii="仿宋_GB2312" w:eastAsia="仿宋_GB2312"/>
          <w:b/>
          <w:color w:val="auto"/>
          <w:sz w:val="24"/>
          <w:szCs w:val="24"/>
          <w:highlight w:val="none"/>
        </w:rPr>
        <w:t>）</w:t>
      </w:r>
      <w:r>
        <w:rPr>
          <w:rFonts w:hint="eastAsia" w:ascii="仿宋_GB2312" w:eastAsia="仿宋_GB2312"/>
          <w:b/>
          <w:color w:val="auto"/>
          <w:sz w:val="24"/>
          <w:szCs w:val="24"/>
          <w:highlight w:val="none"/>
          <w:lang w:val="en-US" w:eastAsia="zh-CN"/>
        </w:rPr>
        <w:t>巡查设施。</w:t>
      </w:r>
      <w:r>
        <w:rPr>
          <w:rFonts w:hint="eastAsia" w:ascii="仿宋_GB2312" w:hAnsi="仿宋" w:eastAsia="仿宋_GB2312" w:cs="仿宋"/>
          <w:color w:val="auto"/>
          <w:sz w:val="24"/>
          <w:szCs w:val="24"/>
          <w:highlight w:val="none"/>
          <w:lang w:val="en-US" w:eastAsia="zh-CN"/>
        </w:rPr>
        <w:t>使用机动车巡查；使用机动车参加联合信息采集检查；</w:t>
      </w:r>
      <w:r>
        <w:rPr>
          <w:rFonts w:hint="eastAsia" w:ascii="仿宋_GB2312" w:eastAsia="仿宋_GB2312"/>
          <w:color w:val="auto"/>
          <w:sz w:val="24"/>
          <w:szCs w:val="24"/>
          <w:highlight w:val="none"/>
          <w:lang w:val="en-US" w:eastAsia="zh-CN"/>
        </w:rPr>
        <w:t>配备井盖开启设施及应急维护设施。</w:t>
      </w:r>
    </w:p>
    <w:p>
      <w:pPr>
        <w:pStyle w:val="167"/>
        <w:spacing w:line="360" w:lineRule="auto"/>
        <w:ind w:firstLine="482" w:firstLineChars="200"/>
        <w:rPr>
          <w:rFonts w:hint="eastAsia" w:ascii="仿宋_GB2312" w:eastAsia="仿宋_GB2312"/>
          <w:color w:val="auto"/>
          <w:sz w:val="24"/>
          <w:szCs w:val="24"/>
          <w:highlight w:val="none"/>
        </w:rPr>
      </w:pPr>
      <w:r>
        <w:rPr>
          <w:rFonts w:hint="eastAsia" w:ascii="仿宋_GB2312" w:eastAsia="仿宋_GB2312"/>
          <w:b/>
          <w:color w:val="auto"/>
          <w:sz w:val="24"/>
          <w:szCs w:val="24"/>
          <w:highlight w:val="none"/>
        </w:rPr>
        <w:t>（</w:t>
      </w:r>
      <w:r>
        <w:rPr>
          <w:rFonts w:hint="eastAsia" w:ascii="仿宋_GB2312" w:eastAsia="仿宋_GB2312"/>
          <w:b/>
          <w:color w:val="auto"/>
          <w:sz w:val="24"/>
          <w:szCs w:val="24"/>
          <w:highlight w:val="none"/>
          <w:lang w:val="en-US" w:eastAsia="zh-CN"/>
        </w:rPr>
        <w:t>6</w:t>
      </w:r>
      <w:r>
        <w:rPr>
          <w:rFonts w:hint="eastAsia" w:ascii="仿宋_GB2312" w:eastAsia="仿宋_GB2312"/>
          <w:b/>
          <w:color w:val="auto"/>
          <w:sz w:val="24"/>
          <w:szCs w:val="24"/>
          <w:highlight w:val="none"/>
        </w:rPr>
        <w:t>）</w:t>
      </w:r>
      <w:r>
        <w:rPr>
          <w:rFonts w:hint="eastAsia" w:ascii="仿宋_GB2312" w:eastAsia="仿宋_GB2312"/>
          <w:b/>
          <w:color w:val="auto"/>
          <w:sz w:val="24"/>
          <w:szCs w:val="24"/>
          <w:highlight w:val="none"/>
          <w:lang w:val="en-US" w:eastAsia="zh-CN"/>
        </w:rPr>
        <w:t>巡查频率。</w:t>
      </w:r>
      <w:r>
        <w:rPr>
          <w:rFonts w:hint="eastAsia" w:ascii="仿宋_GB2312" w:eastAsia="仿宋_GB2312"/>
          <w:color w:val="auto"/>
          <w:sz w:val="24"/>
          <w:szCs w:val="24"/>
          <w:highlight w:val="none"/>
          <w:lang w:val="en-US" w:eastAsia="zh-CN"/>
        </w:rPr>
        <w:t>一类、二类道路每天四次、三类道路每天2次、其他区域每天一次。</w:t>
      </w:r>
    </w:p>
    <w:p>
      <w:pPr>
        <w:pStyle w:val="167"/>
        <w:spacing w:line="360" w:lineRule="auto"/>
        <w:ind w:firstLine="482" w:firstLineChars="200"/>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w:t>
      </w:r>
      <w:r>
        <w:rPr>
          <w:rFonts w:hint="eastAsia" w:ascii="仿宋_GB2312" w:eastAsia="仿宋_GB2312"/>
          <w:b/>
          <w:color w:val="auto"/>
          <w:sz w:val="24"/>
          <w:szCs w:val="24"/>
          <w:highlight w:val="none"/>
          <w:lang w:val="en-US" w:eastAsia="zh-CN"/>
        </w:rPr>
        <w:t>7</w:t>
      </w:r>
      <w:r>
        <w:rPr>
          <w:rFonts w:hint="eastAsia" w:ascii="仿宋_GB2312" w:eastAsia="仿宋_GB2312"/>
          <w:b/>
          <w:color w:val="auto"/>
          <w:sz w:val="24"/>
          <w:szCs w:val="24"/>
          <w:highlight w:val="none"/>
        </w:rPr>
        <w:t>）</w:t>
      </w:r>
      <w:r>
        <w:rPr>
          <w:rFonts w:hint="eastAsia" w:ascii="仿宋_GB2312" w:eastAsia="仿宋_GB2312"/>
          <w:b/>
          <w:color w:val="auto"/>
          <w:sz w:val="24"/>
          <w:szCs w:val="24"/>
          <w:highlight w:val="none"/>
          <w:lang w:val="en-US" w:eastAsia="zh-CN"/>
        </w:rPr>
        <w:t>简易处置。</w:t>
      </w:r>
      <w:r>
        <w:rPr>
          <w:rFonts w:hint="eastAsia" w:ascii="仿宋_GB2312" w:eastAsia="仿宋_GB2312"/>
          <w:b w:val="0"/>
          <w:bCs/>
          <w:color w:val="auto"/>
          <w:sz w:val="24"/>
          <w:szCs w:val="24"/>
          <w:highlight w:val="none"/>
          <w:lang w:val="en-US" w:eastAsia="zh-CN"/>
        </w:rPr>
        <w:t>采集员应对情节轻微且力所能及的问题实施简易处置。</w:t>
      </w:r>
    </w:p>
    <w:p>
      <w:pPr>
        <w:pStyle w:val="167"/>
        <w:spacing w:line="360" w:lineRule="auto"/>
        <w:ind w:firstLine="482" w:firstLineChars="200"/>
        <w:rPr>
          <w:rFonts w:hint="eastAsia" w:ascii="仿宋_GB2312" w:eastAsia="仿宋_GB2312"/>
          <w:color w:val="auto"/>
          <w:sz w:val="24"/>
          <w:szCs w:val="24"/>
          <w:highlight w:val="none"/>
        </w:rPr>
      </w:pPr>
      <w:r>
        <w:rPr>
          <w:rFonts w:hint="eastAsia" w:ascii="仿宋_GB2312" w:eastAsia="仿宋_GB2312"/>
          <w:b/>
          <w:color w:val="auto"/>
          <w:sz w:val="24"/>
          <w:szCs w:val="24"/>
          <w:highlight w:val="none"/>
        </w:rPr>
        <w:t>（</w:t>
      </w:r>
      <w:r>
        <w:rPr>
          <w:rFonts w:hint="eastAsia" w:ascii="仿宋_GB2312" w:eastAsia="仿宋_GB2312"/>
          <w:b/>
          <w:color w:val="auto"/>
          <w:sz w:val="24"/>
          <w:szCs w:val="24"/>
          <w:highlight w:val="none"/>
          <w:lang w:val="en-US" w:eastAsia="zh-CN"/>
        </w:rPr>
        <w:t>8</w:t>
      </w:r>
      <w:r>
        <w:rPr>
          <w:rFonts w:hint="eastAsia" w:ascii="仿宋_GB2312" w:eastAsia="仿宋_GB2312"/>
          <w:b/>
          <w:color w:val="auto"/>
          <w:sz w:val="24"/>
          <w:szCs w:val="24"/>
          <w:highlight w:val="none"/>
        </w:rPr>
        <w:t>）培训质量。</w:t>
      </w:r>
      <w:r>
        <w:rPr>
          <w:rFonts w:hint="eastAsia" w:ascii="仿宋_GB2312" w:eastAsia="仿宋_GB2312"/>
          <w:color w:val="auto"/>
          <w:sz w:val="24"/>
          <w:szCs w:val="24"/>
          <w:highlight w:val="none"/>
          <w:lang w:eastAsia="zh-CN"/>
        </w:rPr>
        <w:t>采集公司</w:t>
      </w:r>
      <w:r>
        <w:rPr>
          <w:rFonts w:hint="eastAsia" w:ascii="仿宋_GB2312" w:eastAsia="仿宋_GB2312"/>
          <w:color w:val="auto"/>
          <w:sz w:val="24"/>
          <w:szCs w:val="24"/>
          <w:highlight w:val="none"/>
        </w:rPr>
        <w:t>定期</w:t>
      </w:r>
      <w:r>
        <w:rPr>
          <w:rFonts w:hint="eastAsia" w:ascii="仿宋_GB2312" w:eastAsia="仿宋_GB2312"/>
          <w:bCs/>
          <w:color w:val="auto"/>
          <w:sz w:val="24"/>
          <w:szCs w:val="24"/>
          <w:highlight w:val="none"/>
        </w:rPr>
        <w:t>组织采集人员进行培训,培训合格率</w:t>
      </w:r>
      <w:r>
        <w:rPr>
          <w:rFonts w:hint="eastAsia" w:ascii="仿宋_GB2312" w:eastAsia="仿宋_GB2312"/>
          <w:color w:val="auto"/>
          <w:sz w:val="24"/>
          <w:szCs w:val="24"/>
          <w:highlight w:val="none"/>
        </w:rPr>
        <w:t>以85％为基数。人员培训合格率＝（培训合格人员数/参加培训人员总数）×100％。</w:t>
      </w:r>
    </w:p>
    <w:p>
      <w:pPr>
        <w:pStyle w:val="167"/>
        <w:spacing w:line="360" w:lineRule="auto"/>
        <w:ind w:firstLine="482" w:firstLineChars="200"/>
        <w:rPr>
          <w:rFonts w:hint="eastAsia" w:ascii="仿宋_GB2312" w:eastAsia="仿宋_GB2312"/>
          <w:color w:val="auto"/>
          <w:sz w:val="24"/>
          <w:szCs w:val="24"/>
          <w:highlight w:val="none"/>
        </w:rPr>
      </w:pPr>
      <w:r>
        <w:rPr>
          <w:rFonts w:hint="eastAsia" w:ascii="仿宋_GB2312" w:eastAsia="仿宋_GB2312"/>
          <w:b/>
          <w:color w:val="auto"/>
          <w:sz w:val="24"/>
          <w:szCs w:val="24"/>
          <w:highlight w:val="none"/>
        </w:rPr>
        <w:t>（</w:t>
      </w:r>
      <w:r>
        <w:rPr>
          <w:rFonts w:hint="eastAsia" w:ascii="仿宋_GB2312" w:eastAsia="仿宋_GB2312"/>
          <w:b/>
          <w:color w:val="auto"/>
          <w:sz w:val="24"/>
          <w:szCs w:val="24"/>
          <w:highlight w:val="none"/>
          <w:lang w:val="en-US" w:eastAsia="zh-CN"/>
        </w:rPr>
        <w:t>9</w:t>
      </w:r>
      <w:r>
        <w:rPr>
          <w:rFonts w:hint="eastAsia" w:ascii="仿宋_GB2312" w:eastAsia="仿宋_GB2312"/>
          <w:b/>
          <w:color w:val="auto"/>
          <w:sz w:val="24"/>
          <w:szCs w:val="24"/>
          <w:highlight w:val="none"/>
        </w:rPr>
        <w:t>）持证上岗。</w:t>
      </w:r>
      <w:r>
        <w:rPr>
          <w:rFonts w:hint="eastAsia" w:ascii="仿宋_GB2312" w:eastAsia="仿宋_GB2312"/>
          <w:color w:val="auto"/>
          <w:sz w:val="24"/>
          <w:szCs w:val="24"/>
          <w:highlight w:val="none"/>
        </w:rPr>
        <w:t>采集</w:t>
      </w:r>
      <w:r>
        <w:rPr>
          <w:rFonts w:hint="eastAsia" w:ascii="仿宋_GB2312" w:eastAsia="仿宋_GB2312"/>
          <w:color w:val="auto"/>
          <w:sz w:val="24"/>
          <w:szCs w:val="24"/>
          <w:highlight w:val="none"/>
          <w:lang w:val="en-US" w:eastAsia="zh-CN"/>
        </w:rPr>
        <w:t>员必须进行岗前培训，并取得上岗证；在岗人员必须持证上岗。</w:t>
      </w:r>
    </w:p>
    <w:p>
      <w:pPr>
        <w:pStyle w:val="167"/>
        <w:spacing w:line="360" w:lineRule="auto"/>
        <w:ind w:firstLine="482" w:firstLineChars="200"/>
        <w:rPr>
          <w:rFonts w:hint="eastAsia" w:ascii="仿宋_GB2312" w:eastAsia="仿宋_GB2312"/>
          <w:color w:val="auto"/>
          <w:sz w:val="24"/>
          <w:szCs w:val="24"/>
          <w:highlight w:val="none"/>
        </w:rPr>
      </w:pPr>
      <w:r>
        <w:rPr>
          <w:rFonts w:hint="eastAsia" w:ascii="仿宋_GB2312" w:eastAsia="仿宋_GB2312"/>
          <w:b/>
          <w:color w:val="auto"/>
          <w:sz w:val="24"/>
          <w:szCs w:val="24"/>
          <w:highlight w:val="none"/>
        </w:rPr>
        <w:t>（</w:t>
      </w:r>
      <w:r>
        <w:rPr>
          <w:rFonts w:hint="eastAsia" w:ascii="仿宋_GB2312" w:eastAsia="仿宋_GB2312"/>
          <w:b/>
          <w:color w:val="auto"/>
          <w:sz w:val="24"/>
          <w:szCs w:val="24"/>
          <w:highlight w:val="none"/>
          <w:lang w:val="en-US" w:eastAsia="zh-CN"/>
        </w:rPr>
        <w:t>10</w:t>
      </w:r>
      <w:r>
        <w:rPr>
          <w:rFonts w:hint="eastAsia" w:ascii="仿宋_GB2312" w:eastAsia="仿宋_GB2312"/>
          <w:b/>
          <w:color w:val="auto"/>
          <w:sz w:val="24"/>
          <w:szCs w:val="24"/>
          <w:highlight w:val="none"/>
        </w:rPr>
        <w:t>）巡查轨迹。</w:t>
      </w:r>
      <w:r>
        <w:rPr>
          <w:rFonts w:hint="eastAsia" w:ascii="仿宋_GB2312" w:eastAsia="仿宋_GB2312"/>
          <w:color w:val="auto"/>
          <w:sz w:val="24"/>
          <w:szCs w:val="24"/>
          <w:highlight w:val="none"/>
        </w:rPr>
        <w:t>采集公司巡查区域为数字城管</w:t>
      </w:r>
      <w:r>
        <w:rPr>
          <w:rFonts w:hint="eastAsia" w:ascii="仿宋_GB2312" w:eastAsia="仿宋_GB2312"/>
          <w:color w:val="auto"/>
          <w:sz w:val="24"/>
          <w:szCs w:val="24"/>
          <w:highlight w:val="none"/>
          <w:lang w:eastAsia="zh-CN"/>
        </w:rPr>
        <w:t>（长效管理）</w:t>
      </w:r>
      <w:r>
        <w:rPr>
          <w:rFonts w:hint="eastAsia" w:ascii="仿宋_GB2312" w:eastAsia="仿宋_GB2312"/>
          <w:color w:val="auto"/>
          <w:sz w:val="24"/>
          <w:szCs w:val="24"/>
          <w:highlight w:val="none"/>
        </w:rPr>
        <w:t>覆盖区域，其覆盖区域根据各</w:t>
      </w:r>
      <w:r>
        <w:rPr>
          <w:rFonts w:hint="eastAsia" w:ascii="仿宋_GB2312" w:eastAsia="仿宋_GB2312"/>
          <w:color w:val="auto"/>
          <w:sz w:val="24"/>
          <w:szCs w:val="24"/>
          <w:highlight w:val="none"/>
          <w:lang w:eastAsia="zh-CN"/>
        </w:rPr>
        <w:t>街道</w:t>
      </w:r>
      <w:r>
        <w:rPr>
          <w:rFonts w:hint="eastAsia" w:ascii="仿宋_GB2312" w:eastAsia="仿宋_GB2312"/>
          <w:color w:val="auto"/>
          <w:sz w:val="24"/>
          <w:szCs w:val="24"/>
          <w:highlight w:val="none"/>
        </w:rPr>
        <w:t>实际城市化管理区域适当调整。巡查频次要求由主管部门根据招标合同的相关内容结合实际情况具体确定。</w:t>
      </w:r>
    </w:p>
    <w:p>
      <w:pPr>
        <w:pStyle w:val="167"/>
        <w:spacing w:line="360" w:lineRule="auto"/>
        <w:ind w:firstLine="482" w:firstLineChars="200"/>
        <w:rPr>
          <w:rFonts w:hint="eastAsia" w:ascii="仿宋_GB2312" w:eastAsia="仿宋_GB2312"/>
          <w:color w:val="auto"/>
          <w:sz w:val="24"/>
          <w:szCs w:val="24"/>
          <w:highlight w:val="none"/>
        </w:rPr>
      </w:pPr>
      <w:r>
        <w:rPr>
          <w:rFonts w:hint="eastAsia" w:ascii="仿宋_GB2312" w:eastAsia="仿宋_GB2312"/>
          <w:b/>
          <w:color w:val="auto"/>
          <w:sz w:val="24"/>
          <w:szCs w:val="24"/>
          <w:highlight w:val="none"/>
        </w:rPr>
        <w:t>（</w:t>
      </w:r>
      <w:r>
        <w:rPr>
          <w:rFonts w:hint="eastAsia" w:ascii="仿宋_GB2312" w:eastAsia="仿宋_GB2312"/>
          <w:b/>
          <w:color w:val="auto"/>
          <w:sz w:val="24"/>
          <w:szCs w:val="24"/>
          <w:highlight w:val="none"/>
          <w:lang w:val="en-US" w:eastAsia="zh-CN"/>
        </w:rPr>
        <w:t>11</w:t>
      </w:r>
      <w:r>
        <w:rPr>
          <w:rFonts w:hint="eastAsia" w:ascii="仿宋_GB2312" w:eastAsia="仿宋_GB2312"/>
          <w:b/>
          <w:color w:val="auto"/>
          <w:sz w:val="24"/>
          <w:szCs w:val="24"/>
          <w:highlight w:val="none"/>
        </w:rPr>
        <w:t>）日常管理。</w:t>
      </w:r>
      <w:r>
        <w:rPr>
          <w:rFonts w:hint="eastAsia" w:ascii="仿宋_GB2312" w:eastAsia="仿宋_GB2312"/>
          <w:color w:val="auto"/>
          <w:sz w:val="24"/>
          <w:szCs w:val="24"/>
          <w:highlight w:val="none"/>
        </w:rPr>
        <w:t>员工不得迟到、早退、溜岗、缺岗。</w:t>
      </w:r>
    </w:p>
    <w:p>
      <w:pPr>
        <w:pStyle w:val="167"/>
        <w:spacing w:line="360" w:lineRule="auto"/>
        <w:ind w:firstLine="482" w:firstLineChars="200"/>
        <w:rPr>
          <w:rFonts w:hint="eastAsia" w:ascii="仿宋_GB2312" w:eastAsia="仿宋_GB2312" w:cs="Times New Roman"/>
          <w:b/>
          <w:color w:val="auto"/>
          <w:sz w:val="24"/>
          <w:szCs w:val="24"/>
          <w:highlight w:val="none"/>
          <w:lang w:eastAsia="zh-CN"/>
        </w:rPr>
      </w:pPr>
      <w:r>
        <w:rPr>
          <w:rFonts w:hint="eastAsia" w:ascii="仿宋_GB2312" w:eastAsia="仿宋_GB2312" w:cs="Times New Roman"/>
          <w:b/>
          <w:color w:val="auto"/>
          <w:sz w:val="24"/>
          <w:szCs w:val="24"/>
          <w:highlight w:val="none"/>
          <w:lang w:eastAsia="zh-CN"/>
        </w:rPr>
        <w:t>（</w:t>
      </w:r>
      <w:r>
        <w:rPr>
          <w:rFonts w:hint="eastAsia" w:ascii="仿宋_GB2312" w:eastAsia="仿宋_GB2312" w:cs="Times New Roman"/>
          <w:b/>
          <w:color w:val="auto"/>
          <w:sz w:val="24"/>
          <w:szCs w:val="24"/>
          <w:highlight w:val="none"/>
          <w:lang w:val="en-US" w:eastAsia="zh-CN"/>
        </w:rPr>
        <w:t>12</w:t>
      </w:r>
      <w:r>
        <w:rPr>
          <w:rFonts w:hint="eastAsia" w:ascii="仿宋_GB2312" w:eastAsia="仿宋_GB2312" w:cs="Times New Roman"/>
          <w:b/>
          <w:color w:val="auto"/>
          <w:sz w:val="24"/>
          <w:szCs w:val="24"/>
          <w:highlight w:val="none"/>
          <w:lang w:eastAsia="zh-CN"/>
        </w:rPr>
        <w:t>）应急响应。</w:t>
      </w:r>
      <w:r>
        <w:rPr>
          <w:rFonts w:hint="eastAsia" w:ascii="仿宋_GB2312" w:eastAsia="仿宋_GB2312" w:cs="Times New Roman"/>
          <w:color w:val="auto"/>
          <w:sz w:val="24"/>
          <w:szCs w:val="24"/>
          <w:highlight w:val="none"/>
          <w:lang w:eastAsia="zh-CN"/>
        </w:rPr>
        <w:t>采集公司应成立应急队伍，及时响应指挥保障中心布置的各项应急任务。</w:t>
      </w:r>
    </w:p>
    <w:p>
      <w:pPr>
        <w:pStyle w:val="167"/>
        <w:spacing w:line="360" w:lineRule="auto"/>
        <w:ind w:firstLine="482" w:firstLineChars="200"/>
        <w:jc w:val="both"/>
        <w:rPr>
          <w:rFonts w:hint="eastAsia" w:ascii="仿宋_GB2312" w:eastAsia="仿宋_GB2312"/>
          <w:color w:val="auto"/>
          <w:sz w:val="24"/>
          <w:szCs w:val="24"/>
          <w:highlight w:val="none"/>
        </w:rPr>
      </w:pPr>
      <w:r>
        <w:rPr>
          <w:rFonts w:hint="eastAsia" w:ascii="仿宋_GB2312" w:eastAsia="仿宋_GB2312"/>
          <w:b/>
          <w:color w:val="auto"/>
          <w:sz w:val="24"/>
          <w:szCs w:val="24"/>
          <w:highlight w:val="none"/>
        </w:rPr>
        <w:t>（</w:t>
      </w:r>
      <w:r>
        <w:rPr>
          <w:rFonts w:hint="eastAsia" w:ascii="仿宋_GB2312" w:eastAsia="仿宋_GB2312"/>
          <w:b/>
          <w:color w:val="auto"/>
          <w:sz w:val="24"/>
          <w:szCs w:val="24"/>
          <w:highlight w:val="none"/>
          <w:lang w:val="en-US" w:eastAsia="zh-CN"/>
        </w:rPr>
        <w:t>13</w:t>
      </w:r>
      <w:r>
        <w:rPr>
          <w:rFonts w:hint="eastAsia" w:ascii="仿宋_GB2312" w:eastAsia="仿宋_GB2312"/>
          <w:b/>
          <w:color w:val="auto"/>
          <w:sz w:val="24"/>
          <w:szCs w:val="24"/>
          <w:highlight w:val="none"/>
        </w:rPr>
        <w:t>）定期轮岗。</w:t>
      </w:r>
      <w:r>
        <w:rPr>
          <w:rFonts w:hint="eastAsia" w:ascii="仿宋_GB2312" w:eastAsia="仿宋_GB2312"/>
          <w:color w:val="auto"/>
          <w:sz w:val="24"/>
          <w:szCs w:val="24"/>
          <w:highlight w:val="none"/>
        </w:rPr>
        <w:t>采集公司应做好人员轮岗，原则上每3个月进行一次采集员、班组长区域轮岗（原则上网格全员轮岗，街道轮岗</w:t>
      </w:r>
      <w:r>
        <w:rPr>
          <w:rFonts w:hint="eastAsia" w:ascii="仿宋_GB2312" w:eastAsia="仿宋_GB2312"/>
          <w:color w:val="auto"/>
          <w:sz w:val="24"/>
          <w:szCs w:val="24"/>
          <w:highlight w:val="none"/>
          <w:lang w:val="en-US" w:eastAsia="zh-CN"/>
        </w:rPr>
        <w:t>3</w:t>
      </w:r>
      <w:r>
        <w:rPr>
          <w:rFonts w:hint="eastAsia" w:ascii="仿宋_GB2312" w:eastAsia="仿宋_GB2312"/>
          <w:color w:val="auto"/>
          <w:sz w:val="24"/>
          <w:szCs w:val="24"/>
          <w:highlight w:val="none"/>
        </w:rPr>
        <w:t>0%以上）。</w:t>
      </w:r>
    </w:p>
    <w:p>
      <w:pPr>
        <w:pStyle w:val="167"/>
        <w:spacing w:line="360" w:lineRule="auto"/>
        <w:ind w:firstLine="482" w:firstLineChars="200"/>
        <w:rPr>
          <w:rFonts w:hint="eastAsia" w:ascii="仿宋_GB2312" w:eastAsia="仿宋_GB2312"/>
          <w:b w:val="0"/>
          <w:bCs/>
          <w:color w:val="auto"/>
          <w:sz w:val="24"/>
          <w:szCs w:val="24"/>
          <w:highlight w:val="none"/>
          <w:lang w:val="en-US" w:eastAsia="zh-CN"/>
        </w:rPr>
      </w:pPr>
      <w:r>
        <w:rPr>
          <w:rFonts w:hint="eastAsia" w:ascii="仿宋_GB2312" w:eastAsia="仿宋_GB2312"/>
          <w:b/>
          <w:color w:val="auto"/>
          <w:sz w:val="24"/>
          <w:szCs w:val="24"/>
          <w:highlight w:val="none"/>
        </w:rPr>
        <w:t>（</w:t>
      </w:r>
      <w:r>
        <w:rPr>
          <w:rFonts w:hint="eastAsia" w:ascii="仿宋_GB2312" w:eastAsia="仿宋_GB2312"/>
          <w:b/>
          <w:color w:val="auto"/>
          <w:sz w:val="24"/>
          <w:szCs w:val="24"/>
          <w:highlight w:val="none"/>
          <w:lang w:val="en-US" w:eastAsia="zh-CN"/>
        </w:rPr>
        <w:t>14）“三定”管理。</w:t>
      </w:r>
      <w:r>
        <w:rPr>
          <w:rFonts w:hint="eastAsia" w:ascii="仿宋_GB2312" w:eastAsia="仿宋_GB2312"/>
          <w:b w:val="0"/>
          <w:bCs/>
          <w:color w:val="auto"/>
          <w:sz w:val="24"/>
          <w:szCs w:val="24"/>
          <w:highlight w:val="none"/>
          <w:lang w:val="en-US" w:eastAsia="zh-CN"/>
        </w:rPr>
        <w:t>做到“定采集员、定采集器、定巡查区域”。</w:t>
      </w:r>
    </w:p>
    <w:p>
      <w:pPr>
        <w:pStyle w:val="167"/>
        <w:spacing w:line="360" w:lineRule="auto"/>
        <w:ind w:firstLine="482" w:firstLineChars="200"/>
        <w:rPr>
          <w:rFonts w:hint="eastAsia" w:ascii="仿宋_GB2312" w:eastAsia="仿宋_GB2312"/>
          <w:b w:val="0"/>
          <w:bCs/>
          <w:color w:val="auto"/>
          <w:sz w:val="24"/>
          <w:szCs w:val="24"/>
          <w:highlight w:val="none"/>
          <w:lang w:val="en-US" w:eastAsia="zh-CN"/>
        </w:rPr>
      </w:pPr>
      <w:r>
        <w:rPr>
          <w:rFonts w:hint="eastAsia" w:ascii="仿宋_GB2312" w:eastAsia="仿宋_GB2312"/>
          <w:b/>
          <w:color w:val="auto"/>
          <w:sz w:val="24"/>
          <w:szCs w:val="24"/>
          <w:highlight w:val="none"/>
        </w:rPr>
        <w:t>（</w:t>
      </w:r>
      <w:r>
        <w:rPr>
          <w:rFonts w:hint="eastAsia" w:ascii="仿宋_GB2312" w:eastAsia="仿宋_GB2312"/>
          <w:b/>
          <w:color w:val="auto"/>
          <w:sz w:val="24"/>
          <w:szCs w:val="24"/>
          <w:highlight w:val="none"/>
          <w:lang w:val="en-US" w:eastAsia="zh-CN"/>
        </w:rPr>
        <w:t>15）管理层变更。</w:t>
      </w:r>
      <w:r>
        <w:rPr>
          <w:rFonts w:hint="eastAsia" w:ascii="仿宋_GB2312" w:eastAsia="仿宋_GB2312"/>
          <w:b w:val="0"/>
          <w:bCs/>
          <w:color w:val="auto"/>
          <w:sz w:val="24"/>
          <w:szCs w:val="24"/>
          <w:highlight w:val="none"/>
          <w:lang w:val="en-US" w:eastAsia="zh-CN"/>
        </w:rPr>
        <w:t>分层管控健全、有效、有序，合同期限内管理层未发生变更；负责人定期参加信息采集会议。</w:t>
      </w:r>
    </w:p>
    <w:p>
      <w:pPr>
        <w:pStyle w:val="167"/>
        <w:spacing w:line="360" w:lineRule="auto"/>
        <w:ind w:firstLine="482" w:firstLineChars="200"/>
        <w:rPr>
          <w:rFonts w:hint="eastAsia" w:ascii="仿宋_GB2312" w:eastAsia="仿宋_GB2312"/>
          <w:b w:val="0"/>
          <w:bCs/>
          <w:color w:val="auto"/>
          <w:sz w:val="24"/>
          <w:szCs w:val="24"/>
          <w:highlight w:val="none"/>
          <w:lang w:val="en-US" w:eastAsia="zh-CN"/>
        </w:rPr>
      </w:pPr>
      <w:r>
        <w:rPr>
          <w:rFonts w:hint="eastAsia" w:ascii="仿宋_GB2312" w:eastAsia="仿宋_GB2312"/>
          <w:b/>
          <w:color w:val="auto"/>
          <w:sz w:val="24"/>
          <w:szCs w:val="24"/>
          <w:highlight w:val="none"/>
        </w:rPr>
        <w:t>（</w:t>
      </w:r>
      <w:r>
        <w:rPr>
          <w:rFonts w:hint="eastAsia" w:ascii="仿宋_GB2312" w:eastAsia="仿宋_GB2312"/>
          <w:b/>
          <w:color w:val="auto"/>
          <w:sz w:val="24"/>
          <w:szCs w:val="24"/>
          <w:highlight w:val="none"/>
          <w:lang w:val="en-US" w:eastAsia="zh-CN"/>
        </w:rPr>
        <w:t>16）防汛、抗雪、防灾或重大活动保障。</w:t>
      </w:r>
      <w:r>
        <w:rPr>
          <w:rFonts w:hint="eastAsia" w:ascii="仿宋_GB2312" w:eastAsia="仿宋_GB2312"/>
          <w:b w:val="0"/>
          <w:bCs/>
          <w:color w:val="auto"/>
          <w:sz w:val="24"/>
          <w:szCs w:val="24"/>
          <w:highlight w:val="none"/>
          <w:lang w:val="en-US" w:eastAsia="zh-CN"/>
        </w:rPr>
        <w:t>应无条件根据市、区指挥保障中心的相关要求，落实信息采集，值班值守及应急处置等工作。</w:t>
      </w:r>
    </w:p>
    <w:p>
      <w:pPr>
        <w:pStyle w:val="167"/>
        <w:spacing w:line="360" w:lineRule="auto"/>
        <w:ind w:firstLine="330" w:firstLineChars="137"/>
        <w:rPr>
          <w:rFonts w:hint="eastAsia" w:ascii="仿宋_GB2312" w:eastAsia="仿宋_GB2312"/>
          <w:color w:val="auto"/>
          <w:sz w:val="24"/>
          <w:szCs w:val="24"/>
          <w:highlight w:val="none"/>
          <w:lang w:val="en-US" w:eastAsia="zh-CN"/>
        </w:rPr>
      </w:pPr>
      <w:r>
        <w:rPr>
          <w:rFonts w:hint="eastAsia" w:ascii="仿宋_GB2312" w:eastAsia="仿宋_GB2312"/>
          <w:b/>
          <w:color w:val="auto"/>
          <w:sz w:val="24"/>
          <w:szCs w:val="24"/>
          <w:highlight w:val="none"/>
          <w:lang w:val="en-US" w:eastAsia="zh-CN"/>
        </w:rPr>
        <w:t xml:space="preserve"> </w:t>
      </w:r>
      <w:r>
        <w:rPr>
          <w:rFonts w:hint="eastAsia" w:ascii="仿宋_GB2312" w:eastAsia="仿宋_GB2312"/>
          <w:b/>
          <w:color w:val="auto"/>
          <w:sz w:val="24"/>
          <w:szCs w:val="24"/>
          <w:highlight w:val="none"/>
        </w:rPr>
        <w:t>（</w:t>
      </w:r>
      <w:r>
        <w:rPr>
          <w:rFonts w:hint="eastAsia" w:ascii="仿宋_GB2312" w:eastAsia="仿宋_GB2312"/>
          <w:b/>
          <w:color w:val="auto"/>
          <w:sz w:val="24"/>
          <w:szCs w:val="24"/>
          <w:highlight w:val="none"/>
          <w:lang w:val="en-US" w:eastAsia="zh-CN"/>
        </w:rPr>
        <w:t>17）</w:t>
      </w:r>
      <w:r>
        <w:rPr>
          <w:rFonts w:hint="eastAsia" w:ascii="仿宋_GB2312" w:eastAsia="仿宋_GB2312"/>
          <w:color w:val="auto"/>
          <w:sz w:val="24"/>
          <w:szCs w:val="24"/>
          <w:highlight w:val="none"/>
          <w:lang w:val="en-US" w:eastAsia="zh-CN"/>
        </w:rPr>
        <w:t>工作制度。无上报虚假信息、有责纠纷。</w:t>
      </w:r>
    </w:p>
    <w:p>
      <w:pPr>
        <w:pStyle w:val="167"/>
        <w:spacing w:line="360" w:lineRule="auto"/>
        <w:ind w:firstLine="328" w:firstLineChars="137"/>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 xml:space="preserve"> </w:t>
      </w:r>
      <w:r>
        <w:rPr>
          <w:rFonts w:hint="eastAsia" w:ascii="仿宋_GB2312" w:eastAsia="仿宋_GB2312"/>
          <w:b/>
          <w:bCs/>
          <w:color w:val="auto"/>
          <w:sz w:val="24"/>
          <w:szCs w:val="24"/>
          <w:highlight w:val="none"/>
          <w:lang w:val="en-US" w:eastAsia="zh-CN"/>
        </w:rPr>
        <w:t>（18）</w:t>
      </w:r>
      <w:r>
        <w:rPr>
          <w:rFonts w:hint="eastAsia" w:ascii="仿宋_GB2312" w:eastAsia="仿宋_GB2312"/>
          <w:color w:val="auto"/>
          <w:sz w:val="24"/>
          <w:szCs w:val="24"/>
          <w:highlight w:val="none"/>
          <w:lang w:val="en-US" w:eastAsia="zh-CN"/>
        </w:rPr>
        <w:t>服务承诺。采集公司招标文件中有其他服务承诺的。</w:t>
      </w:r>
    </w:p>
    <w:p>
      <w:pPr>
        <w:pStyle w:val="167"/>
        <w:spacing w:line="360" w:lineRule="auto"/>
        <w:ind w:firstLine="328" w:firstLineChars="137"/>
        <w:rPr>
          <w:rFonts w:hint="eastAsia" w:ascii="仿宋_GB2312" w:eastAsia="仿宋_GB2312"/>
          <w:color w:val="auto"/>
          <w:sz w:val="24"/>
          <w:szCs w:val="24"/>
          <w:highlight w:val="none"/>
          <w:lang w:val="en-US" w:eastAsia="zh-CN"/>
        </w:rPr>
      </w:pPr>
    </w:p>
    <w:p>
      <w:pPr>
        <w:pStyle w:val="167"/>
        <w:spacing w:line="360" w:lineRule="auto"/>
        <w:ind w:firstLine="496" w:firstLineChars="206"/>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5.工作台账</w:t>
      </w:r>
    </w:p>
    <w:p>
      <w:pPr>
        <w:pStyle w:val="167"/>
        <w:spacing w:line="360" w:lineRule="auto"/>
        <w:ind w:firstLine="330" w:firstLineChars="137"/>
        <w:rPr>
          <w:rFonts w:hint="eastAsia" w:ascii="仿宋_GB2312" w:eastAsia="仿宋_GB2312"/>
          <w:color w:val="auto"/>
          <w:sz w:val="24"/>
          <w:szCs w:val="24"/>
          <w:highlight w:val="none"/>
          <w:lang w:eastAsia="zh-CN"/>
        </w:rPr>
      </w:pPr>
      <w:r>
        <w:rPr>
          <w:rFonts w:hint="eastAsia" w:ascii="仿宋_GB2312" w:eastAsia="仿宋_GB2312"/>
          <w:b/>
          <w:color w:val="auto"/>
          <w:sz w:val="24"/>
          <w:szCs w:val="24"/>
          <w:highlight w:val="none"/>
        </w:rPr>
        <w:t>（1）制度建设。</w:t>
      </w:r>
      <w:r>
        <w:rPr>
          <w:rFonts w:hint="eastAsia" w:ascii="仿宋_GB2312" w:eastAsia="仿宋_GB2312"/>
          <w:color w:val="auto"/>
          <w:sz w:val="24"/>
          <w:szCs w:val="24"/>
          <w:highlight w:val="none"/>
        </w:rPr>
        <w:t>采集公司应根据本办法细化管理内容和流程,建立本公司绩效考核办法,明确质量管理目标、管理制度、工作程序、工作记录、人员管控和考核检查奖惩办法</w:t>
      </w:r>
      <w:r>
        <w:rPr>
          <w:rFonts w:hint="eastAsia" w:ascii="仿宋_GB2312" w:eastAsia="仿宋_GB2312"/>
          <w:color w:val="auto"/>
          <w:sz w:val="24"/>
          <w:szCs w:val="24"/>
          <w:highlight w:val="none"/>
          <w:lang w:eastAsia="zh-CN"/>
        </w:rPr>
        <w:t>。</w:t>
      </w:r>
    </w:p>
    <w:p>
      <w:pPr>
        <w:pStyle w:val="167"/>
        <w:spacing w:line="360" w:lineRule="auto"/>
        <w:ind w:firstLine="330" w:firstLineChars="137"/>
        <w:rPr>
          <w:rFonts w:hint="eastAsia" w:ascii="仿宋_GB2312" w:eastAsia="仿宋_GB2312"/>
          <w:color w:val="auto"/>
          <w:sz w:val="24"/>
          <w:szCs w:val="24"/>
          <w:highlight w:val="none"/>
        </w:rPr>
      </w:pPr>
      <w:r>
        <w:rPr>
          <w:rFonts w:hint="eastAsia" w:ascii="仿宋_GB2312" w:eastAsia="仿宋_GB2312"/>
          <w:b/>
          <w:color w:val="auto"/>
          <w:sz w:val="24"/>
          <w:szCs w:val="24"/>
          <w:highlight w:val="none"/>
        </w:rPr>
        <w:t>（2）设备管理。</w:t>
      </w:r>
      <w:r>
        <w:rPr>
          <w:rFonts w:hint="eastAsia" w:ascii="仿宋_GB2312" w:eastAsia="仿宋_GB2312"/>
          <w:color w:val="auto"/>
          <w:sz w:val="24"/>
          <w:szCs w:val="24"/>
          <w:highlight w:val="none"/>
        </w:rPr>
        <w:t>采集公司应制定采集器使用管理办法，做好采集器的管理，</w:t>
      </w:r>
      <w:r>
        <w:rPr>
          <w:rFonts w:hint="eastAsia" w:ascii="仿宋_GB2312" w:eastAsia="仿宋_GB2312"/>
          <w:color w:val="auto"/>
          <w:sz w:val="24"/>
          <w:szCs w:val="24"/>
          <w:highlight w:val="none"/>
          <w:lang w:val="en-US" w:eastAsia="zh-CN"/>
        </w:rPr>
        <w:t>保障正常使用</w:t>
      </w:r>
      <w:r>
        <w:rPr>
          <w:rFonts w:hint="eastAsia" w:ascii="仿宋_GB2312" w:eastAsia="仿宋_GB2312"/>
          <w:color w:val="auto"/>
          <w:sz w:val="24"/>
          <w:szCs w:val="24"/>
          <w:highlight w:val="none"/>
        </w:rPr>
        <w:t>。</w:t>
      </w:r>
    </w:p>
    <w:p>
      <w:pPr>
        <w:pStyle w:val="167"/>
        <w:spacing w:line="360" w:lineRule="auto"/>
        <w:ind w:firstLine="330" w:firstLineChars="137"/>
        <w:rPr>
          <w:rFonts w:hint="eastAsia" w:ascii="仿宋_GB2312" w:eastAsia="仿宋_GB2312"/>
          <w:color w:val="auto"/>
          <w:sz w:val="24"/>
          <w:szCs w:val="24"/>
          <w:highlight w:val="none"/>
        </w:rPr>
      </w:pPr>
      <w:r>
        <w:rPr>
          <w:rFonts w:hint="eastAsia" w:ascii="仿宋_GB2312" w:eastAsia="仿宋_GB2312"/>
          <w:b/>
          <w:color w:val="auto"/>
          <w:sz w:val="24"/>
          <w:szCs w:val="24"/>
          <w:highlight w:val="none"/>
        </w:rPr>
        <w:t>（3）台账管理。</w:t>
      </w:r>
      <w:r>
        <w:rPr>
          <w:rFonts w:hint="eastAsia" w:ascii="仿宋_GB2312" w:eastAsia="仿宋_GB2312"/>
          <w:color w:val="auto"/>
          <w:sz w:val="24"/>
          <w:szCs w:val="24"/>
          <w:highlight w:val="none"/>
        </w:rPr>
        <w:t>采集公司应建立人员管理、设备管理、账务管理、宣传管理（企业文化）等内容的台账，实时做好台账的更新。</w:t>
      </w:r>
    </w:p>
    <w:p>
      <w:pPr>
        <w:pStyle w:val="167"/>
        <w:spacing w:line="360" w:lineRule="auto"/>
        <w:ind w:firstLine="496" w:firstLineChars="206"/>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6.指令执行</w:t>
      </w:r>
    </w:p>
    <w:p>
      <w:pPr>
        <w:pStyle w:val="167"/>
        <w:spacing w:line="360" w:lineRule="auto"/>
        <w:ind w:firstLine="494" w:firstLineChars="206"/>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采集公司应按要求做好主管部门发出指令的执行工作。各采集公司应积极运用新技术(移动或固定探头）等参与采集工作</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且保质保量完成区指挥保障中心下达的各项普查任务。</w:t>
      </w:r>
    </w:p>
    <w:p>
      <w:pPr>
        <w:pStyle w:val="167"/>
        <w:spacing w:line="360" w:lineRule="auto"/>
        <w:ind w:firstLine="482" w:firstLineChars="200"/>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7.舆情报送</w:t>
      </w:r>
    </w:p>
    <w:p>
      <w:pPr>
        <w:pStyle w:val="167"/>
        <w:spacing w:line="360" w:lineRule="auto"/>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通过电话或包括微信群、钉钉群、贴心城管APP以及数字城管系统等其它途径配合做好以下相关舆情报送工作：①全</w:t>
      </w:r>
      <w:r>
        <w:rPr>
          <w:rFonts w:hint="eastAsia" w:ascii="仿宋_GB2312" w:eastAsia="仿宋_GB2312"/>
          <w:color w:val="auto"/>
          <w:sz w:val="24"/>
          <w:szCs w:val="24"/>
          <w:highlight w:val="none"/>
          <w:lang w:eastAsia="zh-CN"/>
        </w:rPr>
        <w:t>区</w:t>
      </w:r>
      <w:r>
        <w:rPr>
          <w:rFonts w:hint="eastAsia" w:ascii="仿宋_GB2312" w:eastAsia="仿宋_GB2312"/>
          <w:color w:val="auto"/>
          <w:sz w:val="24"/>
          <w:szCs w:val="24"/>
          <w:highlight w:val="none"/>
        </w:rPr>
        <w:t>涉及人身安全、财产损失、社会稳定等舆情收集上报工作；②全</w:t>
      </w:r>
      <w:r>
        <w:rPr>
          <w:rFonts w:hint="eastAsia" w:ascii="仿宋_GB2312" w:eastAsia="仿宋_GB2312"/>
          <w:color w:val="auto"/>
          <w:sz w:val="24"/>
          <w:szCs w:val="24"/>
          <w:highlight w:val="none"/>
          <w:lang w:eastAsia="zh-CN"/>
        </w:rPr>
        <w:t>区</w:t>
      </w:r>
      <w:r>
        <w:rPr>
          <w:rFonts w:hint="eastAsia" w:ascii="仿宋_GB2312" w:eastAsia="仿宋_GB2312"/>
          <w:color w:val="auto"/>
          <w:sz w:val="24"/>
          <w:szCs w:val="24"/>
          <w:highlight w:val="none"/>
        </w:rPr>
        <w:t>城市管理重大活动及节假日期间的综合指挥和保障工作；③全</w:t>
      </w:r>
      <w:r>
        <w:rPr>
          <w:rFonts w:hint="eastAsia" w:ascii="仿宋_GB2312" w:eastAsia="仿宋_GB2312"/>
          <w:color w:val="auto"/>
          <w:sz w:val="24"/>
          <w:szCs w:val="24"/>
          <w:highlight w:val="none"/>
          <w:lang w:eastAsia="zh-CN"/>
        </w:rPr>
        <w:t>区</w:t>
      </w:r>
      <w:r>
        <w:rPr>
          <w:rFonts w:hint="eastAsia" w:ascii="仿宋_GB2312" w:eastAsia="仿宋_GB2312"/>
          <w:color w:val="auto"/>
          <w:sz w:val="24"/>
          <w:szCs w:val="24"/>
          <w:highlight w:val="none"/>
        </w:rPr>
        <w:t>防指“两防两抗”，城市管理有关市政、公用突发事件的应急指挥、协调、督办等工作；④综合指挥系统数据的分析研判工作；</w:t>
      </w:r>
      <w:r>
        <w:rPr>
          <w:rFonts w:hint="eastAsia" w:ascii="仿宋_GB2312" w:eastAsia="仿宋_GB2312"/>
          <w:color w:val="auto"/>
          <w:sz w:val="24"/>
          <w:szCs w:val="24"/>
          <w:highlight w:val="none"/>
        </w:rPr>
        <w:fldChar w:fldCharType="begin"/>
      </w:r>
      <w:r>
        <w:rPr>
          <w:rFonts w:hint="eastAsia" w:ascii="仿宋_GB2312" w:eastAsia="仿宋_GB2312"/>
          <w:color w:val="auto"/>
          <w:sz w:val="24"/>
          <w:szCs w:val="24"/>
          <w:highlight w:val="none"/>
        </w:rPr>
        <w:instrText xml:space="preserve">= 5 \* GB3</w:instrText>
      </w:r>
      <w:r>
        <w:rPr>
          <w:rFonts w:hint="eastAsia" w:ascii="仿宋_GB2312" w:eastAsia="仿宋_GB2312"/>
          <w:color w:val="auto"/>
          <w:sz w:val="24"/>
          <w:szCs w:val="24"/>
          <w:highlight w:val="none"/>
        </w:rPr>
        <w:fldChar w:fldCharType="separate"/>
      </w:r>
      <w:r>
        <w:rPr>
          <w:rFonts w:hint="eastAsia" w:ascii="仿宋_GB2312" w:eastAsia="仿宋_GB2312"/>
          <w:color w:val="auto"/>
          <w:sz w:val="24"/>
          <w:szCs w:val="24"/>
          <w:highlight w:val="none"/>
        </w:rPr>
        <w:t>⑤</w:t>
      </w:r>
      <w:r>
        <w:rPr>
          <w:rFonts w:hint="eastAsia" w:ascii="仿宋_GB2312" w:eastAsia="仿宋_GB2312"/>
          <w:color w:val="auto"/>
          <w:sz w:val="24"/>
          <w:szCs w:val="24"/>
          <w:highlight w:val="none"/>
        </w:rPr>
        <w:fldChar w:fldCharType="end"/>
      </w:r>
      <w:r>
        <w:rPr>
          <w:rFonts w:hint="eastAsia" w:ascii="仿宋_GB2312" w:eastAsia="仿宋_GB2312"/>
          <w:color w:val="auto"/>
          <w:sz w:val="24"/>
          <w:szCs w:val="24"/>
          <w:highlight w:val="none"/>
        </w:rPr>
        <w:t>上级交办的其他任务。</w:t>
      </w:r>
    </w:p>
    <w:p>
      <w:pPr>
        <w:pStyle w:val="167"/>
        <w:spacing w:line="360" w:lineRule="auto"/>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重大隐患上报。突发的严重影响市民人身安全的城市管理问题，第一时间向区指挥保障中心反映信息。</w:t>
      </w:r>
    </w:p>
    <w:p>
      <w:pPr>
        <w:pStyle w:val="167"/>
        <w:spacing w:line="360" w:lineRule="auto"/>
        <w:ind w:firstLine="482" w:firstLineChars="200"/>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8.宣传工作</w:t>
      </w:r>
    </w:p>
    <w:p>
      <w:pPr>
        <w:pStyle w:val="167"/>
        <w:spacing w:line="360" w:lineRule="auto"/>
        <w:ind w:firstLine="482" w:firstLineChars="200"/>
        <w:rPr>
          <w:rFonts w:hint="eastAsia" w:ascii="仿宋_GB2312" w:eastAsia="仿宋_GB2312"/>
          <w:color w:val="auto"/>
          <w:sz w:val="24"/>
          <w:szCs w:val="24"/>
          <w:highlight w:val="none"/>
        </w:rPr>
      </w:pPr>
      <w:r>
        <w:rPr>
          <w:rFonts w:hint="eastAsia" w:ascii="仿宋_GB2312" w:eastAsia="仿宋_GB2312"/>
          <w:b/>
          <w:color w:val="auto"/>
          <w:sz w:val="24"/>
          <w:szCs w:val="24"/>
          <w:highlight w:val="none"/>
        </w:rPr>
        <w:t>（1）</w:t>
      </w:r>
      <w:r>
        <w:rPr>
          <w:rFonts w:hint="eastAsia" w:ascii="仿宋_GB2312" w:eastAsia="仿宋_GB2312"/>
          <w:color w:val="auto"/>
          <w:sz w:val="24"/>
          <w:szCs w:val="24"/>
          <w:highlight w:val="none"/>
        </w:rPr>
        <w:t>采集公司应做好信息采集宣传工作。按要求</w:t>
      </w:r>
      <w:r>
        <w:rPr>
          <w:rFonts w:hint="eastAsia" w:ascii="仿宋_GB2312" w:eastAsia="仿宋_GB2312"/>
          <w:color w:val="auto"/>
          <w:sz w:val="24"/>
          <w:szCs w:val="24"/>
          <w:highlight w:val="none"/>
          <w:lang w:eastAsia="zh-CN"/>
        </w:rPr>
        <w:t>至少</w:t>
      </w:r>
      <w:r>
        <w:rPr>
          <w:rFonts w:hint="eastAsia" w:ascii="仿宋_GB2312" w:eastAsia="仿宋_GB2312"/>
          <w:color w:val="auto"/>
          <w:sz w:val="24"/>
          <w:szCs w:val="24"/>
          <w:highlight w:val="none"/>
        </w:rPr>
        <w:t>上报微博</w:t>
      </w: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篇/月，抖音</w:t>
      </w: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篇/月，微信</w:t>
      </w:r>
      <w:r>
        <w:rPr>
          <w:rFonts w:hint="eastAsia" w:ascii="仿宋_GB2312" w:eastAsia="仿宋_GB2312"/>
          <w:color w:val="auto"/>
          <w:sz w:val="24"/>
          <w:szCs w:val="24"/>
          <w:highlight w:val="none"/>
          <w:lang w:val="en-US" w:eastAsia="zh-CN"/>
        </w:rPr>
        <w:t>1</w:t>
      </w:r>
      <w:r>
        <w:rPr>
          <w:rFonts w:hint="eastAsia" w:ascii="仿宋_GB2312" w:eastAsia="仿宋_GB2312"/>
          <w:color w:val="auto"/>
          <w:sz w:val="24"/>
          <w:szCs w:val="24"/>
          <w:highlight w:val="none"/>
        </w:rPr>
        <w:t>篇/月</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动态</w:t>
      </w:r>
      <w:r>
        <w:rPr>
          <w:rFonts w:hint="eastAsia" w:ascii="仿宋_GB2312" w:eastAsia="仿宋_GB2312"/>
          <w:color w:val="auto"/>
          <w:sz w:val="24"/>
          <w:szCs w:val="24"/>
          <w:highlight w:val="none"/>
          <w:lang w:val="en-US" w:eastAsia="zh-CN"/>
        </w:rPr>
        <w:t>1</w:t>
      </w:r>
      <w:r>
        <w:rPr>
          <w:rFonts w:hint="eastAsia" w:ascii="仿宋_GB2312" w:eastAsia="仿宋_GB2312"/>
          <w:color w:val="auto"/>
          <w:sz w:val="24"/>
          <w:szCs w:val="24"/>
          <w:highlight w:val="none"/>
        </w:rPr>
        <w:t>篇/</w:t>
      </w:r>
      <w:r>
        <w:rPr>
          <w:rFonts w:hint="eastAsia" w:ascii="仿宋_GB2312" w:eastAsia="仿宋_GB2312"/>
          <w:color w:val="auto"/>
          <w:sz w:val="24"/>
          <w:szCs w:val="24"/>
          <w:highlight w:val="none"/>
          <w:lang w:eastAsia="zh-CN"/>
        </w:rPr>
        <w:t>月</w:t>
      </w:r>
      <w:r>
        <w:rPr>
          <w:rFonts w:hint="eastAsia" w:ascii="仿宋_GB2312" w:eastAsia="仿宋_GB2312"/>
          <w:color w:val="auto"/>
          <w:sz w:val="24"/>
          <w:szCs w:val="24"/>
          <w:highlight w:val="none"/>
        </w:rPr>
        <w:t>，月报1篇/月以及其它临时宣传工作。</w:t>
      </w:r>
    </w:p>
    <w:p>
      <w:pPr>
        <w:pStyle w:val="167"/>
        <w:spacing w:line="360" w:lineRule="auto"/>
        <w:ind w:firstLine="482" w:firstLineChars="200"/>
        <w:rPr>
          <w:rFonts w:hint="eastAsia" w:ascii="仿宋_GB2312" w:eastAsia="仿宋_GB2312"/>
          <w:color w:val="auto"/>
          <w:sz w:val="24"/>
          <w:szCs w:val="24"/>
          <w:highlight w:val="none"/>
          <w:lang w:val="en-US" w:eastAsia="zh-CN"/>
        </w:rPr>
      </w:pPr>
      <w:r>
        <w:rPr>
          <w:rFonts w:hint="eastAsia" w:ascii="仿宋_GB2312" w:eastAsia="仿宋_GB2312"/>
          <w:b/>
          <w:color w:val="auto"/>
          <w:sz w:val="24"/>
          <w:szCs w:val="24"/>
          <w:highlight w:val="none"/>
        </w:rPr>
        <w:t>（</w:t>
      </w:r>
      <w:r>
        <w:rPr>
          <w:rFonts w:hint="eastAsia" w:ascii="仿宋_GB2312" w:eastAsia="仿宋_GB2312"/>
          <w:b/>
          <w:color w:val="auto"/>
          <w:sz w:val="24"/>
          <w:szCs w:val="24"/>
          <w:highlight w:val="none"/>
          <w:lang w:val="en-US" w:eastAsia="zh-CN"/>
        </w:rPr>
        <w:t>2</w:t>
      </w:r>
      <w:r>
        <w:rPr>
          <w:rFonts w:hint="eastAsia" w:ascii="仿宋_GB2312" w:eastAsia="仿宋_GB2312"/>
          <w:b/>
          <w:color w:val="auto"/>
          <w:sz w:val="24"/>
          <w:szCs w:val="24"/>
          <w:highlight w:val="none"/>
        </w:rPr>
        <w:t>）</w:t>
      </w:r>
      <w:r>
        <w:rPr>
          <w:rFonts w:hint="eastAsia" w:ascii="仿宋_GB2312" w:eastAsia="仿宋_GB2312"/>
          <w:color w:val="auto"/>
          <w:sz w:val="24"/>
          <w:szCs w:val="24"/>
          <w:highlight w:val="none"/>
          <w:lang w:val="en-US" w:eastAsia="zh-CN"/>
        </w:rPr>
        <w:t>正面宣传。区级媒体录用；市级以上录用。</w:t>
      </w:r>
    </w:p>
    <w:p>
      <w:pPr>
        <w:pStyle w:val="167"/>
        <w:spacing w:line="360" w:lineRule="auto"/>
        <w:ind w:firstLine="330" w:firstLineChars="137"/>
        <w:rPr>
          <w:rFonts w:hint="eastAsia" w:ascii="楷体" w:hAnsi="楷体" w:eastAsia="楷体"/>
          <w:b/>
          <w:color w:val="auto"/>
          <w:sz w:val="24"/>
          <w:szCs w:val="24"/>
          <w:highlight w:val="none"/>
        </w:rPr>
      </w:pPr>
      <w:r>
        <w:rPr>
          <w:rFonts w:hint="eastAsia" w:ascii="楷体" w:hAnsi="楷体" w:eastAsia="楷体"/>
          <w:b/>
          <w:color w:val="auto"/>
          <w:sz w:val="24"/>
          <w:szCs w:val="24"/>
          <w:highlight w:val="none"/>
        </w:rPr>
        <w:t>（三）诚信指标</w:t>
      </w:r>
    </w:p>
    <w:p>
      <w:pPr>
        <w:pStyle w:val="167"/>
        <w:spacing w:line="360" w:lineRule="auto"/>
        <w:ind w:firstLine="496" w:firstLineChars="206"/>
        <w:rPr>
          <w:rFonts w:hint="eastAsia" w:ascii="仿宋_GB2312" w:hAnsi="楷体" w:eastAsia="仿宋_GB2312"/>
          <w:b/>
          <w:color w:val="auto"/>
          <w:sz w:val="24"/>
          <w:szCs w:val="24"/>
          <w:highlight w:val="none"/>
        </w:rPr>
      </w:pPr>
      <w:r>
        <w:rPr>
          <w:rFonts w:hint="eastAsia" w:ascii="仿宋_GB2312" w:hAnsi="楷体" w:eastAsia="仿宋_GB2312"/>
          <w:b/>
          <w:color w:val="auto"/>
          <w:sz w:val="24"/>
          <w:szCs w:val="24"/>
          <w:highlight w:val="none"/>
          <w:lang w:val="en-US" w:eastAsia="zh-CN"/>
        </w:rPr>
        <w:t>9</w:t>
      </w:r>
      <w:r>
        <w:rPr>
          <w:rFonts w:hint="eastAsia" w:ascii="仿宋_GB2312" w:hAnsi="楷体" w:eastAsia="仿宋_GB2312"/>
          <w:b/>
          <w:color w:val="auto"/>
          <w:sz w:val="24"/>
          <w:szCs w:val="24"/>
          <w:highlight w:val="none"/>
        </w:rPr>
        <w:t>.诚信管理</w:t>
      </w:r>
    </w:p>
    <w:p>
      <w:pPr>
        <w:pStyle w:val="167"/>
        <w:spacing w:line="360" w:lineRule="auto"/>
        <w:ind w:firstLine="330" w:firstLineChars="137"/>
        <w:rPr>
          <w:rFonts w:hint="eastAsia" w:ascii="仿宋_GB2312" w:hAnsi="楷体" w:eastAsia="仿宋_GB2312"/>
          <w:color w:val="auto"/>
          <w:sz w:val="24"/>
          <w:szCs w:val="24"/>
          <w:highlight w:val="none"/>
        </w:rPr>
      </w:pPr>
      <w:r>
        <w:rPr>
          <w:rFonts w:hint="eastAsia" w:ascii="仿宋_GB2312" w:hAnsi="楷体" w:eastAsia="仿宋_GB2312"/>
          <w:b/>
          <w:color w:val="auto"/>
          <w:sz w:val="24"/>
          <w:szCs w:val="24"/>
          <w:highlight w:val="none"/>
        </w:rPr>
        <w:t>（1）职业道德。</w:t>
      </w:r>
      <w:r>
        <w:rPr>
          <w:rFonts w:hint="eastAsia" w:ascii="仿宋_GB2312" w:hAnsi="楷体" w:eastAsia="仿宋_GB2312"/>
          <w:color w:val="auto"/>
          <w:sz w:val="24"/>
          <w:szCs w:val="24"/>
          <w:highlight w:val="none"/>
        </w:rPr>
        <w:t>采集公司应遵守信息采集职业道德要求。</w:t>
      </w:r>
    </w:p>
    <w:p>
      <w:pPr>
        <w:pStyle w:val="167"/>
        <w:spacing w:line="360" w:lineRule="auto"/>
        <w:ind w:firstLine="330" w:firstLineChars="137"/>
        <w:rPr>
          <w:rFonts w:hint="eastAsia" w:ascii="仿宋_GB2312" w:hAnsi="楷体" w:eastAsia="仿宋_GB2312"/>
          <w:color w:val="auto"/>
          <w:sz w:val="24"/>
          <w:szCs w:val="24"/>
          <w:highlight w:val="none"/>
        </w:rPr>
      </w:pPr>
      <w:r>
        <w:rPr>
          <w:rFonts w:hint="eastAsia" w:ascii="仿宋_GB2312" w:hAnsi="楷体" w:eastAsia="仿宋_GB2312"/>
          <w:b/>
          <w:color w:val="auto"/>
          <w:sz w:val="24"/>
          <w:szCs w:val="24"/>
          <w:highlight w:val="none"/>
        </w:rPr>
        <w:t>（2）员工稳定。</w:t>
      </w:r>
      <w:r>
        <w:rPr>
          <w:rFonts w:hint="eastAsia" w:ascii="仿宋_GB2312" w:hAnsi="楷体" w:eastAsia="仿宋_GB2312"/>
          <w:color w:val="auto"/>
          <w:sz w:val="24"/>
          <w:szCs w:val="24"/>
          <w:highlight w:val="none"/>
        </w:rPr>
        <w:t>采集公司应妥善处置好内部关系，遇有问题应逐级上报，及时向主管部门反映，不得越级反映。</w:t>
      </w:r>
    </w:p>
    <w:p>
      <w:pPr>
        <w:pStyle w:val="167"/>
        <w:spacing w:line="360" w:lineRule="auto"/>
        <w:ind w:firstLine="496" w:firstLineChars="206"/>
        <w:rPr>
          <w:rFonts w:hint="eastAsia" w:ascii="仿宋_GB2312" w:hAnsi="楷体" w:eastAsia="仿宋_GB2312"/>
          <w:b/>
          <w:color w:val="auto"/>
          <w:sz w:val="24"/>
          <w:szCs w:val="24"/>
          <w:highlight w:val="none"/>
        </w:rPr>
      </w:pPr>
      <w:r>
        <w:rPr>
          <w:rFonts w:hint="eastAsia" w:ascii="仿宋_GB2312" w:hAnsi="楷体" w:eastAsia="仿宋_GB2312"/>
          <w:b/>
          <w:color w:val="auto"/>
          <w:sz w:val="24"/>
          <w:szCs w:val="24"/>
          <w:highlight w:val="none"/>
        </w:rPr>
        <w:t>1</w:t>
      </w:r>
      <w:r>
        <w:rPr>
          <w:rFonts w:hint="eastAsia" w:ascii="仿宋_GB2312" w:hAnsi="楷体" w:eastAsia="仿宋_GB2312"/>
          <w:b/>
          <w:color w:val="auto"/>
          <w:sz w:val="24"/>
          <w:szCs w:val="24"/>
          <w:highlight w:val="none"/>
          <w:lang w:val="en-US" w:eastAsia="zh-CN"/>
        </w:rPr>
        <w:t>0</w:t>
      </w:r>
      <w:r>
        <w:rPr>
          <w:rFonts w:hint="eastAsia" w:ascii="仿宋_GB2312" w:hAnsi="楷体" w:eastAsia="仿宋_GB2312"/>
          <w:b/>
          <w:color w:val="auto"/>
          <w:sz w:val="24"/>
          <w:szCs w:val="24"/>
          <w:highlight w:val="none"/>
        </w:rPr>
        <w:t>.合法经营</w:t>
      </w:r>
    </w:p>
    <w:p>
      <w:pPr>
        <w:pStyle w:val="167"/>
        <w:spacing w:line="360" w:lineRule="auto"/>
        <w:ind w:firstLine="330" w:firstLineChars="137"/>
        <w:rPr>
          <w:rFonts w:hint="eastAsia" w:ascii="仿宋_GB2312" w:eastAsia="仿宋_GB2312"/>
          <w:color w:val="auto"/>
          <w:sz w:val="24"/>
          <w:szCs w:val="24"/>
          <w:highlight w:val="none"/>
        </w:rPr>
      </w:pPr>
      <w:r>
        <w:rPr>
          <w:rFonts w:hint="eastAsia" w:ascii="仿宋_GB2312" w:eastAsia="仿宋_GB2312"/>
          <w:b/>
          <w:color w:val="auto"/>
          <w:sz w:val="24"/>
          <w:szCs w:val="24"/>
          <w:highlight w:val="none"/>
        </w:rPr>
        <w:t>（1）职工利益。</w:t>
      </w:r>
      <w:r>
        <w:rPr>
          <w:rFonts w:hint="eastAsia" w:ascii="仿宋_GB2312" w:eastAsia="仿宋_GB2312"/>
          <w:color w:val="auto"/>
          <w:sz w:val="24"/>
          <w:szCs w:val="24"/>
          <w:highlight w:val="none"/>
        </w:rPr>
        <w:t>采集公司及时发放职工的工资福利，不得无故拖欠员工工资、克扣员工福利或其他违法经营行为。</w:t>
      </w:r>
    </w:p>
    <w:p>
      <w:pPr>
        <w:pStyle w:val="167"/>
        <w:spacing w:line="360" w:lineRule="auto"/>
        <w:ind w:firstLine="330" w:firstLineChars="137"/>
        <w:rPr>
          <w:rFonts w:hint="eastAsia" w:ascii="仿宋_GB2312" w:eastAsia="仿宋_GB2312"/>
          <w:color w:val="auto"/>
          <w:sz w:val="24"/>
          <w:szCs w:val="24"/>
          <w:highlight w:val="none"/>
        </w:rPr>
      </w:pPr>
      <w:r>
        <w:rPr>
          <w:rFonts w:hint="eastAsia" w:ascii="仿宋_GB2312" w:eastAsia="仿宋_GB2312"/>
          <w:b/>
          <w:color w:val="auto"/>
          <w:sz w:val="24"/>
          <w:szCs w:val="24"/>
          <w:highlight w:val="none"/>
        </w:rPr>
        <w:t>（2）规范用</w:t>
      </w:r>
      <w:r>
        <w:rPr>
          <w:rFonts w:hint="eastAsia" w:ascii="仿宋_GB2312" w:hAnsi="宋体" w:eastAsia="仿宋_GB2312"/>
          <w:b/>
          <w:color w:val="auto"/>
          <w:sz w:val="24"/>
          <w:szCs w:val="24"/>
          <w:highlight w:val="none"/>
        </w:rPr>
        <w:t>工。</w:t>
      </w:r>
      <w:r>
        <w:rPr>
          <w:rFonts w:hint="eastAsia" w:ascii="仿宋_GB2312" w:hAnsi="宋体" w:eastAsia="仿宋_GB2312"/>
          <w:color w:val="auto"/>
          <w:sz w:val="24"/>
          <w:szCs w:val="24"/>
          <w:highlight w:val="none"/>
        </w:rPr>
        <w:t>采集公司开除违规人员，应在开除后次日向主管部门通报。</w:t>
      </w:r>
    </w:p>
    <w:p>
      <w:pPr>
        <w:pStyle w:val="25"/>
        <w:spacing w:line="360" w:lineRule="auto"/>
        <w:ind w:firstLine="640"/>
        <w:rPr>
          <w:rFonts w:hint="eastAsia"/>
          <w:color w:val="auto"/>
          <w:sz w:val="24"/>
          <w:szCs w:val="24"/>
          <w:highlight w:val="none"/>
        </w:rPr>
      </w:pPr>
      <w:r>
        <w:rPr>
          <w:rFonts w:hint="eastAsia" w:ascii="黑体" w:hAnsi="黑体" w:eastAsia="黑体" w:cs="黑体"/>
          <w:color w:val="auto"/>
          <w:sz w:val="24"/>
          <w:szCs w:val="24"/>
          <w:highlight w:val="none"/>
        </w:rPr>
        <w:t>三、有关要求</w:t>
      </w:r>
    </w:p>
    <w:p>
      <w:pPr>
        <w:pStyle w:val="25"/>
        <w:spacing w:line="360" w:lineRule="auto"/>
        <w:ind w:firstLine="330" w:firstLineChars="137"/>
        <w:rPr>
          <w:rFonts w:hint="eastAsia" w:ascii="仿宋_GB2312" w:hAnsi="宋体" w:eastAsia="仿宋_GB2312" w:cs="Lucida Sans"/>
          <w:color w:val="auto"/>
          <w:kern w:val="2"/>
          <w:sz w:val="24"/>
          <w:szCs w:val="24"/>
          <w:highlight w:val="none"/>
          <w:lang w:val="en-US" w:eastAsia="zh-CN" w:bidi="ar-SA"/>
        </w:rPr>
      </w:pPr>
      <w:r>
        <w:rPr>
          <w:rFonts w:hint="eastAsia" w:ascii="仿宋_GB2312" w:hAnsi="Times New Roman" w:eastAsia="仿宋_GB2312" w:cs="Lucida Sans"/>
          <w:b/>
          <w:color w:val="auto"/>
          <w:kern w:val="2"/>
          <w:sz w:val="24"/>
          <w:szCs w:val="24"/>
          <w:highlight w:val="none"/>
          <w:lang w:val="en-US" w:eastAsia="zh-CN" w:bidi="ar-SA"/>
        </w:rPr>
        <w:t>（一）高度重视。</w:t>
      </w:r>
      <w:r>
        <w:rPr>
          <w:rFonts w:hint="eastAsia" w:ascii="仿宋_GB2312" w:hAnsi="宋体" w:eastAsia="仿宋_GB2312" w:cs="Lucida Sans"/>
          <w:color w:val="auto"/>
          <w:kern w:val="2"/>
          <w:sz w:val="24"/>
          <w:szCs w:val="24"/>
          <w:highlight w:val="none"/>
          <w:lang w:val="en-US" w:eastAsia="zh-CN" w:bidi="ar-SA"/>
        </w:rPr>
        <w:t>本办法采取月度考核方式,具体考核工作由主管部门负责实施,各采集公司要高度重视此项工作，根据考核要求建立绩效管理办法，树立工作目标意识和责任意识，提出明确要求，奖勤罚懒，奖优罚劣，推动采集工作上水平、出成果。为我市智慧城管的快速、高效、良性和可持续发展贡献力量。</w:t>
      </w:r>
    </w:p>
    <w:p>
      <w:pPr>
        <w:pStyle w:val="25"/>
        <w:spacing w:line="360" w:lineRule="auto"/>
        <w:ind w:firstLine="330" w:firstLineChars="137"/>
        <w:rPr>
          <w:rFonts w:hint="eastAsia" w:ascii="仿宋_GB2312" w:hAnsi="宋体" w:eastAsia="仿宋_GB2312" w:cs="Lucida Sans"/>
          <w:color w:val="auto"/>
          <w:kern w:val="2"/>
          <w:sz w:val="24"/>
          <w:szCs w:val="24"/>
          <w:highlight w:val="none"/>
          <w:lang w:val="en-US" w:eastAsia="zh-CN" w:bidi="ar-SA"/>
        </w:rPr>
      </w:pPr>
      <w:r>
        <w:rPr>
          <w:rFonts w:hint="eastAsia" w:ascii="仿宋_GB2312" w:hAnsi="Times New Roman" w:eastAsia="仿宋_GB2312" w:cs="Lucida Sans"/>
          <w:b/>
          <w:color w:val="auto"/>
          <w:kern w:val="2"/>
          <w:sz w:val="24"/>
          <w:szCs w:val="24"/>
          <w:highlight w:val="none"/>
          <w:lang w:val="en-US" w:eastAsia="zh-CN" w:bidi="ar-SA"/>
        </w:rPr>
        <w:t>（二）规范管理。</w:t>
      </w:r>
      <w:r>
        <w:rPr>
          <w:rFonts w:hint="eastAsia" w:ascii="仿宋_GB2312" w:hAnsi="宋体" w:eastAsia="仿宋_GB2312" w:cs="Lucida Sans"/>
          <w:color w:val="auto"/>
          <w:kern w:val="2"/>
          <w:sz w:val="24"/>
          <w:szCs w:val="24"/>
          <w:highlight w:val="none"/>
          <w:lang w:val="en-US" w:eastAsia="zh-CN" w:bidi="ar-SA"/>
        </w:rPr>
        <w:t>本办法采取百分制为基准,根据办法进行相应分数计扣,考核涉及到采集公司全面工作,与采集公司每名员工都息息相关,各采集公司要充分调动员工的工作积极性，树立主人翁精神；要加强业务工作培训，按主管部门第一时间发现问题，第一时间上报问题的要求，建立快速高效的信息报送机制，做到公司任务人人有责。</w:t>
      </w:r>
    </w:p>
    <w:p>
      <w:pPr>
        <w:pStyle w:val="25"/>
        <w:spacing w:line="360" w:lineRule="auto"/>
        <w:ind w:firstLine="330" w:firstLineChars="137"/>
        <w:rPr>
          <w:rFonts w:hint="eastAsia"/>
          <w:lang w:eastAsia="zh-CN"/>
        </w:rPr>
      </w:pPr>
      <w:r>
        <w:rPr>
          <w:rFonts w:hint="eastAsia" w:ascii="仿宋_GB2312" w:hAnsi="Times New Roman" w:eastAsia="仿宋_GB2312" w:cs="Lucida Sans"/>
          <w:b/>
          <w:color w:val="auto"/>
          <w:kern w:val="2"/>
          <w:sz w:val="24"/>
          <w:szCs w:val="24"/>
          <w:highlight w:val="none"/>
          <w:lang w:val="en-US" w:eastAsia="zh-CN" w:bidi="ar-SA"/>
        </w:rPr>
        <w:t>（三）认真落实。</w:t>
      </w:r>
      <w:r>
        <w:rPr>
          <w:rFonts w:hint="eastAsia" w:ascii="仿宋_GB2312" w:hAnsi="宋体" w:eastAsia="仿宋_GB2312" w:cs="Lucida Sans"/>
          <w:color w:val="auto"/>
          <w:kern w:val="2"/>
          <w:sz w:val="24"/>
          <w:szCs w:val="24"/>
          <w:highlight w:val="none"/>
          <w:lang w:val="en-US" w:eastAsia="zh-CN" w:bidi="ar-SA"/>
        </w:rPr>
        <w:t>本办法考核成绩将与采集经费直接挂勾,根据考核评分细则实行扣分制，每扣1分折合人民币5000元。考核成绩直接影响采集公司的经济收入，同时也反映出一个公司管理水平和业务水平，考核结果可能影响到公司的发展前途，各采集公司要有危机意识，按要求认真抓好各项考核，把本办法作为公司发展的压力和动力，提升公司的整体水平。</w:t>
      </w:r>
    </w:p>
    <w:p>
      <w:pPr>
        <w:jc w:val="center"/>
        <w:rPr>
          <w:rFonts w:hint="eastAsia" w:eastAsia="宋体"/>
          <w:b/>
          <w:bCs/>
          <w:color w:val="auto"/>
          <w:sz w:val="30"/>
          <w:szCs w:val="30"/>
          <w:highlight w:val="none"/>
          <w:lang w:eastAsia="zh-CN"/>
        </w:rPr>
      </w:pPr>
      <w:r>
        <w:rPr>
          <w:rFonts w:hint="eastAsia"/>
          <w:b/>
          <w:bCs/>
          <w:color w:val="auto"/>
          <w:sz w:val="30"/>
          <w:szCs w:val="30"/>
          <w:highlight w:val="none"/>
          <w:lang w:eastAsia="zh-CN"/>
        </w:rPr>
        <w:t>采集公司月度考核评分细则</w:t>
      </w:r>
    </w:p>
    <w:tbl>
      <w:tblPr>
        <w:tblStyle w:val="62"/>
        <w:tblpPr w:leftFromText="180" w:rightFromText="180" w:vertAnchor="text" w:horzAnchor="page" w:tblpX="1318" w:tblpY="528"/>
        <w:tblOverlap w:val="never"/>
        <w:tblW w:w="977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8"/>
        <w:gridCol w:w="1192"/>
        <w:gridCol w:w="2930"/>
        <w:gridCol w:w="1105"/>
        <w:gridCol w:w="3150"/>
        <w:gridCol w:w="8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4" w:hRule="atLeast"/>
        </w:trPr>
        <w:tc>
          <w:tcPr>
            <w:tcW w:w="538" w:type="dxa"/>
            <w:vAlign w:val="center"/>
          </w:tcPr>
          <w:p>
            <w:pPr>
              <w:spacing w:line="240" w:lineRule="auto"/>
              <w:ind w:left="0" w:right="0"/>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序号</w:t>
            </w:r>
          </w:p>
        </w:tc>
        <w:tc>
          <w:tcPr>
            <w:tcW w:w="1192" w:type="dxa"/>
            <w:vAlign w:val="center"/>
          </w:tcPr>
          <w:p>
            <w:pPr>
              <w:spacing w:line="240" w:lineRule="auto"/>
              <w:ind w:left="0" w:right="0"/>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类别</w:t>
            </w:r>
          </w:p>
        </w:tc>
        <w:tc>
          <w:tcPr>
            <w:tcW w:w="2930" w:type="dxa"/>
            <w:vAlign w:val="center"/>
          </w:tcPr>
          <w:p>
            <w:pPr>
              <w:spacing w:line="240" w:lineRule="auto"/>
              <w:ind w:left="0" w:right="0"/>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评价公式及要求</w:t>
            </w:r>
          </w:p>
        </w:tc>
        <w:tc>
          <w:tcPr>
            <w:tcW w:w="1105" w:type="dxa"/>
            <w:vAlign w:val="center"/>
          </w:tcPr>
          <w:p>
            <w:pPr>
              <w:spacing w:line="240" w:lineRule="auto"/>
              <w:ind w:left="0" w:right="0"/>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数据来源</w:t>
            </w:r>
          </w:p>
        </w:tc>
        <w:tc>
          <w:tcPr>
            <w:tcW w:w="3150" w:type="dxa"/>
            <w:vAlign w:val="center"/>
          </w:tcPr>
          <w:p>
            <w:pPr>
              <w:spacing w:line="240" w:lineRule="auto"/>
              <w:ind w:left="0" w:right="0"/>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计扣办法</w:t>
            </w:r>
          </w:p>
        </w:tc>
        <w:tc>
          <w:tcPr>
            <w:tcW w:w="855" w:type="dxa"/>
            <w:vAlign w:val="center"/>
          </w:tcPr>
          <w:p>
            <w:pPr>
              <w:spacing w:line="240" w:lineRule="auto"/>
              <w:ind w:left="0" w:right="0"/>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val="en-US" w:eastAsia="zh-CN"/>
              </w:rPr>
              <w:t xml:space="preserve"> </w:t>
            </w:r>
            <w:r>
              <w:rPr>
                <w:rFonts w:hint="eastAsia" w:ascii="仿宋_GB2312" w:hAnsi="仿宋_GB2312" w:eastAsia="仿宋_GB2312" w:cs="仿宋_GB2312"/>
                <w:b/>
                <w:bCs/>
                <w:color w:val="auto"/>
                <w:sz w:val="21"/>
                <w:szCs w:val="21"/>
                <w:highlight w:val="none"/>
              </w:rPr>
              <w:t>得分</w:t>
            </w:r>
          </w:p>
          <w:p>
            <w:pPr>
              <w:spacing w:line="240" w:lineRule="auto"/>
              <w:ind w:left="0" w:right="0"/>
              <w:jc w:val="center"/>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lang w:val="en-US" w:eastAsia="zh-CN"/>
              </w:rPr>
              <w:t>100</w:t>
            </w:r>
            <w:r>
              <w:rPr>
                <w:rFonts w:hint="eastAsia" w:ascii="仿宋_GB2312" w:hAnsi="仿宋_GB2312" w:eastAsia="仿宋_GB2312" w:cs="仿宋_GB2312"/>
                <w:b/>
                <w:bCs/>
                <w:color w:val="auto"/>
                <w:sz w:val="21"/>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0" w:hRule="atLeast"/>
        </w:trPr>
        <w:tc>
          <w:tcPr>
            <w:tcW w:w="538" w:type="dxa"/>
            <w:vMerge w:val="restart"/>
            <w:vAlign w:val="center"/>
          </w:tcPr>
          <w:p>
            <w:pPr>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1192" w:type="dxa"/>
            <w:vMerge w:val="restart"/>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漏报件</w:t>
            </w:r>
          </w:p>
          <w:p>
            <w:pPr>
              <w:spacing w:line="240" w:lineRule="auto"/>
              <w:ind w:left="0" w:right="0"/>
              <w:jc w:val="center"/>
              <w:rPr>
                <w:rFonts w:hint="eastAsia" w:ascii="仿宋_GB2312" w:hAnsi="仿宋_GB2312" w:eastAsia="仿宋_GB2312" w:cs="仿宋_GB2312"/>
                <w:color w:val="auto"/>
                <w:sz w:val="21"/>
                <w:szCs w:val="21"/>
                <w:highlight w:val="none"/>
              </w:rPr>
            </w:pPr>
          </w:p>
        </w:tc>
        <w:tc>
          <w:tcPr>
            <w:tcW w:w="2930" w:type="dxa"/>
            <w:vMerge w:val="restart"/>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工作区域内无漏报</w:t>
            </w:r>
          </w:p>
          <w:p>
            <w:pPr>
              <w:spacing w:line="240" w:lineRule="auto"/>
              <w:ind w:left="0" w:right="0"/>
              <w:jc w:val="center"/>
              <w:rPr>
                <w:rFonts w:hint="eastAsia" w:ascii="仿宋_GB2312" w:hAnsi="仿宋_GB2312" w:eastAsia="仿宋_GB2312" w:cs="仿宋_GB2312"/>
                <w:color w:val="auto"/>
                <w:sz w:val="21"/>
                <w:szCs w:val="21"/>
                <w:highlight w:val="none"/>
              </w:rPr>
            </w:pPr>
          </w:p>
        </w:tc>
        <w:tc>
          <w:tcPr>
            <w:tcW w:w="1105" w:type="dxa"/>
            <w:vMerge w:val="restart"/>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媒体曝光、市民投诉、巡查校核等</w:t>
            </w:r>
          </w:p>
          <w:p>
            <w:pPr>
              <w:spacing w:line="240" w:lineRule="auto"/>
              <w:ind w:left="0" w:right="0"/>
              <w:jc w:val="center"/>
              <w:rPr>
                <w:rFonts w:hint="eastAsia" w:ascii="仿宋_GB2312" w:hAnsi="仿宋_GB2312" w:eastAsia="仿宋_GB2312" w:cs="仿宋_GB2312"/>
                <w:color w:val="auto"/>
                <w:sz w:val="21"/>
                <w:szCs w:val="21"/>
                <w:highlight w:val="none"/>
              </w:rPr>
            </w:pP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媒体曝光、领导批示确认漏报的，每件扣1分</w:t>
            </w:r>
          </w:p>
        </w:tc>
        <w:tc>
          <w:tcPr>
            <w:tcW w:w="855" w:type="dxa"/>
            <w:vMerge w:val="restart"/>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0" w:hRule="atLeast"/>
        </w:trPr>
        <w:tc>
          <w:tcPr>
            <w:tcW w:w="538" w:type="dxa"/>
            <w:vMerge w:val="continue"/>
            <w:vAlign w:val="center"/>
          </w:tcPr>
          <w:p>
            <w:pPr>
              <w:spacing w:line="240" w:lineRule="auto"/>
              <w:ind w:left="0" w:right="0"/>
              <w:jc w:val="center"/>
              <w:rPr>
                <w:color w:val="auto"/>
                <w:highlight w:val="none"/>
              </w:rPr>
            </w:pPr>
          </w:p>
        </w:tc>
        <w:tc>
          <w:tcPr>
            <w:tcW w:w="1192" w:type="dxa"/>
            <w:vMerge w:val="continue"/>
            <w:vAlign w:val="center"/>
          </w:tcPr>
          <w:p>
            <w:pPr>
              <w:spacing w:line="240" w:lineRule="auto"/>
              <w:ind w:left="0" w:right="0"/>
              <w:jc w:val="center"/>
              <w:rPr>
                <w:color w:val="auto"/>
                <w:highlight w:val="none"/>
              </w:rPr>
            </w:pPr>
          </w:p>
        </w:tc>
        <w:tc>
          <w:tcPr>
            <w:tcW w:w="2930" w:type="dxa"/>
            <w:vMerge w:val="continue"/>
            <w:vAlign w:val="center"/>
          </w:tcPr>
          <w:p>
            <w:pPr>
              <w:spacing w:line="240" w:lineRule="auto"/>
              <w:ind w:left="0" w:right="0"/>
              <w:jc w:val="center"/>
              <w:rPr>
                <w:color w:val="auto"/>
                <w:highlight w:val="none"/>
              </w:rPr>
            </w:pPr>
          </w:p>
        </w:tc>
        <w:tc>
          <w:tcPr>
            <w:tcW w:w="1105" w:type="dxa"/>
            <w:vMerge w:val="continue"/>
            <w:vAlign w:val="center"/>
          </w:tcPr>
          <w:p>
            <w:pPr>
              <w:spacing w:line="240" w:lineRule="auto"/>
              <w:ind w:left="0" w:right="0"/>
              <w:jc w:val="center"/>
              <w:rPr>
                <w:color w:val="auto"/>
                <w:highlight w:val="none"/>
              </w:rPr>
            </w:pP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市民投诉、上级检查等确认漏报的，每件扣0.4分</w:t>
            </w:r>
          </w:p>
        </w:tc>
        <w:tc>
          <w:tcPr>
            <w:tcW w:w="85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0" w:hRule="atLeast"/>
        </w:trPr>
        <w:tc>
          <w:tcPr>
            <w:tcW w:w="538"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1192"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2930"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110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指挥中心、相关部门检查确认漏报的，每件扣0.2分</w:t>
            </w:r>
          </w:p>
        </w:tc>
        <w:tc>
          <w:tcPr>
            <w:tcW w:w="85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2" w:hRule="atLeast"/>
        </w:trPr>
        <w:tc>
          <w:tcPr>
            <w:tcW w:w="538"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1192"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类别覆盖率</w:t>
            </w: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达到市级考核要求</w:t>
            </w:r>
          </w:p>
        </w:tc>
        <w:tc>
          <w:tcPr>
            <w:tcW w:w="1105"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系统数据</w:t>
            </w: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每下降一个百分点扣</w:t>
            </w:r>
            <w:r>
              <w:rPr>
                <w:rFonts w:hint="eastAsia" w:ascii="仿宋_GB2312" w:hAnsi="仿宋_GB2312" w:eastAsia="仿宋_GB2312" w:cs="仿宋_GB2312"/>
                <w:color w:val="auto"/>
                <w:sz w:val="21"/>
                <w:szCs w:val="21"/>
                <w:highlight w:val="none"/>
                <w:lang w:val="en-US" w:eastAsia="zh-CN"/>
              </w:rPr>
              <w:t>0.5分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0" w:hRule="atLeast"/>
        </w:trPr>
        <w:tc>
          <w:tcPr>
            <w:tcW w:w="538"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w:t>
            </w:r>
          </w:p>
        </w:tc>
        <w:tc>
          <w:tcPr>
            <w:tcW w:w="1192"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视频采集</w:t>
            </w:r>
          </w:p>
        </w:tc>
        <w:tc>
          <w:tcPr>
            <w:tcW w:w="2930" w:type="dxa"/>
            <w:vAlign w:val="center"/>
          </w:tcPr>
          <w:p>
            <w:pPr>
              <w:spacing w:line="240" w:lineRule="auto"/>
              <w:ind w:left="0" w:right="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每天不少于</w:t>
            </w:r>
            <w:r>
              <w:rPr>
                <w:rFonts w:hint="eastAsia" w:ascii="仿宋_GB2312" w:hAnsi="仿宋_GB2312" w:eastAsia="仿宋_GB2312" w:cs="仿宋_GB2312"/>
                <w:color w:val="auto"/>
                <w:sz w:val="21"/>
                <w:szCs w:val="21"/>
                <w:highlight w:val="none"/>
                <w:lang w:val="en-US" w:eastAsia="zh-CN"/>
              </w:rPr>
              <w:t>5条          （根据工作要求调整）</w:t>
            </w:r>
          </w:p>
        </w:tc>
        <w:tc>
          <w:tcPr>
            <w:tcW w:w="1105"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系统数据</w:t>
            </w:r>
          </w:p>
        </w:tc>
        <w:tc>
          <w:tcPr>
            <w:tcW w:w="3150" w:type="dxa"/>
            <w:vAlign w:val="center"/>
          </w:tcPr>
          <w:p>
            <w:pPr>
              <w:spacing w:line="240" w:lineRule="auto"/>
              <w:ind w:left="0" w:right="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每下降</w:t>
            </w:r>
            <w:r>
              <w:rPr>
                <w:rFonts w:hint="eastAsia" w:ascii="仿宋_GB2312" w:hAnsi="仿宋_GB2312" w:eastAsia="仿宋_GB2312" w:cs="仿宋_GB2312"/>
                <w:color w:val="auto"/>
                <w:sz w:val="21"/>
                <w:szCs w:val="21"/>
                <w:highlight w:val="none"/>
                <w:lang w:val="en-US" w:eastAsia="zh-CN"/>
              </w:rPr>
              <w:t>1条扣0.1分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trPr>
        <w:tc>
          <w:tcPr>
            <w:tcW w:w="538" w:type="dxa"/>
            <w:vMerge w:val="restart"/>
            <w:vAlign w:val="center"/>
          </w:tcPr>
          <w:p>
            <w:pPr>
              <w:spacing w:line="240" w:lineRule="auto"/>
              <w:ind w:left="0" w:right="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w:t>
            </w:r>
          </w:p>
        </w:tc>
        <w:tc>
          <w:tcPr>
            <w:tcW w:w="1192" w:type="dxa"/>
            <w:vMerge w:val="restart"/>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差错件</w:t>
            </w:r>
          </w:p>
          <w:p>
            <w:pPr>
              <w:spacing w:line="240" w:lineRule="auto"/>
              <w:ind w:left="0" w:right="0"/>
              <w:jc w:val="center"/>
              <w:rPr>
                <w:rFonts w:hint="eastAsia" w:ascii="仿宋_GB2312" w:hAnsi="仿宋_GB2312" w:eastAsia="仿宋_GB2312" w:cs="仿宋_GB2312"/>
                <w:color w:val="auto"/>
                <w:sz w:val="21"/>
                <w:szCs w:val="21"/>
                <w:highlight w:val="none"/>
              </w:rPr>
            </w:pP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被上级主管部门扣分或给问题处置带来重大影响</w:t>
            </w:r>
          </w:p>
        </w:tc>
        <w:tc>
          <w:tcPr>
            <w:tcW w:w="1105" w:type="dxa"/>
            <w:vMerge w:val="restart"/>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中心记录</w:t>
            </w:r>
          </w:p>
          <w:p>
            <w:pPr>
              <w:spacing w:line="240" w:lineRule="auto"/>
              <w:ind w:left="0" w:right="0"/>
              <w:jc w:val="center"/>
              <w:rPr>
                <w:rFonts w:hint="eastAsia" w:ascii="仿宋_GB2312" w:hAnsi="仿宋_GB2312" w:eastAsia="仿宋_GB2312" w:cs="仿宋_GB2312"/>
                <w:color w:val="auto"/>
                <w:sz w:val="21"/>
                <w:szCs w:val="21"/>
                <w:highlight w:val="none"/>
              </w:rPr>
            </w:pP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造成扣分或重大影响的，每件扣1分</w:t>
            </w:r>
          </w:p>
        </w:tc>
        <w:tc>
          <w:tcPr>
            <w:tcW w:w="855" w:type="dxa"/>
            <w:vMerge w:val="restart"/>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538"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1192"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规定处置时间内，同一问题无重复上报</w:t>
            </w:r>
          </w:p>
        </w:tc>
        <w:tc>
          <w:tcPr>
            <w:tcW w:w="110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重复上报被处置单位有责投诉的，每件扣0.2分</w:t>
            </w:r>
          </w:p>
        </w:tc>
        <w:tc>
          <w:tcPr>
            <w:tcW w:w="85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trPr>
        <w:tc>
          <w:tcPr>
            <w:tcW w:w="538" w:type="dxa"/>
            <w:vMerge w:val="restart"/>
            <w:vAlign w:val="center"/>
          </w:tcPr>
          <w:p>
            <w:pPr>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c>
          <w:tcPr>
            <w:tcW w:w="1192"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立案及时率</w:t>
            </w:r>
          </w:p>
        </w:tc>
        <w:tc>
          <w:tcPr>
            <w:tcW w:w="2930"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10分钟内完成上报案卷的立案</w:t>
            </w:r>
          </w:p>
        </w:tc>
        <w:tc>
          <w:tcPr>
            <w:tcW w:w="1105" w:type="dxa"/>
            <w:vMerge w:val="restart"/>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系统数据</w:t>
            </w:r>
          </w:p>
        </w:tc>
        <w:tc>
          <w:tcPr>
            <w:tcW w:w="3150" w:type="dxa"/>
            <w:vAlign w:val="center"/>
          </w:tcPr>
          <w:p>
            <w:pPr>
              <w:spacing w:line="240" w:lineRule="auto"/>
              <w:ind w:left="0" w:right="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未达要求的，每发现一次扣</w:t>
            </w:r>
            <w:r>
              <w:rPr>
                <w:rFonts w:hint="eastAsia" w:ascii="仿宋_GB2312" w:hAnsi="仿宋_GB2312" w:eastAsia="仿宋_GB2312" w:cs="仿宋_GB2312"/>
                <w:color w:val="auto"/>
                <w:sz w:val="21"/>
                <w:szCs w:val="21"/>
                <w:highlight w:val="none"/>
                <w:lang w:val="en-US" w:eastAsia="zh-CN"/>
              </w:rPr>
              <w:t>0.2分</w:t>
            </w:r>
          </w:p>
        </w:tc>
        <w:tc>
          <w:tcPr>
            <w:tcW w:w="855" w:type="dxa"/>
            <w:vMerge w:val="restart"/>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5" w:hRule="atLeast"/>
        </w:trPr>
        <w:tc>
          <w:tcPr>
            <w:tcW w:w="538" w:type="dxa"/>
            <w:vMerge w:val="continue"/>
            <w:vAlign w:val="center"/>
          </w:tcPr>
          <w:p>
            <w:pPr>
              <w:spacing w:line="240" w:lineRule="auto"/>
              <w:ind w:left="0" w:right="0"/>
              <w:jc w:val="center"/>
              <w:rPr>
                <w:color w:val="auto"/>
                <w:highlight w:val="none"/>
              </w:rPr>
            </w:pPr>
          </w:p>
        </w:tc>
        <w:tc>
          <w:tcPr>
            <w:tcW w:w="1192"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核查发送及时率</w:t>
            </w:r>
          </w:p>
        </w:tc>
        <w:tc>
          <w:tcPr>
            <w:tcW w:w="2930"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20分钟内完成核查信息发送</w:t>
            </w:r>
          </w:p>
        </w:tc>
        <w:tc>
          <w:tcPr>
            <w:tcW w:w="110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3150"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未达要求的，每发现一次扣</w:t>
            </w:r>
            <w:r>
              <w:rPr>
                <w:rFonts w:hint="eastAsia" w:ascii="仿宋_GB2312" w:hAnsi="仿宋_GB2312" w:eastAsia="仿宋_GB2312" w:cs="仿宋_GB2312"/>
                <w:color w:val="auto"/>
                <w:sz w:val="21"/>
                <w:szCs w:val="21"/>
                <w:highlight w:val="none"/>
                <w:lang w:val="en-US" w:eastAsia="zh-CN"/>
              </w:rPr>
              <w:t>0.2分</w:t>
            </w:r>
          </w:p>
        </w:tc>
        <w:tc>
          <w:tcPr>
            <w:tcW w:w="85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5" w:hRule="atLeast"/>
        </w:trPr>
        <w:tc>
          <w:tcPr>
            <w:tcW w:w="538"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1192"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核查回复及时率</w:t>
            </w:r>
          </w:p>
        </w:tc>
        <w:tc>
          <w:tcPr>
            <w:tcW w:w="2930"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小时内完成核查信息回复</w:t>
            </w:r>
          </w:p>
        </w:tc>
        <w:tc>
          <w:tcPr>
            <w:tcW w:w="110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3150"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未达要求的，每发现一次扣</w:t>
            </w:r>
            <w:r>
              <w:rPr>
                <w:rFonts w:hint="eastAsia" w:ascii="仿宋_GB2312" w:hAnsi="仿宋_GB2312" w:eastAsia="仿宋_GB2312" w:cs="仿宋_GB2312"/>
                <w:color w:val="auto"/>
                <w:sz w:val="21"/>
                <w:szCs w:val="21"/>
                <w:highlight w:val="none"/>
                <w:lang w:val="en-US" w:eastAsia="zh-CN"/>
              </w:rPr>
              <w:t>0.2分</w:t>
            </w:r>
          </w:p>
        </w:tc>
        <w:tc>
          <w:tcPr>
            <w:tcW w:w="85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5" w:hRule="atLeast"/>
        </w:trPr>
        <w:tc>
          <w:tcPr>
            <w:tcW w:w="538"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1192"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指令核实</w:t>
            </w:r>
          </w:p>
        </w:tc>
        <w:tc>
          <w:tcPr>
            <w:tcW w:w="2930"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核实指令应及时回复</w:t>
            </w:r>
          </w:p>
        </w:tc>
        <w:tc>
          <w:tcPr>
            <w:tcW w:w="1105"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中心记录</w:t>
            </w:r>
          </w:p>
        </w:tc>
        <w:tc>
          <w:tcPr>
            <w:tcW w:w="3150"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未达要求的，每发现一次扣</w:t>
            </w:r>
            <w:r>
              <w:rPr>
                <w:rFonts w:hint="eastAsia" w:ascii="仿宋_GB2312" w:hAnsi="仿宋_GB2312" w:eastAsia="仿宋_GB2312" w:cs="仿宋_GB2312"/>
                <w:color w:val="auto"/>
                <w:sz w:val="21"/>
                <w:szCs w:val="21"/>
                <w:highlight w:val="none"/>
                <w:lang w:val="en-US" w:eastAsia="zh-CN"/>
              </w:rPr>
              <w:t>0.2分</w:t>
            </w:r>
          </w:p>
        </w:tc>
        <w:tc>
          <w:tcPr>
            <w:tcW w:w="85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 w:hRule="atLeast"/>
        </w:trPr>
        <w:tc>
          <w:tcPr>
            <w:tcW w:w="538" w:type="dxa"/>
            <w:vMerge w:val="restart"/>
            <w:vAlign w:val="center"/>
          </w:tcPr>
          <w:p>
            <w:pPr>
              <w:widowControl/>
              <w:spacing w:line="240" w:lineRule="auto"/>
              <w:ind w:left="0" w:right="0"/>
              <w:jc w:val="center"/>
              <w:rPr>
                <w:rFonts w:hint="eastAsia" w:ascii="仿宋_GB2312" w:hAnsi="仿宋_GB2312" w:eastAsia="仿宋_GB2312" w:cs="仿宋_GB2312"/>
                <w:color w:val="auto"/>
                <w:sz w:val="21"/>
                <w:szCs w:val="21"/>
                <w:highlight w:val="none"/>
              </w:rPr>
            </w:pPr>
          </w:p>
          <w:p>
            <w:pPr>
              <w:widowControl/>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w:t>
            </w:r>
          </w:p>
        </w:tc>
        <w:tc>
          <w:tcPr>
            <w:tcW w:w="1192" w:type="dxa"/>
            <w:vMerge w:val="restart"/>
            <w:vAlign w:val="center"/>
          </w:tcPr>
          <w:p>
            <w:pPr>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人员配置</w:t>
            </w: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队伍基本素质符合合同要求</w:t>
            </w:r>
          </w:p>
        </w:tc>
        <w:tc>
          <w:tcPr>
            <w:tcW w:w="1105" w:type="dxa"/>
            <w:vMerge w:val="restart"/>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中心抽查</w:t>
            </w:r>
          </w:p>
          <w:p>
            <w:pPr>
              <w:spacing w:line="240" w:lineRule="auto"/>
              <w:ind w:left="0" w:right="0"/>
              <w:jc w:val="center"/>
              <w:rPr>
                <w:rFonts w:hint="eastAsia" w:ascii="仿宋_GB2312" w:hAnsi="仿宋_GB2312" w:eastAsia="仿宋_GB2312" w:cs="仿宋_GB2312"/>
                <w:color w:val="auto"/>
                <w:sz w:val="21"/>
                <w:szCs w:val="21"/>
                <w:highlight w:val="none"/>
              </w:rPr>
            </w:pP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不符合要求的，每人次扣0.5分</w:t>
            </w:r>
          </w:p>
        </w:tc>
        <w:tc>
          <w:tcPr>
            <w:tcW w:w="855" w:type="dxa"/>
            <w:vMerge w:val="restart"/>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 w:hRule="atLeast"/>
        </w:trPr>
        <w:tc>
          <w:tcPr>
            <w:tcW w:w="538" w:type="dxa"/>
            <w:vMerge w:val="continue"/>
            <w:vAlign w:val="center"/>
          </w:tcPr>
          <w:p>
            <w:pPr>
              <w:spacing w:line="240" w:lineRule="auto"/>
              <w:ind w:left="0" w:right="0"/>
              <w:jc w:val="center"/>
              <w:rPr>
                <w:color w:val="auto"/>
                <w:highlight w:val="none"/>
              </w:rPr>
            </w:pPr>
          </w:p>
        </w:tc>
        <w:tc>
          <w:tcPr>
            <w:tcW w:w="1192" w:type="dxa"/>
            <w:vMerge w:val="continue"/>
            <w:vAlign w:val="center"/>
          </w:tcPr>
          <w:p>
            <w:pPr>
              <w:spacing w:line="240" w:lineRule="auto"/>
              <w:ind w:left="0" w:right="0"/>
              <w:jc w:val="center"/>
              <w:rPr>
                <w:color w:val="auto"/>
                <w:highlight w:val="none"/>
              </w:rPr>
            </w:pP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人员配置及路面巡查人数符合合同要求</w:t>
            </w:r>
          </w:p>
        </w:tc>
        <w:tc>
          <w:tcPr>
            <w:tcW w:w="110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不符合要求的，每少一人扣1分</w:t>
            </w:r>
          </w:p>
        </w:tc>
        <w:tc>
          <w:tcPr>
            <w:tcW w:w="85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38" w:type="dxa"/>
            <w:vMerge w:val="restart"/>
            <w:vAlign w:val="center"/>
          </w:tcPr>
          <w:p>
            <w:pPr>
              <w:widowControl/>
              <w:spacing w:line="240" w:lineRule="auto"/>
              <w:ind w:left="0" w:right="0"/>
              <w:jc w:val="center"/>
              <w:rPr>
                <w:rFonts w:hint="eastAsia" w:ascii="仿宋_GB2312" w:hAnsi="仿宋_GB2312" w:eastAsia="仿宋_GB2312" w:cs="仿宋_GB2312"/>
                <w:color w:val="auto"/>
                <w:sz w:val="21"/>
                <w:szCs w:val="21"/>
                <w:highlight w:val="none"/>
              </w:rPr>
            </w:pPr>
          </w:p>
          <w:p>
            <w:pPr>
              <w:widowControl/>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w:t>
            </w:r>
          </w:p>
        </w:tc>
        <w:tc>
          <w:tcPr>
            <w:tcW w:w="1192" w:type="dxa"/>
            <w:vMerge w:val="restart"/>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巡查设施</w:t>
            </w:r>
          </w:p>
          <w:p>
            <w:pPr>
              <w:spacing w:line="240" w:lineRule="auto"/>
              <w:ind w:left="0" w:right="0"/>
              <w:jc w:val="center"/>
              <w:rPr>
                <w:rFonts w:hint="eastAsia" w:ascii="仿宋_GB2312" w:hAnsi="仿宋_GB2312" w:eastAsia="仿宋_GB2312" w:cs="仿宋_GB2312"/>
                <w:color w:val="auto"/>
                <w:sz w:val="21"/>
                <w:szCs w:val="21"/>
                <w:highlight w:val="none"/>
              </w:rPr>
            </w:pP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使用机动车巡查</w:t>
            </w:r>
          </w:p>
        </w:tc>
        <w:tc>
          <w:tcPr>
            <w:tcW w:w="1105" w:type="dxa"/>
            <w:vMerge w:val="restart"/>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中心检查</w:t>
            </w:r>
          </w:p>
          <w:p>
            <w:pPr>
              <w:spacing w:line="240" w:lineRule="auto"/>
              <w:ind w:left="0" w:right="0"/>
              <w:jc w:val="center"/>
              <w:rPr>
                <w:rFonts w:hint="eastAsia" w:ascii="仿宋_GB2312" w:hAnsi="仿宋_GB2312" w:eastAsia="仿宋_GB2312" w:cs="仿宋_GB2312"/>
                <w:color w:val="auto"/>
                <w:sz w:val="21"/>
                <w:szCs w:val="21"/>
                <w:highlight w:val="none"/>
              </w:rPr>
            </w:pP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未使用机动车巡查，每发现一次扣0.2分</w:t>
            </w:r>
          </w:p>
        </w:tc>
        <w:tc>
          <w:tcPr>
            <w:tcW w:w="855" w:type="dxa"/>
            <w:vMerge w:val="restart"/>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38" w:type="dxa"/>
            <w:vMerge w:val="continue"/>
            <w:vAlign w:val="center"/>
          </w:tcPr>
          <w:p>
            <w:pPr>
              <w:spacing w:line="240" w:lineRule="auto"/>
              <w:ind w:left="0" w:right="0"/>
              <w:jc w:val="center"/>
              <w:rPr>
                <w:color w:val="auto"/>
                <w:highlight w:val="none"/>
              </w:rPr>
            </w:pPr>
          </w:p>
        </w:tc>
        <w:tc>
          <w:tcPr>
            <w:tcW w:w="1192" w:type="dxa"/>
            <w:vMerge w:val="continue"/>
            <w:vAlign w:val="center"/>
          </w:tcPr>
          <w:p>
            <w:pPr>
              <w:spacing w:line="240" w:lineRule="auto"/>
              <w:ind w:left="0" w:right="0"/>
              <w:jc w:val="center"/>
              <w:rPr>
                <w:color w:val="auto"/>
                <w:highlight w:val="none"/>
              </w:rPr>
            </w:pP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使用机动车参加联合信息采集检查</w:t>
            </w:r>
          </w:p>
        </w:tc>
        <w:tc>
          <w:tcPr>
            <w:tcW w:w="110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无故不参加的，每次扣1分</w:t>
            </w:r>
          </w:p>
        </w:tc>
        <w:tc>
          <w:tcPr>
            <w:tcW w:w="85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538"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1192"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配备井盖开启设施及应急维护设施</w:t>
            </w:r>
          </w:p>
        </w:tc>
        <w:tc>
          <w:tcPr>
            <w:tcW w:w="110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未配备的，每发现一次扣0.2分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trPr>
        <w:tc>
          <w:tcPr>
            <w:tcW w:w="538"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8</w:t>
            </w:r>
          </w:p>
        </w:tc>
        <w:tc>
          <w:tcPr>
            <w:tcW w:w="1192"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巡查频率</w:t>
            </w: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一类、二类道路每天四次、三类道路每天2次、其他区域每天一次</w:t>
            </w:r>
          </w:p>
        </w:tc>
        <w:tc>
          <w:tcPr>
            <w:tcW w:w="110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系统</w:t>
            </w:r>
          </w:p>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数据、中心抽查</w:t>
            </w: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不符合要求的，每发现一次扣0.5分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38"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9</w:t>
            </w:r>
          </w:p>
        </w:tc>
        <w:tc>
          <w:tcPr>
            <w:tcW w:w="1192"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简易处置</w:t>
            </w: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采集员应对情节轻微且力所能及的问题实施简易处置</w:t>
            </w:r>
          </w:p>
        </w:tc>
        <w:tc>
          <w:tcPr>
            <w:tcW w:w="1105"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中心检查</w:t>
            </w: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采集员漠视城市管理轻微问题不实施简易处置的，每发生1次扣0.1分。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trPr>
        <w:tc>
          <w:tcPr>
            <w:tcW w:w="538" w:type="dxa"/>
            <w:vAlign w:val="center"/>
          </w:tcPr>
          <w:p>
            <w:pPr>
              <w:spacing w:line="240" w:lineRule="auto"/>
              <w:ind w:left="0" w:right="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w:t>
            </w:r>
          </w:p>
        </w:tc>
        <w:tc>
          <w:tcPr>
            <w:tcW w:w="1192"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培训质量</w:t>
            </w:r>
          </w:p>
        </w:tc>
        <w:tc>
          <w:tcPr>
            <w:tcW w:w="2930"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定期组织采集人员进行培训培训合格率</w:t>
            </w:r>
            <w:r>
              <w:rPr>
                <w:rFonts w:hint="eastAsia" w:ascii="仿宋_GB2312" w:hAnsi="仿宋_GB2312" w:eastAsia="仿宋_GB2312" w:cs="仿宋_GB2312"/>
                <w:color w:val="auto"/>
                <w:sz w:val="21"/>
                <w:szCs w:val="21"/>
                <w:highlight w:val="none"/>
                <w:lang w:eastAsia="zh-CN"/>
              </w:rPr>
              <w:t>达</w:t>
            </w:r>
            <w:r>
              <w:rPr>
                <w:rFonts w:hint="eastAsia" w:ascii="仿宋_GB2312" w:hAnsi="仿宋_GB2312" w:eastAsia="仿宋_GB2312" w:cs="仿宋_GB2312"/>
                <w:color w:val="auto"/>
                <w:sz w:val="21"/>
                <w:szCs w:val="21"/>
                <w:highlight w:val="none"/>
              </w:rPr>
              <w:t>85％</w:t>
            </w:r>
            <w:r>
              <w:rPr>
                <w:rFonts w:hint="eastAsia" w:ascii="仿宋_GB2312" w:hAnsi="仿宋_GB2312" w:eastAsia="仿宋_GB2312" w:cs="仿宋_GB2312"/>
                <w:color w:val="auto"/>
                <w:sz w:val="21"/>
                <w:szCs w:val="21"/>
                <w:highlight w:val="none"/>
                <w:lang w:eastAsia="zh-CN"/>
              </w:rPr>
              <w:t>以上</w:t>
            </w:r>
          </w:p>
        </w:tc>
        <w:tc>
          <w:tcPr>
            <w:tcW w:w="1105"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中心检查</w:t>
            </w:r>
          </w:p>
        </w:tc>
        <w:tc>
          <w:tcPr>
            <w:tcW w:w="3150" w:type="dxa"/>
            <w:vAlign w:val="center"/>
          </w:tcPr>
          <w:p>
            <w:pPr>
              <w:spacing w:line="240" w:lineRule="auto"/>
              <w:ind w:left="0" w:right="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不符合要求的，没发现一次扣</w:t>
            </w:r>
            <w:r>
              <w:rPr>
                <w:rFonts w:hint="eastAsia" w:ascii="仿宋_GB2312" w:hAnsi="仿宋_GB2312" w:eastAsia="仿宋_GB2312" w:cs="仿宋_GB2312"/>
                <w:color w:val="auto"/>
                <w:sz w:val="21"/>
                <w:szCs w:val="21"/>
                <w:highlight w:val="none"/>
                <w:lang w:val="en-US" w:eastAsia="zh-CN"/>
              </w:rPr>
              <w:t>0.5分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trPr>
        <w:tc>
          <w:tcPr>
            <w:tcW w:w="538" w:type="dxa"/>
            <w:vMerge w:val="restart"/>
            <w:vAlign w:val="center"/>
          </w:tcPr>
          <w:p>
            <w:pPr>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1</w:t>
            </w:r>
          </w:p>
        </w:tc>
        <w:tc>
          <w:tcPr>
            <w:tcW w:w="1192" w:type="dxa"/>
            <w:vMerge w:val="restart"/>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持证上岗</w:t>
            </w:r>
          </w:p>
          <w:p>
            <w:pPr>
              <w:spacing w:line="240" w:lineRule="auto"/>
              <w:ind w:left="0" w:right="0"/>
              <w:jc w:val="center"/>
              <w:rPr>
                <w:rFonts w:hint="eastAsia" w:ascii="仿宋_GB2312" w:hAnsi="仿宋_GB2312" w:eastAsia="仿宋_GB2312" w:cs="仿宋_GB2312"/>
                <w:color w:val="auto"/>
                <w:sz w:val="21"/>
                <w:szCs w:val="21"/>
                <w:highlight w:val="none"/>
              </w:rPr>
            </w:pP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采集员必须进行岗前培训，并取得上岗证</w:t>
            </w:r>
          </w:p>
        </w:tc>
        <w:tc>
          <w:tcPr>
            <w:tcW w:w="1105" w:type="dxa"/>
            <w:vMerge w:val="restart"/>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中心抽查</w:t>
            </w:r>
          </w:p>
          <w:p>
            <w:pPr>
              <w:spacing w:line="240" w:lineRule="auto"/>
              <w:ind w:left="0" w:right="0"/>
              <w:jc w:val="center"/>
              <w:rPr>
                <w:rFonts w:hint="eastAsia" w:ascii="仿宋_GB2312" w:hAnsi="仿宋_GB2312" w:eastAsia="仿宋_GB2312" w:cs="仿宋_GB2312"/>
                <w:color w:val="auto"/>
                <w:sz w:val="21"/>
                <w:szCs w:val="21"/>
                <w:highlight w:val="none"/>
              </w:rPr>
            </w:pP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未取得上岗证上岗的，每人次扣0.4分</w:t>
            </w:r>
          </w:p>
        </w:tc>
        <w:tc>
          <w:tcPr>
            <w:tcW w:w="855" w:type="dxa"/>
            <w:vMerge w:val="restart"/>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trPr>
        <w:tc>
          <w:tcPr>
            <w:tcW w:w="538" w:type="dxa"/>
            <w:vMerge w:val="continue"/>
            <w:vAlign w:val="center"/>
          </w:tcPr>
          <w:p>
            <w:pPr>
              <w:spacing w:line="240" w:lineRule="auto"/>
              <w:ind w:left="0" w:right="0"/>
              <w:jc w:val="center"/>
              <w:rPr>
                <w:color w:val="auto"/>
                <w:highlight w:val="none"/>
              </w:rPr>
            </w:pPr>
          </w:p>
        </w:tc>
        <w:tc>
          <w:tcPr>
            <w:tcW w:w="1192" w:type="dxa"/>
            <w:vMerge w:val="continue"/>
            <w:vAlign w:val="center"/>
          </w:tcPr>
          <w:p>
            <w:pPr>
              <w:spacing w:line="240" w:lineRule="auto"/>
              <w:ind w:left="0" w:right="0"/>
              <w:jc w:val="center"/>
              <w:rPr>
                <w:color w:val="auto"/>
                <w:highlight w:val="none"/>
              </w:rPr>
            </w:pP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在岗人员必须持证上岗</w:t>
            </w:r>
          </w:p>
        </w:tc>
        <w:tc>
          <w:tcPr>
            <w:tcW w:w="110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未持证上岗的，每人次扣0.4分</w:t>
            </w:r>
          </w:p>
        </w:tc>
        <w:tc>
          <w:tcPr>
            <w:tcW w:w="85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trPr>
        <w:tc>
          <w:tcPr>
            <w:tcW w:w="538" w:type="dxa"/>
            <w:vAlign w:val="center"/>
          </w:tcPr>
          <w:p>
            <w:pPr>
              <w:spacing w:line="240" w:lineRule="auto"/>
              <w:ind w:left="0" w:right="0"/>
              <w:jc w:val="center"/>
              <w:rPr>
                <w:rFonts w:hint="default" w:eastAsia="宋体"/>
                <w:color w:val="auto"/>
                <w:highlight w:val="none"/>
                <w:lang w:val="en-US" w:eastAsia="zh-CN"/>
              </w:rPr>
            </w:pPr>
            <w:r>
              <w:rPr>
                <w:rFonts w:hint="eastAsia" w:ascii="仿宋" w:hAnsi="仿宋" w:eastAsia="仿宋" w:cs="仿宋"/>
                <w:color w:val="auto"/>
                <w:highlight w:val="none"/>
                <w:lang w:val="en-US" w:eastAsia="zh-CN"/>
              </w:rPr>
              <w:t>12</w:t>
            </w:r>
          </w:p>
        </w:tc>
        <w:tc>
          <w:tcPr>
            <w:tcW w:w="1192"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日常管理</w:t>
            </w: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合理安排人员，无迟到、早退现象</w:t>
            </w:r>
          </w:p>
        </w:tc>
        <w:tc>
          <w:tcPr>
            <w:tcW w:w="1105"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中心抽查</w:t>
            </w: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出现迟到、早退的，每人次扣0.2分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538" w:type="dxa"/>
            <w:vAlign w:val="center"/>
          </w:tcPr>
          <w:p>
            <w:pPr>
              <w:widowControl/>
              <w:spacing w:line="240" w:lineRule="auto"/>
              <w:ind w:left="0" w:right="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13</w:t>
            </w:r>
          </w:p>
        </w:tc>
        <w:tc>
          <w:tcPr>
            <w:tcW w:w="1192"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应急响应</w:t>
            </w:r>
          </w:p>
        </w:tc>
        <w:tc>
          <w:tcPr>
            <w:tcW w:w="2930"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应</w:t>
            </w:r>
            <w:r>
              <w:rPr>
                <w:rFonts w:hint="eastAsia" w:ascii="仿宋_GB2312" w:hAnsi="仿宋_GB2312" w:eastAsia="仿宋_GB2312" w:cs="仿宋_GB2312"/>
                <w:color w:val="auto"/>
                <w:sz w:val="21"/>
                <w:szCs w:val="21"/>
                <w:highlight w:val="none"/>
                <w:lang w:eastAsia="zh-CN"/>
              </w:rPr>
              <w:t>成立应急响应队伍</w:t>
            </w:r>
          </w:p>
        </w:tc>
        <w:tc>
          <w:tcPr>
            <w:tcW w:w="1105"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中心检查</w:t>
            </w:r>
          </w:p>
        </w:tc>
        <w:tc>
          <w:tcPr>
            <w:tcW w:w="3150" w:type="dxa"/>
            <w:vAlign w:val="center"/>
          </w:tcPr>
          <w:p>
            <w:pPr>
              <w:spacing w:line="240" w:lineRule="auto"/>
              <w:ind w:left="0" w:leftChars="0" w:right="0"/>
              <w:jc w:val="center"/>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未成立的，每发现一次扣</w:t>
            </w:r>
            <w:r>
              <w:rPr>
                <w:rFonts w:hint="eastAsia" w:ascii="仿宋_GB2312" w:hAnsi="仿宋_GB2312" w:eastAsia="仿宋_GB2312" w:cs="仿宋_GB2312"/>
                <w:color w:val="auto"/>
                <w:sz w:val="21"/>
                <w:szCs w:val="21"/>
                <w:highlight w:val="none"/>
                <w:lang w:val="en-US" w:eastAsia="zh-CN"/>
              </w:rPr>
              <w:t>1分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7" w:hRule="atLeast"/>
        </w:trPr>
        <w:tc>
          <w:tcPr>
            <w:tcW w:w="538" w:type="dxa"/>
            <w:vAlign w:val="center"/>
          </w:tcPr>
          <w:p>
            <w:pPr>
              <w:widowControl/>
              <w:spacing w:line="240" w:lineRule="auto"/>
              <w:ind w:left="0" w:right="0"/>
              <w:jc w:val="center"/>
              <w:rPr>
                <w:rFonts w:hint="eastAsia" w:ascii="仿宋_GB2312" w:hAnsi="仿宋_GB2312" w:eastAsia="仿宋_GB2312" w:cs="仿宋_GB2312"/>
                <w:color w:val="auto"/>
                <w:sz w:val="21"/>
                <w:szCs w:val="21"/>
                <w:highlight w:val="none"/>
              </w:rPr>
            </w:pPr>
          </w:p>
          <w:p>
            <w:pPr>
              <w:widowControl/>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4</w:t>
            </w:r>
          </w:p>
        </w:tc>
        <w:tc>
          <w:tcPr>
            <w:tcW w:w="1192"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定期轮岗</w:t>
            </w:r>
          </w:p>
        </w:tc>
        <w:tc>
          <w:tcPr>
            <w:tcW w:w="2930" w:type="dxa"/>
            <w:vAlign w:val="center"/>
          </w:tcPr>
          <w:p>
            <w:pPr>
              <w:spacing w:line="240" w:lineRule="auto"/>
              <w:ind w:left="0" w:right="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三个月进行一次轮岗，人员</w:t>
            </w:r>
            <w:r>
              <w:rPr>
                <w:rFonts w:hint="eastAsia" w:ascii="仿宋_GB2312" w:hAnsi="仿宋_GB2312" w:eastAsia="仿宋_GB2312" w:cs="仿宋_GB2312"/>
                <w:color w:val="auto"/>
                <w:sz w:val="21"/>
                <w:szCs w:val="21"/>
                <w:highlight w:val="none"/>
                <w:lang w:val="en-US" w:eastAsia="zh-CN"/>
              </w:rPr>
              <w:t>30%以上</w:t>
            </w:r>
          </w:p>
        </w:tc>
        <w:tc>
          <w:tcPr>
            <w:tcW w:w="1105"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中心检查</w:t>
            </w:r>
          </w:p>
        </w:tc>
        <w:tc>
          <w:tcPr>
            <w:tcW w:w="3150" w:type="dxa"/>
            <w:vAlign w:val="center"/>
          </w:tcPr>
          <w:p>
            <w:pPr>
              <w:spacing w:line="240" w:lineRule="auto"/>
              <w:ind w:left="0" w:right="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未达要求的，每发现一次扣</w:t>
            </w:r>
            <w:r>
              <w:rPr>
                <w:rFonts w:hint="eastAsia" w:ascii="仿宋_GB2312" w:hAnsi="仿宋_GB2312" w:eastAsia="仿宋_GB2312" w:cs="仿宋_GB2312"/>
                <w:color w:val="auto"/>
                <w:sz w:val="21"/>
                <w:szCs w:val="21"/>
                <w:highlight w:val="none"/>
                <w:lang w:val="en-US" w:eastAsia="zh-CN"/>
              </w:rPr>
              <w:t>0.5分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trPr>
        <w:tc>
          <w:tcPr>
            <w:tcW w:w="538" w:type="dxa"/>
            <w:vMerge w:val="restart"/>
            <w:vAlign w:val="center"/>
          </w:tcPr>
          <w:p>
            <w:pPr>
              <w:widowControl/>
              <w:spacing w:line="240" w:lineRule="auto"/>
              <w:ind w:left="0" w:right="0"/>
              <w:jc w:val="center"/>
              <w:rPr>
                <w:rFonts w:hint="eastAsia" w:ascii="仿宋_GB2312" w:hAnsi="仿宋_GB2312" w:eastAsia="仿宋_GB2312" w:cs="仿宋_GB2312"/>
                <w:color w:val="auto"/>
                <w:sz w:val="21"/>
                <w:szCs w:val="21"/>
                <w:highlight w:val="none"/>
              </w:rPr>
            </w:pPr>
          </w:p>
          <w:p>
            <w:pPr>
              <w:widowControl/>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5</w:t>
            </w:r>
          </w:p>
        </w:tc>
        <w:tc>
          <w:tcPr>
            <w:tcW w:w="1192" w:type="dxa"/>
            <w:vMerge w:val="restart"/>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“三定”管理</w:t>
            </w:r>
          </w:p>
          <w:p>
            <w:pPr>
              <w:spacing w:line="240" w:lineRule="auto"/>
              <w:ind w:left="0" w:right="0"/>
              <w:jc w:val="center"/>
              <w:rPr>
                <w:rFonts w:hint="eastAsia" w:ascii="仿宋_GB2312" w:hAnsi="仿宋_GB2312" w:eastAsia="仿宋_GB2312" w:cs="仿宋_GB2312"/>
                <w:color w:val="auto"/>
                <w:sz w:val="21"/>
                <w:szCs w:val="21"/>
                <w:highlight w:val="none"/>
              </w:rPr>
            </w:pPr>
          </w:p>
        </w:tc>
        <w:tc>
          <w:tcPr>
            <w:tcW w:w="2930" w:type="dxa"/>
            <w:vMerge w:val="restart"/>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做到“定采集员、定采集器、定巡查区域”</w:t>
            </w:r>
          </w:p>
          <w:p>
            <w:pPr>
              <w:spacing w:line="240" w:lineRule="auto"/>
              <w:ind w:left="0" w:right="0"/>
              <w:jc w:val="center"/>
              <w:rPr>
                <w:rFonts w:hint="eastAsia" w:ascii="仿宋_GB2312" w:hAnsi="仿宋_GB2312" w:eastAsia="仿宋_GB2312" w:cs="仿宋_GB2312"/>
                <w:color w:val="auto"/>
                <w:sz w:val="21"/>
                <w:szCs w:val="21"/>
                <w:highlight w:val="none"/>
              </w:rPr>
            </w:pPr>
          </w:p>
        </w:tc>
        <w:tc>
          <w:tcPr>
            <w:tcW w:w="1105" w:type="dxa"/>
            <w:vMerge w:val="restart"/>
            <w:vAlign w:val="center"/>
          </w:tcPr>
          <w:p>
            <w:pPr>
              <w:spacing w:line="240" w:lineRule="auto"/>
              <w:ind w:left="0" w:leftChars="0" w:right="0" w:firstLine="105" w:firstLineChars="5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系统数据、中心检查</w:t>
            </w:r>
          </w:p>
          <w:p>
            <w:pPr>
              <w:spacing w:line="240" w:lineRule="auto"/>
              <w:ind w:left="0" w:right="0" w:firstLine="105" w:firstLineChars="50"/>
              <w:jc w:val="center"/>
              <w:rPr>
                <w:rFonts w:hint="eastAsia" w:ascii="仿宋_GB2312" w:hAnsi="仿宋_GB2312" w:eastAsia="仿宋_GB2312" w:cs="仿宋_GB2312"/>
                <w:color w:val="auto"/>
                <w:sz w:val="21"/>
                <w:szCs w:val="21"/>
                <w:highlight w:val="none"/>
              </w:rPr>
            </w:pP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未按“三定”要求的，每次扣0.2分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0" w:hRule="atLeast"/>
        </w:trPr>
        <w:tc>
          <w:tcPr>
            <w:tcW w:w="538"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1192"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2930"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110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擅自变更的，每次扣0.2分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2" w:hRule="atLeast"/>
        </w:trPr>
        <w:tc>
          <w:tcPr>
            <w:tcW w:w="538" w:type="dxa"/>
            <w:vMerge w:val="restart"/>
            <w:vAlign w:val="center"/>
          </w:tcPr>
          <w:p>
            <w:pPr>
              <w:widowControl/>
              <w:spacing w:line="240" w:lineRule="auto"/>
              <w:ind w:left="0" w:right="0"/>
              <w:jc w:val="center"/>
              <w:rPr>
                <w:rFonts w:hint="eastAsia" w:ascii="仿宋_GB2312" w:hAnsi="仿宋_GB2312" w:eastAsia="仿宋_GB2312" w:cs="仿宋_GB2312"/>
                <w:color w:val="auto"/>
                <w:sz w:val="21"/>
                <w:szCs w:val="21"/>
                <w:highlight w:val="none"/>
              </w:rPr>
            </w:pPr>
          </w:p>
          <w:p>
            <w:pPr>
              <w:widowControl/>
              <w:spacing w:line="240" w:lineRule="auto"/>
              <w:ind w:left="0" w:right="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16</w:t>
            </w:r>
          </w:p>
        </w:tc>
        <w:tc>
          <w:tcPr>
            <w:tcW w:w="1192" w:type="dxa"/>
            <w:vMerge w:val="restart"/>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管理层变更</w:t>
            </w:r>
          </w:p>
          <w:p>
            <w:pPr>
              <w:spacing w:line="240" w:lineRule="auto"/>
              <w:ind w:left="0" w:right="0"/>
              <w:jc w:val="center"/>
              <w:rPr>
                <w:rFonts w:hint="eastAsia" w:ascii="仿宋_GB2312" w:hAnsi="仿宋_GB2312" w:eastAsia="仿宋_GB2312" w:cs="仿宋_GB2312"/>
                <w:color w:val="auto"/>
                <w:sz w:val="21"/>
                <w:szCs w:val="21"/>
                <w:highlight w:val="none"/>
              </w:rPr>
            </w:pP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分层管控健全、有效、有序，合同期限内管理层未发生变更</w:t>
            </w:r>
          </w:p>
        </w:tc>
        <w:tc>
          <w:tcPr>
            <w:tcW w:w="1105" w:type="dxa"/>
            <w:vMerge w:val="restart"/>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中心抽查、记录单</w:t>
            </w:r>
          </w:p>
          <w:p>
            <w:pPr>
              <w:spacing w:line="240" w:lineRule="auto"/>
              <w:ind w:left="0" w:right="0"/>
              <w:jc w:val="center"/>
              <w:rPr>
                <w:rFonts w:hint="eastAsia" w:ascii="仿宋_GB2312" w:hAnsi="仿宋_GB2312" w:eastAsia="仿宋_GB2312" w:cs="仿宋_GB2312"/>
                <w:color w:val="auto"/>
                <w:sz w:val="21"/>
                <w:szCs w:val="21"/>
                <w:highlight w:val="none"/>
              </w:rPr>
            </w:pP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合同期限内项目负责人及管理员未经中心同意发生变动的，每发生1次扣2分。</w:t>
            </w:r>
          </w:p>
        </w:tc>
        <w:tc>
          <w:tcPr>
            <w:tcW w:w="855" w:type="dxa"/>
            <w:vMerge w:val="restart"/>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2" w:hRule="atLeast"/>
        </w:trPr>
        <w:tc>
          <w:tcPr>
            <w:tcW w:w="538"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1192"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负责人定期参加信息采集会议</w:t>
            </w:r>
          </w:p>
        </w:tc>
        <w:tc>
          <w:tcPr>
            <w:tcW w:w="110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无故不参加的，每次扣1分</w:t>
            </w:r>
          </w:p>
        </w:tc>
        <w:tc>
          <w:tcPr>
            <w:tcW w:w="855" w:type="dxa"/>
            <w:vMerge w:val="continue"/>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trPr>
        <w:tc>
          <w:tcPr>
            <w:tcW w:w="538" w:type="dxa"/>
            <w:vAlign w:val="center"/>
          </w:tcPr>
          <w:p>
            <w:pPr>
              <w:widowControl/>
              <w:spacing w:line="240" w:lineRule="auto"/>
              <w:ind w:left="0" w:right="0"/>
              <w:jc w:val="center"/>
              <w:rPr>
                <w:rFonts w:hint="eastAsia" w:ascii="仿宋_GB2312" w:hAnsi="仿宋_GB2312" w:eastAsia="仿宋_GB2312" w:cs="仿宋_GB2312"/>
                <w:color w:val="auto"/>
                <w:sz w:val="21"/>
                <w:szCs w:val="21"/>
                <w:highlight w:val="none"/>
              </w:rPr>
            </w:pPr>
          </w:p>
          <w:p>
            <w:pPr>
              <w:widowControl/>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7</w:t>
            </w:r>
          </w:p>
        </w:tc>
        <w:tc>
          <w:tcPr>
            <w:tcW w:w="1192"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防汛、抗雪、防灾或重大活动保障</w:t>
            </w: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应无条件的严格按照要求合理安排人员进行采集</w:t>
            </w:r>
            <w:r>
              <w:rPr>
                <w:rFonts w:hint="eastAsia" w:ascii="仿宋_GB2312" w:hAnsi="仿宋_GB2312" w:eastAsia="仿宋_GB2312" w:cs="仿宋_GB2312"/>
                <w:color w:val="auto"/>
                <w:sz w:val="21"/>
                <w:szCs w:val="21"/>
                <w:highlight w:val="none"/>
                <w:lang w:eastAsia="zh-CN"/>
              </w:rPr>
              <w:t>，值班值守、巡查及应急处置等工作</w:t>
            </w:r>
          </w:p>
        </w:tc>
        <w:tc>
          <w:tcPr>
            <w:tcW w:w="1105"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中心检查</w:t>
            </w: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出现不执行或执行不到位的，每次扣5分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538"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8</w:t>
            </w:r>
          </w:p>
        </w:tc>
        <w:tc>
          <w:tcPr>
            <w:tcW w:w="1192"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工作制度</w:t>
            </w: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无上报虚假信息、有责纠纷</w:t>
            </w:r>
          </w:p>
        </w:tc>
        <w:tc>
          <w:tcPr>
            <w:tcW w:w="1105"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处置单位反映件、中心记录单</w:t>
            </w: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每发生一次扣2分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538"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19</w:t>
            </w:r>
          </w:p>
        </w:tc>
        <w:tc>
          <w:tcPr>
            <w:tcW w:w="1192"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服务承诺</w:t>
            </w: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有其他服务承诺</w:t>
            </w:r>
          </w:p>
        </w:tc>
        <w:tc>
          <w:tcPr>
            <w:tcW w:w="1105"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中心检查、记录</w:t>
            </w: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未实际履行的，每发现一次扣1分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538" w:type="dxa"/>
            <w:vAlign w:val="center"/>
          </w:tcPr>
          <w:p>
            <w:pPr>
              <w:spacing w:line="240" w:lineRule="auto"/>
              <w:ind w:left="0" w:right="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20</w:t>
            </w:r>
          </w:p>
        </w:tc>
        <w:tc>
          <w:tcPr>
            <w:tcW w:w="1192"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制度建设</w:t>
            </w:r>
          </w:p>
        </w:tc>
        <w:tc>
          <w:tcPr>
            <w:tcW w:w="2930"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应建立绩效考核办法</w:t>
            </w:r>
          </w:p>
        </w:tc>
        <w:tc>
          <w:tcPr>
            <w:tcW w:w="1105"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中心检查</w:t>
            </w:r>
          </w:p>
        </w:tc>
        <w:tc>
          <w:tcPr>
            <w:tcW w:w="3150" w:type="dxa"/>
            <w:vAlign w:val="center"/>
          </w:tcPr>
          <w:p>
            <w:pPr>
              <w:spacing w:line="240" w:lineRule="auto"/>
              <w:ind w:left="0" w:right="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未建立的，每发现一次扣</w:t>
            </w:r>
            <w:r>
              <w:rPr>
                <w:rFonts w:hint="eastAsia" w:ascii="仿宋_GB2312" w:hAnsi="仿宋_GB2312" w:eastAsia="仿宋_GB2312" w:cs="仿宋_GB2312"/>
                <w:color w:val="auto"/>
                <w:sz w:val="21"/>
                <w:szCs w:val="21"/>
                <w:highlight w:val="none"/>
                <w:lang w:val="en-US" w:eastAsia="zh-CN"/>
              </w:rPr>
              <w:t>1分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538" w:type="dxa"/>
            <w:vAlign w:val="center"/>
          </w:tcPr>
          <w:p>
            <w:pPr>
              <w:spacing w:line="240" w:lineRule="auto"/>
              <w:ind w:left="0" w:right="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21</w:t>
            </w:r>
          </w:p>
        </w:tc>
        <w:tc>
          <w:tcPr>
            <w:tcW w:w="1192"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设备管理</w:t>
            </w: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保障</w:t>
            </w:r>
            <w:r>
              <w:rPr>
                <w:rFonts w:hint="eastAsia" w:ascii="仿宋_GB2312" w:hAnsi="仿宋_GB2312" w:eastAsia="仿宋_GB2312" w:cs="仿宋_GB2312"/>
                <w:color w:val="auto"/>
                <w:sz w:val="21"/>
                <w:szCs w:val="21"/>
                <w:highlight w:val="none"/>
              </w:rPr>
              <w:t>正常</w:t>
            </w:r>
            <w:r>
              <w:rPr>
                <w:rFonts w:hint="eastAsia" w:ascii="仿宋_GB2312" w:hAnsi="仿宋_GB2312" w:eastAsia="仿宋_GB2312" w:cs="仿宋_GB2312"/>
                <w:color w:val="auto"/>
                <w:sz w:val="21"/>
                <w:szCs w:val="21"/>
                <w:highlight w:val="none"/>
                <w:lang w:val="en-US" w:eastAsia="zh-CN"/>
              </w:rPr>
              <w:t>使用</w:t>
            </w:r>
          </w:p>
        </w:tc>
        <w:tc>
          <w:tcPr>
            <w:tcW w:w="1105"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中心检查及记录单</w:t>
            </w: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每发生一次扣0.2分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538" w:type="dxa"/>
            <w:vAlign w:val="center"/>
          </w:tcPr>
          <w:p>
            <w:pPr>
              <w:spacing w:line="240" w:lineRule="auto"/>
              <w:ind w:left="0" w:right="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22</w:t>
            </w:r>
          </w:p>
        </w:tc>
        <w:tc>
          <w:tcPr>
            <w:tcW w:w="1192"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台账管理</w:t>
            </w:r>
          </w:p>
        </w:tc>
        <w:tc>
          <w:tcPr>
            <w:tcW w:w="2930"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应建立各类台账</w:t>
            </w:r>
          </w:p>
        </w:tc>
        <w:tc>
          <w:tcPr>
            <w:tcW w:w="1105"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中心检查</w:t>
            </w:r>
          </w:p>
        </w:tc>
        <w:tc>
          <w:tcPr>
            <w:tcW w:w="3150" w:type="dxa"/>
            <w:vAlign w:val="center"/>
          </w:tcPr>
          <w:p>
            <w:pPr>
              <w:spacing w:line="240" w:lineRule="auto"/>
              <w:ind w:left="0" w:right="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不符要求的，每发现一次扣</w:t>
            </w:r>
            <w:r>
              <w:rPr>
                <w:rFonts w:hint="eastAsia" w:ascii="仿宋_GB2312" w:hAnsi="仿宋_GB2312" w:eastAsia="仿宋_GB2312" w:cs="仿宋_GB2312"/>
                <w:color w:val="auto"/>
                <w:sz w:val="21"/>
                <w:szCs w:val="21"/>
                <w:highlight w:val="none"/>
                <w:lang w:val="en-US" w:eastAsia="zh-CN"/>
              </w:rPr>
              <w:t>0.5分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538"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val="en-US" w:eastAsia="zh-CN"/>
              </w:rPr>
              <w:t>3</w:t>
            </w:r>
          </w:p>
        </w:tc>
        <w:tc>
          <w:tcPr>
            <w:tcW w:w="1192"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指令执行</w:t>
            </w:r>
          </w:p>
        </w:tc>
        <w:tc>
          <w:tcPr>
            <w:tcW w:w="2930"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按要求做好主管部门发出指令的执行工作</w:t>
            </w:r>
          </w:p>
        </w:tc>
        <w:tc>
          <w:tcPr>
            <w:tcW w:w="1105"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中心记录</w:t>
            </w:r>
          </w:p>
        </w:tc>
        <w:tc>
          <w:tcPr>
            <w:tcW w:w="3150" w:type="dxa"/>
            <w:vAlign w:val="center"/>
          </w:tcPr>
          <w:p>
            <w:pPr>
              <w:spacing w:line="240" w:lineRule="auto"/>
              <w:ind w:left="0" w:right="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未执行的，每发现一次扣</w:t>
            </w:r>
            <w:r>
              <w:rPr>
                <w:rFonts w:hint="eastAsia" w:ascii="仿宋_GB2312" w:hAnsi="仿宋_GB2312" w:eastAsia="仿宋_GB2312" w:cs="仿宋_GB2312"/>
                <w:color w:val="auto"/>
                <w:sz w:val="21"/>
                <w:szCs w:val="21"/>
                <w:highlight w:val="none"/>
                <w:lang w:val="en-US" w:eastAsia="zh-CN"/>
              </w:rPr>
              <w:t>2分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9" w:hRule="atLeast"/>
        </w:trPr>
        <w:tc>
          <w:tcPr>
            <w:tcW w:w="538" w:type="dxa"/>
            <w:vAlign w:val="center"/>
          </w:tcPr>
          <w:p>
            <w:pPr>
              <w:spacing w:line="240" w:lineRule="auto"/>
              <w:ind w:left="0" w:right="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24</w:t>
            </w:r>
          </w:p>
        </w:tc>
        <w:tc>
          <w:tcPr>
            <w:tcW w:w="1192"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舆情报送</w:t>
            </w:r>
          </w:p>
        </w:tc>
        <w:tc>
          <w:tcPr>
            <w:tcW w:w="2930"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做好各类舆情的报送工作</w:t>
            </w:r>
          </w:p>
        </w:tc>
        <w:tc>
          <w:tcPr>
            <w:tcW w:w="1105"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中心记录</w:t>
            </w:r>
          </w:p>
        </w:tc>
        <w:tc>
          <w:tcPr>
            <w:tcW w:w="3150" w:type="dxa"/>
            <w:vAlign w:val="center"/>
          </w:tcPr>
          <w:p>
            <w:pPr>
              <w:spacing w:line="240" w:lineRule="auto"/>
              <w:ind w:left="0" w:right="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重大舆情未及时报送的，每发现一次扣</w:t>
            </w:r>
            <w:r>
              <w:rPr>
                <w:rFonts w:hint="eastAsia" w:ascii="仿宋_GB2312" w:hAnsi="仿宋_GB2312" w:eastAsia="仿宋_GB2312" w:cs="仿宋_GB2312"/>
                <w:color w:val="auto"/>
                <w:sz w:val="21"/>
                <w:szCs w:val="21"/>
                <w:highlight w:val="none"/>
                <w:lang w:val="en-US" w:eastAsia="zh-CN"/>
              </w:rPr>
              <w:t>5分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trPr>
        <w:tc>
          <w:tcPr>
            <w:tcW w:w="538" w:type="dxa"/>
            <w:vAlign w:val="center"/>
          </w:tcPr>
          <w:p>
            <w:pPr>
              <w:spacing w:line="240" w:lineRule="auto"/>
              <w:ind w:left="0" w:right="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val="en-US" w:eastAsia="zh-CN"/>
              </w:rPr>
              <w:t>5</w:t>
            </w:r>
          </w:p>
        </w:tc>
        <w:tc>
          <w:tcPr>
            <w:tcW w:w="1192"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宣传工作</w:t>
            </w: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val="en-US" w:eastAsia="zh-CN"/>
              </w:rPr>
              <w:t>报送数量或录用数量需达到要求</w:t>
            </w:r>
          </w:p>
        </w:tc>
        <w:tc>
          <w:tcPr>
            <w:tcW w:w="1105"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中心记录单</w:t>
            </w: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val="en-US" w:eastAsia="zh-CN"/>
              </w:rPr>
              <w:t>未完成规定任务数量的，微博每篇扣0.1分，微信（或抖音）每篇扣0.5分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9" w:hRule="atLeast"/>
        </w:trPr>
        <w:tc>
          <w:tcPr>
            <w:tcW w:w="538" w:type="dxa"/>
            <w:vMerge w:val="restart"/>
            <w:vAlign w:val="center"/>
          </w:tcPr>
          <w:p>
            <w:pPr>
              <w:rPr>
                <w:rFonts w:hint="default" w:eastAsia="宋体"/>
                <w:color w:val="auto"/>
                <w:highlight w:val="none"/>
                <w:lang w:val="en-US" w:eastAsia="zh-CN"/>
              </w:rPr>
            </w:pPr>
            <w:r>
              <w:rPr>
                <w:rFonts w:hint="eastAsia"/>
                <w:color w:val="auto"/>
                <w:highlight w:val="none"/>
                <w:lang w:val="en-US" w:eastAsia="zh-CN"/>
              </w:rPr>
              <w:t>26</w:t>
            </w:r>
          </w:p>
        </w:tc>
        <w:tc>
          <w:tcPr>
            <w:tcW w:w="1192" w:type="dxa"/>
            <w:vMerge w:val="restart"/>
            <w:vAlign w:val="center"/>
          </w:tcPr>
          <w:p>
            <w:pPr>
              <w:spacing w:line="240" w:lineRule="auto"/>
              <w:ind w:left="0" w:leftChars="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员工稳定</w:t>
            </w: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不发生越级上访</w:t>
            </w:r>
          </w:p>
        </w:tc>
        <w:tc>
          <w:tcPr>
            <w:tcW w:w="1105" w:type="dxa"/>
            <w:vMerge w:val="restart"/>
            <w:vAlign w:val="center"/>
          </w:tcPr>
          <w:p>
            <w:pPr>
              <w:spacing w:line="240" w:lineRule="auto"/>
              <w:ind w:left="0" w:leftChars="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中心记录</w:t>
            </w: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每发生一次扣1分</w:t>
            </w:r>
          </w:p>
        </w:tc>
        <w:tc>
          <w:tcPr>
            <w:tcW w:w="855" w:type="dxa"/>
            <w:vMerge w:val="restart"/>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9" w:hRule="atLeast"/>
        </w:trPr>
        <w:tc>
          <w:tcPr>
            <w:tcW w:w="538" w:type="dxa"/>
            <w:vMerge w:val="continue"/>
            <w:vAlign w:val="center"/>
          </w:tcPr>
          <w:p>
            <w:pPr>
              <w:spacing w:line="240" w:lineRule="auto"/>
              <w:ind w:left="0" w:leftChars="0" w:right="0"/>
              <w:jc w:val="center"/>
              <w:rPr>
                <w:color w:val="auto"/>
                <w:highlight w:val="none"/>
              </w:rPr>
            </w:pPr>
          </w:p>
        </w:tc>
        <w:tc>
          <w:tcPr>
            <w:tcW w:w="1192" w:type="dxa"/>
            <w:vMerge w:val="continue"/>
            <w:vAlign w:val="center"/>
          </w:tcPr>
          <w:p>
            <w:pPr>
              <w:spacing w:line="240" w:lineRule="auto"/>
              <w:ind w:left="0" w:leftChars="0" w:right="0"/>
              <w:jc w:val="center"/>
              <w:rPr>
                <w:color w:val="auto"/>
                <w:highlight w:val="none"/>
              </w:rPr>
            </w:pPr>
          </w:p>
        </w:tc>
        <w:tc>
          <w:tcPr>
            <w:tcW w:w="293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不发生有责投诉</w:t>
            </w:r>
          </w:p>
        </w:tc>
        <w:tc>
          <w:tcPr>
            <w:tcW w:w="1105" w:type="dxa"/>
            <w:vMerge w:val="continue"/>
            <w:vAlign w:val="center"/>
          </w:tcPr>
          <w:p>
            <w:pPr>
              <w:spacing w:line="240" w:lineRule="auto"/>
              <w:ind w:left="0" w:leftChars="0" w:right="0"/>
              <w:jc w:val="center"/>
              <w:rPr>
                <w:rFonts w:hint="eastAsia" w:ascii="仿宋_GB2312" w:hAnsi="仿宋_GB2312" w:eastAsia="仿宋_GB2312" w:cs="仿宋_GB2312"/>
                <w:b w:val="0"/>
                <w:bCs w:val="0"/>
                <w:color w:val="auto"/>
                <w:sz w:val="21"/>
                <w:szCs w:val="21"/>
                <w:highlight w:val="none"/>
                <w:lang w:val="en-US" w:eastAsia="zh-CN"/>
              </w:rPr>
            </w:pPr>
          </w:p>
        </w:tc>
        <w:tc>
          <w:tcPr>
            <w:tcW w:w="3150" w:type="dxa"/>
            <w:vAlign w:val="center"/>
          </w:tcPr>
          <w:p>
            <w:pPr>
              <w:spacing w:line="240" w:lineRule="auto"/>
              <w:ind w:left="0" w:leftChars="0" w:right="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每发生一次扣1分</w:t>
            </w:r>
          </w:p>
        </w:tc>
        <w:tc>
          <w:tcPr>
            <w:tcW w:w="855" w:type="dxa"/>
            <w:vMerge w:val="continue"/>
            <w:vAlign w:val="center"/>
          </w:tcPr>
          <w:p>
            <w:pPr>
              <w:spacing w:line="240" w:lineRule="auto"/>
              <w:ind w:left="0" w:leftChars="0" w:right="0"/>
              <w:jc w:val="center"/>
              <w:rPr>
                <w:rFonts w:hint="eastAsia" w:ascii="仿宋_GB2312" w:hAnsi="仿宋_GB2312" w:eastAsia="仿宋_GB2312" w:cs="仿宋_GB2312"/>
                <w:b w:val="0"/>
                <w:bCs w:val="0"/>
                <w:color w:val="auto"/>
                <w:sz w:val="21"/>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trPr>
        <w:tc>
          <w:tcPr>
            <w:tcW w:w="538" w:type="dxa"/>
            <w:vAlign w:val="center"/>
          </w:tcPr>
          <w:p>
            <w:pPr>
              <w:rPr>
                <w:rFonts w:hint="default" w:eastAsia="宋体"/>
                <w:color w:val="auto"/>
                <w:highlight w:val="none"/>
                <w:lang w:val="en-US" w:eastAsia="zh-CN"/>
              </w:rPr>
            </w:pPr>
            <w:r>
              <w:rPr>
                <w:rFonts w:hint="eastAsia"/>
                <w:color w:val="auto"/>
                <w:highlight w:val="none"/>
                <w:lang w:val="en-US" w:eastAsia="zh-CN"/>
              </w:rPr>
              <w:t>27</w:t>
            </w:r>
          </w:p>
        </w:tc>
        <w:tc>
          <w:tcPr>
            <w:tcW w:w="1192" w:type="dxa"/>
            <w:vAlign w:val="center"/>
          </w:tcPr>
          <w:p>
            <w:pPr>
              <w:spacing w:line="240" w:lineRule="auto"/>
              <w:ind w:left="0" w:leftChars="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职工利益</w:t>
            </w:r>
          </w:p>
        </w:tc>
        <w:tc>
          <w:tcPr>
            <w:tcW w:w="2930" w:type="dxa"/>
            <w:vAlign w:val="center"/>
          </w:tcPr>
          <w:p>
            <w:pPr>
              <w:spacing w:line="240" w:lineRule="auto"/>
              <w:ind w:left="0" w:leftChars="0" w:right="0"/>
              <w:jc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不得无故拖欠员工工资、克扣员工福利</w:t>
            </w:r>
          </w:p>
        </w:tc>
        <w:tc>
          <w:tcPr>
            <w:tcW w:w="1105" w:type="dxa"/>
            <w:vAlign w:val="center"/>
          </w:tcPr>
          <w:p>
            <w:pPr>
              <w:spacing w:line="240" w:lineRule="auto"/>
              <w:ind w:left="0" w:leftChars="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中心检查</w:t>
            </w:r>
          </w:p>
        </w:tc>
        <w:tc>
          <w:tcPr>
            <w:tcW w:w="3150" w:type="dxa"/>
            <w:vAlign w:val="center"/>
          </w:tcPr>
          <w:p>
            <w:pPr>
              <w:spacing w:line="240" w:lineRule="auto"/>
              <w:ind w:left="0" w:leftChars="0" w:right="0"/>
              <w:jc w:val="center"/>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每发生一次扣2分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trPr>
        <w:tc>
          <w:tcPr>
            <w:tcW w:w="538" w:type="dxa"/>
            <w:vAlign w:val="center"/>
          </w:tcPr>
          <w:p>
            <w:pPr>
              <w:rPr>
                <w:rFonts w:hint="default" w:eastAsia="宋体"/>
                <w:color w:val="auto"/>
                <w:highlight w:val="none"/>
                <w:lang w:val="en-US" w:eastAsia="zh-CN"/>
              </w:rPr>
            </w:pPr>
            <w:r>
              <w:rPr>
                <w:rFonts w:hint="eastAsia"/>
                <w:color w:val="auto"/>
                <w:highlight w:val="none"/>
                <w:lang w:val="en-US" w:eastAsia="zh-CN"/>
              </w:rPr>
              <w:t>28</w:t>
            </w:r>
          </w:p>
        </w:tc>
        <w:tc>
          <w:tcPr>
            <w:tcW w:w="1192" w:type="dxa"/>
            <w:vAlign w:val="center"/>
          </w:tcPr>
          <w:p>
            <w:pPr>
              <w:spacing w:line="240" w:lineRule="auto"/>
              <w:ind w:left="0" w:leftChars="0" w:right="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规范用工</w:t>
            </w:r>
          </w:p>
        </w:tc>
        <w:tc>
          <w:tcPr>
            <w:tcW w:w="2930" w:type="dxa"/>
            <w:vAlign w:val="center"/>
          </w:tcPr>
          <w:p>
            <w:pPr>
              <w:spacing w:line="240" w:lineRule="auto"/>
              <w:ind w:left="0" w:leftChars="0" w:right="0"/>
              <w:jc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开除违规人员，应在开除后次日向主管部门通报</w:t>
            </w:r>
          </w:p>
        </w:tc>
        <w:tc>
          <w:tcPr>
            <w:tcW w:w="1105" w:type="dxa"/>
            <w:vAlign w:val="center"/>
          </w:tcPr>
          <w:p>
            <w:pPr>
              <w:spacing w:line="240" w:lineRule="auto"/>
              <w:ind w:left="0" w:leftChars="0" w:right="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中心检查</w:t>
            </w:r>
          </w:p>
        </w:tc>
        <w:tc>
          <w:tcPr>
            <w:tcW w:w="3150" w:type="dxa"/>
            <w:vAlign w:val="center"/>
          </w:tcPr>
          <w:p>
            <w:pPr>
              <w:spacing w:line="240" w:lineRule="auto"/>
              <w:ind w:left="0" w:leftChars="0" w:right="0"/>
              <w:jc w:val="center"/>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未通报的，每发现一次扣2分</w:t>
            </w:r>
          </w:p>
        </w:tc>
        <w:tc>
          <w:tcPr>
            <w:tcW w:w="855"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538" w:type="dxa"/>
            <w:vAlign w:val="center"/>
          </w:tcPr>
          <w:p>
            <w:pPr>
              <w:spacing w:line="240" w:lineRule="auto"/>
              <w:ind w:left="0" w:righ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合计</w:t>
            </w:r>
          </w:p>
        </w:tc>
        <w:tc>
          <w:tcPr>
            <w:tcW w:w="5227" w:type="dxa"/>
            <w:gridSpan w:val="3"/>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c>
          <w:tcPr>
            <w:tcW w:w="4005" w:type="dxa"/>
            <w:gridSpan w:val="2"/>
            <w:vAlign w:val="center"/>
          </w:tcPr>
          <w:p>
            <w:pPr>
              <w:spacing w:line="240" w:lineRule="auto"/>
              <w:ind w:left="0" w:right="0"/>
              <w:jc w:val="center"/>
              <w:rPr>
                <w:rFonts w:hint="eastAsia" w:ascii="仿宋_GB2312" w:hAnsi="仿宋_GB2312" w:eastAsia="仿宋_GB2312" w:cs="仿宋_GB2312"/>
                <w:color w:val="auto"/>
                <w:sz w:val="21"/>
                <w:szCs w:val="21"/>
                <w:highlight w:val="none"/>
              </w:rPr>
            </w:pPr>
          </w:p>
        </w:tc>
      </w:tr>
    </w:tbl>
    <w:p>
      <w:pPr>
        <w:pStyle w:val="3"/>
        <w:spacing w:before="120" w:after="120"/>
        <w:ind w:left="0" w:leftChars="0" w:firstLine="0" w:firstLineChars="0"/>
        <w:jc w:val="both"/>
        <w:rPr>
          <w:rFonts w:hint="eastAsia" w:ascii="宋体" w:hAnsi="宋体" w:eastAsia="宋体"/>
          <w:b w:val="0"/>
          <w:color w:val="auto"/>
          <w:sz w:val="24"/>
          <w:highlight w:val="none"/>
          <w:lang w:eastAsia="zh-CN"/>
        </w:rPr>
        <w:sectPr>
          <w:pgSz w:w="11907" w:h="16840"/>
          <w:pgMar w:top="1304" w:right="1565" w:bottom="1247" w:left="1344" w:header="851" w:footer="992" w:gutter="0"/>
          <w:cols w:space="720" w:num="1"/>
          <w:titlePg/>
          <w:docGrid w:linePitch="312" w:charSpace="0"/>
        </w:sectPr>
      </w:pPr>
    </w:p>
    <w:p>
      <w:pPr>
        <w:snapToGrid w:val="0"/>
        <w:spacing w:line="360" w:lineRule="auto"/>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第四部分</w:t>
      </w:r>
      <w:bookmarkStart w:id="27" w:name="_Toc184308093"/>
      <w:bookmarkEnd w:id="27"/>
      <w:bookmarkStart w:id="28" w:name="_Toc184312076"/>
      <w:bookmarkEnd w:id="28"/>
      <w:bookmarkStart w:id="29" w:name="_Toc184308100"/>
      <w:bookmarkEnd w:id="29"/>
      <w:bookmarkStart w:id="30" w:name="_Toc184312075"/>
      <w:bookmarkEnd w:id="30"/>
      <w:bookmarkStart w:id="31" w:name="_Toc184308042"/>
      <w:bookmarkEnd w:id="31"/>
      <w:bookmarkStart w:id="32" w:name="_Toc184308104"/>
      <w:bookmarkEnd w:id="32"/>
      <w:bookmarkStart w:id="33" w:name="_Toc184308041"/>
      <w:bookmarkEnd w:id="33"/>
      <w:bookmarkStart w:id="34" w:name="_Toc184313260"/>
      <w:bookmarkEnd w:id="34"/>
      <w:bookmarkStart w:id="35" w:name="_Toc184314465"/>
      <w:bookmarkEnd w:id="35"/>
      <w:bookmarkStart w:id="36" w:name="_Toc184312105"/>
      <w:bookmarkEnd w:id="36"/>
      <w:bookmarkStart w:id="37" w:name="_Toc184314415"/>
      <w:bookmarkEnd w:id="37"/>
      <w:bookmarkStart w:id="38" w:name="_Toc184310316"/>
      <w:bookmarkEnd w:id="38"/>
      <w:bookmarkStart w:id="39" w:name="_Toc184310283"/>
      <w:bookmarkEnd w:id="39"/>
      <w:bookmarkStart w:id="40" w:name="_Toc184312071"/>
      <w:bookmarkEnd w:id="40"/>
      <w:bookmarkStart w:id="41" w:name="_Toc184314469"/>
      <w:bookmarkEnd w:id="41"/>
      <w:bookmarkStart w:id="42" w:name="_Toc184312127"/>
      <w:bookmarkEnd w:id="42"/>
      <w:bookmarkStart w:id="43" w:name="_Toc184313259"/>
      <w:bookmarkEnd w:id="43"/>
      <w:bookmarkStart w:id="44" w:name="_Toc184313276"/>
      <w:bookmarkEnd w:id="44"/>
      <w:bookmarkStart w:id="45" w:name="_Toc184310341"/>
      <w:bookmarkEnd w:id="45"/>
      <w:bookmarkStart w:id="46" w:name="_Toc184313294"/>
      <w:bookmarkEnd w:id="46"/>
      <w:bookmarkStart w:id="47" w:name="_Toc184308061"/>
      <w:bookmarkEnd w:id="47"/>
      <w:bookmarkStart w:id="48" w:name="_Toc184310286"/>
      <w:bookmarkEnd w:id="48"/>
      <w:bookmarkStart w:id="49" w:name="_Toc184310335"/>
      <w:bookmarkEnd w:id="49"/>
      <w:bookmarkStart w:id="50" w:name="_Toc184313265"/>
      <w:bookmarkEnd w:id="50"/>
      <w:bookmarkStart w:id="51" w:name="_Toc184314451"/>
      <w:bookmarkEnd w:id="51"/>
      <w:bookmarkStart w:id="52" w:name="_Toc184312135"/>
      <w:bookmarkEnd w:id="52"/>
      <w:bookmarkStart w:id="53" w:name="_Toc184314479"/>
      <w:bookmarkEnd w:id="53"/>
      <w:bookmarkStart w:id="54" w:name="_Toc184314416"/>
      <w:bookmarkEnd w:id="54"/>
      <w:bookmarkStart w:id="55" w:name="_Toc184313248"/>
      <w:bookmarkEnd w:id="55"/>
      <w:bookmarkStart w:id="56" w:name="_Toc184310291"/>
      <w:bookmarkEnd w:id="56"/>
      <w:bookmarkStart w:id="57" w:name="_Toc184308084"/>
      <w:bookmarkEnd w:id="57"/>
      <w:bookmarkStart w:id="58" w:name="_Toc184308044"/>
      <w:bookmarkEnd w:id="58"/>
      <w:bookmarkStart w:id="59" w:name="_Toc184310274"/>
      <w:bookmarkEnd w:id="59"/>
      <w:bookmarkStart w:id="60" w:name="_Toc184314456"/>
      <w:bookmarkEnd w:id="60"/>
      <w:bookmarkStart w:id="61" w:name="_Toc184314474"/>
      <w:bookmarkEnd w:id="61"/>
      <w:bookmarkStart w:id="62" w:name="_Toc184310272"/>
      <w:bookmarkEnd w:id="62"/>
      <w:bookmarkStart w:id="63" w:name="_Toc184312094"/>
      <w:bookmarkEnd w:id="63"/>
      <w:bookmarkStart w:id="64" w:name="_Toc184314432"/>
      <w:bookmarkEnd w:id="64"/>
      <w:bookmarkStart w:id="65" w:name="_Toc184310290"/>
      <w:bookmarkEnd w:id="65"/>
      <w:bookmarkStart w:id="66" w:name="_Toc184310322"/>
      <w:bookmarkEnd w:id="66"/>
      <w:bookmarkStart w:id="67" w:name="_Toc184313244"/>
      <w:bookmarkEnd w:id="67"/>
      <w:bookmarkStart w:id="68" w:name="_Toc184312109"/>
      <w:bookmarkEnd w:id="68"/>
      <w:bookmarkStart w:id="69" w:name="_Toc184313246"/>
      <w:bookmarkEnd w:id="69"/>
      <w:bookmarkStart w:id="70" w:name="_Toc184308105"/>
      <w:bookmarkEnd w:id="70"/>
      <w:bookmarkStart w:id="71" w:name="_Toc184314454"/>
      <w:bookmarkEnd w:id="71"/>
      <w:bookmarkStart w:id="72" w:name="_Toc184314464"/>
      <w:bookmarkEnd w:id="72"/>
      <w:bookmarkStart w:id="73" w:name="_Toc184312067"/>
      <w:bookmarkEnd w:id="73"/>
      <w:bookmarkStart w:id="74" w:name="_Toc184308069"/>
      <w:bookmarkEnd w:id="74"/>
      <w:bookmarkStart w:id="75" w:name="_Toc184313286"/>
      <w:bookmarkEnd w:id="75"/>
      <w:bookmarkStart w:id="76" w:name="_Toc184308038"/>
      <w:bookmarkEnd w:id="76"/>
      <w:bookmarkStart w:id="77" w:name="_Toc184314422"/>
      <w:bookmarkEnd w:id="77"/>
      <w:bookmarkStart w:id="78" w:name="_Toc184310287"/>
      <w:bookmarkEnd w:id="78"/>
      <w:bookmarkStart w:id="79" w:name="_Toc184308077"/>
      <w:bookmarkEnd w:id="79"/>
      <w:bookmarkStart w:id="80" w:name="_Toc184314431"/>
      <w:bookmarkEnd w:id="80"/>
      <w:bookmarkStart w:id="81" w:name="_Toc184313267"/>
      <w:bookmarkEnd w:id="81"/>
      <w:bookmarkStart w:id="82" w:name="_Toc184313278"/>
      <w:bookmarkEnd w:id="82"/>
      <w:bookmarkStart w:id="83" w:name="_Toc184313306"/>
      <w:bookmarkEnd w:id="83"/>
      <w:bookmarkStart w:id="84" w:name="_Toc184308048"/>
      <w:bookmarkEnd w:id="84"/>
      <w:bookmarkStart w:id="85" w:name="_Toc184314418"/>
      <w:bookmarkEnd w:id="85"/>
      <w:bookmarkStart w:id="86" w:name="_Toc184310331"/>
      <w:bookmarkEnd w:id="86"/>
      <w:bookmarkStart w:id="87" w:name="_Toc184308059"/>
      <w:bookmarkEnd w:id="87"/>
      <w:bookmarkStart w:id="88" w:name="_Toc184314429"/>
      <w:bookmarkEnd w:id="88"/>
      <w:bookmarkStart w:id="89" w:name="_Toc184308072"/>
      <w:bookmarkEnd w:id="89"/>
      <w:bookmarkStart w:id="90" w:name="_Toc184314425"/>
      <w:bookmarkEnd w:id="90"/>
      <w:bookmarkStart w:id="91" w:name="_Toc184313307"/>
      <w:bookmarkEnd w:id="91"/>
      <w:bookmarkStart w:id="92" w:name="_Toc184314417"/>
      <w:bookmarkEnd w:id="92"/>
      <w:bookmarkStart w:id="93" w:name="_Toc184312118"/>
      <w:bookmarkEnd w:id="93"/>
      <w:bookmarkStart w:id="94" w:name="_Toc184312092"/>
      <w:bookmarkEnd w:id="94"/>
      <w:bookmarkStart w:id="95" w:name="_Toc184312137"/>
      <w:bookmarkEnd w:id="95"/>
      <w:bookmarkStart w:id="96" w:name="_Toc184314449"/>
      <w:bookmarkEnd w:id="96"/>
      <w:bookmarkStart w:id="97" w:name="_Toc184314457"/>
      <w:bookmarkEnd w:id="97"/>
      <w:bookmarkStart w:id="98" w:name="_Toc184314413"/>
      <w:bookmarkEnd w:id="98"/>
      <w:bookmarkStart w:id="99" w:name="_Toc184314480"/>
      <w:bookmarkEnd w:id="99"/>
      <w:bookmarkStart w:id="100" w:name="_Toc184313252"/>
      <w:bookmarkEnd w:id="100"/>
      <w:bookmarkStart w:id="101" w:name="_Toc184308102"/>
      <w:bookmarkEnd w:id="101"/>
      <w:bookmarkStart w:id="102" w:name="_Toc184310308"/>
      <w:bookmarkEnd w:id="102"/>
      <w:bookmarkStart w:id="103" w:name="_Toc184308096"/>
      <w:bookmarkEnd w:id="103"/>
      <w:bookmarkStart w:id="104" w:name="_Toc184313280"/>
      <w:bookmarkEnd w:id="104"/>
      <w:bookmarkStart w:id="105" w:name="_Toc184313285"/>
      <w:bookmarkEnd w:id="105"/>
      <w:bookmarkStart w:id="106" w:name="_Toc184312112"/>
      <w:bookmarkEnd w:id="106"/>
      <w:bookmarkStart w:id="107" w:name="_Toc184312114"/>
      <w:bookmarkEnd w:id="107"/>
      <w:bookmarkStart w:id="108" w:name="_Toc184308090"/>
      <w:bookmarkEnd w:id="108"/>
      <w:bookmarkStart w:id="109" w:name="_Toc184313264"/>
      <w:bookmarkEnd w:id="109"/>
      <w:bookmarkStart w:id="110" w:name="_Toc184310328"/>
      <w:bookmarkEnd w:id="110"/>
      <w:bookmarkStart w:id="111" w:name="_Toc184314448"/>
      <w:bookmarkEnd w:id="111"/>
      <w:bookmarkStart w:id="112" w:name="_Toc184312120"/>
      <w:bookmarkEnd w:id="112"/>
      <w:bookmarkStart w:id="113" w:name="_Toc184310302"/>
      <w:bookmarkEnd w:id="113"/>
      <w:bookmarkStart w:id="114" w:name="_Toc184312107"/>
      <w:bookmarkEnd w:id="114"/>
      <w:bookmarkStart w:id="115" w:name="_Toc184312073"/>
      <w:bookmarkEnd w:id="115"/>
      <w:bookmarkStart w:id="116" w:name="_Toc184308076"/>
      <w:bookmarkEnd w:id="116"/>
      <w:bookmarkStart w:id="117" w:name="_Toc184310293"/>
      <w:bookmarkEnd w:id="117"/>
      <w:bookmarkStart w:id="118" w:name="_Toc184310301"/>
      <w:bookmarkEnd w:id="118"/>
      <w:bookmarkStart w:id="119" w:name="_Toc184313261"/>
      <w:bookmarkEnd w:id="119"/>
      <w:bookmarkStart w:id="120" w:name="_Toc184310312"/>
      <w:bookmarkEnd w:id="120"/>
      <w:bookmarkStart w:id="121" w:name="_Toc184314472"/>
      <w:bookmarkEnd w:id="121"/>
      <w:bookmarkStart w:id="122" w:name="_Toc184308089"/>
      <w:bookmarkEnd w:id="122"/>
      <w:bookmarkStart w:id="123" w:name="_Toc184310280"/>
      <w:bookmarkEnd w:id="123"/>
      <w:bookmarkStart w:id="124" w:name="_Toc184314477"/>
      <w:bookmarkEnd w:id="124"/>
      <w:bookmarkStart w:id="125" w:name="_Toc184312072"/>
      <w:bookmarkEnd w:id="125"/>
      <w:bookmarkStart w:id="126" w:name="_Toc184313271"/>
      <w:bookmarkEnd w:id="126"/>
      <w:bookmarkStart w:id="127" w:name="_Toc184314466"/>
      <w:bookmarkEnd w:id="127"/>
      <w:bookmarkStart w:id="128" w:name="_Toc184313298"/>
      <w:bookmarkEnd w:id="128"/>
      <w:bookmarkStart w:id="129" w:name="_Toc184310327"/>
      <w:bookmarkEnd w:id="129"/>
      <w:bookmarkStart w:id="130" w:name="_Toc184313240"/>
      <w:bookmarkEnd w:id="130"/>
      <w:bookmarkStart w:id="131" w:name="_Toc184314447"/>
      <w:bookmarkEnd w:id="131"/>
      <w:bookmarkStart w:id="132" w:name="_Toc184314461"/>
      <w:bookmarkEnd w:id="132"/>
      <w:bookmarkStart w:id="133" w:name="_Toc184314482"/>
      <w:bookmarkEnd w:id="133"/>
      <w:bookmarkStart w:id="134" w:name="_Toc184308051"/>
      <w:bookmarkEnd w:id="134"/>
      <w:bookmarkStart w:id="135" w:name="_Toc184310285"/>
      <w:bookmarkEnd w:id="135"/>
      <w:bookmarkStart w:id="136" w:name="_Toc184313281"/>
      <w:bookmarkEnd w:id="136"/>
      <w:bookmarkStart w:id="137" w:name="_Toc184308056"/>
      <w:bookmarkEnd w:id="137"/>
      <w:bookmarkStart w:id="138" w:name="_Toc184310339"/>
      <w:bookmarkEnd w:id="138"/>
      <w:bookmarkStart w:id="139" w:name="_Toc184310319"/>
      <w:bookmarkEnd w:id="139"/>
      <w:bookmarkStart w:id="140" w:name="_Toc184310298"/>
      <w:bookmarkEnd w:id="140"/>
      <w:bookmarkStart w:id="141" w:name="_Toc184308078"/>
      <w:bookmarkEnd w:id="141"/>
      <w:bookmarkStart w:id="142" w:name="_Toc184310299"/>
      <w:bookmarkEnd w:id="142"/>
      <w:bookmarkStart w:id="143" w:name="_Toc184314445"/>
      <w:bookmarkEnd w:id="143"/>
      <w:bookmarkStart w:id="144" w:name="_Toc184308088"/>
      <w:bookmarkEnd w:id="144"/>
      <w:bookmarkStart w:id="145" w:name="_Toc184308106"/>
      <w:bookmarkEnd w:id="145"/>
      <w:bookmarkStart w:id="146" w:name="_Toc184310305"/>
      <w:bookmarkEnd w:id="146"/>
      <w:bookmarkStart w:id="147" w:name="_Toc184310342"/>
      <w:bookmarkEnd w:id="147"/>
      <w:bookmarkStart w:id="148" w:name="_Toc184312116"/>
      <w:bookmarkEnd w:id="148"/>
      <w:bookmarkStart w:id="149" w:name="_Toc184313293"/>
      <w:bookmarkEnd w:id="149"/>
      <w:bookmarkStart w:id="150" w:name="_Toc184313241"/>
      <w:bookmarkEnd w:id="150"/>
      <w:bookmarkStart w:id="151" w:name="_Toc184314414"/>
      <w:bookmarkEnd w:id="151"/>
      <w:bookmarkStart w:id="152" w:name="_Toc184312121"/>
      <w:bookmarkEnd w:id="152"/>
      <w:bookmarkStart w:id="153" w:name="_Toc184313302"/>
      <w:bookmarkEnd w:id="153"/>
      <w:bookmarkStart w:id="154" w:name="_Toc184313242"/>
      <w:bookmarkEnd w:id="154"/>
      <w:bookmarkStart w:id="155" w:name="_Toc184313282"/>
      <w:bookmarkEnd w:id="155"/>
      <w:bookmarkStart w:id="156" w:name="_Toc184314423"/>
      <w:bookmarkEnd w:id="156"/>
      <w:bookmarkStart w:id="157" w:name="_Toc184314439"/>
      <w:bookmarkEnd w:id="157"/>
      <w:bookmarkStart w:id="158" w:name="_Toc184314467"/>
      <w:bookmarkEnd w:id="158"/>
      <w:bookmarkStart w:id="159" w:name="_Toc184310340"/>
      <w:bookmarkEnd w:id="159"/>
      <w:bookmarkStart w:id="160" w:name="_Toc184313284"/>
      <w:bookmarkEnd w:id="160"/>
      <w:bookmarkStart w:id="161" w:name="_Toc184310304"/>
      <w:bookmarkEnd w:id="161"/>
      <w:bookmarkStart w:id="162" w:name="_Toc184313245"/>
      <w:bookmarkEnd w:id="162"/>
      <w:bookmarkStart w:id="163" w:name="_Toc184313295"/>
      <w:bookmarkEnd w:id="163"/>
      <w:bookmarkStart w:id="164" w:name="_Toc184314411"/>
      <w:bookmarkEnd w:id="164"/>
      <w:bookmarkStart w:id="165" w:name="_Toc184310279"/>
      <w:bookmarkEnd w:id="165"/>
      <w:bookmarkStart w:id="166" w:name="_Toc184308073"/>
      <w:bookmarkEnd w:id="166"/>
      <w:bookmarkStart w:id="167" w:name="_Toc184312077"/>
      <w:bookmarkEnd w:id="167"/>
      <w:bookmarkStart w:id="168" w:name="_Toc184314462"/>
      <w:bookmarkEnd w:id="168"/>
      <w:bookmarkStart w:id="169" w:name="_Toc184310294"/>
      <w:bookmarkEnd w:id="169"/>
      <w:bookmarkStart w:id="170" w:name="_Toc184314410"/>
      <w:bookmarkEnd w:id="170"/>
      <w:bookmarkStart w:id="171" w:name="_Toc184310289"/>
      <w:bookmarkEnd w:id="171"/>
      <w:bookmarkStart w:id="172" w:name="_Toc184310336"/>
      <w:bookmarkEnd w:id="172"/>
      <w:bookmarkStart w:id="173" w:name="_Toc184314446"/>
      <w:bookmarkEnd w:id="173"/>
      <w:bookmarkStart w:id="174" w:name="_Toc184313273"/>
      <w:bookmarkEnd w:id="174"/>
      <w:bookmarkStart w:id="175" w:name="_Toc184313262"/>
      <w:bookmarkEnd w:id="175"/>
      <w:bookmarkStart w:id="176" w:name="_Toc184314463"/>
      <w:bookmarkEnd w:id="176"/>
      <w:bookmarkStart w:id="177" w:name="_Toc184308087"/>
      <w:bookmarkEnd w:id="177"/>
      <w:bookmarkStart w:id="178" w:name="_Toc184314460"/>
      <w:bookmarkEnd w:id="178"/>
      <w:bookmarkStart w:id="179" w:name="_Toc184312074"/>
      <w:bookmarkEnd w:id="179"/>
      <w:bookmarkStart w:id="180" w:name="_Toc184310332"/>
      <w:bookmarkEnd w:id="180"/>
      <w:bookmarkStart w:id="181" w:name="_Toc184312069"/>
      <w:bookmarkEnd w:id="181"/>
      <w:bookmarkStart w:id="182" w:name="_Toc184314434"/>
      <w:bookmarkEnd w:id="182"/>
      <w:bookmarkStart w:id="183" w:name="_Toc184314450"/>
      <w:bookmarkEnd w:id="183"/>
      <w:bookmarkStart w:id="184" w:name="_Toc184313251"/>
      <w:bookmarkEnd w:id="184"/>
      <w:bookmarkStart w:id="185" w:name="_Toc184314452"/>
      <w:bookmarkEnd w:id="185"/>
      <w:bookmarkStart w:id="186" w:name="_Toc184312139"/>
      <w:bookmarkEnd w:id="186"/>
      <w:bookmarkStart w:id="187" w:name="_Toc184310344"/>
      <w:bookmarkEnd w:id="187"/>
      <w:bookmarkStart w:id="188" w:name="_Toc184312111"/>
      <w:bookmarkEnd w:id="188"/>
      <w:bookmarkStart w:id="189" w:name="_Toc184308067"/>
      <w:bookmarkEnd w:id="189"/>
      <w:bookmarkStart w:id="190" w:name="_Toc184312088"/>
      <w:bookmarkEnd w:id="190"/>
      <w:bookmarkStart w:id="191" w:name="_Toc184312098"/>
      <w:bookmarkEnd w:id="191"/>
      <w:bookmarkStart w:id="192" w:name="_Toc184314419"/>
      <w:bookmarkEnd w:id="192"/>
      <w:bookmarkStart w:id="193" w:name="_Toc184312119"/>
      <w:bookmarkEnd w:id="193"/>
      <w:bookmarkStart w:id="194" w:name="_Toc184313299"/>
      <w:bookmarkEnd w:id="194"/>
      <w:bookmarkStart w:id="195" w:name="_Toc184308070"/>
      <w:bookmarkEnd w:id="195"/>
      <w:bookmarkStart w:id="196" w:name="_Toc184312093"/>
      <w:bookmarkEnd w:id="196"/>
      <w:bookmarkStart w:id="197" w:name="_Toc184308040"/>
      <w:bookmarkEnd w:id="197"/>
      <w:bookmarkStart w:id="198" w:name="_Toc184310295"/>
      <w:bookmarkEnd w:id="198"/>
      <w:bookmarkStart w:id="199" w:name="_Toc184308065"/>
      <w:bookmarkEnd w:id="199"/>
      <w:bookmarkStart w:id="200" w:name="_Toc184312097"/>
      <w:bookmarkEnd w:id="200"/>
      <w:bookmarkStart w:id="201" w:name="_Toc184310281"/>
      <w:bookmarkEnd w:id="201"/>
      <w:bookmarkStart w:id="202" w:name="_Toc184308058"/>
      <w:bookmarkEnd w:id="202"/>
      <w:bookmarkStart w:id="203" w:name="_Toc184308055"/>
      <w:bookmarkEnd w:id="203"/>
      <w:bookmarkStart w:id="204" w:name="_Toc184308064"/>
      <w:bookmarkEnd w:id="204"/>
      <w:bookmarkStart w:id="205" w:name="_Toc184308086"/>
      <w:bookmarkEnd w:id="205"/>
      <w:bookmarkStart w:id="206" w:name="_Toc184310292"/>
      <w:bookmarkEnd w:id="206"/>
      <w:bookmarkStart w:id="207" w:name="_Toc184310311"/>
      <w:bookmarkEnd w:id="207"/>
      <w:bookmarkStart w:id="208" w:name="_Toc184314455"/>
      <w:bookmarkEnd w:id="208"/>
      <w:bookmarkStart w:id="209" w:name="_Toc184314471"/>
      <w:bookmarkEnd w:id="209"/>
      <w:bookmarkStart w:id="210" w:name="_Toc184310297"/>
      <w:bookmarkEnd w:id="210"/>
      <w:bookmarkStart w:id="211" w:name="_Toc184308066"/>
      <w:bookmarkEnd w:id="211"/>
      <w:bookmarkStart w:id="212" w:name="_Toc184313256"/>
      <w:bookmarkEnd w:id="212"/>
      <w:bookmarkStart w:id="213" w:name="_Toc184313279"/>
      <w:bookmarkEnd w:id="213"/>
      <w:bookmarkStart w:id="214" w:name="_Toc184308075"/>
      <w:bookmarkEnd w:id="214"/>
      <w:bookmarkStart w:id="215" w:name="_Toc184310324"/>
      <w:bookmarkEnd w:id="215"/>
      <w:bookmarkStart w:id="216" w:name="_Toc184310273"/>
      <w:bookmarkEnd w:id="216"/>
      <w:bookmarkStart w:id="217" w:name="_Toc184313292"/>
      <w:bookmarkEnd w:id="217"/>
      <w:bookmarkStart w:id="218" w:name="_Toc184310315"/>
      <w:bookmarkEnd w:id="218"/>
      <w:bookmarkStart w:id="219" w:name="_Toc184308062"/>
      <w:bookmarkEnd w:id="219"/>
      <w:bookmarkStart w:id="220" w:name="_Toc184312095"/>
      <w:bookmarkEnd w:id="220"/>
      <w:bookmarkStart w:id="221" w:name="_Toc184313254"/>
      <w:bookmarkEnd w:id="221"/>
      <w:bookmarkStart w:id="222" w:name="_Toc184308101"/>
      <w:bookmarkEnd w:id="222"/>
      <w:bookmarkStart w:id="223" w:name="_Toc184308085"/>
      <w:bookmarkEnd w:id="223"/>
      <w:bookmarkStart w:id="224" w:name="_Toc184312123"/>
      <w:bookmarkEnd w:id="224"/>
      <w:bookmarkStart w:id="225" w:name="_Toc184314478"/>
      <w:bookmarkEnd w:id="225"/>
      <w:bookmarkStart w:id="226" w:name="_Toc184308043"/>
      <w:bookmarkEnd w:id="226"/>
      <w:bookmarkStart w:id="227" w:name="_Toc184314458"/>
      <w:bookmarkEnd w:id="227"/>
      <w:bookmarkStart w:id="228" w:name="_Toc184312090"/>
      <w:bookmarkEnd w:id="228"/>
      <w:bookmarkStart w:id="229" w:name="_Toc184314473"/>
      <w:bookmarkEnd w:id="229"/>
      <w:bookmarkStart w:id="230" w:name="_Toc184310306"/>
      <w:bookmarkEnd w:id="230"/>
      <w:bookmarkStart w:id="231" w:name="_Toc184312083"/>
      <w:bookmarkEnd w:id="231"/>
      <w:bookmarkStart w:id="232" w:name="_Toc184313277"/>
      <w:bookmarkEnd w:id="232"/>
      <w:bookmarkStart w:id="233" w:name="_Toc184313274"/>
      <w:bookmarkEnd w:id="233"/>
      <w:bookmarkStart w:id="234" w:name="_Toc184312106"/>
      <w:bookmarkEnd w:id="234"/>
      <w:bookmarkStart w:id="235" w:name="_Toc184312102"/>
      <w:bookmarkEnd w:id="235"/>
      <w:bookmarkStart w:id="236" w:name="_Toc184314443"/>
      <w:bookmarkEnd w:id="236"/>
      <w:bookmarkStart w:id="237" w:name="_Toc184314437"/>
      <w:bookmarkEnd w:id="237"/>
      <w:bookmarkStart w:id="238" w:name="_Toc184313250"/>
      <w:bookmarkEnd w:id="238"/>
      <w:bookmarkStart w:id="239" w:name="_Toc184308053"/>
      <w:bookmarkEnd w:id="239"/>
      <w:bookmarkStart w:id="240" w:name="_Toc184313297"/>
      <w:bookmarkEnd w:id="240"/>
      <w:bookmarkStart w:id="241" w:name="_Toc184313308"/>
      <w:bookmarkEnd w:id="241"/>
      <w:bookmarkStart w:id="242" w:name="_Toc184308057"/>
      <w:bookmarkEnd w:id="242"/>
      <w:bookmarkStart w:id="243" w:name="_Toc184314470"/>
      <w:bookmarkEnd w:id="243"/>
      <w:bookmarkStart w:id="244" w:name="_Toc184308099"/>
      <w:bookmarkEnd w:id="244"/>
      <w:bookmarkStart w:id="245" w:name="_Toc184312104"/>
      <w:bookmarkEnd w:id="245"/>
      <w:bookmarkStart w:id="246" w:name="_Toc184310276"/>
      <w:bookmarkEnd w:id="246"/>
      <w:bookmarkStart w:id="247" w:name="_Toc184308049"/>
      <w:bookmarkEnd w:id="247"/>
      <w:bookmarkStart w:id="248" w:name="_Toc184313238"/>
      <w:bookmarkEnd w:id="248"/>
      <w:bookmarkStart w:id="249" w:name="_Toc184313287"/>
      <w:bookmarkEnd w:id="249"/>
      <w:bookmarkStart w:id="250" w:name="_Toc184312070"/>
      <w:bookmarkEnd w:id="250"/>
      <w:bookmarkStart w:id="251" w:name="_Toc184314459"/>
      <w:bookmarkEnd w:id="251"/>
      <w:bookmarkStart w:id="252" w:name="_Toc184308081"/>
      <w:bookmarkEnd w:id="252"/>
      <w:bookmarkStart w:id="253" w:name="_Toc184312078"/>
      <w:bookmarkEnd w:id="253"/>
      <w:bookmarkStart w:id="254" w:name="_Toc184312084"/>
      <w:bookmarkEnd w:id="254"/>
      <w:bookmarkStart w:id="255" w:name="_Toc184313309"/>
      <w:bookmarkEnd w:id="255"/>
      <w:bookmarkStart w:id="256" w:name="_Toc184312138"/>
      <w:bookmarkEnd w:id="256"/>
      <w:bookmarkStart w:id="257" w:name="_Toc184310296"/>
      <w:bookmarkEnd w:id="257"/>
      <w:bookmarkStart w:id="258" w:name="_Toc184308060"/>
      <w:bookmarkEnd w:id="258"/>
      <w:bookmarkStart w:id="259" w:name="_Toc184313269"/>
      <w:bookmarkEnd w:id="259"/>
      <w:bookmarkStart w:id="260" w:name="_Toc184310329"/>
      <w:bookmarkEnd w:id="260"/>
      <w:bookmarkStart w:id="261" w:name="_Toc184312110"/>
      <w:bookmarkEnd w:id="261"/>
      <w:bookmarkStart w:id="262" w:name="_Toc184314475"/>
      <w:bookmarkEnd w:id="262"/>
      <w:bookmarkStart w:id="263" w:name="_Toc184314438"/>
      <w:bookmarkEnd w:id="263"/>
      <w:bookmarkStart w:id="264" w:name="_Toc184310284"/>
      <w:bookmarkEnd w:id="264"/>
      <w:bookmarkStart w:id="265" w:name="_Toc184310314"/>
      <w:bookmarkEnd w:id="265"/>
      <w:bookmarkStart w:id="266" w:name="_Toc184313266"/>
      <w:bookmarkEnd w:id="266"/>
      <w:bookmarkStart w:id="267" w:name="_Toc184312129"/>
      <w:bookmarkEnd w:id="267"/>
      <w:bookmarkStart w:id="268" w:name="_Toc184312131"/>
      <w:bookmarkEnd w:id="268"/>
      <w:bookmarkStart w:id="269" w:name="_Toc184314433"/>
      <w:bookmarkEnd w:id="269"/>
      <w:bookmarkStart w:id="270" w:name="_Toc184310333"/>
      <w:bookmarkEnd w:id="270"/>
      <w:bookmarkStart w:id="271" w:name="_Toc184312087"/>
      <w:bookmarkEnd w:id="271"/>
      <w:bookmarkStart w:id="272" w:name="_Toc184312085"/>
      <w:bookmarkEnd w:id="272"/>
      <w:bookmarkStart w:id="273" w:name="_Toc184312086"/>
      <w:bookmarkEnd w:id="273"/>
      <w:bookmarkStart w:id="274" w:name="_Toc184312115"/>
      <w:bookmarkEnd w:id="274"/>
      <w:bookmarkStart w:id="275" w:name="_Toc184310326"/>
      <w:bookmarkEnd w:id="275"/>
      <w:bookmarkStart w:id="276" w:name="_Toc184308107"/>
      <w:bookmarkEnd w:id="276"/>
      <w:bookmarkStart w:id="277" w:name="_Toc184313257"/>
      <w:bookmarkEnd w:id="277"/>
      <w:bookmarkStart w:id="278" w:name="_Toc184310277"/>
      <w:bookmarkEnd w:id="278"/>
      <w:bookmarkStart w:id="279" w:name="_Toc184310318"/>
      <w:bookmarkEnd w:id="279"/>
      <w:bookmarkStart w:id="280" w:name="_Toc184313305"/>
      <w:bookmarkEnd w:id="280"/>
      <w:bookmarkStart w:id="281" w:name="_Toc184313304"/>
      <w:bookmarkEnd w:id="281"/>
      <w:bookmarkStart w:id="282" w:name="_Toc184312081"/>
      <w:bookmarkEnd w:id="282"/>
      <w:bookmarkStart w:id="283" w:name="_Toc184314412"/>
      <w:bookmarkEnd w:id="283"/>
      <w:bookmarkStart w:id="284" w:name="_Toc184308074"/>
      <w:bookmarkEnd w:id="284"/>
      <w:bookmarkStart w:id="285" w:name="_Toc184314421"/>
      <w:bookmarkEnd w:id="285"/>
      <w:bookmarkStart w:id="286" w:name="_Toc184310317"/>
      <w:bookmarkEnd w:id="286"/>
      <w:bookmarkStart w:id="287" w:name="_Toc184313310"/>
      <w:bookmarkEnd w:id="287"/>
      <w:bookmarkStart w:id="288" w:name="_Toc184312096"/>
      <w:bookmarkEnd w:id="288"/>
      <w:bookmarkStart w:id="289" w:name="_Toc184314444"/>
      <w:bookmarkEnd w:id="289"/>
      <w:bookmarkStart w:id="290" w:name="_Toc184312125"/>
      <w:bookmarkEnd w:id="290"/>
      <w:bookmarkStart w:id="291" w:name="_Toc184310288"/>
      <w:bookmarkEnd w:id="291"/>
      <w:bookmarkStart w:id="292" w:name="_Toc184312068"/>
      <w:bookmarkEnd w:id="292"/>
      <w:bookmarkStart w:id="293" w:name="_Toc184312079"/>
      <w:bookmarkEnd w:id="293"/>
      <w:bookmarkStart w:id="294" w:name="_Toc184314436"/>
      <w:bookmarkEnd w:id="294"/>
      <w:bookmarkStart w:id="295" w:name="_Toc184308108"/>
      <w:bookmarkEnd w:id="295"/>
      <w:bookmarkStart w:id="296" w:name="_Toc184313289"/>
      <w:bookmarkEnd w:id="296"/>
      <w:bookmarkStart w:id="297" w:name="_Toc184312108"/>
      <w:bookmarkEnd w:id="297"/>
      <w:bookmarkStart w:id="298" w:name="_Toc184308052"/>
      <w:bookmarkEnd w:id="298"/>
      <w:bookmarkStart w:id="299" w:name="_Toc184312089"/>
      <w:bookmarkEnd w:id="299"/>
      <w:bookmarkStart w:id="300" w:name="_Toc184313253"/>
      <w:bookmarkEnd w:id="300"/>
      <w:bookmarkStart w:id="301" w:name="_Toc184313275"/>
      <w:bookmarkEnd w:id="301"/>
      <w:bookmarkStart w:id="302" w:name="_Toc184308054"/>
      <w:bookmarkEnd w:id="302"/>
      <w:bookmarkStart w:id="303" w:name="_Toc184313296"/>
      <w:bookmarkEnd w:id="303"/>
      <w:bookmarkStart w:id="304" w:name="_Toc184310334"/>
      <w:bookmarkEnd w:id="304"/>
      <w:bookmarkStart w:id="305" w:name="_Toc184308095"/>
      <w:bookmarkEnd w:id="305"/>
      <w:bookmarkStart w:id="306" w:name="_Toc184310325"/>
      <w:bookmarkEnd w:id="306"/>
      <w:bookmarkStart w:id="307" w:name="_Toc184308045"/>
      <w:bookmarkEnd w:id="307"/>
      <w:bookmarkStart w:id="308" w:name="_Toc184314424"/>
      <w:bookmarkEnd w:id="308"/>
      <w:bookmarkStart w:id="309" w:name="_Toc184308079"/>
      <w:bookmarkEnd w:id="309"/>
      <w:bookmarkStart w:id="310" w:name="_Toc184313300"/>
      <w:bookmarkEnd w:id="310"/>
      <w:bookmarkStart w:id="311" w:name="_Toc184313239"/>
      <w:bookmarkEnd w:id="311"/>
      <w:bookmarkStart w:id="312" w:name="_Toc184312130"/>
      <w:bookmarkEnd w:id="312"/>
      <w:bookmarkStart w:id="313" w:name="_Toc184314435"/>
      <w:bookmarkEnd w:id="313"/>
      <w:bookmarkStart w:id="314" w:name="_Toc184310275"/>
      <w:bookmarkEnd w:id="314"/>
      <w:bookmarkStart w:id="315" w:name="_Toc184312103"/>
      <w:bookmarkEnd w:id="315"/>
      <w:bookmarkStart w:id="316" w:name="_Toc184308047"/>
      <w:bookmarkEnd w:id="316"/>
      <w:bookmarkStart w:id="317" w:name="_Toc184314440"/>
      <w:bookmarkEnd w:id="317"/>
      <w:bookmarkStart w:id="318" w:name="_Toc184313291"/>
      <w:bookmarkEnd w:id="318"/>
      <w:bookmarkStart w:id="319" w:name="_Toc184308091"/>
      <w:bookmarkEnd w:id="319"/>
      <w:bookmarkStart w:id="320" w:name="_Toc184313268"/>
      <w:bookmarkEnd w:id="320"/>
      <w:bookmarkStart w:id="321" w:name="_Toc184308094"/>
      <w:bookmarkEnd w:id="321"/>
      <w:bookmarkStart w:id="322" w:name="_Toc184312124"/>
      <w:bookmarkEnd w:id="322"/>
      <w:bookmarkStart w:id="323" w:name="_Toc184310282"/>
      <w:bookmarkEnd w:id="323"/>
      <w:bookmarkStart w:id="324" w:name="_Toc184314476"/>
      <w:bookmarkEnd w:id="324"/>
      <w:bookmarkStart w:id="325" w:name="_Toc184312113"/>
      <w:bookmarkEnd w:id="325"/>
      <w:bookmarkStart w:id="326" w:name="_Toc184310321"/>
      <w:bookmarkEnd w:id="326"/>
      <w:bookmarkStart w:id="327" w:name="_Toc184312082"/>
      <w:bookmarkEnd w:id="327"/>
      <w:bookmarkStart w:id="328" w:name="_Toc184308036"/>
      <w:bookmarkEnd w:id="328"/>
      <w:bookmarkStart w:id="329" w:name="_Toc184308083"/>
      <w:bookmarkEnd w:id="329"/>
      <w:bookmarkStart w:id="330" w:name="_Toc184314441"/>
      <w:bookmarkEnd w:id="330"/>
      <w:bookmarkStart w:id="331" w:name="_Toc184312080"/>
      <w:bookmarkEnd w:id="331"/>
      <w:bookmarkStart w:id="332" w:name="_Toc184308103"/>
      <w:bookmarkEnd w:id="332"/>
      <w:bookmarkStart w:id="333" w:name="_Toc184308082"/>
      <w:bookmarkEnd w:id="333"/>
      <w:bookmarkStart w:id="334" w:name="_Toc184313283"/>
      <w:bookmarkEnd w:id="334"/>
      <w:bookmarkStart w:id="335" w:name="_Toc184313258"/>
      <w:bookmarkEnd w:id="335"/>
      <w:bookmarkStart w:id="336" w:name="_Toc184313301"/>
      <w:bookmarkEnd w:id="336"/>
      <w:bookmarkStart w:id="337" w:name="_Toc184314420"/>
      <w:bookmarkEnd w:id="337"/>
      <w:bookmarkStart w:id="338" w:name="_Toc184310303"/>
      <w:bookmarkEnd w:id="338"/>
      <w:bookmarkStart w:id="339" w:name="_Toc184310310"/>
      <w:bookmarkEnd w:id="339"/>
      <w:bookmarkStart w:id="340" w:name="_Toc184308068"/>
      <w:bookmarkEnd w:id="340"/>
      <w:bookmarkStart w:id="341" w:name="_Toc184308050"/>
      <w:bookmarkEnd w:id="341"/>
      <w:bookmarkStart w:id="342" w:name="_Toc184313255"/>
      <w:bookmarkEnd w:id="342"/>
      <w:bookmarkStart w:id="343" w:name="_Toc184314428"/>
      <w:bookmarkEnd w:id="343"/>
      <w:bookmarkStart w:id="344" w:name="_Toc184310337"/>
      <w:bookmarkEnd w:id="344"/>
      <w:bookmarkStart w:id="345" w:name="_Toc184313288"/>
      <w:bookmarkEnd w:id="345"/>
      <w:bookmarkStart w:id="346" w:name="_Toc184312128"/>
      <w:bookmarkEnd w:id="346"/>
      <w:bookmarkStart w:id="347" w:name="_Toc184310278"/>
      <w:bookmarkEnd w:id="347"/>
      <w:bookmarkStart w:id="348" w:name="_Toc184308098"/>
      <w:bookmarkEnd w:id="348"/>
      <w:bookmarkStart w:id="349" w:name="_Toc184314430"/>
      <w:bookmarkEnd w:id="349"/>
      <w:bookmarkStart w:id="350" w:name="_Toc184308063"/>
      <w:bookmarkEnd w:id="350"/>
      <w:bookmarkStart w:id="351" w:name="_Toc184312136"/>
      <w:bookmarkEnd w:id="351"/>
      <w:bookmarkStart w:id="352" w:name="_Toc184313243"/>
      <w:bookmarkEnd w:id="352"/>
      <w:bookmarkStart w:id="353" w:name="_Toc184310338"/>
      <w:bookmarkEnd w:id="353"/>
      <w:bookmarkStart w:id="354" w:name="_Toc184310320"/>
      <w:bookmarkEnd w:id="354"/>
      <w:bookmarkStart w:id="355" w:name="_Toc184312132"/>
      <w:bookmarkEnd w:id="355"/>
      <w:bookmarkStart w:id="356" w:name="_Toc184312133"/>
      <w:bookmarkEnd w:id="356"/>
      <w:bookmarkStart w:id="357" w:name="_Toc184308046"/>
      <w:bookmarkEnd w:id="357"/>
      <w:bookmarkStart w:id="358" w:name="_Toc184308039"/>
      <w:bookmarkEnd w:id="358"/>
      <w:bookmarkStart w:id="359" w:name="_Toc184310309"/>
      <w:bookmarkEnd w:id="359"/>
      <w:bookmarkStart w:id="360" w:name="_Toc184314481"/>
      <w:bookmarkEnd w:id="360"/>
      <w:bookmarkStart w:id="361" w:name="_Toc184310307"/>
      <w:bookmarkEnd w:id="361"/>
      <w:bookmarkStart w:id="362" w:name="_Toc184308037"/>
      <w:bookmarkEnd w:id="362"/>
      <w:bookmarkStart w:id="363" w:name="_Toc184314468"/>
      <w:bookmarkEnd w:id="363"/>
      <w:bookmarkStart w:id="364" w:name="_Toc184313270"/>
      <w:bookmarkEnd w:id="364"/>
      <w:bookmarkStart w:id="365" w:name="_Toc184310313"/>
      <w:bookmarkEnd w:id="365"/>
      <w:bookmarkStart w:id="366" w:name="_Toc184312091"/>
      <w:bookmarkEnd w:id="366"/>
      <w:bookmarkStart w:id="367" w:name="_Toc184312099"/>
      <w:bookmarkEnd w:id="367"/>
      <w:bookmarkStart w:id="368" w:name="_Toc184314453"/>
      <w:bookmarkEnd w:id="368"/>
      <w:bookmarkStart w:id="369" w:name="_Toc184313290"/>
      <w:bookmarkEnd w:id="369"/>
      <w:bookmarkStart w:id="370" w:name="_Toc184310343"/>
      <w:bookmarkEnd w:id="370"/>
      <w:bookmarkStart w:id="371" w:name="_Toc184313249"/>
      <w:bookmarkEnd w:id="371"/>
      <w:bookmarkStart w:id="372" w:name="_Toc184312117"/>
      <w:bookmarkEnd w:id="372"/>
      <w:bookmarkStart w:id="373" w:name="_Toc184308092"/>
      <w:bookmarkEnd w:id="373"/>
      <w:bookmarkStart w:id="374" w:name="_Toc184313303"/>
      <w:bookmarkEnd w:id="374"/>
      <w:bookmarkStart w:id="375" w:name="_Toc184313247"/>
      <w:bookmarkEnd w:id="375"/>
      <w:bookmarkStart w:id="376" w:name="_Toc184312100"/>
      <w:bookmarkEnd w:id="376"/>
      <w:bookmarkStart w:id="377" w:name="_Toc184310330"/>
      <w:bookmarkEnd w:id="377"/>
      <w:bookmarkStart w:id="378" w:name="_Toc184310323"/>
      <w:bookmarkEnd w:id="378"/>
      <w:bookmarkStart w:id="379" w:name="_Toc184314427"/>
      <w:bookmarkEnd w:id="379"/>
      <w:bookmarkStart w:id="380" w:name="_Toc184312101"/>
      <w:bookmarkEnd w:id="380"/>
      <w:bookmarkStart w:id="381" w:name="_Toc184308097"/>
      <w:bookmarkEnd w:id="381"/>
      <w:bookmarkStart w:id="382" w:name="_Toc184314426"/>
      <w:bookmarkEnd w:id="382"/>
      <w:bookmarkStart w:id="383" w:name="_Toc184312122"/>
      <w:bookmarkEnd w:id="383"/>
      <w:bookmarkStart w:id="384" w:name="_Toc184312126"/>
      <w:bookmarkEnd w:id="384"/>
      <w:bookmarkStart w:id="385" w:name="_Toc184313263"/>
      <w:bookmarkEnd w:id="385"/>
      <w:bookmarkStart w:id="386" w:name="_Toc184312134"/>
      <w:bookmarkEnd w:id="386"/>
      <w:bookmarkStart w:id="387" w:name="_Toc184308071"/>
      <w:bookmarkEnd w:id="387"/>
      <w:bookmarkStart w:id="388" w:name="_Toc184314442"/>
      <w:bookmarkEnd w:id="388"/>
      <w:bookmarkStart w:id="389" w:name="_Toc184313272"/>
      <w:bookmarkEnd w:id="389"/>
      <w:bookmarkStart w:id="390" w:name="_Toc184308080"/>
      <w:bookmarkEnd w:id="390"/>
      <w:bookmarkStart w:id="391" w:name="_Toc184310300"/>
      <w:bookmarkEnd w:id="391"/>
      <w:r>
        <w:rPr>
          <w:rFonts w:hint="eastAsia" w:ascii="仿宋_GB2312" w:hAnsi="仿宋_GB2312" w:eastAsia="仿宋_GB2312" w:cs="仿宋_GB2312"/>
          <w:b/>
          <w:color w:val="auto"/>
          <w:sz w:val="36"/>
          <w:szCs w:val="36"/>
          <w:highlight w:val="none"/>
        </w:rPr>
        <w:t>评标办法</w:t>
      </w:r>
    </w:p>
    <w:p>
      <w:pPr>
        <w:snapToGrid w:val="0"/>
        <w:spacing w:line="360" w:lineRule="auto"/>
        <w:jc w:val="center"/>
        <w:rPr>
          <w:rFonts w:hint="eastAsia"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评标办法前附表</w:t>
      </w:r>
    </w:p>
    <w:p>
      <w:pPr>
        <w:pStyle w:val="86"/>
        <w:spacing w:before="0"/>
        <w:ind w:firstLine="602" w:firstLineChars="250"/>
        <w:rPr>
          <w:rFonts w:ascii="宋体" w:hAnsi="宋体" w:eastAsia="宋体"/>
          <w:b/>
          <w:color w:val="auto"/>
          <w:highlight w:val="none"/>
        </w:rPr>
      </w:pPr>
      <w:r>
        <w:rPr>
          <w:rFonts w:ascii="宋体" w:hAnsi="宋体" w:eastAsia="宋体"/>
          <w:b/>
          <w:color w:val="auto"/>
          <w:highlight w:val="none"/>
        </w:rPr>
        <w:t>技术分（8</w:t>
      </w:r>
      <w:r>
        <w:rPr>
          <w:rFonts w:hint="eastAsia" w:ascii="宋体" w:hAnsi="宋体" w:eastAsia="宋体"/>
          <w:b/>
          <w:color w:val="auto"/>
          <w:highlight w:val="none"/>
          <w:lang w:val="en-US" w:eastAsia="zh-CN"/>
        </w:rPr>
        <w:t>7</w:t>
      </w:r>
      <w:r>
        <w:rPr>
          <w:rFonts w:ascii="宋体" w:hAnsi="宋体" w:eastAsia="宋体"/>
          <w:b/>
          <w:color w:val="auto"/>
          <w:highlight w:val="none"/>
        </w:rPr>
        <w:t>分）</w:t>
      </w:r>
    </w:p>
    <w:tbl>
      <w:tblPr>
        <w:tblStyle w:val="62"/>
        <w:tblW w:w="98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
        <w:gridCol w:w="1538"/>
        <w:gridCol w:w="7049"/>
        <w:gridCol w:w="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0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i w:val="0"/>
                <w:iCs w:val="0"/>
                <w:color w:val="auto"/>
                <w:sz w:val="22"/>
                <w:szCs w:val="22"/>
                <w:highlight w:val="none"/>
                <w:u w:val="none"/>
              </w:rPr>
            </w:pPr>
            <w:r>
              <w:rPr>
                <w:rFonts w:hint="eastAsia" w:ascii="仿宋_GB2312" w:hAnsi="宋体" w:eastAsia="仿宋_GB2312" w:cs="仿宋_GB2312"/>
                <w:b/>
                <w:bCs/>
                <w:i w:val="0"/>
                <w:iCs w:val="0"/>
                <w:color w:val="auto"/>
                <w:kern w:val="0"/>
                <w:sz w:val="22"/>
                <w:szCs w:val="22"/>
                <w:highlight w:val="none"/>
                <w:u w:val="none"/>
                <w:lang w:val="en-US" w:eastAsia="zh-CN"/>
              </w:rPr>
              <w:t>评分项目</w:t>
            </w:r>
          </w:p>
        </w:tc>
        <w:tc>
          <w:tcPr>
            <w:tcW w:w="7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i w:val="0"/>
                <w:iCs w:val="0"/>
                <w:color w:val="auto"/>
                <w:sz w:val="22"/>
                <w:szCs w:val="22"/>
                <w:highlight w:val="none"/>
                <w:u w:val="none"/>
              </w:rPr>
            </w:pPr>
            <w:r>
              <w:rPr>
                <w:rFonts w:hint="eastAsia" w:ascii="仿宋_GB2312" w:hAnsi="宋体" w:eastAsia="仿宋_GB2312" w:cs="仿宋_GB2312"/>
                <w:b/>
                <w:bCs/>
                <w:i w:val="0"/>
                <w:iCs w:val="0"/>
                <w:color w:val="auto"/>
                <w:kern w:val="0"/>
                <w:sz w:val="22"/>
                <w:szCs w:val="22"/>
                <w:highlight w:val="none"/>
                <w:u w:val="none"/>
                <w:lang w:val="en-US" w:eastAsia="zh-CN"/>
              </w:rPr>
              <w:t>评分细则</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i w:val="0"/>
                <w:iCs w:val="0"/>
                <w:color w:val="auto"/>
                <w:sz w:val="22"/>
                <w:szCs w:val="22"/>
                <w:highlight w:val="none"/>
                <w:u w:val="none"/>
              </w:rPr>
            </w:pPr>
            <w:r>
              <w:rPr>
                <w:rFonts w:hint="eastAsia" w:ascii="仿宋_GB2312" w:hAnsi="宋体" w:eastAsia="仿宋_GB2312" w:cs="仿宋_GB2312"/>
                <w:b/>
                <w:bCs/>
                <w:i w:val="0"/>
                <w:iCs w:val="0"/>
                <w:color w:val="auto"/>
                <w:kern w:val="0"/>
                <w:sz w:val="22"/>
                <w:szCs w:val="22"/>
                <w:highlight w:val="none"/>
                <w:u w:val="none"/>
                <w:lang w:val="en-US" w:eastAsia="zh-CN"/>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人员</w:t>
            </w:r>
          </w:p>
          <w:p>
            <w:pPr>
              <w:widowControl/>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配备</w:t>
            </w: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人员配备</w:t>
            </w:r>
          </w:p>
          <w:p>
            <w:pPr>
              <w:widowControl/>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符合性</w:t>
            </w:r>
          </w:p>
        </w:tc>
        <w:tc>
          <w:tcPr>
            <w:tcW w:w="70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人员配备（各岗位人员组成及数量）是否满足招标文件要求，满足的得3分，否则不得分。</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jc w:val="center"/>
        </w:trPr>
        <w:tc>
          <w:tcPr>
            <w:tcW w:w="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auto"/>
                <w:sz w:val="24"/>
                <w:szCs w:val="24"/>
                <w:highlight w:val="none"/>
                <w:u w:val="none"/>
              </w:rPr>
            </w:pP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项目负责人</w:t>
            </w:r>
          </w:p>
          <w:p>
            <w:pPr>
              <w:widowControl/>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（项目经理）</w:t>
            </w:r>
          </w:p>
        </w:tc>
        <w:tc>
          <w:tcPr>
            <w:tcW w:w="70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1.具有1年及以上数字城管信息采集或第三方巡查考核管理经验的得2分，否则不得分。（提供社保缴纳证明及以往项目甲方单位确认为项目负责人的证明材料）</w:t>
            </w:r>
          </w:p>
          <w:p>
            <w:pPr>
              <w:widowControl/>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2.具有专科及以上学历得1分，否则不得分。（学历证书复印件）</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jc w:val="center"/>
        </w:trPr>
        <w:tc>
          <w:tcPr>
            <w:tcW w:w="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auto"/>
                <w:sz w:val="24"/>
                <w:szCs w:val="24"/>
                <w:highlight w:val="none"/>
                <w:u w:val="none"/>
              </w:rPr>
            </w:pP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项目管理员</w:t>
            </w:r>
          </w:p>
        </w:tc>
        <w:tc>
          <w:tcPr>
            <w:tcW w:w="70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具有1年及以上数字城管信息采集或第三方巡查考核从业经验，且具有专科及以上学历（提供社保缴纳证明及以往项目甲方单位确认为项目管理员的证明材料以及学历证书复印件）</w:t>
            </w:r>
          </w:p>
          <w:p>
            <w:pPr>
              <w:widowControl/>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，每有1人得1分，最高6分。</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实施</w:t>
            </w:r>
          </w:p>
          <w:p>
            <w:pPr>
              <w:widowControl/>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方案</w:t>
            </w: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项目启动</w:t>
            </w:r>
          </w:p>
        </w:tc>
        <w:tc>
          <w:tcPr>
            <w:tcW w:w="70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1.网格划分、人员安排科学合理并切实可行。（0-5分）</w:t>
            </w:r>
          </w:p>
          <w:p>
            <w:pPr>
              <w:widowControl/>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2.项目启动措施及保障方案等完善、全面并切实可行。（0-5分）</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eastAsia="仿宋_GB2312" w:cs="仿宋_GB2312"/>
                <w:i w:val="0"/>
                <w:iCs w:val="0"/>
                <w:color w:val="auto"/>
                <w:kern w:val="0"/>
                <w:sz w:val="22"/>
                <w:szCs w:val="22"/>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9" w:hRule="atLeast"/>
          <w:jc w:val="center"/>
        </w:trPr>
        <w:tc>
          <w:tcPr>
            <w:tcW w:w="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auto"/>
                <w:sz w:val="24"/>
                <w:szCs w:val="24"/>
                <w:highlight w:val="none"/>
                <w:u w:val="none"/>
              </w:rPr>
            </w:pP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日常工作</w:t>
            </w:r>
          </w:p>
          <w:p>
            <w:pPr>
              <w:widowControl/>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开展方案</w:t>
            </w:r>
          </w:p>
        </w:tc>
        <w:tc>
          <w:tcPr>
            <w:tcW w:w="70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1.制定采集员每3个月进行轮岗的方案，并切实可行。（0-3分）</w:t>
            </w:r>
          </w:p>
          <w:p>
            <w:pPr>
              <w:widowControl/>
              <w:jc w:val="left"/>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2.制定日常巡查方案，需符合招标文件要求，并切实可行。（0-3分）</w:t>
            </w:r>
          </w:p>
          <w:p>
            <w:pPr>
              <w:widowControl/>
              <w:jc w:val="left"/>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3.制定城市快车道、河道、高架立交、桥梁隧道等区域信息全面、及时采集的实施方案，并切实可行。（0-3分）</w:t>
            </w:r>
          </w:p>
          <w:p>
            <w:pPr>
              <w:widowControl/>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4.制定宣传工作计划和方案，并切实可行。（0-3分）</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jc w:val="center"/>
        </w:trPr>
        <w:tc>
          <w:tcPr>
            <w:tcW w:w="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auto"/>
                <w:sz w:val="24"/>
                <w:szCs w:val="24"/>
                <w:highlight w:val="none"/>
                <w:u w:val="none"/>
              </w:rPr>
            </w:pP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highlight w:val="none"/>
                <w:u w:val="none"/>
                <w:lang w:val="en-US" w:eastAsia="zh-CN"/>
              </w:rPr>
              <w:t>质量保障</w:t>
            </w:r>
          </w:p>
        </w:tc>
        <w:tc>
          <w:tcPr>
            <w:tcW w:w="70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1.制定保障数据全面、及时、准确采集，避免漏报、六不等情况发生的措施，并切实可行。（0-3分）</w:t>
            </w:r>
          </w:p>
          <w:p>
            <w:pPr>
              <w:widowControl/>
              <w:jc w:val="left"/>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2.制定对采集员上岗、巡查、采集、参训等工作质量进行监管的措施，并切实可行。（0-3分）</w:t>
            </w:r>
          </w:p>
          <w:p>
            <w:pPr>
              <w:widowControl/>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3.制定漏报、六不、媒体热线等申诉工作有序有效开展的措施，并切实可行。（0-3分）</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jc w:val="center"/>
        </w:trPr>
        <w:tc>
          <w:tcPr>
            <w:tcW w:w="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auto"/>
                <w:sz w:val="24"/>
                <w:szCs w:val="24"/>
                <w:highlight w:val="none"/>
                <w:u w:val="none"/>
              </w:rPr>
            </w:pP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设备保障</w:t>
            </w:r>
          </w:p>
        </w:tc>
        <w:tc>
          <w:tcPr>
            <w:tcW w:w="70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1.配置信息采集器，提供采集器性能参数及配备数量（配置合理且配备一定数量的备机）并合理选择数据流量套餐。（0-2分）。</w:t>
            </w:r>
          </w:p>
          <w:p>
            <w:pPr>
              <w:widowControl/>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2.提供符合采购人要求的车辆，每提供1辆得1分，本项最高得2分。（自有的提供车辆行驶证复印件，租赁的提供车辆行驶证及租赁合同复印件）（0-2分）</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20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教育培训</w:t>
            </w:r>
          </w:p>
        </w:tc>
        <w:tc>
          <w:tcPr>
            <w:tcW w:w="70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1.制定合理可行的员工日常培训工作方案。（0-3分）。</w:t>
            </w:r>
          </w:p>
          <w:p>
            <w:pPr>
              <w:widowControl/>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2.制定合理可行的新员工岗前培训方案。（0-3分）</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038" w:type="dxa"/>
            <w:gridSpan w:val="2"/>
            <w:tcBorders>
              <w:top w:val="single" w:color="000000" w:sz="4" w:space="0"/>
              <w:left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管理制度</w:t>
            </w:r>
          </w:p>
        </w:tc>
        <w:tc>
          <w:tcPr>
            <w:tcW w:w="70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1.具有健全完善的内部管理制度。（0-5分）</w:t>
            </w:r>
          </w:p>
          <w:p>
            <w:pPr>
              <w:widowControl/>
              <w:jc w:val="left"/>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2.各岗位具有明确分工和工作职责及相应考核办法，具备末位淘汰等奖优罚劣措施。（0-3分）</w:t>
            </w:r>
          </w:p>
          <w:p>
            <w:pPr>
              <w:widowControl/>
              <w:jc w:val="left"/>
              <w:textAlignment w:val="center"/>
              <w:rPr>
                <w:rFonts w:hint="eastAsia"/>
                <w:color w:val="auto"/>
                <w:highlight w:val="none"/>
              </w:rPr>
            </w:pPr>
            <w:r>
              <w:rPr>
                <w:rFonts w:hint="eastAsia" w:ascii="仿宋_GB2312" w:hAnsi="宋体" w:eastAsia="仿宋_GB2312" w:cs="仿宋_GB2312"/>
                <w:i w:val="0"/>
                <w:iCs w:val="0"/>
                <w:color w:val="auto"/>
                <w:kern w:val="0"/>
                <w:sz w:val="24"/>
                <w:szCs w:val="24"/>
                <w:highlight w:val="none"/>
                <w:u w:val="none"/>
                <w:lang w:val="en-US" w:eastAsia="zh-CN"/>
              </w:rPr>
              <w:t>3.具备预防触碰三条高压线（防止虚假信息、防止吃拿卡要、防止有责投诉）的管控制度，并切实可行。（0-3分）</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eastAsia="仿宋_GB2312" w:cs="仿宋_GB2312"/>
                <w:i w:val="0"/>
                <w:iCs w:val="0"/>
                <w:color w:val="auto"/>
                <w:kern w:val="0"/>
                <w:sz w:val="22"/>
                <w:szCs w:val="22"/>
                <w:highlight w:val="none"/>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应急</w:t>
            </w:r>
          </w:p>
          <w:p>
            <w:pPr>
              <w:widowControl/>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预案</w:t>
            </w: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应急设备</w:t>
            </w:r>
          </w:p>
        </w:tc>
        <w:tc>
          <w:tcPr>
            <w:tcW w:w="70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配备大型井盖开启设备、路面轻微坑洞应急处置材料、路面突发情况应急维护设施（提供证明材料）。（0-2分）</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9" w:hRule="atLeast"/>
          <w:jc w:val="center"/>
        </w:trPr>
        <w:tc>
          <w:tcPr>
            <w:tcW w:w="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auto"/>
                <w:sz w:val="24"/>
                <w:szCs w:val="24"/>
                <w:highlight w:val="none"/>
                <w:u w:val="none"/>
              </w:rPr>
            </w:pP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应急预案</w:t>
            </w:r>
          </w:p>
        </w:tc>
        <w:tc>
          <w:tcPr>
            <w:tcW w:w="70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1.制定数字城管运行服务保障应急预案，如应急维护、紧急信息报送等，并合理可行。（0-3）</w:t>
            </w:r>
          </w:p>
          <w:p>
            <w:pPr>
              <w:widowControl/>
              <w:jc w:val="left"/>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2.制定重大会议、活动保障预案，并合理可行。（0-3）</w:t>
            </w:r>
          </w:p>
          <w:p>
            <w:pPr>
              <w:widowControl/>
              <w:jc w:val="left"/>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3.制定两防两抗（抗台防汛、防雪抗冻）应急保障预案，并合理可行。（0-3）</w:t>
            </w:r>
          </w:p>
          <w:p>
            <w:pPr>
              <w:widowControl/>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4.制定公共危机应急预案（如纠纷处置、投诉应对等），并合理可行。（0-3）</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eastAsia="仿宋_GB2312" w:cs="仿宋_GB2312"/>
                <w:i w:val="0"/>
                <w:iCs w:val="0"/>
                <w:color w:val="auto"/>
                <w:kern w:val="0"/>
                <w:sz w:val="22"/>
                <w:szCs w:val="22"/>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0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创新举措</w:t>
            </w:r>
          </w:p>
        </w:tc>
        <w:tc>
          <w:tcPr>
            <w:tcW w:w="704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有利于业务工作开展或员工管理的创新性举措，并合理可行。（0-3分）</w:t>
            </w:r>
          </w:p>
        </w:tc>
        <w:tc>
          <w:tcPr>
            <w:tcW w:w="72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auto"/>
                <w:kern w:val="0"/>
                <w:sz w:val="22"/>
                <w:szCs w:val="22"/>
                <w:highlight w:val="none"/>
                <w:u w:val="none"/>
                <w:lang w:val="en-US" w:eastAsia="zh-CN"/>
              </w:rPr>
            </w:pPr>
            <w:r>
              <w:rPr>
                <w:rFonts w:hint="eastAsia" w:ascii="仿宋_GB2312" w:hAnsi="宋体" w:eastAsia="仿宋_GB2312" w:cs="仿宋_GB2312"/>
                <w:i w:val="0"/>
                <w:iCs w:val="0"/>
                <w:color w:val="auto"/>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2038"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相关承诺</w:t>
            </w:r>
          </w:p>
          <w:p>
            <w:pPr>
              <w:widowControl/>
              <w:jc w:val="center"/>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（格式自拟）</w:t>
            </w:r>
          </w:p>
        </w:tc>
        <w:tc>
          <w:tcPr>
            <w:tcW w:w="7049" w:type="dxa"/>
            <w:tcBorders>
              <w:top w:val="single" w:color="auto" w:sz="4" w:space="0"/>
              <w:left w:val="single" w:color="auto" w:sz="4" w:space="0"/>
              <w:bottom w:val="single" w:color="auto" w:sz="4" w:space="0"/>
              <w:right w:val="single" w:color="000000" w:sz="4" w:space="0"/>
            </w:tcBorders>
            <w:vAlign w:val="center"/>
          </w:tcPr>
          <w:p>
            <w:pPr>
              <w:widowControl/>
              <w:numPr>
                <w:ilvl w:val="0"/>
                <w:numId w:val="2"/>
              </w:numPr>
              <w:jc w:val="left"/>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承诺中标后在招标人单位附近设立固定办公场所，并实施24小时备勤，便于工作开展及管理。（1分）</w:t>
            </w:r>
          </w:p>
          <w:p>
            <w:pPr>
              <w:widowControl/>
              <w:numPr>
                <w:ilvl w:val="0"/>
                <w:numId w:val="2"/>
              </w:numPr>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承诺为所有项目组成员购买“五险一金”和意外险。（1分）3.承诺员工工资月均实际收入不低于当年杭州市最低工资标准数额。（1分）</w:t>
            </w:r>
          </w:p>
          <w:p>
            <w:pPr>
              <w:widowControl/>
              <w:numPr>
                <w:numId w:val="0"/>
              </w:numPr>
              <w:ind w:leftChars="0"/>
              <w:jc w:val="left"/>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4.承诺项目团队不在其他项目兼职。（1分）</w:t>
            </w:r>
          </w:p>
          <w:p>
            <w:pPr>
              <w:widowControl/>
              <w:numPr>
                <w:ilvl w:val="0"/>
                <w:numId w:val="0"/>
              </w:numPr>
              <w:ind w:leftChars="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rPr>
              <w:t>5.承诺中标后在项目启动一周内提供项目组人员的个人及家庭成员信息（便于管理员及采集员的管理，促进信息采集的公平性）。（1分）</w:t>
            </w:r>
          </w:p>
        </w:tc>
        <w:tc>
          <w:tcPr>
            <w:tcW w:w="729" w:type="dxa"/>
            <w:tcBorders>
              <w:top w:val="single" w:color="auto" w:sz="4" w:space="0"/>
              <w:left w:val="single" w:color="000000" w:sz="4" w:space="0"/>
              <w:bottom w:val="single" w:color="auto" w:sz="4" w:space="0"/>
              <w:right w:val="single" w:color="auto" w:sz="4" w:space="0"/>
            </w:tcBorders>
            <w:vAlign w:val="center"/>
          </w:tcPr>
          <w:p>
            <w:pPr>
              <w:jc w:val="center"/>
              <w:rPr>
                <w:rFonts w:hint="eastAsia" w:eastAsia="宋体"/>
                <w:color w:val="auto"/>
                <w:highlight w:val="none"/>
                <w:lang w:val="en-US" w:eastAsia="zh-CN"/>
              </w:rPr>
            </w:pPr>
            <w:r>
              <w:rPr>
                <w:rFonts w:hint="eastAsia" w:ascii="仿宋_GB2312" w:hAnsi="仿宋_GB2312" w:eastAsia="仿宋_GB2312" w:cs="仿宋_GB2312"/>
                <w:color w:val="auto"/>
                <w:sz w:val="22"/>
                <w:szCs w:val="22"/>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2038"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标书质量</w:t>
            </w:r>
          </w:p>
        </w:tc>
        <w:tc>
          <w:tcPr>
            <w:tcW w:w="7049" w:type="dxa"/>
            <w:tcBorders>
              <w:top w:val="single" w:color="auto" w:sz="4" w:space="0"/>
              <w:left w:val="single" w:color="auto" w:sz="4" w:space="0"/>
              <w:bottom w:val="single" w:color="auto" w:sz="4" w:space="0"/>
              <w:right w:val="single" w:color="000000" w:sz="4" w:space="0"/>
            </w:tcBorders>
            <w:vAlign w:val="center"/>
          </w:tcPr>
          <w:p>
            <w:pPr>
              <w:widowControl/>
              <w:numPr>
                <w:ilvl w:val="0"/>
                <w:numId w:val="0"/>
              </w:numPr>
              <w:ind w:leftChars="0"/>
              <w:jc w:val="left"/>
              <w:textAlignment w:val="center"/>
              <w:rPr>
                <w:rFonts w:hint="default"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标书制作条理清晰，简洁明了，相应评分项标注清楚对应页码，页数宜控制在500页以内，便于评标。符合以上要求的得1分，基本符合的得0.5分，极不符合的不得分</w:t>
            </w:r>
          </w:p>
        </w:tc>
        <w:tc>
          <w:tcPr>
            <w:tcW w:w="729" w:type="dxa"/>
            <w:tcBorders>
              <w:top w:val="single" w:color="auto" w:sz="4" w:space="0"/>
              <w:left w:val="single" w:color="000000" w:sz="4" w:space="0"/>
              <w:bottom w:val="single" w:color="auto" w:sz="4" w:space="0"/>
              <w:right w:val="single" w:color="auto" w:sz="4" w:space="0"/>
            </w:tcBorders>
            <w:vAlign w:val="center"/>
          </w:tcPr>
          <w:p>
            <w:pPr>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w:t>
            </w:r>
          </w:p>
        </w:tc>
      </w:tr>
    </w:tbl>
    <w:p>
      <w:pPr>
        <w:pStyle w:val="86"/>
        <w:spacing w:before="0"/>
        <w:rPr>
          <w:rFonts w:ascii="宋体" w:hAnsi="宋体" w:eastAsia="宋体"/>
          <w:b/>
          <w:color w:val="auto"/>
          <w:highlight w:val="none"/>
        </w:rPr>
      </w:pPr>
      <w:r>
        <w:rPr>
          <w:rFonts w:ascii="宋体" w:hAnsi="宋体" w:eastAsia="宋体"/>
          <w:b/>
          <w:color w:val="auto"/>
          <w:highlight w:val="none"/>
        </w:rPr>
        <w:t>商务分（</w:t>
      </w:r>
      <w:r>
        <w:rPr>
          <w:rFonts w:hint="eastAsia" w:ascii="宋体" w:hAnsi="宋体" w:eastAsia="宋体"/>
          <w:b/>
          <w:color w:val="auto"/>
          <w:highlight w:val="none"/>
          <w:lang w:val="en-US" w:eastAsia="zh-CN"/>
        </w:rPr>
        <w:t>3</w:t>
      </w:r>
      <w:r>
        <w:rPr>
          <w:rFonts w:ascii="宋体" w:hAnsi="宋体" w:eastAsia="宋体"/>
          <w:b/>
          <w:color w:val="auto"/>
          <w:highlight w:val="none"/>
        </w:rPr>
        <w:t>分）</w:t>
      </w:r>
    </w:p>
    <w:tbl>
      <w:tblPr>
        <w:tblStyle w:val="62"/>
        <w:tblW w:w="9788"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5"/>
        <w:gridCol w:w="7025"/>
        <w:gridCol w:w="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i w:val="0"/>
                <w:iCs w:val="0"/>
                <w:color w:val="auto"/>
                <w:kern w:val="0"/>
                <w:sz w:val="22"/>
                <w:szCs w:val="22"/>
                <w:highlight w:val="none"/>
                <w:u w:val="none"/>
                <w:lang w:val="en-US" w:eastAsia="zh-CN"/>
              </w:rPr>
            </w:pPr>
            <w:bookmarkStart w:id="392" w:name="scoringRules1_0"/>
            <w:r>
              <w:rPr>
                <w:rFonts w:hint="eastAsia" w:ascii="仿宋_GB2312" w:hAnsi="宋体" w:eastAsia="仿宋_GB2312" w:cs="仿宋_GB2312"/>
                <w:b/>
                <w:bCs/>
                <w:i w:val="0"/>
                <w:iCs w:val="0"/>
                <w:color w:val="auto"/>
                <w:kern w:val="0"/>
                <w:sz w:val="22"/>
                <w:szCs w:val="22"/>
                <w:highlight w:val="none"/>
                <w:u w:val="none"/>
                <w:lang w:val="en-US" w:eastAsia="zh-CN"/>
              </w:rPr>
              <w:t>评分项目</w:t>
            </w:r>
          </w:p>
        </w:tc>
        <w:tc>
          <w:tcPr>
            <w:tcW w:w="7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i w:val="0"/>
                <w:iCs w:val="0"/>
                <w:color w:val="auto"/>
                <w:kern w:val="0"/>
                <w:sz w:val="22"/>
                <w:szCs w:val="22"/>
                <w:highlight w:val="none"/>
                <w:u w:val="none"/>
                <w:lang w:val="en-US" w:eastAsia="zh-CN"/>
              </w:rPr>
            </w:pPr>
            <w:r>
              <w:rPr>
                <w:rFonts w:hint="eastAsia" w:ascii="仿宋_GB2312" w:hAnsi="宋体" w:eastAsia="仿宋_GB2312" w:cs="仿宋_GB2312"/>
                <w:b/>
                <w:bCs/>
                <w:i w:val="0"/>
                <w:iCs w:val="0"/>
                <w:color w:val="auto"/>
                <w:kern w:val="0"/>
                <w:sz w:val="22"/>
                <w:szCs w:val="22"/>
                <w:highlight w:val="none"/>
                <w:u w:val="none"/>
                <w:lang w:val="en-US" w:eastAsia="zh-CN"/>
              </w:rPr>
              <w:t>评分细则</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i w:val="0"/>
                <w:iCs w:val="0"/>
                <w:color w:val="auto"/>
                <w:kern w:val="0"/>
                <w:sz w:val="22"/>
                <w:szCs w:val="22"/>
                <w:highlight w:val="none"/>
                <w:u w:val="none"/>
                <w:lang w:val="en-US" w:eastAsia="zh-CN"/>
              </w:rPr>
            </w:pPr>
            <w:r>
              <w:rPr>
                <w:rFonts w:hint="eastAsia" w:ascii="仿宋_GB2312" w:hAnsi="宋体" w:eastAsia="仿宋_GB2312" w:cs="仿宋_GB2312"/>
                <w:b/>
                <w:bCs/>
                <w:i w:val="0"/>
                <w:iCs w:val="0"/>
                <w:color w:val="auto"/>
                <w:kern w:val="0"/>
                <w:sz w:val="22"/>
                <w:szCs w:val="22"/>
                <w:highlight w:val="none"/>
                <w:u w:val="none"/>
                <w:lang w:val="en-US" w:eastAsia="zh-CN"/>
              </w:rPr>
              <w:t>分值</w:t>
            </w:r>
          </w:p>
        </w:tc>
      </w:tr>
      <w:bookmarkEnd w:id="39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体系认证</w:t>
            </w:r>
          </w:p>
        </w:tc>
        <w:tc>
          <w:tcPr>
            <w:tcW w:w="702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有效期内的质量管理体系认证、职业健康安全管理体系认证。一个得1分，最高得2分。</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8" w:hRule="atLeast"/>
        </w:trPr>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类似业绩</w:t>
            </w:r>
          </w:p>
        </w:tc>
        <w:tc>
          <w:tcPr>
            <w:tcW w:w="702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2019年7月1日以来（根据合同签订时间）投标人拥有独立承担的类似项目业绩（如数字城管采集项目、长效管理数字城管采集项目、第三方考核或巡查管理项目等），（提供中标通知书及项目合同复印件，并携带原件备查），一个得0.5分，最高1分。</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1</w:t>
            </w:r>
          </w:p>
        </w:tc>
      </w:tr>
    </w:tbl>
    <w:p>
      <w:pPr>
        <w:pStyle w:val="86"/>
        <w:spacing w:before="0"/>
        <w:rPr>
          <w:rFonts w:hint="eastAsia" w:ascii="宋体" w:hAnsi="宋体" w:eastAsia="宋体"/>
          <w:b/>
          <w:color w:val="auto"/>
          <w:highlight w:val="none"/>
          <w:lang w:val="en-US" w:eastAsia="zh-CN"/>
        </w:rPr>
      </w:pPr>
      <w:r>
        <w:rPr>
          <w:rFonts w:hint="eastAsia" w:ascii="宋体" w:hAnsi="宋体" w:eastAsia="宋体"/>
          <w:b/>
          <w:color w:val="auto"/>
          <w:highlight w:val="none"/>
          <w:lang w:val="en-US" w:eastAsia="zh-CN"/>
        </w:rPr>
        <w:t>报价分（10分）</w:t>
      </w:r>
    </w:p>
    <w:tbl>
      <w:tblPr>
        <w:tblStyle w:val="62"/>
        <w:tblpPr w:leftFromText="180" w:rightFromText="180" w:vertAnchor="text" w:horzAnchor="page" w:tblpXSpec="center" w:tblpY="126"/>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7037"/>
        <w:gridCol w:w="700"/>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751" w:type="dxa"/>
            <w:vAlign w:val="center"/>
          </w:tcPr>
          <w:p>
            <w:pPr>
              <w:spacing w:line="360" w:lineRule="auto"/>
              <w:ind w:firstLine="240" w:firstLineChars="100"/>
              <w:jc w:val="center"/>
              <w:outlineLvl w:val="0"/>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w:t>
            </w:r>
          </w:p>
        </w:tc>
        <w:tc>
          <w:tcPr>
            <w:tcW w:w="7037" w:type="dxa"/>
            <w:vAlign w:val="center"/>
          </w:tcPr>
          <w:p>
            <w:pPr>
              <w:wordWrap/>
              <w:snapToGrid/>
              <w:spacing w:before="0" w:beforeAutospacing="0" w:after="0" w:afterAutospacing="0" w:line="360" w:lineRule="auto"/>
              <w:ind w:left="0" w:right="0"/>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有效投标报价的最低价作为评标基准价，其最低报价为满分；按［投标报价得分=（评标基准价/投标报价）*</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］的计算公式计算。</w:t>
            </w:r>
          </w:p>
          <w:p>
            <w:pPr>
              <w:widowControl/>
              <w:shd w:val="clear" w:color="auto" w:fill="FFFFFF"/>
              <w:wordWrap/>
              <w:adjustRightInd/>
              <w:snapToGrid/>
              <w:spacing w:before="0" w:beforeAutospacing="0" w:after="225" w:afterAutospacing="0" w:line="360" w:lineRule="auto"/>
              <w:ind w:left="0" w:right="0" w:firstLine="42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评标过程中，不得去掉报价中的最高报价和最低报价。</w:t>
            </w:r>
          </w:p>
          <w:p>
            <w:pPr>
              <w:widowControl/>
              <w:shd w:val="clear" w:color="auto" w:fill="FFFFFF"/>
              <w:wordWrap/>
              <w:adjustRightInd/>
              <w:snapToGrid/>
              <w:spacing w:before="0" w:beforeAutospacing="0" w:after="225" w:afterAutospacing="0" w:line="360" w:lineRule="auto"/>
              <w:ind w:left="0" w:leftChars="0" w:right="0" w:firstLine="420" w:firstLineChars="0"/>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因落实政府采购政策需要进行价格调整的，以调整后的价格计算评标基准价和投标报价。</w:t>
            </w:r>
          </w:p>
        </w:tc>
        <w:tc>
          <w:tcPr>
            <w:tcW w:w="700" w:type="dxa"/>
            <w:vAlign w:val="center"/>
          </w:tcPr>
          <w:p>
            <w:pPr>
              <w:wordWrap/>
              <w:snapToGrid/>
              <w:spacing w:before="0" w:beforeAutospacing="0" w:after="0" w:afterAutospacing="0" w:line="360" w:lineRule="auto"/>
              <w:ind w:left="0" w:leftChars="0" w:right="0" w:firstLine="120" w:firstLineChars="50"/>
              <w:jc w:val="center"/>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10</w:t>
            </w:r>
          </w:p>
        </w:tc>
        <w:tc>
          <w:tcPr>
            <w:tcW w:w="1623" w:type="dxa"/>
            <w:vAlign w:val="center"/>
          </w:tcPr>
          <w:p>
            <w:pPr>
              <w:wordWrap/>
              <w:snapToGrid/>
              <w:spacing w:before="0" w:beforeAutospacing="0" w:after="0" w:afterAutospacing="0" w:line="360" w:lineRule="auto"/>
              <w:ind w:left="0" w:leftChars="0" w:right="0"/>
              <w:jc w:val="center"/>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w:t>
            </w:r>
          </w:p>
        </w:tc>
      </w:tr>
    </w:tbl>
    <w:p>
      <w:pPr>
        <w:snapToGrid w:val="0"/>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0"/>
          <w:szCs w:val="20"/>
          <w:highlight w:val="none"/>
          <w:shd w:val="clear" w:color="auto" w:fill="FFFFFF"/>
        </w:rPr>
        <w:t> *</w:t>
      </w:r>
      <w:r>
        <w:rPr>
          <w:rFonts w:hint="eastAsia" w:ascii="仿宋_GB2312" w:hAnsi="仿宋_GB2312" w:eastAsia="仿宋_GB2312" w:cs="仿宋_GB2312"/>
          <w:b/>
          <w:color w:val="auto"/>
          <w:sz w:val="24"/>
          <w:highlight w:val="none"/>
        </w:rPr>
        <w:t>备注：</w:t>
      </w:r>
      <w:r>
        <w:rPr>
          <w:rFonts w:hint="eastAsia" w:ascii="仿宋_GB2312" w:hAnsi="仿宋_GB2312" w:eastAsia="仿宋_GB2312" w:cs="仿宋_GB2312"/>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32"/>
          <w:highlight w:val="none"/>
        </w:rPr>
        <w:t>一、评标方法</w:t>
      </w:r>
    </w:p>
    <w:p>
      <w:pPr>
        <w:adjustRightInd/>
        <w:spacing w:line="360" w:lineRule="auto"/>
        <w:ind w:firstLine="472"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1.本项目采用综合评分法。</w:t>
      </w:r>
      <w:r>
        <w:rPr>
          <w:rFonts w:hint="eastAsia" w:ascii="仿宋_GB2312" w:hAnsi="仿宋_GB2312" w:eastAsia="仿宋_GB2312" w:cs="仿宋_GB2312"/>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sz w:val="32"/>
          <w:highlight w:val="none"/>
        </w:rPr>
        <w:t>二、评标标准</w:t>
      </w:r>
    </w:p>
    <w:p>
      <w:pPr>
        <w:spacing w:line="360" w:lineRule="auto"/>
        <w:ind w:firstLine="472" w:firstLineChars="196"/>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2.评标标准：</w:t>
      </w:r>
      <w:r>
        <w:rPr>
          <w:rFonts w:hint="eastAsia" w:ascii="仿宋_GB2312" w:hAnsi="仿宋_GB2312" w:eastAsia="仿宋_GB2312" w:cs="仿宋_GB2312"/>
          <w:color w:val="auto"/>
          <w:kern w:val="0"/>
          <w:sz w:val="24"/>
          <w:highlight w:val="none"/>
        </w:rPr>
        <w:t>见评标办法前附表。</w:t>
      </w:r>
    </w:p>
    <w:p>
      <w:pPr>
        <w:spacing w:line="360" w:lineRule="auto"/>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三、评标程序</w:t>
      </w:r>
    </w:p>
    <w:p>
      <w:pPr>
        <w:spacing w:line="360" w:lineRule="auto"/>
        <w:ind w:firstLine="472"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3.1符合性审查。</w:t>
      </w:r>
      <w:r>
        <w:rPr>
          <w:rFonts w:hint="eastAsia" w:ascii="仿宋_GB2312" w:hAnsi="仿宋_GB2312" w:eastAsia="仿宋_GB2312" w:cs="仿宋_GB2312"/>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3.2 比较与评价。</w:t>
      </w:r>
      <w:r>
        <w:rPr>
          <w:rFonts w:hint="eastAsia" w:ascii="仿宋_GB2312" w:hAnsi="仿宋_GB2312" w:eastAsia="仿宋_GB2312" w:cs="仿宋_GB2312"/>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3.3汇总商务技术得分。</w:t>
      </w:r>
      <w:r>
        <w:rPr>
          <w:rFonts w:hint="eastAsia" w:ascii="仿宋_GB2312" w:hAnsi="仿宋_GB2312" w:eastAsia="仿宋_GB2312" w:cs="仿宋_GB2312"/>
          <w:color w:val="auto"/>
          <w:kern w:val="0"/>
          <w:sz w:val="24"/>
          <w:highlight w:val="none"/>
        </w:rPr>
        <w:t>评标委员会各成员应当独立对每个投标人的商务和技术文件进行评价，并汇总商务技术得分情况</w:t>
      </w:r>
      <w:r>
        <w:rPr>
          <w:rFonts w:hint="eastAsia" w:ascii="仿宋_GB2312" w:hAnsi="仿宋_GB2312" w:eastAsia="仿宋_GB2312" w:cs="仿宋_GB2312"/>
          <w:b/>
          <w:color w:val="auto"/>
          <w:kern w:val="0"/>
          <w:sz w:val="24"/>
          <w:highlight w:val="none"/>
        </w:rPr>
        <w:t>（评标委员会各成员评分的算术平均值，保留两位小数，后一位四舍五入）</w:t>
      </w:r>
      <w:r>
        <w:rPr>
          <w:rFonts w:hint="eastAsia" w:ascii="仿宋_GB2312" w:hAnsi="仿宋_GB2312" w:eastAsia="仿宋_GB2312" w:cs="仿宋_GB2312"/>
          <w:color w:val="auto"/>
          <w:kern w:val="0"/>
          <w:sz w:val="24"/>
          <w:highlight w:val="none"/>
        </w:rPr>
        <w:t>。</w:t>
      </w:r>
    </w:p>
    <w:p>
      <w:pPr>
        <w:spacing w:line="360" w:lineRule="auto"/>
        <w:ind w:firstLine="472" w:firstLineChars="196"/>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3.4报价评审。</w:t>
      </w:r>
    </w:p>
    <w:p>
      <w:pPr>
        <w:pStyle w:val="86"/>
        <w:spacing w:before="0"/>
        <w:ind w:firstLine="508" w:firstLineChars="212"/>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3.4.1投标文件报价出现前后不一致的，按照下列规定修正：</w:t>
      </w:r>
    </w:p>
    <w:p>
      <w:pPr>
        <w:pStyle w:val="86"/>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3.4.1.1投标文件中开标一览表(报价表)内容与投标文件中相应内容不一致的，以开标一览表(报价表)为准;</w:t>
      </w:r>
    </w:p>
    <w:p>
      <w:pPr>
        <w:pStyle w:val="86"/>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3.4.1.2大写金额和小写金额不一致的，以大写金额为准;</w:t>
      </w:r>
    </w:p>
    <w:p>
      <w:pPr>
        <w:pStyle w:val="86"/>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3.4.1.3单价金额小数点或者百分比有明显错位的，以开标一览表的总价为准，并修改单价;</w:t>
      </w:r>
    </w:p>
    <w:p>
      <w:pPr>
        <w:pStyle w:val="86"/>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3.4.1.4总价金额与按单价汇总金额不一致的，以单价金额计算结果为准。</w:t>
      </w:r>
    </w:p>
    <w:p>
      <w:pPr>
        <w:pStyle w:val="86"/>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3.4.3投标报价超过招标文件中规定的预算金额或者最高限价的，投标无效。</w:t>
      </w:r>
    </w:p>
    <w:p>
      <w:pPr>
        <w:pStyle w:val="86"/>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6"/>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color w:val="auto"/>
          <w:kern w:val="0"/>
          <w:szCs w:val="24"/>
          <w:highlight w:val="none"/>
          <w:lang w:val="en-US" w:eastAsia="zh-CN"/>
        </w:rPr>
        <w:t>2</w:t>
      </w:r>
      <w:r>
        <w:rPr>
          <w:rFonts w:hint="eastAsia" w:ascii="仿宋_GB2312" w:hAnsi="仿宋_GB2312" w:eastAsia="仿宋_GB2312" w:cs="仿宋_GB2312"/>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color w:val="auto"/>
          <w:kern w:val="0"/>
          <w:szCs w:val="24"/>
          <w:highlight w:val="none"/>
          <w:lang w:val="en-US" w:eastAsia="zh-CN"/>
        </w:rPr>
        <w:t>6</w:t>
      </w:r>
      <w:r>
        <w:rPr>
          <w:rFonts w:hint="eastAsia" w:ascii="仿宋_GB2312" w:hAnsi="仿宋_GB2312" w:eastAsia="仿宋_GB2312" w:cs="仿宋_GB2312"/>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3.5排序与推荐。</w:t>
      </w:r>
      <w:r>
        <w:rPr>
          <w:rFonts w:hint="eastAsia" w:ascii="仿宋_GB2312" w:hAnsi="仿宋_GB2312" w:eastAsia="仿宋_GB2312" w:cs="仿宋_GB2312"/>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3.6编写评标报告。</w:t>
      </w:r>
      <w:r>
        <w:rPr>
          <w:rFonts w:hint="eastAsia" w:ascii="仿宋_GB2312" w:hAnsi="仿宋_GB2312" w:eastAsia="仿宋_GB2312" w:cs="仿宋_GB2312"/>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四、评标中的其他事项</w:t>
      </w:r>
    </w:p>
    <w:p>
      <w:pPr>
        <w:pStyle w:val="86"/>
        <w:spacing w:before="0"/>
        <w:ind w:firstLine="472" w:firstLineChars="196"/>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b/>
          <w:color w:val="auto"/>
          <w:kern w:val="0"/>
          <w:szCs w:val="24"/>
          <w:highlight w:val="none"/>
        </w:rPr>
        <w:t>4.1投标人澄清、说明或者补正。</w:t>
      </w:r>
      <w:r>
        <w:rPr>
          <w:rFonts w:hint="eastAsia" w:ascii="仿宋_GB2312" w:hAnsi="仿宋_GB2312" w:eastAsia="仿宋_GB2312" w:cs="仿宋_GB2312"/>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kern w:val="0"/>
          <w:highlight w:val="none"/>
        </w:rPr>
        <w:t>4.2投标无效。</w:t>
      </w:r>
      <w:r>
        <w:rPr>
          <w:rFonts w:hint="eastAsia" w:ascii="仿宋_GB2312" w:hAnsi="仿宋_GB2312" w:eastAsia="仿宋_GB2312" w:cs="仿宋_GB2312"/>
          <w:color w:val="auto"/>
          <w:szCs w:val="21"/>
          <w:highlight w:val="none"/>
        </w:rPr>
        <w:t>有下列情况之一的，投标无效：</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4.2.2投标文件未按照招标文件要求签署、盖章的；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4.2.4投标文件含有采购人不能接受的附加条件的；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4.2.6投标文件出现不是唯一的、有选择性投标报价的;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4.2.7投标报价超过招标文件中规定的预算金额或者最高限价的;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4.2.9投标人对根据修正原则修正后的报价不确认的；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4.2.10投标人提供虚假材料投标的；</w:t>
      </w:r>
    </w:p>
    <w:p>
      <w:pPr>
        <w:spacing w:line="360" w:lineRule="auto"/>
        <w:ind w:firstLine="240" w:firstLineChars="1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4.2.12投标人仅提交备份投标文件，没有在电子交易平台传输递交投标文件的，投标无效；</w:t>
      </w:r>
    </w:p>
    <w:p>
      <w:pPr>
        <w:pStyle w:val="2"/>
        <w:ind w:left="862" w:leftChars="205"/>
        <w:rPr>
          <w:rFonts w:hint="eastAsia" w:ascii="仿宋_GB2312" w:hAnsi="仿宋_GB2312" w:eastAsia="仿宋_GB2312" w:cs="仿宋_GB2312"/>
          <w:b w:val="0"/>
          <w:bCs w:val="0"/>
          <w:color w:val="auto"/>
          <w:kern w:val="0"/>
          <w:sz w:val="24"/>
          <w:szCs w:val="24"/>
          <w:highlight w:val="none"/>
          <w:lang w:val="en-US"/>
        </w:rPr>
      </w:pPr>
      <w:r>
        <w:rPr>
          <w:rFonts w:hint="eastAsia" w:ascii="仿宋_GB2312" w:hAnsi="仿宋_GB2312" w:eastAsia="仿宋_GB2312" w:cs="仿宋_GB2312"/>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5.废标。</w:t>
      </w:r>
      <w:r>
        <w:rPr>
          <w:rFonts w:hint="eastAsia" w:ascii="仿宋_GB2312" w:hAnsi="仿宋_GB2312" w:eastAsia="仿宋_GB2312" w:cs="仿宋_GB2312"/>
          <w:color w:val="auto"/>
          <w:highlight w:val="none"/>
        </w:rPr>
        <w:t>根据《中华人民共和国政府采购法》第三十六条之规定，在采购中，出现下列情形之一的，应予废标：</w:t>
      </w:r>
    </w:p>
    <w:p>
      <w:pPr>
        <w:pStyle w:val="25"/>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5.1符合专业条件的供应商或者对招标文件作实质响应的供应商不足3家的；</w:t>
      </w:r>
    </w:p>
    <w:p>
      <w:pPr>
        <w:pStyle w:val="25"/>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5.2出现影响采购公正的违法、违规行为的；</w:t>
      </w:r>
    </w:p>
    <w:p>
      <w:pPr>
        <w:pStyle w:val="25"/>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5.3投标人的报价均超过了采购预算，采购人不能支付的；</w:t>
      </w:r>
    </w:p>
    <w:p>
      <w:pPr>
        <w:pStyle w:val="25"/>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5.4因重大变故，采购任务取消的。</w:t>
      </w:r>
    </w:p>
    <w:p>
      <w:pPr>
        <w:pStyle w:val="25"/>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废标后，采购机构应当将废标理由通知所有投标人。</w:t>
      </w:r>
    </w:p>
    <w:p>
      <w:pPr>
        <w:pStyle w:val="25"/>
        <w:snapToGrid w:val="0"/>
        <w:spacing w:line="360" w:lineRule="auto"/>
        <w:ind w:firstLine="590" w:firstLineChars="245"/>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6.修改招标文件，重新组织采购活动。</w:t>
      </w:r>
      <w:r>
        <w:rPr>
          <w:rFonts w:hint="eastAsia" w:ascii="仿宋_GB2312" w:hAnsi="仿宋_GB2312"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0"/>
          <w:highlight w:val="none"/>
        </w:rPr>
        <w:t>7.重新开展采购。</w:t>
      </w:r>
      <w:r>
        <w:rPr>
          <w:rFonts w:hint="eastAsia" w:ascii="仿宋_GB2312" w:hAnsi="仿宋_GB2312" w:eastAsia="仿宋_GB2312" w:cs="仿宋_GB2312"/>
          <w:color w:val="auto"/>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7.1未确定中标或者中标人的，终止本次政府采购活动，重新开展政府采购活动。</w:t>
      </w:r>
    </w:p>
    <w:p>
      <w:pPr>
        <w:pStyle w:val="25"/>
        <w:snapToGrid w:val="0"/>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7.4政府采购合同已经履行，给采购人、供应商造成损失的，由责任人承担赔偿责任。</w:t>
      </w:r>
    </w:p>
    <w:p>
      <w:pPr>
        <w:pStyle w:val="25"/>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7.5政府采购当事人有其他违反政府采购法</w:t>
      </w:r>
      <w:r>
        <w:rPr>
          <w:rFonts w:hint="eastAsia" w:ascii="仿宋_GB2312" w:hAnsi="仿宋_GB2312" w:eastAsia="仿宋_GB2312" w:cs="仿宋_GB2312"/>
          <w:color w:val="auto"/>
          <w:kern w:val="0"/>
          <w:highlight w:val="none"/>
        </w:rPr>
        <w:t>或者政府采购法实施条例等法律法规规定</w:t>
      </w:r>
      <w:r>
        <w:rPr>
          <w:rFonts w:hint="eastAsia" w:ascii="仿宋_GB2312" w:hAnsi="仿宋_GB2312" w:eastAsia="仿宋_GB2312" w:cs="仿宋_GB2312"/>
          <w:color w:val="auto"/>
          <w:highlight w:val="none"/>
        </w:rPr>
        <w:t>的行为，经改正后仍然影响或者可能影响中标、成交结果或者依法被认定为中标、成交无效的，依照7.1-7.4规定处理。</w:t>
      </w:r>
    </w:p>
    <w:p>
      <w:pPr>
        <w:pStyle w:val="25"/>
        <w:snapToGrid w:val="0"/>
        <w:spacing w:line="360" w:lineRule="auto"/>
        <w:ind w:firstLine="0" w:firstLineChars="0"/>
        <w:rPr>
          <w:rFonts w:hint="eastAsia" w:ascii="仿宋_GB2312" w:hAnsi="仿宋_GB2312" w:eastAsia="仿宋_GB2312" w:cs="仿宋_GB2312"/>
          <w:color w:val="auto"/>
          <w:highlight w:val="none"/>
        </w:rPr>
      </w:pPr>
    </w:p>
    <w:bookmarkEnd w:id="26"/>
    <w:p>
      <w:pPr>
        <w:spacing w:line="360" w:lineRule="auto"/>
        <w:ind w:left="720" w:leftChars="343" w:firstLine="1084" w:firstLineChars="300"/>
        <w:outlineLvl w:val="0"/>
        <w:rPr>
          <w:rFonts w:hint="eastAsia" w:ascii="仿宋_GB2312" w:hAnsi="仿宋_GB2312" w:eastAsia="仿宋_GB2312" w:cs="仿宋_GB2312"/>
          <w:b/>
          <w:color w:val="auto"/>
          <w:sz w:val="36"/>
          <w:szCs w:val="36"/>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bookmarkStart w:id="393" w:name="第五部分"/>
      <w:bookmarkStart w:id="394" w:name="_Toc86217003"/>
    </w:p>
    <w:p>
      <w:pPr>
        <w:spacing w:line="360" w:lineRule="auto"/>
        <w:ind w:left="720" w:leftChars="343" w:firstLine="1084" w:firstLineChars="300"/>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第五部分拟签订的合同文本</w:t>
      </w:r>
    </w:p>
    <w:p>
      <w:pPr>
        <w:pStyle w:val="33"/>
        <w:snapToGrid w:val="0"/>
        <w:spacing w:line="400" w:lineRule="atLeast"/>
        <w:jc w:val="righ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 xml:space="preserve">合同编号：            </w:t>
      </w:r>
    </w:p>
    <w:p>
      <w:pPr>
        <w:pStyle w:val="33"/>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甲方：（买方）</w:t>
      </w:r>
    </w:p>
    <w:p>
      <w:pPr>
        <w:pStyle w:val="33"/>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乙方：（卖方）</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甲、乙双方基于               项目（项目编号：         ）的采购结果，根据《中国人民共和国合同法》等有关法律法规，经友好协商，在平等自愿的基础上签署本合同。</w:t>
      </w:r>
    </w:p>
    <w:p>
      <w:pPr>
        <w:adjustRightInd w:val="0"/>
        <w:snapToGrid w:val="0"/>
        <w:spacing w:line="360" w:lineRule="auto"/>
        <w:ind w:firstLine="360" w:firstLineChars="150"/>
        <w:rPr>
          <w:rFonts w:hint="eastAsia" w:ascii="仿宋_GB2312" w:hAnsi="仿宋_GB2312" w:eastAsia="仿宋_GB2312" w:cs="仿宋_GB2312"/>
          <w:color w:val="auto"/>
          <w:sz w:val="24"/>
          <w:szCs w:val="24"/>
          <w:highlight w:val="none"/>
        </w:rPr>
      </w:pPr>
    </w:p>
    <w:p>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第一条：采购合同价</w:t>
      </w:r>
      <w:r>
        <w:rPr>
          <w:rFonts w:hint="eastAsia" w:ascii="仿宋_GB2312" w:hAnsi="仿宋_GB2312" w:eastAsia="仿宋_GB2312" w:cs="仿宋_GB2312"/>
          <w:color w:val="auto"/>
          <w:sz w:val="24"/>
          <w:szCs w:val="24"/>
          <w:highlight w:val="none"/>
        </w:rPr>
        <w:t xml:space="preserve">：                           </w:t>
      </w:r>
    </w:p>
    <w:p>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本合同金额为</w:t>
      </w:r>
      <w:r>
        <w:rPr>
          <w:rFonts w:hint="eastAsia" w:ascii="仿宋_GB2312" w:hAnsi="仿宋_GB2312" w:eastAsia="仿宋_GB2312" w:cs="仿宋_GB2312"/>
          <w:color w:val="auto"/>
          <w:sz w:val="24"/>
          <w:szCs w:val="24"/>
          <w:highlight w:val="none"/>
          <w:u w:val="single"/>
        </w:rPr>
        <w:t>（大写）       元（￥     元）</w:t>
      </w:r>
      <w:r>
        <w:rPr>
          <w:rFonts w:hint="eastAsia" w:ascii="仿宋_GB2312" w:hAnsi="仿宋_GB2312" w:eastAsia="仿宋_GB2312" w:cs="仿宋_GB2312"/>
          <w:color w:val="auto"/>
          <w:sz w:val="24"/>
          <w:szCs w:val="24"/>
          <w:highlight w:val="none"/>
        </w:rPr>
        <w:t>人民币。</w:t>
      </w:r>
    </w:p>
    <w:p>
      <w:pPr>
        <w:adjustRightInd w:val="0"/>
        <w:snapToGrid w:val="0"/>
        <w:spacing w:line="360" w:lineRule="auto"/>
        <w:rPr>
          <w:rFonts w:hint="eastAsia" w:ascii="仿宋_GB2312" w:hAnsi="仿宋_GB2312" w:eastAsia="仿宋_GB2312" w:cs="仿宋_GB2312"/>
          <w:color w:val="auto"/>
          <w:sz w:val="24"/>
          <w:szCs w:val="24"/>
          <w:highlight w:val="none"/>
        </w:rPr>
      </w:pPr>
    </w:p>
    <w:p>
      <w:pPr>
        <w:adjustRightInd w:val="0"/>
        <w:snapToGrid w:val="0"/>
        <w:spacing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color w:val="auto"/>
          <w:sz w:val="24"/>
          <w:szCs w:val="24"/>
          <w:highlight w:val="none"/>
        </w:rPr>
        <w:t>第二条：</w:t>
      </w:r>
      <w:r>
        <w:rPr>
          <w:rFonts w:hint="eastAsia" w:ascii="仿宋_GB2312" w:hAnsi="仿宋_GB2312" w:eastAsia="仿宋_GB2312" w:cs="仿宋_GB2312"/>
          <w:b/>
          <w:bCs/>
          <w:color w:val="auto"/>
          <w:sz w:val="24"/>
          <w:szCs w:val="24"/>
          <w:highlight w:val="none"/>
        </w:rPr>
        <w:t>服务范围及工作要求：</w:t>
      </w:r>
    </w:p>
    <w:p>
      <w:pPr>
        <w:adjustRightInd w:val="0"/>
        <w:snapToGri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第三条：履约保证金</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乙方应向甲方缴纳合同金额</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 的履约保证金，如乙方不按合同履约，则履约保证金作为违约金不予退还。履约保证金不足以赔偿实际损失的，按实际损失赔偿。履约保证金在项目全部完成并验收合格后，全额无息退还。</w:t>
      </w:r>
    </w:p>
    <w:p>
      <w:pPr>
        <w:pStyle w:val="167"/>
        <w:adjustRightInd w:val="0"/>
        <w:snapToGrid w:val="0"/>
        <w:spacing w:line="360" w:lineRule="auto"/>
        <w:rPr>
          <w:rFonts w:hint="eastAsia" w:ascii="仿宋_GB2312" w:hAnsi="仿宋_GB2312" w:eastAsia="仿宋_GB2312" w:cs="仿宋_GB2312"/>
          <w:b/>
          <w:color w:val="auto"/>
          <w:kern w:val="2"/>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第四条：转包或分包</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1、本合同范围的服务，应由乙方直接实施，不得转让他人实施。</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2、如有转让和未经甲方同意的分包行为，甲方有权解除合同，履约保证金不予退还并追究乙方的违约责任。</w:t>
      </w:r>
    </w:p>
    <w:p>
      <w:pPr>
        <w:pStyle w:val="167"/>
        <w:adjustRightInd w:val="0"/>
        <w:snapToGrid w:val="0"/>
        <w:spacing w:line="360" w:lineRule="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第五条：服务期</w:t>
      </w:r>
    </w:p>
    <w:p>
      <w:pPr>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 xml:space="preserve"> 2年</w:t>
      </w:r>
    </w:p>
    <w:p>
      <w:pPr>
        <w:pStyle w:val="167"/>
        <w:adjustRightInd w:val="0"/>
        <w:snapToGrid w:val="0"/>
        <w:spacing w:line="360" w:lineRule="auto"/>
        <w:rPr>
          <w:rFonts w:hint="eastAsia" w:ascii="仿宋_GB2312" w:hAnsi="仿宋_GB2312" w:eastAsia="仿宋_GB2312" w:cs="仿宋_GB2312"/>
          <w:b/>
          <w:color w:val="auto"/>
          <w:kern w:val="2"/>
          <w:sz w:val="24"/>
          <w:szCs w:val="24"/>
          <w:highlight w:val="none"/>
          <w:lang w:eastAsia="zh-CN"/>
        </w:rPr>
      </w:pPr>
      <w:bookmarkStart w:id="395" w:name="_Toc482341668"/>
      <w:r>
        <w:rPr>
          <w:rFonts w:hint="eastAsia" w:ascii="仿宋_GB2312" w:hAnsi="仿宋_GB2312" w:eastAsia="仿宋_GB2312" w:cs="仿宋_GB2312"/>
          <w:b/>
          <w:color w:val="auto"/>
          <w:kern w:val="2"/>
          <w:sz w:val="24"/>
          <w:szCs w:val="24"/>
          <w:highlight w:val="none"/>
          <w:lang w:eastAsia="zh-CN"/>
        </w:rPr>
        <w:t>第六条：合同履行时间及履行地点</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1、履行时间：合同签订之日起至20   年   月   日，完成全部服务内容。</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2、履行地点：甲方指定地点。</w:t>
      </w:r>
    </w:p>
    <w:p>
      <w:pPr>
        <w:pStyle w:val="167"/>
        <w:adjustRightInd w:val="0"/>
        <w:snapToGrid w:val="0"/>
        <w:spacing w:line="360" w:lineRule="auto"/>
        <w:rPr>
          <w:rFonts w:hint="eastAsia" w:ascii="仿宋_GB2312" w:hAnsi="仿宋_GB2312" w:eastAsia="仿宋_GB2312" w:cs="仿宋_GB2312"/>
          <w:b/>
          <w:color w:val="auto"/>
          <w:kern w:val="2"/>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第七条：款项支付</w:t>
      </w:r>
    </w:p>
    <w:p>
      <w:pPr>
        <w:pStyle w:val="167"/>
        <w:adjustRightInd w:val="0"/>
        <w:snapToGrid w:val="0"/>
        <w:spacing w:line="360" w:lineRule="auto"/>
        <w:ind w:firstLine="241" w:firstLineChars="100"/>
        <w:rPr>
          <w:rFonts w:hint="eastAsia" w:ascii="仿宋_GB2312" w:hAnsi="仿宋_GB2312" w:eastAsia="仿宋_GB2312" w:cs="仿宋_GB2312"/>
          <w:b/>
          <w:color w:val="auto"/>
          <w:kern w:val="2"/>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第八条：税费</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本合同执行中相关的一切税费均由乙方负担。</w:t>
      </w:r>
    </w:p>
    <w:p>
      <w:pPr>
        <w:pStyle w:val="167"/>
        <w:adjustRightInd w:val="0"/>
        <w:snapToGrid w:val="0"/>
        <w:spacing w:line="360" w:lineRule="auto"/>
        <w:rPr>
          <w:rFonts w:hint="eastAsia" w:ascii="仿宋_GB2312" w:hAnsi="仿宋_GB2312" w:eastAsia="仿宋_GB2312" w:cs="仿宋_GB2312"/>
          <w:b/>
          <w:color w:val="auto"/>
          <w:kern w:val="2"/>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第九条：服务保证及后续服务</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1、乙方应按采购文件规定向甲方提供服务。</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2、乙方提供的服务成果在服务质量保证期内发生差错，乙方应负责免费更正并提供后续服务。对达不到要求者，根据实际情况，经双方协商，可按以下办法处理：</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（1）重做：由乙方承担所发生的全部费用。</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（2）贬值处理：由甲、乙双方合议定价。</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（3）解除合同。</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3、如在实施过程中发生问题，乙方在接到甲方通知后</w:t>
      </w:r>
      <w:r>
        <w:rPr>
          <w:rFonts w:hint="eastAsia" w:ascii="仿宋_GB2312" w:hAnsi="仿宋_GB2312" w:eastAsia="仿宋_GB2312" w:cs="仿宋_GB2312"/>
          <w:color w:val="auto"/>
          <w:kern w:val="2"/>
          <w:sz w:val="24"/>
          <w:szCs w:val="24"/>
          <w:highlight w:val="none"/>
          <w:u w:val="single"/>
          <w:lang w:eastAsia="zh-CN"/>
        </w:rPr>
        <w:t xml:space="preserve">   </w:t>
      </w:r>
      <w:r>
        <w:rPr>
          <w:rFonts w:hint="eastAsia" w:ascii="仿宋_GB2312" w:hAnsi="仿宋_GB2312" w:eastAsia="仿宋_GB2312" w:cs="仿宋_GB2312"/>
          <w:color w:val="auto"/>
          <w:kern w:val="2"/>
          <w:sz w:val="24"/>
          <w:szCs w:val="24"/>
          <w:highlight w:val="none"/>
          <w:lang w:eastAsia="zh-CN"/>
        </w:rPr>
        <w:t>小时内到达甲方指定现场处理。</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4、在服务质量保证期内，乙方应对出现的全部问题负责处理解决并承担一切费用。</w:t>
      </w:r>
    </w:p>
    <w:p>
      <w:pPr>
        <w:pStyle w:val="167"/>
        <w:adjustRightInd w:val="0"/>
        <w:snapToGrid w:val="0"/>
        <w:spacing w:line="360" w:lineRule="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第十条：违约责任</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1、甲方无正当理由拒绝接受服务的，甲方向乙方偿付合同款项百分之五作为违约金。</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2、甲方无故逾期验收和办理款项支付手续的，甲方应按逾期付款总额每日万分之五向乙方支付违约金。</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3、乙方未能如期提供服务的，甲方可相应扣除质量保证金直至全部扣除，如多次发生服务质量问题，甲方有权利解除合同。造成甲方损失超过违约金的，超出部分由乙方继续承担赔偿责任。</w:t>
      </w:r>
    </w:p>
    <w:p>
      <w:pPr>
        <w:pStyle w:val="167"/>
        <w:adjustRightInd w:val="0"/>
        <w:snapToGrid w:val="0"/>
        <w:spacing w:line="360" w:lineRule="auto"/>
        <w:rPr>
          <w:rFonts w:hint="eastAsia" w:ascii="仿宋_GB2312" w:hAnsi="仿宋_GB2312" w:eastAsia="仿宋_GB2312" w:cs="仿宋_GB2312"/>
          <w:b/>
          <w:color w:val="auto"/>
          <w:kern w:val="2"/>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第十一条：不可抗力事件处理</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1、在合同有效期内，任何一方因不可抗力事件导致不能履行合同，则合同履行期可延长，其延长期与不可抗力影响期相同。</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2、不可抗力事件发生后，应立即通知对方，并寄送有关权威机构出具的证明。</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3、不可抗力事件延续120天以上，双方应通过友好协商，确定是否继续履行合同。</w:t>
      </w:r>
    </w:p>
    <w:p>
      <w:pPr>
        <w:pStyle w:val="167"/>
        <w:adjustRightInd w:val="0"/>
        <w:snapToGrid w:val="0"/>
        <w:spacing w:line="360" w:lineRule="auto"/>
        <w:rPr>
          <w:rFonts w:hint="eastAsia" w:ascii="仿宋_GB2312" w:hAnsi="仿宋_GB2312" w:eastAsia="仿宋_GB2312" w:cs="仿宋_GB2312"/>
          <w:b/>
          <w:color w:val="auto"/>
          <w:kern w:val="2"/>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第十二条：仲裁</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1、 合同在履行过程中发生争议时，甲方与乙方及时协商解决。协商不成时，提请杭州市仲裁委员会根据仲裁规则仲裁。</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2、 对于因违反或终止合同而引起的损失、损害的赔偿，由甲方与乙方友好协商解决，经协商仍未能达成一致的，提交杭州市仲裁委员会仲裁。</w:t>
      </w:r>
    </w:p>
    <w:p>
      <w:pPr>
        <w:pStyle w:val="167"/>
        <w:adjustRightInd w:val="0"/>
        <w:snapToGrid w:val="0"/>
        <w:spacing w:line="360" w:lineRule="auto"/>
        <w:rPr>
          <w:rFonts w:hint="eastAsia" w:ascii="仿宋_GB2312" w:hAnsi="仿宋_GB2312" w:eastAsia="仿宋_GB2312" w:cs="仿宋_GB2312"/>
          <w:b/>
          <w:color w:val="auto"/>
          <w:kern w:val="2"/>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第十三条：合同生效及其它</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1、合同经双方法定代表人或授权代表签字并加盖单位公章后生效。</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2、本合同未尽事宜，遵照《合同法》有关条文执行。</w:t>
      </w:r>
    </w:p>
    <w:p>
      <w:pPr>
        <w:pStyle w:val="167"/>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3、本合同正本一式肆份，具有同等法律效力，甲、乙双方各执贰份。</w:t>
      </w:r>
    </w:p>
    <w:p>
      <w:pPr>
        <w:spacing w:line="360" w:lineRule="auto"/>
        <w:ind w:firstLine="480" w:firstLineChars="200"/>
        <w:rPr>
          <w:rFonts w:hint="eastAsia" w:ascii="仿宋_GB2312" w:hAnsi="仿宋_GB2312" w:eastAsia="仿宋_GB2312" w:cs="仿宋_GB2312"/>
          <w:color w:val="auto"/>
          <w:sz w:val="24"/>
          <w:szCs w:val="24"/>
          <w:highlight w:val="none"/>
        </w:rPr>
      </w:pPr>
    </w:p>
    <w:p>
      <w:pPr>
        <w:spacing w:line="360" w:lineRule="auto"/>
        <w:ind w:firstLine="480" w:firstLineChars="200"/>
        <w:rPr>
          <w:rFonts w:hint="eastAsia" w:ascii="仿宋_GB2312" w:hAnsi="仿宋_GB2312" w:eastAsia="仿宋_GB2312" w:cs="仿宋_GB2312"/>
          <w:color w:val="auto"/>
          <w:sz w:val="24"/>
          <w:szCs w:val="24"/>
          <w:highlight w:val="none"/>
        </w:rPr>
      </w:pP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甲方（盖章）：                          乙方（盖章）：                 </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法定代表人：                           法定代表人：                </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或授权代表（签字）：                   或授权代表（签字）：           </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地址：                                 地址：    </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邮编：                                 邮编：                     </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电话：                                 电话：             </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传真：                                 传真：         </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开户银行：                             开户银行：    </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帐号：                                 帐号：     </w:t>
      </w:r>
    </w:p>
    <w:p>
      <w:pPr>
        <w:spacing w:line="360" w:lineRule="auto"/>
        <w:ind w:firstLine="480" w:firstLineChars="200"/>
        <w:rPr>
          <w:rFonts w:hint="eastAsia" w:ascii="仿宋_GB2312" w:hAnsi="仿宋_GB2312" w:eastAsia="仿宋_GB2312" w:cs="仿宋_GB2312"/>
          <w:color w:val="auto"/>
          <w:sz w:val="24"/>
          <w:szCs w:val="24"/>
          <w:highlight w:val="none"/>
        </w:rPr>
      </w:pP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pacing w:line="360" w:lineRule="auto"/>
        <w:ind w:firstLine="480" w:firstLineChars="20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签约时间：      年    月   日</w:t>
      </w:r>
    </w:p>
    <w:p>
      <w:pPr>
        <w:spacing w:line="360" w:lineRule="auto"/>
        <w:ind w:right="480" w:firstLine="5760" w:firstLineChars="2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签约地点：       </w:t>
      </w:r>
    </w:p>
    <w:p>
      <w:pPr>
        <w:spacing w:line="360" w:lineRule="auto"/>
        <w:rPr>
          <w:rFonts w:hint="eastAsia" w:ascii="仿宋_GB2312" w:hAnsi="仿宋_GB2312" w:eastAsia="仿宋_GB2312" w:cs="仿宋_GB2312"/>
          <w:color w:val="auto"/>
          <w:sz w:val="24"/>
          <w:szCs w:val="24"/>
          <w:highlight w:val="none"/>
        </w:rPr>
      </w:pPr>
      <w:bookmarkStart w:id="396" w:name="_Toc328381300"/>
      <w:bookmarkStart w:id="397" w:name="_Toc349721554"/>
      <w:bookmarkStart w:id="398" w:name="_Toc326765771"/>
      <w:bookmarkStart w:id="399" w:name="_Toc350327365"/>
      <w:bookmarkStart w:id="400" w:name="_Toc339872468"/>
    </w:p>
    <w:p>
      <w:pPr>
        <w:spacing w:line="360" w:lineRule="auto"/>
        <w:rPr>
          <w:rFonts w:hint="eastAsia" w:ascii="仿宋_GB2312" w:hAnsi="仿宋_GB2312" w:eastAsia="仿宋_GB2312" w:cs="仿宋_GB2312"/>
          <w:color w:val="auto"/>
          <w:sz w:val="24"/>
          <w:szCs w:val="24"/>
          <w:highlight w:val="none"/>
        </w:rPr>
      </w:pPr>
    </w:p>
    <w:p>
      <w:pPr>
        <w:spacing w:line="360" w:lineRule="auto"/>
        <w:rPr>
          <w:rFonts w:hint="eastAsia" w:ascii="仿宋_GB2312" w:hAnsi="仿宋_GB2312" w:eastAsia="仿宋_GB2312" w:cs="仿宋_GB2312"/>
          <w:color w:val="auto"/>
          <w:sz w:val="24"/>
          <w:szCs w:val="24"/>
          <w:highlight w:val="none"/>
        </w:rPr>
      </w:pPr>
    </w:p>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此仅为合同书样本，中标单位需根据实际情况和采购人签订相应的合同！</w:t>
      </w:r>
      <w:bookmarkEnd w:id="395"/>
      <w:bookmarkEnd w:id="396"/>
      <w:bookmarkEnd w:id="397"/>
      <w:bookmarkEnd w:id="398"/>
      <w:bookmarkEnd w:id="399"/>
      <w:bookmarkEnd w:id="400"/>
    </w:p>
    <w:p>
      <w:pPr>
        <w:spacing w:line="360" w:lineRule="auto"/>
        <w:ind w:left="-420" w:leftChars="-200" w:right="-420" w:rightChars="-200" w:firstLine="480" w:firstLineChars="200"/>
        <w:jc w:val="center"/>
        <w:outlineLvl w:val="0"/>
        <w:rPr>
          <w:rFonts w:hint="eastAsia" w:ascii="仿宋_GB2312" w:hAnsi="仿宋_GB2312" w:eastAsia="仿宋_GB2312" w:cs="仿宋_GB2312"/>
          <w:color w:val="auto"/>
          <w:sz w:val="24"/>
          <w:highlight w:val="none"/>
        </w:rPr>
      </w:pPr>
    </w:p>
    <w:p>
      <w:pPr>
        <w:spacing w:line="360" w:lineRule="auto"/>
        <w:ind w:left="-420" w:leftChars="-200" w:right="-420" w:rightChars="-200" w:firstLine="480" w:firstLineChars="200"/>
        <w:jc w:val="center"/>
        <w:outlineLvl w:val="0"/>
        <w:rPr>
          <w:rFonts w:hint="eastAsia" w:ascii="仿宋_GB2312" w:hAnsi="仿宋_GB2312" w:eastAsia="仿宋_GB2312" w:cs="仿宋_GB2312"/>
          <w:color w:val="auto"/>
          <w:sz w:val="24"/>
          <w:highlight w:val="none"/>
        </w:rPr>
      </w:pPr>
    </w:p>
    <w:p>
      <w:pPr>
        <w:spacing w:line="360" w:lineRule="auto"/>
        <w:ind w:left="720" w:firstLine="723" w:firstLineChars="200"/>
        <w:outlineLvl w:val="0"/>
        <w:rPr>
          <w:rFonts w:hint="eastAsia" w:ascii="仿宋_GB2312" w:hAnsi="仿宋_GB2312" w:eastAsia="仿宋_GB2312" w:cs="仿宋_GB2312"/>
          <w:b/>
          <w:color w:val="auto"/>
          <w:sz w:val="36"/>
          <w:szCs w:val="20"/>
          <w:highlight w:val="none"/>
        </w:rPr>
        <w:sectPr>
          <w:pgSz w:w="11906" w:h="16838"/>
          <w:pgMar w:top="1276" w:right="1418" w:bottom="1247" w:left="1418" w:header="851" w:footer="992" w:gutter="0"/>
          <w:cols w:space="720" w:num="1"/>
          <w:titlePg/>
          <w:docGrid w:linePitch="312" w:charSpace="0"/>
        </w:sectPr>
      </w:pPr>
    </w:p>
    <w:p>
      <w:pPr>
        <w:spacing w:line="360" w:lineRule="auto"/>
        <w:ind w:left="720" w:firstLine="723" w:firstLineChars="200"/>
        <w:outlineLvl w:val="0"/>
        <w:rPr>
          <w:rFonts w:hint="eastAsia"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20"/>
          <w:highlight w:val="none"/>
        </w:rPr>
        <w:t>第六部分</w:t>
      </w:r>
      <w:bookmarkEnd w:id="393"/>
      <w:bookmarkEnd w:id="394"/>
      <w:r>
        <w:rPr>
          <w:rFonts w:hint="eastAsia" w:ascii="仿宋_GB2312" w:hAnsi="仿宋_GB2312" w:eastAsia="仿宋_GB2312" w:cs="仿宋_GB2312"/>
          <w:b/>
          <w:color w:val="auto"/>
          <w:sz w:val="36"/>
          <w:szCs w:val="20"/>
          <w:highlight w:val="none"/>
        </w:rPr>
        <w:t>应提交的有关格式范例</w:t>
      </w:r>
    </w:p>
    <w:p>
      <w:pPr>
        <w:spacing w:line="360" w:lineRule="auto"/>
        <w:jc w:val="center"/>
        <w:outlineLvl w:val="0"/>
        <w:rPr>
          <w:rFonts w:hint="eastAsia" w:ascii="仿宋_GB2312" w:hAnsi="仿宋_GB2312" w:eastAsia="仿宋_GB2312" w:cs="仿宋_GB2312"/>
          <w:b/>
          <w:color w:val="auto"/>
          <w:kern w:val="0"/>
          <w:sz w:val="36"/>
          <w:szCs w:val="36"/>
          <w:highlight w:val="none"/>
        </w:rPr>
      </w:pPr>
    </w:p>
    <w:p>
      <w:pPr>
        <w:spacing w:line="360" w:lineRule="auto"/>
        <w:jc w:val="center"/>
        <w:outlineLvl w:val="0"/>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资格文件部分</w:t>
      </w:r>
    </w:p>
    <w:p>
      <w:pPr>
        <w:spacing w:line="360" w:lineRule="auto"/>
        <w:jc w:val="center"/>
        <w:outlineLvl w:val="0"/>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目录</w:t>
      </w:r>
    </w:p>
    <w:p>
      <w:pPr>
        <w:spacing w:line="360" w:lineRule="auto"/>
        <w:jc w:val="center"/>
        <w:outlineLvl w:val="0"/>
        <w:rPr>
          <w:rFonts w:hint="eastAsia" w:ascii="仿宋_GB2312" w:hAnsi="仿宋_GB2312" w:eastAsia="仿宋_GB2312" w:cs="仿宋_GB2312"/>
          <w:b/>
          <w:color w:val="auto"/>
          <w:kern w:val="0"/>
          <w:sz w:val="36"/>
          <w:szCs w:val="36"/>
          <w:highlight w:val="none"/>
        </w:rPr>
      </w:pP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（1）符合参加政府采购活动应当具备的一般条件的承诺函……………（页码）</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（2）落实政府采购政策需满足的资格要求………………………………（页码）</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（3）本项目的特定资格要求………………………………………………（页码）</w:t>
      </w:r>
    </w:p>
    <w:p>
      <w:pPr>
        <w:snapToGrid w:val="0"/>
        <w:spacing w:line="360" w:lineRule="auto"/>
        <w:ind w:firstLine="480" w:firstLineChars="200"/>
        <w:rPr>
          <w:rFonts w:hint="eastAsia" w:ascii="仿宋_GB2312" w:hAnsi="仿宋_GB2312" w:eastAsia="仿宋_GB2312" w:cs="仿宋_GB2312"/>
          <w:color w:val="auto"/>
          <w:sz w:val="24"/>
          <w:highlight w:val="none"/>
        </w:rPr>
      </w:pPr>
    </w:p>
    <w:p>
      <w:pPr>
        <w:pStyle w:val="5"/>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5"/>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5"/>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5"/>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5"/>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5"/>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5"/>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5"/>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5"/>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5"/>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5"/>
        <w:rPr>
          <w:rFonts w:hint="eastAsia"/>
          <w:color w:val="auto"/>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（采购人）、（采购代理机构）：</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我方参与（项目名称）【招标编号：（采购编号）】政府采购活动，郑重承诺：</w:t>
      </w:r>
    </w:p>
    <w:p>
      <w:pPr>
        <w:snapToGrid w:val="0"/>
        <w:spacing w:line="360" w:lineRule="auto"/>
        <w:ind w:firstLine="360" w:firstLineChars="1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1、具有独立承担民事责任的能力；</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2、具有良好的商业信誉和健全的财务会计制度； </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3、具有履行合同所必需的设备和专业技术能力；</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4、有依法缴纳税收和社会保障资金的良好记录；</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5、参加政府采购活动前三年内，在经营活动中没有重大违法记录；</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6、具有法律、行政法规规定的其他条件。</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（三）不存在以下情况：</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投标人名称(电子签名)：</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日</w:t>
      </w: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color w:val="auto"/>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二、落实政府采购政策需满足的资格要求</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A</w:t>
      </w:r>
      <w:r>
        <w:rPr>
          <w:rFonts w:hint="eastAsia" w:ascii="仿宋_GB2312" w:hAnsi="仿宋_GB2312"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_GB2312" w:hAnsi="仿宋_GB2312" w:eastAsia="仿宋_GB2312" w:cs="仿宋_GB2312"/>
          <w:color w:val="auto"/>
          <w:sz w:val="24"/>
          <w:highlight w:val="none"/>
        </w:rPr>
      </w:pPr>
    </w:p>
    <w:p>
      <w:pPr>
        <w:widowControl/>
        <w:spacing w:line="360" w:lineRule="auto"/>
        <w:ind w:firstLine="472" w:firstLineChars="19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B.</w:t>
      </w:r>
      <w:r>
        <w:rPr>
          <w:rFonts w:hint="eastAsia" w:ascii="仿宋_GB2312" w:hAnsi="仿宋_GB2312" w:eastAsia="仿宋_GB2312" w:cs="仿宋_GB2312"/>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lang w:val="zh-CN"/>
        </w:rPr>
        <w:t>联合协议</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（联合体所有成员名称）</w:t>
      </w:r>
      <w:r>
        <w:rPr>
          <w:rFonts w:hint="eastAsia" w:ascii="仿宋_GB2312" w:hAnsi="仿宋_GB2312" w:eastAsia="仿宋_GB2312" w:cs="仿宋_GB2312"/>
          <w:color w:val="auto"/>
          <w:kern w:val="0"/>
          <w:sz w:val="24"/>
          <w:highlight w:val="none"/>
        </w:rPr>
        <w:t>自愿</w:t>
      </w:r>
      <w:r>
        <w:rPr>
          <w:rFonts w:hint="eastAsia" w:ascii="仿宋_GB2312" w:hAnsi="仿宋_GB2312" w:eastAsia="仿宋_GB2312" w:cs="仿宋_GB2312"/>
          <w:color w:val="auto"/>
          <w:kern w:val="0"/>
          <w:sz w:val="24"/>
          <w:highlight w:val="none"/>
          <w:lang w:val="zh-CN"/>
        </w:rPr>
        <w:t>组成一个联合体，以一个投标人的身份</w:t>
      </w:r>
      <w:r>
        <w:rPr>
          <w:rFonts w:hint="eastAsia" w:ascii="仿宋_GB2312" w:hAnsi="仿宋_GB2312" w:eastAsia="仿宋_GB2312" w:cs="仿宋_GB2312"/>
          <w:color w:val="auto"/>
          <w:kern w:val="0"/>
          <w:sz w:val="24"/>
          <w:highlight w:val="none"/>
        </w:rPr>
        <w:t>参加</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投标。</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一、各方一致决定，</w:t>
      </w:r>
      <w:r>
        <w:rPr>
          <w:rFonts w:hint="eastAsia" w:ascii="仿宋_GB2312" w:hAnsi="仿宋_GB2312" w:eastAsia="仿宋_GB2312" w:cs="仿宋_GB2312"/>
          <w:color w:val="auto"/>
          <w:kern w:val="0"/>
          <w:sz w:val="24"/>
          <w:highlight w:val="none"/>
          <w:u w:val="single"/>
        </w:rPr>
        <w:t>（某联合体成员名称）</w:t>
      </w:r>
      <w:r>
        <w:rPr>
          <w:rFonts w:hint="eastAsia" w:ascii="仿宋_GB2312" w:hAnsi="仿宋_GB2312" w:eastAsia="仿宋_GB2312" w:cs="仿宋_GB2312"/>
          <w:color w:val="auto"/>
          <w:kern w:val="0"/>
          <w:sz w:val="24"/>
          <w:highlight w:val="none"/>
        </w:rPr>
        <w:t>为联合体</w:t>
      </w:r>
      <w:r>
        <w:rPr>
          <w:rFonts w:hint="eastAsia" w:ascii="仿宋_GB2312" w:hAnsi="仿宋_GB2312" w:eastAsia="仿宋_GB2312" w:cs="仿宋_GB2312"/>
          <w:color w:val="auto"/>
          <w:kern w:val="0"/>
          <w:sz w:val="24"/>
          <w:highlight w:val="none"/>
          <w:lang w:val="zh-CN"/>
        </w:rPr>
        <w:t>牵头人</w:t>
      </w:r>
      <w:r>
        <w:rPr>
          <w:rFonts w:hint="eastAsia" w:ascii="仿宋_GB2312" w:hAnsi="仿宋_GB2312" w:eastAsia="仿宋_GB2312" w:cs="仿宋_GB2312"/>
          <w:color w:val="auto"/>
          <w:sz w:val="24"/>
          <w:highlight w:val="none"/>
        </w:rPr>
        <w:t>，代表所有联合体成员负责投标和合同实施阶段的主办、协调工作</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w:t>
      </w:r>
      <w:r>
        <w:rPr>
          <w:rFonts w:hint="eastAsia" w:ascii="仿宋_GB2312" w:hAnsi="仿宋_GB2312" w:eastAsia="仿宋_GB2312" w:cs="仿宋_GB2312"/>
          <w:color w:val="auto"/>
          <w:sz w:val="24"/>
          <w:highlight w:val="none"/>
        </w:rPr>
        <w:t>所有联合体成员各方签署授权书，授权书载明的</w:t>
      </w:r>
      <w:r>
        <w:rPr>
          <w:rFonts w:hint="eastAsia" w:ascii="仿宋_GB2312" w:hAnsi="仿宋_GB2312"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三、本次联合投标中，分工如下：</w:t>
      </w:r>
      <w:r>
        <w:rPr>
          <w:rFonts w:hint="eastAsia" w:ascii="仿宋_GB2312" w:hAnsi="仿宋_GB2312" w:eastAsia="仿宋_GB2312" w:cs="仿宋_GB2312"/>
          <w:color w:val="auto"/>
          <w:kern w:val="0"/>
          <w:sz w:val="24"/>
          <w:highlight w:val="none"/>
          <w:u w:val="single"/>
        </w:rPr>
        <w:t>（联合体其中一方成员名称）</w:t>
      </w:r>
      <w:r>
        <w:rPr>
          <w:rFonts w:hint="eastAsia" w:ascii="仿宋_GB2312" w:hAnsi="仿宋_GB2312" w:eastAsia="仿宋_GB2312" w:cs="仿宋_GB2312"/>
          <w:color w:val="auto"/>
          <w:kern w:val="0"/>
          <w:sz w:val="24"/>
          <w:highlight w:val="none"/>
          <w:lang w:val="zh-CN"/>
        </w:rPr>
        <w:t>承担的工作和义务为：；</w:t>
      </w:r>
      <w:r>
        <w:rPr>
          <w:rFonts w:hint="eastAsia" w:ascii="仿宋_GB2312" w:hAnsi="仿宋_GB2312" w:eastAsia="仿宋_GB2312" w:cs="仿宋_GB2312"/>
          <w:color w:val="auto"/>
          <w:kern w:val="0"/>
          <w:sz w:val="24"/>
          <w:highlight w:val="none"/>
          <w:u w:val="single"/>
        </w:rPr>
        <w:t>（联合体其中一方成员名称）</w:t>
      </w:r>
      <w:r>
        <w:rPr>
          <w:rFonts w:hint="eastAsia" w:ascii="仿宋_GB2312" w:hAnsi="仿宋_GB2312" w:eastAsia="仿宋_GB2312" w:cs="仿宋_GB2312"/>
          <w:color w:val="auto"/>
          <w:kern w:val="0"/>
          <w:sz w:val="24"/>
          <w:highlight w:val="none"/>
          <w:lang w:val="zh-CN"/>
        </w:rPr>
        <w:t>承担的工作和义务为： ；……。</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w:t>
      </w:r>
      <w:r>
        <w:rPr>
          <w:rFonts w:hint="eastAsia" w:ascii="仿宋_GB2312" w:hAnsi="仿宋_GB2312" w:eastAsia="仿宋_GB2312" w:cs="仿宋_GB2312"/>
          <w:color w:val="auto"/>
          <w:sz w:val="24"/>
          <w:highlight w:val="none"/>
        </w:rPr>
        <w:t>中小企业合同金额达到%，小微企业合同金额达到%</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五、如果中标，</w:t>
      </w:r>
      <w:r>
        <w:rPr>
          <w:rFonts w:hint="eastAsia" w:ascii="仿宋_GB2312" w:hAnsi="仿宋_GB2312" w:eastAsia="仿宋_GB2312" w:cs="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六、有关本次联合投标的其他事宜：</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pPr>
        <w:snapToGrid w:val="0"/>
        <w:spacing w:line="360" w:lineRule="auto"/>
        <w:ind w:firstLine="5760" w:firstLineChars="2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spacing w:line="360" w:lineRule="auto"/>
        <w:ind w:firstLine="480" w:firstLineChars="200"/>
        <w:rPr>
          <w:rFonts w:hint="eastAsia" w:ascii="仿宋_GB2312" w:hAnsi="仿宋_GB2312" w:eastAsia="仿宋_GB2312" w:cs="仿宋_GB2312"/>
          <w:color w:val="auto"/>
          <w:sz w:val="24"/>
          <w:highlight w:val="none"/>
        </w:rPr>
      </w:pPr>
    </w:p>
    <w:p>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C、</w:t>
      </w:r>
      <w:r>
        <w:rPr>
          <w:rFonts w:hint="eastAsia" w:ascii="仿宋_GB2312" w:hAnsi="仿宋_GB2312" w:eastAsia="仿宋_GB2312" w:cs="仿宋_GB2312"/>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分包意向协议</w:t>
      </w:r>
    </w:p>
    <w:p>
      <w:pPr>
        <w:widowControl/>
        <w:spacing w:line="360" w:lineRule="auto"/>
        <w:ind w:firstLine="120" w:firstLineChars="5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color w:val="auto"/>
          <w:sz w:val="24"/>
          <w:highlight w:val="none"/>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若成为</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的中标供应商，将依法采取分包方式履行合同。</w:t>
      </w: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rPr>
        <w:t>与</w:t>
      </w:r>
      <w:r>
        <w:rPr>
          <w:rFonts w:hint="eastAsia" w:ascii="仿宋_GB2312" w:hAnsi="仿宋_GB2312" w:eastAsia="仿宋_GB2312" w:cs="仿宋_GB2312"/>
          <w:color w:val="auto"/>
          <w:kern w:val="0"/>
          <w:sz w:val="24"/>
          <w:highlight w:val="none"/>
          <w:u w:val="single"/>
        </w:rPr>
        <w:t>（所有分包供应商名称）</w:t>
      </w:r>
      <w:r>
        <w:rPr>
          <w:rFonts w:hint="eastAsia" w:ascii="仿宋_GB2312" w:hAnsi="仿宋_GB2312" w:eastAsia="仿宋_GB2312" w:cs="仿宋_GB2312"/>
          <w:color w:val="auto"/>
          <w:kern w:val="0"/>
          <w:sz w:val="24"/>
          <w:highlight w:val="none"/>
        </w:rPr>
        <w:t>达成分包意向协议</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一、分包标的及数量</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将</w:t>
      </w:r>
      <w:r>
        <w:rPr>
          <w:rFonts w:hint="eastAsia" w:ascii="仿宋_GB2312" w:hAnsi="仿宋_GB2312" w:eastAsia="仿宋_GB2312" w:cs="仿宋_GB2312"/>
          <w:color w:val="auto"/>
          <w:highlight w:val="none"/>
          <w:u w:val="single"/>
        </w:rPr>
        <w:t xml:space="preserve">   XX工作内容   </w:t>
      </w:r>
      <w:r>
        <w:rPr>
          <w:rFonts w:hint="eastAsia" w:ascii="仿宋_GB2312" w:hAnsi="仿宋_GB2312" w:eastAsia="仿宋_GB2312" w:cs="仿宋_GB2312"/>
          <w:color w:val="auto"/>
          <w:sz w:val="24"/>
          <w:highlight w:val="none"/>
        </w:rPr>
        <w:t>分包给</w:t>
      </w:r>
      <w:r>
        <w:rPr>
          <w:rFonts w:hint="eastAsia" w:ascii="仿宋_GB2312" w:hAnsi="仿宋_GB2312" w:eastAsia="仿宋_GB2312" w:cs="仿宋_GB2312"/>
          <w:color w:val="auto"/>
          <w:kern w:val="0"/>
          <w:sz w:val="24"/>
          <w:highlight w:val="none"/>
          <w:u w:val="single"/>
        </w:rPr>
        <w:t>（某分包供应商名称）</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u w:val="single"/>
        </w:rPr>
        <w:t>（某分包供应商名称），</w:t>
      </w:r>
      <w:r>
        <w:rPr>
          <w:rFonts w:hint="eastAsia" w:ascii="仿宋_GB2312" w:hAnsi="仿宋_GB2312" w:eastAsia="仿宋_GB2312" w:cs="仿宋_GB2312"/>
          <w:color w:val="auto"/>
          <w:kern w:val="0"/>
          <w:sz w:val="24"/>
          <w:highlight w:val="none"/>
          <w:lang w:val="zh-CN"/>
        </w:rPr>
        <w:t>具备承</w:t>
      </w:r>
      <w:r>
        <w:rPr>
          <w:rFonts w:hint="eastAsia" w:ascii="仿宋_GB2312" w:hAnsi="仿宋_GB2312" w:eastAsia="仿宋_GB2312" w:cs="仿宋_GB2312"/>
          <w:color w:val="auto"/>
          <w:kern w:val="0"/>
          <w:sz w:val="24"/>
          <w:highlight w:val="none"/>
        </w:rPr>
        <w:t>担</w:t>
      </w:r>
      <w:r>
        <w:rPr>
          <w:rFonts w:hint="eastAsia" w:ascii="仿宋_GB2312" w:hAnsi="仿宋_GB2312" w:eastAsia="仿宋_GB2312" w:cs="仿宋_GB2312"/>
          <w:color w:val="auto"/>
          <w:kern w:val="0"/>
          <w:sz w:val="24"/>
          <w:highlight w:val="none"/>
          <w:u w:val="single"/>
          <w:lang w:val="zh-CN"/>
        </w:rPr>
        <w:t>XX工作内容</w:t>
      </w:r>
      <w:r>
        <w:rPr>
          <w:rFonts w:hint="eastAsia" w:ascii="仿宋_GB2312" w:hAnsi="仿宋_GB2312" w:eastAsia="仿宋_GB2312" w:cs="仿宋_GB2312"/>
          <w:color w:val="auto"/>
          <w:kern w:val="0"/>
          <w:sz w:val="24"/>
          <w:highlight w:val="none"/>
          <w:lang w:val="zh-CN"/>
        </w:rPr>
        <w:t>相应资质条件且不得再次分包；</w:t>
      </w:r>
    </w:p>
    <w:p>
      <w:pPr>
        <w:pStyle w:val="2"/>
        <w:ind w:left="664" w:leftChars="316" w:firstLine="229" w:firstLineChars="95"/>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highlight w:val="none"/>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二、分包工作履行期限、地点、方式</w:t>
      </w:r>
    </w:p>
    <w:p>
      <w:pPr>
        <w:snapToGrid w:val="0"/>
        <w:spacing w:line="360" w:lineRule="auto"/>
        <w:ind w:firstLine="576"/>
        <w:rPr>
          <w:rFonts w:hint="eastAsia" w:ascii="仿宋_GB2312" w:hAnsi="仿宋_GB2312" w:eastAsia="仿宋_GB2312" w:cs="仿宋_GB2312"/>
          <w:color w:val="auto"/>
          <w:highlight w:val="none"/>
          <w:u w:val="single"/>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三、质量</w:t>
      </w:r>
    </w:p>
    <w:p>
      <w:pPr>
        <w:snapToGrid w:val="0"/>
        <w:spacing w:line="360" w:lineRule="auto"/>
        <w:ind w:firstLine="576"/>
        <w:rPr>
          <w:rFonts w:hint="eastAsia" w:ascii="仿宋_GB2312" w:hAnsi="仿宋_GB2312" w:eastAsia="仿宋_GB2312" w:cs="仿宋_GB2312"/>
          <w:color w:val="auto"/>
          <w:kern w:val="0"/>
          <w:sz w:val="24"/>
          <w:highlight w:val="none"/>
          <w:lang w:val="zh-CN"/>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四、价款或者报酬</w:t>
      </w:r>
    </w:p>
    <w:p>
      <w:pPr>
        <w:snapToGrid w:val="0"/>
        <w:spacing w:line="360" w:lineRule="auto"/>
        <w:ind w:left="573" w:leftChars="273"/>
        <w:rPr>
          <w:rFonts w:hint="eastAsia" w:ascii="仿宋_GB2312" w:hAnsi="仿宋_GB2312" w:eastAsia="仿宋_GB2312" w:cs="仿宋_GB2312"/>
          <w:color w:val="auto"/>
          <w:kern w:val="0"/>
          <w:sz w:val="24"/>
          <w:highlight w:val="none"/>
          <w:lang w:val="zh-CN"/>
        </w:rPr>
      </w:pPr>
    </w:p>
    <w:p>
      <w:pPr>
        <w:snapToGrid w:val="0"/>
        <w:spacing w:line="360" w:lineRule="auto"/>
        <w:ind w:left="573" w:leftChars="273"/>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五、违约责任</w:t>
      </w:r>
    </w:p>
    <w:p>
      <w:pPr>
        <w:snapToGrid w:val="0"/>
        <w:spacing w:line="360" w:lineRule="auto"/>
        <w:ind w:firstLine="576"/>
        <w:rPr>
          <w:rFonts w:hint="eastAsia" w:ascii="仿宋_GB2312" w:hAnsi="仿宋_GB2312" w:eastAsia="仿宋_GB2312" w:cs="仿宋_GB2312"/>
          <w:color w:val="auto"/>
          <w:kern w:val="0"/>
          <w:sz w:val="24"/>
          <w:highlight w:val="none"/>
          <w:lang w:val="zh-CN"/>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六、争议解决的办法</w:t>
      </w:r>
    </w:p>
    <w:p>
      <w:pPr>
        <w:snapToGrid w:val="0"/>
        <w:spacing w:line="360" w:lineRule="auto"/>
        <w:ind w:firstLine="576"/>
        <w:rPr>
          <w:rFonts w:hint="eastAsia" w:ascii="仿宋_GB2312" w:hAnsi="仿宋_GB2312" w:eastAsia="仿宋_GB2312" w:cs="仿宋_GB2312"/>
          <w:color w:val="auto"/>
          <w:kern w:val="0"/>
          <w:sz w:val="24"/>
          <w:highlight w:val="none"/>
          <w:lang w:val="zh-CN"/>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七、其他</w:t>
      </w:r>
    </w:p>
    <w:p>
      <w:pPr>
        <w:snapToGrid w:val="0"/>
        <w:spacing w:line="360" w:lineRule="auto"/>
        <w:ind w:left="5758" w:leftChars="342" w:hanging="5040" w:hanging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sz w:val="24"/>
          <w:highlight w:val="none"/>
        </w:rPr>
        <w:t>中小企业合同金额达到%，小微企业合同金额达到%</w:t>
      </w:r>
      <w:r>
        <w:rPr>
          <w:rFonts w:hint="eastAsia" w:ascii="仿宋_GB2312" w:hAnsi="仿宋_GB2312"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分包供应商名称：</w:t>
      </w:r>
    </w:p>
    <w:p>
      <w:pPr>
        <w:snapToGrid w:val="0"/>
        <w:spacing w:line="360" w:lineRule="auto"/>
        <w:ind w:firstLine="5760" w:firstLineChars="2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pPr>
        <w:spacing w:line="360" w:lineRule="auto"/>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widowControl/>
        <w:spacing w:line="360" w:lineRule="auto"/>
        <w:ind w:left="150"/>
        <w:jc w:val="center"/>
        <w:rPr>
          <w:rFonts w:hint="eastAsia" w:ascii="仿宋_GB2312" w:hAnsi="仿宋_GB2312" w:eastAsia="仿宋_GB2312" w:cs="仿宋_GB2312"/>
          <w:b/>
          <w:color w:val="auto"/>
          <w:kern w:val="0"/>
          <w:sz w:val="32"/>
          <w:szCs w:val="32"/>
          <w:highlight w:val="none"/>
        </w:rPr>
      </w:pPr>
    </w:p>
    <w:p>
      <w:pPr>
        <w:widowControl/>
        <w:spacing w:line="360" w:lineRule="auto"/>
        <w:ind w:left="150"/>
        <w:jc w:val="center"/>
        <w:rPr>
          <w:rFonts w:hint="eastAsia" w:ascii="仿宋_GB2312" w:hAnsi="仿宋_GB2312" w:eastAsia="仿宋_GB2312" w:cs="仿宋_GB2312"/>
          <w:b/>
          <w:color w:val="auto"/>
          <w:kern w:val="0"/>
          <w:sz w:val="32"/>
          <w:szCs w:val="32"/>
          <w:highlight w:val="none"/>
        </w:rPr>
      </w:pPr>
    </w:p>
    <w:p>
      <w:pPr>
        <w:widowControl/>
        <w:spacing w:line="360" w:lineRule="auto"/>
        <w:ind w:left="150"/>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三、本项目的特定资格要求</w:t>
      </w:r>
    </w:p>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（根据招标公告本项目的特定资格要求提供相应的材料；未要求的，无需提供）</w:t>
      </w:r>
    </w:p>
    <w:p>
      <w:pPr>
        <w:rPr>
          <w:rFonts w:hint="eastAsia" w:ascii="仿宋_GB2312" w:hAnsi="仿宋_GB2312" w:eastAsia="仿宋_GB2312" w:cs="仿宋_GB2312"/>
          <w:color w:val="auto"/>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pStyle w:val="5"/>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5"/>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5"/>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5"/>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5"/>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5"/>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5"/>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5"/>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5"/>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5"/>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5"/>
        <w:rPr>
          <w:rFonts w:hint="eastAsia"/>
          <w:color w:val="auto"/>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商务技术文件部分</w:t>
      </w:r>
    </w:p>
    <w:p>
      <w:pPr>
        <w:spacing w:line="360" w:lineRule="auto"/>
        <w:jc w:val="center"/>
        <w:outlineLvl w:val="0"/>
        <w:rPr>
          <w:rFonts w:hint="eastAsia" w:ascii="仿宋_GB2312" w:hAnsi="仿宋_GB2312" w:eastAsia="仿宋_GB2312" w:cs="仿宋_GB2312"/>
          <w:b/>
          <w:color w:val="auto"/>
          <w:kern w:val="0"/>
          <w:sz w:val="24"/>
          <w:highlight w:val="none"/>
        </w:rPr>
      </w:pPr>
    </w:p>
    <w:p>
      <w:pPr>
        <w:spacing w:line="360" w:lineRule="auto"/>
        <w:jc w:val="center"/>
        <w:outlineLvl w:val="0"/>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目录</w:t>
      </w:r>
    </w:p>
    <w:p>
      <w:pPr>
        <w:snapToGrid w:val="0"/>
        <w:spacing w:line="360" w:lineRule="auto"/>
        <w:ind w:left="479" w:leftChars="22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（1）投标函</w:t>
      </w:r>
      <w:r>
        <w:rPr>
          <w:rFonts w:hint="eastAsia" w:ascii="仿宋_GB2312" w:hAnsi="仿宋_GB2312" w:eastAsia="仿宋_GB2312" w:cs="仿宋_GB2312"/>
          <w:color w:val="auto"/>
          <w:highlight w:val="none"/>
        </w:rPr>
        <w:t>…………………………………………………………………………………（页码）</w:t>
      </w:r>
      <w:r>
        <w:rPr>
          <w:rFonts w:hint="eastAsia" w:ascii="仿宋_GB2312" w:hAnsi="仿宋_GB2312" w:eastAsia="仿宋_GB2312" w:cs="仿宋_GB2312"/>
          <w:color w:val="auto"/>
          <w:sz w:val="24"/>
          <w:highlight w:val="none"/>
        </w:rPr>
        <w:t>（2）授权委托书或法定代表人（单位负责人、自然人本人）身份证明</w:t>
      </w:r>
      <w:r>
        <w:rPr>
          <w:rFonts w:hint="eastAsia" w:ascii="仿宋_GB2312" w:hAnsi="仿宋_GB2312" w:eastAsia="仿宋_GB2312" w:cs="仿宋_GB2312"/>
          <w:color w:val="auto"/>
          <w:highlight w:val="none"/>
        </w:rPr>
        <w:t>………（页码）</w:t>
      </w:r>
    </w:p>
    <w:p>
      <w:pPr>
        <w:snapToGrid w:val="0"/>
        <w:spacing w:line="360" w:lineRule="auto"/>
        <w:ind w:left="479" w:leftChars="22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（3）联合协议</w:t>
      </w:r>
      <w:r>
        <w:rPr>
          <w:rFonts w:hint="eastAsia" w:ascii="仿宋_GB2312" w:hAnsi="仿宋_GB2312" w:eastAsia="仿宋_GB2312" w:cs="仿宋_GB2312"/>
          <w:color w:val="auto"/>
          <w:highlight w:val="none"/>
        </w:rPr>
        <w:t>………………………………………………………………………………（页码）</w:t>
      </w:r>
    </w:p>
    <w:p>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（4）分包意向协议</w:t>
      </w:r>
      <w:r>
        <w:rPr>
          <w:rFonts w:hint="eastAsia" w:ascii="仿宋_GB2312" w:hAnsi="仿宋_GB2312" w:eastAsia="仿宋_GB2312" w:cs="仿宋_GB2312"/>
          <w:color w:val="auto"/>
          <w:highlight w:val="none"/>
        </w:rPr>
        <w:t>…………………………………………………………………………（页码）</w:t>
      </w:r>
    </w:p>
    <w:p>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（5）符合性审查资料</w:t>
      </w:r>
      <w:r>
        <w:rPr>
          <w:rFonts w:hint="eastAsia" w:ascii="仿宋_GB2312" w:hAnsi="仿宋_GB2312" w:eastAsia="仿宋_GB2312" w:cs="仿宋_GB2312"/>
          <w:color w:val="auto"/>
          <w:highlight w:val="none"/>
        </w:rPr>
        <w:t>………………………………………………………………………（页码）</w:t>
      </w:r>
    </w:p>
    <w:p>
      <w:pPr>
        <w:snapToGrid w:val="0"/>
        <w:spacing w:line="360" w:lineRule="auto"/>
        <w:ind w:left="479" w:leftChars="22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（6）评标标准相应的商务技术资料</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highlight w:val="none"/>
        </w:rPr>
        <w:t>……………（页码）</w:t>
      </w:r>
    </w:p>
    <w:p>
      <w:pPr>
        <w:snapToGrid w:val="0"/>
        <w:spacing w:line="360" w:lineRule="auto"/>
        <w:ind w:left="479" w:leftChars="22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（7）商务技术偏离表</w:t>
      </w:r>
      <w:r>
        <w:rPr>
          <w:rFonts w:hint="eastAsia" w:ascii="仿宋_GB2312" w:hAnsi="仿宋_GB2312" w:eastAsia="仿宋_GB2312" w:cs="仿宋_GB2312"/>
          <w:color w:val="auto"/>
          <w:highlight w:val="none"/>
        </w:rPr>
        <w:t>………………………………………………………………………（页码）</w:t>
      </w:r>
    </w:p>
    <w:p>
      <w:pPr>
        <w:snapToGrid w:val="0"/>
        <w:spacing w:line="360" w:lineRule="auto"/>
        <w:ind w:left="479" w:leftChars="22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lang w:val="zh-CN"/>
        </w:rPr>
        <w:t>）政府采购供应商廉洁自律承诺书</w:t>
      </w:r>
      <w:r>
        <w:rPr>
          <w:rFonts w:hint="eastAsia" w:ascii="仿宋_GB2312" w:hAnsi="仿宋_GB2312" w:eastAsia="仿宋_GB2312" w:cs="仿宋_GB2312"/>
          <w:color w:val="auto"/>
          <w:highlight w:val="none"/>
        </w:rPr>
        <w:t>…………………………………………………（页码）</w:t>
      </w:r>
    </w:p>
    <w:p>
      <w:pPr>
        <w:snapToGrid w:val="0"/>
        <w:spacing w:line="360" w:lineRule="auto"/>
        <w:jc w:val="center"/>
        <w:rPr>
          <w:rFonts w:hint="eastAsia" w:ascii="仿宋_GB2312" w:hAnsi="仿宋_GB2312" w:eastAsia="仿宋_GB2312" w:cs="仿宋_GB2312"/>
          <w:b/>
          <w:color w:val="auto"/>
          <w:kern w:val="0"/>
          <w:sz w:val="32"/>
          <w:szCs w:val="32"/>
          <w:highlight w:val="none"/>
          <w:lang w:val="zh-CN"/>
        </w:rPr>
      </w:pP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lang w:val="zh-CN" w:eastAsia="zh-CN"/>
        </w:rPr>
        <w:t>（</w:t>
      </w:r>
      <w:r>
        <w:rPr>
          <w:rFonts w:hint="eastAsia" w:ascii="仿宋_GB2312" w:hAnsi="仿宋" w:eastAsia="仿宋_GB2312" w:cs="仿宋_GB2312"/>
          <w:color w:val="auto"/>
          <w:sz w:val="24"/>
          <w:highlight w:val="none"/>
          <w:lang w:val="en-US" w:eastAsia="zh-CN"/>
        </w:rPr>
        <w:t>9</w:t>
      </w:r>
      <w:r>
        <w:rPr>
          <w:rFonts w:hint="eastAsia" w:ascii="仿宋_GB2312" w:hAnsi="仿宋" w:eastAsia="仿宋_GB2312" w:cs="仿宋_GB2312"/>
          <w:color w:val="auto"/>
          <w:sz w:val="24"/>
          <w:highlight w:val="none"/>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rPr>
        <w:t>（页码</w:t>
      </w:r>
      <w:r>
        <w:rPr>
          <w:rFonts w:hint="eastAsia" w:cs="仿宋_GB2312"/>
          <w:color w:val="auto"/>
          <w:highlight w:val="none"/>
        </w:rPr>
        <w:t>）</w:t>
      </w:r>
    </w:p>
    <w:p>
      <w:pPr>
        <w:snapToGrid w:val="0"/>
        <w:spacing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line="360" w:lineRule="auto"/>
        <w:jc w:val="center"/>
        <w:outlineLvl w:val="0"/>
        <w:rPr>
          <w:rFonts w:hint="eastAsia" w:ascii="仿宋_GB2312" w:hAnsi="仿宋_GB2312" w:eastAsia="仿宋_GB2312" w:cs="仿宋_GB2312"/>
          <w:b/>
          <w:color w:val="auto"/>
          <w:kern w:val="0"/>
          <w:sz w:val="32"/>
          <w:szCs w:val="32"/>
          <w:highlight w:val="none"/>
        </w:rPr>
      </w:pPr>
    </w:p>
    <w:p>
      <w:pPr>
        <w:snapToGrid w:val="0"/>
        <w:spacing w:line="360" w:lineRule="auto"/>
        <w:jc w:val="center"/>
        <w:outlineLvl w:val="0"/>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color w:val="auto"/>
          <w:highlight w:val="none"/>
        </w:rPr>
      </w:pPr>
    </w:p>
    <w:p>
      <w:pPr>
        <w:snapToGrid w:val="0"/>
        <w:spacing w:line="360" w:lineRule="auto"/>
        <w:jc w:val="center"/>
        <w:outlineLvl w:val="0"/>
        <w:rPr>
          <w:rFonts w:hint="eastAsia" w:ascii="仿宋_GB2312" w:hAnsi="仿宋_GB2312" w:eastAsia="仿宋_GB2312" w:cs="仿宋_GB2312"/>
          <w:b/>
          <w:color w:val="auto"/>
          <w:kern w:val="0"/>
          <w:sz w:val="32"/>
          <w:szCs w:val="32"/>
          <w:highlight w:val="none"/>
        </w:rPr>
      </w:pPr>
    </w:p>
    <w:p>
      <w:pPr>
        <w:snapToGrid w:val="0"/>
        <w:spacing w:line="360" w:lineRule="auto"/>
        <w:jc w:val="center"/>
        <w:outlineLvl w:val="0"/>
        <w:rPr>
          <w:rFonts w:hint="eastAsia" w:ascii="仿宋_GB2312" w:hAnsi="仿宋_GB2312" w:eastAsia="仿宋_GB2312" w:cs="仿宋_GB2312"/>
          <w:b/>
          <w:color w:val="auto"/>
          <w:kern w:val="0"/>
          <w:sz w:val="32"/>
          <w:szCs w:val="32"/>
          <w:highlight w:val="none"/>
        </w:rPr>
      </w:pPr>
    </w:p>
    <w:p>
      <w:pPr>
        <w:snapToGrid w:val="0"/>
        <w:spacing w:line="360" w:lineRule="auto"/>
        <w:jc w:val="center"/>
        <w:outlineLvl w:val="0"/>
        <w:rPr>
          <w:rFonts w:hint="eastAsia" w:ascii="仿宋_GB2312" w:hAnsi="仿宋_GB2312" w:eastAsia="仿宋_GB2312" w:cs="仿宋_GB2312"/>
          <w:b/>
          <w:color w:val="auto"/>
          <w:kern w:val="0"/>
          <w:sz w:val="32"/>
          <w:szCs w:val="32"/>
          <w:highlight w:val="none"/>
        </w:rPr>
      </w:pPr>
    </w:p>
    <w:p>
      <w:pPr>
        <w:snapToGrid w:val="0"/>
        <w:spacing w:line="360" w:lineRule="auto"/>
        <w:jc w:val="center"/>
        <w:outlineLvl w:val="0"/>
        <w:rPr>
          <w:rFonts w:hint="eastAsia" w:ascii="仿宋_GB2312" w:hAnsi="仿宋_GB2312" w:eastAsia="仿宋_GB2312" w:cs="仿宋_GB2312"/>
          <w:b/>
          <w:color w:val="auto"/>
          <w:kern w:val="0"/>
          <w:sz w:val="32"/>
          <w:szCs w:val="32"/>
          <w:highlight w:val="none"/>
        </w:rPr>
      </w:pPr>
    </w:p>
    <w:p>
      <w:pPr>
        <w:snapToGrid w:val="0"/>
        <w:spacing w:line="360" w:lineRule="auto"/>
        <w:jc w:val="center"/>
        <w:outlineLvl w:val="0"/>
        <w:rPr>
          <w:rFonts w:hint="eastAsia" w:ascii="仿宋_GB2312" w:hAnsi="仿宋_GB2312" w:eastAsia="仿宋_GB2312" w:cs="仿宋_GB2312"/>
          <w:b/>
          <w:color w:val="auto"/>
          <w:kern w:val="0"/>
          <w:sz w:val="32"/>
          <w:szCs w:val="32"/>
          <w:highlight w:val="none"/>
        </w:rPr>
      </w:pPr>
    </w:p>
    <w:p>
      <w:pPr>
        <w:snapToGrid w:val="0"/>
        <w:spacing w:line="360" w:lineRule="auto"/>
        <w:jc w:val="center"/>
        <w:outlineLvl w:val="0"/>
        <w:rPr>
          <w:rFonts w:hint="eastAsia" w:ascii="仿宋_GB2312" w:hAnsi="仿宋_GB2312" w:eastAsia="仿宋_GB2312" w:cs="仿宋_GB2312"/>
          <w:b/>
          <w:color w:val="auto"/>
          <w:kern w:val="0"/>
          <w:sz w:val="32"/>
          <w:szCs w:val="32"/>
          <w:highlight w:val="none"/>
        </w:rPr>
      </w:pPr>
    </w:p>
    <w:p>
      <w:pPr>
        <w:snapToGrid w:val="0"/>
        <w:spacing w:line="360" w:lineRule="auto"/>
        <w:jc w:val="center"/>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kern w:val="0"/>
          <w:sz w:val="32"/>
          <w:szCs w:val="32"/>
          <w:highlight w:val="none"/>
        </w:rPr>
        <w:t>一、投标</w:t>
      </w:r>
      <w:r>
        <w:rPr>
          <w:rFonts w:hint="eastAsia" w:ascii="仿宋_GB2312" w:hAnsi="仿宋_GB2312" w:eastAsia="仿宋_GB2312" w:cs="仿宋_GB2312"/>
          <w:b/>
          <w:color w:val="auto"/>
          <w:sz w:val="32"/>
          <w:szCs w:val="32"/>
          <w:highlight w:val="none"/>
        </w:rPr>
        <w:t>函</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（采购人）、（采购代理机构）：</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1、我方承诺投标有效期从提交投标文件的截止之日起天（不少于90天）</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sz w:val="24"/>
          <w:highlight w:val="none"/>
        </w:rPr>
        <w:t>本投标文件在投标有效期满之前均具有约束力。</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2、我方的投标文件包括以下内容：</w:t>
      </w:r>
    </w:p>
    <w:p>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2.1资格文件：</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2.1.1承诺函；</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2.1.3本项目的特定资格要求（如果有）。</w:t>
      </w:r>
    </w:p>
    <w:p>
      <w:pPr>
        <w:snapToGrid w:val="0"/>
        <w:spacing w:line="360" w:lineRule="auto"/>
        <w:ind w:left="210" w:leftChars="100" w:firstLine="480" w:firstLineChars="2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2商务技术</w:t>
      </w:r>
      <w:r>
        <w:rPr>
          <w:rFonts w:hint="eastAsia" w:ascii="仿宋_GB2312" w:hAnsi="仿宋_GB2312" w:eastAsia="仿宋_GB2312" w:cs="仿宋_GB2312"/>
          <w:color w:val="auto"/>
          <w:sz w:val="24"/>
          <w:highlight w:val="none"/>
          <w:lang w:val="zh-CN"/>
        </w:rPr>
        <w:t>文件：</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2.2.1投标函；</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2.2.3联合协议（如果有）；</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2.2.4分包意向协议（如果有）；</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2.2.5符合性审查资料；</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2.2.6评标标准相应的商务技术资料；</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2.2.7商务技术偏离表；</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3报价文件</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2.3.1开标一览表（报价表）；</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2.3.2中小企业声明函（如果有）。</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4、如我方中标，我方承诺：</w:t>
      </w:r>
    </w:p>
    <w:p>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5、其他补充说明:。</w:t>
      </w:r>
    </w:p>
    <w:p>
      <w:pPr>
        <w:spacing w:line="360" w:lineRule="auto"/>
        <w:ind w:firstLine="3600" w:firstLineChars="15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投标人名称（电子签名）：</w:t>
      </w:r>
    </w:p>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日期：  年   月   日</w:t>
      </w:r>
    </w:p>
    <w:p>
      <w:pPr>
        <w:snapToGrid w:val="0"/>
        <w:spacing w:line="360" w:lineRule="auto"/>
        <w:ind w:left="420" w:leftChars="200" w:firstLine="4200" w:firstLineChars="1750"/>
        <w:rPr>
          <w:rFonts w:hint="eastAsia" w:ascii="仿宋_GB2312" w:hAnsi="仿宋_GB2312" w:eastAsia="仿宋_GB2312" w:cs="仿宋_GB2312"/>
          <w:color w:val="auto"/>
          <w:kern w:val="0"/>
          <w:sz w:val="24"/>
          <w:highlight w:val="none"/>
          <w:u w:val="single"/>
          <w:lang w:val="zh-CN"/>
        </w:rPr>
      </w:pPr>
    </w:p>
    <w:p>
      <w:pPr>
        <w:snapToGrid w:val="0"/>
        <w:spacing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line="360" w:lineRule="auto"/>
        <w:rPr>
          <w:rFonts w:hint="eastAsia" w:ascii="仿宋_GB2312" w:hAnsi="仿宋_GB2312" w:eastAsia="仿宋_GB2312" w:cs="仿宋_GB2312"/>
          <w:color w:val="auto"/>
          <w:sz w:val="24"/>
          <w:highlight w:val="none"/>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_GB2312" w:hAnsi="仿宋_GB2312" w:eastAsia="仿宋_GB2312" w:cs="仿宋_GB2312"/>
          <w:color w:val="auto"/>
          <w:sz w:val="24"/>
          <w:highlight w:val="none"/>
        </w:rPr>
      </w:pPr>
    </w:p>
    <w:p>
      <w:pPr>
        <w:snapToGrid w:val="0"/>
        <w:spacing w:line="360" w:lineRule="auto"/>
        <w:ind w:firstLine="2872" w:firstLineChars="894"/>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0"/>
          <w:sz w:val="32"/>
          <w:szCs w:val="32"/>
          <w:highlight w:val="none"/>
          <w:lang w:val="zh-CN"/>
        </w:rPr>
        <w:t>授权委托书（适用于非联合体投标）</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（采购人）、（采购代理机构）</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w:t>
      </w:r>
      <w:r>
        <w:rPr>
          <w:rFonts w:hint="eastAsia" w:ascii="仿宋_GB2312" w:hAnsi="仿宋_GB2312" w:eastAsia="仿宋_GB2312" w:cs="仿宋_GB2312"/>
          <w:color w:val="auto"/>
          <w:kern w:val="0"/>
          <w:sz w:val="24"/>
          <w:highlight w:val="none"/>
          <w:lang w:val="zh-CN"/>
        </w:rPr>
        <w:t>委托（姓名）为我方代理人（身份证号码：，手机：），以我方名义处理</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政府采购投标的一切事项，其法律后果由我方承担。</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委托期限</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自年月日起至年月日止。</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特此告知。</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投标人名称(电子签名)：</w:t>
      </w:r>
    </w:p>
    <w:p>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签发日期：  年  月   日</w:t>
      </w:r>
    </w:p>
    <w:p>
      <w:pPr>
        <w:snapToGrid w:val="0"/>
        <w:spacing w:line="360" w:lineRule="auto"/>
        <w:rPr>
          <w:rFonts w:hint="eastAsia" w:ascii="仿宋_GB2312" w:hAnsi="仿宋_GB2312" w:eastAsia="仿宋_GB2312" w:cs="仿宋_GB2312"/>
          <w:color w:val="auto"/>
          <w:sz w:val="24"/>
          <w:highlight w:val="none"/>
        </w:rPr>
      </w:pPr>
    </w:p>
    <w:p>
      <w:pPr>
        <w:snapToGrid w:val="0"/>
        <w:spacing w:line="360" w:lineRule="auto"/>
        <w:rPr>
          <w:rFonts w:hint="eastAsia" w:ascii="仿宋_GB2312" w:hAnsi="仿宋_GB2312" w:eastAsia="仿宋_GB2312" w:cs="仿宋_GB2312"/>
          <w:color w:val="auto"/>
          <w:sz w:val="24"/>
          <w:highlight w:val="none"/>
        </w:rPr>
      </w:pPr>
    </w:p>
    <w:p>
      <w:pPr>
        <w:snapToGrid w:val="0"/>
        <w:spacing w:line="360" w:lineRule="auto"/>
        <w:rPr>
          <w:rFonts w:hint="eastAsia" w:ascii="仿宋_GB2312" w:hAnsi="仿宋_GB2312" w:eastAsia="仿宋_GB2312" w:cs="仿宋_GB2312"/>
          <w:color w:val="auto"/>
          <w:sz w:val="24"/>
          <w:highlight w:val="none"/>
        </w:rPr>
      </w:pPr>
    </w:p>
    <w:p>
      <w:pPr>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val="zh-CN"/>
        </w:rPr>
        <w:t>授权委托书（适用于联合体投标）</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（采购人）、（采购代理机构）</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w:t>
      </w:r>
      <w:r>
        <w:rPr>
          <w:rFonts w:hint="eastAsia" w:ascii="仿宋_GB2312" w:hAnsi="仿宋_GB2312" w:eastAsia="仿宋_GB2312" w:cs="仿宋_GB2312"/>
          <w:color w:val="auto"/>
          <w:kern w:val="0"/>
          <w:sz w:val="24"/>
          <w:highlight w:val="none"/>
          <w:lang w:val="zh-CN"/>
        </w:rPr>
        <w:t>委托（姓名）为我方代理人（身份证号码：，手机：），以我方名义处理</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政府采购投标的一切事项，其法律后果由我方承担。</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委托期限</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自年月日起至年月日止。</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特此告知。</w:t>
      </w: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color w:val="auto"/>
          <w:highlight w:val="none"/>
        </w:rPr>
      </w:pPr>
    </w:p>
    <w:p>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pPr>
        <w:snapToGrid w:val="0"/>
        <w:spacing w:line="360" w:lineRule="auto"/>
        <w:ind w:firstLine="5760" w:firstLineChars="2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autoSpaceDE w:val="0"/>
        <w:autoSpaceDN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32"/>
          <w:szCs w:val="32"/>
          <w:highlight w:val="none"/>
          <w:lang w:val="zh-CN"/>
        </w:rPr>
        <w:t>法定代表人、单位负责人或自然人本人</w:t>
      </w:r>
      <w:r>
        <w:rPr>
          <w:rFonts w:hint="eastAsia" w:ascii="仿宋_GB2312" w:hAnsi="仿宋_GB2312" w:eastAsia="仿宋_GB2312" w:cs="仿宋_GB2312"/>
          <w:b/>
          <w:color w:val="auto"/>
          <w:sz w:val="30"/>
          <w:szCs w:val="30"/>
          <w:highlight w:val="none"/>
        </w:rPr>
        <w:t>的身份证明（适用于法定代表人、单位负责人或者自然人本人代表投标人参加投标）</w:t>
      </w:r>
    </w:p>
    <w:p>
      <w:pPr>
        <w:pStyle w:val="88"/>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8"/>
              <w:adjustRightIn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正面：反面：</w:t>
            </w:r>
          </w:p>
          <w:p>
            <w:pPr>
              <w:pStyle w:val="88"/>
              <w:adjustRightInd w:val="0"/>
              <w:spacing w:line="360" w:lineRule="auto"/>
              <w:rPr>
                <w:rFonts w:hint="eastAsia" w:ascii="仿宋_GB2312" w:hAnsi="仿宋_GB2312" w:eastAsia="仿宋_GB2312" w:cs="仿宋_GB2312"/>
                <w:bCs/>
                <w:color w:val="auto"/>
                <w:sz w:val="24"/>
                <w:highlight w:val="none"/>
              </w:rPr>
            </w:pPr>
          </w:p>
        </w:tc>
      </w:tr>
    </w:tbl>
    <w:p>
      <w:pPr>
        <w:snapToGrid w:val="0"/>
        <w:spacing w:line="360" w:lineRule="auto"/>
        <w:ind w:firstLine="576"/>
        <w:jc w:val="center"/>
        <w:rPr>
          <w:rFonts w:hint="eastAsia" w:ascii="仿宋_GB2312" w:hAnsi="仿宋_GB2312" w:eastAsia="仿宋_GB2312" w:cs="仿宋_GB2312"/>
          <w:color w:val="auto"/>
          <w:kern w:val="0"/>
          <w:sz w:val="24"/>
          <w:highlight w:val="none"/>
          <w:lang w:val="zh-CN"/>
        </w:rPr>
      </w:pPr>
    </w:p>
    <w:p>
      <w:pPr>
        <w:snapToGrid w:val="0"/>
        <w:spacing w:line="360" w:lineRule="auto"/>
        <w:ind w:firstLine="576"/>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投标人名称(电子签名)：                              </w:t>
      </w:r>
    </w:p>
    <w:p>
      <w:pPr>
        <w:spacing w:line="360" w:lineRule="auto"/>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rPr>
        <w:t>三、</w:t>
      </w:r>
      <w:r>
        <w:rPr>
          <w:rFonts w:hint="eastAsia" w:ascii="仿宋_GB2312" w:hAnsi="仿宋_GB2312" w:eastAsia="仿宋_GB2312" w:cs="仿宋_GB2312"/>
          <w:b/>
          <w:color w:val="auto"/>
          <w:kern w:val="0"/>
          <w:sz w:val="32"/>
          <w:szCs w:val="32"/>
          <w:highlight w:val="none"/>
          <w:lang w:val="zh-CN"/>
        </w:rPr>
        <w:t>联合协议</w:t>
      </w:r>
    </w:p>
    <w:p>
      <w:pPr>
        <w:widowControl/>
        <w:spacing w:line="360" w:lineRule="auto"/>
        <w:ind w:firstLine="482" w:firstLineChars="200"/>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（联合体所有成员名称）</w:t>
      </w:r>
      <w:r>
        <w:rPr>
          <w:rFonts w:hint="eastAsia" w:ascii="仿宋_GB2312" w:hAnsi="仿宋_GB2312" w:eastAsia="仿宋_GB2312" w:cs="仿宋_GB2312"/>
          <w:color w:val="auto"/>
          <w:kern w:val="0"/>
          <w:sz w:val="24"/>
          <w:highlight w:val="none"/>
        </w:rPr>
        <w:t>自愿</w:t>
      </w:r>
      <w:r>
        <w:rPr>
          <w:rFonts w:hint="eastAsia" w:ascii="仿宋_GB2312" w:hAnsi="仿宋_GB2312" w:eastAsia="仿宋_GB2312" w:cs="仿宋_GB2312"/>
          <w:color w:val="auto"/>
          <w:kern w:val="0"/>
          <w:sz w:val="24"/>
          <w:highlight w:val="none"/>
          <w:lang w:val="zh-CN"/>
        </w:rPr>
        <w:t>组成一个联合体，以一个投标人的身份</w:t>
      </w:r>
      <w:r>
        <w:rPr>
          <w:rFonts w:hint="eastAsia" w:ascii="仿宋_GB2312" w:hAnsi="仿宋_GB2312" w:eastAsia="仿宋_GB2312" w:cs="仿宋_GB2312"/>
          <w:color w:val="auto"/>
          <w:kern w:val="0"/>
          <w:sz w:val="24"/>
          <w:highlight w:val="none"/>
        </w:rPr>
        <w:t>参加</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投标。</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一、各方一致决定，</w:t>
      </w:r>
      <w:r>
        <w:rPr>
          <w:rFonts w:hint="eastAsia" w:ascii="仿宋_GB2312" w:hAnsi="仿宋_GB2312" w:eastAsia="仿宋_GB2312" w:cs="仿宋_GB2312"/>
          <w:color w:val="auto"/>
          <w:kern w:val="0"/>
          <w:sz w:val="24"/>
          <w:highlight w:val="none"/>
          <w:u w:val="single"/>
        </w:rPr>
        <w:t>（某联合体成员名称）</w:t>
      </w:r>
      <w:r>
        <w:rPr>
          <w:rFonts w:hint="eastAsia" w:ascii="仿宋_GB2312" w:hAnsi="仿宋_GB2312" w:eastAsia="仿宋_GB2312" w:cs="仿宋_GB2312"/>
          <w:color w:val="auto"/>
          <w:kern w:val="0"/>
          <w:sz w:val="24"/>
          <w:highlight w:val="none"/>
        </w:rPr>
        <w:t>为联合体</w:t>
      </w:r>
      <w:r>
        <w:rPr>
          <w:rFonts w:hint="eastAsia" w:ascii="仿宋_GB2312" w:hAnsi="仿宋_GB2312" w:eastAsia="仿宋_GB2312" w:cs="仿宋_GB2312"/>
          <w:color w:val="auto"/>
          <w:kern w:val="0"/>
          <w:sz w:val="24"/>
          <w:highlight w:val="none"/>
          <w:lang w:val="zh-CN"/>
        </w:rPr>
        <w:t>牵头人</w:t>
      </w:r>
      <w:r>
        <w:rPr>
          <w:rFonts w:hint="eastAsia" w:ascii="仿宋_GB2312" w:hAnsi="仿宋_GB2312" w:eastAsia="仿宋_GB2312" w:cs="仿宋_GB2312"/>
          <w:color w:val="auto"/>
          <w:sz w:val="24"/>
          <w:highlight w:val="none"/>
        </w:rPr>
        <w:t>，代表所有联合体成员负责投标和合同实施阶段的主办、协调工作</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w:t>
      </w:r>
      <w:r>
        <w:rPr>
          <w:rFonts w:hint="eastAsia" w:ascii="仿宋_GB2312" w:hAnsi="仿宋_GB2312" w:eastAsia="仿宋_GB2312" w:cs="仿宋_GB2312"/>
          <w:color w:val="auto"/>
          <w:sz w:val="24"/>
          <w:highlight w:val="none"/>
        </w:rPr>
        <w:t>所有联合体成员各方签署授权书，授权书载明的</w:t>
      </w:r>
      <w:r>
        <w:rPr>
          <w:rFonts w:hint="eastAsia" w:ascii="仿宋_GB2312" w:hAnsi="仿宋_GB2312"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三、本次联合投标中，分工如下：</w:t>
      </w:r>
      <w:r>
        <w:rPr>
          <w:rFonts w:hint="eastAsia" w:ascii="仿宋_GB2312" w:hAnsi="仿宋_GB2312" w:eastAsia="仿宋_GB2312" w:cs="仿宋_GB2312"/>
          <w:color w:val="auto"/>
          <w:kern w:val="0"/>
          <w:sz w:val="24"/>
          <w:highlight w:val="none"/>
          <w:u w:val="single"/>
        </w:rPr>
        <w:t>（联合体其中一方成员名称）</w:t>
      </w:r>
      <w:r>
        <w:rPr>
          <w:rFonts w:hint="eastAsia" w:ascii="仿宋_GB2312" w:hAnsi="仿宋_GB2312" w:eastAsia="仿宋_GB2312" w:cs="仿宋_GB2312"/>
          <w:color w:val="auto"/>
          <w:kern w:val="0"/>
          <w:sz w:val="24"/>
          <w:highlight w:val="none"/>
          <w:lang w:val="zh-CN"/>
        </w:rPr>
        <w:t>承担的工作和义务为：；……。</w:t>
      </w:r>
    </w:p>
    <w:p>
      <w:pPr>
        <w:snapToGrid w:val="0"/>
        <w:spacing w:line="360" w:lineRule="auto"/>
        <w:ind w:firstLine="576"/>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四、</w:t>
      </w:r>
      <w:r>
        <w:rPr>
          <w:rFonts w:hint="eastAsia" w:ascii="仿宋_GB2312" w:hAnsi="仿宋_GB2312" w:eastAsia="仿宋_GB2312" w:cs="仿宋_GB2312"/>
          <w:color w:val="auto"/>
          <w:kern w:val="0"/>
          <w:sz w:val="24"/>
          <w:highlight w:val="none"/>
          <w:u w:val="single"/>
        </w:rPr>
        <w:t>（联合体其中一方成员名称）</w:t>
      </w:r>
      <w:r>
        <w:rPr>
          <w:rFonts w:hint="eastAsia" w:ascii="仿宋_GB2312" w:hAnsi="仿宋_GB2312" w:eastAsia="仿宋_GB2312" w:cs="仿宋_GB2312"/>
          <w:color w:val="auto"/>
          <w:kern w:val="0"/>
          <w:sz w:val="24"/>
          <w:highlight w:val="none"/>
        </w:rPr>
        <w:t>提供的全部货物由小微企业制造，其合同份额占到合同总金额%以上；</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_GB2312" w:hAnsi="仿宋_GB2312" w:eastAsia="仿宋_GB2312" w:cs="仿宋_GB2312"/>
          <w:b/>
          <w:color w:val="auto"/>
          <w:kern w:val="0"/>
          <w:sz w:val="24"/>
          <w:highlight w:val="none"/>
          <w:lang w:val="en-US" w:eastAsia="zh-CN"/>
        </w:rPr>
        <w:t>6</w:t>
      </w:r>
      <w:r>
        <w:rPr>
          <w:rFonts w:hint="eastAsia" w:ascii="仿宋_GB2312" w:hAnsi="仿宋_GB2312" w:eastAsia="仿宋_GB2312" w:cs="仿宋_GB2312"/>
          <w:b/>
          <w:color w:val="auto"/>
          <w:kern w:val="0"/>
          <w:sz w:val="24"/>
          <w:highlight w:val="none"/>
          <w:lang w:val="zh-CN"/>
        </w:rPr>
        <w:t>%的扣除）</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五、如果中标，</w:t>
      </w:r>
      <w:r>
        <w:rPr>
          <w:rFonts w:hint="eastAsia" w:ascii="仿宋_GB2312" w:hAnsi="仿宋_GB2312" w:eastAsia="仿宋_GB2312" w:cs="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六、有关本次联合投标的其他事宜：</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pPr>
        <w:snapToGrid w:val="0"/>
        <w:spacing w:line="360" w:lineRule="auto"/>
        <w:ind w:firstLine="5760" w:firstLineChars="2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snapToGrid w:val="0"/>
        <w:spacing w:line="360" w:lineRule="auto"/>
        <w:ind w:right="480"/>
        <w:rPr>
          <w:rFonts w:hint="eastAsia" w:ascii="仿宋_GB2312" w:hAnsi="仿宋_GB2312" w:eastAsia="仿宋_GB2312" w:cs="仿宋_GB2312"/>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四、分包意向协议</w:t>
      </w:r>
    </w:p>
    <w:p>
      <w:pPr>
        <w:widowControl/>
        <w:spacing w:line="360" w:lineRule="auto"/>
        <w:ind w:firstLine="120" w:firstLineChars="5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color w:val="auto"/>
          <w:sz w:val="24"/>
          <w:highlight w:val="none"/>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若成为</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的中标供应商，将依法采取分包方式履行合同。</w:t>
      </w: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rPr>
        <w:t>与</w:t>
      </w:r>
      <w:r>
        <w:rPr>
          <w:rFonts w:hint="eastAsia" w:ascii="仿宋_GB2312" w:hAnsi="仿宋_GB2312" w:eastAsia="仿宋_GB2312" w:cs="仿宋_GB2312"/>
          <w:color w:val="auto"/>
          <w:kern w:val="0"/>
          <w:sz w:val="24"/>
          <w:highlight w:val="none"/>
          <w:u w:val="single"/>
        </w:rPr>
        <w:t>（所有分包供应商名称）</w:t>
      </w:r>
      <w:r>
        <w:rPr>
          <w:rFonts w:hint="eastAsia" w:ascii="仿宋_GB2312" w:hAnsi="仿宋_GB2312" w:eastAsia="仿宋_GB2312" w:cs="仿宋_GB2312"/>
          <w:color w:val="auto"/>
          <w:kern w:val="0"/>
          <w:sz w:val="24"/>
          <w:highlight w:val="none"/>
        </w:rPr>
        <w:t>达成分包意向协议</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一、分包标的及数量</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将</w:t>
      </w:r>
      <w:r>
        <w:rPr>
          <w:rFonts w:hint="eastAsia" w:ascii="仿宋_GB2312" w:hAnsi="仿宋_GB2312" w:eastAsia="仿宋_GB2312" w:cs="仿宋_GB2312"/>
          <w:color w:val="auto"/>
          <w:highlight w:val="none"/>
          <w:u w:val="single"/>
        </w:rPr>
        <w:t xml:space="preserve">   XX工作内容   </w:t>
      </w:r>
      <w:r>
        <w:rPr>
          <w:rFonts w:hint="eastAsia" w:ascii="仿宋_GB2312" w:hAnsi="仿宋_GB2312" w:eastAsia="仿宋_GB2312" w:cs="仿宋_GB2312"/>
          <w:color w:val="auto"/>
          <w:sz w:val="24"/>
          <w:highlight w:val="none"/>
        </w:rPr>
        <w:t>分包给</w:t>
      </w:r>
      <w:r>
        <w:rPr>
          <w:rFonts w:hint="eastAsia" w:ascii="仿宋_GB2312" w:hAnsi="仿宋_GB2312" w:eastAsia="仿宋_GB2312" w:cs="仿宋_GB2312"/>
          <w:color w:val="auto"/>
          <w:kern w:val="0"/>
          <w:sz w:val="24"/>
          <w:highlight w:val="none"/>
          <w:u w:val="single"/>
        </w:rPr>
        <w:t>（某分包供应商名称）</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u w:val="single"/>
        </w:rPr>
        <w:t>（某分包供应商名称），</w:t>
      </w:r>
      <w:r>
        <w:rPr>
          <w:rFonts w:hint="eastAsia" w:ascii="仿宋_GB2312" w:hAnsi="仿宋_GB2312" w:eastAsia="仿宋_GB2312" w:cs="仿宋_GB2312"/>
          <w:color w:val="auto"/>
          <w:kern w:val="0"/>
          <w:sz w:val="24"/>
          <w:highlight w:val="none"/>
          <w:lang w:val="zh-CN"/>
        </w:rPr>
        <w:t>具备承</w:t>
      </w:r>
      <w:r>
        <w:rPr>
          <w:rFonts w:hint="eastAsia" w:ascii="仿宋_GB2312" w:hAnsi="仿宋_GB2312" w:eastAsia="仿宋_GB2312" w:cs="仿宋_GB2312"/>
          <w:color w:val="auto"/>
          <w:kern w:val="0"/>
          <w:sz w:val="24"/>
          <w:highlight w:val="none"/>
        </w:rPr>
        <w:t>担</w:t>
      </w:r>
      <w:r>
        <w:rPr>
          <w:rFonts w:hint="eastAsia" w:ascii="仿宋_GB2312" w:hAnsi="仿宋_GB2312" w:eastAsia="仿宋_GB2312" w:cs="仿宋_GB2312"/>
          <w:color w:val="auto"/>
          <w:kern w:val="0"/>
          <w:sz w:val="24"/>
          <w:highlight w:val="none"/>
          <w:u w:val="single"/>
          <w:lang w:val="zh-CN"/>
        </w:rPr>
        <w:t>XX工作内容</w:t>
      </w:r>
      <w:r>
        <w:rPr>
          <w:rFonts w:hint="eastAsia" w:ascii="仿宋_GB2312" w:hAnsi="仿宋_GB2312" w:eastAsia="仿宋_GB2312" w:cs="仿宋_GB2312"/>
          <w:color w:val="auto"/>
          <w:kern w:val="0"/>
          <w:sz w:val="24"/>
          <w:highlight w:val="none"/>
          <w:lang w:val="zh-CN"/>
        </w:rPr>
        <w:t>相应资质条件且不得再次分包；</w:t>
      </w:r>
    </w:p>
    <w:p>
      <w:pPr>
        <w:pStyle w:val="2"/>
        <w:ind w:left="664" w:leftChars="316" w:firstLine="229" w:firstLineChars="95"/>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highlight w:val="none"/>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二、分包工作履行期限、地点、方式</w:t>
      </w:r>
    </w:p>
    <w:p>
      <w:pPr>
        <w:snapToGrid w:val="0"/>
        <w:spacing w:line="360" w:lineRule="auto"/>
        <w:ind w:firstLine="576"/>
        <w:rPr>
          <w:rFonts w:hint="eastAsia" w:ascii="仿宋_GB2312" w:hAnsi="仿宋_GB2312" w:eastAsia="仿宋_GB2312" w:cs="仿宋_GB2312"/>
          <w:color w:val="auto"/>
          <w:highlight w:val="none"/>
          <w:u w:val="single"/>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三、质量</w:t>
      </w:r>
    </w:p>
    <w:p>
      <w:pPr>
        <w:snapToGrid w:val="0"/>
        <w:spacing w:line="360" w:lineRule="auto"/>
        <w:ind w:firstLine="576"/>
        <w:rPr>
          <w:rFonts w:hint="eastAsia" w:ascii="仿宋_GB2312" w:hAnsi="仿宋_GB2312" w:eastAsia="仿宋_GB2312" w:cs="仿宋_GB2312"/>
          <w:color w:val="auto"/>
          <w:kern w:val="0"/>
          <w:sz w:val="24"/>
          <w:highlight w:val="none"/>
          <w:lang w:val="zh-CN"/>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四、价款或者报酬</w:t>
      </w:r>
    </w:p>
    <w:p>
      <w:pPr>
        <w:snapToGrid w:val="0"/>
        <w:spacing w:line="360" w:lineRule="auto"/>
        <w:ind w:left="573" w:leftChars="273"/>
        <w:rPr>
          <w:rFonts w:hint="eastAsia" w:ascii="仿宋_GB2312" w:hAnsi="仿宋_GB2312" w:eastAsia="仿宋_GB2312" w:cs="仿宋_GB2312"/>
          <w:color w:val="auto"/>
          <w:kern w:val="0"/>
          <w:sz w:val="24"/>
          <w:highlight w:val="none"/>
          <w:lang w:val="zh-CN"/>
        </w:rPr>
      </w:pPr>
    </w:p>
    <w:p>
      <w:pPr>
        <w:snapToGrid w:val="0"/>
        <w:spacing w:line="360" w:lineRule="auto"/>
        <w:ind w:left="573" w:leftChars="273"/>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五、违约责任</w:t>
      </w:r>
    </w:p>
    <w:p>
      <w:pPr>
        <w:snapToGrid w:val="0"/>
        <w:spacing w:line="360" w:lineRule="auto"/>
        <w:ind w:firstLine="576"/>
        <w:rPr>
          <w:rFonts w:hint="eastAsia" w:ascii="仿宋_GB2312" w:hAnsi="仿宋_GB2312" w:eastAsia="仿宋_GB2312" w:cs="仿宋_GB2312"/>
          <w:color w:val="auto"/>
          <w:kern w:val="0"/>
          <w:sz w:val="24"/>
          <w:highlight w:val="none"/>
          <w:lang w:val="zh-CN"/>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六、争议解决的办法</w:t>
      </w:r>
    </w:p>
    <w:p>
      <w:pPr>
        <w:snapToGrid w:val="0"/>
        <w:spacing w:line="360" w:lineRule="auto"/>
        <w:ind w:firstLine="576"/>
        <w:rPr>
          <w:rFonts w:hint="eastAsia" w:ascii="仿宋_GB2312" w:hAnsi="仿宋_GB2312" w:eastAsia="仿宋_GB2312" w:cs="仿宋_GB2312"/>
          <w:color w:val="auto"/>
          <w:kern w:val="0"/>
          <w:sz w:val="24"/>
          <w:highlight w:val="none"/>
          <w:lang w:val="zh-CN"/>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七、其他</w:t>
      </w:r>
    </w:p>
    <w:p>
      <w:pPr>
        <w:snapToGrid w:val="0"/>
        <w:spacing w:line="360" w:lineRule="auto"/>
        <w:ind w:firstLine="576"/>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u w:val="single"/>
        </w:rPr>
        <w:t>（分包供应商名称）提供的货物全部由小微企业制造，</w:t>
      </w:r>
      <w:r>
        <w:rPr>
          <w:rFonts w:hint="eastAsia" w:ascii="仿宋_GB2312" w:hAnsi="仿宋_GB2312" w:eastAsia="仿宋_GB2312" w:cs="仿宋_GB2312"/>
          <w:color w:val="auto"/>
          <w:kern w:val="0"/>
          <w:sz w:val="24"/>
          <w:highlight w:val="none"/>
        </w:rPr>
        <w:t>其合同份额占到合同总金额%以上</w:t>
      </w:r>
      <w:r>
        <w:rPr>
          <w:rFonts w:hint="eastAsia" w:ascii="仿宋_GB2312" w:hAnsi="仿宋_GB2312" w:eastAsia="仿宋_GB2312" w:cs="仿宋_GB2312"/>
          <w:color w:val="auto"/>
          <w:highlight w:val="none"/>
        </w:rPr>
        <w:t>。</w:t>
      </w:r>
      <w:r>
        <w:rPr>
          <w:rFonts w:hint="eastAsia" w:ascii="仿宋_GB2312" w:hAnsi="仿宋_GB2312"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_GB2312" w:hAnsi="仿宋_GB2312" w:eastAsia="仿宋_GB2312" w:cs="仿宋_GB2312"/>
          <w:b/>
          <w:color w:val="auto"/>
          <w:kern w:val="0"/>
          <w:sz w:val="24"/>
          <w:highlight w:val="none"/>
          <w:lang w:val="en-US" w:eastAsia="zh-CN"/>
        </w:rPr>
        <w:t>6</w:t>
      </w:r>
      <w:r>
        <w:rPr>
          <w:rFonts w:hint="eastAsia" w:ascii="仿宋_GB2312" w:hAnsi="仿宋_GB2312" w:eastAsia="仿宋_GB2312" w:cs="仿宋_GB2312"/>
          <w:b/>
          <w:color w:val="auto"/>
          <w:kern w:val="0"/>
          <w:sz w:val="24"/>
          <w:highlight w:val="none"/>
          <w:lang w:val="zh-CN"/>
        </w:rPr>
        <w:t>%的扣除）</w:t>
      </w:r>
    </w:p>
    <w:p>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分包供应商名称：</w:t>
      </w:r>
    </w:p>
    <w:p>
      <w:pPr>
        <w:snapToGrid w:val="0"/>
        <w:spacing w:line="360" w:lineRule="auto"/>
        <w:ind w:firstLine="5760" w:firstLineChars="2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五、符合性审查资料</w:t>
      </w:r>
    </w:p>
    <w:p>
      <w:pPr>
        <w:jc w:val="center"/>
        <w:rPr>
          <w:rFonts w:hint="eastAsia" w:ascii="仿宋_GB2312" w:hAnsi="仿宋_GB2312"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4991" w:type="dxa"/>
            <w:vAlign w:val="center"/>
          </w:tcPr>
          <w:p>
            <w:pPr>
              <w:snapToGrid w:val="0"/>
              <w:spacing w:line="240" w:lineRule="atLeas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实质性要求</w:t>
            </w:r>
          </w:p>
        </w:tc>
        <w:tc>
          <w:tcPr>
            <w:tcW w:w="2551" w:type="dxa"/>
            <w:vAlign w:val="center"/>
          </w:tcPr>
          <w:p>
            <w:pPr>
              <w:snapToGrid w:val="0"/>
              <w:spacing w:line="240" w:lineRule="atLeas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需要提供的符合性审查资料</w:t>
            </w:r>
          </w:p>
        </w:tc>
        <w:tc>
          <w:tcPr>
            <w:tcW w:w="1418" w:type="dxa"/>
            <w:vAlign w:val="center"/>
          </w:tcPr>
          <w:p>
            <w:pPr>
              <w:snapToGrid w:val="0"/>
              <w:spacing w:line="240" w:lineRule="atLeas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投标文件中的</w:t>
            </w:r>
          </w:p>
          <w:p>
            <w:pPr>
              <w:snapToGrid w:val="0"/>
              <w:spacing w:line="240" w:lineRule="atLeas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4991" w:type="dxa"/>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投标文件按照招标文件要求签署、盖章。</w:t>
            </w:r>
          </w:p>
        </w:tc>
        <w:tc>
          <w:tcPr>
            <w:tcW w:w="2551"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需要使用电子签名或者签字盖章的投标文件的组成部分</w:t>
            </w:r>
          </w:p>
        </w:tc>
        <w:tc>
          <w:tcPr>
            <w:tcW w:w="1418" w:type="dxa"/>
            <w:vAlign w:val="top"/>
          </w:tcPr>
          <w:p>
            <w:pPr>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见投标文件</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4991" w:type="dxa"/>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节能产品认证证书（本项目拟采购的产品不属于政府强制采购的节能产品品目清单范围的，无需提供）</w:t>
            </w:r>
          </w:p>
        </w:tc>
        <w:tc>
          <w:tcPr>
            <w:tcW w:w="1418" w:type="dxa"/>
            <w:vAlign w:val="top"/>
          </w:tcPr>
          <w:p>
            <w:pPr>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见投标文件</w:t>
            </w:r>
          </w:p>
          <w:p>
            <w:pPr>
              <w:pStyle w:val="2"/>
              <w:rPr>
                <w:rFonts w:hint="eastAsia" w:ascii="仿宋_GB2312" w:hAnsi="仿宋_GB2312" w:eastAsia="仿宋_GB2312" w:cs="仿宋_GB2312"/>
                <w:color w:val="auto"/>
                <w:highlight w:val="none"/>
                <w:lang w:val="en-US"/>
              </w:rPr>
            </w:pPr>
            <w:r>
              <w:rPr>
                <w:rFonts w:hint="eastAsia" w:ascii="仿宋_GB2312" w:hAnsi="仿宋_GB2312" w:eastAsia="仿宋_GB2312" w:cs="仿宋_GB2312"/>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4991" w:type="dxa"/>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投标文件中承诺的投标有效期不少于招标文件中载明的投标有效期。</w:t>
            </w:r>
          </w:p>
        </w:tc>
        <w:tc>
          <w:tcPr>
            <w:tcW w:w="2551"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投标函</w:t>
            </w:r>
          </w:p>
        </w:tc>
        <w:tc>
          <w:tcPr>
            <w:tcW w:w="1418" w:type="dxa"/>
            <w:vAlign w:val="top"/>
          </w:tcPr>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4991" w:type="dxa"/>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投标文件满足招标文件的其它实质性要求。</w:t>
            </w:r>
          </w:p>
        </w:tc>
        <w:tc>
          <w:tcPr>
            <w:tcW w:w="2551"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招标文件其它实质性要求相应的材料（“▲”系指实质性要求条款，招标文件无其它实质性要求的，无需提供）</w:t>
            </w:r>
          </w:p>
        </w:tc>
        <w:tc>
          <w:tcPr>
            <w:tcW w:w="1418" w:type="dxa"/>
            <w:vAlign w:val="top"/>
          </w:tcPr>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见投标文件第页</w:t>
            </w:r>
          </w:p>
        </w:tc>
      </w:tr>
    </w:tbl>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0"/>
          <w:sz w:val="32"/>
          <w:szCs w:val="32"/>
          <w:highlight w:val="none"/>
        </w:rPr>
        <w:t>六、评标标准相应的商务技术资料</w:t>
      </w:r>
    </w:p>
    <w:p>
      <w:pPr>
        <w:snapToGrid w:val="0"/>
        <w:spacing w:line="360" w:lineRule="auto"/>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（按招标文件第四部分评标办法前附表中“投标文件中评标标准相应的商务技术资料目录”提供资料）</w:t>
      </w: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3683" w:type="dxa"/>
            <w:vAlign w:val="top"/>
          </w:tcPr>
          <w:p>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招标文件章节及具体内容</w:t>
            </w:r>
          </w:p>
        </w:tc>
        <w:tc>
          <w:tcPr>
            <w:tcW w:w="3546" w:type="dxa"/>
            <w:vAlign w:val="top"/>
          </w:tcPr>
          <w:p>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投标文件章节及具体内容</w:t>
            </w:r>
          </w:p>
        </w:tc>
        <w:tc>
          <w:tcPr>
            <w:tcW w:w="1276" w:type="dxa"/>
            <w:vAlign w:val="top"/>
          </w:tcPr>
          <w:p>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3683" w:type="dxa"/>
            <w:vAlign w:val="top"/>
          </w:tcPr>
          <w:p>
            <w:pPr>
              <w:jc w:val="center"/>
              <w:rPr>
                <w:rFonts w:hint="eastAsia" w:ascii="仿宋_GB2312" w:hAnsi="仿宋_GB2312" w:eastAsia="仿宋_GB2312" w:cs="仿宋_GB2312"/>
                <w:b/>
                <w:color w:val="auto"/>
                <w:kern w:val="0"/>
                <w:sz w:val="32"/>
                <w:szCs w:val="32"/>
                <w:highlight w:val="none"/>
              </w:rPr>
            </w:pPr>
          </w:p>
        </w:tc>
        <w:tc>
          <w:tcPr>
            <w:tcW w:w="3546" w:type="dxa"/>
            <w:vAlign w:val="top"/>
          </w:tcPr>
          <w:p>
            <w:pPr>
              <w:jc w:val="center"/>
              <w:rPr>
                <w:rFonts w:hint="eastAsia" w:ascii="仿宋_GB2312" w:hAnsi="仿宋_GB2312" w:eastAsia="仿宋_GB2312" w:cs="仿宋_GB2312"/>
                <w:b/>
                <w:color w:val="auto"/>
                <w:kern w:val="0"/>
                <w:sz w:val="32"/>
                <w:szCs w:val="32"/>
                <w:highlight w:val="none"/>
              </w:rPr>
            </w:pPr>
          </w:p>
        </w:tc>
        <w:tc>
          <w:tcPr>
            <w:tcW w:w="1276" w:type="dxa"/>
            <w:vAlign w:val="top"/>
          </w:tcPr>
          <w:p>
            <w:pPr>
              <w:jc w:val="center"/>
              <w:rPr>
                <w:rFonts w:hint="eastAsia" w:ascii="仿宋_GB2312" w:hAnsi="仿宋_GB2312"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3683" w:type="dxa"/>
            <w:vAlign w:val="top"/>
          </w:tcPr>
          <w:p>
            <w:pPr>
              <w:jc w:val="center"/>
              <w:rPr>
                <w:rFonts w:hint="eastAsia" w:ascii="仿宋_GB2312" w:hAnsi="仿宋_GB2312" w:eastAsia="仿宋_GB2312" w:cs="仿宋_GB2312"/>
                <w:b/>
                <w:color w:val="auto"/>
                <w:kern w:val="0"/>
                <w:sz w:val="32"/>
                <w:szCs w:val="32"/>
                <w:highlight w:val="none"/>
              </w:rPr>
            </w:pPr>
          </w:p>
        </w:tc>
        <w:tc>
          <w:tcPr>
            <w:tcW w:w="3546" w:type="dxa"/>
            <w:vAlign w:val="top"/>
          </w:tcPr>
          <w:p>
            <w:pPr>
              <w:jc w:val="center"/>
              <w:rPr>
                <w:rFonts w:hint="eastAsia" w:ascii="仿宋_GB2312" w:hAnsi="仿宋_GB2312" w:eastAsia="仿宋_GB2312" w:cs="仿宋_GB2312"/>
                <w:b/>
                <w:color w:val="auto"/>
                <w:kern w:val="0"/>
                <w:sz w:val="32"/>
                <w:szCs w:val="32"/>
                <w:highlight w:val="none"/>
              </w:rPr>
            </w:pPr>
          </w:p>
        </w:tc>
        <w:tc>
          <w:tcPr>
            <w:tcW w:w="1276" w:type="dxa"/>
            <w:vAlign w:val="top"/>
          </w:tcPr>
          <w:p>
            <w:pPr>
              <w:jc w:val="center"/>
              <w:rPr>
                <w:rFonts w:hint="eastAsia" w:ascii="仿宋_GB2312" w:hAnsi="仿宋_GB2312"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p>
        </w:tc>
        <w:tc>
          <w:tcPr>
            <w:tcW w:w="3683" w:type="dxa"/>
            <w:vAlign w:val="top"/>
          </w:tcPr>
          <w:p>
            <w:pPr>
              <w:jc w:val="center"/>
              <w:rPr>
                <w:rFonts w:hint="eastAsia" w:ascii="仿宋_GB2312" w:hAnsi="仿宋_GB2312" w:eastAsia="仿宋_GB2312" w:cs="仿宋_GB2312"/>
                <w:b/>
                <w:color w:val="auto"/>
                <w:kern w:val="0"/>
                <w:sz w:val="32"/>
                <w:szCs w:val="32"/>
                <w:highlight w:val="none"/>
              </w:rPr>
            </w:pPr>
          </w:p>
        </w:tc>
        <w:tc>
          <w:tcPr>
            <w:tcW w:w="3546" w:type="dxa"/>
            <w:vAlign w:val="top"/>
          </w:tcPr>
          <w:p>
            <w:pPr>
              <w:jc w:val="center"/>
              <w:rPr>
                <w:rFonts w:hint="eastAsia" w:ascii="仿宋_GB2312" w:hAnsi="仿宋_GB2312" w:eastAsia="仿宋_GB2312" w:cs="仿宋_GB2312"/>
                <w:b/>
                <w:color w:val="auto"/>
                <w:kern w:val="0"/>
                <w:sz w:val="32"/>
                <w:szCs w:val="32"/>
                <w:highlight w:val="none"/>
              </w:rPr>
            </w:pPr>
          </w:p>
        </w:tc>
        <w:tc>
          <w:tcPr>
            <w:tcW w:w="1276" w:type="dxa"/>
            <w:vAlign w:val="top"/>
          </w:tcPr>
          <w:p>
            <w:pPr>
              <w:jc w:val="center"/>
              <w:rPr>
                <w:rFonts w:hint="eastAsia" w:ascii="仿宋_GB2312" w:hAnsi="仿宋_GB2312" w:eastAsia="仿宋_GB2312" w:cs="仿宋_GB2312"/>
                <w:b/>
                <w:color w:val="auto"/>
                <w:kern w:val="0"/>
                <w:sz w:val="32"/>
                <w:szCs w:val="32"/>
                <w:highlight w:val="none"/>
              </w:rPr>
            </w:pPr>
          </w:p>
        </w:tc>
      </w:tr>
    </w:tbl>
    <w:p>
      <w:pPr>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投标人保证：除商务技术偏离表列出的偏离外，投标人响应招标文件的全部要求</w:t>
      </w: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bCs/>
          <w:color w:val="auto"/>
          <w:sz w:val="32"/>
          <w:szCs w:val="32"/>
          <w:highlight w:val="none"/>
        </w:rPr>
      </w:pPr>
    </w:p>
    <w:p>
      <w:pPr>
        <w:ind w:firstLine="2891" w:firstLineChars="900"/>
        <w:rPr>
          <w:rFonts w:hint="eastAsia" w:ascii="仿宋_GB2312" w:hAnsi="仿宋_GB2312" w:eastAsia="仿宋_GB2312" w:cs="仿宋_GB2312"/>
          <w:b/>
          <w:bCs/>
          <w:color w:val="auto"/>
          <w:sz w:val="32"/>
          <w:szCs w:val="32"/>
          <w:highlight w:val="none"/>
        </w:rPr>
      </w:pPr>
    </w:p>
    <w:p>
      <w:pPr>
        <w:ind w:firstLine="2891" w:firstLineChars="900"/>
        <w:rPr>
          <w:rFonts w:hint="eastAsia" w:ascii="仿宋_GB2312" w:hAnsi="仿宋_GB2312" w:eastAsia="仿宋_GB2312" w:cs="仿宋_GB2312"/>
          <w:b/>
          <w:bCs/>
          <w:color w:val="auto"/>
          <w:sz w:val="32"/>
          <w:szCs w:val="32"/>
          <w:highlight w:val="none"/>
        </w:rPr>
      </w:pPr>
    </w:p>
    <w:p>
      <w:pPr>
        <w:ind w:firstLine="2891" w:firstLineChars="900"/>
        <w:rPr>
          <w:rFonts w:hint="eastAsia" w:ascii="仿宋_GB2312" w:hAnsi="仿宋_GB2312" w:eastAsia="仿宋_GB2312" w:cs="仿宋_GB2312"/>
          <w:b/>
          <w:bCs/>
          <w:color w:val="auto"/>
          <w:sz w:val="32"/>
          <w:szCs w:val="32"/>
          <w:highlight w:val="none"/>
        </w:rPr>
      </w:pPr>
    </w:p>
    <w:p>
      <w:pPr>
        <w:ind w:firstLine="2891" w:firstLineChars="900"/>
        <w:rPr>
          <w:rFonts w:hint="eastAsia" w:ascii="仿宋_GB2312" w:hAnsi="仿宋_GB2312" w:eastAsia="仿宋_GB2312" w:cs="仿宋_GB2312"/>
          <w:b/>
          <w:bCs/>
          <w:color w:val="auto"/>
          <w:sz w:val="32"/>
          <w:szCs w:val="32"/>
          <w:highlight w:val="none"/>
        </w:rPr>
      </w:pPr>
    </w:p>
    <w:p>
      <w:pPr>
        <w:ind w:firstLine="2891" w:firstLineChars="900"/>
        <w:rPr>
          <w:rFonts w:hint="eastAsia" w:ascii="仿宋_GB2312" w:hAnsi="仿宋_GB2312" w:eastAsia="仿宋_GB2312" w:cs="仿宋_GB2312"/>
          <w:b/>
          <w:bCs/>
          <w:color w:val="auto"/>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1911" w:firstLineChars="595"/>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八、</w:t>
      </w:r>
      <w:r>
        <w:rPr>
          <w:rFonts w:hint="eastAsia" w:ascii="仿宋_GB2312" w:hAnsi="仿宋_GB2312" w:eastAsia="仿宋_GB2312" w:cs="仿宋_GB2312"/>
          <w:b/>
          <w:color w:val="auto"/>
          <w:kern w:val="0"/>
          <w:sz w:val="32"/>
          <w:szCs w:val="32"/>
          <w:highlight w:val="none"/>
          <w:lang w:val="zh-CN"/>
        </w:rPr>
        <w:t>政府采购供应商廉洁自律承诺书</w:t>
      </w:r>
    </w:p>
    <w:p>
      <w:pPr>
        <w:snapToGrid w:val="0"/>
        <w:spacing w:line="360" w:lineRule="auto"/>
        <w:rPr>
          <w:rFonts w:hint="eastAsia" w:ascii="仿宋_GB2312" w:hAnsi="仿宋_GB2312" w:eastAsia="仿宋_GB2312" w:cs="仿宋_GB2312"/>
          <w:color w:val="auto"/>
          <w:sz w:val="24"/>
          <w:highlight w:val="none"/>
        </w:rPr>
      </w:pP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（采购人）、（采购代理机构）</w:t>
      </w:r>
      <w:r>
        <w:rPr>
          <w:rFonts w:hint="eastAsia" w:ascii="仿宋_GB2312" w:hAnsi="仿宋_GB2312"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仿宋_GB2312" w:eastAsia="仿宋_GB2312" w:cs="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仿宋_GB2312" w:eastAsia="仿宋_GB2312" w:cs="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仿宋_GB2312" w:eastAsia="仿宋_GB2312" w:cs="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hint="eastAsia"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hint="eastAsia"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_GB2312"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p>
    <w:p>
      <w:pPr>
        <w:spacing w:line="360" w:lineRule="auto"/>
        <w:ind w:left="4620" w:leftChars="2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 xml:space="preserve">   年   月   日</w:t>
      </w:r>
    </w:p>
    <w:p>
      <w:pPr>
        <w:spacing w:line="360" w:lineRule="auto"/>
        <w:jc w:val="center"/>
        <w:rPr>
          <w:rFonts w:hint="eastAsia" w:ascii="仿宋_GB2312" w:hAnsi="仿宋_GB2312" w:eastAsia="仿宋_GB2312" w:cs="仿宋_GB2312"/>
          <w:b/>
          <w:bCs/>
          <w:color w:val="auto"/>
          <w:sz w:val="24"/>
          <w:highlight w:val="none"/>
        </w:rPr>
      </w:pPr>
    </w:p>
    <w:p>
      <w:pPr>
        <w:spacing w:line="360" w:lineRule="auto"/>
        <w:jc w:val="center"/>
        <w:rPr>
          <w:rFonts w:hint="eastAsia" w:ascii="仿宋_GB2312" w:hAnsi="仿宋_GB2312" w:eastAsia="仿宋_GB2312" w:cs="仿宋_GB2312"/>
          <w:b/>
          <w:bCs/>
          <w:color w:val="auto"/>
          <w:sz w:val="24"/>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报价文件部分</w:t>
      </w:r>
    </w:p>
    <w:p>
      <w:pPr>
        <w:spacing w:line="360" w:lineRule="auto"/>
        <w:jc w:val="center"/>
        <w:outlineLvl w:val="0"/>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目录</w:t>
      </w:r>
    </w:p>
    <w:p>
      <w:pPr>
        <w:spacing w:line="360" w:lineRule="auto"/>
        <w:jc w:val="center"/>
        <w:outlineLvl w:val="0"/>
        <w:rPr>
          <w:rFonts w:hint="eastAsia" w:ascii="仿宋_GB2312" w:hAnsi="仿宋_GB2312" w:eastAsia="仿宋_GB2312" w:cs="仿宋_GB2312"/>
          <w:b/>
          <w:color w:val="auto"/>
          <w:kern w:val="0"/>
          <w:sz w:val="36"/>
          <w:szCs w:val="36"/>
          <w:highlight w:val="none"/>
        </w:rPr>
      </w:pPr>
    </w:p>
    <w:p>
      <w:pPr>
        <w:numPr>
          <w:ilvl w:val="0"/>
          <w:numId w:val="3"/>
        </w:num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开标一览表（报价表）………………………………………………………（页码）</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中小企业声明函………………………………………………………………（页码）</w:t>
      </w:r>
    </w:p>
    <w:p>
      <w:pPr>
        <w:snapToGrid w:val="0"/>
        <w:spacing w:line="360" w:lineRule="auto"/>
        <w:ind w:right="480"/>
        <w:jc w:val="both"/>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lang w:eastAsia="zh-CN"/>
        </w:rPr>
        <w:t>）</w:t>
      </w:r>
      <w:r>
        <w:rPr>
          <w:rFonts w:hint="default" w:ascii="仿宋_GB2312" w:hAnsi="仿宋" w:eastAsia="仿宋_GB2312" w:cs="仿宋_GB2312"/>
          <w:color w:val="auto"/>
          <w:sz w:val="24"/>
          <w:highlight w:val="none"/>
        </w:rPr>
        <w:t>投标人针对报价需要说明的其他文件和说明</w:t>
      </w:r>
      <w:r>
        <w:rPr>
          <w:rFonts w:hint="default" w:ascii="仿宋_GB2312" w:hAnsi="仿宋" w:eastAsia="仿宋_GB2312" w:cs="仿宋_GB2312"/>
          <w:color w:val="auto"/>
          <w:sz w:val="24"/>
          <w:highlight w:val="none"/>
          <w:lang w:eastAsia="zh-CN"/>
        </w:rPr>
        <w:t>（如有）</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pStyle w:val="376"/>
        <w:tabs>
          <w:tab w:val="clear" w:pos="720"/>
        </w:tabs>
        <w:snapToGrid w:val="0"/>
        <w:spacing w:before="120" w:after="120"/>
        <w:ind w:firstLine="643"/>
        <w:outlineLvl w:val="9"/>
        <w:rPr>
          <w:rFonts w:hint="eastAsia" w:ascii="仿宋_GB2312" w:hAnsi="仿宋_GB2312" w:eastAsia="仿宋_GB2312" w:cs="仿宋_GB2312"/>
          <w:color w:val="auto"/>
          <w:kern w:val="2"/>
          <w:sz w:val="32"/>
          <w:szCs w:val="32"/>
          <w:highlight w:val="none"/>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bookmarkStart w:id="401" w:name="_Toc233618992"/>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color w:val="auto"/>
          <w:sz w:val="24"/>
          <w:highlight w:val="none"/>
          <w:lang w:eastAsia="zh-CN"/>
        </w:rPr>
        <w:t>数字城管信息采集服务外包项目</w:t>
      </w:r>
      <w:r>
        <w:rPr>
          <w:rFonts w:hint="eastAsia"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2728"/>
        <w:gridCol w:w="1579"/>
        <w:gridCol w:w="2106"/>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3260" w:type="dxa"/>
            <w:vAlign w:val="center"/>
          </w:tcPr>
          <w:p>
            <w:pPr>
              <w:spacing w:line="360" w:lineRule="auto"/>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lang w:eastAsia="zh-CN"/>
              </w:rPr>
              <w:t>采购内容</w:t>
            </w:r>
          </w:p>
        </w:tc>
        <w:tc>
          <w:tcPr>
            <w:tcW w:w="2728" w:type="dxa"/>
            <w:vAlign w:val="center"/>
          </w:tcPr>
          <w:p>
            <w:pPr>
              <w:spacing w:line="360" w:lineRule="auto"/>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lang w:eastAsia="zh-CN"/>
              </w:rPr>
              <w:t>单位</w:t>
            </w:r>
          </w:p>
        </w:tc>
        <w:tc>
          <w:tcPr>
            <w:tcW w:w="1579"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2106"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4360" w:type="dxa"/>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3260" w:type="dxa"/>
            <w:vAlign w:val="center"/>
          </w:tcPr>
          <w:p>
            <w:pPr>
              <w:snapToGrid w:val="0"/>
              <w:spacing w:line="360" w:lineRule="auto"/>
              <w:jc w:val="center"/>
              <w:rPr>
                <w:rFonts w:ascii="仿宋_GB2312" w:hAnsi="仿宋" w:eastAsia="仿宋_GB2312" w:cs="仿宋_GB2312"/>
                <w:color w:val="auto"/>
                <w:sz w:val="24"/>
                <w:highlight w:val="none"/>
              </w:rPr>
            </w:pPr>
          </w:p>
        </w:tc>
        <w:tc>
          <w:tcPr>
            <w:tcW w:w="2728" w:type="dxa"/>
            <w:vAlign w:val="center"/>
          </w:tcPr>
          <w:p>
            <w:pPr>
              <w:snapToGrid w:val="0"/>
              <w:spacing w:line="360" w:lineRule="auto"/>
              <w:jc w:val="center"/>
              <w:rPr>
                <w:rFonts w:ascii="仿宋_GB2312" w:hAnsi="仿宋" w:eastAsia="仿宋_GB2312" w:cs="仿宋_GB2312"/>
                <w:color w:val="auto"/>
                <w:sz w:val="24"/>
                <w:highlight w:val="none"/>
              </w:rPr>
            </w:pPr>
          </w:p>
        </w:tc>
        <w:tc>
          <w:tcPr>
            <w:tcW w:w="1579" w:type="dxa"/>
            <w:vAlign w:val="center"/>
          </w:tcPr>
          <w:p>
            <w:pPr>
              <w:snapToGrid w:val="0"/>
              <w:spacing w:line="360" w:lineRule="auto"/>
              <w:jc w:val="center"/>
              <w:rPr>
                <w:rFonts w:ascii="仿宋_GB2312" w:hAnsi="仿宋" w:eastAsia="仿宋_GB2312" w:cs="仿宋_GB2312"/>
                <w:color w:val="auto"/>
                <w:sz w:val="24"/>
                <w:highlight w:val="none"/>
              </w:rPr>
            </w:pPr>
          </w:p>
        </w:tc>
        <w:tc>
          <w:tcPr>
            <w:tcW w:w="2106" w:type="dxa"/>
            <w:vAlign w:val="center"/>
          </w:tcPr>
          <w:p>
            <w:pPr>
              <w:spacing w:line="360" w:lineRule="auto"/>
              <w:jc w:val="center"/>
              <w:rPr>
                <w:rFonts w:ascii="仿宋_GB2312" w:hAnsi="仿宋" w:eastAsia="仿宋_GB2312" w:cs="仿宋_GB2312"/>
                <w:color w:val="auto"/>
                <w:sz w:val="24"/>
                <w:highlight w:val="none"/>
              </w:rPr>
            </w:pPr>
          </w:p>
        </w:tc>
        <w:tc>
          <w:tcPr>
            <w:tcW w:w="4360" w:type="dxa"/>
            <w:vAlign w:val="center"/>
          </w:tcPr>
          <w:p>
            <w:pPr>
              <w:spacing w:line="360" w:lineRule="auto"/>
              <w:jc w:val="center"/>
              <w:rPr>
                <w:rFonts w:hint="eastAsia" w:ascii="仿宋_GB2312" w:hAnsi="仿宋" w:eastAsia="仿宋_GB2312" w:cs="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3260" w:type="dxa"/>
            <w:vAlign w:val="center"/>
          </w:tcPr>
          <w:p>
            <w:pPr>
              <w:snapToGrid w:val="0"/>
              <w:spacing w:line="360" w:lineRule="auto"/>
              <w:jc w:val="center"/>
              <w:rPr>
                <w:rFonts w:ascii="仿宋_GB2312" w:hAnsi="仿宋" w:eastAsia="仿宋_GB2312" w:cs="仿宋_GB2312"/>
                <w:color w:val="auto"/>
                <w:sz w:val="24"/>
                <w:highlight w:val="none"/>
              </w:rPr>
            </w:pPr>
          </w:p>
        </w:tc>
        <w:tc>
          <w:tcPr>
            <w:tcW w:w="2728" w:type="dxa"/>
            <w:vAlign w:val="center"/>
          </w:tcPr>
          <w:p>
            <w:pPr>
              <w:snapToGrid w:val="0"/>
              <w:spacing w:line="360" w:lineRule="auto"/>
              <w:jc w:val="center"/>
              <w:rPr>
                <w:rFonts w:ascii="仿宋_GB2312" w:hAnsi="仿宋" w:eastAsia="仿宋_GB2312" w:cs="仿宋_GB2312"/>
                <w:color w:val="auto"/>
                <w:sz w:val="24"/>
                <w:highlight w:val="none"/>
              </w:rPr>
            </w:pPr>
          </w:p>
        </w:tc>
        <w:tc>
          <w:tcPr>
            <w:tcW w:w="1579" w:type="dxa"/>
            <w:vAlign w:val="center"/>
          </w:tcPr>
          <w:p>
            <w:pPr>
              <w:snapToGrid w:val="0"/>
              <w:spacing w:line="360" w:lineRule="auto"/>
              <w:jc w:val="center"/>
              <w:rPr>
                <w:rFonts w:ascii="仿宋_GB2312" w:hAnsi="仿宋" w:eastAsia="仿宋_GB2312" w:cs="仿宋_GB2312"/>
                <w:color w:val="auto"/>
                <w:sz w:val="24"/>
                <w:highlight w:val="none"/>
              </w:rPr>
            </w:pPr>
          </w:p>
        </w:tc>
        <w:tc>
          <w:tcPr>
            <w:tcW w:w="2106" w:type="dxa"/>
            <w:vAlign w:val="center"/>
          </w:tcPr>
          <w:p>
            <w:pPr>
              <w:spacing w:line="360" w:lineRule="auto"/>
              <w:jc w:val="center"/>
              <w:rPr>
                <w:rFonts w:ascii="仿宋_GB2312" w:hAnsi="仿宋" w:eastAsia="仿宋_GB2312" w:cs="仿宋_GB2312"/>
                <w:color w:val="auto"/>
                <w:sz w:val="24"/>
                <w:highlight w:val="none"/>
              </w:rPr>
            </w:pPr>
          </w:p>
        </w:tc>
        <w:tc>
          <w:tcPr>
            <w:tcW w:w="4360" w:type="dxa"/>
            <w:vAlign w:val="center"/>
          </w:tcPr>
          <w:p>
            <w:pPr>
              <w:spacing w:line="360" w:lineRule="auto"/>
              <w:jc w:val="center"/>
              <w:rPr>
                <w:rFonts w:hint="eastAsia" w:ascii="仿宋_GB2312" w:hAnsi="仿宋" w:eastAsia="仿宋_GB2312" w:cs="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3260" w:type="dxa"/>
            <w:vAlign w:val="center"/>
          </w:tcPr>
          <w:p>
            <w:pPr>
              <w:snapToGrid w:val="0"/>
              <w:spacing w:line="360" w:lineRule="auto"/>
              <w:jc w:val="center"/>
              <w:rPr>
                <w:rFonts w:ascii="仿宋_GB2312" w:hAnsi="仿宋" w:eastAsia="仿宋_GB2312" w:cs="仿宋_GB2312"/>
                <w:color w:val="auto"/>
                <w:sz w:val="24"/>
                <w:highlight w:val="none"/>
              </w:rPr>
            </w:pPr>
          </w:p>
        </w:tc>
        <w:tc>
          <w:tcPr>
            <w:tcW w:w="2728" w:type="dxa"/>
            <w:vAlign w:val="center"/>
          </w:tcPr>
          <w:p>
            <w:pPr>
              <w:snapToGrid w:val="0"/>
              <w:spacing w:line="360" w:lineRule="auto"/>
              <w:jc w:val="center"/>
              <w:rPr>
                <w:rFonts w:ascii="仿宋_GB2312" w:hAnsi="仿宋" w:eastAsia="仿宋_GB2312" w:cs="仿宋_GB2312"/>
                <w:color w:val="auto"/>
                <w:sz w:val="24"/>
                <w:highlight w:val="none"/>
              </w:rPr>
            </w:pPr>
          </w:p>
        </w:tc>
        <w:tc>
          <w:tcPr>
            <w:tcW w:w="1579" w:type="dxa"/>
            <w:vAlign w:val="center"/>
          </w:tcPr>
          <w:p>
            <w:pPr>
              <w:snapToGrid w:val="0"/>
              <w:spacing w:line="360" w:lineRule="auto"/>
              <w:jc w:val="center"/>
              <w:rPr>
                <w:rFonts w:ascii="仿宋_GB2312" w:hAnsi="仿宋" w:eastAsia="仿宋_GB2312" w:cs="仿宋_GB2312"/>
                <w:color w:val="auto"/>
                <w:sz w:val="24"/>
                <w:highlight w:val="none"/>
              </w:rPr>
            </w:pPr>
          </w:p>
        </w:tc>
        <w:tc>
          <w:tcPr>
            <w:tcW w:w="2106" w:type="dxa"/>
            <w:vAlign w:val="center"/>
          </w:tcPr>
          <w:p>
            <w:pPr>
              <w:spacing w:line="360" w:lineRule="auto"/>
              <w:jc w:val="center"/>
              <w:rPr>
                <w:rFonts w:ascii="仿宋_GB2312" w:hAnsi="仿宋" w:eastAsia="仿宋_GB2312" w:cs="仿宋_GB2312"/>
                <w:color w:val="auto"/>
                <w:sz w:val="24"/>
                <w:highlight w:val="none"/>
              </w:rPr>
            </w:pPr>
          </w:p>
        </w:tc>
        <w:tc>
          <w:tcPr>
            <w:tcW w:w="4360" w:type="dxa"/>
            <w:vAlign w:val="center"/>
          </w:tcPr>
          <w:p>
            <w:pPr>
              <w:spacing w:line="360" w:lineRule="auto"/>
              <w:jc w:val="center"/>
              <w:rPr>
                <w:rFonts w:hint="eastAsia" w:ascii="仿宋_GB2312" w:hAnsi="仿宋" w:eastAsia="仿宋_GB2312" w:cs="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3260" w:type="dxa"/>
            <w:vAlign w:val="center"/>
          </w:tcPr>
          <w:p>
            <w:pPr>
              <w:snapToGrid w:val="0"/>
              <w:spacing w:line="360" w:lineRule="auto"/>
              <w:jc w:val="center"/>
              <w:rPr>
                <w:rFonts w:ascii="仿宋_GB2312" w:hAnsi="仿宋" w:eastAsia="仿宋_GB2312" w:cs="仿宋_GB2312"/>
                <w:color w:val="auto"/>
                <w:sz w:val="24"/>
                <w:highlight w:val="none"/>
              </w:rPr>
            </w:pPr>
          </w:p>
        </w:tc>
        <w:tc>
          <w:tcPr>
            <w:tcW w:w="2728" w:type="dxa"/>
            <w:vAlign w:val="center"/>
          </w:tcPr>
          <w:p>
            <w:pPr>
              <w:snapToGrid w:val="0"/>
              <w:spacing w:line="360" w:lineRule="auto"/>
              <w:jc w:val="center"/>
              <w:rPr>
                <w:rFonts w:ascii="仿宋_GB2312" w:hAnsi="仿宋" w:eastAsia="仿宋_GB2312" w:cs="仿宋_GB2312"/>
                <w:color w:val="auto"/>
                <w:sz w:val="24"/>
                <w:highlight w:val="none"/>
              </w:rPr>
            </w:pPr>
          </w:p>
        </w:tc>
        <w:tc>
          <w:tcPr>
            <w:tcW w:w="1579" w:type="dxa"/>
            <w:vAlign w:val="center"/>
          </w:tcPr>
          <w:p>
            <w:pPr>
              <w:snapToGrid w:val="0"/>
              <w:spacing w:line="360" w:lineRule="auto"/>
              <w:jc w:val="center"/>
              <w:rPr>
                <w:rFonts w:ascii="仿宋_GB2312" w:hAnsi="仿宋" w:eastAsia="仿宋_GB2312" w:cs="仿宋_GB2312"/>
                <w:color w:val="auto"/>
                <w:sz w:val="24"/>
                <w:highlight w:val="none"/>
              </w:rPr>
            </w:pPr>
          </w:p>
        </w:tc>
        <w:tc>
          <w:tcPr>
            <w:tcW w:w="2106" w:type="dxa"/>
            <w:vAlign w:val="center"/>
          </w:tcPr>
          <w:p>
            <w:pPr>
              <w:spacing w:line="360" w:lineRule="auto"/>
              <w:jc w:val="center"/>
              <w:rPr>
                <w:rFonts w:ascii="仿宋_GB2312" w:hAnsi="仿宋" w:eastAsia="仿宋_GB2312" w:cs="仿宋_GB2312"/>
                <w:color w:val="auto"/>
                <w:sz w:val="24"/>
                <w:highlight w:val="none"/>
              </w:rPr>
            </w:pPr>
          </w:p>
        </w:tc>
        <w:tc>
          <w:tcPr>
            <w:tcW w:w="4360" w:type="dxa"/>
            <w:vAlign w:val="center"/>
          </w:tcPr>
          <w:p>
            <w:pPr>
              <w:spacing w:line="360" w:lineRule="auto"/>
              <w:jc w:val="center"/>
              <w:rPr>
                <w:rFonts w:hint="eastAsia" w:ascii="仿宋_GB2312" w:hAnsi="仿宋" w:eastAsia="仿宋_GB2312" w:cs="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3260" w:type="dxa"/>
            <w:vAlign w:val="center"/>
          </w:tcPr>
          <w:p>
            <w:pPr>
              <w:snapToGrid w:val="0"/>
              <w:spacing w:line="360" w:lineRule="auto"/>
              <w:jc w:val="center"/>
              <w:rPr>
                <w:rFonts w:ascii="仿宋_GB2312" w:hAnsi="仿宋" w:eastAsia="仿宋_GB2312" w:cs="仿宋_GB2312"/>
                <w:color w:val="auto"/>
                <w:sz w:val="24"/>
                <w:highlight w:val="none"/>
              </w:rPr>
            </w:pPr>
          </w:p>
        </w:tc>
        <w:tc>
          <w:tcPr>
            <w:tcW w:w="2728" w:type="dxa"/>
            <w:vAlign w:val="center"/>
          </w:tcPr>
          <w:p>
            <w:pPr>
              <w:snapToGrid w:val="0"/>
              <w:spacing w:line="360" w:lineRule="auto"/>
              <w:jc w:val="center"/>
              <w:rPr>
                <w:rFonts w:ascii="仿宋_GB2312" w:hAnsi="仿宋" w:eastAsia="仿宋_GB2312" w:cs="仿宋_GB2312"/>
                <w:color w:val="auto"/>
                <w:sz w:val="24"/>
                <w:highlight w:val="none"/>
              </w:rPr>
            </w:pPr>
          </w:p>
        </w:tc>
        <w:tc>
          <w:tcPr>
            <w:tcW w:w="1579" w:type="dxa"/>
            <w:vAlign w:val="center"/>
          </w:tcPr>
          <w:p>
            <w:pPr>
              <w:snapToGrid w:val="0"/>
              <w:spacing w:line="360" w:lineRule="auto"/>
              <w:jc w:val="center"/>
              <w:rPr>
                <w:rFonts w:ascii="仿宋_GB2312" w:hAnsi="仿宋" w:eastAsia="仿宋_GB2312" w:cs="仿宋_GB2312"/>
                <w:color w:val="auto"/>
                <w:sz w:val="24"/>
                <w:highlight w:val="none"/>
              </w:rPr>
            </w:pPr>
          </w:p>
        </w:tc>
        <w:tc>
          <w:tcPr>
            <w:tcW w:w="2106" w:type="dxa"/>
            <w:vAlign w:val="center"/>
          </w:tcPr>
          <w:p>
            <w:pPr>
              <w:spacing w:line="360" w:lineRule="auto"/>
              <w:jc w:val="center"/>
              <w:rPr>
                <w:rFonts w:ascii="仿宋_GB2312" w:hAnsi="仿宋" w:eastAsia="仿宋_GB2312" w:cs="仿宋_GB2312"/>
                <w:color w:val="auto"/>
                <w:sz w:val="24"/>
                <w:highlight w:val="none"/>
              </w:rPr>
            </w:pPr>
          </w:p>
        </w:tc>
        <w:tc>
          <w:tcPr>
            <w:tcW w:w="4360" w:type="dxa"/>
            <w:vAlign w:val="center"/>
          </w:tcPr>
          <w:p>
            <w:pPr>
              <w:spacing w:line="360" w:lineRule="auto"/>
              <w:jc w:val="center"/>
              <w:rPr>
                <w:rFonts w:hint="eastAsia" w:ascii="仿宋_GB2312" w:hAnsi="仿宋" w:eastAsia="仿宋_GB2312" w:cs="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22" w:type="dxa"/>
            <w:gridSpan w:val="3"/>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val="en-US" w:eastAsia="zh-CN"/>
              </w:rPr>
              <w:t>一年</w:t>
            </w:r>
            <w:r>
              <w:rPr>
                <w:rFonts w:hint="eastAsia" w:ascii="仿宋_GB2312" w:hAnsi="仿宋" w:eastAsia="仿宋_GB2312" w:cs="仿宋_GB2312"/>
                <w:b/>
                <w:color w:val="auto"/>
                <w:sz w:val="24"/>
                <w:highlight w:val="none"/>
              </w:rPr>
              <w:t>投标报价</w:t>
            </w:r>
            <w:r>
              <w:rPr>
                <w:rFonts w:hint="eastAsia" w:ascii="华文仿宋" w:hAnsi="华文仿宋" w:eastAsia="华文仿宋" w:cs="仿宋_GB2312"/>
                <w:b/>
                <w:color w:val="auto"/>
                <w:sz w:val="24"/>
                <w:highlight w:val="none"/>
              </w:rPr>
              <w:t>（小写）</w:t>
            </w:r>
          </w:p>
        </w:tc>
        <w:tc>
          <w:tcPr>
            <w:tcW w:w="8045" w:type="dxa"/>
            <w:gridSpan w:val="3"/>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2" w:type="dxa"/>
            <w:gridSpan w:val="3"/>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val="en-US" w:eastAsia="zh-CN"/>
              </w:rPr>
              <w:t>一</w:t>
            </w:r>
            <w:r>
              <w:rPr>
                <w:rFonts w:hint="eastAsia" w:ascii="仿宋_GB2312" w:hAnsi="仿宋" w:eastAsia="仿宋_GB2312" w:cs="仿宋_GB2312"/>
                <w:b/>
                <w:color w:val="auto"/>
                <w:sz w:val="24"/>
                <w:highlight w:val="none"/>
              </w:rPr>
              <w:t>计投标报价</w:t>
            </w:r>
            <w:r>
              <w:rPr>
                <w:rFonts w:hint="eastAsia" w:ascii="华文仿宋" w:hAnsi="华文仿宋" w:eastAsia="华文仿宋" w:cs="仿宋_GB2312"/>
                <w:b/>
                <w:color w:val="auto"/>
                <w:sz w:val="24"/>
                <w:highlight w:val="none"/>
              </w:rPr>
              <w:t>（</w:t>
            </w:r>
            <w:r>
              <w:rPr>
                <w:rFonts w:hint="eastAsia" w:ascii="华文仿宋" w:hAnsi="华文仿宋" w:eastAsia="华文仿宋" w:cs="仿宋_GB2312"/>
                <w:b/>
                <w:color w:val="auto"/>
                <w:sz w:val="24"/>
                <w:highlight w:val="none"/>
                <w:lang w:eastAsia="zh-CN"/>
              </w:rPr>
              <w:t>大</w:t>
            </w:r>
            <w:r>
              <w:rPr>
                <w:rFonts w:hint="eastAsia" w:ascii="华文仿宋" w:hAnsi="华文仿宋" w:eastAsia="华文仿宋" w:cs="仿宋_GB2312"/>
                <w:b/>
                <w:color w:val="auto"/>
                <w:sz w:val="24"/>
                <w:highlight w:val="none"/>
              </w:rPr>
              <w:t>写）</w:t>
            </w:r>
          </w:p>
        </w:tc>
        <w:tc>
          <w:tcPr>
            <w:tcW w:w="8045" w:type="dxa"/>
            <w:gridSpan w:val="3"/>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2" w:type="dxa"/>
            <w:gridSpan w:val="3"/>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总计</w:t>
            </w:r>
            <w:r>
              <w:rPr>
                <w:rFonts w:hint="eastAsia" w:ascii="仿宋_GB2312" w:hAnsi="仿宋" w:eastAsia="仿宋_GB2312" w:cs="仿宋_GB2312"/>
                <w:b/>
                <w:color w:val="auto"/>
                <w:sz w:val="24"/>
                <w:highlight w:val="none"/>
                <w:lang w:eastAsia="zh-CN"/>
              </w:rPr>
              <w:t>（</w:t>
            </w:r>
            <w:r>
              <w:rPr>
                <w:rFonts w:hint="eastAsia" w:ascii="仿宋_GB2312" w:hAnsi="仿宋" w:eastAsia="仿宋_GB2312" w:cs="仿宋_GB2312"/>
                <w:b/>
                <w:color w:val="auto"/>
                <w:sz w:val="24"/>
                <w:highlight w:val="none"/>
                <w:lang w:val="en-US" w:eastAsia="zh-CN"/>
              </w:rPr>
              <w:t>二年</w:t>
            </w:r>
            <w:r>
              <w:rPr>
                <w:rFonts w:hint="eastAsia" w:ascii="仿宋_GB2312" w:hAnsi="仿宋" w:eastAsia="仿宋_GB2312" w:cs="仿宋_GB2312"/>
                <w:b/>
                <w:color w:val="auto"/>
                <w:sz w:val="24"/>
                <w:highlight w:val="none"/>
                <w:lang w:eastAsia="zh-CN"/>
              </w:rPr>
              <w:t>）</w:t>
            </w:r>
            <w:r>
              <w:rPr>
                <w:rFonts w:hint="eastAsia" w:ascii="仿宋_GB2312" w:hAnsi="仿宋" w:eastAsia="仿宋_GB2312" w:cs="仿宋_GB2312"/>
                <w:b/>
                <w:color w:val="auto"/>
                <w:sz w:val="24"/>
                <w:highlight w:val="none"/>
              </w:rPr>
              <w:t>投标报价</w:t>
            </w:r>
            <w:r>
              <w:rPr>
                <w:rFonts w:hint="eastAsia" w:ascii="华文仿宋" w:hAnsi="华文仿宋" w:eastAsia="华文仿宋" w:cs="仿宋_GB2312"/>
                <w:b/>
                <w:color w:val="auto"/>
                <w:sz w:val="24"/>
                <w:highlight w:val="none"/>
              </w:rPr>
              <w:t>（</w:t>
            </w:r>
            <w:r>
              <w:rPr>
                <w:rFonts w:hint="eastAsia" w:ascii="华文仿宋" w:hAnsi="华文仿宋" w:eastAsia="华文仿宋" w:cs="仿宋_GB2312"/>
                <w:b/>
                <w:color w:val="auto"/>
                <w:sz w:val="24"/>
                <w:highlight w:val="none"/>
                <w:lang w:val="en-US" w:eastAsia="zh-CN"/>
              </w:rPr>
              <w:t>小</w:t>
            </w:r>
            <w:r>
              <w:rPr>
                <w:rFonts w:hint="eastAsia" w:ascii="华文仿宋" w:hAnsi="华文仿宋" w:eastAsia="华文仿宋" w:cs="仿宋_GB2312"/>
                <w:b/>
                <w:color w:val="auto"/>
                <w:sz w:val="24"/>
                <w:highlight w:val="none"/>
              </w:rPr>
              <w:t>写）</w:t>
            </w:r>
          </w:p>
        </w:tc>
        <w:tc>
          <w:tcPr>
            <w:tcW w:w="8045" w:type="dxa"/>
            <w:gridSpan w:val="3"/>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2" w:type="dxa"/>
            <w:gridSpan w:val="3"/>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总计</w:t>
            </w:r>
            <w:r>
              <w:rPr>
                <w:rFonts w:hint="eastAsia" w:ascii="仿宋_GB2312" w:hAnsi="仿宋" w:eastAsia="仿宋_GB2312" w:cs="仿宋_GB2312"/>
                <w:b/>
                <w:color w:val="auto"/>
                <w:sz w:val="24"/>
                <w:highlight w:val="none"/>
                <w:lang w:eastAsia="zh-CN"/>
              </w:rPr>
              <w:t>（</w:t>
            </w:r>
            <w:r>
              <w:rPr>
                <w:rFonts w:hint="eastAsia" w:ascii="仿宋_GB2312" w:hAnsi="仿宋" w:eastAsia="仿宋_GB2312" w:cs="仿宋_GB2312"/>
                <w:b/>
                <w:color w:val="auto"/>
                <w:sz w:val="24"/>
                <w:highlight w:val="none"/>
                <w:lang w:val="en-US" w:eastAsia="zh-CN"/>
              </w:rPr>
              <w:t>二年</w:t>
            </w:r>
            <w:r>
              <w:rPr>
                <w:rFonts w:hint="eastAsia" w:ascii="仿宋_GB2312" w:hAnsi="仿宋" w:eastAsia="仿宋_GB2312" w:cs="仿宋_GB2312"/>
                <w:b/>
                <w:color w:val="auto"/>
                <w:sz w:val="24"/>
                <w:highlight w:val="none"/>
                <w:lang w:eastAsia="zh-CN"/>
              </w:rPr>
              <w:t>）</w:t>
            </w:r>
            <w:r>
              <w:rPr>
                <w:rFonts w:hint="eastAsia" w:ascii="仿宋_GB2312" w:hAnsi="仿宋" w:eastAsia="仿宋_GB2312" w:cs="仿宋_GB2312"/>
                <w:b/>
                <w:color w:val="auto"/>
                <w:sz w:val="24"/>
                <w:highlight w:val="none"/>
              </w:rPr>
              <w:t>投标报价</w:t>
            </w:r>
            <w:r>
              <w:rPr>
                <w:rFonts w:hint="eastAsia" w:ascii="华文仿宋" w:hAnsi="华文仿宋" w:eastAsia="华文仿宋" w:cs="仿宋_GB2312"/>
                <w:b/>
                <w:color w:val="auto"/>
                <w:sz w:val="24"/>
                <w:highlight w:val="none"/>
              </w:rPr>
              <w:t>（</w:t>
            </w:r>
            <w:r>
              <w:rPr>
                <w:rFonts w:hint="eastAsia" w:ascii="华文仿宋" w:hAnsi="华文仿宋" w:eastAsia="华文仿宋" w:cs="仿宋_GB2312"/>
                <w:b/>
                <w:color w:val="auto"/>
                <w:sz w:val="24"/>
                <w:highlight w:val="none"/>
                <w:lang w:eastAsia="zh-CN"/>
              </w:rPr>
              <w:t>大</w:t>
            </w:r>
            <w:r>
              <w:rPr>
                <w:rFonts w:hint="eastAsia" w:ascii="华文仿宋" w:hAnsi="华文仿宋" w:eastAsia="华文仿宋" w:cs="仿宋_GB2312"/>
                <w:b/>
                <w:color w:val="auto"/>
                <w:sz w:val="24"/>
                <w:highlight w:val="none"/>
              </w:rPr>
              <w:t>写）</w:t>
            </w:r>
          </w:p>
        </w:tc>
        <w:tc>
          <w:tcPr>
            <w:tcW w:w="8045" w:type="dxa"/>
            <w:gridSpan w:val="3"/>
            <w:vAlign w:val="center"/>
          </w:tcPr>
          <w:p>
            <w:pPr>
              <w:spacing w:line="360" w:lineRule="auto"/>
              <w:jc w:val="center"/>
              <w:rPr>
                <w:rFonts w:ascii="仿宋_GB2312" w:hAnsi="仿宋" w:eastAsia="仿宋_GB2312" w:cs="仿宋_GB2312"/>
                <w:color w:val="auto"/>
                <w:sz w:val="24"/>
                <w:highlight w:val="none"/>
              </w:rPr>
            </w:pPr>
          </w:p>
        </w:tc>
      </w:tr>
    </w:tbl>
    <w:p>
      <w:pPr>
        <w:spacing w:line="360" w:lineRule="auto"/>
        <w:ind w:left="-2"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3、以上表格要求细分项目及报价，在“具体服务”一栏中，服务类项目填写具体服务。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sz w:val="32"/>
          <w:szCs w:val="32"/>
          <w:highlight w:val="none"/>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pStyle w:val="376"/>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bookmarkEnd w:id="401"/>
    <w:p>
      <w:pPr>
        <w:pStyle w:val="376"/>
        <w:tabs>
          <w:tab w:val="clear" w:pos="720"/>
        </w:tabs>
        <w:snapToGrid w:val="0"/>
        <w:spacing w:before="120" w:after="120"/>
        <w:ind w:firstLine="643"/>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eastAsia="zh-CN"/>
        </w:rPr>
        <w:t>二</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sz w:val="32"/>
          <w:szCs w:val="32"/>
          <w:highlight w:val="none"/>
        </w:rPr>
        <w:t>中小企业声明函</w:t>
      </w:r>
    </w:p>
    <w:p>
      <w:pPr>
        <w:widowControl/>
        <w:spacing w:line="360" w:lineRule="auto"/>
        <w:ind w:firstLine="120" w:firstLineChars="50"/>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376"/>
        <w:tabs>
          <w:tab w:val="clear" w:pos="720"/>
        </w:tabs>
        <w:snapToGrid w:val="0"/>
        <w:spacing w:before="120" w:after="120"/>
        <w:ind w:firstLine="643"/>
        <w:outlineLvl w:val="9"/>
        <w:rPr>
          <w:rFonts w:hint="eastAsia" w:ascii="仿宋_GB2312" w:hAnsi="仿宋_GB2312" w:eastAsia="仿宋_GB2312" w:cs="仿宋_GB2312"/>
          <w:b w:val="0"/>
          <w:color w:val="auto"/>
          <w:sz w:val="32"/>
          <w:szCs w:val="32"/>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tabs>
          <w:tab w:val="left" w:pos="8085"/>
        </w:tabs>
        <w:spacing w:line="360" w:lineRule="auto"/>
        <w:ind w:firstLine="1285" w:firstLineChars="400"/>
        <w:jc w:val="left"/>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政府采购支持中小企业信用融资相关事项通知</w:t>
      </w:r>
    </w:p>
    <w:p>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一、适用对象</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二、相关信息获取方式</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　政府采购信用融资操作流程：</w:t>
      </w:r>
    </w:p>
    <w:p>
      <w:pPr>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（一）线上融资模式：</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1.供应商根据合作银行提供的方案，自行选择金融产品，并办理开户等手续；</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2.供应商中标后，可通过杭州市政府采购网或“浙里办”测算授信额度；</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4.审批通过后，在线办理放贷手续。</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（二）线下融资模式：</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4.审批通过后，合作银行应按照合作备忘录中约定的审批放款期限和优惠利率及时予以放款。</w:t>
      </w:r>
    </w:p>
    <w:p>
      <w:pPr>
        <w:pStyle w:val="2"/>
        <w:numPr>
          <w:ilvl w:val="0"/>
          <w:numId w:val="0"/>
        </w:numPr>
        <w:ind w:firstLine="960" w:firstLineChars="400"/>
        <w:rPr>
          <w:rFonts w:hint="eastAsia" w:ascii="仿宋_GB2312" w:hAnsi="仿宋_GB2312" w:eastAsia="仿宋_GB2312" w:cs="仿宋_GB2312"/>
          <w:b w:val="0"/>
          <w:bCs w:val="0"/>
          <w:color w:val="auto"/>
          <w:sz w:val="24"/>
          <w:szCs w:val="24"/>
          <w:highlight w:val="none"/>
          <w:lang w:val="en-US"/>
        </w:rPr>
      </w:pPr>
      <w:r>
        <w:rPr>
          <w:rFonts w:hint="eastAsia" w:ascii="仿宋_GB2312" w:hAnsi="仿宋_GB2312" w:eastAsia="仿宋_GB2312" w:cs="仿宋_GB2312"/>
          <w:b w:val="0"/>
          <w:bCs w:val="0"/>
          <w:color w:val="auto"/>
          <w:sz w:val="24"/>
          <w:szCs w:val="24"/>
          <w:highlight w:val="none"/>
          <w:lang w:val="en-US"/>
        </w:rPr>
        <w:t>（三）杭州e融平台申请融资</w:t>
      </w:r>
    </w:p>
    <w:p>
      <w:pPr>
        <w:pStyle w:val="2"/>
        <w:numPr>
          <w:ilvl w:val="0"/>
          <w:numId w:val="0"/>
        </w:numPr>
        <w:ind w:firstLine="960" w:firstLineChars="400"/>
        <w:rPr>
          <w:rFonts w:hint="eastAsia" w:ascii="仿宋_GB2312" w:hAnsi="仿宋_GB2312" w:eastAsia="仿宋_GB2312" w:cs="仿宋_GB2312"/>
          <w:b w:val="0"/>
          <w:bCs w:val="0"/>
          <w:color w:val="auto"/>
          <w:sz w:val="24"/>
          <w:szCs w:val="24"/>
          <w:highlight w:val="none"/>
          <w:lang w:val="en-US"/>
        </w:rPr>
      </w:pPr>
      <w:r>
        <w:rPr>
          <w:rFonts w:hint="eastAsia" w:ascii="仿宋_GB2312" w:hAnsi="仿宋_GB2312" w:eastAsia="仿宋_GB2312" w:cs="仿宋_GB2312"/>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四、注意事项</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_GB2312" w:hAnsi="仿宋_GB2312" w:eastAsia="仿宋_GB2312" w:cs="仿宋_GB2312"/>
          <w:b/>
          <w:bCs/>
          <w:color w:val="auto"/>
          <w:kern w:val="0"/>
          <w:sz w:val="24"/>
          <w:highlight w:val="none"/>
        </w:rPr>
      </w:pPr>
    </w:p>
    <w:p>
      <w:pPr>
        <w:pStyle w:val="3"/>
        <w:pageBreakBefore/>
        <w:widowControl/>
        <w:spacing w:before="100" w:beforeAutospacing="1" w:after="100" w:afterAutospacing="1" w:line="360" w:lineRule="auto"/>
        <w:ind w:left="1290" w:firstLine="3092" w:firstLineChars="700"/>
        <w:rPr>
          <w:rFonts w:hint="eastAsia" w:ascii="仿宋_GB2312" w:hAnsi="仿宋_GB2312" w:eastAsia="仿宋_GB2312" w:cs="仿宋_GB2312"/>
          <w:color w:val="auto"/>
          <w:highlight w:val="none"/>
        </w:rPr>
      </w:pPr>
      <w:bookmarkStart w:id="402" w:name="_Toc465665161"/>
      <w:r>
        <w:rPr>
          <w:rFonts w:hint="eastAsia" w:ascii="仿宋_GB2312" w:hAnsi="仿宋_GB2312" w:eastAsia="仿宋_GB2312" w:cs="仿宋_GB2312"/>
          <w:color w:val="auto"/>
          <w:highlight w:val="none"/>
        </w:rPr>
        <w:t>附件</w:t>
      </w:r>
      <w:bookmarkEnd w:id="402"/>
    </w:p>
    <w:p>
      <w:pPr>
        <w:spacing w:line="360" w:lineRule="auto"/>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附件1：</w:t>
      </w:r>
    </w:p>
    <w:p>
      <w:pPr>
        <w:spacing w:line="360" w:lineRule="auto"/>
        <w:jc w:val="center"/>
        <w:rPr>
          <w:rFonts w:hint="eastAsia" w:ascii="仿宋_GB2312" w:hAnsi="仿宋_GB2312" w:eastAsia="仿宋_GB2312" w:cs="仿宋_GB2312"/>
          <w:b/>
          <w:color w:val="auto"/>
          <w:spacing w:val="6"/>
          <w:sz w:val="32"/>
          <w:szCs w:val="32"/>
          <w:highlight w:val="none"/>
        </w:rPr>
      </w:pPr>
      <w:bookmarkStart w:id="403" w:name="OLE_LINK14"/>
      <w:bookmarkStart w:id="404" w:name="OLE_LINK13"/>
      <w:r>
        <w:rPr>
          <w:rFonts w:hint="eastAsia" w:ascii="仿宋_GB2312" w:hAnsi="仿宋_GB2312" w:eastAsia="仿宋_GB2312" w:cs="仿宋_GB2312"/>
          <w:b/>
          <w:color w:val="auto"/>
          <w:spacing w:val="6"/>
          <w:sz w:val="32"/>
          <w:szCs w:val="32"/>
          <w:highlight w:val="none"/>
        </w:rPr>
        <w:t>残疾人福利性单位声明函</w:t>
      </w:r>
    </w:p>
    <w:bookmarkEnd w:id="403"/>
    <w:bookmarkEnd w:id="404"/>
    <w:p>
      <w:pPr>
        <w:spacing w:line="360" w:lineRule="auto"/>
        <w:rPr>
          <w:rFonts w:hint="eastAsia" w:ascii="仿宋_GB2312" w:hAnsi="仿宋_GB2312" w:eastAsia="仿宋_GB2312" w:cs="仿宋_GB2312"/>
          <w:b/>
          <w:color w:val="auto"/>
          <w:spacing w:val="6"/>
          <w:sz w:val="30"/>
          <w:szCs w:val="30"/>
          <w:highlight w:val="none"/>
        </w:rPr>
      </w:pP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本单位对上述声明的真实性负责。如有虚假，将依法承担相应责任。</w:t>
      </w:r>
    </w:p>
    <w:p>
      <w:pPr>
        <w:spacing w:line="360" w:lineRule="auto"/>
        <w:ind w:firstLine="480" w:firstLineChars="200"/>
        <w:rPr>
          <w:rFonts w:hint="eastAsia" w:ascii="仿宋_GB2312" w:hAnsi="仿宋_GB2312" w:eastAsia="仿宋_GB2312" w:cs="仿宋_GB2312"/>
          <w:color w:val="auto"/>
          <w:sz w:val="24"/>
          <w:highlight w:val="none"/>
        </w:rPr>
      </w:pPr>
    </w:p>
    <w:p>
      <w:pPr>
        <w:spacing w:line="360" w:lineRule="auto"/>
        <w:ind w:firstLine="480" w:firstLineChars="200"/>
        <w:rPr>
          <w:rFonts w:hint="eastAsia" w:ascii="仿宋_GB2312" w:hAnsi="仿宋_GB2312" w:eastAsia="仿宋_GB2312" w:cs="仿宋_GB2312"/>
          <w:color w:val="auto"/>
          <w:sz w:val="24"/>
          <w:highlight w:val="none"/>
        </w:rPr>
      </w:pPr>
    </w:p>
    <w:p>
      <w:pPr>
        <w:tabs>
          <w:tab w:val="left" w:pos="4860"/>
        </w:tabs>
        <w:spacing w:line="360" w:lineRule="auto"/>
        <w:ind w:right="1560"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投标人名称（电子签名）</w:t>
      </w:r>
      <w:r>
        <w:rPr>
          <w:rFonts w:hint="eastAsia" w:ascii="仿宋_GB2312" w:hAnsi="仿宋_GB2312" w:eastAsia="仿宋_GB2312" w:cs="仿宋_GB2312"/>
          <w:color w:val="auto"/>
          <w:sz w:val="24"/>
          <w:highlight w:val="none"/>
        </w:rPr>
        <w:t>：</w:t>
      </w:r>
    </w:p>
    <w:p>
      <w:pPr>
        <w:tabs>
          <w:tab w:val="left" w:pos="4860"/>
        </w:tabs>
        <w:spacing w:line="360" w:lineRule="auto"/>
        <w:ind w:right="1560"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p>
    <w:p>
      <w:pPr>
        <w:spacing w:line="360" w:lineRule="auto"/>
        <w:ind w:firstLine="480" w:firstLineChars="200"/>
        <w:rPr>
          <w:rFonts w:hint="eastAsia" w:ascii="仿宋_GB2312" w:hAnsi="仿宋_GB2312" w:eastAsia="仿宋_GB2312" w:cs="仿宋_GB2312"/>
          <w:color w:val="auto"/>
          <w:sz w:val="24"/>
          <w:highlight w:val="none"/>
        </w:rPr>
      </w:pPr>
    </w:p>
    <w:p>
      <w:pPr>
        <w:spacing w:line="360" w:lineRule="auto"/>
        <w:ind w:firstLine="420" w:firstLineChars="200"/>
        <w:rPr>
          <w:rFonts w:hint="eastAsia" w:ascii="仿宋_GB2312" w:hAnsi="仿宋_GB2312" w:eastAsia="仿宋_GB2312" w:cs="仿宋_GB2312"/>
          <w:color w:val="auto"/>
          <w:highlight w:val="none"/>
        </w:rPr>
      </w:pPr>
    </w:p>
    <w:p>
      <w:pPr>
        <w:spacing w:line="360" w:lineRule="auto"/>
        <w:ind w:firstLine="420" w:firstLineChars="200"/>
        <w:rPr>
          <w:rFonts w:hint="eastAsia" w:ascii="仿宋_GB2312" w:hAnsi="仿宋_GB2312" w:eastAsia="仿宋_GB2312" w:cs="仿宋_GB2312"/>
          <w:color w:val="auto"/>
          <w:highlight w:val="none"/>
        </w:rPr>
      </w:pPr>
    </w:p>
    <w:p>
      <w:pPr>
        <w:spacing w:line="360" w:lineRule="auto"/>
        <w:ind w:firstLine="420" w:firstLineChars="200"/>
        <w:rPr>
          <w:rFonts w:hint="eastAsia" w:ascii="仿宋_GB2312" w:hAnsi="仿宋_GB2312" w:eastAsia="仿宋_GB2312" w:cs="仿宋_GB2312"/>
          <w:color w:val="auto"/>
          <w:highlight w:val="none"/>
        </w:rPr>
      </w:pPr>
    </w:p>
    <w:p>
      <w:pPr>
        <w:spacing w:line="360" w:lineRule="auto"/>
        <w:ind w:firstLine="420" w:firstLineChars="200"/>
        <w:rPr>
          <w:rFonts w:hint="eastAsia" w:ascii="仿宋_GB2312" w:hAnsi="仿宋_GB2312" w:eastAsia="仿宋_GB2312" w:cs="仿宋_GB2312"/>
          <w:color w:val="auto"/>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jc w:val="left"/>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附件2：质疑函范本及制作说明</w:t>
      </w:r>
    </w:p>
    <w:p>
      <w:pPr>
        <w:spacing w:line="360" w:lineRule="auto"/>
        <w:jc w:val="center"/>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质疑函范本</w:t>
      </w:r>
    </w:p>
    <w:p>
      <w:pPr>
        <w:snapToGrid w:val="0"/>
        <w:spacing w:beforeLines="100"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一、质疑供应商基本信息</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质疑供应商：</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地址：邮编：</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联系人：联系电话：</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地址：邮编：</w:t>
      </w:r>
    </w:p>
    <w:p>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二、质疑项目基本情况</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质疑项目的名称：</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质疑项目的编号：包号：</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采购人名称：</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采购文件获取日期：</w:t>
      </w:r>
    </w:p>
    <w:p>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三、质疑事项具体内容</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质疑事项1：</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事实依据：</w:t>
      </w:r>
    </w:p>
    <w:p>
      <w:pPr>
        <w:snapToGrid w:val="0"/>
        <w:spacing w:line="360" w:lineRule="auto"/>
        <w:rPr>
          <w:rFonts w:hint="eastAsia" w:ascii="仿宋_GB2312" w:hAnsi="仿宋_GB2312" w:eastAsia="仿宋_GB2312" w:cs="仿宋_GB2312"/>
          <w:color w:val="auto"/>
          <w:sz w:val="24"/>
          <w:highlight w:val="none"/>
        </w:rPr>
      </w:pP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法律依据：</w:t>
      </w:r>
    </w:p>
    <w:p>
      <w:pPr>
        <w:snapToGrid w:val="0"/>
        <w:spacing w:line="360" w:lineRule="auto"/>
        <w:rPr>
          <w:rFonts w:hint="eastAsia" w:ascii="仿宋_GB2312" w:hAnsi="仿宋_GB2312" w:eastAsia="仿宋_GB2312" w:cs="仿宋_GB2312"/>
          <w:color w:val="auto"/>
          <w:sz w:val="24"/>
          <w:highlight w:val="none"/>
          <w:u w:val="dotted"/>
        </w:rPr>
      </w:pP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质疑事项2</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p>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四、与质疑事项相关的质疑请求</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请求：</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pPr>
        <w:spacing w:line="360" w:lineRule="auto"/>
        <w:jc w:val="center"/>
        <w:rPr>
          <w:rFonts w:hint="eastAsia" w:ascii="仿宋_GB2312" w:hAnsi="仿宋_GB2312" w:eastAsia="仿宋_GB2312" w:cs="仿宋_GB2312"/>
          <w:b/>
          <w:bCs/>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质疑函制作说明：</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1.供应商提出质疑时，应提交质疑函和必要的证明材料。</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2.质疑供应商若委托代理人进行质疑的，质疑函应按要求列明“授权代表”的有关内容，并在附件中提交由质疑</w:t>
      </w:r>
      <w:r>
        <w:rPr>
          <w:rFonts w:hint="eastAsia" w:ascii="仿宋_GB2312" w:hAnsi="仿宋_GB2312" w:eastAsia="仿宋_GB2312" w:cs="仿宋_GB2312"/>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5.质疑函的质疑请求应与质疑事项相关。</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_GB2312" w:hAnsi="仿宋_GB2312" w:eastAsia="仿宋_GB2312" w:cs="仿宋_GB2312"/>
          <w:color w:val="auto"/>
          <w:sz w:val="30"/>
          <w:szCs w:val="30"/>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pStyle w:val="2"/>
        <w:rPr>
          <w:rFonts w:hint="eastAsia" w:ascii="仿宋_GB2312" w:hAnsi="仿宋_GB2312" w:eastAsia="仿宋_GB2312" w:cs="仿宋_GB2312"/>
          <w:b/>
          <w:color w:val="auto"/>
          <w:spacing w:val="6"/>
          <w:sz w:val="32"/>
          <w:szCs w:val="32"/>
          <w:highlight w:val="none"/>
        </w:rPr>
      </w:pPr>
    </w:p>
    <w:p>
      <w:pPr>
        <w:rPr>
          <w:rFonts w:hint="eastAsia"/>
          <w:color w:val="auto"/>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left"/>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附件3：投诉书范本及制作说明</w:t>
      </w:r>
    </w:p>
    <w:p>
      <w:pPr>
        <w:spacing w:line="360" w:lineRule="auto"/>
        <w:jc w:val="center"/>
        <w:rPr>
          <w:rFonts w:hint="eastAsia" w:ascii="仿宋_GB2312" w:hAnsi="仿宋_GB2312" w:eastAsia="仿宋_GB2312" w:cs="仿宋_GB2312"/>
          <w:b/>
          <w:color w:val="auto"/>
          <w:sz w:val="24"/>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投诉书范本</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一、投诉相关主体基本情况</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地址：邮编：</w:t>
      </w:r>
    </w:p>
    <w:p>
      <w:pPr>
        <w:tabs>
          <w:tab w:val="left" w:pos="6510"/>
        </w:tabs>
        <w:spacing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法定代表人/主要负责人：</w:t>
      </w:r>
    </w:p>
    <w:p>
      <w:pPr>
        <w:tabs>
          <w:tab w:val="left" w:pos="6510"/>
        </w:tabs>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联系电话：</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授权代表：联系电话</w:t>
      </w:r>
      <w:r>
        <w:rPr>
          <w:rFonts w:hint="eastAsia" w:ascii="仿宋_GB2312" w:hAnsi="仿宋_GB2312" w:eastAsia="仿宋_GB2312" w:cs="仿宋_GB2312"/>
          <w:color w:val="auto"/>
          <w:sz w:val="24"/>
          <w:highlight w:val="none"/>
          <w:u w:val="dotted"/>
        </w:rPr>
        <w:t>：</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地址：邮编：</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被投诉人1：</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地址：邮编：</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联系人：联系电话：</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被投诉人2</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相关供应商：</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地址：邮编：</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联系人：联系电话：</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二、投诉项目基本情况</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采购项目名称：</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采购项目编号：包号：</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采购人名称：</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代理机构名称：</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采购文件公告:</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采购结果公告:</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三、质疑基本情况</w:t>
      </w:r>
    </w:p>
    <w:p>
      <w:pPr>
        <w:spacing w:line="360" w:lineRule="auto"/>
        <w:ind w:firstLine="480" w:firstLineChars="200"/>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投诉人于年月日,向提出质疑，质疑事项为：</w:t>
      </w:r>
    </w:p>
    <w:p>
      <w:pPr>
        <w:spacing w:line="360" w:lineRule="auto"/>
        <w:rPr>
          <w:rFonts w:hint="eastAsia" w:ascii="仿宋_GB2312" w:hAnsi="仿宋_GB2312" w:eastAsia="仿宋_GB2312" w:cs="仿宋_GB2312"/>
          <w:color w:val="auto"/>
          <w:sz w:val="24"/>
          <w:highlight w:val="none"/>
          <w:u w:val="dotted"/>
        </w:rPr>
      </w:pPr>
    </w:p>
    <w:p>
      <w:pPr>
        <w:spacing w:line="360" w:lineRule="auto"/>
        <w:ind w:firstLine="360" w:firstLineChars="1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dotted"/>
        </w:rPr>
        <w:t>采购人/代理机构</w:t>
      </w:r>
      <w:r>
        <w:rPr>
          <w:rFonts w:hint="eastAsia" w:ascii="仿宋_GB2312" w:hAnsi="仿宋_GB2312" w:eastAsia="仿宋_GB2312" w:cs="仿宋_GB2312"/>
          <w:color w:val="auto"/>
          <w:sz w:val="24"/>
          <w:highlight w:val="none"/>
        </w:rPr>
        <w:t>于年月日,就质疑事项作出了答复/没有在法定期限内作出答复。</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四、投诉事项具体内容</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投诉事项 1：</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事实依据：</w:t>
      </w:r>
    </w:p>
    <w:p>
      <w:pPr>
        <w:spacing w:line="360" w:lineRule="auto"/>
        <w:rPr>
          <w:rFonts w:hint="eastAsia" w:ascii="仿宋_GB2312" w:hAnsi="仿宋_GB2312" w:eastAsia="仿宋_GB2312" w:cs="仿宋_GB2312"/>
          <w:color w:val="auto"/>
          <w:sz w:val="24"/>
          <w:highlight w:val="none"/>
          <w:u w:val="dotted"/>
        </w:rPr>
      </w:pP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法律依据：</w:t>
      </w:r>
    </w:p>
    <w:p>
      <w:pPr>
        <w:spacing w:line="360" w:lineRule="auto"/>
        <w:rPr>
          <w:rFonts w:hint="eastAsia" w:ascii="仿宋_GB2312" w:hAnsi="仿宋_GB2312" w:eastAsia="仿宋_GB2312" w:cs="仿宋_GB2312"/>
          <w:color w:val="auto"/>
          <w:sz w:val="24"/>
          <w:highlight w:val="none"/>
          <w:u w:val="dotted"/>
        </w:rPr>
      </w:pP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投诉事项2</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五、与投诉事项相关的投诉请求</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请求：</w:t>
      </w:r>
    </w:p>
    <w:p>
      <w:pPr>
        <w:spacing w:line="360" w:lineRule="auto"/>
        <w:rPr>
          <w:rFonts w:hint="eastAsia" w:ascii="仿宋_GB2312" w:hAnsi="仿宋_GB2312" w:eastAsia="仿宋_GB2312" w:cs="仿宋_GB2312"/>
          <w:color w:val="auto"/>
          <w:sz w:val="24"/>
          <w:highlight w:val="none"/>
          <w:u w:val="single"/>
        </w:rPr>
      </w:pP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投诉书制作说明：</w:t>
      </w:r>
    </w:p>
    <w:p>
      <w:pPr>
        <w:widowControl/>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2.投诉人若委托代理人进行投诉的，投诉书应按照要求列明“授权代表”的有关内容，并在附件中提交由</w:t>
      </w:r>
      <w:r>
        <w:rPr>
          <w:rFonts w:hint="eastAsia" w:ascii="仿宋_GB2312" w:hAnsi="仿宋_GB2312" w:eastAsia="仿宋_GB2312" w:cs="仿宋_GB2312"/>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6.投诉书的投诉请求应与投诉事项相关。</w:t>
      </w:r>
    </w:p>
    <w:p>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_GB2312" w:eastAsia="仿宋_GB2312" w:cs="仿宋_GB2312"/>
          <w:b/>
          <w:color w:val="auto"/>
          <w:sz w:val="24"/>
          <w:highlight w:val="none"/>
        </w:rPr>
      </w:pPr>
    </w:p>
    <w:p>
      <w:pPr>
        <w:pStyle w:val="2"/>
        <w:rPr>
          <w:rFonts w:hint="eastAsia" w:ascii="仿宋_GB2312" w:hAnsi="仿宋_GB2312" w:eastAsia="仿宋_GB2312" w:cs="仿宋_GB2312"/>
          <w:b/>
          <w:color w:val="auto"/>
          <w:sz w:val="24"/>
          <w:highlight w:val="none"/>
        </w:rPr>
      </w:pPr>
    </w:p>
    <w:p>
      <w:pPr>
        <w:rPr>
          <w:rFonts w:hint="eastAsia"/>
          <w:color w:val="auto"/>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pacing w:val="6"/>
          <w:sz w:val="32"/>
          <w:szCs w:val="32"/>
          <w:highlight w:val="none"/>
        </w:rPr>
        <w:t>附件4：</w:t>
      </w:r>
      <w:r>
        <w:rPr>
          <w:rFonts w:hint="eastAsia" w:ascii="仿宋_GB2312" w:hAnsi="仿宋_GB2312" w:eastAsia="仿宋_GB2312" w:cs="仿宋_GB2312"/>
          <w:b/>
          <w:bCs/>
          <w:color w:val="auto"/>
          <w:sz w:val="32"/>
          <w:szCs w:val="32"/>
          <w:highlight w:val="none"/>
        </w:rPr>
        <w:t>业务专用章使用说明函</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（采购人）、（采购代理机构）</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我方</w:t>
      </w:r>
      <w:r>
        <w:rPr>
          <w:rFonts w:hint="eastAsia" w:ascii="仿宋_GB2312" w:hAnsi="仿宋_GB2312" w:eastAsia="仿宋_GB2312" w:cs="仿宋_GB2312"/>
          <w:color w:val="auto"/>
          <w:sz w:val="24"/>
          <w:highlight w:val="none"/>
        </w:rPr>
        <w:t>(投标人全称)是中华人民共和国依法登记注册的合法企业，</w:t>
      </w:r>
      <w:r>
        <w:rPr>
          <w:rFonts w:hint="eastAsia" w:ascii="仿宋_GB2312" w:hAnsi="仿宋_GB2312" w:eastAsia="仿宋_GB2312" w:cs="仿宋_GB2312"/>
          <w:bCs/>
          <w:color w:val="auto"/>
          <w:sz w:val="24"/>
          <w:highlight w:val="none"/>
        </w:rPr>
        <w:t>在参加</w:t>
      </w:r>
      <w:r>
        <w:rPr>
          <w:rFonts w:hint="eastAsia" w:ascii="仿宋_GB2312" w:hAnsi="仿宋_GB2312" w:eastAsia="仿宋_GB2312" w:cs="仿宋_GB2312"/>
          <w:color w:val="auto"/>
          <w:sz w:val="24"/>
          <w:highlight w:val="none"/>
        </w:rPr>
        <w:t>你方组织的（项目名称）项目【招标编号：（采购编号）】</w:t>
      </w:r>
      <w:r>
        <w:rPr>
          <w:rFonts w:hint="eastAsia" w:ascii="仿宋_GB2312" w:hAnsi="仿宋_GB2312" w:eastAsia="仿宋_GB2312" w:cs="仿宋_GB2312"/>
          <w:bCs/>
          <w:color w:val="auto"/>
          <w:sz w:val="24"/>
          <w:highlight w:val="none"/>
        </w:rPr>
        <w:t>投标活动中作如下说明：</w:t>
      </w:r>
      <w:r>
        <w:rPr>
          <w:rFonts w:hint="eastAsia" w:ascii="仿宋_GB2312" w:hAnsi="仿宋_GB2312" w:eastAsia="仿宋_GB2312" w:cs="仿宋_GB2312"/>
          <w:color w:val="auto"/>
          <w:sz w:val="24"/>
          <w:highlight w:val="none"/>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特此说明。</w:t>
      </w:r>
    </w:p>
    <w:p>
      <w:pPr>
        <w:spacing w:line="360" w:lineRule="auto"/>
        <w:ind w:firstLine="494"/>
        <w:rPr>
          <w:rFonts w:hint="eastAsia" w:ascii="仿宋_GB2312" w:hAnsi="仿宋_GB2312" w:eastAsia="仿宋_GB2312" w:cs="仿宋_GB2312"/>
          <w:color w:val="auto"/>
          <w:sz w:val="24"/>
          <w:highlight w:val="none"/>
        </w:rPr>
      </w:pPr>
    </w:p>
    <w:p>
      <w:pPr>
        <w:spacing w:line="360" w:lineRule="auto"/>
        <w:ind w:firstLine="494"/>
        <w:rPr>
          <w:rFonts w:hint="eastAsia" w:ascii="仿宋_GB2312" w:hAnsi="仿宋_GB2312" w:eastAsia="仿宋_GB2312" w:cs="仿宋_GB2312"/>
          <w:color w:val="auto"/>
          <w:sz w:val="24"/>
          <w:highlight w:val="none"/>
        </w:rPr>
      </w:pPr>
    </w:p>
    <w:p>
      <w:pPr>
        <w:spacing w:line="360" w:lineRule="auto"/>
        <w:ind w:firstLine="494"/>
        <w:rPr>
          <w:rFonts w:hint="eastAsia" w:ascii="仿宋_GB2312" w:hAnsi="仿宋_GB2312" w:eastAsia="仿宋_GB2312" w:cs="仿宋_GB2312"/>
          <w:color w:val="auto"/>
          <w:sz w:val="24"/>
          <w:highlight w:val="none"/>
        </w:rPr>
      </w:pPr>
    </w:p>
    <w:p>
      <w:pPr>
        <w:spacing w:line="360" w:lineRule="auto"/>
        <w:ind w:firstLine="494"/>
        <w:rPr>
          <w:rFonts w:hint="eastAsia" w:ascii="仿宋_GB2312" w:hAnsi="仿宋_GB2312" w:eastAsia="仿宋_GB2312" w:cs="仿宋_GB2312"/>
          <w:color w:val="auto"/>
          <w:sz w:val="24"/>
          <w:highlight w:val="none"/>
        </w:rPr>
      </w:pPr>
    </w:p>
    <w:p>
      <w:pPr>
        <w:spacing w:line="360" w:lineRule="auto"/>
        <w:ind w:right="480" w:firstLine="4080" w:firstLineChars="17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投标单位（法定名称章）：</w:t>
      </w:r>
    </w:p>
    <w:p>
      <w:pPr>
        <w:ind w:right="1440" w:firstLine="494"/>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日期：       年     月     日</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附：</w:t>
      </w:r>
    </w:p>
    <w:p>
      <w:pPr>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bCs/>
          <w:color w:val="auto"/>
          <w:kern w:val="2"/>
          <w:sz w:val="24"/>
          <w:szCs w:val="24"/>
          <w:highlight w:val="none"/>
          <w:lang w:val="en-US" w:eastAsia="zh-CN" w:bidi="ar-SA"/>
        </w:rPr>
        <w:pict>
          <v:rect id="Rectangle 17" o:spid="_x0000_s1028"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_GB2312" w:hAnsi="仿宋_GB2312" w:eastAsia="仿宋_GB2312" w:cs="仿宋_GB2312"/>
          <w:b/>
          <w:bCs/>
          <w:color w:val="auto"/>
          <w:kern w:val="2"/>
          <w:sz w:val="24"/>
          <w:szCs w:val="24"/>
          <w:highlight w:val="none"/>
          <w:lang w:val="en-US" w:eastAsia="zh-CN" w:bidi="ar-SA"/>
        </w:rPr>
        <w:pict>
          <v:rect id="Rectangle 16" o:spid="_x0000_s1029"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_GB2312" w:hAnsi="仿宋_GB2312" w:eastAsia="仿宋_GB2312" w:cs="仿宋_GB2312"/>
          <w:color w:val="auto"/>
          <w:sz w:val="24"/>
          <w:highlight w:val="none"/>
        </w:rPr>
        <w:t>投标单位法定名称章（印模）投标单位“XX专用章”（印模）</w:t>
      </w: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pacing w:val="6"/>
          <w:sz w:val="32"/>
          <w:szCs w:val="32"/>
          <w:highlight w:val="none"/>
        </w:rPr>
        <w:t>附件5：</w:t>
      </w:r>
      <w:r>
        <w:rPr>
          <w:rFonts w:hint="eastAsia" w:ascii="仿宋_GB2312" w:hAnsi="仿宋_GB2312" w:eastAsia="仿宋_GB2312" w:cs="仿宋_GB2312"/>
          <w:b/>
          <w:color w:val="auto"/>
          <w:sz w:val="32"/>
          <w:szCs w:val="32"/>
          <w:highlight w:val="none"/>
        </w:rPr>
        <w:t>中小企业声明函</w:t>
      </w:r>
    </w:p>
    <w:p>
      <w:pPr>
        <w:spacing w:line="360" w:lineRule="auto"/>
        <w:jc w:val="center"/>
        <w:rPr>
          <w:rFonts w:hint="eastAsia" w:ascii="仿宋_GB2312" w:hAnsi="仿宋_GB2312" w:eastAsia="仿宋_GB2312" w:cs="仿宋_GB2312"/>
          <w:color w:val="auto"/>
          <w:sz w:val="24"/>
          <w:highlight w:val="none"/>
          <w:u w:val="single"/>
        </w:rPr>
      </w:pPr>
    </w:p>
    <w:p>
      <w:pPr>
        <w:spacing w:line="360" w:lineRule="auto"/>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中小企业声明函（工程、服务）</w:t>
      </w:r>
    </w:p>
    <w:p>
      <w:pPr>
        <w:spacing w:line="360" w:lineRule="auto"/>
        <w:rPr>
          <w:rFonts w:hint="eastAsia" w:ascii="仿宋_GB2312" w:hAnsi="仿宋_GB2312" w:eastAsia="仿宋_GB2312" w:cs="仿宋_GB2312"/>
          <w:color w:val="auto"/>
          <w:highlight w:val="none"/>
        </w:rPr>
      </w:pPr>
    </w:p>
    <w:p>
      <w:pPr>
        <w:spacing w:line="360" w:lineRule="auto"/>
        <w:ind w:firstLine="360" w:firstLineChars="15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u w:val="single"/>
        </w:rPr>
        <w:t>保安服务</w:t>
      </w:r>
      <w:r>
        <w:rPr>
          <w:rFonts w:hint="eastAsia" w:ascii="仿宋_GB2312" w:hAnsi="仿宋_GB2312" w:eastAsia="仿宋_GB2312" w:cs="仿宋_GB2312"/>
          <w:color w:val="auto"/>
          <w:sz w:val="24"/>
          <w:highlight w:val="none"/>
        </w:rPr>
        <w:t>，属于</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其他未列明行业</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 xml:space="preserve"> ；承建（承接）企业为 </w:t>
      </w:r>
      <w:r>
        <w:rPr>
          <w:rFonts w:hint="eastAsia" w:ascii="仿宋_GB2312" w:hAnsi="仿宋_GB2312" w:eastAsia="仿宋_GB2312" w:cs="仿宋_GB2312"/>
          <w:color w:val="auto"/>
          <w:sz w:val="24"/>
          <w:highlight w:val="none"/>
          <w:u w:val="single"/>
        </w:rPr>
        <w:t>（企业名称）</w:t>
      </w:r>
      <w:r>
        <w:rPr>
          <w:rFonts w:hint="eastAsia" w:ascii="仿宋_GB2312" w:hAnsi="仿宋_GB2312" w:eastAsia="仿宋_GB2312" w:cs="仿宋_GB2312"/>
          <w:color w:val="auto"/>
          <w:sz w:val="24"/>
          <w:highlight w:val="none"/>
        </w:rPr>
        <w:t xml:space="preserve"> ，从业人员人，营业收入为万元，资产总额为万元属于</w:t>
      </w:r>
      <w:r>
        <w:rPr>
          <w:rFonts w:hint="eastAsia" w:ascii="仿宋_GB2312" w:hAnsi="仿宋_GB2312" w:eastAsia="仿宋_GB2312" w:cs="仿宋_GB2312"/>
          <w:color w:val="auto"/>
          <w:sz w:val="24"/>
          <w:highlight w:val="none"/>
          <w:u w:val="single"/>
        </w:rPr>
        <w:t xml:space="preserve"> （中型企业、小型企业、微型企业） </w:t>
      </w:r>
      <w:r>
        <w:rPr>
          <w:rFonts w:hint="eastAsia" w:ascii="仿宋_GB2312" w:hAnsi="仿宋_GB2312" w:eastAsia="仿宋_GB2312" w:cs="仿宋_GB2312"/>
          <w:color w:val="auto"/>
          <w:sz w:val="24"/>
          <w:highlight w:val="none"/>
        </w:rPr>
        <w:t>；</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u w:val="single"/>
        </w:rPr>
        <w:t>（标的名称）</w:t>
      </w:r>
      <w:r>
        <w:rPr>
          <w:rFonts w:hint="eastAsia" w:ascii="仿宋_GB2312" w:hAnsi="仿宋_GB2312" w:eastAsia="仿宋_GB2312" w:cs="仿宋_GB2312"/>
          <w:color w:val="auto"/>
          <w:sz w:val="24"/>
          <w:highlight w:val="none"/>
        </w:rPr>
        <w:t>，属于</w:t>
      </w:r>
      <w:r>
        <w:rPr>
          <w:rFonts w:hint="eastAsia" w:ascii="仿宋_GB2312" w:hAnsi="仿宋_GB2312" w:eastAsia="仿宋_GB2312" w:cs="仿宋_GB2312"/>
          <w:color w:val="auto"/>
          <w:sz w:val="24"/>
          <w:highlight w:val="none"/>
          <w:u w:val="single"/>
        </w:rPr>
        <w:t>（采购文件中明确的所属行业）</w:t>
      </w:r>
      <w:r>
        <w:rPr>
          <w:rFonts w:hint="eastAsia" w:ascii="仿宋_GB2312" w:hAnsi="仿宋_GB2312" w:eastAsia="仿宋_GB2312" w:cs="仿宋_GB2312"/>
          <w:color w:val="auto"/>
          <w:sz w:val="24"/>
          <w:highlight w:val="none"/>
        </w:rPr>
        <w:t xml:space="preserve"> ；承建（承接）企业为 </w:t>
      </w:r>
      <w:r>
        <w:rPr>
          <w:rFonts w:hint="eastAsia" w:ascii="仿宋_GB2312" w:hAnsi="仿宋_GB2312" w:eastAsia="仿宋_GB2312" w:cs="仿宋_GB2312"/>
          <w:color w:val="auto"/>
          <w:sz w:val="24"/>
          <w:highlight w:val="none"/>
          <w:u w:val="single"/>
        </w:rPr>
        <w:t>（企业名称）</w:t>
      </w:r>
      <w:r>
        <w:rPr>
          <w:rFonts w:hint="eastAsia" w:ascii="仿宋_GB2312" w:hAnsi="仿宋_GB2312" w:eastAsia="仿宋_GB2312" w:cs="仿宋_GB2312"/>
          <w:color w:val="auto"/>
          <w:sz w:val="24"/>
          <w:highlight w:val="none"/>
        </w:rPr>
        <w:t xml:space="preserve"> ，从业人员人，营业收入为万元，资产总额为万元属于</w:t>
      </w:r>
      <w:r>
        <w:rPr>
          <w:rFonts w:hint="eastAsia" w:ascii="仿宋_GB2312" w:hAnsi="仿宋_GB2312" w:eastAsia="仿宋_GB2312" w:cs="仿宋_GB2312"/>
          <w:color w:val="auto"/>
          <w:sz w:val="24"/>
          <w:highlight w:val="none"/>
          <w:u w:val="single"/>
        </w:rPr>
        <w:t xml:space="preserve"> （中型企业、小型企业、微型企业） </w:t>
      </w:r>
      <w:r>
        <w:rPr>
          <w:rFonts w:hint="eastAsia" w:ascii="仿宋_GB2312" w:hAnsi="仿宋_GB2312" w:eastAsia="仿宋_GB2312" w:cs="仿宋_GB2312"/>
          <w:color w:val="auto"/>
          <w:sz w:val="24"/>
          <w:highlight w:val="none"/>
        </w:rPr>
        <w:t>；</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本企业对上述声明内容的真实性负责。如有虚假，将依法承担相应责任。</w:t>
      </w:r>
    </w:p>
    <w:p>
      <w:pPr>
        <w:spacing w:line="360" w:lineRule="auto"/>
        <w:ind w:right="176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投标人名称（电子签名）：</w:t>
      </w:r>
    </w:p>
    <w:p>
      <w:pPr>
        <w:spacing w:line="360" w:lineRule="auto"/>
        <w:ind w:right="1120" w:firstLine="4680" w:firstLineChars="19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pPr>
        <w:spacing w:line="360" w:lineRule="auto"/>
        <w:ind w:firstLine="310" w:firstLineChars="147"/>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从业人员、营业收入、资产总额填报上一年度数据，无上一年度数据的新成立企业可不填报。</w:t>
      </w:r>
    </w:p>
    <w:p>
      <w:pPr>
        <w:spacing w:line="360" w:lineRule="auto"/>
        <w:ind w:right="420"/>
        <w:rPr>
          <w:rFonts w:hint="eastAsia" w:ascii="仿宋_GB2312" w:hAnsi="仿宋_GB2312" w:eastAsia="仿宋_GB2312" w:cs="仿宋_GB2312"/>
          <w:color w:val="auto"/>
          <w:sz w:val="24"/>
          <w:highlight w:val="none"/>
        </w:rPr>
      </w:pPr>
    </w:p>
    <w:p>
      <w:pPr>
        <w:spacing w:line="360" w:lineRule="auto"/>
        <w:ind w:right="42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仿宋_GB2312" w:hAnsi="仿宋_GB2312" w:eastAsia="仿宋_GB2312" w:cs="仿宋_GB2312"/>
          <w:color w:val="auto"/>
          <w:highlight w:val="none"/>
          <w:lang w:val="en-US"/>
        </w:rPr>
      </w:pPr>
    </w:p>
    <w:p>
      <w:pPr>
        <w:spacing w:line="360" w:lineRule="auto"/>
        <w:ind w:right="420"/>
        <w:rPr>
          <w:rFonts w:hint="eastAsia" w:ascii="仿宋_GB2312" w:hAnsi="仿宋_GB2312" w:eastAsia="仿宋_GB2312" w:cs="仿宋_GB2312"/>
          <w:color w:val="auto"/>
          <w:highlight w:val="none"/>
        </w:rPr>
      </w:pPr>
    </w:p>
    <w:p>
      <w:pPr>
        <w:pStyle w:val="24"/>
        <w:ind w:firstLine="0"/>
        <w:rPr>
          <w:rFonts w:hint="eastAsia" w:ascii="仿宋_GB2312" w:hAnsi="仿宋_GB2312" w:eastAsia="仿宋_GB2312" w:cs="仿宋_GB2312"/>
          <w:b/>
          <w:color w:val="auto"/>
          <w:szCs w:val="21"/>
          <w:highlight w:val="none"/>
          <w:lang w:val="en-US"/>
        </w:rPr>
      </w:pPr>
      <w:r>
        <w:rPr>
          <w:rFonts w:hint="eastAsia" w:ascii="仿宋_GB2312" w:hAnsi="仿宋_GB2312" w:eastAsia="仿宋_GB2312" w:cs="仿宋_GB2312"/>
          <w:b/>
          <w:color w:val="auto"/>
          <w:szCs w:val="21"/>
          <w:highlight w:val="none"/>
        </w:rPr>
        <w:t>附件</w:t>
      </w:r>
      <w:r>
        <w:rPr>
          <w:rFonts w:hint="eastAsia" w:ascii="仿宋_GB2312" w:hAnsi="仿宋_GB2312" w:eastAsia="仿宋_GB2312" w:cs="仿宋_GB2312"/>
          <w:b/>
          <w:color w:val="auto"/>
          <w:szCs w:val="21"/>
          <w:highlight w:val="none"/>
          <w:lang w:val="en-US"/>
        </w:rPr>
        <w:t>：</w:t>
      </w:r>
      <w:r>
        <w:rPr>
          <w:rFonts w:hint="eastAsia" w:ascii="仿宋_GB2312" w:hAnsi="仿宋_GB2312" w:eastAsia="仿宋_GB2312" w:cs="仿宋_GB2312"/>
          <w:b/>
          <w:color w:val="auto"/>
          <w:szCs w:val="21"/>
          <w:highlight w:val="none"/>
        </w:rPr>
        <w:t>中小企业划</w:t>
      </w:r>
    </w:p>
    <w:p>
      <w:pPr>
        <w:pStyle w:val="618"/>
        <w:spacing w:line="500" w:lineRule="exac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8"/>
        <w:spacing w:line="500" w:lineRule="exact"/>
        <w:jc w:val="center"/>
        <w:rPr>
          <w:rFonts w:hint="eastAsia" w:ascii="仿宋_GB2312" w:hAnsi="仿宋_GB2312" w:eastAsia="仿宋_GB2312" w:cs="仿宋_GB2312"/>
          <w:b/>
          <w:color w:val="auto"/>
          <w:sz w:val="28"/>
          <w:szCs w:val="28"/>
          <w:highlight w:val="none"/>
        </w:rPr>
      </w:pPr>
    </w:p>
    <w:p>
      <w:pPr>
        <w:pStyle w:val="618"/>
        <w:spacing w:line="500" w:lineRule="exact"/>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中小企业划型标准规定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一、根据《中华人民共和国中小企业促进法》和《</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"https://www.shui5.cn/article/47/26142.html"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pacing w:val="6"/>
          <w:szCs w:val="21"/>
          <w:highlight w:val="none"/>
        </w:rPr>
        <w:t>国务院关于进一步促进中小企业发展的若干意见</w:t>
      </w:r>
      <w:r>
        <w:rPr>
          <w:rFonts w:hint="eastAsia" w:ascii="仿宋_GB2312" w:hAnsi="仿宋_GB2312" w:eastAsia="仿宋_GB2312" w:cs="仿宋_GB2312"/>
          <w:color w:val="auto"/>
          <w:spacing w:val="6"/>
          <w:szCs w:val="21"/>
          <w:highlight w:val="none"/>
        </w:rPr>
        <w:fldChar w:fldCharType="end"/>
      </w:r>
      <w:r>
        <w:rPr>
          <w:rFonts w:hint="eastAsia" w:ascii="仿宋_GB2312" w:hAnsi="仿宋_GB2312" w:eastAsia="仿宋_GB2312" w:cs="仿宋_GB2312"/>
          <w:color w:val="auto"/>
          <w:spacing w:val="6"/>
          <w:szCs w:val="21"/>
          <w:highlight w:val="none"/>
        </w:rPr>
        <w:t>》（</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"https://www.shui5.cn/article/47/26142.html"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pacing w:val="6"/>
          <w:szCs w:val="21"/>
          <w:highlight w:val="none"/>
        </w:rPr>
        <w:t>国发〔2009〕36号</w:t>
      </w:r>
      <w:r>
        <w:rPr>
          <w:rFonts w:hint="eastAsia" w:ascii="仿宋_GB2312" w:hAnsi="仿宋_GB2312" w:eastAsia="仿宋_GB2312" w:cs="仿宋_GB2312"/>
          <w:color w:val="auto"/>
          <w:spacing w:val="6"/>
          <w:szCs w:val="21"/>
          <w:highlight w:val="none"/>
        </w:rPr>
        <w:fldChar w:fldCharType="end"/>
      </w:r>
      <w:r>
        <w:rPr>
          <w:rFonts w:hint="eastAsia" w:ascii="仿宋_GB2312" w:hAnsi="仿宋_GB2312" w:eastAsia="仿宋_GB2312" w:cs="仿宋_GB2312"/>
          <w:color w:val="auto"/>
          <w:spacing w:val="6"/>
          <w:szCs w:val="21"/>
          <w:highlight w:val="none"/>
        </w:rPr>
        <w:t>)，制定本规定。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二、中小企业划分为中型、小型、微型三种类型，具体标准根据企业从业人员、营业收入、资产总额等指标，结合行业特点制定。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lang w:eastAsia="zh-CN"/>
        </w:rPr>
      </w:pPr>
      <w:r>
        <w:rPr>
          <w:rFonts w:hint="eastAsia" w:ascii="仿宋_GB2312" w:hAnsi="仿宋_GB2312" w:eastAsia="仿宋_GB2312" w:cs="仿宋_GB2312"/>
          <w:color w:val="auto"/>
          <w:spacing w:val="6"/>
          <w:szCs w:val="21"/>
          <w:highlight w:val="none"/>
        </w:rPr>
        <w:t>四、各行业划型标准为：</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4"/>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五、企业类型的划分以统计部门的统计数据为依据。</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八、本规定由工业和信息化部、国家统计局会同有关部门根据《国民经济行业分类》修订情况和企业发展变化情况适时修订。</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九、本规定由工业和信息化部、国家统计局会同有关部门负责解释。</w:t>
      </w:r>
    </w:p>
    <w:p>
      <w:pPr>
        <w:pStyle w:val="618"/>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十、本规定自发布之日起执行，原国家经贸委、原国家计委、财政部和国家统计局2003年颁布的《</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"https://www.shui5.cn/article/df/24263.html"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pacing w:val="6"/>
          <w:szCs w:val="21"/>
          <w:highlight w:val="none"/>
        </w:rPr>
        <w:t>中小企业标准暂行规定</w:t>
      </w:r>
      <w:r>
        <w:rPr>
          <w:rFonts w:hint="eastAsia" w:ascii="仿宋_GB2312" w:hAnsi="仿宋_GB2312" w:eastAsia="仿宋_GB2312" w:cs="仿宋_GB2312"/>
          <w:color w:val="auto"/>
          <w:spacing w:val="6"/>
          <w:szCs w:val="21"/>
          <w:highlight w:val="none"/>
        </w:rPr>
        <w:fldChar w:fldCharType="end"/>
      </w:r>
      <w:r>
        <w:rPr>
          <w:rFonts w:hint="eastAsia" w:ascii="仿宋_GB2312" w:hAnsi="仿宋_GB2312" w:eastAsia="仿宋_GB2312" w:cs="仿宋_GB2312"/>
          <w:color w:val="auto"/>
          <w:spacing w:val="6"/>
          <w:szCs w:val="21"/>
          <w:highlight w:val="none"/>
        </w:rPr>
        <w:t>》</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"https://www.shui5.cn/article/df/24263.html"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pacing w:val="6"/>
          <w:szCs w:val="21"/>
          <w:highlight w:val="none"/>
        </w:rPr>
        <w:t>国经贸中小企[2003]143号</w:t>
      </w:r>
      <w:r>
        <w:rPr>
          <w:rFonts w:hint="eastAsia" w:ascii="仿宋_GB2312" w:hAnsi="仿宋_GB2312" w:eastAsia="仿宋_GB2312" w:cs="仿宋_GB2312"/>
          <w:color w:val="auto"/>
          <w:spacing w:val="6"/>
          <w:szCs w:val="21"/>
          <w:highlight w:val="none"/>
        </w:rPr>
        <w:fldChar w:fldCharType="end"/>
      </w:r>
      <w:r>
        <w:rPr>
          <w:rFonts w:hint="eastAsia" w:ascii="仿宋_GB2312" w:hAnsi="仿宋_GB2312" w:eastAsia="仿宋_GB2312" w:cs="仿宋_GB2312"/>
          <w:color w:val="auto"/>
          <w:spacing w:val="6"/>
          <w:szCs w:val="21"/>
          <w:highlight w:val="none"/>
        </w:rPr>
        <w:t>同时废止。</w:t>
      </w:r>
    </w:p>
    <w:p>
      <w:pPr>
        <w:spacing w:line="360" w:lineRule="auto"/>
        <w:rPr>
          <w:rFonts w:hint="eastAsia" w:ascii="仿宋_GB2312" w:hAnsi="仿宋_GB2312" w:eastAsia="仿宋_GB2312" w:cs="仿宋_GB2312"/>
          <w:bCs/>
          <w:color w:val="auto"/>
          <w:sz w:val="24"/>
          <w:highlight w:val="none"/>
        </w:rPr>
      </w:pPr>
    </w:p>
    <w:sectPr>
      <w:headerReference r:id="rId29" w:type="first"/>
      <w:footerReference r:id="rId31" w:type="first"/>
      <w:headerReference r:id="rId28" w:type="default"/>
      <w:footerReference r:id="rId3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auto"/>
    <w:pitch w:val="default"/>
    <w:sig w:usb0="00000000"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5" w:name="_Toc131845147"/>
    <w:bookmarkStart w:id="406" w:name="_Toc91899912"/>
    <w:bookmarkStart w:id="407" w:name="_Toc164085800"/>
    <w:bookmarkStart w:id="408" w:name="_Toc36110187"/>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ascii="Times New Roman" w:hAnsi="Times New Roman" w:eastAsia="??" w:cs="Times New Roman"/>
        <w:kern w:val="2"/>
        <w:sz w:val="18"/>
        <w:szCs w:val="28"/>
        <w:lang w:val="en-US" w:eastAsia="zh-CN" w:bidi="ar-SA"/>
      </w:rPr>
      <w:pict>
        <v:rect id="_x0000_s2049" o:spid="_x0000_s204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4"/>
      <w:rPr>
        <w:rStyle w:val="72"/>
      </w:rPr>
    </w:pPr>
    <w:r>
      <w:fldChar w:fldCharType="begin"/>
    </w:r>
    <w:r>
      <w:rPr>
        <w:rStyle w:val="72"/>
      </w:rPr>
      <w:instrText xml:space="preserve">PAGE  </w:instrText>
    </w:r>
    <w:r>
      <w:fldChar w:fldCharType="end"/>
    </w:r>
  </w:p>
  <w:p>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Style w:val="72"/>
        <w:b/>
      </w:rPr>
    </w:pPr>
    <w:r>
      <w:rPr>
        <w:rFonts w:ascii="Times New Roman" w:hAnsi="Times New Roman" w:eastAsia="宋体" w:cs="Times New Roman"/>
        <w:kern w:val="2"/>
        <w:sz w:val="24"/>
        <w:szCs w:val="18"/>
        <w:lang w:val="en-US" w:eastAsia="zh-CN" w:bidi="ar-SA"/>
      </w:rPr>
      <w:pict>
        <v:rect id="文本框 1" o:spid="_x0000_s2050"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rect>
      </w:pict>
    </w:r>
  </w:p>
  <w:p>
    <w:pPr>
      <w:pStyle w:val="40"/>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separate"/>
    </w:r>
    <w:r>
      <w:rPr>
        <w:rStyle w:val="72"/>
      </w:rPr>
      <w:t>63</w:t>
    </w:r>
    <w:r>
      <w:fldChar w:fldCharType="end"/>
    </w:r>
  </w:p>
  <w:p>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r>
      <w:rPr>
        <w:rFonts w:hint="eastAsia"/>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r>
      <w:rPr>
        <w:rFonts w:hint="eastAsia"/>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DD64B"/>
    <w:multiLevelType w:val="singleLevel"/>
    <w:tmpl w:val="A34DD64B"/>
    <w:lvl w:ilvl="0" w:tentative="0">
      <w:start w:val="1"/>
      <w:numFmt w:val="decimal"/>
      <w:suff w:val="nothing"/>
      <w:lvlText w:val="（%1）"/>
      <w:lvlJc w:val="left"/>
    </w:lvl>
  </w:abstractNum>
  <w:abstractNum w:abstractNumId="1">
    <w:nsid w:val="C89E7B12"/>
    <w:multiLevelType w:val="singleLevel"/>
    <w:tmpl w:val="C89E7B12"/>
    <w:lvl w:ilvl="0" w:tentative="0">
      <w:start w:val="1"/>
      <w:numFmt w:val="decimal"/>
      <w:lvlText w:val="%1."/>
      <w:lvlJc w:val="left"/>
      <w:pPr>
        <w:tabs>
          <w:tab w:val="left" w:pos="312"/>
        </w:tabs>
      </w:pPr>
    </w:lvl>
  </w:abstractNum>
  <w:abstractNum w:abstractNumId="2">
    <w:nsid w:val="5D670089"/>
    <w:multiLevelType w:val="singleLevel"/>
    <w:tmpl w:val="5D670089"/>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YxY2Q5Y2NhNDhjNTI0NDlmNGM3MmYxZjBhNzZhMD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861C6"/>
    <w:rsid w:val="026B2E25"/>
    <w:rsid w:val="02824D4D"/>
    <w:rsid w:val="02DC4B10"/>
    <w:rsid w:val="02DD76CE"/>
    <w:rsid w:val="02F36323"/>
    <w:rsid w:val="02F5619C"/>
    <w:rsid w:val="0326446A"/>
    <w:rsid w:val="032D5555"/>
    <w:rsid w:val="03530759"/>
    <w:rsid w:val="036634D2"/>
    <w:rsid w:val="03DD35E4"/>
    <w:rsid w:val="04076900"/>
    <w:rsid w:val="041A5A3B"/>
    <w:rsid w:val="042311BA"/>
    <w:rsid w:val="042B157A"/>
    <w:rsid w:val="048F763B"/>
    <w:rsid w:val="049F330E"/>
    <w:rsid w:val="04AA775C"/>
    <w:rsid w:val="04AF1889"/>
    <w:rsid w:val="04E4790F"/>
    <w:rsid w:val="04E7153F"/>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CD476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24F47"/>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385D98"/>
    <w:rsid w:val="12530213"/>
    <w:rsid w:val="127723A9"/>
    <w:rsid w:val="12862074"/>
    <w:rsid w:val="12883966"/>
    <w:rsid w:val="129B48F0"/>
    <w:rsid w:val="129E45B4"/>
    <w:rsid w:val="12D81596"/>
    <w:rsid w:val="13072A44"/>
    <w:rsid w:val="135F4BE2"/>
    <w:rsid w:val="139B1A0A"/>
    <w:rsid w:val="139D25C7"/>
    <w:rsid w:val="13BF3CE4"/>
    <w:rsid w:val="141008D8"/>
    <w:rsid w:val="14125FE6"/>
    <w:rsid w:val="146D271E"/>
    <w:rsid w:val="14982588"/>
    <w:rsid w:val="149A5AD9"/>
    <w:rsid w:val="14A7619D"/>
    <w:rsid w:val="14FE7203"/>
    <w:rsid w:val="150536C3"/>
    <w:rsid w:val="150C1963"/>
    <w:rsid w:val="151447A0"/>
    <w:rsid w:val="154A6454"/>
    <w:rsid w:val="15762120"/>
    <w:rsid w:val="15B21C35"/>
    <w:rsid w:val="16A8729C"/>
    <w:rsid w:val="16B33777"/>
    <w:rsid w:val="16BC70A7"/>
    <w:rsid w:val="16C6339E"/>
    <w:rsid w:val="172F2D79"/>
    <w:rsid w:val="17557BEF"/>
    <w:rsid w:val="176554B8"/>
    <w:rsid w:val="17D349C1"/>
    <w:rsid w:val="1830729E"/>
    <w:rsid w:val="1870062C"/>
    <w:rsid w:val="18817102"/>
    <w:rsid w:val="18830A15"/>
    <w:rsid w:val="18852B28"/>
    <w:rsid w:val="188B5321"/>
    <w:rsid w:val="19932372"/>
    <w:rsid w:val="19A20DD5"/>
    <w:rsid w:val="19AE03F1"/>
    <w:rsid w:val="1A071A03"/>
    <w:rsid w:val="1A1F16AE"/>
    <w:rsid w:val="1A3B5C77"/>
    <w:rsid w:val="1A984BAD"/>
    <w:rsid w:val="1A986220"/>
    <w:rsid w:val="1AB8220E"/>
    <w:rsid w:val="1AE4166C"/>
    <w:rsid w:val="1AE654C9"/>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DC4F16"/>
    <w:rsid w:val="1F0A0FF3"/>
    <w:rsid w:val="1F5771FF"/>
    <w:rsid w:val="1FE868A9"/>
    <w:rsid w:val="20034907"/>
    <w:rsid w:val="200F2CD0"/>
    <w:rsid w:val="20173E4B"/>
    <w:rsid w:val="204E48BC"/>
    <w:rsid w:val="208921B3"/>
    <w:rsid w:val="20973DEB"/>
    <w:rsid w:val="20B26522"/>
    <w:rsid w:val="20B44310"/>
    <w:rsid w:val="21001821"/>
    <w:rsid w:val="211116EB"/>
    <w:rsid w:val="216133FC"/>
    <w:rsid w:val="21D56769"/>
    <w:rsid w:val="21E52EF3"/>
    <w:rsid w:val="21FB5D7B"/>
    <w:rsid w:val="220B1C3D"/>
    <w:rsid w:val="221D1D20"/>
    <w:rsid w:val="22334A87"/>
    <w:rsid w:val="229D0DE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57CDC"/>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66044"/>
    <w:rsid w:val="29345E77"/>
    <w:rsid w:val="294C65AD"/>
    <w:rsid w:val="29806583"/>
    <w:rsid w:val="298B3C4C"/>
    <w:rsid w:val="29F26D24"/>
    <w:rsid w:val="2A15033F"/>
    <w:rsid w:val="2A1662C1"/>
    <w:rsid w:val="2A1C7367"/>
    <w:rsid w:val="2A2815FA"/>
    <w:rsid w:val="2A6D6092"/>
    <w:rsid w:val="2A7D76B4"/>
    <w:rsid w:val="2AB85BC4"/>
    <w:rsid w:val="2AEB525A"/>
    <w:rsid w:val="2B437463"/>
    <w:rsid w:val="2B7807EE"/>
    <w:rsid w:val="2BBF00EC"/>
    <w:rsid w:val="2BC37CFD"/>
    <w:rsid w:val="2BD5237F"/>
    <w:rsid w:val="2BE536CE"/>
    <w:rsid w:val="2BE758D9"/>
    <w:rsid w:val="2BF912DF"/>
    <w:rsid w:val="2C09049E"/>
    <w:rsid w:val="2C0A653C"/>
    <w:rsid w:val="2C191F85"/>
    <w:rsid w:val="2C414D18"/>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456834"/>
    <w:rsid w:val="34950E68"/>
    <w:rsid w:val="34986E94"/>
    <w:rsid w:val="34AF62C9"/>
    <w:rsid w:val="34CB4388"/>
    <w:rsid w:val="34FA6E12"/>
    <w:rsid w:val="358B56A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3B3739"/>
    <w:rsid w:val="39636459"/>
    <w:rsid w:val="396B7F6C"/>
    <w:rsid w:val="39B417A9"/>
    <w:rsid w:val="39FC5695"/>
    <w:rsid w:val="3A006D8E"/>
    <w:rsid w:val="3A3651E5"/>
    <w:rsid w:val="3A5A2382"/>
    <w:rsid w:val="3A5E4A7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94A35"/>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C9394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797299"/>
    <w:rsid w:val="4AA87600"/>
    <w:rsid w:val="4AB82D0F"/>
    <w:rsid w:val="4AEB7664"/>
    <w:rsid w:val="4AFD7C19"/>
    <w:rsid w:val="4B0567D1"/>
    <w:rsid w:val="4B236AAE"/>
    <w:rsid w:val="4B707271"/>
    <w:rsid w:val="4B9739F7"/>
    <w:rsid w:val="4BEE2503"/>
    <w:rsid w:val="4C245A30"/>
    <w:rsid w:val="4CB6685F"/>
    <w:rsid w:val="4CC367FE"/>
    <w:rsid w:val="4CD40DE8"/>
    <w:rsid w:val="4D077F3C"/>
    <w:rsid w:val="4D123355"/>
    <w:rsid w:val="4D2A3B31"/>
    <w:rsid w:val="4D312C52"/>
    <w:rsid w:val="4D905305"/>
    <w:rsid w:val="4D964A72"/>
    <w:rsid w:val="4D9C1254"/>
    <w:rsid w:val="4E3379F8"/>
    <w:rsid w:val="4E793892"/>
    <w:rsid w:val="4E800872"/>
    <w:rsid w:val="4EC569ED"/>
    <w:rsid w:val="4ED03489"/>
    <w:rsid w:val="4ED50EA1"/>
    <w:rsid w:val="4EEC050C"/>
    <w:rsid w:val="4F104EC3"/>
    <w:rsid w:val="4F3E697A"/>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3B4B5C"/>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86297"/>
    <w:rsid w:val="57AB7B30"/>
    <w:rsid w:val="57AF5251"/>
    <w:rsid w:val="57B26373"/>
    <w:rsid w:val="57B63F04"/>
    <w:rsid w:val="57C91A6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6723E"/>
    <w:rsid w:val="5AAD6F28"/>
    <w:rsid w:val="5AD63A24"/>
    <w:rsid w:val="5B2E1A1D"/>
    <w:rsid w:val="5B843A1C"/>
    <w:rsid w:val="5B873E3F"/>
    <w:rsid w:val="5BF26DC5"/>
    <w:rsid w:val="5C02690E"/>
    <w:rsid w:val="5C196DA7"/>
    <w:rsid w:val="5C2A048C"/>
    <w:rsid w:val="5C80234E"/>
    <w:rsid w:val="5C8A680C"/>
    <w:rsid w:val="5D0C4701"/>
    <w:rsid w:val="5D0F0395"/>
    <w:rsid w:val="5D221076"/>
    <w:rsid w:val="5D330D74"/>
    <w:rsid w:val="5D397964"/>
    <w:rsid w:val="5D5A391C"/>
    <w:rsid w:val="5D5F10C0"/>
    <w:rsid w:val="5D891B7B"/>
    <w:rsid w:val="5DAD38EE"/>
    <w:rsid w:val="5E006862"/>
    <w:rsid w:val="5E0207B9"/>
    <w:rsid w:val="5E1834A1"/>
    <w:rsid w:val="5E261785"/>
    <w:rsid w:val="5E4A7017"/>
    <w:rsid w:val="5E552BBA"/>
    <w:rsid w:val="5E586304"/>
    <w:rsid w:val="5E611C10"/>
    <w:rsid w:val="5EBD2245"/>
    <w:rsid w:val="5EFC7377"/>
    <w:rsid w:val="5F06174D"/>
    <w:rsid w:val="5F3A3602"/>
    <w:rsid w:val="5F6277C6"/>
    <w:rsid w:val="5F6D0B1D"/>
    <w:rsid w:val="5F8D0B82"/>
    <w:rsid w:val="5FCC5339"/>
    <w:rsid w:val="5FE34A5B"/>
    <w:rsid w:val="5FFE1E36"/>
    <w:rsid w:val="60232584"/>
    <w:rsid w:val="6041117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646458"/>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C1860"/>
    <w:rsid w:val="68B96DBB"/>
    <w:rsid w:val="68CA2805"/>
    <w:rsid w:val="68E937A3"/>
    <w:rsid w:val="693E15D3"/>
    <w:rsid w:val="69627681"/>
    <w:rsid w:val="6977531D"/>
    <w:rsid w:val="69CC2BFF"/>
    <w:rsid w:val="69FD55B8"/>
    <w:rsid w:val="6A0B1C62"/>
    <w:rsid w:val="6A2406C8"/>
    <w:rsid w:val="6A297CD0"/>
    <w:rsid w:val="6ADE0BD1"/>
    <w:rsid w:val="6AE96859"/>
    <w:rsid w:val="6B147746"/>
    <w:rsid w:val="6B24787C"/>
    <w:rsid w:val="6B573233"/>
    <w:rsid w:val="6B5B6274"/>
    <w:rsid w:val="6B935D53"/>
    <w:rsid w:val="6C027260"/>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08C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50675"/>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81300F"/>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4936A4"/>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6"/>
    <w:qFormat/>
    <w:uiPriority w:val="0"/>
    <w:pPr>
      <w:shd w:val="clear" w:color="auto" w:fill="000080"/>
    </w:pPr>
  </w:style>
  <w:style w:type="paragraph" w:styleId="19">
    <w:name w:val="annotation text"/>
    <w:basedOn w:val="1"/>
    <w:link w:val="854"/>
    <w:qFormat/>
    <w:uiPriority w:val="99"/>
    <w:pPr>
      <w:jc w:val="left"/>
    </w:pPr>
  </w:style>
  <w:style w:type="paragraph" w:styleId="20">
    <w:name w:val="Salutation"/>
    <w:basedOn w:val="1"/>
    <w:next w:val="1"/>
    <w:link w:val="814"/>
    <w:qFormat/>
    <w:uiPriority w:val="0"/>
    <w:rPr>
      <w:rFonts w:ascii="仿宋_GB2312" w:eastAsia="仿宋_GB2312"/>
      <w:sz w:val="28"/>
      <w:szCs w:val="20"/>
    </w:rPr>
  </w:style>
  <w:style w:type="paragraph" w:styleId="21">
    <w:name w:val="Body Text 3"/>
    <w:basedOn w:val="1"/>
    <w:link w:val="84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3"/>
    <w:qFormat/>
    <w:uiPriority w:val="0"/>
    <w:pPr>
      <w:ind w:firstLine="420"/>
    </w:pPr>
    <w:rPr>
      <w:rFonts w:hAnsi="Calibri" w:cs="Times New Roman"/>
      <w:szCs w:val="20"/>
    </w:rPr>
  </w:style>
  <w:style w:type="paragraph" w:styleId="25">
    <w:name w:val="Body Text Indent"/>
    <w:basedOn w:val="1"/>
    <w:next w:val="1"/>
    <w:link w:val="78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5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08"/>
    <w:qFormat/>
    <w:uiPriority w:val="0"/>
    <w:pPr>
      <w:ind w:left="100" w:leftChars="2500"/>
    </w:pPr>
    <w:rPr>
      <w:rFonts w:ascii="宋体"/>
      <w:sz w:val="24"/>
      <w:szCs w:val="21"/>
      <w:lang w:val="zh-CN"/>
    </w:rPr>
  </w:style>
  <w:style w:type="paragraph" w:styleId="37">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8">
    <w:name w:val="endnote text"/>
    <w:basedOn w:val="1"/>
    <w:link w:val="939"/>
    <w:qFormat/>
    <w:uiPriority w:val="0"/>
    <w:rPr>
      <w:lang w:val="zh-CN"/>
    </w:rPr>
  </w:style>
  <w:style w:type="paragraph" w:styleId="39">
    <w:name w:val="Balloon Text"/>
    <w:basedOn w:val="1"/>
    <w:link w:val="715"/>
    <w:qFormat/>
    <w:uiPriority w:val="0"/>
    <w:rPr>
      <w:sz w:val="18"/>
      <w:szCs w:val="18"/>
    </w:rPr>
  </w:style>
  <w:style w:type="paragraph" w:styleId="40">
    <w:name w:val="footer"/>
    <w:basedOn w:val="1"/>
    <w:link w:val="890"/>
    <w:qFormat/>
    <w:uiPriority w:val="99"/>
    <w:pPr>
      <w:tabs>
        <w:tab w:val="center" w:pos="4153"/>
        <w:tab w:val="right" w:pos="8306"/>
      </w:tabs>
      <w:snapToGrid w:val="0"/>
      <w:jc w:val="left"/>
    </w:pPr>
    <w:rPr>
      <w:sz w:val="18"/>
      <w:szCs w:val="18"/>
    </w:rPr>
  </w:style>
  <w:style w:type="paragraph" w:styleId="41">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24"/>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8"/>
    <w:qFormat/>
    <w:uiPriority w:val="0"/>
    <w:pPr>
      <w:spacing w:after="120" w:line="480" w:lineRule="auto"/>
    </w:pPr>
  </w:style>
  <w:style w:type="paragraph" w:styleId="57">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1"/>
    <w:qFormat/>
    <w:uiPriority w:val="0"/>
    <w:rPr>
      <w:b/>
      <w:bCs/>
    </w:rPr>
  </w:style>
  <w:style w:type="paragraph" w:styleId="61">
    <w:name w:val="Body Text First Indent 2"/>
    <w:basedOn w:val="25"/>
    <w:link w:val="65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5"/>
    <w:qFormat/>
    <w:uiPriority w:val="99"/>
    <w:pPr>
      <w:spacing w:line="200" w:lineRule="atLeast"/>
      <w:ind w:firstLine="420"/>
    </w:pPr>
    <w:rPr>
      <w:rFonts w:hAnsi="Courier New"/>
      <w:spacing w:val="-4"/>
      <w:sz w:val="18"/>
    </w:rPr>
  </w:style>
  <w:style w:type="paragraph" w:customStyle="1" w:styleId="80">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81">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3"/>
    <w:qFormat/>
    <w:uiPriority w:val="0"/>
    <w:pPr>
      <w:spacing w:before="156" w:line="360" w:lineRule="auto"/>
      <w:ind w:firstLine="510" w:firstLineChars="200"/>
    </w:pPr>
    <w:rPr>
      <w:sz w:val="24"/>
      <w:szCs w:val="20"/>
    </w:rPr>
  </w:style>
  <w:style w:type="paragraph" w:customStyle="1" w:styleId="87">
    <w:name w:val="无间隔1"/>
    <w:link w:val="671"/>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9"/>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2"/>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4"/>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6"/>
    <w:qFormat/>
    <w:uiPriority w:val="0"/>
    <w:pPr>
      <w:adjustRightInd/>
      <w:spacing w:line="360" w:lineRule="auto"/>
      <w:ind w:firstLine="480" w:firstLineChars="200"/>
    </w:pPr>
    <w:rPr>
      <w:kern w:val="0"/>
      <w:sz w:val="24"/>
    </w:rPr>
  </w:style>
  <w:style w:type="paragraph" w:customStyle="1" w:styleId="99">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7"/>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9"/>
    <w:qFormat/>
    <w:uiPriority w:val="0"/>
    <w:pPr>
      <w:tabs>
        <w:tab w:val="left" w:pos="2356"/>
      </w:tabs>
    </w:pPr>
  </w:style>
  <w:style w:type="paragraph" w:customStyle="1" w:styleId="104">
    <w:name w:val="样式 标题 4h4H4Fab-4T5Ref Heading 1rh1Heading sqlsect 1.2.3...."/>
    <w:basedOn w:val="6"/>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2"/>
    <w:qFormat/>
    <w:uiPriority w:val="0"/>
    <w:pPr>
      <w:adjustRightInd/>
    </w:pPr>
    <w:rPr>
      <w:rFonts w:ascii="宋体" w:hAnsi="Courier New"/>
      <w:kern w:val="0"/>
      <w:sz w:val="20"/>
      <w:szCs w:val="20"/>
    </w:rPr>
  </w:style>
  <w:style w:type="paragraph" w:customStyle="1" w:styleId="107">
    <w:name w:val="正文说明"/>
    <w:basedOn w:val="1"/>
    <w:link w:val="844"/>
    <w:qFormat/>
    <w:uiPriority w:val="0"/>
    <w:pPr>
      <w:adjustRightInd/>
      <w:spacing w:line="360" w:lineRule="auto"/>
    </w:pPr>
    <w:rPr>
      <w:kern w:val="0"/>
      <w:sz w:val="24"/>
    </w:rPr>
  </w:style>
  <w:style w:type="paragraph" w:customStyle="1" w:styleId="108">
    <w:name w:val="Table Text"/>
    <w:basedOn w:val="1"/>
    <w:link w:val="850"/>
    <w:qFormat/>
    <w:uiPriority w:val="0"/>
    <w:pPr>
      <w:widowControl/>
      <w:spacing w:before="60" w:after="60"/>
      <w:jc w:val="left"/>
    </w:pPr>
    <w:rPr>
      <w:kern w:val="0"/>
      <w:sz w:val="24"/>
    </w:rPr>
  </w:style>
  <w:style w:type="paragraph" w:customStyle="1" w:styleId="109">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2"/>
    <w:qFormat/>
    <w:uiPriority w:val="0"/>
    <w:pPr>
      <w:widowControl/>
      <w:snapToGrid w:val="0"/>
      <w:spacing w:afterLines="50"/>
      <w:ind w:firstLine="200" w:firstLineChars="200"/>
    </w:pPr>
    <w:rPr>
      <w:kern w:val="0"/>
      <w:sz w:val="24"/>
      <w:szCs w:val="20"/>
    </w:rPr>
  </w:style>
  <w:style w:type="paragraph" w:customStyle="1" w:styleId="114">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outlineLvl w:val="5"/>
    </w:pPr>
  </w:style>
  <w:style w:type="paragraph" w:customStyle="1" w:styleId="158">
    <w:name w:val="5级标题"/>
    <w:basedOn w:val="15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0"/>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4"/>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Lines="50"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7"/>
    <w:next w:val="97"/>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7"/>
    <w:next w:val="97"/>
    <w:qFormat/>
    <w:uiPriority w:val="0"/>
    <w:rPr>
      <w:rFonts w:ascii="宋体" w:eastAsia="宋体" w:cs="Times New Roman"/>
      <w:color w:val="auto"/>
    </w:rPr>
  </w:style>
  <w:style w:type="paragraph" w:customStyle="1" w:styleId="23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6"/>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Lines="0" w:afterLines="0"/>
      <w:ind w:left="1680"/>
      <w:outlineLvl w:val="2"/>
    </w:pPr>
  </w:style>
  <w:style w:type="paragraph" w:customStyle="1" w:styleId="341">
    <w:name w:val="章标题"/>
    <w:next w:val="32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Lines="50"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7"/>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纯文本3"/>
    <w:basedOn w:val="1"/>
    <w:qFormat/>
    <w:uiPriority w:val="0"/>
    <w:pPr>
      <w:adjustRightInd/>
      <w:snapToGrid w:val="0"/>
      <w:jc w:val="left"/>
    </w:pPr>
    <w:rPr>
      <w:rFonts w:ascii="Century Gothic" w:hAnsi="楷体_GB2312" w:eastAsia="Century Gothic"/>
      <w:szCs w:val="20"/>
    </w:rPr>
  </w:style>
  <w:style w:type="paragraph" w:customStyle="1" w:styleId="619">
    <w:name w:val="DAS正文"/>
    <w:basedOn w:val="1"/>
    <w:qFormat/>
    <w:uiPriority w:val="0"/>
    <w:pPr>
      <w:spacing w:line="360" w:lineRule="auto"/>
      <w:ind w:right="181" w:firstLine="480" w:firstLineChars="200"/>
    </w:pPr>
    <w:rPr>
      <w:rFonts w:ascii="Verdana" w:hAnsi="Verdana"/>
      <w:sz w:val="24"/>
    </w:rPr>
  </w:style>
  <w:style w:type="character" w:customStyle="1" w:styleId="620">
    <w:name w:val="表格非标题文字 Char"/>
    <w:link w:val="81"/>
    <w:qFormat/>
    <w:uiPriority w:val="0"/>
    <w:rPr>
      <w:rFonts w:ascii="Futura Bk" w:hAnsi="Futura Bk"/>
      <w:kern w:val="2"/>
      <w:sz w:val="18"/>
      <w:szCs w:val="21"/>
      <w:lang w:val="en-US" w:eastAsia="zh-CN" w:bidi="ar-SA"/>
    </w:rPr>
  </w:style>
  <w:style w:type="character" w:customStyle="1" w:styleId="621">
    <w:name w:val="*正文 Char"/>
    <w:link w:val="82"/>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3"/>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0"/>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4"/>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5"/>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1"/>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6"/>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7"/>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7"/>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8"/>
    <w:qFormat/>
    <w:uiPriority w:val="0"/>
    <w:rPr>
      <w:rFonts w:ascii="Arial" w:hAnsi="Arial" w:eastAsia="黑体"/>
      <w:b/>
      <w:bCs/>
      <w:kern w:val="2"/>
      <w:sz w:val="24"/>
      <w:szCs w:val="24"/>
    </w:rPr>
  </w:style>
  <w:style w:type="character" w:customStyle="1" w:styleId="679">
    <w:name w:val="纯文本 Char_0"/>
    <w:link w:val="88"/>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0"/>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1"/>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6"/>
    <w:qFormat/>
    <w:uiPriority w:val="0"/>
    <w:rPr>
      <w:rFonts w:ascii="宋体"/>
      <w:kern w:val="2"/>
      <w:sz w:val="24"/>
      <w:szCs w:val="21"/>
      <w:lang w:val="zh-CN"/>
    </w:rPr>
  </w:style>
  <w:style w:type="character" w:customStyle="1" w:styleId="709">
    <w:name w:val="标题 9 Char"/>
    <w:link w:val="11"/>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39"/>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2"/>
    <w:qFormat/>
    <w:locked/>
    <w:uiPriority w:val="0"/>
    <w:rPr>
      <w:rFonts w:ascii="Tahoma" w:hAnsi="Tahoma"/>
      <w:sz w:val="24"/>
      <w:szCs w:val="24"/>
    </w:rPr>
  </w:style>
  <w:style w:type="character" w:customStyle="1" w:styleId="719">
    <w:name w:val="正文缩进 Char2"/>
    <w:link w:val="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3"/>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8"/>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0"/>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5"/>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6"/>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6"/>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7"/>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8"/>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9"/>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0"/>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5"/>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2"/>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3"/>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9"/>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7"/>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0"/>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7"/>
    <w:qFormat/>
    <w:uiPriority w:val="0"/>
    <w:rPr>
      <w:rFonts w:ascii="黑体" w:hAnsi="Courier New" w:eastAsia="黑体"/>
    </w:rPr>
  </w:style>
  <w:style w:type="character" w:customStyle="1" w:styleId="818">
    <w:name w:val="正文文本 2 Char1"/>
    <w:link w:val="56"/>
    <w:qFormat/>
    <w:uiPriority w:val="0"/>
    <w:rPr>
      <w:kern w:val="2"/>
      <w:sz w:val="21"/>
      <w:szCs w:val="24"/>
    </w:rPr>
  </w:style>
  <w:style w:type="character" w:customStyle="1" w:styleId="819">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9"/>
    <w:qFormat/>
    <w:uiPriority w:val="0"/>
    <w:rPr>
      <w:b/>
      <w:bCs/>
      <w:kern w:val="2"/>
      <w:sz w:val="24"/>
      <w:szCs w:val="24"/>
    </w:rPr>
  </w:style>
  <w:style w:type="character" w:customStyle="1" w:styleId="822">
    <w:name w:val="正文文本缩进 2 Char"/>
    <w:link w:val="37"/>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0"/>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5"/>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6"/>
    <w:qFormat/>
    <w:uiPriority w:val="0"/>
    <w:rPr>
      <w:rFonts w:ascii="宋体" w:hAnsi="Courier New"/>
    </w:rPr>
  </w:style>
  <w:style w:type="character" w:customStyle="1" w:styleId="833">
    <w:name w:val="正文首行缩进 Char"/>
    <w:link w:val="24"/>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6"/>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1"/>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7"/>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8"/>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9"/>
    <w:qFormat/>
    <w:uiPriority w:val="0"/>
    <w:rPr>
      <w:kern w:val="2"/>
      <w:sz w:val="21"/>
      <w:szCs w:val="24"/>
    </w:rPr>
  </w:style>
  <w:style w:type="character" w:customStyle="1" w:styleId="855">
    <w:name w:val="签名 Char"/>
    <w:link w:val="42"/>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9"/>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0"/>
    <w:qFormat/>
    <w:uiPriority w:val="0"/>
    <w:rPr>
      <w:rFonts w:ascii="宋体"/>
    </w:rPr>
  </w:style>
  <w:style w:type="character" w:customStyle="1" w:styleId="866">
    <w:name w:val="标题 8 Char"/>
    <w:link w:val="10"/>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3"/>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1"/>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0"/>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2"/>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1"/>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3"/>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4"/>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5"/>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6"/>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7"/>
    <w:qFormat/>
    <w:uiPriority w:val="0"/>
    <w:rPr>
      <w:rFonts w:cs="宋体"/>
      <w:kern w:val="2"/>
      <w:sz w:val="24"/>
    </w:rPr>
  </w:style>
  <w:style w:type="character" w:customStyle="1" w:styleId="9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8"/>
    <w:qFormat/>
    <w:uiPriority w:val="0"/>
    <w:rPr>
      <w:kern w:val="2"/>
      <w:sz w:val="21"/>
      <w:szCs w:val="24"/>
      <w:lang w:val="zh-CN"/>
    </w:rPr>
  </w:style>
  <w:style w:type="character" w:customStyle="1" w:styleId="940">
    <w:name w:val="无间隔 Char"/>
    <w:link w:val="167"/>
    <w:qFormat/>
    <w:uiPriority w:val="99"/>
    <w:rPr>
      <w:kern w:val="2"/>
      <w:sz w:val="21"/>
      <w:szCs w:val="22"/>
    </w:rPr>
  </w:style>
  <w:style w:type="character" w:customStyle="1" w:styleId="941">
    <w:name w:val="标准文本 Char Char"/>
    <w:link w:val="605"/>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character" w:customStyle="1" w:styleId="958">
    <w:name w:val="NormalCharacter"/>
    <w:semiHidden/>
    <w:qFormat/>
    <w:uiPriority w:val="0"/>
    <w:rPr>
      <w:kern w:val="2"/>
      <w:sz w:val="21"/>
      <w:lang w:val="en-US" w:eastAsia="zh-CN" w:bidi="ar-SA"/>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46388</Words>
  <Characters>49694</Characters>
  <Lines>45</Lines>
  <Paragraphs>80</Paragraphs>
  <TotalTime>67</TotalTime>
  <ScaleCrop>false</ScaleCrop>
  <LinksUpToDate>false</LinksUpToDate>
  <CharactersWithSpaces>51336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WPS_1546044933</cp:lastModifiedBy>
  <cp:lastPrinted>2021-12-27T03:06:00Z</cp:lastPrinted>
  <dcterms:modified xsi:type="dcterms:W3CDTF">2022-08-29T07:57:47Z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FB21A30C9642476E8995810E4FF8F61F</vt:lpwstr>
  </property>
  <property fmtid="{D5CDD505-2E9C-101B-9397-08002B2CF9AE}" pid="5" name="commondata">
    <vt:lpwstr>eyJoZGlkIjoiMGY1MmEyNmIzOWVmY2Y1Mjg1NGNjNzFjMzI3M2RmZTkifQ==</vt:lpwstr>
  </property>
</Properties>
</file>