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lang w:eastAsia="zh-CN"/>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lang w:val="en-US" w:eastAsia="zh-CN"/>
        </w:rPr>
        <w:t>崇贤街道高新农业园区市政保洁绿化综合养护项目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HBZFCG-2024-016</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ascii="宋体" w:hAnsi="宋体" w:eastAsia="宋体" w:cs="仿宋"/>
          <w:color w:val="auto"/>
          <w:sz w:val="32"/>
          <w:szCs w:val="32"/>
          <w:highlight w:val="none"/>
        </w:rPr>
      </w:pPr>
      <w:r>
        <w:rPr>
          <w:rFonts w:hint="eastAsia" w:ascii="宋体" w:hAnsi="宋体" w:eastAsia="宋体" w:cs="仿宋"/>
          <w:color w:val="auto"/>
          <w:sz w:val="32"/>
          <w:szCs w:val="32"/>
          <w:highlight w:val="none"/>
        </w:rPr>
        <w:t>采购人：杭州市临平区人民政府崇贤街道办事处</w:t>
      </w:r>
    </w:p>
    <w:p>
      <w:pPr>
        <w:snapToGrid w:val="0"/>
        <w:spacing w:line="360" w:lineRule="auto"/>
        <w:jc w:val="center"/>
        <w:rPr>
          <w:rFonts w:hint="eastAsia" w:ascii="宋体" w:hAnsi="宋体" w:eastAsia="宋体" w:cs="宋体"/>
          <w:color w:val="auto"/>
          <w:sz w:val="32"/>
          <w:szCs w:val="32"/>
          <w:highlight w:val="none"/>
          <w:lang w:val="en-US" w:eastAsia="zh-CN"/>
        </w:rPr>
      </w:pPr>
      <w:r>
        <w:rPr>
          <w:rFonts w:hint="eastAsia" w:ascii="宋体" w:hAnsi="宋体" w:eastAsia="宋体" w:cs="仿宋"/>
          <w:color w:val="auto"/>
          <w:sz w:val="32"/>
          <w:szCs w:val="32"/>
          <w:highlight w:val="none"/>
        </w:rPr>
        <w:t>采购代理机构：</w:t>
      </w:r>
      <w:r>
        <w:rPr>
          <w:rFonts w:hint="eastAsia" w:ascii="宋体" w:hAnsi="宋体" w:eastAsia="宋体" w:cs="仿宋"/>
          <w:color w:val="auto"/>
          <w:sz w:val="32"/>
          <w:szCs w:val="32"/>
          <w:highlight w:val="none"/>
          <w:lang w:eastAsia="zh-CN"/>
        </w:rPr>
        <w:t>海标工程管理有限公司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bookmarkStart w:id="522" w:name="_GoBack"/>
      <w:bookmarkEnd w:id="522"/>
      <w:r>
        <w:rPr>
          <w:rFonts w:hint="eastAsia" w:ascii="宋体" w:hAnsi="宋体" w:cs="宋体"/>
          <w:bCs/>
          <w:color w:val="auto"/>
          <w:sz w:val="32"/>
          <w:szCs w:val="32"/>
          <w:highlight w:val="none"/>
          <w:lang w:val="en-US" w:eastAsia="zh-CN"/>
        </w:rPr>
        <w:t>十</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325"/>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崇贤街道高新农业园区市政保洁绿化综合养护项目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4"/>
          <w:rFonts w:hint="eastAsia" w:ascii="宋体" w:hAnsi="宋体" w:eastAsia="宋体" w:cs="宋体"/>
          <w:color w:val="auto"/>
          <w:kern w:val="2"/>
          <w:sz w:val="24"/>
          <w:szCs w:val="24"/>
          <w:highlight w:val="none"/>
        </w:rPr>
        <w:t>https://www.zcygov.cn/）获取（下载）招标文件，并于202</w:t>
      </w:r>
      <w:r>
        <w:rPr>
          <w:rStyle w:val="84"/>
          <w:rFonts w:hint="eastAsia" w:ascii="宋体" w:hAnsi="宋体" w:eastAsia="黑体" w:cs="宋体"/>
          <w:color w:val="auto"/>
          <w:kern w:val="2"/>
          <w:sz w:val="24"/>
          <w:szCs w:val="24"/>
          <w:highlight w:val="none"/>
          <w:lang w:val="en-US" w:eastAsia="zh-CN"/>
        </w:rPr>
        <w:t>4</w:t>
      </w:r>
      <w:r>
        <w:rPr>
          <w:rStyle w:val="84"/>
          <w:rFonts w:hint="eastAsia" w:ascii="宋体" w:hAnsi="宋体" w:eastAsia="宋体" w:cs="宋体"/>
          <w:color w:val="auto"/>
          <w:kern w:val="2"/>
          <w:sz w:val="24"/>
          <w:szCs w:val="24"/>
          <w:highlight w:val="none"/>
        </w:rPr>
        <w:t>年</w:t>
      </w:r>
      <w:r>
        <w:rPr>
          <w:rStyle w:val="84"/>
          <w:rFonts w:hint="eastAsia" w:ascii="宋体" w:hAnsi="宋体" w:cs="宋体"/>
          <w:color w:val="auto"/>
          <w:kern w:val="2"/>
          <w:sz w:val="24"/>
          <w:szCs w:val="24"/>
          <w:highlight w:val="none"/>
          <w:lang w:val="en-US" w:eastAsia="zh-CN"/>
        </w:rPr>
        <w:t xml:space="preserve"> 06 </w:t>
      </w:r>
      <w:r>
        <w:rPr>
          <w:rStyle w:val="84"/>
          <w:rFonts w:hint="eastAsia" w:ascii="宋体" w:hAnsi="宋体" w:eastAsia="宋体" w:cs="宋体"/>
          <w:color w:val="auto"/>
          <w:kern w:val="2"/>
          <w:sz w:val="24"/>
          <w:szCs w:val="24"/>
          <w:highlight w:val="none"/>
        </w:rPr>
        <w:t>月</w:t>
      </w:r>
      <w:r>
        <w:rPr>
          <w:rStyle w:val="84"/>
          <w:rFonts w:hint="eastAsia" w:ascii="宋体" w:hAnsi="宋体" w:cs="宋体"/>
          <w:color w:val="auto"/>
          <w:kern w:val="2"/>
          <w:sz w:val="24"/>
          <w:szCs w:val="24"/>
          <w:highlight w:val="none"/>
          <w:lang w:val="en-US" w:eastAsia="zh-CN"/>
        </w:rPr>
        <w:t xml:space="preserve"> 03 </w:t>
      </w:r>
      <w:r>
        <w:rPr>
          <w:rStyle w:val="84"/>
          <w:rFonts w:hint="eastAsia" w:ascii="宋体" w:hAnsi="宋体" w:eastAsia="宋体" w:cs="宋体"/>
          <w:color w:val="auto"/>
          <w:kern w:val="2"/>
          <w:sz w:val="24"/>
          <w:szCs w:val="24"/>
          <w:highlight w:val="none"/>
        </w:rPr>
        <w:t>日</w:t>
      </w:r>
      <w:r>
        <w:rPr>
          <w:rStyle w:val="84"/>
          <w:rFonts w:hint="eastAsia" w:ascii="宋体" w:hAnsi="宋体" w:cs="宋体"/>
          <w:color w:val="auto"/>
          <w:kern w:val="2"/>
          <w:sz w:val="24"/>
          <w:szCs w:val="24"/>
          <w:highlight w:val="none"/>
          <w:lang w:val="en-US" w:eastAsia="zh-CN"/>
        </w:rPr>
        <w:t>9</w:t>
      </w:r>
      <w:r>
        <w:rPr>
          <w:rStyle w:val="84"/>
          <w:rFonts w:hint="eastAsia" w:ascii="宋体" w:hAnsi="宋体" w:eastAsia="宋体" w:cs="宋体"/>
          <w:color w:val="auto"/>
          <w:kern w:val="2"/>
          <w:sz w:val="24"/>
          <w:szCs w:val="24"/>
          <w:highlight w:val="none"/>
        </w:rPr>
        <w:t>点</w:t>
      </w:r>
      <w:r>
        <w:rPr>
          <w:rStyle w:val="84"/>
          <w:rFonts w:hint="eastAsia" w:ascii="宋体" w:hAnsi="宋体" w:cs="宋体"/>
          <w:color w:val="auto"/>
          <w:kern w:val="2"/>
          <w:sz w:val="24"/>
          <w:szCs w:val="24"/>
          <w:highlight w:val="none"/>
          <w:lang w:val="en-US" w:eastAsia="zh-CN"/>
        </w:rPr>
        <w:t>30</w:t>
      </w:r>
      <w:r>
        <w:rPr>
          <w:rStyle w:val="84"/>
          <w:rFonts w:hint="eastAsia" w:ascii="宋体" w:hAnsi="宋体" w:eastAsia="宋体" w:cs="宋体"/>
          <w:color w:val="auto"/>
          <w:kern w:val="2"/>
          <w:sz w:val="24"/>
          <w:szCs w:val="24"/>
          <w:highlight w:val="none"/>
        </w:rPr>
        <w:t>分</w:t>
      </w:r>
      <w:r>
        <w:rPr>
          <w:rStyle w:val="84"/>
          <w:rFonts w:hint="eastAsia" w:ascii="宋体" w:hAnsi="宋体" w:eastAsia="宋体" w:cs="宋体"/>
          <w:bCs/>
          <w:color w:val="auto"/>
          <w:kern w:val="2"/>
          <w:sz w:val="24"/>
          <w:szCs w:val="24"/>
          <w:highlight w:val="none"/>
        </w:rPr>
        <w:t>00秒</w:t>
      </w:r>
      <w:r>
        <w:rPr>
          <w:rStyle w:val="84"/>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HBZFCG-2024-016</w:t>
      </w:r>
      <w:r>
        <w:rPr>
          <w:rFonts w:hint="eastAsia" w:ascii="宋体" w:hAnsi="宋体" w:cs="宋体"/>
          <w:color w:val="auto"/>
          <w:sz w:val="24"/>
          <w:highlight w:val="none"/>
          <w:lang w:val="en-US" w:eastAsia="zh-CN"/>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崇贤街道高新农业园区市政保洁绿化综合养护项目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3600000</w:t>
      </w:r>
      <w:r>
        <w:rPr>
          <w:rFonts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3600000</w:t>
      </w:r>
      <w:r>
        <w:rPr>
          <w:rFonts w:ascii="宋体" w:hAnsi="宋体" w:cs="宋体"/>
          <w:color w:val="auto"/>
          <w:sz w:val="24"/>
          <w:highlight w:val="none"/>
        </w:rPr>
        <w:t xml:space="preserve"> </w:t>
      </w:r>
    </w:p>
    <w:p>
      <w:pPr>
        <w:pStyle w:val="17"/>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崇贤街道高新农业园区市政保洁绿化综合养护项目，</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pPr>
        <w:pStyle w:val="93"/>
        <w:ind w:firstLine="482"/>
        <w:outlineLvl w:val="2"/>
        <w:rPr>
          <w:rFonts w:hint="eastAsia"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两</w:t>
      </w:r>
      <w:r>
        <w:rPr>
          <w:rFonts w:hint="eastAsia" w:ascii="宋体" w:hAnsi="宋体" w:cs="宋体"/>
          <w:b/>
          <w:color w:val="auto"/>
          <w:highlight w:val="none"/>
        </w:rPr>
        <w:t>年</w:t>
      </w:r>
      <w:r>
        <w:rPr>
          <w:rFonts w:ascii="宋体" w:hAnsi="宋体" w:cs="宋体"/>
          <w:color w:val="auto"/>
          <w:highlight w:val="none"/>
        </w:rPr>
        <w:t xml:space="preserve"> </w:t>
      </w:r>
      <w:r>
        <w:rPr>
          <w:rFonts w:hint="eastAsia" w:ascii="宋体" w:hAnsi="宋体" w:cs="宋体"/>
          <w:color w:val="auto"/>
          <w:highlight w:val="none"/>
          <w:lang w:val="en-US" w:eastAsia="zh-CN"/>
        </w:rPr>
        <w:t xml:space="preserve"> </w:t>
      </w:r>
    </w:p>
    <w:p>
      <w:pPr>
        <w:pStyle w:val="17"/>
        <w:spacing w:line="360" w:lineRule="auto"/>
        <w:ind w:firstLine="480"/>
        <w:rPr>
          <w:rFonts w:hint="eastAsia" w:hAnsi="宋体" w:eastAsia="宋体" w:cs="宋体"/>
          <w:b/>
          <w:color w:val="auto"/>
          <w:highlight w:val="none"/>
          <w:lang w:val="en-US" w:eastAsia="zh-CN"/>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ascii="Wingdings" w:hAnsi="Wingdings" w:eastAsia="宋体" w:cs="宋体"/>
          <w:snapToGrid w:val="0"/>
          <w:color w:val="auto"/>
          <w:kern w:val="0"/>
          <w:sz w:val="24"/>
          <w:szCs w:val="20"/>
          <w:highlight w:val="none"/>
          <w:lang w:val="en-US" w:eastAsia="zh-CN" w:bidi="ar-SA"/>
        </w:rPr>
        <w:t>þ</w:t>
      </w:r>
      <w:r>
        <w:rPr>
          <w:rFonts w:hint="eastAsia" w:hAnsi="宋体" w:cs="宋体"/>
          <w:b/>
          <w:color w:val="auto"/>
          <w:sz w:val="24"/>
          <w:highlight w:val="none"/>
        </w:rPr>
        <w:t>是；</w:t>
      </w:r>
      <w:r>
        <w:rPr>
          <w:rFonts w:ascii="MS Gothic" w:hAnsi="MS Gothic" w:eastAsia="宋体" w:cs="Segoe UI Symbol"/>
          <w:snapToGrid w:val="0"/>
          <w:color w:val="auto"/>
          <w:kern w:val="0"/>
          <w:sz w:val="24"/>
          <w:szCs w:val="20"/>
          <w:highlight w:val="none"/>
          <w:lang w:val="en-US" w:eastAsia="zh-CN" w:bidi="ar-SA"/>
        </w:rPr>
        <w:t>☐</w:t>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sym w:font="Wingdings" w:char="00A8"/>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sym w:font="Wingdings" w:char="0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sym w:font="Wingdings" w:char="00FE"/>
      </w:r>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sym w:font="Wingdings" w:char="00FE"/>
      </w:r>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06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03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06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03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06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03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仿宋_GB2312" w:hAnsi="仿宋" w:eastAsia="仿宋_GB2312"/>
          <w:color w:val="auto"/>
          <w:sz w:val="24"/>
          <w:highlight w:val="none"/>
        </w:rPr>
      </w:pPr>
      <w:r>
        <w:rPr>
          <w:rFonts w:hint="eastAsia" w:ascii="宋体" w:hAnsi="宋体" w:cs="宋体"/>
          <w:color w:val="auto"/>
          <w:sz w:val="24"/>
          <w:highlight w:val="none"/>
        </w:rPr>
        <w:t xml:space="preserve">   </w:t>
      </w:r>
      <w:r>
        <w:rPr>
          <w:rFonts w:hint="eastAsia" w:ascii="仿宋_GB2312" w:hAnsi="仿宋" w:eastAsia="仿宋_GB2312"/>
          <w:color w:val="auto"/>
          <w:sz w:val="24"/>
          <w:highlight w:val="none"/>
        </w:rPr>
        <w:t xml:space="preserve"> 1.采购人信息</w:t>
      </w:r>
    </w:p>
    <w:p>
      <w:pPr>
        <w:spacing w:line="360" w:lineRule="auto"/>
        <w:rPr>
          <w:rFonts w:hint="default" w:ascii="仿宋_GB2312" w:hAnsi="仿宋" w:eastAsia="仿宋_GB2312"/>
          <w:color w:val="auto"/>
          <w:sz w:val="24"/>
          <w:highlight w:val="none"/>
          <w:lang w:val="en-US"/>
        </w:rPr>
      </w:pPr>
      <w:r>
        <w:rPr>
          <w:rFonts w:hint="eastAsia"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eastAsia="zh-CN"/>
        </w:rPr>
        <w:t>杭州市临平区人民政府崇贤街道办事处</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地    址：杭州市临平区府新街10</w:t>
      </w:r>
      <w:r>
        <w:rPr>
          <w:rFonts w:hint="eastAsia" w:ascii="仿宋_GB2312" w:hAnsi="仿宋" w:eastAsia="仿宋_GB2312"/>
          <w:color w:val="auto"/>
          <w:sz w:val="24"/>
          <w:highlight w:val="none"/>
          <w:lang w:val="en-US" w:eastAsia="zh-CN"/>
        </w:rPr>
        <w:t>7</w:t>
      </w:r>
      <w:r>
        <w:rPr>
          <w:rFonts w:hint="eastAsia" w:ascii="仿宋_GB2312" w:hAnsi="仿宋" w:eastAsia="仿宋_GB2312"/>
          <w:color w:val="auto"/>
          <w:sz w:val="24"/>
          <w:highlight w:val="none"/>
        </w:rPr>
        <w:t>号</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olor w:val="auto"/>
          <w:sz w:val="24"/>
          <w:highlight w:val="none"/>
        </w:rPr>
        <w:t xml:space="preserve">      </w:t>
      </w:r>
    </w:p>
    <w:p>
      <w:pPr>
        <w:spacing w:line="360" w:lineRule="auto"/>
        <w:ind w:firstLine="480" w:firstLineChars="200"/>
        <w:rPr>
          <w:rFonts w:hint="default" w:ascii="仿宋_GB2312" w:hAnsi="仿宋" w:eastAsia="仿宋_GB2312"/>
          <w:color w:val="auto"/>
          <w:sz w:val="24"/>
          <w:highlight w:val="none"/>
          <w:lang w:val="en-US"/>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val="en-US" w:eastAsia="zh-CN"/>
        </w:rPr>
        <w:t xml:space="preserve">:  王双燕  </w:t>
      </w:r>
    </w:p>
    <w:p>
      <w:pPr>
        <w:spacing w:line="360" w:lineRule="auto"/>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 xml:space="preserve">    项目联系方式（询问）：0571-86271315</w:t>
      </w:r>
      <w:r>
        <w:rPr>
          <w:rFonts w:hint="eastAsia" w:ascii="仿宋_GB2312" w:hAnsi="仿宋" w:eastAsia="仿宋_GB2312"/>
          <w:color w:val="auto"/>
          <w:sz w:val="24"/>
          <w:highlight w:val="none"/>
          <w:lang w:val="en-US" w:eastAsia="zh-CN"/>
        </w:rPr>
        <w:t xml:space="preserve"> </w:t>
      </w:r>
    </w:p>
    <w:p>
      <w:pPr>
        <w:spacing w:line="360" w:lineRule="auto"/>
        <w:rPr>
          <w:rFonts w:hint="default" w:ascii="仿宋_GB2312" w:hAnsi="仿宋" w:eastAsia="仿宋_GB2312"/>
          <w:color w:val="auto"/>
          <w:sz w:val="24"/>
          <w:highlight w:val="none"/>
          <w:lang w:val="en-US"/>
        </w:rPr>
      </w:pPr>
      <w:r>
        <w:rPr>
          <w:rFonts w:hint="eastAsia" w:ascii="仿宋_GB2312" w:hAnsi="仿宋" w:eastAsia="仿宋_GB2312"/>
          <w:color w:val="auto"/>
          <w:sz w:val="24"/>
          <w:highlight w:val="none"/>
        </w:rPr>
        <w:t xml:space="preserve">    质疑联系人：李亦宸</w:t>
      </w:r>
      <w:r>
        <w:rPr>
          <w:rFonts w:hint="eastAsia" w:ascii="仿宋_GB2312" w:hAnsi="仿宋" w:eastAsia="仿宋_GB2312"/>
          <w:color w:val="auto"/>
          <w:sz w:val="24"/>
          <w:highlight w:val="none"/>
          <w:lang w:val="en-US" w:eastAsia="zh-CN"/>
        </w:rPr>
        <w:t xml:space="preserve">     </w:t>
      </w:r>
    </w:p>
    <w:p>
      <w:pPr>
        <w:spacing w:line="360" w:lineRule="auto"/>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 xml:space="preserve">    质疑联系方式：0571-86271730</w:t>
      </w:r>
      <w:r>
        <w:rPr>
          <w:rFonts w:hint="eastAsia" w:ascii="仿宋_GB2312" w:hAnsi="仿宋" w:eastAsia="仿宋_GB2312"/>
          <w:color w:val="auto"/>
          <w:sz w:val="24"/>
          <w:highlight w:val="none"/>
          <w:lang w:val="en-US" w:eastAsia="zh-CN"/>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2.采购代理机构信息            </w:t>
      </w:r>
    </w:p>
    <w:p>
      <w:pPr>
        <w:spacing w:line="360" w:lineRule="auto"/>
        <w:ind w:firstLine="480" w:firstLineChars="20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名    称：海标工程管理有限公司</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地    址：杭州市临平区星桥街道远展路59号工力大厦3楼</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项目联系人：项文娜</w:t>
      </w:r>
      <w:r>
        <w:rPr>
          <w:rFonts w:hint="eastAsia" w:ascii="仿宋_GB2312" w:hAnsi="仿宋" w:eastAsia="仿宋_GB2312"/>
          <w:color w:val="auto"/>
          <w:sz w:val="24"/>
          <w:highlight w:val="none"/>
        </w:rPr>
        <w:tab/>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项目联系方式：0571-86137060</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质疑联系人：王达</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质疑联系方式：0571-86137060</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3.同级政府采购监督管理部门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名    称：杭州市</w:t>
      </w:r>
      <w:r>
        <w:rPr>
          <w:rFonts w:hint="eastAsia" w:ascii="仿宋_GB2312" w:hAnsi="仿宋" w:eastAsia="仿宋_GB2312"/>
          <w:color w:val="auto"/>
          <w:sz w:val="24"/>
          <w:highlight w:val="none"/>
          <w:lang w:eastAsia="zh-CN"/>
        </w:rPr>
        <w:t>临平</w:t>
      </w:r>
      <w:r>
        <w:rPr>
          <w:rFonts w:hint="eastAsia" w:ascii="仿宋_GB2312" w:hAnsi="仿宋" w:eastAsia="仿宋_GB2312"/>
          <w:color w:val="auto"/>
          <w:sz w:val="24"/>
          <w:highlight w:val="none"/>
        </w:rPr>
        <w:t xml:space="preserve">区财政局采监科、浙江省政府采购行政裁决服务中心(杭州)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 xml:space="preserve">杭州市上城区四季音街道新业路市民之家GO3办公室(快递仅限ems或顺丰) </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0571-85252453</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w:t>
      </w:r>
      <w:r>
        <w:rPr>
          <w:rFonts w:hint="eastAsia" w:ascii="仿宋_GB2312" w:hAnsi="仿宋" w:eastAsia="仿宋_GB2312"/>
          <w:color w:val="auto"/>
          <w:sz w:val="24"/>
          <w:highlight w:val="none"/>
        </w:rPr>
        <w:t xml:space="preserve">朱女士、王女士 </w:t>
      </w:r>
      <w:r>
        <w:rPr>
          <w:rFonts w:ascii="仿宋_GB2312" w:hAnsi="仿宋" w:eastAsia="仿宋_GB2312"/>
          <w:color w:val="auto"/>
          <w:sz w:val="24"/>
          <w:highlight w:val="none"/>
        </w:rPr>
        <w:t xml:space="preserve">   </w:t>
      </w:r>
    </w:p>
    <w:p>
      <w:pPr>
        <w:spacing w:line="360" w:lineRule="auto"/>
        <w:ind w:firstLine="480"/>
        <w:rPr>
          <w:rFonts w:ascii="宋体" w:hAnsi="宋体" w:cs="宋体"/>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rPr>
        <w:t xml:space="preserve"> 0571-85252453</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7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3"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7"/>
              <w:numPr>
                <w:ilvl w:val="0"/>
                <w:numId w:val="0"/>
              </w:numPr>
              <w:snapToGrid w:val="0"/>
              <w:spacing w:line="360" w:lineRule="auto"/>
              <w:rPr>
                <w:rFonts w:hint="eastAsia" w:ascii="宋体" w:hAnsi="宋体" w:eastAsia="宋体" w:cs="宋体"/>
                <w:color w:val="auto"/>
                <w:highlight w:val="none"/>
                <w:lang w:val="en-US" w:eastAsia="zh-CN"/>
              </w:rPr>
            </w:pPr>
            <w:r>
              <w:rPr>
                <w:rFonts w:hint="eastAsia" w:ascii="宋体" w:hAnsi="宋体" w:cs="宋体"/>
                <w:color w:val="auto"/>
                <w:kern w:val="0"/>
                <w:sz w:val="24"/>
                <w:highlight w:val="none"/>
                <w:u w:val="single"/>
              </w:rPr>
              <w:t>标的：高新农业园区市政保洁绿化综合</w:t>
            </w:r>
            <w:r>
              <w:rPr>
                <w:rFonts w:hint="eastAsia" w:cs="宋体"/>
                <w:color w:val="auto"/>
                <w:kern w:val="0"/>
                <w:sz w:val="24"/>
                <w:highlight w:val="none"/>
                <w:u w:val="single"/>
                <w:lang w:val="en-US" w:eastAsia="zh-CN"/>
              </w:rPr>
              <w:t>养护</w:t>
            </w:r>
            <w:r>
              <w:rPr>
                <w:rFonts w:hint="eastAsia" w:ascii="宋体" w:hAnsi="宋体" w:cs="宋体"/>
                <w:color w:val="auto"/>
                <w:kern w:val="0"/>
                <w:sz w:val="24"/>
                <w:highlight w:val="none"/>
                <w:u w:val="single"/>
              </w:rPr>
              <w:t>，</w:t>
            </w:r>
            <w:r>
              <w:rPr>
                <w:rFonts w:hint="eastAsia" w:ascii="宋体" w:hAnsi="宋体" w:eastAsia="宋体" w:cs="仿宋"/>
                <w:color w:val="auto"/>
                <w:kern w:val="0"/>
                <w:sz w:val="24"/>
                <w:highlight w:val="none"/>
              </w:rPr>
              <w:t>属于其他未列明行业；具体详见《中小企业划型标准规定》。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r>
              <w:rPr>
                <w:rFonts w:hint="eastAsia"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pPr>
              <w:spacing w:line="360" w:lineRule="auto"/>
              <w:rPr>
                <w:rFonts w:ascii="宋体" w:hAnsi="宋体" w:cs="宋体"/>
                <w:color w:val="auto"/>
                <w:sz w:val="24"/>
                <w:highlight w:val="none"/>
              </w:rPr>
            </w:pPr>
            <w:r>
              <w:rPr>
                <w:rFonts w:hint="eastAsia" w:ascii="Wingdings" w:hAnsi="Wingdings" w:cs="宋体"/>
                <w:color w:val="auto"/>
                <w:kern w:val="0"/>
                <w:sz w:val="24"/>
                <w:highlight w:val="none"/>
              </w:rPr>
              <w:sym w:font="Wingdings" w:char="00FE"/>
            </w:r>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Wingdings" w:hAnsi="Wingdings" w:eastAsia="MS Gothic" w:cs="宋体"/>
                <w:color w:val="auto"/>
                <w:kern w:val="0"/>
                <w:sz w:val="24"/>
                <w:highlight w:val="none"/>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Wingdings" w:hAnsi="Wingdings" w:eastAsia="MS Gothic" w:cs="宋体"/>
                <w:color w:val="auto"/>
                <w:kern w:val="0"/>
                <w:sz w:val="24"/>
                <w:highlight w:val="none"/>
              </w:rPr>
              <w:t>þ</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Wingdings" w:hAnsi="Wingdings" w:eastAsia="MS Gothic" w:cs="宋体"/>
                <w:color w:val="auto"/>
                <w:kern w:val="0"/>
                <w:sz w:val="24"/>
                <w:highlight w:val="none"/>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38" w:hRule="atLeast"/>
          <w:tblHeader/>
        </w:trPr>
        <w:tc>
          <w:tcPr>
            <w:tcW w:w="629" w:type="dxa"/>
            <w:tcBorders>
              <w:top w:val="single" w:color="auto" w:sz="4" w:space="0"/>
              <w:left w:val="single" w:color="000000" w:sz="8" w:space="0"/>
              <w:right w:val="single" w:color="000000" w:sz="2"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Ansi="宋体" w:cs="宋体"/>
                <w:color w:val="auto"/>
                <w:kern w:val="28"/>
                <w:sz w:val="24"/>
                <w:highlight w:val="none"/>
              </w:rPr>
            </w:pPr>
            <w:r>
              <w:rPr>
                <w:rFonts w:hint="eastAsia" w:hAnsi="宋体" w:cs="宋体"/>
                <w:bCs/>
                <w:color w:val="auto"/>
                <w:sz w:val="24"/>
                <w:szCs w:val="24"/>
                <w:highlight w:val="none"/>
              </w:rPr>
              <w:t>备份投标文件送达地点：</w:t>
            </w:r>
            <w:r>
              <w:rPr>
                <w:rFonts w:hint="eastAsia" w:hAnsi="宋体" w:cs="宋体"/>
                <w:color w:val="auto"/>
                <w:sz w:val="24"/>
                <w:highlight w:val="none"/>
              </w:rPr>
              <w:t>杭州市</w:t>
            </w:r>
            <w:r>
              <w:rPr>
                <w:rFonts w:hint="eastAsia" w:hAnsi="宋体" w:cs="宋体"/>
                <w:color w:val="auto"/>
                <w:sz w:val="24"/>
                <w:highlight w:val="none"/>
                <w:lang w:eastAsia="zh-CN"/>
              </w:rPr>
              <w:t>余杭区</w:t>
            </w:r>
            <w:r>
              <w:rPr>
                <w:rFonts w:hint="eastAsia" w:hAnsi="宋体" w:cs="宋体"/>
                <w:color w:val="auto"/>
                <w:sz w:val="24"/>
                <w:highlight w:val="none"/>
              </w:rPr>
              <w:t>星桥街道远展路59号工力大厦3楼</w:t>
            </w:r>
            <w:r>
              <w:rPr>
                <w:rFonts w:hint="eastAsia" w:hAnsi="宋体" w:cs="宋体"/>
                <w:bCs/>
                <w:color w:val="auto"/>
                <w:sz w:val="24"/>
                <w:szCs w:val="24"/>
                <w:highlight w:val="none"/>
              </w:rPr>
              <w:t>；备份投标文件签收人员联系电话：王达，0571-86137060。</w:t>
            </w:r>
            <w:r>
              <w:rPr>
                <w:rFonts w:hint="eastAsia" w:ascii="宋体" w:hAnsi="宋体" w:eastAsia="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auto" w:sz="4" w:space="0"/>
            </w:tcBorders>
            <w:vAlign w:val="top"/>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bCs/>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本项目的采购代理费由中标人支付；以中标金额为计费基准，计费标准按《计价格［2002］1980号》文件中服务类收费标准计算。</w:t>
            </w:r>
          </w:p>
          <w:p>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中标服务费的交纳方式：以</w:t>
            </w:r>
            <w:r>
              <w:rPr>
                <w:rFonts w:hint="eastAsia" w:ascii="宋体" w:hAnsi="宋体" w:cs="Arial"/>
                <w:color w:val="auto"/>
                <w:kern w:val="0"/>
                <w:sz w:val="24"/>
                <w:highlight w:val="none"/>
                <w:lang w:eastAsia="zh-CN"/>
              </w:rPr>
              <w:t>转账</w:t>
            </w:r>
            <w:r>
              <w:rPr>
                <w:rFonts w:hint="eastAsia" w:ascii="宋体" w:hAnsi="宋体" w:eastAsia="宋体" w:cs="Arial"/>
                <w:color w:val="auto"/>
                <w:kern w:val="0"/>
                <w:sz w:val="24"/>
                <w:highlight w:val="none"/>
              </w:rPr>
              <w:t>或支票的形式支付，</w:t>
            </w:r>
          </w:p>
          <w:p>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开户行名称：</w:t>
            </w:r>
            <w:r>
              <w:rPr>
                <w:rFonts w:hint="eastAsia" w:ascii="宋体" w:hAnsi="宋体" w:eastAsia="宋体" w:cs="宋体"/>
                <w:snapToGrid w:val="0"/>
                <w:color w:val="auto"/>
                <w:kern w:val="28"/>
                <w:sz w:val="24"/>
                <w:highlight w:val="none"/>
              </w:rPr>
              <w:t>浙江杭州余杭农村商业银行股份有限公司乔司支行</w:t>
            </w:r>
            <w:r>
              <w:rPr>
                <w:rFonts w:hint="eastAsia" w:ascii="宋体" w:hAnsi="宋体" w:eastAsia="宋体" w:cs="Arial"/>
                <w:color w:val="auto"/>
                <w:kern w:val="0"/>
                <w:sz w:val="24"/>
                <w:highlight w:val="none"/>
              </w:rPr>
              <w:t>；</w:t>
            </w:r>
          </w:p>
          <w:p>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帐号：</w:t>
            </w:r>
            <w:r>
              <w:rPr>
                <w:rFonts w:hint="eastAsia" w:ascii="宋体" w:hAnsi="宋体" w:eastAsia="宋体" w:cs="宋体"/>
                <w:snapToGrid w:val="0"/>
                <w:color w:val="auto"/>
                <w:kern w:val="28"/>
                <w:sz w:val="24"/>
                <w:highlight w:val="none"/>
              </w:rPr>
              <w:t>201000184831550</w:t>
            </w:r>
            <w:r>
              <w:rPr>
                <w:rFonts w:hint="eastAsia" w:ascii="宋体" w:hAnsi="宋体" w:cs="Arial"/>
                <w:color w:val="auto"/>
                <w:kern w:val="0"/>
                <w:sz w:val="24"/>
                <w:highlight w:val="none"/>
                <w:lang w:eastAsia="zh-CN"/>
              </w:rPr>
              <w:t>；</w:t>
            </w:r>
          </w:p>
          <w:p>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收款单位：海标工程管理有限公司。</w:t>
            </w:r>
          </w:p>
          <w:p>
            <w:pPr>
              <w:spacing w:line="360" w:lineRule="auto"/>
              <w:rPr>
                <w:rFonts w:ascii="宋体" w:hAnsi="宋体" w:eastAsia="宋体" w:cs="Arial"/>
                <w:color w:val="auto"/>
                <w:kern w:val="0"/>
                <w:sz w:val="24"/>
                <w:highlight w:val="none"/>
              </w:rPr>
            </w:pPr>
            <w:r>
              <w:rPr>
                <w:rFonts w:hint="eastAsia" w:ascii="宋体" w:hAnsi="宋体" w:eastAsia="宋体" w:cs="宋体"/>
                <w:snapToGrid w:val="0"/>
                <w:color w:val="auto"/>
                <w:kern w:val="28"/>
                <w:sz w:val="24"/>
                <w:highlight w:val="none"/>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bCs/>
                <w:snapToGrid w:val="0"/>
                <w:color w:val="auto"/>
                <w:kern w:val="28"/>
                <w:sz w:val="24"/>
                <w:highlight w:val="none"/>
              </w:rPr>
              <w:t>书面投标文件</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宋体" w:hAnsi="宋体" w:eastAsia="宋体" w:cs="Arial"/>
                <w:color w:val="auto"/>
                <w:kern w:val="0"/>
                <w:sz w:val="24"/>
                <w:highlight w:val="none"/>
              </w:rPr>
            </w:pPr>
            <w:r>
              <w:rPr>
                <w:rFonts w:hint="eastAsia" w:ascii="宋体" w:hAnsi="宋体" w:cs="宋体"/>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7"/>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pPr>
        <w:pStyle w:val="3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57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93"/>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9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93"/>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9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9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9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9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9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9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9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9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9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9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9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93"/>
        <w:spacing w:before="0"/>
        <w:ind w:firstLine="643"/>
        <w:rPr>
          <w:rFonts w:ascii="宋体" w:hAnsi="宋体" w:cs="宋体"/>
          <w:b/>
          <w:color w:val="auto"/>
          <w:sz w:val="32"/>
          <w:highlight w:val="none"/>
        </w:rPr>
      </w:pPr>
    </w:p>
    <w:p>
      <w:pPr>
        <w:pStyle w:val="9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24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24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24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24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93"/>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9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9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9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9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9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9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9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93"/>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9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9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9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9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9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7"/>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color w:val="auto"/>
          <w:highlight w:val="none"/>
        </w:rPr>
      </w:pPr>
      <w:r>
        <w:rPr>
          <w:rFonts w:ascii="宋体" w:hAnsi="宋体" w:eastAsia="宋体"/>
          <w:color w:val="auto"/>
          <w:sz w:val="24"/>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93"/>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9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9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9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9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9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9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7"/>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5236290"/>
      <w:bookmarkEnd w:id="16"/>
      <w:bookmarkStart w:id="17" w:name="_Hlt75236011"/>
      <w:bookmarkEnd w:id="17"/>
      <w:bookmarkStart w:id="18" w:name="_Hlt74714665"/>
      <w:bookmarkEnd w:id="18"/>
      <w:bookmarkStart w:id="19" w:name="_Hlt68073093"/>
      <w:bookmarkEnd w:id="19"/>
      <w:bookmarkStart w:id="20" w:name="_Hlt68057669"/>
      <w:bookmarkEnd w:id="20"/>
      <w:bookmarkStart w:id="21" w:name="_Hlt74730295"/>
      <w:bookmarkEnd w:id="21"/>
      <w:bookmarkStart w:id="22" w:name="_Hlt68403820"/>
      <w:bookmarkEnd w:id="22"/>
      <w:bookmarkStart w:id="23" w:name="_Hlt74729768"/>
      <w:bookmarkEnd w:id="23"/>
      <w:bookmarkStart w:id="24" w:name="_Hlt68072990"/>
      <w:bookmarkEnd w:id="24"/>
      <w:bookmarkStart w:id="25" w:name="_Hlt74707468"/>
      <w:bookmarkEnd w:id="25"/>
      <w:bookmarkStart w:id="26" w:name="_Hlt75236101"/>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numPr>
          <w:ilvl w:val="0"/>
          <w:numId w:val="1"/>
        </w:numPr>
        <w:spacing w:line="360" w:lineRule="auto"/>
        <w:jc w:val="left"/>
        <w:rPr>
          <w:rFonts w:ascii="宋体" w:hAnsi="宋体" w:eastAsia="宋体" w:cs="仿宋"/>
          <w:b/>
          <w:bCs/>
          <w:color w:val="auto"/>
          <w:sz w:val="24"/>
          <w:highlight w:val="none"/>
        </w:rPr>
      </w:pPr>
      <w:r>
        <w:rPr>
          <w:rFonts w:hint="eastAsia" w:ascii="宋体" w:hAnsi="宋体" w:eastAsia="宋体" w:cs="仿宋"/>
          <w:b/>
          <w:bCs/>
          <w:color w:val="auto"/>
          <w:sz w:val="24"/>
          <w:highlight w:val="none"/>
        </w:rPr>
        <w:t>项目概况</w:t>
      </w:r>
    </w:p>
    <w:p>
      <w:pPr>
        <w:spacing w:line="360" w:lineRule="auto"/>
        <w:ind w:firstLine="482" w:firstLineChars="200"/>
        <w:rPr>
          <w:rFonts w:ascii="宋体" w:hAnsi="宋体" w:eastAsia="宋体" w:cs="仿宋"/>
          <w:b/>
          <w:bCs/>
          <w:color w:val="auto"/>
          <w:sz w:val="24"/>
          <w:highlight w:val="none"/>
        </w:rPr>
      </w:pPr>
      <w:r>
        <w:rPr>
          <w:rFonts w:hint="eastAsia" w:ascii="宋体" w:hAnsi="宋体" w:eastAsia="宋体" w:cs="仿宋"/>
          <w:b/>
          <w:bCs/>
          <w:color w:val="auto"/>
          <w:sz w:val="24"/>
          <w:highlight w:val="none"/>
        </w:rPr>
        <w:t>本项目为崇贤街道高新示范园区综合养护项目，本次招标范围内的所有作业内容包括不限于保洁、零星市政养护、绿化养护、水利设施设备维护、河道保洁。</w:t>
      </w:r>
    </w:p>
    <w:p>
      <w:pPr>
        <w:spacing w:line="360" w:lineRule="auto"/>
        <w:ind w:firstLine="482" w:firstLineChars="200"/>
        <w:rPr>
          <w:rFonts w:ascii="宋体" w:hAnsi="宋体" w:eastAsia="宋体" w:cs="仿宋"/>
          <w:b/>
          <w:bCs/>
          <w:color w:val="auto"/>
          <w:sz w:val="24"/>
          <w:highlight w:val="none"/>
        </w:rPr>
      </w:pPr>
      <w:r>
        <w:rPr>
          <w:rFonts w:hint="eastAsia" w:ascii="宋体" w:hAnsi="宋体" w:eastAsia="宋体" w:cs="仿宋"/>
          <w:b/>
          <w:bCs/>
          <w:color w:val="auto"/>
          <w:sz w:val="24"/>
          <w:highlight w:val="none"/>
        </w:rPr>
        <w:t>报价包含人工工资（含节假日加班费）、易损材料、生产工具、作业安全、运输工具、修理费、清洗费、卫生用具、办公、车辆停放场地、食宿、通信、劳保（含高温补贴费、反光服、雨衣、夏令防暑等）、福利、利润、税金、保险（包括医疗、工伤、养老等社会保险及人身意外保险）、招标代理费以及因国家政策性调整（包括但不限于最低工资调整和社保保障缴费调整）等一切费用，其他详见项目采购清单；</w:t>
      </w:r>
    </w:p>
    <w:p>
      <w:pPr>
        <w:spacing w:line="360" w:lineRule="auto"/>
        <w:rPr>
          <w:color w:val="auto"/>
          <w:highlight w:val="none"/>
        </w:rPr>
      </w:pPr>
      <w:r>
        <w:rPr>
          <w:rFonts w:hint="eastAsia" w:ascii="宋体" w:hAnsi="宋体" w:cs="仿宋"/>
          <w:b/>
          <w:bCs/>
          <w:color w:val="auto"/>
          <w:sz w:val="24"/>
          <w:highlight w:val="none"/>
          <w:lang w:val="en-US" w:eastAsia="zh-CN"/>
        </w:rPr>
        <w:t xml:space="preserve">  </w:t>
      </w:r>
      <w:r>
        <w:rPr>
          <w:rFonts w:hint="eastAsia" w:ascii="宋体" w:hAnsi="宋体" w:eastAsia="宋体" w:cs="仿宋"/>
          <w:b/>
          <w:bCs/>
          <w:color w:val="auto"/>
          <w:sz w:val="24"/>
          <w:highlight w:val="none"/>
        </w:rPr>
        <w:t>注:中标后投标单位养护班组崇贤街道范围内设立固定办公场地。</w:t>
      </w:r>
    </w:p>
    <w:p>
      <w:pPr>
        <w:pStyle w:val="5"/>
        <w:rPr>
          <w:rFonts w:ascii="宋体" w:hAnsi="宋体" w:eastAsia="宋体"/>
          <w:color w:val="auto"/>
          <w:highlight w:val="none"/>
        </w:rPr>
      </w:pPr>
      <w:r>
        <w:rPr>
          <w:rFonts w:hint="eastAsia" w:ascii="宋体" w:hAnsi="宋体" w:eastAsia="宋体" w:cs="仿宋"/>
          <w:color w:val="auto"/>
          <w:sz w:val="24"/>
          <w:highlight w:val="none"/>
        </w:rPr>
        <w:t>二、费用说明</w:t>
      </w:r>
    </w:p>
    <w:p>
      <w:pPr>
        <w:spacing w:line="360" w:lineRule="auto"/>
        <w:ind w:firstLine="482" w:firstLineChars="200"/>
        <w:rPr>
          <w:rFonts w:ascii="宋体" w:hAnsi="宋体" w:eastAsia="宋体" w:cs="仿宋"/>
          <w:b/>
          <w:bCs/>
          <w:color w:val="auto"/>
          <w:sz w:val="24"/>
          <w:highlight w:val="none"/>
        </w:rPr>
      </w:pPr>
      <w:r>
        <w:rPr>
          <w:rFonts w:hint="eastAsia" w:ascii="宋体" w:hAnsi="宋体" w:eastAsia="宋体" w:cs="仿宋"/>
          <w:b/>
          <w:bCs/>
          <w:color w:val="auto"/>
          <w:sz w:val="24"/>
          <w:highlight w:val="none"/>
        </w:rPr>
        <w:t>1.本项目道路保洁经费单价最高限价：一类道路20.1元/平方/年，二类道路14.94元/平方，三类道路12.42元/平方，投标人针对本项目的投标单价不得超过相关限价，否则其投标无效;本项目绿化养护经费单价最高限价：一类10.77元/平方，二类9.16元/平方，三类6.11元/平方，投标人针对本项目的投标单价不得超过相关限价，否则其投标无效。</w:t>
      </w:r>
    </w:p>
    <w:p>
      <w:pPr>
        <w:spacing w:line="360" w:lineRule="auto"/>
        <w:ind w:firstLine="482" w:firstLineChars="200"/>
        <w:rPr>
          <w:rFonts w:ascii="宋体" w:hAnsi="宋体" w:eastAsia="宋体" w:cs="仿宋"/>
          <w:b/>
          <w:bCs/>
          <w:color w:val="auto"/>
          <w:sz w:val="24"/>
          <w:highlight w:val="none"/>
        </w:rPr>
      </w:pPr>
      <w:r>
        <w:rPr>
          <w:rFonts w:hint="eastAsia" w:ascii="宋体" w:hAnsi="宋体" w:eastAsia="宋体" w:cs="仿宋"/>
          <w:b/>
          <w:bCs/>
          <w:color w:val="auto"/>
          <w:sz w:val="24"/>
          <w:highlight w:val="none"/>
        </w:rPr>
        <w:t>2.本项目市政养护经费最高限价：市政养护部分（含景观灯维护）最高限价为</w:t>
      </w:r>
      <w:r>
        <w:rPr>
          <w:rFonts w:hint="eastAsia" w:ascii="宋体" w:hAnsi="宋体" w:eastAsia="宋体" w:cs="仿宋"/>
          <w:b/>
          <w:bCs/>
          <w:color w:val="auto"/>
          <w:sz w:val="24"/>
          <w:highlight w:val="none"/>
          <w:lang w:val="en-US" w:eastAsia="zh-CN"/>
        </w:rPr>
        <w:t>55</w:t>
      </w:r>
      <w:r>
        <w:rPr>
          <w:rFonts w:hint="eastAsia" w:ascii="宋体" w:hAnsi="宋体" w:eastAsia="宋体" w:cs="仿宋"/>
          <w:b/>
          <w:bCs/>
          <w:color w:val="auto"/>
          <w:sz w:val="24"/>
          <w:highlight w:val="none"/>
        </w:rPr>
        <w:t>万/年，具体以审计为准，按实结算。固定单价下浮12%,不做竞争报价。</w:t>
      </w:r>
    </w:p>
    <w:p>
      <w:pPr>
        <w:spacing w:line="360" w:lineRule="auto"/>
        <w:ind w:firstLine="482" w:firstLineChars="200"/>
        <w:rPr>
          <w:rFonts w:ascii="宋体" w:hAnsi="宋体" w:eastAsia="宋体" w:cs="仿宋"/>
          <w:b/>
          <w:bCs/>
          <w:color w:val="auto"/>
          <w:sz w:val="24"/>
          <w:highlight w:val="none"/>
        </w:rPr>
      </w:pPr>
      <w:r>
        <w:rPr>
          <w:rFonts w:hint="eastAsia" w:ascii="宋体" w:hAnsi="宋体" w:eastAsia="宋体" w:cs="仿宋"/>
          <w:b/>
          <w:bCs/>
          <w:color w:val="auto"/>
          <w:sz w:val="24"/>
          <w:highlight w:val="none"/>
          <w:u w:val="single"/>
        </w:rPr>
        <w:t>（注：</w:t>
      </w:r>
      <w:r>
        <w:rPr>
          <w:rFonts w:hint="eastAsia" w:ascii="宋体" w:hAnsi="宋体" w:cs="宋体"/>
          <w:b/>
          <w:color w:val="auto"/>
          <w:kern w:val="0"/>
          <w:sz w:val="24"/>
          <w:highlight w:val="none"/>
          <w:u w:val="single"/>
        </w:rPr>
        <w:t>每一期市政道路修复费用按实结算，计算口径套用（包括套用换算）</w:t>
      </w:r>
      <w:r>
        <w:rPr>
          <w:rFonts w:ascii="宋体" w:hAnsi="宋体" w:cs="宋体"/>
          <w:b/>
          <w:color w:val="auto"/>
          <w:kern w:val="0"/>
          <w:sz w:val="24"/>
          <w:highlight w:val="none"/>
          <w:u w:val="single"/>
        </w:rPr>
        <w:t>2018</w:t>
      </w:r>
      <w:r>
        <w:rPr>
          <w:rFonts w:hint="eastAsia" w:ascii="宋体" w:hAnsi="宋体" w:cs="宋体"/>
          <w:b/>
          <w:color w:val="auto"/>
          <w:kern w:val="0"/>
          <w:sz w:val="24"/>
          <w:highlight w:val="none"/>
          <w:u w:val="single"/>
        </w:rPr>
        <w:t>版浙江省现行预算定额及取费规则，最终金额优惠下浮12</w:t>
      </w:r>
      <w:r>
        <w:rPr>
          <w:rFonts w:ascii="宋体" w:hAnsi="宋体" w:cs="宋体"/>
          <w:b/>
          <w:color w:val="auto"/>
          <w:kern w:val="0"/>
          <w:sz w:val="24"/>
          <w:highlight w:val="none"/>
          <w:u w:val="single"/>
        </w:rPr>
        <w:t>%</w:t>
      </w:r>
      <w:r>
        <w:rPr>
          <w:rFonts w:hint="eastAsia" w:ascii="宋体" w:hAnsi="宋体" w:cs="宋体"/>
          <w:b/>
          <w:color w:val="auto"/>
          <w:kern w:val="0"/>
          <w:sz w:val="24"/>
          <w:highlight w:val="none"/>
          <w:u w:val="single"/>
        </w:rPr>
        <w:t>，材料价格有信息价的参照开标当期信息价，没有信息价的由承包人进行上报，发包人组织市场询价并进行签证主材价；对不能套用（包括套用换算）的，则由采购人组织市场询价并进行签证单价，取费仅计取农民工工伤保险和税金。</w:t>
      </w:r>
      <w:r>
        <w:rPr>
          <w:rFonts w:hint="eastAsia" w:ascii="宋体" w:hAnsi="宋体" w:eastAsia="宋体" w:cs="仿宋"/>
          <w:b/>
          <w:bCs/>
          <w:color w:val="auto"/>
          <w:sz w:val="24"/>
          <w:highlight w:val="none"/>
          <w:u w:val="single"/>
        </w:rPr>
        <w:t>）</w:t>
      </w:r>
    </w:p>
    <w:p>
      <w:pPr>
        <w:spacing w:line="360" w:lineRule="auto"/>
        <w:ind w:firstLine="482" w:firstLineChars="200"/>
        <w:rPr>
          <w:rFonts w:ascii="宋体" w:hAnsi="宋体" w:eastAsia="宋体"/>
          <w:color w:val="auto"/>
          <w:highlight w:val="none"/>
        </w:rPr>
      </w:pPr>
      <w:r>
        <w:rPr>
          <w:rFonts w:hint="eastAsia" w:ascii="宋体" w:hAnsi="宋体" w:eastAsia="宋体" w:cs="仿宋"/>
          <w:b/>
          <w:bCs/>
          <w:color w:val="auto"/>
          <w:sz w:val="24"/>
          <w:highlight w:val="none"/>
        </w:rPr>
        <w:t>3.本项目含绿化提升费</w:t>
      </w:r>
      <w:r>
        <w:rPr>
          <w:rFonts w:hint="eastAsia" w:ascii="宋体" w:hAnsi="宋体" w:eastAsia="宋体" w:cs="仿宋"/>
          <w:b/>
          <w:bCs/>
          <w:color w:val="auto"/>
          <w:sz w:val="24"/>
          <w:highlight w:val="none"/>
          <w:lang w:val="en-US" w:eastAsia="zh-CN"/>
        </w:rPr>
        <w:t>14.5</w:t>
      </w:r>
      <w:r>
        <w:rPr>
          <w:rFonts w:hint="eastAsia" w:ascii="宋体" w:hAnsi="宋体" w:eastAsia="宋体" w:cs="仿宋"/>
          <w:b/>
          <w:bCs/>
          <w:color w:val="auto"/>
          <w:sz w:val="24"/>
          <w:highlight w:val="none"/>
        </w:rPr>
        <w:t>万元/年，具体以审计为准，按实结算。固定单价下浮12%,不做竞争报价。</w:t>
      </w:r>
    </w:p>
    <w:p>
      <w:pPr>
        <w:pStyle w:val="25"/>
        <w:rPr>
          <w:rFonts w:ascii="宋体" w:hAnsi="宋体" w:eastAsia="宋体" w:cs="仿宋"/>
          <w:b/>
          <w:bCs/>
          <w:color w:val="auto"/>
          <w:szCs w:val="24"/>
          <w:highlight w:val="none"/>
        </w:rPr>
      </w:pPr>
      <w:r>
        <w:rPr>
          <w:rFonts w:hint="eastAsia" w:ascii="宋体" w:hAnsi="宋体" w:eastAsia="宋体" w:cs="仿宋"/>
          <w:b/>
          <w:bCs/>
          <w:color w:val="auto"/>
          <w:szCs w:val="24"/>
          <w:highlight w:val="none"/>
        </w:rPr>
        <w:t>二、</w:t>
      </w:r>
      <w:r>
        <w:rPr>
          <w:rFonts w:hint="eastAsia" w:ascii="宋体" w:hAnsi="宋体" w:eastAsia="宋体" w:cs="仿宋"/>
          <w:b/>
          <w:bCs/>
          <w:color w:val="auto"/>
          <w:szCs w:val="24"/>
          <w:highlight w:val="none"/>
          <w:lang w:val="en-US"/>
        </w:rPr>
        <w:t>服务范围</w:t>
      </w:r>
    </w:p>
    <w:p>
      <w:pP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（一）道路绿化隔离带、道路两侧绿化带中产生的纸片、包装盒、烟蒂等暴露垃圾，按“一把扫帚扫到底”的原则保洁。</w:t>
      </w:r>
    </w:p>
    <w:p>
      <w:pPr>
        <w:spacing w:line="360" w:lineRule="auto"/>
        <w:ind w:firstLine="480" w:firstLineChars="200"/>
        <w:rPr>
          <w:rFonts w:hint="eastAsia" w:ascii="宋体" w:hAnsi="宋体" w:eastAsia="宋体" w:cs="仿宋"/>
          <w:color w:val="auto"/>
          <w:sz w:val="24"/>
          <w:highlight w:val="none"/>
        </w:rPr>
      </w:pPr>
      <w:r>
        <w:rPr>
          <w:rFonts w:hint="eastAsia" w:ascii="宋体" w:hAnsi="宋体" w:eastAsia="宋体" w:cs="仿宋"/>
          <w:color w:val="auto"/>
          <w:sz w:val="24"/>
          <w:highlight w:val="none"/>
        </w:rPr>
        <w:t>（二）环卫保洁范围包括：已移交接收至环卫保洁范围及一体化养护区域内的车行道、人行道、立交桥及除封闭住宅小区以外的街巷及空间等公共区域，以及果皮箱、交通隔离栏、2.2米以下路灯杆、交通信号灯杆等相关公共设施。落实责任保洁区域边界管理，保洁时应向保洁边界以外延伸5米，不留保洁盲区和空白点。</w:t>
      </w:r>
    </w:p>
    <w:p>
      <w:pPr>
        <w:pStyle w:val="5"/>
        <w:rPr>
          <w:rFonts w:hint="eastAsia" w:ascii="宋体" w:hAnsi="宋体" w:eastAsia="宋体" w:cs="宋体"/>
          <w:b w:val="0"/>
          <w:bCs w:val="0"/>
          <w:color w:val="auto"/>
          <w:sz w:val="24"/>
          <w:szCs w:val="24"/>
          <w:highlight w:val="none"/>
        </w:rPr>
      </w:pPr>
      <w:r>
        <w:rPr>
          <w:rFonts w:hint="eastAsia" w:ascii="宋体" w:hAnsi="宋体" w:eastAsia="宋体" w:cs="仿宋"/>
          <w:color w:val="auto"/>
          <w:sz w:val="24"/>
          <w:highlight w:val="none"/>
          <w:lang w:val="en-US" w:eastAsia="zh-CN"/>
        </w:rPr>
        <w:t xml:space="preserve">    （三）</w:t>
      </w:r>
      <w:r>
        <w:rPr>
          <w:rFonts w:hint="eastAsia" w:ascii="宋体" w:hAnsi="宋体" w:eastAsia="宋体" w:cs="宋体"/>
          <w:b w:val="0"/>
          <w:bCs w:val="0"/>
          <w:color w:val="auto"/>
          <w:sz w:val="24"/>
          <w:szCs w:val="24"/>
          <w:highlight w:val="none"/>
        </w:rPr>
        <w:t>本次招标还包含牛皮癣清理：含标段范围内所有道路、围墙、设施</w:t>
      </w:r>
    </w:p>
    <w:p>
      <w:pPr>
        <w:pStyle w:val="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等区域的“乱涂”、“乱张贴”等牛皮癣日常清理；公交站台保洁及设施维护；</w:t>
      </w:r>
    </w:p>
    <w:p>
      <w:pPr>
        <w:pStyle w:val="5"/>
        <w:ind w:left="0" w:leftChars="0" w:firstLine="0" w:firstLineChars="0"/>
        <w:rPr>
          <w:rFonts w:hint="eastAsia" w:eastAsia="宋体"/>
          <w:color w:val="auto"/>
          <w:highlight w:val="none"/>
          <w:lang w:val="en-US" w:eastAsia="zh-CN"/>
        </w:rPr>
      </w:pPr>
      <w:r>
        <w:rPr>
          <w:rFonts w:hint="eastAsia" w:ascii="宋体" w:hAnsi="宋体" w:eastAsia="宋体" w:cs="宋体"/>
          <w:b w:val="0"/>
          <w:bCs w:val="0"/>
          <w:color w:val="auto"/>
          <w:sz w:val="24"/>
          <w:szCs w:val="24"/>
          <w:highlight w:val="none"/>
        </w:rPr>
        <w:t>各路段的绿化、交通护栏清洗等；含所有沿街商铺门口</w:t>
      </w:r>
      <w:r>
        <w:rPr>
          <w:rFonts w:hint="eastAsia" w:ascii="宋体" w:hAnsi="宋体" w:eastAsia="宋体" w:cs="宋体"/>
          <w:b w:val="0"/>
          <w:bCs w:val="0"/>
          <w:color w:val="auto"/>
          <w:sz w:val="24"/>
          <w:szCs w:val="24"/>
          <w:highlight w:val="none"/>
          <w:lang w:val="en-US" w:eastAsia="zh-CN"/>
        </w:rPr>
        <w:t>及标段内辖区内所有偷倒的各类垃圾清运及处置</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在养护期间所有因养护不到位导致安全、赔偿等问题的均由中标方承担责任。</w:t>
      </w:r>
    </w:p>
    <w:p>
      <w:pPr>
        <w:spacing w:line="360" w:lineRule="auto"/>
        <w:rPr>
          <w:rFonts w:ascii="宋体" w:hAnsi="宋体" w:eastAsia="宋体" w:cs="仿宋"/>
          <w:color w:val="auto"/>
          <w:sz w:val="24"/>
          <w:highlight w:val="none"/>
        </w:rPr>
      </w:pPr>
      <w:r>
        <w:rPr>
          <w:rFonts w:hint="eastAsia" w:ascii="宋体" w:hAnsi="宋体" w:eastAsia="宋体" w:cs="仿宋"/>
          <w:color w:val="auto"/>
          <w:sz w:val="24"/>
          <w:highlight w:val="none"/>
        </w:rPr>
        <w:t>三、服务招标范围：</w:t>
      </w:r>
    </w:p>
    <w:p>
      <w:pPr>
        <w:spacing w:line="360" w:lineRule="auto"/>
        <w:rPr>
          <w:rFonts w:ascii="宋体" w:hAnsi="宋体" w:eastAsia="宋体" w:cs="仿宋"/>
          <w:color w:val="auto"/>
          <w:sz w:val="24"/>
          <w:highlight w:val="none"/>
        </w:rPr>
      </w:pPr>
      <w:r>
        <w:rPr>
          <w:rFonts w:hint="eastAsia" w:ascii="宋体" w:hAnsi="宋体" w:eastAsia="宋体" w:cs="仿宋"/>
          <w:color w:val="auto"/>
          <w:sz w:val="24"/>
          <w:highlight w:val="none"/>
        </w:rPr>
        <w:t>①道路保洁、市政养护、路灯维护清单：</w:t>
      </w:r>
    </w:p>
    <w:tbl>
      <w:tblPr>
        <w:tblStyle w:val="70"/>
        <w:tblW w:w="94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1"/>
        <w:gridCol w:w="906"/>
        <w:gridCol w:w="762"/>
        <w:gridCol w:w="640"/>
        <w:gridCol w:w="650"/>
        <w:gridCol w:w="841"/>
        <w:gridCol w:w="983"/>
        <w:gridCol w:w="885"/>
        <w:gridCol w:w="821"/>
        <w:gridCol w:w="748"/>
        <w:gridCol w:w="1098"/>
        <w:gridCol w:w="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451"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p>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序号</w:t>
            </w:r>
          </w:p>
        </w:tc>
        <w:tc>
          <w:tcPr>
            <w:tcW w:w="90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路名</w:t>
            </w:r>
          </w:p>
        </w:tc>
        <w:tc>
          <w:tcPr>
            <w:tcW w:w="76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绿化面积(㎡)</w:t>
            </w:r>
          </w:p>
        </w:tc>
        <w:tc>
          <w:tcPr>
            <w:tcW w:w="640" w:type="dxa"/>
            <w:tcBorders>
              <w:top w:val="single" w:color="auto" w:sz="4" w:space="0"/>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绿化等级</w:t>
            </w:r>
          </w:p>
        </w:tc>
        <w:tc>
          <w:tcPr>
            <w:tcW w:w="650"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树木(棵)</w:t>
            </w:r>
          </w:p>
        </w:tc>
        <w:tc>
          <w:tcPr>
            <w:tcW w:w="841" w:type="dxa"/>
            <w:tcBorders>
              <w:top w:val="single" w:color="auto" w:sz="4" w:space="0"/>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雨水井（个）</w:t>
            </w:r>
          </w:p>
        </w:tc>
        <w:tc>
          <w:tcPr>
            <w:tcW w:w="983" w:type="dxa"/>
            <w:tcBorders>
              <w:top w:val="single" w:color="auto" w:sz="4" w:space="0"/>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雨水篦子（个）</w:t>
            </w:r>
          </w:p>
        </w:tc>
        <w:tc>
          <w:tcPr>
            <w:tcW w:w="885" w:type="dxa"/>
            <w:tcBorders>
              <w:top w:val="single" w:color="auto" w:sz="4" w:space="0"/>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污水井（个）</w:t>
            </w:r>
          </w:p>
        </w:tc>
        <w:tc>
          <w:tcPr>
            <w:tcW w:w="821" w:type="dxa"/>
            <w:tcBorders>
              <w:top w:val="single" w:color="auto" w:sz="4" w:space="0"/>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道路面积(㎡)</w:t>
            </w:r>
          </w:p>
        </w:tc>
        <w:tc>
          <w:tcPr>
            <w:tcW w:w="748" w:type="dxa"/>
            <w:tcBorders>
              <w:top w:val="single" w:color="auto" w:sz="4" w:space="0"/>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道路类别</w:t>
            </w:r>
          </w:p>
        </w:tc>
        <w:tc>
          <w:tcPr>
            <w:tcW w:w="1098"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人行道面积(㎡)</w:t>
            </w:r>
          </w:p>
        </w:tc>
        <w:tc>
          <w:tcPr>
            <w:tcW w:w="708" w:type="dxa"/>
            <w:tcBorders>
              <w:top w:val="single" w:color="auto" w:sz="4" w:space="0"/>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路灯（盏）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451"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1</w:t>
            </w:r>
          </w:p>
        </w:tc>
        <w:tc>
          <w:tcPr>
            <w:tcW w:w="906"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紫藤路</w:t>
            </w:r>
          </w:p>
        </w:tc>
        <w:tc>
          <w:tcPr>
            <w:tcW w:w="762"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3701</w:t>
            </w:r>
          </w:p>
        </w:tc>
        <w:tc>
          <w:tcPr>
            <w:tcW w:w="640" w:type="dxa"/>
            <w:tcBorders>
              <w:top w:val="single" w:color="auto" w:sz="4" w:space="0"/>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lang w:val="en-US" w:eastAsia="zh-CN"/>
              </w:rPr>
              <w:t>二</w:t>
            </w:r>
            <w:r>
              <w:rPr>
                <w:rFonts w:hint="eastAsia" w:ascii="宋体" w:hAnsi="宋体" w:eastAsia="宋体" w:cs="仿宋"/>
                <w:color w:val="auto"/>
                <w:szCs w:val="21"/>
                <w:highlight w:val="none"/>
              </w:rPr>
              <w:t>类</w:t>
            </w:r>
          </w:p>
        </w:tc>
        <w:tc>
          <w:tcPr>
            <w:tcW w:w="650"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297</w:t>
            </w:r>
          </w:p>
        </w:tc>
        <w:tc>
          <w:tcPr>
            <w:tcW w:w="841"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35</w:t>
            </w:r>
          </w:p>
        </w:tc>
        <w:tc>
          <w:tcPr>
            <w:tcW w:w="983"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42</w:t>
            </w:r>
          </w:p>
        </w:tc>
        <w:tc>
          <w:tcPr>
            <w:tcW w:w="885"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14</w:t>
            </w:r>
          </w:p>
        </w:tc>
        <w:tc>
          <w:tcPr>
            <w:tcW w:w="821"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11573</w:t>
            </w:r>
          </w:p>
        </w:tc>
        <w:tc>
          <w:tcPr>
            <w:tcW w:w="748" w:type="dxa"/>
            <w:tcBorders>
              <w:top w:val="single" w:color="auto" w:sz="4" w:space="0"/>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三类</w:t>
            </w:r>
          </w:p>
        </w:tc>
        <w:tc>
          <w:tcPr>
            <w:tcW w:w="1098"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3743</w:t>
            </w:r>
          </w:p>
        </w:tc>
        <w:tc>
          <w:tcPr>
            <w:tcW w:w="708"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451"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2</w:t>
            </w:r>
          </w:p>
        </w:tc>
        <w:tc>
          <w:tcPr>
            <w:tcW w:w="906"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桂丰路</w:t>
            </w:r>
          </w:p>
        </w:tc>
        <w:tc>
          <w:tcPr>
            <w:tcW w:w="762"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9601</w:t>
            </w:r>
          </w:p>
        </w:tc>
        <w:tc>
          <w:tcPr>
            <w:tcW w:w="640" w:type="dxa"/>
            <w:tcBorders>
              <w:top w:val="single" w:color="auto" w:sz="4" w:space="0"/>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lang w:val="en-US" w:eastAsia="zh-CN"/>
              </w:rPr>
              <w:t>二</w:t>
            </w:r>
            <w:r>
              <w:rPr>
                <w:rFonts w:hint="eastAsia" w:ascii="宋体" w:hAnsi="宋体" w:eastAsia="宋体" w:cs="仿宋"/>
                <w:color w:val="auto"/>
                <w:szCs w:val="21"/>
                <w:highlight w:val="none"/>
              </w:rPr>
              <w:t>类</w:t>
            </w:r>
          </w:p>
        </w:tc>
        <w:tc>
          <w:tcPr>
            <w:tcW w:w="650"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522</w:t>
            </w:r>
          </w:p>
        </w:tc>
        <w:tc>
          <w:tcPr>
            <w:tcW w:w="841"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7</w:t>
            </w:r>
          </w:p>
        </w:tc>
        <w:tc>
          <w:tcPr>
            <w:tcW w:w="983"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13</w:t>
            </w:r>
          </w:p>
        </w:tc>
        <w:tc>
          <w:tcPr>
            <w:tcW w:w="885"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6</w:t>
            </w:r>
          </w:p>
        </w:tc>
        <w:tc>
          <w:tcPr>
            <w:tcW w:w="821"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8312</w:t>
            </w:r>
          </w:p>
        </w:tc>
        <w:tc>
          <w:tcPr>
            <w:tcW w:w="748" w:type="dxa"/>
            <w:tcBorders>
              <w:top w:val="single" w:color="auto" w:sz="4" w:space="0"/>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三类</w:t>
            </w:r>
          </w:p>
        </w:tc>
        <w:tc>
          <w:tcPr>
            <w:tcW w:w="1098"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1043</w:t>
            </w:r>
          </w:p>
        </w:tc>
        <w:tc>
          <w:tcPr>
            <w:tcW w:w="708"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451"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3</w:t>
            </w:r>
          </w:p>
        </w:tc>
        <w:tc>
          <w:tcPr>
            <w:tcW w:w="906"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玫瑰路</w:t>
            </w:r>
          </w:p>
        </w:tc>
        <w:tc>
          <w:tcPr>
            <w:tcW w:w="762"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1573</w:t>
            </w:r>
          </w:p>
        </w:tc>
        <w:tc>
          <w:tcPr>
            <w:tcW w:w="640" w:type="dxa"/>
            <w:tcBorders>
              <w:top w:val="single" w:color="auto" w:sz="4" w:space="0"/>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lang w:val="en-US" w:eastAsia="zh-CN"/>
              </w:rPr>
              <w:t>二</w:t>
            </w:r>
            <w:r>
              <w:rPr>
                <w:rFonts w:hint="eastAsia" w:ascii="宋体" w:hAnsi="宋体" w:eastAsia="宋体" w:cs="仿宋"/>
                <w:color w:val="auto"/>
                <w:szCs w:val="21"/>
                <w:highlight w:val="none"/>
              </w:rPr>
              <w:t>类</w:t>
            </w:r>
          </w:p>
        </w:tc>
        <w:tc>
          <w:tcPr>
            <w:tcW w:w="650"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72</w:t>
            </w:r>
          </w:p>
        </w:tc>
        <w:tc>
          <w:tcPr>
            <w:tcW w:w="841"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0</w:t>
            </w:r>
          </w:p>
        </w:tc>
        <w:tc>
          <w:tcPr>
            <w:tcW w:w="983"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0</w:t>
            </w:r>
          </w:p>
        </w:tc>
        <w:tc>
          <w:tcPr>
            <w:tcW w:w="885"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0</w:t>
            </w:r>
          </w:p>
        </w:tc>
        <w:tc>
          <w:tcPr>
            <w:tcW w:w="821"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1638</w:t>
            </w:r>
          </w:p>
        </w:tc>
        <w:tc>
          <w:tcPr>
            <w:tcW w:w="748" w:type="dxa"/>
            <w:tcBorders>
              <w:top w:val="single" w:color="auto" w:sz="4" w:space="0"/>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三类</w:t>
            </w:r>
          </w:p>
        </w:tc>
        <w:tc>
          <w:tcPr>
            <w:tcW w:w="1098"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0</w:t>
            </w:r>
          </w:p>
        </w:tc>
        <w:tc>
          <w:tcPr>
            <w:tcW w:w="708"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451"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4</w:t>
            </w:r>
          </w:p>
        </w:tc>
        <w:tc>
          <w:tcPr>
            <w:tcW w:w="906"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芙蓉路</w:t>
            </w:r>
          </w:p>
        </w:tc>
        <w:tc>
          <w:tcPr>
            <w:tcW w:w="762"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106</w:t>
            </w:r>
          </w:p>
        </w:tc>
        <w:tc>
          <w:tcPr>
            <w:tcW w:w="640" w:type="dxa"/>
            <w:tcBorders>
              <w:top w:val="single" w:color="auto" w:sz="4" w:space="0"/>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lang w:val="en-US" w:eastAsia="zh-CN"/>
              </w:rPr>
              <w:t>二</w:t>
            </w:r>
            <w:r>
              <w:rPr>
                <w:rFonts w:hint="eastAsia" w:ascii="宋体" w:hAnsi="宋体" w:eastAsia="宋体" w:cs="仿宋"/>
                <w:color w:val="auto"/>
                <w:szCs w:val="21"/>
                <w:highlight w:val="none"/>
              </w:rPr>
              <w:t>类</w:t>
            </w:r>
          </w:p>
        </w:tc>
        <w:tc>
          <w:tcPr>
            <w:tcW w:w="650"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75</w:t>
            </w:r>
          </w:p>
        </w:tc>
        <w:tc>
          <w:tcPr>
            <w:tcW w:w="841"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29</w:t>
            </w:r>
          </w:p>
        </w:tc>
        <w:tc>
          <w:tcPr>
            <w:tcW w:w="983"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18</w:t>
            </w:r>
          </w:p>
        </w:tc>
        <w:tc>
          <w:tcPr>
            <w:tcW w:w="885"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5</w:t>
            </w:r>
          </w:p>
        </w:tc>
        <w:tc>
          <w:tcPr>
            <w:tcW w:w="821"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3323</w:t>
            </w:r>
          </w:p>
        </w:tc>
        <w:tc>
          <w:tcPr>
            <w:tcW w:w="748" w:type="dxa"/>
            <w:tcBorders>
              <w:top w:val="single" w:color="auto" w:sz="4" w:space="0"/>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三类</w:t>
            </w:r>
          </w:p>
        </w:tc>
        <w:tc>
          <w:tcPr>
            <w:tcW w:w="1098"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1832</w:t>
            </w:r>
          </w:p>
        </w:tc>
        <w:tc>
          <w:tcPr>
            <w:tcW w:w="708"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451"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5</w:t>
            </w:r>
          </w:p>
        </w:tc>
        <w:tc>
          <w:tcPr>
            <w:tcW w:w="906"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合欢路</w:t>
            </w:r>
          </w:p>
        </w:tc>
        <w:tc>
          <w:tcPr>
            <w:tcW w:w="762"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174</w:t>
            </w:r>
          </w:p>
        </w:tc>
        <w:tc>
          <w:tcPr>
            <w:tcW w:w="640" w:type="dxa"/>
            <w:tcBorders>
              <w:top w:val="single" w:color="auto" w:sz="4" w:space="0"/>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lang w:val="en-US" w:eastAsia="zh-CN"/>
              </w:rPr>
              <w:t>二</w:t>
            </w:r>
            <w:r>
              <w:rPr>
                <w:rFonts w:hint="eastAsia" w:ascii="宋体" w:hAnsi="宋体" w:eastAsia="宋体" w:cs="仿宋"/>
                <w:color w:val="auto"/>
                <w:szCs w:val="21"/>
                <w:highlight w:val="none"/>
              </w:rPr>
              <w:t>类</w:t>
            </w:r>
          </w:p>
        </w:tc>
        <w:tc>
          <w:tcPr>
            <w:tcW w:w="650"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12</w:t>
            </w:r>
          </w:p>
        </w:tc>
        <w:tc>
          <w:tcPr>
            <w:tcW w:w="841"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1</w:t>
            </w:r>
          </w:p>
        </w:tc>
        <w:tc>
          <w:tcPr>
            <w:tcW w:w="983"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1</w:t>
            </w:r>
          </w:p>
        </w:tc>
        <w:tc>
          <w:tcPr>
            <w:tcW w:w="885"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0</w:t>
            </w:r>
          </w:p>
        </w:tc>
        <w:tc>
          <w:tcPr>
            <w:tcW w:w="821"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378</w:t>
            </w:r>
          </w:p>
        </w:tc>
        <w:tc>
          <w:tcPr>
            <w:tcW w:w="748" w:type="dxa"/>
            <w:tcBorders>
              <w:top w:val="single" w:color="auto" w:sz="4" w:space="0"/>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三类</w:t>
            </w:r>
          </w:p>
        </w:tc>
        <w:tc>
          <w:tcPr>
            <w:tcW w:w="1098"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0</w:t>
            </w:r>
          </w:p>
        </w:tc>
        <w:tc>
          <w:tcPr>
            <w:tcW w:w="708"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451"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6</w:t>
            </w:r>
          </w:p>
        </w:tc>
        <w:tc>
          <w:tcPr>
            <w:tcW w:w="906"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银杏路</w:t>
            </w:r>
          </w:p>
        </w:tc>
        <w:tc>
          <w:tcPr>
            <w:tcW w:w="762"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3545</w:t>
            </w:r>
          </w:p>
        </w:tc>
        <w:tc>
          <w:tcPr>
            <w:tcW w:w="640" w:type="dxa"/>
            <w:tcBorders>
              <w:top w:val="single" w:color="auto" w:sz="4" w:space="0"/>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lang w:val="en-US" w:eastAsia="zh-CN"/>
              </w:rPr>
              <w:t>二</w:t>
            </w:r>
            <w:r>
              <w:rPr>
                <w:rFonts w:hint="eastAsia" w:ascii="宋体" w:hAnsi="宋体" w:eastAsia="宋体" w:cs="仿宋"/>
                <w:color w:val="auto"/>
                <w:szCs w:val="21"/>
                <w:highlight w:val="none"/>
              </w:rPr>
              <w:t>类</w:t>
            </w:r>
          </w:p>
        </w:tc>
        <w:tc>
          <w:tcPr>
            <w:tcW w:w="650"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293</w:t>
            </w:r>
          </w:p>
        </w:tc>
        <w:tc>
          <w:tcPr>
            <w:tcW w:w="841"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63</w:t>
            </w:r>
          </w:p>
        </w:tc>
        <w:tc>
          <w:tcPr>
            <w:tcW w:w="983"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60</w:t>
            </w:r>
          </w:p>
        </w:tc>
        <w:tc>
          <w:tcPr>
            <w:tcW w:w="885"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0</w:t>
            </w:r>
          </w:p>
        </w:tc>
        <w:tc>
          <w:tcPr>
            <w:tcW w:w="821"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11113</w:t>
            </w:r>
          </w:p>
        </w:tc>
        <w:tc>
          <w:tcPr>
            <w:tcW w:w="748" w:type="dxa"/>
            <w:tcBorders>
              <w:top w:val="single" w:color="auto" w:sz="4" w:space="0"/>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三类</w:t>
            </w:r>
          </w:p>
        </w:tc>
        <w:tc>
          <w:tcPr>
            <w:tcW w:w="1098"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3975</w:t>
            </w:r>
          </w:p>
        </w:tc>
        <w:tc>
          <w:tcPr>
            <w:tcW w:w="708"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451"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7</w:t>
            </w:r>
          </w:p>
        </w:tc>
        <w:tc>
          <w:tcPr>
            <w:tcW w:w="906"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仙桃路</w:t>
            </w:r>
          </w:p>
        </w:tc>
        <w:tc>
          <w:tcPr>
            <w:tcW w:w="762"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9140</w:t>
            </w:r>
          </w:p>
        </w:tc>
        <w:tc>
          <w:tcPr>
            <w:tcW w:w="640" w:type="dxa"/>
            <w:tcBorders>
              <w:top w:val="single" w:color="auto" w:sz="4" w:space="0"/>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lang w:val="en-US" w:eastAsia="zh-CN"/>
              </w:rPr>
              <w:t>二</w:t>
            </w:r>
            <w:r>
              <w:rPr>
                <w:rFonts w:hint="eastAsia" w:ascii="宋体" w:hAnsi="宋体" w:eastAsia="宋体" w:cs="仿宋"/>
                <w:color w:val="auto"/>
                <w:szCs w:val="21"/>
                <w:highlight w:val="none"/>
              </w:rPr>
              <w:t>类</w:t>
            </w:r>
          </w:p>
        </w:tc>
        <w:tc>
          <w:tcPr>
            <w:tcW w:w="650"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504</w:t>
            </w:r>
          </w:p>
        </w:tc>
        <w:tc>
          <w:tcPr>
            <w:tcW w:w="841"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1</w:t>
            </w:r>
          </w:p>
        </w:tc>
        <w:tc>
          <w:tcPr>
            <w:tcW w:w="983"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0</w:t>
            </w:r>
          </w:p>
        </w:tc>
        <w:tc>
          <w:tcPr>
            <w:tcW w:w="885"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0</w:t>
            </w:r>
          </w:p>
        </w:tc>
        <w:tc>
          <w:tcPr>
            <w:tcW w:w="821"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1</w:t>
            </w:r>
            <w:r>
              <w:rPr>
                <w:rFonts w:hint="eastAsia" w:ascii="宋体" w:hAnsi="宋体" w:cs="仿宋"/>
                <w:color w:val="auto"/>
                <w:szCs w:val="21"/>
                <w:highlight w:val="none"/>
                <w:lang w:val="en-US" w:eastAsia="zh-CN"/>
              </w:rPr>
              <w:t>7410</w:t>
            </w:r>
          </w:p>
        </w:tc>
        <w:tc>
          <w:tcPr>
            <w:tcW w:w="748" w:type="dxa"/>
            <w:tcBorders>
              <w:top w:val="single" w:color="auto" w:sz="4" w:space="0"/>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三类</w:t>
            </w:r>
          </w:p>
        </w:tc>
        <w:tc>
          <w:tcPr>
            <w:tcW w:w="1098"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1735</w:t>
            </w:r>
          </w:p>
        </w:tc>
        <w:tc>
          <w:tcPr>
            <w:tcW w:w="708"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451"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仿宋"/>
                <w:color w:val="auto"/>
                <w:szCs w:val="21"/>
                <w:highlight w:val="none"/>
                <w:lang w:eastAsia="zh-CN"/>
              </w:rPr>
            </w:pPr>
            <w:r>
              <w:rPr>
                <w:rFonts w:hint="eastAsia" w:ascii="宋体" w:hAnsi="宋体" w:cs="仿宋"/>
                <w:color w:val="auto"/>
                <w:szCs w:val="21"/>
                <w:highlight w:val="none"/>
                <w:lang w:val="en-US" w:eastAsia="zh-CN"/>
              </w:rPr>
              <w:t>8</w:t>
            </w:r>
          </w:p>
        </w:tc>
        <w:tc>
          <w:tcPr>
            <w:tcW w:w="906"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银杏路南侧支路</w:t>
            </w:r>
          </w:p>
        </w:tc>
        <w:tc>
          <w:tcPr>
            <w:tcW w:w="762"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63</w:t>
            </w:r>
          </w:p>
        </w:tc>
        <w:tc>
          <w:tcPr>
            <w:tcW w:w="640" w:type="dxa"/>
            <w:tcBorders>
              <w:top w:val="single" w:color="auto" w:sz="4" w:space="0"/>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lang w:val="en-US" w:eastAsia="zh-CN"/>
              </w:rPr>
              <w:t>二</w:t>
            </w:r>
            <w:r>
              <w:rPr>
                <w:rFonts w:hint="eastAsia" w:ascii="宋体" w:hAnsi="宋体" w:eastAsia="宋体" w:cs="仿宋"/>
                <w:color w:val="auto"/>
                <w:szCs w:val="21"/>
                <w:highlight w:val="none"/>
              </w:rPr>
              <w:t>类</w:t>
            </w:r>
          </w:p>
        </w:tc>
        <w:tc>
          <w:tcPr>
            <w:tcW w:w="650"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35</w:t>
            </w:r>
          </w:p>
        </w:tc>
        <w:tc>
          <w:tcPr>
            <w:tcW w:w="841"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10</w:t>
            </w:r>
          </w:p>
        </w:tc>
        <w:tc>
          <w:tcPr>
            <w:tcW w:w="983"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12</w:t>
            </w:r>
          </w:p>
        </w:tc>
        <w:tc>
          <w:tcPr>
            <w:tcW w:w="885"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0</w:t>
            </w:r>
          </w:p>
        </w:tc>
        <w:tc>
          <w:tcPr>
            <w:tcW w:w="821"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1534</w:t>
            </w:r>
          </w:p>
        </w:tc>
        <w:tc>
          <w:tcPr>
            <w:tcW w:w="748" w:type="dxa"/>
            <w:tcBorders>
              <w:top w:val="single" w:color="auto" w:sz="4" w:space="0"/>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三类</w:t>
            </w:r>
          </w:p>
        </w:tc>
        <w:tc>
          <w:tcPr>
            <w:tcW w:w="1098"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761</w:t>
            </w:r>
          </w:p>
        </w:tc>
        <w:tc>
          <w:tcPr>
            <w:tcW w:w="708"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451"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p>
        </w:tc>
        <w:tc>
          <w:tcPr>
            <w:tcW w:w="906"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合计</w:t>
            </w:r>
          </w:p>
        </w:tc>
        <w:tc>
          <w:tcPr>
            <w:tcW w:w="762"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27903</w:t>
            </w:r>
          </w:p>
        </w:tc>
        <w:tc>
          <w:tcPr>
            <w:tcW w:w="640" w:type="dxa"/>
            <w:tcBorders>
              <w:top w:val="single" w:color="auto" w:sz="4" w:space="0"/>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p>
        </w:tc>
        <w:tc>
          <w:tcPr>
            <w:tcW w:w="650"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1810</w:t>
            </w:r>
          </w:p>
        </w:tc>
        <w:tc>
          <w:tcPr>
            <w:tcW w:w="841"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146</w:t>
            </w:r>
          </w:p>
        </w:tc>
        <w:tc>
          <w:tcPr>
            <w:tcW w:w="983"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146</w:t>
            </w:r>
          </w:p>
        </w:tc>
        <w:tc>
          <w:tcPr>
            <w:tcW w:w="885"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25</w:t>
            </w:r>
          </w:p>
        </w:tc>
        <w:tc>
          <w:tcPr>
            <w:tcW w:w="821"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5</w:t>
            </w:r>
            <w:r>
              <w:rPr>
                <w:rFonts w:hint="eastAsia" w:ascii="宋体" w:hAnsi="宋体" w:cs="仿宋"/>
                <w:color w:val="auto"/>
                <w:szCs w:val="21"/>
                <w:highlight w:val="none"/>
                <w:lang w:val="en-US" w:eastAsia="zh-CN"/>
              </w:rPr>
              <w:t>5280</w:t>
            </w:r>
          </w:p>
        </w:tc>
        <w:tc>
          <w:tcPr>
            <w:tcW w:w="748" w:type="dxa"/>
            <w:tcBorders>
              <w:top w:val="single" w:color="auto" w:sz="4" w:space="0"/>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p>
        </w:tc>
        <w:tc>
          <w:tcPr>
            <w:tcW w:w="1098" w:type="dxa"/>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13089</w:t>
            </w:r>
          </w:p>
        </w:tc>
        <w:tc>
          <w:tcPr>
            <w:tcW w:w="708" w:type="dxa"/>
            <w:tcBorders>
              <w:top w:val="nil"/>
              <w:left w:val="nil"/>
              <w:bottom w:val="single" w:color="auto" w:sz="4" w:space="0"/>
              <w:right w:val="single" w:color="auto" w:sz="4" w:space="0"/>
            </w:tcBorders>
            <w:vAlign w:val="center"/>
          </w:tcPr>
          <w:p>
            <w:pPr>
              <w:widowControl/>
              <w:adjustRightInd/>
              <w:jc w:val="center"/>
              <w:rPr>
                <w:rFonts w:ascii="宋体" w:hAnsi="宋体" w:eastAsia="宋体" w:cs="仿宋"/>
                <w:color w:val="auto"/>
                <w:szCs w:val="21"/>
                <w:highlight w:val="none"/>
              </w:rPr>
            </w:pPr>
            <w:r>
              <w:rPr>
                <w:rFonts w:hint="eastAsia" w:ascii="宋体" w:hAnsi="宋体" w:eastAsia="宋体" w:cs="仿宋"/>
                <w:color w:val="auto"/>
                <w:szCs w:val="21"/>
                <w:highlight w:val="none"/>
              </w:rPr>
              <w:t>92</w:t>
            </w:r>
          </w:p>
        </w:tc>
      </w:tr>
    </w:tbl>
    <w:p>
      <w:pPr>
        <w:pStyle w:val="69"/>
        <w:ind w:left="0" w:leftChars="0" w:firstLine="0" w:firstLineChars="0"/>
        <w:rPr>
          <w:rFonts w:ascii="宋体" w:hAnsi="宋体" w:eastAsia="宋体" w:cs="仿宋"/>
          <w:color w:val="auto"/>
          <w:sz w:val="24"/>
          <w:highlight w:val="none"/>
        </w:rPr>
      </w:pPr>
    </w:p>
    <w:p>
      <w:pPr>
        <w:widowControl/>
        <w:spacing w:line="0" w:lineRule="atLeast"/>
        <w:jc w:val="left"/>
        <w:rPr>
          <w:rFonts w:hint="eastAsia" w:ascii="宋体" w:hAnsi="宋体" w:eastAsia="宋体" w:cs="宋体"/>
          <w:b/>
          <w:color w:val="auto"/>
          <w:kern w:val="0"/>
          <w:sz w:val="24"/>
          <w:highlight w:val="none"/>
        </w:rPr>
      </w:pPr>
    </w:p>
    <w:p>
      <w:pPr>
        <w:widowControl/>
        <w:spacing w:line="0" w:lineRule="atLeast"/>
        <w:jc w:val="left"/>
        <w:rPr>
          <w:rFonts w:hint="eastAsia" w:ascii="宋体" w:hAnsi="宋体" w:eastAsia="宋体" w:cs="宋体"/>
          <w:b/>
          <w:color w:val="auto"/>
          <w:kern w:val="0"/>
          <w:sz w:val="24"/>
          <w:highlight w:val="none"/>
        </w:rPr>
      </w:pPr>
    </w:p>
    <w:p>
      <w:pPr>
        <w:widowControl/>
        <w:spacing w:line="0" w:lineRule="atLeast"/>
        <w:jc w:val="left"/>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三、说明：</w:t>
      </w:r>
    </w:p>
    <w:p>
      <w:pPr>
        <w:widowControl/>
        <w:spacing w:line="0" w:lineRule="atLeast"/>
        <w:jc w:val="left"/>
        <w:rPr>
          <w:rFonts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3.1.本次招标还包含牛皮癣清理：含标段范围内所有道路、围墙、设施等区域的“乱涂”、“乱张贴”等牛皮癣日常清理；</w:t>
      </w:r>
      <w:r>
        <w:rPr>
          <w:rFonts w:hint="eastAsia" w:ascii="宋体" w:hAnsi="宋体" w:cs="宋体"/>
          <w:bCs/>
          <w:color w:val="auto"/>
          <w:kern w:val="0"/>
          <w:sz w:val="24"/>
          <w:highlight w:val="none"/>
          <w:lang w:val="en-US" w:eastAsia="zh-CN"/>
        </w:rPr>
        <w:t>道路沿线果壳箱的更换和维护；</w:t>
      </w:r>
      <w:r>
        <w:rPr>
          <w:rFonts w:hint="eastAsia" w:ascii="宋体" w:hAnsi="宋体" w:eastAsia="宋体" w:cs="宋体"/>
          <w:bCs/>
          <w:color w:val="auto"/>
          <w:kern w:val="0"/>
          <w:sz w:val="24"/>
          <w:highlight w:val="none"/>
        </w:rPr>
        <w:t>公交站台保洁及设施维护；各路段的绿化、交通护栏清洗等；音乐线的运作；含所有沿街商铺门口。落实责任保洁区域边界管理，保洁时应向保洁边界以外延伸5米，不留保洁盲区和空白点</w:t>
      </w:r>
      <w:r>
        <w:rPr>
          <w:rFonts w:hint="eastAsia" w:ascii="宋体" w:hAnsi="宋体" w:cs="宋体"/>
          <w:bCs/>
          <w:color w:val="auto"/>
          <w:kern w:val="0"/>
          <w:sz w:val="24"/>
          <w:highlight w:val="none"/>
          <w:lang w:eastAsia="zh-CN"/>
        </w:rPr>
        <w:t>。</w:t>
      </w:r>
    </w:p>
    <w:p>
      <w:pPr>
        <w:widowControl/>
        <w:spacing w:line="0" w:lineRule="atLeast"/>
        <w:jc w:val="left"/>
        <w:rPr>
          <w:rFonts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3.3.本项目绿化保洁监管区域的养护内容为：绿化带及周边保洁；死株、缺株巡查上报。</w:t>
      </w:r>
    </w:p>
    <w:p>
      <w:pPr>
        <w:widowControl/>
        <w:spacing w:line="0" w:lineRule="atLeast"/>
        <w:jc w:val="left"/>
        <w:rPr>
          <w:rFonts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3.4.由于部分道路、绿化移交问题，涉及移交路段按实际进场时间按实结算。</w:t>
      </w:r>
    </w:p>
    <w:p>
      <w:pPr>
        <w:widowControl/>
        <w:spacing w:line="0" w:lineRule="atLeast"/>
        <w:jc w:val="left"/>
        <w:rPr>
          <w:rFonts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3.5.合同期内，招标人方如有新接管道路，不在以上范围内，则由中标单位进行保洁，费用不再另外计算。</w:t>
      </w:r>
    </w:p>
    <w:p>
      <w:pPr>
        <w:widowControl/>
        <w:spacing w:line="0" w:lineRule="atLeast"/>
        <w:jc w:val="left"/>
        <w:rPr>
          <w:rFonts w:hint="eastAsia" w:eastAsia="宋体"/>
          <w:color w:val="auto"/>
          <w:highlight w:val="none"/>
          <w:lang w:val="en-US" w:eastAsia="zh-CN"/>
        </w:rPr>
      </w:pPr>
      <w:r>
        <w:rPr>
          <w:rFonts w:hint="eastAsia" w:ascii="宋体" w:hAnsi="宋体" w:eastAsia="宋体" w:cs="宋体"/>
          <w:bCs/>
          <w:color w:val="auto"/>
          <w:kern w:val="0"/>
          <w:sz w:val="24"/>
          <w:highlight w:val="none"/>
        </w:rPr>
        <w:t>3.6.中标人在公示期结束后上报人员、车辆、机械设备等配置计划，报招标人同意后方可进场作业。</w:t>
      </w:r>
    </w:p>
    <w:p>
      <w:pPr>
        <w:widowControl/>
        <w:spacing w:line="0" w:lineRule="atLeast"/>
        <w:jc w:val="left"/>
        <w:rPr>
          <w:rFonts w:ascii="宋体" w:hAnsi="宋体" w:eastAsia="宋体" w:cs="宋体"/>
          <w:bCs/>
          <w:color w:val="auto"/>
          <w:kern w:val="0"/>
          <w:sz w:val="24"/>
          <w:highlight w:val="none"/>
        </w:rPr>
      </w:pPr>
    </w:p>
    <w:p>
      <w:pPr>
        <w:spacing w:line="360" w:lineRule="auto"/>
        <w:rPr>
          <w:rFonts w:ascii="宋体" w:hAnsi="宋体" w:eastAsia="宋体" w:cs="宋体"/>
          <w:color w:val="auto"/>
          <w:sz w:val="24"/>
          <w:highlight w:val="none"/>
          <w:u w:val="single"/>
        </w:rPr>
      </w:pPr>
      <w:r>
        <w:rPr>
          <w:rFonts w:hint="eastAsia" w:ascii="宋体" w:hAnsi="宋体" w:eastAsia="宋体" w:cs="宋体"/>
          <w:b/>
          <w:color w:val="auto"/>
          <w:kern w:val="0"/>
          <w:sz w:val="24"/>
          <w:highlight w:val="none"/>
        </w:rPr>
        <w:t>四、承包期限：2年（部分按实计）。</w:t>
      </w:r>
      <w:r>
        <w:rPr>
          <w:rFonts w:hint="eastAsia" w:ascii="宋体" w:hAnsi="宋体" w:eastAsia="宋体" w:cs="宋体"/>
          <w:color w:val="auto"/>
          <w:sz w:val="24"/>
          <w:highlight w:val="none"/>
        </w:rPr>
        <w:t>若在合同</w:t>
      </w:r>
      <w:r>
        <w:rPr>
          <w:rFonts w:hint="eastAsia" w:ascii="宋体" w:hAnsi="宋体" w:eastAsia="宋体" w:cs="宋体"/>
          <w:color w:val="auto"/>
          <w:spacing w:val="-6"/>
          <w:sz w:val="24"/>
          <w:highlight w:val="none"/>
        </w:rPr>
        <w:t>期内乙方有严重违约行为，甲方有权提前终止合同，由此造成的一切后果和损失由乙方承担。</w:t>
      </w:r>
    </w:p>
    <w:p>
      <w:pPr>
        <w:spacing w:line="360" w:lineRule="auto"/>
        <w:rPr>
          <w:rFonts w:ascii="宋体" w:hAnsi="宋体" w:eastAsia="宋体" w:cs="宋体"/>
          <w:b/>
          <w:bCs/>
          <w:color w:val="auto"/>
          <w:sz w:val="24"/>
          <w:highlight w:val="none"/>
        </w:rPr>
      </w:pPr>
      <w:r>
        <w:rPr>
          <w:rFonts w:hint="eastAsia" w:ascii="宋体" w:hAnsi="宋体" w:eastAsia="宋体" w:cs="宋体"/>
          <w:b/>
          <w:color w:val="auto"/>
          <w:kern w:val="0"/>
          <w:sz w:val="24"/>
          <w:highlight w:val="none"/>
        </w:rPr>
        <w:t>五、</w:t>
      </w:r>
      <w:r>
        <w:rPr>
          <w:rFonts w:hint="eastAsia" w:ascii="宋体" w:hAnsi="宋体" w:cs="宋体"/>
          <w:b/>
          <w:color w:val="auto"/>
          <w:kern w:val="0"/>
          <w:sz w:val="24"/>
          <w:highlight w:val="none"/>
          <w:lang w:val="en-US" w:eastAsia="zh-CN"/>
        </w:rPr>
        <w:t>项目具体要求</w:t>
      </w:r>
    </w:p>
    <w:p>
      <w:pPr>
        <w:pStyle w:val="623"/>
        <w:widowControl w:val="0"/>
        <w:numPr>
          <w:ilvl w:val="0"/>
          <w:numId w:val="0"/>
        </w:numPr>
        <w:wordWrap/>
        <w:adjustRightInd w:val="0"/>
        <w:snapToGrid/>
        <w:spacing w:line="360" w:lineRule="auto"/>
        <w:textAlignment w:val="auto"/>
        <w:rPr>
          <w:rFonts w:hint="default"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 xml:space="preserve">  （一）</w:t>
      </w:r>
      <w:r>
        <w:rPr>
          <w:rFonts w:hint="default" w:ascii="宋体" w:hAnsi="宋体" w:cs="宋体"/>
          <w:b/>
          <w:bCs/>
          <w:color w:val="auto"/>
          <w:kern w:val="2"/>
          <w:sz w:val="24"/>
          <w:szCs w:val="24"/>
          <w:highlight w:val="none"/>
          <w:lang w:val="en-US" w:eastAsia="zh-CN" w:bidi="ar-SA"/>
        </w:rPr>
        <w:t>道路保洁</w:t>
      </w:r>
      <w:r>
        <w:rPr>
          <w:rFonts w:hint="eastAsia" w:ascii="宋体" w:hAnsi="宋体" w:cs="宋体"/>
          <w:b/>
          <w:bCs/>
          <w:color w:val="auto"/>
          <w:kern w:val="2"/>
          <w:sz w:val="24"/>
          <w:szCs w:val="24"/>
          <w:highlight w:val="none"/>
          <w:lang w:val="en-US" w:eastAsia="zh-CN" w:bidi="ar-SA"/>
        </w:rPr>
        <w:t>等级划分标准及管理要求</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cs="宋体"/>
          <w:b/>
          <w:bCs/>
          <w:color w:val="auto"/>
          <w:sz w:val="24"/>
          <w:szCs w:val="24"/>
          <w:highlight w:val="none"/>
        </w:rPr>
        <w:t>道路保洁</w:t>
      </w:r>
      <w:r>
        <w:rPr>
          <w:rFonts w:hint="default" w:ascii="宋体" w:hAnsi="宋体" w:cs="宋体"/>
          <w:color w:val="auto"/>
          <w:kern w:val="2"/>
          <w:sz w:val="24"/>
          <w:szCs w:val="24"/>
          <w:highlight w:val="none"/>
          <w:lang w:val="en-US" w:eastAsia="zh-CN" w:bidi="ar-SA"/>
        </w:rPr>
        <w:t>相关要求</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1.1本项目各标项人员要求须符合专职人员基本岗位数量要求。</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1.1.2除项目负责人和专职保洁人员（含车辆作业人员）、项目管理员以外，供应商应根据项目保洁的实际需要配备相应人员，所需费用应考虑在投标总价中。</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1.1.3保洁人员在岗要求男性年龄在60周岁以下，女性年龄在55周岁以下，并按采购人要求完成智慧化管理措施、设施配备。大型活动、节假日、新作业方式调整或未达到管理标准等情况下应根据实际情况或采购人要求增派保洁人员、保洁设备，以确保清卫保洁质量，增派人员和设备的费用应考虑在投标总报价中。</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1.1.4鼓励供应商根据杭州市劳动和社会保障局、杭州市财政局“关于印发《市区“三类岗位”开发管理办法》的通知”及区政府等相关文件要求，鼓励中标供应商招聘失地失业人员参与本项目服务。</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1.1.5人员用工必须符合《中华人民共和国劳动民法典》等法规的相关规定，如因违法、违规并造成不良后果的，其责任由供应商自行承担。</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1.1.6 作业车辆、作业时间应符合属地交警部门要求，并按要求进行报备后实施。</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1.1.7 供应商提供的设施设备，根据采购人要求统一外观，标识。</w:t>
      </w:r>
    </w:p>
    <w:p>
      <w:pPr>
        <w:pStyle w:val="623"/>
        <w:widowControl w:val="0"/>
        <w:numPr>
          <w:ilvl w:val="0"/>
          <w:numId w:val="0"/>
        </w:numPr>
        <w:wordWrap/>
        <w:adjustRightInd w:val="0"/>
        <w:snapToGrid/>
        <w:spacing w:line="360" w:lineRule="auto"/>
        <w:ind w:firstLine="482"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b/>
          <w:bCs/>
          <w:color w:val="auto"/>
          <w:kern w:val="2"/>
          <w:sz w:val="24"/>
          <w:szCs w:val="24"/>
          <w:highlight w:val="none"/>
          <w:lang w:val="en-US" w:eastAsia="zh-CN" w:bidi="ar-SA"/>
        </w:rPr>
        <w:t>1.2保洁服务内容</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1.2.1本项目涵盖采购文件第三部分采购需求项目概况及要求清单中所有道路的清扫运输、垃圾收集运输、偷倒垃圾清运等服务内容。</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1.2.2本项目道路中间绿化带含在道路保洁范围内，及道路两侧人行道外建筑物基石边或无建筑物外可视范围内（不少于5米）均包含在保洁范围内。</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1.2.3本项目涵盖地铁站（如有）出入口台阶以下周边范围的保洁含在道路保洁范围内。</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1.2.4本项目道路所附属的铁路下穿涵洞（如有）、果壳箱、交通隔离栏、路灯杆（2.2米以下部分）、交通信号杆（2.2米以下部分）均属于本项目保洁范围。</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1.2.5牛皮癣清理：标段范围内道路、围墙、道路沿线设施（含一层建筑立面）等区域的“乱涂”、“乱张贴”等牛皮癣日常清理均属于本项目保洁范围。</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 xml:space="preserve">1.2.6道路保洁承包期内如有道路改建、扩建、新增人行道等情况所增加的面积，原则上纳入中标单位保洁范围，保洁经费不再增加。  </w:t>
      </w:r>
    </w:p>
    <w:p>
      <w:pPr>
        <w:pStyle w:val="623"/>
        <w:widowControl w:val="0"/>
        <w:numPr>
          <w:ilvl w:val="0"/>
          <w:numId w:val="0"/>
        </w:numPr>
        <w:wordWrap/>
        <w:adjustRightInd w:val="0"/>
        <w:snapToGrid/>
        <w:spacing w:line="360" w:lineRule="auto"/>
        <w:ind w:firstLine="482"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b/>
          <w:bCs/>
          <w:color w:val="auto"/>
          <w:kern w:val="2"/>
          <w:sz w:val="24"/>
          <w:szCs w:val="24"/>
          <w:highlight w:val="none"/>
          <w:lang w:val="en-US" w:eastAsia="zh-CN" w:bidi="ar-SA"/>
        </w:rPr>
        <w:t>1.3保洁作业标准</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1.3.1.一级</w:t>
      </w:r>
      <w:r>
        <w:rPr>
          <w:rFonts w:hint="eastAsia" w:ascii="宋体" w:hAnsi="宋体" w:cs="宋体"/>
          <w:b/>
          <w:bCs/>
          <w:color w:val="auto"/>
          <w:sz w:val="24"/>
          <w:szCs w:val="24"/>
          <w:highlight w:val="none"/>
        </w:rPr>
        <w:t>道路保洁</w:t>
      </w:r>
      <w:r>
        <w:rPr>
          <w:rFonts w:hint="default" w:ascii="宋体" w:hAnsi="宋体" w:cs="宋体"/>
          <w:color w:val="auto"/>
          <w:kern w:val="2"/>
          <w:sz w:val="24"/>
          <w:szCs w:val="24"/>
          <w:highlight w:val="none"/>
          <w:lang w:val="en-US" w:eastAsia="zh-CN" w:bidi="ar-SA"/>
        </w:rPr>
        <w:t>标准：①保洁时长：18小时（5:00-23：00）。②快车道保洁：洒水5次/日；高压冲洗2次/日；洗扫吸三合一作业3次/日，要求单向两边侧石、隔离栏底下全部覆盖。③慢车道和人行道保洁：日常普扫吹风机搭配小型慢车道清扫车作业，3次/日；洗、扫、吸一体清洗作业1次/日。④巡回保洁：保洁员配备电动巡回保洁车巡回作业，人均保洁面积不大于8000平方米。⑤空气抑尘：配置空气抑尘设备，每天2次洒水、抑尘。⑥城市家具：全覆盖擦洗1次/日。⑦小广告清除：配备高压冲洗设备，每天清除小广告。⑧道路栏杆：配</w:t>
      </w:r>
      <w:r>
        <w:rPr>
          <w:rFonts w:hint="eastAsia" w:ascii="宋体" w:hAnsi="宋体" w:cs="宋体"/>
          <w:color w:val="auto"/>
          <w:kern w:val="2"/>
          <w:sz w:val="24"/>
          <w:szCs w:val="24"/>
          <w:highlight w:val="none"/>
          <w:lang w:val="en-US" w:eastAsia="zh-CN" w:bidi="ar-SA"/>
        </w:rPr>
        <w:t xml:space="preserve"> </w:t>
      </w:r>
      <w:r>
        <w:rPr>
          <w:rFonts w:hint="default" w:ascii="宋体" w:hAnsi="宋体" w:cs="宋体"/>
          <w:color w:val="auto"/>
          <w:kern w:val="2"/>
          <w:sz w:val="24"/>
          <w:szCs w:val="24"/>
          <w:highlight w:val="none"/>
          <w:lang w:val="en-US" w:eastAsia="zh-CN" w:bidi="ar-SA"/>
        </w:rPr>
        <w:t>备栏杆清洗车，每周清洗一次。⑨绿化带捡拾：配置小型设备，人工配合，每天1~2次。⑩按照合同约定配足人员装备、应急物资。</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1.3.2二级</w:t>
      </w:r>
      <w:r>
        <w:rPr>
          <w:rFonts w:hint="eastAsia" w:ascii="宋体" w:hAnsi="宋体" w:cs="宋体"/>
          <w:b/>
          <w:bCs/>
          <w:color w:val="auto"/>
          <w:sz w:val="24"/>
          <w:szCs w:val="24"/>
          <w:highlight w:val="none"/>
        </w:rPr>
        <w:t>道路保洁</w:t>
      </w:r>
      <w:r>
        <w:rPr>
          <w:rFonts w:hint="default" w:ascii="宋体" w:hAnsi="宋体" w:cs="宋体"/>
          <w:color w:val="auto"/>
          <w:kern w:val="2"/>
          <w:sz w:val="24"/>
          <w:szCs w:val="24"/>
          <w:highlight w:val="none"/>
          <w:lang w:val="en-US" w:eastAsia="zh-CN" w:bidi="ar-SA"/>
        </w:rPr>
        <w:t>标准：①保洁时长：18小时（5:00-23：00）。②快车道保洁：洒水4次/日；高压冲洗2次/日；洗扫吸三合一作业2次/日，普通机扫1次/日，要求单向两边侧石、隔离栏底下全部覆盖。③慢车道和人行道保洁：日常普扫吹风机搭配小型慢车道清扫车作业2次/日；洗、扫、吸一体清洗作业2天1次。④巡回保洁：保洁员配备电动巡回保洁车巡回作业，人均保洁面积不大于8000平方米。⑤空气抑尘：配置空气抑尘设备，每天1次洒水、抑尘。⑥城市家具：全覆盖擦洗2天1次。⑦小广告清除：配备高压冲洗设备，每天清除小广告。⑧道路栏杆：配备栏杆清洗车，每周清洗一次。⑨绿化带捡拾：配置小型设备，人工配合，每天1次。⑩按照合同约定配足人员装备、应急物资。</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1.3.3三级</w:t>
      </w:r>
      <w:r>
        <w:rPr>
          <w:rFonts w:hint="eastAsia" w:ascii="宋体" w:hAnsi="宋体" w:cs="宋体"/>
          <w:b/>
          <w:bCs/>
          <w:color w:val="auto"/>
          <w:sz w:val="24"/>
          <w:szCs w:val="24"/>
          <w:highlight w:val="none"/>
        </w:rPr>
        <w:t>道路保洁</w:t>
      </w:r>
      <w:r>
        <w:rPr>
          <w:rFonts w:hint="default" w:ascii="宋体" w:hAnsi="宋体" w:cs="宋体"/>
          <w:color w:val="auto"/>
          <w:kern w:val="2"/>
          <w:sz w:val="24"/>
          <w:szCs w:val="24"/>
          <w:highlight w:val="none"/>
          <w:lang w:val="en-US" w:eastAsia="zh-CN" w:bidi="ar-SA"/>
        </w:rPr>
        <w:t>标准：①保洁时长：16小时（5:00-21：00）。②快车道保洁：洒水3次/日；高压冲洗2次/日；洗扫吸三合一作业1次/日，普通机扫2次/日，要求单向两边侧石、隔离栏底下全部覆盖。③慢车道和人行道保洁：常规人工清扫3次/日；洗、扫、吸一体作业1次/周。④巡回保洁：保洁员常规巡回作业。⑤空气抑尘：配置空气抑尘设备，每天1次洒水、抑尘。⑥城市家具：全覆盖擦洗1次/周。⑦小广告清除：配备高压冲洗设备，每天清除小广告。⑧道路栏杆：配备栏杆清洗车，每10天清洗一次。⑨绿化带捡拾：配置小型设备，人工配合，每2天1次。⑩按照合同约定配足人员装备、应急物资。</w:t>
      </w:r>
    </w:p>
    <w:p>
      <w:pPr>
        <w:pStyle w:val="25"/>
        <w:ind w:firstLine="480" w:firstLineChars="200"/>
        <w:rPr>
          <w:rFonts w:hint="default" w:ascii="宋体" w:hAnsi="宋体" w:eastAsia="宋体" w:cs="宋体"/>
          <w:b/>
          <w:bCs/>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1.3.4</w:t>
      </w:r>
      <w:r>
        <w:rPr>
          <w:rFonts w:hint="eastAsia" w:ascii="宋体" w:hAnsi="宋体" w:eastAsia="宋体" w:cs="宋体"/>
          <w:b/>
          <w:bCs/>
          <w:color w:val="auto"/>
          <w:kern w:val="2"/>
          <w:sz w:val="24"/>
          <w:szCs w:val="24"/>
          <w:highlight w:val="none"/>
          <w:lang w:val="en-US" w:eastAsia="zh-CN" w:bidi="ar-SA"/>
        </w:rPr>
        <w:t>保洁基本要求</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lang w:val="en-US" w:eastAsia="zh-CN"/>
        </w:rPr>
        <w:t>4.1</w:t>
      </w:r>
      <w:r>
        <w:rPr>
          <w:rFonts w:hint="eastAsia" w:ascii="宋体" w:hAnsi="宋体" w:cs="宋体"/>
          <w:color w:val="auto"/>
          <w:sz w:val="24"/>
          <w:szCs w:val="24"/>
          <w:highlight w:val="none"/>
        </w:rPr>
        <w:t>应做到文明、清洁、安全和有序，最大限度地减少对环境的污染和对公众生活的影响。</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lang w:val="en-US" w:eastAsia="zh-CN"/>
        </w:rPr>
        <w:t>4.2</w:t>
      </w:r>
      <w:r>
        <w:rPr>
          <w:rFonts w:hint="eastAsia" w:ascii="宋体" w:hAnsi="宋体" w:cs="宋体"/>
          <w:color w:val="auto"/>
          <w:sz w:val="24"/>
          <w:szCs w:val="24"/>
          <w:highlight w:val="none"/>
        </w:rPr>
        <w:t>合理安排作业计划。清晨或深夜在居民住宅小区或周边道路进行环卫作业时，不得大声喧哗，并应注意控制机具噪音。组织机械化清扫、洒水、清洗作业应避开交通高峰时段（</w:t>
      </w:r>
      <w:r>
        <w:rPr>
          <w:rFonts w:ascii="宋体" w:hAnsi="宋体" w:cs="宋体"/>
          <w:color w:val="auto"/>
          <w:sz w:val="24"/>
          <w:szCs w:val="24"/>
          <w:highlight w:val="none"/>
        </w:rPr>
        <w:t>7</w:t>
      </w:r>
      <w:r>
        <w:rPr>
          <w:rFonts w:hint="eastAsia" w:ascii="宋体" w:hAnsi="宋体" w:cs="宋体"/>
          <w:color w:val="auto"/>
          <w:sz w:val="24"/>
          <w:szCs w:val="24"/>
          <w:highlight w:val="none"/>
        </w:rPr>
        <w:t>：</w:t>
      </w:r>
      <w:r>
        <w:rPr>
          <w:rFonts w:ascii="宋体" w:cs="宋体"/>
          <w:color w:val="auto"/>
          <w:sz w:val="24"/>
          <w:szCs w:val="24"/>
          <w:highlight w:val="none"/>
        </w:rPr>
        <w:t>00</w:t>
      </w:r>
      <w:r>
        <w:rPr>
          <w:rFonts w:ascii="宋体" w:hAnsi="宋体" w:cs="宋体"/>
          <w:color w:val="auto"/>
          <w:sz w:val="24"/>
          <w:szCs w:val="24"/>
          <w:highlight w:val="none"/>
        </w:rPr>
        <w:t>—9</w:t>
      </w:r>
      <w:r>
        <w:rPr>
          <w:rFonts w:hint="eastAsia" w:ascii="宋体" w:hAnsi="宋体" w:cs="宋体"/>
          <w:color w:val="auto"/>
          <w:sz w:val="24"/>
          <w:szCs w:val="24"/>
          <w:highlight w:val="none"/>
        </w:rPr>
        <w:t>：</w:t>
      </w:r>
      <w:r>
        <w:rPr>
          <w:rFonts w:ascii="宋体" w:cs="宋体"/>
          <w:color w:val="auto"/>
          <w:sz w:val="24"/>
          <w:szCs w:val="24"/>
          <w:highlight w:val="none"/>
        </w:rPr>
        <w:t>00</w:t>
      </w:r>
      <w:r>
        <w:rPr>
          <w:rFonts w:hint="eastAsia" w:ascii="宋体" w:hAnsi="宋体" w:cs="宋体"/>
          <w:color w:val="auto"/>
          <w:sz w:val="24"/>
          <w:szCs w:val="24"/>
          <w:highlight w:val="none"/>
        </w:rPr>
        <w:t>，</w:t>
      </w:r>
      <w:r>
        <w:rPr>
          <w:rFonts w:ascii="宋体" w:hAnsi="宋体" w:cs="宋体"/>
          <w:color w:val="auto"/>
          <w:sz w:val="24"/>
          <w:szCs w:val="24"/>
          <w:highlight w:val="none"/>
        </w:rPr>
        <w:t>16</w:t>
      </w:r>
      <w:r>
        <w:rPr>
          <w:rFonts w:hint="eastAsia" w:ascii="宋体" w:hAnsi="宋体" w:cs="宋体"/>
          <w:color w:val="auto"/>
          <w:sz w:val="24"/>
          <w:szCs w:val="24"/>
          <w:highlight w:val="none"/>
        </w:rPr>
        <w:t>：</w:t>
      </w:r>
      <w:r>
        <w:rPr>
          <w:rFonts w:ascii="宋体" w:hAnsi="宋体" w:cs="宋体"/>
          <w:color w:val="auto"/>
          <w:sz w:val="24"/>
          <w:szCs w:val="24"/>
          <w:highlight w:val="none"/>
        </w:rPr>
        <w:t>30—18</w:t>
      </w:r>
      <w:r>
        <w:rPr>
          <w:rFonts w:hint="eastAsia" w:ascii="宋体" w:hAnsi="宋体" w:cs="宋体"/>
          <w:color w:val="auto"/>
          <w:sz w:val="24"/>
          <w:szCs w:val="24"/>
          <w:highlight w:val="none"/>
        </w:rPr>
        <w:t>：</w:t>
      </w:r>
      <w:r>
        <w:rPr>
          <w:rFonts w:ascii="宋体" w:hAnsi="宋体" w:cs="宋体"/>
          <w:color w:val="auto"/>
          <w:sz w:val="24"/>
          <w:szCs w:val="24"/>
          <w:highlight w:val="none"/>
        </w:rPr>
        <w:t>30</w:t>
      </w:r>
      <w:r>
        <w:rPr>
          <w:rFonts w:hint="eastAsia" w:ascii="宋体" w:hAnsi="宋体" w:cs="宋体"/>
          <w:color w:val="auto"/>
          <w:sz w:val="24"/>
          <w:szCs w:val="24"/>
          <w:highlight w:val="none"/>
        </w:rPr>
        <w:t>）。</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lang w:val="en-US" w:eastAsia="zh-CN"/>
        </w:rPr>
        <w:t>4.3</w:t>
      </w:r>
      <w:r>
        <w:rPr>
          <w:rFonts w:hint="eastAsia" w:ascii="宋体" w:hAnsi="宋体" w:cs="宋体"/>
          <w:color w:val="auto"/>
          <w:sz w:val="24"/>
          <w:szCs w:val="24"/>
          <w:highlight w:val="none"/>
        </w:rPr>
        <w:t>下雪及雪后应根据需要，及时进行路面除雪作业</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，消除路面积雪、结冰，为道路交通畅通创造良好通行条件。清雪作业以机械化清雪为主，人工清雪为辅。清理的积雪不得堆放在雨水井口，禁止向道路路面、绿化带、绿地抛撒积雪。</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lang w:val="en-US" w:eastAsia="zh-CN"/>
        </w:rPr>
        <w:t>4.4</w:t>
      </w:r>
      <w:r>
        <w:rPr>
          <w:rFonts w:hint="eastAsia" w:ascii="宋体" w:hAnsi="宋体" w:cs="宋体"/>
          <w:color w:val="auto"/>
          <w:sz w:val="24"/>
          <w:szCs w:val="24"/>
          <w:highlight w:val="none"/>
        </w:rPr>
        <w:t>日常保洁时间内保洁单位需确保保洁范围干净，如有无主垃圾或其它垃圾，应加强监管，及时劝导并清理干净。</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lang w:val="en-US" w:eastAsia="zh-CN"/>
        </w:rPr>
        <w:t>4.5</w:t>
      </w:r>
      <w:r>
        <w:rPr>
          <w:rFonts w:hint="eastAsia" w:ascii="宋体" w:hAnsi="宋体" w:cs="宋体"/>
          <w:color w:val="auto"/>
          <w:sz w:val="24"/>
          <w:szCs w:val="24"/>
          <w:highlight w:val="none"/>
        </w:rPr>
        <w:t>人工辅助清扫、清洗机动车道、非机动车道或清洗机动车道交通隔离栏时，应在距清扫点来车方向</w:t>
      </w:r>
      <w:r>
        <w:rPr>
          <w:rFonts w:ascii="宋体" w:hAnsi="宋体" w:cs="宋体"/>
          <w:color w:val="auto"/>
          <w:sz w:val="24"/>
          <w:szCs w:val="24"/>
          <w:highlight w:val="none"/>
        </w:rPr>
        <w:t>100</w:t>
      </w:r>
      <w:r>
        <w:rPr>
          <w:rFonts w:hint="eastAsia" w:ascii="宋体" w:hAnsi="宋体" w:cs="宋体"/>
          <w:color w:val="auto"/>
          <w:sz w:val="24"/>
          <w:szCs w:val="24"/>
          <w:highlight w:val="none"/>
          <w:lang w:val="en-US" w:eastAsia="zh-CN"/>
        </w:rPr>
        <w:t>m</w:t>
      </w:r>
      <w:r>
        <w:rPr>
          <w:rFonts w:hint="eastAsia" w:ascii="宋体" w:hAnsi="宋体" w:cs="宋体"/>
          <w:color w:val="auto"/>
          <w:sz w:val="24"/>
          <w:szCs w:val="24"/>
          <w:highlight w:val="none"/>
        </w:rPr>
        <w:t>处设置警示标识，使用荧光锥形筒等警示标识围护清扫保洁区域，面向来车方向清扫，注意车辆动态。</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lang w:val="en-US" w:eastAsia="zh-CN"/>
        </w:rPr>
        <w:t>4.6</w:t>
      </w:r>
      <w:r>
        <w:rPr>
          <w:rFonts w:hint="eastAsia" w:ascii="宋体" w:hAnsi="宋体" w:cs="宋体"/>
          <w:color w:val="auto"/>
          <w:sz w:val="24"/>
          <w:szCs w:val="24"/>
          <w:highlight w:val="none"/>
        </w:rPr>
        <w:t>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lang w:val="en-US" w:eastAsia="zh-CN"/>
        </w:rPr>
        <w:t>4.7</w:t>
      </w:r>
      <w:r>
        <w:rPr>
          <w:rFonts w:hint="eastAsia" w:ascii="宋体" w:hAnsi="宋体" w:cs="宋体"/>
          <w:color w:val="auto"/>
          <w:sz w:val="24"/>
          <w:szCs w:val="24"/>
          <w:highlight w:val="none"/>
        </w:rPr>
        <w:t>本项目环卫作业车辆须有固定场所停放，严禁停放在消防通道、公交车站、盲道等影响车辆和行人通行的公共通道。</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b/>
          <w:bCs/>
          <w:color w:val="auto"/>
          <w:kern w:val="2"/>
          <w:sz w:val="24"/>
          <w:szCs w:val="24"/>
          <w:highlight w:val="none"/>
          <w:lang w:val="en-US" w:eastAsia="zh-CN" w:bidi="ar-SA"/>
        </w:rPr>
      </w:pPr>
      <w:r>
        <w:rPr>
          <w:rFonts w:ascii="宋体" w:hAnsi="宋体" w:cs="宋体"/>
          <w:color w:val="auto"/>
          <w:sz w:val="24"/>
          <w:szCs w:val="24"/>
          <w:highlight w:val="none"/>
        </w:rPr>
        <w:t>1.3.</w:t>
      </w:r>
      <w:r>
        <w:rPr>
          <w:rFonts w:hint="eastAsia" w:ascii="宋体" w:hAnsi="宋体" w:cs="宋体"/>
          <w:color w:val="auto"/>
          <w:sz w:val="24"/>
          <w:szCs w:val="24"/>
          <w:highlight w:val="none"/>
          <w:lang w:val="en-US" w:eastAsia="zh-CN"/>
        </w:rPr>
        <w:t>4.8</w:t>
      </w:r>
      <w:r>
        <w:rPr>
          <w:rFonts w:hint="eastAsia" w:ascii="宋体" w:hAnsi="宋体" w:cs="宋体"/>
          <w:color w:val="auto"/>
          <w:sz w:val="24"/>
          <w:szCs w:val="24"/>
          <w:highlight w:val="none"/>
        </w:rPr>
        <w:t>承诺能及时提供人力、设备、技术等支持。</w:t>
      </w:r>
    </w:p>
    <w:p>
      <w:pPr>
        <w:pStyle w:val="623"/>
        <w:widowControl w:val="0"/>
        <w:numPr>
          <w:ilvl w:val="0"/>
          <w:numId w:val="0"/>
        </w:numPr>
        <w:wordWrap/>
        <w:adjustRightInd w:val="0"/>
        <w:snapToGrid/>
        <w:spacing w:line="360" w:lineRule="auto"/>
        <w:ind w:firstLine="482"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b/>
          <w:bCs/>
          <w:color w:val="auto"/>
          <w:kern w:val="2"/>
          <w:sz w:val="24"/>
          <w:szCs w:val="24"/>
          <w:highlight w:val="none"/>
          <w:lang w:val="en-US" w:eastAsia="zh-CN" w:bidi="ar-SA"/>
        </w:rPr>
        <w:t>1.4保洁作业规范</w:t>
      </w:r>
      <w:r>
        <w:rPr>
          <w:rFonts w:hint="default" w:ascii="宋体" w:hAnsi="宋体" w:cs="宋体"/>
          <w:color w:val="auto"/>
          <w:kern w:val="2"/>
          <w:sz w:val="24"/>
          <w:szCs w:val="24"/>
          <w:highlight w:val="none"/>
          <w:lang w:val="en-US" w:eastAsia="zh-CN" w:bidi="ar-SA"/>
        </w:rPr>
        <w:t xml:space="preserve"> </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1.4.1</w:t>
      </w:r>
      <w:r>
        <w:rPr>
          <w:rFonts w:hint="eastAsia" w:ascii="宋体" w:hAnsi="宋体" w:cs="宋体"/>
          <w:color w:val="auto"/>
          <w:sz w:val="24"/>
          <w:szCs w:val="24"/>
          <w:highlight w:val="none"/>
        </w:rPr>
        <w:t>道路普扫次数和时间</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1.4.1.1</w:t>
      </w:r>
      <w:r>
        <w:rPr>
          <w:rFonts w:hint="default" w:ascii="宋体" w:hAnsi="宋体" w:cs="宋体"/>
          <w:color w:val="auto"/>
          <w:kern w:val="2"/>
          <w:sz w:val="24"/>
          <w:szCs w:val="24"/>
          <w:highlight w:val="none"/>
          <w:lang w:val="en-US" w:eastAsia="zh-CN" w:bidi="ar-SA"/>
        </w:rPr>
        <w:t>一级道路普扫作业每日不少于3次。夏季（6月—</w:t>
      </w:r>
      <w:r>
        <w:rPr>
          <w:rFonts w:hint="eastAsia" w:ascii="宋体" w:hAnsi="宋体" w:cs="宋体"/>
          <w:color w:val="auto"/>
          <w:kern w:val="2"/>
          <w:sz w:val="24"/>
          <w:szCs w:val="24"/>
          <w:highlight w:val="none"/>
          <w:lang w:val="en-US" w:eastAsia="zh-CN" w:bidi="ar-SA"/>
        </w:rPr>
        <w:t>9</w:t>
      </w:r>
      <w:r>
        <w:rPr>
          <w:rFonts w:hint="default" w:ascii="宋体" w:hAnsi="宋体" w:cs="宋体"/>
          <w:color w:val="auto"/>
          <w:kern w:val="2"/>
          <w:sz w:val="24"/>
          <w:szCs w:val="24"/>
          <w:highlight w:val="none"/>
          <w:lang w:val="en-US" w:eastAsia="zh-CN" w:bidi="ar-SA"/>
        </w:rPr>
        <w:t>月）第一次普扫应在6：30前完成，春、秋、冬季（9月—次年5月）在7：00前完成；第二次普扫在13：30前完成；第三次普扫在17：00前完成。</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1.4.1.2</w:t>
      </w:r>
      <w:r>
        <w:rPr>
          <w:rFonts w:hint="default" w:ascii="宋体" w:hAnsi="宋体" w:cs="宋体"/>
          <w:color w:val="auto"/>
          <w:kern w:val="2"/>
          <w:sz w:val="24"/>
          <w:szCs w:val="24"/>
          <w:highlight w:val="none"/>
          <w:lang w:val="en-US" w:eastAsia="zh-CN" w:bidi="ar-SA"/>
        </w:rPr>
        <w:t xml:space="preserve">应根据重大活动保障、落叶旺季等因素适时增加每日普扫频次。 </w:t>
      </w:r>
    </w:p>
    <w:p>
      <w:pPr>
        <w:snapToGrid w:val="0"/>
        <w:spacing w:line="360" w:lineRule="auto"/>
        <w:ind w:firstLine="480" w:firstLineChars="200"/>
        <w:jc w:val="left"/>
        <w:rPr>
          <w:rFonts w:ascii="宋体"/>
          <w:b/>
          <w:bCs/>
          <w:color w:val="auto"/>
          <w:sz w:val="24"/>
          <w:szCs w:val="24"/>
          <w:highlight w:val="none"/>
        </w:rPr>
      </w:pPr>
      <w:r>
        <w:rPr>
          <w:rFonts w:hint="default" w:ascii="宋体" w:hAnsi="宋体" w:cs="宋体"/>
          <w:color w:val="auto"/>
          <w:kern w:val="2"/>
          <w:sz w:val="24"/>
          <w:szCs w:val="24"/>
          <w:highlight w:val="none"/>
          <w:lang w:val="en-US" w:eastAsia="zh-CN" w:bidi="ar-SA"/>
        </w:rPr>
        <w:t>1.4.2</w:t>
      </w:r>
      <w:r>
        <w:rPr>
          <w:rFonts w:hint="eastAsia" w:ascii="宋体" w:hAnsi="宋体" w:cs="宋体"/>
          <w:b/>
          <w:bCs/>
          <w:color w:val="auto"/>
          <w:sz w:val="24"/>
          <w:szCs w:val="24"/>
          <w:highlight w:val="none"/>
        </w:rPr>
        <w:t>洒水（清洗）</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ascii="宋体" w:hAnsi="宋体" w:cs="宋体"/>
          <w:color w:val="auto"/>
          <w:sz w:val="24"/>
          <w:szCs w:val="24"/>
          <w:highlight w:val="none"/>
        </w:rPr>
        <w:t>1.4.2.1</w:t>
      </w:r>
      <w:r>
        <w:rPr>
          <w:rFonts w:hint="eastAsia" w:ascii="宋体" w:hAnsi="宋体" w:cs="宋体"/>
          <w:color w:val="auto"/>
          <w:sz w:val="24"/>
          <w:szCs w:val="24"/>
          <w:highlight w:val="none"/>
          <w:lang w:val="en-US" w:eastAsia="zh-CN"/>
        </w:rPr>
        <w:t>广场铺砖使用小型</w:t>
      </w:r>
      <w:r>
        <w:rPr>
          <w:rFonts w:hint="eastAsia" w:ascii="宋体" w:hAnsi="宋体" w:cs="宋体"/>
          <w:color w:val="auto"/>
          <w:sz w:val="24"/>
          <w:szCs w:val="24"/>
          <w:highlight w:val="none"/>
        </w:rPr>
        <w:t>机械化</w:t>
      </w:r>
      <w:r>
        <w:rPr>
          <w:rFonts w:hint="eastAsia" w:ascii="宋体" w:hAnsi="宋体" w:cs="宋体"/>
          <w:color w:val="auto"/>
          <w:sz w:val="24"/>
          <w:szCs w:val="24"/>
          <w:highlight w:val="none"/>
          <w:lang w:val="en-US" w:eastAsia="zh-CN"/>
        </w:rPr>
        <w:t>不定时冲洗</w:t>
      </w:r>
      <w:r>
        <w:rPr>
          <w:rFonts w:hint="eastAsia" w:ascii="宋体" w:hAnsi="宋体" w:cs="宋体"/>
          <w:color w:val="auto"/>
          <w:sz w:val="24"/>
          <w:szCs w:val="24"/>
          <w:highlight w:val="none"/>
        </w:rPr>
        <w:t>作业。</w:t>
      </w:r>
      <w:r>
        <w:rPr>
          <w:rFonts w:hint="default" w:ascii="宋体" w:hAnsi="宋体" w:cs="宋体"/>
          <w:color w:val="auto"/>
          <w:kern w:val="2"/>
          <w:sz w:val="24"/>
          <w:szCs w:val="24"/>
          <w:highlight w:val="none"/>
          <w:lang w:val="en-US" w:eastAsia="zh-CN" w:bidi="ar-SA"/>
        </w:rPr>
        <w:t xml:space="preserve"> </w:t>
      </w:r>
    </w:p>
    <w:p>
      <w:pPr>
        <w:snapToGrid w:val="0"/>
        <w:spacing w:line="360" w:lineRule="auto"/>
        <w:ind w:firstLine="480" w:firstLineChars="200"/>
        <w:jc w:val="left"/>
        <w:rPr>
          <w:rFonts w:ascii="宋体"/>
          <w:b/>
          <w:bCs/>
          <w:color w:val="auto"/>
          <w:sz w:val="24"/>
          <w:szCs w:val="24"/>
          <w:highlight w:val="none"/>
        </w:rPr>
      </w:pPr>
      <w:r>
        <w:rPr>
          <w:rFonts w:hint="default" w:ascii="宋体" w:hAnsi="宋体" w:cs="宋体"/>
          <w:color w:val="auto"/>
          <w:kern w:val="2"/>
          <w:sz w:val="24"/>
          <w:szCs w:val="24"/>
          <w:highlight w:val="none"/>
          <w:lang w:val="en-US" w:eastAsia="zh-CN" w:bidi="ar-SA"/>
        </w:rPr>
        <w:t>1.4.3</w:t>
      </w:r>
      <w:r>
        <w:rPr>
          <w:rFonts w:hint="eastAsia" w:ascii="宋体" w:hAnsi="宋体" w:cs="宋体"/>
          <w:b/>
          <w:bCs/>
          <w:color w:val="auto"/>
          <w:sz w:val="24"/>
          <w:szCs w:val="24"/>
          <w:highlight w:val="none"/>
        </w:rPr>
        <w:t>机械化清扫</w:t>
      </w:r>
    </w:p>
    <w:p>
      <w:pPr>
        <w:snapToGrid w:val="0"/>
        <w:spacing w:line="360" w:lineRule="auto"/>
        <w:ind w:firstLine="480" w:firstLineChars="200"/>
        <w:jc w:val="left"/>
        <w:rPr>
          <w:rFonts w:hint="default" w:ascii="宋体" w:hAnsi="宋体" w:eastAsia="宋体" w:cs="宋体"/>
          <w:color w:val="auto"/>
          <w:sz w:val="24"/>
          <w:szCs w:val="24"/>
          <w:highlight w:val="none"/>
          <w:lang w:val="en-US" w:eastAsia="zh-CN"/>
        </w:rPr>
      </w:pPr>
      <w:r>
        <w:rPr>
          <w:rFonts w:ascii="宋体" w:hAnsi="宋体" w:cs="宋体"/>
          <w:color w:val="auto"/>
          <w:sz w:val="24"/>
          <w:szCs w:val="24"/>
          <w:highlight w:val="none"/>
        </w:rPr>
        <w:t>1.4.3.1</w:t>
      </w:r>
      <w:r>
        <w:rPr>
          <w:rFonts w:hint="eastAsia" w:ascii="宋体" w:hAnsi="宋体" w:cs="宋体"/>
          <w:color w:val="auto"/>
          <w:sz w:val="24"/>
          <w:szCs w:val="24"/>
          <w:highlight w:val="none"/>
        </w:rPr>
        <w:t>机械化清扫范围主要为</w:t>
      </w:r>
      <w:r>
        <w:rPr>
          <w:rFonts w:hint="eastAsia" w:ascii="宋体" w:hAnsi="宋体" w:cs="宋体"/>
          <w:color w:val="auto"/>
          <w:sz w:val="24"/>
          <w:szCs w:val="24"/>
          <w:highlight w:val="none"/>
          <w:lang w:val="en-US" w:eastAsia="zh-CN"/>
        </w:rPr>
        <w:t>铺砖路面，使用小型电动扫地机清扫，不得使用大型洗扫设备。</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1.4.3.2</w:t>
      </w:r>
      <w:r>
        <w:rPr>
          <w:rFonts w:hint="eastAsia" w:ascii="宋体" w:hAnsi="宋体" w:cs="宋体"/>
          <w:color w:val="auto"/>
          <w:sz w:val="24"/>
          <w:szCs w:val="24"/>
          <w:highlight w:val="none"/>
        </w:rPr>
        <w:t>清扫车或洗扫车应加足水，根据路面状况调整好扫路车侧刷和吸口，喷雾洁扫无扬尘，机械化清扫作业。</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1.4.3.3</w:t>
      </w:r>
      <w:r>
        <w:rPr>
          <w:rFonts w:hint="eastAsia" w:ascii="宋体" w:hAnsi="宋体" w:cs="宋体"/>
          <w:color w:val="auto"/>
          <w:sz w:val="24"/>
          <w:szCs w:val="24"/>
          <w:highlight w:val="none"/>
        </w:rPr>
        <w:t>机械化清扫作业时，扫路车或洗扫车车速不得超过</w:t>
      </w:r>
      <w:r>
        <w:rPr>
          <w:rFonts w:ascii="宋体" w:hAnsi="宋体" w:cs="宋体"/>
          <w:color w:val="auto"/>
          <w:sz w:val="24"/>
          <w:szCs w:val="24"/>
          <w:highlight w:val="none"/>
        </w:rPr>
        <w:t>10km/h</w:t>
      </w:r>
      <w:r>
        <w:rPr>
          <w:rFonts w:hint="eastAsia" w:ascii="宋体" w:hAnsi="宋体" w:cs="宋体"/>
          <w:color w:val="auto"/>
          <w:sz w:val="24"/>
          <w:szCs w:val="24"/>
          <w:highlight w:val="none"/>
        </w:rPr>
        <w:t>。</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1.4.3.4</w:t>
      </w:r>
      <w:r>
        <w:rPr>
          <w:rFonts w:hint="eastAsia" w:ascii="宋体" w:hAnsi="宋体" w:cs="宋体"/>
          <w:color w:val="auto"/>
          <w:sz w:val="24"/>
          <w:szCs w:val="24"/>
          <w:highlight w:val="none"/>
        </w:rPr>
        <w:t>清扫时应注意观察路面清扫质量和路面障碍情况，对机械化清扫不能清除的大件垃圾或硬物，在确保作业安全的前提下，及时下车清除。</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1.4.3.5</w:t>
      </w:r>
      <w:r>
        <w:rPr>
          <w:rFonts w:hint="eastAsia" w:ascii="宋体" w:hAnsi="宋体" w:cs="宋体"/>
          <w:color w:val="auto"/>
          <w:sz w:val="24"/>
          <w:szCs w:val="24"/>
          <w:highlight w:val="none"/>
        </w:rPr>
        <w:t>当日清扫结束后，应在指定地点卸空机械化清扫车辆中的垃圾。</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ascii="宋体" w:hAnsi="宋体" w:cs="宋体"/>
          <w:color w:val="auto"/>
          <w:sz w:val="24"/>
          <w:szCs w:val="24"/>
          <w:highlight w:val="none"/>
        </w:rPr>
        <w:t>1.4.3.6</w:t>
      </w:r>
      <w:r>
        <w:rPr>
          <w:rFonts w:hint="eastAsia" w:ascii="宋体" w:hAnsi="宋体" w:cs="宋体"/>
          <w:color w:val="auto"/>
          <w:sz w:val="24"/>
          <w:szCs w:val="24"/>
          <w:highlight w:val="none"/>
        </w:rPr>
        <w:t>机械化清扫车辆所用的扫把丝等消耗品应根据使用状况及时更换。</w:t>
      </w:r>
    </w:p>
    <w:p>
      <w:pPr>
        <w:snapToGrid w:val="0"/>
        <w:spacing w:line="360" w:lineRule="auto"/>
        <w:ind w:firstLine="480" w:firstLineChars="200"/>
        <w:jc w:val="left"/>
        <w:rPr>
          <w:rFonts w:ascii="宋体"/>
          <w:b/>
          <w:bCs/>
          <w:color w:val="auto"/>
          <w:sz w:val="24"/>
          <w:szCs w:val="24"/>
          <w:highlight w:val="none"/>
        </w:rPr>
      </w:pPr>
      <w:r>
        <w:rPr>
          <w:rFonts w:hint="default" w:ascii="宋体" w:hAnsi="宋体" w:cs="宋体"/>
          <w:color w:val="auto"/>
          <w:kern w:val="2"/>
          <w:sz w:val="24"/>
          <w:szCs w:val="24"/>
          <w:highlight w:val="none"/>
          <w:lang w:val="en-US" w:eastAsia="zh-CN" w:bidi="ar-SA"/>
        </w:rPr>
        <w:t>1.4.4</w:t>
      </w:r>
      <w:r>
        <w:rPr>
          <w:rFonts w:hint="eastAsia" w:ascii="宋体" w:hAnsi="宋体" w:cs="宋体"/>
          <w:b/>
          <w:bCs/>
          <w:color w:val="auto"/>
          <w:sz w:val="24"/>
          <w:szCs w:val="24"/>
          <w:highlight w:val="none"/>
        </w:rPr>
        <w:t>人工普扫</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1.4.4.1</w:t>
      </w:r>
      <w:r>
        <w:rPr>
          <w:rFonts w:hint="eastAsia" w:ascii="宋体" w:hAnsi="宋体" w:cs="宋体"/>
          <w:color w:val="auto"/>
          <w:sz w:val="24"/>
          <w:szCs w:val="24"/>
          <w:highlight w:val="none"/>
        </w:rPr>
        <w:t>清扫时，在距清扫点适当位置安全警示标识。</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1.4.4.2</w:t>
      </w:r>
      <w:r>
        <w:rPr>
          <w:rFonts w:hint="eastAsia" w:ascii="宋体" w:hAnsi="宋体" w:cs="宋体"/>
          <w:color w:val="auto"/>
          <w:sz w:val="24"/>
          <w:szCs w:val="24"/>
          <w:highlight w:val="none"/>
        </w:rPr>
        <w:t>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pPr>
        <w:pStyle w:val="623"/>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ascii="宋体" w:hAnsi="宋体" w:cs="宋体"/>
          <w:color w:val="auto"/>
          <w:sz w:val="24"/>
          <w:szCs w:val="24"/>
          <w:highlight w:val="none"/>
        </w:rPr>
        <w:t>1.4.4.3</w:t>
      </w:r>
      <w:r>
        <w:rPr>
          <w:rFonts w:hint="eastAsia" w:ascii="宋体" w:hAnsi="宋体" w:cs="宋体"/>
          <w:color w:val="auto"/>
          <w:sz w:val="24"/>
          <w:szCs w:val="24"/>
          <w:highlight w:val="none"/>
        </w:rPr>
        <w:t>清扫的街面垃圾、沿街果壳箱中的垃圾应密闭化运至指定地点，运输过程不得抛洒滴漏。</w:t>
      </w:r>
    </w:p>
    <w:p>
      <w:pPr>
        <w:snapToGrid w:val="0"/>
        <w:spacing w:line="360" w:lineRule="auto"/>
        <w:ind w:firstLine="480" w:firstLineChars="200"/>
        <w:jc w:val="left"/>
        <w:rPr>
          <w:rFonts w:ascii="宋体"/>
          <w:b/>
          <w:bCs/>
          <w:color w:val="auto"/>
          <w:sz w:val="24"/>
          <w:szCs w:val="24"/>
          <w:highlight w:val="none"/>
        </w:rPr>
      </w:pPr>
      <w:r>
        <w:rPr>
          <w:rFonts w:hint="default" w:ascii="宋体" w:hAnsi="宋体" w:cs="宋体"/>
          <w:color w:val="auto"/>
          <w:kern w:val="2"/>
          <w:sz w:val="24"/>
          <w:szCs w:val="24"/>
          <w:highlight w:val="none"/>
          <w:lang w:val="en-US" w:eastAsia="zh-CN" w:bidi="ar-SA"/>
        </w:rPr>
        <w:t>1.4.5</w:t>
      </w:r>
      <w:r>
        <w:rPr>
          <w:rFonts w:hint="eastAsia" w:ascii="宋体" w:hAnsi="宋体" w:cs="宋体"/>
          <w:b/>
          <w:bCs/>
          <w:color w:val="auto"/>
          <w:sz w:val="24"/>
          <w:szCs w:val="24"/>
          <w:highlight w:val="none"/>
        </w:rPr>
        <w:t>人工保洁</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1.4.5.1</w:t>
      </w:r>
      <w:r>
        <w:rPr>
          <w:rFonts w:hint="eastAsia" w:ascii="宋体" w:hAnsi="宋体" w:cs="宋体"/>
          <w:color w:val="auto"/>
          <w:sz w:val="24"/>
          <w:szCs w:val="24"/>
          <w:highlight w:val="none"/>
        </w:rPr>
        <w:t>普扫结束后，应按照规定的责任保洁区域、保洁时间组织巡回保洁。落实责任保洁区域边界管理，保洁时应向保洁边界以外适当延伸（不少于</w:t>
      </w:r>
      <w:r>
        <w:rPr>
          <w:rFonts w:ascii="宋体" w:hAnsi="宋体" w:cs="宋体"/>
          <w:color w:val="auto"/>
          <w:sz w:val="24"/>
          <w:szCs w:val="24"/>
          <w:highlight w:val="none"/>
        </w:rPr>
        <w:t>5</w:t>
      </w:r>
      <w:r>
        <w:rPr>
          <w:rFonts w:hint="eastAsia" w:ascii="宋体" w:hAnsi="宋体" w:cs="宋体"/>
          <w:color w:val="auto"/>
          <w:sz w:val="24"/>
          <w:szCs w:val="24"/>
          <w:highlight w:val="none"/>
        </w:rPr>
        <w:t>米），不留保洁盲区和空白点。</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1.4.5.2</w:t>
      </w:r>
      <w:r>
        <w:rPr>
          <w:rFonts w:hint="eastAsia" w:ascii="宋体" w:hAnsi="宋体" w:cs="宋体"/>
          <w:color w:val="auto"/>
          <w:sz w:val="24"/>
          <w:szCs w:val="24"/>
          <w:highlight w:val="none"/>
        </w:rPr>
        <w:t>应定时清运果壳箱中的垃圾，做到垃圾不落地、不积存，日产日清。</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1.4.5.3</w:t>
      </w:r>
      <w:r>
        <w:rPr>
          <w:rFonts w:hint="eastAsia" w:ascii="宋体" w:hAnsi="宋体" w:cs="宋体"/>
          <w:color w:val="auto"/>
          <w:sz w:val="24"/>
          <w:szCs w:val="24"/>
          <w:highlight w:val="none"/>
        </w:rPr>
        <w:t>突发性环境卫生污染现场清理时，应严格按照应急处置方案进行保洁，及时消除污染物，恢复路面清洁。</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1.4.5.4</w:t>
      </w:r>
      <w:r>
        <w:rPr>
          <w:rFonts w:hint="eastAsia" w:ascii="宋体" w:hAnsi="宋体" w:cs="宋体"/>
          <w:color w:val="auto"/>
          <w:sz w:val="24"/>
          <w:szCs w:val="24"/>
          <w:highlight w:val="none"/>
        </w:rPr>
        <w:t>环卫电动专用作业车辆应在非机动车道顺向行驶，不得超载，且行驶速度不得超过</w:t>
      </w:r>
      <w:r>
        <w:rPr>
          <w:rFonts w:ascii="宋体" w:hAnsi="宋体" w:cs="宋体"/>
          <w:color w:val="auto"/>
          <w:sz w:val="24"/>
          <w:szCs w:val="24"/>
          <w:highlight w:val="none"/>
        </w:rPr>
        <w:t>20Km/h</w:t>
      </w:r>
      <w:r>
        <w:rPr>
          <w:rFonts w:hint="eastAsia" w:ascii="宋体" w:hAnsi="宋体" w:cs="宋体"/>
          <w:color w:val="auto"/>
          <w:sz w:val="24"/>
          <w:szCs w:val="24"/>
          <w:highlight w:val="none"/>
        </w:rPr>
        <w:t>。</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ascii="宋体" w:hAnsi="宋体" w:cs="宋体"/>
          <w:color w:val="auto"/>
          <w:sz w:val="24"/>
          <w:szCs w:val="24"/>
          <w:highlight w:val="none"/>
        </w:rPr>
        <w:t>1.4.5.5</w:t>
      </w:r>
      <w:r>
        <w:rPr>
          <w:rFonts w:hint="eastAsia" w:ascii="宋体" w:hAnsi="宋体" w:cs="宋体"/>
          <w:color w:val="auto"/>
          <w:sz w:val="24"/>
          <w:szCs w:val="24"/>
          <w:highlight w:val="none"/>
        </w:rPr>
        <w:t>保洁作业结束后，作业工具应在规定地点摆放，不得在道路路面、墙角、绿化带、绿地中存放。</w:t>
      </w:r>
    </w:p>
    <w:p>
      <w:pPr>
        <w:pStyle w:val="623"/>
        <w:widowControl w:val="0"/>
        <w:numPr>
          <w:ilvl w:val="0"/>
          <w:numId w:val="0"/>
        </w:numPr>
        <w:wordWrap/>
        <w:adjustRightInd w:val="0"/>
        <w:snapToGrid/>
        <w:spacing w:line="360" w:lineRule="auto"/>
        <w:ind w:firstLine="482" w:firstLineChars="200"/>
        <w:textAlignment w:val="auto"/>
        <w:rPr>
          <w:rFonts w:hint="default" w:ascii="宋体" w:hAnsi="宋体" w:cs="宋体"/>
          <w:b/>
          <w:bCs/>
          <w:color w:val="auto"/>
          <w:kern w:val="2"/>
          <w:sz w:val="24"/>
          <w:szCs w:val="24"/>
          <w:highlight w:val="none"/>
          <w:lang w:val="en-US" w:eastAsia="zh-CN" w:bidi="ar-SA"/>
        </w:rPr>
      </w:pPr>
      <w:r>
        <w:rPr>
          <w:rFonts w:hint="default" w:ascii="宋体" w:hAnsi="宋体" w:cs="宋体"/>
          <w:b/>
          <w:bCs/>
          <w:color w:val="auto"/>
          <w:kern w:val="2"/>
          <w:sz w:val="24"/>
          <w:szCs w:val="24"/>
          <w:highlight w:val="none"/>
          <w:lang w:val="en-US" w:eastAsia="zh-CN" w:bidi="ar-SA"/>
        </w:rPr>
        <w:t>1.5保洁质量要求</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1.5.1清扫应做到“五无五净”。即无垃圾杂物；无积水积泥，无痰迹烟蒂，无果皮纸屑，无土石杂草；路面干净，绿化带和树圈干净，边角侧石干净，雨水井盖沟眼畅通干净，果壳箱等环卫设施干净、路面见本色。</w:t>
      </w:r>
    </w:p>
    <w:p>
      <w:pPr>
        <w:pStyle w:val="623"/>
        <w:widowControl w:val="0"/>
        <w:numPr>
          <w:ilvl w:val="0"/>
          <w:numId w:val="0"/>
        </w:numPr>
        <w:wordWrap/>
        <w:adjustRightInd w:val="0"/>
        <w:snapToGrid/>
        <w:spacing w:line="360" w:lineRule="auto"/>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 xml:space="preserve"> 1.5.2三化四分相关要求：本项目的供应商应按照杭州市垃圾分类工作的具体要求，确定生活垃圾分类（易腐垃圾、其他垃圾、可回收物、有害垃圾），并完成保洁范围内四类垃圾的分类、收集以及垃圾的清运工作。</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 xml:space="preserve">1.5.3其他要求：   </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 xml:space="preserve">（1）遇有窨井盖丢失、破损等，承包方必须及时上报采购人。  </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 xml:space="preserve">（2）遇有重大活动或突发事件，及时组织力量做好清扫保洁保障工作。   </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（3）遇有重大活动以及抗台、抗雪等突发事件，必须及时组织力量做好清扫保洁等应急保障工作，按照城市管理保障应急机制要求，保证人员及时到位，并根据应急指令服从统一调配。</w:t>
      </w:r>
    </w:p>
    <w:p>
      <w:pPr>
        <w:pStyle w:val="623"/>
        <w:widowControl w:val="0"/>
        <w:numPr>
          <w:ilvl w:val="0"/>
          <w:numId w:val="0"/>
        </w:numPr>
        <w:wordWrap/>
        <w:adjustRightInd w:val="0"/>
        <w:snapToGrid/>
        <w:spacing w:line="360" w:lineRule="auto"/>
        <w:ind w:firstLine="482"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b/>
          <w:bCs/>
          <w:color w:val="auto"/>
          <w:kern w:val="2"/>
          <w:sz w:val="24"/>
          <w:szCs w:val="24"/>
          <w:highlight w:val="none"/>
          <w:lang w:val="en-US" w:eastAsia="zh-CN" w:bidi="ar-SA"/>
        </w:rPr>
        <w:t>1.6.管理要求</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1.6.1供应商在保洁作业中投入的机械设备、人员配置等必须与投标文件中所承诺的数量规格相符合。加强日常作业质量管理，相关计划及报告按采购人要求准时递交。</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1.6.2规范管理、文明作业、自觉接受采购人及其上级各部门领导的检查和社会监督，对出现的问题要及时整改。</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1.6.3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在30分钟内及时书面告知采购人）。</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1.6.4</w:t>
      </w:r>
      <w:r>
        <w:rPr>
          <w:rFonts w:hint="eastAsia" w:ascii="宋体" w:hAnsi="宋体" w:cs="宋体"/>
          <w:b/>
          <w:bCs/>
          <w:color w:val="auto"/>
          <w:sz w:val="24"/>
          <w:szCs w:val="24"/>
          <w:highlight w:val="none"/>
          <w:lang w:eastAsia="zh-CN"/>
        </w:rPr>
        <w:t>根据《</w:t>
      </w:r>
      <w:r>
        <w:rPr>
          <w:rFonts w:hint="eastAsia" w:ascii="宋体" w:hAnsi="宋体" w:cs="宋体"/>
          <w:b/>
          <w:bCs/>
          <w:color w:val="auto"/>
          <w:sz w:val="24"/>
          <w:szCs w:val="24"/>
          <w:highlight w:val="none"/>
        </w:rPr>
        <w:t>关于进一步明确杭州市道路果壳箱设置要求的通知</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果壳箱应定期保养保持整洁完好无缺失，</w:t>
      </w:r>
      <w:r>
        <w:rPr>
          <w:rFonts w:hint="eastAsia" w:ascii="宋体" w:hAnsi="宋体" w:cs="宋体"/>
          <w:b/>
          <w:bCs/>
          <w:color w:val="auto"/>
          <w:sz w:val="24"/>
          <w:szCs w:val="24"/>
          <w:highlight w:val="none"/>
          <w:lang w:eastAsia="zh-CN"/>
        </w:rPr>
        <w:t>重点道路</w:t>
      </w:r>
      <w:r>
        <w:rPr>
          <w:rFonts w:hint="eastAsia" w:ascii="宋体" w:hAnsi="宋体" w:cs="宋体"/>
          <w:b/>
          <w:bCs/>
          <w:color w:val="auto"/>
          <w:sz w:val="24"/>
          <w:szCs w:val="24"/>
          <w:highlight w:val="none"/>
        </w:rPr>
        <w:t>新增或者更换维修的果壳箱费用包含在报价中。</w:t>
      </w:r>
      <w:r>
        <w:rPr>
          <w:rFonts w:hint="default" w:ascii="宋体" w:hAnsi="宋体" w:cs="宋体"/>
          <w:color w:val="auto"/>
          <w:kern w:val="2"/>
          <w:sz w:val="24"/>
          <w:szCs w:val="24"/>
          <w:highlight w:val="none"/>
          <w:lang w:val="en-US" w:eastAsia="zh-CN" w:bidi="ar-SA"/>
        </w:rPr>
        <w:t>承包期间因操作或管理不善造成破损、缺失的，由中标单位承担费用并负责修复或更新（果壳箱更换款式应保持原样，或经采购人同意后调整款式）。</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1.6.5专用作业车辆（含人力三轮车）符合环卫标准化管理要求，外观喷漆及规格符合采购人要求，机动、人力车辆应按时冲洗保养保持外观整洁，无抛洒滴漏、无满溢、无吊挂。</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1.6.6垃圾应倾倒在指定的垃圾堆放场地，不得焚烧垃圾、树叶，确需垃圾二次转运的应在指定地点进行，不得直接在保洁道路上进行。</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 xml:space="preserve">1.6.7如遇渣土抛洒污染路面等情况，中标单位应及时上报采购人，并做好照片资料，同时进行道路冲洗清理。   </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1.6.8无新闻媒体曝光，对“12345”市长公开电话和有关受理中心及信访处相关问题，处理、回复及时到位。加强管理，确保在国家、省、市、区的各项检查中不失责任分。</w:t>
      </w:r>
    </w:p>
    <w:p>
      <w:pPr>
        <w:pStyle w:val="623"/>
        <w:widowControl w:val="0"/>
        <w:numPr>
          <w:ilvl w:val="0"/>
          <w:numId w:val="0"/>
        </w:numPr>
        <w:wordWrap/>
        <w:adjustRightInd w:val="0"/>
        <w:snapToGrid/>
        <w:spacing w:line="360" w:lineRule="auto"/>
        <w:ind w:firstLine="482"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b/>
          <w:bCs/>
          <w:color w:val="auto"/>
          <w:kern w:val="2"/>
          <w:sz w:val="24"/>
          <w:szCs w:val="24"/>
          <w:highlight w:val="none"/>
          <w:lang w:val="en-US" w:eastAsia="zh-CN" w:bidi="ar-SA"/>
        </w:rPr>
        <w:t>2、偷倒垃圾清运要求</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2.1服务内容：主要为本项目各个标段采购人管养范围内偷倒的垃圾清运工作，垃圾运至业主指定的消纳处置场所，相关费包含在本次招标内容中。</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2.2具体要求：</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在服务期内，供应商应加强所承包范围内防止垃圾偷倒的管理工作。如在所承包范围内发生偷倒，需完成偷倒的垃圾清运工作，垃圾的装车、运输至消纳处置场，因乱倒垃圾不符合相关要求所引发的问题，由供应商承担所有责任及赔偿费用。</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（2）车辆要求：本项目所需的作业车辆应具有有效的道路运输经营许可证，并到采购单位备案。</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（3）装运时必须密封整洁，不得沿路抛撒、滴漏。遵守环境卫生作业标准、规范，装运后及时复位，清理作业场地，保持场地周边环境干净整洁；装运时须铺设地垫等设施，防止污染路面，做到车走地净。</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（4）清理的时间要求：2小时之内清理。</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3、驿站管养要求及新增驿站建设标准</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根据城市管理要求，供应商利用相关场所，提供驿站为环卫工人或户外工作者提供休息、补给、阅读和应急医疗等服务空间，驿站的要求应符合浙江省《城管驿站建设与管理规范》所规定的要求。</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3.1驿站管理基本要求如下：</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（1）城管驿站设置补给区、休息区、阅读区、应急医疗服务区等；</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（2）驿站的建设和管理以人为本，并遵循文明、安全、卫生、方便和节约的原则；</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（3）驿站建设和管理应通过科技创新和精细化管理，使城管驿站功能完善、使用舒适、服务优良、运行安全、标识统一；</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（4）驿站的运行管理应符合城市社会治安管理要求；</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（5）驿站应就日常管理和人员管理制定相关的管理制度；</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（6）宜采用智慧化、信息化的管理手段，提升城管驿站的管理效能，并为方便使用。</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3.2运行管理</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（1）制定日常管理制度</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（2）人员管理制度</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3.2设置标识牌</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建筑外立面安装标识或标识牌应贴附于城管驿站门口显眼位置。</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3.4服务内容</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（1）驿站应根据服务内容配置相关设备；</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（2）驿站内基础设施设备应整洁完好；</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（3）驿站应开展特色服务；</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（4）驿站应根据实际需求调整服务内容；</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4.设备保障相关要求</w:t>
      </w:r>
    </w:p>
    <w:p>
      <w:pPr>
        <w:pStyle w:val="623"/>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default" w:ascii="宋体" w:hAnsi="宋体" w:cs="宋体"/>
          <w:color w:val="auto"/>
          <w:kern w:val="2"/>
          <w:sz w:val="24"/>
          <w:szCs w:val="24"/>
          <w:highlight w:val="none"/>
          <w:lang w:val="en-US" w:eastAsia="zh-CN" w:bidi="ar-SA"/>
        </w:rPr>
        <w:t>本项目养护涉及的设备，供应商须安排专业人员进行养护维修，所安排的专业人员须向采购人报备，采购人同意后方可实施维修养护，如在养护过程中出现设备破损无法使用的，供应商须及时更换，费用均已包含在本次投标报价内，今后不再另行调整。</w:t>
      </w:r>
    </w:p>
    <w:p>
      <w:pPr>
        <w:pStyle w:val="623"/>
        <w:widowControl w:val="0"/>
        <w:numPr>
          <w:ilvl w:val="0"/>
          <w:numId w:val="0"/>
        </w:numPr>
        <w:wordWrap/>
        <w:adjustRightInd w:val="0"/>
        <w:snapToGrid/>
        <w:spacing w:line="360" w:lineRule="auto"/>
        <w:ind w:firstLine="480" w:firstLineChars="200"/>
        <w:textAlignment w:val="auto"/>
        <w:rPr>
          <w:rFonts w:ascii="宋体" w:hAnsi="宋体" w:eastAsia="宋体" w:cs="宋体"/>
          <w:b/>
          <w:bCs/>
          <w:color w:val="auto"/>
          <w:highlight w:val="none"/>
        </w:rPr>
      </w:pPr>
      <w:r>
        <w:rPr>
          <w:rFonts w:hint="eastAsia" w:ascii="宋体" w:hAnsi="宋体" w:cs="宋体"/>
          <w:color w:val="auto"/>
          <w:kern w:val="2"/>
          <w:sz w:val="24"/>
          <w:szCs w:val="24"/>
          <w:highlight w:val="none"/>
          <w:lang w:val="en-US" w:eastAsia="zh-CN" w:bidi="ar-SA"/>
        </w:rPr>
        <w:t>（2）</w:t>
      </w:r>
      <w:r>
        <w:rPr>
          <w:rFonts w:hint="default" w:ascii="宋体" w:hAnsi="宋体" w:cs="宋体"/>
          <w:color w:val="auto"/>
          <w:kern w:val="2"/>
          <w:sz w:val="24"/>
          <w:szCs w:val="24"/>
          <w:highlight w:val="none"/>
          <w:lang w:val="en-US" w:eastAsia="zh-CN" w:bidi="ar-SA"/>
        </w:rPr>
        <w:t>在服务期间如遇到重大活动、节日等特殊情况的，供应商须无条件的配合采购人。</w:t>
      </w:r>
    </w:p>
    <w:p>
      <w:pPr>
        <w:pStyle w:val="623"/>
        <w:widowControl w:val="0"/>
        <w:numPr>
          <w:ilvl w:val="0"/>
          <w:numId w:val="0"/>
        </w:numPr>
        <w:wordWrap/>
        <w:adjustRightInd w:val="0"/>
        <w:snapToGrid/>
        <w:spacing w:line="360" w:lineRule="auto"/>
        <w:ind w:firstLine="482" w:firstLineChars="200"/>
        <w:textAlignment w:val="auto"/>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（二）绿化等级划分、养护管理标准</w:t>
      </w:r>
    </w:p>
    <w:p>
      <w:pPr>
        <w:pStyle w:val="623"/>
        <w:widowControl w:val="0"/>
        <w:numPr>
          <w:ilvl w:val="0"/>
          <w:numId w:val="0"/>
        </w:numPr>
        <w:wordWrap/>
        <w:adjustRightInd w:val="0"/>
        <w:snapToGrid/>
        <w:spacing w:line="360" w:lineRule="auto"/>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1.绿化等级划分标准</w:t>
      </w:r>
    </w:p>
    <w:p>
      <w:pPr>
        <w:pStyle w:val="623"/>
        <w:widowControl w:val="0"/>
        <w:numPr>
          <w:ilvl w:val="0"/>
          <w:numId w:val="0"/>
        </w:numPr>
        <w:wordWrap/>
        <w:adjustRightInd w:val="0"/>
        <w:snapToGrid/>
        <w:spacing w:line="360" w:lineRule="auto"/>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一级绿地：具有景观特色的城区重要主干道绿地；区级商业中心，政府机关、学校、医院所在地，大型文体娱乐场所，广场、车站、码头绿地；园林设施完善，面积4000㎡以上的公园绿地；绿化覆盖率85%以上或绿地宽度6m以上的道路、河道绿地；属地管养的其他重要绿地。</w:t>
      </w:r>
    </w:p>
    <w:p>
      <w:pPr>
        <w:pStyle w:val="623"/>
        <w:widowControl w:val="0"/>
        <w:numPr>
          <w:ilvl w:val="0"/>
          <w:numId w:val="0"/>
        </w:numPr>
        <w:wordWrap/>
        <w:adjustRightInd w:val="0"/>
        <w:snapToGrid/>
        <w:spacing w:line="360" w:lineRule="auto"/>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二级绿地：具有植物造景的城区主干道或有分车绿化带的道路绿地；镇街政治、文化、商业中心绿地；具有园路、灌溉、一般游憩设施的公园绿地；绿化覆盖率80%以上的河道绿地；属地管养的其他主要绿地。</w:t>
      </w:r>
    </w:p>
    <w:p>
      <w:pPr>
        <w:pStyle w:val="623"/>
        <w:widowControl w:val="0"/>
        <w:numPr>
          <w:ilvl w:val="0"/>
          <w:numId w:val="0"/>
        </w:numPr>
        <w:wordWrap/>
        <w:adjustRightInd w:val="0"/>
        <w:snapToGrid/>
        <w:spacing w:line="360" w:lineRule="auto"/>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三级绿地：城区次干道绿地；属地管养的其他次要绿地。</w:t>
      </w:r>
    </w:p>
    <w:p>
      <w:pPr>
        <w:pStyle w:val="623"/>
        <w:widowControl w:val="0"/>
        <w:numPr>
          <w:ilvl w:val="0"/>
          <w:numId w:val="0"/>
        </w:numPr>
        <w:wordWrap/>
        <w:adjustRightInd w:val="0"/>
        <w:snapToGrid/>
        <w:spacing w:line="360" w:lineRule="auto"/>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其他绿地：城区支路绿地及除一、二、三级绿地以外的其他公共绿地。</w:t>
      </w:r>
    </w:p>
    <w:p>
      <w:pPr>
        <w:pStyle w:val="623"/>
        <w:widowControl w:val="0"/>
        <w:numPr>
          <w:ilvl w:val="0"/>
          <w:numId w:val="0"/>
        </w:numPr>
        <w:wordWrap/>
        <w:adjustRightInd w:val="0"/>
        <w:snapToGrid/>
        <w:spacing w:line="360" w:lineRule="auto"/>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2.绿化养护管理标准</w:t>
      </w:r>
    </w:p>
    <w:p>
      <w:pPr>
        <w:pStyle w:val="623"/>
        <w:widowControl w:val="0"/>
        <w:numPr>
          <w:ilvl w:val="0"/>
          <w:numId w:val="0"/>
        </w:numPr>
        <w:wordWrap/>
        <w:adjustRightInd w:val="0"/>
        <w:snapToGrid/>
        <w:spacing w:line="360" w:lineRule="auto"/>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总体标准：①体现植物造景，使植物季相分明，色彩丰富，生长茂盛，与植物生长的各阶段相适应，对植物群落进行合理养护，使植物群落完整，层次丰富。杜绝在绿地中出现黄土露天现象。②行道树和绿地乔木无缺株、死株，补植树品种、胸径、树高一致；树木支撑规范、统一、稳固，无断桩、坏桩，桩位扎缚规范化；树木修剪及时，无徒长枝、病虫枝、过密枝、枯枝、伤损枝；宿根植物及时翻种、断根、间删，无死株；行道树树穴土壤低于侧石，绿地乔木树穴无板结。③绿篱、色块小灌木，无缺株、小道、混种及黄土裸露，补植灌木品种、规格一致；道路色块灌木定期修剪，切边清晰。④草坪生长繁茂、平整，土壤低于园路或侧石；时花花期整齐，色彩效果好。⑤植物灌溉及时，肥力充足。⑥掌握病虫害情况，防治措施有效；树皮开裂或有孔洞及时填补，冬季刷白工作规范到位。⑦园路、铺装地坪平整，无破损、无积水、无淤泥；亭、廊及其它园林建筑保持安全，按时修缮，维护良好；指示牌、禁令牌、宣传牌放置合理，醒目、完善、规范；绿化带侧石、护栏完好，补修材料规格、颜色一致。⑧乔木叶面及色块叶面无严重积尘；树上无杂物和晾晒衣物等情况；绿地内无垃圾、石块、垃圾渣土、果壳、枯枝落叶等杂物；果壳箱清洁完好，箱内垃圾日产日清。⑨管理制度完善，养护管理人员配备到位；养护人员作业规范；管理人员巡查监管到位，无违章占绿情况。⑩有防台、抗雪、抗旱、保绿等应急预案及措施；档案资料完整，巡查记录、病虫害防治记录、绿地概况表等详尽。按照合同约定配足人员装备、应急物资。</w:t>
      </w:r>
    </w:p>
    <w:p>
      <w:pPr>
        <w:pStyle w:val="623"/>
        <w:widowControl w:val="0"/>
        <w:numPr>
          <w:ilvl w:val="0"/>
          <w:numId w:val="0"/>
        </w:numPr>
        <w:wordWrap/>
        <w:adjustRightInd w:val="0"/>
        <w:snapToGrid/>
        <w:spacing w:line="360" w:lineRule="auto"/>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一级标准：①植物长势旺盛、树形完美，植株保存率100%，体现景观特色；徒长枝不超过20 cm；色块无窜条（高度大于15 cm）；草坪覆盖率100%，无杂草，定期修剪，草高不得超过8cm，常绿草高不得超过6cm，生长季节不枯黄。②一年施肥不得少于2次，有机肥0.5㎏/㎡、进口复合肥0.075㎏/㎡。③食叶害虫危害的叶片每株（㎡）发生率不超过5%，刺吸性害虫危害的叶片每株（㎡）发生率不超过10%，无蛀干性害虫的活虫、活卵。④绿化设施修缮一年不得少于一次。⑤绿地垃圾15分钟内清理完毕。⑥绿化养护人员每1万平方米不得少于2名。⑦按照合同约定配足人员装备、应急物资。</w:t>
      </w:r>
    </w:p>
    <w:p>
      <w:pPr>
        <w:pStyle w:val="623"/>
        <w:widowControl w:val="0"/>
        <w:numPr>
          <w:ilvl w:val="0"/>
          <w:numId w:val="0"/>
        </w:numPr>
        <w:wordWrap/>
        <w:adjustRightInd w:val="0"/>
        <w:snapToGrid/>
        <w:spacing w:line="360" w:lineRule="auto"/>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二级标准：①植物生长势好，树形良好，黄叶、焦叶、卷叶的株数在2%以下，植株保存率100%，体现植物造景；徒长枝不超过20 cm；色块无窜条（高度大于20 cm）；草坪覆盖率大于95%，无大型和缠绕性、攀缘性杂草，零星区域的杂草控制在5cm以下，中心区不得有空秃现象、草高不得超过8cm，常绿草高不得超过6cm。②一年施肥不得少于2次，有机肥0.45㎏/㎡、进口复合肥0.065㎏/㎡。③食叶害虫危害的叶片每株（㎡）发生率不超过10%，刺吸性害虫危害的叶片每株（㎡）发生率不超过15%，蛀干性害虫危害的株数（㎡）在2%以下。④绿化设施修缮一年不得少于一次。⑤绿地垃圾0.5小时内清理完毕。⑥绿化养护人员每1万平方米不得少于2名。⑦按照合同约定配足人员装备、应急物资。</w:t>
      </w:r>
    </w:p>
    <w:p>
      <w:pPr>
        <w:pStyle w:val="623"/>
        <w:widowControl w:val="0"/>
        <w:numPr>
          <w:ilvl w:val="0"/>
          <w:numId w:val="0"/>
        </w:numPr>
        <w:wordWrap/>
        <w:adjustRightInd w:val="0"/>
        <w:snapToGrid/>
        <w:spacing w:line="360" w:lineRule="auto"/>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三级标准：①植物生长势一般，黄叶、焦叶、卷叶的株数在10%以下，植株保存率不得少于98%；徒长枝不超过30 cm；色块无窜条（高度大于30 cm）；草坪覆盖率大于90%，无藤类杂草及大型杂草，中心区不得有空秃现象，草高不得超过10cm。②一年施肥不得少于2次，有机肥0.45㎏/㎡、进口复合肥0.060㎏/㎡。③食叶害虫危害的叶片每株（㎡）发生率不超过20%，刺吸性害虫危害的叶片每株（㎡）发生率不超过25%，蛀干性害虫危害的株（㎡）数在5%以下。④绿化设施修缮两年不得少于一次。⑤绿地垃圾1小时内清理完毕。⑥绿化养护人员每1万平方米不得少于1名。⑦按照合同约定配足人员装备、应急物资。</w:t>
      </w:r>
    </w:p>
    <w:p>
      <w:pPr>
        <w:spacing w:line="360" w:lineRule="auto"/>
        <w:rPr>
          <w:rFonts w:ascii="宋体"/>
          <w:color w:val="auto"/>
          <w:sz w:val="24"/>
          <w:szCs w:val="24"/>
          <w:highlight w:val="none"/>
        </w:rPr>
      </w:pPr>
      <w:r>
        <w:rPr>
          <w:rFonts w:hint="eastAsia" w:ascii="宋体" w:hAnsi="宋体" w:cs="宋体"/>
          <w:color w:val="auto"/>
          <w:kern w:val="2"/>
          <w:sz w:val="24"/>
          <w:szCs w:val="24"/>
          <w:highlight w:val="none"/>
          <w:lang w:val="en-US" w:eastAsia="zh-CN" w:bidi="ar-SA"/>
        </w:rPr>
        <w:t>其他标准：①植物生长势一般，黄叶、焦叶、卷叶的株数在15%以下，植株保存率不得少于95%；徒长枝不超过30 cm；色块无窜条（高度大于30 cm）；草坪覆盖率大于85%，无藤类杂草及大型杂草，中心区不得有空秃现象、草高不得超过10cm。②一年施肥不得少于2次，有机肥0.35㎏/㎡、进口复合肥0.055㎏/㎡。③食叶害虫危害的叶片每株（㎡）发生率不超过25%，刺吸性害虫危害的叶片每株（㎡）发生率不超过30%，蛀干性害虫危害的株（㎡）数在10%以下。④绿化设施修缮两年不得少于一次。⑤绿地垃圾2小时内清理完毕。⑥绿化养护人员每1万平方米不得少于1名。⑦按照合同约定配足人员装备、应急物资。</w:t>
      </w:r>
      <w:r>
        <w:rPr>
          <w:rFonts w:hint="eastAsia" w:ascii="宋体" w:hAnsi="宋体" w:cs="宋体"/>
          <w:color w:val="auto"/>
          <w:sz w:val="24"/>
          <w:szCs w:val="24"/>
          <w:highlight w:val="none"/>
        </w:rPr>
        <w:t>（三）景观灯养护：</w:t>
      </w:r>
    </w:p>
    <w:p>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预防为主，采取日常保养与计划性维修并重，使之时时处于良好状态</w:t>
      </w:r>
      <w:r>
        <w:rPr>
          <w:rFonts w:ascii="宋体" w:hAnsi="宋体" w:cs="宋体"/>
          <w:color w:val="auto"/>
          <w:sz w:val="24"/>
          <w:szCs w:val="24"/>
          <w:highlight w:val="none"/>
        </w:rPr>
        <w:t>;</w:t>
      </w:r>
      <w:r>
        <w:rPr>
          <w:rFonts w:hint="eastAsia" w:ascii="宋体" w:hAnsi="宋体" w:cs="宋体"/>
          <w:color w:val="auto"/>
          <w:sz w:val="24"/>
          <w:szCs w:val="24"/>
          <w:highlight w:val="none"/>
        </w:rPr>
        <w:t>做到用好、修好、管理好</w:t>
      </w:r>
      <w:r>
        <w:rPr>
          <w:rFonts w:ascii="宋体" w:hAnsi="宋体" w:cs="宋体"/>
          <w:color w:val="auto"/>
          <w:sz w:val="24"/>
          <w:szCs w:val="24"/>
          <w:highlight w:val="none"/>
        </w:rPr>
        <w:t>;</w:t>
      </w:r>
      <w:r>
        <w:rPr>
          <w:rFonts w:hint="eastAsia" w:ascii="宋体" w:hAnsi="宋体" w:cs="宋体"/>
          <w:color w:val="auto"/>
          <w:sz w:val="24"/>
          <w:szCs w:val="24"/>
          <w:highlight w:val="none"/>
        </w:rPr>
        <w:t>维修人员会维修、会调试、会保养、会检查</w:t>
      </w:r>
      <w:r>
        <w:rPr>
          <w:rFonts w:ascii="宋体" w:hAnsi="宋体" w:cs="宋体"/>
          <w:color w:val="auto"/>
          <w:sz w:val="24"/>
          <w:szCs w:val="24"/>
          <w:highlight w:val="none"/>
        </w:rPr>
        <w:t>;</w:t>
      </w:r>
      <w:r>
        <w:rPr>
          <w:rFonts w:hint="eastAsia" w:ascii="宋体" w:hAnsi="宋体" w:cs="宋体"/>
          <w:color w:val="auto"/>
          <w:sz w:val="24"/>
          <w:szCs w:val="24"/>
          <w:highlight w:val="none"/>
        </w:rPr>
        <w:t>定时、定量、定人、定点、定质的方针</w:t>
      </w:r>
      <w:r>
        <w:rPr>
          <w:rFonts w:ascii="宋体" w:hAnsi="宋体" w:cs="宋体"/>
          <w:color w:val="auto"/>
          <w:sz w:val="24"/>
          <w:szCs w:val="24"/>
          <w:highlight w:val="none"/>
        </w:rPr>
        <w:t>;</w:t>
      </w:r>
      <w:r>
        <w:rPr>
          <w:rFonts w:hint="eastAsia" w:ascii="宋体" w:hAnsi="宋体" w:cs="宋体"/>
          <w:color w:val="auto"/>
          <w:sz w:val="24"/>
          <w:szCs w:val="24"/>
          <w:highlight w:val="none"/>
        </w:rPr>
        <w:t>巡视养护人员与专业维修人员相结合，以巡视养护人员日常维护为主，专业维修人员定期处理相结合的原则完善设备管理和定期维修制度，制定科学的操作规程，合理科学的维护计划。灯具、电缆要求养护人员每日进行巡查，景观灯亮灯率必须在</w:t>
      </w:r>
      <w:r>
        <w:rPr>
          <w:rFonts w:ascii="宋体" w:hAnsi="宋体" w:cs="宋体"/>
          <w:color w:val="auto"/>
          <w:sz w:val="24"/>
          <w:szCs w:val="24"/>
          <w:highlight w:val="none"/>
        </w:rPr>
        <w:t>98%</w:t>
      </w:r>
      <w:r>
        <w:rPr>
          <w:rFonts w:hint="eastAsia" w:ascii="宋体" w:hAnsi="宋体" w:cs="宋体"/>
          <w:color w:val="auto"/>
          <w:sz w:val="24"/>
          <w:szCs w:val="24"/>
          <w:highlight w:val="none"/>
        </w:rPr>
        <w:t>以上，灯具无破损掉漆、锈蚀等情况，电缆无漏电、破皮等情况，用电作业、电力设施设备要规范，完整，发现用电安全隐患的，应第一时间排除隐患。</w:t>
      </w:r>
    </w:p>
    <w:p>
      <w:pPr>
        <w:spacing w:line="360" w:lineRule="auto"/>
        <w:rPr>
          <w:rFonts w:ascii="宋体"/>
          <w:color w:val="auto"/>
          <w:sz w:val="24"/>
          <w:szCs w:val="24"/>
          <w:highlight w:val="none"/>
        </w:rPr>
      </w:pPr>
      <w:r>
        <w:rPr>
          <w:rFonts w:hint="eastAsia" w:ascii="宋体" w:hAnsi="宋体" w:cs="宋体"/>
          <w:color w:val="auto"/>
          <w:sz w:val="24"/>
          <w:szCs w:val="24"/>
          <w:highlight w:val="none"/>
        </w:rPr>
        <w:t>（四）时花更换的养护：</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按照《杭州市城区花坛、花境养护管理规定（试行）》，加强对花卉的养护管理。时花更换全年至少为六次，在每一次更换时必须要将时花品种、数量方案事先上报甲方，由甲方确定后方能种植，否则将作无更换时花处理，种后由甲方现场验收签字确定。</w:t>
      </w:r>
    </w:p>
    <w:p>
      <w:pPr>
        <w:spacing w:line="360" w:lineRule="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 xml:space="preserve">  1</w:t>
      </w:r>
      <w:r>
        <w:rPr>
          <w:rFonts w:hint="eastAsia" w:ascii="宋体" w:hAnsi="宋体" w:cs="宋体"/>
          <w:color w:val="auto"/>
          <w:sz w:val="24"/>
          <w:szCs w:val="24"/>
          <w:highlight w:val="none"/>
        </w:rPr>
        <w:t>、布置效果：按设计精心养护，有全年用花计划，做到四季有花，花期整齐，图案美观，布置效果良好。</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2</w:t>
      </w:r>
      <w:r>
        <w:rPr>
          <w:rFonts w:hint="eastAsia" w:ascii="宋体" w:hAnsi="宋体" w:cs="宋体"/>
          <w:color w:val="auto"/>
          <w:sz w:val="24"/>
          <w:szCs w:val="24"/>
          <w:highlight w:val="none"/>
        </w:rPr>
        <w:t>、花卉生长：花卉植株生长健壮，花色艳丽，始花期方可上花坛种植，株行距适宜，不露底土。无缺株倒伏，无枯枝残花，无杂草垃圾。</w:t>
      </w:r>
    </w:p>
    <w:p>
      <w:pPr>
        <w:spacing w:line="360" w:lineRule="auto"/>
        <w:rPr>
          <w:rFonts w:ascii="宋体"/>
          <w:color w:val="auto"/>
          <w:sz w:val="24"/>
          <w:szCs w:val="24"/>
          <w:highlight w:val="none"/>
        </w:rPr>
      </w:pPr>
      <w:r>
        <w:rPr>
          <w:rFonts w:hint="eastAsia" w:ascii="宋体" w:hAnsi="宋体" w:cs="宋体"/>
          <w:color w:val="auto"/>
          <w:sz w:val="24"/>
          <w:szCs w:val="24"/>
          <w:highlight w:val="none"/>
        </w:rPr>
        <w:t>（五）监管绿化：</w:t>
      </w:r>
    </w:p>
    <w:p>
      <w:pPr>
        <w:spacing w:line="360" w:lineRule="auto"/>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、绿地养护质量方面：检查各绿地是否达到《杭州市城区绿地养护质量标准》及相关绿地养护要求。</w:t>
      </w:r>
    </w:p>
    <w:p>
      <w:pPr>
        <w:spacing w:line="360" w:lineRule="auto"/>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做好绿地日常保洁工作，绿地内需每日巡检，园路等人行设施必须保持干净整洁无落叶，绿化带绿地等三日完成一次普扫，绿地内无垃圾、石块、垃圾渣土、果壳、枯枝落叶等杂物；果壳箱清洁完好，每三天必须擦洗一次，箱内垃圾日产日清。</w:t>
      </w:r>
    </w:p>
    <w:p>
      <w:pPr>
        <w:spacing w:line="360" w:lineRule="auto"/>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、绿地必须每日巡查，发现灯具、亭廊设施等设施破损的，必须督促产权单位及时整改，发现黄土裸露，绿化带杂草、绿化带死株等养护问题的，及时通报督促养护单位整改。</w:t>
      </w:r>
    </w:p>
    <w:p>
      <w:pPr>
        <w:spacing w:line="360" w:lineRule="auto"/>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、违章占用绿地方面：检查各绿地是否有违章占用或借用等情况，是否有相关批文等。</w:t>
      </w:r>
    </w:p>
    <w:p>
      <w:pPr>
        <w:spacing w:line="360" w:lineRule="auto"/>
        <w:rPr>
          <w:rFonts w:hint="default" w:ascii="宋体" w:hAnsi="宋体" w:cs="宋体"/>
          <w:color w:val="auto"/>
          <w:kern w:val="2"/>
          <w:sz w:val="24"/>
          <w:szCs w:val="24"/>
          <w:highlight w:val="none"/>
          <w:lang w:val="en-US" w:eastAsia="zh-CN" w:bidi="ar-SA"/>
        </w:rPr>
      </w:pPr>
      <w:r>
        <w:rPr>
          <w:rFonts w:ascii="宋体" w:hAnsi="宋体" w:cs="宋体"/>
          <w:color w:val="auto"/>
          <w:sz w:val="24"/>
          <w:szCs w:val="24"/>
          <w:highlight w:val="none"/>
        </w:rPr>
        <w:t>5</w:t>
      </w:r>
      <w:r>
        <w:rPr>
          <w:rFonts w:hint="eastAsia" w:ascii="宋体" w:hAnsi="宋体" w:cs="宋体"/>
          <w:color w:val="auto"/>
          <w:sz w:val="24"/>
          <w:szCs w:val="24"/>
          <w:highlight w:val="none"/>
        </w:rPr>
        <w:t>、其他需要经办的相关工作。</w:t>
      </w:r>
    </w:p>
    <w:p>
      <w:pPr>
        <w:pStyle w:val="17"/>
        <w:spacing w:line="360" w:lineRule="auto"/>
        <w:ind w:firstLine="0"/>
        <w:rPr>
          <w:rFonts w:ascii="宋体" w:hAnsi="宋体" w:eastAsia="宋体" w:cs="宋体"/>
          <w:b/>
          <w:bCs/>
          <w:color w:val="auto"/>
          <w:kern w:val="2"/>
          <w:highlight w:val="none"/>
        </w:rPr>
      </w:pPr>
      <w:r>
        <w:rPr>
          <w:rFonts w:hint="eastAsia" w:ascii="宋体" w:hAnsi="宋体" w:eastAsia="宋体" w:cs="宋体"/>
          <w:b/>
          <w:bCs/>
          <w:color w:val="auto"/>
          <w:kern w:val="2"/>
          <w:highlight w:val="none"/>
        </w:rPr>
        <w:t>（</w:t>
      </w:r>
      <w:r>
        <w:rPr>
          <w:rFonts w:hint="eastAsia" w:hAnsi="宋体" w:cs="宋体"/>
          <w:b/>
          <w:bCs/>
          <w:color w:val="auto"/>
          <w:kern w:val="2"/>
          <w:highlight w:val="none"/>
          <w:lang w:val="en-US" w:eastAsia="zh-CN"/>
        </w:rPr>
        <w:t>三</w:t>
      </w:r>
      <w:r>
        <w:rPr>
          <w:rFonts w:hint="eastAsia" w:ascii="宋体" w:hAnsi="宋体" w:eastAsia="宋体" w:cs="宋体"/>
          <w:b/>
          <w:bCs/>
          <w:color w:val="auto"/>
          <w:kern w:val="2"/>
          <w:highlight w:val="none"/>
        </w:rPr>
        <w:t>）市政</w:t>
      </w:r>
      <w:r>
        <w:rPr>
          <w:rFonts w:hint="eastAsia" w:hAnsi="宋体" w:cs="宋体"/>
          <w:b/>
          <w:bCs/>
          <w:color w:val="auto"/>
          <w:kern w:val="2"/>
          <w:highlight w:val="none"/>
          <w:lang w:val="en-US" w:eastAsia="zh-CN"/>
        </w:rPr>
        <w:t>等级划分、</w:t>
      </w:r>
      <w:r>
        <w:rPr>
          <w:rFonts w:hint="eastAsia" w:ascii="宋体" w:hAnsi="宋体" w:eastAsia="宋体" w:cs="宋体"/>
          <w:b/>
          <w:bCs/>
          <w:color w:val="auto"/>
          <w:kern w:val="2"/>
          <w:highlight w:val="none"/>
        </w:rPr>
        <w:t>养护</w:t>
      </w:r>
      <w:r>
        <w:rPr>
          <w:rFonts w:hint="eastAsia" w:hAnsi="宋体" w:cs="宋体"/>
          <w:b/>
          <w:bCs/>
          <w:color w:val="auto"/>
          <w:kern w:val="2"/>
          <w:highlight w:val="none"/>
          <w:lang w:val="en-US" w:eastAsia="zh-CN"/>
        </w:rPr>
        <w:t>管理标准</w:t>
      </w:r>
    </w:p>
    <w:p>
      <w:pPr>
        <w:snapToGrid w:val="0"/>
        <w:spacing w:line="360" w:lineRule="auto"/>
        <w:ind w:firstLine="472" w:firstLineChars="196"/>
        <w:jc w:val="left"/>
        <w:rPr>
          <w:rFonts w:ascii="宋体"/>
          <w:b/>
          <w:bCs/>
          <w:color w:val="auto"/>
          <w:kern w:val="0"/>
          <w:sz w:val="24"/>
          <w:highlight w:val="none"/>
        </w:rPr>
      </w:pPr>
      <w:r>
        <w:rPr>
          <w:rFonts w:ascii="宋体" w:hAnsi="宋体" w:cs="宋体"/>
          <w:b/>
          <w:bCs/>
          <w:color w:val="auto"/>
          <w:kern w:val="0"/>
          <w:sz w:val="24"/>
          <w:highlight w:val="none"/>
        </w:rPr>
        <w:t>1</w:t>
      </w:r>
      <w:r>
        <w:rPr>
          <w:rFonts w:hint="eastAsia" w:ascii="宋体" w:hAnsi="宋体" w:cs="宋体"/>
          <w:b/>
          <w:bCs/>
          <w:color w:val="auto"/>
          <w:kern w:val="0"/>
          <w:sz w:val="24"/>
          <w:highlight w:val="none"/>
        </w:rPr>
        <w:t>、一级市政养护标准：</w:t>
      </w:r>
    </w:p>
    <w:p>
      <w:pPr>
        <w:snapToGrid w:val="0"/>
        <w:spacing w:line="360" w:lineRule="auto"/>
        <w:ind w:firstLine="470" w:firstLineChars="196"/>
        <w:jc w:val="left"/>
        <w:rPr>
          <w:rFonts w:ascii="宋体"/>
          <w:color w:val="auto"/>
          <w:kern w:val="0"/>
          <w:sz w:val="24"/>
          <w:highlight w:val="none"/>
        </w:rPr>
      </w:pPr>
      <w:r>
        <w:rPr>
          <w:rFonts w:hint="eastAsia" w:ascii="宋体" w:hAnsi="宋体" w:cs="宋体"/>
          <w:color w:val="auto"/>
          <w:kern w:val="0"/>
          <w:sz w:val="24"/>
          <w:highlight w:val="none"/>
        </w:rPr>
        <w:t>①人行道板铺砌平整，牢固稳定，裂缝长度小于</w:t>
      </w:r>
      <w:r>
        <w:rPr>
          <w:rFonts w:ascii="宋体" w:hAnsi="宋体" w:cs="宋体"/>
          <w:color w:val="auto"/>
          <w:kern w:val="0"/>
          <w:sz w:val="24"/>
          <w:highlight w:val="none"/>
        </w:rPr>
        <w:t>1m</w:t>
      </w:r>
      <w:r>
        <w:rPr>
          <w:rFonts w:hint="eastAsia" w:ascii="宋体" w:hAnsi="宋体" w:cs="宋体"/>
          <w:color w:val="auto"/>
          <w:kern w:val="0"/>
          <w:sz w:val="24"/>
          <w:highlight w:val="none"/>
        </w:rPr>
        <w:t>或宽度小于</w:t>
      </w:r>
      <w:r>
        <w:rPr>
          <w:rFonts w:ascii="宋体" w:hAnsi="宋体" w:cs="宋体"/>
          <w:color w:val="auto"/>
          <w:kern w:val="0"/>
          <w:sz w:val="24"/>
          <w:highlight w:val="none"/>
        </w:rPr>
        <w:t>5mm</w:t>
      </w:r>
      <w:r>
        <w:rPr>
          <w:rFonts w:hint="eastAsia" w:ascii="宋体" w:hAnsi="宋体" w:cs="宋体"/>
          <w:color w:val="auto"/>
          <w:kern w:val="0"/>
          <w:sz w:val="24"/>
          <w:highlight w:val="none"/>
        </w:rPr>
        <w:t>，下沉或拱起变形小于</w:t>
      </w:r>
      <w:r>
        <w:rPr>
          <w:rFonts w:ascii="宋体" w:hAnsi="宋体" w:cs="宋体"/>
          <w:color w:val="auto"/>
          <w:kern w:val="0"/>
          <w:sz w:val="24"/>
          <w:highlight w:val="none"/>
        </w:rPr>
        <w:t>20mm</w:t>
      </w:r>
      <w:r>
        <w:rPr>
          <w:rFonts w:hint="eastAsia" w:ascii="宋体" w:hAnsi="宋体" w:cs="宋体"/>
          <w:color w:val="auto"/>
          <w:kern w:val="0"/>
          <w:sz w:val="24"/>
          <w:highlight w:val="none"/>
        </w:rPr>
        <w:t>或面积小于</w:t>
      </w:r>
      <w:r>
        <w:rPr>
          <w:rFonts w:ascii="宋体" w:hAnsi="宋体" w:cs="宋体"/>
          <w:color w:val="auto"/>
          <w:kern w:val="0"/>
          <w:sz w:val="24"/>
          <w:highlight w:val="none"/>
        </w:rPr>
        <w:t>1</w:t>
      </w:r>
      <w:r>
        <w:rPr>
          <w:rFonts w:hint="eastAsia" w:ascii="宋体" w:hAnsi="宋体" w:cs="宋体"/>
          <w:color w:val="auto"/>
          <w:kern w:val="0"/>
          <w:sz w:val="24"/>
          <w:highlight w:val="none"/>
        </w:rPr>
        <w:t>㎡；无堆积物、障碍物，平侧石整齐稳固，线型顺直；道板铺装材料统一，砌块及平侧石松动破碎面积小于</w:t>
      </w:r>
      <w:r>
        <w:rPr>
          <w:rFonts w:ascii="宋体" w:hAnsi="宋体" w:cs="宋体"/>
          <w:color w:val="auto"/>
          <w:kern w:val="0"/>
          <w:sz w:val="24"/>
          <w:highlight w:val="none"/>
        </w:rPr>
        <w:t>0.1</w:t>
      </w:r>
      <w:r>
        <w:rPr>
          <w:rFonts w:hint="eastAsia" w:ascii="宋体" w:hAnsi="宋体" w:cs="宋体"/>
          <w:color w:val="auto"/>
          <w:kern w:val="0"/>
          <w:sz w:val="24"/>
          <w:highlight w:val="none"/>
        </w:rPr>
        <w:t>㎡。②沥青及混凝土路面线裂缝宽度小于</w:t>
      </w:r>
      <w:r>
        <w:rPr>
          <w:rFonts w:ascii="宋体" w:hAnsi="宋体" w:cs="宋体"/>
          <w:color w:val="auto"/>
          <w:kern w:val="0"/>
          <w:sz w:val="24"/>
          <w:highlight w:val="none"/>
        </w:rPr>
        <w:t>5mm</w:t>
      </w:r>
      <w:r>
        <w:rPr>
          <w:rFonts w:hint="eastAsia" w:ascii="宋体" w:hAnsi="宋体" w:cs="宋体"/>
          <w:color w:val="auto"/>
          <w:kern w:val="0"/>
          <w:sz w:val="24"/>
          <w:highlight w:val="none"/>
        </w:rPr>
        <w:t>；网裂、碎裂面积小于</w:t>
      </w:r>
      <w:r>
        <w:rPr>
          <w:rFonts w:ascii="宋体" w:hAnsi="宋体" w:cs="宋体"/>
          <w:color w:val="auto"/>
          <w:kern w:val="0"/>
          <w:sz w:val="24"/>
          <w:highlight w:val="none"/>
        </w:rPr>
        <w:t>0.1</w:t>
      </w:r>
      <w:r>
        <w:rPr>
          <w:rFonts w:hint="eastAsia" w:ascii="宋体" w:hAnsi="宋体" w:cs="宋体"/>
          <w:color w:val="auto"/>
          <w:kern w:val="0"/>
          <w:sz w:val="24"/>
          <w:highlight w:val="none"/>
        </w:rPr>
        <w:t>㎡；泛油、车辙、沉陷、坑槽、搓板、拥包、剥落、脱皮、烂边、啃边面积小于</w:t>
      </w:r>
      <w:r>
        <w:rPr>
          <w:rFonts w:ascii="宋体" w:hAnsi="宋体" w:cs="宋体"/>
          <w:color w:val="auto"/>
          <w:kern w:val="0"/>
          <w:sz w:val="24"/>
          <w:highlight w:val="none"/>
        </w:rPr>
        <w:t>0.1</w:t>
      </w:r>
      <w:r>
        <w:rPr>
          <w:rFonts w:hint="eastAsia" w:ascii="宋体" w:hAnsi="宋体" w:cs="宋体"/>
          <w:color w:val="auto"/>
          <w:kern w:val="0"/>
          <w:sz w:val="24"/>
          <w:highlight w:val="none"/>
        </w:rPr>
        <w:t>㎡；雨水检查井、雨水篦子以及其他井盖与道路标高保持一致，误差不大于</w:t>
      </w:r>
      <w:r>
        <w:rPr>
          <w:rFonts w:ascii="宋体" w:hAnsi="宋体" w:cs="宋体"/>
          <w:color w:val="auto"/>
          <w:kern w:val="0"/>
          <w:sz w:val="24"/>
          <w:highlight w:val="none"/>
        </w:rPr>
        <w:t>15mm</w:t>
      </w:r>
      <w:r>
        <w:rPr>
          <w:rFonts w:hint="eastAsia" w:ascii="宋体" w:hAnsi="宋体" w:cs="宋体"/>
          <w:color w:val="auto"/>
          <w:kern w:val="0"/>
          <w:sz w:val="24"/>
          <w:highlight w:val="none"/>
        </w:rPr>
        <w:t>；窨井盖无缺失、破损、断裂、反盖、错盖等现象；雨天路面临时积水面积每处不超过</w:t>
      </w:r>
      <w:r>
        <w:rPr>
          <w:rFonts w:ascii="宋体" w:hAnsi="宋体" w:cs="宋体"/>
          <w:color w:val="auto"/>
          <w:kern w:val="0"/>
          <w:sz w:val="24"/>
          <w:highlight w:val="none"/>
        </w:rPr>
        <w:t>2m2</w:t>
      </w:r>
      <w:r>
        <w:rPr>
          <w:rFonts w:hint="eastAsia" w:ascii="宋体" w:hAnsi="宋体" w:cs="宋体"/>
          <w:color w:val="auto"/>
          <w:kern w:val="0"/>
          <w:sz w:val="24"/>
          <w:highlight w:val="none"/>
        </w:rPr>
        <w:t>（积水深度</w:t>
      </w:r>
      <w:r>
        <w:rPr>
          <w:rFonts w:ascii="宋体" w:hAnsi="宋体" w:cs="宋体"/>
          <w:color w:val="auto"/>
          <w:kern w:val="0"/>
          <w:sz w:val="24"/>
          <w:highlight w:val="none"/>
        </w:rPr>
        <w:t>3cm</w:t>
      </w:r>
      <w:r>
        <w:rPr>
          <w:rFonts w:hint="eastAsia" w:ascii="宋体" w:hAnsi="宋体" w:cs="宋体"/>
          <w:color w:val="auto"/>
          <w:kern w:val="0"/>
          <w:sz w:val="24"/>
          <w:highlight w:val="none"/>
        </w:rPr>
        <w:t>以上）。③路灯及附属设施完好率达</w:t>
      </w:r>
      <w:r>
        <w:rPr>
          <w:rFonts w:ascii="宋体" w:hAnsi="宋体" w:cs="宋体"/>
          <w:color w:val="auto"/>
          <w:kern w:val="0"/>
          <w:sz w:val="24"/>
          <w:highlight w:val="none"/>
        </w:rPr>
        <w:t>99</w:t>
      </w:r>
      <w:r>
        <w:rPr>
          <w:rFonts w:hint="eastAsia" w:ascii="宋体" w:hAnsi="宋体" w:cs="宋体"/>
          <w:color w:val="auto"/>
          <w:kern w:val="0"/>
          <w:sz w:val="24"/>
          <w:highlight w:val="none"/>
        </w:rPr>
        <w:t>％，外观整洁、安全、完好；按时亮灯熄灯，亮灯率达</w:t>
      </w:r>
      <w:r>
        <w:rPr>
          <w:rFonts w:ascii="宋体" w:hAnsi="宋体" w:cs="宋体"/>
          <w:color w:val="auto"/>
          <w:kern w:val="0"/>
          <w:sz w:val="24"/>
          <w:highlight w:val="none"/>
        </w:rPr>
        <w:t>99</w:t>
      </w:r>
      <w:r>
        <w:rPr>
          <w:rFonts w:hint="eastAsia" w:ascii="宋体" w:hAnsi="宋体" w:cs="宋体"/>
          <w:color w:val="auto"/>
          <w:kern w:val="0"/>
          <w:sz w:val="24"/>
          <w:highlight w:val="none"/>
        </w:rPr>
        <w:t>％，重大节假日及大型活动期间亮灯率达</w:t>
      </w:r>
      <w:r>
        <w:rPr>
          <w:rFonts w:ascii="宋体" w:hAnsi="宋体" w:cs="宋体"/>
          <w:color w:val="auto"/>
          <w:kern w:val="0"/>
          <w:sz w:val="24"/>
          <w:highlight w:val="none"/>
        </w:rPr>
        <w:t>100%</w:t>
      </w:r>
      <w:r>
        <w:rPr>
          <w:rFonts w:hint="eastAsia" w:ascii="宋体" w:hAnsi="宋体" w:cs="宋体"/>
          <w:color w:val="auto"/>
          <w:kern w:val="0"/>
          <w:sz w:val="24"/>
          <w:highlight w:val="none"/>
        </w:rPr>
        <w:t>。④排水设施完好，无阻水物，泄水孔、排水管道通畅，积泥深度不超过</w:t>
      </w:r>
      <w:r>
        <w:rPr>
          <w:rFonts w:ascii="宋体" w:hAnsi="宋体" w:cs="宋体"/>
          <w:color w:val="auto"/>
          <w:kern w:val="0"/>
          <w:sz w:val="24"/>
          <w:highlight w:val="none"/>
        </w:rPr>
        <w:t>1/5</w:t>
      </w:r>
      <w:r>
        <w:rPr>
          <w:rFonts w:hint="eastAsia" w:ascii="宋体" w:hAnsi="宋体" w:cs="宋体"/>
          <w:color w:val="auto"/>
          <w:kern w:val="0"/>
          <w:sz w:val="24"/>
          <w:highlight w:val="none"/>
        </w:rPr>
        <w:t>管径；检查井安全防护网设置到位。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pPr>
        <w:snapToGrid w:val="0"/>
        <w:spacing w:line="360" w:lineRule="auto"/>
        <w:ind w:firstLine="472" w:firstLineChars="196"/>
        <w:jc w:val="left"/>
        <w:rPr>
          <w:rFonts w:ascii="宋体"/>
          <w:color w:val="auto"/>
          <w:kern w:val="0"/>
          <w:sz w:val="24"/>
          <w:highlight w:val="none"/>
        </w:rPr>
      </w:pPr>
      <w:r>
        <w:rPr>
          <w:rFonts w:hint="eastAsia" w:ascii="宋体" w:hAnsi="宋体" w:cs="宋体"/>
          <w:b/>
          <w:bCs/>
          <w:color w:val="auto"/>
          <w:kern w:val="0"/>
          <w:sz w:val="24"/>
          <w:highlight w:val="none"/>
        </w:rPr>
        <w:t>二级市政设施养护标准：</w:t>
      </w:r>
      <w:r>
        <w:rPr>
          <w:rFonts w:hint="eastAsia" w:ascii="宋体" w:hAnsi="宋体" w:cs="宋体"/>
          <w:color w:val="auto"/>
          <w:kern w:val="0"/>
          <w:sz w:val="24"/>
          <w:highlight w:val="none"/>
        </w:rPr>
        <w:t>①人行道表面平整，砌块无松动，裂缝长度小于</w:t>
      </w:r>
      <w:r>
        <w:rPr>
          <w:rFonts w:ascii="宋体" w:hAnsi="宋体" w:cs="宋体"/>
          <w:color w:val="auto"/>
          <w:kern w:val="0"/>
          <w:sz w:val="24"/>
          <w:highlight w:val="none"/>
        </w:rPr>
        <w:t>1m</w:t>
      </w:r>
      <w:r>
        <w:rPr>
          <w:rFonts w:hint="eastAsia" w:ascii="宋体" w:hAnsi="宋体" w:cs="宋体"/>
          <w:color w:val="auto"/>
          <w:kern w:val="0"/>
          <w:sz w:val="24"/>
          <w:highlight w:val="none"/>
        </w:rPr>
        <w:t>或宽度小于</w:t>
      </w:r>
      <w:r>
        <w:rPr>
          <w:rFonts w:ascii="宋体" w:hAnsi="宋体" w:cs="宋体"/>
          <w:color w:val="auto"/>
          <w:kern w:val="0"/>
          <w:sz w:val="24"/>
          <w:highlight w:val="none"/>
        </w:rPr>
        <w:t>6mm</w:t>
      </w:r>
      <w:r>
        <w:rPr>
          <w:rFonts w:hint="eastAsia" w:ascii="宋体" w:hAnsi="宋体" w:cs="宋体"/>
          <w:color w:val="auto"/>
          <w:kern w:val="0"/>
          <w:sz w:val="24"/>
          <w:highlight w:val="none"/>
        </w:rPr>
        <w:t>，下沉或拱起变形小于</w:t>
      </w:r>
      <w:r>
        <w:rPr>
          <w:rFonts w:ascii="宋体" w:hAnsi="宋体" w:cs="宋体"/>
          <w:color w:val="auto"/>
          <w:kern w:val="0"/>
          <w:sz w:val="24"/>
          <w:highlight w:val="none"/>
        </w:rPr>
        <w:t>25mm</w:t>
      </w:r>
      <w:r>
        <w:rPr>
          <w:rFonts w:hint="eastAsia" w:ascii="宋体" w:hAnsi="宋体" w:cs="宋体"/>
          <w:color w:val="auto"/>
          <w:kern w:val="0"/>
          <w:sz w:val="24"/>
          <w:highlight w:val="none"/>
        </w:rPr>
        <w:t>或面积小于</w:t>
      </w:r>
      <w:r>
        <w:rPr>
          <w:rFonts w:ascii="宋体" w:hAnsi="宋体" w:cs="宋体"/>
          <w:color w:val="auto"/>
          <w:kern w:val="0"/>
          <w:sz w:val="24"/>
          <w:highlight w:val="none"/>
        </w:rPr>
        <w:t>1.5</w:t>
      </w:r>
      <w:r>
        <w:rPr>
          <w:rFonts w:hint="eastAsia" w:ascii="宋体" w:hAnsi="宋体" w:cs="宋体"/>
          <w:color w:val="auto"/>
          <w:kern w:val="0"/>
          <w:sz w:val="24"/>
          <w:highlight w:val="none"/>
        </w:rPr>
        <w:t>㎡；无堆积物、障碍物，平侧石整齐稳固，线型顺直；道板铺装材料统一，砌块及平侧石松动破碎面积小于</w:t>
      </w:r>
      <w:r>
        <w:rPr>
          <w:rFonts w:ascii="宋体" w:hAnsi="宋体" w:cs="宋体"/>
          <w:color w:val="auto"/>
          <w:kern w:val="0"/>
          <w:sz w:val="24"/>
          <w:highlight w:val="none"/>
        </w:rPr>
        <w:t>0.3</w:t>
      </w:r>
      <w:r>
        <w:rPr>
          <w:rFonts w:hint="eastAsia" w:ascii="宋体" w:hAnsi="宋体" w:cs="宋体"/>
          <w:color w:val="auto"/>
          <w:kern w:val="0"/>
          <w:sz w:val="24"/>
          <w:highlight w:val="none"/>
        </w:rPr>
        <w:t>㎡。②沥青及混凝土路面线裂缝宽度小于</w:t>
      </w:r>
      <w:r>
        <w:rPr>
          <w:rFonts w:ascii="宋体" w:hAnsi="宋体" w:cs="宋体"/>
          <w:color w:val="auto"/>
          <w:kern w:val="0"/>
          <w:sz w:val="24"/>
          <w:highlight w:val="none"/>
        </w:rPr>
        <w:t>6mm</w:t>
      </w:r>
      <w:r>
        <w:rPr>
          <w:rFonts w:hint="eastAsia" w:ascii="宋体" w:hAnsi="宋体" w:cs="宋体"/>
          <w:color w:val="auto"/>
          <w:kern w:val="0"/>
          <w:sz w:val="24"/>
          <w:highlight w:val="none"/>
        </w:rPr>
        <w:t>；网裂、碎裂面积小于</w:t>
      </w:r>
      <w:r>
        <w:rPr>
          <w:rFonts w:ascii="宋体" w:hAnsi="宋体" w:cs="宋体"/>
          <w:color w:val="auto"/>
          <w:kern w:val="0"/>
          <w:sz w:val="24"/>
          <w:highlight w:val="none"/>
        </w:rPr>
        <w:t>0.5</w:t>
      </w:r>
      <w:r>
        <w:rPr>
          <w:rFonts w:hint="eastAsia" w:ascii="宋体" w:hAnsi="宋体" w:cs="宋体"/>
          <w:color w:val="auto"/>
          <w:kern w:val="0"/>
          <w:sz w:val="24"/>
          <w:highlight w:val="none"/>
        </w:rPr>
        <w:t>㎡；泛油、车辙、沉陷、坑槽、搓板、拥包、剥落、脱皮、烂边、啃边面积小于</w:t>
      </w:r>
      <w:r>
        <w:rPr>
          <w:rFonts w:ascii="宋体" w:hAnsi="宋体" w:cs="宋体"/>
          <w:color w:val="auto"/>
          <w:kern w:val="0"/>
          <w:sz w:val="24"/>
          <w:highlight w:val="none"/>
        </w:rPr>
        <w:t>0.5</w:t>
      </w:r>
      <w:r>
        <w:rPr>
          <w:rFonts w:hint="eastAsia" w:ascii="宋体" w:hAnsi="宋体" w:cs="宋体"/>
          <w:color w:val="auto"/>
          <w:kern w:val="0"/>
          <w:sz w:val="24"/>
          <w:highlight w:val="none"/>
        </w:rPr>
        <w:t>㎡；雨水检查井、雨水篦子以及其他井盖与道路标高保持一致，误差不大于</w:t>
      </w:r>
      <w:r>
        <w:rPr>
          <w:rFonts w:ascii="宋体" w:hAnsi="宋体" w:cs="宋体"/>
          <w:color w:val="auto"/>
          <w:kern w:val="0"/>
          <w:sz w:val="24"/>
          <w:highlight w:val="none"/>
        </w:rPr>
        <w:t>20mm</w:t>
      </w:r>
      <w:r>
        <w:rPr>
          <w:rFonts w:hint="eastAsia" w:ascii="宋体" w:hAnsi="宋体" w:cs="宋体"/>
          <w:color w:val="auto"/>
          <w:kern w:val="0"/>
          <w:sz w:val="24"/>
          <w:highlight w:val="none"/>
        </w:rPr>
        <w:t>；窨井盖无缺失、破损、断裂、反盖、错盖等现象；雨天路面临时积水面积每处不超过</w:t>
      </w:r>
      <w:r>
        <w:rPr>
          <w:rFonts w:ascii="宋体" w:hAnsi="宋体" w:cs="宋体"/>
          <w:color w:val="auto"/>
          <w:kern w:val="0"/>
          <w:sz w:val="24"/>
          <w:highlight w:val="none"/>
        </w:rPr>
        <w:t>4m2</w:t>
      </w:r>
      <w:r>
        <w:rPr>
          <w:rFonts w:hint="eastAsia" w:ascii="宋体" w:hAnsi="宋体" w:cs="宋体"/>
          <w:color w:val="auto"/>
          <w:kern w:val="0"/>
          <w:sz w:val="24"/>
          <w:highlight w:val="none"/>
        </w:rPr>
        <w:t>（积水深度</w:t>
      </w:r>
      <w:r>
        <w:rPr>
          <w:rFonts w:ascii="宋体" w:hAnsi="宋体" w:cs="宋体"/>
          <w:color w:val="auto"/>
          <w:kern w:val="0"/>
          <w:sz w:val="24"/>
          <w:highlight w:val="none"/>
        </w:rPr>
        <w:t>3cm</w:t>
      </w:r>
      <w:r>
        <w:rPr>
          <w:rFonts w:hint="eastAsia" w:ascii="宋体" w:hAnsi="宋体" w:cs="宋体"/>
          <w:color w:val="auto"/>
          <w:kern w:val="0"/>
          <w:sz w:val="24"/>
          <w:highlight w:val="none"/>
        </w:rPr>
        <w:t>以上）。③路灯及附属设施完好率达</w:t>
      </w:r>
      <w:r>
        <w:rPr>
          <w:rFonts w:ascii="宋体" w:hAnsi="宋体" w:cs="宋体"/>
          <w:color w:val="auto"/>
          <w:kern w:val="0"/>
          <w:sz w:val="24"/>
          <w:highlight w:val="none"/>
        </w:rPr>
        <w:t>98</w:t>
      </w:r>
      <w:r>
        <w:rPr>
          <w:rFonts w:hint="eastAsia" w:ascii="宋体" w:hAnsi="宋体" w:cs="宋体"/>
          <w:color w:val="auto"/>
          <w:kern w:val="0"/>
          <w:sz w:val="24"/>
          <w:highlight w:val="none"/>
        </w:rPr>
        <w:t>％，外观整洁、安全、完好；按时亮灯熄灯，亮灯率达</w:t>
      </w:r>
      <w:r>
        <w:rPr>
          <w:rFonts w:ascii="宋体" w:hAnsi="宋体" w:cs="宋体"/>
          <w:color w:val="auto"/>
          <w:kern w:val="0"/>
          <w:sz w:val="24"/>
          <w:highlight w:val="none"/>
        </w:rPr>
        <w:t>98</w:t>
      </w:r>
      <w:r>
        <w:rPr>
          <w:rFonts w:hint="eastAsia" w:ascii="宋体" w:hAnsi="宋体" w:cs="宋体"/>
          <w:color w:val="auto"/>
          <w:kern w:val="0"/>
          <w:sz w:val="24"/>
          <w:highlight w:val="none"/>
        </w:rPr>
        <w:t>％，重大节假日及大型活动期间亮灯率达</w:t>
      </w:r>
      <w:r>
        <w:rPr>
          <w:rFonts w:ascii="宋体" w:hAnsi="宋体" w:cs="宋体"/>
          <w:color w:val="auto"/>
          <w:kern w:val="0"/>
          <w:sz w:val="24"/>
          <w:highlight w:val="none"/>
        </w:rPr>
        <w:t>100%</w:t>
      </w:r>
      <w:r>
        <w:rPr>
          <w:rFonts w:hint="eastAsia" w:ascii="宋体" w:hAnsi="宋体" w:cs="宋体"/>
          <w:color w:val="auto"/>
          <w:kern w:val="0"/>
          <w:sz w:val="24"/>
          <w:highlight w:val="none"/>
        </w:rPr>
        <w:t>。④排水设施完好，无阻水物，泄水孔、排水管道通畅，积泥深度不超过</w:t>
      </w:r>
      <w:r>
        <w:rPr>
          <w:rFonts w:ascii="宋体" w:hAnsi="宋体" w:cs="宋体"/>
          <w:color w:val="auto"/>
          <w:kern w:val="0"/>
          <w:sz w:val="24"/>
          <w:highlight w:val="none"/>
        </w:rPr>
        <w:t>1/5</w:t>
      </w:r>
      <w:r>
        <w:rPr>
          <w:rFonts w:hint="eastAsia" w:ascii="宋体" w:hAnsi="宋体" w:cs="宋体"/>
          <w:color w:val="auto"/>
          <w:kern w:val="0"/>
          <w:sz w:val="24"/>
          <w:highlight w:val="none"/>
        </w:rPr>
        <w:t>管径。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pPr>
        <w:snapToGrid w:val="0"/>
        <w:spacing w:line="360" w:lineRule="auto"/>
        <w:ind w:firstLine="472" w:firstLineChars="196"/>
        <w:jc w:val="left"/>
        <w:rPr>
          <w:rFonts w:ascii="宋体"/>
          <w:color w:val="auto"/>
          <w:kern w:val="0"/>
          <w:sz w:val="24"/>
          <w:highlight w:val="none"/>
        </w:rPr>
      </w:pPr>
      <w:r>
        <w:rPr>
          <w:rFonts w:hint="eastAsia" w:ascii="宋体" w:hAnsi="宋体" w:cs="宋体"/>
          <w:b/>
          <w:bCs/>
          <w:color w:val="auto"/>
          <w:kern w:val="0"/>
          <w:sz w:val="24"/>
          <w:highlight w:val="none"/>
        </w:rPr>
        <w:t>三级市政设施养护：</w:t>
      </w:r>
      <w:r>
        <w:rPr>
          <w:rFonts w:hint="eastAsia" w:ascii="宋体" w:hAnsi="宋体" w:cs="宋体"/>
          <w:color w:val="auto"/>
          <w:kern w:val="0"/>
          <w:sz w:val="24"/>
          <w:highlight w:val="none"/>
        </w:rPr>
        <w:t>①人行道板表面平整，无积水，裂缝长度小于</w:t>
      </w:r>
      <w:r>
        <w:rPr>
          <w:rFonts w:ascii="宋体" w:hAnsi="宋体" w:cs="宋体"/>
          <w:color w:val="auto"/>
          <w:kern w:val="0"/>
          <w:sz w:val="24"/>
          <w:highlight w:val="none"/>
        </w:rPr>
        <w:t>3m</w:t>
      </w:r>
      <w:r>
        <w:rPr>
          <w:rFonts w:hint="eastAsia" w:ascii="宋体" w:hAnsi="宋体" w:cs="宋体"/>
          <w:color w:val="auto"/>
          <w:kern w:val="0"/>
          <w:sz w:val="24"/>
          <w:highlight w:val="none"/>
        </w:rPr>
        <w:t>或宽度小于</w:t>
      </w:r>
      <w:r>
        <w:rPr>
          <w:rFonts w:ascii="宋体" w:hAnsi="宋体" w:cs="宋体"/>
          <w:color w:val="auto"/>
          <w:kern w:val="0"/>
          <w:sz w:val="24"/>
          <w:highlight w:val="none"/>
        </w:rPr>
        <w:t>7mm</w:t>
      </w:r>
      <w:r>
        <w:rPr>
          <w:rFonts w:hint="eastAsia" w:ascii="宋体" w:hAnsi="宋体" w:cs="宋体"/>
          <w:color w:val="auto"/>
          <w:kern w:val="0"/>
          <w:sz w:val="24"/>
          <w:highlight w:val="none"/>
        </w:rPr>
        <w:t>，下沉或拱起变形小于</w:t>
      </w:r>
      <w:r>
        <w:rPr>
          <w:rFonts w:ascii="宋体" w:hAnsi="宋体" w:cs="宋体"/>
          <w:color w:val="auto"/>
          <w:kern w:val="0"/>
          <w:sz w:val="24"/>
          <w:highlight w:val="none"/>
        </w:rPr>
        <w:t>25mm</w:t>
      </w:r>
      <w:r>
        <w:rPr>
          <w:rFonts w:hint="eastAsia" w:ascii="宋体" w:hAnsi="宋体" w:cs="宋体"/>
          <w:color w:val="auto"/>
          <w:kern w:val="0"/>
          <w:sz w:val="24"/>
          <w:highlight w:val="none"/>
        </w:rPr>
        <w:t>或面积小于</w:t>
      </w:r>
      <w:r>
        <w:rPr>
          <w:rFonts w:ascii="宋体" w:hAnsi="宋体" w:cs="宋体"/>
          <w:color w:val="auto"/>
          <w:kern w:val="0"/>
          <w:sz w:val="24"/>
          <w:highlight w:val="none"/>
        </w:rPr>
        <w:t>2</w:t>
      </w:r>
      <w:r>
        <w:rPr>
          <w:rFonts w:hint="eastAsia" w:ascii="宋体" w:hAnsi="宋体" w:cs="宋体"/>
          <w:color w:val="auto"/>
          <w:kern w:val="0"/>
          <w:sz w:val="24"/>
          <w:highlight w:val="none"/>
        </w:rPr>
        <w:t>㎡；无堆积物、障碍物，平侧石整齐稳固，线型顺直；道板铺装材料统一，砌块及平侧石松动破碎面积小于</w:t>
      </w:r>
      <w:r>
        <w:rPr>
          <w:rFonts w:ascii="宋体" w:hAnsi="宋体" w:cs="宋体"/>
          <w:color w:val="auto"/>
          <w:kern w:val="0"/>
          <w:sz w:val="24"/>
          <w:highlight w:val="none"/>
        </w:rPr>
        <w:t>0.5</w:t>
      </w:r>
      <w:r>
        <w:rPr>
          <w:rFonts w:hint="eastAsia" w:ascii="宋体" w:hAnsi="宋体" w:cs="宋体"/>
          <w:color w:val="auto"/>
          <w:kern w:val="0"/>
          <w:sz w:val="24"/>
          <w:highlight w:val="none"/>
        </w:rPr>
        <w:t>㎡。②沥青及混凝土路面线裂缝宽度小于</w:t>
      </w:r>
      <w:r>
        <w:rPr>
          <w:rFonts w:ascii="宋体" w:hAnsi="宋体" w:cs="宋体"/>
          <w:color w:val="auto"/>
          <w:kern w:val="0"/>
          <w:sz w:val="24"/>
          <w:highlight w:val="none"/>
        </w:rPr>
        <w:t>7mm</w:t>
      </w:r>
      <w:r>
        <w:rPr>
          <w:rFonts w:hint="eastAsia" w:ascii="宋体" w:hAnsi="宋体" w:cs="宋体"/>
          <w:color w:val="auto"/>
          <w:kern w:val="0"/>
          <w:sz w:val="24"/>
          <w:highlight w:val="none"/>
        </w:rPr>
        <w:t>；网裂、碎裂面积小于</w:t>
      </w:r>
      <w:r>
        <w:rPr>
          <w:rFonts w:ascii="宋体" w:hAnsi="宋体" w:cs="宋体"/>
          <w:color w:val="auto"/>
          <w:kern w:val="0"/>
          <w:sz w:val="24"/>
          <w:highlight w:val="none"/>
        </w:rPr>
        <w:t>1</w:t>
      </w:r>
      <w:r>
        <w:rPr>
          <w:rFonts w:hint="eastAsia" w:ascii="宋体" w:hAnsi="宋体" w:cs="宋体"/>
          <w:color w:val="auto"/>
          <w:kern w:val="0"/>
          <w:sz w:val="24"/>
          <w:highlight w:val="none"/>
        </w:rPr>
        <w:t>㎡；泛油、车辙、沉陷、坑槽、搓板、拥包、剥落、脱皮、烂边、啃边面积小于</w:t>
      </w:r>
      <w:r>
        <w:rPr>
          <w:rFonts w:ascii="宋体" w:hAnsi="宋体" w:cs="宋体"/>
          <w:color w:val="auto"/>
          <w:kern w:val="0"/>
          <w:sz w:val="24"/>
          <w:highlight w:val="none"/>
        </w:rPr>
        <w:t>1</w:t>
      </w:r>
      <w:r>
        <w:rPr>
          <w:rFonts w:hint="eastAsia" w:ascii="宋体" w:hAnsi="宋体" w:cs="宋体"/>
          <w:color w:val="auto"/>
          <w:kern w:val="0"/>
          <w:sz w:val="24"/>
          <w:highlight w:val="none"/>
        </w:rPr>
        <w:t>㎡；雨水检查井、雨水篦子以及其他井盖与道路标高保持一致，误差不大于</w:t>
      </w:r>
      <w:r>
        <w:rPr>
          <w:rFonts w:ascii="宋体" w:hAnsi="宋体" w:cs="宋体"/>
          <w:color w:val="auto"/>
          <w:kern w:val="0"/>
          <w:sz w:val="24"/>
          <w:highlight w:val="none"/>
        </w:rPr>
        <w:t>20mm</w:t>
      </w:r>
      <w:r>
        <w:rPr>
          <w:rFonts w:hint="eastAsia" w:ascii="宋体" w:hAnsi="宋体" w:cs="宋体"/>
          <w:color w:val="auto"/>
          <w:kern w:val="0"/>
          <w:sz w:val="24"/>
          <w:highlight w:val="none"/>
        </w:rPr>
        <w:t>；窨井盖无缺失、破损、断裂、反盖、错盖等现象；雨天路面临时积水面积每处不超过</w:t>
      </w:r>
      <w:r>
        <w:rPr>
          <w:rFonts w:ascii="宋体" w:hAnsi="宋体" w:cs="宋体"/>
          <w:color w:val="auto"/>
          <w:kern w:val="0"/>
          <w:sz w:val="24"/>
          <w:highlight w:val="none"/>
        </w:rPr>
        <w:t>6m</w:t>
      </w:r>
      <w:r>
        <w:rPr>
          <w:rFonts w:ascii="宋体" w:hAnsi="宋体" w:cs="宋体"/>
          <w:color w:val="auto"/>
          <w:kern w:val="0"/>
          <w:sz w:val="24"/>
          <w:highlight w:val="none"/>
          <w:vertAlign w:val="superscript"/>
        </w:rPr>
        <w:t>2</w:t>
      </w:r>
      <w:r>
        <w:rPr>
          <w:rFonts w:hint="eastAsia" w:ascii="宋体" w:hAnsi="宋体" w:cs="宋体"/>
          <w:color w:val="auto"/>
          <w:kern w:val="0"/>
          <w:sz w:val="24"/>
          <w:highlight w:val="none"/>
        </w:rPr>
        <w:t>（积水深度</w:t>
      </w:r>
      <w:r>
        <w:rPr>
          <w:rFonts w:ascii="宋体" w:hAnsi="宋体" w:cs="宋体"/>
          <w:color w:val="auto"/>
          <w:kern w:val="0"/>
          <w:sz w:val="24"/>
          <w:highlight w:val="none"/>
        </w:rPr>
        <w:t>5cm</w:t>
      </w:r>
      <w:r>
        <w:rPr>
          <w:rFonts w:hint="eastAsia" w:ascii="宋体" w:hAnsi="宋体" w:cs="宋体"/>
          <w:color w:val="auto"/>
          <w:kern w:val="0"/>
          <w:sz w:val="24"/>
          <w:highlight w:val="none"/>
        </w:rPr>
        <w:t>以上）。③路灯及附属设施完好率达</w:t>
      </w:r>
      <w:r>
        <w:rPr>
          <w:rFonts w:ascii="宋体" w:hAnsi="宋体" w:cs="宋体"/>
          <w:color w:val="auto"/>
          <w:kern w:val="0"/>
          <w:sz w:val="24"/>
          <w:highlight w:val="none"/>
        </w:rPr>
        <w:t>97</w:t>
      </w:r>
      <w:r>
        <w:rPr>
          <w:rFonts w:hint="eastAsia" w:ascii="宋体" w:hAnsi="宋体" w:cs="宋体"/>
          <w:color w:val="auto"/>
          <w:kern w:val="0"/>
          <w:sz w:val="24"/>
          <w:highlight w:val="none"/>
        </w:rPr>
        <w:t>％，外观整洁、安全、完好；按时亮灯熄灯，亮灯率达</w:t>
      </w:r>
      <w:r>
        <w:rPr>
          <w:rFonts w:ascii="宋体" w:hAnsi="宋体" w:cs="宋体"/>
          <w:color w:val="auto"/>
          <w:kern w:val="0"/>
          <w:sz w:val="24"/>
          <w:highlight w:val="none"/>
        </w:rPr>
        <w:t>97</w:t>
      </w:r>
      <w:r>
        <w:rPr>
          <w:rFonts w:hint="eastAsia" w:ascii="宋体" w:hAnsi="宋体" w:cs="宋体"/>
          <w:color w:val="auto"/>
          <w:kern w:val="0"/>
          <w:sz w:val="24"/>
          <w:highlight w:val="none"/>
        </w:rPr>
        <w:t>％，重大节假日及大型活动期间亮灯率达</w:t>
      </w:r>
      <w:r>
        <w:rPr>
          <w:rFonts w:ascii="宋体" w:hAnsi="宋体" w:cs="宋体"/>
          <w:color w:val="auto"/>
          <w:kern w:val="0"/>
          <w:sz w:val="24"/>
          <w:highlight w:val="none"/>
        </w:rPr>
        <w:t>100%</w:t>
      </w:r>
      <w:r>
        <w:rPr>
          <w:rFonts w:hint="eastAsia" w:ascii="宋体" w:hAnsi="宋体" w:cs="宋体"/>
          <w:color w:val="auto"/>
          <w:kern w:val="0"/>
          <w:sz w:val="24"/>
          <w:highlight w:val="none"/>
        </w:rPr>
        <w:t>。④排水设施完好，无阻水物，泄水孔、排水管道通畅，积泥深度不超过</w:t>
      </w:r>
      <w:r>
        <w:rPr>
          <w:rFonts w:ascii="宋体" w:hAnsi="宋体" w:cs="宋体"/>
          <w:color w:val="auto"/>
          <w:kern w:val="0"/>
          <w:sz w:val="24"/>
          <w:highlight w:val="none"/>
        </w:rPr>
        <w:t>1/3</w:t>
      </w:r>
      <w:r>
        <w:rPr>
          <w:rFonts w:hint="eastAsia" w:ascii="宋体" w:hAnsi="宋体" w:cs="宋体"/>
          <w:color w:val="auto"/>
          <w:kern w:val="0"/>
          <w:sz w:val="24"/>
          <w:highlight w:val="none"/>
        </w:rPr>
        <w:t>管径。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pPr>
        <w:snapToGrid w:val="0"/>
        <w:spacing w:line="360" w:lineRule="auto"/>
        <w:ind w:firstLine="472" w:firstLineChars="196"/>
        <w:jc w:val="left"/>
        <w:rPr>
          <w:rFonts w:ascii="宋体"/>
          <w:color w:val="auto"/>
          <w:kern w:val="0"/>
          <w:sz w:val="24"/>
          <w:highlight w:val="none"/>
        </w:rPr>
      </w:pPr>
      <w:r>
        <w:rPr>
          <w:rFonts w:hint="eastAsia" w:ascii="宋体" w:hAnsi="宋体" w:cs="宋体"/>
          <w:b/>
          <w:bCs/>
          <w:color w:val="auto"/>
          <w:kern w:val="0"/>
          <w:sz w:val="24"/>
          <w:highlight w:val="none"/>
        </w:rPr>
        <w:t>其他市政设施养护：</w:t>
      </w:r>
      <w:r>
        <w:rPr>
          <w:rFonts w:hint="eastAsia" w:ascii="宋体" w:hAnsi="宋体" w:cs="宋体"/>
          <w:color w:val="auto"/>
          <w:kern w:val="0"/>
          <w:sz w:val="24"/>
          <w:highlight w:val="none"/>
        </w:rPr>
        <w:t>参照三级市政设施养护标准实施。</w:t>
      </w:r>
    </w:p>
    <w:p>
      <w:pPr>
        <w:widowControl w:val="0"/>
        <w:tabs>
          <w:tab w:val="left" w:pos="2101"/>
        </w:tabs>
        <w:wordWrap/>
        <w:adjustRightInd w:val="0"/>
        <w:snapToGrid/>
        <w:spacing w:line="360" w:lineRule="auto"/>
        <w:ind w:firstLine="241" w:firstLineChars="100"/>
        <w:textAlignment w:val="auto"/>
        <w:rPr>
          <w:rFonts w:ascii="宋体" w:hAnsi="宋体" w:cs="Arial"/>
          <w:b/>
          <w:bCs w:val="0"/>
          <w:color w:val="auto"/>
          <w:sz w:val="24"/>
          <w:szCs w:val="24"/>
          <w:highlight w:val="none"/>
        </w:rPr>
      </w:pPr>
      <w:r>
        <w:rPr>
          <w:rFonts w:hint="eastAsia" w:ascii="宋体" w:hAnsi="宋体" w:cs="Arial"/>
          <w:b/>
          <w:bCs w:val="0"/>
          <w:color w:val="auto"/>
          <w:sz w:val="24"/>
          <w:szCs w:val="24"/>
          <w:highlight w:val="none"/>
          <w:lang w:val="en-US" w:eastAsia="zh-CN"/>
        </w:rPr>
        <w:t>四、</w:t>
      </w:r>
      <w:r>
        <w:rPr>
          <w:rFonts w:hint="eastAsia" w:ascii="宋体" w:hAnsi="宋体" w:cs="Arial"/>
          <w:b/>
          <w:bCs w:val="0"/>
          <w:color w:val="auto"/>
          <w:sz w:val="24"/>
          <w:szCs w:val="24"/>
          <w:highlight w:val="none"/>
        </w:rPr>
        <w:t>雨水管网综合养护</w:t>
      </w:r>
    </w:p>
    <w:p>
      <w:pPr>
        <w:widowControl w:val="0"/>
        <w:wordWrap/>
        <w:adjustRightInd w:val="0"/>
        <w:snapToGrid/>
        <w:spacing w:line="360" w:lineRule="auto"/>
        <w:ind w:firstLine="723" w:firstLineChars="3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rPr>
        <w:t>一般市政雨水管网养护项目作业标准</w:t>
      </w:r>
    </w:p>
    <w:p>
      <w:pPr>
        <w:widowControl w:val="0"/>
        <w:wordWrap/>
        <w:adjustRightInd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根据《杭州市市政设施管理条例》和《杭州市区属市政设施考核办法》外，另外要求：清淤养护范围内所有检查井及雨水口井清淤要求服务期内每年全面清淤不少于4次；雨水管管道清淤疏通管径＜300要求服务期内每年全面清淤不少于4次，管径300-600要求服务期内每年全面清淤不少于2次，管径600-1000要求服务期内每年全面清淤不少于1次，管径1000-1500要求服务期内每年全面清淤不少于0.5次，管径大于1500要求服务期内每年全面清淤不少于0.5次。</w:t>
      </w:r>
    </w:p>
    <w:p>
      <w:pPr>
        <w:widowControl w:val="0"/>
        <w:wordWrap/>
        <w:adjustRightInd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雨水支管、预留管、排水沟渠：清淤、疏通；经全面清淤后的管渠淤泥沉积深度不超过管底 6cm，支管畅通，做到雨污水分流。</w:t>
      </w:r>
    </w:p>
    <w:p>
      <w:pPr>
        <w:widowControl w:val="0"/>
        <w:wordWrap/>
        <w:adjustRightInd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雨水检查井（含交汇井、预留井、排河口管理井）：清捞、疏挖，雨水收集井清捞；井内清洁，无浮渣，无破损、裂缝；检查井有沉泥槽的淤泥沉积深度不超过管底 5cm，无沉泥槽的淤泥沉积深度不超过管底 6cm；雨水收集井（边井）淤泥沉积深度不超过管底 2cm；安全防护网设置到位。</w:t>
      </w:r>
    </w:p>
    <w:p>
      <w:pPr>
        <w:widowControl w:val="0"/>
        <w:wordWrap/>
        <w:adjustRightInd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养护单位须派专人进行日常管网巡查、养护每年不少于20次（包含检查井盖是否有破损丢失，是否有管线周边施工偷排泥浆水进入管线内，是否有企业或个人私自接管；是否有未按要求排放水源情况，是否有其他异常情况等，出现情况均须24小时内向采购人汇报），及时发现并处置管网漏水、堵塞、脱节、井盖破损等情况。</w:t>
      </w:r>
    </w:p>
    <w:p>
      <w:pPr>
        <w:widowControl w:val="0"/>
        <w:wordWrap/>
        <w:adjustRightInd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养护单位需在作业前报采购人书面同意后进行管线疏通清淤工作的实施，对于易堵塞淤积的管段或采购人指定的一些特定管段需确保畅通；发现违法侵害管网设施的行为立即上报，发现路面沉降，管网设施受损等状况 24 小时内上报。</w:t>
      </w:r>
    </w:p>
    <w:p>
      <w:pPr>
        <w:widowControl w:val="0"/>
        <w:wordWrap/>
        <w:adjustRightInd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清疏作业要根据管网走向由远到近（从最上游的雨水收集井、检查井清疏至排河口）， 先边井，再支管，后主管、主井，逐步清挖清疏，依次作业，确保路段管网排水通畅、有效，不出现积水、积涝。</w:t>
      </w:r>
    </w:p>
    <w:p>
      <w:pPr>
        <w:widowControl w:val="0"/>
        <w:wordWrap/>
        <w:adjustRightInd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在进行雨水井、检查井等清淤作业时，必须按规定实行安全维护，维护设施至少在来车方向需要警示牌1块、道路指向牌1块、警示桶2只，设立醒目标志，作业人员必须服装整齐，标志明显，操作流程规范，做好交通疏导，保证车辆行人安全，避免安全事故的发生，自觉接受管理部门、各级领导和社会群众监督。</w:t>
      </w:r>
    </w:p>
    <w:p>
      <w:pPr>
        <w:widowControl w:val="0"/>
        <w:wordWrap/>
        <w:adjustRightInd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清疏作业中产生的淤泥和垃圾及时清理，倾倒到固定合法消纳场所，不能影响现场周边环境，避免二次污染，由此引发的市民投诉或处罚由养护单位承担责任和相关费用。</w:t>
      </w:r>
    </w:p>
    <w:p>
      <w:pPr>
        <w:widowControl w:val="0"/>
        <w:wordWrap/>
        <w:adjustRightInd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清淤作业完成以后完成的视频影像资料需交给采购人一份存档。</w:t>
      </w:r>
    </w:p>
    <w:p>
      <w:pPr>
        <w:widowControl w:val="0"/>
        <w:wordWrap/>
        <w:adjustRightInd w:val="0"/>
        <w:snapToGrid/>
        <w:spacing w:line="360" w:lineRule="auto"/>
        <w:ind w:firstLine="482" w:firstLineChars="200"/>
        <w:textAlignment w:val="auto"/>
        <w:rPr>
          <w:rFonts w:ascii="宋体" w:hAnsi="宋体" w:cs="宋体"/>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养护范围内重点工地作业标准</w:t>
      </w:r>
    </w:p>
    <w:p>
      <w:pPr>
        <w:widowControl w:val="0"/>
        <w:wordWrap/>
        <w:adjustRightInd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养护范围内的重点工地，养护单位需协助采购单位检查是否办理排水许可证，如未办理排水许可证的需及时向主管部门反应，并协助主管部门对排水行为进行制止，且保留相关的影像资料作为相关的证据。</w:t>
      </w:r>
    </w:p>
    <w:p>
      <w:pPr>
        <w:widowControl w:val="0"/>
        <w:wordWrap/>
        <w:adjustRightInd w:val="0"/>
        <w:snapToGrid/>
        <w:spacing w:line="360" w:lineRule="auto"/>
        <w:ind w:firstLine="480" w:firstLineChars="200"/>
        <w:textAlignment w:val="auto"/>
        <w:rPr>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养护单位需协助采购单位检重点工地是否按排水许可要求排水，如未按排水许可证要求排水的需及时向主管部门反应，并协助主管部门对排水行为进行制止，且保留相关的影像资料作为相关的证据。</w:t>
      </w:r>
    </w:p>
    <w:p>
      <w:pPr>
        <w:widowControl w:val="0"/>
        <w:wordWrap/>
        <w:adjustRightInd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养护单位需严格监管养护范围周边新建与在建工地泥浆、污水偷排乱排现象，发现后及时上报主管单位且保留相关的影像资料作为相关的证据；如未发现，造成雨水管网堵塞，由养护单位负责清淤。</w:t>
      </w:r>
    </w:p>
    <w:p>
      <w:pPr>
        <w:widowControl w:val="0"/>
        <w:wordWrap/>
        <w:adjustRightInd w:val="0"/>
        <w:snapToGrid/>
        <w:spacing w:line="360" w:lineRule="auto"/>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异常排河口排查</w:t>
      </w:r>
    </w:p>
    <w:p>
      <w:pPr>
        <w:widowControl w:val="0"/>
        <w:wordWrap/>
        <w:adjustRightInd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养护范围</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rPr>
        <w:t>河道的河道</w:t>
      </w:r>
      <w:r>
        <w:rPr>
          <w:rFonts w:hint="eastAsia" w:ascii="宋体" w:hAnsi="宋体" w:cs="宋体"/>
          <w:color w:val="auto"/>
          <w:sz w:val="24"/>
          <w:szCs w:val="24"/>
          <w:highlight w:val="none"/>
          <w:lang w:val="en-US" w:eastAsia="zh-CN"/>
        </w:rPr>
        <w:t>口出水根据采购人需求进行</w:t>
      </w:r>
      <w:r>
        <w:rPr>
          <w:rFonts w:hint="eastAsia" w:ascii="宋体" w:hAnsi="宋体" w:cs="宋体"/>
          <w:color w:val="auto"/>
          <w:sz w:val="24"/>
          <w:szCs w:val="24"/>
          <w:highlight w:val="none"/>
        </w:rPr>
        <w:t>排查作业</w:t>
      </w:r>
      <w:r>
        <w:rPr>
          <w:rFonts w:hint="eastAsia" w:ascii="宋体" w:hAnsi="宋体" w:cs="宋体"/>
          <w:color w:val="auto"/>
          <w:sz w:val="24"/>
          <w:szCs w:val="24"/>
          <w:highlight w:val="none"/>
          <w:lang w:eastAsia="zh-CN"/>
        </w:rPr>
        <w:t>。</w:t>
      </w:r>
    </w:p>
    <w:p>
      <w:pPr>
        <w:widowControl w:val="0"/>
        <w:tabs>
          <w:tab w:val="left" w:pos="2101"/>
        </w:tabs>
        <w:wordWrap/>
        <w:adjustRightInd w:val="0"/>
        <w:snapToGrid/>
        <w:spacing w:line="360" w:lineRule="auto"/>
        <w:ind w:firstLine="482" w:firstLineChars="200"/>
        <w:textAlignment w:val="auto"/>
        <w:rPr>
          <w:rFonts w:ascii="宋体" w:hAnsi="宋体" w:cs="Arial"/>
          <w:bCs/>
          <w:color w:val="auto"/>
          <w:sz w:val="24"/>
          <w:szCs w:val="24"/>
          <w:highlight w:val="none"/>
        </w:rPr>
      </w:pPr>
      <w:r>
        <w:rPr>
          <w:rFonts w:hint="eastAsia" w:ascii="宋体" w:hAnsi="宋体" w:cs="Arial"/>
          <w:b/>
          <w:bCs w:val="0"/>
          <w:color w:val="auto"/>
          <w:sz w:val="24"/>
          <w:szCs w:val="24"/>
          <w:highlight w:val="none"/>
          <w:lang w:val="en-US" w:eastAsia="zh-CN"/>
        </w:rPr>
        <w:t>4、</w:t>
      </w:r>
      <w:r>
        <w:rPr>
          <w:rFonts w:hint="eastAsia" w:ascii="宋体" w:hAnsi="宋体" w:cs="Arial"/>
          <w:b/>
          <w:bCs w:val="0"/>
          <w:color w:val="auto"/>
          <w:sz w:val="24"/>
          <w:szCs w:val="24"/>
          <w:highlight w:val="none"/>
        </w:rPr>
        <w:t>养护作业和防汛应急要求</w:t>
      </w:r>
    </w:p>
    <w:p>
      <w:pPr>
        <w:widowControl w:val="0"/>
        <w:wordWrap/>
        <w:adjustRightInd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要确保养护范围内管网畅通，不出现道路积水和内涝，确保市民生命及财产安全。一旦出现积涝，第一时间做好应急抢险工作，做好交通疏导，采取有效措施清除积水，尽快恢复道路交通。事后查明原因，提出整改建议。</w:t>
      </w:r>
    </w:p>
    <w:p>
      <w:pPr>
        <w:widowControl w:val="0"/>
        <w:wordWrap/>
        <w:adjustRightInd w:val="0"/>
        <w:snapToGrid/>
        <w:spacing w:line="360" w:lineRule="auto"/>
        <w:ind w:firstLine="480" w:firstLineChars="200"/>
        <w:textAlignment w:val="auto"/>
        <w:rPr>
          <w:rFonts w:ascii="宋体" w:hAnsi="宋体" w:cs="宋体"/>
          <w:b/>
          <w:bCs/>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防汛抗台期间须积极配合采购单位及相关部门确保</w:t>
      </w:r>
      <w:r>
        <w:rPr>
          <w:rFonts w:hint="eastAsia" w:ascii="宋体" w:hAnsi="宋体" w:cs="宋体"/>
          <w:color w:val="auto"/>
          <w:sz w:val="24"/>
          <w:szCs w:val="24"/>
          <w:highlight w:val="none"/>
          <w:lang w:eastAsia="zh-CN"/>
        </w:rPr>
        <w:t>各标段内</w:t>
      </w:r>
      <w:r>
        <w:rPr>
          <w:rFonts w:hint="eastAsia" w:ascii="宋体" w:hAnsi="宋体" w:cs="宋体"/>
          <w:color w:val="auto"/>
          <w:sz w:val="24"/>
          <w:szCs w:val="24"/>
          <w:highlight w:val="none"/>
        </w:rPr>
        <w:t>管网正常运行</w:t>
      </w:r>
      <w:r>
        <w:rPr>
          <w:rFonts w:hint="eastAsia" w:ascii="宋体" w:hAnsi="宋体" w:cs="宋体"/>
          <w:b/>
          <w:bCs/>
          <w:color w:val="auto"/>
          <w:sz w:val="24"/>
          <w:szCs w:val="24"/>
          <w:highlight w:val="none"/>
        </w:rPr>
        <w:t>。应急响应启动后，出动车辆人员服从甲方统一调配安排，落实人员巡查值守并及时上报处置情况。</w:t>
      </w:r>
    </w:p>
    <w:p>
      <w:pPr>
        <w:widowControl w:val="0"/>
        <w:wordWrap/>
        <w:adjustRightInd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养护单位合同签订后一个月内需对所有管网及检查井进行排查，并出具排查情况报告。如管网及检查井附属设施等存在质量问题的及时提出，由采购人负责协调维修至满足设计要求及能够正常运维或以双方约定的方式运维；如养护单位未排查出管网及检查井附属设施存在的问题而影响日后的运维工作，造成的损失由养护单位承担，所需维修的费用包含在投标价内；如养护单位发现有开挖道路等施工破坏管网及检查井附属设施时，应通知采购单位，由采购单位或相关主管部门负责修复，养护单位没有及时发现破坏管网及检查井附属设施行为或发现未通知采购人，由此造成的修复等费用均由养护单位承担，所需费用包含在投标总价内。</w:t>
      </w:r>
    </w:p>
    <w:p>
      <w:pPr>
        <w:widowControl w:val="0"/>
        <w:wordWrap/>
        <w:adjustRightInd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养护作业中，如发生安全生产事故、交通安全事故，由养护单位承担全部责任，所产生的费用由养护单位全部承担；因养护单位管理不善或使用不当造成的损失由养护单位负责赔偿。</w:t>
      </w:r>
    </w:p>
    <w:p>
      <w:pPr>
        <w:widowControl w:val="0"/>
        <w:wordWrap/>
        <w:adjustRightInd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养护范围内的投诉和新闻舆论批评，应在 24 小时内处理完毕并反馈信息。</w:t>
      </w:r>
    </w:p>
    <w:p>
      <w:pPr>
        <w:widowControl w:val="0"/>
        <w:wordWrap/>
        <w:adjustRightInd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养护作业专职人员要求配齐作业人员、管理人员及安全监管人员及潜水人员等，保障日常清淤疏通工作和应急抢险工作顺利完成。</w:t>
      </w:r>
    </w:p>
    <w:p>
      <w:pPr>
        <w:widowControl w:val="0"/>
        <w:wordWrap/>
        <w:adjustRightInd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日常巡查中发现井盖破损或缺失的，应在2小时内上报采购单位，以便采购单位及时更换。</w:t>
      </w:r>
    </w:p>
    <w:p>
      <w:pPr>
        <w:widowControl w:val="0"/>
        <w:wordWrap/>
        <w:adjustRightInd w:val="0"/>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做好养护工作量日、周、月报表及度汇总台帐。按养护作业工作计划及时上报周报表、月报表及年度总台帐。</w:t>
      </w:r>
    </w:p>
    <w:p>
      <w:pPr>
        <w:pStyle w:val="623"/>
        <w:keepNext w:val="0"/>
        <w:keepLines w:val="0"/>
        <w:pageBreakBefore w:val="0"/>
        <w:widowControl w:val="0"/>
        <w:numPr>
          <w:ilvl w:val="-1"/>
          <w:numId w:val="0"/>
        </w:numPr>
        <w:kinsoku/>
        <w:wordWrap/>
        <w:overflowPunct/>
        <w:topLinePunct w:val="0"/>
        <w:autoSpaceDE/>
        <w:autoSpaceDN/>
        <w:bidi w:val="0"/>
        <w:adjustRightInd w:val="0"/>
        <w:snapToGrid/>
        <w:spacing w:line="360" w:lineRule="auto"/>
        <w:ind w:firstLine="240" w:firstLineChars="100"/>
        <w:textAlignment w:val="auto"/>
        <w:rPr>
          <w:rFonts w:hint="eastAsia" w:ascii="宋体" w:hAnsi="宋体" w:eastAsia="宋体" w:cs="宋体"/>
          <w:b/>
          <w:bCs/>
          <w:color w:val="auto"/>
          <w:sz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应每年11月底将养护档案资料及当年的养护道路的道路定期检测中的常规检测及评价、排水管道CCTV检测报告上报采购人一份。</w:t>
      </w:r>
    </w:p>
    <w:p>
      <w:pPr>
        <w:widowControl w:val="0"/>
        <w:wordWrap/>
        <w:adjustRightInd w:val="0"/>
        <w:snapToGrid/>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sz w:val="24"/>
          <w:szCs w:val="24"/>
          <w:highlight w:val="none"/>
        </w:rPr>
        <w:t>养护单位职责</w:t>
      </w:r>
    </w:p>
    <w:p>
      <w:pPr>
        <w:widowControl w:val="0"/>
        <w:wordWrap/>
        <w:adjustRightInd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1、必须严格按招投标要求、养护质量标准及相关规定，精心组织养护，确保养护质量，承担设施、作业人员安全和公共安全责任。</w:t>
      </w:r>
    </w:p>
    <w:p>
      <w:pPr>
        <w:widowControl w:val="0"/>
        <w:wordWrap/>
        <w:adjustRightInd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2、养护作业人员及数量的投入、机械设备的投入必须与投标时作出的承诺相一致。</w:t>
      </w:r>
    </w:p>
    <w:p>
      <w:pPr>
        <w:widowControl w:val="0"/>
        <w:wordWrap/>
        <w:adjustRightInd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3、制定全年及每月</w:t>
      </w:r>
      <w:r>
        <w:rPr>
          <w:rFonts w:hint="eastAsia" w:ascii="宋体" w:hAnsi="宋体" w:cs="宋体"/>
          <w:color w:val="auto"/>
          <w:sz w:val="24"/>
          <w:szCs w:val="24"/>
          <w:highlight w:val="none"/>
          <w:lang w:val="en-US" w:eastAsia="zh-CN"/>
        </w:rPr>
        <w:t>养护</w:t>
      </w:r>
      <w:r>
        <w:rPr>
          <w:rFonts w:hint="eastAsia" w:ascii="宋体" w:hAnsi="宋体" w:cs="宋体"/>
          <w:color w:val="auto"/>
          <w:sz w:val="24"/>
          <w:szCs w:val="24"/>
          <w:highlight w:val="none"/>
        </w:rPr>
        <w:t>工作计划（含管线巡查），包括各类清淤措施、质量及安全生产保证、应急管理、重点技术措施等，并及时上报采购人。</w:t>
      </w:r>
    </w:p>
    <w:p>
      <w:pPr>
        <w:widowControl w:val="0"/>
        <w:wordWrap/>
        <w:adjustRightInd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4、合理安排清淤力量，制定劳动力计划表，做好突击性工作的应急安排等，落实专职养护人员名单，养护管理责任人名单。防汛抗台期间，必须做到人员、物资、设备“三到位”，并落实 24 小时人员值班制度，具体人员、物资、设备等的数量应和采购人协商确定。</w:t>
      </w:r>
    </w:p>
    <w:p>
      <w:pPr>
        <w:widowControl w:val="0"/>
        <w:wordWrap/>
        <w:adjustRightInd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5、养护作业人员必须穿统一工作服，在道路清淤中为保证安全，作业人员必须穿反光背心装，设置交通警示牌，并加强安全管理。</w:t>
      </w:r>
    </w:p>
    <w:p>
      <w:pPr>
        <w:widowControl w:val="0"/>
        <w:wordWrap/>
        <w:adjustRightInd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养护作业中，如发生安全生产和交通安全事故，由养护单位承担全部责任，所产生费用由养护单位全部承担；因养护单位管理不善或使用不当造成的损失由养护单位负责赔偿；在承包范围内雨水管道、窨井破损、下降而引发的各类伤亡事故由养护单位承担全部责任。</w:t>
      </w:r>
    </w:p>
    <w:p>
      <w:pPr>
        <w:widowControl w:val="0"/>
        <w:wordWrap/>
        <w:adjustRightInd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7、养护单位需在下井作业前做好毒气检测，防止人员中毒。如在下井作业中出现人员中毒伤亡事故，其一切责任和后果由养护单位承担。</w:t>
      </w:r>
    </w:p>
    <w:p>
      <w:pPr>
        <w:widowControl w:val="0"/>
        <w:wordWrap/>
        <w:adjustRightInd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8、在养护过程中，养护单位不准以设备在维修为由不落实养护责任。如养护单位多次发生此类情形，招标人有权直接认定养护单位考核不达标，直至终止养护合同。</w:t>
      </w:r>
    </w:p>
    <w:p>
      <w:pPr>
        <w:widowControl w:val="0"/>
        <w:wordWrap/>
        <w:adjustRightInd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9、养护单位需协助采购单位做好新管验收移交工作，协助采购单位调查企业等生产生活排水是否接入市政管网。</w:t>
      </w:r>
    </w:p>
    <w:p>
      <w:pPr>
        <w:widowControl w:val="0"/>
        <w:wordWrap/>
        <w:adjustRightInd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10、合同到期或终止时，在交接前运维单位必须确保管道正常疏通，并出具排查情况报告。</w:t>
      </w:r>
    </w:p>
    <w:p>
      <w:pPr>
        <w:widowControl w:val="0"/>
        <w:wordWrap/>
        <w:adjustRightInd w:val="0"/>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服务形式要求：应招标人要求保质保量的完成任务。供应商须对招标人下达的工作任务单24小时内作出响应，安排人员持续处理，直至处理完毕。应急维修任务必须在接到招标人通知后，1个小时内到达现场并在6小时内及时完成维修任务，具体以微信群或电话通知时间为准。在道路维修过程中，因供应商原因造成交通设施（红绿灯、地埋感应设施、安全设施等）损坏，必须在6小时内予以修复，未及时修复的，由招标人委托第三方修复，费用在工程款中直接扣除。未及时作出响应或未按规定时间完成任务的，发现第一次处以壹万元的扣罚（直接在工程款中抵扣），发现第二次处以贰万元的扣罚（直接在工程款中抵扣），发现第三次处以肆万元的扣罚（直接在</w:t>
      </w:r>
      <w:r>
        <w:rPr>
          <w:rFonts w:hint="eastAsia" w:ascii="宋体" w:hAnsi="宋体" w:cs="宋体"/>
          <w:color w:val="auto"/>
          <w:sz w:val="24"/>
          <w:szCs w:val="24"/>
          <w:highlight w:val="none"/>
          <w:lang w:eastAsia="zh-CN"/>
        </w:rPr>
        <w:t>项目进度</w:t>
      </w:r>
      <w:r>
        <w:rPr>
          <w:rFonts w:hint="eastAsia" w:ascii="宋体" w:hAnsi="宋体" w:cs="宋体"/>
          <w:color w:val="auto"/>
          <w:sz w:val="24"/>
          <w:szCs w:val="24"/>
          <w:highlight w:val="none"/>
        </w:rPr>
        <w:t>款中抵扣），发现第四次，招标人有权终止合同并视情况部分或全部没收履约保证金。</w:t>
      </w:r>
    </w:p>
    <w:p>
      <w:pPr>
        <w:widowControl w:val="0"/>
        <w:wordWrap/>
        <w:adjustRightInd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5.做好工程相关记录(如派单人、派单时间、派单内容、工程完成情况、工程竣工验收、相关影像资料等情况)。</w:t>
      </w:r>
    </w:p>
    <w:p>
      <w:pPr>
        <w:widowControl w:val="0"/>
        <w:wordWrap/>
        <w:adjustRightInd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、在履行合同中，如中标供应商未按采购人要求的时间保质保量完工，不服从采购人的指导检查，采购人有权终止合同，同时履约保证金将不予退还。</w:t>
      </w:r>
    </w:p>
    <w:p>
      <w:pPr>
        <w:spacing w:line="360" w:lineRule="auto"/>
        <w:ind w:firstLine="480" w:firstLineChars="200"/>
        <w:rPr>
          <w:rFonts w:hint="default" w:ascii="宋体" w:hAnsi="宋体" w:cs="宋体"/>
          <w:b/>
          <w:bCs w:val="0"/>
          <w:color w:val="auto"/>
          <w:sz w:val="24"/>
          <w:highlight w:val="none"/>
          <w:lang w:val="en-US" w:eastAsia="zh-CN"/>
        </w:rPr>
      </w:pP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t>、非养护单位原因导致养护工作量减少的，按照实际减少的养护时间和养护工作量扣减养护费用。</w:t>
      </w:r>
    </w:p>
    <w:p>
      <w:pPr>
        <w:pStyle w:val="93"/>
        <w:wordWrap/>
        <w:adjustRightInd/>
        <w:snapToGrid/>
        <w:spacing w:before="0" w:beforeLines="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要建立内部诚信管理体系，并定期进行备案或更新，特别是</w:t>
      </w:r>
      <w:r>
        <w:rPr>
          <w:rFonts w:hint="eastAsia" w:ascii="宋体" w:hAnsi="宋体" w:cs="宋体"/>
          <w:color w:val="auto"/>
          <w:sz w:val="24"/>
          <w:szCs w:val="24"/>
          <w:highlight w:val="none"/>
          <w:lang w:eastAsia="zh-CN"/>
        </w:rPr>
        <w:t>各</w:t>
      </w:r>
      <w:r>
        <w:rPr>
          <w:rFonts w:hint="eastAsia" w:ascii="宋体" w:hAnsi="宋体" w:eastAsia="宋体" w:cs="宋体"/>
          <w:color w:val="auto"/>
          <w:sz w:val="24"/>
          <w:szCs w:val="24"/>
          <w:highlight w:val="none"/>
          <w:lang w:val="en-US" w:eastAsia="zh-CN"/>
        </w:rPr>
        <w:t>养护</w:t>
      </w:r>
      <w:r>
        <w:rPr>
          <w:rFonts w:hint="eastAsia" w:ascii="宋体" w:hAnsi="宋体" w:eastAsia="宋体" w:cs="宋体"/>
          <w:color w:val="auto"/>
          <w:sz w:val="24"/>
          <w:szCs w:val="24"/>
          <w:highlight w:val="none"/>
        </w:rPr>
        <w:t>人员发生链接、诚信、重大安全事故等方面问题，将被记录在案，同时服从采购人诚信管理要求。</w:t>
      </w:r>
    </w:p>
    <w:p>
      <w:pPr>
        <w:pStyle w:val="93"/>
        <w:wordWrap/>
        <w:adjustRightInd/>
        <w:snapToGrid/>
        <w:spacing w:before="0" w:beforeLines="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作业时作业车辆应停放适当地点，不影响行人和交通，收工后存放在采购人指定的停车场所进行集中管理，收工后作业工具不得</w:t>
      </w:r>
      <w:r>
        <w:rPr>
          <w:rFonts w:hint="eastAsia" w:ascii="宋体" w:hAnsi="宋体" w:cs="宋体"/>
          <w:color w:val="auto"/>
          <w:sz w:val="24"/>
          <w:szCs w:val="24"/>
          <w:highlight w:val="none"/>
          <w:lang w:eastAsia="zh-CN"/>
        </w:rPr>
        <w:t>放置在</w:t>
      </w:r>
      <w:r>
        <w:rPr>
          <w:rFonts w:hint="eastAsia" w:ascii="宋体" w:hAnsi="宋体" w:eastAsia="宋体" w:cs="宋体"/>
          <w:color w:val="auto"/>
          <w:sz w:val="24"/>
          <w:szCs w:val="24"/>
          <w:highlight w:val="none"/>
        </w:rPr>
        <w:t>绿化带等位置，放置地点由中标方自行负责。机械作业设备要求为投标路段单独专用的作业车辆。专用作业车辆要有编号，有监督电话、有负责单位、车辆停放自行负责，并按规定安装GPS。</w:t>
      </w:r>
    </w:p>
    <w:p>
      <w:pPr>
        <w:pStyle w:val="93"/>
        <w:wordWrap/>
        <w:adjustRightInd/>
        <w:snapToGrid/>
        <w:spacing w:before="0" w:beforeLines="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遇到乱丢、乱扔、渣土抛洒污染路面等不文明行为及时进行劝阻，并进行市容环卫法规的宣传教育，做到说话文明，以理服人，对不听劝阻造成不良影响的，应及时向合同采购人或有关部门报告。</w:t>
      </w:r>
    </w:p>
    <w:p>
      <w:pPr>
        <w:pStyle w:val="93"/>
        <w:wordWrap/>
        <w:adjustRightInd/>
        <w:snapToGrid/>
        <w:spacing w:before="0" w:beforeLines="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每月25日中标单位向合同采购人提交本月工作情况自查表、有关情况书面报告和下月作业安排计划。</w:t>
      </w:r>
    </w:p>
    <w:p>
      <w:pPr>
        <w:pStyle w:val="93"/>
        <w:wordWrap/>
        <w:adjustRightInd/>
        <w:snapToGrid/>
        <w:spacing w:before="0" w:beforeLines="0" w:line="360" w:lineRule="auto"/>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按照以人为本原则关心职工，严格遵守</w:t>
      </w:r>
      <w:r>
        <w:rPr>
          <w:rFonts w:hint="eastAsia" w:ascii="宋体" w:hAnsi="宋体" w:eastAsia="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等法规，保障职工合法权益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必须落实职工劳保福利待遇，为职工缴纳社会保险费（养老保险、医疗保险、失业保险、工伤保险和生育保险），环卫职工的工资、岗位津贴、加班工资等必须确保按月发放。如因违法、违规造成上访或群体性事件的，由中标单位负责处理，并作警告处理。发生意外事件的，需在1小时内通知采购人。如有最新文件按最新文件执行</w:t>
      </w:r>
      <w:r>
        <w:rPr>
          <w:rFonts w:hint="eastAsia" w:ascii="宋体" w:hAnsi="宋体" w:eastAsia="宋体" w:cs="宋体"/>
          <w:color w:val="auto"/>
          <w:sz w:val="24"/>
          <w:szCs w:val="24"/>
          <w:highlight w:val="none"/>
          <w:lang w:eastAsia="zh-CN"/>
        </w:rPr>
        <w:t>。</w:t>
      </w:r>
    </w:p>
    <w:p>
      <w:pPr>
        <w:pStyle w:val="93"/>
        <w:wordWrap/>
        <w:adjustRightInd/>
        <w:snapToGrid/>
        <w:spacing w:before="0" w:beforeLines="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职工的工资、岗位津贴、加班工资等必须确保按月发放。本次招标要求的班组人员、机具设备固定用于本项目，不能与其它标段重复。如发有作业人员、机具在其它道路标段兼职或使用的，采购人有权解除合同。</w:t>
      </w:r>
    </w:p>
    <w:p>
      <w:pPr>
        <w:pStyle w:val="93"/>
        <w:wordWrap/>
        <w:adjustRightInd/>
        <w:snapToGrid/>
        <w:spacing w:before="0" w:beforeLines="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不得使用消防栓取水用于环卫作业。</w:t>
      </w:r>
    </w:p>
    <w:p>
      <w:pPr>
        <w:pStyle w:val="93"/>
        <w:widowControl w:val="0"/>
        <w:wordWrap/>
        <w:adjustRightInd/>
        <w:snapToGrid/>
        <w:spacing w:before="0" w:after="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养护工程：供应商在日常巡检、经常性检查和常规的定期检测、定期维护中，发现设施有明显破损、设备有隐患，应及时进行保养或大面积维修报采购人审核后实施。对道路因不适应现有交通量、载重量增长的需要及结构严重损坏，对排水管道因不适应现有汇水量需要、管材老化及结构严重损坏，需恢复或提高技术等级，从而提高其运行能力的加固、改扩建工程，供应商应专题上报，并经采购人审定后申请立项。</w:t>
      </w:r>
    </w:p>
    <w:p>
      <w:pPr>
        <w:pStyle w:val="623"/>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档案资料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供应商应以一条路为单位建立养护档案，健全日常养护作业记录，认真做好台帐的整理和归档工作，尤其是及时将日常养护、维修、检测、技术状况评价等相关数据及时、准确录入监管部门的管理系统；</w:t>
      </w:r>
    </w:p>
    <w:p>
      <w:pPr>
        <w:tabs>
          <w:tab w:val="left" w:pos="2101"/>
        </w:tabs>
        <w:wordWrap/>
        <w:snapToGrid/>
        <w:spacing w:line="360" w:lineRule="auto"/>
        <w:ind w:firstLine="241" w:firstLineChars="100"/>
        <w:textAlignment w:val="auto"/>
        <w:rPr>
          <w:rFonts w:ascii="宋体" w:hAnsi="宋体" w:cs="Arial"/>
          <w:b/>
          <w:bCs w:val="0"/>
          <w:color w:val="auto"/>
          <w:sz w:val="24"/>
          <w:szCs w:val="24"/>
          <w:highlight w:val="none"/>
        </w:rPr>
      </w:pPr>
      <w:r>
        <w:rPr>
          <w:rFonts w:hint="eastAsia" w:ascii="宋体" w:hAnsi="宋体" w:cs="Arial"/>
          <w:b/>
          <w:bCs w:val="0"/>
          <w:color w:val="auto"/>
          <w:sz w:val="24"/>
          <w:szCs w:val="24"/>
          <w:highlight w:val="none"/>
          <w:lang w:val="en-US" w:eastAsia="zh-CN"/>
        </w:rPr>
        <w:t>七、</w:t>
      </w:r>
      <w:r>
        <w:rPr>
          <w:rFonts w:hint="eastAsia" w:ascii="宋体" w:hAnsi="宋体" w:cs="Arial"/>
          <w:b/>
          <w:bCs w:val="0"/>
          <w:color w:val="auto"/>
          <w:sz w:val="24"/>
          <w:szCs w:val="24"/>
          <w:highlight w:val="none"/>
        </w:rPr>
        <w:t>技术规范</w:t>
      </w:r>
    </w:p>
    <w:p>
      <w:pPr>
        <w:pStyle w:val="17"/>
        <w:wordWrap/>
        <w:adjustRightInd/>
        <w:snapToGrid/>
        <w:spacing w:line="360" w:lineRule="auto"/>
        <w:ind w:left="0" w:leftChars="0" w:firstLine="482" w:firstLineChars="200"/>
        <w:jc w:val="left"/>
        <w:textAlignment w:val="auto"/>
        <w:rPr>
          <w:rFonts w:hint="eastAsia" w:ascii="宋体" w:hAnsi="宋体" w:eastAsia="宋体" w:cs="宋体"/>
          <w:b/>
          <w:bCs/>
          <w:color w:val="auto"/>
          <w:sz w:val="24"/>
          <w:szCs w:val="24"/>
          <w:highlight w:val="none"/>
          <w:lang w:val="en-US" w:eastAsia="zh-CN"/>
        </w:rPr>
      </w:pPr>
      <w:bookmarkStart w:id="28" w:name="_bookmark30"/>
      <w:bookmarkEnd w:id="28"/>
      <w:r>
        <w:rPr>
          <w:rFonts w:hint="eastAsia" w:ascii="宋体" w:hAnsi="宋体" w:eastAsia="宋体" w:cs="宋体"/>
          <w:b/>
          <w:bCs/>
          <w:color w:val="auto"/>
          <w:sz w:val="24"/>
          <w:szCs w:val="24"/>
          <w:highlight w:val="none"/>
          <w:lang w:val="en-US" w:eastAsia="zh-CN"/>
        </w:rPr>
        <w:t>（1）道路市政养护规范</w:t>
      </w:r>
    </w:p>
    <w:p>
      <w:pPr>
        <w:pStyle w:val="17"/>
        <w:wordWrap/>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《城镇道路养护技术规范》（CJJ36-2016）</w:t>
      </w:r>
    </w:p>
    <w:p>
      <w:pPr>
        <w:pStyle w:val="17"/>
        <w:wordWrap/>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1.2《沥青路面施工及验收规范》（GB50092-96）</w:t>
      </w:r>
    </w:p>
    <w:p>
      <w:pPr>
        <w:pStyle w:val="17"/>
        <w:wordWrap/>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1.3《杭州市城市道路管理养护技术要求(试行)》（杭城管〔2011〕37号）</w:t>
      </w:r>
    </w:p>
    <w:p>
      <w:pPr>
        <w:pStyle w:val="17"/>
        <w:wordWrap/>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1.4《杭州市城市道路市政养护技术规程》（CJS-02-2000）</w:t>
      </w:r>
    </w:p>
    <w:p>
      <w:pPr>
        <w:pStyle w:val="17"/>
        <w:wordWrap/>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《杭州市市政设施管理条例》</w:t>
      </w:r>
    </w:p>
    <w:p>
      <w:pPr>
        <w:pStyle w:val="17"/>
        <w:wordWrap/>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《城市道路杆件及标识整合技术规范》（DB3301/T 0232—2018）</w:t>
      </w:r>
    </w:p>
    <w:p>
      <w:pPr>
        <w:pStyle w:val="17"/>
        <w:wordWrap/>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《关于进一步加强道路、河道养护及环卫保洁作业设备管理的通知》（杭城管委〔2018〕255号）</w:t>
      </w:r>
    </w:p>
    <w:p>
      <w:pPr>
        <w:pStyle w:val="17"/>
        <w:wordWrap/>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《道路交通指示标识英文译写规范》（DB3301T0170-2016）</w:t>
      </w:r>
    </w:p>
    <w:p>
      <w:pPr>
        <w:pStyle w:val="17"/>
        <w:wordWrap/>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《关于印发2021年度各区县（市）政府（管委会）城市管理考核相关评分细则的通知（杭城管综执联办〔2021〕3号）》</w:t>
      </w:r>
    </w:p>
    <w:p>
      <w:pPr>
        <w:pStyle w:val="17"/>
        <w:wordWrap/>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关于印发《杭州市区城市道路路面技术状况检测方案》的通知（杭城管委﹝2016﹞292号）</w:t>
      </w:r>
    </w:p>
    <w:p>
      <w:pPr>
        <w:pStyle w:val="17"/>
        <w:wordWrap/>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《城市道路养护规范》（DB3301/T0012-2013）</w:t>
      </w:r>
    </w:p>
    <w:p>
      <w:pPr>
        <w:pStyle w:val="17"/>
        <w:wordWrap/>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关于印发《杭州市城市道路市政检查井提升改造通用图》的通知（杭城管委〔2015〕149号）</w:t>
      </w:r>
    </w:p>
    <w:p>
      <w:pPr>
        <w:pStyle w:val="17"/>
        <w:wordWrap/>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关于进一步加强临时占用挖掘城市道路批后监管的通知（杭城管委〔2015〕207号）</w:t>
      </w:r>
    </w:p>
    <w:p>
      <w:pPr>
        <w:pStyle w:val="17"/>
        <w:wordWrap/>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关于印发《杭州市市政养护市场诚信信息管理办法》《杭州市市政养护市场诚信评价标准》的通知（杭城管委﹝2018﹞19号）</w:t>
      </w:r>
    </w:p>
    <w:p>
      <w:pPr>
        <w:pStyle w:val="17"/>
        <w:wordWrap/>
        <w:adjustRightInd/>
        <w:snapToGrid/>
        <w:spacing w:line="360" w:lineRule="auto"/>
        <w:ind w:left="0" w:lef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（2）城市环境卫生管理规范</w:t>
      </w:r>
    </w:p>
    <w:p>
      <w:pPr>
        <w:pStyle w:val="17"/>
        <w:wordWrap/>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2.1《杭州市人民政府办公厅转发市城管委关于杭州市城区整洁度检查考核试行办法的通知》（杭政办函〔2012〕177号）</w:t>
      </w:r>
    </w:p>
    <w:p>
      <w:pPr>
        <w:wordWrap/>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2.2《杭州市城市环境卫生作业规范》</w:t>
      </w:r>
    </w:p>
    <w:p>
      <w:pPr>
        <w:wordWrap/>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2.3《关于下发实施“清洁城区”“信访投诉”“队伍督查”“城管宣传”等考核办法的通知》（杭城管局</w:t>
      </w:r>
      <w:r>
        <w:rPr>
          <w:rFonts w:hint="eastAsia" w:ascii="宋体" w:hAnsi="宋体" w:eastAsia="宋体" w:cs="宋体"/>
          <w:color w:val="auto"/>
          <w:kern w:val="0"/>
          <w:sz w:val="24"/>
          <w:szCs w:val="24"/>
          <w:highlight w:val="none"/>
          <w:lang w:val="zh-CN"/>
        </w:rPr>
        <w:t>〔20</w:t>
      </w:r>
      <w:r>
        <w:rPr>
          <w:rFonts w:hint="eastAsia" w:ascii="宋体" w:hAnsi="宋体" w:eastAsia="宋体" w:cs="宋体"/>
          <w:color w:val="auto"/>
          <w:kern w:val="0"/>
          <w:sz w:val="24"/>
          <w:szCs w:val="24"/>
          <w:highlight w:val="none"/>
        </w:rPr>
        <w:t>19</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49号）</w:t>
      </w:r>
    </w:p>
    <w:p>
      <w:pPr>
        <w:wordWrap/>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r>
        <w:rPr>
          <w:rFonts w:hint="eastAsia" w:ascii="宋体" w:hAnsi="宋体" w:eastAsia="宋体" w:cs="宋体"/>
          <w:color w:val="auto"/>
          <w:sz w:val="24"/>
          <w:szCs w:val="24"/>
          <w:highlight w:val="none"/>
        </w:rPr>
        <w:t>《关于印发〈杭州市环卫作业人员着装与作业行为规范〉及〈杭州市环卫作业车辆标识与作业管理规范〉的通知》（杭城管委〔2016〕130号）</w:t>
      </w:r>
    </w:p>
    <w:p>
      <w:pPr>
        <w:wordWrap/>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2.5《关于印发杭州市城管委行业服装统一表示规范的通知》（杭城管委[2018]16号）</w:t>
      </w:r>
    </w:p>
    <w:p>
      <w:pPr>
        <w:wordWrap/>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《城管驿站管理规范》（DB3301T0266—2018）</w:t>
      </w:r>
    </w:p>
    <w:p>
      <w:pPr>
        <w:wordWrap/>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《杭州市人民政府办公厅关于进一步解决环卫工人实际困难保障其合法权益的意见》（〔2008〕14号）</w:t>
      </w:r>
    </w:p>
    <w:p>
      <w:pPr>
        <w:wordWrap/>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《浙江省人民政府办公厅关于进一步改善环卫工人工作生活条件促进环卫事业持续发展的若干意见》（浙政办发〔2009〕190号）</w:t>
      </w:r>
    </w:p>
    <w:p>
      <w:pPr>
        <w:wordWrap/>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注：如市、区相应规范标准有更新，按照最新版本执行。</w:t>
      </w:r>
    </w:p>
    <w:p>
      <w:pPr>
        <w:pStyle w:val="93"/>
        <w:wordWrap/>
        <w:adjustRightInd/>
        <w:snapToGrid/>
        <w:spacing w:before="0" w:beforeLines="0" w:line="360" w:lineRule="auto"/>
        <w:ind w:left="0" w:leftChars="0" w:firstLine="482" w:firstLineChars="20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（3）雨水管网养护规范</w:t>
      </w:r>
    </w:p>
    <w:p>
      <w:pPr>
        <w:wordWrap/>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1、《杭州市市政设施养护规程》 </w:t>
      </w:r>
    </w:p>
    <w:p>
      <w:pPr>
        <w:wordWrap/>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2、《杭州市市政设施管理条例》 </w:t>
      </w:r>
    </w:p>
    <w:p>
      <w:pPr>
        <w:wordWrap/>
        <w:adjustRightInd/>
        <w:snapToGrid/>
        <w:spacing w:line="360" w:lineRule="auto"/>
        <w:ind w:left="0" w:leftChars="0"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3、《杭州市区管市政设施检查考核办法》</w:t>
      </w:r>
    </w:p>
    <w:p>
      <w:pPr>
        <w:wordWrap/>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、其他相关行业、地方单位的法规、规程、规定及要求。</w:t>
      </w:r>
    </w:p>
    <w:p>
      <w:pPr>
        <w:wordWrap/>
        <w:adjustRightInd/>
        <w:snapToGrid/>
        <w:spacing w:line="360" w:lineRule="auto"/>
        <w:ind w:left="0" w:leftChars="0" w:firstLine="480" w:firstLineChars="20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rPr>
        <w:t>注：若同一标准已版发新的标准（办法），则按最新文件执行。若同一服务有几个标准（国际标准、国家标准、行业标准、企业标准等），则按高要求的标准（办法）执行。</w:t>
      </w:r>
    </w:p>
    <w:p>
      <w:pPr>
        <w:numPr>
          <w:ilvl w:val="0"/>
          <w:numId w:val="0"/>
        </w:numPr>
        <w:wordWrap/>
        <w:adjustRightInd/>
        <w:snapToGrid/>
        <w:spacing w:line="360" w:lineRule="auto"/>
        <w:ind w:leftChars="200"/>
        <w:jc w:val="left"/>
        <w:textAlignment w:val="auto"/>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（4）区级管理规范</w:t>
      </w:r>
    </w:p>
    <w:p>
      <w:pPr>
        <w:spacing w:line="360" w:lineRule="auto"/>
        <w:outlineLvl w:val="0"/>
        <w:rPr>
          <w:rFonts w:hint="eastAsia" w:ascii="宋体" w:hAnsi="宋体" w:eastAsia="宋体" w:cs="宋体"/>
          <w:b w:val="0"/>
          <w:bCs w:val="0"/>
          <w:color w:val="auto"/>
          <w:sz w:val="24"/>
          <w:highlight w:val="none"/>
        </w:rPr>
      </w:pPr>
      <w:r>
        <w:rPr>
          <w:rFonts w:hint="eastAsia" w:ascii="宋体" w:hAnsi="宋体" w:eastAsia="宋体" w:cs="宋体"/>
          <w:color w:val="auto"/>
          <w:kern w:val="0"/>
          <w:sz w:val="24"/>
          <w:szCs w:val="24"/>
          <w:highlight w:val="none"/>
          <w:lang w:val="en-US" w:eastAsia="zh-CN"/>
        </w:rPr>
        <w:t>临平城组办〔202</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 xml:space="preserve"> 号关于印发《临平区城市管理范围内洁化、市政、亮化、绿化、序化分级分类及考核办法》、临平城组办〔2022〕9 号关于印发《临平区市政绿化亮灯保洁设施养护标准》的通知执行，如上级主管或本区有新文件的，按新文件执行</w:t>
      </w:r>
      <w:r>
        <w:rPr>
          <w:rFonts w:hint="eastAsia" w:ascii="宋体" w:hAnsi="宋体" w:cs="宋体"/>
          <w:color w:val="auto"/>
          <w:kern w:val="0"/>
          <w:sz w:val="24"/>
          <w:szCs w:val="24"/>
          <w:highlight w:val="none"/>
          <w:lang w:val="en-US" w:eastAsia="zh-CN"/>
        </w:rPr>
        <w:t>。</w:t>
      </w:r>
    </w:p>
    <w:p>
      <w:pPr>
        <w:spacing w:line="360" w:lineRule="auto"/>
        <w:outlineLvl w:val="0"/>
        <w:rPr>
          <w:rFonts w:ascii="宋体" w:hAnsi="宋体" w:eastAsia="宋体" w:cs="宋体"/>
          <w:b/>
          <w:bCs/>
          <w:color w:val="auto"/>
          <w:sz w:val="24"/>
          <w:highlight w:val="none"/>
        </w:rPr>
      </w:pPr>
      <w:r>
        <w:rPr>
          <w:rFonts w:hint="eastAsia" w:ascii="宋体" w:hAnsi="宋体" w:eastAsia="宋体" w:cs="宋体"/>
          <w:b/>
          <w:bCs/>
          <w:color w:val="auto"/>
          <w:sz w:val="24"/>
          <w:highlight w:val="none"/>
        </w:rPr>
        <w:t>八、拟投入人员、设施配备最低要求配备表</w:t>
      </w:r>
    </w:p>
    <w:p>
      <w:pPr>
        <w:pStyle w:val="624"/>
        <w:jc w:val="both"/>
        <w:rPr>
          <w:rFonts w:ascii="宋体" w:hAnsi="宋体" w:eastAsia="宋体" w:cs="宋体"/>
          <w:b/>
          <w:bCs/>
          <w:color w:val="auto"/>
          <w:szCs w:val="24"/>
          <w:highlight w:val="none"/>
          <w:lang w:val="en-US"/>
        </w:rPr>
      </w:pPr>
      <w:r>
        <w:rPr>
          <w:rFonts w:hint="eastAsia" w:ascii="宋体" w:hAnsi="宋体" w:eastAsia="宋体" w:cs="仿宋"/>
          <w:color w:val="auto"/>
          <w:highlight w:val="none"/>
        </w:rPr>
        <w:t>▲</w:t>
      </w:r>
      <w:r>
        <w:rPr>
          <w:rFonts w:hint="eastAsia" w:ascii="宋体" w:hAnsi="宋体" w:eastAsia="宋体" w:cs="宋体"/>
          <w:b/>
          <w:bCs/>
          <w:color w:val="auto"/>
          <w:szCs w:val="24"/>
          <w:highlight w:val="none"/>
          <w:lang w:val="en-US"/>
        </w:rPr>
        <w:t>8.1拟投入人员配置表（</w:t>
      </w:r>
      <w:r>
        <w:rPr>
          <w:rFonts w:hint="eastAsia" w:ascii="宋体" w:hAnsi="宋体" w:eastAsia="宋体" w:cs="宋体"/>
          <w:b/>
          <w:color w:val="auto"/>
          <w:highlight w:val="none"/>
        </w:rPr>
        <w:t>响应表中响应即可，</w:t>
      </w:r>
      <w:r>
        <w:rPr>
          <w:rFonts w:ascii="宋体" w:hAnsi="宋体" w:eastAsia="宋体" w:cs="宋体"/>
          <w:b/>
          <w:color w:val="auto"/>
          <w:highlight w:val="none"/>
        </w:rPr>
        <w:t>否则视为不满足</w:t>
      </w:r>
      <w:r>
        <w:rPr>
          <w:rFonts w:hint="eastAsia" w:ascii="宋体" w:hAnsi="宋体" w:eastAsia="宋体" w:cs="宋体"/>
          <w:b/>
          <w:bCs/>
          <w:color w:val="auto"/>
          <w:szCs w:val="24"/>
          <w:highlight w:val="none"/>
          <w:lang w:val="en-US"/>
        </w:rPr>
        <w:t>）</w:t>
      </w:r>
    </w:p>
    <w:p>
      <w:pPr>
        <w:pStyle w:val="624"/>
        <w:jc w:val="both"/>
        <w:rPr>
          <w:rFonts w:ascii="宋体" w:hAnsi="宋体" w:eastAsia="宋体" w:cs="宋体"/>
          <w:b/>
          <w:bCs/>
          <w:color w:val="auto"/>
          <w:szCs w:val="24"/>
          <w:highlight w:val="none"/>
          <w:lang w:val="en-US"/>
        </w:rPr>
      </w:pPr>
    </w:p>
    <w:tbl>
      <w:tblPr>
        <w:tblStyle w:val="70"/>
        <w:tblW w:w="85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55"/>
        <w:gridCol w:w="2865"/>
        <w:gridCol w:w="1648"/>
        <w:gridCol w:w="32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755" w:type="dxa"/>
            <w:vAlign w:val="center"/>
          </w:tcPr>
          <w:p>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2865" w:type="dxa"/>
            <w:vAlign w:val="center"/>
          </w:tcPr>
          <w:p>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人员配备工种</w:t>
            </w:r>
          </w:p>
        </w:tc>
        <w:tc>
          <w:tcPr>
            <w:tcW w:w="1648" w:type="dxa"/>
            <w:vAlign w:val="center"/>
          </w:tcPr>
          <w:p>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数量</w:t>
            </w:r>
          </w:p>
        </w:tc>
        <w:tc>
          <w:tcPr>
            <w:tcW w:w="3252" w:type="dxa"/>
            <w:vAlign w:val="center"/>
          </w:tcPr>
          <w:p>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8520" w:type="dxa"/>
            <w:gridSpan w:val="4"/>
            <w:vAlign w:val="center"/>
          </w:tcPr>
          <w:p>
            <w:pPr>
              <w:jc w:val="center"/>
              <w:rPr>
                <w:rFonts w:ascii="宋体" w:hAnsi="宋体" w:eastAsia="宋体" w:cs="宋体"/>
                <w:b/>
                <w:bCs/>
                <w:color w:val="auto"/>
                <w:sz w:val="24"/>
                <w:szCs w:val="22"/>
                <w:highlight w:val="none"/>
              </w:rPr>
            </w:pPr>
            <w:r>
              <w:rPr>
                <w:rFonts w:hint="eastAsia" w:ascii="宋体" w:hAnsi="宋体" w:eastAsia="宋体" w:cs="宋体"/>
                <w:b/>
                <w:bCs/>
                <w:color w:val="auto"/>
                <w:sz w:val="24"/>
                <w:highlight w:val="none"/>
              </w:rPr>
              <w:t>项目养护人员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755"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2865" w:type="dxa"/>
            <w:vAlign w:val="center"/>
          </w:tcPr>
          <w:p>
            <w:pPr>
              <w:jc w:val="center"/>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管理人员</w:t>
            </w:r>
          </w:p>
        </w:tc>
        <w:tc>
          <w:tcPr>
            <w:tcW w:w="164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1人</w:t>
            </w:r>
          </w:p>
        </w:tc>
        <w:tc>
          <w:tcPr>
            <w:tcW w:w="3252" w:type="dxa"/>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szCs w:val="22"/>
                <w:highlight w:val="none"/>
              </w:rPr>
              <w:t>年龄55周岁以下；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755"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2865" w:type="dxa"/>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保洁员</w:t>
            </w:r>
          </w:p>
        </w:tc>
        <w:tc>
          <w:tcPr>
            <w:tcW w:w="1648" w:type="dxa"/>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8人</w:t>
            </w:r>
          </w:p>
        </w:tc>
        <w:tc>
          <w:tcPr>
            <w:tcW w:w="3252" w:type="dxa"/>
            <w:vAlign w:val="center"/>
          </w:tcPr>
          <w:p>
            <w:pPr>
              <w:jc w:val="both"/>
              <w:rPr>
                <w:rFonts w:ascii="宋体" w:hAnsi="宋体" w:eastAsia="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eastAsia="宋体"/>
                <w:color w:val="auto"/>
                <w:sz w:val="24"/>
                <w:highlight w:val="none"/>
              </w:rPr>
              <w:t>年龄60周岁以下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755"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865"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驾驶员</w:t>
            </w:r>
          </w:p>
        </w:tc>
        <w:tc>
          <w:tcPr>
            <w:tcW w:w="164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2人</w:t>
            </w:r>
          </w:p>
        </w:tc>
        <w:tc>
          <w:tcPr>
            <w:tcW w:w="3252"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年龄55周岁以下；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755"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2865"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机动工</w:t>
            </w:r>
          </w:p>
        </w:tc>
        <w:tc>
          <w:tcPr>
            <w:tcW w:w="164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2人</w:t>
            </w:r>
          </w:p>
        </w:tc>
        <w:tc>
          <w:tcPr>
            <w:tcW w:w="3252"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年龄60周岁以下；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755"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2865"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绿化养护工</w:t>
            </w:r>
          </w:p>
        </w:tc>
        <w:tc>
          <w:tcPr>
            <w:tcW w:w="164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2人</w:t>
            </w:r>
          </w:p>
        </w:tc>
        <w:tc>
          <w:tcPr>
            <w:tcW w:w="3252" w:type="dxa"/>
            <w:tcBorders>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年龄60周岁以下；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3620" w:type="dxa"/>
            <w:gridSpan w:val="2"/>
            <w:tcBorders>
              <w:right w:val="single" w:color="auto" w:sz="4" w:space="0"/>
            </w:tcBorders>
            <w:vAlign w:val="center"/>
          </w:tcPr>
          <w:p>
            <w:pPr>
              <w:ind w:firstLine="480" w:firstLineChars="200"/>
              <w:jc w:val="center"/>
              <w:rPr>
                <w:rFonts w:ascii="宋体" w:hAnsi="宋体" w:eastAsia="宋体" w:cs="宋体"/>
                <w:bCs/>
                <w:color w:val="auto"/>
                <w:sz w:val="24"/>
                <w:szCs w:val="22"/>
                <w:highlight w:val="none"/>
              </w:rPr>
            </w:pPr>
            <w:r>
              <w:rPr>
                <w:rFonts w:hint="eastAsia" w:ascii="宋体" w:hAnsi="宋体" w:eastAsia="宋体" w:cs="宋体"/>
                <w:color w:val="auto"/>
                <w:sz w:val="24"/>
                <w:highlight w:val="none"/>
              </w:rPr>
              <w:t>总合计</w:t>
            </w:r>
          </w:p>
        </w:tc>
        <w:tc>
          <w:tcPr>
            <w:tcW w:w="1648" w:type="dxa"/>
            <w:tcBorders>
              <w:left w:val="single" w:color="auto" w:sz="4" w:space="0"/>
              <w:right w:val="single" w:color="auto" w:sz="4" w:space="0"/>
            </w:tcBorders>
            <w:vAlign w:val="center"/>
          </w:tcPr>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15人</w:t>
            </w:r>
          </w:p>
        </w:tc>
        <w:tc>
          <w:tcPr>
            <w:tcW w:w="3252" w:type="dxa"/>
            <w:tcBorders>
              <w:left w:val="single" w:color="auto" w:sz="4" w:space="0"/>
              <w:right w:val="single" w:color="auto" w:sz="4" w:space="0"/>
            </w:tcBorders>
            <w:vAlign w:val="center"/>
          </w:tcPr>
          <w:p>
            <w:pPr>
              <w:jc w:val="center"/>
              <w:rPr>
                <w:rFonts w:ascii="宋体" w:hAnsi="宋体" w:eastAsia="宋体" w:cs="宋体"/>
                <w:color w:val="auto"/>
                <w:sz w:val="24"/>
                <w:highlight w:val="none"/>
              </w:rPr>
            </w:pPr>
          </w:p>
        </w:tc>
      </w:tr>
    </w:tbl>
    <w:p>
      <w:pPr>
        <w:pStyle w:val="624"/>
        <w:jc w:val="both"/>
        <w:rPr>
          <w:rFonts w:ascii="宋体" w:hAnsi="宋体" w:eastAsia="宋体" w:cs="宋体"/>
          <w:b/>
          <w:bCs/>
          <w:color w:val="auto"/>
          <w:szCs w:val="24"/>
          <w:highlight w:val="none"/>
          <w:lang w:val="en-US"/>
        </w:rPr>
      </w:pPr>
      <w:r>
        <w:rPr>
          <w:rFonts w:hint="eastAsia" w:ascii="宋体" w:hAnsi="宋体" w:eastAsia="宋体" w:cs="宋体"/>
          <w:b/>
          <w:bCs/>
          <w:color w:val="auto"/>
          <w:szCs w:val="24"/>
          <w:highlight w:val="none"/>
          <w:lang w:val="en-US"/>
        </w:rPr>
        <w:t>8.2拟投入最低机械车辆配置表</w:t>
      </w:r>
    </w:p>
    <w:tbl>
      <w:tblPr>
        <w:tblStyle w:val="70"/>
        <w:tblW w:w="859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99"/>
        <w:gridCol w:w="2884"/>
        <w:gridCol w:w="1650"/>
        <w:gridCol w:w="31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899" w:type="dxa"/>
            <w:vAlign w:val="center"/>
          </w:tcPr>
          <w:p>
            <w:pPr>
              <w:jc w:val="center"/>
              <w:rPr>
                <w:rFonts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序号</w:t>
            </w:r>
          </w:p>
        </w:tc>
        <w:tc>
          <w:tcPr>
            <w:tcW w:w="2884" w:type="dxa"/>
            <w:vAlign w:val="center"/>
          </w:tcPr>
          <w:p>
            <w:pPr>
              <w:jc w:val="center"/>
              <w:rPr>
                <w:rFonts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设备设施名称</w:t>
            </w:r>
          </w:p>
        </w:tc>
        <w:tc>
          <w:tcPr>
            <w:tcW w:w="1650" w:type="dxa"/>
            <w:vAlign w:val="center"/>
          </w:tcPr>
          <w:p>
            <w:pPr>
              <w:jc w:val="center"/>
              <w:rPr>
                <w:rFonts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数量</w:t>
            </w:r>
          </w:p>
        </w:tc>
        <w:tc>
          <w:tcPr>
            <w:tcW w:w="3158" w:type="dxa"/>
            <w:vAlign w:val="center"/>
          </w:tcPr>
          <w:p>
            <w:pPr>
              <w:jc w:val="center"/>
              <w:rPr>
                <w:rFonts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899" w:type="dxa"/>
            <w:vAlign w:val="center"/>
          </w:tcPr>
          <w:p>
            <w:pPr>
              <w:jc w:val="center"/>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p>
        </w:tc>
        <w:tc>
          <w:tcPr>
            <w:tcW w:w="2884" w:type="dxa"/>
            <w:vAlign w:val="center"/>
          </w:tcPr>
          <w:p>
            <w:pPr>
              <w:jc w:val="center"/>
              <w:rPr>
                <w:rFonts w:ascii="宋体" w:hAnsi="宋体" w:eastAsia="宋体" w:cs="宋体"/>
                <w:color w:val="auto"/>
                <w:sz w:val="24"/>
                <w:szCs w:val="22"/>
                <w:highlight w:val="none"/>
              </w:rPr>
            </w:pPr>
            <w:r>
              <w:rPr>
                <w:rFonts w:ascii="宋体" w:hAnsi="宋体" w:eastAsia="宋体" w:cs="宋体"/>
                <w:color w:val="auto"/>
                <w:sz w:val="24"/>
                <w:szCs w:val="22"/>
                <w:highlight w:val="none"/>
              </w:rPr>
              <w:t>清洗车</w:t>
            </w:r>
          </w:p>
        </w:tc>
        <w:tc>
          <w:tcPr>
            <w:tcW w:w="1650" w:type="dxa"/>
            <w:vAlign w:val="center"/>
          </w:tcPr>
          <w:p>
            <w:pPr>
              <w:jc w:val="center"/>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p>
        </w:tc>
        <w:tc>
          <w:tcPr>
            <w:tcW w:w="3158" w:type="dxa"/>
            <w:vAlign w:val="center"/>
          </w:tcPr>
          <w:p>
            <w:pPr>
              <w:jc w:val="center"/>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总质量</w:t>
            </w:r>
            <w:r>
              <w:rPr>
                <w:rFonts w:ascii="宋体" w:hAnsi="宋体" w:eastAsia="宋体" w:cs="宋体"/>
                <w:color w:val="auto"/>
                <w:sz w:val="24"/>
                <w:szCs w:val="22"/>
                <w:highlight w:val="none"/>
              </w:rPr>
              <w:t>18吨及以上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899" w:type="dxa"/>
            <w:vAlign w:val="center"/>
          </w:tcPr>
          <w:p>
            <w:pPr>
              <w:jc w:val="center"/>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2</w:t>
            </w:r>
          </w:p>
        </w:tc>
        <w:tc>
          <w:tcPr>
            <w:tcW w:w="2884" w:type="dxa"/>
            <w:vAlign w:val="center"/>
          </w:tcPr>
          <w:p>
            <w:pPr>
              <w:jc w:val="center"/>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洗扫车</w:t>
            </w:r>
          </w:p>
        </w:tc>
        <w:tc>
          <w:tcPr>
            <w:tcW w:w="1650" w:type="dxa"/>
            <w:vAlign w:val="center"/>
          </w:tcPr>
          <w:p>
            <w:pPr>
              <w:jc w:val="center"/>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p>
        </w:tc>
        <w:tc>
          <w:tcPr>
            <w:tcW w:w="3158" w:type="dxa"/>
            <w:vAlign w:val="center"/>
          </w:tcPr>
          <w:p>
            <w:pPr>
              <w:jc w:val="center"/>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总质量</w:t>
            </w:r>
            <w:r>
              <w:rPr>
                <w:rFonts w:ascii="宋体" w:hAnsi="宋体" w:eastAsia="宋体" w:cs="宋体"/>
                <w:color w:val="auto"/>
                <w:sz w:val="24"/>
                <w:szCs w:val="22"/>
                <w:highlight w:val="none"/>
              </w:rPr>
              <w:t>18吨及以上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899" w:type="dxa"/>
            <w:vAlign w:val="center"/>
          </w:tcPr>
          <w:p>
            <w:pPr>
              <w:jc w:val="center"/>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3</w:t>
            </w:r>
          </w:p>
        </w:tc>
        <w:tc>
          <w:tcPr>
            <w:tcW w:w="2884" w:type="dxa"/>
            <w:vAlign w:val="center"/>
          </w:tcPr>
          <w:p>
            <w:pPr>
              <w:jc w:val="center"/>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压缩式垃圾车</w:t>
            </w:r>
          </w:p>
        </w:tc>
        <w:tc>
          <w:tcPr>
            <w:tcW w:w="1650" w:type="dxa"/>
            <w:vAlign w:val="center"/>
          </w:tcPr>
          <w:p>
            <w:pPr>
              <w:jc w:val="center"/>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p>
        </w:tc>
        <w:tc>
          <w:tcPr>
            <w:tcW w:w="3158" w:type="dxa"/>
            <w:vAlign w:val="center"/>
          </w:tcPr>
          <w:p>
            <w:pPr>
              <w:jc w:val="center"/>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总质量</w:t>
            </w:r>
            <w:r>
              <w:rPr>
                <w:rFonts w:ascii="宋体" w:hAnsi="宋体" w:eastAsia="宋体" w:cs="宋体"/>
                <w:color w:val="auto"/>
                <w:sz w:val="24"/>
                <w:szCs w:val="22"/>
                <w:highlight w:val="none"/>
              </w:rPr>
              <w:t>1</w:t>
            </w:r>
            <w:r>
              <w:rPr>
                <w:rFonts w:hint="eastAsia" w:ascii="宋体" w:hAnsi="宋体" w:eastAsia="宋体" w:cs="宋体"/>
                <w:color w:val="auto"/>
                <w:sz w:val="24"/>
                <w:szCs w:val="22"/>
                <w:highlight w:val="none"/>
              </w:rPr>
              <w:t>8</w:t>
            </w:r>
            <w:r>
              <w:rPr>
                <w:rFonts w:ascii="宋体" w:hAnsi="宋体" w:eastAsia="宋体" w:cs="宋体"/>
                <w:color w:val="auto"/>
                <w:sz w:val="24"/>
                <w:szCs w:val="22"/>
                <w:highlight w:val="none"/>
              </w:rPr>
              <w:t>吨及以上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899" w:type="dxa"/>
            <w:vAlign w:val="center"/>
          </w:tcPr>
          <w:p>
            <w:pPr>
              <w:jc w:val="center"/>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4</w:t>
            </w:r>
          </w:p>
        </w:tc>
        <w:tc>
          <w:tcPr>
            <w:tcW w:w="2884" w:type="dxa"/>
            <w:vAlign w:val="center"/>
          </w:tcPr>
          <w:p>
            <w:pPr>
              <w:jc w:val="center"/>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轻型货车</w:t>
            </w:r>
          </w:p>
        </w:tc>
        <w:tc>
          <w:tcPr>
            <w:tcW w:w="1650" w:type="dxa"/>
            <w:vAlign w:val="center"/>
          </w:tcPr>
          <w:p>
            <w:pPr>
              <w:jc w:val="center"/>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p>
        </w:tc>
        <w:tc>
          <w:tcPr>
            <w:tcW w:w="3158" w:type="dxa"/>
            <w:vAlign w:val="center"/>
          </w:tcPr>
          <w:p>
            <w:pPr>
              <w:jc w:val="center"/>
              <w:rPr>
                <w:rFonts w:ascii="宋体" w:hAnsi="宋体" w:eastAsia="宋体" w:cs="宋体"/>
                <w:color w:val="auto"/>
                <w:sz w:val="24"/>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8591" w:type="dxa"/>
            <w:gridSpan w:val="4"/>
            <w:vAlign w:val="center"/>
          </w:tcPr>
          <w:p>
            <w:pPr>
              <w:rPr>
                <w:rFonts w:ascii="宋体" w:hAnsi="宋体" w:eastAsia="宋体" w:cs="宋体"/>
                <w:color w:val="auto"/>
                <w:sz w:val="24"/>
                <w:highlight w:val="none"/>
              </w:rPr>
            </w:pPr>
            <w:r>
              <w:rPr>
                <w:rFonts w:hint="eastAsia" w:ascii="宋体" w:hAnsi="宋体" w:eastAsia="宋体" w:cs="宋体"/>
                <w:color w:val="auto"/>
                <w:sz w:val="24"/>
                <w:szCs w:val="22"/>
                <w:highlight w:val="none"/>
              </w:rPr>
              <w:t>注：其他巡查等相关车辆自备。</w:t>
            </w:r>
          </w:p>
        </w:tc>
      </w:tr>
    </w:tbl>
    <w:p>
      <w:pPr>
        <w:widowControl/>
        <w:spacing w:line="360" w:lineRule="auto"/>
        <w:rPr>
          <w:rFonts w:ascii="宋体" w:hAnsi="宋体" w:eastAsia="宋体" w:cs="宋体"/>
          <w:b/>
          <w:bCs/>
          <w:color w:val="auto"/>
          <w:sz w:val="24"/>
          <w:highlight w:val="none"/>
        </w:rPr>
      </w:pPr>
      <w:r>
        <w:rPr>
          <w:rFonts w:hint="eastAsia" w:ascii="宋体" w:hAnsi="宋体" w:eastAsia="宋体" w:cs="宋体"/>
          <w:b/>
          <w:bCs/>
          <w:color w:val="auto"/>
          <w:sz w:val="24"/>
          <w:highlight w:val="none"/>
        </w:rPr>
        <w:t>九、其他要求</w:t>
      </w:r>
    </w:p>
    <w:p>
      <w:pPr>
        <w:widowControl/>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1、承包方应建立完善的管理制度及《质量考核奖惩规定》；并建立健全的管理制度及档案资料（包括对树种、数量、更换等情况及时记录入档）；</w:t>
      </w:r>
    </w:p>
    <w:p>
      <w:pPr>
        <w:widowControl/>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2、乙方必须信守承诺，认真落实具有相应的技术固定养护人员，必须配备公共绿地专职保洁及养护人员。</w:t>
      </w:r>
    </w:p>
    <w:p>
      <w:pPr>
        <w:widowControl/>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承包方应认真落实具有相应技术的固定养护人员；每位上岗员工在上岗工作前，应接受过绿化技术普及培训，安全教育，包括道路交通安全教育，机械操作规程教育，消防教育等，明确每项养护工作的质量要求，并按规定操作；</w:t>
      </w:r>
    </w:p>
    <w:p>
      <w:pPr>
        <w:widowControl/>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4、养护人员必须挂牌上岗，统一穿着工作服，工作鞋，不能穿拖鞋上岗操作；</w:t>
      </w:r>
    </w:p>
    <w:p>
      <w:pPr>
        <w:widowControl/>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5、承包方应制定各类应急措施，如发生车损、土方倾倒、树木被台风吹倒等情况，在半小时内赶到现场，拍照后汇报采购方，并立即处置现场，尽快恢复绿化面貌；</w:t>
      </w:r>
    </w:p>
    <w:p>
      <w:pPr>
        <w:widowControl/>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6、每天巡视养护路段，遇有车树木倒伏等突发情况，及时赶到现场作业，尽快恢复绿化面貌；</w:t>
      </w:r>
    </w:p>
    <w:p>
      <w:pPr>
        <w:widowControl/>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7、各类农药专门放置，并安排专人保管，专人使用；</w:t>
      </w:r>
    </w:p>
    <w:p>
      <w:pPr>
        <w:widowControl/>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8、机械设备的操作者，必须持有专门的上岗证书，不得擅自违章操作；</w:t>
      </w:r>
    </w:p>
    <w:p>
      <w:pPr>
        <w:widowControl/>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9、 制定安全生产奖罚制度，对违反制度的工作人员，根据情节轻重予以教育和处罚；</w:t>
      </w:r>
    </w:p>
    <w:p>
      <w:pPr>
        <w:widowControl/>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10、实行挂牌施工，标明施工范围、内容、开竣工日期、施工单位、项目经理、监督电话、牌子置于施工范围明显处，以便监督；开展文明施工，职业道德教育，做到无野蛮施工，无违章施工和无重大安全伤亡事故；</w:t>
      </w:r>
    </w:p>
    <w:p>
      <w:pPr>
        <w:widowControl/>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11、施工现场的材料堆放整齐有序，施工结束后做到工完场地清，如割完草皮后及时将草屑清理干净；</w:t>
      </w:r>
    </w:p>
    <w:p>
      <w:pPr>
        <w:widowControl/>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12、水、电的接入及费用、人员食宿、安全等均由承包单位自行负责解决，包含在投标总价中；</w:t>
      </w:r>
    </w:p>
    <w:p>
      <w:pPr>
        <w:widowControl/>
        <w:spacing w:line="360" w:lineRule="auto"/>
        <w:ind w:firstLine="480" w:firstLineChars="200"/>
        <w:rPr>
          <w:rFonts w:ascii="宋体" w:hAnsi="宋体" w:eastAsia="宋体" w:cs="宋体"/>
          <w:b/>
          <w:color w:val="auto"/>
          <w:kern w:val="0"/>
          <w:highlight w:val="none"/>
        </w:rPr>
      </w:pPr>
      <w:r>
        <w:rPr>
          <w:rFonts w:hint="eastAsia" w:ascii="宋体" w:hAnsi="宋体" w:eastAsia="宋体" w:cs="宋体"/>
          <w:color w:val="auto"/>
          <w:sz w:val="24"/>
          <w:highlight w:val="none"/>
        </w:rPr>
        <w:t>13、在合同执行期内，投标人应遵守法律法规及其他有关规定，并接受采购单位及有关部门的监督、检查和管理。</w:t>
      </w:r>
    </w:p>
    <w:p>
      <w:pPr>
        <w:pStyle w:val="27"/>
        <w:ind w:firstLine="482"/>
        <w:rPr>
          <w:rFonts w:hint="eastAsia" w:cs="宋体"/>
          <w:b/>
          <w:color w:val="auto"/>
          <w:kern w:val="0"/>
          <w:highlight w:val="none"/>
          <w:lang w:val="en-US" w:eastAsia="zh-CN"/>
        </w:rPr>
      </w:pPr>
      <w:r>
        <w:rPr>
          <w:rFonts w:hint="eastAsia" w:ascii="宋体" w:hAnsi="宋体" w:eastAsia="宋体" w:cs="宋体"/>
          <w:b/>
          <w:color w:val="auto"/>
          <w:kern w:val="0"/>
          <w:highlight w:val="none"/>
        </w:rPr>
        <w:t xml:space="preserve">  十、</w:t>
      </w:r>
      <w:r>
        <w:rPr>
          <w:rFonts w:hint="eastAsia" w:cs="宋体"/>
          <w:b/>
          <w:color w:val="auto"/>
          <w:kern w:val="0"/>
          <w:highlight w:val="none"/>
          <w:lang w:val="en-US" w:eastAsia="zh-CN"/>
        </w:rPr>
        <w:t>考核奖惩</w:t>
      </w:r>
    </w:p>
    <w:p>
      <w:pPr>
        <w:pStyle w:val="28"/>
        <w:rPr>
          <w:color w:val="auto"/>
          <w:highlight w:val="none"/>
          <w:lang w:val="en-US"/>
        </w:rPr>
      </w:pPr>
    </w:p>
    <w:p>
      <w:pPr>
        <w:widowControl/>
        <w:spacing w:line="360" w:lineRule="auto"/>
        <w:ind w:firstLine="480" w:firstLineChars="200"/>
        <w:outlineLvl w:val="3"/>
        <w:rPr>
          <w:rFonts w:hint="eastAsia" w:ascii="宋体" w:hAnsi="宋体" w:eastAsia="宋体" w:cs="宋体"/>
          <w:color w:val="auto"/>
          <w:kern w:val="0"/>
          <w:sz w:val="24"/>
          <w:szCs w:val="24"/>
          <w:highlight w:val="none"/>
        </w:rPr>
      </w:pPr>
      <w:r>
        <w:rPr>
          <w:rFonts w:hint="eastAsia" w:ascii="宋体" w:hAnsi="宋体" w:eastAsia="宋体" w:cs="宋体"/>
          <w:b w:val="0"/>
          <w:bCs/>
          <w:color w:val="auto"/>
          <w:sz w:val="24"/>
          <w:szCs w:val="24"/>
          <w:highlight w:val="none"/>
        </w:rPr>
        <w:t>街道每月由甲方召集考核组进行4次月度现场考</w:t>
      </w:r>
      <w:r>
        <w:rPr>
          <w:rFonts w:hint="eastAsia" w:ascii="宋体" w:hAnsi="宋体" w:eastAsia="宋体" w:cs="宋体"/>
          <w:color w:val="auto"/>
          <w:sz w:val="24"/>
          <w:szCs w:val="24"/>
          <w:highlight w:val="none"/>
        </w:rPr>
        <w:t>核，1次明考,3次暗考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根据考核办法进行考核奖惩</w:t>
      </w:r>
      <w:r>
        <w:rPr>
          <w:rFonts w:hint="eastAsia" w:ascii="宋体" w:hAnsi="宋体" w:eastAsia="宋体" w:cs="宋体"/>
          <w:color w:val="auto"/>
          <w:kern w:val="0"/>
          <w:sz w:val="24"/>
          <w:szCs w:val="24"/>
          <w:highlight w:val="none"/>
          <w:lang w:eastAsia="zh-CN"/>
        </w:rPr>
        <w:t>，依据临平城组办〔2023〕2号关于印发《临平区城市管理范围内洁化、市政、亮化、绿化、序化分级分类及考核办法》、临平城组办〔2022〕9 号关于印发《临平区市政绿化亮灯保洁设施养护标准》的通知执行，如上级主管或本区有新文件的，按新文件执行</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考核办法详见后。</w:t>
      </w:r>
    </w:p>
    <w:p>
      <w:pPr>
        <w:pStyle w:val="94"/>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（一）</w:t>
      </w:r>
      <w:r>
        <w:rPr>
          <w:rFonts w:hint="eastAsia" w:ascii="宋体" w:hAnsi="宋体" w:eastAsia="宋体" w:cs="宋体"/>
          <w:b/>
          <w:bCs/>
          <w:color w:val="auto"/>
          <w:kern w:val="0"/>
          <w:sz w:val="21"/>
          <w:szCs w:val="21"/>
          <w:highlight w:val="none"/>
          <w:lang w:val="en-US" w:eastAsia="zh-CN" w:bidi="ar-SA"/>
        </w:rPr>
        <w:t>日常考核扣款</w:t>
      </w:r>
    </w:p>
    <w:p>
      <w:pPr>
        <w:pStyle w:val="94"/>
        <w:snapToGri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1.根据市、区级检查交办的保洁、绿化行业类问题进行扣款，市级</w:t>
      </w:r>
      <w:r>
        <w:rPr>
          <w:rFonts w:hint="eastAsia" w:ascii="宋体" w:hAnsi="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000元/每件，区级</w:t>
      </w: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00元/每件；</w:t>
      </w:r>
    </w:p>
    <w:p>
      <w:pPr>
        <w:pStyle w:val="9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2.根据区城市管理领导小组办公室每月开展的养护项目“红黑榜”评比，黑榜标段每次扣款1.5万元；</w:t>
      </w:r>
      <w:r>
        <w:rPr>
          <w:rFonts w:hint="eastAsia" w:ascii="宋体" w:hAnsi="宋体" w:eastAsia="宋体" w:cs="宋体"/>
          <w:color w:val="auto"/>
          <w:sz w:val="24"/>
          <w:szCs w:val="24"/>
          <w:highlight w:val="none"/>
          <w:lang w:val="en-US" w:eastAsia="zh-CN"/>
        </w:rPr>
        <w:t xml:space="preserve">  </w:t>
      </w:r>
    </w:p>
    <w:p>
      <w:pPr>
        <w:spacing w:line="3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3.总分成绩100分,每分扣</w:t>
      </w:r>
      <w:r>
        <w:rPr>
          <w:rFonts w:hint="eastAsia" w:ascii="宋体" w:hAnsi="宋体" w:cs="宋体"/>
          <w:color w:val="auto"/>
          <w:sz w:val="24"/>
          <w:szCs w:val="24"/>
          <w:highlight w:val="none"/>
          <w:lang w:val="en-US" w:eastAsia="zh-CN"/>
        </w:rPr>
        <w:t>500</w:t>
      </w:r>
      <w:r>
        <w:rPr>
          <w:rFonts w:hint="eastAsia" w:ascii="宋体" w:hAnsi="宋体" w:eastAsia="宋体" w:cs="宋体"/>
          <w:color w:val="auto"/>
          <w:sz w:val="24"/>
          <w:szCs w:val="24"/>
          <w:highlight w:val="none"/>
        </w:rPr>
        <w:t>元，每周考核1次，每月考核4次，最终累计到季度款结算</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每项扣分不超过项目的分值，分数扣完为止</w:t>
      </w:r>
      <w:r>
        <w:rPr>
          <w:rFonts w:hint="eastAsia" w:ascii="宋体" w:hAnsi="宋体" w:eastAsia="宋体" w:cs="宋体"/>
          <w:color w:val="auto"/>
          <w:sz w:val="24"/>
          <w:szCs w:val="24"/>
          <w:highlight w:val="none"/>
          <w:lang w:eastAsia="zh-CN"/>
        </w:rPr>
        <w:t>。</w:t>
      </w:r>
    </w:p>
    <w:p>
      <w:pPr>
        <w:pStyle w:val="94"/>
        <w:snapToGrid w:val="0"/>
        <w:spacing w:line="360" w:lineRule="auto"/>
        <w:rPr>
          <w:rFonts w:hint="eastAsia" w:ascii="宋体" w:hAnsi="宋体" w:eastAsia="宋体" w:cs="宋体"/>
          <w:b/>
          <w:bCs/>
          <w:color w:val="auto"/>
          <w:kern w:val="0"/>
          <w:sz w:val="24"/>
          <w:szCs w:val="24"/>
          <w:highlight w:val="none"/>
          <w:lang w:val="en-US" w:eastAsia="zh-CN" w:bidi="ar-SA"/>
        </w:rPr>
      </w:pPr>
    </w:p>
    <w:p>
      <w:pPr>
        <w:pStyle w:val="94"/>
        <w:snapToGrid w:val="0"/>
        <w:spacing w:line="360" w:lineRule="auto"/>
        <w:ind w:firstLine="482" w:firstLineChars="200"/>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（二）</w:t>
      </w:r>
      <w:r>
        <w:rPr>
          <w:rFonts w:hint="eastAsia" w:ascii="宋体" w:hAnsi="宋体" w:eastAsia="宋体" w:cs="宋体"/>
          <w:b/>
          <w:bCs/>
          <w:color w:val="auto"/>
          <w:kern w:val="0"/>
          <w:sz w:val="24"/>
          <w:szCs w:val="24"/>
          <w:highlight w:val="none"/>
          <w:lang w:val="en-US" w:eastAsia="zh-CN" w:bidi="ar-SA"/>
        </w:rPr>
        <w:t>合同履约扣款</w:t>
      </w:r>
    </w:p>
    <w:p>
      <w:pPr>
        <w:pStyle w:val="94"/>
        <w:snapToGrid w:val="0"/>
        <w:spacing w:line="360" w:lineRule="auto"/>
        <w:ind w:firstLine="480" w:firstLineChars="200"/>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在日常养护过程中，经查实作业人员、作业设备未达到投标文件约定的，人员每少1%或设备每少1台的应扣除总合同价的1%；作业遍次未达到要求的，每次扣0.5万元</w:t>
      </w:r>
      <w:r>
        <w:rPr>
          <w:rFonts w:hint="eastAsia" w:ascii="宋体" w:hAnsi="宋体" w:cs="宋体"/>
          <w:color w:val="auto"/>
          <w:kern w:val="0"/>
          <w:sz w:val="24"/>
          <w:szCs w:val="24"/>
          <w:highlight w:val="none"/>
          <w:lang w:val="en-US" w:eastAsia="zh-CN" w:bidi="ar-SA"/>
        </w:rPr>
        <w:t>；人员聚集聊天的每次扣0.2万元。</w:t>
      </w:r>
    </w:p>
    <w:p>
      <w:pPr>
        <w:pStyle w:val="94"/>
        <w:snapToGrid w:val="0"/>
        <w:spacing w:line="360" w:lineRule="auto"/>
        <w:ind w:firstLine="482" w:firstLineChars="200"/>
        <w:rPr>
          <w:rFonts w:hint="eastAsia" w:ascii="宋体" w:hAnsi="宋体" w:cs="宋体"/>
          <w:b/>
          <w:bCs/>
          <w:color w:val="auto"/>
          <w:kern w:val="0"/>
          <w:sz w:val="24"/>
          <w:szCs w:val="24"/>
          <w:highlight w:val="none"/>
          <w:lang w:val="en-US" w:eastAsia="zh-CN" w:bidi="ar-SA"/>
        </w:rPr>
      </w:pPr>
    </w:p>
    <w:p>
      <w:pPr>
        <w:pStyle w:val="94"/>
        <w:snapToGrid w:val="0"/>
        <w:spacing w:line="360" w:lineRule="auto"/>
        <w:ind w:firstLine="482" w:firstLineChars="200"/>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（三）</w:t>
      </w:r>
      <w:r>
        <w:rPr>
          <w:rFonts w:hint="eastAsia" w:ascii="宋体" w:hAnsi="宋体" w:eastAsia="宋体" w:cs="宋体"/>
          <w:b/>
          <w:bCs/>
          <w:color w:val="auto"/>
          <w:kern w:val="0"/>
          <w:sz w:val="24"/>
          <w:szCs w:val="24"/>
          <w:highlight w:val="none"/>
          <w:lang w:val="en-US" w:eastAsia="zh-CN" w:bidi="ar-SA"/>
        </w:rPr>
        <w:t>清退机制</w:t>
      </w:r>
    </w:p>
    <w:p>
      <w:pPr>
        <w:pStyle w:val="25"/>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color w:val="auto"/>
          <w:kern w:val="0"/>
          <w:sz w:val="24"/>
          <w:szCs w:val="24"/>
          <w:highlight w:val="none"/>
          <w:lang w:val="en-US" w:eastAsia="zh-CN" w:bidi="ar-SA"/>
        </w:rPr>
        <w:t>对挂靠、串标、分包等扰乱市场、影响管养水平的严重违规行为，取消养护管理资格，本养护合同总终止</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sz w:val="24"/>
          <w:szCs w:val="24"/>
          <w:highlight w:val="none"/>
          <w:lang w:eastAsia="zh-CN"/>
        </w:rPr>
        <w:t>在以上考核中</w:t>
      </w:r>
      <w:r>
        <w:rPr>
          <w:rFonts w:hint="eastAsia" w:ascii="宋体" w:hAnsi="宋体" w:eastAsia="宋体" w:cs="宋体"/>
          <w:color w:val="auto"/>
          <w:sz w:val="24"/>
          <w:szCs w:val="24"/>
          <w:highlight w:val="none"/>
        </w:rPr>
        <w:t>有最差的、</w:t>
      </w:r>
      <w:r>
        <w:rPr>
          <w:rFonts w:hint="eastAsia" w:ascii="宋体" w:hAnsi="宋体" w:eastAsia="宋体" w:cs="宋体"/>
          <w:color w:val="auto"/>
          <w:sz w:val="24"/>
          <w:szCs w:val="24"/>
          <w:highlight w:val="none"/>
          <w:lang w:eastAsia="zh-CN"/>
        </w:rPr>
        <w:t>排名后三位的、</w:t>
      </w:r>
      <w:r>
        <w:rPr>
          <w:rFonts w:hint="eastAsia" w:ascii="宋体" w:hAnsi="宋体" w:eastAsia="宋体" w:cs="宋体"/>
          <w:color w:val="auto"/>
          <w:sz w:val="24"/>
          <w:szCs w:val="24"/>
          <w:highlight w:val="none"/>
        </w:rPr>
        <w:t>红黑榜评比中列入黑榜的，警示约谈企业负责人；3次以上进入黑榜</w:t>
      </w:r>
      <w:r>
        <w:rPr>
          <w:rFonts w:hint="eastAsia" w:ascii="宋体" w:hAnsi="宋体" w:eastAsia="宋体" w:cs="宋体"/>
          <w:color w:val="auto"/>
          <w:sz w:val="24"/>
          <w:szCs w:val="24"/>
          <w:highlight w:val="none"/>
          <w:lang w:eastAsia="zh-CN"/>
        </w:rPr>
        <w:t>或末三位</w:t>
      </w:r>
      <w:r>
        <w:rPr>
          <w:rFonts w:hint="eastAsia" w:ascii="宋体" w:hAnsi="宋体" w:eastAsia="宋体" w:cs="宋体"/>
          <w:color w:val="auto"/>
          <w:sz w:val="24"/>
          <w:szCs w:val="24"/>
          <w:highlight w:val="none"/>
        </w:rPr>
        <w:t>或3次警示以上的，则解除合同，并没收履约保证金；合同解除之日起两年内不得进入本单位采购服务市场。</w:t>
      </w:r>
    </w:p>
    <w:p>
      <w:pPr>
        <w:rPr>
          <w:rFonts w:ascii="宋体" w:hAnsi="宋体" w:eastAsia="宋体" w:cs="宋体"/>
          <w:b/>
          <w:bCs/>
          <w:color w:val="auto"/>
          <w:sz w:val="24"/>
          <w:highlight w:val="none"/>
        </w:rPr>
      </w:pPr>
      <w:r>
        <w:rPr>
          <w:rFonts w:ascii="宋体" w:hAnsi="宋体" w:eastAsia="宋体" w:cs="宋体"/>
          <w:b/>
          <w:bCs/>
          <w:color w:val="auto"/>
          <w:sz w:val="24"/>
          <w:highlight w:val="none"/>
        </w:rPr>
        <w:br w:type="page"/>
      </w:r>
    </w:p>
    <w:p>
      <w:pPr>
        <w:spacing w:line="360" w:lineRule="auto"/>
        <w:rPr>
          <w:rFonts w:ascii="宋体" w:hAnsi="宋体" w:eastAsia="宋体" w:cs="宋体"/>
          <w:b/>
          <w:bCs/>
          <w:color w:val="auto"/>
          <w:sz w:val="24"/>
          <w:highlight w:val="none"/>
        </w:rPr>
      </w:pPr>
      <w:r>
        <w:rPr>
          <w:rFonts w:hint="eastAsia" w:ascii="宋体" w:hAnsi="宋体" w:eastAsia="宋体" w:cs="宋体"/>
          <w:b/>
          <w:bCs/>
          <w:color w:val="auto"/>
          <w:sz w:val="24"/>
          <w:highlight w:val="none"/>
        </w:rPr>
        <w:t>附考核细则：</w:t>
      </w:r>
    </w:p>
    <w:p>
      <w:pPr>
        <w:numPr>
          <w:ilvl w:val="0"/>
          <w:numId w:val="0"/>
        </w:numPr>
        <w:wordWrap/>
        <w:spacing w:line="570" w:lineRule="exact"/>
        <w:ind w:right="0"/>
        <w:jc w:val="center"/>
        <w:outlineLvl w:val="9"/>
        <w:rPr>
          <w:rFonts w:hint="eastAsia" w:ascii="方正小标宋_GBK" w:hAnsi="宋体" w:eastAsia="方正小标宋_GBK" w:cs="宋体"/>
          <w:b w:val="0"/>
          <w:bCs/>
          <w:color w:val="auto"/>
          <w:sz w:val="32"/>
          <w:szCs w:val="32"/>
          <w:highlight w:val="none"/>
          <w:lang w:eastAsia="zh-CN"/>
        </w:rPr>
      </w:pPr>
      <w:r>
        <w:rPr>
          <w:rFonts w:hint="eastAsia" w:ascii="方正小标宋_GBK" w:hAnsi="宋体" w:eastAsia="方正小标宋_GBK" w:cs="宋体"/>
          <w:b w:val="0"/>
          <w:bCs/>
          <w:color w:val="auto"/>
          <w:sz w:val="32"/>
          <w:szCs w:val="32"/>
          <w:highlight w:val="none"/>
          <w:lang w:eastAsia="zh-CN"/>
        </w:rPr>
        <w:t>临平区洁</w:t>
      </w:r>
      <w:r>
        <w:rPr>
          <w:rFonts w:hint="eastAsia" w:ascii="方正小标宋_GBK" w:hAnsi="宋体" w:eastAsia="方正小标宋_GBK" w:cs="宋体"/>
          <w:b w:val="0"/>
          <w:bCs/>
          <w:color w:val="auto"/>
          <w:sz w:val="32"/>
          <w:szCs w:val="32"/>
          <w:highlight w:val="none"/>
          <w:lang w:val="en-US" w:eastAsia="zh-CN"/>
        </w:rPr>
        <w:t>化考核</w:t>
      </w:r>
      <w:r>
        <w:rPr>
          <w:rFonts w:hint="eastAsia" w:ascii="方正小标宋_GBK" w:hAnsi="宋体" w:eastAsia="方正小标宋_GBK" w:cs="宋体"/>
          <w:b w:val="0"/>
          <w:bCs/>
          <w:color w:val="auto"/>
          <w:sz w:val="32"/>
          <w:szCs w:val="32"/>
          <w:highlight w:val="none"/>
          <w:lang w:eastAsia="zh-CN"/>
        </w:rPr>
        <w:t>评分细则（</w:t>
      </w:r>
      <w:r>
        <w:rPr>
          <w:rFonts w:hint="eastAsia" w:ascii="方正小标宋_GBK" w:hAnsi="宋体" w:eastAsia="方正小标宋_GBK" w:cs="宋体"/>
          <w:b w:val="0"/>
          <w:bCs/>
          <w:color w:val="auto"/>
          <w:sz w:val="32"/>
          <w:szCs w:val="32"/>
          <w:highlight w:val="none"/>
          <w:lang w:val="en-US" w:eastAsia="zh-CN"/>
        </w:rPr>
        <w:t>参照</w:t>
      </w:r>
      <w:r>
        <w:rPr>
          <w:rFonts w:hint="eastAsia" w:ascii="方正小标宋_GBK" w:hAnsi="宋体" w:eastAsia="方正小标宋_GBK" w:cs="宋体"/>
          <w:b w:val="0"/>
          <w:bCs/>
          <w:color w:val="auto"/>
          <w:sz w:val="32"/>
          <w:szCs w:val="32"/>
          <w:highlight w:val="none"/>
          <w:lang w:eastAsia="zh-CN"/>
        </w:rPr>
        <w:t>）</w:t>
      </w:r>
    </w:p>
    <w:tbl>
      <w:tblPr>
        <w:tblStyle w:val="70"/>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89"/>
        <w:gridCol w:w="789"/>
        <w:gridCol w:w="6111"/>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1" w:hRule="exact"/>
          <w:tblHeader/>
          <w:jc w:val="center"/>
        </w:trPr>
        <w:tc>
          <w:tcPr>
            <w:tcW w:w="8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黑体" w:hAnsi="黑体" w:eastAsia="黑体" w:cs="黑体"/>
                <w:b w:val="0"/>
                <w:bCs/>
                <w:color w:val="auto"/>
                <w:kern w:val="0"/>
                <w:sz w:val="24"/>
                <w:szCs w:val="24"/>
                <w:highlight w:val="none"/>
                <w:lang w:eastAsia="zh-CN"/>
              </w:rPr>
            </w:pPr>
            <w:r>
              <w:rPr>
                <w:rFonts w:hint="eastAsia" w:ascii="黑体" w:hAnsi="黑体" w:eastAsia="黑体" w:cs="黑体"/>
                <w:b w:val="0"/>
                <w:bCs/>
                <w:color w:val="auto"/>
                <w:kern w:val="0"/>
                <w:sz w:val="24"/>
                <w:szCs w:val="24"/>
                <w:highlight w:val="none"/>
                <w:lang w:eastAsia="zh-CN"/>
              </w:rPr>
              <w:t>项目</w:t>
            </w: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黑体" w:hAnsi="黑体" w:eastAsia="黑体" w:cs="黑体"/>
                <w:b w:val="0"/>
                <w:bCs/>
                <w:color w:val="auto"/>
                <w:kern w:val="0"/>
                <w:sz w:val="24"/>
                <w:szCs w:val="24"/>
                <w:highlight w:val="none"/>
                <w:lang w:eastAsia="zh-CN"/>
              </w:rPr>
            </w:pPr>
            <w:r>
              <w:rPr>
                <w:rFonts w:hint="eastAsia" w:ascii="黑体" w:hAnsi="黑体" w:eastAsia="黑体" w:cs="黑体"/>
                <w:b w:val="0"/>
                <w:bCs/>
                <w:color w:val="auto"/>
                <w:kern w:val="0"/>
                <w:sz w:val="24"/>
                <w:szCs w:val="24"/>
                <w:highlight w:val="none"/>
                <w:lang w:eastAsia="zh-CN"/>
              </w:rPr>
              <w:t>序号</w:t>
            </w:r>
          </w:p>
        </w:tc>
        <w:tc>
          <w:tcPr>
            <w:tcW w:w="6111"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黑体" w:hAnsi="黑体" w:eastAsia="黑体" w:cs="黑体"/>
                <w:b w:val="0"/>
                <w:bCs/>
                <w:color w:val="auto"/>
                <w:kern w:val="0"/>
                <w:sz w:val="24"/>
                <w:szCs w:val="24"/>
                <w:highlight w:val="none"/>
              </w:rPr>
            </w:pPr>
            <w:r>
              <w:rPr>
                <w:rFonts w:hint="eastAsia" w:ascii="黑体" w:hAnsi="黑体" w:eastAsia="黑体" w:cs="黑体"/>
                <w:b w:val="0"/>
                <w:bCs/>
                <w:color w:val="auto"/>
                <w:kern w:val="0"/>
                <w:sz w:val="24"/>
                <w:szCs w:val="24"/>
                <w:highlight w:val="none"/>
                <w:lang w:eastAsia="zh-CN"/>
              </w:rPr>
              <w:t>评分细则</w:t>
            </w:r>
          </w:p>
        </w:tc>
        <w:tc>
          <w:tcPr>
            <w:tcW w:w="1349" w:type="dxa"/>
            <w:vAlign w:val="center"/>
          </w:tcPr>
          <w:p>
            <w:pPr>
              <w:wordWrap/>
              <w:adjustRightInd/>
              <w:snapToGrid/>
              <w:spacing w:line="240" w:lineRule="auto"/>
              <w:ind w:left="0" w:leftChars="0" w:right="0" w:firstLine="0" w:firstLineChars="0"/>
              <w:jc w:val="center"/>
              <w:outlineLvl w:val="9"/>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考核</w:t>
            </w:r>
          </w:p>
          <w:p>
            <w:pPr>
              <w:widowControl/>
              <w:wordWrap/>
              <w:adjustRightInd/>
              <w:snapToGrid/>
              <w:spacing w:line="240" w:lineRule="auto"/>
              <w:ind w:left="0" w:leftChars="0" w:right="0" w:firstLine="0" w:firstLineChars="0"/>
              <w:jc w:val="center"/>
              <w:textAlignment w:val="center"/>
              <w:outlineLvl w:val="9"/>
              <w:rPr>
                <w:rFonts w:hint="eastAsia" w:ascii="黑体" w:hAnsi="黑体" w:eastAsia="黑体" w:cs="黑体"/>
                <w:b w:val="0"/>
                <w:bCs/>
                <w:color w:val="auto"/>
                <w:kern w:val="0"/>
                <w:sz w:val="24"/>
                <w:szCs w:val="24"/>
                <w:highlight w:val="none"/>
              </w:rPr>
            </w:pPr>
            <w:r>
              <w:rPr>
                <w:rFonts w:hint="eastAsia" w:ascii="黑体" w:hAnsi="黑体" w:eastAsia="黑体" w:cs="黑体"/>
                <w:b w:val="0"/>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restart"/>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日常养护（</w:t>
            </w:r>
            <w:r>
              <w:rPr>
                <w:rFonts w:hint="eastAsia" w:ascii="仿宋_GB2312" w:hAnsi="仿宋_GB2312" w:eastAsia="仿宋_GB2312" w:cs="仿宋_GB2312"/>
                <w:color w:val="auto"/>
                <w:kern w:val="0"/>
                <w:sz w:val="21"/>
                <w:szCs w:val="21"/>
                <w:highlight w:val="none"/>
                <w:lang w:val="en-US" w:eastAsia="zh-CN"/>
              </w:rPr>
              <w:t>60)分</w:t>
            </w:r>
            <w:r>
              <w:rPr>
                <w:rFonts w:hint="eastAsia" w:ascii="仿宋_GB2312" w:hAnsi="仿宋_GB2312" w:eastAsia="仿宋_GB2312" w:cs="仿宋_GB2312"/>
                <w:color w:val="auto"/>
                <w:kern w:val="0"/>
                <w:sz w:val="21"/>
                <w:szCs w:val="21"/>
                <w:highlight w:val="none"/>
                <w:lang w:eastAsia="zh-CN"/>
              </w:rPr>
              <w:t>）</w:t>
            </w: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spacing w:val="-11"/>
                <w:sz w:val="21"/>
                <w:szCs w:val="21"/>
                <w:highlight w:val="none"/>
              </w:rPr>
            </w:pPr>
            <w:r>
              <w:rPr>
                <w:rFonts w:hint="eastAsia" w:ascii="仿宋_GB2312" w:hAnsi="仿宋_GB2312" w:eastAsia="仿宋_GB2312" w:cs="仿宋_GB2312"/>
                <w:color w:val="auto"/>
                <w:kern w:val="0"/>
                <w:sz w:val="21"/>
                <w:szCs w:val="21"/>
                <w:highlight w:val="none"/>
              </w:rPr>
              <w:t>路面</w:t>
            </w:r>
            <w:r>
              <w:rPr>
                <w:rFonts w:hint="eastAsia" w:ascii="仿宋_GB2312" w:hAnsi="仿宋_GB2312" w:eastAsia="仿宋_GB2312" w:cs="仿宋_GB2312"/>
                <w:color w:val="auto"/>
                <w:kern w:val="0"/>
                <w:sz w:val="21"/>
                <w:szCs w:val="21"/>
                <w:highlight w:val="none"/>
                <w:lang w:eastAsia="zh-CN"/>
              </w:rPr>
              <w:t>（绿化带）零星</w:t>
            </w:r>
            <w:r>
              <w:rPr>
                <w:rFonts w:hint="eastAsia" w:ascii="仿宋_GB2312" w:hAnsi="仿宋_GB2312" w:eastAsia="仿宋_GB2312" w:cs="仿宋_GB2312"/>
                <w:color w:val="auto"/>
                <w:kern w:val="0"/>
                <w:sz w:val="21"/>
                <w:szCs w:val="21"/>
                <w:highlight w:val="none"/>
              </w:rPr>
              <w:t>垃圾</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杂物</w:t>
            </w:r>
            <w:r>
              <w:rPr>
                <w:rFonts w:hint="eastAsia" w:ascii="仿宋_GB2312" w:hAnsi="仿宋_GB2312" w:eastAsia="仿宋_GB2312" w:cs="仿宋_GB2312"/>
                <w:color w:val="auto"/>
                <w:kern w:val="0"/>
                <w:sz w:val="21"/>
                <w:szCs w:val="21"/>
                <w:highlight w:val="none"/>
                <w:lang w:eastAsia="zh-CN"/>
              </w:rPr>
              <w:t>、烟蒂，每</w:t>
            </w:r>
            <w:r>
              <w:rPr>
                <w:rFonts w:hint="eastAsia" w:ascii="仿宋_GB2312" w:hAnsi="仿宋_GB2312" w:eastAsia="仿宋_GB2312" w:cs="仿宋_GB2312"/>
                <w:color w:val="auto"/>
                <w:kern w:val="0"/>
                <w:sz w:val="21"/>
                <w:szCs w:val="21"/>
                <w:highlight w:val="none"/>
              </w:rPr>
              <w:t>个</w:t>
            </w:r>
            <w:r>
              <w:rPr>
                <w:rFonts w:hint="eastAsia" w:ascii="仿宋_GB2312" w:hAnsi="仿宋_GB2312" w:eastAsia="仿宋_GB2312" w:cs="仿宋_GB2312"/>
                <w:color w:val="auto"/>
                <w:kern w:val="0"/>
                <w:sz w:val="21"/>
                <w:szCs w:val="21"/>
                <w:highlight w:val="none"/>
                <w:lang w:eastAsia="zh-CN"/>
              </w:rPr>
              <w:t>扣</w:t>
            </w:r>
            <w:r>
              <w:rPr>
                <w:rFonts w:hint="eastAsia" w:ascii="仿宋_GB2312" w:hAnsi="仿宋_GB2312" w:eastAsia="仿宋_GB2312" w:cs="仿宋_GB2312"/>
                <w:color w:val="auto"/>
                <w:kern w:val="0"/>
                <w:sz w:val="21"/>
                <w:szCs w:val="21"/>
                <w:highlight w:val="none"/>
                <w:lang w:val="en-US" w:eastAsia="zh-CN"/>
              </w:rPr>
              <w:t>0.2分。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kern w:val="0"/>
                <w:sz w:val="21"/>
                <w:szCs w:val="21"/>
                <w:highlight w:val="none"/>
              </w:rPr>
              <w:t>有暴露垃圾</w:t>
            </w:r>
            <w:r>
              <w:rPr>
                <w:rFonts w:hint="eastAsia" w:ascii="仿宋_GB2312" w:hAnsi="仿宋_GB2312" w:eastAsia="仿宋_GB2312" w:cs="仿宋_GB2312"/>
                <w:color w:val="auto"/>
                <w:kern w:val="0"/>
                <w:sz w:val="21"/>
                <w:szCs w:val="21"/>
                <w:highlight w:val="none"/>
                <w:lang w:eastAsia="zh-CN"/>
              </w:rPr>
              <w:t>、卫生死角</w:t>
            </w:r>
            <w:r>
              <w:rPr>
                <w:rFonts w:hint="eastAsia" w:ascii="仿宋_GB2312" w:hAnsi="仿宋_GB2312" w:eastAsia="仿宋_GB2312" w:cs="仿宋_GB2312"/>
                <w:color w:val="auto"/>
                <w:kern w:val="0"/>
                <w:sz w:val="21"/>
                <w:szCs w:val="21"/>
                <w:highlight w:val="none"/>
              </w:rPr>
              <w:t>（面积≥0.5㎡），</w:t>
            </w:r>
            <w:r>
              <w:rPr>
                <w:rFonts w:hint="eastAsia" w:ascii="仿宋_GB2312" w:hAnsi="仿宋_GB2312" w:eastAsia="仿宋_GB2312" w:cs="仿宋_GB2312"/>
                <w:color w:val="auto"/>
                <w:kern w:val="0"/>
                <w:sz w:val="21"/>
                <w:szCs w:val="21"/>
                <w:highlight w:val="none"/>
                <w:lang w:eastAsia="zh-CN"/>
              </w:rPr>
              <w:t>每处</w:t>
            </w:r>
            <w:r>
              <w:rPr>
                <w:rFonts w:hint="eastAsia" w:ascii="仿宋_GB2312" w:hAnsi="仿宋_GB2312" w:eastAsia="仿宋_GB2312" w:cs="仿宋_GB2312"/>
                <w:color w:val="auto"/>
                <w:kern w:val="0"/>
                <w:sz w:val="21"/>
                <w:szCs w:val="21"/>
                <w:highlight w:val="none"/>
              </w:rPr>
              <w:t>扣</w:t>
            </w:r>
            <w:r>
              <w:rPr>
                <w:rFonts w:hint="eastAsia" w:ascii="仿宋_GB2312" w:hAnsi="仿宋_GB2312" w:eastAsia="仿宋_GB2312" w:cs="仿宋_GB2312"/>
                <w:color w:val="auto"/>
                <w:kern w:val="0"/>
                <w:sz w:val="21"/>
                <w:szCs w:val="21"/>
                <w:highlight w:val="none"/>
                <w:lang w:val="en-US" w:eastAsia="zh-CN"/>
              </w:rPr>
              <w:t>1</w:t>
            </w:r>
            <w:r>
              <w:rPr>
                <w:rFonts w:hint="eastAsia" w:ascii="仿宋_GB2312" w:hAnsi="仿宋_GB2312" w:eastAsia="仿宋_GB2312" w:cs="仿宋_GB2312"/>
                <w:color w:val="auto"/>
                <w:kern w:val="0"/>
                <w:sz w:val="21"/>
                <w:szCs w:val="21"/>
                <w:highlight w:val="none"/>
              </w:rPr>
              <w:t>分</w:t>
            </w:r>
            <w:r>
              <w:rPr>
                <w:rFonts w:hint="eastAsia" w:ascii="仿宋_GB2312" w:hAnsi="仿宋_GB2312" w:eastAsia="仿宋_GB2312" w:cs="仿宋_GB2312"/>
                <w:color w:val="auto"/>
                <w:kern w:val="0"/>
                <w:sz w:val="21"/>
                <w:szCs w:val="21"/>
                <w:highlight w:val="none"/>
                <w:lang w:eastAsia="zh-CN"/>
              </w:rPr>
              <w:t>。</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eastAsia="zh-CN"/>
              </w:rPr>
              <w:t>车行道</w:t>
            </w:r>
            <w:r>
              <w:rPr>
                <w:rFonts w:hint="eastAsia" w:ascii="仿宋_GB2312" w:hAnsi="仿宋_GB2312" w:eastAsia="仿宋_GB2312" w:cs="仿宋_GB2312"/>
                <w:color w:val="auto"/>
                <w:kern w:val="0"/>
                <w:sz w:val="21"/>
                <w:szCs w:val="21"/>
                <w:highlight w:val="none"/>
              </w:rPr>
              <w:t>、人行道路面油污</w:t>
            </w:r>
            <w:r>
              <w:rPr>
                <w:rFonts w:hint="eastAsia" w:ascii="仿宋_GB2312" w:hAnsi="仿宋_GB2312" w:eastAsia="仿宋_GB2312" w:cs="仿宋_GB2312"/>
                <w:color w:val="auto"/>
                <w:kern w:val="0"/>
                <w:sz w:val="21"/>
                <w:szCs w:val="21"/>
                <w:highlight w:val="none"/>
                <w:lang w:eastAsia="zh-CN"/>
              </w:rPr>
              <w:t>未及时冲洗，每处</w:t>
            </w:r>
            <w:r>
              <w:rPr>
                <w:rFonts w:hint="eastAsia" w:ascii="仿宋_GB2312" w:hAnsi="仿宋_GB2312" w:eastAsia="仿宋_GB2312" w:cs="仿宋_GB2312"/>
                <w:color w:val="auto"/>
                <w:kern w:val="0"/>
                <w:sz w:val="21"/>
                <w:szCs w:val="21"/>
                <w:highlight w:val="none"/>
              </w:rPr>
              <w:t>扣</w:t>
            </w:r>
            <w:r>
              <w:rPr>
                <w:rFonts w:hint="eastAsia" w:ascii="仿宋_GB2312" w:hAnsi="仿宋_GB2312" w:eastAsia="仿宋_GB2312" w:cs="仿宋_GB2312"/>
                <w:color w:val="auto"/>
                <w:kern w:val="0"/>
                <w:sz w:val="21"/>
                <w:szCs w:val="21"/>
                <w:highlight w:val="none"/>
                <w:lang w:val="en-US" w:eastAsia="zh-CN"/>
              </w:rPr>
              <w:t>0.</w:t>
            </w:r>
            <w:r>
              <w:rPr>
                <w:rFonts w:hint="eastAsia" w:ascii="仿宋_GB2312" w:hAnsi="仿宋_GB2312" w:eastAsia="仿宋_GB2312" w:cs="仿宋_GB2312"/>
                <w:color w:val="auto"/>
                <w:kern w:val="0"/>
                <w:sz w:val="21"/>
                <w:szCs w:val="21"/>
                <w:highlight w:val="none"/>
              </w:rPr>
              <w:t>5分</w:t>
            </w:r>
            <w:r>
              <w:rPr>
                <w:rFonts w:hint="eastAsia" w:ascii="仿宋_GB2312" w:hAnsi="仿宋_GB2312" w:eastAsia="仿宋_GB2312" w:cs="仿宋_GB2312"/>
                <w:color w:val="auto"/>
                <w:kern w:val="0"/>
                <w:sz w:val="21"/>
                <w:szCs w:val="21"/>
                <w:highlight w:val="none"/>
                <w:lang w:val="en-US" w:eastAsia="zh-CN"/>
              </w:rPr>
              <w:t>。</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sz w:val="21"/>
                <w:szCs w:val="21"/>
                <w:highlight w:val="none"/>
                <w:lang w:eastAsia="zh-CN"/>
              </w:rPr>
              <w:t>城市家具、护栏不洁、积灰，每处扣</w:t>
            </w:r>
            <w:r>
              <w:rPr>
                <w:rFonts w:hint="eastAsia" w:ascii="仿宋_GB2312" w:hAnsi="仿宋_GB2312" w:eastAsia="仿宋_GB2312" w:cs="仿宋_GB2312"/>
                <w:color w:val="auto"/>
                <w:sz w:val="21"/>
                <w:szCs w:val="21"/>
                <w:highlight w:val="none"/>
                <w:lang w:val="en-US" w:eastAsia="zh-CN"/>
              </w:rPr>
              <w:t>0.5分。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5</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城市家具、沿街外墙牛皮鲜（小广告）未及时清除，每处扣</w:t>
            </w:r>
            <w:r>
              <w:rPr>
                <w:rFonts w:hint="eastAsia" w:ascii="仿宋_GB2312" w:hAnsi="仿宋_GB2312" w:eastAsia="仿宋_GB2312" w:cs="仿宋_GB2312"/>
                <w:color w:val="auto"/>
                <w:sz w:val="21"/>
                <w:szCs w:val="21"/>
                <w:highlight w:val="none"/>
                <w:lang w:val="en-US" w:eastAsia="zh-CN"/>
              </w:rPr>
              <w:t>0.5分。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6</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晴天路面积水，每处扣</w:t>
            </w:r>
            <w:r>
              <w:rPr>
                <w:rFonts w:hint="eastAsia" w:ascii="仿宋_GB2312" w:hAnsi="仿宋_GB2312" w:eastAsia="仿宋_GB2312" w:cs="仿宋_GB2312"/>
                <w:color w:val="auto"/>
                <w:sz w:val="21"/>
                <w:szCs w:val="21"/>
                <w:highlight w:val="none"/>
                <w:lang w:val="en-US" w:eastAsia="zh-CN"/>
              </w:rPr>
              <w:t>0.5分。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7</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雨水井沟眼积泥（嵌石），</w:t>
            </w:r>
            <w:r>
              <w:rPr>
                <w:rFonts w:hint="eastAsia" w:ascii="仿宋_GB2312" w:hAnsi="仿宋_GB2312" w:eastAsia="仿宋_GB2312" w:cs="仿宋_GB2312"/>
                <w:color w:val="auto"/>
                <w:kern w:val="0"/>
                <w:sz w:val="21"/>
                <w:szCs w:val="21"/>
                <w:highlight w:val="none"/>
                <w:lang w:eastAsia="zh-CN"/>
              </w:rPr>
              <w:t>每处</w:t>
            </w:r>
            <w:r>
              <w:rPr>
                <w:rFonts w:hint="eastAsia" w:ascii="仿宋_GB2312" w:hAnsi="仿宋_GB2312" w:eastAsia="仿宋_GB2312" w:cs="仿宋_GB2312"/>
                <w:color w:val="auto"/>
                <w:kern w:val="0"/>
                <w:sz w:val="21"/>
                <w:szCs w:val="21"/>
                <w:highlight w:val="none"/>
              </w:rPr>
              <w:t>扣</w:t>
            </w:r>
            <w:r>
              <w:rPr>
                <w:rFonts w:hint="eastAsia" w:ascii="仿宋_GB2312" w:hAnsi="仿宋_GB2312" w:eastAsia="仿宋_GB2312" w:cs="仿宋_GB2312"/>
                <w:color w:val="auto"/>
                <w:kern w:val="0"/>
                <w:sz w:val="21"/>
                <w:szCs w:val="21"/>
                <w:highlight w:val="none"/>
                <w:lang w:val="en-US" w:eastAsia="zh-CN"/>
              </w:rPr>
              <w:t>0.5</w:t>
            </w:r>
            <w:r>
              <w:rPr>
                <w:rFonts w:hint="eastAsia" w:ascii="仿宋_GB2312" w:hAnsi="仿宋_GB2312" w:eastAsia="仿宋_GB2312" w:cs="仿宋_GB2312"/>
                <w:color w:val="auto"/>
                <w:kern w:val="0"/>
                <w:sz w:val="21"/>
                <w:szCs w:val="21"/>
                <w:highlight w:val="none"/>
              </w:rPr>
              <w:t>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8"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8</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道路积泥（沙石）</w:t>
            </w:r>
            <w:r>
              <w:rPr>
                <w:rFonts w:hint="eastAsia" w:ascii="仿宋_GB2312" w:hAnsi="仿宋_GB2312" w:eastAsia="仿宋_GB2312" w:cs="仿宋_GB2312"/>
                <w:color w:val="auto"/>
                <w:kern w:val="0"/>
                <w:sz w:val="21"/>
                <w:szCs w:val="21"/>
                <w:highlight w:val="none"/>
                <w:lang w:eastAsia="zh-CN"/>
              </w:rPr>
              <w:t>，每处</w:t>
            </w:r>
            <w:r>
              <w:rPr>
                <w:rFonts w:hint="eastAsia" w:ascii="仿宋_GB2312" w:hAnsi="仿宋_GB2312" w:eastAsia="仿宋_GB2312" w:cs="仿宋_GB2312"/>
                <w:color w:val="auto"/>
                <w:kern w:val="0"/>
                <w:sz w:val="21"/>
                <w:szCs w:val="21"/>
                <w:highlight w:val="none"/>
              </w:rPr>
              <w:t>扣</w:t>
            </w:r>
            <w:r>
              <w:rPr>
                <w:rFonts w:hint="eastAsia" w:ascii="仿宋_GB2312" w:hAnsi="仿宋_GB2312" w:eastAsia="仿宋_GB2312" w:cs="仿宋_GB2312"/>
                <w:color w:val="auto"/>
                <w:kern w:val="0"/>
                <w:sz w:val="21"/>
                <w:szCs w:val="21"/>
                <w:highlight w:val="none"/>
                <w:lang w:val="en-US" w:eastAsia="zh-CN"/>
              </w:rPr>
              <w:t>1</w:t>
            </w:r>
            <w:r>
              <w:rPr>
                <w:rFonts w:hint="eastAsia" w:ascii="仿宋_GB2312" w:hAnsi="仿宋_GB2312" w:eastAsia="仿宋_GB2312" w:cs="仿宋_GB2312"/>
                <w:color w:val="auto"/>
                <w:kern w:val="0"/>
                <w:sz w:val="21"/>
                <w:szCs w:val="21"/>
                <w:highlight w:val="none"/>
              </w:rPr>
              <w:t>分/处。</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清扫保洁时将垃圾扫入雨水井、河道、绿地，</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w:t>
            </w:r>
            <w:r>
              <w:rPr>
                <w:rFonts w:hint="eastAsia" w:ascii="仿宋_GB2312" w:hAnsi="仿宋_GB2312" w:eastAsia="仿宋_GB2312" w:cs="仿宋_GB2312"/>
                <w:color w:val="auto"/>
                <w:kern w:val="0"/>
                <w:sz w:val="21"/>
                <w:szCs w:val="21"/>
                <w:highlight w:val="none"/>
                <w:lang w:val="en-US" w:eastAsia="zh-CN"/>
              </w:rPr>
              <w:t>1</w:t>
            </w:r>
            <w:r>
              <w:rPr>
                <w:rFonts w:hint="eastAsia" w:ascii="仿宋_GB2312" w:hAnsi="仿宋_GB2312" w:eastAsia="仿宋_GB2312" w:cs="仿宋_GB2312"/>
                <w:color w:val="auto"/>
                <w:kern w:val="0"/>
                <w:sz w:val="21"/>
                <w:szCs w:val="21"/>
                <w:highlight w:val="none"/>
              </w:rPr>
              <w:t>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垃圾超出果壳箱、垃圾桶投放口平面，</w:t>
            </w:r>
            <w:r>
              <w:rPr>
                <w:rFonts w:hint="eastAsia" w:ascii="仿宋_GB2312" w:hAnsi="仿宋_GB2312" w:eastAsia="仿宋_GB2312" w:cs="仿宋_GB2312"/>
                <w:color w:val="auto"/>
                <w:kern w:val="0"/>
                <w:sz w:val="21"/>
                <w:szCs w:val="21"/>
                <w:highlight w:val="none"/>
                <w:lang w:eastAsia="zh-CN"/>
              </w:rPr>
              <w:t>每处</w:t>
            </w:r>
            <w:r>
              <w:rPr>
                <w:rFonts w:hint="eastAsia" w:ascii="仿宋_GB2312" w:hAnsi="仿宋_GB2312" w:eastAsia="仿宋_GB2312" w:cs="仿宋_GB2312"/>
                <w:color w:val="auto"/>
                <w:kern w:val="0"/>
                <w:sz w:val="21"/>
                <w:szCs w:val="21"/>
                <w:highlight w:val="none"/>
              </w:rPr>
              <w:t>扣</w:t>
            </w:r>
            <w:r>
              <w:rPr>
                <w:rFonts w:hint="eastAsia" w:ascii="仿宋_GB2312" w:hAnsi="仿宋_GB2312" w:eastAsia="仿宋_GB2312" w:cs="仿宋_GB2312"/>
                <w:color w:val="auto"/>
                <w:kern w:val="0"/>
                <w:sz w:val="21"/>
                <w:szCs w:val="21"/>
                <w:highlight w:val="none"/>
                <w:lang w:val="en-US" w:eastAsia="zh-CN"/>
              </w:rPr>
              <w:t>0.5</w:t>
            </w:r>
            <w:r>
              <w:rPr>
                <w:rFonts w:hint="eastAsia" w:ascii="仿宋_GB2312" w:hAnsi="仿宋_GB2312" w:eastAsia="仿宋_GB2312" w:cs="仿宋_GB2312"/>
                <w:color w:val="auto"/>
                <w:kern w:val="0"/>
                <w:sz w:val="21"/>
                <w:szCs w:val="21"/>
                <w:highlight w:val="none"/>
              </w:rPr>
              <w:t>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7"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11</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作业工具</w:t>
            </w:r>
            <w:r>
              <w:rPr>
                <w:rFonts w:hint="eastAsia" w:ascii="仿宋_GB2312" w:hAnsi="仿宋_GB2312" w:eastAsia="仿宋_GB2312" w:cs="仿宋_GB2312"/>
                <w:color w:val="auto"/>
                <w:kern w:val="0"/>
                <w:sz w:val="21"/>
                <w:szCs w:val="21"/>
                <w:highlight w:val="none"/>
                <w:lang w:eastAsia="zh-CN"/>
              </w:rPr>
              <w:t>随意</w:t>
            </w:r>
            <w:r>
              <w:rPr>
                <w:rFonts w:hint="eastAsia" w:ascii="仿宋_GB2312" w:hAnsi="仿宋_GB2312" w:eastAsia="仿宋_GB2312" w:cs="仿宋_GB2312"/>
                <w:color w:val="auto"/>
                <w:kern w:val="0"/>
                <w:sz w:val="21"/>
                <w:szCs w:val="21"/>
                <w:highlight w:val="none"/>
              </w:rPr>
              <w:t>堆</w:t>
            </w:r>
            <w:r>
              <w:rPr>
                <w:rFonts w:hint="eastAsia" w:ascii="仿宋_GB2312" w:hAnsi="仿宋_GB2312" w:eastAsia="仿宋_GB2312" w:cs="仿宋_GB2312"/>
                <w:color w:val="auto"/>
                <w:kern w:val="0"/>
                <w:sz w:val="21"/>
                <w:szCs w:val="21"/>
                <w:highlight w:val="none"/>
                <w:lang w:eastAsia="zh-CN"/>
              </w:rPr>
              <w:t>放在路面和</w:t>
            </w:r>
            <w:r>
              <w:rPr>
                <w:rFonts w:hint="eastAsia" w:ascii="仿宋_GB2312" w:hAnsi="仿宋_GB2312" w:eastAsia="仿宋_GB2312" w:cs="仿宋_GB2312"/>
                <w:color w:val="auto"/>
                <w:kern w:val="0"/>
                <w:sz w:val="21"/>
                <w:szCs w:val="21"/>
                <w:highlight w:val="none"/>
              </w:rPr>
              <w:t>绿化带</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作业车辆违规停放阻碍通行</w:t>
            </w:r>
            <w:r>
              <w:rPr>
                <w:rFonts w:hint="eastAsia" w:ascii="仿宋_GB2312" w:hAnsi="仿宋_GB2312" w:eastAsia="仿宋_GB2312" w:cs="仿宋_GB2312"/>
                <w:color w:val="auto"/>
                <w:kern w:val="0"/>
                <w:sz w:val="21"/>
                <w:szCs w:val="21"/>
                <w:highlight w:val="none"/>
                <w:lang w:eastAsia="zh-CN"/>
              </w:rPr>
              <w:t>，每次扣</w:t>
            </w:r>
            <w:r>
              <w:rPr>
                <w:rFonts w:hint="eastAsia" w:ascii="仿宋_GB2312" w:hAnsi="仿宋_GB2312" w:eastAsia="仿宋_GB2312" w:cs="仿宋_GB2312"/>
                <w:color w:val="auto"/>
                <w:kern w:val="0"/>
                <w:sz w:val="21"/>
                <w:szCs w:val="21"/>
                <w:highlight w:val="none"/>
                <w:lang w:val="en-US" w:eastAsia="zh-CN"/>
              </w:rPr>
              <w:t>0.5分</w:t>
            </w:r>
            <w:r>
              <w:rPr>
                <w:rFonts w:hint="eastAsia" w:ascii="仿宋_GB2312" w:hAnsi="仿宋_GB2312" w:eastAsia="仿宋_GB2312" w:cs="仿宋_GB2312"/>
                <w:color w:val="auto"/>
                <w:kern w:val="0"/>
                <w:sz w:val="21"/>
                <w:szCs w:val="21"/>
                <w:highlight w:val="none"/>
                <w:lang w:eastAsia="zh-CN"/>
              </w:rPr>
              <w:t>。</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12</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落叶旺季（落叶景观道路除外）未及时清扫</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w:t>
            </w:r>
            <w:r>
              <w:rPr>
                <w:rFonts w:hint="eastAsia" w:ascii="仿宋_GB2312" w:hAnsi="仿宋_GB2312" w:eastAsia="仿宋_GB2312" w:cs="仿宋_GB2312"/>
                <w:color w:val="auto"/>
                <w:kern w:val="0"/>
                <w:sz w:val="21"/>
                <w:szCs w:val="21"/>
                <w:highlight w:val="none"/>
                <w:lang w:val="en-US" w:eastAsia="zh-CN"/>
              </w:rPr>
              <w:t>0.5</w:t>
            </w:r>
            <w:r>
              <w:rPr>
                <w:rFonts w:hint="eastAsia" w:ascii="仿宋_GB2312" w:hAnsi="仿宋_GB2312" w:eastAsia="仿宋_GB2312" w:cs="仿宋_GB2312"/>
                <w:color w:val="auto"/>
                <w:kern w:val="0"/>
                <w:sz w:val="21"/>
                <w:szCs w:val="21"/>
                <w:highlight w:val="none"/>
              </w:rPr>
              <w:t>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13</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环卫工人未</w:t>
            </w:r>
            <w:r>
              <w:rPr>
                <w:rFonts w:hint="eastAsia" w:ascii="仿宋_GB2312" w:hAnsi="仿宋_GB2312" w:eastAsia="仿宋_GB2312" w:cs="仿宋_GB2312"/>
                <w:color w:val="auto"/>
                <w:kern w:val="0"/>
                <w:sz w:val="21"/>
                <w:szCs w:val="21"/>
                <w:highlight w:val="none"/>
                <w:lang w:eastAsia="zh-CN"/>
              </w:rPr>
              <w:t>按规定着装、疫情期间不佩戴口罩</w:t>
            </w:r>
            <w:r>
              <w:rPr>
                <w:rFonts w:hint="eastAsia" w:ascii="仿宋_GB2312" w:hAnsi="仿宋_GB2312" w:eastAsia="仿宋_GB2312" w:cs="仿宋_GB2312"/>
                <w:color w:val="auto"/>
                <w:kern w:val="0"/>
                <w:sz w:val="21"/>
                <w:szCs w:val="21"/>
                <w:highlight w:val="none"/>
              </w:rPr>
              <w:t>，</w:t>
            </w:r>
            <w:r>
              <w:rPr>
                <w:rFonts w:hint="eastAsia" w:ascii="仿宋_GB2312" w:hAnsi="仿宋_GB2312" w:eastAsia="仿宋_GB2312" w:cs="仿宋_GB2312"/>
                <w:color w:val="auto"/>
                <w:kern w:val="0"/>
                <w:sz w:val="21"/>
                <w:szCs w:val="21"/>
                <w:highlight w:val="none"/>
                <w:lang w:eastAsia="zh-CN"/>
              </w:rPr>
              <w:t>每次扣</w:t>
            </w:r>
            <w:r>
              <w:rPr>
                <w:rFonts w:hint="eastAsia" w:ascii="仿宋_GB2312" w:hAnsi="仿宋_GB2312" w:eastAsia="仿宋_GB2312" w:cs="仿宋_GB2312"/>
                <w:color w:val="auto"/>
                <w:kern w:val="0"/>
                <w:sz w:val="21"/>
                <w:szCs w:val="21"/>
                <w:highlight w:val="none"/>
                <w:lang w:val="en-US" w:eastAsia="zh-CN"/>
              </w:rPr>
              <w:t>0.5分</w:t>
            </w:r>
            <w:r>
              <w:rPr>
                <w:rFonts w:hint="eastAsia" w:ascii="仿宋_GB2312" w:hAnsi="仿宋_GB2312" w:eastAsia="仿宋_GB2312" w:cs="仿宋_GB2312"/>
                <w:color w:val="auto"/>
                <w:kern w:val="0"/>
                <w:sz w:val="21"/>
                <w:szCs w:val="21"/>
                <w:highlight w:val="none"/>
                <w:lang w:eastAsia="zh-CN"/>
              </w:rPr>
              <w:t>。</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14</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作业车辆逆行、保洁员无维护情况上快车道作业的，每次扣2分。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15</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pacing w:val="-11"/>
                <w:kern w:val="0"/>
                <w:sz w:val="21"/>
                <w:szCs w:val="21"/>
                <w:highlight w:val="none"/>
              </w:rPr>
              <w:t>环卫作业车辆</w:t>
            </w:r>
            <w:r>
              <w:rPr>
                <w:rFonts w:hint="eastAsia" w:ascii="仿宋_GB2312" w:hAnsi="仿宋_GB2312" w:eastAsia="仿宋_GB2312" w:cs="仿宋_GB2312"/>
                <w:color w:val="auto"/>
                <w:spacing w:val="-11"/>
                <w:kern w:val="0"/>
                <w:sz w:val="21"/>
                <w:szCs w:val="21"/>
                <w:highlight w:val="none"/>
                <w:lang w:eastAsia="zh-CN"/>
              </w:rPr>
              <w:t>未按要求统一</w:t>
            </w:r>
            <w:r>
              <w:rPr>
                <w:rFonts w:hint="eastAsia" w:ascii="仿宋_GB2312" w:hAnsi="仿宋_GB2312" w:eastAsia="仿宋_GB2312" w:cs="仿宋_GB2312"/>
                <w:color w:val="auto"/>
                <w:spacing w:val="-11"/>
                <w:kern w:val="0"/>
                <w:sz w:val="21"/>
                <w:szCs w:val="21"/>
                <w:highlight w:val="none"/>
              </w:rPr>
              <w:t>外观</w:t>
            </w:r>
            <w:r>
              <w:rPr>
                <w:rFonts w:hint="eastAsia" w:ascii="仿宋_GB2312" w:hAnsi="仿宋_GB2312" w:eastAsia="仿宋_GB2312" w:cs="仿宋_GB2312"/>
                <w:color w:val="auto"/>
                <w:spacing w:val="-11"/>
                <w:kern w:val="0"/>
                <w:sz w:val="21"/>
                <w:szCs w:val="21"/>
                <w:highlight w:val="none"/>
                <w:lang w:eastAsia="zh-CN"/>
              </w:rPr>
              <w:t>，车身</w:t>
            </w:r>
            <w:r>
              <w:rPr>
                <w:rFonts w:hint="eastAsia" w:ascii="仿宋_GB2312" w:hAnsi="仿宋_GB2312" w:eastAsia="仿宋_GB2312" w:cs="仿宋_GB2312"/>
                <w:color w:val="auto"/>
                <w:spacing w:val="-11"/>
                <w:kern w:val="0"/>
                <w:sz w:val="21"/>
                <w:szCs w:val="21"/>
                <w:highlight w:val="none"/>
              </w:rPr>
              <w:t>不洁、破损</w:t>
            </w:r>
            <w:r>
              <w:rPr>
                <w:rFonts w:hint="eastAsia" w:ascii="仿宋_GB2312" w:hAnsi="仿宋_GB2312" w:eastAsia="仿宋_GB2312" w:cs="仿宋_GB2312"/>
                <w:color w:val="auto"/>
                <w:spacing w:val="-11"/>
                <w:kern w:val="0"/>
                <w:sz w:val="21"/>
                <w:szCs w:val="21"/>
                <w:highlight w:val="none"/>
                <w:lang w:eastAsia="zh-CN"/>
              </w:rPr>
              <w:t>，每次扣</w:t>
            </w:r>
            <w:r>
              <w:rPr>
                <w:rFonts w:hint="eastAsia" w:ascii="仿宋_GB2312" w:hAnsi="仿宋_GB2312" w:eastAsia="仿宋_GB2312" w:cs="仿宋_GB2312"/>
                <w:color w:val="auto"/>
                <w:spacing w:val="-11"/>
                <w:kern w:val="0"/>
                <w:sz w:val="21"/>
                <w:szCs w:val="21"/>
                <w:highlight w:val="none"/>
                <w:lang w:val="en-US" w:eastAsia="zh-CN"/>
              </w:rPr>
              <w:t>1分。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9"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16</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属地卫生死角（保洁本底外有相应责任主体的），扣</w:t>
            </w:r>
            <w:r>
              <w:rPr>
                <w:rFonts w:hint="eastAsia" w:ascii="仿宋_GB2312" w:hAnsi="仿宋_GB2312" w:eastAsia="仿宋_GB2312" w:cs="仿宋_GB2312"/>
                <w:color w:val="auto"/>
                <w:kern w:val="0"/>
                <w:sz w:val="21"/>
                <w:szCs w:val="21"/>
                <w:highlight w:val="none"/>
                <w:lang w:eastAsia="zh-CN"/>
              </w:rPr>
              <w:t>属地</w:t>
            </w:r>
            <w:r>
              <w:rPr>
                <w:rFonts w:hint="eastAsia" w:ascii="仿宋_GB2312" w:hAnsi="仿宋_GB2312" w:eastAsia="仿宋_GB2312" w:cs="仿宋_GB2312"/>
                <w:color w:val="auto"/>
                <w:kern w:val="0"/>
                <w:sz w:val="21"/>
                <w:szCs w:val="21"/>
                <w:highlight w:val="none"/>
              </w:rPr>
              <w:t>环卫管理0.</w:t>
            </w:r>
            <w:r>
              <w:rPr>
                <w:rFonts w:hint="eastAsia" w:ascii="仿宋_GB2312" w:hAnsi="仿宋_GB2312" w:eastAsia="仿宋_GB2312" w:cs="仿宋_GB2312"/>
                <w:color w:val="auto"/>
                <w:kern w:val="0"/>
                <w:sz w:val="21"/>
                <w:szCs w:val="21"/>
                <w:highlight w:val="none"/>
                <w:lang w:val="en-US" w:eastAsia="zh-CN"/>
              </w:rPr>
              <w:t>2</w:t>
            </w:r>
            <w:r>
              <w:rPr>
                <w:rFonts w:hint="eastAsia" w:ascii="仿宋_GB2312" w:hAnsi="仿宋_GB2312" w:eastAsia="仿宋_GB2312" w:cs="仿宋_GB2312"/>
                <w:color w:val="auto"/>
                <w:kern w:val="0"/>
                <w:sz w:val="21"/>
                <w:szCs w:val="21"/>
                <w:highlight w:val="none"/>
              </w:rPr>
              <w:t>分/处。</w:t>
            </w:r>
          </w:p>
        </w:tc>
        <w:tc>
          <w:tcPr>
            <w:tcW w:w="134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直接扣分，不进行加权</w:t>
            </w:r>
            <w:r>
              <w:rPr>
                <w:rFonts w:hint="eastAsia" w:ascii="仿宋_GB2312" w:hAnsi="仿宋_GB2312" w:eastAsia="仿宋_GB2312" w:cs="仿宋_GB2312"/>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5"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17</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沿街道路果壳箱破损未及时更新的，</w:t>
            </w:r>
            <w:r>
              <w:rPr>
                <w:rFonts w:hint="eastAsia" w:ascii="仿宋_GB2312" w:hAnsi="仿宋_GB2312" w:eastAsia="仿宋_GB2312" w:cs="仿宋_GB2312"/>
                <w:color w:val="auto"/>
                <w:kern w:val="0"/>
                <w:sz w:val="21"/>
                <w:szCs w:val="21"/>
                <w:highlight w:val="none"/>
              </w:rPr>
              <w:t>扣</w:t>
            </w:r>
            <w:r>
              <w:rPr>
                <w:rFonts w:hint="eastAsia" w:ascii="仿宋_GB2312" w:hAnsi="仿宋_GB2312" w:eastAsia="仿宋_GB2312" w:cs="仿宋_GB2312"/>
                <w:color w:val="auto"/>
                <w:kern w:val="0"/>
                <w:sz w:val="21"/>
                <w:szCs w:val="21"/>
                <w:highlight w:val="none"/>
                <w:lang w:eastAsia="zh-CN"/>
              </w:rPr>
              <w:t>属地</w:t>
            </w:r>
            <w:r>
              <w:rPr>
                <w:rFonts w:hint="eastAsia" w:ascii="仿宋_GB2312" w:hAnsi="仿宋_GB2312" w:eastAsia="仿宋_GB2312" w:cs="仿宋_GB2312"/>
                <w:color w:val="auto"/>
                <w:kern w:val="0"/>
                <w:sz w:val="21"/>
                <w:szCs w:val="21"/>
                <w:highlight w:val="none"/>
              </w:rPr>
              <w:t>环卫管理0.</w:t>
            </w:r>
            <w:r>
              <w:rPr>
                <w:rFonts w:hint="eastAsia" w:ascii="仿宋_GB2312" w:hAnsi="仿宋_GB2312" w:eastAsia="仿宋_GB2312" w:cs="仿宋_GB2312"/>
                <w:color w:val="auto"/>
                <w:kern w:val="0"/>
                <w:sz w:val="21"/>
                <w:szCs w:val="21"/>
                <w:highlight w:val="none"/>
                <w:lang w:val="en-US" w:eastAsia="zh-CN"/>
              </w:rPr>
              <w:t>1</w:t>
            </w:r>
            <w:r>
              <w:rPr>
                <w:rFonts w:hint="eastAsia" w:ascii="仿宋_GB2312" w:hAnsi="仿宋_GB2312" w:eastAsia="仿宋_GB2312" w:cs="仿宋_GB2312"/>
                <w:color w:val="auto"/>
                <w:kern w:val="0"/>
                <w:sz w:val="21"/>
                <w:szCs w:val="21"/>
                <w:highlight w:val="none"/>
              </w:rPr>
              <w:t>分/处。</w:t>
            </w:r>
          </w:p>
        </w:tc>
        <w:tc>
          <w:tcPr>
            <w:tcW w:w="134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直接扣分，不进行加权</w:t>
            </w:r>
            <w:r>
              <w:rPr>
                <w:rFonts w:hint="eastAsia" w:ascii="仿宋_GB2312" w:hAnsi="仿宋_GB2312" w:eastAsia="仿宋_GB2312" w:cs="仿宋_GB2312"/>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3"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18</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未按要求设置公厕管理牌和质量监督牌、公厕指示牌缺失</w:t>
            </w:r>
            <w:r>
              <w:rPr>
                <w:rFonts w:hint="eastAsia" w:ascii="仿宋_GB2312" w:hAnsi="仿宋_GB2312" w:eastAsia="仿宋_GB2312" w:cs="仿宋_GB2312"/>
                <w:color w:val="auto"/>
                <w:kern w:val="0"/>
                <w:sz w:val="21"/>
                <w:szCs w:val="21"/>
                <w:highlight w:val="none"/>
                <w:lang w:eastAsia="zh-CN"/>
              </w:rPr>
              <w:t>、破损</w:t>
            </w:r>
            <w:r>
              <w:rPr>
                <w:rFonts w:hint="eastAsia" w:ascii="仿宋_GB2312" w:hAnsi="仿宋_GB2312" w:eastAsia="仿宋_GB2312" w:cs="仿宋_GB2312"/>
                <w:color w:val="auto"/>
                <w:kern w:val="0"/>
                <w:sz w:val="21"/>
                <w:szCs w:val="21"/>
                <w:highlight w:val="none"/>
              </w:rPr>
              <w:t>，</w:t>
            </w:r>
            <w:r>
              <w:rPr>
                <w:rFonts w:hint="eastAsia" w:ascii="仿宋_GB2312" w:hAnsi="仿宋_GB2312" w:eastAsia="仿宋_GB2312" w:cs="仿宋_GB2312"/>
                <w:color w:val="auto"/>
                <w:kern w:val="0"/>
                <w:sz w:val="21"/>
                <w:szCs w:val="21"/>
                <w:highlight w:val="none"/>
                <w:lang w:eastAsia="zh-CN"/>
              </w:rPr>
              <w:t>每处扣</w:t>
            </w:r>
            <w:r>
              <w:rPr>
                <w:rFonts w:hint="eastAsia" w:ascii="仿宋_GB2312" w:hAnsi="仿宋_GB2312" w:eastAsia="仿宋_GB2312" w:cs="仿宋_GB2312"/>
                <w:color w:val="auto"/>
                <w:kern w:val="0"/>
                <w:sz w:val="21"/>
                <w:szCs w:val="21"/>
                <w:highlight w:val="none"/>
                <w:lang w:val="en-US" w:eastAsia="zh-CN"/>
              </w:rPr>
              <w:t>1分。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19</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标识标牌</w:t>
            </w:r>
            <w:r>
              <w:rPr>
                <w:rFonts w:hint="eastAsia" w:ascii="仿宋_GB2312" w:hAnsi="仿宋_GB2312" w:eastAsia="仿宋_GB2312" w:cs="仿宋_GB2312"/>
                <w:color w:val="auto"/>
                <w:kern w:val="0"/>
                <w:sz w:val="21"/>
                <w:szCs w:val="21"/>
                <w:highlight w:val="none"/>
                <w:lang w:eastAsia="zh-CN"/>
              </w:rPr>
              <w:t>缺失、</w:t>
            </w:r>
            <w:r>
              <w:rPr>
                <w:rFonts w:hint="eastAsia" w:ascii="仿宋_GB2312" w:hAnsi="仿宋_GB2312" w:eastAsia="仿宋_GB2312" w:cs="仿宋_GB2312"/>
                <w:color w:val="auto"/>
                <w:kern w:val="0"/>
                <w:sz w:val="21"/>
                <w:szCs w:val="21"/>
                <w:highlight w:val="none"/>
              </w:rPr>
              <w:t>设置不规范、破损、残缺、</w:t>
            </w:r>
            <w:r>
              <w:rPr>
                <w:rFonts w:hint="eastAsia" w:ascii="仿宋_GB2312" w:hAnsi="仿宋_GB2312" w:eastAsia="仿宋_GB2312" w:cs="仿宋_GB2312"/>
                <w:color w:val="auto"/>
                <w:kern w:val="0"/>
                <w:sz w:val="21"/>
                <w:szCs w:val="21"/>
                <w:highlight w:val="none"/>
                <w:lang w:eastAsia="zh-CN"/>
              </w:rPr>
              <w:t>每处</w:t>
            </w:r>
            <w:r>
              <w:rPr>
                <w:rFonts w:hint="eastAsia" w:ascii="仿宋_GB2312" w:hAnsi="仿宋_GB2312" w:eastAsia="仿宋_GB2312" w:cs="仿宋_GB2312"/>
                <w:color w:val="auto"/>
                <w:kern w:val="0"/>
                <w:sz w:val="21"/>
                <w:szCs w:val="21"/>
                <w:highlight w:val="none"/>
              </w:rPr>
              <w:t>扣0.</w:t>
            </w:r>
            <w:r>
              <w:rPr>
                <w:rFonts w:hint="eastAsia" w:ascii="仿宋_GB2312" w:hAnsi="仿宋_GB2312" w:eastAsia="仿宋_GB2312" w:cs="仿宋_GB2312"/>
                <w:color w:val="auto"/>
                <w:kern w:val="0"/>
                <w:sz w:val="21"/>
                <w:szCs w:val="21"/>
                <w:highlight w:val="none"/>
                <w:lang w:val="en-US" w:eastAsia="zh-CN"/>
              </w:rPr>
              <w:t>5</w:t>
            </w:r>
            <w:r>
              <w:rPr>
                <w:rFonts w:hint="eastAsia" w:ascii="仿宋_GB2312" w:hAnsi="仿宋_GB2312" w:eastAsia="仿宋_GB2312" w:cs="仿宋_GB2312"/>
                <w:color w:val="auto"/>
                <w:kern w:val="0"/>
                <w:sz w:val="21"/>
                <w:szCs w:val="21"/>
                <w:highlight w:val="none"/>
              </w:rPr>
              <w:t>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2"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20</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地面</w:t>
            </w:r>
            <w:r>
              <w:rPr>
                <w:rFonts w:hint="eastAsia" w:ascii="仿宋_GB2312" w:hAnsi="仿宋_GB2312" w:eastAsia="仿宋_GB2312" w:cs="仿宋_GB2312"/>
                <w:color w:val="auto"/>
                <w:kern w:val="0"/>
                <w:sz w:val="21"/>
                <w:szCs w:val="21"/>
                <w:highlight w:val="none"/>
                <w:lang w:eastAsia="zh-CN"/>
              </w:rPr>
              <w:t>、台面</w:t>
            </w:r>
            <w:r>
              <w:rPr>
                <w:rFonts w:hint="eastAsia" w:ascii="仿宋_GB2312" w:hAnsi="仿宋_GB2312" w:eastAsia="仿宋_GB2312" w:cs="仿宋_GB2312"/>
                <w:color w:val="auto"/>
                <w:kern w:val="0"/>
                <w:sz w:val="21"/>
                <w:szCs w:val="21"/>
                <w:highlight w:val="none"/>
              </w:rPr>
              <w:t>积水，地面</w:t>
            </w:r>
            <w:r>
              <w:rPr>
                <w:rFonts w:hint="eastAsia" w:ascii="仿宋_GB2312" w:hAnsi="仿宋_GB2312" w:eastAsia="仿宋_GB2312" w:cs="仿宋_GB2312"/>
                <w:color w:val="auto"/>
                <w:kern w:val="0"/>
                <w:sz w:val="21"/>
                <w:szCs w:val="21"/>
                <w:highlight w:val="none"/>
                <w:lang w:eastAsia="zh-CN"/>
              </w:rPr>
              <w:t>、台面、</w:t>
            </w:r>
            <w:r>
              <w:rPr>
                <w:rFonts w:hint="eastAsia" w:ascii="仿宋_GB2312" w:hAnsi="仿宋_GB2312" w:eastAsia="仿宋_GB2312" w:cs="仿宋_GB2312"/>
                <w:color w:val="auto"/>
                <w:kern w:val="0"/>
                <w:sz w:val="21"/>
                <w:szCs w:val="21"/>
                <w:highlight w:val="none"/>
              </w:rPr>
              <w:t>厕位、墙面、</w:t>
            </w:r>
            <w:r>
              <w:rPr>
                <w:rFonts w:hint="eastAsia" w:ascii="仿宋_GB2312" w:hAnsi="仿宋_GB2312" w:eastAsia="仿宋_GB2312" w:cs="仿宋_GB2312"/>
                <w:color w:val="auto"/>
                <w:sz w:val="21"/>
                <w:szCs w:val="21"/>
                <w:highlight w:val="none"/>
              </w:rPr>
              <w:t>门窗、</w:t>
            </w:r>
            <w:r>
              <w:rPr>
                <w:rFonts w:hint="eastAsia" w:ascii="仿宋_GB2312" w:hAnsi="仿宋_GB2312" w:eastAsia="仿宋_GB2312" w:cs="仿宋_GB2312"/>
                <w:color w:val="auto"/>
                <w:kern w:val="0"/>
                <w:sz w:val="21"/>
                <w:szCs w:val="21"/>
                <w:highlight w:val="none"/>
              </w:rPr>
              <w:t>设施设备不洁</w:t>
            </w:r>
            <w:r>
              <w:rPr>
                <w:rFonts w:hint="eastAsia" w:ascii="仿宋_GB2312" w:hAnsi="仿宋_GB2312" w:eastAsia="仿宋_GB2312" w:cs="仿宋_GB2312"/>
                <w:color w:val="auto"/>
                <w:sz w:val="21"/>
                <w:szCs w:val="21"/>
                <w:highlight w:val="none"/>
                <w:lang w:eastAsia="zh-CN"/>
              </w:rPr>
              <w:t>每处</w:t>
            </w:r>
            <w:r>
              <w:rPr>
                <w:rFonts w:hint="eastAsia" w:ascii="仿宋_GB2312" w:hAnsi="仿宋_GB2312" w:eastAsia="仿宋_GB2312" w:cs="仿宋_GB2312"/>
                <w:color w:val="auto"/>
                <w:sz w:val="21"/>
                <w:szCs w:val="21"/>
                <w:highlight w:val="none"/>
              </w:rPr>
              <w:t>扣</w:t>
            </w:r>
            <w:r>
              <w:rPr>
                <w:rFonts w:hint="eastAsia" w:ascii="仿宋_GB2312" w:hAnsi="仿宋_GB2312" w:eastAsia="仿宋_GB2312" w:cs="仿宋_GB2312"/>
                <w:color w:val="auto"/>
                <w:sz w:val="21"/>
                <w:szCs w:val="21"/>
                <w:highlight w:val="none"/>
                <w:lang w:val="en-US" w:eastAsia="zh-CN"/>
              </w:rPr>
              <w:t>0.5</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9"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21</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未免费向公众提供洗手液和手纸服务，</w:t>
            </w:r>
            <w:r>
              <w:rPr>
                <w:rFonts w:hint="eastAsia" w:ascii="仿宋_GB2312" w:hAnsi="仿宋_GB2312" w:eastAsia="仿宋_GB2312" w:cs="仿宋_GB2312"/>
                <w:color w:val="auto"/>
                <w:sz w:val="21"/>
                <w:szCs w:val="21"/>
                <w:highlight w:val="none"/>
                <w:lang w:eastAsia="zh-CN"/>
              </w:rPr>
              <w:t>每次</w:t>
            </w:r>
            <w:r>
              <w:rPr>
                <w:rFonts w:hint="eastAsia" w:ascii="仿宋_GB2312" w:hAnsi="仿宋_GB2312" w:eastAsia="仿宋_GB2312" w:cs="仿宋_GB2312"/>
                <w:color w:val="auto"/>
                <w:sz w:val="21"/>
                <w:szCs w:val="21"/>
                <w:highlight w:val="none"/>
              </w:rPr>
              <w:t>扣</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22</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spacing w:val="-6"/>
                <w:kern w:val="2"/>
                <w:sz w:val="21"/>
                <w:szCs w:val="21"/>
                <w:highlight w:val="none"/>
                <w:lang w:val="en-US" w:eastAsia="zh-CN" w:bidi="ar-SA"/>
              </w:rPr>
            </w:pPr>
            <w:r>
              <w:rPr>
                <w:rFonts w:hint="eastAsia" w:ascii="仿宋_GB2312" w:hAnsi="仿宋_GB2312" w:eastAsia="仿宋_GB2312" w:cs="仿宋_GB2312"/>
                <w:color w:val="auto"/>
                <w:spacing w:val="-11"/>
                <w:kern w:val="0"/>
                <w:sz w:val="21"/>
                <w:szCs w:val="21"/>
                <w:highlight w:val="none"/>
                <w:lang w:eastAsia="zh-CN"/>
              </w:rPr>
              <w:t>公厕</w:t>
            </w:r>
            <w:r>
              <w:rPr>
                <w:rFonts w:hint="eastAsia" w:ascii="仿宋_GB2312" w:hAnsi="仿宋_GB2312" w:eastAsia="仿宋_GB2312" w:cs="仿宋_GB2312"/>
                <w:color w:val="auto"/>
                <w:spacing w:val="-11"/>
                <w:kern w:val="0"/>
                <w:sz w:val="21"/>
                <w:szCs w:val="21"/>
                <w:highlight w:val="none"/>
              </w:rPr>
              <w:t>有明显臭味，</w:t>
            </w:r>
            <w:r>
              <w:rPr>
                <w:rFonts w:hint="eastAsia" w:ascii="仿宋_GB2312" w:hAnsi="仿宋_GB2312" w:eastAsia="仿宋_GB2312" w:cs="仿宋_GB2312"/>
                <w:color w:val="auto"/>
                <w:spacing w:val="-11"/>
                <w:kern w:val="0"/>
                <w:sz w:val="21"/>
                <w:szCs w:val="21"/>
                <w:highlight w:val="none"/>
                <w:lang w:eastAsia="zh-CN"/>
              </w:rPr>
              <w:t>每次扣</w:t>
            </w:r>
            <w:r>
              <w:rPr>
                <w:rFonts w:hint="eastAsia" w:ascii="仿宋_GB2312" w:hAnsi="仿宋_GB2312" w:eastAsia="仿宋_GB2312" w:cs="仿宋_GB2312"/>
                <w:color w:val="auto"/>
                <w:spacing w:val="-11"/>
                <w:kern w:val="0"/>
                <w:sz w:val="21"/>
                <w:szCs w:val="21"/>
                <w:highlight w:val="none"/>
                <w:lang w:val="en-US" w:eastAsia="zh-CN"/>
              </w:rPr>
              <w:t>1</w:t>
            </w:r>
            <w:r>
              <w:rPr>
                <w:rFonts w:hint="eastAsia" w:ascii="仿宋_GB2312" w:hAnsi="仿宋_GB2312" w:eastAsia="仿宋_GB2312" w:cs="仿宋_GB2312"/>
                <w:color w:val="auto"/>
                <w:spacing w:val="-11"/>
                <w:kern w:val="0"/>
                <w:sz w:val="21"/>
                <w:szCs w:val="21"/>
                <w:highlight w:val="none"/>
              </w:rPr>
              <w:t>分</w:t>
            </w:r>
            <w:r>
              <w:rPr>
                <w:rFonts w:hint="eastAsia" w:ascii="仿宋_GB2312" w:hAnsi="仿宋_GB2312" w:eastAsia="仿宋_GB2312" w:cs="仿宋_GB2312"/>
                <w:color w:val="auto"/>
                <w:spacing w:val="-11"/>
                <w:kern w:val="0"/>
                <w:sz w:val="21"/>
                <w:szCs w:val="21"/>
                <w:highlight w:val="none"/>
                <w:lang w:eastAsia="zh-CN"/>
              </w:rPr>
              <w:t>；</w:t>
            </w:r>
            <w:r>
              <w:rPr>
                <w:rFonts w:hint="eastAsia" w:ascii="仿宋_GB2312" w:hAnsi="仿宋_GB2312" w:eastAsia="仿宋_GB2312" w:cs="仿宋_GB2312"/>
                <w:color w:val="auto"/>
                <w:spacing w:val="-11"/>
                <w:sz w:val="21"/>
                <w:szCs w:val="21"/>
                <w:highlight w:val="none"/>
              </w:rPr>
              <w:t>已设置除臭设备未开启</w:t>
            </w:r>
            <w:r>
              <w:rPr>
                <w:rFonts w:hint="eastAsia" w:ascii="仿宋_GB2312" w:hAnsi="仿宋_GB2312" w:eastAsia="仿宋_GB2312" w:cs="仿宋_GB2312"/>
                <w:color w:val="auto"/>
                <w:spacing w:val="-11"/>
                <w:sz w:val="21"/>
                <w:szCs w:val="21"/>
                <w:highlight w:val="none"/>
                <w:lang w:eastAsia="zh-CN"/>
              </w:rPr>
              <w:t>的每次扣</w:t>
            </w:r>
            <w:r>
              <w:rPr>
                <w:rFonts w:hint="eastAsia" w:ascii="仿宋_GB2312" w:hAnsi="仿宋_GB2312" w:eastAsia="仿宋_GB2312" w:cs="仿宋_GB2312"/>
                <w:color w:val="auto"/>
                <w:spacing w:val="-11"/>
                <w:sz w:val="21"/>
                <w:szCs w:val="21"/>
                <w:highlight w:val="none"/>
              </w:rPr>
              <w:t>0.5分。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23</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疫情期间，未按要求落实</w:t>
            </w:r>
            <w:r>
              <w:rPr>
                <w:rFonts w:hint="eastAsia" w:ascii="仿宋_GB2312" w:hAnsi="仿宋_GB2312" w:eastAsia="仿宋_GB2312" w:cs="仿宋_GB2312"/>
                <w:color w:val="auto"/>
                <w:kern w:val="0"/>
                <w:sz w:val="21"/>
                <w:szCs w:val="21"/>
                <w:highlight w:val="none"/>
                <w:lang w:eastAsia="zh-CN"/>
              </w:rPr>
              <w:t>每日</w:t>
            </w:r>
            <w:r>
              <w:rPr>
                <w:rFonts w:hint="eastAsia" w:ascii="仿宋_GB2312" w:hAnsi="仿宋_GB2312" w:eastAsia="仿宋_GB2312" w:cs="仿宋_GB2312"/>
                <w:color w:val="auto"/>
                <w:kern w:val="0"/>
                <w:sz w:val="21"/>
                <w:szCs w:val="21"/>
                <w:highlight w:val="none"/>
                <w:lang w:val="en-US" w:eastAsia="zh-CN"/>
              </w:rPr>
              <w:t>2次</w:t>
            </w:r>
            <w:r>
              <w:rPr>
                <w:rFonts w:hint="eastAsia" w:ascii="仿宋_GB2312" w:hAnsi="仿宋_GB2312" w:eastAsia="仿宋_GB2312" w:cs="仿宋_GB2312"/>
                <w:color w:val="auto"/>
                <w:kern w:val="0"/>
                <w:sz w:val="21"/>
                <w:szCs w:val="21"/>
                <w:highlight w:val="none"/>
              </w:rPr>
              <w:t>消杀的，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扣1分。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8"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24</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pacing w:val="-11"/>
                <w:kern w:val="0"/>
                <w:sz w:val="21"/>
                <w:szCs w:val="21"/>
                <w:highlight w:val="none"/>
                <w:lang w:eastAsia="zh-CN"/>
              </w:rPr>
              <w:t>公厕大厅未设置分类垃圾桶（其他垃圾、可回收物），垃圾桶或纸篓满溢（超过</w:t>
            </w:r>
            <w:r>
              <w:rPr>
                <w:rFonts w:hint="eastAsia" w:ascii="仿宋_GB2312" w:hAnsi="仿宋_GB2312" w:eastAsia="仿宋_GB2312" w:cs="仿宋_GB2312"/>
                <w:color w:val="auto"/>
                <w:spacing w:val="-11"/>
                <w:kern w:val="0"/>
                <w:sz w:val="21"/>
                <w:szCs w:val="21"/>
                <w:highlight w:val="none"/>
                <w:lang w:val="en-US" w:eastAsia="zh-CN"/>
              </w:rPr>
              <w:t>2/3</w:t>
            </w:r>
            <w:r>
              <w:rPr>
                <w:rFonts w:hint="eastAsia" w:ascii="仿宋_GB2312" w:hAnsi="仿宋_GB2312" w:eastAsia="仿宋_GB2312" w:cs="仿宋_GB2312"/>
                <w:color w:val="auto"/>
                <w:spacing w:val="-11"/>
                <w:kern w:val="0"/>
                <w:sz w:val="21"/>
                <w:szCs w:val="21"/>
                <w:highlight w:val="none"/>
                <w:lang w:eastAsia="zh-CN"/>
              </w:rPr>
              <w:t>），疫情期间未按要求落实一客一清，每次扣0.5分。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2"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25</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未设置“五彩工具间”</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sz w:val="21"/>
                <w:szCs w:val="21"/>
                <w:highlight w:val="none"/>
              </w:rPr>
              <w:t>保洁拖把、抹布等工具摆放无序</w:t>
            </w:r>
            <w:r>
              <w:rPr>
                <w:rFonts w:hint="eastAsia" w:ascii="仿宋_GB2312" w:hAnsi="仿宋_GB2312" w:eastAsia="仿宋_GB2312" w:cs="仿宋_GB2312"/>
                <w:color w:val="auto"/>
                <w:sz w:val="21"/>
                <w:szCs w:val="21"/>
                <w:highlight w:val="none"/>
                <w:lang w:eastAsia="zh-CN"/>
              </w:rPr>
              <w:t>，每次扣</w:t>
            </w:r>
            <w:r>
              <w:rPr>
                <w:rFonts w:hint="eastAsia" w:ascii="仿宋_GB2312" w:hAnsi="仿宋_GB2312" w:eastAsia="仿宋_GB2312" w:cs="仿宋_GB2312"/>
                <w:color w:val="auto"/>
                <w:sz w:val="21"/>
                <w:szCs w:val="21"/>
                <w:highlight w:val="none"/>
                <w:lang w:val="en-US" w:eastAsia="zh-CN"/>
              </w:rPr>
              <w:t>0.5分。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0"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26</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私拉电线、乱接插头插座、裸露接线</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电瓶车充电、使用1200W</w:t>
            </w:r>
            <w:r>
              <w:rPr>
                <w:rFonts w:hint="eastAsia" w:ascii="仿宋_GB2312" w:hAnsi="仿宋_GB2312" w:eastAsia="仿宋_GB2312" w:cs="仿宋_GB2312"/>
                <w:color w:val="auto"/>
                <w:sz w:val="21"/>
                <w:szCs w:val="21"/>
                <w:highlight w:val="none"/>
                <w:lang w:eastAsia="zh-CN"/>
              </w:rPr>
              <w:t>以上</w:t>
            </w:r>
            <w:r>
              <w:rPr>
                <w:rFonts w:hint="eastAsia" w:ascii="仿宋_GB2312" w:hAnsi="仿宋_GB2312" w:eastAsia="仿宋_GB2312" w:cs="仿宋_GB2312"/>
                <w:color w:val="auto"/>
                <w:sz w:val="21"/>
                <w:szCs w:val="21"/>
                <w:highlight w:val="none"/>
              </w:rPr>
              <w:t>的大功率电器（电热毯、电暖炉、热得快等）、存放汽油、酒精等易燃、易爆物品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发现饮酒、打牌等行为的，</w:t>
            </w:r>
            <w:r>
              <w:rPr>
                <w:rFonts w:hint="eastAsia" w:ascii="仿宋_GB2312" w:hAnsi="仿宋_GB2312" w:eastAsia="仿宋_GB2312" w:cs="仿宋_GB2312"/>
                <w:color w:val="auto"/>
                <w:sz w:val="21"/>
                <w:szCs w:val="21"/>
                <w:highlight w:val="none"/>
                <w:lang w:eastAsia="zh-CN"/>
              </w:rPr>
              <w:t>每次</w:t>
            </w:r>
            <w:r>
              <w:rPr>
                <w:rFonts w:hint="eastAsia" w:ascii="仿宋_GB2312" w:hAnsi="仿宋_GB2312" w:eastAsia="仿宋_GB2312" w:cs="仿宋_GB2312"/>
                <w:color w:val="auto"/>
                <w:sz w:val="21"/>
                <w:szCs w:val="21"/>
                <w:highlight w:val="none"/>
              </w:rPr>
              <w:t>扣</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5"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27</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pacing w:val="-6"/>
                <w:kern w:val="0"/>
                <w:sz w:val="21"/>
                <w:szCs w:val="21"/>
                <w:highlight w:val="none"/>
              </w:rPr>
              <w:t>按保洁作业时间落实保洁，未落实专职保洁员，</w:t>
            </w:r>
            <w:r>
              <w:rPr>
                <w:rFonts w:hint="eastAsia" w:ascii="仿宋_GB2312" w:hAnsi="仿宋_GB2312" w:eastAsia="仿宋_GB2312" w:cs="仿宋_GB2312"/>
                <w:color w:val="auto"/>
                <w:spacing w:val="-6"/>
                <w:kern w:val="0"/>
                <w:sz w:val="21"/>
                <w:szCs w:val="21"/>
                <w:highlight w:val="none"/>
                <w:lang w:eastAsia="zh-CN"/>
              </w:rPr>
              <w:t>高标准</w:t>
            </w:r>
            <w:r>
              <w:rPr>
                <w:rFonts w:hint="eastAsia" w:ascii="仿宋_GB2312" w:hAnsi="仿宋_GB2312" w:eastAsia="仿宋_GB2312" w:cs="仿宋_GB2312"/>
                <w:color w:val="auto"/>
                <w:spacing w:val="-6"/>
                <w:kern w:val="0"/>
                <w:sz w:val="21"/>
                <w:szCs w:val="21"/>
                <w:highlight w:val="none"/>
              </w:rPr>
              <w:t>公厕未实行男、女分设保洁管理；保洁员脱岗，扣2分/处。</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5"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28</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管理房摆放杂乱无序</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不整洁，</w:t>
            </w:r>
            <w:r>
              <w:rPr>
                <w:rFonts w:hint="eastAsia" w:ascii="仿宋_GB2312" w:hAnsi="仿宋_GB2312" w:eastAsia="仿宋_GB2312" w:cs="仿宋_GB2312"/>
                <w:color w:val="auto"/>
                <w:kern w:val="0"/>
                <w:sz w:val="21"/>
                <w:szCs w:val="21"/>
                <w:highlight w:val="none"/>
                <w:lang w:eastAsia="zh-CN"/>
              </w:rPr>
              <w:t>灭火器缺失过期的，</w:t>
            </w:r>
            <w:r>
              <w:rPr>
                <w:rFonts w:hint="eastAsia" w:ascii="仿宋_GB2312" w:hAnsi="仿宋_GB2312" w:eastAsia="仿宋_GB2312" w:cs="仿宋_GB2312"/>
                <w:color w:val="auto"/>
                <w:sz w:val="21"/>
                <w:szCs w:val="21"/>
                <w:highlight w:val="none"/>
                <w:lang w:eastAsia="zh-CN"/>
              </w:rPr>
              <w:t>每次</w:t>
            </w:r>
            <w:r>
              <w:rPr>
                <w:rFonts w:hint="eastAsia" w:ascii="仿宋_GB2312" w:hAnsi="仿宋_GB2312" w:eastAsia="仿宋_GB2312" w:cs="仿宋_GB2312"/>
                <w:color w:val="auto"/>
                <w:sz w:val="21"/>
                <w:szCs w:val="21"/>
                <w:highlight w:val="none"/>
              </w:rPr>
              <w:t>扣</w:t>
            </w:r>
            <w:r>
              <w:rPr>
                <w:rFonts w:hint="eastAsia" w:ascii="仿宋_GB2312" w:hAnsi="仿宋_GB2312" w:eastAsia="仿宋_GB2312" w:cs="仿宋_GB2312"/>
                <w:color w:val="auto"/>
                <w:sz w:val="21"/>
                <w:szCs w:val="21"/>
                <w:highlight w:val="none"/>
                <w:lang w:val="en-US" w:eastAsia="zh-CN"/>
              </w:rPr>
              <w:t>0.5</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7"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29</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eastAsia="zh-CN"/>
              </w:rPr>
              <w:t>公厕内</w:t>
            </w:r>
            <w:r>
              <w:rPr>
                <w:rFonts w:hint="eastAsia" w:ascii="仿宋_GB2312" w:hAnsi="仿宋_GB2312" w:eastAsia="仿宋_GB2312" w:cs="仿宋_GB2312"/>
                <w:color w:val="auto"/>
                <w:kern w:val="0"/>
                <w:sz w:val="21"/>
                <w:szCs w:val="21"/>
                <w:highlight w:val="none"/>
              </w:rPr>
              <w:t>设施缺失、破损，</w:t>
            </w:r>
            <w:r>
              <w:rPr>
                <w:rFonts w:hint="eastAsia" w:ascii="仿宋_GB2312" w:hAnsi="仿宋_GB2312" w:eastAsia="仿宋_GB2312" w:cs="仿宋_GB2312"/>
                <w:color w:val="auto"/>
                <w:kern w:val="0"/>
                <w:sz w:val="21"/>
                <w:szCs w:val="21"/>
                <w:highlight w:val="none"/>
                <w:lang w:eastAsia="zh-CN"/>
              </w:rPr>
              <w:t>每处</w:t>
            </w:r>
            <w:r>
              <w:rPr>
                <w:rFonts w:hint="eastAsia" w:ascii="仿宋_GB2312" w:hAnsi="仿宋_GB2312" w:eastAsia="仿宋_GB2312" w:cs="仿宋_GB2312"/>
                <w:color w:val="auto"/>
                <w:kern w:val="0"/>
                <w:sz w:val="21"/>
                <w:szCs w:val="21"/>
                <w:highlight w:val="none"/>
              </w:rPr>
              <w:t>0.</w:t>
            </w:r>
            <w:r>
              <w:rPr>
                <w:rFonts w:hint="eastAsia" w:ascii="仿宋_GB2312" w:hAnsi="仿宋_GB2312" w:eastAsia="仿宋_GB2312" w:cs="仿宋_GB2312"/>
                <w:color w:val="auto"/>
                <w:kern w:val="0"/>
                <w:sz w:val="21"/>
                <w:szCs w:val="21"/>
                <w:highlight w:val="none"/>
                <w:lang w:val="en-US" w:eastAsia="zh-CN"/>
              </w:rPr>
              <w:t>5</w:t>
            </w:r>
            <w:r>
              <w:rPr>
                <w:rFonts w:hint="eastAsia" w:ascii="仿宋_GB2312" w:hAnsi="仿宋_GB2312" w:eastAsia="仿宋_GB2312" w:cs="仿宋_GB2312"/>
                <w:color w:val="auto"/>
                <w:kern w:val="0"/>
                <w:sz w:val="21"/>
                <w:szCs w:val="21"/>
                <w:highlight w:val="none"/>
              </w:rPr>
              <w:t>分/处。无障碍通道不能正常使用，</w:t>
            </w:r>
            <w:r>
              <w:rPr>
                <w:rFonts w:hint="eastAsia" w:ascii="仿宋_GB2312" w:hAnsi="仿宋_GB2312" w:eastAsia="仿宋_GB2312" w:cs="仿宋_GB2312"/>
                <w:color w:val="auto"/>
                <w:kern w:val="0"/>
                <w:sz w:val="21"/>
                <w:szCs w:val="21"/>
                <w:highlight w:val="none"/>
                <w:lang w:eastAsia="zh-CN"/>
              </w:rPr>
              <w:t>每处</w:t>
            </w:r>
            <w:r>
              <w:rPr>
                <w:rFonts w:hint="eastAsia" w:ascii="仿宋_GB2312" w:hAnsi="仿宋_GB2312" w:eastAsia="仿宋_GB2312" w:cs="仿宋_GB2312"/>
                <w:color w:val="auto"/>
                <w:kern w:val="0"/>
                <w:sz w:val="21"/>
                <w:szCs w:val="21"/>
                <w:highlight w:val="none"/>
              </w:rPr>
              <w:t>扣1分。</w:t>
            </w:r>
          </w:p>
        </w:tc>
        <w:tc>
          <w:tcPr>
            <w:tcW w:w="1349" w:type="dxa"/>
            <w:vMerge w:val="restart"/>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kern w:val="0"/>
                <w:sz w:val="21"/>
                <w:szCs w:val="21"/>
                <w:highlight w:val="none"/>
              </w:rPr>
              <w:t>设备破损需维修的，第一时间落实报备</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sz w:val="21"/>
                <w:szCs w:val="21"/>
                <w:highlight w:val="none"/>
              </w:rPr>
              <w:t>公示</w:t>
            </w:r>
            <w:r>
              <w:rPr>
                <w:rFonts w:hint="eastAsia" w:ascii="仿宋_GB2312" w:hAnsi="仿宋_GB2312" w:eastAsia="仿宋_GB2312" w:cs="仿宋_GB2312"/>
                <w:color w:val="auto"/>
                <w:sz w:val="21"/>
                <w:szCs w:val="21"/>
                <w:highlight w:val="none"/>
                <w:lang w:eastAsia="zh-CN"/>
              </w:rPr>
              <w:t>，一个工作日修复到</w:t>
            </w:r>
            <w:r>
              <w:rPr>
                <w:rFonts w:hint="eastAsia" w:ascii="仿宋_GB2312" w:hAnsi="仿宋_GB2312" w:eastAsia="仿宋_GB2312" w:cs="仿宋_GB2312"/>
                <w:color w:val="auto"/>
                <w:sz w:val="21"/>
                <w:szCs w:val="21"/>
                <w:highlight w:val="none"/>
              </w:rPr>
              <w:t>位免于扣分</w:t>
            </w:r>
            <w:r>
              <w:rPr>
                <w:rFonts w:hint="eastAsia" w:ascii="仿宋_GB2312" w:hAnsi="仿宋_GB2312" w:eastAsia="仿宋_GB2312" w:cs="仿宋_GB2312"/>
                <w:color w:val="auto"/>
                <w:sz w:val="21"/>
                <w:szCs w:val="21"/>
                <w:highlight w:val="none"/>
                <w:lang w:eastAsia="zh-CN"/>
              </w:rPr>
              <w:t>。</w:t>
            </w:r>
          </w:p>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4"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30</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未经审核同意，无故关闭公厕，</w:t>
            </w:r>
            <w:r>
              <w:rPr>
                <w:rFonts w:hint="eastAsia" w:ascii="仿宋_GB2312" w:hAnsi="仿宋_GB2312" w:eastAsia="仿宋_GB2312" w:cs="仿宋_GB2312"/>
                <w:color w:val="auto"/>
                <w:kern w:val="0"/>
                <w:sz w:val="21"/>
                <w:szCs w:val="21"/>
                <w:highlight w:val="none"/>
                <w:lang w:eastAsia="zh-CN"/>
              </w:rPr>
              <w:t>每次扣</w:t>
            </w:r>
            <w:r>
              <w:rPr>
                <w:rFonts w:hint="eastAsia" w:ascii="仿宋_GB2312" w:hAnsi="仿宋_GB2312" w:eastAsia="仿宋_GB2312" w:cs="仿宋_GB2312"/>
                <w:color w:val="auto"/>
                <w:kern w:val="0"/>
                <w:sz w:val="21"/>
                <w:szCs w:val="21"/>
                <w:highlight w:val="none"/>
                <w:lang w:val="en-US" w:eastAsia="zh-CN"/>
              </w:rPr>
              <w:t>3分；</w:t>
            </w:r>
            <w:r>
              <w:rPr>
                <w:rFonts w:hint="eastAsia" w:ascii="仿宋_GB2312" w:hAnsi="仿宋_GB2312" w:eastAsia="仿宋_GB2312" w:cs="仿宋_GB2312"/>
                <w:color w:val="auto"/>
                <w:sz w:val="21"/>
                <w:szCs w:val="21"/>
                <w:highlight w:val="none"/>
              </w:rPr>
              <w:t>无故关闭第三卫生间、无障碍间、男女厕位</w:t>
            </w:r>
            <w:r>
              <w:rPr>
                <w:rFonts w:hint="eastAsia" w:ascii="仿宋_GB2312" w:hAnsi="仿宋_GB2312" w:eastAsia="仿宋_GB2312" w:cs="仿宋_GB2312"/>
                <w:color w:val="auto"/>
                <w:kern w:val="0"/>
                <w:sz w:val="21"/>
                <w:szCs w:val="21"/>
                <w:highlight w:val="none"/>
              </w:rPr>
              <w:t>，</w:t>
            </w:r>
            <w:r>
              <w:rPr>
                <w:rFonts w:hint="eastAsia" w:ascii="仿宋_GB2312" w:hAnsi="仿宋_GB2312" w:eastAsia="仿宋_GB2312" w:cs="仿宋_GB2312"/>
                <w:color w:val="auto"/>
                <w:kern w:val="0"/>
                <w:sz w:val="21"/>
                <w:szCs w:val="21"/>
                <w:highlight w:val="none"/>
                <w:lang w:eastAsia="zh-CN"/>
              </w:rPr>
              <w:t>每次扣</w:t>
            </w:r>
            <w:r>
              <w:rPr>
                <w:rFonts w:hint="eastAsia" w:ascii="仿宋_GB2312" w:hAnsi="仿宋_GB2312" w:eastAsia="仿宋_GB2312" w:cs="仿宋_GB2312"/>
                <w:color w:val="auto"/>
                <w:kern w:val="0"/>
                <w:sz w:val="21"/>
                <w:szCs w:val="21"/>
                <w:highlight w:val="none"/>
                <w:lang w:val="en-US" w:eastAsia="zh-CN"/>
              </w:rPr>
              <w:t>1分</w:t>
            </w:r>
            <w:r>
              <w:rPr>
                <w:rFonts w:hint="eastAsia" w:ascii="仿宋_GB2312" w:hAnsi="仿宋_GB2312" w:eastAsia="仿宋_GB2312" w:cs="仿宋_GB2312"/>
                <w:color w:val="auto"/>
                <w:kern w:val="0"/>
                <w:sz w:val="21"/>
                <w:szCs w:val="21"/>
                <w:highlight w:val="none"/>
              </w:rPr>
              <w:t>。</w:t>
            </w:r>
          </w:p>
        </w:tc>
        <w:tc>
          <w:tcPr>
            <w:tcW w:w="134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4" w:hRule="exact"/>
          <w:jc w:val="center"/>
        </w:trPr>
        <w:tc>
          <w:tcPr>
            <w:tcW w:w="889" w:type="dxa"/>
            <w:vMerge w:val="restart"/>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合同履约（</w:t>
            </w:r>
            <w:r>
              <w:rPr>
                <w:rFonts w:hint="eastAsia" w:ascii="仿宋_GB2312" w:hAnsi="仿宋_GB2312" w:eastAsia="仿宋_GB2312" w:cs="仿宋_GB2312"/>
                <w:color w:val="auto"/>
                <w:sz w:val="21"/>
                <w:szCs w:val="21"/>
                <w:highlight w:val="none"/>
                <w:lang w:val="en-US" w:eastAsia="zh-CN"/>
              </w:rPr>
              <w:t>20</w:t>
            </w:r>
            <w:r>
              <w:rPr>
                <w:rFonts w:hint="eastAsia" w:ascii="仿宋_GB2312" w:hAnsi="仿宋_GB2312" w:eastAsia="仿宋_GB2312" w:cs="仿宋_GB2312"/>
                <w:color w:val="auto"/>
                <w:sz w:val="21"/>
                <w:szCs w:val="21"/>
                <w:highlight w:val="none"/>
                <w:lang w:eastAsia="zh-CN"/>
              </w:rPr>
              <w:t>）</w:t>
            </w:r>
          </w:p>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31</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管理团队主要负责人到位情况与投标文件及合同约定不一致的，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扣1分；管理团队技术负责人等骨干人员到位情况与投标文件及合同约定不一致的，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扣0.</w:t>
            </w:r>
            <w:r>
              <w:rPr>
                <w:rFonts w:hint="eastAsia" w:ascii="仿宋_GB2312" w:hAnsi="仿宋_GB2312" w:eastAsia="仿宋_GB2312" w:cs="仿宋_GB2312"/>
                <w:color w:val="auto"/>
                <w:kern w:val="0"/>
                <w:sz w:val="21"/>
                <w:szCs w:val="21"/>
                <w:highlight w:val="none"/>
                <w:lang w:val="en-US" w:eastAsia="zh-CN"/>
              </w:rPr>
              <w:t>5</w:t>
            </w:r>
            <w:r>
              <w:rPr>
                <w:rFonts w:hint="eastAsia" w:ascii="仿宋_GB2312" w:hAnsi="仿宋_GB2312" w:eastAsia="仿宋_GB2312" w:cs="仿宋_GB2312"/>
                <w:color w:val="auto"/>
                <w:kern w:val="0"/>
                <w:sz w:val="21"/>
                <w:szCs w:val="21"/>
                <w:highlight w:val="none"/>
              </w:rPr>
              <w:t>分</w:t>
            </w:r>
            <w:r>
              <w:rPr>
                <w:rFonts w:hint="eastAsia" w:ascii="仿宋_GB2312" w:hAnsi="仿宋_GB2312" w:eastAsia="仿宋_GB2312" w:cs="仿宋_GB2312"/>
                <w:color w:val="auto"/>
                <w:kern w:val="0"/>
                <w:sz w:val="21"/>
                <w:szCs w:val="21"/>
                <w:highlight w:val="none"/>
                <w:lang w:eastAsia="zh-CN"/>
              </w:rPr>
              <w:t>。</w:t>
            </w:r>
          </w:p>
        </w:tc>
        <w:tc>
          <w:tcPr>
            <w:tcW w:w="134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3"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32</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实际作业人员投入到位人数缺口小于合同人数10%（含）的，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扣1分；人数缺口大于合同人数10%小于20%（含）的，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扣2分；人数缺口大于合同人数20%的，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扣3分</w:t>
            </w:r>
            <w:r>
              <w:rPr>
                <w:rFonts w:hint="eastAsia" w:ascii="仿宋_GB2312" w:hAnsi="仿宋_GB2312" w:eastAsia="仿宋_GB2312" w:cs="仿宋_GB2312"/>
                <w:color w:val="auto"/>
                <w:kern w:val="0"/>
                <w:sz w:val="21"/>
                <w:szCs w:val="21"/>
                <w:highlight w:val="none"/>
                <w:lang w:eastAsia="zh-CN"/>
              </w:rPr>
              <w:t>。</w:t>
            </w:r>
          </w:p>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val="en-US" w:eastAsia="zh-CN"/>
              </w:rPr>
            </w:pP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3"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33</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超龄人员工资、加班费标准低于普通职工10%（含）的，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扣0.5分；大于10%小于20%（含）的，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扣1分；大于20%的，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扣2分。</w:t>
            </w:r>
          </w:p>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val="en-US" w:eastAsia="zh-CN"/>
              </w:rPr>
            </w:pP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4"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34</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车辆</w:t>
            </w:r>
            <w:r>
              <w:rPr>
                <w:rFonts w:hint="eastAsia" w:ascii="仿宋_GB2312" w:hAnsi="仿宋_GB2312" w:eastAsia="仿宋_GB2312" w:cs="仿宋_GB2312"/>
                <w:color w:val="auto"/>
                <w:kern w:val="0"/>
                <w:sz w:val="21"/>
                <w:szCs w:val="21"/>
                <w:highlight w:val="none"/>
                <w:lang w:eastAsia="zh-CN"/>
              </w:rPr>
              <w:t>设备</w:t>
            </w:r>
            <w:r>
              <w:rPr>
                <w:rFonts w:hint="eastAsia" w:ascii="仿宋_GB2312" w:hAnsi="仿宋_GB2312" w:eastAsia="仿宋_GB2312" w:cs="仿宋_GB2312"/>
                <w:color w:val="auto"/>
                <w:kern w:val="0"/>
                <w:sz w:val="21"/>
                <w:szCs w:val="21"/>
                <w:highlight w:val="none"/>
              </w:rPr>
              <w:t>投入数量缺口小于10%（含）的，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扣1分</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车辆数量缺口大于10%小于20%（含）的，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扣2分；车辆数量缺口大于20%的，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扣3分；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7"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35</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作业单位新能源或清洁能源车辆未达到车辆总数30%以上的情况下，新增更新车辆非新能源或清洁能源的，</w:t>
            </w:r>
            <w:r>
              <w:rPr>
                <w:rFonts w:hint="eastAsia" w:ascii="仿宋_GB2312" w:hAnsi="仿宋_GB2312" w:eastAsia="仿宋_GB2312" w:cs="仿宋_GB2312"/>
                <w:color w:val="auto"/>
                <w:kern w:val="0"/>
                <w:sz w:val="21"/>
                <w:szCs w:val="21"/>
                <w:highlight w:val="none"/>
                <w:lang w:eastAsia="zh-CN"/>
              </w:rPr>
              <w:t>每辆</w:t>
            </w:r>
            <w:r>
              <w:rPr>
                <w:rFonts w:hint="eastAsia" w:ascii="仿宋_GB2312" w:hAnsi="仿宋_GB2312" w:eastAsia="仿宋_GB2312" w:cs="仿宋_GB2312"/>
                <w:color w:val="auto"/>
                <w:kern w:val="0"/>
                <w:sz w:val="21"/>
                <w:szCs w:val="21"/>
                <w:highlight w:val="none"/>
              </w:rPr>
              <w:t>扣0.5分。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36</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作业车辆未在合同约定时间内安装车辆定位系统，接入指定平台的每辆扣</w:t>
            </w:r>
            <w:r>
              <w:rPr>
                <w:rFonts w:hint="eastAsia" w:ascii="仿宋_GB2312" w:hAnsi="仿宋_GB2312" w:eastAsia="仿宋_GB2312" w:cs="仿宋_GB2312"/>
                <w:color w:val="auto"/>
                <w:kern w:val="0"/>
                <w:sz w:val="21"/>
                <w:szCs w:val="21"/>
                <w:highlight w:val="none"/>
                <w:lang w:val="en-US" w:eastAsia="zh-CN"/>
              </w:rPr>
              <w:t>1分。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37</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未按投标文件及合同约定规范安排人员排班计划</w:t>
            </w:r>
            <w:r>
              <w:rPr>
                <w:rFonts w:hint="eastAsia" w:ascii="仿宋_GB2312" w:hAnsi="仿宋_GB2312" w:eastAsia="仿宋_GB2312" w:cs="仿宋_GB2312"/>
                <w:color w:val="auto"/>
                <w:kern w:val="0"/>
                <w:sz w:val="21"/>
                <w:szCs w:val="21"/>
                <w:highlight w:val="none"/>
                <w:lang w:eastAsia="zh-CN"/>
              </w:rPr>
              <w:t>和车辆作业计划</w:t>
            </w:r>
            <w:r>
              <w:rPr>
                <w:rFonts w:hint="eastAsia" w:ascii="仿宋_GB2312" w:hAnsi="仿宋_GB2312" w:eastAsia="仿宋_GB2312" w:cs="仿宋_GB2312"/>
                <w:color w:val="auto"/>
                <w:kern w:val="0"/>
                <w:sz w:val="21"/>
                <w:szCs w:val="21"/>
                <w:highlight w:val="none"/>
              </w:rPr>
              <w:t>，扣1分/次。</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4"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38</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未按投标文件及合同约定制定安全生产制度的，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扣1分；组织安全生产全员培训每</w:t>
            </w:r>
            <w:r>
              <w:rPr>
                <w:rFonts w:hint="eastAsia" w:ascii="仿宋_GB2312" w:hAnsi="仿宋_GB2312" w:eastAsia="仿宋_GB2312" w:cs="仿宋_GB2312"/>
                <w:color w:val="auto"/>
                <w:kern w:val="0"/>
                <w:sz w:val="21"/>
                <w:szCs w:val="21"/>
                <w:highlight w:val="none"/>
                <w:lang w:eastAsia="zh-CN"/>
              </w:rPr>
              <w:t>季</w:t>
            </w:r>
            <w:r>
              <w:rPr>
                <w:rFonts w:hint="eastAsia" w:ascii="仿宋_GB2312" w:hAnsi="仿宋_GB2312" w:eastAsia="仿宋_GB2312" w:cs="仿宋_GB2312"/>
                <w:color w:val="auto"/>
                <w:kern w:val="0"/>
                <w:sz w:val="21"/>
                <w:szCs w:val="21"/>
                <w:highlight w:val="none"/>
              </w:rPr>
              <w:t>少于</w:t>
            </w:r>
            <w:r>
              <w:rPr>
                <w:rFonts w:hint="eastAsia" w:ascii="仿宋_GB2312" w:hAnsi="仿宋_GB2312" w:eastAsia="仿宋_GB2312" w:cs="仿宋_GB2312"/>
                <w:color w:val="auto"/>
                <w:kern w:val="0"/>
                <w:sz w:val="21"/>
                <w:szCs w:val="21"/>
                <w:highlight w:val="none"/>
                <w:lang w:val="en-US" w:eastAsia="zh-CN"/>
              </w:rPr>
              <w:t>1</w:t>
            </w:r>
            <w:r>
              <w:rPr>
                <w:rFonts w:hint="eastAsia" w:ascii="仿宋_GB2312" w:hAnsi="仿宋_GB2312" w:eastAsia="仿宋_GB2312" w:cs="仿宋_GB2312"/>
                <w:color w:val="auto"/>
                <w:kern w:val="0"/>
                <w:sz w:val="21"/>
                <w:szCs w:val="21"/>
                <w:highlight w:val="none"/>
              </w:rPr>
              <w:t>次的，每次扣0.5分。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8" w:hRule="exact"/>
          <w:jc w:val="center"/>
        </w:trPr>
        <w:tc>
          <w:tcPr>
            <w:tcW w:w="889" w:type="dxa"/>
            <w:vMerge w:val="restart"/>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应急响应（20）</w:t>
            </w: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39</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未按投标文件及合同约定制定城市保障（防汛抗台、抗雪防冻、突发事件等）应急预案的，扣2分；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40</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未按投标文件及合同约定定期组织应急演练少于每年2次的，每少一次扣1分。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5"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41</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在防汛抗台、防冻抗雪、突发事件、重要活动等应急保障中，不响应的，每发生一次扣</w:t>
            </w:r>
            <w:r>
              <w:rPr>
                <w:rFonts w:hint="eastAsia" w:ascii="仿宋_GB2312" w:hAnsi="仿宋_GB2312" w:eastAsia="仿宋_GB2312" w:cs="仿宋_GB2312"/>
                <w:color w:val="auto"/>
                <w:kern w:val="0"/>
                <w:sz w:val="21"/>
                <w:szCs w:val="21"/>
                <w:highlight w:val="none"/>
                <w:lang w:val="en-US" w:eastAsia="zh-CN"/>
              </w:rPr>
              <w:t>2</w:t>
            </w:r>
            <w:r>
              <w:rPr>
                <w:rFonts w:hint="eastAsia" w:ascii="仿宋_GB2312" w:hAnsi="仿宋_GB2312" w:eastAsia="仿宋_GB2312" w:cs="仿宋_GB2312"/>
                <w:color w:val="auto"/>
                <w:kern w:val="0"/>
                <w:sz w:val="21"/>
                <w:szCs w:val="21"/>
                <w:highlight w:val="none"/>
                <w:lang w:eastAsia="zh-CN"/>
              </w:rPr>
              <w:t>分；响应不到位的，每发生一次扣</w:t>
            </w:r>
            <w:r>
              <w:rPr>
                <w:rFonts w:hint="eastAsia" w:ascii="仿宋_GB2312" w:hAnsi="仿宋_GB2312" w:eastAsia="仿宋_GB2312" w:cs="仿宋_GB2312"/>
                <w:color w:val="auto"/>
                <w:kern w:val="0"/>
                <w:sz w:val="21"/>
                <w:szCs w:val="21"/>
                <w:highlight w:val="none"/>
                <w:lang w:val="en-US" w:eastAsia="zh-CN"/>
              </w:rPr>
              <w:t>1</w:t>
            </w:r>
            <w:r>
              <w:rPr>
                <w:rFonts w:hint="eastAsia" w:ascii="仿宋_GB2312" w:hAnsi="仿宋_GB2312" w:eastAsia="仿宋_GB2312" w:cs="仿宋_GB2312"/>
                <w:color w:val="auto"/>
                <w:kern w:val="0"/>
                <w:sz w:val="21"/>
                <w:szCs w:val="21"/>
                <w:highlight w:val="none"/>
                <w:lang w:eastAsia="zh-CN"/>
              </w:rPr>
              <w:t>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8" w:hRule="exact"/>
          <w:jc w:val="center"/>
        </w:trPr>
        <w:tc>
          <w:tcPr>
            <w:tcW w:w="889" w:type="dxa"/>
            <w:vMerge w:val="restart"/>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正负</w:t>
            </w:r>
            <w:r>
              <w:rPr>
                <w:rFonts w:hint="eastAsia" w:ascii="仿宋_GB2312" w:hAnsi="仿宋_GB2312" w:eastAsia="仿宋_GB2312" w:cs="仿宋_GB2312"/>
                <w:color w:val="auto"/>
                <w:sz w:val="21"/>
                <w:szCs w:val="21"/>
                <w:highlight w:val="none"/>
                <w:lang w:val="en-US" w:eastAsia="zh-CN"/>
              </w:rPr>
              <w:t>清单</w:t>
            </w: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42</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发生无人员死亡有责安全生产事故的，每起扣0.5分；发生1人（含）以下人员死亡有责安全生产事故的，每起扣1分；发生2人（含）以下人员死亡有责安全生产事故的，每起扣3分；</w:t>
            </w:r>
          </w:p>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sz w:val="21"/>
                <w:szCs w:val="21"/>
                <w:highlight w:val="none"/>
                <w:lang w:eastAsia="zh-CN"/>
              </w:rPr>
            </w:pP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6"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43</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在杭州市范围内因员工薪酬及权益保障方面的投诉、群体性事件，被劳动保障部门处罚及被区级及以上环卫主管部门批评或通报的,因有责原因被市领导以上批评或者被媒体曝光造成不良社会影响的，每次扣</w:t>
            </w:r>
            <w:r>
              <w:rPr>
                <w:rFonts w:hint="eastAsia" w:ascii="仿宋_GB2312" w:hAnsi="仿宋_GB2312" w:eastAsia="仿宋_GB2312" w:cs="仿宋_GB2312"/>
                <w:color w:val="auto"/>
                <w:kern w:val="0"/>
                <w:sz w:val="21"/>
                <w:szCs w:val="21"/>
                <w:highlight w:val="none"/>
                <w:lang w:val="en-US" w:eastAsia="zh-CN"/>
              </w:rPr>
              <w:t>2分。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44</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环卫工人有见义勇为、拾金不昧等先进事迹，经确认属实的，根据正能量程度每件次加0.1～0.5分。</w:t>
            </w:r>
          </w:p>
        </w:tc>
        <w:tc>
          <w:tcPr>
            <w:tcW w:w="1349" w:type="dxa"/>
            <w:vAlign w:val="center"/>
          </w:tcPr>
          <w:p>
            <w:pPr>
              <w:widowControl/>
              <w:wordWrap/>
              <w:spacing w:line="570" w:lineRule="exact"/>
              <w:ind w:right="0"/>
              <w:jc w:val="left"/>
              <w:textAlignment w:val="center"/>
              <w:outlineLvl w:val="9"/>
              <w:rPr>
                <w:rFonts w:hint="eastAsia" w:ascii="仿宋_GB2312" w:hAnsi="仿宋_GB2312" w:eastAsia="仿宋_GB2312" w:cs="仿宋_GB2312"/>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6"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45</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积极提供环卫宣传报道素材（图片、文字等），经区环卫保障中心审核，被录用正面宣传报道的，区级媒体每件次加0.1分，市级媒体每件次加0.2分，省级媒体每件次加0.5分，国家级媒体每件次加1分，同一事项以最高加分项计。</w:t>
            </w:r>
          </w:p>
        </w:tc>
        <w:tc>
          <w:tcPr>
            <w:tcW w:w="1349" w:type="dxa"/>
            <w:vAlign w:val="center"/>
          </w:tcPr>
          <w:p>
            <w:pPr>
              <w:widowControl/>
              <w:wordWrap/>
              <w:spacing w:line="570" w:lineRule="exact"/>
              <w:ind w:right="0"/>
              <w:jc w:val="left"/>
              <w:textAlignment w:val="center"/>
              <w:outlineLvl w:val="9"/>
              <w:rPr>
                <w:rFonts w:hint="eastAsia" w:ascii="仿宋_GB2312" w:hAnsi="仿宋_GB2312" w:eastAsia="仿宋_GB2312" w:cs="仿宋_GB2312"/>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0"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46</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在投标承诺和合同约定项目以外，积极协助环卫部门举办重要活动或完成重要任务的，区级项目每个加0.3分，市级项目每个加0.5分，省级项目每个加0.7分，国家级项目每个加1分。</w:t>
            </w:r>
          </w:p>
        </w:tc>
        <w:tc>
          <w:tcPr>
            <w:tcW w:w="1349" w:type="dxa"/>
            <w:vAlign w:val="center"/>
          </w:tcPr>
          <w:p>
            <w:pPr>
              <w:widowControl/>
              <w:wordWrap/>
              <w:spacing w:line="570" w:lineRule="exact"/>
              <w:ind w:right="0"/>
              <w:jc w:val="left"/>
              <w:textAlignment w:val="center"/>
              <w:outlineLvl w:val="9"/>
              <w:rPr>
                <w:rFonts w:hint="eastAsia" w:ascii="仿宋_GB2312" w:hAnsi="仿宋_GB2312" w:eastAsia="仿宋_GB2312" w:cs="仿宋_GB2312"/>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7"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47</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eastAsia="zh-CN"/>
              </w:rPr>
            </w:pPr>
            <w:r>
              <w:rPr>
                <w:rFonts w:hint="eastAsia" w:ascii="仿宋_GB2312" w:eastAsia="仿宋_GB2312"/>
                <w:color w:val="auto"/>
                <w:spacing w:val="-8"/>
                <w:szCs w:val="21"/>
                <w:highlight w:val="none"/>
                <w:lang w:eastAsia="zh-CN"/>
              </w:rPr>
              <w:t>市级</w:t>
            </w:r>
            <w:r>
              <w:rPr>
                <w:rFonts w:hint="eastAsia" w:ascii="仿宋_GB2312" w:eastAsia="仿宋_GB2312"/>
                <w:color w:val="auto"/>
                <w:spacing w:val="-8"/>
                <w:szCs w:val="21"/>
                <w:highlight w:val="none"/>
                <w:lang w:val="en-US" w:eastAsia="zh-CN"/>
              </w:rPr>
              <w:t>领导</w:t>
            </w:r>
            <w:r>
              <w:rPr>
                <w:rFonts w:hint="eastAsia" w:ascii="仿宋_GB2312" w:eastAsia="仿宋_GB2312"/>
                <w:color w:val="auto"/>
                <w:spacing w:val="-8"/>
                <w:szCs w:val="21"/>
                <w:highlight w:val="none"/>
                <w:lang w:eastAsia="zh-CN"/>
              </w:rPr>
              <w:t>及以上批示表扬的每次加</w:t>
            </w:r>
            <w:r>
              <w:rPr>
                <w:rFonts w:hint="eastAsia" w:ascii="仿宋_GB2312" w:eastAsia="仿宋_GB2312"/>
                <w:color w:val="auto"/>
                <w:spacing w:val="-8"/>
                <w:szCs w:val="21"/>
                <w:highlight w:val="none"/>
                <w:lang w:val="en-US" w:eastAsia="zh-CN"/>
              </w:rPr>
              <w:t>1分，批评的每次扣1分；</w:t>
            </w:r>
            <w:r>
              <w:rPr>
                <w:rFonts w:hint="eastAsia" w:ascii="仿宋_GB2312" w:eastAsia="仿宋_GB2312"/>
                <w:color w:val="auto"/>
                <w:spacing w:val="-8"/>
                <w:szCs w:val="21"/>
                <w:highlight w:val="none"/>
                <w:lang w:eastAsia="zh-CN"/>
              </w:rPr>
              <w:t>区级</w:t>
            </w:r>
            <w:r>
              <w:rPr>
                <w:rFonts w:hint="eastAsia" w:ascii="仿宋_GB2312" w:eastAsia="仿宋_GB2312"/>
                <w:color w:val="auto"/>
                <w:spacing w:val="-8"/>
                <w:szCs w:val="21"/>
                <w:highlight w:val="none"/>
                <w:lang w:val="en-US" w:eastAsia="zh-CN"/>
              </w:rPr>
              <w:t>主要领导</w:t>
            </w:r>
            <w:r>
              <w:rPr>
                <w:rFonts w:hint="eastAsia" w:ascii="仿宋_GB2312" w:eastAsia="仿宋_GB2312"/>
                <w:color w:val="auto"/>
                <w:spacing w:val="-8"/>
                <w:szCs w:val="21"/>
                <w:highlight w:val="none"/>
                <w:lang w:eastAsia="zh-CN"/>
              </w:rPr>
              <w:t>批示表扬的每次加</w:t>
            </w:r>
            <w:r>
              <w:rPr>
                <w:rFonts w:hint="eastAsia" w:ascii="仿宋_GB2312" w:eastAsia="仿宋_GB2312"/>
                <w:color w:val="auto"/>
                <w:spacing w:val="-8"/>
                <w:szCs w:val="21"/>
                <w:highlight w:val="none"/>
                <w:lang w:val="en-US" w:eastAsia="zh-CN"/>
              </w:rPr>
              <w:t>0.5分，批评的每次扣0.5分。</w:t>
            </w:r>
          </w:p>
        </w:tc>
        <w:tc>
          <w:tcPr>
            <w:tcW w:w="1349" w:type="dxa"/>
            <w:vAlign w:val="center"/>
          </w:tcPr>
          <w:p>
            <w:pPr>
              <w:widowControl/>
              <w:wordWrap/>
              <w:spacing w:line="570" w:lineRule="exact"/>
              <w:ind w:right="0"/>
              <w:jc w:val="left"/>
              <w:textAlignment w:val="center"/>
              <w:outlineLvl w:val="9"/>
              <w:rPr>
                <w:rFonts w:hint="eastAsia" w:ascii="仿宋_GB2312" w:hAnsi="仿宋_GB2312" w:eastAsia="仿宋_GB2312" w:cs="仿宋_GB2312"/>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7" w:hRule="exact"/>
          <w:jc w:val="center"/>
        </w:trPr>
        <w:tc>
          <w:tcPr>
            <w:tcW w:w="1678" w:type="dxa"/>
            <w:gridSpan w:val="2"/>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备注</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正负面分数累计加减分分别不高于3分，超过按3分计入。</w:t>
            </w:r>
          </w:p>
        </w:tc>
        <w:tc>
          <w:tcPr>
            <w:tcW w:w="1349" w:type="dxa"/>
            <w:vAlign w:val="center"/>
          </w:tcPr>
          <w:p>
            <w:pPr>
              <w:widowControl/>
              <w:wordWrap/>
              <w:spacing w:line="570" w:lineRule="exact"/>
              <w:ind w:right="0"/>
              <w:jc w:val="left"/>
              <w:textAlignment w:val="center"/>
              <w:outlineLvl w:val="9"/>
              <w:rPr>
                <w:rFonts w:hint="eastAsia" w:ascii="仿宋_GB2312" w:hAnsi="仿宋_GB2312" w:eastAsia="仿宋_GB2312" w:cs="仿宋_GB2312"/>
                <w:color w:val="auto"/>
                <w:sz w:val="24"/>
                <w:szCs w:val="28"/>
                <w:highlight w:val="none"/>
              </w:rPr>
            </w:pPr>
          </w:p>
        </w:tc>
      </w:tr>
    </w:tbl>
    <w:p>
      <w:pPr>
        <w:numPr>
          <w:ilvl w:val="0"/>
          <w:numId w:val="0"/>
        </w:numPr>
        <w:wordWrap/>
        <w:spacing w:line="570" w:lineRule="exact"/>
        <w:ind w:right="0"/>
        <w:jc w:val="left"/>
        <w:outlineLvl w:val="9"/>
        <w:rPr>
          <w:rFonts w:hint="eastAsia" w:ascii="仿宋_GB2312" w:eastAsia="仿宋_GB2312"/>
          <w:color w:val="auto"/>
          <w:sz w:val="32"/>
          <w:szCs w:val="32"/>
          <w:highlight w:val="none"/>
        </w:rPr>
      </w:pPr>
      <w:r>
        <w:rPr>
          <w:rFonts w:hint="eastAsia" w:ascii="方正小标宋_GBK" w:hAnsi="宋体" w:eastAsia="方正小标宋_GBK" w:cs="宋体"/>
          <w:b w:val="0"/>
          <w:bCs/>
          <w:color w:val="auto"/>
          <w:sz w:val="32"/>
          <w:szCs w:val="32"/>
          <w:highlight w:val="none"/>
          <w:lang w:eastAsia="zh-CN"/>
        </w:rPr>
        <w:br w:type="page"/>
      </w:r>
    </w:p>
    <w:p>
      <w:pPr>
        <w:pStyle w:val="623"/>
        <w:rPr>
          <w:color w:val="auto"/>
          <w:highlight w:val="none"/>
        </w:rPr>
      </w:pPr>
    </w:p>
    <w:p>
      <w:pPr>
        <w:pStyle w:val="623"/>
        <w:ind w:left="0" w:leftChars="0" w:firstLine="0" w:firstLineChars="0"/>
        <w:rPr>
          <w:color w:val="auto"/>
          <w:highlight w:val="none"/>
        </w:rPr>
      </w:pPr>
    </w:p>
    <w:p>
      <w:pPr>
        <w:numPr>
          <w:ilvl w:val="0"/>
          <w:numId w:val="0"/>
        </w:numPr>
        <w:wordWrap/>
        <w:spacing w:line="570" w:lineRule="exact"/>
        <w:ind w:right="0"/>
        <w:jc w:val="center"/>
        <w:outlineLvl w:val="9"/>
        <w:rPr>
          <w:rFonts w:hint="eastAsia" w:ascii="仿宋_GB2312" w:hAnsi="仿宋_GB2312" w:eastAsia="仿宋_GB2312" w:cs="仿宋_GB2312"/>
          <w:b/>
          <w:color w:val="auto"/>
          <w:szCs w:val="21"/>
          <w:highlight w:val="none"/>
        </w:rPr>
      </w:pPr>
      <w:r>
        <w:rPr>
          <w:rFonts w:hint="eastAsia" w:ascii="方正小标宋_GBK" w:eastAsia="方正小标宋_GBK"/>
          <w:b w:val="0"/>
          <w:bCs w:val="0"/>
          <w:color w:val="auto"/>
          <w:sz w:val="32"/>
          <w:szCs w:val="32"/>
          <w:highlight w:val="none"/>
          <w:lang w:eastAsia="zh-CN"/>
        </w:rPr>
        <w:t>临平</w:t>
      </w:r>
      <w:r>
        <w:rPr>
          <w:rFonts w:hint="eastAsia" w:ascii="方正小标宋_GBK" w:eastAsia="方正小标宋_GBK"/>
          <w:b w:val="0"/>
          <w:bCs w:val="0"/>
          <w:color w:val="auto"/>
          <w:sz w:val="32"/>
          <w:szCs w:val="32"/>
          <w:highlight w:val="none"/>
        </w:rPr>
        <w:t>区绿化</w:t>
      </w:r>
      <w:r>
        <w:rPr>
          <w:rFonts w:hint="eastAsia" w:ascii="方正小标宋_GBK" w:hAnsi="宋体" w:eastAsia="方正小标宋_GBK" w:cs="宋体"/>
          <w:b w:val="0"/>
          <w:bCs/>
          <w:color w:val="auto"/>
          <w:sz w:val="32"/>
          <w:szCs w:val="32"/>
          <w:highlight w:val="none"/>
          <w:lang w:eastAsia="zh-CN"/>
        </w:rPr>
        <w:t>考核</w:t>
      </w:r>
      <w:r>
        <w:rPr>
          <w:rFonts w:hint="eastAsia" w:ascii="方正小标宋_GBK" w:eastAsia="方正小标宋_GBK"/>
          <w:b w:val="0"/>
          <w:bCs w:val="0"/>
          <w:color w:val="auto"/>
          <w:sz w:val="32"/>
          <w:szCs w:val="32"/>
          <w:highlight w:val="none"/>
        </w:rPr>
        <w:t>评分细则</w:t>
      </w:r>
      <w:r>
        <w:rPr>
          <w:rFonts w:hint="eastAsia" w:ascii="方正小标宋_GBK" w:eastAsia="方正小标宋_GBK"/>
          <w:b w:val="0"/>
          <w:bCs w:val="0"/>
          <w:color w:val="auto"/>
          <w:sz w:val="32"/>
          <w:szCs w:val="32"/>
          <w:highlight w:val="none"/>
          <w:lang w:val="en-US" w:eastAsia="zh-CN"/>
        </w:rPr>
        <w:t xml:space="preserve"> （参照）</w:t>
      </w:r>
    </w:p>
    <w:tbl>
      <w:tblPr>
        <w:tblStyle w:val="70"/>
        <w:tblW w:w="90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1"/>
        <w:gridCol w:w="839"/>
        <w:gridCol w:w="6372"/>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hint="eastAsia" w:ascii="黑体" w:hAnsi="黑体" w:eastAsia="黑体" w:cs="黑体"/>
                <w:b w:val="0"/>
                <w:bCs/>
                <w:color w:val="auto"/>
                <w:kern w:val="0"/>
                <w:sz w:val="24"/>
                <w:szCs w:val="24"/>
                <w:highlight w:val="none"/>
              </w:rPr>
            </w:pPr>
            <w:r>
              <w:rPr>
                <w:rFonts w:hint="eastAsia" w:ascii="黑体" w:hAnsi="黑体" w:eastAsia="黑体" w:cs="黑体"/>
                <w:b w:val="0"/>
                <w:bCs/>
                <w:color w:val="auto"/>
                <w:kern w:val="0"/>
                <w:sz w:val="24"/>
                <w:szCs w:val="24"/>
                <w:highlight w:val="none"/>
              </w:rPr>
              <w:t>考核</w:t>
            </w:r>
            <w:r>
              <w:rPr>
                <w:rFonts w:hint="eastAsia" w:ascii="黑体" w:hAnsi="黑体" w:eastAsia="黑体" w:cs="黑体"/>
                <w:b w:val="0"/>
                <w:bCs/>
                <w:color w:val="auto"/>
                <w:sz w:val="24"/>
                <w:szCs w:val="24"/>
                <w:highlight w:val="none"/>
              </w:rPr>
              <w:t>内容</w:t>
            </w:r>
          </w:p>
        </w:tc>
        <w:tc>
          <w:tcPr>
            <w:tcW w:w="6372" w:type="dxa"/>
            <w:tcBorders>
              <w:top w:val="single" w:color="auto" w:sz="4" w:space="0"/>
              <w:left w:val="nil"/>
              <w:bottom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hint="eastAsia" w:ascii="黑体" w:hAnsi="黑体" w:eastAsia="黑体" w:cs="黑体"/>
                <w:b w:val="0"/>
                <w:bCs/>
                <w:color w:val="auto"/>
                <w:kern w:val="0"/>
                <w:sz w:val="24"/>
                <w:szCs w:val="24"/>
                <w:highlight w:val="none"/>
              </w:rPr>
            </w:pPr>
            <w:r>
              <w:rPr>
                <w:rFonts w:hint="eastAsia" w:ascii="黑体" w:hAnsi="黑体" w:eastAsia="黑体" w:cs="黑体"/>
                <w:b w:val="0"/>
                <w:bCs/>
                <w:color w:val="auto"/>
                <w:kern w:val="0"/>
                <w:sz w:val="24"/>
                <w:szCs w:val="24"/>
                <w:highlight w:val="none"/>
              </w:rPr>
              <w:t>评分细则</w:t>
            </w:r>
          </w:p>
        </w:tc>
        <w:tc>
          <w:tcPr>
            <w:tcW w:w="1095" w:type="dxa"/>
            <w:tcBorders>
              <w:top w:val="single" w:color="auto" w:sz="4" w:space="0"/>
              <w:left w:val="nil"/>
              <w:bottom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hint="eastAsia" w:ascii="黑体" w:hAnsi="黑体" w:eastAsia="黑体" w:cs="黑体"/>
                <w:b w:val="0"/>
                <w:bCs/>
                <w:color w:val="auto"/>
                <w:kern w:val="0"/>
                <w:sz w:val="24"/>
                <w:szCs w:val="24"/>
                <w:highlight w:val="none"/>
              </w:rPr>
            </w:pPr>
            <w:r>
              <w:rPr>
                <w:rFonts w:hint="eastAsia" w:ascii="黑体" w:hAnsi="黑体" w:eastAsia="黑体" w:cs="黑体"/>
                <w:b w:val="0"/>
                <w:bCs/>
                <w:color w:val="auto"/>
                <w:kern w:val="0"/>
                <w:sz w:val="24"/>
                <w:szCs w:val="24"/>
                <w:highlight w:val="none"/>
              </w:rPr>
              <w:t>考核</w:t>
            </w:r>
          </w:p>
          <w:p>
            <w:pPr>
              <w:wordWrap/>
              <w:adjustRightInd/>
              <w:snapToGrid/>
              <w:spacing w:line="240" w:lineRule="auto"/>
              <w:ind w:left="0" w:leftChars="0" w:right="0"/>
              <w:jc w:val="center"/>
              <w:textAlignment w:val="auto"/>
              <w:outlineLvl w:val="9"/>
              <w:rPr>
                <w:rFonts w:hint="eastAsia" w:ascii="黑体" w:hAnsi="黑体" w:eastAsia="黑体" w:cs="黑体"/>
                <w:b w:val="0"/>
                <w:bCs/>
                <w:color w:val="auto"/>
                <w:kern w:val="0"/>
                <w:sz w:val="24"/>
                <w:szCs w:val="24"/>
                <w:highlight w:val="none"/>
              </w:rPr>
            </w:pPr>
            <w:r>
              <w:rPr>
                <w:rFonts w:hint="eastAsia" w:ascii="黑体" w:hAnsi="黑体" w:eastAsia="黑体" w:cs="黑体"/>
                <w:b w:val="0"/>
                <w:bCs/>
                <w:color w:val="auto"/>
                <w:kern w:val="0"/>
                <w:sz w:val="24"/>
                <w:szCs w:val="24"/>
                <w:highlight w:val="none"/>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721" w:type="dxa"/>
            <w:vMerge w:val="restart"/>
            <w:tcBorders>
              <w:top w:val="nil"/>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日常养护</w:t>
            </w:r>
          </w:p>
          <w:p>
            <w:pPr>
              <w:wordWrap/>
              <w:adjustRightInd/>
              <w:snapToGrid/>
              <w:spacing w:line="240" w:lineRule="auto"/>
              <w:ind w:left="0" w:leftChars="0" w:right="0"/>
              <w:jc w:val="center"/>
              <w:textAlignment w:val="auto"/>
              <w:outlineLvl w:val="9"/>
              <w:rPr>
                <w:rFonts w:hint="eastAsia" w:ascii="仿宋_GB2312" w:eastAsia="仿宋_GB2312" w:cs="宋体"/>
                <w:strike/>
                <w:color w:val="auto"/>
                <w:kern w:val="0"/>
                <w:szCs w:val="21"/>
                <w:highlight w:val="none"/>
              </w:rPr>
            </w:pPr>
            <w:r>
              <w:rPr>
                <w:rFonts w:hint="eastAsia" w:ascii="仿宋_GB2312" w:eastAsia="仿宋_GB2312"/>
                <w:color w:val="auto"/>
                <w:szCs w:val="21"/>
                <w:highlight w:val="none"/>
                <w:lang w:val="en-US" w:eastAsia="zh-CN"/>
              </w:rPr>
              <w:t>60</w:t>
            </w:r>
            <w:r>
              <w:rPr>
                <w:rFonts w:hint="eastAsia" w:ascii="仿宋_GB2312" w:eastAsia="仿宋_GB2312"/>
                <w:color w:val="auto"/>
                <w:szCs w:val="21"/>
                <w:highlight w:val="none"/>
              </w:rPr>
              <w:t>分</w:t>
            </w:r>
          </w:p>
        </w:tc>
        <w:tc>
          <w:tcPr>
            <w:tcW w:w="839" w:type="dxa"/>
            <w:vMerge w:val="restart"/>
            <w:tcBorders>
              <w:top w:val="nil"/>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植物</w:t>
            </w:r>
          </w:p>
          <w:p>
            <w:pPr>
              <w:wordWrap/>
              <w:adjustRightInd/>
              <w:snapToGrid/>
              <w:spacing w:line="240" w:lineRule="auto"/>
              <w:ind w:left="0" w:leftChars="0" w:right="0"/>
              <w:jc w:val="center"/>
              <w:textAlignment w:val="auto"/>
              <w:outlineLvl w:val="9"/>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基本</w:t>
            </w:r>
          </w:p>
          <w:p>
            <w:pPr>
              <w:wordWrap/>
              <w:adjustRightInd/>
              <w:snapToGrid/>
              <w:spacing w:line="240" w:lineRule="auto"/>
              <w:ind w:left="0" w:leftChars="0" w:right="0"/>
              <w:jc w:val="center"/>
              <w:textAlignment w:val="auto"/>
              <w:outlineLvl w:val="9"/>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养护</w:t>
            </w:r>
          </w:p>
          <w:p>
            <w:pPr>
              <w:wordWrap/>
              <w:adjustRightInd/>
              <w:snapToGrid/>
              <w:spacing w:line="240" w:lineRule="auto"/>
              <w:ind w:left="0" w:leftChars="0" w:right="0"/>
              <w:jc w:val="center"/>
              <w:textAlignment w:val="auto"/>
              <w:outlineLvl w:val="9"/>
              <w:rPr>
                <w:rFonts w:hint="eastAsia" w:ascii="仿宋_GB2312" w:eastAsia="仿宋_GB2312" w:cs="宋体"/>
                <w:color w:val="auto"/>
                <w:kern w:val="0"/>
                <w:szCs w:val="21"/>
                <w:highlight w:val="none"/>
                <w:lang w:val="en-US" w:eastAsia="zh-CN"/>
              </w:rPr>
            </w:pP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0分</w:t>
            </w: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行道树和乔木缺株</w:t>
            </w:r>
            <w:r>
              <w:rPr>
                <w:rFonts w:hint="eastAsia" w:ascii="仿宋_GB2312" w:eastAsia="仿宋_GB2312" w:cs="宋体"/>
                <w:color w:val="auto"/>
                <w:kern w:val="0"/>
                <w:szCs w:val="21"/>
                <w:highlight w:val="none"/>
                <w:lang w:eastAsia="zh-CN"/>
              </w:rPr>
              <w:t>、</w:t>
            </w:r>
            <w:r>
              <w:rPr>
                <w:rFonts w:hint="eastAsia" w:ascii="仿宋_GB2312" w:eastAsia="仿宋_GB2312" w:cs="宋体"/>
                <w:color w:val="auto"/>
                <w:kern w:val="0"/>
                <w:szCs w:val="21"/>
                <w:highlight w:val="none"/>
              </w:rPr>
              <w:t>死株，每处扣</w:t>
            </w:r>
            <w:r>
              <w:rPr>
                <w:rFonts w:hint="eastAsia" w:ascii="仿宋_GB2312" w:eastAsia="仿宋_GB2312" w:cs="宋体"/>
                <w:color w:val="auto"/>
                <w:kern w:val="0"/>
                <w:szCs w:val="21"/>
                <w:highlight w:val="none"/>
                <w:lang w:val="en-US" w:eastAsia="zh-CN"/>
              </w:rPr>
              <w:t>3-5</w:t>
            </w:r>
            <w:r>
              <w:rPr>
                <w:rFonts w:hint="eastAsia" w:ascii="仿宋_GB2312" w:eastAsia="仿宋_GB2312"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行道树和乔木支撑不规范、支撑架倒塌、断桩、坏桩、树木倾斜严重，每处扣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721" w:type="dxa"/>
            <w:vMerge w:val="continue"/>
            <w:tcBorders>
              <w:left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行道树和乔木病虫枝、枯枝、伤损枝、徒长枝超过养护标准的，未疏枝、树皮开裂、孔洞未及时填补，每处扣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分；修剪不规范造成树木严重受损的，每处扣</w:t>
            </w:r>
            <w:r>
              <w:rPr>
                <w:rFonts w:hint="eastAsia" w:ascii="仿宋_GB2312" w:eastAsia="仿宋_GB2312" w:cs="宋体"/>
                <w:color w:val="auto"/>
                <w:kern w:val="0"/>
                <w:szCs w:val="21"/>
                <w:highlight w:val="none"/>
                <w:lang w:val="en-US" w:eastAsia="zh-CN"/>
              </w:rPr>
              <w:t>3</w:t>
            </w:r>
            <w:r>
              <w:rPr>
                <w:rFonts w:hint="eastAsia" w:ascii="仿宋_GB2312" w:eastAsia="仿宋_GB2312" w:cs="宋体"/>
                <w:color w:val="auto"/>
                <w:kern w:val="0"/>
                <w:szCs w:val="21"/>
                <w:highlight w:val="none"/>
              </w:rPr>
              <w:t>分，</w:t>
            </w:r>
            <w:r>
              <w:rPr>
                <w:rFonts w:hint="eastAsia" w:ascii="仿宋_GB2312" w:eastAsia="仿宋_GB2312" w:cs="宋体"/>
                <w:color w:val="auto"/>
                <w:kern w:val="0"/>
                <w:szCs w:val="21"/>
                <w:highlight w:val="none"/>
                <w:lang w:eastAsia="zh-CN"/>
              </w:rPr>
              <w:t>未向城管局报备审核，擅自进行过度修剪的</w:t>
            </w:r>
            <w:r>
              <w:rPr>
                <w:rFonts w:hint="eastAsia" w:ascii="仿宋_GB2312" w:eastAsia="仿宋_GB2312" w:cs="宋体"/>
                <w:color w:val="auto"/>
                <w:kern w:val="0"/>
                <w:szCs w:val="21"/>
                <w:highlight w:val="none"/>
              </w:rPr>
              <w:t>每次扣</w:t>
            </w:r>
            <w:r>
              <w:rPr>
                <w:rFonts w:hint="eastAsia" w:ascii="仿宋_GB2312" w:eastAsia="仿宋_GB2312" w:cs="宋体"/>
                <w:color w:val="auto"/>
                <w:kern w:val="0"/>
                <w:szCs w:val="21"/>
                <w:highlight w:val="none"/>
                <w:lang w:val="en-US" w:eastAsia="zh-CN"/>
              </w:rPr>
              <w:t>10</w:t>
            </w:r>
            <w:r>
              <w:rPr>
                <w:rFonts w:hint="eastAsia" w:ascii="仿宋_GB2312" w:eastAsia="仿宋_GB2312"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行道树和乔木长势不佳、偏冠严重、无冠幅，每处扣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分；树木长势较弱，黄叶、焦叶、落叶株数较多，每处扣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树穴土壤高于侧石、板结、填充物缺失，每处扣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分；0.5平方米以内树穴裸露扣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分，超出0.5平方米每处扣</w:t>
            </w:r>
            <w:r>
              <w:rPr>
                <w:rFonts w:hint="eastAsia" w:ascii="仿宋_GB2312" w:eastAsia="仿宋_GB2312" w:cs="宋体"/>
                <w:color w:val="auto"/>
                <w:kern w:val="0"/>
                <w:szCs w:val="21"/>
                <w:highlight w:val="none"/>
                <w:lang w:val="en-US" w:eastAsia="zh-CN"/>
              </w:rPr>
              <w:t>3</w:t>
            </w:r>
            <w:r>
              <w:rPr>
                <w:rFonts w:hint="eastAsia" w:ascii="仿宋_GB2312" w:eastAsia="仿宋_GB2312"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绿篱和灌木出现死株、缺株、混种、小道、杂株返祖的、绿植倒伏，每处</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分；0.5平方米以内黄土裸露每处扣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分，超出0.5平方米每处扣</w:t>
            </w:r>
            <w:r>
              <w:rPr>
                <w:rFonts w:hint="eastAsia" w:ascii="仿宋_GB2312" w:eastAsia="仿宋_GB2312" w:cs="宋体"/>
                <w:color w:val="auto"/>
                <w:kern w:val="0"/>
                <w:szCs w:val="21"/>
                <w:highlight w:val="none"/>
                <w:lang w:val="en-US" w:eastAsia="zh-CN"/>
              </w:rPr>
              <w:t>3</w:t>
            </w:r>
            <w:r>
              <w:rPr>
                <w:rFonts w:hint="eastAsia" w:ascii="仿宋_GB2312" w:eastAsia="仿宋_GB2312"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绿篱和灌木修剪不规范、不平整、窜条、高度影响交通视线的，每处扣</w:t>
            </w:r>
            <w:r>
              <w:rPr>
                <w:rFonts w:hint="eastAsia" w:ascii="仿宋_GB2312" w:eastAsia="仿宋_GB2312" w:cs="宋体"/>
                <w:color w:val="auto"/>
                <w:kern w:val="0"/>
                <w:szCs w:val="21"/>
                <w:highlight w:val="none"/>
                <w:lang w:val="en-US" w:eastAsia="zh-CN"/>
              </w:rPr>
              <w:t>2-3</w:t>
            </w:r>
            <w:r>
              <w:rPr>
                <w:rFonts w:hint="eastAsia" w:ascii="仿宋_GB2312" w:eastAsia="仿宋_GB2312"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草坪高度超出养护标准、草坪边缘不清淅、草坪空秃、草坪覆盖率低的，每处扣1分，0.5平方米以内黄土裸露的，每处扣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分，超出0.5平方米每处扣</w:t>
            </w:r>
            <w:r>
              <w:rPr>
                <w:rFonts w:hint="eastAsia" w:ascii="仿宋_GB2312" w:eastAsia="仿宋_GB2312" w:cs="宋体"/>
                <w:color w:val="auto"/>
                <w:kern w:val="0"/>
                <w:szCs w:val="21"/>
                <w:highlight w:val="none"/>
                <w:lang w:val="en-US" w:eastAsia="zh-CN"/>
              </w:rPr>
              <w:t>3</w:t>
            </w:r>
            <w:r>
              <w:rPr>
                <w:rFonts w:hint="eastAsia" w:ascii="仿宋_GB2312" w:eastAsia="仿宋_GB2312"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绿地内杂草超过养护标准的，每处扣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w:t>
            </w:r>
            <w:r>
              <w:rPr>
                <w:rFonts w:ascii="仿宋_GB2312" w:eastAsia="仿宋_GB2312" w:cs="宋体"/>
                <w:color w:val="auto"/>
                <w:kern w:val="0"/>
                <w:szCs w:val="21"/>
                <w:highlight w:val="none"/>
              </w:rPr>
              <w:t xml:space="preserve"> </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spacing w:val="-9"/>
                <w:kern w:val="0"/>
                <w:szCs w:val="21"/>
                <w:highlight w:val="none"/>
                <w:lang w:val="en-US" w:eastAsia="zh-CN"/>
              </w:rPr>
              <w:t xml:space="preserve">    </w:t>
            </w:r>
            <w:r>
              <w:rPr>
                <w:rFonts w:hint="eastAsia" w:ascii="仿宋_GB2312" w:eastAsia="仿宋_GB2312" w:cs="宋体"/>
                <w:color w:val="auto"/>
                <w:spacing w:val="-9"/>
                <w:kern w:val="0"/>
                <w:szCs w:val="21"/>
                <w:highlight w:val="none"/>
              </w:rPr>
              <w:t>花坛花箱内时花缺株、倒伏、枯枝残花、杂草垃圾等每处扣</w:t>
            </w:r>
            <w:r>
              <w:rPr>
                <w:rFonts w:hint="eastAsia" w:ascii="仿宋_GB2312" w:eastAsia="仿宋_GB2312" w:cs="宋体"/>
                <w:color w:val="auto"/>
                <w:spacing w:val="-9"/>
                <w:kern w:val="0"/>
                <w:szCs w:val="21"/>
                <w:highlight w:val="none"/>
                <w:lang w:val="en-US" w:eastAsia="zh-CN"/>
              </w:rPr>
              <w:t>2</w:t>
            </w:r>
            <w:r>
              <w:rPr>
                <w:rFonts w:hint="eastAsia" w:ascii="仿宋_GB2312" w:eastAsia="仿宋_GB2312" w:cs="宋体"/>
                <w:color w:val="auto"/>
                <w:spacing w:val="-9"/>
                <w:kern w:val="0"/>
                <w:szCs w:val="21"/>
                <w:highlight w:val="none"/>
              </w:rPr>
              <w:t>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721" w:type="dxa"/>
            <w:vMerge w:val="continue"/>
            <w:tcBorders>
              <w:left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c>
          <w:tcPr>
            <w:tcW w:w="839" w:type="dxa"/>
            <w:vMerge w:val="continue"/>
            <w:tcBorders>
              <w:left w:val="single" w:color="auto" w:sz="4" w:space="0"/>
              <w:bottom w:val="single" w:color="000000"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绿化补种不规范、以及绿地养护出现其他问题的每处扣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w:t>
            </w:r>
            <w:r>
              <w:rPr>
                <w:rFonts w:hint="eastAsia" w:ascii="仿宋_GB2312" w:eastAsia="仿宋_GB2312" w:cs="宋体"/>
                <w:color w:val="auto"/>
                <w:kern w:val="0"/>
                <w:szCs w:val="21"/>
                <w:highlight w:val="none"/>
                <w:lang w:eastAsia="zh-CN"/>
              </w:rPr>
              <w:t>管养区域内</w:t>
            </w:r>
            <w:r>
              <w:rPr>
                <w:rFonts w:hint="eastAsia" w:ascii="仿宋_GB2312" w:eastAsia="仿宋_GB2312" w:cs="宋体"/>
                <w:color w:val="auto"/>
                <w:kern w:val="0"/>
                <w:szCs w:val="21"/>
                <w:highlight w:val="none"/>
              </w:rPr>
              <w:t>绿地失管每处扣</w:t>
            </w:r>
            <w:r>
              <w:rPr>
                <w:rFonts w:hint="default" w:ascii="仿宋_GB2312" w:eastAsia="仿宋_GB2312" w:cs="宋体"/>
                <w:color w:val="auto"/>
                <w:kern w:val="0"/>
                <w:szCs w:val="21"/>
                <w:highlight w:val="none"/>
                <w:lang w:val="en-US"/>
              </w:rPr>
              <w:t>5-10</w:t>
            </w:r>
            <w:r>
              <w:rPr>
                <w:rFonts w:hint="eastAsia" w:ascii="仿宋_GB2312" w:eastAsia="仿宋_GB2312"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hint="eastAsia" w:ascii="仿宋_GB2312" w:eastAsia="仿宋_GB2312" w:cs="宋体"/>
                <w:strike/>
                <w:color w:val="auto"/>
                <w:kern w:val="0"/>
                <w:szCs w:val="21"/>
                <w:highlight w:val="none"/>
              </w:rPr>
            </w:pPr>
          </w:p>
        </w:tc>
        <w:tc>
          <w:tcPr>
            <w:tcW w:w="839" w:type="dxa"/>
            <w:vMerge w:val="restart"/>
            <w:tcBorders>
              <w:top w:val="nil"/>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病虫</w:t>
            </w:r>
          </w:p>
          <w:p>
            <w:pPr>
              <w:wordWrap/>
              <w:adjustRightInd/>
              <w:snapToGrid/>
              <w:spacing w:line="240" w:lineRule="auto"/>
              <w:ind w:left="0" w:leftChars="0" w:right="0"/>
              <w:jc w:val="center"/>
              <w:textAlignment w:val="auto"/>
              <w:outlineLvl w:val="9"/>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害防</w:t>
            </w:r>
          </w:p>
          <w:p>
            <w:pPr>
              <w:wordWrap/>
              <w:adjustRightInd/>
              <w:snapToGrid/>
              <w:spacing w:line="240" w:lineRule="auto"/>
              <w:ind w:left="0" w:leftChars="0" w:right="0"/>
              <w:jc w:val="center"/>
              <w:textAlignment w:val="auto"/>
              <w:outlineLvl w:val="9"/>
              <w:rPr>
                <w:rFonts w:hint="eastAsia" w:ascii="仿宋_GB2312" w:eastAsia="仿宋_GB2312" w:cs="宋体"/>
                <w:strike/>
                <w:color w:val="auto"/>
                <w:kern w:val="0"/>
                <w:szCs w:val="21"/>
                <w:highlight w:val="none"/>
              </w:rPr>
            </w:pPr>
            <w:r>
              <w:rPr>
                <w:rFonts w:hint="eastAsia" w:ascii="仿宋_GB2312" w:eastAsia="仿宋_GB2312" w:cs="宋体"/>
                <w:color w:val="auto"/>
                <w:kern w:val="0"/>
                <w:szCs w:val="21"/>
                <w:highlight w:val="none"/>
              </w:rPr>
              <w:t>治</w:t>
            </w:r>
          </w:p>
          <w:p>
            <w:pPr>
              <w:wordWrap/>
              <w:adjustRightInd/>
              <w:snapToGrid/>
              <w:spacing w:line="240" w:lineRule="auto"/>
              <w:ind w:left="0" w:leftChars="0" w:right="0"/>
              <w:jc w:val="center"/>
              <w:textAlignment w:val="auto"/>
              <w:outlineLvl w:val="9"/>
              <w:rPr>
                <w:rFonts w:hint="eastAsia" w:ascii="仿宋_GB2312" w:eastAsia="仿宋_GB2312" w:cs="宋体"/>
                <w:color w:val="auto"/>
                <w:kern w:val="0"/>
                <w:szCs w:val="21"/>
                <w:highlight w:val="none"/>
                <w:lang w:val="en-US" w:eastAsia="zh-CN"/>
              </w:rPr>
            </w:pP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0分</w:t>
            </w: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发生病虫害每处扣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w:t>
            </w:r>
            <w:r>
              <w:rPr>
                <w:rFonts w:hint="eastAsia" w:ascii="仿宋_GB2312" w:eastAsia="仿宋_GB2312" w:cs="宋体"/>
                <w:b/>
                <w:bCs/>
                <w:color w:val="auto"/>
                <w:kern w:val="0"/>
                <w:szCs w:val="21"/>
                <w:highlight w:val="none"/>
              </w:rPr>
              <w:t>，</w:t>
            </w:r>
            <w:r>
              <w:rPr>
                <w:rFonts w:hint="eastAsia" w:ascii="仿宋_GB2312" w:eastAsia="仿宋_GB2312" w:cs="宋体"/>
                <w:color w:val="auto"/>
                <w:kern w:val="0"/>
                <w:szCs w:val="21"/>
                <w:highlight w:val="none"/>
              </w:rPr>
              <w:t>大面积爆发扣</w:t>
            </w:r>
            <w:r>
              <w:rPr>
                <w:rFonts w:hint="eastAsia" w:ascii="仿宋_GB2312" w:eastAsia="仿宋_GB2312" w:cs="宋体"/>
                <w:color w:val="auto"/>
                <w:kern w:val="0"/>
                <w:szCs w:val="21"/>
                <w:highlight w:val="none"/>
                <w:lang w:val="en-US" w:eastAsia="zh-CN"/>
              </w:rPr>
              <w:t>5</w:t>
            </w:r>
            <w:r>
              <w:rPr>
                <w:rFonts w:hint="eastAsia" w:ascii="仿宋_GB2312" w:eastAsia="仿宋_GB2312" w:cs="宋体"/>
                <w:color w:val="auto"/>
                <w:kern w:val="0"/>
                <w:szCs w:val="21"/>
                <w:highlight w:val="none"/>
              </w:rPr>
              <w:t>分</w:t>
            </w:r>
            <w:r>
              <w:rPr>
                <w:rFonts w:hint="eastAsia" w:ascii="仿宋_GB2312" w:eastAsia="仿宋_GB2312" w:cs="宋体"/>
                <w:b/>
                <w:bCs/>
                <w:color w:val="auto"/>
                <w:kern w:val="0"/>
                <w:szCs w:val="21"/>
                <w:highlight w:val="none"/>
              </w:rPr>
              <w:t>。</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721" w:type="dxa"/>
            <w:vMerge w:val="continue"/>
            <w:tcBorders>
              <w:left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发现病虫害未及时进行防治措施的每处扣3分。病虫害防治措施不到位的每处扣3分。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食叶性害虫危害树木，每处扣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1" w:type="dxa"/>
            <w:vMerge w:val="continue"/>
            <w:tcBorders>
              <w:left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olor w:val="auto"/>
                <w:spacing w:val="-8"/>
                <w:szCs w:val="21"/>
                <w:highlight w:val="none"/>
              </w:rPr>
            </w:pPr>
          </w:p>
        </w:tc>
        <w:tc>
          <w:tcPr>
            <w:tcW w:w="839" w:type="dxa"/>
            <w:vMerge w:val="continue"/>
            <w:tcBorders>
              <w:left w:val="single" w:color="auto" w:sz="4" w:space="0"/>
              <w:bottom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发现活蛀虫和活卵，每处扣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721" w:type="dxa"/>
            <w:vMerge w:val="continue"/>
            <w:tcBorders>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hint="eastAsia" w:ascii="仿宋_GB2312" w:eastAsia="仿宋_GB2312" w:cs="宋体"/>
                <w:strike/>
                <w:color w:val="auto"/>
                <w:kern w:val="0"/>
                <w:szCs w:val="21"/>
                <w:highlight w:val="none"/>
              </w:rPr>
            </w:pPr>
          </w:p>
        </w:tc>
        <w:tc>
          <w:tcPr>
            <w:tcW w:w="839" w:type="dxa"/>
            <w:vMerge w:val="restart"/>
            <w:tcBorders>
              <w:top w:val="single" w:color="auto" w:sz="4" w:space="0"/>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绿化</w:t>
            </w:r>
          </w:p>
          <w:p>
            <w:pPr>
              <w:wordWrap/>
              <w:adjustRightInd/>
              <w:snapToGrid/>
              <w:spacing w:line="240" w:lineRule="auto"/>
              <w:ind w:left="0" w:leftChars="0" w:right="0"/>
              <w:jc w:val="center"/>
              <w:textAlignment w:val="auto"/>
              <w:outlineLvl w:val="9"/>
              <w:rPr>
                <w:rFonts w:hint="eastAsia" w:ascii="仿宋_GB2312" w:eastAsia="仿宋_GB2312" w:cs="宋体"/>
                <w:strike/>
                <w:color w:val="auto"/>
                <w:kern w:val="0"/>
                <w:szCs w:val="21"/>
                <w:highlight w:val="none"/>
              </w:rPr>
            </w:pPr>
            <w:r>
              <w:rPr>
                <w:rFonts w:hint="eastAsia" w:ascii="仿宋_GB2312" w:eastAsia="仿宋_GB2312" w:cs="宋体"/>
                <w:color w:val="auto"/>
                <w:kern w:val="0"/>
                <w:szCs w:val="21"/>
                <w:highlight w:val="none"/>
              </w:rPr>
              <w:t>设施</w:t>
            </w:r>
          </w:p>
          <w:p>
            <w:pPr>
              <w:wordWrap/>
              <w:adjustRightInd/>
              <w:snapToGrid/>
              <w:spacing w:line="240" w:lineRule="auto"/>
              <w:ind w:left="0" w:leftChars="0" w:right="0"/>
              <w:jc w:val="center"/>
              <w:textAlignment w:val="auto"/>
              <w:outlineLvl w:val="9"/>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10分</w:t>
            </w:r>
          </w:p>
        </w:tc>
        <w:tc>
          <w:tcPr>
            <w:tcW w:w="6372" w:type="dxa"/>
            <w:tcBorders>
              <w:top w:val="single" w:color="auto" w:sz="4" w:space="0"/>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花箱、花坛、树穴破损、缺失扣</w:t>
            </w:r>
            <w:r>
              <w:rPr>
                <w:rFonts w:hint="default" w:ascii="仿宋_GB2312" w:eastAsia="仿宋_GB2312" w:cs="宋体"/>
                <w:color w:val="auto"/>
                <w:kern w:val="0"/>
                <w:szCs w:val="21"/>
                <w:highlight w:val="none"/>
                <w:lang w:val="en-US"/>
              </w:rPr>
              <w:t>2</w:t>
            </w:r>
            <w:r>
              <w:rPr>
                <w:rFonts w:hint="eastAsia" w:ascii="仿宋_GB2312" w:eastAsia="仿宋_GB2312" w:cs="宋体"/>
                <w:color w:val="auto"/>
                <w:kern w:val="0"/>
                <w:szCs w:val="21"/>
                <w:highlight w:val="none"/>
              </w:rPr>
              <w:t>分，其他设施缺失扣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w:t>
            </w:r>
          </w:p>
        </w:tc>
        <w:tc>
          <w:tcPr>
            <w:tcW w:w="1095" w:type="dxa"/>
            <w:tcBorders>
              <w:top w:val="single" w:color="auto" w:sz="4" w:space="0"/>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721" w:type="dxa"/>
            <w:vMerge w:val="continue"/>
            <w:tcBorders>
              <w:left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公园及绿地内果壳箱有污迹、破损，箱内垃圾未日产日清的，每处扣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721" w:type="dxa"/>
            <w:vMerge w:val="continue"/>
            <w:tcBorders>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c>
          <w:tcPr>
            <w:tcW w:w="839" w:type="dxa"/>
            <w:vMerge w:val="continue"/>
            <w:tcBorders>
              <w:left w:val="single" w:color="auto" w:sz="4" w:space="0"/>
              <w:bottom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设施有污迹、破损，金属构件设施有锈斑，油漆剥落等现象的每处扣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分，公园设施存在明显安全隐患，未采取安全措施的，每处扣</w:t>
            </w:r>
            <w:r>
              <w:rPr>
                <w:rFonts w:hint="eastAsia" w:ascii="仿宋_GB2312" w:eastAsia="仿宋_GB2312" w:cs="宋体"/>
                <w:color w:val="auto"/>
                <w:kern w:val="0"/>
                <w:szCs w:val="21"/>
                <w:highlight w:val="none"/>
                <w:lang w:val="en-US" w:eastAsia="zh-CN"/>
              </w:rPr>
              <w:t>5</w:t>
            </w:r>
            <w:r>
              <w:rPr>
                <w:rFonts w:hint="eastAsia" w:ascii="仿宋_GB2312" w:eastAsia="仿宋_GB2312"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restart"/>
            <w:tcBorders>
              <w:top w:val="single" w:color="auto" w:sz="4" w:space="0"/>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hint="eastAsia" w:ascii="仿宋_GB2312" w:eastAsia="仿宋_GB2312" w:cs="宋体"/>
                <w:color w:val="auto"/>
                <w:kern w:val="0"/>
                <w:szCs w:val="21"/>
                <w:highlight w:val="none"/>
              </w:rPr>
            </w:pPr>
          </w:p>
          <w:p>
            <w:pPr>
              <w:wordWrap/>
              <w:adjustRightInd/>
              <w:snapToGrid/>
              <w:spacing w:line="240" w:lineRule="auto"/>
              <w:ind w:left="0" w:leftChars="0" w:right="0"/>
              <w:jc w:val="center"/>
              <w:textAlignment w:val="auto"/>
              <w:outlineLvl w:val="9"/>
              <w:rPr>
                <w:rFonts w:hint="eastAsia" w:ascii="仿宋_GB2312" w:eastAsia="仿宋_GB2312" w:cs="宋体"/>
                <w:color w:val="auto"/>
                <w:kern w:val="0"/>
                <w:szCs w:val="21"/>
                <w:highlight w:val="none"/>
              </w:rPr>
            </w:pPr>
          </w:p>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839" w:type="dxa"/>
            <w:vMerge w:val="restart"/>
            <w:tcBorders>
              <w:top w:val="single" w:color="auto" w:sz="4" w:space="0"/>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卫生</w:t>
            </w:r>
          </w:p>
          <w:p>
            <w:pPr>
              <w:wordWrap/>
              <w:adjustRightInd/>
              <w:snapToGrid/>
              <w:spacing w:line="240" w:lineRule="auto"/>
              <w:ind w:left="0" w:leftChars="0" w:right="0"/>
              <w:jc w:val="center"/>
              <w:textAlignment w:val="auto"/>
              <w:outlineLvl w:val="9"/>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管理</w:t>
            </w:r>
          </w:p>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10分</w:t>
            </w:r>
          </w:p>
        </w:tc>
        <w:tc>
          <w:tcPr>
            <w:tcW w:w="6372"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树上及绿带内有垃圾袋、零乱草绳、钉子、扎缚铁丝、电线、挂晾晒衣物、堆物</w:t>
            </w:r>
            <w:r>
              <w:rPr>
                <w:rFonts w:hint="eastAsia" w:ascii="仿宋_GB2312" w:eastAsia="仿宋_GB2312" w:cs="宋体"/>
                <w:color w:val="auto"/>
                <w:kern w:val="0"/>
                <w:szCs w:val="21"/>
                <w:highlight w:val="none"/>
                <w:lang w:eastAsia="zh-CN"/>
              </w:rPr>
              <w:t>、渣土积泥</w:t>
            </w:r>
            <w:r>
              <w:rPr>
                <w:rFonts w:hint="eastAsia" w:ascii="仿宋_GB2312" w:eastAsia="仿宋_GB2312" w:cs="宋体"/>
                <w:color w:val="auto"/>
                <w:kern w:val="0"/>
                <w:szCs w:val="21"/>
                <w:highlight w:val="none"/>
              </w:rPr>
              <w:t>等，每处扣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绿地内有明显枯叶堆积、白色垃圾、石块、果壳等杂物的每处扣2分。</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olor w:val="auto"/>
                <w:spacing w:val="-8"/>
                <w:szCs w:val="21"/>
                <w:highlight w:val="none"/>
              </w:rPr>
            </w:pPr>
          </w:p>
        </w:tc>
        <w:tc>
          <w:tcPr>
            <w:tcW w:w="839" w:type="dxa"/>
            <w:vMerge w:val="continue"/>
            <w:tcBorders>
              <w:left w:val="single" w:color="auto" w:sz="4" w:space="0"/>
              <w:bottom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乔木及绿带积尘明显每处扣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分，沿线绿带色块叶面积灰严重的每处扣</w:t>
            </w:r>
            <w:r>
              <w:rPr>
                <w:rFonts w:hint="eastAsia" w:ascii="仿宋_GB2312" w:eastAsia="仿宋_GB2312" w:cs="宋体"/>
                <w:color w:val="auto"/>
                <w:kern w:val="0"/>
                <w:szCs w:val="21"/>
                <w:highlight w:val="none"/>
                <w:lang w:val="en-US" w:eastAsia="zh-CN"/>
              </w:rPr>
              <w:t>3-5</w:t>
            </w:r>
            <w:r>
              <w:rPr>
                <w:rFonts w:hint="eastAsia" w:ascii="仿宋_GB2312" w:eastAsia="仿宋_GB2312" w:cs="宋体"/>
                <w:color w:val="auto"/>
                <w:kern w:val="0"/>
                <w:szCs w:val="21"/>
                <w:highlight w:val="none"/>
              </w:rPr>
              <w:t>分。</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1560" w:type="dxa"/>
            <w:gridSpan w:val="2"/>
            <w:tcBorders>
              <w:top w:val="single" w:color="auto" w:sz="4" w:space="0"/>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应急保障</w:t>
            </w:r>
          </w:p>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0分</w:t>
            </w:r>
          </w:p>
        </w:tc>
        <w:tc>
          <w:tcPr>
            <w:tcW w:w="6372" w:type="dxa"/>
            <w:tcBorders>
              <w:top w:val="single" w:color="auto" w:sz="4" w:space="0"/>
              <w:left w:val="nil"/>
              <w:bottom w:val="single" w:color="auto" w:sz="4" w:space="0"/>
              <w:right w:val="single" w:color="auto" w:sz="4" w:space="0"/>
            </w:tcBorders>
            <w:vAlign w:val="center"/>
          </w:tcPr>
          <w:p>
            <w:pPr>
              <w:wordWrap/>
              <w:adjustRightInd/>
              <w:snapToGrid/>
              <w:spacing w:line="240" w:lineRule="auto"/>
              <w:ind w:left="0" w:leftChars="0" w:right="0" w:firstLine="420" w:firstLineChars="200"/>
              <w:textAlignment w:val="auto"/>
              <w:outlineLvl w:val="9"/>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管养人员不到位，养护人员上路作业不穿工作服，不文明作业的，每发现</w:t>
            </w:r>
            <w:r>
              <w:rPr>
                <w:rFonts w:ascii="仿宋_GB2312" w:eastAsia="仿宋_GB2312" w:cs="宋体"/>
                <w:color w:val="auto"/>
                <w:kern w:val="0"/>
                <w:szCs w:val="21"/>
                <w:highlight w:val="none"/>
              </w:rPr>
              <w:t>1</w:t>
            </w:r>
            <w:r>
              <w:rPr>
                <w:rFonts w:hint="eastAsia" w:ascii="仿宋_GB2312" w:eastAsia="仿宋_GB2312" w:cs="宋体"/>
                <w:color w:val="auto"/>
                <w:kern w:val="0"/>
                <w:szCs w:val="21"/>
                <w:highlight w:val="none"/>
              </w:rPr>
              <w:t>次扣</w:t>
            </w:r>
            <w:r>
              <w:rPr>
                <w:rFonts w:hint="eastAsia" w:ascii="仿宋_GB2312" w:eastAsia="仿宋_GB2312" w:cs="宋体"/>
                <w:color w:val="auto"/>
                <w:kern w:val="0"/>
                <w:szCs w:val="21"/>
                <w:highlight w:val="none"/>
                <w:lang w:val="en-US" w:eastAsia="zh-CN"/>
              </w:rPr>
              <w:t>3</w:t>
            </w:r>
            <w:r>
              <w:rPr>
                <w:rFonts w:hint="eastAsia" w:ascii="仿宋_GB2312" w:eastAsia="仿宋_GB2312" w:cs="宋体"/>
                <w:color w:val="auto"/>
                <w:kern w:val="0"/>
                <w:szCs w:val="21"/>
                <w:highlight w:val="none"/>
              </w:rPr>
              <w:t>分；应急结束，因应急设施、设备未拆除影响道路通行安全的，每处扣2分</w:t>
            </w:r>
            <w:r>
              <w:rPr>
                <w:rFonts w:hint="eastAsia" w:ascii="仿宋_GB2312" w:eastAsia="仿宋_GB2312" w:cs="宋体"/>
                <w:color w:val="auto"/>
                <w:kern w:val="0"/>
                <w:szCs w:val="21"/>
                <w:highlight w:val="none"/>
                <w:lang w:eastAsia="zh-CN"/>
              </w:rPr>
              <w:t>；</w:t>
            </w:r>
            <w:r>
              <w:rPr>
                <w:rFonts w:hint="eastAsia" w:ascii="仿宋_GB2312" w:eastAsia="仿宋_GB2312"/>
                <w:color w:val="auto"/>
                <w:szCs w:val="21"/>
                <w:highlight w:val="none"/>
                <w:lang w:eastAsia="zh-CN"/>
              </w:rPr>
              <w:t>未及时发现违章施工的每处扣</w:t>
            </w:r>
            <w:r>
              <w:rPr>
                <w:rFonts w:hint="eastAsia" w:ascii="仿宋_GB2312" w:eastAsia="仿宋_GB2312"/>
                <w:color w:val="auto"/>
                <w:szCs w:val="21"/>
                <w:highlight w:val="none"/>
                <w:lang w:val="en-US" w:eastAsia="zh-CN"/>
              </w:rPr>
              <w:t>3分，批后监管不到位的每处扣3分。</w:t>
            </w:r>
          </w:p>
          <w:p>
            <w:pPr>
              <w:widowControl/>
              <w:wordWrap/>
              <w:adjustRightInd/>
              <w:snapToGrid/>
              <w:spacing w:line="240" w:lineRule="auto"/>
              <w:ind w:left="0" w:leftChars="0" w:right="0"/>
              <w:jc w:val="left"/>
              <w:textAlignment w:val="auto"/>
              <w:outlineLvl w:val="9"/>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抗雪防冻、防寒保暖、抗旱保绿、防高温</w:t>
            </w:r>
            <w:r>
              <w:rPr>
                <w:rFonts w:hint="eastAsia" w:ascii="仿宋_GB2312" w:eastAsia="仿宋_GB2312" w:cs="宋体"/>
                <w:color w:val="auto"/>
                <w:kern w:val="0"/>
                <w:szCs w:val="21"/>
                <w:highlight w:val="none"/>
                <w:lang w:eastAsia="zh-CN"/>
              </w:rPr>
              <w:t>、防台风</w:t>
            </w:r>
            <w:r>
              <w:rPr>
                <w:rFonts w:hint="eastAsia" w:ascii="仿宋_GB2312" w:eastAsia="仿宋_GB2312" w:cs="宋体"/>
                <w:color w:val="auto"/>
                <w:kern w:val="0"/>
                <w:szCs w:val="21"/>
                <w:highlight w:val="none"/>
              </w:rPr>
              <w:t>等应急</w:t>
            </w:r>
            <w:r>
              <w:rPr>
                <w:rFonts w:hint="eastAsia" w:ascii="仿宋_GB2312" w:eastAsia="仿宋_GB2312" w:cs="宋体"/>
                <w:color w:val="auto"/>
                <w:kern w:val="0"/>
                <w:szCs w:val="21"/>
                <w:highlight w:val="none"/>
                <w:lang w:eastAsia="zh-CN"/>
              </w:rPr>
              <w:t>处置</w:t>
            </w:r>
            <w:r>
              <w:rPr>
                <w:rFonts w:hint="eastAsia" w:ascii="仿宋_GB2312" w:eastAsia="仿宋_GB2312" w:cs="宋体"/>
                <w:color w:val="auto"/>
                <w:kern w:val="0"/>
                <w:szCs w:val="21"/>
                <w:highlight w:val="none"/>
              </w:rPr>
              <w:t>不到位的每</w:t>
            </w:r>
            <w:r>
              <w:rPr>
                <w:rFonts w:hint="eastAsia" w:ascii="仿宋_GB2312" w:eastAsia="仿宋_GB2312" w:cs="宋体"/>
                <w:color w:val="auto"/>
                <w:kern w:val="0"/>
                <w:szCs w:val="21"/>
                <w:highlight w:val="none"/>
                <w:lang w:eastAsia="zh-CN"/>
              </w:rPr>
              <w:t>次</w:t>
            </w:r>
            <w:r>
              <w:rPr>
                <w:rFonts w:hint="eastAsia" w:ascii="仿宋_GB2312" w:eastAsia="仿宋_GB2312" w:cs="宋体"/>
                <w:color w:val="auto"/>
                <w:kern w:val="0"/>
                <w:szCs w:val="21"/>
                <w:highlight w:val="none"/>
              </w:rPr>
              <w:t>扣</w:t>
            </w:r>
            <w:r>
              <w:rPr>
                <w:rFonts w:hint="eastAsia" w:ascii="仿宋_GB2312" w:eastAsia="仿宋_GB2312" w:cs="宋体"/>
                <w:color w:val="auto"/>
                <w:kern w:val="0"/>
                <w:szCs w:val="21"/>
                <w:highlight w:val="none"/>
                <w:lang w:val="en-US" w:eastAsia="zh-CN"/>
              </w:rPr>
              <w:t>5</w:t>
            </w:r>
            <w:r>
              <w:rPr>
                <w:rFonts w:hint="eastAsia" w:ascii="仿宋_GB2312" w:eastAsia="仿宋_GB2312" w:cs="宋体"/>
                <w:color w:val="auto"/>
                <w:kern w:val="0"/>
                <w:szCs w:val="21"/>
                <w:highlight w:val="none"/>
              </w:rPr>
              <w:t>分。</w:t>
            </w:r>
          </w:p>
        </w:tc>
        <w:tc>
          <w:tcPr>
            <w:tcW w:w="1095" w:type="dxa"/>
            <w:tcBorders>
              <w:top w:val="single" w:color="auto" w:sz="4" w:space="0"/>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合同履约</w:t>
            </w:r>
          </w:p>
          <w:p>
            <w:pPr>
              <w:wordWrap/>
              <w:adjustRightInd/>
              <w:snapToGrid/>
              <w:spacing w:line="240" w:lineRule="auto"/>
              <w:ind w:left="0" w:leftChars="0" w:right="0"/>
              <w:jc w:val="center"/>
              <w:textAlignment w:val="auto"/>
              <w:outlineLvl w:val="9"/>
              <w:rPr>
                <w:rFonts w:hint="eastAsia" w:ascii="仿宋_GB2312" w:eastAsia="仿宋_GB2312" w:cs="宋体"/>
                <w:color w:val="auto"/>
                <w:kern w:val="0"/>
                <w:szCs w:val="21"/>
                <w:highlight w:val="none"/>
              </w:rPr>
            </w:pPr>
            <w:r>
              <w:rPr>
                <w:rFonts w:hint="eastAsia" w:ascii="仿宋_GB2312" w:eastAsia="仿宋_GB2312"/>
                <w:color w:val="auto"/>
                <w:szCs w:val="21"/>
                <w:highlight w:val="none"/>
                <w:lang w:val="en-US" w:eastAsia="zh-CN"/>
              </w:rPr>
              <w:t>20分</w:t>
            </w:r>
          </w:p>
        </w:tc>
        <w:tc>
          <w:tcPr>
            <w:tcW w:w="6372" w:type="dxa"/>
            <w:tcBorders>
              <w:top w:val="single" w:color="auto" w:sz="4" w:space="0"/>
              <w:left w:val="nil"/>
              <w:bottom w:val="single" w:color="auto" w:sz="4" w:space="0"/>
              <w:right w:val="single" w:color="auto" w:sz="4" w:space="0"/>
            </w:tcBorders>
            <w:vAlign w:val="center"/>
          </w:tcPr>
          <w:p>
            <w:pPr>
              <w:wordWrap/>
              <w:adjustRightInd/>
              <w:snapToGrid/>
              <w:spacing w:line="240" w:lineRule="auto"/>
              <w:ind w:left="0" w:leftChars="0" w:right="0" w:firstLine="420" w:firstLineChars="200"/>
              <w:textAlignment w:val="auto"/>
              <w:outlineLvl w:val="9"/>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eastAsia="zh-CN"/>
              </w:rPr>
              <w:t>根据合同及招标文件要求，合理配备人员、车辆、应急物资等</w:t>
            </w:r>
            <w:r>
              <w:rPr>
                <w:rFonts w:hint="eastAsia" w:ascii="仿宋_GB2312" w:eastAsia="仿宋_GB2312"/>
                <w:color w:val="auto"/>
                <w:szCs w:val="21"/>
                <w:highlight w:val="none"/>
                <w:lang w:val="en-US" w:eastAsia="zh-CN"/>
              </w:rPr>
              <w:t>设施设</w:t>
            </w:r>
            <w:r>
              <w:rPr>
                <w:rFonts w:hint="eastAsia" w:ascii="仿宋_GB2312" w:eastAsia="仿宋_GB2312"/>
                <w:color w:val="auto"/>
                <w:sz w:val="21"/>
                <w:szCs w:val="21"/>
                <w:highlight w:val="none"/>
                <w:lang w:val="en-US" w:eastAsia="zh-CN"/>
              </w:rPr>
              <w:t>备，</w:t>
            </w:r>
            <w:r>
              <w:rPr>
                <w:rFonts w:hint="eastAsia" w:ascii="仿宋_GB2312" w:hAnsi="仿宋_GB2312" w:eastAsia="仿宋_GB2312" w:cs="仿宋_GB2312"/>
                <w:color w:val="auto"/>
                <w:sz w:val="21"/>
                <w:szCs w:val="21"/>
                <w:highlight w:val="none"/>
                <w:lang w:eastAsia="zh-CN"/>
              </w:rPr>
              <w:t>一二级绿地</w:t>
            </w:r>
            <w:r>
              <w:rPr>
                <w:rFonts w:hint="eastAsia" w:ascii="仿宋_GB2312" w:hAnsi="仿宋_GB2312" w:eastAsia="仿宋_GB2312" w:cs="仿宋_GB2312"/>
                <w:color w:val="auto"/>
                <w:sz w:val="21"/>
                <w:szCs w:val="21"/>
                <w:highlight w:val="none"/>
              </w:rPr>
              <w:t>绿化养护人员</w:t>
            </w:r>
            <w:r>
              <w:rPr>
                <w:rFonts w:hint="eastAsia" w:ascii="仿宋_GB2312" w:hAnsi="仿宋_GB2312" w:eastAsia="仿宋_GB2312" w:cs="仿宋_GB2312"/>
                <w:color w:val="auto"/>
                <w:sz w:val="21"/>
                <w:szCs w:val="21"/>
                <w:highlight w:val="none"/>
                <w:lang w:eastAsia="zh-CN"/>
              </w:rPr>
              <w:t>按</w:t>
            </w:r>
            <w:r>
              <w:rPr>
                <w:rFonts w:hint="eastAsia" w:ascii="仿宋_GB2312" w:hAnsi="仿宋_GB2312" w:eastAsia="仿宋_GB2312" w:cs="仿宋_GB2312"/>
                <w:color w:val="auto"/>
                <w:sz w:val="21"/>
                <w:szCs w:val="21"/>
                <w:highlight w:val="none"/>
              </w:rPr>
              <w:t>每1万平方米</w:t>
            </w:r>
            <w:r>
              <w:rPr>
                <w:rFonts w:hint="eastAsia" w:ascii="仿宋_GB2312" w:hAnsi="仿宋_GB2312" w:eastAsia="仿宋_GB2312" w:cs="仿宋_GB2312"/>
                <w:color w:val="auto"/>
                <w:sz w:val="21"/>
                <w:szCs w:val="21"/>
                <w:highlight w:val="none"/>
                <w:lang w:eastAsia="zh-CN"/>
              </w:rPr>
              <w:t>不少于</w:t>
            </w:r>
            <w:r>
              <w:rPr>
                <w:rFonts w:hint="eastAsia" w:ascii="仿宋_GB2312" w:hAnsi="仿宋_GB2312" w:eastAsia="仿宋_GB2312" w:cs="仿宋_GB2312"/>
                <w:color w:val="auto"/>
                <w:sz w:val="21"/>
                <w:szCs w:val="21"/>
                <w:highlight w:val="none"/>
              </w:rPr>
              <w:t>2名</w:t>
            </w:r>
            <w:r>
              <w:rPr>
                <w:rFonts w:hint="eastAsia" w:ascii="仿宋_GB2312" w:hAnsi="仿宋_GB2312" w:eastAsia="仿宋_GB2312" w:cs="仿宋_GB2312"/>
                <w:color w:val="auto"/>
                <w:sz w:val="21"/>
                <w:szCs w:val="21"/>
                <w:highlight w:val="none"/>
                <w:lang w:eastAsia="zh-CN"/>
              </w:rPr>
              <w:t>，三级绿地按每</w:t>
            </w:r>
            <w:r>
              <w:rPr>
                <w:rFonts w:hint="eastAsia" w:ascii="仿宋_GB2312" w:hAnsi="仿宋_GB2312" w:eastAsia="仿宋_GB2312" w:cs="仿宋_GB2312"/>
                <w:color w:val="auto"/>
                <w:sz w:val="21"/>
                <w:szCs w:val="21"/>
                <w:highlight w:val="none"/>
                <w:lang w:val="en-US" w:eastAsia="zh-CN"/>
              </w:rPr>
              <w:t>1万平方米不少于1人，</w:t>
            </w:r>
            <w:r>
              <w:rPr>
                <w:rFonts w:hint="eastAsia" w:ascii="仿宋_GB2312" w:eastAsia="仿宋_GB2312"/>
                <w:color w:val="auto"/>
                <w:sz w:val="21"/>
                <w:szCs w:val="21"/>
                <w:highlight w:val="none"/>
                <w:lang w:val="en-US" w:eastAsia="zh-CN"/>
              </w:rPr>
              <w:t>配备不到位的每次扣5分。防台支撑未按主干道全线支撑、其他道路交叉口50米支撑要求落实储备的每次扣5分。</w:t>
            </w:r>
          </w:p>
          <w:p>
            <w:pPr>
              <w:widowControl/>
              <w:wordWrap/>
              <w:adjustRightInd/>
              <w:snapToGrid/>
              <w:spacing w:line="240" w:lineRule="auto"/>
              <w:ind w:left="0" w:leftChars="0" w:right="0"/>
              <w:jc w:val="left"/>
              <w:textAlignment w:val="auto"/>
              <w:outlineLvl w:val="9"/>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绿化巡查台帐及绿化施肥、病虫害防治、植物修剪等专项养护台帐检查</w:t>
            </w:r>
            <w:r>
              <w:rPr>
                <w:rFonts w:hint="eastAsia" w:ascii="仿宋_GB2312" w:eastAsia="仿宋_GB2312"/>
                <w:color w:val="auto"/>
                <w:spacing w:val="-8"/>
                <w:szCs w:val="21"/>
                <w:highlight w:val="none"/>
              </w:rPr>
              <w:t>未完成、弄虚作假扣</w:t>
            </w:r>
            <w:r>
              <w:rPr>
                <w:rFonts w:hint="eastAsia" w:ascii="仿宋_GB2312" w:eastAsia="仿宋_GB2312"/>
                <w:color w:val="auto"/>
                <w:spacing w:val="-8"/>
                <w:szCs w:val="21"/>
                <w:highlight w:val="none"/>
                <w:lang w:val="en-US" w:eastAsia="zh-CN"/>
              </w:rPr>
              <w:t>5</w:t>
            </w:r>
            <w:r>
              <w:rPr>
                <w:rFonts w:hint="eastAsia" w:ascii="仿宋_GB2312" w:eastAsia="仿宋_GB2312"/>
                <w:color w:val="auto"/>
                <w:spacing w:val="-8"/>
                <w:szCs w:val="21"/>
                <w:highlight w:val="none"/>
              </w:rPr>
              <w:t>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jc w:val="center"/>
        </w:trPr>
        <w:tc>
          <w:tcPr>
            <w:tcW w:w="1560" w:type="dxa"/>
            <w:gridSpan w:val="2"/>
            <w:tcBorders>
              <w:top w:val="nil"/>
              <w:left w:val="single" w:color="auto" w:sz="4" w:space="0"/>
              <w:bottom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hint="eastAsia" w:ascii="仿宋_GB2312" w:eastAsia="仿宋_GB2312" w:cs="宋体"/>
                <w:strike/>
                <w:color w:val="auto"/>
                <w:kern w:val="0"/>
                <w:szCs w:val="21"/>
                <w:highlight w:val="none"/>
              </w:rPr>
            </w:pPr>
            <w:r>
              <w:rPr>
                <w:rFonts w:hint="eastAsia" w:ascii="仿宋_GB2312" w:eastAsia="仿宋_GB2312"/>
                <w:color w:val="auto"/>
                <w:spacing w:val="-8"/>
                <w:szCs w:val="21"/>
                <w:highlight w:val="none"/>
                <w:lang w:val="en-US" w:eastAsia="zh-CN"/>
              </w:rPr>
              <w:t>正负清单</w:t>
            </w:r>
          </w:p>
        </w:tc>
        <w:tc>
          <w:tcPr>
            <w:tcW w:w="6372" w:type="dxa"/>
            <w:tcBorders>
              <w:top w:val="nil"/>
              <w:left w:val="nil"/>
              <w:bottom w:val="single" w:color="auto" w:sz="4" w:space="0"/>
              <w:right w:val="single" w:color="auto" w:sz="4" w:space="0"/>
            </w:tcBorders>
            <w:vAlign w:val="center"/>
          </w:tcPr>
          <w:p>
            <w:pPr>
              <w:wordWrap/>
              <w:adjustRightInd/>
              <w:snapToGrid/>
              <w:spacing w:line="240" w:lineRule="auto"/>
              <w:ind w:left="0" w:leftChars="0" w:right="0" w:firstLine="405" w:firstLineChars="209"/>
              <w:textAlignment w:val="auto"/>
              <w:outlineLvl w:val="9"/>
              <w:rPr>
                <w:rFonts w:hint="eastAsia" w:ascii="仿宋_GB2312" w:eastAsia="仿宋_GB2312"/>
                <w:color w:val="auto"/>
                <w:spacing w:val="-8"/>
                <w:szCs w:val="21"/>
                <w:highlight w:val="none"/>
                <w:lang w:val="en-US" w:eastAsia="zh-CN"/>
              </w:rPr>
            </w:pPr>
            <w:r>
              <w:rPr>
                <w:rFonts w:hint="eastAsia" w:ascii="仿宋_GB2312" w:eastAsia="仿宋_GB2312"/>
                <w:color w:val="auto"/>
                <w:spacing w:val="-8"/>
                <w:szCs w:val="21"/>
                <w:highlight w:val="none"/>
                <w:lang w:eastAsia="zh-CN"/>
              </w:rPr>
              <w:t>市级</w:t>
            </w:r>
            <w:r>
              <w:rPr>
                <w:rFonts w:hint="eastAsia" w:ascii="仿宋_GB2312" w:eastAsia="仿宋_GB2312"/>
                <w:color w:val="auto"/>
                <w:spacing w:val="-8"/>
                <w:szCs w:val="21"/>
                <w:highlight w:val="none"/>
                <w:lang w:val="en-US" w:eastAsia="zh-CN"/>
              </w:rPr>
              <w:t>领导</w:t>
            </w:r>
            <w:r>
              <w:rPr>
                <w:rFonts w:hint="eastAsia" w:ascii="仿宋_GB2312" w:eastAsia="仿宋_GB2312"/>
                <w:color w:val="auto"/>
                <w:spacing w:val="-8"/>
                <w:szCs w:val="21"/>
                <w:highlight w:val="none"/>
                <w:lang w:eastAsia="zh-CN"/>
              </w:rPr>
              <w:t>及以上批示表扬的每次加</w:t>
            </w:r>
            <w:r>
              <w:rPr>
                <w:rFonts w:hint="eastAsia" w:ascii="仿宋_GB2312" w:eastAsia="仿宋_GB2312"/>
                <w:color w:val="auto"/>
                <w:spacing w:val="-8"/>
                <w:szCs w:val="21"/>
                <w:highlight w:val="none"/>
                <w:lang w:val="en-US" w:eastAsia="zh-CN"/>
              </w:rPr>
              <w:t>1分，批评的每次扣1分；</w:t>
            </w:r>
            <w:r>
              <w:rPr>
                <w:rFonts w:hint="eastAsia" w:ascii="仿宋_GB2312" w:eastAsia="仿宋_GB2312"/>
                <w:color w:val="auto"/>
                <w:spacing w:val="-8"/>
                <w:szCs w:val="21"/>
                <w:highlight w:val="none"/>
                <w:lang w:eastAsia="zh-CN"/>
              </w:rPr>
              <w:t>区级</w:t>
            </w:r>
            <w:r>
              <w:rPr>
                <w:rFonts w:hint="eastAsia" w:ascii="仿宋_GB2312" w:eastAsia="仿宋_GB2312"/>
                <w:color w:val="auto"/>
                <w:spacing w:val="-8"/>
                <w:szCs w:val="21"/>
                <w:highlight w:val="none"/>
                <w:lang w:val="en-US" w:eastAsia="zh-CN"/>
              </w:rPr>
              <w:t>主要领导</w:t>
            </w:r>
            <w:r>
              <w:rPr>
                <w:rFonts w:hint="eastAsia" w:ascii="仿宋_GB2312" w:eastAsia="仿宋_GB2312"/>
                <w:color w:val="auto"/>
                <w:spacing w:val="-8"/>
                <w:szCs w:val="21"/>
                <w:highlight w:val="none"/>
                <w:lang w:eastAsia="zh-CN"/>
              </w:rPr>
              <w:t>批示表扬的每次加</w:t>
            </w:r>
            <w:r>
              <w:rPr>
                <w:rFonts w:hint="eastAsia" w:ascii="仿宋_GB2312" w:eastAsia="仿宋_GB2312"/>
                <w:color w:val="auto"/>
                <w:spacing w:val="-8"/>
                <w:szCs w:val="21"/>
                <w:highlight w:val="none"/>
                <w:lang w:val="en-US" w:eastAsia="zh-CN"/>
              </w:rPr>
              <w:t>0.5分，批评的每次扣0.5分。</w:t>
            </w:r>
          </w:p>
          <w:p>
            <w:pPr>
              <w:wordWrap/>
              <w:adjustRightInd/>
              <w:snapToGrid/>
              <w:spacing w:line="240" w:lineRule="auto"/>
              <w:ind w:left="0" w:leftChars="0" w:right="0" w:firstLine="438" w:firstLineChars="209"/>
              <w:textAlignment w:val="auto"/>
              <w:outlineLvl w:val="9"/>
              <w:rPr>
                <w:rFonts w:hint="eastAsia" w:ascii="仿宋_GB2312" w:eastAsia="仿宋_GB2312"/>
                <w:color w:val="auto"/>
                <w:spacing w:val="-8"/>
                <w:szCs w:val="21"/>
                <w:highlight w:val="none"/>
                <w:lang w:eastAsia="zh-CN"/>
              </w:rPr>
            </w:pPr>
            <w:r>
              <w:rPr>
                <w:rFonts w:hint="eastAsia" w:ascii="仿宋_GB2312" w:eastAsia="仿宋_GB2312"/>
                <w:color w:val="auto"/>
                <w:szCs w:val="21"/>
                <w:highlight w:val="none"/>
              </w:rPr>
              <w:t>联系函、抄告单等超时回复或不回复的每次扣</w:t>
            </w:r>
            <w:r>
              <w:rPr>
                <w:rFonts w:hint="eastAsia" w:ascii="仿宋_GB2312" w:eastAsia="仿宋_GB2312"/>
                <w:color w:val="auto"/>
                <w:szCs w:val="21"/>
                <w:highlight w:val="none"/>
                <w:lang w:val="en-US" w:eastAsia="zh-CN"/>
              </w:rPr>
              <w:t>0.2</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pacing w:val="-8"/>
                <w:szCs w:val="21"/>
                <w:highlight w:val="none"/>
              </w:rPr>
              <w:t>二次抄告</w:t>
            </w:r>
            <w:r>
              <w:rPr>
                <w:rFonts w:hint="eastAsia" w:ascii="仿宋_GB2312" w:eastAsia="仿宋_GB2312"/>
                <w:color w:val="auto"/>
                <w:spacing w:val="-8"/>
                <w:szCs w:val="21"/>
                <w:highlight w:val="none"/>
                <w:lang w:eastAsia="zh-CN"/>
              </w:rPr>
              <w:t>及以上的每</w:t>
            </w:r>
            <w:r>
              <w:rPr>
                <w:rFonts w:hint="eastAsia" w:ascii="仿宋_GB2312" w:eastAsia="仿宋_GB2312"/>
                <w:color w:val="auto"/>
                <w:szCs w:val="21"/>
                <w:highlight w:val="none"/>
              </w:rPr>
              <w:t>次</w:t>
            </w:r>
            <w:r>
              <w:rPr>
                <w:rFonts w:hint="eastAsia" w:ascii="仿宋_GB2312" w:eastAsia="仿宋_GB2312"/>
                <w:color w:val="auto"/>
                <w:spacing w:val="-8"/>
                <w:szCs w:val="21"/>
                <w:highlight w:val="none"/>
              </w:rPr>
              <w:t>扣</w:t>
            </w:r>
            <w:r>
              <w:rPr>
                <w:rFonts w:hint="eastAsia" w:ascii="仿宋_GB2312" w:eastAsia="仿宋_GB2312"/>
                <w:color w:val="auto"/>
                <w:spacing w:val="-8"/>
                <w:szCs w:val="21"/>
                <w:highlight w:val="none"/>
                <w:lang w:val="en-US" w:eastAsia="zh-CN"/>
              </w:rPr>
              <w:t>0.5</w:t>
            </w:r>
            <w:r>
              <w:rPr>
                <w:rFonts w:hint="eastAsia" w:ascii="仿宋_GB2312" w:eastAsia="仿宋_GB2312"/>
                <w:color w:val="auto"/>
                <w:szCs w:val="21"/>
                <w:highlight w:val="none"/>
              </w:rPr>
              <w:t>分</w:t>
            </w:r>
            <w:r>
              <w:rPr>
                <w:rFonts w:hint="eastAsia" w:ascii="仿宋_GB2312" w:eastAsia="仿宋_GB2312"/>
                <w:color w:val="auto"/>
                <w:spacing w:val="-8"/>
                <w:szCs w:val="21"/>
                <w:highlight w:val="none"/>
                <w:lang w:eastAsia="zh-CN"/>
              </w:rPr>
              <w:t>；</w:t>
            </w:r>
          </w:p>
          <w:p>
            <w:pPr>
              <w:wordWrap/>
              <w:adjustRightInd/>
              <w:snapToGrid/>
              <w:spacing w:line="240" w:lineRule="auto"/>
              <w:ind w:left="0" w:leftChars="0" w:right="0" w:firstLine="438" w:firstLineChars="209"/>
              <w:textAlignment w:val="auto"/>
              <w:outlineLvl w:val="9"/>
              <w:rPr>
                <w:rFonts w:hint="eastAsia" w:ascii="仿宋_GB2312" w:eastAsia="仿宋_GB2312"/>
                <w:color w:val="auto"/>
                <w:sz w:val="21"/>
                <w:szCs w:val="21"/>
                <w:highlight w:val="none"/>
                <w:lang w:eastAsia="zh-CN"/>
              </w:rPr>
            </w:pPr>
            <w:r>
              <w:rPr>
                <w:rFonts w:hint="eastAsia" w:ascii="仿宋_GB2312" w:eastAsia="仿宋_GB2312"/>
                <w:color w:val="auto"/>
                <w:sz w:val="21"/>
                <w:szCs w:val="21"/>
                <w:highlight w:val="none"/>
                <w:lang w:eastAsia="zh-CN"/>
              </w:rPr>
              <w:t>积极提供市政宣传报道素材（图片、文字等），经区城管局审核，被录用正面宣传报道的，区级媒体每件次加</w:t>
            </w:r>
            <w:r>
              <w:rPr>
                <w:rFonts w:hint="eastAsia" w:ascii="仿宋_GB2312" w:eastAsia="仿宋_GB2312"/>
                <w:color w:val="auto"/>
                <w:sz w:val="21"/>
                <w:szCs w:val="21"/>
                <w:highlight w:val="none"/>
                <w:lang w:val="en-US" w:eastAsia="zh-CN"/>
              </w:rPr>
              <w:t>0.1</w:t>
            </w:r>
            <w:r>
              <w:rPr>
                <w:rFonts w:hint="eastAsia" w:ascii="仿宋_GB2312" w:eastAsia="仿宋_GB2312"/>
                <w:color w:val="auto"/>
                <w:sz w:val="21"/>
                <w:szCs w:val="21"/>
                <w:highlight w:val="none"/>
                <w:lang w:eastAsia="zh-CN"/>
              </w:rPr>
              <w:t>分，市级媒体每件次加</w:t>
            </w:r>
            <w:r>
              <w:rPr>
                <w:rFonts w:hint="eastAsia" w:ascii="仿宋_GB2312" w:eastAsia="仿宋_GB2312"/>
                <w:color w:val="auto"/>
                <w:sz w:val="21"/>
                <w:szCs w:val="21"/>
                <w:highlight w:val="none"/>
                <w:lang w:val="en-US" w:eastAsia="zh-CN"/>
              </w:rPr>
              <w:t>0.2</w:t>
            </w:r>
            <w:r>
              <w:rPr>
                <w:rFonts w:hint="eastAsia" w:ascii="仿宋_GB2312" w:eastAsia="仿宋_GB2312"/>
                <w:color w:val="auto"/>
                <w:sz w:val="21"/>
                <w:szCs w:val="21"/>
                <w:highlight w:val="none"/>
                <w:lang w:eastAsia="zh-CN"/>
              </w:rPr>
              <w:t>分，省级及以上媒体每件次加</w:t>
            </w:r>
            <w:r>
              <w:rPr>
                <w:rFonts w:hint="eastAsia" w:ascii="仿宋_GB2312" w:eastAsia="仿宋_GB2312"/>
                <w:color w:val="auto"/>
                <w:sz w:val="21"/>
                <w:szCs w:val="21"/>
                <w:highlight w:val="none"/>
                <w:lang w:val="en-US" w:eastAsia="zh-CN"/>
              </w:rPr>
              <w:t>0.3</w:t>
            </w:r>
            <w:r>
              <w:rPr>
                <w:rFonts w:hint="eastAsia" w:ascii="仿宋_GB2312" w:eastAsia="仿宋_GB2312"/>
                <w:color w:val="auto"/>
                <w:sz w:val="21"/>
                <w:szCs w:val="21"/>
                <w:highlight w:val="none"/>
                <w:lang w:eastAsia="zh-CN"/>
              </w:rPr>
              <w:t>分，同一事项以最高加分项计；</w:t>
            </w:r>
            <w:r>
              <w:rPr>
                <w:rFonts w:hint="eastAsia" w:ascii="仿宋_GB2312" w:eastAsia="仿宋_GB2312"/>
                <w:color w:val="auto"/>
                <w:spacing w:val="-8"/>
                <w:szCs w:val="21"/>
                <w:highlight w:val="none"/>
                <w:lang w:eastAsia="zh-CN"/>
              </w:rPr>
              <w:t>市级及以上</w:t>
            </w:r>
            <w:r>
              <w:rPr>
                <w:rFonts w:hint="eastAsia" w:ascii="仿宋_GB2312" w:eastAsia="仿宋_GB2312"/>
                <w:color w:val="auto"/>
                <w:spacing w:val="-8"/>
                <w:szCs w:val="21"/>
                <w:highlight w:val="none"/>
              </w:rPr>
              <w:t>媒体曝光每件扣</w:t>
            </w:r>
            <w:r>
              <w:rPr>
                <w:rFonts w:hint="eastAsia" w:ascii="仿宋_GB2312" w:eastAsia="仿宋_GB2312"/>
                <w:color w:val="auto"/>
                <w:spacing w:val="-8"/>
                <w:szCs w:val="21"/>
                <w:highlight w:val="none"/>
                <w:lang w:val="en-US" w:eastAsia="zh-CN"/>
              </w:rPr>
              <w:t>0.5</w:t>
            </w:r>
            <w:r>
              <w:rPr>
                <w:rFonts w:hint="eastAsia" w:ascii="仿宋_GB2312" w:eastAsia="仿宋_GB2312"/>
                <w:color w:val="auto"/>
                <w:szCs w:val="21"/>
                <w:highlight w:val="none"/>
              </w:rPr>
              <w:t>分</w:t>
            </w:r>
            <w:r>
              <w:rPr>
                <w:rFonts w:hint="eastAsia" w:ascii="仿宋_GB2312" w:eastAsia="仿宋_GB2312"/>
                <w:color w:val="auto"/>
                <w:spacing w:val="-8"/>
                <w:szCs w:val="21"/>
                <w:highlight w:val="none"/>
              </w:rPr>
              <w:t>，</w:t>
            </w:r>
            <w:r>
              <w:rPr>
                <w:rFonts w:hint="eastAsia" w:ascii="仿宋_GB2312" w:eastAsia="仿宋_GB2312"/>
                <w:color w:val="auto"/>
                <w:spacing w:val="-8"/>
                <w:szCs w:val="21"/>
                <w:highlight w:val="none"/>
                <w:lang w:eastAsia="zh-CN"/>
              </w:rPr>
              <w:t>区级</w:t>
            </w:r>
            <w:r>
              <w:rPr>
                <w:rFonts w:hint="eastAsia" w:ascii="仿宋_GB2312" w:eastAsia="仿宋_GB2312"/>
                <w:color w:val="auto"/>
                <w:spacing w:val="-8"/>
                <w:szCs w:val="21"/>
                <w:highlight w:val="none"/>
              </w:rPr>
              <w:t>媒体曝光每件扣</w:t>
            </w:r>
            <w:r>
              <w:rPr>
                <w:rFonts w:hint="eastAsia" w:ascii="仿宋_GB2312" w:eastAsia="仿宋_GB2312"/>
                <w:color w:val="auto"/>
                <w:szCs w:val="21"/>
                <w:highlight w:val="none"/>
                <w:lang w:val="en-US" w:eastAsia="zh-CN"/>
              </w:rPr>
              <w:t>0.2</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p>
          <w:p>
            <w:pPr>
              <w:wordWrap/>
              <w:adjustRightInd/>
              <w:snapToGrid/>
              <w:spacing w:line="240" w:lineRule="auto"/>
              <w:ind w:left="0" w:leftChars="0" w:right="0" w:firstLine="438" w:firstLineChars="209"/>
              <w:textAlignment w:val="auto"/>
              <w:outlineLvl w:val="9"/>
              <w:rPr>
                <w:rFonts w:hint="eastAsia" w:ascii="仿宋_GB2312" w:eastAsia="仿宋_GB2312"/>
                <w:color w:val="auto"/>
                <w:szCs w:val="21"/>
                <w:highlight w:val="none"/>
                <w:lang w:eastAsia="zh-CN"/>
              </w:rPr>
            </w:pPr>
            <w:r>
              <w:rPr>
                <w:rFonts w:hint="eastAsia" w:ascii="仿宋_GB2312" w:hAnsi="仿宋_GB2312" w:eastAsia="仿宋_GB2312" w:cs="仿宋_GB2312"/>
                <w:color w:val="auto"/>
                <w:sz w:val="21"/>
                <w:szCs w:val="21"/>
                <w:highlight w:val="none"/>
              </w:rPr>
              <w:t>发生无人员死亡有责安全生产事故的，每起扣</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分；发生人员死亡有责安全生产事故的，每起扣</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p>
        </w:tc>
        <w:tc>
          <w:tcPr>
            <w:tcW w:w="1095" w:type="dxa"/>
            <w:tcBorders>
              <w:top w:val="nil"/>
              <w:left w:val="single" w:color="auto" w:sz="4" w:space="0"/>
              <w:bottom w:val="single" w:color="000000" w:sz="4" w:space="0"/>
              <w:right w:val="single" w:color="auto" w:sz="4" w:space="0"/>
            </w:tcBorders>
            <w:vAlign w:val="center"/>
          </w:tcPr>
          <w:p>
            <w:pPr>
              <w:widowControl/>
              <w:wordWrap/>
              <w:adjustRightInd/>
              <w:snapToGrid/>
              <w:spacing w:line="240" w:lineRule="auto"/>
              <w:ind w:left="0" w:leftChars="0" w:right="0"/>
              <w:jc w:val="center"/>
              <w:textAlignment w:val="auto"/>
              <w:outlineLvl w:val="9"/>
              <w:rPr>
                <w:rFonts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932" w:type="dxa"/>
            <w:gridSpan w:val="3"/>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r>
              <w:rPr>
                <w:rFonts w:hint="eastAsia" w:ascii="仿宋_GB2312" w:eastAsia="仿宋_GB2312"/>
                <w:color w:val="auto"/>
                <w:szCs w:val="21"/>
                <w:highlight w:val="none"/>
              </w:rPr>
              <w:t>评分合计</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1560" w:type="dxa"/>
            <w:gridSpan w:val="2"/>
            <w:tcBorders>
              <w:top w:val="nil"/>
              <w:left w:val="single" w:color="auto" w:sz="4" w:space="0"/>
              <w:bottom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hint="eastAsia" w:ascii="仿宋_GB2312" w:eastAsia="仿宋_GB2312" w:cs="宋体"/>
                <w:color w:val="auto"/>
                <w:kern w:val="0"/>
                <w:szCs w:val="21"/>
                <w:highlight w:val="none"/>
              </w:rPr>
            </w:pPr>
            <w:r>
              <w:rPr>
                <w:rFonts w:hint="eastAsia" w:ascii="仿宋_GB2312" w:eastAsia="仿宋_GB2312"/>
                <w:color w:val="auto"/>
                <w:szCs w:val="21"/>
                <w:highlight w:val="none"/>
              </w:rPr>
              <w:t>备注</w:t>
            </w:r>
          </w:p>
        </w:tc>
        <w:tc>
          <w:tcPr>
            <w:tcW w:w="7467" w:type="dxa"/>
            <w:gridSpan w:val="2"/>
            <w:tcBorders>
              <w:top w:val="single" w:color="auto" w:sz="4" w:space="0"/>
              <w:left w:val="nil"/>
              <w:bottom w:val="single" w:color="auto" w:sz="4" w:space="0"/>
              <w:right w:val="single" w:color="000000" w:sz="4" w:space="0"/>
            </w:tcBorders>
            <w:vAlign w:val="center"/>
          </w:tcPr>
          <w:p>
            <w:pPr>
              <w:numPr>
                <w:ilvl w:val="0"/>
                <w:numId w:val="0"/>
              </w:numPr>
              <w:wordWrap/>
              <w:adjustRightInd/>
              <w:snapToGrid/>
              <w:spacing w:line="240" w:lineRule="auto"/>
              <w:ind w:left="0" w:leftChars="0" w:right="0" w:firstLine="0" w:firstLineChars="0"/>
              <w:textAlignment w:val="auto"/>
              <w:outlineLvl w:val="9"/>
              <w:rPr>
                <w:rFonts w:hint="eastAsia" w:ascii="仿宋_GB2312" w:eastAsia="仿宋_GB2312"/>
                <w:color w:val="auto"/>
                <w:spacing w:val="-8"/>
                <w:szCs w:val="21"/>
                <w:highlight w:val="none"/>
              </w:rPr>
            </w:pPr>
            <w:r>
              <w:rPr>
                <w:rFonts w:hint="eastAsia" w:ascii="仿宋_GB2312" w:hAnsi="仿宋_GB2312" w:eastAsia="仿宋_GB2312" w:cs="仿宋_GB2312"/>
                <w:color w:val="auto"/>
                <w:kern w:val="0"/>
                <w:sz w:val="21"/>
                <w:szCs w:val="21"/>
                <w:highlight w:val="none"/>
                <w:lang w:val="en-US" w:eastAsia="zh-CN"/>
              </w:rPr>
              <w:t>正负面分数累计加减分分别不高于3分，超过按3分计入。</w:t>
            </w:r>
          </w:p>
        </w:tc>
      </w:tr>
    </w:tbl>
    <w:p>
      <w:pPr>
        <w:spacing w:line="440" w:lineRule="exact"/>
        <w:rPr>
          <w:rFonts w:hint="eastAsia" w:ascii="宋体" w:hAnsi="宋体" w:cs="宋体"/>
          <w:b/>
          <w:bCs/>
          <w:color w:val="auto"/>
          <w:sz w:val="28"/>
          <w:szCs w:val="28"/>
          <w:highlight w:val="none"/>
        </w:rPr>
      </w:pPr>
    </w:p>
    <w:p>
      <w:pPr>
        <w:pStyle w:val="623"/>
        <w:rPr>
          <w:rFonts w:hint="eastAsia"/>
          <w:color w:val="auto"/>
          <w:highlight w:val="none"/>
        </w:rPr>
      </w:pPr>
    </w:p>
    <w:p>
      <w:pPr>
        <w:pStyle w:val="623"/>
        <w:rPr>
          <w:rFonts w:hint="eastAsia"/>
          <w:color w:val="auto"/>
          <w:highlight w:val="none"/>
        </w:rPr>
      </w:pPr>
    </w:p>
    <w:p>
      <w:pPr>
        <w:pStyle w:val="623"/>
        <w:rPr>
          <w:rFonts w:hint="eastAsia"/>
          <w:color w:val="auto"/>
          <w:highlight w:val="none"/>
        </w:rPr>
      </w:pPr>
    </w:p>
    <w:p>
      <w:pPr>
        <w:pStyle w:val="623"/>
        <w:rPr>
          <w:rFonts w:hint="eastAsia"/>
          <w:color w:val="auto"/>
          <w:highlight w:val="none"/>
        </w:rPr>
      </w:pPr>
    </w:p>
    <w:p>
      <w:pPr>
        <w:pStyle w:val="623"/>
        <w:rPr>
          <w:rFonts w:hint="eastAsia"/>
          <w:color w:val="auto"/>
          <w:highlight w:val="none"/>
        </w:rPr>
      </w:pPr>
    </w:p>
    <w:p>
      <w:pPr>
        <w:pStyle w:val="623"/>
        <w:rPr>
          <w:rFonts w:hint="eastAsia"/>
          <w:color w:val="auto"/>
          <w:highlight w:val="none"/>
        </w:rPr>
      </w:pPr>
    </w:p>
    <w:p>
      <w:pPr>
        <w:pStyle w:val="623"/>
        <w:rPr>
          <w:rFonts w:hint="eastAsia"/>
          <w:color w:val="auto"/>
          <w:highlight w:val="none"/>
        </w:rPr>
      </w:pPr>
    </w:p>
    <w:p>
      <w:pPr>
        <w:pStyle w:val="623"/>
        <w:rPr>
          <w:rFonts w:hint="eastAsia"/>
          <w:color w:val="auto"/>
          <w:highlight w:val="none"/>
        </w:rPr>
      </w:pPr>
    </w:p>
    <w:p>
      <w:pPr>
        <w:pStyle w:val="623"/>
        <w:rPr>
          <w:rFonts w:hint="eastAsia"/>
          <w:color w:val="auto"/>
          <w:highlight w:val="none"/>
        </w:rPr>
      </w:pPr>
    </w:p>
    <w:p>
      <w:pPr>
        <w:pStyle w:val="623"/>
        <w:rPr>
          <w:rFonts w:hint="eastAsia"/>
          <w:color w:val="auto"/>
          <w:highlight w:val="none"/>
        </w:rPr>
      </w:pPr>
    </w:p>
    <w:p>
      <w:pPr>
        <w:pStyle w:val="623"/>
        <w:rPr>
          <w:rFonts w:hint="eastAsia"/>
          <w:color w:val="auto"/>
          <w:highlight w:val="none"/>
        </w:rPr>
      </w:pPr>
    </w:p>
    <w:p>
      <w:pPr>
        <w:pStyle w:val="623"/>
        <w:rPr>
          <w:rFonts w:hint="eastAsia"/>
          <w:color w:val="auto"/>
          <w:highlight w:val="none"/>
        </w:rPr>
      </w:pPr>
    </w:p>
    <w:p>
      <w:pPr>
        <w:pStyle w:val="623"/>
        <w:rPr>
          <w:rFonts w:hint="eastAsia"/>
          <w:color w:val="auto"/>
          <w:highlight w:val="none"/>
        </w:rPr>
      </w:pPr>
    </w:p>
    <w:p>
      <w:pPr>
        <w:numPr>
          <w:ilvl w:val="0"/>
          <w:numId w:val="0"/>
        </w:numPr>
        <w:ind w:firstLine="960" w:firstLineChars="300"/>
        <w:jc w:val="center"/>
        <w:rPr>
          <w:rFonts w:hint="eastAsia" w:ascii="方正小标宋_GBK" w:hAnsi="宋体" w:eastAsia="方正小标宋_GBK" w:cs="宋体"/>
          <w:b w:val="0"/>
          <w:bCs/>
          <w:color w:val="auto"/>
          <w:sz w:val="32"/>
          <w:szCs w:val="32"/>
          <w:highlight w:val="none"/>
          <w:lang w:eastAsia="zh-CN"/>
        </w:rPr>
      </w:pPr>
    </w:p>
    <w:p>
      <w:pPr>
        <w:numPr>
          <w:ilvl w:val="0"/>
          <w:numId w:val="0"/>
        </w:numPr>
        <w:ind w:firstLine="960" w:firstLineChars="300"/>
        <w:jc w:val="center"/>
        <w:rPr>
          <w:rFonts w:hint="eastAsia" w:ascii="方正小标宋_GBK" w:hAnsi="宋体" w:eastAsia="方正小标宋_GBK" w:cs="宋体"/>
          <w:b w:val="0"/>
          <w:bCs/>
          <w:color w:val="auto"/>
          <w:sz w:val="32"/>
          <w:szCs w:val="32"/>
          <w:highlight w:val="none"/>
        </w:rPr>
      </w:pPr>
      <w:r>
        <w:rPr>
          <w:rFonts w:hint="eastAsia" w:ascii="方正小标宋_GBK" w:hAnsi="宋体" w:eastAsia="方正小标宋_GBK" w:cs="宋体"/>
          <w:b w:val="0"/>
          <w:bCs/>
          <w:color w:val="auto"/>
          <w:sz w:val="32"/>
          <w:szCs w:val="32"/>
          <w:highlight w:val="none"/>
          <w:lang w:eastAsia="zh-CN"/>
        </w:rPr>
        <w:t>临平</w:t>
      </w:r>
      <w:r>
        <w:rPr>
          <w:rFonts w:hint="eastAsia" w:ascii="方正小标宋_GBK" w:hAnsi="宋体" w:eastAsia="方正小标宋_GBK" w:cs="宋体"/>
          <w:b w:val="0"/>
          <w:bCs/>
          <w:color w:val="auto"/>
          <w:sz w:val="32"/>
          <w:szCs w:val="32"/>
          <w:highlight w:val="none"/>
        </w:rPr>
        <w:t>区市政</w:t>
      </w:r>
      <w:r>
        <w:rPr>
          <w:rFonts w:hint="eastAsia" w:ascii="方正小标宋_GBK" w:hAnsi="宋体" w:eastAsia="方正小标宋_GBK" w:cs="宋体"/>
          <w:b w:val="0"/>
          <w:bCs/>
          <w:color w:val="auto"/>
          <w:sz w:val="32"/>
          <w:szCs w:val="32"/>
          <w:highlight w:val="none"/>
          <w:lang w:eastAsia="zh-CN"/>
        </w:rPr>
        <w:t>考核</w:t>
      </w:r>
      <w:r>
        <w:rPr>
          <w:rFonts w:hint="eastAsia" w:ascii="方正小标宋_GBK" w:hAnsi="宋体" w:eastAsia="方正小标宋_GBK" w:cs="宋体"/>
          <w:b w:val="0"/>
          <w:bCs/>
          <w:color w:val="auto"/>
          <w:sz w:val="32"/>
          <w:szCs w:val="32"/>
          <w:highlight w:val="none"/>
        </w:rPr>
        <w:t>评分细则</w:t>
      </w:r>
      <w:r>
        <w:rPr>
          <w:rFonts w:hint="eastAsia" w:ascii="方正小标宋_GBK" w:hAnsi="宋体" w:eastAsia="方正小标宋_GBK" w:cs="宋体"/>
          <w:b w:val="0"/>
          <w:bCs/>
          <w:color w:val="auto"/>
          <w:sz w:val="32"/>
          <w:szCs w:val="32"/>
          <w:highlight w:val="none"/>
          <w:lang w:eastAsia="zh-CN"/>
        </w:rPr>
        <w:t>（</w:t>
      </w:r>
      <w:r>
        <w:rPr>
          <w:rFonts w:hint="eastAsia" w:ascii="方正小标宋_GBK" w:hAnsi="宋体" w:eastAsia="方正小标宋_GBK" w:cs="宋体"/>
          <w:b w:val="0"/>
          <w:bCs/>
          <w:color w:val="auto"/>
          <w:sz w:val="32"/>
          <w:szCs w:val="32"/>
          <w:highlight w:val="none"/>
          <w:lang w:val="en-US" w:eastAsia="zh-CN"/>
        </w:rPr>
        <w:t>参照</w:t>
      </w:r>
      <w:r>
        <w:rPr>
          <w:rFonts w:hint="eastAsia" w:ascii="方正小标宋_GBK" w:hAnsi="宋体" w:eastAsia="方正小标宋_GBK" w:cs="宋体"/>
          <w:b w:val="0"/>
          <w:bCs/>
          <w:color w:val="auto"/>
          <w:sz w:val="32"/>
          <w:szCs w:val="32"/>
          <w:highlight w:val="none"/>
          <w:lang w:eastAsia="zh-CN"/>
        </w:rPr>
        <w:t>）</w:t>
      </w:r>
    </w:p>
    <w:tbl>
      <w:tblPr>
        <w:tblStyle w:val="70"/>
        <w:tblW w:w="10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20"/>
        <w:gridCol w:w="5162"/>
        <w:gridCol w:w="2085"/>
        <w:gridCol w:w="93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748" w:type="dxa"/>
            <w:gridSpan w:val="2"/>
            <w:vAlign w:val="center"/>
          </w:tcPr>
          <w:p>
            <w:pPr>
              <w:spacing w:line="320" w:lineRule="exact"/>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考核内容</w:t>
            </w:r>
          </w:p>
        </w:tc>
        <w:tc>
          <w:tcPr>
            <w:tcW w:w="5162" w:type="dxa"/>
            <w:vAlign w:val="center"/>
          </w:tcPr>
          <w:p>
            <w:pPr>
              <w:spacing w:line="320" w:lineRule="exact"/>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评分标准</w:t>
            </w:r>
          </w:p>
        </w:tc>
        <w:tc>
          <w:tcPr>
            <w:tcW w:w="2085" w:type="dxa"/>
            <w:vAlign w:val="center"/>
          </w:tcPr>
          <w:p>
            <w:pPr>
              <w:spacing w:line="320" w:lineRule="exact"/>
              <w:jc w:val="center"/>
              <w:rPr>
                <w:rFonts w:hint="eastAsia" w:ascii="黑体" w:hAnsi="黑体" w:eastAsia="黑体" w:cs="黑体"/>
                <w:b w:val="0"/>
                <w:bCs/>
                <w:color w:val="auto"/>
                <w:sz w:val="24"/>
                <w:szCs w:val="24"/>
                <w:highlight w:val="none"/>
                <w:lang w:eastAsia="zh-CN"/>
              </w:rPr>
            </w:pPr>
            <w:r>
              <w:rPr>
                <w:rFonts w:hint="eastAsia" w:ascii="黑体" w:hAnsi="黑体" w:eastAsia="黑体" w:cs="黑体"/>
                <w:b w:val="0"/>
                <w:bCs/>
                <w:color w:val="auto"/>
                <w:sz w:val="24"/>
                <w:szCs w:val="24"/>
                <w:highlight w:val="none"/>
                <w:lang w:eastAsia="zh-CN"/>
              </w:rPr>
              <w:t>问题简述</w:t>
            </w:r>
          </w:p>
        </w:tc>
        <w:tc>
          <w:tcPr>
            <w:tcW w:w="930" w:type="dxa"/>
            <w:vAlign w:val="center"/>
          </w:tcPr>
          <w:p>
            <w:pPr>
              <w:spacing w:line="320" w:lineRule="exact"/>
              <w:jc w:val="center"/>
              <w:rPr>
                <w:rFonts w:hint="eastAsia" w:ascii="黑体" w:hAnsi="黑体" w:eastAsia="黑体" w:cs="黑体"/>
                <w:b w:val="0"/>
                <w:bCs/>
                <w:color w:val="auto"/>
                <w:sz w:val="24"/>
                <w:szCs w:val="24"/>
                <w:highlight w:val="none"/>
                <w:lang w:eastAsia="zh-CN"/>
              </w:rPr>
            </w:pPr>
            <w:r>
              <w:rPr>
                <w:rFonts w:hint="eastAsia" w:ascii="黑体" w:hAnsi="黑体" w:eastAsia="黑体" w:cs="黑体"/>
                <w:b w:val="0"/>
                <w:bCs/>
                <w:color w:val="auto"/>
                <w:sz w:val="24"/>
                <w:szCs w:val="24"/>
                <w:highlight w:val="none"/>
                <w:lang w:eastAsia="zh-CN"/>
              </w:rPr>
              <w:t>问题类别</w:t>
            </w:r>
          </w:p>
        </w:tc>
        <w:tc>
          <w:tcPr>
            <w:tcW w:w="945" w:type="dxa"/>
            <w:vAlign w:val="center"/>
          </w:tcPr>
          <w:p>
            <w:pPr>
              <w:spacing w:line="320" w:lineRule="exact"/>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考核</w:t>
            </w:r>
          </w:p>
          <w:p>
            <w:pPr>
              <w:spacing w:line="320" w:lineRule="exact"/>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828" w:type="dxa"/>
            <w:vMerge w:val="restart"/>
            <w:vAlign w:val="center"/>
          </w:tcPr>
          <w:p>
            <w:pPr>
              <w:spacing w:line="320" w:lineRule="exact"/>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日常检查</w:t>
            </w:r>
          </w:p>
          <w:p>
            <w:pPr>
              <w:spacing w:line="320" w:lineRule="exact"/>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lang w:val="en-US" w:eastAsia="zh-CN"/>
              </w:rPr>
              <w:t>（70</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p>
          <w:p>
            <w:pPr>
              <w:spacing w:line="320" w:lineRule="exact"/>
              <w:jc w:val="center"/>
              <w:rPr>
                <w:rFonts w:hint="eastAsia" w:ascii="仿宋_GB2312" w:eastAsia="仿宋_GB2312"/>
                <w:color w:val="auto"/>
                <w:szCs w:val="21"/>
                <w:highlight w:val="none"/>
              </w:rPr>
            </w:pPr>
          </w:p>
          <w:p>
            <w:pPr>
              <w:widowControl/>
              <w:jc w:val="left"/>
              <w:textAlignment w:val="center"/>
              <w:rPr>
                <w:rFonts w:hint="eastAsia" w:ascii="仿宋_GB2312" w:hAnsi="仿宋_GB2312" w:eastAsia="仿宋_GB2312" w:cs="仿宋_GB2312"/>
                <w:color w:val="auto"/>
                <w:kern w:val="2"/>
                <w:sz w:val="21"/>
                <w:szCs w:val="21"/>
                <w:highlight w:val="none"/>
                <w:lang w:val="en-US" w:eastAsia="zh-CN" w:bidi="ar-SA"/>
              </w:rPr>
            </w:pPr>
          </w:p>
        </w:tc>
        <w:tc>
          <w:tcPr>
            <w:tcW w:w="920" w:type="dxa"/>
            <w:vMerge w:val="restart"/>
            <w:vAlign w:val="center"/>
          </w:tcPr>
          <w:p>
            <w:pPr>
              <w:spacing w:line="32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lang w:eastAsia="zh-CN"/>
              </w:rPr>
              <w:t>车行道</w:t>
            </w:r>
            <w:r>
              <w:rPr>
                <w:rFonts w:hint="eastAsia" w:ascii="仿宋_GB2312" w:eastAsia="仿宋_GB2312"/>
                <w:color w:val="auto"/>
                <w:szCs w:val="21"/>
                <w:highlight w:val="none"/>
              </w:rPr>
              <w:t>养护</w:t>
            </w:r>
          </w:p>
          <w:p>
            <w:pPr>
              <w:spacing w:line="320" w:lineRule="exact"/>
              <w:jc w:val="center"/>
              <w:rPr>
                <w:rFonts w:hint="eastAsia" w:ascii="仿宋_GB2312" w:eastAsia="仿宋_GB2312"/>
                <w:color w:val="auto"/>
                <w:szCs w:val="21"/>
                <w:highlight w:val="none"/>
                <w:lang w:val="en-US" w:eastAsia="zh-CN"/>
              </w:rPr>
            </w:pPr>
          </w:p>
        </w:tc>
        <w:tc>
          <w:tcPr>
            <w:tcW w:w="5162" w:type="dxa"/>
            <w:vAlign w:val="center"/>
          </w:tcPr>
          <w:p>
            <w:pPr>
              <w:spacing w:line="320" w:lineRule="exact"/>
              <w:ind w:left="0" w:leftChars="0" w:firstLine="420" w:firstLineChars="200"/>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eastAsia="zh-CN"/>
              </w:rPr>
              <w:t>路面裂缝长于</w:t>
            </w:r>
            <w:r>
              <w:rPr>
                <w:rFonts w:hint="eastAsia" w:ascii="仿宋_GB2312" w:eastAsia="仿宋_GB2312"/>
                <w:color w:val="auto"/>
                <w:szCs w:val="21"/>
                <w:highlight w:val="none"/>
                <w:lang w:val="en-US" w:eastAsia="zh-CN"/>
              </w:rPr>
              <w:t>1米的</w:t>
            </w:r>
          </w:p>
        </w:tc>
        <w:tc>
          <w:tcPr>
            <w:tcW w:w="2085" w:type="dxa"/>
            <w:vMerge w:val="restart"/>
            <w:vAlign w:val="center"/>
          </w:tcPr>
          <w:p>
            <w:pPr>
              <w:rPr>
                <w:rFonts w:hint="eastAsia" w:ascii="仿宋_GB2312" w:eastAsia="仿宋_GB2312"/>
                <w:b/>
                <w:bCs/>
                <w:color w:val="auto"/>
                <w:szCs w:val="21"/>
                <w:highlight w:val="none"/>
                <w:lang w:eastAsia="zh-CN"/>
              </w:rPr>
            </w:pPr>
            <w:r>
              <w:rPr>
                <w:rFonts w:hint="eastAsia" w:ascii="仿宋_GB2312" w:eastAsia="仿宋_GB2312"/>
                <w:color w:val="auto"/>
                <w:szCs w:val="21"/>
                <w:highlight w:val="none"/>
              </w:rPr>
              <w:t>道路</w:t>
            </w:r>
            <w:r>
              <w:rPr>
                <w:rFonts w:hint="eastAsia" w:ascii="仿宋_GB2312" w:eastAsia="仿宋_GB2312"/>
                <w:color w:val="auto"/>
                <w:szCs w:val="21"/>
                <w:highlight w:val="none"/>
                <w:lang w:eastAsia="zh-CN"/>
              </w:rPr>
              <w:t>及井盖</w:t>
            </w:r>
            <w:r>
              <w:rPr>
                <w:rFonts w:hint="eastAsia" w:ascii="仿宋_GB2312" w:eastAsia="仿宋_GB2312"/>
                <w:color w:val="auto"/>
                <w:szCs w:val="21"/>
                <w:highlight w:val="none"/>
              </w:rPr>
              <w:t>破损、网裂、碎裂、坑洞、下沉、凸起</w:t>
            </w:r>
            <w:r>
              <w:rPr>
                <w:rFonts w:hint="eastAsia" w:ascii="仿宋_GB2312" w:eastAsia="仿宋_GB2312"/>
                <w:color w:val="auto"/>
                <w:szCs w:val="21"/>
                <w:highlight w:val="none"/>
                <w:lang w:eastAsia="zh-CN"/>
              </w:rPr>
              <w:t>的</w:t>
            </w:r>
          </w:p>
        </w:tc>
        <w:tc>
          <w:tcPr>
            <w:tcW w:w="930" w:type="dxa"/>
            <w:vMerge w:val="restart"/>
            <w:vAlign w:val="center"/>
          </w:tcPr>
          <w:p>
            <w:pPr>
              <w:rPr>
                <w:rFonts w:hint="eastAsia" w:ascii="仿宋_GB2312" w:eastAsia="仿宋_GB2312"/>
                <w:b w:val="0"/>
                <w:bCs w:val="0"/>
                <w:color w:val="auto"/>
                <w:szCs w:val="21"/>
                <w:highlight w:val="none"/>
                <w:lang w:eastAsia="zh-CN"/>
              </w:rPr>
            </w:pPr>
            <w:r>
              <w:rPr>
                <w:rFonts w:hint="eastAsia" w:ascii="仿宋_GB2312" w:eastAsia="仿宋_GB2312"/>
                <w:b w:val="0"/>
                <w:bCs w:val="0"/>
                <w:color w:val="auto"/>
                <w:szCs w:val="21"/>
                <w:highlight w:val="none"/>
                <w:lang w:eastAsia="zh-CN"/>
              </w:rPr>
              <w:t>设施类</w:t>
            </w:r>
          </w:p>
        </w:tc>
        <w:tc>
          <w:tcPr>
            <w:tcW w:w="945" w:type="dxa"/>
            <w:vMerge w:val="restart"/>
            <w:vAlign w:val="center"/>
          </w:tcPr>
          <w:p>
            <w:pP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eastAsia="zh-CN"/>
              </w:rPr>
              <w:t>扣</w:t>
            </w:r>
            <w:r>
              <w:rPr>
                <w:rFonts w:hint="eastAsia" w:ascii="仿宋_GB2312" w:eastAsia="仿宋_GB2312"/>
                <w:color w:val="auto"/>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828" w:type="dxa"/>
            <w:vMerge w:val="continue"/>
            <w:vAlign w:val="center"/>
          </w:tcPr>
          <w:p>
            <w:pPr>
              <w:spacing w:line="320" w:lineRule="exact"/>
              <w:ind w:left="0" w:leftChars="0" w:firstLine="420" w:firstLineChars="200"/>
              <w:rPr>
                <w:color w:val="auto"/>
                <w:highlight w:val="none"/>
              </w:rPr>
            </w:pPr>
          </w:p>
        </w:tc>
        <w:tc>
          <w:tcPr>
            <w:tcW w:w="920" w:type="dxa"/>
            <w:vMerge w:val="continue"/>
            <w:vAlign w:val="center"/>
          </w:tcPr>
          <w:p>
            <w:pPr>
              <w:spacing w:line="320" w:lineRule="exact"/>
              <w:ind w:left="0" w:leftChars="0" w:firstLine="420" w:firstLineChars="200"/>
              <w:rPr>
                <w:color w:val="auto"/>
                <w:highlight w:val="none"/>
              </w:rPr>
            </w:pPr>
          </w:p>
        </w:tc>
        <w:tc>
          <w:tcPr>
            <w:tcW w:w="5162" w:type="dxa"/>
            <w:vAlign w:val="center"/>
          </w:tcPr>
          <w:p>
            <w:pPr>
              <w:spacing w:line="320" w:lineRule="exact"/>
              <w:ind w:left="0" w:leftChars="0" w:firstLine="420" w:firstLineChars="200"/>
              <w:rPr>
                <w:rFonts w:hint="eastAsia" w:ascii="仿宋_GB2312" w:eastAsia="仿宋_GB2312"/>
                <w:color w:val="auto"/>
                <w:szCs w:val="21"/>
                <w:highlight w:val="none"/>
              </w:rPr>
            </w:pPr>
            <w:r>
              <w:rPr>
                <w:rFonts w:hint="eastAsia" w:ascii="仿宋_GB2312" w:eastAsia="仿宋_GB2312"/>
                <w:color w:val="auto"/>
                <w:szCs w:val="21"/>
                <w:highlight w:val="none"/>
              </w:rPr>
              <w:t>破损、网裂</w:t>
            </w:r>
            <w:r>
              <w:rPr>
                <w:rFonts w:hint="eastAsia" w:ascii="仿宋_GB2312" w:eastAsia="仿宋_GB2312"/>
                <w:color w:val="auto"/>
                <w:szCs w:val="21"/>
                <w:highlight w:val="none"/>
                <w:lang w:eastAsia="zh-CN"/>
              </w:rPr>
              <w:t>、碎裂、</w:t>
            </w:r>
            <w:r>
              <w:rPr>
                <w:rFonts w:hint="eastAsia" w:ascii="仿宋_GB2312" w:eastAsia="仿宋_GB2312"/>
                <w:color w:val="auto"/>
                <w:szCs w:val="21"/>
                <w:highlight w:val="none"/>
              </w:rPr>
              <w:t>坑洞</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rPr>
              <w:t>下沉</w:t>
            </w:r>
            <w:r>
              <w:rPr>
                <w:rFonts w:hint="eastAsia" w:ascii="仿宋_GB2312" w:eastAsia="仿宋_GB2312"/>
                <w:color w:val="auto"/>
                <w:szCs w:val="21"/>
                <w:highlight w:val="none"/>
                <w:lang w:eastAsia="zh-CN"/>
              </w:rPr>
              <w:t>、凸起等</w:t>
            </w:r>
          </w:p>
        </w:tc>
        <w:tc>
          <w:tcPr>
            <w:tcW w:w="2085" w:type="dxa"/>
            <w:vMerge w:val="continue"/>
            <w:vAlign w:val="center"/>
          </w:tcPr>
          <w:p>
            <w:pPr>
              <w:spacing w:line="320" w:lineRule="exact"/>
              <w:ind w:left="0" w:leftChars="0" w:firstLine="420" w:firstLineChars="200"/>
              <w:rPr>
                <w:rFonts w:hint="eastAsia" w:ascii="仿宋_GB2312" w:eastAsia="仿宋_GB2312"/>
                <w:color w:val="auto"/>
                <w:szCs w:val="21"/>
                <w:highlight w:val="none"/>
              </w:rPr>
            </w:pPr>
          </w:p>
        </w:tc>
        <w:tc>
          <w:tcPr>
            <w:tcW w:w="930" w:type="dxa"/>
            <w:vMerge w:val="continue"/>
            <w:vAlign w:val="center"/>
          </w:tcPr>
          <w:p>
            <w:pPr>
              <w:spacing w:line="320" w:lineRule="exact"/>
              <w:ind w:left="0" w:leftChars="0" w:firstLine="420" w:firstLineChars="200"/>
              <w:rPr>
                <w:rFonts w:hint="eastAsia" w:ascii="仿宋_GB2312" w:eastAsia="仿宋_GB2312"/>
                <w:color w:val="auto"/>
                <w:szCs w:val="21"/>
                <w:highlight w:val="none"/>
              </w:rPr>
            </w:pPr>
          </w:p>
        </w:tc>
        <w:tc>
          <w:tcPr>
            <w:tcW w:w="945" w:type="dxa"/>
            <w:vMerge w:val="continue"/>
            <w:vAlign w:val="center"/>
          </w:tcPr>
          <w:p>
            <w:pPr>
              <w:spacing w:line="320" w:lineRule="exact"/>
              <w:ind w:left="0" w:leftChars="0" w:firstLine="420" w:firstLineChars="200"/>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828" w:type="dxa"/>
            <w:vMerge w:val="continue"/>
            <w:vAlign w:val="center"/>
          </w:tcPr>
          <w:p>
            <w:pPr>
              <w:spacing w:line="320" w:lineRule="exact"/>
              <w:ind w:left="0" w:leftChars="0" w:firstLine="420" w:firstLineChars="200"/>
              <w:rPr>
                <w:rFonts w:hint="eastAsia" w:ascii="仿宋_GB2312" w:eastAsia="仿宋_GB2312"/>
                <w:color w:val="auto"/>
                <w:szCs w:val="21"/>
                <w:highlight w:val="none"/>
              </w:rPr>
            </w:pPr>
          </w:p>
        </w:tc>
        <w:tc>
          <w:tcPr>
            <w:tcW w:w="920" w:type="dxa"/>
            <w:vMerge w:val="continue"/>
            <w:vAlign w:val="center"/>
          </w:tcPr>
          <w:p>
            <w:pPr>
              <w:spacing w:line="320" w:lineRule="exact"/>
              <w:ind w:left="0" w:leftChars="0" w:firstLine="420" w:firstLineChars="200"/>
              <w:rPr>
                <w:rFonts w:hint="eastAsia" w:ascii="仿宋_GB2312" w:eastAsia="仿宋_GB2312"/>
                <w:color w:val="auto"/>
                <w:szCs w:val="21"/>
                <w:highlight w:val="none"/>
              </w:rPr>
            </w:pPr>
          </w:p>
        </w:tc>
        <w:tc>
          <w:tcPr>
            <w:tcW w:w="5162" w:type="dxa"/>
            <w:vAlign w:val="center"/>
          </w:tcPr>
          <w:p>
            <w:pPr>
              <w:spacing w:line="320" w:lineRule="exact"/>
              <w:ind w:left="0" w:leftChars="0" w:firstLine="420" w:firstLineChars="200"/>
              <w:rPr>
                <w:rFonts w:hint="eastAsia" w:ascii="仿宋_GB2312" w:eastAsia="仿宋_GB2312"/>
                <w:color w:val="auto"/>
                <w:szCs w:val="21"/>
                <w:highlight w:val="none"/>
              </w:rPr>
            </w:pPr>
            <w:r>
              <w:rPr>
                <w:rFonts w:hint="eastAsia" w:ascii="仿宋_GB2312" w:eastAsia="仿宋_GB2312"/>
                <w:color w:val="auto"/>
                <w:szCs w:val="21"/>
                <w:highlight w:val="none"/>
                <w:lang w:eastAsia="zh-CN"/>
              </w:rPr>
              <w:t>沥青修复接茬处高差大于</w:t>
            </w:r>
            <w:r>
              <w:rPr>
                <w:rFonts w:hint="eastAsia" w:ascii="仿宋_GB2312" w:eastAsia="仿宋_GB2312"/>
                <w:color w:val="auto"/>
                <w:szCs w:val="21"/>
                <w:highlight w:val="none"/>
                <w:lang w:val="en-US" w:eastAsia="zh-CN"/>
              </w:rPr>
              <w:t>5mm</w:t>
            </w:r>
          </w:p>
        </w:tc>
        <w:tc>
          <w:tcPr>
            <w:tcW w:w="2085" w:type="dxa"/>
            <w:vMerge w:val="continue"/>
            <w:vAlign w:val="center"/>
          </w:tcPr>
          <w:p>
            <w:pPr>
              <w:spacing w:line="320" w:lineRule="exact"/>
              <w:ind w:left="0" w:leftChars="0" w:firstLine="420" w:firstLineChars="200"/>
              <w:rPr>
                <w:rFonts w:hint="eastAsia" w:ascii="仿宋_GB2312" w:eastAsia="仿宋_GB2312"/>
                <w:color w:val="auto"/>
                <w:szCs w:val="21"/>
                <w:highlight w:val="none"/>
              </w:rPr>
            </w:pPr>
          </w:p>
        </w:tc>
        <w:tc>
          <w:tcPr>
            <w:tcW w:w="930" w:type="dxa"/>
            <w:vMerge w:val="continue"/>
            <w:vAlign w:val="center"/>
          </w:tcPr>
          <w:p>
            <w:pPr>
              <w:spacing w:line="320" w:lineRule="exact"/>
              <w:ind w:left="0" w:leftChars="0" w:firstLine="420" w:firstLineChars="200"/>
              <w:rPr>
                <w:rFonts w:hint="eastAsia" w:ascii="仿宋_GB2312" w:eastAsia="仿宋_GB2312"/>
                <w:color w:val="auto"/>
                <w:szCs w:val="21"/>
                <w:highlight w:val="none"/>
              </w:rPr>
            </w:pPr>
          </w:p>
        </w:tc>
        <w:tc>
          <w:tcPr>
            <w:tcW w:w="945" w:type="dxa"/>
            <w:vMerge w:val="continue"/>
            <w:vAlign w:val="center"/>
          </w:tcPr>
          <w:p>
            <w:pPr>
              <w:spacing w:line="320" w:lineRule="exact"/>
              <w:ind w:left="0" w:leftChars="0" w:firstLine="420" w:firstLineChars="200"/>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828" w:type="dxa"/>
            <w:vMerge w:val="continue"/>
            <w:vAlign w:val="center"/>
          </w:tcPr>
          <w:p>
            <w:pPr>
              <w:spacing w:line="320" w:lineRule="exact"/>
              <w:ind w:left="0" w:leftChars="0" w:firstLine="420" w:firstLineChars="200"/>
              <w:rPr>
                <w:rFonts w:hint="eastAsia" w:ascii="仿宋_GB2312" w:eastAsia="仿宋_GB2312"/>
                <w:color w:val="auto"/>
                <w:szCs w:val="21"/>
                <w:highlight w:val="none"/>
              </w:rPr>
            </w:pPr>
          </w:p>
        </w:tc>
        <w:tc>
          <w:tcPr>
            <w:tcW w:w="920" w:type="dxa"/>
            <w:vMerge w:val="continue"/>
            <w:vAlign w:val="center"/>
          </w:tcPr>
          <w:p>
            <w:pPr>
              <w:spacing w:line="320" w:lineRule="exact"/>
              <w:ind w:left="0" w:leftChars="0" w:firstLine="420" w:firstLineChars="200"/>
              <w:rPr>
                <w:rFonts w:hint="eastAsia" w:ascii="仿宋_GB2312" w:eastAsia="仿宋_GB2312"/>
                <w:color w:val="auto"/>
                <w:szCs w:val="21"/>
                <w:highlight w:val="none"/>
              </w:rPr>
            </w:pPr>
          </w:p>
        </w:tc>
        <w:tc>
          <w:tcPr>
            <w:tcW w:w="5162" w:type="dxa"/>
            <w:vAlign w:val="center"/>
          </w:tcPr>
          <w:p>
            <w:pPr>
              <w:spacing w:line="320" w:lineRule="exact"/>
              <w:ind w:left="0" w:leftChars="0" w:firstLine="420" w:firstLineChars="200"/>
              <w:rPr>
                <w:rFonts w:hint="eastAsia" w:ascii="仿宋_GB2312" w:eastAsia="仿宋_GB2312"/>
                <w:color w:val="auto"/>
                <w:szCs w:val="21"/>
                <w:highlight w:val="none"/>
              </w:rPr>
            </w:pPr>
            <w:r>
              <w:rPr>
                <w:rFonts w:hint="eastAsia" w:ascii="仿宋_GB2312" w:eastAsia="仿宋_GB2312"/>
                <w:color w:val="auto"/>
                <w:szCs w:val="21"/>
                <w:highlight w:val="none"/>
              </w:rPr>
              <w:t>检查井盖、雨水篦子破损</w:t>
            </w:r>
            <w:r>
              <w:rPr>
                <w:rFonts w:hint="eastAsia" w:ascii="仿宋_GB2312" w:eastAsia="仿宋_GB2312"/>
                <w:color w:val="auto"/>
                <w:szCs w:val="21"/>
                <w:highlight w:val="none"/>
                <w:lang w:eastAsia="zh-CN"/>
              </w:rPr>
              <w:t>，或</w:t>
            </w:r>
            <w:r>
              <w:rPr>
                <w:rFonts w:hint="eastAsia" w:ascii="仿宋_GB2312" w:eastAsia="仿宋_GB2312"/>
                <w:color w:val="auto"/>
                <w:szCs w:val="21"/>
                <w:highlight w:val="none"/>
              </w:rPr>
              <w:t>与</w:t>
            </w:r>
            <w:r>
              <w:rPr>
                <w:rFonts w:hint="eastAsia" w:ascii="仿宋_GB2312" w:eastAsia="仿宋_GB2312"/>
                <w:color w:val="auto"/>
                <w:szCs w:val="21"/>
                <w:highlight w:val="none"/>
                <w:lang w:eastAsia="zh-CN"/>
              </w:rPr>
              <w:t>路面</w:t>
            </w:r>
            <w:r>
              <w:rPr>
                <w:rFonts w:hint="eastAsia" w:ascii="仿宋_GB2312" w:eastAsia="仿宋_GB2312"/>
                <w:color w:val="auto"/>
                <w:szCs w:val="21"/>
                <w:highlight w:val="none"/>
              </w:rPr>
              <w:t>高差</w:t>
            </w:r>
            <w:r>
              <w:rPr>
                <w:rFonts w:hint="eastAsia" w:ascii="仿宋_GB2312" w:eastAsia="仿宋_GB2312"/>
                <w:color w:val="auto"/>
                <w:szCs w:val="21"/>
                <w:highlight w:val="none"/>
                <w:lang w:eastAsia="zh-CN"/>
              </w:rPr>
              <w:t>大于</w:t>
            </w:r>
            <w:r>
              <w:rPr>
                <w:rFonts w:hint="eastAsia" w:ascii="仿宋_GB2312" w:eastAsia="仿宋_GB2312"/>
                <w:color w:val="auto"/>
                <w:szCs w:val="21"/>
                <w:highlight w:val="none"/>
                <w:lang w:val="en-US" w:eastAsia="zh-CN"/>
              </w:rPr>
              <w:t>7mm</w:t>
            </w:r>
          </w:p>
        </w:tc>
        <w:tc>
          <w:tcPr>
            <w:tcW w:w="2085" w:type="dxa"/>
            <w:vMerge w:val="continue"/>
            <w:vAlign w:val="center"/>
          </w:tcPr>
          <w:p>
            <w:pPr>
              <w:spacing w:line="320" w:lineRule="exact"/>
              <w:ind w:left="0" w:leftChars="0" w:firstLine="420" w:firstLineChars="200"/>
              <w:rPr>
                <w:rFonts w:hint="eastAsia" w:ascii="仿宋_GB2312" w:eastAsia="仿宋_GB2312"/>
                <w:color w:val="auto"/>
                <w:szCs w:val="21"/>
                <w:highlight w:val="none"/>
              </w:rPr>
            </w:pPr>
          </w:p>
        </w:tc>
        <w:tc>
          <w:tcPr>
            <w:tcW w:w="930" w:type="dxa"/>
            <w:vMerge w:val="continue"/>
            <w:vAlign w:val="center"/>
          </w:tcPr>
          <w:p>
            <w:pPr>
              <w:spacing w:line="320" w:lineRule="exact"/>
              <w:ind w:left="0" w:leftChars="0" w:firstLine="420" w:firstLineChars="200"/>
              <w:rPr>
                <w:rFonts w:hint="eastAsia" w:ascii="仿宋_GB2312" w:eastAsia="仿宋_GB2312"/>
                <w:color w:val="auto"/>
                <w:szCs w:val="21"/>
                <w:highlight w:val="none"/>
              </w:rPr>
            </w:pPr>
          </w:p>
        </w:tc>
        <w:tc>
          <w:tcPr>
            <w:tcW w:w="945" w:type="dxa"/>
            <w:vMerge w:val="continue"/>
            <w:vAlign w:val="center"/>
          </w:tcPr>
          <w:p>
            <w:pPr>
              <w:spacing w:line="320" w:lineRule="exact"/>
              <w:ind w:left="0" w:leftChars="0" w:firstLine="420" w:firstLineChars="200"/>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828" w:type="dxa"/>
            <w:vMerge w:val="continue"/>
            <w:vAlign w:val="center"/>
          </w:tcPr>
          <w:p>
            <w:pPr>
              <w:spacing w:line="320" w:lineRule="exact"/>
              <w:jc w:val="center"/>
              <w:rPr>
                <w:rFonts w:hint="eastAsia" w:ascii="仿宋_GB2312" w:eastAsia="仿宋_GB2312"/>
                <w:color w:val="auto"/>
                <w:szCs w:val="21"/>
                <w:highlight w:val="none"/>
              </w:rPr>
            </w:pPr>
          </w:p>
        </w:tc>
        <w:tc>
          <w:tcPr>
            <w:tcW w:w="920" w:type="dxa"/>
            <w:vMerge w:val="restart"/>
            <w:vAlign w:val="center"/>
          </w:tcPr>
          <w:p>
            <w:pPr>
              <w:spacing w:line="32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rPr>
              <w:t>人行道养护</w:t>
            </w:r>
          </w:p>
        </w:tc>
        <w:tc>
          <w:tcPr>
            <w:tcW w:w="5162" w:type="dxa"/>
            <w:vAlign w:val="center"/>
          </w:tcPr>
          <w:p>
            <w:pPr>
              <w:spacing w:line="320" w:lineRule="exact"/>
              <w:ind w:left="0" w:leftChars="0" w:firstLine="420" w:firstLineChars="200"/>
              <w:rPr>
                <w:rFonts w:hint="eastAsia" w:ascii="仿宋_GB2312" w:eastAsia="仿宋_GB2312"/>
                <w:color w:val="auto"/>
                <w:szCs w:val="21"/>
                <w:highlight w:val="none"/>
              </w:rPr>
            </w:pPr>
            <w:r>
              <w:rPr>
                <w:rFonts w:hint="eastAsia" w:ascii="仿宋_GB2312" w:eastAsia="仿宋_GB2312"/>
                <w:color w:val="auto"/>
                <w:szCs w:val="21"/>
                <w:highlight w:val="none"/>
              </w:rPr>
              <w:t>人行道破损、松动</w:t>
            </w:r>
            <w:r>
              <w:rPr>
                <w:rFonts w:hint="eastAsia" w:ascii="仿宋_GB2312" w:eastAsia="仿宋_GB2312"/>
                <w:color w:val="auto"/>
                <w:szCs w:val="21"/>
                <w:highlight w:val="none"/>
                <w:lang w:eastAsia="zh-CN"/>
              </w:rPr>
              <w:t>、沉降</w:t>
            </w:r>
          </w:p>
        </w:tc>
        <w:tc>
          <w:tcPr>
            <w:tcW w:w="2085" w:type="dxa"/>
            <w:vMerge w:val="restart"/>
            <w:vAlign w:val="center"/>
          </w:tcPr>
          <w:p>
            <w:pPr>
              <w:spacing w:line="320" w:lineRule="exact"/>
              <w:rPr>
                <w:rFonts w:hint="eastAsia" w:ascii="仿宋_GB2312" w:eastAsia="仿宋_GB2312"/>
                <w:color w:val="auto"/>
                <w:szCs w:val="21"/>
                <w:highlight w:val="none"/>
              </w:rPr>
            </w:pPr>
            <w:r>
              <w:rPr>
                <w:rFonts w:hint="eastAsia" w:ascii="仿宋_GB2312" w:eastAsia="仿宋_GB2312"/>
                <w:color w:val="auto"/>
                <w:szCs w:val="21"/>
                <w:highlight w:val="none"/>
              </w:rPr>
              <w:t>人行道及侧石破损、松动；</w:t>
            </w:r>
            <w:r>
              <w:rPr>
                <w:rFonts w:hint="eastAsia" w:ascii="仿宋_GB2312" w:eastAsia="仿宋_GB2312"/>
                <w:color w:val="auto"/>
                <w:szCs w:val="21"/>
                <w:highlight w:val="none"/>
                <w:lang w:eastAsia="zh-CN"/>
              </w:rPr>
              <w:t>接坡，</w:t>
            </w:r>
            <w:r>
              <w:rPr>
                <w:rFonts w:hint="eastAsia" w:ascii="仿宋_GB2312" w:eastAsia="仿宋_GB2312"/>
                <w:color w:val="auto"/>
                <w:szCs w:val="21"/>
                <w:highlight w:val="none"/>
              </w:rPr>
              <w:t>无障碍设施不规范</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rPr>
              <w:t>井盖沉降、破损</w:t>
            </w:r>
          </w:p>
        </w:tc>
        <w:tc>
          <w:tcPr>
            <w:tcW w:w="930" w:type="dxa"/>
            <w:vMerge w:val="restart"/>
            <w:vAlign w:val="center"/>
          </w:tcPr>
          <w:p>
            <w:pPr>
              <w:spacing w:line="320" w:lineRule="exact"/>
              <w:rPr>
                <w:rFonts w:hint="eastAsia" w:ascii="仿宋_GB2312" w:eastAsia="仿宋_GB2312"/>
                <w:color w:val="auto"/>
                <w:szCs w:val="21"/>
                <w:highlight w:val="none"/>
              </w:rPr>
            </w:pPr>
            <w:r>
              <w:rPr>
                <w:rFonts w:hint="eastAsia" w:ascii="仿宋_GB2312" w:eastAsia="仿宋_GB2312"/>
                <w:color w:val="auto"/>
                <w:szCs w:val="21"/>
                <w:highlight w:val="none"/>
              </w:rPr>
              <w:t>设施类</w:t>
            </w:r>
          </w:p>
        </w:tc>
        <w:tc>
          <w:tcPr>
            <w:tcW w:w="945" w:type="dxa"/>
            <w:vMerge w:val="restart"/>
            <w:vAlign w:val="center"/>
          </w:tcPr>
          <w:p>
            <w:pPr>
              <w:spacing w:line="320" w:lineRule="exact"/>
              <w:rPr>
                <w:rFonts w:hint="eastAsia" w:ascii="仿宋_GB2312" w:eastAsia="仿宋_GB2312"/>
                <w:color w:val="auto"/>
                <w:szCs w:val="21"/>
                <w:highlight w:val="none"/>
              </w:rPr>
            </w:pPr>
            <w:r>
              <w:rPr>
                <w:rFonts w:hint="eastAsia" w:ascii="仿宋_GB2312" w:eastAsia="仿宋_GB2312"/>
                <w:color w:val="auto"/>
                <w:szCs w:val="21"/>
                <w:highlight w:val="none"/>
                <w:lang w:eastAsia="zh-CN"/>
              </w:rPr>
              <w:t>扣</w:t>
            </w:r>
            <w:r>
              <w:rPr>
                <w:rFonts w:hint="eastAsia" w:ascii="仿宋_GB2312" w:eastAsia="仿宋_GB2312"/>
                <w:color w:val="auto"/>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828" w:type="dxa"/>
            <w:vMerge w:val="continue"/>
            <w:vAlign w:val="center"/>
          </w:tcPr>
          <w:p>
            <w:pPr>
              <w:spacing w:line="320" w:lineRule="exact"/>
              <w:ind w:left="0" w:leftChars="0" w:firstLine="420" w:firstLineChars="200"/>
              <w:rPr>
                <w:color w:val="auto"/>
                <w:highlight w:val="none"/>
              </w:rPr>
            </w:pPr>
          </w:p>
        </w:tc>
        <w:tc>
          <w:tcPr>
            <w:tcW w:w="920" w:type="dxa"/>
            <w:vMerge w:val="continue"/>
            <w:vAlign w:val="center"/>
          </w:tcPr>
          <w:p>
            <w:pPr>
              <w:spacing w:line="320" w:lineRule="exact"/>
              <w:ind w:left="0" w:leftChars="0" w:firstLine="420" w:firstLineChars="200"/>
              <w:rPr>
                <w:color w:val="auto"/>
                <w:highlight w:val="none"/>
              </w:rPr>
            </w:pPr>
          </w:p>
        </w:tc>
        <w:tc>
          <w:tcPr>
            <w:tcW w:w="5162" w:type="dxa"/>
            <w:vAlign w:val="center"/>
          </w:tcPr>
          <w:p>
            <w:pPr>
              <w:spacing w:line="320" w:lineRule="exact"/>
              <w:ind w:left="0" w:leftChars="0" w:firstLine="420" w:firstLineChars="200"/>
              <w:rPr>
                <w:rFonts w:hint="eastAsia" w:ascii="仿宋_GB2312" w:eastAsia="仿宋_GB2312"/>
                <w:color w:val="auto"/>
                <w:szCs w:val="21"/>
                <w:highlight w:val="none"/>
              </w:rPr>
            </w:pPr>
            <w:r>
              <w:rPr>
                <w:rFonts w:hint="eastAsia" w:ascii="仿宋_GB2312" w:eastAsia="仿宋_GB2312"/>
                <w:color w:val="auto"/>
                <w:szCs w:val="21"/>
                <w:highlight w:val="none"/>
              </w:rPr>
              <w:t>平侧石破损缺失</w:t>
            </w:r>
            <w:r>
              <w:rPr>
                <w:rFonts w:hint="eastAsia" w:ascii="仿宋_GB2312" w:eastAsia="仿宋_GB2312"/>
                <w:color w:val="auto"/>
                <w:szCs w:val="21"/>
                <w:highlight w:val="none"/>
                <w:lang w:eastAsia="zh-CN"/>
              </w:rPr>
              <w:t>；接坡</w:t>
            </w:r>
            <w:r>
              <w:rPr>
                <w:rFonts w:hint="eastAsia" w:ascii="仿宋_GB2312" w:eastAsia="仿宋_GB2312"/>
                <w:color w:val="auto"/>
                <w:szCs w:val="21"/>
                <w:highlight w:val="none"/>
              </w:rPr>
              <w:t>；无障碍设施不规范</w:t>
            </w:r>
          </w:p>
        </w:tc>
        <w:tc>
          <w:tcPr>
            <w:tcW w:w="2085" w:type="dxa"/>
            <w:vMerge w:val="continue"/>
            <w:vAlign w:val="center"/>
          </w:tcPr>
          <w:p>
            <w:pPr>
              <w:spacing w:line="320" w:lineRule="exact"/>
              <w:ind w:left="0" w:leftChars="0" w:firstLine="420" w:firstLineChars="200"/>
              <w:rPr>
                <w:rFonts w:hint="eastAsia" w:ascii="仿宋_GB2312" w:eastAsia="仿宋_GB2312"/>
                <w:color w:val="auto"/>
                <w:szCs w:val="21"/>
                <w:highlight w:val="none"/>
              </w:rPr>
            </w:pPr>
          </w:p>
        </w:tc>
        <w:tc>
          <w:tcPr>
            <w:tcW w:w="930" w:type="dxa"/>
            <w:vMerge w:val="continue"/>
            <w:vAlign w:val="center"/>
          </w:tcPr>
          <w:p>
            <w:pPr>
              <w:spacing w:line="320" w:lineRule="exact"/>
              <w:ind w:left="0" w:leftChars="0" w:firstLine="420" w:firstLineChars="200"/>
              <w:rPr>
                <w:rFonts w:hint="eastAsia" w:ascii="仿宋_GB2312" w:eastAsia="仿宋_GB2312"/>
                <w:color w:val="auto"/>
                <w:szCs w:val="21"/>
                <w:highlight w:val="none"/>
              </w:rPr>
            </w:pPr>
          </w:p>
        </w:tc>
        <w:tc>
          <w:tcPr>
            <w:tcW w:w="945" w:type="dxa"/>
            <w:vMerge w:val="continue"/>
            <w:vAlign w:val="center"/>
          </w:tcPr>
          <w:p>
            <w:pPr>
              <w:spacing w:line="320" w:lineRule="exact"/>
              <w:ind w:left="0" w:leftChars="0" w:firstLine="420" w:firstLineChars="200"/>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828" w:type="dxa"/>
            <w:vMerge w:val="continue"/>
            <w:vAlign w:val="center"/>
          </w:tcPr>
          <w:p>
            <w:pPr>
              <w:spacing w:line="320" w:lineRule="exact"/>
              <w:ind w:left="0" w:leftChars="0" w:firstLine="420" w:firstLineChars="200"/>
              <w:rPr>
                <w:rFonts w:hint="eastAsia" w:ascii="仿宋_GB2312" w:eastAsia="仿宋_GB2312"/>
                <w:color w:val="auto"/>
                <w:szCs w:val="21"/>
                <w:highlight w:val="none"/>
              </w:rPr>
            </w:pPr>
          </w:p>
        </w:tc>
        <w:tc>
          <w:tcPr>
            <w:tcW w:w="920" w:type="dxa"/>
            <w:vMerge w:val="continue"/>
            <w:vAlign w:val="center"/>
          </w:tcPr>
          <w:p>
            <w:pPr>
              <w:spacing w:line="320" w:lineRule="exact"/>
              <w:ind w:left="0" w:leftChars="0" w:firstLine="420" w:firstLineChars="200"/>
              <w:rPr>
                <w:rFonts w:hint="eastAsia" w:ascii="仿宋_GB2312" w:eastAsia="仿宋_GB2312"/>
                <w:color w:val="auto"/>
                <w:szCs w:val="21"/>
                <w:highlight w:val="none"/>
              </w:rPr>
            </w:pPr>
          </w:p>
        </w:tc>
        <w:tc>
          <w:tcPr>
            <w:tcW w:w="5162" w:type="dxa"/>
            <w:vAlign w:val="center"/>
          </w:tcPr>
          <w:p>
            <w:pPr>
              <w:spacing w:line="320" w:lineRule="exact"/>
              <w:ind w:left="0" w:leftChars="0" w:firstLine="420" w:firstLineChars="200"/>
              <w:rPr>
                <w:rFonts w:hint="eastAsia" w:ascii="仿宋_GB2312" w:eastAsia="仿宋_GB2312"/>
                <w:color w:val="auto"/>
                <w:szCs w:val="21"/>
                <w:highlight w:val="none"/>
              </w:rPr>
            </w:pPr>
            <w:r>
              <w:rPr>
                <w:rFonts w:hint="eastAsia" w:ascii="仿宋_GB2312" w:eastAsia="仿宋_GB2312"/>
                <w:color w:val="auto"/>
                <w:szCs w:val="21"/>
                <w:highlight w:val="none"/>
              </w:rPr>
              <w:t>井盖破损</w:t>
            </w:r>
            <w:r>
              <w:rPr>
                <w:rFonts w:hint="eastAsia" w:ascii="仿宋_GB2312" w:eastAsia="仿宋_GB2312"/>
                <w:color w:val="auto"/>
                <w:szCs w:val="21"/>
                <w:highlight w:val="none"/>
                <w:lang w:eastAsia="zh-CN"/>
              </w:rPr>
              <w:t>或沉降</w:t>
            </w:r>
          </w:p>
        </w:tc>
        <w:tc>
          <w:tcPr>
            <w:tcW w:w="2085" w:type="dxa"/>
            <w:vMerge w:val="continue"/>
            <w:vAlign w:val="center"/>
          </w:tcPr>
          <w:p>
            <w:pPr>
              <w:spacing w:line="320" w:lineRule="exact"/>
              <w:ind w:left="0" w:leftChars="0" w:firstLine="420" w:firstLineChars="200"/>
              <w:rPr>
                <w:rFonts w:hint="eastAsia" w:ascii="仿宋_GB2312" w:eastAsia="仿宋_GB2312"/>
                <w:color w:val="auto"/>
                <w:szCs w:val="21"/>
                <w:highlight w:val="none"/>
              </w:rPr>
            </w:pPr>
          </w:p>
        </w:tc>
        <w:tc>
          <w:tcPr>
            <w:tcW w:w="930" w:type="dxa"/>
            <w:vMerge w:val="continue"/>
            <w:vAlign w:val="center"/>
          </w:tcPr>
          <w:p>
            <w:pPr>
              <w:spacing w:line="320" w:lineRule="exact"/>
              <w:ind w:left="0" w:leftChars="0" w:firstLine="420" w:firstLineChars="200"/>
              <w:rPr>
                <w:rFonts w:hint="eastAsia" w:ascii="仿宋_GB2312" w:eastAsia="仿宋_GB2312"/>
                <w:color w:val="auto"/>
                <w:szCs w:val="21"/>
                <w:highlight w:val="none"/>
              </w:rPr>
            </w:pPr>
          </w:p>
        </w:tc>
        <w:tc>
          <w:tcPr>
            <w:tcW w:w="945" w:type="dxa"/>
            <w:vMerge w:val="continue"/>
            <w:vAlign w:val="center"/>
          </w:tcPr>
          <w:p>
            <w:pPr>
              <w:spacing w:line="320" w:lineRule="exact"/>
              <w:ind w:left="0" w:leftChars="0" w:firstLine="420" w:firstLineChars="200"/>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28" w:type="dxa"/>
            <w:vMerge w:val="continue"/>
            <w:vAlign w:val="center"/>
          </w:tcPr>
          <w:p>
            <w:pPr>
              <w:spacing w:line="320" w:lineRule="exact"/>
              <w:jc w:val="center"/>
              <w:rPr>
                <w:rFonts w:hint="eastAsia" w:ascii="仿宋_GB2312" w:eastAsia="仿宋_GB2312"/>
                <w:color w:val="auto"/>
                <w:szCs w:val="21"/>
                <w:highlight w:val="none"/>
              </w:rPr>
            </w:pPr>
          </w:p>
        </w:tc>
        <w:tc>
          <w:tcPr>
            <w:tcW w:w="920" w:type="dxa"/>
            <w:vMerge w:val="restart"/>
            <w:vAlign w:val="center"/>
          </w:tcPr>
          <w:p>
            <w:pPr>
              <w:spacing w:line="32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rPr>
              <w:t>桥梁</w:t>
            </w:r>
            <w:r>
              <w:rPr>
                <w:rFonts w:hint="eastAsia" w:ascii="仿宋_GB2312" w:eastAsia="仿宋_GB2312"/>
                <w:color w:val="auto"/>
                <w:szCs w:val="21"/>
                <w:highlight w:val="none"/>
                <w:lang w:eastAsia="zh-CN"/>
              </w:rPr>
              <w:t>隧道</w:t>
            </w:r>
            <w:r>
              <w:rPr>
                <w:rFonts w:hint="eastAsia" w:ascii="仿宋_GB2312" w:eastAsia="仿宋_GB2312"/>
                <w:color w:val="auto"/>
                <w:szCs w:val="21"/>
                <w:highlight w:val="none"/>
              </w:rPr>
              <w:t>养护</w:t>
            </w:r>
          </w:p>
        </w:tc>
        <w:tc>
          <w:tcPr>
            <w:tcW w:w="5162" w:type="dxa"/>
            <w:vAlign w:val="center"/>
          </w:tcPr>
          <w:p>
            <w:pPr>
              <w:spacing w:line="320" w:lineRule="exact"/>
              <w:ind w:left="0" w:leftChars="0" w:firstLine="388" w:firstLineChars="200"/>
              <w:rPr>
                <w:rFonts w:hint="eastAsia" w:ascii="仿宋_GB2312" w:eastAsia="仿宋_GB2312"/>
                <w:color w:val="auto"/>
                <w:szCs w:val="21"/>
                <w:highlight w:val="none"/>
              </w:rPr>
            </w:pPr>
            <w:r>
              <w:rPr>
                <w:rFonts w:hint="eastAsia" w:ascii="仿宋_GB2312" w:eastAsia="仿宋_GB2312"/>
                <w:color w:val="auto"/>
                <w:spacing w:val="-8"/>
                <w:szCs w:val="21"/>
                <w:highlight w:val="none"/>
              </w:rPr>
              <w:t>桥面裂缝、伸缩缝破损</w:t>
            </w:r>
          </w:p>
        </w:tc>
        <w:tc>
          <w:tcPr>
            <w:tcW w:w="2085" w:type="dxa"/>
            <w:vMerge w:val="restart"/>
            <w:vAlign w:val="center"/>
          </w:tcPr>
          <w:p>
            <w:pPr>
              <w:spacing w:line="320" w:lineRule="exact"/>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rPr>
              <w:t>桥梁裂缝、破损</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lang w:val="en-US" w:eastAsia="zh-CN"/>
              </w:rPr>
              <w:t>护栏破损等</w:t>
            </w:r>
          </w:p>
        </w:tc>
        <w:tc>
          <w:tcPr>
            <w:tcW w:w="930" w:type="dxa"/>
            <w:vAlign w:val="center"/>
          </w:tcPr>
          <w:p>
            <w:pPr>
              <w:spacing w:line="320" w:lineRule="exact"/>
              <w:rPr>
                <w:rFonts w:hint="eastAsia" w:ascii="仿宋_GB2312" w:eastAsia="仿宋_GB2312"/>
                <w:color w:val="auto"/>
                <w:szCs w:val="21"/>
                <w:highlight w:val="none"/>
              </w:rPr>
            </w:pPr>
            <w:r>
              <w:rPr>
                <w:rFonts w:hint="eastAsia" w:ascii="仿宋_GB2312" w:eastAsia="仿宋_GB2312"/>
                <w:color w:val="auto"/>
                <w:szCs w:val="21"/>
                <w:highlight w:val="none"/>
              </w:rPr>
              <w:t>设施类</w:t>
            </w:r>
          </w:p>
        </w:tc>
        <w:tc>
          <w:tcPr>
            <w:tcW w:w="945" w:type="dxa"/>
            <w:vAlign w:val="center"/>
          </w:tcPr>
          <w:p>
            <w:pPr>
              <w:spacing w:line="320" w:lineRule="exact"/>
              <w:rPr>
                <w:rFonts w:hint="eastAsia" w:ascii="仿宋_GB2312" w:eastAsia="仿宋_GB2312"/>
                <w:color w:val="auto"/>
                <w:szCs w:val="21"/>
                <w:highlight w:val="none"/>
              </w:rPr>
            </w:pPr>
            <w:r>
              <w:rPr>
                <w:rFonts w:hint="eastAsia" w:ascii="仿宋_GB2312" w:eastAsia="仿宋_GB2312"/>
                <w:color w:val="auto"/>
                <w:szCs w:val="21"/>
                <w:highlight w:val="none"/>
                <w:lang w:eastAsia="zh-CN"/>
              </w:rPr>
              <w:t>扣</w:t>
            </w:r>
            <w:r>
              <w:rPr>
                <w:rFonts w:hint="eastAsia" w:ascii="仿宋_GB2312" w:eastAsia="仿宋_GB2312"/>
                <w:color w:val="auto"/>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828" w:type="dxa"/>
            <w:vMerge w:val="continue"/>
            <w:vAlign w:val="center"/>
          </w:tcPr>
          <w:p>
            <w:pPr>
              <w:spacing w:line="320" w:lineRule="exact"/>
              <w:jc w:val="center"/>
              <w:rPr>
                <w:rFonts w:hint="eastAsia" w:ascii="仿宋_GB2312" w:eastAsia="仿宋_GB2312"/>
                <w:color w:val="auto"/>
                <w:szCs w:val="21"/>
                <w:highlight w:val="none"/>
              </w:rPr>
            </w:pPr>
          </w:p>
        </w:tc>
        <w:tc>
          <w:tcPr>
            <w:tcW w:w="920" w:type="dxa"/>
            <w:vMerge w:val="continue"/>
            <w:vAlign w:val="center"/>
          </w:tcPr>
          <w:p>
            <w:pPr>
              <w:spacing w:line="320" w:lineRule="exact"/>
              <w:jc w:val="center"/>
              <w:rPr>
                <w:rFonts w:hint="eastAsia" w:ascii="仿宋_GB2312" w:eastAsia="仿宋_GB2312"/>
                <w:color w:val="auto"/>
                <w:szCs w:val="21"/>
                <w:highlight w:val="none"/>
              </w:rPr>
            </w:pPr>
          </w:p>
        </w:tc>
        <w:tc>
          <w:tcPr>
            <w:tcW w:w="5162" w:type="dxa"/>
            <w:vAlign w:val="center"/>
          </w:tcPr>
          <w:p>
            <w:pPr>
              <w:spacing w:line="320" w:lineRule="exact"/>
              <w:ind w:firstLine="388" w:firstLineChars="200"/>
              <w:rPr>
                <w:rFonts w:hint="eastAsia" w:ascii="仿宋_GB2312" w:eastAsia="仿宋_GB2312"/>
                <w:color w:val="auto"/>
                <w:spacing w:val="-8"/>
                <w:szCs w:val="21"/>
                <w:highlight w:val="none"/>
              </w:rPr>
            </w:pPr>
            <w:r>
              <w:rPr>
                <w:rFonts w:hint="eastAsia" w:ascii="仿宋_GB2312" w:eastAsia="仿宋_GB2312"/>
                <w:color w:val="auto"/>
                <w:spacing w:val="-8"/>
                <w:szCs w:val="21"/>
                <w:highlight w:val="none"/>
                <w:lang w:val="en-US" w:eastAsia="zh-CN"/>
              </w:rPr>
              <w:t>桥梁</w:t>
            </w:r>
            <w:r>
              <w:rPr>
                <w:rFonts w:hint="eastAsia" w:ascii="仿宋_GB2312" w:eastAsia="仿宋_GB2312"/>
                <w:color w:val="auto"/>
                <w:spacing w:val="-8"/>
                <w:szCs w:val="21"/>
                <w:highlight w:val="none"/>
              </w:rPr>
              <w:t>栏杆破损、</w:t>
            </w:r>
            <w:r>
              <w:rPr>
                <w:rFonts w:hint="eastAsia" w:ascii="仿宋_GB2312" w:eastAsia="仿宋_GB2312"/>
                <w:color w:val="auto"/>
                <w:spacing w:val="-8"/>
                <w:szCs w:val="21"/>
                <w:highlight w:val="none"/>
                <w:lang w:eastAsia="zh-CN"/>
              </w:rPr>
              <w:t>松动</w:t>
            </w:r>
          </w:p>
        </w:tc>
        <w:tc>
          <w:tcPr>
            <w:tcW w:w="2085" w:type="dxa"/>
            <w:vMerge w:val="continue"/>
            <w:vAlign w:val="center"/>
          </w:tcPr>
          <w:p>
            <w:pPr>
              <w:spacing w:line="320" w:lineRule="exact"/>
              <w:rPr>
                <w:rFonts w:hint="eastAsia" w:ascii="仿宋_GB2312" w:eastAsia="仿宋_GB2312"/>
                <w:color w:val="auto"/>
                <w:szCs w:val="21"/>
                <w:highlight w:val="none"/>
              </w:rPr>
            </w:pPr>
          </w:p>
        </w:tc>
        <w:tc>
          <w:tcPr>
            <w:tcW w:w="930" w:type="dxa"/>
            <w:vAlign w:val="center"/>
          </w:tcPr>
          <w:p>
            <w:pPr>
              <w:spacing w:line="320" w:lineRule="exact"/>
              <w:rPr>
                <w:rFonts w:hint="eastAsia" w:ascii="仿宋_GB2312" w:eastAsia="仿宋_GB2312"/>
                <w:color w:val="auto"/>
                <w:szCs w:val="21"/>
                <w:highlight w:val="none"/>
              </w:rPr>
            </w:pPr>
            <w:r>
              <w:rPr>
                <w:rFonts w:hint="eastAsia" w:ascii="仿宋_GB2312" w:eastAsia="仿宋_GB2312"/>
                <w:color w:val="auto"/>
                <w:szCs w:val="21"/>
                <w:highlight w:val="none"/>
              </w:rPr>
              <w:t>设施类</w:t>
            </w:r>
          </w:p>
        </w:tc>
        <w:tc>
          <w:tcPr>
            <w:tcW w:w="945" w:type="dxa"/>
            <w:vAlign w:val="center"/>
          </w:tcPr>
          <w:p>
            <w:pPr>
              <w:spacing w:line="320" w:lineRule="exact"/>
              <w:rPr>
                <w:rFonts w:hint="eastAsia" w:ascii="仿宋_GB2312" w:eastAsia="仿宋_GB2312"/>
                <w:color w:val="auto"/>
                <w:szCs w:val="21"/>
                <w:highlight w:val="none"/>
              </w:rPr>
            </w:pPr>
            <w:r>
              <w:rPr>
                <w:rFonts w:hint="eastAsia" w:ascii="仿宋_GB2312" w:eastAsia="仿宋_GB2312"/>
                <w:color w:val="auto"/>
                <w:szCs w:val="21"/>
                <w:highlight w:val="none"/>
                <w:lang w:eastAsia="zh-CN"/>
              </w:rPr>
              <w:t>扣</w:t>
            </w:r>
            <w:r>
              <w:rPr>
                <w:rFonts w:hint="eastAsia" w:ascii="仿宋_GB2312" w:eastAsia="仿宋_GB2312"/>
                <w:color w:val="auto"/>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828" w:type="dxa"/>
            <w:vMerge w:val="continue"/>
            <w:vAlign w:val="center"/>
          </w:tcPr>
          <w:p>
            <w:pPr>
              <w:spacing w:line="320" w:lineRule="exact"/>
              <w:jc w:val="center"/>
              <w:rPr>
                <w:rFonts w:hint="eastAsia" w:ascii="仿宋_GB2312" w:eastAsia="仿宋_GB2312"/>
                <w:color w:val="auto"/>
                <w:szCs w:val="21"/>
                <w:highlight w:val="none"/>
              </w:rPr>
            </w:pPr>
          </w:p>
        </w:tc>
        <w:tc>
          <w:tcPr>
            <w:tcW w:w="920" w:type="dxa"/>
            <w:vAlign w:val="center"/>
          </w:tcPr>
          <w:p>
            <w:pPr>
              <w:spacing w:line="320" w:lineRule="exact"/>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排水设施</w:t>
            </w:r>
            <w:r>
              <w:rPr>
                <w:rFonts w:hint="eastAsia" w:ascii="仿宋_GB2312" w:eastAsia="仿宋_GB2312"/>
                <w:color w:val="auto"/>
                <w:szCs w:val="21"/>
                <w:highlight w:val="none"/>
                <w:lang w:eastAsia="zh-CN"/>
              </w:rPr>
              <w:t>养护</w:t>
            </w:r>
          </w:p>
        </w:tc>
        <w:tc>
          <w:tcPr>
            <w:tcW w:w="5162" w:type="dxa"/>
            <w:vAlign w:val="center"/>
          </w:tcPr>
          <w:p>
            <w:pPr>
              <w:spacing w:line="320" w:lineRule="exact"/>
              <w:ind w:left="0" w:leftChars="0" w:firstLine="388" w:firstLineChars="200"/>
              <w:rPr>
                <w:rFonts w:hint="eastAsia" w:ascii="仿宋_GB2312" w:eastAsia="仿宋_GB2312"/>
                <w:color w:val="auto"/>
                <w:szCs w:val="21"/>
                <w:highlight w:val="none"/>
                <w:lang w:val="en-US" w:eastAsia="zh-CN"/>
              </w:rPr>
            </w:pPr>
            <w:r>
              <w:rPr>
                <w:rFonts w:hint="eastAsia" w:ascii="仿宋_GB2312" w:eastAsia="仿宋_GB2312"/>
                <w:color w:val="auto"/>
                <w:spacing w:val="-8"/>
                <w:szCs w:val="21"/>
                <w:highlight w:val="none"/>
                <w:lang w:val="en-US" w:eastAsia="zh-CN"/>
              </w:rPr>
              <w:t>雨水篦子堵塞；井盖破损；</w:t>
            </w:r>
            <w:r>
              <w:rPr>
                <w:rFonts w:hint="eastAsia" w:ascii="仿宋_GB2312" w:eastAsia="仿宋_GB2312"/>
                <w:color w:val="auto"/>
                <w:spacing w:val="-8"/>
                <w:szCs w:val="21"/>
                <w:highlight w:val="none"/>
              </w:rPr>
              <w:t>管网</w:t>
            </w:r>
            <w:r>
              <w:rPr>
                <w:rFonts w:hint="eastAsia" w:ascii="仿宋_GB2312" w:eastAsia="仿宋_GB2312"/>
                <w:color w:val="auto"/>
                <w:szCs w:val="21"/>
                <w:highlight w:val="none"/>
                <w:lang w:eastAsia="zh-CN"/>
              </w:rPr>
              <w:t>未及时清淤造成</w:t>
            </w:r>
            <w:r>
              <w:rPr>
                <w:rFonts w:hint="eastAsia" w:ascii="仿宋_GB2312" w:eastAsia="仿宋_GB2312"/>
                <w:color w:val="auto"/>
                <w:szCs w:val="21"/>
                <w:highlight w:val="none"/>
                <w:lang w:val="en-US" w:eastAsia="zh-CN"/>
              </w:rPr>
              <w:t>路面</w:t>
            </w:r>
            <w:r>
              <w:rPr>
                <w:rFonts w:hint="eastAsia" w:ascii="仿宋_GB2312" w:eastAsia="仿宋_GB2312"/>
                <w:color w:val="auto"/>
                <w:szCs w:val="21"/>
                <w:highlight w:val="none"/>
                <w:lang w:eastAsia="zh-CN"/>
              </w:rPr>
              <w:t>积水</w:t>
            </w:r>
          </w:p>
        </w:tc>
        <w:tc>
          <w:tcPr>
            <w:tcW w:w="2085" w:type="dxa"/>
            <w:vAlign w:val="center"/>
          </w:tcPr>
          <w:p>
            <w:pPr>
              <w:spacing w:line="320" w:lineRule="exact"/>
              <w:rPr>
                <w:rFonts w:hint="eastAsia" w:ascii="仿宋_GB2312" w:eastAsia="仿宋_GB2312"/>
                <w:color w:val="auto"/>
                <w:szCs w:val="21"/>
                <w:highlight w:val="none"/>
              </w:rPr>
            </w:pPr>
            <w:r>
              <w:rPr>
                <w:rFonts w:hint="eastAsia" w:ascii="仿宋_GB2312" w:eastAsia="仿宋_GB2312"/>
                <w:color w:val="auto"/>
                <w:szCs w:val="21"/>
                <w:highlight w:val="none"/>
              </w:rPr>
              <w:t>管网堵塞、未及时清淤造成积水</w:t>
            </w:r>
          </w:p>
        </w:tc>
        <w:tc>
          <w:tcPr>
            <w:tcW w:w="930" w:type="dxa"/>
            <w:vAlign w:val="center"/>
          </w:tcPr>
          <w:p>
            <w:pPr>
              <w:spacing w:line="320" w:lineRule="exact"/>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管理类</w:t>
            </w:r>
          </w:p>
        </w:tc>
        <w:tc>
          <w:tcPr>
            <w:tcW w:w="945" w:type="dxa"/>
            <w:vAlign w:val="center"/>
          </w:tcPr>
          <w:p>
            <w:pPr>
              <w:spacing w:line="320" w:lineRule="exact"/>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eastAsia="zh-CN"/>
              </w:rPr>
              <w:t>扣</w:t>
            </w:r>
            <w:r>
              <w:rPr>
                <w:rFonts w:hint="eastAsia" w:ascii="仿宋_GB2312" w:eastAsia="仿宋_GB2312"/>
                <w:color w:val="auto"/>
                <w:szCs w:val="21"/>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28" w:type="dxa"/>
            <w:vMerge w:val="continue"/>
            <w:vAlign w:val="center"/>
          </w:tcPr>
          <w:p>
            <w:pPr>
              <w:spacing w:line="320" w:lineRule="exact"/>
              <w:jc w:val="center"/>
              <w:rPr>
                <w:rFonts w:hint="eastAsia" w:ascii="仿宋_GB2312" w:eastAsia="仿宋_GB2312"/>
                <w:color w:val="auto"/>
                <w:szCs w:val="21"/>
                <w:highlight w:val="none"/>
              </w:rPr>
            </w:pPr>
          </w:p>
        </w:tc>
        <w:tc>
          <w:tcPr>
            <w:tcW w:w="920" w:type="dxa"/>
            <w:vAlign w:val="center"/>
          </w:tcPr>
          <w:p>
            <w:pPr>
              <w:spacing w:line="320" w:lineRule="exact"/>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路灯</w:t>
            </w:r>
          </w:p>
          <w:p>
            <w:pPr>
              <w:spacing w:line="32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eastAsia="zh-CN"/>
              </w:rPr>
              <w:t>养护</w:t>
            </w:r>
          </w:p>
        </w:tc>
        <w:tc>
          <w:tcPr>
            <w:tcW w:w="5162" w:type="dxa"/>
            <w:vAlign w:val="center"/>
          </w:tcPr>
          <w:p>
            <w:pPr>
              <w:spacing w:line="320" w:lineRule="exact"/>
              <w:ind w:left="0" w:leftChars="0" w:firstLine="420" w:firstLineChars="200"/>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路灯缺亮；</w:t>
            </w:r>
            <w:r>
              <w:rPr>
                <w:rFonts w:hint="eastAsia" w:ascii="仿宋_GB2312" w:eastAsia="仿宋_GB2312"/>
                <w:color w:val="auto"/>
                <w:szCs w:val="21"/>
                <w:highlight w:val="none"/>
              </w:rPr>
              <w:t>路灯设施倾斜、缺损；油漆剥落和锈斑、外观不整洁</w:t>
            </w:r>
            <w:r>
              <w:rPr>
                <w:rFonts w:hint="eastAsia" w:ascii="仿宋_GB2312" w:eastAsia="仿宋_GB2312"/>
                <w:color w:val="auto"/>
                <w:szCs w:val="21"/>
                <w:highlight w:val="none"/>
                <w:lang w:eastAsia="zh-CN"/>
              </w:rPr>
              <w:t>。</w:t>
            </w:r>
          </w:p>
        </w:tc>
        <w:tc>
          <w:tcPr>
            <w:tcW w:w="2085" w:type="dxa"/>
            <w:vAlign w:val="center"/>
          </w:tcPr>
          <w:p>
            <w:pPr>
              <w:spacing w:line="320" w:lineRule="exact"/>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eastAsia="zh-CN"/>
              </w:rPr>
              <w:t>路灯缺亮、</w:t>
            </w:r>
            <w:r>
              <w:rPr>
                <w:rFonts w:hint="eastAsia" w:ascii="仿宋_GB2312" w:eastAsia="仿宋_GB2312"/>
                <w:color w:val="auto"/>
                <w:szCs w:val="21"/>
                <w:highlight w:val="none"/>
                <w:lang w:val="en-US" w:eastAsia="zh-CN"/>
              </w:rPr>
              <w:t>外观欠佳。</w:t>
            </w:r>
          </w:p>
        </w:tc>
        <w:tc>
          <w:tcPr>
            <w:tcW w:w="930" w:type="dxa"/>
            <w:vAlign w:val="center"/>
          </w:tcPr>
          <w:p>
            <w:pPr>
              <w:spacing w:line="320" w:lineRule="exact"/>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设施类</w:t>
            </w:r>
          </w:p>
        </w:tc>
        <w:tc>
          <w:tcPr>
            <w:tcW w:w="945" w:type="dxa"/>
            <w:vAlign w:val="center"/>
          </w:tcPr>
          <w:p>
            <w:pPr>
              <w:spacing w:line="320" w:lineRule="exact"/>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扣</w:t>
            </w:r>
            <w:r>
              <w:rPr>
                <w:rFonts w:hint="eastAsia" w:ascii="仿宋_GB2312" w:eastAsia="仿宋_GB2312"/>
                <w:color w:val="auto"/>
                <w:szCs w:val="21"/>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28" w:type="dxa"/>
            <w:vMerge w:val="continue"/>
            <w:vAlign w:val="center"/>
          </w:tcPr>
          <w:p>
            <w:pPr>
              <w:widowControl/>
              <w:jc w:val="left"/>
              <w:textAlignment w:val="center"/>
              <w:rPr>
                <w:rFonts w:hint="eastAsia" w:ascii="仿宋_GB2312" w:hAnsi="仿宋_GB2312" w:eastAsia="仿宋_GB2312" w:cs="仿宋_GB2312"/>
                <w:color w:val="auto"/>
                <w:kern w:val="2"/>
                <w:sz w:val="21"/>
                <w:szCs w:val="21"/>
                <w:highlight w:val="none"/>
                <w:lang w:val="en-US" w:eastAsia="zh-CN" w:bidi="ar-SA"/>
              </w:rPr>
            </w:pPr>
          </w:p>
        </w:tc>
        <w:tc>
          <w:tcPr>
            <w:tcW w:w="8167" w:type="dxa"/>
            <w:gridSpan w:val="3"/>
            <w:vAlign w:val="center"/>
          </w:tcPr>
          <w:p>
            <w:pPr>
              <w:widowControl/>
              <w:jc w:val="left"/>
              <w:textAlignment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数字化平台上申请整改延期率超过</w:t>
            </w:r>
            <w:r>
              <w:rPr>
                <w:rFonts w:hint="eastAsia" w:ascii="仿宋_GB2312" w:hAnsi="仿宋_GB2312" w:eastAsia="仿宋_GB2312" w:cs="仿宋_GB2312"/>
                <w:color w:val="auto"/>
                <w:kern w:val="0"/>
                <w:sz w:val="21"/>
                <w:szCs w:val="21"/>
                <w:highlight w:val="none"/>
                <w:lang w:val="en-US" w:eastAsia="zh-CN"/>
              </w:rPr>
              <w:t>2%的扣1分，每超过2%扣1分。</w:t>
            </w:r>
          </w:p>
        </w:tc>
        <w:tc>
          <w:tcPr>
            <w:tcW w:w="1875" w:type="dxa"/>
            <w:gridSpan w:val="2"/>
            <w:vAlign w:val="center"/>
          </w:tcPr>
          <w:p>
            <w:pPr>
              <w:spacing w:line="320" w:lineRule="exact"/>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28" w:type="dxa"/>
            <w:vMerge w:val="continue"/>
            <w:vAlign w:val="center"/>
          </w:tcPr>
          <w:p>
            <w:pPr>
              <w:widowControl/>
              <w:jc w:val="left"/>
              <w:textAlignment w:val="center"/>
              <w:rPr>
                <w:rFonts w:hint="eastAsia" w:ascii="仿宋_GB2312" w:hAnsi="仿宋_GB2312" w:eastAsia="仿宋_GB2312" w:cs="仿宋_GB2312"/>
                <w:color w:val="auto"/>
                <w:kern w:val="2"/>
                <w:sz w:val="21"/>
                <w:szCs w:val="21"/>
                <w:highlight w:val="none"/>
                <w:lang w:val="en-US" w:eastAsia="zh-CN" w:bidi="ar-SA"/>
              </w:rPr>
            </w:pPr>
          </w:p>
        </w:tc>
        <w:tc>
          <w:tcPr>
            <w:tcW w:w="8167" w:type="dxa"/>
            <w:gridSpan w:val="3"/>
            <w:vAlign w:val="center"/>
          </w:tcPr>
          <w:p>
            <w:pPr>
              <w:widowControl/>
              <w:jc w:val="left"/>
              <w:textAlignment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鼓励镇街和企业自查自改，在数字化平台开通自查自改功能后，所有被检查到的问题，已自查自改且整改质量达标的，免于扣分。自查问题的发现时间必须在检查时间之前。</w:t>
            </w:r>
          </w:p>
        </w:tc>
        <w:tc>
          <w:tcPr>
            <w:tcW w:w="1875" w:type="dxa"/>
            <w:gridSpan w:val="2"/>
            <w:vAlign w:val="center"/>
          </w:tcPr>
          <w:p>
            <w:pPr>
              <w:spacing w:line="320" w:lineRule="exact"/>
              <w:rPr>
                <w:rFonts w:hint="eastAsia" w:ascii="仿宋_GB2312" w:eastAsia="仿宋_GB2312"/>
                <w:color w:val="auto"/>
                <w:szCs w:val="21"/>
                <w:highlight w:val="none"/>
              </w:rPr>
            </w:pPr>
            <w:r>
              <w:rPr>
                <w:rFonts w:hint="eastAsia" w:ascii="仿宋_GB2312" w:hAnsi="仿宋_GB2312" w:eastAsia="仿宋_GB2312" w:cs="仿宋_GB2312"/>
                <w:color w:val="auto"/>
                <w:sz w:val="21"/>
                <w:szCs w:val="21"/>
                <w:highlight w:val="none"/>
                <w:lang w:eastAsia="zh-CN"/>
              </w:rPr>
              <w:t>上报审核核实后免于扣分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restart"/>
            <w:vAlign w:val="center"/>
          </w:tcPr>
          <w:p>
            <w:pPr>
              <w:spacing w:line="320" w:lineRule="exact"/>
              <w:jc w:val="center"/>
              <w:rPr>
                <w:rFonts w:hint="eastAsia" w:ascii="仿宋_GB2312" w:eastAsia="仿宋_GB2312"/>
                <w:color w:val="auto"/>
                <w:spacing w:val="-8"/>
                <w:szCs w:val="21"/>
                <w:highlight w:val="none"/>
                <w:lang w:val="en-US" w:eastAsia="zh-CN"/>
              </w:rPr>
            </w:pPr>
            <w:r>
              <w:rPr>
                <w:rFonts w:hint="eastAsia" w:ascii="仿宋_GB2312" w:eastAsia="仿宋_GB2312"/>
                <w:color w:val="auto"/>
                <w:spacing w:val="-8"/>
                <w:szCs w:val="21"/>
                <w:highlight w:val="none"/>
                <w:lang w:val="en-US" w:eastAsia="zh-CN"/>
              </w:rPr>
              <w:t>行业线管理</w:t>
            </w:r>
          </w:p>
          <w:p>
            <w:pPr>
              <w:spacing w:line="320" w:lineRule="exact"/>
              <w:jc w:val="center"/>
              <w:rPr>
                <w:rFonts w:hint="default" w:ascii="仿宋_GB2312" w:eastAsia="仿宋_GB2312"/>
                <w:color w:val="auto"/>
                <w:spacing w:val="-8"/>
                <w:szCs w:val="21"/>
                <w:highlight w:val="none"/>
                <w:lang w:val="en-US" w:eastAsia="zh-CN"/>
              </w:rPr>
            </w:pPr>
            <w:r>
              <w:rPr>
                <w:rFonts w:hint="eastAsia" w:ascii="仿宋_GB2312" w:eastAsia="仿宋_GB2312"/>
                <w:color w:val="auto"/>
                <w:spacing w:val="-8"/>
                <w:szCs w:val="21"/>
                <w:highlight w:val="none"/>
                <w:lang w:val="en-US" w:eastAsia="zh-CN"/>
              </w:rPr>
              <w:t>（30分）</w:t>
            </w:r>
          </w:p>
        </w:tc>
        <w:tc>
          <w:tcPr>
            <w:tcW w:w="920" w:type="dxa"/>
            <w:vAlign w:val="center"/>
          </w:tcPr>
          <w:p>
            <w:pPr>
              <w:spacing w:line="320" w:lineRule="exact"/>
              <w:jc w:val="center"/>
              <w:rPr>
                <w:rFonts w:hint="eastAsia" w:ascii="仿宋_GB2312" w:hAnsi="Calibri" w:eastAsia="仿宋_GB2312" w:cs="宋体"/>
                <w:color w:val="auto"/>
                <w:kern w:val="0"/>
                <w:sz w:val="21"/>
                <w:szCs w:val="21"/>
                <w:highlight w:val="none"/>
                <w:lang w:val="en-US" w:eastAsia="zh-CN" w:bidi="ar-SA"/>
              </w:rPr>
            </w:pPr>
            <w:r>
              <w:rPr>
                <w:rFonts w:hint="eastAsia" w:ascii="仿宋_GB2312" w:eastAsia="仿宋_GB2312"/>
                <w:color w:val="auto"/>
                <w:szCs w:val="21"/>
                <w:highlight w:val="none"/>
                <w:lang w:eastAsia="zh-CN"/>
              </w:rPr>
              <w:t>应急保障</w:t>
            </w:r>
          </w:p>
        </w:tc>
        <w:tc>
          <w:tcPr>
            <w:tcW w:w="5162" w:type="dxa"/>
            <w:vAlign w:val="center"/>
          </w:tcPr>
          <w:p>
            <w:pPr>
              <w:spacing w:line="320" w:lineRule="exact"/>
              <w:ind w:left="0" w:leftChars="0" w:firstLine="420" w:firstLineChars="200"/>
              <w:rPr>
                <w:rFonts w:hint="default" w:ascii="仿宋_GB2312" w:eastAsia="仿宋_GB2312"/>
                <w:color w:val="auto"/>
                <w:szCs w:val="21"/>
                <w:highlight w:val="none"/>
                <w:lang w:val="en-US"/>
              </w:rPr>
            </w:pPr>
            <w:r>
              <w:rPr>
                <w:rFonts w:hint="eastAsia" w:ascii="仿宋_GB2312" w:eastAsia="仿宋_GB2312"/>
                <w:color w:val="auto"/>
                <w:szCs w:val="21"/>
                <w:highlight w:val="none"/>
                <w:lang w:eastAsia="zh-CN"/>
              </w:rPr>
              <w:t>养护作业</w:t>
            </w:r>
            <w:r>
              <w:rPr>
                <w:rFonts w:hint="eastAsia" w:ascii="仿宋_GB2312" w:eastAsia="仿宋_GB2312"/>
                <w:color w:val="auto"/>
                <w:szCs w:val="21"/>
                <w:highlight w:val="none"/>
              </w:rPr>
              <w:t>围护不到位</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rPr>
              <w:t>无围护</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rPr>
              <w:t>着装不规范</w:t>
            </w:r>
            <w:r>
              <w:rPr>
                <w:rFonts w:hint="eastAsia" w:ascii="仿宋_GB2312" w:eastAsia="仿宋_GB2312"/>
                <w:color w:val="auto"/>
                <w:szCs w:val="21"/>
                <w:highlight w:val="none"/>
                <w:lang w:eastAsia="zh-CN"/>
              </w:rPr>
              <w:t>；未及时发现违章施工的</w:t>
            </w:r>
            <w:r>
              <w:rPr>
                <w:rFonts w:hint="eastAsia" w:ascii="仿宋_GB2312" w:eastAsia="仿宋_GB2312"/>
                <w:color w:val="auto"/>
                <w:szCs w:val="21"/>
                <w:highlight w:val="none"/>
                <w:lang w:val="en-US" w:eastAsia="zh-CN"/>
              </w:rPr>
              <w:t>，批后监管不到位的，每次扣2分。</w:t>
            </w:r>
          </w:p>
          <w:p>
            <w:pPr>
              <w:spacing w:line="320" w:lineRule="exact"/>
              <w:ind w:left="0" w:leftChars="0" w:firstLine="420" w:firstLineChars="200"/>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eastAsia="zh-CN"/>
              </w:rPr>
              <w:t>防汛防台、</w:t>
            </w:r>
            <w:r>
              <w:rPr>
                <w:rFonts w:hint="eastAsia" w:ascii="仿宋_GB2312" w:eastAsia="仿宋_GB2312" w:cs="宋体"/>
                <w:color w:val="auto"/>
                <w:kern w:val="0"/>
                <w:szCs w:val="21"/>
                <w:highlight w:val="none"/>
              </w:rPr>
              <w:t>抗雪防冻等应急</w:t>
            </w:r>
            <w:r>
              <w:rPr>
                <w:rFonts w:hint="eastAsia" w:ascii="仿宋_GB2312" w:eastAsia="仿宋_GB2312" w:cs="宋体"/>
                <w:color w:val="auto"/>
                <w:kern w:val="0"/>
                <w:szCs w:val="21"/>
                <w:highlight w:val="none"/>
                <w:lang w:eastAsia="zh-CN"/>
              </w:rPr>
              <w:t>处置</w:t>
            </w:r>
            <w:r>
              <w:rPr>
                <w:rFonts w:hint="eastAsia" w:ascii="仿宋_GB2312" w:eastAsia="仿宋_GB2312" w:cs="宋体"/>
                <w:color w:val="auto"/>
                <w:kern w:val="0"/>
                <w:szCs w:val="21"/>
                <w:highlight w:val="none"/>
              </w:rPr>
              <w:t>不到位的</w:t>
            </w:r>
            <w:r>
              <w:rPr>
                <w:rFonts w:hint="eastAsia" w:ascii="仿宋_GB2312" w:eastAsia="仿宋_GB2312"/>
                <w:color w:val="auto"/>
                <w:szCs w:val="21"/>
                <w:highlight w:val="none"/>
                <w:lang w:val="en-US" w:eastAsia="zh-CN"/>
              </w:rPr>
              <w:t>，每次扣2分。</w:t>
            </w:r>
          </w:p>
          <w:p>
            <w:pPr>
              <w:spacing w:line="320" w:lineRule="exact"/>
              <w:ind w:left="0" w:leftChars="0" w:firstLine="420" w:firstLineChars="200"/>
              <w:rPr>
                <w:rFonts w:hint="eastAsia" w:ascii="仿宋_GB2312" w:eastAsia="仿宋_GB2312" w:cs="宋体"/>
                <w:color w:val="auto"/>
                <w:kern w:val="0"/>
                <w:szCs w:val="21"/>
                <w:highlight w:val="none"/>
                <w:lang w:eastAsia="zh-CN"/>
              </w:rPr>
            </w:pPr>
            <w:r>
              <w:rPr>
                <w:rFonts w:hint="eastAsia" w:ascii="仿宋_GB2312" w:eastAsia="仿宋_GB2312" w:cs="宋体"/>
                <w:color w:val="auto"/>
                <w:kern w:val="0"/>
                <w:szCs w:val="21"/>
                <w:highlight w:val="none"/>
                <w:lang w:eastAsia="zh-CN"/>
              </w:rPr>
              <w:t>下井、登高等特种作业，发生违规作业情况的</w:t>
            </w:r>
            <w:r>
              <w:rPr>
                <w:rFonts w:hint="eastAsia" w:ascii="仿宋_GB2312" w:eastAsia="仿宋_GB2312"/>
                <w:color w:val="auto"/>
                <w:szCs w:val="21"/>
                <w:highlight w:val="none"/>
                <w:lang w:val="en-US" w:eastAsia="zh-CN"/>
              </w:rPr>
              <w:t>，每次扣2分。</w:t>
            </w:r>
          </w:p>
        </w:tc>
        <w:tc>
          <w:tcPr>
            <w:tcW w:w="2085" w:type="dxa"/>
            <w:vAlign w:val="center"/>
          </w:tcPr>
          <w:p>
            <w:pPr>
              <w:spacing w:line="320" w:lineRule="exact"/>
              <w:rPr>
                <w:rFonts w:hint="default" w:ascii="仿宋_GB2312" w:eastAsia="仿宋_GB2312"/>
                <w:color w:val="auto"/>
                <w:szCs w:val="21"/>
                <w:highlight w:val="none"/>
                <w:lang w:val="en-US"/>
              </w:rPr>
            </w:pPr>
            <w:r>
              <w:rPr>
                <w:rFonts w:hint="eastAsia" w:ascii="仿宋_GB2312" w:eastAsia="仿宋_GB2312"/>
                <w:color w:val="auto"/>
                <w:szCs w:val="21"/>
                <w:highlight w:val="none"/>
                <w:lang w:eastAsia="zh-CN"/>
              </w:rPr>
              <w:t>应急保障</w:t>
            </w:r>
            <w:r>
              <w:rPr>
                <w:rFonts w:hint="eastAsia" w:ascii="仿宋_GB2312" w:eastAsia="仿宋_GB2312"/>
                <w:color w:val="auto"/>
                <w:szCs w:val="21"/>
                <w:highlight w:val="none"/>
                <w:lang w:val="en-US" w:eastAsia="zh-CN"/>
              </w:rPr>
              <w:t>各类要求不满足的。</w:t>
            </w:r>
          </w:p>
        </w:tc>
        <w:tc>
          <w:tcPr>
            <w:tcW w:w="930" w:type="dxa"/>
            <w:vAlign w:val="center"/>
          </w:tcPr>
          <w:p>
            <w:pPr>
              <w:spacing w:line="320" w:lineRule="exact"/>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管理类</w:t>
            </w:r>
          </w:p>
        </w:tc>
        <w:tc>
          <w:tcPr>
            <w:tcW w:w="945" w:type="dxa"/>
            <w:vAlign w:val="center"/>
          </w:tcPr>
          <w:p>
            <w:pPr>
              <w:spacing w:line="320" w:lineRule="exact"/>
              <w:rPr>
                <w:rFonts w:hint="eastAsia" w:ascii="仿宋_GB2312" w:eastAsia="仿宋_GB2312"/>
                <w:color w:val="auto"/>
                <w:szCs w:val="21"/>
                <w:highlight w:val="none"/>
              </w:rPr>
            </w:pPr>
            <w:r>
              <w:rPr>
                <w:rFonts w:hint="eastAsia" w:ascii="仿宋_GB2312" w:eastAsia="仿宋_GB2312"/>
                <w:color w:val="auto"/>
                <w:szCs w:val="21"/>
                <w:highlight w:val="none"/>
                <w:lang w:eastAsia="zh-CN"/>
              </w:rPr>
              <w:t>扣</w:t>
            </w:r>
            <w:r>
              <w:rPr>
                <w:rFonts w:hint="eastAsia" w:ascii="仿宋_GB2312" w:eastAsia="仿宋_GB2312"/>
                <w:color w:val="auto"/>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continue"/>
            <w:vAlign w:val="center"/>
          </w:tcPr>
          <w:p>
            <w:pPr>
              <w:spacing w:line="320" w:lineRule="exact"/>
              <w:jc w:val="center"/>
              <w:rPr>
                <w:rFonts w:hint="eastAsia" w:ascii="仿宋_GB2312" w:eastAsia="仿宋_GB2312"/>
                <w:color w:val="auto"/>
                <w:spacing w:val="-8"/>
                <w:szCs w:val="21"/>
                <w:highlight w:val="none"/>
                <w:lang w:val="en-US" w:eastAsia="zh-CN"/>
              </w:rPr>
            </w:pPr>
          </w:p>
        </w:tc>
        <w:tc>
          <w:tcPr>
            <w:tcW w:w="920" w:type="dxa"/>
            <w:vMerge w:val="restart"/>
            <w:vAlign w:val="center"/>
          </w:tcPr>
          <w:p>
            <w:pPr>
              <w:spacing w:line="32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道桥隧管理</w:t>
            </w:r>
          </w:p>
        </w:tc>
        <w:tc>
          <w:tcPr>
            <w:tcW w:w="5162" w:type="dxa"/>
            <w:vAlign w:val="center"/>
          </w:tcPr>
          <w:p>
            <w:pPr>
              <w:spacing w:line="320" w:lineRule="exact"/>
              <w:ind w:left="0" w:leftChars="0" w:firstLine="420" w:firstLineChars="200"/>
              <w:rPr>
                <w:rFonts w:hint="default" w:ascii="仿宋_GB2312" w:eastAsia="仿宋_GB2312" w:cs="宋体"/>
                <w:color w:val="auto"/>
                <w:kern w:val="0"/>
                <w:szCs w:val="21"/>
                <w:highlight w:val="none"/>
                <w:lang w:val="en-US" w:eastAsia="zh-CN"/>
              </w:rPr>
            </w:pPr>
            <w:r>
              <w:rPr>
                <w:rFonts w:hint="eastAsia" w:ascii="仿宋_GB2312" w:eastAsia="仿宋_GB2312" w:cs="宋体"/>
                <w:color w:val="auto"/>
                <w:kern w:val="0"/>
                <w:szCs w:val="21"/>
                <w:highlight w:val="none"/>
                <w:lang w:eastAsia="zh-CN"/>
              </w:rPr>
              <w:t>“</w:t>
            </w:r>
            <w:r>
              <w:rPr>
                <w:rFonts w:hint="eastAsia" w:ascii="仿宋_GB2312" w:eastAsia="仿宋_GB2312" w:cs="宋体"/>
                <w:color w:val="auto"/>
                <w:kern w:val="0"/>
                <w:szCs w:val="21"/>
                <w:highlight w:val="none"/>
                <w:lang w:val="en-US" w:eastAsia="zh-CN"/>
              </w:rPr>
              <w:t>三色管理</w:t>
            </w:r>
            <w:r>
              <w:rPr>
                <w:rFonts w:hint="eastAsia" w:ascii="仿宋_GB2312" w:eastAsia="仿宋_GB2312" w:cs="宋体"/>
                <w:color w:val="auto"/>
                <w:kern w:val="0"/>
                <w:szCs w:val="21"/>
                <w:highlight w:val="none"/>
                <w:lang w:eastAsia="zh-CN"/>
              </w:rPr>
              <w:t>”、“</w:t>
            </w:r>
            <w:r>
              <w:rPr>
                <w:rFonts w:hint="eastAsia" w:ascii="仿宋_GB2312" w:eastAsia="仿宋_GB2312" w:cs="宋体"/>
                <w:color w:val="auto"/>
                <w:kern w:val="0"/>
                <w:szCs w:val="21"/>
                <w:highlight w:val="none"/>
                <w:lang w:val="en-US" w:eastAsia="zh-CN"/>
              </w:rPr>
              <w:t>智慧市政</w:t>
            </w:r>
            <w:r>
              <w:rPr>
                <w:rFonts w:hint="eastAsia" w:ascii="仿宋_GB2312" w:eastAsia="仿宋_GB2312" w:cs="宋体"/>
                <w:color w:val="auto"/>
                <w:kern w:val="0"/>
                <w:szCs w:val="21"/>
                <w:highlight w:val="none"/>
                <w:lang w:eastAsia="zh-CN"/>
              </w:rPr>
              <w:t>”</w:t>
            </w:r>
            <w:r>
              <w:rPr>
                <w:rFonts w:hint="eastAsia" w:ascii="仿宋_GB2312" w:eastAsia="仿宋_GB2312" w:cs="宋体"/>
                <w:color w:val="auto"/>
                <w:kern w:val="0"/>
                <w:szCs w:val="21"/>
                <w:highlight w:val="none"/>
                <w:lang w:val="en-US" w:eastAsia="zh-CN"/>
              </w:rPr>
              <w:t>等平台使用不达标的，每次扣1分。</w:t>
            </w:r>
          </w:p>
        </w:tc>
        <w:tc>
          <w:tcPr>
            <w:tcW w:w="2085" w:type="dxa"/>
            <w:vAlign w:val="center"/>
          </w:tcPr>
          <w:p>
            <w:pPr>
              <w:spacing w:line="320" w:lineRule="exact"/>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各类区级、市级平台使用情况考核。</w:t>
            </w:r>
          </w:p>
        </w:tc>
        <w:tc>
          <w:tcPr>
            <w:tcW w:w="930" w:type="dxa"/>
            <w:vAlign w:val="center"/>
          </w:tcPr>
          <w:p>
            <w:pPr>
              <w:spacing w:line="320" w:lineRule="exact"/>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管理类</w:t>
            </w:r>
          </w:p>
        </w:tc>
        <w:tc>
          <w:tcPr>
            <w:tcW w:w="945" w:type="dxa"/>
            <w:vAlign w:val="center"/>
          </w:tcPr>
          <w:p>
            <w:pPr>
              <w:spacing w:line="320" w:lineRule="exact"/>
              <w:rPr>
                <w:rFonts w:hint="eastAsia" w:ascii="仿宋_GB2312" w:eastAsia="仿宋_GB2312"/>
                <w:color w:val="auto"/>
                <w:szCs w:val="21"/>
                <w:highlight w:val="none"/>
              </w:rPr>
            </w:pPr>
            <w:r>
              <w:rPr>
                <w:rFonts w:hint="eastAsia" w:ascii="仿宋_GB2312" w:eastAsia="仿宋_GB2312"/>
                <w:color w:val="auto"/>
                <w:szCs w:val="21"/>
                <w:highlight w:val="none"/>
                <w:lang w:eastAsia="zh-CN"/>
              </w:rPr>
              <w:t>扣</w:t>
            </w:r>
            <w:r>
              <w:rPr>
                <w:rFonts w:hint="eastAsia" w:ascii="仿宋_GB2312" w:eastAsia="仿宋_GB2312"/>
                <w:color w:val="auto"/>
                <w:szCs w:val="21"/>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continue"/>
            <w:vAlign w:val="center"/>
          </w:tcPr>
          <w:p>
            <w:pPr>
              <w:spacing w:line="320" w:lineRule="exact"/>
              <w:jc w:val="center"/>
              <w:rPr>
                <w:rFonts w:hint="eastAsia" w:ascii="仿宋_GB2312" w:eastAsia="仿宋_GB2312"/>
                <w:color w:val="auto"/>
                <w:spacing w:val="-8"/>
                <w:szCs w:val="21"/>
                <w:highlight w:val="none"/>
                <w:lang w:val="en-US" w:eastAsia="zh-CN"/>
              </w:rPr>
            </w:pPr>
          </w:p>
        </w:tc>
        <w:tc>
          <w:tcPr>
            <w:tcW w:w="920" w:type="dxa"/>
            <w:vMerge w:val="continue"/>
            <w:vAlign w:val="center"/>
          </w:tcPr>
          <w:p>
            <w:pPr>
              <w:spacing w:line="320" w:lineRule="exact"/>
              <w:jc w:val="center"/>
              <w:rPr>
                <w:rFonts w:hint="eastAsia" w:ascii="仿宋_GB2312" w:eastAsia="仿宋_GB2312"/>
                <w:color w:val="auto"/>
                <w:szCs w:val="21"/>
                <w:highlight w:val="none"/>
                <w:lang w:val="en-US" w:eastAsia="zh-CN"/>
              </w:rPr>
            </w:pPr>
          </w:p>
        </w:tc>
        <w:tc>
          <w:tcPr>
            <w:tcW w:w="5162" w:type="dxa"/>
            <w:vAlign w:val="center"/>
          </w:tcPr>
          <w:p>
            <w:pPr>
              <w:spacing w:line="320" w:lineRule="exact"/>
              <w:ind w:left="0" w:leftChars="0" w:firstLine="388" w:firstLineChars="200"/>
              <w:rPr>
                <w:rFonts w:hint="eastAsia" w:ascii="仿宋_GB2312" w:eastAsia="仿宋_GB2312" w:cs="宋体"/>
                <w:color w:val="auto"/>
                <w:kern w:val="0"/>
                <w:szCs w:val="21"/>
                <w:highlight w:val="none"/>
                <w:lang w:eastAsia="zh-CN"/>
              </w:rPr>
            </w:pPr>
            <w:r>
              <w:rPr>
                <w:rFonts w:hint="eastAsia" w:ascii="仿宋_GB2312" w:eastAsia="仿宋_GB2312"/>
                <w:color w:val="auto"/>
                <w:spacing w:val="-8"/>
                <w:szCs w:val="21"/>
                <w:highlight w:val="none"/>
              </w:rPr>
              <w:t>桥面坑槽、支座破损锈蚀等</w:t>
            </w:r>
            <w:r>
              <w:rPr>
                <w:rFonts w:hint="eastAsia" w:ascii="仿宋_GB2312" w:eastAsia="仿宋_GB2312"/>
                <w:color w:val="auto"/>
                <w:szCs w:val="21"/>
                <w:highlight w:val="none"/>
                <w:lang w:eastAsia="zh-CN"/>
              </w:rPr>
              <w:t>；存在桥头跳车</w:t>
            </w:r>
            <w:r>
              <w:rPr>
                <w:rFonts w:hint="eastAsia" w:ascii="仿宋_GB2312" w:eastAsia="仿宋_GB2312"/>
                <w:color w:val="auto"/>
                <w:szCs w:val="21"/>
                <w:highlight w:val="none"/>
                <w:lang w:val="en-US" w:eastAsia="zh-CN"/>
              </w:rPr>
              <w:t>；</w:t>
            </w:r>
            <w:r>
              <w:rPr>
                <w:rFonts w:hint="eastAsia" w:ascii="仿宋_GB2312" w:eastAsia="仿宋_GB2312"/>
                <w:color w:val="auto"/>
                <w:spacing w:val="-8"/>
                <w:szCs w:val="21"/>
                <w:highlight w:val="none"/>
              </w:rPr>
              <w:t>墩台墙柱开裂，基础下沉，基础位移</w:t>
            </w:r>
            <w:r>
              <w:rPr>
                <w:rFonts w:hint="eastAsia" w:ascii="仿宋_GB2312" w:eastAsia="仿宋_GB2312"/>
                <w:color w:val="auto"/>
                <w:szCs w:val="21"/>
                <w:highlight w:val="none"/>
              </w:rPr>
              <w:t>。</w:t>
            </w:r>
          </w:p>
        </w:tc>
        <w:tc>
          <w:tcPr>
            <w:tcW w:w="2085" w:type="dxa"/>
            <w:vAlign w:val="center"/>
          </w:tcPr>
          <w:p>
            <w:pPr>
              <w:spacing w:line="320" w:lineRule="exact"/>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rPr>
              <w:t>桥梁裂缝、破损、起伏；</w:t>
            </w:r>
            <w:r>
              <w:rPr>
                <w:rFonts w:hint="eastAsia" w:ascii="仿宋_GB2312" w:eastAsia="仿宋_GB2312"/>
                <w:color w:val="auto"/>
                <w:spacing w:val="-8"/>
                <w:szCs w:val="21"/>
                <w:highlight w:val="none"/>
              </w:rPr>
              <w:t>墩台墙柱开裂，基础下沉，基础位移</w:t>
            </w:r>
          </w:p>
        </w:tc>
        <w:tc>
          <w:tcPr>
            <w:tcW w:w="930" w:type="dxa"/>
            <w:vAlign w:val="center"/>
          </w:tcPr>
          <w:p>
            <w:pPr>
              <w:spacing w:line="320" w:lineRule="exact"/>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rPr>
              <w:t>设施类</w:t>
            </w:r>
          </w:p>
        </w:tc>
        <w:tc>
          <w:tcPr>
            <w:tcW w:w="945" w:type="dxa"/>
            <w:vAlign w:val="center"/>
          </w:tcPr>
          <w:p>
            <w:pPr>
              <w:spacing w:line="320" w:lineRule="exact"/>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扣</w:t>
            </w:r>
            <w:r>
              <w:rPr>
                <w:rFonts w:hint="eastAsia" w:ascii="仿宋_GB2312" w:eastAsia="仿宋_GB2312"/>
                <w:color w:val="auto"/>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continue"/>
            <w:vAlign w:val="center"/>
          </w:tcPr>
          <w:p>
            <w:pPr>
              <w:spacing w:line="320" w:lineRule="exact"/>
              <w:jc w:val="center"/>
              <w:rPr>
                <w:rFonts w:hint="eastAsia" w:ascii="仿宋_GB2312" w:eastAsia="仿宋_GB2312"/>
                <w:color w:val="auto"/>
                <w:spacing w:val="-8"/>
                <w:szCs w:val="21"/>
                <w:highlight w:val="none"/>
                <w:lang w:val="en-US" w:eastAsia="zh-CN"/>
              </w:rPr>
            </w:pPr>
          </w:p>
        </w:tc>
        <w:tc>
          <w:tcPr>
            <w:tcW w:w="920" w:type="dxa"/>
            <w:vMerge w:val="continue"/>
            <w:vAlign w:val="center"/>
          </w:tcPr>
          <w:p>
            <w:pPr>
              <w:spacing w:line="320" w:lineRule="exact"/>
              <w:jc w:val="center"/>
              <w:rPr>
                <w:rFonts w:hint="eastAsia" w:ascii="仿宋_GB2312" w:eastAsia="仿宋_GB2312"/>
                <w:color w:val="auto"/>
                <w:szCs w:val="21"/>
                <w:highlight w:val="none"/>
                <w:lang w:val="en-US" w:eastAsia="zh-CN"/>
              </w:rPr>
            </w:pPr>
          </w:p>
        </w:tc>
        <w:tc>
          <w:tcPr>
            <w:tcW w:w="5162" w:type="dxa"/>
            <w:vAlign w:val="center"/>
          </w:tcPr>
          <w:p>
            <w:pPr>
              <w:spacing w:line="320" w:lineRule="exact"/>
              <w:ind w:firstLine="388" w:firstLineChars="200"/>
              <w:rPr>
                <w:rFonts w:hint="eastAsia" w:ascii="仿宋_GB2312" w:eastAsia="仿宋_GB2312" w:cs="宋体"/>
                <w:color w:val="auto"/>
                <w:kern w:val="0"/>
                <w:szCs w:val="21"/>
                <w:highlight w:val="none"/>
                <w:lang w:eastAsia="zh-CN"/>
              </w:rPr>
            </w:pPr>
            <w:r>
              <w:rPr>
                <w:rFonts w:hint="eastAsia" w:ascii="仿宋_GB2312" w:eastAsia="仿宋_GB2312"/>
                <w:color w:val="auto"/>
                <w:spacing w:val="-8"/>
                <w:szCs w:val="21"/>
                <w:highlight w:val="none"/>
              </w:rPr>
              <w:t>排水设施堵塞、破损</w:t>
            </w:r>
            <w:r>
              <w:rPr>
                <w:rFonts w:hint="eastAsia" w:ascii="仿宋_GB2312" w:eastAsia="仿宋_GB2312"/>
                <w:color w:val="auto"/>
                <w:spacing w:val="-8"/>
                <w:szCs w:val="21"/>
                <w:highlight w:val="none"/>
                <w:lang w:eastAsia="zh-CN"/>
              </w:rPr>
              <w:t>，挡</w:t>
            </w:r>
            <w:r>
              <w:rPr>
                <w:rFonts w:hint="eastAsia" w:ascii="仿宋_GB2312" w:eastAsia="仿宋_GB2312"/>
                <w:color w:val="auto"/>
                <w:spacing w:val="-8"/>
                <w:szCs w:val="21"/>
                <w:highlight w:val="none"/>
              </w:rPr>
              <w:t>墙损坏开裂</w:t>
            </w:r>
            <w:r>
              <w:rPr>
                <w:rFonts w:hint="eastAsia" w:ascii="仿宋_GB2312" w:eastAsia="仿宋_GB2312"/>
                <w:color w:val="auto"/>
                <w:spacing w:val="-8"/>
                <w:szCs w:val="21"/>
                <w:highlight w:val="none"/>
                <w:lang w:eastAsia="zh-CN"/>
              </w:rPr>
              <w:t>，隔音屏破损等</w:t>
            </w:r>
          </w:p>
        </w:tc>
        <w:tc>
          <w:tcPr>
            <w:tcW w:w="2085" w:type="dxa"/>
            <w:vAlign w:val="center"/>
          </w:tcPr>
          <w:p>
            <w:pPr>
              <w:spacing w:line="320" w:lineRule="exact"/>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rPr>
              <w:t>栏杆破损、松动，排水设施堵塞、破损，挡墙损坏开裂，隔音屏破损等</w:t>
            </w:r>
          </w:p>
        </w:tc>
        <w:tc>
          <w:tcPr>
            <w:tcW w:w="930" w:type="dxa"/>
            <w:vAlign w:val="center"/>
          </w:tcPr>
          <w:p>
            <w:pPr>
              <w:spacing w:line="320" w:lineRule="exact"/>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rPr>
              <w:t>设施类</w:t>
            </w:r>
          </w:p>
        </w:tc>
        <w:tc>
          <w:tcPr>
            <w:tcW w:w="945" w:type="dxa"/>
            <w:vAlign w:val="center"/>
          </w:tcPr>
          <w:p>
            <w:pPr>
              <w:spacing w:line="320" w:lineRule="exact"/>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扣</w:t>
            </w:r>
            <w:r>
              <w:rPr>
                <w:rFonts w:hint="eastAsia" w:ascii="仿宋_GB2312" w:eastAsia="仿宋_GB2312"/>
                <w:color w:val="auto"/>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restart"/>
            <w:vAlign w:val="center"/>
          </w:tcPr>
          <w:p>
            <w:pPr>
              <w:spacing w:line="320" w:lineRule="exact"/>
              <w:jc w:val="center"/>
              <w:rPr>
                <w:rFonts w:hint="eastAsia" w:ascii="仿宋_GB2312" w:eastAsia="仿宋_GB2312"/>
                <w:color w:val="auto"/>
                <w:spacing w:val="-8"/>
                <w:szCs w:val="21"/>
                <w:highlight w:val="none"/>
                <w:lang w:val="en-US" w:eastAsia="zh-CN"/>
              </w:rPr>
            </w:pPr>
            <w:r>
              <w:rPr>
                <w:rFonts w:hint="eastAsia" w:ascii="仿宋_GB2312" w:eastAsia="仿宋_GB2312"/>
                <w:color w:val="auto"/>
                <w:spacing w:val="-8"/>
                <w:szCs w:val="21"/>
                <w:highlight w:val="none"/>
                <w:lang w:val="en-US" w:eastAsia="zh-CN"/>
              </w:rPr>
              <w:t>行业线管理</w:t>
            </w:r>
          </w:p>
          <w:p>
            <w:pPr>
              <w:spacing w:line="320" w:lineRule="exact"/>
              <w:jc w:val="center"/>
              <w:rPr>
                <w:rFonts w:hint="eastAsia" w:ascii="仿宋_GB2312" w:eastAsia="仿宋_GB2312"/>
                <w:color w:val="auto"/>
                <w:spacing w:val="-8"/>
                <w:szCs w:val="21"/>
                <w:highlight w:val="none"/>
                <w:lang w:val="en-US" w:eastAsia="zh-CN"/>
              </w:rPr>
            </w:pPr>
            <w:r>
              <w:rPr>
                <w:rFonts w:hint="eastAsia" w:ascii="仿宋_GB2312" w:eastAsia="仿宋_GB2312"/>
                <w:color w:val="auto"/>
                <w:spacing w:val="-8"/>
                <w:szCs w:val="21"/>
                <w:highlight w:val="none"/>
                <w:lang w:val="en-US" w:eastAsia="zh-CN"/>
              </w:rPr>
              <w:t>（30分）</w:t>
            </w:r>
          </w:p>
        </w:tc>
        <w:tc>
          <w:tcPr>
            <w:tcW w:w="920" w:type="dxa"/>
            <w:vMerge w:val="continue"/>
            <w:vAlign w:val="center"/>
          </w:tcPr>
          <w:p>
            <w:pPr>
              <w:spacing w:line="320" w:lineRule="exact"/>
              <w:jc w:val="center"/>
              <w:rPr>
                <w:rFonts w:hint="eastAsia" w:ascii="仿宋_GB2312" w:eastAsia="仿宋_GB2312"/>
                <w:color w:val="auto"/>
                <w:szCs w:val="21"/>
                <w:highlight w:val="none"/>
                <w:lang w:val="en-US" w:eastAsia="zh-CN"/>
              </w:rPr>
            </w:pPr>
          </w:p>
        </w:tc>
        <w:tc>
          <w:tcPr>
            <w:tcW w:w="5162" w:type="dxa"/>
            <w:vAlign w:val="center"/>
          </w:tcPr>
          <w:p>
            <w:pPr>
              <w:spacing w:line="320" w:lineRule="exact"/>
              <w:ind w:left="0" w:leftChars="0" w:firstLine="388" w:firstLineChars="200"/>
              <w:rPr>
                <w:rFonts w:hint="eastAsia" w:ascii="仿宋_GB2312" w:eastAsia="仿宋_GB2312" w:cs="宋体"/>
                <w:color w:val="auto"/>
                <w:kern w:val="0"/>
                <w:szCs w:val="21"/>
                <w:highlight w:val="none"/>
                <w:lang w:eastAsia="zh-CN"/>
              </w:rPr>
            </w:pPr>
            <w:r>
              <w:rPr>
                <w:rFonts w:hint="eastAsia" w:ascii="仿宋_GB2312" w:eastAsia="仿宋_GB2312"/>
                <w:color w:val="auto"/>
                <w:spacing w:val="-8"/>
                <w:szCs w:val="21"/>
                <w:highlight w:val="none"/>
              </w:rPr>
              <w:t>隧道结构开裂、渗漏水、剥落等</w:t>
            </w:r>
          </w:p>
        </w:tc>
        <w:tc>
          <w:tcPr>
            <w:tcW w:w="2085" w:type="dxa"/>
            <w:vAlign w:val="center"/>
          </w:tcPr>
          <w:p>
            <w:pPr>
              <w:spacing w:line="320" w:lineRule="exact"/>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rPr>
              <w:t>隧道结构开裂、渗漏水、剥落等</w:t>
            </w:r>
          </w:p>
        </w:tc>
        <w:tc>
          <w:tcPr>
            <w:tcW w:w="930" w:type="dxa"/>
            <w:vAlign w:val="center"/>
          </w:tcPr>
          <w:p>
            <w:pPr>
              <w:spacing w:line="320" w:lineRule="exact"/>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rPr>
              <w:t>设施类</w:t>
            </w:r>
          </w:p>
        </w:tc>
        <w:tc>
          <w:tcPr>
            <w:tcW w:w="945" w:type="dxa"/>
            <w:vAlign w:val="center"/>
          </w:tcPr>
          <w:p>
            <w:pPr>
              <w:spacing w:line="320" w:lineRule="exact"/>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扣</w:t>
            </w:r>
            <w:r>
              <w:rPr>
                <w:rFonts w:hint="eastAsia" w:ascii="仿宋_GB2312" w:eastAsia="仿宋_GB2312"/>
                <w:color w:val="auto"/>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continue"/>
            <w:vAlign w:val="center"/>
          </w:tcPr>
          <w:p>
            <w:pPr>
              <w:spacing w:line="320" w:lineRule="exact"/>
              <w:jc w:val="center"/>
              <w:rPr>
                <w:rFonts w:hint="eastAsia" w:ascii="仿宋_GB2312" w:eastAsia="仿宋_GB2312"/>
                <w:color w:val="auto"/>
                <w:spacing w:val="-8"/>
                <w:szCs w:val="21"/>
                <w:highlight w:val="none"/>
                <w:lang w:val="en-US" w:eastAsia="zh-CN"/>
              </w:rPr>
            </w:pPr>
          </w:p>
        </w:tc>
        <w:tc>
          <w:tcPr>
            <w:tcW w:w="920" w:type="dxa"/>
            <w:vMerge w:val="continue"/>
            <w:vAlign w:val="center"/>
          </w:tcPr>
          <w:p>
            <w:pPr>
              <w:spacing w:line="320" w:lineRule="exact"/>
              <w:jc w:val="center"/>
              <w:rPr>
                <w:rFonts w:hint="eastAsia" w:ascii="仿宋_GB2312" w:eastAsia="仿宋_GB2312"/>
                <w:color w:val="auto"/>
                <w:szCs w:val="21"/>
                <w:highlight w:val="none"/>
                <w:lang w:val="en-US" w:eastAsia="zh-CN"/>
              </w:rPr>
            </w:pPr>
          </w:p>
        </w:tc>
        <w:tc>
          <w:tcPr>
            <w:tcW w:w="5162" w:type="dxa"/>
            <w:vAlign w:val="center"/>
          </w:tcPr>
          <w:p>
            <w:pPr>
              <w:spacing w:line="320" w:lineRule="exact"/>
              <w:ind w:left="0" w:leftChars="0" w:firstLine="388" w:firstLineChars="200"/>
              <w:rPr>
                <w:rFonts w:hint="eastAsia" w:ascii="仿宋_GB2312" w:eastAsia="仿宋_GB2312" w:cs="宋体"/>
                <w:color w:val="auto"/>
                <w:kern w:val="0"/>
                <w:szCs w:val="21"/>
                <w:highlight w:val="none"/>
                <w:lang w:eastAsia="zh-CN"/>
              </w:rPr>
            </w:pPr>
            <w:r>
              <w:rPr>
                <w:rFonts w:hint="eastAsia" w:ascii="仿宋_GB2312" w:eastAsia="仿宋_GB2312"/>
                <w:color w:val="auto"/>
                <w:spacing w:val="-8"/>
                <w:szCs w:val="21"/>
                <w:highlight w:val="none"/>
              </w:rPr>
              <w:t>隧道照明、供配电、排水、监控、</w:t>
            </w:r>
            <w:r>
              <w:rPr>
                <w:rFonts w:hint="eastAsia" w:ascii="仿宋_GB2312" w:eastAsia="仿宋_GB2312"/>
                <w:color w:val="auto"/>
                <w:spacing w:val="-8"/>
                <w:szCs w:val="21"/>
                <w:highlight w:val="none"/>
                <w:lang w:eastAsia="zh-CN"/>
              </w:rPr>
              <w:t>消防等</w:t>
            </w:r>
            <w:r>
              <w:rPr>
                <w:rFonts w:hint="eastAsia" w:ascii="仿宋_GB2312" w:eastAsia="仿宋_GB2312"/>
                <w:color w:val="auto"/>
                <w:spacing w:val="-8"/>
                <w:szCs w:val="21"/>
                <w:highlight w:val="none"/>
              </w:rPr>
              <w:t>设施故障</w:t>
            </w:r>
            <w:r>
              <w:rPr>
                <w:rFonts w:hint="eastAsia" w:ascii="仿宋_GB2312" w:eastAsia="仿宋_GB2312"/>
                <w:color w:val="auto"/>
                <w:szCs w:val="21"/>
                <w:highlight w:val="none"/>
                <w:lang w:eastAsia="zh-CN"/>
              </w:rPr>
              <w:t>；灭火器过期</w:t>
            </w:r>
          </w:p>
        </w:tc>
        <w:tc>
          <w:tcPr>
            <w:tcW w:w="2085" w:type="dxa"/>
            <w:vAlign w:val="center"/>
          </w:tcPr>
          <w:p>
            <w:pPr>
              <w:spacing w:line="320" w:lineRule="exact"/>
              <w:rPr>
                <w:rFonts w:hint="eastAsia" w:ascii="仿宋_GB2312" w:eastAsia="仿宋_GB2312"/>
                <w:color w:val="auto"/>
                <w:szCs w:val="21"/>
                <w:highlight w:val="none"/>
                <w:lang w:val="en-US" w:eastAsia="zh-CN"/>
              </w:rPr>
            </w:pPr>
            <w:r>
              <w:rPr>
                <w:rFonts w:hint="eastAsia" w:ascii="仿宋_GB2312" w:eastAsia="仿宋_GB2312"/>
                <w:color w:val="auto"/>
                <w:spacing w:val="-8"/>
                <w:szCs w:val="21"/>
                <w:highlight w:val="none"/>
                <w:lang w:eastAsia="zh-CN"/>
              </w:rPr>
              <w:t>隧道设施故障，灭火器过期</w:t>
            </w:r>
          </w:p>
        </w:tc>
        <w:tc>
          <w:tcPr>
            <w:tcW w:w="930" w:type="dxa"/>
            <w:vAlign w:val="center"/>
          </w:tcPr>
          <w:p>
            <w:pPr>
              <w:spacing w:line="320" w:lineRule="exact"/>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rPr>
              <w:t>设施类</w:t>
            </w:r>
          </w:p>
        </w:tc>
        <w:tc>
          <w:tcPr>
            <w:tcW w:w="945" w:type="dxa"/>
            <w:vAlign w:val="center"/>
          </w:tcPr>
          <w:p>
            <w:pPr>
              <w:spacing w:line="320" w:lineRule="exact"/>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扣</w:t>
            </w:r>
            <w:r>
              <w:rPr>
                <w:rFonts w:hint="eastAsia" w:ascii="仿宋_GB2312" w:eastAsia="仿宋_GB2312"/>
                <w:color w:val="auto"/>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continue"/>
            <w:vAlign w:val="center"/>
          </w:tcPr>
          <w:p>
            <w:pPr>
              <w:spacing w:line="320" w:lineRule="exact"/>
              <w:jc w:val="center"/>
              <w:rPr>
                <w:rFonts w:hint="eastAsia" w:ascii="仿宋_GB2312" w:eastAsia="仿宋_GB2312"/>
                <w:color w:val="auto"/>
                <w:spacing w:val="-8"/>
                <w:szCs w:val="21"/>
                <w:highlight w:val="none"/>
                <w:lang w:val="en-US" w:eastAsia="zh-CN"/>
              </w:rPr>
            </w:pPr>
          </w:p>
        </w:tc>
        <w:tc>
          <w:tcPr>
            <w:tcW w:w="920" w:type="dxa"/>
            <w:vMerge w:val="continue"/>
            <w:vAlign w:val="center"/>
          </w:tcPr>
          <w:p>
            <w:pPr>
              <w:spacing w:line="320" w:lineRule="exact"/>
              <w:jc w:val="center"/>
              <w:rPr>
                <w:rFonts w:hint="eastAsia" w:ascii="仿宋_GB2312" w:eastAsia="仿宋_GB2312"/>
                <w:color w:val="auto"/>
                <w:szCs w:val="21"/>
                <w:highlight w:val="none"/>
                <w:lang w:val="en-US" w:eastAsia="zh-CN"/>
              </w:rPr>
            </w:pPr>
          </w:p>
        </w:tc>
        <w:tc>
          <w:tcPr>
            <w:tcW w:w="5162" w:type="dxa"/>
            <w:vAlign w:val="center"/>
          </w:tcPr>
          <w:p>
            <w:pPr>
              <w:spacing w:line="320" w:lineRule="exact"/>
              <w:ind w:left="0" w:leftChars="0" w:firstLine="388" w:firstLineChars="200"/>
              <w:rPr>
                <w:rFonts w:hint="eastAsia" w:ascii="仿宋_GB2312" w:eastAsia="仿宋_GB2312" w:cs="宋体"/>
                <w:color w:val="auto"/>
                <w:kern w:val="0"/>
                <w:szCs w:val="21"/>
                <w:highlight w:val="none"/>
                <w:lang w:eastAsia="zh-CN"/>
              </w:rPr>
            </w:pPr>
            <w:r>
              <w:rPr>
                <w:rFonts w:hint="eastAsia" w:ascii="仿宋_GB2312" w:eastAsia="仿宋_GB2312"/>
                <w:color w:val="auto"/>
                <w:spacing w:val="-8"/>
                <w:szCs w:val="21"/>
                <w:highlight w:val="none"/>
                <w:lang w:eastAsia="zh-CN"/>
              </w:rPr>
              <w:t>管理用房</w:t>
            </w:r>
            <w:r>
              <w:rPr>
                <w:rFonts w:hint="eastAsia" w:ascii="仿宋_GB2312" w:eastAsia="仿宋_GB2312"/>
                <w:color w:val="auto"/>
                <w:spacing w:val="-8"/>
                <w:szCs w:val="21"/>
                <w:highlight w:val="none"/>
              </w:rPr>
              <w:t>内不整齐，灯具积灰</w:t>
            </w:r>
            <w:r>
              <w:rPr>
                <w:rFonts w:hint="eastAsia" w:ascii="仿宋_GB2312" w:eastAsia="仿宋_GB2312"/>
                <w:color w:val="auto"/>
                <w:szCs w:val="21"/>
                <w:highlight w:val="none"/>
                <w:lang w:eastAsia="zh-CN"/>
              </w:rPr>
              <w:t>；防雷设施未设置、或未检测</w:t>
            </w:r>
          </w:p>
        </w:tc>
        <w:tc>
          <w:tcPr>
            <w:tcW w:w="2085" w:type="dxa"/>
            <w:vAlign w:val="center"/>
          </w:tcPr>
          <w:p>
            <w:pPr>
              <w:spacing w:line="320" w:lineRule="exact"/>
              <w:rPr>
                <w:rFonts w:hint="eastAsia" w:ascii="仿宋_GB2312" w:eastAsia="仿宋_GB2312"/>
                <w:color w:val="auto"/>
                <w:szCs w:val="21"/>
                <w:highlight w:val="none"/>
                <w:lang w:val="en-US" w:eastAsia="zh-CN"/>
              </w:rPr>
            </w:pPr>
            <w:r>
              <w:rPr>
                <w:rFonts w:hint="eastAsia" w:ascii="仿宋_GB2312" w:eastAsia="仿宋_GB2312"/>
                <w:color w:val="auto"/>
                <w:spacing w:val="-8"/>
                <w:szCs w:val="21"/>
                <w:highlight w:val="none"/>
                <w:lang w:eastAsia="zh-CN"/>
              </w:rPr>
              <w:t>管理用房内不整齐；防雷设施未设置、或未检测</w:t>
            </w:r>
          </w:p>
        </w:tc>
        <w:tc>
          <w:tcPr>
            <w:tcW w:w="930" w:type="dxa"/>
            <w:vAlign w:val="center"/>
          </w:tcPr>
          <w:p>
            <w:pPr>
              <w:spacing w:line="320" w:lineRule="exact"/>
              <w:rPr>
                <w:rFonts w:hint="eastAsia" w:ascii="仿宋_GB2312" w:eastAsia="仿宋_GB2312"/>
                <w:color w:val="auto"/>
                <w:szCs w:val="21"/>
                <w:highlight w:val="none"/>
                <w:lang w:val="en-US" w:eastAsia="zh-CN"/>
              </w:rPr>
            </w:pPr>
            <w:r>
              <w:rPr>
                <w:rFonts w:hint="eastAsia" w:ascii="仿宋_GB2312" w:eastAsia="仿宋_GB2312"/>
                <w:color w:val="auto"/>
                <w:spacing w:val="-8"/>
                <w:szCs w:val="21"/>
                <w:highlight w:val="none"/>
                <w:lang w:eastAsia="zh-CN"/>
              </w:rPr>
              <w:t>管理类</w:t>
            </w:r>
          </w:p>
        </w:tc>
        <w:tc>
          <w:tcPr>
            <w:tcW w:w="945" w:type="dxa"/>
            <w:vAlign w:val="center"/>
          </w:tcPr>
          <w:p>
            <w:pPr>
              <w:spacing w:line="320" w:lineRule="exact"/>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扣</w:t>
            </w:r>
            <w:r>
              <w:rPr>
                <w:rFonts w:hint="eastAsia" w:ascii="仿宋_GB2312" w:eastAsia="仿宋_GB2312"/>
                <w:color w:val="auto"/>
                <w:szCs w:val="21"/>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continue"/>
            <w:vAlign w:val="center"/>
          </w:tcPr>
          <w:p>
            <w:pPr>
              <w:spacing w:line="320" w:lineRule="exact"/>
              <w:jc w:val="center"/>
              <w:rPr>
                <w:rFonts w:hint="eastAsia" w:ascii="仿宋_GB2312" w:eastAsia="仿宋_GB2312"/>
                <w:color w:val="auto"/>
                <w:spacing w:val="-8"/>
                <w:szCs w:val="21"/>
                <w:highlight w:val="none"/>
                <w:lang w:val="en-US" w:eastAsia="zh-CN"/>
              </w:rPr>
            </w:pPr>
          </w:p>
        </w:tc>
        <w:tc>
          <w:tcPr>
            <w:tcW w:w="920" w:type="dxa"/>
            <w:vMerge w:val="continue"/>
            <w:vAlign w:val="center"/>
          </w:tcPr>
          <w:p>
            <w:pPr>
              <w:spacing w:line="320" w:lineRule="exact"/>
              <w:jc w:val="center"/>
              <w:rPr>
                <w:rFonts w:hint="eastAsia" w:ascii="仿宋_GB2312" w:eastAsia="仿宋_GB2312"/>
                <w:color w:val="auto"/>
                <w:szCs w:val="21"/>
                <w:highlight w:val="none"/>
                <w:lang w:val="en-US" w:eastAsia="zh-CN"/>
              </w:rPr>
            </w:pPr>
          </w:p>
        </w:tc>
        <w:tc>
          <w:tcPr>
            <w:tcW w:w="5162" w:type="dxa"/>
            <w:vAlign w:val="center"/>
          </w:tcPr>
          <w:p>
            <w:pPr>
              <w:spacing w:line="320" w:lineRule="exact"/>
              <w:ind w:left="0" w:leftChars="0" w:firstLine="388" w:firstLineChars="200"/>
              <w:rPr>
                <w:rFonts w:hint="eastAsia" w:ascii="仿宋_GB2312" w:eastAsia="仿宋_GB2312" w:cs="宋体"/>
                <w:color w:val="auto"/>
                <w:kern w:val="0"/>
                <w:szCs w:val="21"/>
                <w:highlight w:val="none"/>
                <w:lang w:eastAsia="zh-CN"/>
              </w:rPr>
            </w:pPr>
            <w:r>
              <w:rPr>
                <w:rFonts w:hint="eastAsia" w:ascii="仿宋_GB2312" w:eastAsia="仿宋_GB2312"/>
                <w:color w:val="auto"/>
                <w:spacing w:val="-8"/>
                <w:szCs w:val="21"/>
                <w:highlight w:val="none"/>
                <w:lang w:eastAsia="zh-CN"/>
              </w:rPr>
              <w:t>桥隧名牌、</w:t>
            </w:r>
            <w:r>
              <w:rPr>
                <w:rFonts w:hint="eastAsia" w:ascii="仿宋_GB2312" w:eastAsia="仿宋_GB2312"/>
                <w:color w:val="auto"/>
                <w:spacing w:val="-8"/>
                <w:szCs w:val="21"/>
                <w:highlight w:val="none"/>
              </w:rPr>
              <w:t>限载牌、限高牌缺失</w:t>
            </w:r>
            <w:r>
              <w:rPr>
                <w:rFonts w:hint="eastAsia" w:ascii="仿宋_GB2312" w:eastAsia="仿宋_GB2312"/>
                <w:color w:val="auto"/>
                <w:spacing w:val="-8"/>
                <w:szCs w:val="21"/>
                <w:highlight w:val="none"/>
                <w:lang w:eastAsia="zh-CN"/>
              </w:rPr>
              <w:t>、</w:t>
            </w:r>
            <w:r>
              <w:rPr>
                <w:rFonts w:hint="eastAsia" w:ascii="仿宋_GB2312" w:eastAsia="仿宋_GB2312"/>
                <w:color w:val="auto"/>
                <w:spacing w:val="-8"/>
                <w:szCs w:val="21"/>
                <w:highlight w:val="none"/>
              </w:rPr>
              <w:t>破损</w:t>
            </w:r>
          </w:p>
        </w:tc>
        <w:tc>
          <w:tcPr>
            <w:tcW w:w="2085" w:type="dxa"/>
            <w:vAlign w:val="center"/>
          </w:tcPr>
          <w:p>
            <w:pPr>
              <w:spacing w:line="320" w:lineRule="exact"/>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rPr>
              <w:t>桥隧名牌、限载牌、限高牌缺失、破损</w:t>
            </w:r>
          </w:p>
        </w:tc>
        <w:tc>
          <w:tcPr>
            <w:tcW w:w="930" w:type="dxa"/>
            <w:vAlign w:val="center"/>
          </w:tcPr>
          <w:p>
            <w:pPr>
              <w:spacing w:line="320" w:lineRule="exact"/>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rPr>
              <w:t>设施类</w:t>
            </w:r>
          </w:p>
        </w:tc>
        <w:tc>
          <w:tcPr>
            <w:tcW w:w="945" w:type="dxa"/>
            <w:vAlign w:val="center"/>
          </w:tcPr>
          <w:p>
            <w:pPr>
              <w:spacing w:line="320" w:lineRule="exact"/>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扣</w:t>
            </w:r>
            <w:r>
              <w:rPr>
                <w:rFonts w:hint="eastAsia" w:ascii="仿宋_GB2312" w:eastAsia="仿宋_GB2312"/>
                <w:color w:val="auto"/>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continue"/>
            <w:vAlign w:val="center"/>
          </w:tcPr>
          <w:p>
            <w:pPr>
              <w:spacing w:line="320" w:lineRule="exact"/>
              <w:jc w:val="center"/>
              <w:rPr>
                <w:rFonts w:hint="eastAsia" w:ascii="仿宋_GB2312" w:eastAsia="仿宋_GB2312"/>
                <w:color w:val="auto"/>
                <w:spacing w:val="-8"/>
                <w:szCs w:val="21"/>
                <w:highlight w:val="none"/>
                <w:lang w:val="en-US" w:eastAsia="zh-CN"/>
              </w:rPr>
            </w:pPr>
          </w:p>
        </w:tc>
        <w:tc>
          <w:tcPr>
            <w:tcW w:w="920" w:type="dxa"/>
            <w:vMerge w:val="restart"/>
            <w:vAlign w:val="center"/>
          </w:tcPr>
          <w:p>
            <w:pPr>
              <w:spacing w:line="320" w:lineRule="exact"/>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排水设施</w:t>
            </w:r>
            <w:r>
              <w:rPr>
                <w:rFonts w:hint="eastAsia" w:ascii="仿宋_GB2312" w:eastAsia="仿宋_GB2312"/>
                <w:color w:val="auto"/>
                <w:szCs w:val="21"/>
                <w:highlight w:val="none"/>
                <w:lang w:eastAsia="zh-CN"/>
              </w:rPr>
              <w:t>养护</w:t>
            </w:r>
          </w:p>
          <w:p>
            <w:pPr>
              <w:spacing w:line="320" w:lineRule="exact"/>
              <w:jc w:val="center"/>
              <w:rPr>
                <w:rFonts w:hint="eastAsia" w:ascii="仿宋_GB2312" w:eastAsia="仿宋_GB2312"/>
                <w:color w:val="auto"/>
                <w:szCs w:val="21"/>
                <w:highlight w:val="none"/>
                <w:lang w:val="en-US" w:eastAsia="zh-CN"/>
              </w:rPr>
            </w:pPr>
          </w:p>
        </w:tc>
        <w:tc>
          <w:tcPr>
            <w:tcW w:w="5162" w:type="dxa"/>
            <w:vAlign w:val="center"/>
          </w:tcPr>
          <w:p>
            <w:pPr>
              <w:spacing w:line="320" w:lineRule="exact"/>
              <w:ind w:left="0" w:leftChars="0" w:firstLine="388" w:firstLineChars="200"/>
              <w:rPr>
                <w:rFonts w:hint="eastAsia" w:ascii="仿宋_GB2312" w:eastAsia="仿宋_GB2312"/>
                <w:color w:val="auto"/>
                <w:spacing w:val="-8"/>
                <w:szCs w:val="21"/>
                <w:highlight w:val="none"/>
                <w:lang w:eastAsia="zh-CN"/>
              </w:rPr>
            </w:pPr>
            <w:r>
              <w:rPr>
                <w:rFonts w:hint="eastAsia" w:ascii="仿宋_GB2312" w:eastAsia="仿宋_GB2312"/>
                <w:color w:val="auto"/>
                <w:spacing w:val="-8"/>
                <w:szCs w:val="21"/>
                <w:highlight w:val="none"/>
              </w:rPr>
              <w:t>管网堵塞；严重积泥</w:t>
            </w:r>
          </w:p>
        </w:tc>
        <w:tc>
          <w:tcPr>
            <w:tcW w:w="2085" w:type="dxa"/>
            <w:vAlign w:val="center"/>
          </w:tcPr>
          <w:p>
            <w:pPr>
              <w:spacing w:line="320" w:lineRule="exact"/>
              <w:rPr>
                <w:rFonts w:hint="eastAsia" w:ascii="仿宋_GB2312" w:eastAsia="仿宋_GB2312"/>
                <w:color w:val="auto"/>
                <w:szCs w:val="21"/>
                <w:highlight w:val="none"/>
                <w:lang w:eastAsia="zh-CN"/>
              </w:rPr>
            </w:pPr>
            <w:r>
              <w:rPr>
                <w:rFonts w:hint="eastAsia" w:ascii="仿宋_GB2312" w:eastAsia="仿宋_GB2312"/>
                <w:color w:val="auto"/>
                <w:szCs w:val="21"/>
                <w:highlight w:val="none"/>
              </w:rPr>
              <w:t>管网堵塞、未及时清淤造成积水</w:t>
            </w:r>
          </w:p>
        </w:tc>
        <w:tc>
          <w:tcPr>
            <w:tcW w:w="930" w:type="dxa"/>
            <w:vAlign w:val="center"/>
          </w:tcPr>
          <w:p>
            <w:pPr>
              <w:spacing w:line="320" w:lineRule="exact"/>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管理类</w:t>
            </w:r>
          </w:p>
        </w:tc>
        <w:tc>
          <w:tcPr>
            <w:tcW w:w="945" w:type="dxa"/>
            <w:vAlign w:val="center"/>
          </w:tcPr>
          <w:p>
            <w:pPr>
              <w:spacing w:line="320" w:lineRule="exact"/>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扣</w:t>
            </w:r>
            <w:r>
              <w:rPr>
                <w:rFonts w:hint="eastAsia" w:ascii="仿宋_GB2312" w:eastAsia="仿宋_GB2312"/>
                <w:color w:val="auto"/>
                <w:szCs w:val="21"/>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continue"/>
            <w:vAlign w:val="center"/>
          </w:tcPr>
          <w:p>
            <w:pPr>
              <w:spacing w:line="320" w:lineRule="exact"/>
              <w:jc w:val="center"/>
              <w:rPr>
                <w:rFonts w:hint="eastAsia" w:ascii="仿宋_GB2312" w:eastAsia="仿宋_GB2312"/>
                <w:color w:val="auto"/>
                <w:spacing w:val="-8"/>
                <w:szCs w:val="21"/>
                <w:highlight w:val="none"/>
                <w:lang w:val="en-US" w:eastAsia="zh-CN"/>
              </w:rPr>
            </w:pPr>
          </w:p>
        </w:tc>
        <w:tc>
          <w:tcPr>
            <w:tcW w:w="920" w:type="dxa"/>
            <w:vMerge w:val="continue"/>
            <w:vAlign w:val="center"/>
          </w:tcPr>
          <w:p>
            <w:pPr>
              <w:spacing w:line="320" w:lineRule="exact"/>
              <w:jc w:val="center"/>
              <w:rPr>
                <w:rFonts w:hint="eastAsia" w:ascii="仿宋_GB2312" w:eastAsia="仿宋_GB2312"/>
                <w:color w:val="auto"/>
                <w:szCs w:val="21"/>
                <w:highlight w:val="none"/>
                <w:lang w:val="en-US" w:eastAsia="zh-CN"/>
              </w:rPr>
            </w:pPr>
          </w:p>
        </w:tc>
        <w:tc>
          <w:tcPr>
            <w:tcW w:w="5162" w:type="dxa"/>
            <w:vAlign w:val="center"/>
          </w:tcPr>
          <w:p>
            <w:pPr>
              <w:spacing w:line="320" w:lineRule="exact"/>
              <w:ind w:left="0" w:leftChars="0" w:firstLine="388" w:firstLineChars="200"/>
              <w:rPr>
                <w:rFonts w:hint="eastAsia" w:ascii="仿宋_GB2312" w:eastAsia="仿宋_GB2312"/>
                <w:color w:val="auto"/>
                <w:spacing w:val="-8"/>
                <w:szCs w:val="21"/>
                <w:highlight w:val="none"/>
                <w:lang w:eastAsia="zh-CN"/>
              </w:rPr>
            </w:pPr>
            <w:r>
              <w:rPr>
                <w:rFonts w:hint="eastAsia" w:ascii="仿宋_GB2312" w:eastAsia="仿宋_GB2312"/>
                <w:color w:val="auto"/>
                <w:spacing w:val="-8"/>
                <w:szCs w:val="21"/>
                <w:highlight w:val="none"/>
                <w:lang w:eastAsia="zh-CN"/>
              </w:rPr>
              <w:t>未设置</w:t>
            </w:r>
            <w:r>
              <w:rPr>
                <w:rFonts w:hint="eastAsia" w:ascii="仿宋_GB2312" w:eastAsia="仿宋_GB2312"/>
                <w:color w:val="auto"/>
                <w:spacing w:val="-8"/>
                <w:szCs w:val="21"/>
                <w:highlight w:val="none"/>
              </w:rPr>
              <w:t>防坠网的，</w:t>
            </w:r>
            <w:r>
              <w:rPr>
                <w:rFonts w:hint="eastAsia" w:ascii="仿宋_GB2312" w:eastAsia="仿宋_GB2312"/>
                <w:color w:val="auto"/>
                <w:spacing w:val="-8"/>
                <w:szCs w:val="21"/>
                <w:highlight w:val="none"/>
                <w:lang w:eastAsia="zh-CN"/>
              </w:rPr>
              <w:t>井盖</w:t>
            </w:r>
            <w:r>
              <w:rPr>
                <w:rFonts w:hint="eastAsia" w:ascii="仿宋_GB2312" w:eastAsia="仿宋_GB2312"/>
                <w:color w:val="auto"/>
                <w:szCs w:val="21"/>
                <w:highlight w:val="none"/>
              </w:rPr>
              <w:t>缺失等</w:t>
            </w:r>
            <w:r>
              <w:rPr>
                <w:rFonts w:hint="eastAsia" w:ascii="仿宋_GB2312" w:eastAsia="仿宋_GB2312"/>
                <w:color w:val="auto"/>
                <w:spacing w:val="-8"/>
                <w:szCs w:val="21"/>
                <w:highlight w:val="none"/>
              </w:rPr>
              <w:t>存在</w:t>
            </w:r>
            <w:r>
              <w:rPr>
                <w:rFonts w:hint="eastAsia" w:ascii="仿宋_GB2312" w:eastAsia="仿宋_GB2312"/>
                <w:color w:val="auto"/>
                <w:spacing w:val="-8"/>
                <w:szCs w:val="21"/>
                <w:highlight w:val="none"/>
                <w:lang w:eastAsia="zh-CN"/>
              </w:rPr>
              <w:t>严重</w:t>
            </w:r>
            <w:r>
              <w:rPr>
                <w:rFonts w:hint="eastAsia" w:ascii="仿宋_GB2312" w:eastAsia="仿宋_GB2312"/>
                <w:color w:val="auto"/>
                <w:spacing w:val="-8"/>
                <w:szCs w:val="21"/>
                <w:highlight w:val="none"/>
              </w:rPr>
              <w:t>安全隐患</w:t>
            </w:r>
          </w:p>
        </w:tc>
        <w:tc>
          <w:tcPr>
            <w:tcW w:w="2085" w:type="dxa"/>
            <w:vAlign w:val="center"/>
          </w:tcPr>
          <w:p>
            <w:pPr>
              <w:spacing w:line="320" w:lineRule="exact"/>
              <w:rPr>
                <w:rFonts w:hint="eastAsia" w:ascii="仿宋_GB2312" w:eastAsia="仿宋_GB2312"/>
                <w:color w:val="auto"/>
                <w:szCs w:val="21"/>
                <w:highlight w:val="none"/>
              </w:rPr>
            </w:pPr>
            <w:r>
              <w:rPr>
                <w:rFonts w:hint="eastAsia" w:ascii="仿宋_GB2312" w:eastAsia="仿宋_GB2312"/>
                <w:color w:val="auto"/>
                <w:szCs w:val="21"/>
                <w:highlight w:val="none"/>
                <w:lang w:eastAsia="zh-CN"/>
              </w:rPr>
              <w:t>未设置防坠网，井盖缺失等</w:t>
            </w:r>
          </w:p>
        </w:tc>
        <w:tc>
          <w:tcPr>
            <w:tcW w:w="930" w:type="dxa"/>
            <w:vAlign w:val="center"/>
          </w:tcPr>
          <w:p>
            <w:pPr>
              <w:spacing w:line="320" w:lineRule="exact"/>
              <w:rPr>
                <w:rFonts w:hint="eastAsia" w:ascii="仿宋_GB2312" w:eastAsia="仿宋_GB2312"/>
                <w:color w:val="auto"/>
                <w:szCs w:val="21"/>
                <w:highlight w:val="none"/>
              </w:rPr>
            </w:pPr>
            <w:r>
              <w:rPr>
                <w:rFonts w:hint="eastAsia" w:ascii="仿宋_GB2312" w:eastAsia="仿宋_GB2312"/>
                <w:color w:val="auto"/>
                <w:szCs w:val="21"/>
                <w:highlight w:val="none"/>
                <w:lang w:eastAsia="zh-CN"/>
              </w:rPr>
              <w:t>设施类</w:t>
            </w:r>
          </w:p>
        </w:tc>
        <w:tc>
          <w:tcPr>
            <w:tcW w:w="945" w:type="dxa"/>
            <w:vAlign w:val="center"/>
          </w:tcPr>
          <w:p>
            <w:pPr>
              <w:spacing w:line="320" w:lineRule="exact"/>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扣</w:t>
            </w:r>
            <w:r>
              <w:rPr>
                <w:rFonts w:hint="eastAsia" w:ascii="仿宋_GB2312" w:eastAsia="仿宋_GB2312"/>
                <w:color w:val="auto"/>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continue"/>
            <w:vAlign w:val="center"/>
          </w:tcPr>
          <w:p>
            <w:pPr>
              <w:spacing w:line="320" w:lineRule="exact"/>
              <w:jc w:val="center"/>
              <w:rPr>
                <w:rFonts w:hint="eastAsia" w:ascii="仿宋_GB2312" w:eastAsia="仿宋_GB2312"/>
                <w:color w:val="auto"/>
                <w:spacing w:val="-8"/>
                <w:szCs w:val="21"/>
                <w:highlight w:val="none"/>
                <w:lang w:val="en-US" w:eastAsia="zh-CN"/>
              </w:rPr>
            </w:pPr>
          </w:p>
        </w:tc>
        <w:tc>
          <w:tcPr>
            <w:tcW w:w="920" w:type="dxa"/>
            <w:vMerge w:val="continue"/>
            <w:vAlign w:val="center"/>
          </w:tcPr>
          <w:p>
            <w:pPr>
              <w:spacing w:line="320" w:lineRule="exact"/>
              <w:jc w:val="center"/>
              <w:rPr>
                <w:rFonts w:hint="eastAsia" w:ascii="仿宋_GB2312" w:eastAsia="仿宋_GB2312"/>
                <w:color w:val="auto"/>
                <w:szCs w:val="21"/>
                <w:highlight w:val="none"/>
                <w:lang w:val="en-US" w:eastAsia="zh-CN"/>
              </w:rPr>
            </w:pPr>
          </w:p>
        </w:tc>
        <w:tc>
          <w:tcPr>
            <w:tcW w:w="5162" w:type="dxa"/>
            <w:vAlign w:val="center"/>
          </w:tcPr>
          <w:p>
            <w:pPr>
              <w:spacing w:line="320" w:lineRule="exact"/>
              <w:ind w:left="0" w:leftChars="0" w:firstLine="420" w:firstLineChars="200"/>
              <w:rPr>
                <w:rFonts w:hint="eastAsia" w:ascii="仿宋_GB2312" w:eastAsia="仿宋_GB2312"/>
                <w:color w:val="auto"/>
                <w:spacing w:val="-8"/>
                <w:szCs w:val="21"/>
                <w:highlight w:val="none"/>
                <w:lang w:eastAsia="zh-CN"/>
              </w:rPr>
            </w:pPr>
            <w:r>
              <w:rPr>
                <w:rFonts w:hint="eastAsia" w:ascii="仿宋_GB2312" w:eastAsia="仿宋_GB2312"/>
                <w:color w:val="auto"/>
                <w:szCs w:val="21"/>
                <w:highlight w:val="none"/>
                <w:lang w:eastAsia="zh-CN"/>
              </w:rPr>
              <w:t>泵站</w:t>
            </w:r>
            <w:r>
              <w:rPr>
                <w:rFonts w:hint="eastAsia" w:ascii="仿宋_GB2312" w:eastAsia="仿宋_GB2312"/>
                <w:color w:val="auto"/>
                <w:spacing w:val="-8"/>
                <w:szCs w:val="21"/>
                <w:highlight w:val="none"/>
              </w:rPr>
              <w:t>供配电、排水、监控</w:t>
            </w:r>
            <w:r>
              <w:rPr>
                <w:rFonts w:hint="eastAsia" w:ascii="仿宋_GB2312" w:eastAsia="仿宋_GB2312"/>
                <w:color w:val="auto"/>
                <w:spacing w:val="-8"/>
                <w:szCs w:val="21"/>
                <w:highlight w:val="none"/>
                <w:lang w:eastAsia="zh-CN"/>
              </w:rPr>
              <w:t>等电器</w:t>
            </w:r>
            <w:r>
              <w:rPr>
                <w:rFonts w:hint="eastAsia" w:ascii="仿宋_GB2312" w:eastAsia="仿宋_GB2312"/>
                <w:color w:val="auto"/>
                <w:spacing w:val="-8"/>
                <w:szCs w:val="21"/>
                <w:highlight w:val="none"/>
              </w:rPr>
              <w:t>设施故障</w:t>
            </w:r>
            <w:r>
              <w:rPr>
                <w:rFonts w:hint="eastAsia" w:ascii="仿宋_GB2312" w:eastAsia="仿宋_GB2312"/>
                <w:color w:val="auto"/>
                <w:spacing w:val="-8"/>
                <w:szCs w:val="21"/>
                <w:highlight w:val="none"/>
                <w:lang w:eastAsia="zh-CN"/>
              </w:rPr>
              <w:t>；</w:t>
            </w:r>
            <w:r>
              <w:rPr>
                <w:rFonts w:hint="eastAsia" w:ascii="仿宋_GB2312" w:eastAsia="仿宋_GB2312"/>
                <w:color w:val="auto"/>
                <w:szCs w:val="21"/>
                <w:highlight w:val="none"/>
                <w:lang w:eastAsia="zh-CN"/>
              </w:rPr>
              <w:t>灭火器过期</w:t>
            </w:r>
            <w:r>
              <w:rPr>
                <w:rFonts w:hint="eastAsia" w:ascii="仿宋_GB2312" w:eastAsia="仿宋_GB2312"/>
                <w:color w:val="auto"/>
                <w:szCs w:val="21"/>
                <w:highlight w:val="none"/>
                <w:lang w:val="en-US" w:eastAsia="zh-CN"/>
              </w:rPr>
              <w:t>；</w:t>
            </w:r>
            <w:r>
              <w:rPr>
                <w:rFonts w:hint="eastAsia" w:ascii="仿宋_GB2312" w:eastAsia="仿宋_GB2312"/>
                <w:color w:val="auto"/>
                <w:szCs w:val="21"/>
                <w:highlight w:val="none"/>
                <w:lang w:eastAsia="zh-CN"/>
              </w:rPr>
              <w:t>防雷设施未设置或未定期维护</w:t>
            </w:r>
            <w:r>
              <w:rPr>
                <w:rFonts w:hint="eastAsia" w:ascii="仿宋_GB2312" w:eastAsia="仿宋_GB2312"/>
                <w:color w:val="auto"/>
                <w:szCs w:val="21"/>
                <w:highlight w:val="none"/>
                <w:lang w:val="en-US" w:eastAsia="zh-CN"/>
              </w:rPr>
              <w:t>；监控、道闸、应急电源等“六个一律”未设置到位的；排水沟、集水井清淤不到位的。</w:t>
            </w:r>
          </w:p>
        </w:tc>
        <w:tc>
          <w:tcPr>
            <w:tcW w:w="2085" w:type="dxa"/>
            <w:vAlign w:val="center"/>
          </w:tcPr>
          <w:p>
            <w:pPr>
              <w:spacing w:line="320" w:lineRule="exact"/>
              <w:rPr>
                <w:rFonts w:hint="eastAsia" w:ascii="仿宋_GB2312" w:eastAsia="仿宋_GB2312"/>
                <w:color w:val="auto"/>
                <w:szCs w:val="21"/>
                <w:highlight w:val="none"/>
              </w:rPr>
            </w:pPr>
            <w:r>
              <w:rPr>
                <w:rFonts w:hint="eastAsia" w:ascii="仿宋_GB2312" w:eastAsia="仿宋_GB2312"/>
                <w:color w:val="auto"/>
                <w:szCs w:val="21"/>
                <w:highlight w:val="none"/>
                <w:lang w:eastAsia="zh-CN"/>
              </w:rPr>
              <w:t>泵站</w:t>
            </w:r>
            <w:r>
              <w:rPr>
                <w:rFonts w:hint="eastAsia" w:ascii="仿宋_GB2312" w:eastAsia="仿宋_GB2312"/>
                <w:color w:val="auto"/>
                <w:spacing w:val="-8"/>
                <w:szCs w:val="21"/>
                <w:highlight w:val="none"/>
                <w:lang w:eastAsia="zh-CN"/>
              </w:rPr>
              <w:t>电器</w:t>
            </w:r>
            <w:r>
              <w:rPr>
                <w:rFonts w:hint="eastAsia" w:ascii="仿宋_GB2312" w:eastAsia="仿宋_GB2312"/>
                <w:color w:val="auto"/>
                <w:spacing w:val="-8"/>
                <w:szCs w:val="21"/>
                <w:highlight w:val="none"/>
              </w:rPr>
              <w:t>设施</w:t>
            </w:r>
            <w:r>
              <w:rPr>
                <w:rFonts w:hint="eastAsia" w:ascii="仿宋_GB2312" w:eastAsia="仿宋_GB2312"/>
                <w:color w:val="auto"/>
                <w:spacing w:val="-8"/>
                <w:szCs w:val="21"/>
                <w:highlight w:val="none"/>
                <w:lang w:eastAsia="zh-CN"/>
              </w:rPr>
              <w:t>、防雷设施</w:t>
            </w:r>
            <w:r>
              <w:rPr>
                <w:rFonts w:hint="eastAsia" w:ascii="仿宋_GB2312" w:eastAsia="仿宋_GB2312"/>
                <w:color w:val="auto"/>
                <w:spacing w:val="-8"/>
                <w:szCs w:val="21"/>
                <w:highlight w:val="none"/>
              </w:rPr>
              <w:t>故障</w:t>
            </w:r>
            <w:r>
              <w:rPr>
                <w:rFonts w:hint="eastAsia" w:ascii="仿宋_GB2312" w:eastAsia="仿宋_GB2312"/>
                <w:color w:val="auto"/>
                <w:spacing w:val="-8"/>
                <w:szCs w:val="21"/>
                <w:highlight w:val="none"/>
                <w:lang w:eastAsia="zh-CN"/>
              </w:rPr>
              <w:t>；</w:t>
            </w:r>
            <w:r>
              <w:rPr>
                <w:rFonts w:hint="eastAsia" w:ascii="仿宋_GB2312" w:eastAsia="仿宋_GB2312"/>
                <w:color w:val="auto"/>
                <w:szCs w:val="21"/>
                <w:highlight w:val="none"/>
                <w:lang w:val="en-US" w:eastAsia="zh-CN"/>
              </w:rPr>
              <w:t>“六个一律”未设置到位；井、沟清淤不到位</w:t>
            </w:r>
          </w:p>
        </w:tc>
        <w:tc>
          <w:tcPr>
            <w:tcW w:w="930" w:type="dxa"/>
            <w:vAlign w:val="center"/>
          </w:tcPr>
          <w:p>
            <w:pPr>
              <w:spacing w:line="320" w:lineRule="exact"/>
              <w:rPr>
                <w:rFonts w:hint="eastAsia" w:ascii="仿宋_GB2312" w:eastAsia="仿宋_GB2312"/>
                <w:color w:val="auto"/>
                <w:szCs w:val="21"/>
                <w:highlight w:val="none"/>
              </w:rPr>
            </w:pPr>
            <w:r>
              <w:rPr>
                <w:rFonts w:hint="eastAsia" w:ascii="仿宋_GB2312" w:eastAsia="仿宋_GB2312"/>
                <w:color w:val="auto"/>
                <w:szCs w:val="21"/>
                <w:highlight w:val="none"/>
                <w:lang w:eastAsia="zh-CN"/>
              </w:rPr>
              <w:t>设施类</w:t>
            </w:r>
          </w:p>
        </w:tc>
        <w:tc>
          <w:tcPr>
            <w:tcW w:w="945" w:type="dxa"/>
            <w:vAlign w:val="center"/>
          </w:tcPr>
          <w:p>
            <w:pPr>
              <w:spacing w:line="320" w:lineRule="exact"/>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扣</w:t>
            </w:r>
            <w:r>
              <w:rPr>
                <w:rFonts w:hint="eastAsia" w:ascii="仿宋_GB2312" w:eastAsia="仿宋_GB2312"/>
                <w:color w:val="auto"/>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continue"/>
            <w:vAlign w:val="center"/>
          </w:tcPr>
          <w:p>
            <w:pPr>
              <w:spacing w:line="320" w:lineRule="exact"/>
              <w:jc w:val="center"/>
              <w:rPr>
                <w:rFonts w:hint="eastAsia" w:ascii="仿宋_GB2312" w:eastAsia="仿宋_GB2312"/>
                <w:color w:val="auto"/>
                <w:spacing w:val="-8"/>
                <w:szCs w:val="21"/>
                <w:highlight w:val="none"/>
                <w:lang w:val="en-US" w:eastAsia="zh-CN"/>
              </w:rPr>
            </w:pPr>
          </w:p>
        </w:tc>
        <w:tc>
          <w:tcPr>
            <w:tcW w:w="920" w:type="dxa"/>
            <w:vAlign w:val="center"/>
          </w:tcPr>
          <w:p>
            <w:pPr>
              <w:spacing w:line="320" w:lineRule="exact"/>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路灯</w:t>
            </w:r>
          </w:p>
          <w:p>
            <w:pPr>
              <w:spacing w:line="32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eastAsia="zh-CN"/>
              </w:rPr>
              <w:t>养护</w:t>
            </w:r>
          </w:p>
        </w:tc>
        <w:tc>
          <w:tcPr>
            <w:tcW w:w="5162" w:type="dxa"/>
            <w:vAlign w:val="center"/>
          </w:tcPr>
          <w:p>
            <w:pPr>
              <w:spacing w:line="320" w:lineRule="exact"/>
              <w:ind w:left="0" w:leftChars="0" w:firstLine="420" w:firstLineChars="200"/>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控制箱存在违规接电等，存在安全隐患的</w:t>
            </w:r>
            <w:r>
              <w:rPr>
                <w:rFonts w:hint="eastAsia" w:ascii="仿宋_GB2312" w:eastAsia="仿宋_GB2312"/>
                <w:color w:val="auto"/>
                <w:szCs w:val="21"/>
                <w:highlight w:val="none"/>
                <w:lang w:val="en-US" w:eastAsia="zh-CN"/>
              </w:rPr>
              <w:t>；发生漏电等安全事故的。</w:t>
            </w:r>
          </w:p>
        </w:tc>
        <w:tc>
          <w:tcPr>
            <w:tcW w:w="2085" w:type="dxa"/>
            <w:vAlign w:val="center"/>
          </w:tcPr>
          <w:p>
            <w:pPr>
              <w:spacing w:line="320" w:lineRule="exact"/>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路灯用电安全</w:t>
            </w:r>
          </w:p>
        </w:tc>
        <w:tc>
          <w:tcPr>
            <w:tcW w:w="930" w:type="dxa"/>
            <w:vAlign w:val="center"/>
          </w:tcPr>
          <w:p>
            <w:pPr>
              <w:spacing w:line="320" w:lineRule="exact"/>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设施类</w:t>
            </w:r>
          </w:p>
        </w:tc>
        <w:tc>
          <w:tcPr>
            <w:tcW w:w="945" w:type="dxa"/>
            <w:vAlign w:val="center"/>
          </w:tcPr>
          <w:p>
            <w:pPr>
              <w:spacing w:line="320" w:lineRule="exact"/>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扣</w:t>
            </w:r>
            <w:r>
              <w:rPr>
                <w:rFonts w:hint="eastAsia" w:ascii="仿宋_GB2312" w:eastAsia="仿宋_GB2312"/>
                <w:color w:val="auto"/>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28" w:type="dxa"/>
            <w:vMerge w:val="continue"/>
            <w:vAlign w:val="center"/>
          </w:tcPr>
          <w:p>
            <w:pPr>
              <w:spacing w:line="320" w:lineRule="exact"/>
              <w:jc w:val="center"/>
              <w:rPr>
                <w:rFonts w:hint="eastAsia" w:ascii="仿宋_GB2312" w:eastAsia="仿宋_GB2312"/>
                <w:color w:val="auto"/>
                <w:szCs w:val="21"/>
                <w:highlight w:val="none"/>
                <w:lang w:val="en-US" w:eastAsia="zh-CN"/>
              </w:rPr>
            </w:pPr>
          </w:p>
        </w:tc>
        <w:tc>
          <w:tcPr>
            <w:tcW w:w="920" w:type="dxa"/>
            <w:vAlign w:val="center"/>
          </w:tcPr>
          <w:p>
            <w:pPr>
              <w:spacing w:line="320" w:lineRule="exact"/>
              <w:rPr>
                <w:rFonts w:hint="eastAsia" w:ascii="仿宋_GB2312" w:hAnsi="Calibri" w:eastAsia="仿宋_GB2312" w:cs="Times New Roman"/>
                <w:color w:val="auto"/>
                <w:kern w:val="2"/>
                <w:sz w:val="21"/>
                <w:szCs w:val="21"/>
                <w:highlight w:val="none"/>
                <w:lang w:val="en-US" w:eastAsia="zh-CN" w:bidi="ar-SA"/>
              </w:rPr>
            </w:pPr>
            <w:r>
              <w:rPr>
                <w:rFonts w:hint="eastAsia" w:ascii="仿宋_GB2312" w:eastAsia="仿宋_GB2312"/>
                <w:color w:val="auto"/>
                <w:szCs w:val="21"/>
                <w:highlight w:val="none"/>
                <w:lang w:eastAsia="zh-CN"/>
              </w:rPr>
              <w:t>合同履约</w:t>
            </w:r>
          </w:p>
        </w:tc>
        <w:tc>
          <w:tcPr>
            <w:tcW w:w="5162" w:type="dxa"/>
            <w:vAlign w:val="center"/>
          </w:tcPr>
          <w:p>
            <w:pPr>
              <w:spacing w:line="320" w:lineRule="exact"/>
              <w:ind w:left="0" w:leftChars="0" w:firstLine="420" w:firstLineChars="200"/>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eastAsia="zh-CN"/>
              </w:rPr>
              <w:t>根据合同及招标文件要求，合理配备人员、车辆等应急物资</w:t>
            </w:r>
            <w:r>
              <w:rPr>
                <w:rFonts w:hint="eastAsia" w:ascii="仿宋_GB2312" w:eastAsia="仿宋_GB2312"/>
                <w:color w:val="auto"/>
                <w:szCs w:val="21"/>
                <w:highlight w:val="none"/>
                <w:lang w:val="en-US" w:eastAsia="zh-CN"/>
              </w:rPr>
              <w:t>设施设备，配备不到位的，每次扣1分。</w:t>
            </w:r>
          </w:p>
          <w:p>
            <w:pPr>
              <w:spacing w:line="320" w:lineRule="exact"/>
              <w:ind w:left="0" w:leftChars="0" w:firstLine="420" w:firstLineChars="200"/>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市政设施具备一路一卡、一桥一卡、一隧一卡，台账资料不齐全、不准确的，每次扣1分。</w:t>
            </w:r>
          </w:p>
        </w:tc>
        <w:tc>
          <w:tcPr>
            <w:tcW w:w="2085" w:type="dxa"/>
            <w:vAlign w:val="center"/>
          </w:tcPr>
          <w:p>
            <w:pPr>
              <w:spacing w:line="320" w:lineRule="exact"/>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合同履约情况考核。</w:t>
            </w:r>
          </w:p>
        </w:tc>
        <w:tc>
          <w:tcPr>
            <w:tcW w:w="930" w:type="dxa"/>
            <w:vAlign w:val="center"/>
          </w:tcPr>
          <w:p>
            <w:pPr>
              <w:spacing w:line="320" w:lineRule="exact"/>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管理类</w:t>
            </w:r>
          </w:p>
        </w:tc>
        <w:tc>
          <w:tcPr>
            <w:tcW w:w="945" w:type="dxa"/>
            <w:vAlign w:val="center"/>
          </w:tcPr>
          <w:p>
            <w:pPr>
              <w:spacing w:line="320" w:lineRule="exact"/>
              <w:rPr>
                <w:rFonts w:hint="eastAsia" w:ascii="仿宋_GB2312" w:eastAsia="仿宋_GB2312"/>
                <w:color w:val="auto"/>
                <w:szCs w:val="21"/>
                <w:highlight w:val="none"/>
              </w:rPr>
            </w:pPr>
            <w:r>
              <w:rPr>
                <w:rFonts w:hint="eastAsia" w:ascii="仿宋_GB2312" w:eastAsia="仿宋_GB2312"/>
                <w:color w:val="auto"/>
                <w:szCs w:val="21"/>
                <w:highlight w:val="none"/>
                <w:lang w:eastAsia="zh-CN"/>
              </w:rPr>
              <w:t>扣</w:t>
            </w:r>
            <w:r>
              <w:rPr>
                <w:rFonts w:hint="eastAsia" w:ascii="仿宋_GB2312" w:eastAsia="仿宋_GB2312"/>
                <w:color w:val="auto"/>
                <w:szCs w:val="21"/>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5" w:hRule="atLeast"/>
          <w:jc w:val="center"/>
        </w:trPr>
        <w:tc>
          <w:tcPr>
            <w:tcW w:w="828" w:type="dxa"/>
            <w:vMerge w:val="continue"/>
            <w:vAlign w:val="center"/>
          </w:tcPr>
          <w:p>
            <w:pPr>
              <w:spacing w:line="320" w:lineRule="exact"/>
              <w:jc w:val="center"/>
              <w:rPr>
                <w:rFonts w:hint="eastAsia" w:ascii="仿宋_GB2312" w:eastAsia="仿宋_GB2312"/>
                <w:color w:val="auto"/>
                <w:spacing w:val="-8"/>
                <w:szCs w:val="21"/>
                <w:highlight w:val="none"/>
                <w:lang w:val="en-US" w:eastAsia="zh-CN"/>
              </w:rPr>
            </w:pPr>
          </w:p>
        </w:tc>
        <w:tc>
          <w:tcPr>
            <w:tcW w:w="920" w:type="dxa"/>
            <w:vAlign w:val="center"/>
          </w:tcPr>
          <w:p>
            <w:pPr>
              <w:spacing w:line="320" w:lineRule="exact"/>
              <w:jc w:val="center"/>
              <w:rPr>
                <w:rFonts w:hint="eastAsia" w:ascii="仿宋_GB2312" w:hAnsi="Calibri" w:eastAsia="仿宋_GB2312" w:cs="Times New Roman"/>
                <w:color w:val="auto"/>
                <w:spacing w:val="-8"/>
                <w:kern w:val="2"/>
                <w:sz w:val="21"/>
                <w:szCs w:val="21"/>
                <w:highlight w:val="none"/>
                <w:lang w:val="en-US" w:eastAsia="zh-CN" w:bidi="ar-SA"/>
              </w:rPr>
            </w:pPr>
            <w:r>
              <w:rPr>
                <w:rFonts w:hint="eastAsia" w:ascii="仿宋_GB2312" w:eastAsia="仿宋_GB2312"/>
                <w:color w:val="auto"/>
                <w:spacing w:val="-8"/>
                <w:szCs w:val="21"/>
                <w:highlight w:val="none"/>
                <w:lang w:val="en-US" w:eastAsia="zh-CN"/>
              </w:rPr>
              <w:t xml:space="preserve">正负清单 </w:t>
            </w:r>
          </w:p>
        </w:tc>
        <w:tc>
          <w:tcPr>
            <w:tcW w:w="5162" w:type="dxa"/>
            <w:vAlign w:val="center"/>
          </w:tcPr>
          <w:p>
            <w:pPr>
              <w:spacing w:line="320" w:lineRule="exact"/>
              <w:ind w:left="0" w:leftChars="0" w:firstLine="405" w:firstLineChars="209"/>
              <w:rPr>
                <w:rFonts w:hint="eastAsia" w:ascii="仿宋_GB2312" w:eastAsia="仿宋_GB2312"/>
                <w:color w:val="auto"/>
                <w:spacing w:val="-8"/>
                <w:szCs w:val="21"/>
                <w:highlight w:val="none"/>
                <w:lang w:val="en-US" w:eastAsia="zh-CN"/>
              </w:rPr>
            </w:pPr>
            <w:r>
              <w:rPr>
                <w:rFonts w:hint="eastAsia" w:ascii="仿宋_GB2312" w:eastAsia="仿宋_GB2312"/>
                <w:color w:val="auto"/>
                <w:spacing w:val="-8"/>
                <w:szCs w:val="21"/>
                <w:highlight w:val="none"/>
                <w:lang w:eastAsia="zh-CN"/>
              </w:rPr>
              <w:t>市级</w:t>
            </w:r>
            <w:r>
              <w:rPr>
                <w:rFonts w:hint="eastAsia" w:ascii="仿宋_GB2312" w:eastAsia="仿宋_GB2312"/>
                <w:color w:val="auto"/>
                <w:spacing w:val="-8"/>
                <w:szCs w:val="21"/>
                <w:highlight w:val="none"/>
                <w:lang w:val="en-US" w:eastAsia="zh-CN"/>
              </w:rPr>
              <w:t>领导</w:t>
            </w:r>
            <w:r>
              <w:rPr>
                <w:rFonts w:hint="eastAsia" w:ascii="仿宋_GB2312" w:eastAsia="仿宋_GB2312"/>
                <w:color w:val="auto"/>
                <w:spacing w:val="-8"/>
                <w:szCs w:val="21"/>
                <w:highlight w:val="none"/>
                <w:lang w:eastAsia="zh-CN"/>
              </w:rPr>
              <w:t>及以上批示表扬的每次加</w:t>
            </w:r>
            <w:r>
              <w:rPr>
                <w:rFonts w:hint="eastAsia" w:ascii="仿宋_GB2312" w:eastAsia="仿宋_GB2312"/>
                <w:color w:val="auto"/>
                <w:spacing w:val="-8"/>
                <w:szCs w:val="21"/>
                <w:highlight w:val="none"/>
                <w:lang w:val="en-US" w:eastAsia="zh-CN"/>
              </w:rPr>
              <w:t>2分，批评的每次扣2分；</w:t>
            </w:r>
            <w:r>
              <w:rPr>
                <w:rFonts w:hint="eastAsia" w:ascii="仿宋_GB2312" w:eastAsia="仿宋_GB2312"/>
                <w:color w:val="auto"/>
                <w:spacing w:val="-8"/>
                <w:szCs w:val="21"/>
                <w:highlight w:val="none"/>
                <w:lang w:eastAsia="zh-CN"/>
              </w:rPr>
              <w:t>区级</w:t>
            </w:r>
            <w:r>
              <w:rPr>
                <w:rFonts w:hint="eastAsia" w:ascii="仿宋_GB2312" w:eastAsia="仿宋_GB2312"/>
                <w:color w:val="auto"/>
                <w:spacing w:val="-8"/>
                <w:szCs w:val="21"/>
                <w:highlight w:val="none"/>
                <w:lang w:val="en-US" w:eastAsia="zh-CN"/>
              </w:rPr>
              <w:t>主要领导</w:t>
            </w:r>
            <w:r>
              <w:rPr>
                <w:rFonts w:hint="eastAsia" w:ascii="仿宋_GB2312" w:eastAsia="仿宋_GB2312"/>
                <w:color w:val="auto"/>
                <w:spacing w:val="-8"/>
                <w:szCs w:val="21"/>
                <w:highlight w:val="none"/>
                <w:lang w:eastAsia="zh-CN"/>
              </w:rPr>
              <w:t>批示表扬的每次加</w:t>
            </w:r>
            <w:r>
              <w:rPr>
                <w:rFonts w:hint="eastAsia" w:ascii="仿宋_GB2312" w:eastAsia="仿宋_GB2312"/>
                <w:color w:val="auto"/>
                <w:spacing w:val="-8"/>
                <w:szCs w:val="21"/>
                <w:highlight w:val="none"/>
                <w:lang w:val="en-US" w:eastAsia="zh-CN"/>
              </w:rPr>
              <w:t>1分，批评的每次扣1分。</w:t>
            </w:r>
          </w:p>
          <w:p>
            <w:pPr>
              <w:spacing w:line="320" w:lineRule="exact"/>
              <w:ind w:left="0" w:leftChars="0" w:firstLine="438" w:firstLineChars="209"/>
              <w:rPr>
                <w:rFonts w:hint="eastAsia" w:ascii="仿宋_GB2312" w:eastAsia="仿宋_GB2312"/>
                <w:color w:val="auto"/>
                <w:spacing w:val="-8"/>
                <w:szCs w:val="21"/>
                <w:highlight w:val="none"/>
                <w:lang w:eastAsia="zh-CN"/>
              </w:rPr>
            </w:pPr>
            <w:r>
              <w:rPr>
                <w:rFonts w:hint="eastAsia" w:ascii="仿宋_GB2312" w:eastAsia="仿宋_GB2312"/>
                <w:color w:val="auto"/>
                <w:szCs w:val="21"/>
                <w:highlight w:val="none"/>
              </w:rPr>
              <w:t>联系函、抄告单等超时回复或不回复的每次扣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pacing w:val="-8"/>
                <w:szCs w:val="21"/>
                <w:highlight w:val="none"/>
              </w:rPr>
              <w:t>二次抄告</w:t>
            </w:r>
            <w:r>
              <w:rPr>
                <w:rFonts w:hint="eastAsia" w:ascii="仿宋_GB2312" w:eastAsia="仿宋_GB2312"/>
                <w:color w:val="auto"/>
                <w:spacing w:val="-8"/>
                <w:szCs w:val="21"/>
                <w:highlight w:val="none"/>
                <w:lang w:eastAsia="zh-CN"/>
              </w:rPr>
              <w:t>及以上的每</w:t>
            </w:r>
            <w:r>
              <w:rPr>
                <w:rFonts w:hint="eastAsia" w:ascii="仿宋_GB2312" w:eastAsia="仿宋_GB2312"/>
                <w:color w:val="auto"/>
                <w:szCs w:val="21"/>
                <w:highlight w:val="none"/>
              </w:rPr>
              <w:t>次</w:t>
            </w:r>
            <w:r>
              <w:rPr>
                <w:rFonts w:hint="eastAsia" w:ascii="仿宋_GB2312" w:eastAsia="仿宋_GB2312"/>
                <w:color w:val="auto"/>
                <w:spacing w:val="-8"/>
                <w:szCs w:val="21"/>
                <w:highlight w:val="none"/>
              </w:rPr>
              <w:t>扣</w:t>
            </w:r>
            <w:r>
              <w:rPr>
                <w:rFonts w:hint="eastAsia" w:ascii="仿宋_GB2312" w:eastAsia="仿宋_GB2312"/>
                <w:color w:val="auto"/>
                <w:spacing w:val="-8"/>
                <w:szCs w:val="21"/>
                <w:highlight w:val="none"/>
                <w:lang w:val="en-US" w:eastAsia="zh-CN"/>
              </w:rPr>
              <w:t>2</w:t>
            </w:r>
            <w:r>
              <w:rPr>
                <w:rFonts w:hint="eastAsia" w:ascii="仿宋_GB2312" w:eastAsia="仿宋_GB2312"/>
                <w:color w:val="auto"/>
                <w:szCs w:val="21"/>
                <w:highlight w:val="none"/>
              </w:rPr>
              <w:t>分</w:t>
            </w:r>
            <w:r>
              <w:rPr>
                <w:rFonts w:hint="eastAsia" w:ascii="仿宋_GB2312" w:eastAsia="仿宋_GB2312"/>
                <w:color w:val="auto"/>
                <w:spacing w:val="-8"/>
                <w:szCs w:val="21"/>
                <w:highlight w:val="none"/>
                <w:lang w:eastAsia="zh-CN"/>
              </w:rPr>
              <w:t>；</w:t>
            </w:r>
          </w:p>
          <w:p>
            <w:pPr>
              <w:spacing w:line="320" w:lineRule="exact"/>
              <w:ind w:left="0" w:leftChars="0" w:firstLine="438" w:firstLineChars="209"/>
              <w:rPr>
                <w:rFonts w:hint="default" w:ascii="仿宋_GB2312" w:eastAsia="仿宋_GB2312"/>
                <w:color w:val="auto"/>
                <w:sz w:val="21"/>
                <w:szCs w:val="21"/>
                <w:highlight w:val="none"/>
                <w:lang w:val="en-US" w:eastAsia="zh-CN"/>
              </w:rPr>
            </w:pPr>
            <w:r>
              <w:rPr>
                <w:rFonts w:hint="eastAsia" w:ascii="仿宋_GB2312" w:eastAsia="仿宋_GB2312"/>
                <w:color w:val="auto"/>
                <w:sz w:val="21"/>
                <w:szCs w:val="21"/>
                <w:highlight w:val="none"/>
                <w:lang w:eastAsia="zh-CN"/>
              </w:rPr>
              <w:t>积极提供市政宣传报道素材（图片、文字等），经区城管局审核，被录用正面宣传报道的，区级媒体每件次加</w:t>
            </w: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lang w:eastAsia="zh-CN"/>
              </w:rPr>
              <w:t>分，市级媒体每件次加</w:t>
            </w:r>
            <w:r>
              <w:rPr>
                <w:rFonts w:hint="eastAsia" w:ascii="仿宋_GB2312" w:eastAsia="仿宋_GB2312"/>
                <w:color w:val="auto"/>
                <w:sz w:val="21"/>
                <w:szCs w:val="21"/>
                <w:highlight w:val="none"/>
                <w:lang w:val="en-US" w:eastAsia="zh-CN"/>
              </w:rPr>
              <w:t>2</w:t>
            </w:r>
            <w:r>
              <w:rPr>
                <w:rFonts w:hint="eastAsia" w:ascii="仿宋_GB2312" w:eastAsia="仿宋_GB2312"/>
                <w:color w:val="auto"/>
                <w:sz w:val="21"/>
                <w:szCs w:val="21"/>
                <w:highlight w:val="none"/>
                <w:lang w:eastAsia="zh-CN"/>
              </w:rPr>
              <w:t>分，省级及以上媒体每件次加</w:t>
            </w:r>
            <w:r>
              <w:rPr>
                <w:rFonts w:hint="eastAsia" w:ascii="仿宋_GB2312" w:eastAsia="仿宋_GB2312"/>
                <w:color w:val="auto"/>
                <w:sz w:val="21"/>
                <w:szCs w:val="21"/>
                <w:highlight w:val="none"/>
                <w:lang w:val="en-US" w:eastAsia="zh-CN"/>
              </w:rPr>
              <w:t>3</w:t>
            </w:r>
            <w:r>
              <w:rPr>
                <w:rFonts w:hint="eastAsia" w:ascii="仿宋_GB2312" w:eastAsia="仿宋_GB2312"/>
                <w:color w:val="auto"/>
                <w:sz w:val="21"/>
                <w:szCs w:val="21"/>
                <w:highlight w:val="none"/>
                <w:lang w:eastAsia="zh-CN"/>
              </w:rPr>
              <w:t>分，同一事项以最高加分项计；</w:t>
            </w:r>
            <w:r>
              <w:rPr>
                <w:rFonts w:hint="eastAsia" w:ascii="仿宋_GB2312" w:eastAsia="仿宋_GB2312"/>
                <w:color w:val="auto"/>
                <w:spacing w:val="-8"/>
                <w:szCs w:val="21"/>
                <w:highlight w:val="none"/>
                <w:lang w:eastAsia="zh-CN"/>
              </w:rPr>
              <w:t>市级及以上</w:t>
            </w:r>
            <w:r>
              <w:rPr>
                <w:rFonts w:hint="eastAsia" w:ascii="仿宋_GB2312" w:eastAsia="仿宋_GB2312"/>
                <w:color w:val="auto"/>
                <w:spacing w:val="-8"/>
                <w:szCs w:val="21"/>
                <w:highlight w:val="none"/>
              </w:rPr>
              <w:t>媒体曝光每件扣</w:t>
            </w:r>
            <w:r>
              <w:rPr>
                <w:rFonts w:hint="eastAsia" w:ascii="仿宋_GB2312" w:eastAsia="仿宋_GB2312"/>
                <w:color w:val="auto"/>
                <w:spacing w:val="-8"/>
                <w:szCs w:val="21"/>
                <w:highlight w:val="none"/>
                <w:lang w:val="en-US" w:eastAsia="zh-CN"/>
              </w:rPr>
              <w:t>3</w:t>
            </w:r>
            <w:r>
              <w:rPr>
                <w:rFonts w:hint="eastAsia" w:ascii="仿宋_GB2312" w:eastAsia="仿宋_GB2312"/>
                <w:color w:val="auto"/>
                <w:szCs w:val="21"/>
                <w:highlight w:val="none"/>
              </w:rPr>
              <w:t>分</w:t>
            </w:r>
            <w:r>
              <w:rPr>
                <w:rFonts w:hint="eastAsia" w:ascii="仿宋_GB2312" w:eastAsia="仿宋_GB2312"/>
                <w:color w:val="auto"/>
                <w:spacing w:val="-8"/>
                <w:szCs w:val="21"/>
                <w:highlight w:val="none"/>
              </w:rPr>
              <w:t>，</w:t>
            </w:r>
            <w:r>
              <w:rPr>
                <w:rFonts w:hint="eastAsia" w:ascii="仿宋_GB2312" w:eastAsia="仿宋_GB2312"/>
                <w:color w:val="auto"/>
                <w:spacing w:val="-8"/>
                <w:szCs w:val="21"/>
                <w:highlight w:val="none"/>
                <w:lang w:eastAsia="zh-CN"/>
              </w:rPr>
              <w:t>区级</w:t>
            </w:r>
            <w:r>
              <w:rPr>
                <w:rFonts w:hint="eastAsia" w:ascii="仿宋_GB2312" w:eastAsia="仿宋_GB2312"/>
                <w:color w:val="auto"/>
                <w:spacing w:val="-8"/>
                <w:szCs w:val="21"/>
                <w:highlight w:val="none"/>
              </w:rPr>
              <w:t>媒体曝光每件扣</w:t>
            </w: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p>
          <w:p>
            <w:pPr>
              <w:spacing w:line="320" w:lineRule="exact"/>
              <w:ind w:left="0" w:leftChars="0" w:firstLine="438" w:firstLineChars="209"/>
              <w:rPr>
                <w:rFonts w:hint="eastAsia" w:ascii="仿宋_GB2312" w:eastAsia="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发生无人员死亡有责安全生产事故的，每起扣</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分；发生人员死亡有责安全生产事故的，每起扣</w:t>
            </w: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p>
        </w:tc>
        <w:tc>
          <w:tcPr>
            <w:tcW w:w="2085" w:type="dxa"/>
            <w:vAlign w:val="center"/>
          </w:tcPr>
          <w:p>
            <w:pPr>
              <w:spacing w:line="320" w:lineRule="exact"/>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媒体宣传、舆情管理等酌情加扣分。（备注：</w:t>
            </w:r>
            <w:r>
              <w:rPr>
                <w:rFonts w:hint="eastAsia" w:ascii="仿宋_GB2312" w:hAnsi="仿宋_GB2312" w:eastAsia="仿宋_GB2312" w:cs="仿宋_GB2312"/>
                <w:color w:val="auto"/>
                <w:kern w:val="0"/>
                <w:sz w:val="21"/>
                <w:szCs w:val="21"/>
                <w:highlight w:val="none"/>
                <w:lang w:val="en-US" w:eastAsia="zh-CN"/>
              </w:rPr>
              <w:t>正负面分数累计加减分分别不高于3分，超过按3分计入。</w:t>
            </w:r>
            <w:r>
              <w:rPr>
                <w:rFonts w:hint="eastAsia" w:ascii="仿宋_GB2312" w:eastAsia="仿宋_GB2312"/>
                <w:color w:val="auto"/>
                <w:szCs w:val="21"/>
                <w:highlight w:val="none"/>
                <w:lang w:val="en-US" w:eastAsia="zh-CN"/>
              </w:rPr>
              <w:t>）</w:t>
            </w:r>
          </w:p>
        </w:tc>
        <w:tc>
          <w:tcPr>
            <w:tcW w:w="930" w:type="dxa"/>
            <w:vAlign w:val="center"/>
          </w:tcPr>
          <w:p>
            <w:pPr>
              <w:spacing w:line="320" w:lineRule="exact"/>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管理类</w:t>
            </w:r>
          </w:p>
        </w:tc>
        <w:tc>
          <w:tcPr>
            <w:tcW w:w="945" w:type="dxa"/>
            <w:vAlign w:val="center"/>
          </w:tcPr>
          <w:p>
            <w:pPr>
              <w:spacing w:line="320" w:lineRule="exact"/>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8" w:type="dxa"/>
            <w:vMerge w:val="continue"/>
            <w:vAlign w:val="center"/>
          </w:tcPr>
          <w:p>
            <w:pPr>
              <w:widowControl/>
              <w:jc w:val="center"/>
              <w:textAlignment w:val="center"/>
              <w:rPr>
                <w:rFonts w:hint="eastAsia" w:ascii="仿宋_GB2312" w:hAnsi="Calibri" w:eastAsia="仿宋_GB2312" w:cs="Times New Roman"/>
                <w:color w:val="auto"/>
                <w:spacing w:val="-8"/>
                <w:kern w:val="2"/>
                <w:sz w:val="21"/>
                <w:szCs w:val="21"/>
                <w:highlight w:val="none"/>
                <w:lang w:val="en-US" w:eastAsia="zh-CN" w:bidi="ar-SA"/>
              </w:rPr>
            </w:pPr>
          </w:p>
        </w:tc>
        <w:tc>
          <w:tcPr>
            <w:tcW w:w="920" w:type="dxa"/>
            <w:vAlign w:val="center"/>
          </w:tcPr>
          <w:p>
            <w:pPr>
              <w:widowControl/>
              <w:jc w:val="left"/>
              <w:textAlignment w:val="center"/>
              <w:rPr>
                <w:rFonts w:hint="eastAsia" w:ascii="仿宋_GB2312" w:hAnsi="Calibri" w:eastAsia="仿宋_GB2312" w:cs="Times New Roman"/>
                <w:color w:val="auto"/>
                <w:spacing w:val="-8"/>
                <w:kern w:val="2"/>
                <w:sz w:val="21"/>
                <w:szCs w:val="21"/>
                <w:highlight w:val="none"/>
                <w:lang w:val="en-US" w:eastAsia="zh-CN" w:bidi="ar-SA"/>
              </w:rPr>
            </w:pPr>
            <w:r>
              <w:rPr>
                <w:rFonts w:hint="eastAsia" w:ascii="仿宋_GB2312" w:eastAsia="仿宋_GB2312"/>
                <w:color w:val="auto"/>
                <w:szCs w:val="21"/>
                <w:highlight w:val="none"/>
                <w:lang w:val="en-US" w:eastAsia="zh-CN"/>
              </w:rPr>
              <w:t>市级以上检查</w:t>
            </w:r>
          </w:p>
        </w:tc>
        <w:tc>
          <w:tcPr>
            <w:tcW w:w="7247" w:type="dxa"/>
            <w:gridSpan w:val="2"/>
            <w:vAlign w:val="center"/>
          </w:tcPr>
          <w:p>
            <w:pPr>
              <w:widowControl/>
              <w:jc w:val="left"/>
              <w:textAlignment w:val="center"/>
              <w:rPr>
                <w:rFonts w:hint="default" w:ascii="仿宋_GB2312" w:eastAsia="仿宋_GB2312"/>
                <w:color w:val="auto"/>
                <w:spacing w:val="-8"/>
                <w:szCs w:val="21"/>
                <w:highlight w:val="none"/>
                <w:lang w:val="en-US" w:eastAsia="zh-CN"/>
              </w:rPr>
            </w:pPr>
            <w:r>
              <w:rPr>
                <w:rFonts w:hint="eastAsia" w:ascii="仿宋_GB2312" w:eastAsia="仿宋_GB2312"/>
                <w:color w:val="auto"/>
                <w:spacing w:val="-8"/>
                <w:szCs w:val="21"/>
                <w:highlight w:val="none"/>
                <w:lang w:val="en-US" w:eastAsia="zh-CN"/>
              </w:rPr>
              <w:t>出现市级检查件的，每件扣0.2分。</w:t>
            </w:r>
            <w:r>
              <w:rPr>
                <w:rFonts w:hint="eastAsia" w:ascii="仿宋_GB2312" w:eastAsia="仿宋_GB2312"/>
                <w:color w:val="auto"/>
                <w:szCs w:val="21"/>
                <w:highlight w:val="none"/>
                <w:lang w:val="en-US" w:eastAsia="zh-CN"/>
              </w:rPr>
              <w:t>（备注：本项</w:t>
            </w:r>
            <w:r>
              <w:rPr>
                <w:rFonts w:hint="eastAsia" w:ascii="仿宋_GB2312" w:hAnsi="仿宋_GB2312" w:eastAsia="仿宋_GB2312" w:cs="仿宋_GB2312"/>
                <w:color w:val="auto"/>
                <w:kern w:val="0"/>
                <w:sz w:val="21"/>
                <w:szCs w:val="21"/>
                <w:highlight w:val="none"/>
                <w:lang w:val="en-US" w:eastAsia="zh-CN"/>
              </w:rPr>
              <w:t>累计扣分不高于10分，超过按10分计入。</w:t>
            </w:r>
            <w:r>
              <w:rPr>
                <w:rFonts w:hint="eastAsia" w:ascii="仿宋_GB2312" w:eastAsia="仿宋_GB2312"/>
                <w:color w:val="auto"/>
                <w:szCs w:val="21"/>
                <w:highlight w:val="none"/>
                <w:lang w:val="en-US" w:eastAsia="zh-CN"/>
              </w:rPr>
              <w:t>）</w:t>
            </w:r>
          </w:p>
        </w:tc>
        <w:tc>
          <w:tcPr>
            <w:tcW w:w="1875" w:type="dxa"/>
            <w:gridSpan w:val="2"/>
            <w:vAlign w:val="center"/>
          </w:tcPr>
          <w:p>
            <w:pPr>
              <w:spacing w:line="320" w:lineRule="exact"/>
              <w:jc w:val="left"/>
              <w:rPr>
                <w:rFonts w:hint="eastAsia" w:ascii="仿宋_GB2312" w:eastAsia="仿宋_GB2312"/>
                <w:color w:val="auto"/>
                <w:spacing w:val="-8"/>
                <w:szCs w:val="21"/>
                <w:highlight w:val="none"/>
                <w:lang w:val="en-US" w:eastAsia="zh-CN"/>
              </w:rPr>
            </w:pPr>
          </w:p>
        </w:tc>
      </w:tr>
    </w:tbl>
    <w:p>
      <w:pPr>
        <w:pStyle w:val="623"/>
        <w:rPr>
          <w:rFonts w:hint="eastAsia" w:ascii="宋体" w:hAnsi="宋体" w:eastAsia="宋体" w:cs="宋体"/>
          <w:b/>
          <w:bCs/>
          <w:color w:val="auto"/>
          <w:kern w:val="2"/>
          <w:sz w:val="24"/>
          <w:szCs w:val="24"/>
          <w:highlight w:val="none"/>
          <w:lang w:val="en-US" w:eastAsia="zh-CN" w:bidi="ar-SA"/>
        </w:rPr>
      </w:pPr>
    </w:p>
    <w:p>
      <w:pPr>
        <w:pStyle w:val="623"/>
        <w:rPr>
          <w:rFonts w:hint="eastAsia" w:ascii="宋体" w:hAnsi="宋体" w:eastAsia="宋体" w:cs="宋体"/>
          <w:b/>
          <w:bCs/>
          <w:color w:val="auto"/>
          <w:kern w:val="2"/>
          <w:sz w:val="24"/>
          <w:szCs w:val="24"/>
          <w:highlight w:val="none"/>
          <w:lang w:val="en-US" w:eastAsia="zh-CN" w:bidi="ar-SA"/>
        </w:rPr>
      </w:pPr>
    </w:p>
    <w:p>
      <w:pPr>
        <w:pStyle w:val="623"/>
        <w:rPr>
          <w:rFonts w:hint="eastAsia" w:ascii="宋体" w:hAnsi="宋体" w:eastAsia="宋体" w:cs="宋体"/>
          <w:b/>
          <w:bCs/>
          <w:color w:val="auto"/>
          <w:kern w:val="2"/>
          <w:sz w:val="24"/>
          <w:szCs w:val="24"/>
          <w:highlight w:val="none"/>
          <w:lang w:val="en-US" w:eastAsia="zh-CN" w:bidi="ar-SA"/>
        </w:rPr>
      </w:pPr>
    </w:p>
    <w:p>
      <w:pPr>
        <w:pStyle w:val="623"/>
        <w:rPr>
          <w:rFonts w:hint="eastAsia" w:ascii="宋体" w:hAnsi="宋体" w:eastAsia="宋体" w:cs="宋体"/>
          <w:b/>
          <w:bCs/>
          <w:color w:val="auto"/>
          <w:kern w:val="2"/>
          <w:sz w:val="24"/>
          <w:szCs w:val="24"/>
          <w:highlight w:val="none"/>
          <w:lang w:val="en-US" w:eastAsia="zh-CN" w:bidi="ar-SA"/>
        </w:rPr>
      </w:pPr>
    </w:p>
    <w:p>
      <w:pPr>
        <w:pStyle w:val="623"/>
        <w:rPr>
          <w:rFonts w:hint="eastAsia" w:ascii="宋体" w:hAnsi="宋体" w:eastAsia="宋体" w:cs="宋体"/>
          <w:b/>
          <w:bCs/>
          <w:color w:val="auto"/>
          <w:kern w:val="2"/>
          <w:sz w:val="24"/>
          <w:szCs w:val="24"/>
          <w:highlight w:val="none"/>
          <w:lang w:val="en-US" w:eastAsia="zh-CN" w:bidi="ar-SA"/>
        </w:rPr>
      </w:pPr>
    </w:p>
    <w:p>
      <w:pPr>
        <w:pStyle w:val="623"/>
        <w:rPr>
          <w:rFonts w:hint="eastAsia" w:ascii="宋体" w:hAnsi="宋体" w:eastAsia="宋体" w:cs="宋体"/>
          <w:b/>
          <w:bCs/>
          <w:color w:val="auto"/>
          <w:kern w:val="2"/>
          <w:sz w:val="24"/>
          <w:szCs w:val="24"/>
          <w:highlight w:val="none"/>
          <w:lang w:val="en-US" w:eastAsia="zh-CN" w:bidi="ar-SA"/>
        </w:rPr>
      </w:pPr>
    </w:p>
    <w:p>
      <w:pPr>
        <w:pStyle w:val="623"/>
        <w:rPr>
          <w:rFonts w:hint="eastAsia" w:ascii="宋体" w:hAnsi="宋体" w:eastAsia="宋体" w:cs="宋体"/>
          <w:b/>
          <w:bCs/>
          <w:color w:val="auto"/>
          <w:kern w:val="2"/>
          <w:sz w:val="24"/>
          <w:szCs w:val="24"/>
          <w:highlight w:val="none"/>
          <w:lang w:val="en-US" w:eastAsia="zh-CN" w:bidi="ar-SA"/>
        </w:rPr>
      </w:pPr>
    </w:p>
    <w:p>
      <w:pPr>
        <w:pStyle w:val="623"/>
        <w:ind w:left="0" w:leftChars="0" w:firstLine="0" w:firstLineChars="0"/>
        <w:rPr>
          <w:rFonts w:hint="eastAsia"/>
          <w:color w:val="auto"/>
          <w:highlight w:val="none"/>
        </w:rPr>
      </w:pPr>
    </w:p>
    <w:p>
      <w:pPr>
        <w:spacing w:line="560" w:lineRule="exact"/>
        <w:jc w:val="both"/>
        <w:rPr>
          <w:rFonts w:ascii="宋体" w:hAnsi="宋体" w:cs="仿宋"/>
          <w:b/>
          <w:color w:val="auto"/>
          <w:sz w:val="24"/>
          <w:highlight w:val="none"/>
        </w:rPr>
      </w:pPr>
    </w:p>
    <w:p>
      <w:pPr>
        <w:pStyle w:val="624"/>
        <w:rPr>
          <w:rFonts w:ascii="宋体" w:hAnsi="宋体" w:eastAsia="宋体" w:cs="仿宋"/>
          <w:bCs/>
          <w:color w:val="auto"/>
          <w:highlight w:val="none"/>
        </w:rPr>
      </w:pPr>
    </w:p>
    <w:p>
      <w:pPr>
        <w:spacing w:line="360" w:lineRule="auto"/>
        <w:rPr>
          <w:rFonts w:ascii="宋体" w:hAnsi="宋体" w:eastAsia="宋体"/>
          <w:b/>
          <w:bCs/>
          <w:color w:val="auto"/>
          <w:sz w:val="24"/>
          <w:highlight w:val="none"/>
        </w:rPr>
      </w:pPr>
      <w:r>
        <w:rPr>
          <w:rFonts w:hint="eastAsia" w:ascii="宋体" w:hAnsi="宋体" w:eastAsia="宋体"/>
          <w:b/>
          <w:bCs/>
          <w:color w:val="auto"/>
          <w:sz w:val="24"/>
          <w:highlight w:val="none"/>
        </w:rPr>
        <w:t>十一、费用支付：</w:t>
      </w:r>
    </w:p>
    <w:p>
      <w:pPr>
        <w:numPr>
          <w:ilvl w:val="0"/>
          <w:numId w:val="0"/>
        </w:numPr>
        <w:snapToGrid w:val="0"/>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合同签订</w:t>
      </w:r>
      <w:r>
        <w:rPr>
          <w:rFonts w:hint="eastAsia" w:ascii="宋体" w:hAnsi="宋体" w:eastAsia="宋体" w:cs="宋体"/>
          <w:bCs/>
          <w:color w:val="auto"/>
          <w:sz w:val="24"/>
          <w:szCs w:val="24"/>
          <w:highlight w:val="none"/>
          <w:lang w:val="en-US" w:eastAsia="zh-CN"/>
        </w:rPr>
        <w:t>90日后</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经季度考核合格</w:t>
      </w:r>
      <w:r>
        <w:rPr>
          <w:rFonts w:hint="eastAsia" w:ascii="宋体" w:hAnsi="宋体" w:eastAsia="宋体" w:cs="宋体"/>
          <w:bCs/>
          <w:color w:val="auto"/>
          <w:sz w:val="24"/>
          <w:szCs w:val="24"/>
          <w:highlight w:val="none"/>
          <w:lang w:val="en-US"/>
        </w:rPr>
        <w:t>后</w:t>
      </w:r>
      <w:r>
        <w:rPr>
          <w:rFonts w:hint="eastAsia" w:ascii="宋体" w:hAnsi="宋体" w:eastAsia="宋体" w:cs="宋体"/>
          <w:bCs/>
          <w:color w:val="auto"/>
          <w:sz w:val="24"/>
          <w:szCs w:val="24"/>
          <w:highlight w:val="none"/>
          <w:lang w:val="en-US" w:eastAsia="zh-CN"/>
        </w:rPr>
        <w:t>15日内</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甲方向乙方支付12.5%的合同价款</w:t>
      </w:r>
      <w:r>
        <w:rPr>
          <w:rFonts w:hint="eastAsia" w:ascii="宋体" w:hAnsi="宋体" w:eastAsia="宋体" w:cs="宋体"/>
          <w:bCs/>
          <w:color w:val="auto"/>
          <w:sz w:val="24"/>
          <w:szCs w:val="24"/>
          <w:highlight w:val="none"/>
          <w:lang w:eastAsia="zh-CN"/>
        </w:rPr>
        <w:t>。以后按每三个月的最后一个月末，经甲方考核合格，每次支付合同价款的</w:t>
      </w:r>
      <w:r>
        <w:rPr>
          <w:rFonts w:hint="eastAsia" w:ascii="宋体" w:hAnsi="宋体" w:eastAsia="宋体" w:cs="宋体"/>
          <w:bCs/>
          <w:color w:val="auto"/>
          <w:sz w:val="24"/>
          <w:szCs w:val="24"/>
          <w:highlight w:val="none"/>
          <w:lang w:val="en-US" w:eastAsia="zh-CN"/>
        </w:rPr>
        <w:t>12.5%，直至合同期满经考核验收合格后30天内付清</w:t>
      </w:r>
      <w:r>
        <w:rPr>
          <w:rFonts w:hint="eastAsia" w:ascii="宋体" w:hAnsi="宋体" w:eastAsia="宋体" w:cs="宋体"/>
          <w:bCs/>
          <w:color w:val="auto"/>
          <w:sz w:val="24"/>
          <w:szCs w:val="24"/>
          <w:highlight w:val="none"/>
          <w:lang w:eastAsia="zh-CN"/>
        </w:rPr>
        <w:t>。</w:t>
      </w:r>
    </w:p>
    <w:p>
      <w:pPr>
        <w:spacing w:line="360" w:lineRule="auto"/>
        <w:ind w:firstLine="480" w:firstLineChars="200"/>
        <w:rPr>
          <w:rFonts w:ascii="宋体" w:hAnsi="宋体" w:eastAsia="宋体"/>
          <w:color w:val="auto"/>
          <w:sz w:val="24"/>
          <w:highlight w:val="none"/>
        </w:rPr>
      </w:pPr>
      <w:r>
        <w:rPr>
          <w:rFonts w:hint="eastAsia" w:ascii="宋体" w:hAnsi="宋体" w:cs="宋体"/>
          <w:color w:val="auto"/>
          <w:sz w:val="24"/>
          <w:szCs w:val="32"/>
          <w:highlight w:val="none"/>
          <w:lang w:val="en-US" w:eastAsia="zh-CN"/>
        </w:rPr>
        <w:t>2</w:t>
      </w:r>
      <w:r>
        <w:rPr>
          <w:rFonts w:hint="eastAsia" w:ascii="宋体" w:hAnsi="宋体" w:eastAsia="宋体" w:cs="宋体"/>
          <w:color w:val="auto"/>
          <w:sz w:val="24"/>
          <w:szCs w:val="32"/>
          <w:highlight w:val="none"/>
          <w:lang w:val="en-US" w:eastAsia="zh-CN"/>
        </w:rPr>
        <w:t>、绿化提升改造工程款及市政养护工程款待审计结束后一周内付清。</w:t>
      </w:r>
      <w:r>
        <w:rPr>
          <w:rFonts w:hint="eastAsia" w:ascii="宋体" w:hAnsi="宋体" w:eastAsia="宋体"/>
          <w:color w:val="auto"/>
          <w:sz w:val="24"/>
          <w:highlight w:val="none"/>
        </w:rPr>
        <w:t xml:space="preserve">            </w:t>
      </w:r>
    </w:p>
    <w:p>
      <w:pPr>
        <w:widowControl/>
        <w:spacing w:line="360" w:lineRule="auto"/>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十二、其他要求及说明</w:t>
      </w:r>
    </w:p>
    <w:p>
      <w:pPr>
        <w:widowControl/>
        <w:autoSpaceDE w:val="0"/>
        <w:autoSpaceDN w:val="0"/>
        <w:spacing w:line="360" w:lineRule="auto"/>
        <w:ind w:firstLine="361" w:firstLineChars="150"/>
        <w:textAlignment w:val="bottom"/>
        <w:rPr>
          <w:rFonts w:ascii="宋体" w:hAnsi="宋体" w:eastAsia="宋体" w:cs="宋体"/>
          <w:b/>
          <w:bCs/>
          <w:color w:val="auto"/>
          <w:sz w:val="24"/>
          <w:highlight w:val="none"/>
        </w:rPr>
      </w:pPr>
      <w:r>
        <w:rPr>
          <w:rFonts w:hint="eastAsia" w:ascii="宋体" w:hAnsi="宋体" w:eastAsia="宋体" w:cs="宋体"/>
          <w:b/>
          <w:bCs/>
          <w:color w:val="auto"/>
          <w:sz w:val="24"/>
          <w:highlight w:val="none"/>
        </w:rPr>
        <w:t>1、投标报价</w:t>
      </w:r>
    </w:p>
    <w:p>
      <w:pPr>
        <w:widowControl/>
        <w:autoSpaceDE w:val="0"/>
        <w:autoSpaceDN w:val="0"/>
        <w:spacing w:line="360" w:lineRule="auto"/>
        <w:ind w:firstLine="360" w:firstLineChars="150"/>
        <w:textAlignment w:val="bottom"/>
        <w:rPr>
          <w:rFonts w:ascii="宋体" w:hAnsi="宋体" w:eastAsia="宋体" w:cs="宋体"/>
          <w:color w:val="auto"/>
          <w:sz w:val="24"/>
          <w:highlight w:val="none"/>
        </w:rPr>
      </w:pPr>
      <w:r>
        <w:rPr>
          <w:rFonts w:hint="eastAsia" w:ascii="宋体" w:hAnsi="宋体" w:eastAsia="宋体" w:cs="宋体"/>
          <w:color w:val="auto"/>
          <w:sz w:val="24"/>
          <w:highlight w:val="none"/>
        </w:rPr>
        <w:t>1.1 本次招标实行固定总价承包，总价必须包括投标人在承包区域内的所有作业内容包括不限于保洁、零星市政养护、绿化养护、水利设施设备维护、河道保洁及所有设施维护的相关服务 、材料、设备、配件、备件、损耗（包括水、电等）、仓储、运输（包括所有垃圾外运）、维护、税费、保险、利润、完成合同所需的一切本身和不可或缺的所有工作开支、政策性文件规定及合同包含的所有风险、责任等各项全部费用并承担一切风险责任。除发生下列因素可调整合同价外，不得以任何其他理由调整任何费用。</w:t>
      </w:r>
    </w:p>
    <w:p>
      <w:pPr>
        <w:widowControl/>
        <w:autoSpaceDE w:val="0"/>
        <w:autoSpaceDN w:val="0"/>
        <w:spacing w:line="360" w:lineRule="auto"/>
        <w:ind w:firstLine="360" w:firstLineChars="150"/>
        <w:textAlignment w:val="bottom"/>
        <w:rPr>
          <w:rFonts w:ascii="宋体" w:hAnsi="宋体" w:eastAsia="宋体" w:cs="宋体"/>
          <w:color w:val="auto"/>
          <w:sz w:val="24"/>
          <w:highlight w:val="none"/>
        </w:rPr>
      </w:pPr>
      <w:r>
        <w:rPr>
          <w:rFonts w:hint="eastAsia" w:ascii="宋体" w:hAnsi="宋体" w:eastAsia="宋体" w:cs="宋体"/>
          <w:color w:val="auto"/>
          <w:sz w:val="24"/>
          <w:highlight w:val="none"/>
        </w:rPr>
        <w:t>1.2 投标人认为为完成本招标文件规定的工程承包内容所需发生的直接成本、间接成本、利润、税金、政策性文件规定的费用、技术措施费、机械进出场费、原材料价格变化风险等一切费用均应计入投标报价；凡未列入的，将被认为均已包含在投标总价中，今后不得以任何理由追加或调整。本项目须自行现场踏勘，招标范围内为预估面积，以实际面积为准，投标单位不得以面积增加而提出增加费用。</w:t>
      </w:r>
    </w:p>
    <w:p>
      <w:pPr>
        <w:widowControl/>
        <w:autoSpaceDE w:val="0"/>
        <w:autoSpaceDN w:val="0"/>
        <w:spacing w:line="360" w:lineRule="auto"/>
        <w:ind w:firstLine="360" w:firstLineChars="150"/>
        <w:textAlignment w:val="bottom"/>
        <w:rPr>
          <w:rFonts w:ascii="宋体" w:hAnsi="宋体" w:eastAsia="宋体" w:cs="宋体"/>
          <w:color w:val="auto"/>
          <w:sz w:val="24"/>
          <w:highlight w:val="none"/>
        </w:rPr>
      </w:pPr>
      <w:r>
        <w:rPr>
          <w:rFonts w:hint="eastAsia" w:ascii="宋体" w:hAnsi="宋体" w:eastAsia="宋体" w:cs="宋体"/>
          <w:color w:val="auto"/>
          <w:sz w:val="24"/>
          <w:highlight w:val="none"/>
        </w:rPr>
        <w:t>1.3 投入人员均须按相关规定缴纳保险。</w:t>
      </w:r>
    </w:p>
    <w:p>
      <w:pPr>
        <w:widowControl/>
        <w:autoSpaceDE w:val="0"/>
        <w:autoSpaceDN w:val="0"/>
        <w:spacing w:line="360" w:lineRule="auto"/>
        <w:ind w:firstLine="360" w:firstLineChars="150"/>
        <w:textAlignment w:val="bottom"/>
        <w:rPr>
          <w:rFonts w:ascii="宋体" w:hAnsi="宋体" w:eastAsia="宋体" w:cs="宋体"/>
          <w:color w:val="auto"/>
          <w:sz w:val="24"/>
          <w:highlight w:val="none"/>
        </w:rPr>
      </w:pPr>
      <w:r>
        <w:rPr>
          <w:rFonts w:hint="eastAsia" w:ascii="宋体" w:hAnsi="宋体" w:eastAsia="宋体" w:cs="宋体"/>
          <w:color w:val="auto"/>
          <w:sz w:val="24"/>
          <w:highlight w:val="none"/>
        </w:rPr>
        <w:t>1.4 结合本项目具体情况，要求本次投标供应商员工基本工资最低不得低于本市市区本年度最低工资标准（最低工资不包括下列四项收入：延长工作时间的工资；中班、夜班、高温、低温、特殊工作环境、条件下的津贴；贴补伙食、住房等支付给劳动者的非货币性收入；法律、法规和国家规定的劳动者福利待遇等）。</w:t>
      </w:r>
    </w:p>
    <w:p>
      <w:pPr>
        <w:widowControl/>
        <w:autoSpaceDE w:val="0"/>
        <w:autoSpaceDN w:val="0"/>
        <w:spacing w:line="360" w:lineRule="auto"/>
        <w:ind w:firstLine="360" w:firstLineChars="150"/>
        <w:textAlignment w:val="bottom"/>
        <w:rPr>
          <w:rFonts w:ascii="宋体" w:hAnsi="宋体" w:eastAsia="宋体" w:cs="宋体"/>
          <w:color w:val="auto"/>
          <w:sz w:val="24"/>
          <w:highlight w:val="none"/>
        </w:rPr>
      </w:pPr>
      <w:r>
        <w:rPr>
          <w:rFonts w:hint="eastAsia" w:ascii="宋体" w:hAnsi="宋体" w:eastAsia="宋体" w:cs="宋体"/>
          <w:color w:val="auto"/>
          <w:sz w:val="24"/>
          <w:highlight w:val="none"/>
        </w:rPr>
        <w:t>1.5 人员费用需符合劳动法等相关法律法规的规定。</w:t>
      </w:r>
    </w:p>
    <w:p>
      <w:pPr>
        <w:widowControl/>
        <w:autoSpaceDE w:val="0"/>
        <w:autoSpaceDN w:val="0"/>
        <w:spacing w:line="360" w:lineRule="auto"/>
        <w:ind w:firstLine="360" w:firstLineChars="150"/>
        <w:textAlignment w:val="bottom"/>
        <w:rPr>
          <w:rFonts w:ascii="宋体" w:hAnsi="宋体" w:eastAsia="宋体" w:cs="宋体"/>
          <w:color w:val="auto"/>
          <w:sz w:val="24"/>
          <w:highlight w:val="none"/>
        </w:rPr>
      </w:pPr>
      <w:r>
        <w:rPr>
          <w:rFonts w:hint="eastAsia" w:ascii="宋体" w:hAnsi="宋体" w:eastAsia="宋体" w:cs="宋体"/>
          <w:color w:val="auto"/>
          <w:sz w:val="24"/>
          <w:highlight w:val="none"/>
        </w:rPr>
        <w:t>1.6 供应商的报价应包括为完成本项目服务可能发生的全部费用及供应商的利润和应交纳的税金等。供应商对合同内容的费用、质量、安全、文明服务等实行全面承包。</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2、积极鼓励投标单位采购机扫设备投入本项目使用。</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3、中标单位不得将本项目分包、转包、内部经济承包及变相经济转承包；一经发现，采购人有权责令其停止作业并取消承包资格，作违约处理，并承担由此引起的法律责任及一切经济损失。</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4、保险费：投标单位如中标后，中标价中含管理人员和保洁人员的意外伤害保险、养老保险等各类保险费用。</w:t>
      </w:r>
    </w:p>
    <w:p>
      <w:pPr>
        <w:pStyle w:val="27"/>
        <w:spacing w:line="360" w:lineRule="auto"/>
        <w:ind w:firstLine="482"/>
        <w:rPr>
          <w:rFonts w:hint="default" w:ascii="宋体" w:hAnsi="宋体" w:eastAsia="宋体"/>
          <w:b/>
          <w:bCs/>
          <w:color w:val="auto"/>
          <w:highlight w:val="none"/>
          <w:lang w:val="en-US" w:eastAsia="zh-CN"/>
        </w:rPr>
      </w:pPr>
      <w:r>
        <w:rPr>
          <w:rFonts w:hint="eastAsia" w:ascii="宋体" w:hAnsi="宋体" w:eastAsia="宋体"/>
          <w:b/>
          <w:bCs/>
          <w:color w:val="auto"/>
          <w:highlight w:val="none"/>
        </w:rPr>
        <w:t>5、</w:t>
      </w:r>
      <w:r>
        <w:rPr>
          <w:rFonts w:hint="eastAsia" w:cs="宋体"/>
          <w:b/>
          <w:color w:val="auto"/>
          <w:highlight w:val="none"/>
        </w:rPr>
        <w:t>履约保证金</w:t>
      </w:r>
      <w:r>
        <w:rPr>
          <w:rFonts w:hint="eastAsia" w:cs="宋体"/>
          <w:b/>
          <w:color w:val="auto"/>
          <w:highlight w:val="none"/>
          <w:lang w:eastAsia="zh-CN"/>
        </w:rPr>
        <w:t>：</w:t>
      </w:r>
      <w:r>
        <w:rPr>
          <w:rFonts w:hint="eastAsia" w:cs="宋体"/>
          <w:b/>
          <w:color w:val="auto"/>
          <w:highlight w:val="none"/>
          <w:lang w:val="en-US" w:eastAsia="zh-CN"/>
        </w:rPr>
        <w:t>本项目不缴纳履约保证金。</w:t>
      </w:r>
    </w:p>
    <w:p>
      <w:pPr>
        <w:pStyle w:val="27"/>
        <w:spacing w:line="360" w:lineRule="auto"/>
        <w:ind w:firstLine="482"/>
        <w:rPr>
          <w:rFonts w:ascii="宋体" w:hAnsi="宋体" w:eastAsia="宋体"/>
          <w:b/>
          <w:bCs/>
          <w:color w:val="auto"/>
          <w:highlight w:val="none"/>
        </w:rPr>
      </w:pPr>
      <w:r>
        <w:rPr>
          <w:rFonts w:hint="eastAsia"/>
          <w:b/>
          <w:bCs/>
          <w:color w:val="auto"/>
          <w:highlight w:val="none"/>
          <w:lang w:val="en-US" w:eastAsia="zh-CN"/>
        </w:rPr>
        <w:t>6、</w:t>
      </w:r>
      <w:r>
        <w:rPr>
          <w:rFonts w:hint="eastAsia" w:ascii="宋体" w:hAnsi="宋体" w:eastAsia="宋体"/>
          <w:b/>
          <w:bCs/>
          <w:color w:val="auto"/>
          <w:highlight w:val="none"/>
        </w:rPr>
        <w:t>其他根据采购单位要求执行。</w:t>
      </w:r>
    </w:p>
    <w:p>
      <w:pPr>
        <w:spacing w:line="560" w:lineRule="exact"/>
        <w:ind w:firstLine="723" w:firstLineChars="200"/>
        <w:jc w:val="center"/>
        <w:rPr>
          <w:rFonts w:hint="eastAsia" w:ascii="宋体" w:hAnsi="宋体" w:cs="宋体"/>
          <w:b/>
          <w:color w:val="auto"/>
          <w:sz w:val="36"/>
          <w:szCs w:val="36"/>
          <w:highlight w:val="none"/>
        </w:rPr>
      </w:pPr>
    </w:p>
    <w:p>
      <w:pPr>
        <w:spacing w:line="240" w:lineRule="auto"/>
        <w:ind w:firstLine="0" w:firstLineChars="0"/>
        <w:jc w:val="left"/>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560" w:lineRule="exact"/>
        <w:ind w:firstLine="723" w:firstLineChars="200"/>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9" w:name="_Toc184310306"/>
      <w:bookmarkEnd w:id="29"/>
      <w:bookmarkStart w:id="30" w:name="_Toc184312124"/>
      <w:bookmarkEnd w:id="30"/>
      <w:bookmarkStart w:id="31" w:name="_Toc184310297"/>
      <w:bookmarkEnd w:id="31"/>
      <w:bookmarkStart w:id="32" w:name="_Toc184313246"/>
      <w:bookmarkEnd w:id="32"/>
      <w:bookmarkStart w:id="33" w:name="_Toc184314426"/>
      <w:bookmarkEnd w:id="33"/>
      <w:bookmarkStart w:id="34" w:name="_Toc184310341"/>
      <w:bookmarkEnd w:id="34"/>
      <w:bookmarkStart w:id="35" w:name="_Toc184314465"/>
      <w:bookmarkEnd w:id="35"/>
      <w:bookmarkStart w:id="36" w:name="_Toc184313269"/>
      <w:bookmarkEnd w:id="36"/>
      <w:bookmarkStart w:id="37" w:name="_Toc184313265"/>
      <w:bookmarkEnd w:id="37"/>
      <w:bookmarkStart w:id="38" w:name="_Toc184308080"/>
      <w:bookmarkEnd w:id="38"/>
      <w:bookmarkStart w:id="39" w:name="_Toc184310287"/>
      <w:bookmarkEnd w:id="39"/>
      <w:bookmarkStart w:id="40" w:name="_Toc184312076"/>
      <w:bookmarkEnd w:id="40"/>
      <w:bookmarkStart w:id="41" w:name="_Toc184314429"/>
      <w:bookmarkEnd w:id="41"/>
      <w:bookmarkStart w:id="42" w:name="_Toc184310299"/>
      <w:bookmarkEnd w:id="42"/>
      <w:bookmarkStart w:id="43" w:name="_Toc184310332"/>
      <w:bookmarkEnd w:id="43"/>
      <w:bookmarkStart w:id="44" w:name="_Toc184314445"/>
      <w:bookmarkEnd w:id="44"/>
      <w:bookmarkStart w:id="45" w:name="_Toc184314464"/>
      <w:bookmarkEnd w:id="45"/>
      <w:bookmarkStart w:id="46" w:name="_Toc184313264"/>
      <w:bookmarkEnd w:id="46"/>
      <w:bookmarkStart w:id="47" w:name="_Toc184312090"/>
      <w:bookmarkEnd w:id="47"/>
      <w:bookmarkStart w:id="48" w:name="_Toc184313263"/>
      <w:bookmarkEnd w:id="48"/>
      <w:bookmarkStart w:id="49" w:name="_Toc184310274"/>
      <w:bookmarkEnd w:id="49"/>
      <w:bookmarkStart w:id="50" w:name="_Toc184313281"/>
      <w:bookmarkEnd w:id="50"/>
      <w:bookmarkStart w:id="51" w:name="_Toc184308050"/>
      <w:bookmarkEnd w:id="51"/>
      <w:bookmarkStart w:id="52" w:name="_Toc184314419"/>
      <w:bookmarkEnd w:id="52"/>
      <w:bookmarkStart w:id="53" w:name="_Toc184308063"/>
      <w:bookmarkEnd w:id="53"/>
      <w:bookmarkStart w:id="54" w:name="_Toc184308048"/>
      <w:bookmarkEnd w:id="54"/>
      <w:bookmarkStart w:id="55" w:name="_Toc184310292"/>
      <w:bookmarkEnd w:id="55"/>
      <w:bookmarkStart w:id="56" w:name="_Toc184314458"/>
      <w:bookmarkEnd w:id="56"/>
      <w:bookmarkStart w:id="57" w:name="_Toc184310277"/>
      <w:bookmarkEnd w:id="57"/>
      <w:bookmarkStart w:id="58" w:name="_Toc184312106"/>
      <w:bookmarkEnd w:id="58"/>
      <w:bookmarkStart w:id="59" w:name="_Toc184314432"/>
      <w:bookmarkEnd w:id="59"/>
      <w:bookmarkStart w:id="60" w:name="_Toc184308105"/>
      <w:bookmarkEnd w:id="60"/>
      <w:bookmarkStart w:id="61" w:name="_Toc184310302"/>
      <w:bookmarkEnd w:id="61"/>
      <w:bookmarkStart w:id="62" w:name="_Toc184308075"/>
      <w:bookmarkEnd w:id="62"/>
      <w:bookmarkStart w:id="63" w:name="_Toc184310325"/>
      <w:bookmarkEnd w:id="63"/>
      <w:bookmarkStart w:id="64" w:name="_Toc184314410"/>
      <w:bookmarkEnd w:id="64"/>
      <w:bookmarkStart w:id="65" w:name="_Toc184314461"/>
      <w:bookmarkEnd w:id="65"/>
      <w:bookmarkStart w:id="66" w:name="_Toc184314455"/>
      <w:bookmarkEnd w:id="66"/>
      <w:bookmarkStart w:id="67" w:name="_Toc184314412"/>
      <w:bookmarkEnd w:id="67"/>
      <w:bookmarkStart w:id="68" w:name="_Toc184313259"/>
      <w:bookmarkEnd w:id="68"/>
      <w:bookmarkStart w:id="69" w:name="_Toc184308051"/>
      <w:bookmarkEnd w:id="69"/>
      <w:bookmarkStart w:id="70" w:name="_Toc184308040"/>
      <w:bookmarkEnd w:id="70"/>
      <w:bookmarkStart w:id="71" w:name="_Toc184310310"/>
      <w:bookmarkEnd w:id="71"/>
      <w:bookmarkStart w:id="72" w:name="_Toc184312086"/>
      <w:bookmarkEnd w:id="72"/>
      <w:bookmarkStart w:id="73" w:name="_Toc184313288"/>
      <w:bookmarkEnd w:id="73"/>
      <w:bookmarkStart w:id="74" w:name="_Toc184308059"/>
      <w:bookmarkEnd w:id="74"/>
      <w:bookmarkStart w:id="75" w:name="_Toc184312103"/>
      <w:bookmarkEnd w:id="75"/>
      <w:bookmarkStart w:id="76" w:name="_Toc184313303"/>
      <w:bookmarkEnd w:id="76"/>
      <w:bookmarkStart w:id="77" w:name="_Toc184314417"/>
      <w:bookmarkEnd w:id="77"/>
      <w:bookmarkStart w:id="78" w:name="_Toc184314453"/>
      <w:bookmarkEnd w:id="78"/>
      <w:bookmarkStart w:id="79" w:name="_Toc184312069"/>
      <w:bookmarkEnd w:id="79"/>
      <w:bookmarkStart w:id="80" w:name="_Toc184313262"/>
      <w:bookmarkEnd w:id="80"/>
      <w:bookmarkStart w:id="81" w:name="_Toc184314451"/>
      <w:bookmarkEnd w:id="81"/>
      <w:bookmarkStart w:id="82" w:name="_Toc184310314"/>
      <w:bookmarkEnd w:id="82"/>
      <w:bookmarkStart w:id="83" w:name="_Toc184313266"/>
      <w:bookmarkEnd w:id="83"/>
      <w:bookmarkStart w:id="84" w:name="_Toc184314414"/>
      <w:bookmarkEnd w:id="84"/>
      <w:bookmarkStart w:id="85" w:name="_Toc184308100"/>
      <w:bookmarkEnd w:id="85"/>
      <w:bookmarkStart w:id="86" w:name="_Toc184314467"/>
      <w:bookmarkEnd w:id="86"/>
      <w:bookmarkStart w:id="87" w:name="_Toc184313283"/>
      <w:bookmarkEnd w:id="87"/>
      <w:bookmarkStart w:id="88" w:name="_Toc184310312"/>
      <w:bookmarkEnd w:id="88"/>
      <w:bookmarkStart w:id="89" w:name="_Toc184308058"/>
      <w:bookmarkEnd w:id="89"/>
      <w:bookmarkStart w:id="90" w:name="_Toc184312119"/>
      <w:bookmarkEnd w:id="90"/>
      <w:bookmarkStart w:id="91" w:name="_Toc184310327"/>
      <w:bookmarkEnd w:id="91"/>
      <w:bookmarkStart w:id="92" w:name="_Toc184310295"/>
      <w:bookmarkEnd w:id="92"/>
      <w:bookmarkStart w:id="93" w:name="_Toc184308064"/>
      <w:bookmarkEnd w:id="93"/>
      <w:bookmarkStart w:id="94" w:name="_Toc184308060"/>
      <w:bookmarkEnd w:id="94"/>
      <w:bookmarkStart w:id="95" w:name="_Toc184312095"/>
      <w:bookmarkEnd w:id="95"/>
      <w:bookmarkStart w:id="96" w:name="_Toc184310285"/>
      <w:bookmarkEnd w:id="96"/>
      <w:bookmarkStart w:id="97" w:name="_Toc184308049"/>
      <w:bookmarkEnd w:id="97"/>
      <w:bookmarkStart w:id="98" w:name="_Toc184308045"/>
      <w:bookmarkEnd w:id="98"/>
      <w:bookmarkStart w:id="99" w:name="_Toc184310286"/>
      <w:bookmarkEnd w:id="99"/>
      <w:bookmarkStart w:id="100" w:name="_Toc184314435"/>
      <w:bookmarkEnd w:id="100"/>
      <w:bookmarkStart w:id="101" w:name="_Toc184314415"/>
      <w:bookmarkEnd w:id="101"/>
      <w:bookmarkStart w:id="102" w:name="_Toc184310300"/>
      <w:bookmarkEnd w:id="102"/>
      <w:bookmarkStart w:id="103" w:name="_Toc184314443"/>
      <w:bookmarkEnd w:id="103"/>
      <w:bookmarkStart w:id="104" w:name="_Toc184310322"/>
      <w:bookmarkEnd w:id="104"/>
      <w:bookmarkStart w:id="105" w:name="_Toc184310331"/>
      <w:bookmarkEnd w:id="105"/>
      <w:bookmarkStart w:id="106" w:name="_Toc184313285"/>
      <w:bookmarkEnd w:id="106"/>
      <w:bookmarkStart w:id="107" w:name="_Toc184314479"/>
      <w:bookmarkEnd w:id="107"/>
      <w:bookmarkStart w:id="108" w:name="_Toc184312133"/>
      <w:bookmarkEnd w:id="108"/>
      <w:bookmarkStart w:id="109" w:name="_Toc184312077"/>
      <w:bookmarkEnd w:id="109"/>
      <w:bookmarkStart w:id="110" w:name="_Toc184313284"/>
      <w:bookmarkEnd w:id="110"/>
      <w:bookmarkStart w:id="111" w:name="_Toc184312089"/>
      <w:bookmarkEnd w:id="111"/>
      <w:bookmarkStart w:id="112" w:name="_Toc184313239"/>
      <w:bookmarkEnd w:id="112"/>
      <w:bookmarkStart w:id="113" w:name="_Toc184313282"/>
      <w:bookmarkEnd w:id="113"/>
      <w:bookmarkStart w:id="114" w:name="_Toc184312128"/>
      <w:bookmarkEnd w:id="114"/>
      <w:bookmarkStart w:id="115" w:name="_Toc184310324"/>
      <w:bookmarkEnd w:id="115"/>
      <w:bookmarkStart w:id="116" w:name="_Toc184308052"/>
      <w:bookmarkEnd w:id="116"/>
      <w:bookmarkStart w:id="117" w:name="_Toc184310303"/>
      <w:bookmarkEnd w:id="117"/>
      <w:bookmarkStart w:id="118" w:name="_Toc184314474"/>
      <w:bookmarkEnd w:id="118"/>
      <w:bookmarkStart w:id="119" w:name="_Toc184313294"/>
      <w:bookmarkEnd w:id="119"/>
      <w:bookmarkStart w:id="120" w:name="_Toc184314449"/>
      <w:bookmarkEnd w:id="120"/>
      <w:bookmarkStart w:id="121" w:name="_Toc184312122"/>
      <w:bookmarkEnd w:id="121"/>
      <w:bookmarkStart w:id="122" w:name="_Toc184310318"/>
      <w:bookmarkEnd w:id="122"/>
      <w:bookmarkStart w:id="123" w:name="_Toc184310304"/>
      <w:bookmarkEnd w:id="123"/>
      <w:bookmarkStart w:id="124" w:name="_Toc184314437"/>
      <w:bookmarkEnd w:id="124"/>
      <w:bookmarkStart w:id="125" w:name="_Toc184310282"/>
      <w:bookmarkEnd w:id="125"/>
      <w:bookmarkStart w:id="126" w:name="_Toc184308084"/>
      <w:bookmarkEnd w:id="126"/>
      <w:bookmarkStart w:id="127" w:name="_Toc184313277"/>
      <w:bookmarkEnd w:id="127"/>
      <w:bookmarkStart w:id="128" w:name="_Toc184314439"/>
      <w:bookmarkEnd w:id="128"/>
      <w:bookmarkStart w:id="129" w:name="_Toc184308056"/>
      <w:bookmarkEnd w:id="129"/>
      <w:bookmarkStart w:id="130" w:name="_Toc184313291"/>
      <w:bookmarkEnd w:id="130"/>
      <w:bookmarkStart w:id="131" w:name="_Toc184313248"/>
      <w:bookmarkEnd w:id="131"/>
      <w:bookmarkStart w:id="132" w:name="_Toc184313249"/>
      <w:bookmarkEnd w:id="132"/>
      <w:bookmarkStart w:id="133" w:name="_Toc184310296"/>
      <w:bookmarkEnd w:id="133"/>
      <w:bookmarkStart w:id="134" w:name="_Toc184312113"/>
      <w:bookmarkEnd w:id="134"/>
      <w:bookmarkStart w:id="135" w:name="_Toc184308090"/>
      <w:bookmarkEnd w:id="135"/>
      <w:bookmarkStart w:id="136" w:name="_Toc184313252"/>
      <w:bookmarkEnd w:id="136"/>
      <w:bookmarkStart w:id="137" w:name="_Toc184308065"/>
      <w:bookmarkEnd w:id="137"/>
      <w:bookmarkStart w:id="138" w:name="_Toc184310290"/>
      <w:bookmarkEnd w:id="138"/>
      <w:bookmarkStart w:id="139" w:name="_Toc184308068"/>
      <w:bookmarkEnd w:id="139"/>
      <w:bookmarkStart w:id="140" w:name="_Toc184310294"/>
      <w:bookmarkEnd w:id="140"/>
      <w:bookmarkStart w:id="141" w:name="_Toc184308094"/>
      <w:bookmarkEnd w:id="141"/>
      <w:bookmarkStart w:id="142" w:name="_Toc184313276"/>
      <w:bookmarkEnd w:id="142"/>
      <w:bookmarkStart w:id="143" w:name="_Toc184310330"/>
      <w:bookmarkEnd w:id="143"/>
      <w:bookmarkStart w:id="144" w:name="_Toc184314423"/>
      <w:bookmarkEnd w:id="144"/>
      <w:bookmarkStart w:id="145" w:name="_Toc184310343"/>
      <w:bookmarkEnd w:id="145"/>
      <w:bookmarkStart w:id="146" w:name="_Toc184310283"/>
      <w:bookmarkEnd w:id="146"/>
      <w:bookmarkStart w:id="147" w:name="_Toc184308107"/>
      <w:bookmarkEnd w:id="147"/>
      <w:bookmarkStart w:id="148" w:name="_Toc184314447"/>
      <w:bookmarkEnd w:id="148"/>
      <w:bookmarkStart w:id="149" w:name="_Toc184308071"/>
      <w:bookmarkEnd w:id="149"/>
      <w:bookmarkStart w:id="150" w:name="_Toc184308043"/>
      <w:bookmarkEnd w:id="150"/>
      <w:bookmarkStart w:id="151" w:name="_Toc184314440"/>
      <w:bookmarkEnd w:id="151"/>
      <w:bookmarkStart w:id="152" w:name="_Toc184310307"/>
      <w:bookmarkEnd w:id="152"/>
      <w:bookmarkStart w:id="153" w:name="_Toc184314482"/>
      <w:bookmarkEnd w:id="153"/>
      <w:bookmarkStart w:id="154" w:name="_Toc184314427"/>
      <w:bookmarkEnd w:id="154"/>
      <w:bookmarkStart w:id="155" w:name="_Toc184312110"/>
      <w:bookmarkEnd w:id="155"/>
      <w:bookmarkStart w:id="156" w:name="_Toc184314457"/>
      <w:bookmarkEnd w:id="156"/>
      <w:bookmarkStart w:id="157" w:name="_Toc184312079"/>
      <w:bookmarkEnd w:id="157"/>
      <w:bookmarkStart w:id="158" w:name="_Toc184308039"/>
      <w:bookmarkEnd w:id="158"/>
      <w:bookmarkStart w:id="159" w:name="_Toc184313253"/>
      <w:bookmarkEnd w:id="159"/>
      <w:bookmarkStart w:id="160" w:name="_Toc184313273"/>
      <w:bookmarkEnd w:id="160"/>
      <w:bookmarkStart w:id="161" w:name="_Toc184310309"/>
      <w:bookmarkEnd w:id="161"/>
      <w:bookmarkStart w:id="162" w:name="_Toc184310344"/>
      <w:bookmarkEnd w:id="162"/>
      <w:bookmarkStart w:id="163" w:name="_Toc184314446"/>
      <w:bookmarkEnd w:id="163"/>
      <w:bookmarkStart w:id="164" w:name="_Toc184313310"/>
      <w:bookmarkEnd w:id="164"/>
      <w:bookmarkStart w:id="165" w:name="_Toc184312123"/>
      <w:bookmarkEnd w:id="165"/>
      <w:bookmarkStart w:id="166" w:name="_Toc184310339"/>
      <w:bookmarkEnd w:id="166"/>
      <w:bookmarkStart w:id="167" w:name="_Toc184312126"/>
      <w:bookmarkEnd w:id="167"/>
      <w:bookmarkStart w:id="168" w:name="_Toc184308070"/>
      <w:bookmarkEnd w:id="168"/>
      <w:bookmarkStart w:id="169" w:name="_Toc184312074"/>
      <w:bookmarkEnd w:id="169"/>
      <w:bookmarkStart w:id="170" w:name="_Toc184314441"/>
      <w:bookmarkEnd w:id="170"/>
      <w:bookmarkStart w:id="171" w:name="_Toc184314468"/>
      <w:bookmarkEnd w:id="171"/>
      <w:bookmarkStart w:id="172" w:name="_Toc184308081"/>
      <w:bookmarkEnd w:id="172"/>
      <w:bookmarkStart w:id="173" w:name="_Toc184312136"/>
      <w:bookmarkEnd w:id="173"/>
      <w:bookmarkStart w:id="174" w:name="_Toc184314424"/>
      <w:bookmarkEnd w:id="174"/>
      <w:bookmarkStart w:id="175" w:name="_Toc184314454"/>
      <w:bookmarkEnd w:id="175"/>
      <w:bookmarkStart w:id="176" w:name="_Toc184313275"/>
      <w:bookmarkEnd w:id="176"/>
      <w:bookmarkStart w:id="177" w:name="_Toc184312120"/>
      <w:bookmarkEnd w:id="177"/>
      <w:bookmarkStart w:id="178" w:name="_Toc184312135"/>
      <w:bookmarkEnd w:id="178"/>
      <w:bookmarkStart w:id="179" w:name="_Toc184313267"/>
      <w:bookmarkEnd w:id="179"/>
      <w:bookmarkStart w:id="180" w:name="_Toc184314444"/>
      <w:bookmarkEnd w:id="180"/>
      <w:bookmarkStart w:id="181" w:name="_Toc184308054"/>
      <w:bookmarkEnd w:id="181"/>
      <w:bookmarkStart w:id="182" w:name="_Toc184308092"/>
      <w:bookmarkEnd w:id="182"/>
      <w:bookmarkStart w:id="183" w:name="_Toc184312102"/>
      <w:bookmarkEnd w:id="183"/>
      <w:bookmarkStart w:id="184" w:name="_Toc184310317"/>
      <w:bookmarkEnd w:id="184"/>
      <w:bookmarkStart w:id="185" w:name="_Toc184310337"/>
      <w:bookmarkEnd w:id="185"/>
      <w:bookmarkStart w:id="186" w:name="_Toc184313304"/>
      <w:bookmarkEnd w:id="186"/>
      <w:bookmarkStart w:id="187" w:name="_Toc184310273"/>
      <w:bookmarkEnd w:id="187"/>
      <w:bookmarkStart w:id="188" w:name="_Toc184308103"/>
      <w:bookmarkEnd w:id="188"/>
      <w:bookmarkStart w:id="189" w:name="_Toc184313257"/>
      <w:bookmarkEnd w:id="189"/>
      <w:bookmarkStart w:id="190" w:name="_Toc184314411"/>
      <w:bookmarkEnd w:id="190"/>
      <w:bookmarkStart w:id="191" w:name="_Toc184312111"/>
      <w:bookmarkEnd w:id="191"/>
      <w:bookmarkStart w:id="192" w:name="_Toc184308073"/>
      <w:bookmarkEnd w:id="192"/>
      <w:bookmarkStart w:id="193" w:name="_Toc184312081"/>
      <w:bookmarkEnd w:id="193"/>
      <w:bookmarkStart w:id="194" w:name="_Toc184312117"/>
      <w:bookmarkEnd w:id="194"/>
      <w:bookmarkStart w:id="195" w:name="_Toc184313241"/>
      <w:bookmarkEnd w:id="195"/>
      <w:bookmarkStart w:id="196" w:name="_Toc184310289"/>
      <w:bookmarkEnd w:id="196"/>
      <w:bookmarkStart w:id="197" w:name="_Toc184310301"/>
      <w:bookmarkEnd w:id="197"/>
      <w:bookmarkStart w:id="198" w:name="_Toc184313301"/>
      <w:bookmarkEnd w:id="198"/>
      <w:bookmarkStart w:id="199" w:name="_Toc184308037"/>
      <w:bookmarkEnd w:id="199"/>
      <w:bookmarkStart w:id="200" w:name="_Toc184310336"/>
      <w:bookmarkEnd w:id="200"/>
      <w:bookmarkStart w:id="201" w:name="_Toc184310280"/>
      <w:bookmarkEnd w:id="201"/>
      <w:bookmarkStart w:id="202" w:name="_Toc184313289"/>
      <w:bookmarkEnd w:id="202"/>
      <w:bookmarkStart w:id="203" w:name="_Toc184313297"/>
      <w:bookmarkEnd w:id="203"/>
      <w:bookmarkStart w:id="204" w:name="_Toc184310321"/>
      <w:bookmarkEnd w:id="204"/>
      <w:bookmarkStart w:id="205" w:name="_Toc184313251"/>
      <w:bookmarkEnd w:id="205"/>
      <w:bookmarkStart w:id="206" w:name="_Toc184312067"/>
      <w:bookmarkEnd w:id="206"/>
      <w:bookmarkStart w:id="207" w:name="_Toc184310320"/>
      <w:bookmarkEnd w:id="207"/>
      <w:bookmarkStart w:id="208" w:name="_Toc184312073"/>
      <w:bookmarkEnd w:id="208"/>
      <w:bookmarkStart w:id="209" w:name="_Toc184308055"/>
      <w:bookmarkEnd w:id="209"/>
      <w:bookmarkStart w:id="210" w:name="_Toc184314480"/>
      <w:bookmarkEnd w:id="210"/>
      <w:bookmarkStart w:id="211" w:name="_Toc184308098"/>
      <w:bookmarkEnd w:id="211"/>
      <w:bookmarkStart w:id="212" w:name="_Toc184310338"/>
      <w:bookmarkEnd w:id="212"/>
      <w:bookmarkStart w:id="213" w:name="_Toc184308038"/>
      <w:bookmarkEnd w:id="213"/>
      <w:bookmarkStart w:id="214" w:name="_Toc184308097"/>
      <w:bookmarkEnd w:id="214"/>
      <w:bookmarkStart w:id="215" w:name="_Toc184308053"/>
      <w:bookmarkEnd w:id="215"/>
      <w:bookmarkStart w:id="216" w:name="_Toc184310293"/>
      <w:bookmarkEnd w:id="216"/>
      <w:bookmarkStart w:id="217" w:name="_Toc184312098"/>
      <w:bookmarkEnd w:id="217"/>
      <w:bookmarkStart w:id="218" w:name="_Toc184314421"/>
      <w:bookmarkEnd w:id="218"/>
      <w:bookmarkStart w:id="219" w:name="_Toc184310329"/>
      <w:bookmarkEnd w:id="219"/>
      <w:bookmarkStart w:id="220" w:name="_Toc184310319"/>
      <w:bookmarkEnd w:id="220"/>
      <w:bookmarkStart w:id="221" w:name="_Toc184314420"/>
      <w:bookmarkEnd w:id="221"/>
      <w:bookmarkStart w:id="222" w:name="_Toc184313280"/>
      <w:bookmarkEnd w:id="222"/>
      <w:bookmarkStart w:id="223" w:name="_Toc184308074"/>
      <w:bookmarkEnd w:id="223"/>
      <w:bookmarkStart w:id="224" w:name="_Toc184313242"/>
      <w:bookmarkEnd w:id="224"/>
      <w:bookmarkStart w:id="225" w:name="_Toc184310333"/>
      <w:bookmarkEnd w:id="225"/>
      <w:bookmarkStart w:id="226" w:name="_Toc184308086"/>
      <w:bookmarkEnd w:id="226"/>
      <w:bookmarkStart w:id="227" w:name="_Toc184310342"/>
      <w:bookmarkEnd w:id="227"/>
      <w:bookmarkStart w:id="228" w:name="_Toc184313258"/>
      <w:bookmarkEnd w:id="228"/>
      <w:bookmarkStart w:id="229" w:name="_Toc184314433"/>
      <w:bookmarkEnd w:id="229"/>
      <w:bookmarkStart w:id="230" w:name="_Toc184314422"/>
      <w:bookmarkEnd w:id="230"/>
      <w:bookmarkStart w:id="231" w:name="_Toc184314431"/>
      <w:bookmarkEnd w:id="231"/>
      <w:bookmarkStart w:id="232" w:name="_Toc184308041"/>
      <w:bookmarkEnd w:id="232"/>
      <w:bookmarkStart w:id="233" w:name="_Toc184313270"/>
      <w:bookmarkEnd w:id="233"/>
      <w:bookmarkStart w:id="234" w:name="_Toc184313255"/>
      <w:bookmarkEnd w:id="234"/>
      <w:bookmarkStart w:id="235" w:name="_Toc184313305"/>
      <w:bookmarkEnd w:id="235"/>
      <w:bookmarkStart w:id="236" w:name="_Toc184308062"/>
      <w:bookmarkEnd w:id="236"/>
      <w:bookmarkStart w:id="237" w:name="_Toc184313296"/>
      <w:bookmarkEnd w:id="237"/>
      <w:bookmarkStart w:id="238" w:name="_Toc184312109"/>
      <w:bookmarkEnd w:id="238"/>
      <w:bookmarkStart w:id="239" w:name="_Toc184308089"/>
      <w:bookmarkEnd w:id="239"/>
      <w:bookmarkStart w:id="240" w:name="_Toc184312084"/>
      <w:bookmarkEnd w:id="240"/>
      <w:bookmarkStart w:id="241" w:name="_Toc184314469"/>
      <w:bookmarkEnd w:id="241"/>
      <w:bookmarkStart w:id="242" w:name="_Toc184312101"/>
      <w:bookmarkEnd w:id="242"/>
      <w:bookmarkStart w:id="243" w:name="_Toc184314471"/>
      <w:bookmarkEnd w:id="243"/>
      <w:bookmarkStart w:id="244" w:name="_Toc184313256"/>
      <w:bookmarkEnd w:id="244"/>
      <w:bookmarkStart w:id="245" w:name="_Toc184313300"/>
      <w:bookmarkEnd w:id="245"/>
      <w:bookmarkStart w:id="246" w:name="_Toc184312104"/>
      <w:bookmarkEnd w:id="246"/>
      <w:bookmarkStart w:id="247" w:name="_Toc184312071"/>
      <w:bookmarkEnd w:id="247"/>
      <w:bookmarkStart w:id="248" w:name="_Toc184310291"/>
      <w:bookmarkEnd w:id="248"/>
      <w:bookmarkStart w:id="249" w:name="_Toc184310308"/>
      <w:bookmarkEnd w:id="249"/>
      <w:bookmarkStart w:id="250" w:name="_Toc184314462"/>
      <w:bookmarkEnd w:id="250"/>
      <w:bookmarkStart w:id="251" w:name="_Toc184308093"/>
      <w:bookmarkEnd w:id="251"/>
      <w:bookmarkStart w:id="252" w:name="_Toc184312087"/>
      <w:bookmarkEnd w:id="252"/>
      <w:bookmarkStart w:id="253" w:name="_Toc184312118"/>
      <w:bookmarkEnd w:id="253"/>
      <w:bookmarkStart w:id="254" w:name="_Toc184310328"/>
      <w:bookmarkEnd w:id="254"/>
      <w:bookmarkStart w:id="255" w:name="_Toc184310281"/>
      <w:bookmarkEnd w:id="255"/>
      <w:bookmarkStart w:id="256" w:name="_Toc184310316"/>
      <w:bookmarkEnd w:id="256"/>
      <w:bookmarkStart w:id="257" w:name="_Toc184310276"/>
      <w:bookmarkEnd w:id="257"/>
      <w:bookmarkStart w:id="258" w:name="_Toc184314452"/>
      <w:bookmarkEnd w:id="258"/>
      <w:bookmarkStart w:id="259" w:name="_Toc184308087"/>
      <w:bookmarkEnd w:id="259"/>
      <w:bookmarkStart w:id="260" w:name="_Toc184314416"/>
      <w:bookmarkEnd w:id="260"/>
      <w:bookmarkStart w:id="261" w:name="_Toc184314473"/>
      <w:bookmarkEnd w:id="261"/>
      <w:bookmarkStart w:id="262" w:name="_Toc184310278"/>
      <w:bookmarkEnd w:id="262"/>
      <w:bookmarkStart w:id="263" w:name="_Toc184312127"/>
      <w:bookmarkEnd w:id="263"/>
      <w:bookmarkStart w:id="264" w:name="_Toc184313254"/>
      <w:bookmarkEnd w:id="264"/>
      <w:bookmarkStart w:id="265" w:name="_Toc184313240"/>
      <w:bookmarkEnd w:id="265"/>
      <w:bookmarkStart w:id="266" w:name="_Toc184314463"/>
      <w:bookmarkEnd w:id="266"/>
      <w:bookmarkStart w:id="267" w:name="_Toc184312099"/>
      <w:bookmarkEnd w:id="267"/>
      <w:bookmarkStart w:id="268" w:name="_Toc184313295"/>
      <w:bookmarkEnd w:id="268"/>
      <w:bookmarkStart w:id="269" w:name="_Toc184312078"/>
      <w:bookmarkEnd w:id="269"/>
      <w:bookmarkStart w:id="270" w:name="_Toc184314413"/>
      <w:bookmarkEnd w:id="270"/>
      <w:bookmarkStart w:id="271" w:name="_Toc184312116"/>
      <w:bookmarkEnd w:id="271"/>
      <w:bookmarkStart w:id="272" w:name="_Toc184308078"/>
      <w:bookmarkEnd w:id="272"/>
      <w:bookmarkStart w:id="273" w:name="_Toc184314477"/>
      <w:bookmarkEnd w:id="273"/>
      <w:bookmarkStart w:id="274" w:name="_Toc184314456"/>
      <w:bookmarkEnd w:id="274"/>
      <w:bookmarkStart w:id="275" w:name="_Toc184313243"/>
      <w:bookmarkEnd w:id="275"/>
      <w:bookmarkStart w:id="276" w:name="_Toc184312080"/>
      <w:bookmarkEnd w:id="276"/>
      <w:bookmarkStart w:id="277" w:name="_Toc184312114"/>
      <w:bookmarkEnd w:id="277"/>
      <w:bookmarkStart w:id="278" w:name="_Toc184310340"/>
      <w:bookmarkEnd w:id="278"/>
      <w:bookmarkStart w:id="279" w:name="_Toc184308042"/>
      <w:bookmarkEnd w:id="279"/>
      <w:bookmarkStart w:id="280" w:name="_Toc184308077"/>
      <w:bookmarkEnd w:id="280"/>
      <w:bookmarkStart w:id="281" w:name="_Toc184312132"/>
      <w:bookmarkEnd w:id="281"/>
      <w:bookmarkStart w:id="282" w:name="_Toc184312070"/>
      <w:bookmarkEnd w:id="282"/>
      <w:bookmarkStart w:id="283" w:name="_Toc184308095"/>
      <w:bookmarkEnd w:id="283"/>
      <w:bookmarkStart w:id="284" w:name="_Toc184312096"/>
      <w:bookmarkEnd w:id="284"/>
      <w:bookmarkStart w:id="285" w:name="_Toc184308046"/>
      <w:bookmarkEnd w:id="285"/>
      <w:bookmarkStart w:id="286" w:name="_Toc184314459"/>
      <w:bookmarkEnd w:id="286"/>
      <w:bookmarkStart w:id="287" w:name="_Toc184308057"/>
      <w:bookmarkEnd w:id="287"/>
      <w:bookmarkStart w:id="288" w:name="_Toc184308099"/>
      <w:bookmarkEnd w:id="288"/>
      <w:bookmarkStart w:id="289" w:name="_Toc184310284"/>
      <w:bookmarkEnd w:id="289"/>
      <w:bookmarkStart w:id="290" w:name="_Toc184308104"/>
      <w:bookmarkEnd w:id="290"/>
      <w:bookmarkStart w:id="291" w:name="_Toc184314476"/>
      <w:bookmarkEnd w:id="291"/>
      <w:bookmarkStart w:id="292" w:name="_Toc184313290"/>
      <w:bookmarkEnd w:id="292"/>
      <w:bookmarkStart w:id="293" w:name="_Toc184312092"/>
      <w:bookmarkEnd w:id="293"/>
      <w:bookmarkStart w:id="294" w:name="_Toc184312085"/>
      <w:bookmarkEnd w:id="294"/>
      <w:bookmarkStart w:id="295" w:name="_Toc184313306"/>
      <w:bookmarkEnd w:id="295"/>
      <w:bookmarkStart w:id="296" w:name="_Toc184312137"/>
      <w:bookmarkEnd w:id="296"/>
      <w:bookmarkStart w:id="297" w:name="_Toc184312130"/>
      <w:bookmarkEnd w:id="297"/>
      <w:bookmarkStart w:id="298" w:name="_Toc184313260"/>
      <w:bookmarkEnd w:id="298"/>
      <w:bookmarkStart w:id="299" w:name="_Toc184314472"/>
      <w:bookmarkEnd w:id="299"/>
      <w:bookmarkStart w:id="300" w:name="_Toc184314481"/>
      <w:bookmarkEnd w:id="300"/>
      <w:bookmarkStart w:id="301" w:name="_Toc184313247"/>
      <w:bookmarkEnd w:id="301"/>
      <w:bookmarkStart w:id="302" w:name="_Toc184314478"/>
      <w:bookmarkEnd w:id="302"/>
      <w:bookmarkStart w:id="303" w:name="_Toc184310311"/>
      <w:bookmarkEnd w:id="303"/>
      <w:bookmarkStart w:id="304" w:name="_Toc184314425"/>
      <w:bookmarkEnd w:id="304"/>
      <w:bookmarkStart w:id="305" w:name="_Toc184310275"/>
      <w:bookmarkEnd w:id="305"/>
      <w:bookmarkStart w:id="306" w:name="_Toc184308091"/>
      <w:bookmarkEnd w:id="306"/>
      <w:bookmarkStart w:id="307" w:name="_Toc184314418"/>
      <w:bookmarkEnd w:id="307"/>
      <w:bookmarkStart w:id="308" w:name="_Toc184313278"/>
      <w:bookmarkEnd w:id="308"/>
      <w:bookmarkStart w:id="309" w:name="_Toc184312072"/>
      <w:bookmarkEnd w:id="309"/>
      <w:bookmarkStart w:id="310" w:name="_Toc184313298"/>
      <w:bookmarkEnd w:id="310"/>
      <w:bookmarkStart w:id="311" w:name="_Toc184312134"/>
      <w:bookmarkEnd w:id="311"/>
      <w:bookmarkStart w:id="312" w:name="_Toc184308083"/>
      <w:bookmarkEnd w:id="312"/>
      <w:bookmarkStart w:id="313" w:name="_Toc184312105"/>
      <w:bookmarkEnd w:id="313"/>
      <w:bookmarkStart w:id="314" w:name="_Toc184312100"/>
      <w:bookmarkEnd w:id="314"/>
      <w:bookmarkStart w:id="315" w:name="_Toc184310288"/>
      <w:bookmarkEnd w:id="315"/>
      <w:bookmarkStart w:id="316" w:name="_Toc184308036"/>
      <w:bookmarkEnd w:id="316"/>
      <w:bookmarkStart w:id="317" w:name="_Toc184310334"/>
      <w:bookmarkEnd w:id="317"/>
      <w:bookmarkStart w:id="318" w:name="_Toc184312131"/>
      <w:bookmarkEnd w:id="318"/>
      <w:bookmarkStart w:id="319" w:name="_Toc184308082"/>
      <w:bookmarkEnd w:id="319"/>
      <w:bookmarkStart w:id="320" w:name="_Toc184313244"/>
      <w:bookmarkEnd w:id="320"/>
      <w:bookmarkStart w:id="321" w:name="_Toc184308101"/>
      <w:bookmarkEnd w:id="321"/>
      <w:bookmarkStart w:id="322" w:name="_Toc184313287"/>
      <w:bookmarkEnd w:id="322"/>
      <w:bookmarkStart w:id="323" w:name="_Toc184313272"/>
      <w:bookmarkEnd w:id="323"/>
      <w:bookmarkStart w:id="324" w:name="_Toc184312083"/>
      <w:bookmarkEnd w:id="324"/>
      <w:bookmarkStart w:id="325" w:name="_Toc184308061"/>
      <w:bookmarkEnd w:id="325"/>
      <w:bookmarkStart w:id="326" w:name="_Toc184314438"/>
      <w:bookmarkEnd w:id="326"/>
      <w:bookmarkStart w:id="327" w:name="_Toc184313238"/>
      <w:bookmarkEnd w:id="327"/>
      <w:bookmarkStart w:id="328" w:name="_Toc184308047"/>
      <w:bookmarkEnd w:id="328"/>
      <w:bookmarkStart w:id="329" w:name="_Toc184314442"/>
      <w:bookmarkEnd w:id="329"/>
      <w:bookmarkStart w:id="330" w:name="_Toc184308079"/>
      <w:bookmarkEnd w:id="330"/>
      <w:bookmarkStart w:id="331" w:name="_Toc184308067"/>
      <w:bookmarkEnd w:id="331"/>
      <w:bookmarkStart w:id="332" w:name="_Toc184310313"/>
      <w:bookmarkEnd w:id="332"/>
      <w:bookmarkStart w:id="333" w:name="_Toc184308108"/>
      <w:bookmarkEnd w:id="333"/>
      <w:bookmarkStart w:id="334" w:name="_Toc184313293"/>
      <w:bookmarkEnd w:id="334"/>
      <w:bookmarkStart w:id="335" w:name="_Toc184313307"/>
      <w:bookmarkEnd w:id="335"/>
      <w:bookmarkStart w:id="336" w:name="_Toc184308066"/>
      <w:bookmarkEnd w:id="336"/>
      <w:bookmarkStart w:id="337" w:name="_Toc184312091"/>
      <w:bookmarkEnd w:id="337"/>
      <w:bookmarkStart w:id="338" w:name="_Toc184308072"/>
      <w:bookmarkEnd w:id="338"/>
      <w:bookmarkStart w:id="339" w:name="_Toc184314470"/>
      <w:bookmarkEnd w:id="339"/>
      <w:bookmarkStart w:id="340" w:name="_Toc184313245"/>
      <w:bookmarkEnd w:id="340"/>
      <w:bookmarkStart w:id="341" w:name="_Toc184310298"/>
      <w:bookmarkEnd w:id="341"/>
      <w:bookmarkStart w:id="342" w:name="_Toc184313250"/>
      <w:bookmarkEnd w:id="342"/>
      <w:bookmarkStart w:id="343" w:name="_Toc184312115"/>
      <w:bookmarkEnd w:id="343"/>
      <w:bookmarkStart w:id="344" w:name="_Toc184308069"/>
      <w:bookmarkEnd w:id="344"/>
      <w:bookmarkStart w:id="345" w:name="_Toc184312121"/>
      <w:bookmarkEnd w:id="345"/>
      <w:bookmarkStart w:id="346" w:name="_Toc184312094"/>
      <w:bookmarkEnd w:id="346"/>
      <w:bookmarkStart w:id="347" w:name="_Toc184314428"/>
      <w:bookmarkEnd w:id="347"/>
      <w:bookmarkStart w:id="348" w:name="_Toc184308085"/>
      <w:bookmarkEnd w:id="348"/>
      <w:bookmarkStart w:id="349" w:name="_Toc184314466"/>
      <w:bookmarkEnd w:id="349"/>
      <w:bookmarkStart w:id="350" w:name="_Toc184314448"/>
      <w:bookmarkEnd w:id="350"/>
      <w:bookmarkStart w:id="351" w:name="_Toc184313292"/>
      <w:bookmarkEnd w:id="351"/>
      <w:bookmarkStart w:id="352" w:name="_Toc184313279"/>
      <w:bookmarkEnd w:id="352"/>
      <w:bookmarkStart w:id="353" w:name="_Toc184313302"/>
      <w:bookmarkEnd w:id="353"/>
      <w:bookmarkStart w:id="354" w:name="_Toc184310315"/>
      <w:bookmarkEnd w:id="354"/>
      <w:bookmarkStart w:id="355" w:name="_Toc184313299"/>
      <w:bookmarkEnd w:id="355"/>
      <w:bookmarkStart w:id="356" w:name="_Toc184312075"/>
      <w:bookmarkEnd w:id="356"/>
      <w:bookmarkStart w:id="357" w:name="_Toc184312125"/>
      <w:bookmarkEnd w:id="357"/>
      <w:bookmarkStart w:id="358" w:name="_Toc184314430"/>
      <w:bookmarkEnd w:id="358"/>
      <w:bookmarkStart w:id="359" w:name="_Toc184314434"/>
      <w:bookmarkEnd w:id="359"/>
      <w:bookmarkStart w:id="360" w:name="_Toc184310323"/>
      <w:bookmarkEnd w:id="360"/>
      <w:bookmarkStart w:id="361" w:name="_Toc184308044"/>
      <w:bookmarkEnd w:id="361"/>
      <w:bookmarkStart w:id="362" w:name="_Toc184312082"/>
      <w:bookmarkEnd w:id="362"/>
      <w:bookmarkStart w:id="363" w:name="_Toc184312112"/>
      <w:bookmarkEnd w:id="363"/>
      <w:bookmarkStart w:id="364" w:name="_Toc184314436"/>
      <w:bookmarkEnd w:id="364"/>
      <w:bookmarkStart w:id="365" w:name="_Toc184310335"/>
      <w:bookmarkEnd w:id="365"/>
      <w:bookmarkStart w:id="366" w:name="_Toc184313274"/>
      <w:bookmarkEnd w:id="366"/>
      <w:bookmarkStart w:id="367" w:name="_Toc184313308"/>
      <w:bookmarkEnd w:id="367"/>
      <w:bookmarkStart w:id="368" w:name="_Toc184312107"/>
      <w:bookmarkEnd w:id="368"/>
      <w:bookmarkStart w:id="369" w:name="_Toc184314450"/>
      <w:bookmarkEnd w:id="369"/>
      <w:bookmarkStart w:id="370" w:name="_Toc184312138"/>
      <w:bookmarkEnd w:id="370"/>
      <w:bookmarkStart w:id="371" w:name="_Toc184312108"/>
      <w:bookmarkEnd w:id="371"/>
      <w:bookmarkStart w:id="372" w:name="_Toc184313268"/>
      <w:bookmarkEnd w:id="372"/>
      <w:bookmarkStart w:id="373" w:name="_Toc184310305"/>
      <w:bookmarkEnd w:id="373"/>
      <w:bookmarkStart w:id="374" w:name="_Toc184313309"/>
      <w:bookmarkEnd w:id="374"/>
      <w:bookmarkStart w:id="375" w:name="_Toc184312129"/>
      <w:bookmarkEnd w:id="375"/>
      <w:bookmarkStart w:id="376" w:name="_Toc184310326"/>
      <w:bookmarkEnd w:id="376"/>
      <w:bookmarkStart w:id="377" w:name="_Toc184308076"/>
      <w:bookmarkEnd w:id="377"/>
      <w:bookmarkStart w:id="378" w:name="_Toc184313286"/>
      <w:bookmarkEnd w:id="378"/>
      <w:bookmarkStart w:id="379" w:name="_Toc184308106"/>
      <w:bookmarkEnd w:id="379"/>
      <w:bookmarkStart w:id="380" w:name="_Toc184312088"/>
      <w:bookmarkEnd w:id="380"/>
      <w:bookmarkStart w:id="381" w:name="_Toc184313271"/>
      <w:bookmarkEnd w:id="381"/>
      <w:bookmarkStart w:id="382" w:name="_Toc184314460"/>
      <w:bookmarkEnd w:id="382"/>
      <w:bookmarkStart w:id="383" w:name="_Toc184314475"/>
      <w:bookmarkEnd w:id="383"/>
      <w:bookmarkStart w:id="384" w:name="_Toc184308096"/>
      <w:bookmarkEnd w:id="384"/>
      <w:bookmarkStart w:id="385" w:name="_Toc184308088"/>
      <w:bookmarkEnd w:id="385"/>
      <w:bookmarkStart w:id="386" w:name="_Toc184312139"/>
      <w:bookmarkEnd w:id="386"/>
      <w:bookmarkStart w:id="387" w:name="_Toc184308102"/>
      <w:bookmarkEnd w:id="387"/>
      <w:bookmarkStart w:id="388" w:name="_Toc184312097"/>
      <w:bookmarkEnd w:id="388"/>
      <w:bookmarkStart w:id="389" w:name="_Toc184310279"/>
      <w:bookmarkEnd w:id="389"/>
      <w:bookmarkStart w:id="390" w:name="_Toc184312068"/>
      <w:bookmarkEnd w:id="390"/>
      <w:bookmarkStart w:id="391" w:name="_Toc184310272"/>
      <w:bookmarkEnd w:id="391"/>
      <w:bookmarkStart w:id="392" w:name="_Toc184313261"/>
      <w:bookmarkEnd w:id="392"/>
      <w:bookmarkStart w:id="393" w:name="_Toc184312093"/>
      <w:bookmarkEnd w:id="393"/>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70"/>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6440"/>
        <w:gridCol w:w="612"/>
        <w:gridCol w:w="985"/>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723" w:type="dxa"/>
            <w:vAlign w:val="center"/>
          </w:tcPr>
          <w:p>
            <w:pPr>
              <w:spacing w:line="240" w:lineRule="auto"/>
              <w:jc w:val="center"/>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6440" w:type="dxa"/>
            <w:vAlign w:val="center"/>
          </w:tcPr>
          <w:p>
            <w:pPr>
              <w:spacing w:line="240" w:lineRule="auto"/>
              <w:jc w:val="center"/>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评标标准</w:t>
            </w:r>
          </w:p>
        </w:tc>
        <w:tc>
          <w:tcPr>
            <w:tcW w:w="612" w:type="dxa"/>
            <w:vAlign w:val="center"/>
          </w:tcPr>
          <w:p>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权重</w:t>
            </w:r>
          </w:p>
        </w:tc>
        <w:tc>
          <w:tcPr>
            <w:tcW w:w="985" w:type="dxa"/>
            <w:vAlign w:val="center"/>
          </w:tcPr>
          <w:p>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主观分/客观分属性</w:t>
            </w:r>
          </w:p>
        </w:tc>
        <w:tc>
          <w:tcPr>
            <w:tcW w:w="985" w:type="dxa"/>
            <w:vAlign w:val="top"/>
          </w:tcPr>
          <w:p>
            <w:pPr>
              <w:spacing w:line="240" w:lineRule="auto"/>
              <w:jc w:val="center"/>
              <w:rPr>
                <w:rFonts w:hint="eastAsia" w:ascii="宋体" w:hAnsi="宋体" w:eastAsia="宋体" w:cs="宋体"/>
                <w:b/>
                <w:color w:val="auto"/>
                <w:sz w:val="24"/>
                <w:szCs w:val="24"/>
                <w:highlight w:val="none"/>
              </w:rPr>
            </w:pPr>
            <w:r>
              <w:rPr>
                <w:rFonts w:hint="eastAsia" w:ascii="宋体" w:hAnsi="宋体" w:cs="宋体"/>
                <w:color w:val="auto"/>
                <w:kern w:val="0"/>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23" w:type="dxa"/>
            <w:vAlign w:val="center"/>
          </w:tcPr>
          <w:p>
            <w:pPr>
              <w:spacing w:line="360" w:lineRule="auto"/>
              <w:ind w:firstLine="240" w:firstLineChars="1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440" w:type="dxa"/>
            <w:vAlign w:val="center"/>
          </w:tcPr>
          <w:p>
            <w:pPr>
              <w:rPr>
                <w:rFonts w:ascii="宋体" w:hAnsi="宋体" w:eastAsia="宋体"/>
                <w:color w:val="auto"/>
                <w:sz w:val="24"/>
                <w:highlight w:val="none"/>
              </w:rPr>
            </w:pPr>
            <w:r>
              <w:rPr>
                <w:rFonts w:hint="eastAsia" w:ascii="宋体" w:hAnsi="宋体" w:eastAsia="宋体"/>
                <w:color w:val="auto"/>
                <w:sz w:val="24"/>
                <w:highlight w:val="none"/>
              </w:rPr>
              <w:t>供应商通过质量管理体系认证、环境管理体系认证、职业健康安全管理体系认证的，齐全得3分，否则不得分。</w:t>
            </w:r>
          </w:p>
          <w:p>
            <w:pPr>
              <w:outlineLvl w:val="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b/>
                <w:bCs/>
                <w:color w:val="auto"/>
                <w:sz w:val="24"/>
                <w:highlight w:val="none"/>
              </w:rPr>
              <w:t>注：投标文件中提供有效期内的证书扫描件及全国认证认可信息公共服务平台网站（</w:t>
            </w:r>
            <w:r>
              <w:rPr>
                <w:rFonts w:ascii="宋体" w:hAnsi="宋体" w:eastAsia="宋体"/>
                <w:b/>
                <w:bCs/>
                <w:color w:val="auto"/>
                <w:sz w:val="24"/>
                <w:highlight w:val="none"/>
              </w:rPr>
              <w:t>http://www.cnca.gov.cn/</w:t>
            </w:r>
            <w:r>
              <w:rPr>
                <w:rFonts w:hint="eastAsia" w:ascii="宋体" w:hAnsi="宋体" w:eastAsia="宋体"/>
                <w:b/>
                <w:bCs/>
                <w:color w:val="auto"/>
                <w:sz w:val="24"/>
                <w:highlight w:val="none"/>
              </w:rPr>
              <w:t>）查询页面截图，否则不得分。</w:t>
            </w:r>
          </w:p>
        </w:tc>
        <w:tc>
          <w:tcPr>
            <w:tcW w:w="612" w:type="dxa"/>
            <w:vAlign w:val="center"/>
          </w:tcPr>
          <w:p>
            <w:pPr>
              <w:spacing w:line="360" w:lineRule="auto"/>
              <w:jc w:val="center"/>
              <w:outlineLvl w:val="0"/>
              <w:rPr>
                <w:rFonts w:hint="eastAsia" w:ascii="宋体" w:hAnsi="宋体" w:eastAsia="宋体" w:cs="仿宋"/>
                <w:color w:val="auto"/>
                <w:kern w:val="2"/>
                <w:sz w:val="24"/>
                <w:szCs w:val="24"/>
                <w:highlight w:val="none"/>
                <w:lang w:val="en-US" w:eastAsia="zh-CN" w:bidi="ar-SA"/>
              </w:rPr>
            </w:pPr>
            <w:r>
              <w:rPr>
                <w:rFonts w:hint="eastAsia" w:ascii="宋体" w:hAnsi="宋体" w:eastAsia="宋体" w:cs="仿宋"/>
                <w:color w:val="auto"/>
                <w:sz w:val="24"/>
                <w:highlight w:val="none"/>
              </w:rPr>
              <w:t>3</w:t>
            </w:r>
          </w:p>
        </w:tc>
        <w:tc>
          <w:tcPr>
            <w:tcW w:w="985"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客观</w:t>
            </w:r>
            <w:r>
              <w:rPr>
                <w:rFonts w:hint="eastAsia" w:ascii="宋体" w:hAnsi="宋体" w:cs="宋体"/>
                <w:color w:val="auto"/>
                <w:sz w:val="24"/>
                <w:szCs w:val="24"/>
                <w:highlight w:val="none"/>
                <w:lang w:val="en-US" w:eastAsia="zh-CN"/>
              </w:rPr>
              <w:t>分</w:t>
            </w:r>
          </w:p>
        </w:tc>
        <w:tc>
          <w:tcPr>
            <w:tcW w:w="985" w:type="dxa"/>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723" w:type="dxa"/>
            <w:vAlign w:val="center"/>
          </w:tcPr>
          <w:p>
            <w:pPr>
              <w:spacing w:line="360" w:lineRule="auto"/>
              <w:ind w:firstLine="240" w:firstLineChars="1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440" w:type="dxa"/>
            <w:vAlign w:val="center"/>
          </w:tcPr>
          <w:p>
            <w:pPr>
              <w:rPr>
                <w:rFonts w:ascii="宋体" w:hAnsi="宋体" w:eastAsia="宋体"/>
                <w:color w:val="auto"/>
                <w:sz w:val="24"/>
                <w:highlight w:val="none"/>
              </w:rPr>
            </w:pPr>
            <w:r>
              <w:rPr>
                <w:rFonts w:hint="eastAsia" w:ascii="宋体" w:hAnsi="宋体" w:eastAsia="宋体"/>
                <w:color w:val="auto"/>
                <w:sz w:val="24"/>
                <w:highlight w:val="none"/>
              </w:rPr>
              <w:t>供应商自</w:t>
            </w:r>
            <w:r>
              <w:rPr>
                <w:rFonts w:ascii="宋体" w:hAnsi="宋体" w:eastAsia="宋体"/>
                <w:color w:val="auto"/>
                <w:sz w:val="24"/>
                <w:highlight w:val="none"/>
              </w:rPr>
              <w:t>20</w:t>
            </w:r>
            <w:r>
              <w:rPr>
                <w:rFonts w:hint="eastAsia" w:ascii="宋体" w:hAnsi="宋体"/>
                <w:color w:val="auto"/>
                <w:sz w:val="24"/>
                <w:highlight w:val="none"/>
                <w:lang w:val="en-US" w:eastAsia="zh-CN"/>
              </w:rPr>
              <w:t>21</w:t>
            </w:r>
            <w:r>
              <w:rPr>
                <w:rFonts w:hint="eastAsia" w:ascii="宋体" w:hAnsi="宋体" w:eastAsia="宋体"/>
                <w:color w:val="auto"/>
                <w:sz w:val="24"/>
                <w:highlight w:val="none"/>
              </w:rPr>
              <w:t>年</w:t>
            </w:r>
            <w:r>
              <w:rPr>
                <w:rFonts w:ascii="宋体" w:hAnsi="宋体" w:eastAsia="宋体"/>
                <w:color w:val="auto"/>
                <w:sz w:val="24"/>
                <w:highlight w:val="none"/>
              </w:rPr>
              <w:t>1</w:t>
            </w:r>
            <w:r>
              <w:rPr>
                <w:rFonts w:hint="eastAsia" w:ascii="宋体" w:hAnsi="宋体" w:eastAsia="宋体"/>
                <w:color w:val="auto"/>
                <w:sz w:val="24"/>
                <w:highlight w:val="none"/>
              </w:rPr>
              <w:t>月</w:t>
            </w:r>
            <w:r>
              <w:rPr>
                <w:rFonts w:ascii="宋体" w:hAnsi="宋体" w:eastAsia="宋体"/>
                <w:color w:val="auto"/>
                <w:sz w:val="24"/>
                <w:highlight w:val="none"/>
              </w:rPr>
              <w:t>1</w:t>
            </w:r>
            <w:r>
              <w:rPr>
                <w:rFonts w:hint="eastAsia" w:ascii="宋体" w:hAnsi="宋体" w:eastAsia="宋体"/>
                <w:color w:val="auto"/>
                <w:sz w:val="24"/>
                <w:highlight w:val="none"/>
              </w:rPr>
              <w:t>日起至今，以合同签订时间为准）承接过类似项目（服务内容至少包含保洁、绿化养护），每提供</w:t>
            </w:r>
            <w:r>
              <w:rPr>
                <w:rFonts w:ascii="宋体" w:hAnsi="宋体" w:eastAsia="宋体"/>
                <w:color w:val="auto"/>
                <w:sz w:val="24"/>
                <w:highlight w:val="none"/>
              </w:rPr>
              <w:t>1</w:t>
            </w:r>
            <w:r>
              <w:rPr>
                <w:rFonts w:hint="eastAsia" w:ascii="宋体" w:hAnsi="宋体" w:eastAsia="宋体"/>
                <w:color w:val="auto"/>
                <w:sz w:val="24"/>
                <w:highlight w:val="none"/>
              </w:rPr>
              <w:t>个业绩得</w:t>
            </w:r>
            <w:r>
              <w:rPr>
                <w:rFonts w:hint="eastAsia" w:ascii="宋体" w:hAnsi="宋体"/>
                <w:color w:val="auto"/>
                <w:sz w:val="24"/>
                <w:highlight w:val="none"/>
                <w:lang w:val="en-US" w:eastAsia="zh-CN"/>
              </w:rPr>
              <w:t>1</w:t>
            </w:r>
            <w:r>
              <w:rPr>
                <w:rFonts w:hint="eastAsia" w:ascii="宋体" w:hAnsi="宋体" w:eastAsia="宋体"/>
                <w:color w:val="auto"/>
                <w:sz w:val="24"/>
                <w:highlight w:val="none"/>
              </w:rPr>
              <w:t>分，本项最多得</w:t>
            </w:r>
            <w:r>
              <w:rPr>
                <w:rFonts w:ascii="宋体" w:hAnsi="宋体" w:eastAsia="宋体"/>
                <w:color w:val="auto"/>
                <w:sz w:val="24"/>
                <w:highlight w:val="none"/>
              </w:rPr>
              <w:t>1</w:t>
            </w:r>
            <w:r>
              <w:rPr>
                <w:rFonts w:hint="eastAsia" w:ascii="宋体" w:hAnsi="宋体" w:eastAsia="宋体"/>
                <w:color w:val="auto"/>
                <w:sz w:val="24"/>
                <w:highlight w:val="none"/>
              </w:rPr>
              <w:t>分。</w:t>
            </w:r>
          </w:p>
          <w:p>
            <w:pPr>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b/>
                <w:bCs/>
                <w:color w:val="auto"/>
                <w:sz w:val="24"/>
                <w:highlight w:val="none"/>
              </w:rPr>
              <w:t>注：投标文件中提供合同扫描件，否则不得分。</w:t>
            </w:r>
          </w:p>
        </w:tc>
        <w:tc>
          <w:tcPr>
            <w:tcW w:w="612" w:type="dxa"/>
            <w:vAlign w:val="center"/>
          </w:tcPr>
          <w:p>
            <w:pPr>
              <w:spacing w:line="360" w:lineRule="auto"/>
              <w:jc w:val="center"/>
              <w:rPr>
                <w:rFonts w:hint="eastAsia" w:ascii="宋体" w:hAnsi="宋体" w:eastAsia="宋体" w:cs="仿宋"/>
                <w:color w:val="auto"/>
                <w:kern w:val="2"/>
                <w:sz w:val="24"/>
                <w:szCs w:val="24"/>
                <w:highlight w:val="none"/>
                <w:lang w:val="en-US" w:eastAsia="zh-CN" w:bidi="ar-SA"/>
              </w:rPr>
            </w:pPr>
            <w:r>
              <w:rPr>
                <w:rFonts w:hint="eastAsia" w:ascii="宋体" w:hAnsi="宋体" w:eastAsia="宋体" w:cs="仿宋"/>
                <w:color w:val="auto"/>
                <w:sz w:val="24"/>
                <w:highlight w:val="none"/>
              </w:rPr>
              <w:t>1</w:t>
            </w:r>
          </w:p>
        </w:tc>
        <w:tc>
          <w:tcPr>
            <w:tcW w:w="985" w:type="dxa"/>
            <w:vAlign w:val="center"/>
          </w:tcPr>
          <w:p>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客观</w:t>
            </w:r>
            <w:r>
              <w:rPr>
                <w:rFonts w:hint="eastAsia" w:ascii="宋体" w:hAnsi="宋体" w:cs="宋体"/>
                <w:color w:val="auto"/>
                <w:sz w:val="24"/>
                <w:szCs w:val="24"/>
                <w:highlight w:val="none"/>
                <w:lang w:val="en-US" w:eastAsia="zh-CN"/>
              </w:rPr>
              <w:t>分</w:t>
            </w:r>
          </w:p>
        </w:tc>
        <w:tc>
          <w:tcPr>
            <w:tcW w:w="985" w:type="dxa"/>
            <w:vAlign w:val="center"/>
          </w:tcPr>
          <w:p>
            <w:pPr>
              <w:spacing w:line="360" w:lineRule="auto"/>
              <w:jc w:val="center"/>
              <w:outlineLvl w:val="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23" w:type="dxa"/>
            <w:vAlign w:val="center"/>
          </w:tcPr>
          <w:p>
            <w:pPr>
              <w:spacing w:line="360" w:lineRule="auto"/>
              <w:ind w:firstLine="240" w:firstLineChars="1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440" w:type="dxa"/>
            <w:vAlign w:val="center"/>
          </w:tcPr>
          <w:p>
            <w:pPr>
              <w:outlineLvl w:val="0"/>
              <w:rPr>
                <w:rFonts w:ascii="宋体" w:hAnsi="宋体" w:eastAsia="宋体"/>
                <w:color w:val="auto"/>
                <w:sz w:val="24"/>
                <w:highlight w:val="none"/>
              </w:rPr>
            </w:pPr>
            <w:r>
              <w:rPr>
                <w:rFonts w:hint="eastAsia" w:ascii="宋体" w:hAnsi="宋体" w:eastAsia="宋体"/>
                <w:color w:val="auto"/>
                <w:sz w:val="24"/>
                <w:highlight w:val="none"/>
              </w:rPr>
              <w:t>拟派本项目技术人员力量情况：</w:t>
            </w:r>
          </w:p>
          <w:p>
            <w:pPr>
              <w:numPr>
                <w:ilvl w:val="0"/>
                <w:numId w:val="2"/>
              </w:numPr>
              <w:outlineLvl w:val="0"/>
              <w:rPr>
                <w:rFonts w:hint="eastAsia" w:ascii="宋体" w:hAnsi="宋体" w:eastAsia="宋体"/>
                <w:color w:val="auto"/>
                <w:sz w:val="24"/>
                <w:highlight w:val="none"/>
              </w:rPr>
            </w:pPr>
            <w:r>
              <w:rPr>
                <w:rFonts w:hint="eastAsia" w:ascii="宋体" w:hAnsi="宋体" w:eastAsia="宋体"/>
                <w:color w:val="auto"/>
                <w:sz w:val="24"/>
                <w:highlight w:val="none"/>
              </w:rPr>
              <w:t>项目负责人：具有</w:t>
            </w:r>
            <w:r>
              <w:rPr>
                <w:rFonts w:hint="eastAsia" w:ascii="宋体" w:hAnsi="宋体"/>
                <w:color w:val="auto"/>
                <w:sz w:val="24"/>
                <w:highlight w:val="none"/>
                <w:lang w:val="en-US" w:eastAsia="zh-CN"/>
              </w:rPr>
              <w:t>环卫保洁或市政专业相关证书得1分，同时</w:t>
            </w:r>
            <w:r>
              <w:rPr>
                <w:rFonts w:hint="eastAsia" w:ascii="宋体" w:hAnsi="宋体"/>
                <w:color w:val="auto"/>
                <w:sz w:val="24"/>
                <w:highlight w:val="none"/>
              </w:rPr>
              <w:t>项目</w:t>
            </w:r>
            <w:r>
              <w:rPr>
                <w:rFonts w:hint="eastAsia" w:ascii="宋体" w:hAnsi="宋体"/>
                <w:color w:val="auto"/>
                <w:sz w:val="24"/>
                <w:highlight w:val="none"/>
                <w:lang w:val="en-US" w:eastAsia="zh-CN"/>
              </w:rPr>
              <w:t>负责人</w:t>
            </w:r>
            <w:r>
              <w:rPr>
                <w:rFonts w:hint="eastAsia" w:ascii="宋体" w:hAnsi="宋体"/>
                <w:color w:val="auto"/>
                <w:sz w:val="24"/>
                <w:highlight w:val="none"/>
              </w:rPr>
              <w:t>获得</w:t>
            </w:r>
            <w:r>
              <w:rPr>
                <w:rFonts w:hint="eastAsia" w:ascii="宋体" w:hAnsi="宋体"/>
                <w:color w:val="auto"/>
                <w:sz w:val="24"/>
                <w:highlight w:val="none"/>
                <w:lang w:val="en-US" w:eastAsia="zh-CN"/>
              </w:rPr>
              <w:t>区级及以上</w:t>
            </w:r>
            <w:r>
              <w:rPr>
                <w:rFonts w:hint="eastAsia" w:ascii="宋体" w:hAnsi="宋体"/>
                <w:color w:val="auto"/>
                <w:sz w:val="24"/>
                <w:highlight w:val="none"/>
              </w:rPr>
              <w:t>主管部门颁发的个人荣誉得</w:t>
            </w:r>
            <w:r>
              <w:rPr>
                <w:rFonts w:hint="eastAsia" w:ascii="宋体" w:hAnsi="宋体"/>
                <w:color w:val="auto"/>
                <w:sz w:val="24"/>
                <w:highlight w:val="none"/>
                <w:lang w:eastAsia="zh-CN"/>
              </w:rPr>
              <w:t>1</w:t>
            </w:r>
            <w:r>
              <w:rPr>
                <w:rFonts w:hint="eastAsia" w:ascii="宋体" w:hAnsi="宋体"/>
                <w:color w:val="auto"/>
                <w:sz w:val="24"/>
                <w:highlight w:val="none"/>
              </w:rPr>
              <w:t>分，没有则不得分，</w:t>
            </w:r>
            <w:r>
              <w:rPr>
                <w:rFonts w:hint="eastAsia" w:ascii="宋体" w:hAnsi="宋体"/>
                <w:color w:val="auto"/>
                <w:sz w:val="24"/>
                <w:highlight w:val="none"/>
                <w:lang w:val="en-US" w:eastAsia="zh-CN"/>
              </w:rPr>
              <w:t>本项满分2分</w:t>
            </w:r>
            <w:r>
              <w:rPr>
                <w:rFonts w:hint="eastAsia" w:ascii="宋体" w:hAnsi="宋体" w:eastAsia="宋体"/>
                <w:color w:val="auto"/>
                <w:sz w:val="24"/>
                <w:highlight w:val="none"/>
              </w:rPr>
              <w:t>；</w:t>
            </w:r>
          </w:p>
          <w:p>
            <w:pPr>
              <w:outlineLvl w:val="0"/>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w:t>
            </w:r>
            <w:r>
              <w:rPr>
                <w:rFonts w:hint="eastAsia" w:ascii="宋体" w:hAnsi="宋体" w:eastAsia="宋体" w:cs="宋体"/>
                <w:color w:val="auto"/>
                <w:sz w:val="24"/>
                <w:highlight w:val="none"/>
                <w:lang w:val="en-US" w:eastAsia="zh-CN"/>
              </w:rPr>
              <w:t>项目主其他人员</w:t>
            </w:r>
            <w:r>
              <w:rPr>
                <w:rFonts w:hint="eastAsia" w:ascii="宋体" w:hAnsi="宋体" w:eastAsia="宋体" w:cs="宋体"/>
                <w:color w:val="auto"/>
                <w:sz w:val="24"/>
                <w:highlight w:val="none"/>
              </w:rPr>
              <w:t>：具有有效的安全员证证书1名（含）以上的得2分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具有垃圾处理工程师证书的得2分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具有园林绿化工证书1名（含）以上的得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分,具有绿化植保工证书1名（含）以上的得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分，本项最多得</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w:t>
            </w:r>
          </w:p>
          <w:p>
            <w:pPr>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b/>
                <w:bCs/>
                <w:color w:val="auto"/>
                <w:sz w:val="24"/>
                <w:highlight w:val="none"/>
                <w:lang w:val="en-US" w:eastAsia="zh-CN"/>
              </w:rPr>
              <w:t>注：</w:t>
            </w:r>
            <w:r>
              <w:rPr>
                <w:rFonts w:hint="eastAsia" w:ascii="宋体" w:hAnsi="宋体" w:eastAsia="宋体"/>
                <w:b/>
                <w:bCs/>
                <w:color w:val="auto"/>
                <w:sz w:val="24"/>
                <w:highlight w:val="none"/>
              </w:rPr>
              <w:t>投标文件中提供相关证书扫描件及相关人员在供应商单位最近</w:t>
            </w:r>
            <w:r>
              <w:rPr>
                <w:rFonts w:hint="eastAsia" w:ascii="宋体" w:hAnsi="宋体" w:eastAsia="宋体"/>
                <w:b/>
                <w:bCs/>
                <w:color w:val="auto"/>
                <w:sz w:val="24"/>
                <w:highlight w:val="none"/>
                <w:lang w:val="en-US" w:eastAsia="zh-CN"/>
              </w:rPr>
              <w:t>3</w:t>
            </w:r>
            <w:r>
              <w:rPr>
                <w:rFonts w:hint="eastAsia" w:ascii="宋体" w:hAnsi="宋体" w:eastAsia="宋体"/>
                <w:b/>
                <w:bCs/>
                <w:color w:val="auto"/>
                <w:sz w:val="24"/>
                <w:highlight w:val="none"/>
              </w:rPr>
              <w:t>个月</w:t>
            </w:r>
            <w:r>
              <w:rPr>
                <w:rFonts w:hint="eastAsia" w:ascii="宋体" w:hAnsi="宋体" w:eastAsia="宋体"/>
                <w:b/>
                <w:bCs/>
                <w:color w:val="auto"/>
                <w:sz w:val="24"/>
                <w:highlight w:val="none"/>
                <w:lang w:val="en-US" w:eastAsia="zh-CN"/>
              </w:rPr>
              <w:t>中任意一个月</w:t>
            </w:r>
            <w:r>
              <w:rPr>
                <w:rFonts w:hint="eastAsia" w:ascii="宋体" w:hAnsi="宋体" w:eastAsia="宋体"/>
                <w:b/>
                <w:bCs/>
                <w:color w:val="auto"/>
                <w:sz w:val="24"/>
                <w:highlight w:val="none"/>
              </w:rPr>
              <w:t>社保缴纳证明扫描件；人员不重复计分。</w:t>
            </w:r>
          </w:p>
        </w:tc>
        <w:tc>
          <w:tcPr>
            <w:tcW w:w="612" w:type="dxa"/>
            <w:vAlign w:val="center"/>
          </w:tcPr>
          <w:p>
            <w:pPr>
              <w:spacing w:line="360" w:lineRule="auto"/>
              <w:jc w:val="center"/>
              <w:rPr>
                <w:rFonts w:hint="default" w:ascii="宋体" w:hAnsi="宋体" w:eastAsia="宋体" w:cs="仿宋"/>
                <w:color w:val="auto"/>
                <w:kern w:val="2"/>
                <w:sz w:val="24"/>
                <w:szCs w:val="24"/>
                <w:highlight w:val="none"/>
                <w:lang w:val="en-US" w:eastAsia="zh-CN" w:bidi="ar-SA"/>
              </w:rPr>
            </w:pPr>
            <w:r>
              <w:rPr>
                <w:rFonts w:hint="eastAsia" w:ascii="宋体" w:hAnsi="宋体" w:cs="仿宋"/>
                <w:color w:val="auto"/>
                <w:sz w:val="24"/>
                <w:highlight w:val="none"/>
                <w:lang w:val="en-US" w:eastAsia="zh-CN"/>
              </w:rPr>
              <w:t>8</w:t>
            </w:r>
          </w:p>
        </w:tc>
        <w:tc>
          <w:tcPr>
            <w:tcW w:w="985" w:type="dxa"/>
            <w:vAlign w:val="center"/>
          </w:tcPr>
          <w:p>
            <w:pPr>
              <w:pStyle w:val="5"/>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客观</w:t>
            </w:r>
            <w:r>
              <w:rPr>
                <w:rFonts w:hint="eastAsia" w:ascii="宋体" w:hAnsi="宋体" w:cs="宋体"/>
                <w:color w:val="auto"/>
                <w:sz w:val="24"/>
                <w:szCs w:val="24"/>
                <w:highlight w:val="none"/>
                <w:lang w:val="en-US" w:eastAsia="zh-CN"/>
              </w:rPr>
              <w:t>分</w:t>
            </w:r>
          </w:p>
        </w:tc>
        <w:tc>
          <w:tcPr>
            <w:tcW w:w="985" w:type="dxa"/>
            <w:vAlign w:val="center"/>
          </w:tcPr>
          <w:p>
            <w:pPr>
              <w:pStyle w:val="5"/>
              <w:spacing w:line="360" w:lineRule="auto"/>
              <w:jc w:val="center"/>
              <w:rPr>
                <w:rFonts w:hint="eastAsia" w:ascii="宋体" w:hAnsi="宋体" w:eastAsia="宋体" w:cs="宋体"/>
                <w:b w:val="0"/>
                <w:bCs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723"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440" w:type="dxa"/>
            <w:vAlign w:val="center"/>
          </w:tcPr>
          <w:p>
            <w:pPr>
              <w:outlineLvl w:val="0"/>
              <w:rPr>
                <w:rFonts w:ascii="宋体" w:hAnsi="宋体" w:eastAsia="宋体"/>
                <w:color w:val="auto"/>
                <w:sz w:val="24"/>
                <w:highlight w:val="none"/>
              </w:rPr>
            </w:pPr>
            <w:r>
              <w:rPr>
                <w:rFonts w:hint="eastAsia" w:ascii="宋体" w:hAnsi="宋体" w:eastAsia="宋体"/>
                <w:color w:val="auto"/>
                <w:sz w:val="24"/>
                <w:highlight w:val="none"/>
              </w:rPr>
              <w:t>企业荣誉：供应商在20</w:t>
            </w:r>
            <w:r>
              <w:rPr>
                <w:rFonts w:hint="eastAsia" w:ascii="宋体" w:hAnsi="宋体"/>
                <w:color w:val="auto"/>
                <w:sz w:val="24"/>
                <w:highlight w:val="none"/>
                <w:lang w:val="en-US" w:eastAsia="zh-CN"/>
              </w:rPr>
              <w:t>21</w:t>
            </w:r>
            <w:r>
              <w:rPr>
                <w:rFonts w:hint="eastAsia" w:ascii="宋体" w:hAnsi="宋体" w:eastAsia="宋体"/>
                <w:color w:val="auto"/>
                <w:sz w:val="24"/>
                <w:highlight w:val="none"/>
              </w:rPr>
              <w:t>年1月1日（时间以获奖证书或获奖文件时间为准）以来获</w:t>
            </w:r>
            <w:r>
              <w:rPr>
                <w:rFonts w:hint="eastAsia" w:ascii="宋体" w:hAnsi="宋体"/>
                <w:color w:val="auto"/>
                <w:sz w:val="24"/>
                <w:highlight w:val="none"/>
                <w:lang w:val="en-US" w:eastAsia="zh-CN"/>
              </w:rPr>
              <w:t>得</w:t>
            </w:r>
            <w:r>
              <w:rPr>
                <w:rFonts w:hint="eastAsia" w:ascii="宋体" w:hAnsi="宋体" w:eastAsia="宋体"/>
                <w:color w:val="auto"/>
                <w:sz w:val="24"/>
                <w:highlight w:val="none"/>
              </w:rPr>
              <w:t>行政主管部门养护类荣誉：获得区级及以上绿化养护类或道路保洁类或市政养护类荣誉的每个得</w:t>
            </w:r>
            <w:r>
              <w:rPr>
                <w:rFonts w:hint="eastAsia" w:ascii="宋体" w:hAnsi="宋体"/>
                <w:color w:val="auto"/>
                <w:sz w:val="24"/>
                <w:highlight w:val="none"/>
                <w:lang w:val="en-US" w:eastAsia="zh-CN"/>
              </w:rPr>
              <w:t>1</w:t>
            </w:r>
            <w:r>
              <w:rPr>
                <w:rFonts w:hint="eastAsia" w:ascii="宋体" w:hAnsi="宋体" w:eastAsia="宋体"/>
                <w:color w:val="auto"/>
                <w:sz w:val="24"/>
                <w:highlight w:val="none"/>
              </w:rPr>
              <w:t>分；本项最多得</w:t>
            </w:r>
            <w:r>
              <w:rPr>
                <w:rFonts w:hint="eastAsia" w:ascii="宋体" w:hAnsi="宋体"/>
                <w:color w:val="auto"/>
                <w:sz w:val="24"/>
                <w:highlight w:val="none"/>
                <w:lang w:val="en-US" w:eastAsia="zh-CN"/>
              </w:rPr>
              <w:t>1</w:t>
            </w:r>
            <w:r>
              <w:rPr>
                <w:rFonts w:hint="eastAsia" w:ascii="宋体" w:hAnsi="宋体" w:eastAsia="宋体"/>
                <w:color w:val="auto"/>
                <w:sz w:val="24"/>
                <w:highlight w:val="none"/>
              </w:rPr>
              <w:t>分；</w:t>
            </w:r>
          </w:p>
          <w:p>
            <w:pPr>
              <w:jc w:val="left"/>
              <w:outlineLvl w:val="0"/>
              <w:rPr>
                <w:rFonts w:hint="eastAsia" w:ascii="宋体" w:hAnsi="宋体" w:eastAsia="宋体" w:cs="Times New Roman"/>
                <w:color w:val="auto"/>
                <w:kern w:val="2"/>
                <w:sz w:val="24"/>
                <w:szCs w:val="24"/>
                <w:highlight w:val="none"/>
                <w:lang w:val="en-US" w:eastAsia="zh-CN" w:bidi="ar-SA"/>
              </w:rPr>
            </w:pPr>
            <w:r>
              <w:rPr>
                <w:rFonts w:hint="eastAsia" w:ascii="宋体" w:hAnsi="宋体"/>
                <w:b/>
                <w:bCs/>
                <w:color w:val="auto"/>
                <w:sz w:val="24"/>
                <w:highlight w:val="none"/>
                <w:lang w:val="en-US" w:eastAsia="zh-CN"/>
              </w:rPr>
              <w:t>注：</w:t>
            </w:r>
            <w:r>
              <w:rPr>
                <w:rFonts w:hint="eastAsia" w:ascii="宋体" w:hAnsi="宋体" w:eastAsia="宋体"/>
                <w:b/>
                <w:bCs/>
                <w:color w:val="auto"/>
                <w:sz w:val="24"/>
                <w:highlight w:val="none"/>
              </w:rPr>
              <w:t>投标文件中提供获奖证书或获奖文件扫描件</w:t>
            </w:r>
            <w:r>
              <w:rPr>
                <w:rFonts w:hint="eastAsia" w:ascii="宋体" w:hAnsi="宋体"/>
                <w:b/>
                <w:bCs/>
                <w:color w:val="auto"/>
                <w:sz w:val="24"/>
                <w:highlight w:val="none"/>
                <w:lang w:eastAsia="zh-CN"/>
              </w:rPr>
              <w:t>。</w:t>
            </w:r>
          </w:p>
        </w:tc>
        <w:tc>
          <w:tcPr>
            <w:tcW w:w="612" w:type="dxa"/>
            <w:vAlign w:val="center"/>
          </w:tcPr>
          <w:p>
            <w:pPr>
              <w:spacing w:line="360" w:lineRule="auto"/>
              <w:jc w:val="center"/>
              <w:rPr>
                <w:rFonts w:hint="eastAsia" w:ascii="宋体" w:hAnsi="宋体" w:eastAsia="宋体" w:cs="仿宋"/>
                <w:color w:val="auto"/>
                <w:kern w:val="2"/>
                <w:sz w:val="24"/>
                <w:szCs w:val="24"/>
                <w:highlight w:val="none"/>
                <w:lang w:val="en-US" w:eastAsia="zh-CN" w:bidi="ar-SA"/>
              </w:rPr>
            </w:pPr>
            <w:r>
              <w:rPr>
                <w:rFonts w:hint="eastAsia" w:ascii="宋体" w:hAnsi="宋体" w:cs="仿宋"/>
                <w:color w:val="auto"/>
                <w:sz w:val="24"/>
                <w:highlight w:val="none"/>
                <w:lang w:val="en-US" w:eastAsia="zh-CN"/>
              </w:rPr>
              <w:t>1</w:t>
            </w:r>
          </w:p>
        </w:tc>
        <w:tc>
          <w:tcPr>
            <w:tcW w:w="985" w:type="dxa"/>
            <w:vAlign w:val="center"/>
          </w:tcPr>
          <w:p>
            <w:pPr>
              <w:pStyle w:val="5"/>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客观</w:t>
            </w:r>
            <w:r>
              <w:rPr>
                <w:rFonts w:hint="eastAsia" w:ascii="宋体" w:hAnsi="宋体" w:cs="宋体"/>
                <w:color w:val="auto"/>
                <w:sz w:val="24"/>
                <w:szCs w:val="24"/>
                <w:highlight w:val="none"/>
                <w:lang w:val="en-US" w:eastAsia="zh-CN"/>
              </w:rPr>
              <w:t>分</w:t>
            </w:r>
          </w:p>
        </w:tc>
        <w:tc>
          <w:tcPr>
            <w:tcW w:w="985" w:type="dxa"/>
            <w:vAlign w:val="center"/>
          </w:tcPr>
          <w:p>
            <w:pPr>
              <w:pStyle w:val="5"/>
              <w:spacing w:line="360" w:lineRule="auto"/>
              <w:jc w:val="center"/>
              <w:rPr>
                <w:rFonts w:hint="eastAsia" w:ascii="宋体" w:hAnsi="宋体" w:eastAsia="宋体" w:cs="宋体"/>
                <w:b w:val="0"/>
                <w:bCs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723"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6440" w:type="dxa"/>
            <w:vAlign w:val="center"/>
          </w:tcPr>
          <w:p>
            <w:pPr>
              <w:outlineLvl w:val="0"/>
              <w:rPr>
                <w:rFonts w:ascii="宋体" w:hAnsi="宋体" w:eastAsia="宋体"/>
                <w:color w:val="auto"/>
                <w:sz w:val="24"/>
                <w:highlight w:val="none"/>
              </w:rPr>
            </w:pPr>
            <w:r>
              <w:rPr>
                <w:rFonts w:hint="eastAsia" w:ascii="宋体" w:hAnsi="宋体" w:eastAsia="宋体"/>
                <w:color w:val="auto"/>
                <w:sz w:val="24"/>
                <w:highlight w:val="none"/>
              </w:rPr>
              <w:t>拟投入本项目供应商车辆情况（一）：</w:t>
            </w:r>
          </w:p>
          <w:p>
            <w:pPr>
              <w:outlineLvl w:val="0"/>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、洒水车</w:t>
            </w:r>
            <w:r>
              <w:rPr>
                <w:rFonts w:ascii="宋体" w:hAnsi="宋体" w:eastAsia="宋体"/>
                <w:color w:val="auto"/>
                <w:sz w:val="24"/>
                <w:highlight w:val="none"/>
              </w:rPr>
              <w:t>/</w:t>
            </w:r>
            <w:r>
              <w:rPr>
                <w:rFonts w:hint="eastAsia" w:ascii="宋体" w:hAnsi="宋体" w:eastAsia="宋体"/>
                <w:color w:val="auto"/>
                <w:sz w:val="24"/>
                <w:highlight w:val="none"/>
              </w:rPr>
              <w:t>清洗车：总质量25吨（含）以上得</w:t>
            </w:r>
            <w:r>
              <w:rPr>
                <w:rFonts w:hint="eastAsia" w:ascii="宋体" w:hAnsi="宋体"/>
                <w:color w:val="auto"/>
                <w:sz w:val="24"/>
                <w:highlight w:val="none"/>
                <w:lang w:val="en-US" w:eastAsia="zh-CN"/>
              </w:rPr>
              <w:t>3</w:t>
            </w:r>
            <w:r>
              <w:rPr>
                <w:rFonts w:hint="eastAsia" w:ascii="宋体" w:hAnsi="宋体" w:eastAsia="宋体"/>
                <w:color w:val="auto"/>
                <w:sz w:val="24"/>
                <w:highlight w:val="none"/>
              </w:rPr>
              <w:t>分；总质量18吨（含）以上得</w:t>
            </w:r>
            <w:r>
              <w:rPr>
                <w:rFonts w:hint="eastAsia" w:ascii="宋体" w:hAnsi="宋体"/>
                <w:color w:val="auto"/>
                <w:sz w:val="24"/>
                <w:highlight w:val="none"/>
                <w:lang w:val="en-US" w:eastAsia="zh-CN"/>
              </w:rPr>
              <w:t>2</w:t>
            </w:r>
            <w:r>
              <w:rPr>
                <w:rFonts w:hint="eastAsia" w:ascii="宋体" w:hAnsi="宋体" w:eastAsia="宋体"/>
                <w:color w:val="auto"/>
                <w:sz w:val="24"/>
                <w:highlight w:val="none"/>
              </w:rPr>
              <w:t>分，本项最多得</w:t>
            </w:r>
            <w:r>
              <w:rPr>
                <w:rFonts w:hint="eastAsia" w:ascii="宋体" w:hAnsi="宋体"/>
                <w:color w:val="auto"/>
                <w:sz w:val="24"/>
                <w:highlight w:val="none"/>
                <w:lang w:val="en-US" w:eastAsia="zh-CN"/>
              </w:rPr>
              <w:t>5</w:t>
            </w:r>
            <w:r>
              <w:rPr>
                <w:rFonts w:hint="eastAsia" w:ascii="宋体" w:hAnsi="宋体" w:eastAsia="宋体"/>
                <w:color w:val="auto"/>
                <w:sz w:val="24"/>
                <w:highlight w:val="none"/>
              </w:rPr>
              <w:t>分。</w:t>
            </w:r>
          </w:p>
          <w:p>
            <w:pPr>
              <w:outlineLvl w:val="0"/>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、洗扫车</w:t>
            </w:r>
            <w:r>
              <w:rPr>
                <w:rFonts w:ascii="宋体" w:hAnsi="宋体" w:eastAsia="宋体"/>
                <w:color w:val="auto"/>
                <w:sz w:val="24"/>
                <w:highlight w:val="none"/>
              </w:rPr>
              <w:t>/</w:t>
            </w:r>
            <w:r>
              <w:rPr>
                <w:rFonts w:hint="eastAsia" w:ascii="宋体" w:hAnsi="宋体" w:eastAsia="宋体"/>
                <w:color w:val="auto"/>
                <w:sz w:val="24"/>
                <w:highlight w:val="none"/>
              </w:rPr>
              <w:t>三合一洗扫车：总质量</w:t>
            </w:r>
            <w:r>
              <w:rPr>
                <w:rFonts w:ascii="宋体" w:hAnsi="宋体" w:eastAsia="宋体"/>
                <w:color w:val="auto"/>
                <w:sz w:val="24"/>
                <w:highlight w:val="none"/>
              </w:rPr>
              <w:t>18</w:t>
            </w:r>
            <w:r>
              <w:rPr>
                <w:rFonts w:hint="eastAsia" w:ascii="宋体" w:hAnsi="宋体" w:eastAsia="宋体"/>
                <w:color w:val="auto"/>
                <w:sz w:val="24"/>
                <w:highlight w:val="none"/>
              </w:rPr>
              <w:t>吨（含）以上的每辆得</w:t>
            </w:r>
            <w:r>
              <w:rPr>
                <w:rFonts w:hint="eastAsia" w:ascii="宋体" w:hAnsi="宋体"/>
                <w:color w:val="auto"/>
                <w:sz w:val="24"/>
                <w:highlight w:val="none"/>
                <w:lang w:val="en-US" w:eastAsia="zh-CN"/>
              </w:rPr>
              <w:t>2</w:t>
            </w:r>
            <w:r>
              <w:rPr>
                <w:rFonts w:hint="eastAsia" w:ascii="宋体" w:hAnsi="宋体" w:eastAsia="宋体"/>
                <w:color w:val="auto"/>
                <w:sz w:val="24"/>
                <w:highlight w:val="none"/>
              </w:rPr>
              <w:t>分，本项最多得</w:t>
            </w:r>
            <w:r>
              <w:rPr>
                <w:rFonts w:hint="eastAsia" w:ascii="宋体" w:hAnsi="宋体"/>
                <w:color w:val="auto"/>
                <w:sz w:val="24"/>
                <w:highlight w:val="none"/>
                <w:lang w:val="en-US" w:eastAsia="zh-CN"/>
              </w:rPr>
              <w:t>2</w:t>
            </w:r>
            <w:r>
              <w:rPr>
                <w:rFonts w:hint="eastAsia" w:ascii="宋体" w:hAnsi="宋体" w:eastAsia="宋体"/>
                <w:color w:val="auto"/>
                <w:sz w:val="24"/>
                <w:highlight w:val="none"/>
              </w:rPr>
              <w:t>分。</w:t>
            </w:r>
          </w:p>
          <w:p>
            <w:pPr>
              <w:outlineLvl w:val="0"/>
              <w:rPr>
                <w:rFonts w:ascii="宋体" w:hAnsi="宋体" w:eastAsia="宋体"/>
                <w:color w:val="auto"/>
                <w:sz w:val="24"/>
                <w:highlight w:val="none"/>
              </w:rPr>
            </w:pPr>
            <w:r>
              <w:rPr>
                <w:rFonts w:hint="eastAsia" w:ascii="宋体" w:hAnsi="宋体" w:eastAsia="宋体"/>
                <w:color w:val="auto"/>
                <w:sz w:val="24"/>
                <w:highlight w:val="none"/>
              </w:rPr>
              <w:t>3、压缩式垃圾车：总质量18吨（含）以上的每辆得</w:t>
            </w:r>
            <w:r>
              <w:rPr>
                <w:rFonts w:hint="eastAsia" w:ascii="宋体" w:hAnsi="宋体"/>
                <w:color w:val="auto"/>
                <w:sz w:val="24"/>
                <w:highlight w:val="none"/>
                <w:lang w:val="en-US" w:eastAsia="zh-CN"/>
              </w:rPr>
              <w:t>2</w:t>
            </w:r>
            <w:r>
              <w:rPr>
                <w:rFonts w:hint="eastAsia" w:ascii="宋体" w:hAnsi="宋体" w:eastAsia="宋体"/>
                <w:color w:val="auto"/>
                <w:sz w:val="24"/>
                <w:highlight w:val="none"/>
              </w:rPr>
              <w:t>分，最多得</w:t>
            </w:r>
            <w:r>
              <w:rPr>
                <w:rFonts w:hint="eastAsia" w:ascii="宋体" w:hAnsi="宋体"/>
                <w:color w:val="auto"/>
                <w:sz w:val="24"/>
                <w:highlight w:val="none"/>
                <w:lang w:val="en-US" w:eastAsia="zh-CN"/>
              </w:rPr>
              <w:t>2</w:t>
            </w:r>
            <w:r>
              <w:rPr>
                <w:rFonts w:hint="eastAsia" w:ascii="宋体" w:hAnsi="宋体" w:eastAsia="宋体"/>
                <w:color w:val="auto"/>
                <w:sz w:val="24"/>
                <w:highlight w:val="none"/>
              </w:rPr>
              <w:t>分。</w:t>
            </w:r>
          </w:p>
          <w:p>
            <w:pPr>
              <w:pStyle w:val="25"/>
              <w:spacing w:line="240" w:lineRule="auto"/>
              <w:rPr>
                <w:rFonts w:hint="eastAsia" w:ascii="宋体" w:hAnsi="宋体" w:eastAsia="宋体" w:cs="Times New Roman"/>
                <w:color w:val="auto"/>
                <w:szCs w:val="24"/>
                <w:highlight w:val="none"/>
                <w:lang w:val="en-US"/>
              </w:rPr>
            </w:pPr>
            <w:r>
              <w:rPr>
                <w:rFonts w:hint="eastAsia" w:ascii="宋体" w:hAnsi="宋体" w:eastAsia="宋体" w:cs="Times New Roman"/>
                <w:color w:val="auto"/>
                <w:szCs w:val="24"/>
                <w:highlight w:val="none"/>
                <w:lang w:val="en-US"/>
              </w:rPr>
              <w:t>4、轻型货车：总质量4吨（含）以上的每辆得</w:t>
            </w:r>
            <w:r>
              <w:rPr>
                <w:rFonts w:hint="eastAsia" w:hAnsi="宋体" w:cs="Times New Roman"/>
                <w:color w:val="auto"/>
                <w:szCs w:val="24"/>
                <w:highlight w:val="none"/>
                <w:lang w:val="en-US" w:eastAsia="zh-CN"/>
              </w:rPr>
              <w:t>1</w:t>
            </w:r>
            <w:r>
              <w:rPr>
                <w:rFonts w:hint="eastAsia" w:ascii="宋体" w:hAnsi="宋体" w:eastAsia="宋体" w:cs="Times New Roman"/>
                <w:color w:val="auto"/>
                <w:szCs w:val="24"/>
                <w:highlight w:val="none"/>
                <w:lang w:val="en-US"/>
              </w:rPr>
              <w:t>分，最多得</w:t>
            </w:r>
            <w:r>
              <w:rPr>
                <w:rFonts w:hint="eastAsia" w:hAnsi="宋体" w:cs="Times New Roman"/>
                <w:color w:val="auto"/>
                <w:szCs w:val="24"/>
                <w:highlight w:val="none"/>
                <w:lang w:val="en-US" w:eastAsia="zh-CN"/>
              </w:rPr>
              <w:t>1</w:t>
            </w:r>
            <w:r>
              <w:rPr>
                <w:rFonts w:hint="eastAsia" w:ascii="宋体" w:hAnsi="宋体" w:eastAsia="宋体" w:cs="Times New Roman"/>
                <w:color w:val="auto"/>
                <w:szCs w:val="24"/>
                <w:highlight w:val="none"/>
                <w:lang w:val="en-US"/>
              </w:rPr>
              <w:t>分。</w:t>
            </w:r>
          </w:p>
          <w:p>
            <w:pPr>
              <w:spacing w:line="360" w:lineRule="auto"/>
              <w:outlineLvl w:val="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以上四种车辆中为纯电动新能源车或天然气清洁能源车的，大于等于1辆得1分，没有的则不得分。</w:t>
            </w:r>
          </w:p>
          <w:p>
            <w:pPr>
              <w:jc w:val="left"/>
              <w:rPr>
                <w:rFonts w:hint="eastAsia" w:ascii="宋体" w:hAnsi="宋体" w:eastAsia="宋体" w:cs="Times New Roman"/>
                <w:color w:val="auto"/>
                <w:kern w:val="2"/>
                <w:sz w:val="24"/>
                <w:szCs w:val="24"/>
                <w:highlight w:val="none"/>
                <w:lang w:val="zh-TW" w:eastAsia="zh-CN" w:bidi="ar-SA"/>
              </w:rPr>
            </w:pPr>
            <w:r>
              <w:rPr>
                <w:rFonts w:hint="eastAsia" w:ascii="宋体" w:hAnsi="宋体"/>
                <w:b/>
                <w:bCs/>
                <w:color w:val="auto"/>
                <w:sz w:val="24"/>
                <w:highlight w:val="none"/>
                <w:lang w:val="en-US" w:eastAsia="zh-CN"/>
              </w:rPr>
              <w:t>注：</w:t>
            </w:r>
            <w:r>
              <w:rPr>
                <w:rFonts w:hint="eastAsia" w:ascii="宋体" w:hAnsi="宋体" w:eastAsia="宋体"/>
                <w:b/>
                <w:bCs/>
                <w:color w:val="auto"/>
                <w:sz w:val="24"/>
                <w:highlight w:val="none"/>
              </w:rPr>
              <w:t>投标文件中同时提供车辆行驶证扫描件、购车发票扫描件、车辆登记证扫描件、清晰带有车牌号的正面、</w:t>
            </w:r>
            <w:r>
              <w:rPr>
                <w:rFonts w:ascii="宋体" w:hAnsi="宋体" w:eastAsia="宋体"/>
                <w:b/>
                <w:bCs/>
                <w:color w:val="auto"/>
                <w:sz w:val="24"/>
                <w:highlight w:val="none"/>
              </w:rPr>
              <w:t>45</w:t>
            </w:r>
            <w:r>
              <w:rPr>
                <w:rFonts w:hint="eastAsia" w:ascii="宋体" w:hAnsi="宋体" w:eastAsia="宋体"/>
                <w:b/>
                <w:bCs/>
                <w:color w:val="auto"/>
                <w:sz w:val="24"/>
                <w:highlight w:val="none"/>
              </w:rPr>
              <w:t>度斜侧面的照片、仅用于本项目的书面承诺书（格式自拟）</w:t>
            </w:r>
            <w:r>
              <w:rPr>
                <w:rFonts w:hint="eastAsia" w:ascii="宋体" w:hAnsi="宋体" w:eastAsia="宋体"/>
                <w:b/>
                <w:bCs/>
                <w:color w:val="auto"/>
                <w:sz w:val="24"/>
                <w:highlight w:val="none"/>
                <w:lang w:eastAsia="zh-CN"/>
              </w:rPr>
              <w:t>，</w:t>
            </w:r>
            <w:r>
              <w:rPr>
                <w:rFonts w:hint="eastAsia" w:ascii="宋体" w:hAnsi="宋体" w:eastAsia="宋体"/>
                <w:b/>
                <w:bCs/>
                <w:color w:val="auto"/>
                <w:sz w:val="24"/>
                <w:highlight w:val="none"/>
                <w:lang w:val="en-US" w:eastAsia="zh-CN"/>
              </w:rPr>
              <w:t>如车辆为租赁的则还需提供租赁合同，租赁期不得少于本项目服务期</w:t>
            </w:r>
            <w:r>
              <w:rPr>
                <w:rFonts w:hint="eastAsia" w:ascii="宋体" w:hAnsi="宋体" w:eastAsia="宋体"/>
                <w:b/>
                <w:bCs/>
                <w:color w:val="auto"/>
                <w:sz w:val="24"/>
                <w:highlight w:val="none"/>
              </w:rPr>
              <w:t>；缺一不可，否则不得分。</w:t>
            </w:r>
          </w:p>
        </w:tc>
        <w:tc>
          <w:tcPr>
            <w:tcW w:w="612" w:type="dxa"/>
            <w:vAlign w:val="center"/>
          </w:tcPr>
          <w:p>
            <w:pPr>
              <w:spacing w:line="360" w:lineRule="auto"/>
              <w:jc w:val="center"/>
              <w:rPr>
                <w:rFonts w:hint="default" w:ascii="宋体" w:hAnsi="宋体" w:eastAsia="宋体" w:cs="仿宋"/>
                <w:color w:val="auto"/>
                <w:kern w:val="2"/>
                <w:sz w:val="24"/>
                <w:szCs w:val="24"/>
                <w:highlight w:val="none"/>
                <w:lang w:val="en-US" w:eastAsia="zh-CN" w:bidi="ar-SA"/>
              </w:rPr>
            </w:pPr>
            <w:r>
              <w:rPr>
                <w:rFonts w:hint="eastAsia" w:ascii="宋体" w:hAnsi="宋体" w:cs="仿宋"/>
                <w:color w:val="auto"/>
                <w:sz w:val="24"/>
                <w:highlight w:val="none"/>
                <w:lang w:val="en-US" w:eastAsia="zh-CN"/>
              </w:rPr>
              <w:t>11</w:t>
            </w:r>
          </w:p>
        </w:tc>
        <w:tc>
          <w:tcPr>
            <w:tcW w:w="985"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客观</w:t>
            </w:r>
            <w:r>
              <w:rPr>
                <w:rFonts w:hint="eastAsia" w:ascii="宋体" w:hAnsi="宋体" w:cs="宋体"/>
                <w:color w:val="auto"/>
                <w:sz w:val="24"/>
                <w:szCs w:val="24"/>
                <w:highlight w:val="none"/>
                <w:lang w:val="en-US" w:eastAsia="zh-CN"/>
              </w:rPr>
              <w:t>分</w:t>
            </w:r>
          </w:p>
        </w:tc>
        <w:tc>
          <w:tcPr>
            <w:tcW w:w="985" w:type="dxa"/>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23"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6440" w:type="dxa"/>
            <w:vAlign w:val="top"/>
          </w:tcPr>
          <w:p>
            <w:pPr>
              <w:outlineLvl w:val="0"/>
              <w:rPr>
                <w:rFonts w:ascii="宋体" w:hAnsi="宋体" w:eastAsia="宋体"/>
                <w:color w:val="auto"/>
                <w:sz w:val="24"/>
                <w:highlight w:val="none"/>
              </w:rPr>
            </w:pPr>
            <w:r>
              <w:rPr>
                <w:rFonts w:hint="eastAsia" w:ascii="宋体" w:hAnsi="宋体" w:eastAsia="宋体"/>
                <w:color w:val="auto"/>
                <w:sz w:val="24"/>
                <w:highlight w:val="none"/>
              </w:rPr>
              <w:t>拟投入本项目供应商车辆情况（二）及设备情况：</w:t>
            </w:r>
          </w:p>
          <w:p>
            <w:pPr>
              <w:spacing w:line="240" w:lineRule="auto"/>
              <w:outlineLvl w:val="0"/>
              <w:rPr>
                <w:rFonts w:ascii="宋体" w:hAnsi="宋体" w:eastAsia="宋体" w:cs="Times New Roman"/>
                <w:color w:val="auto"/>
                <w:szCs w:val="24"/>
                <w:highlight w:val="none"/>
                <w:lang w:val="en-US"/>
              </w:rPr>
            </w:pPr>
            <w:r>
              <w:rPr>
                <w:rFonts w:hint="eastAsia" w:hAnsi="宋体" w:cs="Times New Roman"/>
                <w:color w:val="auto"/>
                <w:szCs w:val="24"/>
                <w:highlight w:val="none"/>
                <w:lang w:val="en-US" w:eastAsia="zh-CN"/>
              </w:rPr>
              <w:t>1</w:t>
            </w:r>
            <w:r>
              <w:rPr>
                <w:rFonts w:hint="eastAsia" w:ascii="宋体" w:hAnsi="宋体" w:eastAsia="宋体" w:cs="Times New Roman"/>
                <w:color w:val="auto"/>
                <w:szCs w:val="24"/>
                <w:highlight w:val="none"/>
                <w:lang w:val="en-US"/>
              </w:rPr>
              <w:t>、电动三轮</w:t>
            </w:r>
            <w:r>
              <w:rPr>
                <w:rFonts w:hint="eastAsia" w:ascii="宋体" w:hAnsi="宋体" w:cs="Times New Roman"/>
                <w:color w:val="auto"/>
                <w:szCs w:val="24"/>
                <w:highlight w:val="none"/>
                <w:lang w:val="en-US" w:eastAsia="zh-CN"/>
              </w:rPr>
              <w:t>环卫</w:t>
            </w:r>
            <w:r>
              <w:rPr>
                <w:rFonts w:hint="eastAsia" w:ascii="宋体" w:hAnsi="宋体" w:eastAsia="宋体" w:cs="Times New Roman"/>
                <w:color w:val="auto"/>
                <w:szCs w:val="24"/>
                <w:highlight w:val="none"/>
                <w:lang w:val="en-US"/>
              </w:rPr>
              <w:t>车：</w:t>
            </w:r>
            <w:r>
              <w:rPr>
                <w:rFonts w:ascii="宋体" w:hAnsi="宋体" w:eastAsia="宋体" w:cs="Times New Roman"/>
                <w:color w:val="auto"/>
                <w:szCs w:val="24"/>
                <w:highlight w:val="none"/>
                <w:lang w:val="en-US"/>
              </w:rPr>
              <w:t>10</w:t>
            </w:r>
            <w:r>
              <w:rPr>
                <w:rFonts w:hint="eastAsia" w:ascii="宋体" w:hAnsi="宋体" w:eastAsia="宋体" w:cs="Times New Roman"/>
                <w:color w:val="auto"/>
                <w:szCs w:val="24"/>
                <w:highlight w:val="none"/>
                <w:lang w:val="en-US"/>
              </w:rPr>
              <w:t>辆及以上得</w:t>
            </w:r>
            <w:r>
              <w:rPr>
                <w:rFonts w:hint="eastAsia" w:hAnsi="宋体" w:cs="Times New Roman"/>
                <w:color w:val="auto"/>
                <w:szCs w:val="24"/>
                <w:highlight w:val="none"/>
                <w:lang w:val="en-US" w:eastAsia="zh-CN"/>
              </w:rPr>
              <w:t>2</w:t>
            </w:r>
            <w:r>
              <w:rPr>
                <w:rFonts w:hint="eastAsia" w:ascii="宋体" w:hAnsi="宋体" w:eastAsia="宋体" w:cs="Times New Roman"/>
                <w:color w:val="auto"/>
                <w:szCs w:val="24"/>
                <w:highlight w:val="none"/>
                <w:lang w:val="en-US"/>
              </w:rPr>
              <w:t>分，否则不得分。</w:t>
            </w:r>
          </w:p>
          <w:p>
            <w:pPr>
              <w:outlineLvl w:val="0"/>
              <w:rPr>
                <w:rFonts w:ascii="宋体" w:hAnsi="宋体" w:eastAsia="宋体"/>
                <w:color w:val="auto"/>
                <w:sz w:val="24"/>
                <w:highlight w:val="none"/>
              </w:rPr>
            </w:pPr>
            <w:r>
              <w:rPr>
                <w:rFonts w:hint="eastAsia" w:ascii="宋体" w:hAnsi="宋体"/>
                <w:color w:val="auto"/>
                <w:sz w:val="24"/>
                <w:highlight w:val="none"/>
                <w:lang w:val="en-US" w:eastAsia="zh-CN"/>
              </w:rPr>
              <w:t>2</w:t>
            </w:r>
            <w:r>
              <w:rPr>
                <w:rFonts w:hint="eastAsia" w:ascii="宋体" w:hAnsi="宋体" w:eastAsia="宋体"/>
                <w:color w:val="auto"/>
                <w:sz w:val="24"/>
                <w:highlight w:val="none"/>
              </w:rPr>
              <w:t>、电动高压冲洗车：3辆及以上得</w:t>
            </w:r>
            <w:r>
              <w:rPr>
                <w:rFonts w:hint="eastAsia" w:ascii="宋体" w:hAnsi="宋体"/>
                <w:color w:val="auto"/>
                <w:sz w:val="24"/>
                <w:highlight w:val="none"/>
                <w:lang w:val="en-US" w:eastAsia="zh-CN"/>
              </w:rPr>
              <w:t>2</w:t>
            </w:r>
            <w:r>
              <w:rPr>
                <w:rFonts w:hint="eastAsia" w:ascii="宋体" w:hAnsi="宋体" w:eastAsia="宋体"/>
                <w:color w:val="auto"/>
                <w:sz w:val="24"/>
                <w:highlight w:val="none"/>
              </w:rPr>
              <w:t>分，否则不得分。</w:t>
            </w:r>
          </w:p>
          <w:p>
            <w:pPr>
              <w:outlineLvl w:val="0"/>
              <w:rPr>
                <w:rFonts w:ascii="宋体" w:hAnsi="宋体" w:eastAsia="宋体"/>
                <w:color w:val="auto"/>
                <w:sz w:val="24"/>
                <w:highlight w:val="none"/>
              </w:rPr>
            </w:pPr>
            <w:r>
              <w:rPr>
                <w:rFonts w:hint="eastAsia" w:ascii="宋体" w:hAnsi="宋体"/>
                <w:color w:val="auto"/>
                <w:sz w:val="24"/>
                <w:highlight w:val="none"/>
                <w:lang w:val="en-US" w:eastAsia="zh-CN"/>
              </w:rPr>
              <w:t>3</w:t>
            </w:r>
            <w:r>
              <w:rPr>
                <w:rFonts w:hint="eastAsia" w:ascii="宋体" w:hAnsi="宋体" w:eastAsia="宋体"/>
                <w:color w:val="auto"/>
                <w:sz w:val="24"/>
                <w:highlight w:val="none"/>
              </w:rPr>
              <w:t>、电动护栏清洗车：每辆得</w:t>
            </w:r>
            <w:r>
              <w:rPr>
                <w:rFonts w:hint="eastAsia" w:ascii="宋体" w:hAnsi="宋体"/>
                <w:color w:val="auto"/>
                <w:sz w:val="24"/>
                <w:highlight w:val="none"/>
                <w:lang w:val="en-US" w:eastAsia="zh-CN"/>
              </w:rPr>
              <w:t>1</w:t>
            </w:r>
            <w:r>
              <w:rPr>
                <w:rFonts w:hint="eastAsia" w:ascii="宋体" w:hAnsi="宋体" w:eastAsia="宋体"/>
                <w:color w:val="auto"/>
                <w:sz w:val="24"/>
                <w:highlight w:val="none"/>
              </w:rPr>
              <w:t>分，最多得</w:t>
            </w:r>
            <w:r>
              <w:rPr>
                <w:rFonts w:hint="eastAsia" w:ascii="宋体" w:hAnsi="宋体"/>
                <w:color w:val="auto"/>
                <w:sz w:val="24"/>
                <w:highlight w:val="none"/>
                <w:lang w:val="en-US" w:eastAsia="zh-CN"/>
              </w:rPr>
              <w:t>1</w:t>
            </w:r>
            <w:r>
              <w:rPr>
                <w:rFonts w:hint="eastAsia" w:ascii="宋体" w:hAnsi="宋体" w:eastAsia="宋体"/>
                <w:color w:val="auto"/>
                <w:sz w:val="24"/>
                <w:highlight w:val="none"/>
              </w:rPr>
              <w:t>分。</w:t>
            </w:r>
          </w:p>
          <w:p>
            <w:pPr>
              <w:outlineLvl w:val="0"/>
              <w:rPr>
                <w:rFonts w:ascii="宋体" w:hAnsi="宋体" w:eastAsia="宋体"/>
                <w:color w:val="auto"/>
                <w:sz w:val="24"/>
                <w:highlight w:val="none"/>
              </w:rPr>
            </w:pPr>
            <w:r>
              <w:rPr>
                <w:rFonts w:hint="eastAsia" w:ascii="宋体" w:hAnsi="宋体"/>
                <w:color w:val="auto"/>
                <w:sz w:val="24"/>
                <w:highlight w:val="none"/>
                <w:lang w:val="en-US" w:eastAsia="zh-CN"/>
              </w:rPr>
              <w:t>4</w:t>
            </w:r>
            <w:r>
              <w:rPr>
                <w:rFonts w:hint="eastAsia" w:ascii="宋体" w:hAnsi="宋体" w:eastAsia="宋体"/>
                <w:color w:val="auto"/>
                <w:sz w:val="24"/>
                <w:highlight w:val="none"/>
              </w:rPr>
              <w:t>、电动四轮巡逻车：每辆得</w:t>
            </w:r>
            <w:r>
              <w:rPr>
                <w:rFonts w:hint="eastAsia" w:ascii="宋体" w:hAnsi="宋体"/>
                <w:color w:val="auto"/>
                <w:sz w:val="24"/>
                <w:highlight w:val="none"/>
                <w:lang w:val="en-US" w:eastAsia="zh-CN"/>
              </w:rPr>
              <w:t>1</w:t>
            </w:r>
            <w:r>
              <w:rPr>
                <w:rFonts w:hint="eastAsia" w:ascii="宋体" w:hAnsi="宋体" w:eastAsia="宋体"/>
                <w:color w:val="auto"/>
                <w:sz w:val="24"/>
                <w:highlight w:val="none"/>
              </w:rPr>
              <w:t>分，最多得</w:t>
            </w:r>
            <w:r>
              <w:rPr>
                <w:rFonts w:hint="eastAsia" w:ascii="宋体" w:hAnsi="宋体"/>
                <w:color w:val="auto"/>
                <w:sz w:val="24"/>
                <w:highlight w:val="none"/>
                <w:lang w:val="en-US" w:eastAsia="zh-CN"/>
              </w:rPr>
              <w:t>1</w:t>
            </w:r>
            <w:r>
              <w:rPr>
                <w:rFonts w:hint="eastAsia" w:ascii="宋体" w:hAnsi="宋体" w:eastAsia="宋体"/>
                <w:color w:val="auto"/>
                <w:sz w:val="24"/>
                <w:highlight w:val="none"/>
              </w:rPr>
              <w:t>分。</w:t>
            </w:r>
          </w:p>
          <w:p>
            <w:pPr>
              <w:outlineLvl w:val="0"/>
              <w:rPr>
                <w:rFonts w:ascii="宋体" w:hAnsi="宋体" w:eastAsia="宋体"/>
                <w:color w:val="auto"/>
                <w:sz w:val="24"/>
                <w:highlight w:val="none"/>
              </w:rPr>
            </w:pPr>
            <w:r>
              <w:rPr>
                <w:rFonts w:hint="eastAsia" w:ascii="宋体" w:hAnsi="宋体"/>
                <w:color w:val="auto"/>
                <w:sz w:val="24"/>
                <w:highlight w:val="none"/>
                <w:lang w:val="en-US" w:eastAsia="zh-CN"/>
              </w:rPr>
              <w:t>5</w:t>
            </w:r>
            <w:r>
              <w:rPr>
                <w:rFonts w:hint="eastAsia" w:ascii="宋体" w:hAnsi="宋体" w:eastAsia="宋体"/>
                <w:color w:val="auto"/>
                <w:sz w:val="24"/>
                <w:highlight w:val="none"/>
              </w:rPr>
              <w:t>、应急除雪设备</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装载机</w:t>
            </w:r>
            <w:r>
              <w:rPr>
                <w:rFonts w:hint="eastAsia" w:ascii="宋体" w:hAnsi="宋体"/>
                <w:color w:val="auto"/>
                <w:sz w:val="24"/>
                <w:highlight w:val="none"/>
                <w:lang w:eastAsia="zh-CN"/>
              </w:rPr>
              <w:t>）</w:t>
            </w:r>
            <w:r>
              <w:rPr>
                <w:rFonts w:hint="eastAsia" w:ascii="宋体" w:hAnsi="宋体" w:eastAsia="宋体"/>
                <w:color w:val="auto"/>
                <w:sz w:val="24"/>
                <w:highlight w:val="none"/>
              </w:rPr>
              <w:t>：</w:t>
            </w:r>
            <w:r>
              <w:rPr>
                <w:rFonts w:hint="eastAsia" w:ascii="宋体" w:hAnsi="宋体"/>
                <w:color w:val="auto"/>
                <w:sz w:val="24"/>
                <w:highlight w:val="none"/>
                <w:lang w:val="en-US" w:eastAsia="zh-CN"/>
              </w:rPr>
              <w:t>每</w:t>
            </w:r>
            <w:r>
              <w:rPr>
                <w:rFonts w:hint="eastAsia" w:ascii="宋体" w:hAnsi="宋体" w:eastAsia="宋体"/>
                <w:color w:val="auto"/>
                <w:sz w:val="24"/>
                <w:highlight w:val="none"/>
              </w:rPr>
              <w:t>1个（辆）得</w:t>
            </w:r>
            <w:r>
              <w:rPr>
                <w:rFonts w:hint="eastAsia" w:ascii="宋体" w:hAnsi="宋体"/>
                <w:color w:val="auto"/>
                <w:sz w:val="24"/>
                <w:highlight w:val="none"/>
                <w:lang w:val="en-US" w:eastAsia="zh-CN"/>
              </w:rPr>
              <w:t>2</w:t>
            </w:r>
            <w:r>
              <w:rPr>
                <w:rFonts w:hint="eastAsia" w:ascii="宋体" w:hAnsi="宋体" w:eastAsia="宋体"/>
                <w:color w:val="auto"/>
                <w:sz w:val="24"/>
                <w:highlight w:val="none"/>
              </w:rPr>
              <w:t>分，最多得</w:t>
            </w:r>
            <w:r>
              <w:rPr>
                <w:rFonts w:hint="eastAsia" w:ascii="宋体" w:hAnsi="宋体"/>
                <w:color w:val="auto"/>
                <w:sz w:val="24"/>
                <w:highlight w:val="none"/>
                <w:lang w:val="en-US" w:eastAsia="zh-CN"/>
              </w:rPr>
              <w:t>2</w:t>
            </w:r>
            <w:r>
              <w:rPr>
                <w:rFonts w:hint="eastAsia" w:ascii="宋体" w:hAnsi="宋体" w:eastAsia="宋体"/>
                <w:color w:val="auto"/>
                <w:sz w:val="24"/>
                <w:highlight w:val="none"/>
              </w:rPr>
              <w:t>分。</w:t>
            </w:r>
          </w:p>
          <w:p>
            <w:pPr>
              <w:outlineLvl w:val="0"/>
              <w:rPr>
                <w:rFonts w:ascii="宋体" w:hAnsi="宋体" w:eastAsia="宋体"/>
                <w:color w:val="auto"/>
                <w:sz w:val="24"/>
                <w:highlight w:val="none"/>
              </w:rPr>
            </w:pPr>
            <w:r>
              <w:rPr>
                <w:rFonts w:hint="eastAsia" w:hAnsi="宋体" w:cs="Times New Roman"/>
                <w:color w:val="auto"/>
                <w:szCs w:val="24"/>
                <w:highlight w:val="none"/>
                <w:lang w:val="en-US" w:eastAsia="zh-CN"/>
              </w:rPr>
              <w:t>6</w:t>
            </w:r>
            <w:r>
              <w:rPr>
                <w:rFonts w:hint="eastAsia" w:ascii="宋体" w:hAnsi="宋体" w:eastAsia="宋体" w:cs="Times New Roman"/>
                <w:color w:val="auto"/>
                <w:szCs w:val="24"/>
                <w:highlight w:val="none"/>
                <w:lang w:val="en-US"/>
              </w:rPr>
              <w:t>、</w:t>
            </w:r>
            <w:r>
              <w:rPr>
                <w:rFonts w:hint="eastAsia" w:ascii="宋体" w:hAnsi="宋体" w:eastAsia="宋体"/>
                <w:color w:val="auto"/>
                <w:sz w:val="24"/>
                <w:highlight w:val="none"/>
              </w:rPr>
              <w:t>电动四轮音乐线（八桶车）：每辆得</w:t>
            </w:r>
            <w:r>
              <w:rPr>
                <w:rFonts w:hint="eastAsia" w:ascii="宋体" w:hAnsi="宋体"/>
                <w:color w:val="auto"/>
                <w:sz w:val="24"/>
                <w:highlight w:val="none"/>
                <w:lang w:val="en-US" w:eastAsia="zh-CN"/>
              </w:rPr>
              <w:t>0.5</w:t>
            </w:r>
            <w:r>
              <w:rPr>
                <w:rFonts w:hint="eastAsia" w:ascii="宋体" w:hAnsi="宋体" w:eastAsia="宋体"/>
                <w:color w:val="auto"/>
                <w:sz w:val="24"/>
                <w:highlight w:val="none"/>
              </w:rPr>
              <w:t>分，最多得</w:t>
            </w:r>
            <w:r>
              <w:rPr>
                <w:rFonts w:hint="eastAsia" w:ascii="宋体" w:hAnsi="宋体"/>
                <w:color w:val="auto"/>
                <w:sz w:val="24"/>
                <w:highlight w:val="none"/>
                <w:lang w:val="en-US" w:eastAsia="zh-CN"/>
              </w:rPr>
              <w:t>1</w:t>
            </w:r>
            <w:r>
              <w:rPr>
                <w:rFonts w:hint="eastAsia" w:ascii="宋体" w:hAnsi="宋体" w:eastAsia="宋体"/>
                <w:color w:val="auto"/>
                <w:sz w:val="24"/>
                <w:highlight w:val="none"/>
              </w:rPr>
              <w:t>分。</w:t>
            </w:r>
          </w:p>
          <w:p>
            <w:pPr>
              <w:outlineLvl w:val="0"/>
              <w:rPr>
                <w:rFonts w:ascii="宋体" w:hAnsi="宋体" w:eastAsia="宋体"/>
                <w:color w:val="auto"/>
                <w:sz w:val="24"/>
                <w:highlight w:val="none"/>
              </w:rPr>
            </w:pPr>
            <w:r>
              <w:rPr>
                <w:rFonts w:hint="eastAsia" w:ascii="宋体" w:hAnsi="宋体"/>
                <w:color w:val="auto"/>
                <w:sz w:val="24"/>
                <w:highlight w:val="none"/>
                <w:lang w:val="en-US" w:eastAsia="zh-CN"/>
              </w:rPr>
              <w:t>7</w:t>
            </w:r>
            <w:r>
              <w:rPr>
                <w:rFonts w:hint="eastAsia" w:ascii="宋体" w:hAnsi="宋体" w:eastAsia="宋体"/>
                <w:color w:val="auto"/>
                <w:sz w:val="24"/>
                <w:highlight w:val="none"/>
              </w:rPr>
              <w:t>、排捞泵（进出口150mm以上）：每台得</w:t>
            </w:r>
            <w:r>
              <w:rPr>
                <w:rFonts w:hint="eastAsia" w:ascii="宋体" w:hAnsi="宋体"/>
                <w:color w:val="auto"/>
                <w:sz w:val="24"/>
                <w:highlight w:val="none"/>
                <w:lang w:val="en-US" w:eastAsia="zh-CN"/>
              </w:rPr>
              <w:t>1</w:t>
            </w:r>
            <w:r>
              <w:rPr>
                <w:rFonts w:hint="eastAsia" w:ascii="宋体" w:hAnsi="宋体" w:eastAsia="宋体"/>
                <w:color w:val="auto"/>
                <w:sz w:val="24"/>
                <w:highlight w:val="none"/>
              </w:rPr>
              <w:t>分，最多得</w:t>
            </w:r>
            <w:r>
              <w:rPr>
                <w:rFonts w:hint="eastAsia" w:ascii="宋体" w:hAnsi="宋体"/>
                <w:color w:val="auto"/>
                <w:sz w:val="24"/>
                <w:highlight w:val="none"/>
                <w:lang w:val="en-US" w:eastAsia="zh-CN"/>
              </w:rPr>
              <w:t>1</w:t>
            </w:r>
            <w:r>
              <w:rPr>
                <w:rFonts w:hint="eastAsia" w:ascii="宋体" w:hAnsi="宋体" w:eastAsia="宋体"/>
                <w:color w:val="auto"/>
                <w:sz w:val="24"/>
                <w:highlight w:val="none"/>
              </w:rPr>
              <w:t>分。</w:t>
            </w:r>
          </w:p>
          <w:p>
            <w:pPr>
              <w:outlineLvl w:val="0"/>
              <w:rPr>
                <w:rFonts w:ascii="宋体" w:hAnsi="宋体" w:eastAsia="宋体"/>
                <w:color w:val="auto"/>
                <w:sz w:val="24"/>
                <w:highlight w:val="none"/>
              </w:rPr>
            </w:pPr>
            <w:r>
              <w:rPr>
                <w:rFonts w:hint="eastAsia" w:ascii="宋体" w:hAnsi="宋体"/>
                <w:color w:val="auto"/>
                <w:sz w:val="24"/>
                <w:highlight w:val="none"/>
                <w:lang w:val="en-US" w:eastAsia="zh-CN"/>
              </w:rPr>
              <w:t>8</w:t>
            </w:r>
            <w:r>
              <w:rPr>
                <w:rFonts w:hint="eastAsia" w:ascii="宋体" w:hAnsi="宋体" w:eastAsia="宋体"/>
                <w:color w:val="auto"/>
                <w:sz w:val="24"/>
                <w:highlight w:val="none"/>
              </w:rPr>
              <w:t>、绿化油锯</w:t>
            </w:r>
            <w:r>
              <w:rPr>
                <w:rFonts w:ascii="宋体" w:hAnsi="宋体" w:eastAsia="宋体"/>
                <w:color w:val="auto"/>
                <w:sz w:val="24"/>
                <w:highlight w:val="none"/>
              </w:rPr>
              <w:t>1</w:t>
            </w:r>
            <w:r>
              <w:rPr>
                <w:rFonts w:hint="eastAsia" w:ascii="宋体" w:hAnsi="宋体" w:eastAsia="宋体"/>
                <w:color w:val="auto"/>
                <w:sz w:val="24"/>
                <w:highlight w:val="none"/>
              </w:rPr>
              <w:t>台及以上得2分、绿篱机</w:t>
            </w:r>
            <w:r>
              <w:rPr>
                <w:rFonts w:ascii="宋体" w:hAnsi="宋体" w:eastAsia="宋体"/>
                <w:color w:val="auto"/>
                <w:sz w:val="24"/>
                <w:highlight w:val="none"/>
              </w:rPr>
              <w:t>5</w:t>
            </w:r>
            <w:r>
              <w:rPr>
                <w:rFonts w:hint="eastAsia" w:ascii="宋体" w:hAnsi="宋体" w:eastAsia="宋体"/>
                <w:color w:val="auto"/>
                <w:sz w:val="24"/>
                <w:highlight w:val="none"/>
              </w:rPr>
              <w:t>台及以上得2分、割灌机3台及以上得2分，最多得6分。</w:t>
            </w:r>
          </w:p>
          <w:p>
            <w:pPr>
              <w:rPr>
                <w:rFonts w:hint="eastAsia" w:ascii="宋体" w:hAnsi="宋体" w:eastAsia="宋体" w:cs="仿宋"/>
                <w:color w:val="auto"/>
                <w:kern w:val="2"/>
                <w:sz w:val="24"/>
                <w:szCs w:val="24"/>
                <w:highlight w:val="none"/>
                <w:lang w:val="zh-TW" w:eastAsia="zh-CN" w:bidi="ar-SA"/>
              </w:rPr>
            </w:pPr>
            <w:r>
              <w:rPr>
                <w:rFonts w:hint="eastAsia" w:ascii="宋体" w:hAnsi="宋体" w:eastAsia="宋体"/>
                <w:b/>
                <w:bCs/>
                <w:color w:val="auto"/>
                <w:sz w:val="24"/>
                <w:highlight w:val="none"/>
              </w:rPr>
              <w:t>注：按国家规定必须上牌的车辆在投标文件中同时提供车辆行驶证扫描件、购车发票扫描件、车辆登记证扫描件、清晰带有车牌号的正面、</w:t>
            </w:r>
            <w:r>
              <w:rPr>
                <w:rFonts w:ascii="宋体" w:hAnsi="宋体" w:eastAsia="宋体"/>
                <w:b/>
                <w:bCs/>
                <w:color w:val="auto"/>
                <w:sz w:val="24"/>
                <w:highlight w:val="none"/>
              </w:rPr>
              <w:t>45</w:t>
            </w:r>
            <w:r>
              <w:rPr>
                <w:rFonts w:hint="eastAsia" w:ascii="宋体" w:hAnsi="宋体" w:eastAsia="宋体"/>
                <w:b/>
                <w:bCs/>
                <w:color w:val="auto"/>
                <w:sz w:val="24"/>
                <w:highlight w:val="none"/>
              </w:rPr>
              <w:t>度斜侧面的照片、仅用于本项目的书面承诺书（格式自拟）；缺一不可，否则不得分。按国家规定无需上牌的车辆或设备在投标文件中同时提供购买发票扫描件、车辆或设备照片、仅用于本项目的书面承诺书（格式自拟）；缺一不可，否则不得分。</w:t>
            </w:r>
            <w:r>
              <w:rPr>
                <w:rFonts w:hint="eastAsia" w:ascii="宋体" w:hAnsi="宋体" w:eastAsia="宋体"/>
                <w:b/>
                <w:bCs/>
                <w:color w:val="auto"/>
                <w:sz w:val="24"/>
                <w:highlight w:val="none"/>
                <w:lang w:val="en-US" w:eastAsia="zh-CN"/>
              </w:rPr>
              <w:t>如设备为租赁的则还需提供租赁合同，租赁期不得少于本项目服务期，否则不得分。</w:t>
            </w:r>
          </w:p>
        </w:tc>
        <w:tc>
          <w:tcPr>
            <w:tcW w:w="612" w:type="dxa"/>
            <w:vAlign w:val="center"/>
          </w:tcPr>
          <w:p>
            <w:pPr>
              <w:spacing w:line="360" w:lineRule="auto"/>
              <w:jc w:val="center"/>
              <w:rPr>
                <w:rFonts w:hint="default" w:ascii="宋体" w:hAnsi="宋体" w:eastAsia="宋体" w:cs="仿宋"/>
                <w:color w:val="auto"/>
                <w:kern w:val="2"/>
                <w:sz w:val="24"/>
                <w:szCs w:val="24"/>
                <w:highlight w:val="none"/>
                <w:lang w:val="en-US" w:eastAsia="zh-CN" w:bidi="ar-SA"/>
              </w:rPr>
            </w:pPr>
            <w:r>
              <w:rPr>
                <w:rFonts w:hint="eastAsia" w:ascii="宋体" w:hAnsi="宋体" w:cs="仿宋"/>
                <w:color w:val="auto"/>
                <w:sz w:val="24"/>
                <w:highlight w:val="none"/>
                <w:lang w:val="en-US" w:eastAsia="zh-CN"/>
              </w:rPr>
              <w:t>16</w:t>
            </w:r>
          </w:p>
        </w:tc>
        <w:tc>
          <w:tcPr>
            <w:tcW w:w="985"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客观</w:t>
            </w:r>
            <w:r>
              <w:rPr>
                <w:rFonts w:hint="eastAsia" w:ascii="宋体" w:hAnsi="宋体" w:cs="宋体"/>
                <w:color w:val="auto"/>
                <w:sz w:val="24"/>
                <w:szCs w:val="24"/>
                <w:highlight w:val="none"/>
                <w:lang w:val="en-US" w:eastAsia="zh-CN"/>
              </w:rPr>
              <w:t>分</w:t>
            </w:r>
          </w:p>
        </w:tc>
        <w:tc>
          <w:tcPr>
            <w:tcW w:w="985" w:type="dxa"/>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23"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440" w:type="dxa"/>
            <w:vAlign w:val="center"/>
          </w:tcPr>
          <w:p>
            <w:pPr>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olor w:val="auto"/>
                <w:sz w:val="24"/>
                <w:highlight w:val="none"/>
              </w:rPr>
              <w:t>投标人对现有综合养护现状了解全面、存在问题的分析到位，符合实际，对本项目养护难点、要点等问题进行调查剖析。合理得5分；较合理得3分；基本合理得</w:t>
            </w:r>
            <w:r>
              <w:rPr>
                <w:rFonts w:ascii="宋体" w:hAnsi="宋体" w:eastAsia="宋体"/>
                <w:color w:val="auto"/>
                <w:sz w:val="24"/>
                <w:highlight w:val="none"/>
              </w:rPr>
              <w:t>1</w:t>
            </w:r>
            <w:r>
              <w:rPr>
                <w:rFonts w:hint="eastAsia" w:ascii="宋体" w:hAnsi="宋体" w:eastAsia="宋体"/>
                <w:color w:val="auto"/>
                <w:sz w:val="24"/>
                <w:highlight w:val="none"/>
              </w:rPr>
              <w:t>分；不合理或未提供方案不得分。</w:t>
            </w:r>
          </w:p>
        </w:tc>
        <w:tc>
          <w:tcPr>
            <w:tcW w:w="612" w:type="dxa"/>
            <w:vAlign w:val="center"/>
          </w:tcPr>
          <w:p>
            <w:pPr>
              <w:spacing w:line="360" w:lineRule="auto"/>
              <w:jc w:val="center"/>
              <w:rPr>
                <w:rFonts w:hint="eastAsia" w:ascii="宋体" w:hAnsi="宋体" w:eastAsia="宋体" w:cs="仿宋"/>
                <w:color w:val="auto"/>
                <w:kern w:val="2"/>
                <w:sz w:val="24"/>
                <w:szCs w:val="24"/>
                <w:highlight w:val="none"/>
                <w:lang w:val="en-US" w:eastAsia="zh-CN" w:bidi="ar-SA"/>
              </w:rPr>
            </w:pPr>
            <w:r>
              <w:rPr>
                <w:rFonts w:hint="eastAsia" w:ascii="宋体" w:hAnsi="宋体" w:eastAsia="宋体" w:cs="仿宋"/>
                <w:color w:val="auto"/>
                <w:sz w:val="24"/>
                <w:highlight w:val="none"/>
              </w:rPr>
              <w:t>5</w:t>
            </w:r>
          </w:p>
        </w:tc>
        <w:tc>
          <w:tcPr>
            <w:tcW w:w="985" w:type="dxa"/>
            <w:vAlign w:val="center"/>
          </w:tcPr>
          <w:p>
            <w:pPr>
              <w:adjustRightInd w:val="0"/>
              <w:snapToGrid w:val="0"/>
              <w:spacing w:line="360" w:lineRule="auto"/>
              <w:ind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w:t>
            </w:r>
            <w:r>
              <w:rPr>
                <w:rFonts w:hint="eastAsia" w:ascii="宋体" w:hAnsi="宋体" w:cs="宋体"/>
                <w:color w:val="auto"/>
                <w:sz w:val="24"/>
                <w:szCs w:val="24"/>
                <w:highlight w:val="none"/>
                <w:lang w:val="en-US" w:eastAsia="zh-CN"/>
              </w:rPr>
              <w:t>分</w:t>
            </w:r>
          </w:p>
        </w:tc>
        <w:tc>
          <w:tcPr>
            <w:tcW w:w="985" w:type="dxa"/>
            <w:vAlign w:val="center"/>
          </w:tcPr>
          <w:p>
            <w:pPr>
              <w:adjustRightInd w:val="0"/>
              <w:snapToGrid w:val="0"/>
              <w:spacing w:line="360" w:lineRule="auto"/>
              <w:ind w:right="-105" w:rightChars="-5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440" w:type="dxa"/>
            <w:vAlign w:val="center"/>
          </w:tcPr>
          <w:p>
            <w:pPr>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olor w:val="auto"/>
                <w:sz w:val="24"/>
                <w:highlight w:val="none"/>
              </w:rPr>
              <w:t>投标人针对本项目养护内容（道路保洁、绿化养护、市政修复、路灯养护等）提出克服难点和要点的技术措施。合理得5分；较合理得3分；基本合理得</w:t>
            </w:r>
            <w:r>
              <w:rPr>
                <w:rFonts w:ascii="宋体" w:hAnsi="宋体" w:eastAsia="宋体"/>
                <w:color w:val="auto"/>
                <w:sz w:val="24"/>
                <w:highlight w:val="none"/>
              </w:rPr>
              <w:t>1</w:t>
            </w:r>
            <w:r>
              <w:rPr>
                <w:rFonts w:hint="eastAsia" w:ascii="宋体" w:hAnsi="宋体" w:eastAsia="宋体"/>
                <w:color w:val="auto"/>
                <w:sz w:val="24"/>
                <w:highlight w:val="none"/>
              </w:rPr>
              <w:t>分；不合理或未提供方案不得分。</w:t>
            </w:r>
          </w:p>
        </w:tc>
        <w:tc>
          <w:tcPr>
            <w:tcW w:w="612" w:type="dxa"/>
            <w:vAlign w:val="center"/>
          </w:tcPr>
          <w:p>
            <w:pPr>
              <w:spacing w:line="360" w:lineRule="auto"/>
              <w:rPr>
                <w:rFonts w:ascii="宋体" w:hAnsi="宋体" w:eastAsia="宋体" w:cs="仿宋"/>
                <w:color w:val="auto"/>
                <w:sz w:val="24"/>
                <w:highlight w:val="none"/>
              </w:rPr>
            </w:pPr>
          </w:p>
          <w:p>
            <w:pPr>
              <w:spacing w:line="360" w:lineRule="auto"/>
              <w:jc w:val="center"/>
              <w:rPr>
                <w:rFonts w:hint="eastAsia" w:ascii="宋体" w:hAnsi="宋体" w:eastAsia="宋体" w:cs="仿宋"/>
                <w:color w:val="auto"/>
                <w:kern w:val="2"/>
                <w:sz w:val="24"/>
                <w:szCs w:val="24"/>
                <w:highlight w:val="none"/>
                <w:lang w:val="en-US" w:eastAsia="zh-CN" w:bidi="ar-SA"/>
              </w:rPr>
            </w:pPr>
            <w:r>
              <w:rPr>
                <w:rFonts w:hint="eastAsia" w:ascii="宋体" w:hAnsi="宋体" w:eastAsia="宋体" w:cs="仿宋"/>
                <w:color w:val="auto"/>
                <w:sz w:val="24"/>
                <w:highlight w:val="none"/>
              </w:rPr>
              <w:t>5</w:t>
            </w:r>
          </w:p>
        </w:tc>
        <w:tc>
          <w:tcPr>
            <w:tcW w:w="985" w:type="dxa"/>
            <w:vAlign w:val="center"/>
          </w:tcPr>
          <w:p>
            <w:p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w:t>
            </w:r>
            <w:r>
              <w:rPr>
                <w:rFonts w:hint="eastAsia" w:ascii="宋体" w:hAnsi="宋体" w:cs="宋体"/>
                <w:color w:val="auto"/>
                <w:sz w:val="24"/>
                <w:szCs w:val="24"/>
                <w:highlight w:val="none"/>
                <w:lang w:val="en-US" w:eastAsia="zh-CN"/>
              </w:rPr>
              <w:t>分</w:t>
            </w:r>
          </w:p>
        </w:tc>
        <w:tc>
          <w:tcPr>
            <w:tcW w:w="985" w:type="dxa"/>
            <w:vAlign w:val="center"/>
          </w:tcPr>
          <w:p>
            <w:pPr>
              <w:pStyle w:val="623"/>
              <w:spacing w:line="360" w:lineRule="auto"/>
              <w:ind w:left="0" w:leftChars="0" w:firstLine="0" w:firstLineChars="0"/>
              <w:jc w:val="center"/>
              <w:rPr>
                <w:rFonts w:hint="eastAsia" w:ascii="宋体" w:hAnsi="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23"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440" w:type="dxa"/>
            <w:vAlign w:val="center"/>
          </w:tcPr>
          <w:p>
            <w:pPr>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sz w:val="24"/>
                <w:highlight w:val="none"/>
              </w:rPr>
              <w:t>投标人</w:t>
            </w:r>
            <w:r>
              <w:rPr>
                <w:rFonts w:hint="eastAsia" w:ascii="宋体" w:hAnsi="宋体" w:eastAsia="宋体" w:cs="宋体"/>
                <w:color w:val="auto"/>
                <w:kern w:val="2"/>
                <w:sz w:val="24"/>
                <w:szCs w:val="24"/>
                <w:highlight w:val="none"/>
                <w:lang w:val="en-US" w:eastAsia="zh-CN" w:bidi="ar-SA"/>
              </w:rPr>
              <w:t>管理组织方案切合本项目采购需求方案全面、详细、</w:t>
            </w:r>
            <w:r>
              <w:rPr>
                <w:rFonts w:hint="eastAsia" w:ascii="宋体" w:hAnsi="宋体" w:eastAsia="宋体" w:cs="宋体"/>
                <w:color w:val="auto"/>
                <w:sz w:val="24"/>
                <w:highlight w:val="none"/>
              </w:rPr>
              <w:t>合理得5分；</w:t>
            </w:r>
            <w:r>
              <w:rPr>
                <w:rFonts w:hint="eastAsia" w:ascii="宋体" w:hAnsi="宋体" w:eastAsia="宋体" w:cs="宋体"/>
                <w:color w:val="auto"/>
                <w:kern w:val="2"/>
                <w:sz w:val="24"/>
                <w:szCs w:val="24"/>
                <w:highlight w:val="none"/>
                <w:lang w:val="en-US" w:eastAsia="zh-CN" w:bidi="ar-SA"/>
              </w:rPr>
              <w:t>方案较为全面、详细、</w:t>
            </w:r>
            <w:r>
              <w:rPr>
                <w:rFonts w:hint="eastAsia" w:ascii="宋体" w:hAnsi="宋体" w:eastAsia="宋体" w:cs="宋体"/>
                <w:color w:val="auto"/>
                <w:sz w:val="24"/>
                <w:highlight w:val="none"/>
              </w:rPr>
              <w:t>较合理得3分；</w:t>
            </w:r>
            <w:r>
              <w:rPr>
                <w:rFonts w:hint="eastAsia" w:ascii="宋体" w:hAnsi="宋体" w:cs="宋体"/>
                <w:color w:val="auto"/>
                <w:sz w:val="24"/>
                <w:highlight w:val="none"/>
                <w:lang w:val="en-US" w:eastAsia="zh-CN"/>
              </w:rPr>
              <w:t>方案一般</w:t>
            </w:r>
            <w:r>
              <w:rPr>
                <w:rFonts w:hint="eastAsia" w:ascii="宋体" w:hAnsi="宋体" w:eastAsia="宋体" w:cs="宋体"/>
                <w:color w:val="auto"/>
                <w:sz w:val="24"/>
                <w:highlight w:val="none"/>
              </w:rPr>
              <w:t>得1分；方案不合理或未提供方案不得分。</w:t>
            </w:r>
          </w:p>
        </w:tc>
        <w:tc>
          <w:tcPr>
            <w:tcW w:w="612" w:type="dxa"/>
            <w:vAlign w:val="center"/>
          </w:tcPr>
          <w:p>
            <w:pPr>
              <w:spacing w:line="360" w:lineRule="auto"/>
              <w:jc w:val="center"/>
              <w:rPr>
                <w:rFonts w:hint="eastAsia" w:ascii="宋体" w:hAnsi="宋体" w:eastAsia="宋体" w:cs="仿宋"/>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p>
        </w:tc>
        <w:tc>
          <w:tcPr>
            <w:tcW w:w="985" w:type="dxa"/>
            <w:vAlign w:val="center"/>
          </w:tcPr>
          <w:p>
            <w:pPr>
              <w:adjustRightInd w:val="0"/>
              <w:snapToGrid w:val="0"/>
              <w:spacing w:line="360" w:lineRule="auto"/>
              <w:ind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w:t>
            </w:r>
            <w:r>
              <w:rPr>
                <w:rFonts w:hint="eastAsia" w:ascii="宋体" w:hAnsi="宋体" w:cs="宋体"/>
                <w:color w:val="auto"/>
                <w:sz w:val="24"/>
                <w:szCs w:val="24"/>
                <w:highlight w:val="none"/>
                <w:lang w:val="en-US" w:eastAsia="zh-CN"/>
              </w:rPr>
              <w:t>分</w:t>
            </w:r>
          </w:p>
        </w:tc>
        <w:tc>
          <w:tcPr>
            <w:tcW w:w="985" w:type="dxa"/>
            <w:vAlign w:val="center"/>
          </w:tcPr>
          <w:p>
            <w:pPr>
              <w:adjustRightInd w:val="0"/>
              <w:snapToGrid w:val="0"/>
              <w:spacing w:line="360" w:lineRule="auto"/>
              <w:ind w:right="-105" w:rightChars="-5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23" w:type="dxa"/>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440" w:type="dxa"/>
            <w:vAlign w:val="center"/>
          </w:tcPr>
          <w:p>
            <w:pPr>
              <w:jc w:val="left"/>
              <w:rPr>
                <w:rFonts w:hint="eastAsia" w:ascii="宋体" w:hAnsi="宋体" w:eastAsia="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kern w:val="2"/>
                <w:sz w:val="24"/>
                <w:szCs w:val="24"/>
                <w:highlight w:val="none"/>
                <w:lang w:val="en-US" w:eastAsia="zh-CN" w:bidi="ar-SA"/>
              </w:rPr>
              <w:t>管理制度方案切合本项目采购需求</w:t>
            </w:r>
            <w:r>
              <w:rPr>
                <w:rFonts w:hint="eastAsia" w:ascii="宋体" w:hAnsi="宋体" w:eastAsia="宋体" w:cs="宋体"/>
                <w:color w:val="auto"/>
                <w:sz w:val="24"/>
                <w:highlight w:val="none"/>
              </w:rPr>
              <w:t>合理得5分；</w:t>
            </w:r>
            <w:r>
              <w:rPr>
                <w:rFonts w:hint="eastAsia" w:ascii="宋体" w:hAnsi="宋体" w:eastAsia="宋体" w:cs="宋体"/>
                <w:color w:val="auto"/>
                <w:kern w:val="2"/>
                <w:sz w:val="24"/>
                <w:szCs w:val="24"/>
                <w:highlight w:val="none"/>
                <w:lang w:val="en-US" w:eastAsia="zh-CN" w:bidi="ar-SA"/>
              </w:rPr>
              <w:t>方案较为全面、详细、</w:t>
            </w:r>
            <w:r>
              <w:rPr>
                <w:rFonts w:hint="eastAsia" w:ascii="宋体" w:hAnsi="宋体" w:eastAsia="宋体" w:cs="宋体"/>
                <w:color w:val="auto"/>
                <w:sz w:val="24"/>
                <w:highlight w:val="none"/>
              </w:rPr>
              <w:t>较合理得3分；</w:t>
            </w:r>
            <w:r>
              <w:rPr>
                <w:rFonts w:hint="eastAsia" w:ascii="宋体" w:hAnsi="宋体" w:cs="宋体"/>
                <w:color w:val="auto"/>
                <w:sz w:val="24"/>
                <w:highlight w:val="none"/>
                <w:lang w:val="en-US" w:eastAsia="zh-CN"/>
              </w:rPr>
              <w:t>方案一般</w:t>
            </w:r>
            <w:r>
              <w:rPr>
                <w:rFonts w:hint="eastAsia" w:ascii="宋体" w:hAnsi="宋体" w:eastAsia="宋体" w:cs="宋体"/>
                <w:color w:val="auto"/>
                <w:sz w:val="24"/>
                <w:highlight w:val="none"/>
              </w:rPr>
              <w:t>得1分；方案不合理或未提供方案不得分。</w:t>
            </w:r>
          </w:p>
        </w:tc>
        <w:tc>
          <w:tcPr>
            <w:tcW w:w="612" w:type="dxa"/>
            <w:vAlign w:val="center"/>
          </w:tcPr>
          <w:p>
            <w:pPr>
              <w:spacing w:line="360" w:lineRule="auto"/>
              <w:jc w:val="center"/>
              <w:rPr>
                <w:rFonts w:hint="eastAsia" w:ascii="宋体" w:hAnsi="宋体" w:eastAsia="宋体" w:cs="仿宋"/>
                <w:color w:val="auto"/>
                <w:sz w:val="24"/>
                <w:highlight w:val="none"/>
              </w:rPr>
            </w:pPr>
            <w:r>
              <w:rPr>
                <w:rFonts w:hint="eastAsia" w:ascii="宋体" w:hAnsi="宋体" w:eastAsia="宋体" w:cs="宋体"/>
                <w:color w:val="auto"/>
                <w:kern w:val="2"/>
                <w:sz w:val="24"/>
                <w:szCs w:val="24"/>
                <w:highlight w:val="none"/>
                <w:lang w:val="en-US" w:eastAsia="zh-CN" w:bidi="ar-SA"/>
              </w:rPr>
              <w:t>5</w:t>
            </w:r>
          </w:p>
        </w:tc>
        <w:tc>
          <w:tcPr>
            <w:tcW w:w="985" w:type="dxa"/>
            <w:vAlign w:val="center"/>
          </w:tcPr>
          <w:p>
            <w:pPr>
              <w:adjustRightInd w:val="0"/>
              <w:snapToGrid w:val="0"/>
              <w:spacing w:line="360" w:lineRule="auto"/>
              <w:ind w:right="-105" w:rightChars="-50"/>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w:t>
            </w:r>
            <w:r>
              <w:rPr>
                <w:rFonts w:hint="eastAsia" w:ascii="宋体" w:hAnsi="宋体" w:cs="宋体"/>
                <w:color w:val="auto"/>
                <w:sz w:val="24"/>
                <w:szCs w:val="24"/>
                <w:highlight w:val="none"/>
                <w:lang w:val="en-US" w:eastAsia="zh-CN"/>
              </w:rPr>
              <w:t>分</w:t>
            </w:r>
          </w:p>
        </w:tc>
        <w:tc>
          <w:tcPr>
            <w:tcW w:w="985" w:type="dxa"/>
            <w:vAlign w:val="center"/>
          </w:tcPr>
          <w:p>
            <w:pPr>
              <w:adjustRightInd w:val="0"/>
              <w:snapToGrid w:val="0"/>
              <w:spacing w:line="360" w:lineRule="auto"/>
              <w:ind w:right="-105" w:rightChars="-5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23" w:type="dxa"/>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6440" w:type="dxa"/>
            <w:vAlign w:val="center"/>
          </w:tcPr>
          <w:p>
            <w:pPr>
              <w:keepNext w:val="0"/>
              <w:keepLines w:val="0"/>
              <w:pageBreakBefore w:val="0"/>
              <w:kinsoku/>
              <w:wordWrap/>
              <w:overflowPunct/>
              <w:topLinePunct w:val="0"/>
              <w:autoSpaceDE/>
              <w:autoSpaceDN/>
              <w:bidi w:val="0"/>
              <w:spacing w:line="288" w:lineRule="auto"/>
              <w:ind w:firstLine="0" w:firstLineChars="0"/>
              <w:jc w:val="left"/>
              <w:rPr>
                <w:rFonts w:hint="eastAsia" w:ascii="宋体" w:hAnsi="宋体" w:eastAsia="宋体"/>
                <w:color w:val="auto"/>
                <w:sz w:val="24"/>
                <w:highlight w:val="none"/>
              </w:rPr>
            </w:pPr>
            <w:r>
              <w:rPr>
                <w:rFonts w:hint="eastAsia" w:ascii="宋体" w:hAnsi="宋体" w:eastAsia="宋体" w:cs="宋体"/>
                <w:color w:val="auto"/>
                <w:kern w:val="2"/>
                <w:sz w:val="24"/>
                <w:szCs w:val="24"/>
                <w:highlight w:val="none"/>
                <w:lang w:val="en-US" w:eastAsia="zh-CN" w:bidi="ar-SA"/>
              </w:rPr>
              <w:t>投标人有完善的质量保证体系及质量保证措施方案，方案全面、详细、合理的得5分；投标人质量保证体系及质量保证措施方案较为全面、详细、合理的得3分；投标人质量保证体系及质量保证措施方案一般的得1分，方案有缺项或不合理或未提供方案不得分。</w:t>
            </w:r>
          </w:p>
        </w:tc>
        <w:tc>
          <w:tcPr>
            <w:tcW w:w="612" w:type="dxa"/>
            <w:vAlign w:val="center"/>
          </w:tcPr>
          <w:p>
            <w:pPr>
              <w:spacing w:line="360" w:lineRule="auto"/>
              <w:jc w:val="center"/>
              <w:rPr>
                <w:rFonts w:hint="eastAsia" w:ascii="宋体" w:hAnsi="宋体" w:eastAsia="宋体" w:cs="仿宋"/>
                <w:color w:val="auto"/>
                <w:sz w:val="24"/>
                <w:highlight w:val="none"/>
              </w:rPr>
            </w:pPr>
            <w:r>
              <w:rPr>
                <w:rFonts w:hint="eastAsia" w:ascii="宋体" w:hAnsi="宋体" w:eastAsia="宋体" w:cs="宋体"/>
                <w:color w:val="auto"/>
                <w:kern w:val="2"/>
                <w:sz w:val="24"/>
                <w:szCs w:val="24"/>
                <w:highlight w:val="none"/>
                <w:lang w:val="en-US" w:eastAsia="zh-CN" w:bidi="ar-SA"/>
              </w:rPr>
              <w:t>5</w:t>
            </w:r>
          </w:p>
        </w:tc>
        <w:tc>
          <w:tcPr>
            <w:tcW w:w="985" w:type="dxa"/>
            <w:vAlign w:val="center"/>
          </w:tcPr>
          <w:p>
            <w:pPr>
              <w:adjustRightInd w:val="0"/>
              <w:snapToGrid w:val="0"/>
              <w:spacing w:line="360" w:lineRule="auto"/>
              <w:ind w:right="-105" w:rightChars="-50"/>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w:t>
            </w:r>
            <w:r>
              <w:rPr>
                <w:rFonts w:hint="eastAsia" w:ascii="宋体" w:hAnsi="宋体" w:cs="宋体"/>
                <w:color w:val="auto"/>
                <w:sz w:val="24"/>
                <w:szCs w:val="24"/>
                <w:highlight w:val="none"/>
                <w:lang w:val="en-US" w:eastAsia="zh-CN"/>
              </w:rPr>
              <w:t>分</w:t>
            </w:r>
          </w:p>
        </w:tc>
        <w:tc>
          <w:tcPr>
            <w:tcW w:w="985" w:type="dxa"/>
            <w:vAlign w:val="center"/>
          </w:tcPr>
          <w:p>
            <w:pPr>
              <w:adjustRightInd w:val="0"/>
              <w:snapToGrid w:val="0"/>
              <w:spacing w:line="360" w:lineRule="auto"/>
              <w:ind w:right="-105" w:rightChars="-5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23" w:type="dxa"/>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6440" w:type="dxa"/>
            <w:vAlign w:val="center"/>
          </w:tcPr>
          <w:p>
            <w:pPr>
              <w:keepNext w:val="0"/>
              <w:keepLines w:val="0"/>
              <w:pageBreakBefore w:val="0"/>
              <w:kinsoku/>
              <w:wordWrap/>
              <w:overflowPunct/>
              <w:topLinePunct w:val="0"/>
              <w:autoSpaceDE/>
              <w:autoSpaceDN/>
              <w:bidi w:val="0"/>
              <w:spacing w:line="288" w:lineRule="auto"/>
              <w:ind w:firstLine="0" w:firstLineChars="0"/>
              <w:jc w:val="left"/>
              <w:rPr>
                <w:rFonts w:hint="eastAsia" w:ascii="宋体" w:hAnsi="宋体" w:eastAsia="宋体"/>
                <w:color w:val="auto"/>
                <w:sz w:val="24"/>
                <w:highlight w:val="none"/>
              </w:rPr>
            </w:pPr>
            <w:r>
              <w:rPr>
                <w:rFonts w:hint="eastAsia" w:ascii="宋体" w:hAnsi="宋体" w:eastAsia="宋体" w:cs="宋体"/>
                <w:color w:val="auto"/>
                <w:kern w:val="2"/>
                <w:sz w:val="24"/>
                <w:szCs w:val="24"/>
                <w:highlight w:val="none"/>
                <w:lang w:val="en-US" w:eastAsia="zh-CN" w:bidi="ar-SA"/>
              </w:rPr>
              <w:t>投标人有完善的安全保证体系和安全保证措施方案，方案全面、详细、合理的得5分；投标人安全保证体系和安全保证措施方案较为全面、详细、合理的得3分；投标人安全保证体系和安全保证措施方案一般的得1分，方案有缺项或不合理或未提供方案不得分。</w:t>
            </w:r>
          </w:p>
        </w:tc>
        <w:tc>
          <w:tcPr>
            <w:tcW w:w="612" w:type="dxa"/>
            <w:vAlign w:val="center"/>
          </w:tcPr>
          <w:p>
            <w:pPr>
              <w:spacing w:line="360" w:lineRule="auto"/>
              <w:jc w:val="center"/>
              <w:rPr>
                <w:rFonts w:hint="eastAsia" w:ascii="宋体" w:hAnsi="宋体" w:eastAsia="宋体" w:cs="仿宋"/>
                <w:color w:val="auto"/>
                <w:sz w:val="24"/>
                <w:highlight w:val="none"/>
              </w:rPr>
            </w:pPr>
            <w:r>
              <w:rPr>
                <w:rFonts w:hint="eastAsia" w:ascii="宋体" w:hAnsi="宋体" w:eastAsia="宋体" w:cs="宋体"/>
                <w:color w:val="auto"/>
                <w:kern w:val="2"/>
                <w:sz w:val="24"/>
                <w:szCs w:val="24"/>
                <w:highlight w:val="none"/>
                <w:lang w:val="en-US" w:eastAsia="zh-CN" w:bidi="ar-SA"/>
              </w:rPr>
              <w:t>5</w:t>
            </w:r>
          </w:p>
        </w:tc>
        <w:tc>
          <w:tcPr>
            <w:tcW w:w="985" w:type="dxa"/>
            <w:vAlign w:val="center"/>
          </w:tcPr>
          <w:p>
            <w:pPr>
              <w:adjustRightInd w:val="0"/>
              <w:snapToGrid w:val="0"/>
              <w:spacing w:line="360" w:lineRule="auto"/>
              <w:ind w:right="-105" w:rightChars="-50"/>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w:t>
            </w:r>
            <w:r>
              <w:rPr>
                <w:rFonts w:hint="eastAsia" w:ascii="宋体" w:hAnsi="宋体" w:cs="宋体"/>
                <w:color w:val="auto"/>
                <w:sz w:val="24"/>
                <w:szCs w:val="24"/>
                <w:highlight w:val="none"/>
                <w:lang w:val="en-US" w:eastAsia="zh-CN"/>
              </w:rPr>
              <w:t>分</w:t>
            </w:r>
          </w:p>
        </w:tc>
        <w:tc>
          <w:tcPr>
            <w:tcW w:w="985" w:type="dxa"/>
            <w:vAlign w:val="center"/>
          </w:tcPr>
          <w:p>
            <w:pPr>
              <w:adjustRightInd w:val="0"/>
              <w:snapToGrid w:val="0"/>
              <w:spacing w:line="360" w:lineRule="auto"/>
              <w:ind w:right="-105" w:rightChars="-5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23" w:type="dxa"/>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6440" w:type="dxa"/>
            <w:vAlign w:val="center"/>
          </w:tcPr>
          <w:p>
            <w:pPr>
              <w:jc w:val="left"/>
              <w:rPr>
                <w:rFonts w:hint="eastAsia" w:ascii="宋体" w:hAnsi="宋体" w:eastAsia="宋体"/>
                <w:color w:val="auto"/>
                <w:sz w:val="24"/>
                <w:highlight w:val="none"/>
              </w:rPr>
            </w:pPr>
            <w:r>
              <w:rPr>
                <w:rFonts w:hint="eastAsia" w:ascii="宋体" w:hAnsi="宋体" w:eastAsia="宋体" w:cs="宋体"/>
                <w:color w:val="auto"/>
                <w:kern w:val="2"/>
                <w:sz w:val="24"/>
                <w:szCs w:val="24"/>
                <w:highlight w:val="none"/>
                <w:lang w:val="en-US" w:eastAsia="zh-CN" w:bidi="ar-SA"/>
              </w:rPr>
              <w:t>投标人有完善的突发事故、自然灾害的处理及配合重大活动的应急预案，方案科学合理，具有针对性及可操作性的得5分；有较为完善的突发事故、自然灾害的处理及配合重大活动的应急预案，方案较为科学合理，针对性及可操作性较好的得3分；突发事故、自然灾害的处理及配合重大活动的应急预案一般，针对性及可操作性一般的得1分；方案有缺项或不合理或未提供方案不得分。</w:t>
            </w:r>
          </w:p>
        </w:tc>
        <w:tc>
          <w:tcPr>
            <w:tcW w:w="612" w:type="dxa"/>
            <w:vAlign w:val="center"/>
          </w:tcPr>
          <w:p>
            <w:pPr>
              <w:spacing w:line="360" w:lineRule="auto"/>
              <w:jc w:val="center"/>
              <w:rPr>
                <w:rFonts w:hint="eastAsia" w:ascii="宋体" w:hAnsi="宋体" w:eastAsia="宋体" w:cs="仿宋"/>
                <w:color w:val="auto"/>
                <w:sz w:val="24"/>
                <w:highlight w:val="none"/>
              </w:rPr>
            </w:pPr>
            <w:r>
              <w:rPr>
                <w:rFonts w:hint="eastAsia" w:ascii="宋体" w:hAnsi="宋体" w:eastAsia="宋体" w:cs="宋体"/>
                <w:color w:val="auto"/>
                <w:sz w:val="24"/>
                <w:highlight w:val="none"/>
                <w:lang w:val="en-US" w:eastAsia="zh-CN"/>
              </w:rPr>
              <w:t>5</w:t>
            </w:r>
          </w:p>
        </w:tc>
        <w:tc>
          <w:tcPr>
            <w:tcW w:w="985" w:type="dxa"/>
            <w:vAlign w:val="center"/>
          </w:tcPr>
          <w:p>
            <w:pPr>
              <w:adjustRightInd w:val="0"/>
              <w:snapToGrid w:val="0"/>
              <w:spacing w:line="360" w:lineRule="auto"/>
              <w:ind w:right="-105" w:rightChars="-50"/>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w:t>
            </w:r>
            <w:r>
              <w:rPr>
                <w:rFonts w:hint="eastAsia" w:ascii="宋体" w:hAnsi="宋体" w:cs="宋体"/>
                <w:color w:val="auto"/>
                <w:sz w:val="24"/>
                <w:szCs w:val="24"/>
                <w:highlight w:val="none"/>
                <w:lang w:val="en-US" w:eastAsia="zh-CN"/>
              </w:rPr>
              <w:t>分</w:t>
            </w:r>
          </w:p>
        </w:tc>
        <w:tc>
          <w:tcPr>
            <w:tcW w:w="985" w:type="dxa"/>
            <w:vAlign w:val="center"/>
          </w:tcPr>
          <w:p>
            <w:pPr>
              <w:adjustRightInd w:val="0"/>
              <w:snapToGrid w:val="0"/>
              <w:spacing w:line="360" w:lineRule="auto"/>
              <w:ind w:right="-105" w:rightChars="-5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23" w:type="dxa"/>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6440" w:type="dxa"/>
            <w:vAlign w:val="center"/>
          </w:tcPr>
          <w:p>
            <w:pPr>
              <w:jc w:val="left"/>
              <w:rPr>
                <w:rFonts w:hint="eastAsia" w:ascii="宋体" w:hAnsi="宋体" w:eastAsia="宋体"/>
                <w:color w:val="auto"/>
                <w:sz w:val="24"/>
                <w:highlight w:val="none"/>
                <w:lang w:eastAsia="zh-CN"/>
              </w:rPr>
            </w:pPr>
            <w:r>
              <w:rPr>
                <w:rFonts w:hint="eastAsia" w:ascii="宋体" w:hAnsi="宋体" w:eastAsia="宋体" w:cs="宋体"/>
                <w:color w:val="auto"/>
                <w:sz w:val="24"/>
                <w:highlight w:val="none"/>
              </w:rPr>
              <w:t>投标人台账管理方案全面、详细、合理的得5分；投标人台账管理方案较为全面、详细、合理的得3分；投标人台账管理方案一般的得1分，投标人台账管理方案有缺项或不合理或未提供方案不得分</w:t>
            </w:r>
            <w:r>
              <w:rPr>
                <w:rFonts w:hint="eastAsia" w:ascii="宋体" w:hAnsi="宋体" w:cs="宋体"/>
                <w:color w:val="auto"/>
                <w:sz w:val="24"/>
                <w:highlight w:val="none"/>
                <w:lang w:eastAsia="zh-CN"/>
              </w:rPr>
              <w:t>。</w:t>
            </w:r>
          </w:p>
        </w:tc>
        <w:tc>
          <w:tcPr>
            <w:tcW w:w="612" w:type="dxa"/>
            <w:vAlign w:val="center"/>
          </w:tcPr>
          <w:p>
            <w:pPr>
              <w:spacing w:line="360" w:lineRule="auto"/>
              <w:jc w:val="center"/>
              <w:rPr>
                <w:rFonts w:hint="eastAsia" w:ascii="宋体" w:hAnsi="宋体" w:eastAsia="宋体" w:cs="仿宋"/>
                <w:color w:val="auto"/>
                <w:sz w:val="24"/>
                <w:highlight w:val="none"/>
              </w:rPr>
            </w:pPr>
            <w:r>
              <w:rPr>
                <w:rFonts w:hint="eastAsia" w:ascii="宋体" w:hAnsi="宋体" w:cs="宋体"/>
                <w:color w:val="auto"/>
                <w:sz w:val="24"/>
                <w:highlight w:val="none"/>
                <w:lang w:val="en-US" w:eastAsia="zh-CN"/>
              </w:rPr>
              <w:t>5</w:t>
            </w:r>
          </w:p>
        </w:tc>
        <w:tc>
          <w:tcPr>
            <w:tcW w:w="985" w:type="dxa"/>
            <w:vAlign w:val="center"/>
          </w:tcPr>
          <w:p>
            <w:pPr>
              <w:adjustRightInd w:val="0"/>
              <w:snapToGrid w:val="0"/>
              <w:spacing w:line="360" w:lineRule="auto"/>
              <w:ind w:right="-105" w:rightChars="-50"/>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w:t>
            </w:r>
            <w:r>
              <w:rPr>
                <w:rFonts w:hint="eastAsia" w:ascii="宋体" w:hAnsi="宋体" w:cs="宋体"/>
                <w:color w:val="auto"/>
                <w:sz w:val="24"/>
                <w:szCs w:val="24"/>
                <w:highlight w:val="none"/>
                <w:lang w:val="en-US" w:eastAsia="zh-CN"/>
              </w:rPr>
              <w:t>分</w:t>
            </w:r>
          </w:p>
        </w:tc>
        <w:tc>
          <w:tcPr>
            <w:tcW w:w="985" w:type="dxa"/>
            <w:vAlign w:val="center"/>
          </w:tcPr>
          <w:p>
            <w:pPr>
              <w:adjustRightInd w:val="0"/>
              <w:snapToGrid w:val="0"/>
              <w:spacing w:line="360" w:lineRule="auto"/>
              <w:ind w:right="-105" w:rightChars="-5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23" w:type="dxa"/>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6440" w:type="dxa"/>
            <w:vAlign w:val="center"/>
          </w:tcPr>
          <w:p>
            <w:pPr>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投标人有完善的各项检查制度，制度全面、详细、合理的得</w:t>
            </w:r>
            <w:r>
              <w:rPr>
                <w:rFonts w:hint="default"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分；投标人制度较为全面、详细、合理的得</w:t>
            </w:r>
            <w:r>
              <w:rPr>
                <w:rFonts w:hint="default"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分；投标人制度一般的得1分，投标人制度有缺项或不合理或未提供方案不得分。</w:t>
            </w:r>
          </w:p>
        </w:tc>
        <w:tc>
          <w:tcPr>
            <w:tcW w:w="612" w:type="dxa"/>
            <w:vAlign w:val="center"/>
          </w:tcPr>
          <w:p>
            <w:pPr>
              <w:spacing w:line="360" w:lineRule="auto"/>
              <w:jc w:val="center"/>
              <w:rPr>
                <w:rFonts w:hint="eastAsia" w:ascii="宋体" w:hAnsi="宋体" w:eastAsia="宋体" w:cs="仿宋"/>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985" w:type="dxa"/>
            <w:vAlign w:val="center"/>
          </w:tcPr>
          <w:p>
            <w:p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w:t>
            </w:r>
            <w:r>
              <w:rPr>
                <w:rFonts w:hint="eastAsia" w:ascii="宋体" w:hAnsi="宋体" w:cs="宋体"/>
                <w:color w:val="auto"/>
                <w:sz w:val="24"/>
                <w:szCs w:val="24"/>
                <w:highlight w:val="none"/>
                <w:lang w:val="en-US" w:eastAsia="zh-CN"/>
              </w:rPr>
              <w:t>分</w:t>
            </w:r>
          </w:p>
        </w:tc>
        <w:tc>
          <w:tcPr>
            <w:tcW w:w="985" w:type="dxa"/>
            <w:vAlign w:val="center"/>
          </w:tcPr>
          <w:p>
            <w:pPr>
              <w:pStyle w:val="623"/>
              <w:spacing w:line="360" w:lineRule="auto"/>
              <w:ind w:left="0" w:leftChars="0" w:firstLine="0" w:firstLineChars="0"/>
              <w:jc w:val="center"/>
              <w:rPr>
                <w:rFonts w:hint="eastAsia" w:ascii="宋体" w:hAnsi="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23" w:type="dxa"/>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6440" w:type="dxa"/>
            <w:vAlign w:val="center"/>
          </w:tcPr>
          <w:p>
            <w:pPr>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sz w:val="24"/>
                <w:highlight w:val="none"/>
              </w:rPr>
              <w:t>同城协助能力的工作方案：方案是否合理、有针对性，具有较强的本地化服务能力，如针对疫情等，对本项目提供的人力、设备、技术等支持是否响应及时、充足等内容的评审。合理得3分；较合理得2分；基本合理得1分；不合理或未提供方案不得分。</w:t>
            </w:r>
          </w:p>
        </w:tc>
        <w:tc>
          <w:tcPr>
            <w:tcW w:w="612" w:type="dxa"/>
            <w:vAlign w:val="center"/>
          </w:tcPr>
          <w:p>
            <w:pPr>
              <w:spacing w:line="360" w:lineRule="auto"/>
              <w:jc w:val="center"/>
              <w:rPr>
                <w:rFonts w:hint="eastAsia" w:ascii="宋体" w:hAnsi="宋体" w:eastAsia="宋体" w:cs="仿宋"/>
                <w:color w:val="auto"/>
                <w:kern w:val="2"/>
                <w:sz w:val="24"/>
                <w:szCs w:val="24"/>
                <w:highlight w:val="none"/>
                <w:lang w:val="en-US" w:eastAsia="zh-CN" w:bidi="ar-SA"/>
              </w:rPr>
            </w:pPr>
            <w:r>
              <w:rPr>
                <w:rFonts w:hint="eastAsia" w:ascii="宋体" w:hAnsi="宋体" w:eastAsia="宋体" w:cs="宋体"/>
                <w:color w:val="auto"/>
                <w:sz w:val="24"/>
                <w:highlight w:val="none"/>
              </w:rPr>
              <w:t>3</w:t>
            </w:r>
          </w:p>
        </w:tc>
        <w:tc>
          <w:tcPr>
            <w:tcW w:w="985" w:type="dxa"/>
            <w:vAlign w:val="center"/>
          </w:tcPr>
          <w:p>
            <w:p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w:t>
            </w:r>
            <w:r>
              <w:rPr>
                <w:rFonts w:hint="eastAsia" w:ascii="宋体" w:hAnsi="宋体" w:cs="宋体"/>
                <w:color w:val="auto"/>
                <w:sz w:val="24"/>
                <w:szCs w:val="24"/>
                <w:highlight w:val="none"/>
                <w:lang w:val="en-US" w:eastAsia="zh-CN"/>
              </w:rPr>
              <w:t>分</w:t>
            </w:r>
          </w:p>
        </w:tc>
        <w:tc>
          <w:tcPr>
            <w:tcW w:w="985" w:type="dxa"/>
            <w:vAlign w:val="center"/>
          </w:tcPr>
          <w:p>
            <w:pPr>
              <w:pStyle w:val="623"/>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23" w:type="dxa"/>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6440" w:type="dxa"/>
            <w:vAlign w:val="center"/>
          </w:tcPr>
          <w:p>
            <w:pPr>
              <w:spacing w:line="360" w:lineRule="auto"/>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sz w:val="24"/>
                <w:highlight w:val="none"/>
              </w:rPr>
              <w:t>针对本项目如何实施提出合理化、优化建议，酌情打分。合理得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分；基本合理得1分。</w:t>
            </w:r>
          </w:p>
        </w:tc>
        <w:tc>
          <w:tcPr>
            <w:tcW w:w="612" w:type="dxa"/>
            <w:vAlign w:val="center"/>
          </w:tcPr>
          <w:p>
            <w:pPr>
              <w:spacing w:line="360" w:lineRule="auto"/>
              <w:jc w:val="center"/>
              <w:rPr>
                <w:rFonts w:hint="eastAsia" w:ascii="宋体" w:hAnsi="宋体" w:eastAsia="宋体" w:cs="仿宋"/>
                <w:color w:val="auto"/>
                <w:kern w:val="2"/>
                <w:sz w:val="24"/>
                <w:szCs w:val="24"/>
                <w:highlight w:val="none"/>
                <w:lang w:val="en-US" w:eastAsia="zh-CN" w:bidi="ar-SA"/>
              </w:rPr>
            </w:pPr>
            <w:r>
              <w:rPr>
                <w:rFonts w:hint="eastAsia" w:ascii="宋体" w:hAnsi="宋体" w:cs="宋体"/>
                <w:color w:val="auto"/>
                <w:sz w:val="24"/>
                <w:highlight w:val="none"/>
                <w:lang w:val="en-US" w:eastAsia="zh-CN"/>
              </w:rPr>
              <w:t>2</w:t>
            </w:r>
          </w:p>
        </w:tc>
        <w:tc>
          <w:tcPr>
            <w:tcW w:w="985" w:type="dxa"/>
            <w:vAlign w:val="center"/>
          </w:tcPr>
          <w:p>
            <w:p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w:t>
            </w:r>
            <w:r>
              <w:rPr>
                <w:rFonts w:hint="eastAsia" w:ascii="宋体" w:hAnsi="宋体" w:cs="宋体"/>
                <w:color w:val="auto"/>
                <w:sz w:val="24"/>
                <w:szCs w:val="24"/>
                <w:highlight w:val="none"/>
                <w:lang w:val="en-US" w:eastAsia="zh-CN"/>
              </w:rPr>
              <w:t>分</w:t>
            </w:r>
          </w:p>
        </w:tc>
        <w:tc>
          <w:tcPr>
            <w:tcW w:w="985" w:type="dxa"/>
            <w:vAlign w:val="center"/>
          </w:tcPr>
          <w:p>
            <w:pPr>
              <w:pStyle w:val="623"/>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723" w:type="dxa"/>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6440" w:type="dxa"/>
            <w:vAlign w:val="center"/>
          </w:tcPr>
          <w:p>
            <w:pPr>
              <w:spacing w:line="360" w:lineRule="auto"/>
              <w:outlineLvl w:val="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有效投标报价的最低价作为评标基准价，其最低报价为满分；按［投标报价得分</w:t>
            </w:r>
            <w:r>
              <w:rPr>
                <w:rFonts w:ascii="宋体" w:hAnsi="宋体" w:eastAsia="宋体" w:cs="仿宋_GB2312"/>
                <w:color w:val="auto"/>
                <w:sz w:val="24"/>
                <w:szCs w:val="24"/>
                <w:highlight w:val="none"/>
              </w:rPr>
              <w:t>=（评标基准价/投标报价）*</w:t>
            </w:r>
            <w:r>
              <w:rPr>
                <w:rFonts w:hint="eastAsia" w:ascii="宋体" w:hAnsi="宋体" w:eastAsia="宋体" w:cs="仿宋_GB2312"/>
                <w:color w:val="auto"/>
                <w:sz w:val="24"/>
                <w:szCs w:val="24"/>
                <w:highlight w:val="none"/>
              </w:rPr>
              <w:t>10</w:t>
            </w:r>
            <w:r>
              <w:rPr>
                <w:rFonts w:ascii="宋体" w:hAnsi="宋体" w:eastAsia="宋体" w:cs="仿宋_GB2312"/>
                <w:color w:val="auto"/>
                <w:sz w:val="24"/>
                <w:szCs w:val="24"/>
                <w:highlight w:val="none"/>
              </w:rPr>
              <w:t>］的计算公式计算。</w:t>
            </w:r>
          </w:p>
          <w:p>
            <w:pPr>
              <w:widowControl/>
              <w:shd w:val="clear" w:color="auto" w:fill="FFFFFF"/>
              <w:adjustRightInd/>
              <w:spacing w:after="225" w:line="315" w:lineRule="atLeast"/>
              <w:ind w:firstLine="420"/>
              <w:jc w:val="left"/>
              <w:rPr>
                <w:rFonts w:ascii="宋体" w:hAnsi="宋体" w:eastAsia="宋体" w:cs="仿宋_GB2312"/>
                <w:color w:val="auto"/>
                <w:sz w:val="24"/>
                <w:szCs w:val="24"/>
                <w:highlight w:val="none"/>
              </w:rPr>
            </w:pPr>
            <w:r>
              <w:rPr>
                <w:rFonts w:ascii="宋体" w:hAnsi="宋体" w:eastAsia="宋体" w:cs="仿宋_GB2312"/>
                <w:color w:val="auto"/>
                <w:sz w:val="24"/>
                <w:szCs w:val="24"/>
                <w:highlight w:val="none"/>
              </w:rPr>
              <w:t>评标过程中，不得去掉报价中的最高报价和最低报价。</w:t>
            </w:r>
          </w:p>
          <w:p>
            <w:pPr>
              <w:pStyle w:val="618"/>
              <w:spacing w:line="380" w:lineRule="exact"/>
              <w:rPr>
                <w:rFonts w:hint="eastAsia" w:ascii="宋体" w:hAnsi="宋体" w:eastAsia="宋体" w:cs="宋体"/>
                <w:b/>
                <w:bCs/>
                <w:color w:val="auto"/>
                <w:sz w:val="24"/>
                <w:szCs w:val="24"/>
                <w:highlight w:val="none"/>
                <w:lang w:val="en-US" w:eastAsia="zh-CN"/>
              </w:rPr>
            </w:pPr>
            <w:r>
              <w:rPr>
                <w:rFonts w:ascii="宋体" w:hAnsi="宋体" w:eastAsia="宋体" w:cs="仿宋_GB2312"/>
                <w:color w:val="auto"/>
                <w:sz w:val="24"/>
                <w:szCs w:val="24"/>
                <w:highlight w:val="none"/>
                <w:lang w:eastAsia="zh-CN"/>
              </w:rPr>
              <w:t>因落实政府采购政策</w:t>
            </w:r>
            <w:r>
              <w:rPr>
                <w:rFonts w:hint="eastAsia" w:ascii="宋体" w:hAnsi="宋体" w:eastAsia="宋体" w:cs="仿宋_GB2312"/>
                <w:color w:val="auto"/>
                <w:sz w:val="24"/>
                <w:szCs w:val="24"/>
                <w:highlight w:val="none"/>
                <w:lang w:eastAsia="zh-CN"/>
              </w:rPr>
              <w:t>需要</w:t>
            </w:r>
            <w:r>
              <w:rPr>
                <w:rFonts w:ascii="宋体" w:hAnsi="宋体" w:eastAsia="宋体" w:cs="仿宋_GB2312"/>
                <w:color w:val="auto"/>
                <w:sz w:val="24"/>
                <w:szCs w:val="24"/>
                <w:highlight w:val="none"/>
                <w:lang w:eastAsia="zh-CN"/>
              </w:rPr>
              <w:t>进行价格调整的，以调整后的价格计算评标基准价和投标报价。</w:t>
            </w:r>
          </w:p>
        </w:tc>
        <w:tc>
          <w:tcPr>
            <w:tcW w:w="612" w:type="dxa"/>
            <w:vAlign w:val="center"/>
          </w:tcPr>
          <w:p>
            <w:pPr>
              <w:pStyle w:val="618"/>
              <w:spacing w:line="380" w:lineRule="exact"/>
              <w:jc w:val="center"/>
              <w:rPr>
                <w:rFonts w:hint="eastAsia" w:ascii="宋体" w:hAnsi="宋体" w:cs="宋体"/>
                <w:color w:val="auto"/>
                <w:kern w:val="0"/>
                <w:sz w:val="24"/>
                <w:szCs w:val="24"/>
                <w:highlight w:val="none"/>
                <w:lang w:val="en-US" w:eastAsia="zh-CN" w:bidi="ar-SA"/>
              </w:rPr>
            </w:pPr>
            <w:r>
              <w:rPr>
                <w:rFonts w:hint="eastAsia" w:ascii="宋体" w:hAnsi="宋体" w:eastAsia="宋体" w:cs="仿宋"/>
                <w:color w:val="auto"/>
                <w:sz w:val="22"/>
                <w:szCs w:val="22"/>
                <w:highlight w:val="none"/>
                <w:lang w:eastAsia="zh-CN"/>
              </w:rPr>
              <w:t>10</w:t>
            </w:r>
          </w:p>
        </w:tc>
        <w:tc>
          <w:tcPr>
            <w:tcW w:w="985" w:type="dxa"/>
            <w:vAlign w:val="center"/>
          </w:tcPr>
          <w:p>
            <w:pPr>
              <w:pStyle w:val="623"/>
              <w:ind w:firstLine="21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仿宋"/>
                <w:color w:val="auto"/>
                <w:szCs w:val="21"/>
                <w:highlight w:val="none"/>
              </w:rPr>
              <w:t>/</w:t>
            </w:r>
          </w:p>
        </w:tc>
        <w:tc>
          <w:tcPr>
            <w:tcW w:w="985" w:type="dxa"/>
            <w:vAlign w:val="center"/>
          </w:tcPr>
          <w:p>
            <w:pPr>
              <w:pStyle w:val="623"/>
              <w:ind w:firstLine="210" w:firstLineChars="100"/>
              <w:rPr>
                <w:rFonts w:hint="eastAsia" w:ascii="宋体" w:hAnsi="宋体" w:eastAsia="宋体" w:cs="仿宋"/>
                <w:color w:val="auto"/>
                <w:szCs w:val="21"/>
                <w:highlight w:val="none"/>
              </w:rPr>
            </w:pPr>
          </w:p>
        </w:tc>
      </w:tr>
    </w:tbl>
    <w:p>
      <w:pPr>
        <w:snapToGrid w:val="0"/>
        <w:spacing w:line="360" w:lineRule="auto"/>
        <w:jc w:val="center"/>
        <w:rPr>
          <w:rFonts w:ascii="宋体" w:hAnsi="宋体" w:cs="宋体"/>
          <w:b/>
          <w:color w:val="auto"/>
          <w:sz w:val="32"/>
          <w:szCs w:val="20"/>
          <w:highlight w:val="none"/>
        </w:rPr>
      </w:pPr>
    </w:p>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32"/>
          <w:highlight w:val="none"/>
        </w:rPr>
      </w:pP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9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9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9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9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9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9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9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hint="eastAsia" w:ascii="宋体" w:hAnsi="宋体" w:cs="宋体"/>
          <w:color w:val="auto"/>
          <w:kern w:val="0"/>
          <w:szCs w:val="24"/>
          <w:highlight w:val="none"/>
          <w:lang w:val="en-US" w:eastAsia="zh-CN"/>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9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7"/>
        <w:snapToGrid w:val="0"/>
        <w:spacing w:line="360" w:lineRule="auto"/>
        <w:rPr>
          <w:rFonts w:cs="宋体"/>
          <w:color w:val="auto"/>
          <w:highlight w:val="none"/>
        </w:rPr>
      </w:pPr>
      <w:r>
        <w:rPr>
          <w:rFonts w:hint="eastAsia" w:cs="宋体"/>
          <w:color w:val="auto"/>
          <w:highlight w:val="none"/>
        </w:rPr>
        <w:t>5.4因重大变故，采购任务取消的。</w:t>
      </w:r>
    </w:p>
    <w:p>
      <w:pPr>
        <w:pStyle w:val="27"/>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spacing w:line="360" w:lineRule="auto"/>
        <w:ind w:left="720" w:leftChars="343" w:firstLine="392" w:firstLineChars="300"/>
        <w:outlineLvl w:val="0"/>
        <w:rPr>
          <w:rFonts w:hint="eastAsia" w:ascii="宋体" w:hAnsi="宋体" w:cs="宋体"/>
          <w:b/>
          <w:color w:val="auto"/>
          <w:sz w:val="13"/>
          <w:szCs w:val="13"/>
          <w:highlight w:val="none"/>
        </w:rPr>
      </w:pPr>
      <w:bookmarkStart w:id="394" w:name="第五部分"/>
      <w:bookmarkStart w:id="395" w:name="_Toc86217003"/>
    </w:p>
    <w:p>
      <w:pPr>
        <w:pStyle w:val="46"/>
        <w:rPr>
          <w:rFonts w:hint="eastAsia"/>
          <w:color w:val="auto"/>
          <w:highlight w:val="none"/>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390"/>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5"/>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287"/>
        <w:spacing w:before="120" w:line="22" w:lineRule="atLeast"/>
        <w:rPr>
          <w:rFonts w:ascii="宋体" w:hAnsi="宋体" w:eastAsia="宋体" w:cs="宋体"/>
          <w:color w:val="auto"/>
          <w:szCs w:val="24"/>
          <w:highlight w:val="none"/>
        </w:rPr>
      </w:pPr>
    </w:p>
    <w:p>
      <w:pPr>
        <w:pStyle w:val="287"/>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96" w:name="_Toc15367"/>
      <w:bookmarkStart w:id="397" w:name="_Toc20421"/>
      <w:bookmarkStart w:id="398" w:name="_Toc22967"/>
      <w:bookmarkStart w:id="399" w:name="_Toc19273"/>
      <w:bookmarkStart w:id="400"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6"/>
      <w:bookmarkEnd w:id="397"/>
      <w:bookmarkEnd w:id="398"/>
      <w:bookmarkEnd w:id="399"/>
      <w:bookmarkEnd w:id="400"/>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01" w:name="_Toc22185"/>
      <w:bookmarkStart w:id="402" w:name="_Toc6773"/>
      <w:bookmarkStart w:id="403" w:name="_Toc2918"/>
      <w:bookmarkStart w:id="404" w:name="_Toc6311"/>
      <w:bookmarkStart w:id="405"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1"/>
      <w:bookmarkEnd w:id="402"/>
      <w:bookmarkEnd w:id="403"/>
      <w:bookmarkEnd w:id="404"/>
      <w:bookmarkEnd w:id="405"/>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62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pPr>
        <w:spacing w:line="560" w:lineRule="exact"/>
        <w:ind w:firstLine="480" w:firstLineChars="200"/>
        <w:rPr>
          <w:rFonts w:ascii="宋体" w:hAnsi="宋体" w:cs="宋体"/>
          <w:color w:val="auto"/>
          <w:sz w:val="24"/>
          <w:highlight w:val="none"/>
          <w:u w:val="single"/>
        </w:rPr>
      </w:pPr>
      <w:bookmarkStart w:id="406" w:name="_Toc4929"/>
      <w:bookmarkStart w:id="407" w:name="_Toc1386"/>
      <w:bookmarkStart w:id="408" w:name="_Toc5635"/>
      <w:bookmarkStart w:id="409" w:name="_Toc13918"/>
      <w:bookmarkStart w:id="410"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6"/>
      <w:bookmarkEnd w:id="407"/>
      <w:bookmarkEnd w:id="408"/>
      <w:bookmarkEnd w:id="409"/>
      <w:bookmarkEnd w:id="410"/>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7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2"/>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112"/>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112"/>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2"/>
              <w:spacing w:line="560" w:lineRule="exact"/>
              <w:ind w:firstLine="200"/>
              <w:jc w:val="center"/>
              <w:rPr>
                <w:rFonts w:hAnsi="宋体"/>
                <w:color w:val="auto"/>
                <w:sz w:val="24"/>
                <w:szCs w:val="24"/>
                <w:highlight w:val="none"/>
              </w:rPr>
            </w:pPr>
          </w:p>
        </w:tc>
        <w:tc>
          <w:tcPr>
            <w:tcW w:w="3402" w:type="dxa"/>
            <w:vAlign w:val="center"/>
          </w:tcPr>
          <w:p>
            <w:pPr>
              <w:pStyle w:val="112"/>
              <w:spacing w:line="560" w:lineRule="exact"/>
              <w:ind w:firstLine="200"/>
              <w:jc w:val="center"/>
              <w:rPr>
                <w:rFonts w:hAnsi="宋体"/>
                <w:color w:val="auto"/>
                <w:sz w:val="24"/>
                <w:szCs w:val="24"/>
                <w:highlight w:val="none"/>
              </w:rPr>
            </w:pPr>
          </w:p>
        </w:tc>
        <w:tc>
          <w:tcPr>
            <w:tcW w:w="2552" w:type="dxa"/>
            <w:vAlign w:val="center"/>
          </w:tcPr>
          <w:p>
            <w:pPr>
              <w:pStyle w:val="112"/>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2"/>
              <w:spacing w:line="560" w:lineRule="exact"/>
              <w:ind w:firstLine="200"/>
              <w:jc w:val="center"/>
              <w:rPr>
                <w:rFonts w:hAnsi="宋体"/>
                <w:color w:val="auto"/>
                <w:sz w:val="24"/>
                <w:szCs w:val="24"/>
                <w:highlight w:val="none"/>
              </w:rPr>
            </w:pPr>
          </w:p>
        </w:tc>
        <w:tc>
          <w:tcPr>
            <w:tcW w:w="3402" w:type="dxa"/>
            <w:vAlign w:val="center"/>
          </w:tcPr>
          <w:p>
            <w:pPr>
              <w:pStyle w:val="112"/>
              <w:spacing w:line="560" w:lineRule="exact"/>
              <w:ind w:firstLine="200"/>
              <w:jc w:val="center"/>
              <w:rPr>
                <w:rFonts w:hAnsi="宋体"/>
                <w:color w:val="auto"/>
                <w:sz w:val="24"/>
                <w:szCs w:val="24"/>
                <w:highlight w:val="none"/>
              </w:rPr>
            </w:pPr>
          </w:p>
        </w:tc>
        <w:tc>
          <w:tcPr>
            <w:tcW w:w="2552" w:type="dxa"/>
            <w:vAlign w:val="center"/>
          </w:tcPr>
          <w:p>
            <w:pPr>
              <w:pStyle w:val="112"/>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2"/>
              <w:spacing w:line="560" w:lineRule="exact"/>
              <w:ind w:firstLine="200"/>
              <w:jc w:val="center"/>
              <w:rPr>
                <w:rFonts w:hAnsi="宋体"/>
                <w:color w:val="auto"/>
                <w:sz w:val="24"/>
                <w:szCs w:val="24"/>
                <w:highlight w:val="none"/>
              </w:rPr>
            </w:pPr>
          </w:p>
        </w:tc>
        <w:tc>
          <w:tcPr>
            <w:tcW w:w="3402" w:type="dxa"/>
            <w:vAlign w:val="center"/>
          </w:tcPr>
          <w:p>
            <w:pPr>
              <w:pStyle w:val="112"/>
              <w:spacing w:line="560" w:lineRule="exact"/>
              <w:ind w:firstLine="200"/>
              <w:jc w:val="center"/>
              <w:rPr>
                <w:rFonts w:hAnsi="宋体"/>
                <w:color w:val="auto"/>
                <w:sz w:val="24"/>
                <w:szCs w:val="24"/>
                <w:highlight w:val="none"/>
              </w:rPr>
            </w:pPr>
          </w:p>
        </w:tc>
        <w:tc>
          <w:tcPr>
            <w:tcW w:w="2552" w:type="dxa"/>
            <w:vAlign w:val="center"/>
          </w:tcPr>
          <w:p>
            <w:pPr>
              <w:pStyle w:val="112"/>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2"/>
              <w:spacing w:line="560" w:lineRule="exact"/>
              <w:ind w:firstLine="200"/>
              <w:jc w:val="center"/>
              <w:rPr>
                <w:rFonts w:hAnsi="宋体"/>
                <w:color w:val="auto"/>
                <w:sz w:val="24"/>
                <w:szCs w:val="24"/>
                <w:highlight w:val="none"/>
              </w:rPr>
            </w:pPr>
          </w:p>
        </w:tc>
        <w:tc>
          <w:tcPr>
            <w:tcW w:w="3402" w:type="dxa"/>
            <w:vAlign w:val="center"/>
          </w:tcPr>
          <w:p>
            <w:pPr>
              <w:pStyle w:val="112"/>
              <w:spacing w:line="560" w:lineRule="exact"/>
              <w:ind w:firstLine="200"/>
              <w:jc w:val="center"/>
              <w:rPr>
                <w:rFonts w:hAnsi="宋体"/>
                <w:color w:val="auto"/>
                <w:sz w:val="24"/>
                <w:szCs w:val="24"/>
                <w:highlight w:val="none"/>
              </w:rPr>
            </w:pPr>
          </w:p>
        </w:tc>
        <w:tc>
          <w:tcPr>
            <w:tcW w:w="2552" w:type="dxa"/>
            <w:vAlign w:val="center"/>
          </w:tcPr>
          <w:p>
            <w:pPr>
              <w:pStyle w:val="112"/>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12"/>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112"/>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11" w:name="_Toc26916"/>
      <w:bookmarkStart w:id="412" w:name="_Toc14993"/>
      <w:bookmarkStart w:id="413" w:name="_Toc30506"/>
      <w:bookmarkStart w:id="414" w:name="_Toc30158"/>
      <w:bookmarkStart w:id="415"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pPr>
        <w:pStyle w:val="621"/>
        <w:spacing w:before="0" w:beforeAutospacing="0" w:after="0" w:afterAutospacing="0" w:line="360" w:lineRule="auto"/>
        <w:ind w:firstLine="480"/>
        <w:rPr>
          <w:b/>
          <w:color w:val="auto"/>
          <w:highlight w:val="none"/>
        </w:rPr>
      </w:pPr>
      <w:bookmarkStart w:id="416" w:name="_Toc10340"/>
      <w:bookmarkStart w:id="417" w:name="_Toc22618"/>
      <w:bookmarkStart w:id="418" w:name="_Toc1814"/>
      <w:bookmarkStart w:id="419" w:name="_Toc11108"/>
      <w:bookmarkStart w:id="420" w:name="_Toc31421"/>
      <w:bookmarkStart w:id="421" w:name="_Toc3625"/>
      <w:bookmarkStart w:id="422" w:name="_Toc8772"/>
      <w:bookmarkStart w:id="423" w:name="_Toc4760"/>
      <w:r>
        <w:rPr>
          <w:rFonts w:hint="eastAsia"/>
          <w:b/>
          <w:color w:val="auto"/>
          <w:highlight w:val="none"/>
        </w:rPr>
        <w:t>1.4履约保证金</w:t>
      </w:r>
    </w:p>
    <w:p>
      <w:pPr>
        <w:pStyle w:val="62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6"/>
      <w:bookmarkEnd w:id="417"/>
      <w:bookmarkEnd w:id="418"/>
      <w:r>
        <w:rPr>
          <w:rFonts w:hint="eastAsia" w:ascii="宋体" w:hAnsi="宋体" w:cs="宋体"/>
          <w:b/>
          <w:color w:val="auto"/>
          <w:sz w:val="24"/>
          <w:highlight w:val="none"/>
        </w:rPr>
        <w:t>预付款</w:t>
      </w:r>
    </w:p>
    <w:p>
      <w:pPr>
        <w:pStyle w:val="62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62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62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621"/>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62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9"/>
      <w:bookmarkEnd w:id="420"/>
      <w:bookmarkEnd w:id="421"/>
      <w:bookmarkEnd w:id="422"/>
      <w:bookmarkEnd w:id="423"/>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hint="eastAsia"/>
          <w:bCs/>
          <w:color w:val="auto"/>
          <w:sz w:val="24"/>
          <w:highlight w:val="none"/>
        </w:rPr>
      </w:pPr>
      <w:bookmarkStart w:id="424" w:name="_Toc2375"/>
      <w:bookmarkStart w:id="425" w:name="_Toc5698"/>
      <w:bookmarkStart w:id="426" w:name="_Toc24662"/>
      <w:bookmarkStart w:id="427" w:name="_Toc8586"/>
      <w:bookmarkStart w:id="428" w:name="_Toc3079"/>
      <w:r>
        <w:rPr>
          <w:rFonts w:hint="eastAsia" w:ascii="宋体" w:hAnsi="宋体"/>
          <w:bCs/>
          <w:color w:val="auto"/>
          <w:sz w:val="24"/>
          <w:highlight w:val="none"/>
        </w:rPr>
        <w:t>1.7.4若服务</w:t>
      </w:r>
      <w:r>
        <w:rPr>
          <w:rFonts w:hint="eastAsia"/>
          <w:bCs/>
          <w:color w:val="auto"/>
          <w:sz w:val="24"/>
          <w:highlight w:val="none"/>
        </w:rPr>
        <w:t>涉及货物的，则货物的：</w:t>
      </w:r>
    </w:p>
    <w:p>
      <w:pPr>
        <w:pStyle w:val="5"/>
        <w:rPr>
          <w:color w:val="auto"/>
          <w:highlight w:val="none"/>
        </w:rPr>
      </w:pP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4"/>
      <w:bookmarkEnd w:id="425"/>
      <w:bookmarkEnd w:id="426"/>
      <w:bookmarkEnd w:id="427"/>
      <w:bookmarkEnd w:id="428"/>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29" w:name="_Toc18683"/>
      <w:bookmarkStart w:id="430" w:name="_Toc9497"/>
      <w:bookmarkStart w:id="431" w:name="_Toc26807"/>
      <w:bookmarkStart w:id="432" w:name="_Toc32454"/>
      <w:bookmarkStart w:id="433"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9"/>
    <w:bookmarkEnd w:id="430"/>
    <w:bookmarkEnd w:id="431"/>
    <w:bookmarkEnd w:id="432"/>
    <w:bookmarkEnd w:id="433"/>
    <w:p>
      <w:pPr>
        <w:spacing w:line="560" w:lineRule="exact"/>
        <w:ind w:firstLine="482" w:firstLineChars="200"/>
        <w:outlineLvl w:val="0"/>
        <w:rPr>
          <w:rFonts w:ascii="宋体" w:hAnsi="宋体" w:cs="宋体"/>
          <w:b/>
          <w:color w:val="auto"/>
          <w:sz w:val="24"/>
          <w:highlight w:val="none"/>
        </w:rPr>
      </w:pPr>
      <w:bookmarkStart w:id="434" w:name="_Toc15583"/>
      <w:bookmarkStart w:id="435" w:name="_Toc16021"/>
      <w:bookmarkStart w:id="436" w:name="_Toc28375"/>
      <w:r>
        <w:rPr>
          <w:rFonts w:hint="eastAsia" w:ascii="宋体" w:hAnsi="宋体" w:cs="宋体"/>
          <w:b/>
          <w:color w:val="auto"/>
          <w:sz w:val="24"/>
          <w:highlight w:val="none"/>
        </w:rPr>
        <w:t>1.9合同争议的解决</w:t>
      </w:r>
      <w:bookmarkEnd w:id="434"/>
      <w:bookmarkEnd w:id="435"/>
      <w:bookmarkEnd w:id="436"/>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37" w:name="_Toc15322"/>
      <w:bookmarkStart w:id="438" w:name="_Toc7245"/>
      <w:bookmarkStart w:id="439" w:name="_Toc11173"/>
      <w:r>
        <w:rPr>
          <w:rFonts w:hint="eastAsia" w:ascii="宋体" w:hAnsi="宋体" w:cs="宋体"/>
          <w:b/>
          <w:color w:val="auto"/>
          <w:sz w:val="24"/>
          <w:highlight w:val="none"/>
        </w:rPr>
        <w:t>2.0 合同生效</w:t>
      </w:r>
      <w:bookmarkEnd w:id="437"/>
      <w:bookmarkEnd w:id="438"/>
      <w:bookmarkEnd w:id="439"/>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390"/>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40" w:name="_Toc14021"/>
      <w:bookmarkStart w:id="441" w:name="_Toc31297"/>
      <w:bookmarkStart w:id="442" w:name="_Toc5228"/>
      <w:bookmarkStart w:id="443" w:name="_Toc19680"/>
      <w:bookmarkStart w:id="444" w:name="_Toc25079"/>
      <w:r>
        <w:rPr>
          <w:rFonts w:ascii="宋体" w:hAnsi="宋体"/>
          <w:b/>
          <w:color w:val="auto"/>
          <w:sz w:val="24"/>
          <w:highlight w:val="none"/>
        </w:rPr>
        <w:t>2.1 定义</w:t>
      </w:r>
      <w:bookmarkEnd w:id="440"/>
      <w:bookmarkEnd w:id="441"/>
      <w:bookmarkEnd w:id="442"/>
      <w:bookmarkEnd w:id="443"/>
      <w:bookmarkEnd w:id="444"/>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45" w:name="_Toc19539"/>
      <w:bookmarkStart w:id="446" w:name="_Toc16752"/>
      <w:bookmarkStart w:id="447" w:name="_Toc23289"/>
      <w:bookmarkStart w:id="448" w:name="_Toc31402"/>
      <w:bookmarkStart w:id="449" w:name="_Toc3769"/>
      <w:r>
        <w:rPr>
          <w:rFonts w:ascii="宋体" w:hAnsi="宋体"/>
          <w:b/>
          <w:color w:val="auto"/>
          <w:sz w:val="24"/>
          <w:highlight w:val="none"/>
        </w:rPr>
        <w:t>2.2 技术规范</w:t>
      </w:r>
      <w:bookmarkEnd w:id="445"/>
      <w:bookmarkEnd w:id="446"/>
      <w:bookmarkEnd w:id="447"/>
      <w:bookmarkEnd w:id="448"/>
      <w:bookmarkEnd w:id="449"/>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50" w:name="_Toc4133"/>
      <w:bookmarkStart w:id="451" w:name="_Toc9161"/>
      <w:bookmarkStart w:id="452" w:name="_Toc13673"/>
      <w:bookmarkStart w:id="453" w:name="_Toc27945"/>
      <w:bookmarkStart w:id="454" w:name="_Toc12412"/>
      <w:r>
        <w:rPr>
          <w:rFonts w:ascii="宋体" w:hAnsi="宋体"/>
          <w:b/>
          <w:color w:val="auto"/>
          <w:sz w:val="24"/>
          <w:highlight w:val="none"/>
        </w:rPr>
        <w:t>2.3 知识产权</w:t>
      </w:r>
      <w:bookmarkEnd w:id="450"/>
      <w:bookmarkEnd w:id="451"/>
      <w:bookmarkEnd w:id="452"/>
      <w:bookmarkEnd w:id="453"/>
      <w:bookmarkEnd w:id="454"/>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55" w:name="_Toc22011"/>
      <w:bookmarkStart w:id="456" w:name="_Toc26555"/>
      <w:bookmarkStart w:id="457" w:name="_Toc15447"/>
      <w:bookmarkStart w:id="458" w:name="_Toc32670"/>
      <w:bookmarkStart w:id="459" w:name="_Toc31233"/>
      <w:r>
        <w:rPr>
          <w:rFonts w:ascii="宋体" w:hAnsi="宋体"/>
          <w:b/>
          <w:color w:val="auto"/>
          <w:sz w:val="24"/>
          <w:highlight w:val="none"/>
        </w:rPr>
        <w:t>2.5 结算方式和付款条件</w:t>
      </w:r>
      <w:bookmarkEnd w:id="455"/>
      <w:bookmarkEnd w:id="456"/>
      <w:bookmarkEnd w:id="457"/>
      <w:bookmarkEnd w:id="458"/>
      <w:bookmarkEnd w:id="459"/>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60" w:name="_Toc18990"/>
      <w:bookmarkStart w:id="461" w:name="_Toc16163"/>
      <w:bookmarkStart w:id="462" w:name="_Toc30507"/>
      <w:bookmarkStart w:id="463" w:name="_Toc13154"/>
      <w:bookmarkStart w:id="464" w:name="_Toc13467"/>
      <w:r>
        <w:rPr>
          <w:rFonts w:ascii="宋体" w:hAnsi="宋体"/>
          <w:b/>
          <w:color w:val="auto"/>
          <w:sz w:val="24"/>
          <w:highlight w:val="none"/>
        </w:rPr>
        <w:t>2.6 技术资料和保密义务</w:t>
      </w:r>
      <w:bookmarkEnd w:id="460"/>
      <w:bookmarkEnd w:id="461"/>
      <w:bookmarkEnd w:id="462"/>
      <w:bookmarkEnd w:id="463"/>
      <w:bookmarkEnd w:id="464"/>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6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5"/>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6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6"/>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6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7"/>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68" w:name="_Toc42"/>
      <w:bookmarkStart w:id="469" w:name="_Toc26689"/>
      <w:bookmarkStart w:id="470" w:name="_Toc10663"/>
      <w:bookmarkStart w:id="471" w:name="_Toc23368"/>
      <w:bookmarkStart w:id="472" w:name="_Toc21830"/>
      <w:r>
        <w:rPr>
          <w:rFonts w:ascii="宋体" w:hAnsi="宋体"/>
          <w:b/>
          <w:color w:val="auto"/>
          <w:sz w:val="24"/>
          <w:highlight w:val="none"/>
        </w:rPr>
        <w:t>2.10 合同转让和分包</w:t>
      </w:r>
      <w:bookmarkEnd w:id="468"/>
      <w:bookmarkEnd w:id="469"/>
      <w:bookmarkEnd w:id="470"/>
      <w:bookmarkEnd w:id="471"/>
      <w:bookmarkEnd w:id="472"/>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73" w:name="_Toc4720"/>
      <w:bookmarkStart w:id="474" w:name="_Toc26633"/>
      <w:bookmarkStart w:id="475" w:name="_Toc32494"/>
      <w:bookmarkStart w:id="476" w:name="_Toc14371"/>
      <w:bookmarkStart w:id="477" w:name="_Toc25571"/>
      <w:r>
        <w:rPr>
          <w:rFonts w:ascii="宋体" w:hAnsi="宋体"/>
          <w:b/>
          <w:color w:val="auto"/>
          <w:sz w:val="24"/>
          <w:highlight w:val="none"/>
        </w:rPr>
        <w:t>2.11 不可抗力</w:t>
      </w:r>
      <w:bookmarkEnd w:id="473"/>
      <w:bookmarkEnd w:id="474"/>
      <w:bookmarkEnd w:id="475"/>
      <w:bookmarkEnd w:id="476"/>
      <w:bookmarkEnd w:id="477"/>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78" w:name="_Toc25783"/>
      <w:bookmarkStart w:id="479" w:name="_Toc14115"/>
      <w:bookmarkStart w:id="480" w:name="_Toc3638"/>
      <w:bookmarkStart w:id="481" w:name="_Toc23854"/>
      <w:bookmarkStart w:id="482" w:name="_Toc24465"/>
      <w:r>
        <w:rPr>
          <w:rFonts w:ascii="宋体" w:hAnsi="宋体"/>
          <w:b/>
          <w:color w:val="auto"/>
          <w:sz w:val="24"/>
          <w:highlight w:val="none"/>
        </w:rPr>
        <w:t>2.12 税费</w:t>
      </w:r>
      <w:bookmarkEnd w:id="478"/>
      <w:bookmarkEnd w:id="479"/>
      <w:bookmarkEnd w:id="480"/>
      <w:bookmarkEnd w:id="481"/>
      <w:bookmarkEnd w:id="482"/>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83" w:name="_Toc30105"/>
      <w:bookmarkStart w:id="484" w:name="_Toc7315"/>
      <w:bookmarkStart w:id="485" w:name="_Toc26883"/>
      <w:bookmarkStart w:id="486" w:name="_Toc14814"/>
      <w:bookmarkStart w:id="487" w:name="_Toc25525"/>
      <w:r>
        <w:rPr>
          <w:rFonts w:ascii="宋体" w:hAnsi="宋体"/>
          <w:b/>
          <w:color w:val="auto"/>
          <w:sz w:val="24"/>
          <w:highlight w:val="none"/>
        </w:rPr>
        <w:t>2.13 乙方破产</w:t>
      </w:r>
      <w:bookmarkEnd w:id="483"/>
      <w:bookmarkEnd w:id="484"/>
      <w:bookmarkEnd w:id="485"/>
      <w:bookmarkEnd w:id="486"/>
      <w:bookmarkEnd w:id="487"/>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8" w:name="_Toc2016"/>
      <w:bookmarkStart w:id="489" w:name="_Toc23323"/>
      <w:bookmarkStart w:id="490" w:name="_Toc1123"/>
      <w:r>
        <w:rPr>
          <w:rFonts w:ascii="宋体" w:hAnsi="宋体"/>
          <w:b/>
          <w:color w:val="auto"/>
          <w:sz w:val="24"/>
          <w:highlight w:val="none"/>
        </w:rPr>
        <w:t>2.14 合同中止、终止</w:t>
      </w:r>
      <w:bookmarkEnd w:id="488"/>
      <w:bookmarkEnd w:id="489"/>
      <w:bookmarkEnd w:id="490"/>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91" w:name="_Toc14525"/>
      <w:bookmarkStart w:id="492" w:name="_Toc17363"/>
      <w:bookmarkStart w:id="493" w:name="_Toc1969"/>
      <w:r>
        <w:rPr>
          <w:rFonts w:ascii="宋体" w:hAnsi="宋体"/>
          <w:b/>
          <w:color w:val="auto"/>
          <w:sz w:val="24"/>
          <w:highlight w:val="none"/>
        </w:rPr>
        <w:t>2.15 检验和验收</w:t>
      </w:r>
      <w:bookmarkEnd w:id="491"/>
      <w:bookmarkEnd w:id="492"/>
      <w:bookmarkEnd w:id="493"/>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4" w:name="_Toc2308"/>
      <w:bookmarkStart w:id="495" w:name="_Toc25198"/>
      <w:bookmarkStart w:id="496" w:name="_Toc9808"/>
      <w:bookmarkStart w:id="497" w:name="_Toc12666"/>
      <w:bookmarkStart w:id="498" w:name="_Toc31892"/>
      <w:r>
        <w:rPr>
          <w:rFonts w:ascii="宋体" w:hAnsi="宋体"/>
          <w:b/>
          <w:color w:val="auto"/>
          <w:sz w:val="24"/>
          <w:highlight w:val="none"/>
        </w:rPr>
        <w:t>2.16 通知和送达</w:t>
      </w:r>
      <w:bookmarkEnd w:id="494"/>
      <w:bookmarkEnd w:id="495"/>
      <w:bookmarkEnd w:id="496"/>
      <w:bookmarkEnd w:id="497"/>
      <w:bookmarkEnd w:id="498"/>
    </w:p>
    <w:p>
      <w:pPr>
        <w:spacing w:line="560" w:lineRule="exact"/>
        <w:ind w:firstLine="480" w:firstLineChars="200"/>
        <w:rPr>
          <w:rFonts w:ascii="宋体" w:hAnsi="宋体"/>
          <w:color w:val="auto"/>
          <w:sz w:val="24"/>
          <w:highlight w:val="none"/>
        </w:rPr>
      </w:pPr>
      <w:bookmarkStart w:id="499" w:name="_Toc27674"/>
      <w:bookmarkStart w:id="500"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9"/>
      <w:bookmarkEnd w:id="500"/>
    </w:p>
    <w:p>
      <w:pPr>
        <w:spacing w:line="560" w:lineRule="exact"/>
        <w:ind w:firstLine="482" w:firstLineChars="200"/>
        <w:outlineLvl w:val="0"/>
        <w:rPr>
          <w:rFonts w:ascii="宋体" w:hAnsi="宋体"/>
          <w:b/>
          <w:color w:val="auto"/>
          <w:sz w:val="24"/>
          <w:highlight w:val="none"/>
        </w:rPr>
      </w:pPr>
      <w:bookmarkStart w:id="501" w:name="_Toc5063"/>
      <w:bookmarkStart w:id="502" w:name="_Toc27644"/>
      <w:bookmarkStart w:id="503" w:name="_Toc12254"/>
      <w:bookmarkStart w:id="504" w:name="_Toc20808"/>
      <w:bookmarkStart w:id="505"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1"/>
      <w:bookmarkEnd w:id="502"/>
      <w:bookmarkEnd w:id="503"/>
      <w:bookmarkEnd w:id="504"/>
      <w:bookmarkEnd w:id="505"/>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b/>
          <w:color w:val="auto"/>
          <w:sz w:val="24"/>
          <w:highlight w:val="none"/>
        </w:rPr>
      </w:pPr>
      <w:bookmarkStart w:id="506" w:name="_Toc27127"/>
      <w:bookmarkStart w:id="507" w:name="_Toc1492"/>
      <w:bookmarkStart w:id="508" w:name="_Toc27403"/>
      <w:bookmarkStart w:id="509" w:name="_Toc30096"/>
      <w:bookmarkStart w:id="510" w:name="_Toc22266"/>
      <w:r>
        <w:rPr>
          <w:rFonts w:ascii="宋体" w:hAnsi="宋体"/>
          <w:b/>
          <w:color w:val="auto"/>
          <w:sz w:val="24"/>
          <w:highlight w:val="none"/>
        </w:rPr>
        <w:t>2.18 履约保证金</w:t>
      </w:r>
      <w:bookmarkEnd w:id="506"/>
      <w:bookmarkEnd w:id="507"/>
      <w:bookmarkEnd w:id="508"/>
      <w:bookmarkEnd w:id="509"/>
      <w:bookmarkEnd w:id="510"/>
    </w:p>
    <w:p>
      <w:pPr>
        <w:pStyle w:val="621"/>
        <w:spacing w:before="0" w:beforeAutospacing="0" w:after="0" w:afterAutospacing="0" w:line="360" w:lineRule="auto"/>
        <w:ind w:firstLine="420"/>
        <w:rPr>
          <w:color w:val="auto"/>
          <w:highlight w:val="none"/>
        </w:rPr>
      </w:pPr>
      <w:r>
        <w:rPr>
          <w:color w:val="auto"/>
          <w:highlight w:val="none"/>
        </w:rPr>
        <w:t xml:space="preserve">2.18.1 </w:t>
      </w:r>
      <w:r>
        <w:rPr>
          <w:rFonts w:hint="eastAsia"/>
          <w:color w:val="auto"/>
          <w:highlight w:val="none"/>
        </w:rPr>
        <w:t>采购文件要求乙方提交履约保证金的，乙方应按</w:t>
      </w:r>
      <w:r>
        <w:rPr>
          <w:rFonts w:hint="eastAsia"/>
          <w:b/>
          <w:i/>
          <w:color w:val="auto"/>
          <w:highlight w:val="none"/>
          <w:u w:val="single"/>
        </w:rPr>
        <w:t>合同专用条款</w:t>
      </w:r>
      <w:r>
        <w:rPr>
          <w:rFonts w:hint="eastAsia"/>
          <w:color w:val="auto"/>
          <w:highlight w:val="none"/>
        </w:rPr>
        <w:t>约定的方式，以支票、汇票、本票或者金融机构、担保机构出具的保函等非现金形式，提交不超过合同金额</w:t>
      </w:r>
      <w:r>
        <w:rPr>
          <w:color w:val="auto"/>
          <w:highlight w:val="none"/>
        </w:rPr>
        <w:t>1%的履约保证金；鼓励和支持乙方以银行、保险公司出具的保函形式提供履约保证</w:t>
      </w:r>
      <w:r>
        <w:rPr>
          <w:rFonts w:hint="eastAsia"/>
          <w:color w:val="auto"/>
          <w:highlight w:val="none"/>
        </w:rPr>
        <w:t>，乙方以银行、保险公司出具保函形式提交履约保证金的，甲方不得拒收。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2.18.2  </w:t>
      </w:r>
      <w:r>
        <w:rPr>
          <w:rFonts w:hint="eastAsia" w:ascii="宋体" w:hAnsi="宋体"/>
          <w:color w:val="auto"/>
          <w:sz w:val="24"/>
          <w:highlight w:val="none"/>
        </w:rPr>
        <w:t>甲方在项目验收结束后及时退还履约保证金。</w:t>
      </w:r>
      <w:r>
        <w:rPr>
          <w:rFonts w:hint="eastAsia" w:ascii="宋体" w:hAnsi="宋体" w:cs="宋体"/>
          <w:color w:val="auto"/>
          <w:sz w:val="24"/>
          <w:highlight w:val="none"/>
        </w:rPr>
        <w:t>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w:t>
      </w:r>
      <w:r>
        <w:rPr>
          <w:rFonts w:hint="eastAsia" w:ascii="宋体" w:hAnsi="宋体"/>
          <w:color w:val="auto"/>
          <w:sz w:val="24"/>
          <w:highlight w:val="none"/>
        </w:rPr>
        <w:t>乙方可要求甲方支付违约金，违约金按每迟延退还一日的应退还而未退还金额的</w:t>
      </w:r>
      <w:r>
        <w:rPr>
          <w:rFonts w:ascii="宋体" w:hAnsi="宋体"/>
          <w:color w:val="auto"/>
          <w:sz w:val="24"/>
          <w:highlight w:val="none"/>
          <w:u w:val="single"/>
        </w:rPr>
        <w:t xml:space="preserve">  0.05  </w:t>
      </w:r>
      <w:r>
        <w:rPr>
          <w:rFonts w:ascii="宋体" w:hAnsi="宋体"/>
          <w:color w:val="auto"/>
          <w:sz w:val="24"/>
          <w:highlight w:val="none"/>
        </w:rPr>
        <w:t>%计算，最高限额为本合同履约保证金的</w:t>
      </w:r>
      <w:r>
        <w:rPr>
          <w:rFonts w:ascii="宋体" w:hAnsi="宋体"/>
          <w:color w:val="auto"/>
          <w:sz w:val="24"/>
          <w:highlight w:val="none"/>
          <w:u w:val="single"/>
        </w:rPr>
        <w:t xml:space="preserve">  20   </w:t>
      </w:r>
      <w:r>
        <w:rPr>
          <w:rFonts w:ascii="宋体" w:hAnsi="宋体"/>
          <w:color w:val="auto"/>
          <w:sz w:val="24"/>
          <w:highlight w:val="none"/>
        </w:rPr>
        <w:t xml:space="preserve">%； </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2.18.3 </w:t>
      </w:r>
      <w:r>
        <w:rPr>
          <w:rFonts w:hint="eastAsia" w:ascii="宋体" w:hAnsi="宋体"/>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olor w:val="auto"/>
          <w:highlight w:val="none"/>
        </w:rPr>
      </w:pPr>
      <w:r>
        <w:rPr>
          <w:rFonts w:ascii="宋体" w:hAnsi="宋体"/>
          <w:color w:val="auto"/>
          <w:sz w:val="24"/>
          <w:highlight w:val="none"/>
        </w:rPr>
        <w:t>2.18.4</w:t>
      </w:r>
      <w:r>
        <w:rPr>
          <w:rFonts w:hint="eastAsia" w:ascii="宋体" w:hAnsi="宋体"/>
          <w:color w:val="auto"/>
          <w:sz w:val="24"/>
          <w:highlight w:val="none"/>
        </w:rPr>
        <w:t> 甲方</w:t>
      </w:r>
      <w:r>
        <w:rPr>
          <w:rFonts w:ascii="宋体" w:hAnsi="宋体"/>
          <w:color w:val="auto"/>
          <w:sz w:val="24"/>
          <w:highlight w:val="none"/>
        </w:rPr>
        <w:t>在</w:t>
      </w:r>
      <w:r>
        <w:rPr>
          <w:rFonts w:hint="eastAsia" w:ascii="宋体" w:hAnsi="宋体"/>
          <w:color w:val="auto"/>
          <w:sz w:val="24"/>
          <w:highlight w:val="none"/>
        </w:rPr>
        <w:t>乙方</w:t>
      </w:r>
      <w:r>
        <w:rPr>
          <w:rFonts w:ascii="宋体" w:hAnsi="宋体"/>
          <w:color w:val="auto"/>
          <w:sz w:val="24"/>
          <w:highlight w:val="none"/>
        </w:rPr>
        <w:t>履行完合同约定义务事项后及时退还，延迟退还的，应当按照合同约定和法律规定承担相应的赔偿责任。</w:t>
      </w:r>
    </w:p>
    <w:p>
      <w:pPr>
        <w:spacing w:line="560" w:lineRule="exact"/>
        <w:ind w:firstLine="482" w:firstLineChars="200"/>
        <w:rPr>
          <w:rFonts w:ascii="宋体" w:hAnsi="宋体"/>
          <w:color w:val="auto"/>
          <w:sz w:val="24"/>
          <w:highlight w:val="none"/>
        </w:rPr>
      </w:pPr>
      <w:r>
        <w:rPr>
          <w:rFonts w:ascii="宋体" w:hAnsi="宋体"/>
          <w:b/>
          <w:bCs/>
          <w:color w:val="auto"/>
          <w:sz w:val="24"/>
          <w:highlight w:val="none"/>
        </w:rPr>
        <w:t>2.19</w:t>
      </w:r>
      <w:r>
        <w:rPr>
          <w:rFonts w:ascii="宋体" w:hAnsi="宋体"/>
          <w:color w:val="auto"/>
          <w:sz w:val="24"/>
          <w:highlight w:val="none"/>
        </w:rPr>
        <w:t>对于因甲方原因导致变更、中止或者终止政府采购合同的，甲方应当依照合同约定对供应商受到的损失予以赔偿或者补偿</w:t>
      </w:r>
      <w:r>
        <w:rPr>
          <w:rFonts w:hint="eastAsia"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2.20合同份数</w:t>
      </w:r>
    </w:p>
    <w:p>
      <w:pPr>
        <w:spacing w:line="360" w:lineRule="auto"/>
        <w:jc w:val="center"/>
        <w:outlineLvl w:val="0"/>
        <w:rPr>
          <w:rFonts w:ascii="宋体" w:hAnsi="宋体" w:cs="宋体"/>
          <w:b/>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r>
        <w:rPr>
          <w:rFonts w:hint="eastAsia" w:ascii="宋体" w:hAnsi="宋体" w:cs="宋体"/>
          <w:color w:val="auto"/>
          <w:kern w:val="0"/>
          <w:highlight w:val="none"/>
        </w:rPr>
        <w:br w:type="page"/>
      </w:r>
      <w:bookmarkStart w:id="511" w:name="_Toc331685784"/>
      <w:r>
        <w:rPr>
          <w:rFonts w:hint="eastAsia" w:ascii="宋体" w:hAnsi="宋体" w:cs="宋体"/>
          <w:b/>
          <w:color w:val="auto"/>
          <w:sz w:val="24"/>
          <w:highlight w:val="none"/>
        </w:rPr>
        <w:t xml:space="preserve"> </w:t>
      </w:r>
      <w:bookmarkEnd w:id="511"/>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0"/>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977" w:type="dxa"/>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w:t>
      </w: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2" w:name="_Hlk101257010"/>
      <w:r>
        <w:rPr>
          <w:rFonts w:hint="eastAsia" w:ascii="宋体" w:hAnsi="宋体" w:cs="宋体"/>
          <w:color w:val="auto"/>
          <w:sz w:val="24"/>
          <w:highlight w:val="none"/>
        </w:rPr>
        <w:t>（如果有)</w:t>
      </w:r>
      <w:bookmarkEnd w:id="512"/>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5"/>
        <w:rPr>
          <w:color w:val="auto"/>
          <w:sz w:val="18"/>
          <w:szCs w:val="18"/>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ind w:firstLine="576"/>
        <w:rPr>
          <w:rFonts w:ascii="宋体" w:hAnsi="宋体" w:cs="宋体"/>
          <w:color w:val="auto"/>
          <w:kern w:val="0"/>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95"/>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7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5"/>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95"/>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7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pPr>
              <w:jc w:val="center"/>
              <w:rPr>
                <w:rFonts w:ascii="宋体" w:hAnsi="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t>见投标文件</w:t>
            </w:r>
          </w:p>
          <w:p>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7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7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（2）报价明细清单………………………………………………………………（页码）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pPr>
        <w:snapToGrid w:val="0"/>
        <w:spacing w:line="360" w:lineRule="auto"/>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381"/>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81"/>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70"/>
        <w:tblW w:w="141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1584"/>
        <w:gridCol w:w="1658"/>
        <w:gridCol w:w="1020"/>
        <w:gridCol w:w="2010"/>
        <w:gridCol w:w="1732"/>
        <w:gridCol w:w="5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auto"/>
                <w:sz w:val="18"/>
                <w:szCs w:val="18"/>
                <w:highlight w:val="none"/>
                <w:lang w:val="zh-CN"/>
              </w:rPr>
            </w:pPr>
            <w:r>
              <w:rPr>
                <w:rFonts w:ascii="宋体" w:hAnsi="宋体" w:eastAsia="宋体"/>
                <w:color w:val="auto"/>
                <w:sz w:val="18"/>
                <w:szCs w:val="18"/>
                <w:highlight w:val="none"/>
                <w:lang w:val="zh-CN"/>
              </w:rPr>
              <w:t>序号</w:t>
            </w:r>
          </w:p>
        </w:tc>
        <w:tc>
          <w:tcPr>
            <w:tcW w:w="3242"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color w:val="auto"/>
                <w:sz w:val="18"/>
                <w:szCs w:val="18"/>
                <w:highlight w:val="none"/>
                <w:lang w:val="zh-CN"/>
              </w:rPr>
            </w:pPr>
            <w:r>
              <w:rPr>
                <w:rFonts w:ascii="宋体" w:hAnsi="宋体" w:eastAsia="宋体"/>
                <w:color w:val="auto"/>
                <w:sz w:val="18"/>
                <w:szCs w:val="18"/>
                <w:highlight w:val="none"/>
                <w:lang w:val="zh-CN"/>
              </w:rPr>
              <w:t>项目</w:t>
            </w:r>
          </w:p>
        </w:tc>
        <w:tc>
          <w:tcPr>
            <w:tcW w:w="1020"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服务期</w:t>
            </w:r>
          </w:p>
        </w:tc>
        <w:tc>
          <w:tcPr>
            <w:tcW w:w="2010"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投标报价（元/年）</w:t>
            </w:r>
          </w:p>
        </w:tc>
        <w:tc>
          <w:tcPr>
            <w:tcW w:w="17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投标总报价（元）</w:t>
            </w:r>
          </w:p>
        </w:tc>
        <w:tc>
          <w:tcPr>
            <w:tcW w:w="54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auto"/>
                <w:sz w:val="18"/>
                <w:szCs w:val="18"/>
                <w:highlight w:val="none"/>
                <w:lang w:val="zh-CN"/>
              </w:rPr>
            </w:pPr>
            <w:r>
              <w:rPr>
                <w:rFonts w:ascii="宋体" w:hAnsi="宋体" w:eastAsia="宋体"/>
                <w:color w:val="auto"/>
                <w:sz w:val="18"/>
                <w:szCs w:val="18"/>
                <w:highlight w:val="none"/>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6" w:hRule="atLeast"/>
        </w:trPr>
        <w:tc>
          <w:tcPr>
            <w:tcW w:w="733" w:type="dxa"/>
            <w:vMerge w:val="restart"/>
            <w:tcBorders>
              <w:top w:val="single" w:color="000000" w:sz="4" w:space="0"/>
              <w:left w:val="single" w:color="000000" w:sz="4" w:space="0"/>
              <w:right w:val="single" w:color="000000" w:sz="4" w:space="0"/>
            </w:tcBorders>
            <w:vAlign w:val="center"/>
          </w:tcPr>
          <w:p>
            <w:pPr>
              <w:jc w:val="center"/>
              <w:rPr>
                <w:rFonts w:ascii="宋体" w:hAnsi="宋体" w:eastAsia="宋体"/>
                <w:color w:val="auto"/>
                <w:sz w:val="18"/>
                <w:szCs w:val="18"/>
                <w:highlight w:val="none"/>
                <w:lang w:val="zh-CN"/>
              </w:rPr>
            </w:pPr>
            <w:r>
              <w:rPr>
                <w:rFonts w:hint="eastAsia" w:ascii="宋体" w:hAnsi="宋体" w:eastAsia="宋体"/>
                <w:color w:val="auto"/>
                <w:sz w:val="18"/>
                <w:szCs w:val="18"/>
                <w:highlight w:val="none"/>
              </w:rPr>
              <w:t>1</w:t>
            </w:r>
          </w:p>
        </w:tc>
        <w:tc>
          <w:tcPr>
            <w:tcW w:w="1584" w:type="dxa"/>
            <w:vMerge w:val="restart"/>
            <w:tcBorders>
              <w:top w:val="single" w:color="000000" w:sz="4" w:space="0"/>
              <w:left w:val="single" w:color="000000" w:sz="4" w:space="0"/>
              <w:right w:val="single" w:color="auto" w:sz="4" w:space="0"/>
            </w:tcBorders>
            <w:vAlign w:val="center"/>
          </w:tcPr>
          <w:p>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日常保洁费</w:t>
            </w:r>
          </w:p>
        </w:tc>
        <w:tc>
          <w:tcPr>
            <w:tcW w:w="1658" w:type="dxa"/>
            <w:tcBorders>
              <w:top w:val="single" w:color="000000" w:sz="4" w:space="0"/>
              <w:left w:val="single" w:color="auto" w:sz="4" w:space="0"/>
              <w:right w:val="single" w:color="auto" w:sz="4" w:space="0"/>
            </w:tcBorders>
            <w:vAlign w:val="center"/>
          </w:tcPr>
          <w:p>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日常保洁人员工资</w:t>
            </w:r>
          </w:p>
        </w:tc>
        <w:tc>
          <w:tcPr>
            <w:tcW w:w="1020" w:type="dxa"/>
            <w:tcBorders>
              <w:top w:val="single" w:color="000000" w:sz="4" w:space="0"/>
              <w:left w:val="single" w:color="auto" w:sz="4" w:space="0"/>
              <w:right w:val="single" w:color="auto" w:sz="4" w:space="0"/>
            </w:tcBorders>
            <w:vAlign w:val="center"/>
          </w:tcPr>
          <w:p>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2年</w:t>
            </w:r>
          </w:p>
        </w:tc>
        <w:tc>
          <w:tcPr>
            <w:tcW w:w="2010" w:type="dxa"/>
            <w:tcBorders>
              <w:top w:val="single" w:color="000000" w:sz="4" w:space="0"/>
              <w:left w:val="single" w:color="auto" w:sz="4" w:space="0"/>
              <w:right w:val="single" w:color="000000" w:sz="4" w:space="0"/>
            </w:tcBorders>
            <w:vAlign w:val="bottom"/>
          </w:tcPr>
          <w:p>
            <w:pPr>
              <w:spacing w:line="360" w:lineRule="auto"/>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（小写）</w:t>
            </w:r>
          </w:p>
        </w:tc>
        <w:tc>
          <w:tcPr>
            <w:tcW w:w="1732" w:type="dxa"/>
            <w:tcBorders>
              <w:top w:val="single" w:color="000000" w:sz="4" w:space="0"/>
              <w:left w:val="single" w:color="000000" w:sz="4" w:space="0"/>
              <w:right w:val="single" w:color="000000" w:sz="4" w:space="0"/>
            </w:tcBorders>
            <w:vAlign w:val="bottom"/>
          </w:tcPr>
          <w:p>
            <w:pPr>
              <w:spacing w:line="360" w:lineRule="auto"/>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（小写）</w:t>
            </w:r>
          </w:p>
        </w:tc>
        <w:tc>
          <w:tcPr>
            <w:tcW w:w="54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b/>
                <w:bCs/>
                <w:color w:val="auto"/>
                <w:sz w:val="18"/>
                <w:szCs w:val="18"/>
                <w:highlight w:val="none"/>
                <w:lang w:val="zh-CN"/>
              </w:rPr>
            </w:pPr>
            <w:r>
              <w:rPr>
                <w:rFonts w:hint="eastAsia" w:ascii="宋体" w:hAnsi="宋体" w:eastAsia="宋体"/>
                <w:b/>
                <w:bCs/>
                <w:color w:val="auto"/>
                <w:sz w:val="18"/>
                <w:szCs w:val="18"/>
                <w:highlight w:val="none"/>
                <w:lang w:val="en-US" w:eastAsia="zh-CN"/>
              </w:rPr>
              <w:t>承诺</w:t>
            </w:r>
            <w:r>
              <w:rPr>
                <w:rFonts w:ascii="宋体" w:hAnsi="宋体" w:eastAsia="宋体"/>
                <w:b/>
                <w:bCs/>
                <w:color w:val="auto"/>
                <w:sz w:val="18"/>
                <w:szCs w:val="18"/>
                <w:highlight w:val="none"/>
                <w:lang w:val="zh-CN"/>
              </w:rPr>
              <w:t>人员不得少于</w:t>
            </w:r>
            <w:r>
              <w:rPr>
                <w:rFonts w:hint="eastAsia" w:ascii="宋体" w:hAnsi="宋体" w:eastAsia="宋体"/>
                <w:b/>
                <w:bCs/>
                <w:color w:val="auto"/>
                <w:sz w:val="18"/>
                <w:szCs w:val="18"/>
                <w:highlight w:val="none"/>
                <w:lang w:val="zh-CN"/>
              </w:rPr>
              <w:t>1</w:t>
            </w:r>
            <w:r>
              <w:rPr>
                <w:rFonts w:hint="eastAsia" w:ascii="宋体" w:hAnsi="宋体" w:eastAsia="宋体"/>
                <w:b/>
                <w:bCs/>
                <w:color w:val="auto"/>
                <w:sz w:val="18"/>
                <w:szCs w:val="18"/>
                <w:highlight w:val="none"/>
              </w:rPr>
              <w:t>5</w:t>
            </w:r>
            <w:r>
              <w:rPr>
                <w:rFonts w:ascii="宋体" w:hAnsi="宋体" w:eastAsia="宋体"/>
                <w:b/>
                <w:bCs/>
                <w:color w:val="auto"/>
                <w:sz w:val="18"/>
                <w:szCs w:val="18"/>
                <w:highlight w:val="none"/>
                <w:lang w:val="zh-CN"/>
              </w:rPr>
              <w:t>人</w:t>
            </w:r>
            <w:r>
              <w:rPr>
                <w:rFonts w:hint="eastAsia" w:ascii="宋体" w:hAnsi="宋体" w:eastAsia="宋体"/>
                <w:b/>
                <w:bCs/>
                <w:color w:val="auto"/>
                <w:sz w:val="18"/>
                <w:szCs w:val="18"/>
                <w:highlight w:val="none"/>
                <w:lang w:val="zh-CN"/>
              </w:rPr>
              <w:t>，</w:t>
            </w:r>
            <w:r>
              <w:rPr>
                <w:rFonts w:ascii="宋体" w:hAnsi="宋体" w:eastAsia="宋体"/>
                <w:b/>
                <w:bCs/>
                <w:color w:val="auto"/>
                <w:sz w:val="18"/>
                <w:szCs w:val="18"/>
                <w:highlight w:val="none"/>
                <w:lang w:val="zh-CN"/>
              </w:rPr>
              <w:t>服务期</w:t>
            </w:r>
            <w:r>
              <w:rPr>
                <w:rFonts w:hint="eastAsia" w:ascii="宋体" w:hAnsi="宋体" w:eastAsia="宋体"/>
                <w:b/>
                <w:bCs/>
                <w:color w:val="auto"/>
                <w:sz w:val="18"/>
                <w:szCs w:val="18"/>
                <w:highlight w:val="none"/>
                <w:lang w:val="zh-CN"/>
              </w:rPr>
              <w:t>2</w:t>
            </w:r>
            <w:r>
              <w:rPr>
                <w:rFonts w:ascii="宋体" w:hAnsi="宋体" w:eastAsia="宋体"/>
                <w:b/>
                <w:bCs/>
                <w:color w:val="auto"/>
                <w:sz w:val="18"/>
                <w:szCs w:val="18"/>
                <w:highlight w:val="none"/>
                <w:lang w:val="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7" w:hRule="atLeast"/>
        </w:trPr>
        <w:tc>
          <w:tcPr>
            <w:tcW w:w="733" w:type="dxa"/>
            <w:vMerge w:val="continue"/>
            <w:tcBorders>
              <w:left w:val="single" w:color="000000" w:sz="4" w:space="0"/>
              <w:right w:val="single" w:color="000000" w:sz="4" w:space="0"/>
            </w:tcBorders>
            <w:vAlign w:val="center"/>
          </w:tcPr>
          <w:p>
            <w:pPr>
              <w:jc w:val="center"/>
              <w:rPr>
                <w:rFonts w:ascii="宋体" w:hAnsi="宋体" w:eastAsia="宋体"/>
                <w:color w:val="auto"/>
                <w:sz w:val="18"/>
                <w:szCs w:val="18"/>
                <w:highlight w:val="none"/>
              </w:rPr>
            </w:pPr>
          </w:p>
        </w:tc>
        <w:tc>
          <w:tcPr>
            <w:tcW w:w="1584" w:type="dxa"/>
            <w:vMerge w:val="continue"/>
            <w:tcBorders>
              <w:left w:val="single" w:color="000000" w:sz="4" w:space="0"/>
              <w:right w:val="single" w:color="auto" w:sz="4" w:space="0"/>
            </w:tcBorders>
            <w:vAlign w:val="center"/>
          </w:tcPr>
          <w:p>
            <w:pPr>
              <w:jc w:val="center"/>
              <w:rPr>
                <w:rFonts w:ascii="宋体" w:hAnsi="宋体" w:eastAsia="宋体"/>
                <w:color w:val="auto"/>
                <w:sz w:val="18"/>
                <w:szCs w:val="18"/>
                <w:highlight w:val="none"/>
                <w:lang w:val="zh-CN"/>
              </w:rPr>
            </w:pPr>
          </w:p>
        </w:tc>
        <w:tc>
          <w:tcPr>
            <w:tcW w:w="1658" w:type="dxa"/>
            <w:tcBorders>
              <w:top w:val="single" w:color="000000" w:sz="4" w:space="0"/>
              <w:left w:val="single" w:color="auto" w:sz="4" w:space="0"/>
              <w:right w:val="single" w:color="auto" w:sz="4" w:space="0"/>
            </w:tcBorders>
            <w:vAlign w:val="center"/>
          </w:tcPr>
          <w:p>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机械设备费用</w:t>
            </w:r>
          </w:p>
        </w:tc>
        <w:tc>
          <w:tcPr>
            <w:tcW w:w="1020" w:type="dxa"/>
            <w:tcBorders>
              <w:top w:val="single" w:color="000000" w:sz="4" w:space="0"/>
              <w:left w:val="single" w:color="auto" w:sz="4" w:space="0"/>
              <w:right w:val="single" w:color="auto" w:sz="4" w:space="0"/>
            </w:tcBorders>
            <w:vAlign w:val="center"/>
          </w:tcPr>
          <w:p>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2年</w:t>
            </w:r>
          </w:p>
        </w:tc>
        <w:tc>
          <w:tcPr>
            <w:tcW w:w="2010" w:type="dxa"/>
            <w:tcBorders>
              <w:top w:val="single" w:color="000000" w:sz="4" w:space="0"/>
              <w:left w:val="single" w:color="auto" w:sz="4" w:space="0"/>
              <w:right w:val="single" w:color="000000" w:sz="4" w:space="0"/>
            </w:tcBorders>
            <w:vAlign w:val="bottom"/>
          </w:tcPr>
          <w:p>
            <w:pPr>
              <w:spacing w:line="360" w:lineRule="auto"/>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（小写）</w:t>
            </w:r>
          </w:p>
        </w:tc>
        <w:tc>
          <w:tcPr>
            <w:tcW w:w="1732" w:type="dxa"/>
            <w:tcBorders>
              <w:top w:val="single" w:color="000000" w:sz="4" w:space="0"/>
              <w:left w:val="single" w:color="000000" w:sz="4" w:space="0"/>
              <w:right w:val="single" w:color="000000" w:sz="4" w:space="0"/>
            </w:tcBorders>
            <w:vAlign w:val="bottom"/>
          </w:tcPr>
          <w:p>
            <w:pPr>
              <w:spacing w:line="360" w:lineRule="auto"/>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（小写）</w:t>
            </w:r>
          </w:p>
        </w:tc>
        <w:tc>
          <w:tcPr>
            <w:tcW w:w="54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b/>
                <w:bCs/>
                <w:color w:val="auto"/>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9" w:hRule="atLeast"/>
        </w:trPr>
        <w:tc>
          <w:tcPr>
            <w:tcW w:w="733" w:type="dxa"/>
            <w:tcBorders>
              <w:top w:val="single" w:color="000000" w:sz="4" w:space="0"/>
              <w:left w:val="single" w:color="000000" w:sz="4" w:space="0"/>
              <w:right w:val="single" w:color="000000" w:sz="4" w:space="0"/>
            </w:tcBorders>
            <w:vAlign w:val="center"/>
          </w:tcPr>
          <w:p>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w:t>
            </w:r>
          </w:p>
        </w:tc>
        <w:tc>
          <w:tcPr>
            <w:tcW w:w="1584" w:type="dxa"/>
            <w:tcBorders>
              <w:top w:val="single" w:color="000000" w:sz="4" w:space="0"/>
              <w:left w:val="single" w:color="000000" w:sz="4" w:space="0"/>
              <w:right w:val="single" w:color="000000" w:sz="4" w:space="0"/>
            </w:tcBorders>
            <w:vAlign w:val="top"/>
          </w:tcPr>
          <w:p>
            <w:pPr>
              <w:jc w:val="center"/>
              <w:rPr>
                <w:rFonts w:ascii="宋体" w:hAnsi="宋体" w:eastAsia="宋体"/>
                <w:color w:val="auto"/>
                <w:sz w:val="18"/>
                <w:szCs w:val="18"/>
                <w:highlight w:val="none"/>
              </w:rPr>
            </w:pPr>
          </w:p>
          <w:p>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市政养护费</w:t>
            </w:r>
          </w:p>
        </w:tc>
        <w:tc>
          <w:tcPr>
            <w:tcW w:w="1658" w:type="dxa"/>
            <w:tcBorders>
              <w:top w:val="single" w:color="000000" w:sz="4" w:space="0"/>
              <w:left w:val="single" w:color="000000" w:sz="4" w:space="0"/>
              <w:right w:val="single" w:color="000000" w:sz="4" w:space="0"/>
            </w:tcBorders>
            <w:vAlign w:val="top"/>
          </w:tcPr>
          <w:p>
            <w:pPr>
              <w:rPr>
                <w:rFonts w:ascii="宋体" w:hAnsi="宋体" w:eastAsia="宋体"/>
                <w:color w:val="auto"/>
                <w:sz w:val="18"/>
                <w:szCs w:val="18"/>
                <w:highlight w:val="none"/>
              </w:rPr>
            </w:pPr>
          </w:p>
          <w:p>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市政下浮率</w:t>
            </w:r>
          </w:p>
        </w:tc>
        <w:tc>
          <w:tcPr>
            <w:tcW w:w="1020" w:type="dxa"/>
            <w:tcBorders>
              <w:top w:val="single" w:color="000000" w:sz="4" w:space="0"/>
              <w:left w:val="single" w:color="000000" w:sz="4" w:space="0"/>
              <w:right w:val="single" w:color="000000" w:sz="4" w:space="0"/>
            </w:tcBorders>
            <w:vAlign w:val="top"/>
          </w:tcPr>
          <w:p>
            <w:pPr>
              <w:rPr>
                <w:rFonts w:ascii="宋体" w:hAnsi="宋体" w:eastAsia="宋体"/>
                <w:color w:val="auto"/>
                <w:sz w:val="18"/>
                <w:szCs w:val="18"/>
                <w:highlight w:val="none"/>
              </w:rPr>
            </w:pPr>
          </w:p>
          <w:p>
            <w:pPr>
              <w:jc w:val="center"/>
              <w:rPr>
                <w:rFonts w:ascii="宋体" w:hAnsi="宋体" w:eastAsia="宋体"/>
                <w:color w:val="auto"/>
                <w:sz w:val="18"/>
                <w:szCs w:val="18"/>
                <w:highlight w:val="none"/>
                <w:lang w:val="zh-CN"/>
              </w:rPr>
            </w:pPr>
            <w:r>
              <w:rPr>
                <w:rFonts w:hint="eastAsia" w:ascii="宋体" w:hAnsi="宋体" w:eastAsia="宋体"/>
                <w:color w:val="auto"/>
                <w:sz w:val="18"/>
                <w:szCs w:val="18"/>
                <w:highlight w:val="none"/>
              </w:rPr>
              <w:t>2年</w:t>
            </w:r>
          </w:p>
        </w:tc>
        <w:tc>
          <w:tcPr>
            <w:tcW w:w="3742" w:type="dxa"/>
            <w:gridSpan w:val="2"/>
            <w:tcBorders>
              <w:top w:val="single" w:color="000000" w:sz="4" w:space="0"/>
              <w:left w:val="single" w:color="000000" w:sz="4" w:space="0"/>
              <w:right w:val="single" w:color="000000" w:sz="4" w:space="0"/>
            </w:tcBorders>
            <w:vAlign w:val="center"/>
          </w:tcPr>
          <w:p>
            <w:pPr>
              <w:jc w:val="both"/>
              <w:rPr>
                <w:rFonts w:ascii="宋体" w:hAnsi="宋体" w:eastAsia="宋体"/>
                <w:color w:val="auto"/>
                <w:sz w:val="18"/>
                <w:szCs w:val="18"/>
                <w:highlight w:val="none"/>
              </w:rPr>
            </w:pPr>
          </w:p>
          <w:p>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下浮12%</w:t>
            </w:r>
          </w:p>
        </w:tc>
        <w:tc>
          <w:tcPr>
            <w:tcW w:w="5453" w:type="dxa"/>
            <w:tcBorders>
              <w:top w:val="single" w:color="000000" w:sz="4" w:space="0"/>
              <w:left w:val="single" w:color="000000" w:sz="4" w:space="0"/>
              <w:bottom w:val="single" w:color="auto" w:sz="4" w:space="0"/>
              <w:right w:val="single" w:color="000000" w:sz="4" w:space="0"/>
            </w:tcBorders>
            <w:vAlign w:val="center"/>
          </w:tcPr>
          <w:p>
            <w:pPr>
              <w:jc w:val="both"/>
              <w:rPr>
                <w:rFonts w:ascii="宋体" w:hAnsi="宋体" w:eastAsia="宋体"/>
                <w:b/>
                <w:bCs/>
                <w:color w:val="auto"/>
                <w:sz w:val="18"/>
                <w:szCs w:val="18"/>
                <w:highlight w:val="none"/>
                <w:lang w:val="zh-CN"/>
              </w:rPr>
            </w:pPr>
            <w:r>
              <w:rPr>
                <w:rFonts w:hint="eastAsia" w:ascii="宋体" w:hAnsi="宋体" w:eastAsia="宋体"/>
                <w:b/>
                <w:bCs/>
                <w:color w:val="auto"/>
                <w:sz w:val="18"/>
                <w:szCs w:val="18"/>
                <w:highlight w:val="none"/>
                <w:lang w:val="zh-CN"/>
              </w:rPr>
              <w:t>市政养护部分最高限价为</w:t>
            </w:r>
            <w:r>
              <w:rPr>
                <w:rFonts w:hint="eastAsia" w:ascii="宋体" w:hAnsi="宋体" w:eastAsia="宋体"/>
                <w:b/>
                <w:bCs/>
                <w:color w:val="auto"/>
                <w:sz w:val="18"/>
                <w:szCs w:val="18"/>
                <w:highlight w:val="none"/>
                <w:lang w:val="en-US" w:eastAsia="zh-CN"/>
              </w:rPr>
              <w:t>55</w:t>
            </w:r>
            <w:r>
              <w:rPr>
                <w:rFonts w:hint="eastAsia" w:ascii="宋体" w:hAnsi="宋体" w:eastAsia="宋体"/>
                <w:b/>
                <w:bCs/>
                <w:color w:val="auto"/>
                <w:sz w:val="18"/>
                <w:szCs w:val="18"/>
                <w:highlight w:val="none"/>
                <w:lang w:val="zh-CN"/>
              </w:rPr>
              <w:t>万/年，具体以审计为准，按实结算。固定单价下浮</w:t>
            </w:r>
            <w:r>
              <w:rPr>
                <w:rFonts w:hint="eastAsia" w:ascii="宋体" w:hAnsi="宋体" w:eastAsia="宋体"/>
                <w:b/>
                <w:bCs/>
                <w:color w:val="auto"/>
                <w:sz w:val="18"/>
                <w:szCs w:val="18"/>
                <w:highlight w:val="none"/>
              </w:rPr>
              <w:t>12</w:t>
            </w:r>
            <w:r>
              <w:rPr>
                <w:rFonts w:hint="eastAsia" w:ascii="宋体" w:hAnsi="宋体" w:eastAsia="宋体"/>
                <w:b/>
                <w:bCs/>
                <w:color w:val="auto"/>
                <w:sz w:val="18"/>
                <w:szCs w:val="18"/>
                <w:highlight w:val="none"/>
                <w:lang w:val="zh-CN"/>
              </w:rPr>
              <w:t>%，</w:t>
            </w:r>
            <w:r>
              <w:rPr>
                <w:rFonts w:hint="eastAsia" w:ascii="宋体" w:hAnsi="宋体" w:eastAsia="宋体"/>
                <w:b/>
                <w:bCs/>
                <w:color w:val="auto"/>
                <w:sz w:val="18"/>
                <w:szCs w:val="18"/>
                <w:highlight w:val="none"/>
              </w:rPr>
              <w:t>不做竞争报价。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12" w:hRule="atLeast"/>
        </w:trPr>
        <w:tc>
          <w:tcPr>
            <w:tcW w:w="733" w:type="dxa"/>
            <w:tcBorders>
              <w:top w:val="single" w:color="000000" w:sz="4" w:space="0"/>
              <w:left w:val="single" w:color="000000" w:sz="4" w:space="0"/>
              <w:right w:val="single" w:color="000000" w:sz="4" w:space="0"/>
            </w:tcBorders>
            <w:vAlign w:val="center"/>
          </w:tcPr>
          <w:p>
            <w:pPr>
              <w:pStyle w:val="5"/>
              <w:ind w:left="0" w:firstLine="0"/>
              <w:jc w:val="center"/>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3</w:t>
            </w:r>
          </w:p>
        </w:tc>
        <w:tc>
          <w:tcPr>
            <w:tcW w:w="1584" w:type="dxa"/>
            <w:tcBorders>
              <w:top w:val="single" w:color="000000" w:sz="4" w:space="0"/>
              <w:left w:val="single" w:color="000000" w:sz="4" w:space="0"/>
              <w:right w:val="single" w:color="000000" w:sz="4" w:space="0"/>
            </w:tcBorders>
            <w:vAlign w:val="top"/>
          </w:tcPr>
          <w:p>
            <w:pPr>
              <w:jc w:val="center"/>
              <w:rPr>
                <w:rFonts w:ascii="宋体" w:hAnsi="宋体" w:eastAsia="宋体"/>
                <w:color w:val="auto"/>
                <w:sz w:val="18"/>
                <w:szCs w:val="18"/>
                <w:highlight w:val="none"/>
              </w:rPr>
            </w:pPr>
          </w:p>
          <w:p>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绿化提升费</w:t>
            </w:r>
          </w:p>
        </w:tc>
        <w:tc>
          <w:tcPr>
            <w:tcW w:w="1658" w:type="dxa"/>
            <w:tcBorders>
              <w:top w:val="single" w:color="000000" w:sz="4" w:space="0"/>
              <w:left w:val="single" w:color="000000" w:sz="4" w:space="0"/>
              <w:right w:val="single" w:color="000000" w:sz="4" w:space="0"/>
            </w:tcBorders>
            <w:vAlign w:val="top"/>
          </w:tcPr>
          <w:p>
            <w:pPr>
              <w:jc w:val="center"/>
              <w:rPr>
                <w:rFonts w:ascii="宋体" w:hAnsi="宋体" w:eastAsia="宋体"/>
                <w:color w:val="auto"/>
                <w:sz w:val="18"/>
                <w:szCs w:val="18"/>
                <w:highlight w:val="none"/>
                <w:lang w:val="zh-CN"/>
              </w:rPr>
            </w:pPr>
          </w:p>
          <w:p>
            <w:pPr>
              <w:jc w:val="center"/>
              <w:rPr>
                <w:rFonts w:ascii="宋体" w:hAnsi="宋体" w:eastAsia="宋体"/>
                <w:color w:val="auto"/>
                <w:sz w:val="18"/>
                <w:szCs w:val="18"/>
                <w:highlight w:val="none"/>
                <w:lang w:val="zh-CN"/>
              </w:rPr>
            </w:pPr>
            <w:r>
              <w:rPr>
                <w:rFonts w:hint="eastAsia" w:ascii="宋体" w:hAnsi="宋体" w:eastAsia="宋体"/>
                <w:color w:val="auto"/>
                <w:sz w:val="18"/>
                <w:szCs w:val="18"/>
                <w:highlight w:val="none"/>
                <w:lang w:val="zh-CN"/>
              </w:rPr>
              <w:t>固定费用，按实结算</w:t>
            </w:r>
          </w:p>
        </w:tc>
        <w:tc>
          <w:tcPr>
            <w:tcW w:w="1020" w:type="dxa"/>
            <w:tcBorders>
              <w:top w:val="single" w:color="000000" w:sz="4" w:space="0"/>
              <w:left w:val="single" w:color="000000" w:sz="4" w:space="0"/>
              <w:right w:val="single" w:color="000000" w:sz="4" w:space="0"/>
            </w:tcBorders>
            <w:vAlign w:val="top"/>
          </w:tcPr>
          <w:p>
            <w:pPr>
              <w:jc w:val="center"/>
              <w:rPr>
                <w:rFonts w:ascii="宋体" w:hAnsi="宋体" w:eastAsia="宋体"/>
                <w:color w:val="auto"/>
                <w:sz w:val="18"/>
                <w:szCs w:val="18"/>
                <w:highlight w:val="none"/>
              </w:rPr>
            </w:pPr>
          </w:p>
          <w:p>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2年</w:t>
            </w:r>
          </w:p>
        </w:tc>
        <w:tc>
          <w:tcPr>
            <w:tcW w:w="3742" w:type="dxa"/>
            <w:gridSpan w:val="2"/>
            <w:tcBorders>
              <w:top w:val="single" w:color="000000" w:sz="4" w:space="0"/>
              <w:left w:val="single" w:color="000000" w:sz="4" w:space="0"/>
              <w:right w:val="single" w:color="000000" w:sz="4" w:space="0"/>
            </w:tcBorders>
            <w:vAlign w:val="center"/>
          </w:tcPr>
          <w:p>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固定费用</w:t>
            </w:r>
          </w:p>
        </w:tc>
        <w:tc>
          <w:tcPr>
            <w:tcW w:w="5453" w:type="dxa"/>
            <w:tcBorders>
              <w:top w:val="single" w:color="000000" w:sz="4" w:space="0"/>
              <w:left w:val="single" w:color="000000" w:sz="4" w:space="0"/>
              <w:bottom w:val="single" w:color="auto" w:sz="4" w:space="0"/>
              <w:right w:val="single" w:color="000000" w:sz="4" w:space="0"/>
            </w:tcBorders>
            <w:vAlign w:val="center"/>
          </w:tcPr>
          <w:p>
            <w:pPr>
              <w:jc w:val="both"/>
              <w:rPr>
                <w:rFonts w:ascii="宋体" w:hAnsi="宋体" w:eastAsia="宋体"/>
                <w:b/>
                <w:bCs/>
                <w:color w:val="auto"/>
                <w:sz w:val="18"/>
                <w:szCs w:val="18"/>
                <w:highlight w:val="none"/>
                <w:lang w:val="zh-CN"/>
              </w:rPr>
            </w:pPr>
            <w:r>
              <w:rPr>
                <w:rFonts w:hint="eastAsia" w:ascii="宋体" w:hAnsi="宋体" w:eastAsia="宋体"/>
                <w:b/>
                <w:bCs/>
                <w:color w:val="auto"/>
                <w:sz w:val="18"/>
                <w:szCs w:val="18"/>
                <w:highlight w:val="none"/>
              </w:rPr>
              <w:t>绿化提升费</w:t>
            </w:r>
            <w:r>
              <w:rPr>
                <w:rFonts w:hint="eastAsia" w:ascii="宋体" w:hAnsi="宋体" w:eastAsia="宋体"/>
                <w:b/>
                <w:bCs/>
                <w:color w:val="auto"/>
                <w:sz w:val="18"/>
                <w:szCs w:val="18"/>
                <w:highlight w:val="none"/>
                <w:lang w:val="en-US" w:eastAsia="zh-CN"/>
              </w:rPr>
              <w:t>15</w:t>
            </w:r>
            <w:r>
              <w:rPr>
                <w:rFonts w:hint="eastAsia" w:ascii="宋体" w:hAnsi="宋体" w:eastAsia="宋体"/>
                <w:b/>
                <w:bCs/>
                <w:color w:val="auto"/>
                <w:sz w:val="18"/>
                <w:szCs w:val="18"/>
                <w:highlight w:val="none"/>
              </w:rPr>
              <w:t>万元/年，</w:t>
            </w:r>
            <w:r>
              <w:rPr>
                <w:rFonts w:hint="eastAsia" w:ascii="宋体" w:hAnsi="宋体" w:eastAsia="宋体"/>
                <w:b/>
                <w:bCs/>
                <w:color w:val="auto"/>
                <w:sz w:val="18"/>
                <w:szCs w:val="18"/>
                <w:highlight w:val="none"/>
                <w:lang w:val="zh-CN"/>
              </w:rPr>
              <w:t>具体以审计为准，按实结算，固定单价，</w:t>
            </w:r>
            <w:r>
              <w:rPr>
                <w:rFonts w:hint="eastAsia" w:ascii="宋体" w:hAnsi="宋体" w:eastAsia="宋体"/>
                <w:b/>
                <w:bCs/>
                <w:color w:val="auto"/>
                <w:sz w:val="18"/>
                <w:szCs w:val="18"/>
                <w:highlight w:val="none"/>
              </w:rPr>
              <w:t>不做竞争报价。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4" w:hRule="atLeast"/>
        </w:trPr>
        <w:tc>
          <w:tcPr>
            <w:tcW w:w="7005" w:type="dxa"/>
            <w:gridSpan w:val="5"/>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auto"/>
                <w:sz w:val="18"/>
                <w:szCs w:val="18"/>
                <w:highlight w:val="none"/>
                <w:lang w:val="zh-CN"/>
              </w:rPr>
            </w:pPr>
            <w:r>
              <w:rPr>
                <w:rFonts w:ascii="宋体" w:hAnsi="宋体" w:eastAsia="宋体"/>
                <w:color w:val="auto"/>
                <w:sz w:val="18"/>
                <w:szCs w:val="18"/>
                <w:highlight w:val="none"/>
                <w:lang w:val="zh-CN"/>
              </w:rPr>
              <w:t>合计总价</w:t>
            </w:r>
          </w:p>
        </w:tc>
        <w:tc>
          <w:tcPr>
            <w:tcW w:w="17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auto"/>
                <w:sz w:val="18"/>
                <w:szCs w:val="18"/>
                <w:highlight w:val="none"/>
                <w:lang w:val="zh-CN"/>
              </w:rPr>
            </w:pPr>
            <w:r>
              <w:rPr>
                <w:rFonts w:ascii="宋体" w:hAnsi="宋体" w:eastAsia="宋体"/>
                <w:color w:val="auto"/>
                <w:sz w:val="18"/>
                <w:szCs w:val="18"/>
                <w:highlight w:val="none"/>
                <w:lang w:val="zh-CN"/>
              </w:rPr>
              <w:t>小写</w:t>
            </w:r>
            <w:r>
              <w:rPr>
                <w:rFonts w:hint="eastAsia" w:ascii="宋体" w:hAnsi="宋体" w:eastAsia="宋体"/>
                <w:color w:val="auto"/>
                <w:sz w:val="18"/>
                <w:szCs w:val="18"/>
                <w:highlight w:val="none"/>
                <w:lang w:val="zh-CN"/>
              </w:rPr>
              <w:t>（元）</w:t>
            </w:r>
          </w:p>
        </w:tc>
        <w:tc>
          <w:tcPr>
            <w:tcW w:w="5453" w:type="dxa"/>
            <w:tcBorders>
              <w:top w:val="single" w:color="000000" w:sz="4" w:space="0"/>
              <w:left w:val="single" w:color="000000" w:sz="4" w:space="0"/>
              <w:bottom w:val="single" w:color="auto" w:sz="4" w:space="0"/>
              <w:right w:val="single" w:color="000000" w:sz="4" w:space="0"/>
            </w:tcBorders>
            <w:vAlign w:val="center"/>
          </w:tcPr>
          <w:p>
            <w:pPr>
              <w:jc w:val="left"/>
              <w:rPr>
                <w:rFonts w:ascii="宋体" w:hAnsi="宋体" w:eastAsia="宋体"/>
                <w:color w:val="auto"/>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4" w:hRule="atLeast"/>
        </w:trPr>
        <w:tc>
          <w:tcPr>
            <w:tcW w:w="7005"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olor w:val="auto"/>
                <w:sz w:val="18"/>
                <w:szCs w:val="18"/>
                <w:highlight w:val="none"/>
                <w:lang w:val="zh-CN"/>
              </w:rPr>
            </w:pPr>
          </w:p>
        </w:tc>
        <w:tc>
          <w:tcPr>
            <w:tcW w:w="17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auto"/>
                <w:sz w:val="18"/>
                <w:szCs w:val="18"/>
                <w:highlight w:val="none"/>
                <w:lang w:val="zh-CN"/>
              </w:rPr>
            </w:pPr>
            <w:r>
              <w:rPr>
                <w:rFonts w:ascii="宋体" w:hAnsi="宋体" w:eastAsia="宋体"/>
                <w:color w:val="auto"/>
                <w:sz w:val="18"/>
                <w:szCs w:val="18"/>
                <w:highlight w:val="none"/>
                <w:lang w:val="zh-CN"/>
              </w:rPr>
              <w:t>大写</w:t>
            </w:r>
            <w:r>
              <w:rPr>
                <w:rFonts w:hint="eastAsia" w:ascii="宋体" w:hAnsi="宋体" w:eastAsia="宋体"/>
                <w:color w:val="auto"/>
                <w:sz w:val="18"/>
                <w:szCs w:val="18"/>
                <w:highlight w:val="none"/>
                <w:lang w:val="zh-CN"/>
              </w:rPr>
              <w:t>（元）</w:t>
            </w:r>
          </w:p>
        </w:tc>
        <w:tc>
          <w:tcPr>
            <w:tcW w:w="5453" w:type="dxa"/>
            <w:tcBorders>
              <w:top w:val="single" w:color="auto" w:sz="4" w:space="0"/>
              <w:left w:val="single" w:color="000000" w:sz="4" w:space="0"/>
              <w:right w:val="single" w:color="000000" w:sz="4" w:space="0"/>
            </w:tcBorders>
            <w:vAlign w:val="center"/>
          </w:tcPr>
          <w:p>
            <w:pPr>
              <w:jc w:val="left"/>
              <w:rPr>
                <w:rFonts w:ascii="宋体" w:hAnsi="宋体" w:eastAsia="宋体"/>
                <w:color w:val="auto"/>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4190" w:type="dxa"/>
            <w:gridSpan w:val="7"/>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olor w:val="auto"/>
                <w:sz w:val="18"/>
                <w:szCs w:val="18"/>
                <w:highlight w:val="none"/>
                <w:lang w:val="zh-CN"/>
              </w:rPr>
            </w:pPr>
            <w:r>
              <w:rPr>
                <w:rFonts w:ascii="宋体" w:hAnsi="宋体" w:eastAsia="宋体"/>
                <w:color w:val="auto"/>
                <w:sz w:val="18"/>
                <w:szCs w:val="18"/>
                <w:highlight w:val="none"/>
                <w:lang w:val="zh-CN"/>
              </w:rPr>
              <w:t>说明：</w:t>
            </w:r>
            <w:r>
              <w:rPr>
                <w:rFonts w:hint="eastAsia" w:ascii="宋体" w:hAnsi="宋体" w:eastAsia="宋体"/>
                <w:color w:val="auto"/>
                <w:sz w:val="18"/>
                <w:szCs w:val="18"/>
                <w:highlight w:val="none"/>
                <w:lang w:val="zh-CN"/>
              </w:rPr>
              <w:t>（</w:t>
            </w:r>
            <w:r>
              <w:rPr>
                <w:rFonts w:hint="eastAsia" w:ascii="宋体" w:hAnsi="宋体" w:eastAsia="宋体"/>
                <w:color w:val="auto"/>
                <w:sz w:val="18"/>
                <w:szCs w:val="18"/>
                <w:highlight w:val="none"/>
              </w:rPr>
              <w:t>1</w:t>
            </w:r>
            <w:r>
              <w:rPr>
                <w:rFonts w:hint="eastAsia" w:ascii="宋体" w:hAnsi="宋体" w:eastAsia="宋体"/>
                <w:color w:val="auto"/>
                <w:sz w:val="18"/>
                <w:szCs w:val="18"/>
                <w:highlight w:val="none"/>
                <w:lang w:val="zh-CN"/>
              </w:rPr>
              <w:t>）</w:t>
            </w:r>
            <w:r>
              <w:rPr>
                <w:rFonts w:ascii="宋体" w:hAnsi="宋体" w:eastAsia="宋体"/>
                <w:color w:val="auto"/>
                <w:sz w:val="18"/>
                <w:szCs w:val="18"/>
                <w:highlight w:val="none"/>
                <w:lang w:val="zh-CN"/>
              </w:rPr>
              <w:t>投标报价四舍五入到元。</w:t>
            </w: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eastAsia="宋体" w:cs="宋体"/>
          <w:color w:val="auto"/>
          <w:kern w:val="2"/>
          <w:sz w:val="32"/>
          <w:szCs w:val="32"/>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81"/>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1" w:type="first"/>
          <w:headerReference r:id="rId20" w:type="default"/>
          <w:pgSz w:w="16838" w:h="11906" w:orient="landscape"/>
          <w:pgMar w:top="1418" w:right="1247" w:bottom="1418" w:left="1276" w:header="851" w:footer="992" w:gutter="0"/>
          <w:cols w:space="720" w:num="1"/>
          <w:titlePg/>
          <w:docGrid w:linePitch="312" w:charSpace="0"/>
        </w:sectPr>
      </w:pPr>
    </w:p>
    <w:p>
      <w:pPr>
        <w:pageBreakBefore/>
        <w:shd w:val="clear" w:color="auto" w:fill="FFFFFF"/>
        <w:snapToGrid w:val="0"/>
        <w:spacing w:line="360" w:lineRule="auto"/>
        <w:jc w:val="center"/>
        <w:outlineLvl w:val="2"/>
        <w:rPr>
          <w:rFonts w:ascii="宋体" w:hAnsi="宋体" w:eastAsia="宋体" w:cs="仿宋"/>
          <w:b/>
          <w:bCs/>
          <w:color w:val="auto"/>
          <w:sz w:val="24"/>
          <w:highlight w:val="none"/>
        </w:rPr>
      </w:pPr>
      <w:r>
        <w:rPr>
          <w:rFonts w:hint="eastAsia" w:ascii="宋体" w:hAnsi="宋体" w:eastAsia="宋体" w:cs="宋体"/>
          <w:color w:val="auto"/>
          <w:kern w:val="2"/>
          <w:sz w:val="32"/>
          <w:szCs w:val="32"/>
          <w:highlight w:val="none"/>
        </w:rPr>
        <w:t>二、</w:t>
      </w:r>
      <w:r>
        <w:rPr>
          <w:rFonts w:hint="eastAsia" w:ascii="宋体" w:hAnsi="宋体" w:eastAsia="宋体" w:cs="仿宋"/>
          <w:b/>
          <w:bCs/>
          <w:color w:val="auto"/>
          <w:sz w:val="24"/>
          <w:highlight w:val="none"/>
        </w:rPr>
        <w:t>报价明细清单</w:t>
      </w:r>
    </w:p>
    <w:p>
      <w:pPr>
        <w:autoSpaceDE w:val="0"/>
        <w:autoSpaceDN w:val="0"/>
        <w:spacing w:line="440" w:lineRule="exact"/>
        <w:rPr>
          <w:rFonts w:ascii="宋体" w:hAnsi="宋体" w:eastAsia="宋体" w:cs="仿宋"/>
          <w:b/>
          <w:color w:val="auto"/>
          <w:kern w:val="0"/>
          <w:sz w:val="24"/>
          <w:highlight w:val="none"/>
        </w:rPr>
      </w:pPr>
      <w:r>
        <w:rPr>
          <w:rFonts w:hint="eastAsia" w:ascii="宋体" w:hAnsi="宋体" w:eastAsia="宋体" w:cs="仿宋"/>
          <w:color w:val="auto"/>
          <w:kern w:val="0"/>
          <w:sz w:val="24"/>
          <w:highlight w:val="none"/>
        </w:rPr>
        <w:t>项目名称：崇贤街道高新示范园区综合养护项目（标项1）</w:t>
      </w:r>
    </w:p>
    <w:p>
      <w:pPr>
        <w:snapToGrid w:val="0"/>
        <w:rPr>
          <w:rFonts w:ascii="宋体" w:hAnsi="宋体" w:eastAsia="宋体" w:cs="仿宋"/>
          <w:color w:val="auto"/>
          <w:kern w:val="0"/>
          <w:sz w:val="24"/>
          <w:highlight w:val="none"/>
        </w:rPr>
      </w:pPr>
    </w:p>
    <w:p>
      <w:pPr>
        <w:snapToGrid w:val="0"/>
        <w:rPr>
          <w:rFonts w:ascii="宋体" w:hAnsi="宋体" w:eastAsia="宋体" w:cs="仿宋"/>
          <w:color w:val="auto"/>
          <w:kern w:val="0"/>
          <w:sz w:val="24"/>
          <w:highlight w:val="none"/>
        </w:rPr>
      </w:pPr>
      <w:r>
        <w:rPr>
          <w:rFonts w:hint="eastAsia" w:ascii="宋体" w:hAnsi="宋体" w:eastAsia="宋体" w:cs="仿宋"/>
          <w:color w:val="auto"/>
          <w:kern w:val="0"/>
          <w:sz w:val="24"/>
          <w:highlight w:val="none"/>
        </w:rPr>
        <w:t>项目编号：</w:t>
      </w:r>
    </w:p>
    <w:p>
      <w:pPr>
        <w:snapToGrid w:val="0"/>
        <w:rPr>
          <w:rFonts w:ascii="宋体" w:hAnsi="宋体" w:eastAsia="宋体" w:cs="仿宋"/>
          <w:b/>
          <w:color w:val="auto"/>
          <w:kern w:val="0"/>
          <w:sz w:val="24"/>
          <w:highlight w:val="none"/>
        </w:rPr>
      </w:pPr>
    </w:p>
    <w:p>
      <w:pPr>
        <w:snapToGrid w:val="0"/>
        <w:rPr>
          <w:rFonts w:ascii="宋体" w:hAnsi="宋体" w:eastAsia="宋体" w:cs="仿宋"/>
          <w:b/>
          <w:color w:val="auto"/>
          <w:kern w:val="0"/>
          <w:sz w:val="24"/>
          <w:highlight w:val="none"/>
        </w:rPr>
      </w:pPr>
      <w:r>
        <w:rPr>
          <w:rFonts w:hint="eastAsia" w:ascii="宋体" w:hAnsi="宋体" w:eastAsia="宋体" w:cs="仿宋"/>
          <w:b/>
          <w:color w:val="auto"/>
          <w:kern w:val="0"/>
          <w:sz w:val="24"/>
          <w:highlight w:val="none"/>
        </w:rPr>
        <w:t>根据</w:t>
      </w:r>
      <w:r>
        <w:rPr>
          <w:rFonts w:hint="eastAsia" w:ascii="宋体" w:hAnsi="宋体" w:eastAsia="宋体" w:cs="仿宋"/>
          <w:b/>
          <w:color w:val="auto"/>
          <w:sz w:val="24"/>
          <w:highlight w:val="none"/>
        </w:rPr>
        <w:t>崇贤街道高新示范园区综合养护项目</w:t>
      </w:r>
      <w:r>
        <w:rPr>
          <w:rFonts w:hint="eastAsia" w:ascii="宋体" w:hAnsi="宋体" w:eastAsia="宋体" w:cs="仿宋"/>
          <w:b/>
          <w:color w:val="auto"/>
          <w:kern w:val="0"/>
          <w:sz w:val="24"/>
          <w:highlight w:val="none"/>
        </w:rPr>
        <w:t>-需求清单数量表填写。</w:t>
      </w:r>
    </w:p>
    <w:p>
      <w:pPr>
        <w:pStyle w:val="27"/>
        <w:ind w:firstLine="0" w:firstLineChars="0"/>
        <w:rPr>
          <w:rFonts w:ascii="宋体" w:hAnsi="宋体" w:eastAsia="宋体" w:cs="仿宋"/>
          <w:color w:val="auto"/>
          <w:highlight w:val="none"/>
        </w:rPr>
      </w:pPr>
    </w:p>
    <w:p>
      <w:pPr>
        <w:snapToGrid w:val="0"/>
        <w:rPr>
          <w:rFonts w:ascii="宋体" w:hAnsi="宋体" w:eastAsia="宋体" w:cs="仿宋"/>
          <w:color w:val="auto"/>
          <w:kern w:val="0"/>
          <w:sz w:val="24"/>
          <w:highlight w:val="none"/>
        </w:rPr>
      </w:pPr>
      <w:r>
        <w:rPr>
          <w:rFonts w:hint="eastAsia" w:ascii="宋体" w:hAnsi="宋体" w:eastAsia="宋体" w:cs="仿宋"/>
          <w:color w:val="auto"/>
          <w:kern w:val="0"/>
          <w:sz w:val="24"/>
          <w:highlight w:val="none"/>
        </w:rPr>
        <w:t>填表说明：</w:t>
      </w:r>
    </w:p>
    <w:p>
      <w:pPr>
        <w:snapToGrid w:val="0"/>
        <w:ind w:firstLine="422" w:firstLineChars="200"/>
        <w:rPr>
          <w:rFonts w:ascii="宋体" w:hAnsi="宋体" w:eastAsia="宋体" w:cs="仿宋"/>
          <w:b/>
          <w:color w:val="auto"/>
          <w:kern w:val="0"/>
          <w:szCs w:val="21"/>
          <w:highlight w:val="none"/>
        </w:rPr>
      </w:pPr>
      <w:r>
        <w:rPr>
          <w:rFonts w:hint="eastAsia" w:ascii="宋体" w:hAnsi="宋体" w:eastAsia="宋体" w:cs="仿宋"/>
          <w:b/>
          <w:color w:val="auto"/>
          <w:kern w:val="0"/>
          <w:szCs w:val="21"/>
          <w:highlight w:val="none"/>
        </w:rPr>
        <w:t>1、针对本项目的采购清单对应填写报价，否则做无效投标。</w:t>
      </w:r>
    </w:p>
    <w:p>
      <w:pPr>
        <w:snapToGrid w:val="0"/>
        <w:ind w:firstLine="422" w:firstLineChars="200"/>
        <w:rPr>
          <w:rFonts w:ascii="宋体" w:hAnsi="宋体" w:eastAsia="宋体" w:cs="仿宋"/>
          <w:b/>
          <w:color w:val="auto"/>
          <w:kern w:val="0"/>
          <w:szCs w:val="21"/>
          <w:highlight w:val="none"/>
        </w:rPr>
      </w:pPr>
      <w:r>
        <w:rPr>
          <w:rFonts w:hint="eastAsia" w:ascii="宋体" w:hAnsi="宋体" w:eastAsia="宋体" w:cs="仿宋"/>
          <w:b/>
          <w:color w:val="auto"/>
          <w:kern w:val="0"/>
          <w:szCs w:val="21"/>
          <w:highlight w:val="none"/>
        </w:rPr>
        <w:t>2、分项报价表中合计总价应与开标一览表中的各标项相应报价相一致。</w:t>
      </w:r>
    </w:p>
    <w:p>
      <w:pPr>
        <w:snapToGrid w:val="0"/>
        <w:ind w:firstLine="422" w:firstLineChars="200"/>
        <w:rPr>
          <w:rFonts w:ascii="宋体" w:hAnsi="宋体" w:eastAsia="宋体" w:cs="仿宋"/>
          <w:b/>
          <w:color w:val="auto"/>
          <w:kern w:val="0"/>
          <w:szCs w:val="21"/>
          <w:highlight w:val="none"/>
        </w:rPr>
      </w:pPr>
      <w:r>
        <w:rPr>
          <w:rFonts w:hint="eastAsia" w:ascii="宋体" w:hAnsi="宋体" w:eastAsia="宋体" w:cs="仿宋"/>
          <w:b/>
          <w:color w:val="auto"/>
          <w:kern w:val="0"/>
          <w:szCs w:val="21"/>
          <w:highlight w:val="none"/>
        </w:rPr>
        <w:t>3、此表在不改变格式内容时，可自行制作。</w:t>
      </w:r>
    </w:p>
    <w:p>
      <w:pPr>
        <w:pStyle w:val="36"/>
        <w:snapToGrid w:val="0"/>
        <w:spacing w:line="360" w:lineRule="auto"/>
        <w:rPr>
          <w:rFonts w:ascii="宋体" w:hAnsi="宋体" w:eastAsia="宋体" w:cs="仿宋"/>
          <w:color w:val="auto"/>
          <w:sz w:val="24"/>
          <w:highlight w:val="none"/>
        </w:rPr>
      </w:pPr>
    </w:p>
    <w:p>
      <w:pPr>
        <w:pStyle w:val="36"/>
        <w:snapToGrid w:val="0"/>
        <w:spacing w:line="360" w:lineRule="auto"/>
        <w:rPr>
          <w:rFonts w:ascii="宋体" w:hAnsi="宋体" w:eastAsia="宋体" w:cs="仿宋"/>
          <w:color w:val="auto"/>
          <w:sz w:val="24"/>
          <w:highlight w:val="none"/>
        </w:rPr>
      </w:pPr>
    </w:p>
    <w:p>
      <w:pPr>
        <w:shd w:val="clear" w:color="auto" w:fill="FFFFFF"/>
        <w:snapToGrid w:val="0"/>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投标人名称(公章)：</w:t>
      </w:r>
    </w:p>
    <w:p>
      <w:pPr>
        <w:shd w:val="clear" w:color="auto" w:fill="FFFFFF"/>
        <w:snapToGrid w:val="0"/>
        <w:spacing w:line="360" w:lineRule="auto"/>
        <w:ind w:firstLine="480" w:firstLineChars="200"/>
        <w:rPr>
          <w:rFonts w:hint="eastAsia" w:ascii="宋体" w:hAnsi="宋体" w:eastAsia="宋体" w:cs="仿宋"/>
          <w:color w:val="auto"/>
          <w:sz w:val="24"/>
          <w:highlight w:val="none"/>
        </w:rPr>
      </w:pPr>
      <w:r>
        <w:rPr>
          <w:rFonts w:hint="eastAsia" w:ascii="宋体" w:hAnsi="宋体" w:eastAsia="宋体" w:cs="仿宋"/>
          <w:color w:val="auto"/>
          <w:sz w:val="24"/>
          <w:highlight w:val="none"/>
        </w:rPr>
        <w:t>授权代表人(签字)：日期：</w:t>
      </w:r>
    </w:p>
    <w:p>
      <w:pPr>
        <w:shd w:val="clear" w:color="auto" w:fill="FFFFFF"/>
        <w:snapToGrid w:val="0"/>
        <w:spacing w:line="360" w:lineRule="auto"/>
        <w:ind w:firstLine="480" w:firstLineChars="200"/>
        <w:rPr>
          <w:rFonts w:hint="eastAsia" w:ascii="宋体" w:hAnsi="宋体" w:eastAsia="宋体" w:cs="仿宋"/>
          <w:color w:val="auto"/>
          <w:sz w:val="24"/>
          <w:highlight w:val="none"/>
        </w:rPr>
      </w:pPr>
    </w:p>
    <w:p>
      <w:pPr>
        <w:shd w:val="clear" w:color="auto" w:fill="FFFFFF"/>
        <w:snapToGrid w:val="0"/>
        <w:spacing w:line="360" w:lineRule="auto"/>
        <w:ind w:firstLine="480" w:firstLineChars="200"/>
        <w:rPr>
          <w:rFonts w:hint="eastAsia" w:ascii="宋体" w:hAnsi="宋体" w:eastAsia="宋体" w:cs="仿宋"/>
          <w:color w:val="auto"/>
          <w:sz w:val="24"/>
          <w:highlight w:val="none"/>
        </w:rPr>
      </w:pPr>
    </w:p>
    <w:p>
      <w:pPr>
        <w:shd w:val="clear" w:color="auto" w:fill="FFFFFF"/>
        <w:snapToGrid w:val="0"/>
        <w:spacing w:line="360" w:lineRule="auto"/>
        <w:ind w:firstLine="480" w:firstLineChars="200"/>
        <w:rPr>
          <w:rFonts w:hint="eastAsia" w:ascii="宋体" w:hAnsi="宋体" w:eastAsia="宋体" w:cs="仿宋"/>
          <w:color w:val="auto"/>
          <w:sz w:val="24"/>
          <w:highlight w:val="none"/>
        </w:rPr>
      </w:pPr>
    </w:p>
    <w:p>
      <w:pPr>
        <w:shd w:val="clear" w:color="auto" w:fill="FFFFFF"/>
        <w:snapToGrid w:val="0"/>
        <w:spacing w:line="360" w:lineRule="auto"/>
        <w:ind w:firstLine="480" w:firstLineChars="200"/>
        <w:rPr>
          <w:rFonts w:hint="eastAsia" w:ascii="宋体" w:hAnsi="宋体" w:eastAsia="宋体" w:cs="仿宋"/>
          <w:color w:val="auto"/>
          <w:sz w:val="24"/>
          <w:highlight w:val="none"/>
        </w:rPr>
      </w:pPr>
    </w:p>
    <w:p>
      <w:pPr>
        <w:shd w:val="clear" w:color="auto" w:fill="FFFFFF"/>
        <w:snapToGrid w:val="0"/>
        <w:spacing w:line="360" w:lineRule="auto"/>
        <w:ind w:firstLine="480" w:firstLineChars="200"/>
        <w:rPr>
          <w:rFonts w:hint="eastAsia" w:ascii="宋体" w:hAnsi="宋体" w:eastAsia="宋体" w:cs="仿宋"/>
          <w:color w:val="auto"/>
          <w:sz w:val="24"/>
          <w:highlight w:val="none"/>
        </w:rPr>
      </w:pPr>
    </w:p>
    <w:p>
      <w:pPr>
        <w:shd w:val="clear" w:color="auto" w:fill="FFFFFF"/>
        <w:snapToGrid w:val="0"/>
        <w:spacing w:line="360" w:lineRule="auto"/>
        <w:ind w:firstLine="480" w:firstLineChars="200"/>
        <w:rPr>
          <w:rFonts w:hint="eastAsia" w:ascii="宋体" w:hAnsi="宋体" w:eastAsia="宋体" w:cs="仿宋"/>
          <w:color w:val="auto"/>
          <w:sz w:val="24"/>
          <w:highlight w:val="none"/>
        </w:rPr>
      </w:pPr>
    </w:p>
    <w:p>
      <w:pPr>
        <w:shd w:val="clear" w:color="auto" w:fill="FFFFFF"/>
        <w:snapToGrid w:val="0"/>
        <w:spacing w:line="360" w:lineRule="auto"/>
        <w:ind w:firstLine="480" w:firstLineChars="200"/>
        <w:rPr>
          <w:rFonts w:hint="eastAsia" w:ascii="宋体" w:hAnsi="宋体" w:eastAsia="宋体" w:cs="仿宋"/>
          <w:color w:val="auto"/>
          <w:sz w:val="24"/>
          <w:highlight w:val="none"/>
        </w:rPr>
      </w:pPr>
    </w:p>
    <w:p>
      <w:pPr>
        <w:shd w:val="clear" w:color="auto" w:fill="FFFFFF"/>
        <w:snapToGrid w:val="0"/>
        <w:spacing w:line="360" w:lineRule="auto"/>
        <w:ind w:firstLine="480" w:firstLineChars="200"/>
        <w:rPr>
          <w:rFonts w:hint="eastAsia" w:ascii="宋体" w:hAnsi="宋体" w:eastAsia="宋体" w:cs="仿宋"/>
          <w:color w:val="auto"/>
          <w:sz w:val="24"/>
          <w:highlight w:val="none"/>
        </w:rPr>
      </w:pPr>
    </w:p>
    <w:p>
      <w:pPr>
        <w:shd w:val="clear" w:color="auto" w:fill="FFFFFF"/>
        <w:snapToGrid w:val="0"/>
        <w:spacing w:line="360" w:lineRule="auto"/>
        <w:ind w:firstLine="480" w:firstLineChars="200"/>
        <w:rPr>
          <w:rFonts w:hint="eastAsia" w:ascii="宋体" w:hAnsi="宋体" w:eastAsia="宋体" w:cs="仿宋"/>
          <w:color w:val="auto"/>
          <w:sz w:val="24"/>
          <w:highlight w:val="none"/>
        </w:rPr>
      </w:pPr>
    </w:p>
    <w:p>
      <w:pPr>
        <w:shd w:val="clear" w:color="auto" w:fill="FFFFFF"/>
        <w:snapToGrid w:val="0"/>
        <w:spacing w:line="360" w:lineRule="auto"/>
        <w:ind w:firstLine="480" w:firstLineChars="200"/>
        <w:rPr>
          <w:rFonts w:hint="eastAsia" w:ascii="宋体" w:hAnsi="宋体" w:eastAsia="宋体" w:cs="仿宋"/>
          <w:color w:val="auto"/>
          <w:sz w:val="24"/>
          <w:highlight w:val="none"/>
        </w:rPr>
      </w:pPr>
    </w:p>
    <w:p>
      <w:pPr>
        <w:shd w:val="clear" w:color="auto" w:fill="FFFFFF"/>
        <w:snapToGrid w:val="0"/>
        <w:spacing w:line="360" w:lineRule="auto"/>
        <w:ind w:firstLine="480" w:firstLineChars="200"/>
        <w:rPr>
          <w:rFonts w:hint="eastAsia" w:ascii="宋体" w:hAnsi="宋体" w:eastAsia="宋体" w:cs="仿宋"/>
          <w:color w:val="auto"/>
          <w:sz w:val="24"/>
          <w:highlight w:val="none"/>
        </w:rPr>
      </w:pPr>
    </w:p>
    <w:p>
      <w:pPr>
        <w:shd w:val="clear" w:color="auto" w:fill="FFFFFF"/>
        <w:snapToGrid w:val="0"/>
        <w:spacing w:line="360" w:lineRule="auto"/>
        <w:ind w:firstLine="480" w:firstLineChars="200"/>
        <w:rPr>
          <w:rFonts w:hint="eastAsia" w:ascii="宋体" w:hAnsi="宋体" w:eastAsia="宋体" w:cs="仿宋"/>
          <w:color w:val="auto"/>
          <w:sz w:val="24"/>
          <w:highlight w:val="none"/>
        </w:rPr>
      </w:pPr>
    </w:p>
    <w:p>
      <w:pPr>
        <w:shd w:val="clear" w:color="auto" w:fill="FFFFFF"/>
        <w:snapToGrid w:val="0"/>
        <w:spacing w:line="360" w:lineRule="auto"/>
        <w:ind w:firstLine="480" w:firstLineChars="200"/>
        <w:rPr>
          <w:rFonts w:hint="eastAsia" w:ascii="宋体" w:hAnsi="宋体" w:eastAsia="宋体" w:cs="仿宋"/>
          <w:color w:val="auto"/>
          <w:sz w:val="24"/>
          <w:highlight w:val="none"/>
        </w:rPr>
      </w:pPr>
    </w:p>
    <w:p>
      <w:pPr>
        <w:shd w:val="clear" w:color="auto" w:fill="FFFFFF"/>
        <w:snapToGrid w:val="0"/>
        <w:spacing w:line="360" w:lineRule="auto"/>
        <w:ind w:firstLine="480" w:firstLineChars="200"/>
        <w:rPr>
          <w:rFonts w:hint="eastAsia" w:ascii="宋体" w:hAnsi="宋体" w:eastAsia="宋体" w:cs="仿宋"/>
          <w:color w:val="auto"/>
          <w:sz w:val="24"/>
          <w:highlight w:val="none"/>
        </w:rPr>
      </w:pPr>
    </w:p>
    <w:p>
      <w:pPr>
        <w:shd w:val="clear" w:color="auto" w:fill="FFFFFF"/>
        <w:snapToGrid w:val="0"/>
        <w:spacing w:line="360" w:lineRule="auto"/>
        <w:ind w:firstLine="480" w:firstLineChars="200"/>
        <w:rPr>
          <w:rFonts w:hint="eastAsia" w:ascii="宋体" w:hAnsi="宋体" w:eastAsia="宋体" w:cs="仿宋"/>
          <w:color w:val="auto"/>
          <w:sz w:val="24"/>
          <w:highlight w:val="none"/>
        </w:rPr>
      </w:pPr>
    </w:p>
    <w:p>
      <w:pPr>
        <w:shd w:val="clear" w:color="auto" w:fill="FFFFFF"/>
        <w:snapToGrid w:val="0"/>
        <w:spacing w:line="360" w:lineRule="auto"/>
        <w:ind w:firstLine="480" w:firstLineChars="200"/>
        <w:rPr>
          <w:rFonts w:hint="eastAsia" w:ascii="宋体" w:hAnsi="宋体" w:eastAsia="宋体" w:cs="仿宋"/>
          <w:color w:val="auto"/>
          <w:sz w:val="24"/>
          <w:highlight w:val="none"/>
        </w:rPr>
      </w:pPr>
    </w:p>
    <w:p>
      <w:pPr>
        <w:shd w:val="clear" w:color="auto" w:fill="FFFFFF"/>
        <w:snapToGrid w:val="0"/>
        <w:spacing w:line="360" w:lineRule="auto"/>
        <w:ind w:firstLine="480" w:firstLineChars="200"/>
        <w:rPr>
          <w:rFonts w:hint="eastAsia" w:ascii="宋体" w:hAnsi="宋体" w:eastAsia="宋体" w:cs="仿宋"/>
          <w:color w:val="auto"/>
          <w:sz w:val="24"/>
          <w:highlight w:val="none"/>
        </w:rPr>
      </w:pPr>
    </w:p>
    <w:p>
      <w:pPr>
        <w:shd w:val="clear" w:color="auto" w:fill="FFFFFF"/>
        <w:snapToGrid w:val="0"/>
        <w:spacing w:line="360" w:lineRule="auto"/>
        <w:ind w:firstLine="480" w:firstLineChars="200"/>
        <w:rPr>
          <w:rFonts w:hint="eastAsia" w:ascii="宋体" w:hAnsi="宋体" w:eastAsia="宋体" w:cs="仿宋"/>
          <w:color w:val="auto"/>
          <w:sz w:val="24"/>
          <w:highlight w:val="none"/>
        </w:rPr>
      </w:pPr>
    </w:p>
    <w:p>
      <w:pPr>
        <w:shd w:val="clear" w:color="auto" w:fill="FFFFFF"/>
        <w:snapToGrid w:val="0"/>
        <w:spacing w:line="360" w:lineRule="auto"/>
        <w:ind w:firstLine="480" w:firstLineChars="200"/>
        <w:rPr>
          <w:rFonts w:ascii="宋体" w:hAnsi="宋体" w:eastAsia="宋体" w:cs="宋体"/>
          <w:color w:val="auto"/>
          <w:sz w:val="32"/>
          <w:szCs w:val="32"/>
          <w:highlight w:val="none"/>
        </w:rPr>
      </w:pPr>
      <w:r>
        <w:rPr>
          <w:rFonts w:hint="eastAsia" w:ascii="宋体" w:hAnsi="宋体" w:eastAsia="宋体" w:cs="仿宋"/>
          <w:color w:val="auto"/>
          <w:sz w:val="24"/>
          <w:highlight w:val="none"/>
          <w:lang w:val="en-US" w:eastAsia="zh-CN"/>
        </w:rPr>
        <w:t>三、</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4"/>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3" w:name="OLE_LINK14"/>
      <w:bookmarkStart w:id="514" w:name="OLE_LINK13"/>
      <w:r>
        <w:rPr>
          <w:rFonts w:hint="eastAsia" w:ascii="宋体" w:hAnsi="宋体" w:cs="宋体"/>
          <w:b/>
          <w:color w:val="auto"/>
          <w:spacing w:val="6"/>
          <w:sz w:val="32"/>
          <w:szCs w:val="32"/>
          <w:highlight w:val="none"/>
        </w:rPr>
        <w:t>残疾人福利性单位声明函</w:t>
      </w:r>
    </w:p>
    <w:bookmarkEnd w:id="513"/>
    <w:bookmarkEnd w:id="514"/>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pacing w:line="360" w:lineRule="auto"/>
        <w:jc w:val="left"/>
        <w:rPr>
          <w:rFonts w:hint="eastAsia" w:ascii="宋体" w:hAnsi="宋体" w:cs="宋体"/>
          <w:b/>
          <w:color w:val="auto"/>
          <w:spacing w:val="6"/>
          <w:sz w:val="15"/>
          <w:szCs w:val="15"/>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6"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6"/>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7"/>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eastAsia="宋体" w:cs="宋体"/>
          <w:b/>
          <w:color w:val="auto"/>
          <w:spacing w:val="6"/>
          <w:sz w:val="32"/>
          <w:szCs w:val="32"/>
          <w:highlight w:val="none"/>
          <w:lang w:eastAsia="zh-CN"/>
        </w:rPr>
      </w:pPr>
    </w:p>
    <w:p>
      <w:pPr>
        <w:snapToGrid w:val="0"/>
        <w:spacing w:line="360" w:lineRule="auto"/>
        <w:ind w:firstLine="3666" w:firstLineChars="1100"/>
        <w:rPr>
          <w:rFonts w:hint="eastAsia" w:ascii="宋体" w:hAnsi="宋体" w:eastAsia="宋体" w:cs="宋体"/>
          <w:b/>
          <w:color w:val="auto"/>
          <w:spacing w:val="6"/>
          <w:sz w:val="32"/>
          <w:szCs w:val="32"/>
          <w:highlight w:val="none"/>
          <w:lang w:eastAsia="zh-CN"/>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p>
      <w:pPr>
        <w:rPr>
          <w:color w:val="auto"/>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Lucida Sans">
    <w:altName w:val="Lucida Sans Unicode"/>
    <w:panose1 w:val="020B0602030504020204"/>
    <w:charset w:val="00"/>
    <w:family w:val="auto"/>
    <w:pitch w:val="default"/>
    <w:sig w:usb0="00000000" w:usb1="00000000" w:usb2="00000000" w:usb3="00000000" w:csb0="20000001" w:csb1="00000000"/>
  </w:font>
  <w:font w:name="Futura Bk">
    <w:altName w:val="Arial"/>
    <w:panose1 w:val="00000000000000000000"/>
    <w:charset w:val="00"/>
    <w:family w:val="auto"/>
    <w:pitch w:val="default"/>
    <w:sig w:usb0="00000000" w:usb1="00000000" w:usb2="00000000" w:usb3="00000000" w:csb0="0000001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auto"/>
    <w:pitch w:val="default"/>
    <w:sig w:usb0="00000000" w:usb1="00000000" w:usb2="00000000" w:usb3="00000000" w:csb0="2000009F" w:csb1="DFD70000"/>
  </w:font>
  <w:font w:name="Aldine401 BT">
    <w:altName w:val="Arial"/>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 w:name="MS Mincho">
    <w:altName w:val="Yu Gothic UI"/>
    <w:panose1 w:val="02020609040205080304"/>
    <w:charset w:val="80"/>
    <w:family w:val="auto"/>
    <w:pitch w:val="default"/>
    <w:sig w:usb0="00000000" w:usb1="00000000" w:usb2="00000010" w:usb3="00000000" w:csb0="4002009F" w:csb1="DFD70000"/>
  </w:font>
  <w:font w:name="方正小标宋_GBK">
    <w:altName w:val="微软雅黑"/>
    <w:panose1 w:val="02000000000000000000"/>
    <w:charset w:val="86"/>
    <w:family w:val="auto"/>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80"/>
      </w:rPr>
    </w:pPr>
    <w:r>
      <w:fldChar w:fldCharType="begin"/>
    </w:r>
    <w:r>
      <w:rPr>
        <w:rStyle w:val="80"/>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8" w:name="_Toc36110187"/>
    <w:bookmarkStart w:id="519" w:name="_Toc91899912"/>
    <w:bookmarkStart w:id="520" w:name="_Toc131845147"/>
    <w:bookmarkStart w:id="521" w:name="_Toc164085800"/>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80"/>
      </w:rPr>
    </w:pPr>
    <w:r>
      <w:fldChar w:fldCharType="begin"/>
    </w:r>
    <w:r>
      <w:rPr>
        <w:rStyle w:val="80"/>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rPr>
        <w:rFonts w:ascii="仿宋_GB2312" w:eastAsia="仿宋_GB2312"/>
        <w:i/>
        <w:u w:val="single"/>
      </w:rPr>
    </w:pPr>
    <w:r>
      <w:rPr>
        <w:lang w:val="zh-CN"/>
      </w:rPr>
      <w:t></w:t>
    </w:r>
    <w:r>
      <w:rPr>
        <w:rFonts w:ascii="Times New Roman" w:hAnsi="Times New Roman" w:eastAsia="宋体" w:cs="Times New Roman"/>
        <w:kern w:val="2"/>
        <w:sz w:val="18"/>
        <w:szCs w:val="18"/>
        <w:lang w:val="en-US" w:eastAsia="zh-CN" w:bidi="ar-SA"/>
      </w:rPr>
      <w:drawing>
        <wp:inline distT="0" distB="0" distL="114300" distR="114300">
          <wp:extent cx="661670" cy="501015"/>
          <wp:effectExtent l="0" t="0" r="5080" b="1333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
                    <a:lum/>
                  </a:blip>
                  <a:srcRect l="15965" t="12376" r="24178" b="24432"/>
                  <a:stretch>
                    <a:fillRect/>
                  </a:stretch>
                </pic:blipFill>
                <pic:spPr>
                  <a:xfrm>
                    <a:off x="0" y="0"/>
                    <a:ext cx="661670" cy="501015"/>
                  </a:xfrm>
                  <a:prstGeom prst="rect">
                    <a:avLst/>
                  </a:prstGeom>
                  <a:noFill/>
                  <a:ln>
                    <a:noFill/>
                  </a:ln>
                </pic:spPr>
              </pic:pic>
            </a:graphicData>
          </a:graphic>
        </wp:inline>
      </w:drawing>
    </w:r>
    <w:r>
      <w:tab/>
    </w:r>
    <w:r>
      <w:rPr>
        <w:lang w:val="zh-CN"/>
      </w:rPr>
      <w:t></w:t>
    </w:r>
    <w:r>
      <w:tab/>
    </w:r>
    <w:r>
      <w:rPr>
        <w:rFonts w:hint="eastAsia"/>
      </w:rPr>
      <w:t>海标工程管理有限公司</w:t>
    </w:r>
    <w:r>
      <w:rPr>
        <w:lang w:val="zh-CN"/>
      </w:rPr>
      <w:t>采购招标文件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left"/>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4"/>
                          </w:pP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4pVUDFAQAAkAMAAA4AAABkcnMvZTJvRG9jLnhtbK1TzY7TMBC+I/EO&#10;lu80TVdCVdR0hVQtQkKw0sIDuI7TWPKfZtwmfQF4A05cuPNcfQ7GTtJdlsseuCQz48k33/d5srkd&#10;rGEnBai9q3m5WHKmnPSNdoeaf/1y92bNGUbhGmG8UzU/K+S329evNn2o1Mp33jQKGIE4rPpQ8y7G&#10;UBUFyk5ZgQsflKPD1oMVkVI4FA2IntCtKVbL5dui99AE8FIhUnU3HvIJEV4C6NtWS7Xz8miViyMq&#10;KCMiScJOB+TbzLZtlYyf2xZVZKbmpDTmJw2heJ+exXYjqgOI0Gk5URAvofBMkxXa0dAr1E5EwY6g&#10;/4GyWoJH38aF9LYYhWRHSEW5fObNQyeCylrIagxX0/H/wcpPp3tguqn5DWdOWLrwy4/vl5+/L7++&#10;sfIm+dMHrKjtIdzDlCGFSezQgk1vksGG7On56qkaIpNULNer9XpJdks6mxPCKR4/D4DxvfKWpaDm&#10;QJeWvRSnjxjH1rklTXP+ThtDdVEZ91eBMFOlSIxHjimKw36YiO99cya5Pd13zR2tN2fmgyM702rM&#10;AczBfg6OAfShI2pl5oXh3TESicwtTRhhp8F0UVndtFRpE57muevxR9r+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KVVAxQEAAJADAAAOAAAAAAAAAAEAIAAAAB8BAABkcnMvZTJvRG9jLnht&#10;bFBLBQYAAAAABgAGAFkBAABWBQAAAAA=&#10;">
              <v:fill on="f" focussize="0,0"/>
              <v:stroke on="f"/>
              <v:imagedata o:title=""/>
              <o:lock v:ext="edit" aspectratio="f"/>
              <v:textbox inset="0mm,0mm,0mm,0mm" style="mso-fit-shape-to-text:t;">
                <w:txbxContent>
                  <w:p>
                    <w:pPr>
                      <w:pStyle w:val="44"/>
                    </w:pPr>
                  </w:p>
                </w:txbxContent>
              </v:textbox>
            </v:rect>
          </w:pict>
        </mc:Fallback>
      </mc:AlternateContent>
    </w:r>
    <w:r>
      <w:rPr>
        <w:rFonts w:ascii="Times New Roman" w:hAnsi="Times New Roman" w:eastAsia="宋体" w:cs="Times New Roman"/>
        <w:kern w:val="2"/>
        <w:sz w:val="18"/>
        <w:szCs w:val="18"/>
        <w:lang w:val="en-US" w:eastAsia="zh-CN" w:bidi="ar-SA"/>
      </w:rPr>
      <w:drawing>
        <wp:inline distT="0" distB="0" distL="114300" distR="114300">
          <wp:extent cx="661670" cy="501015"/>
          <wp:effectExtent l="0" t="0" r="5080" b="1333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
                    <a:lum/>
                  </a:blip>
                  <a:srcRect l="15965" t="12376" r="24178" b="24432"/>
                  <a:stretch>
                    <a:fillRect/>
                  </a:stretch>
                </pic:blipFill>
                <pic:spPr>
                  <a:xfrm>
                    <a:off x="0" y="0"/>
                    <a:ext cx="661670" cy="501015"/>
                  </a:xfrm>
                  <a:prstGeom prst="rect">
                    <a:avLst/>
                  </a:prstGeom>
                  <a:noFill/>
                  <a:ln>
                    <a:noFill/>
                  </a:ln>
                </pic:spPr>
              </pic:pic>
            </a:graphicData>
          </a:graphic>
        </wp:inline>
      </w:drawing>
    </w:r>
    <w:r>
      <w:rPr>
        <w:rFonts w:hint="eastAsia"/>
      </w:rPr>
      <w:t xml:space="preserve">  </w:t>
    </w:r>
    <w:r>
      <w:tab/>
    </w:r>
    <w:r>
      <w:rPr>
        <w:lang w:val="zh-CN"/>
      </w:rPr>
      <w:t></w:t>
    </w:r>
    <w:r>
      <w:tab/>
    </w:r>
    <w:r>
      <w:rPr>
        <w:rFonts w:hint="eastAsia"/>
      </w:rPr>
      <w:t xml:space="preserve">                                                                           海标工程管理有限公司</w:t>
    </w:r>
    <w:r>
      <w:rPr>
        <w:lang w:val="zh-CN"/>
      </w:rPr>
      <w:t>采购招标文件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rPr>
        <w:rFonts w:ascii="Times New Roman" w:hAnsi="Times New Roman" w:eastAsia="宋体" w:cs="Times New Roman"/>
        <w:kern w:val="2"/>
        <w:sz w:val="18"/>
        <w:szCs w:val="18"/>
        <w:lang w:val="en-US" w:eastAsia="zh-CN" w:bidi="ar-SA"/>
      </w:rPr>
      <w:drawing>
        <wp:inline distT="0" distB="0" distL="114300" distR="114300">
          <wp:extent cx="661670" cy="501015"/>
          <wp:effectExtent l="0" t="0" r="5080" b="13335"/>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1">
                    <a:lum/>
                  </a:blip>
                  <a:srcRect l="15965" t="12376" r="24178" b="24432"/>
                  <a:stretch>
                    <a:fillRect/>
                  </a:stretch>
                </pic:blipFill>
                <pic:spPr>
                  <a:xfrm>
                    <a:off x="0" y="0"/>
                    <a:ext cx="661670" cy="501015"/>
                  </a:xfrm>
                  <a:prstGeom prst="rect">
                    <a:avLst/>
                  </a:prstGeom>
                  <a:noFill/>
                  <a:ln>
                    <a:noFill/>
                  </a:ln>
                </pic:spPr>
              </pic:pic>
            </a:graphicData>
          </a:graphic>
        </wp:inline>
      </w:drawing>
    </w:r>
    <w:r>
      <w:tab/>
    </w:r>
    <w:r>
      <w:rPr>
        <w:lang w:val="zh-CN"/>
      </w:rPr>
      <w:t></w:t>
    </w:r>
    <w:r>
      <w:tab/>
    </w:r>
    <w:r>
      <w:rPr>
        <w:rFonts w:hint="eastAsia"/>
      </w:rPr>
      <w:t>海标工程管理有限公司</w:t>
    </w:r>
    <w:r>
      <w:rPr>
        <w:lang w:val="zh-CN"/>
      </w:rPr>
      <w:t>采购招标文件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rPr>
        <w:rFonts w:ascii="Times New Roman" w:hAnsi="Times New Roman" w:eastAsia="宋体" w:cs="Times New Roman"/>
        <w:kern w:val="2"/>
        <w:sz w:val="18"/>
        <w:szCs w:val="18"/>
        <w:lang w:val="en-US" w:eastAsia="zh-CN" w:bidi="ar-SA"/>
      </w:rPr>
      <w:drawing>
        <wp:inline distT="0" distB="0" distL="114300" distR="114300">
          <wp:extent cx="661670" cy="501015"/>
          <wp:effectExtent l="0" t="0" r="5080" b="13335"/>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1">
                    <a:lum/>
                  </a:blip>
                  <a:srcRect l="15965" t="12376" r="24178" b="24432"/>
                  <a:stretch>
                    <a:fillRect/>
                  </a:stretch>
                </pic:blipFill>
                <pic:spPr>
                  <a:xfrm>
                    <a:off x="0" y="0"/>
                    <a:ext cx="661670" cy="501015"/>
                  </a:xfrm>
                  <a:prstGeom prst="rect">
                    <a:avLst/>
                  </a:prstGeom>
                  <a:noFill/>
                  <a:ln>
                    <a:noFill/>
                  </a:ln>
                </pic:spPr>
              </pic:pic>
            </a:graphicData>
          </a:graphic>
        </wp:inline>
      </w:drawing>
    </w:r>
    <w:r>
      <w:tab/>
    </w:r>
    <w:r>
      <w:rPr>
        <w:lang w:val="zh-CN"/>
      </w:rPr>
      <w:t></w:t>
    </w:r>
    <w:r>
      <w:tab/>
    </w:r>
    <w:r>
      <w:rPr>
        <w:rFonts w:hint="eastAsia"/>
      </w:rPr>
      <w:t>海标工程管理有限公司</w:t>
    </w:r>
    <w:r>
      <w:rPr>
        <w:lang w:val="zh-CN"/>
      </w:rPr>
      <w:t>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rPr>
        <w:rFonts w:ascii="Times New Roman" w:hAnsi="Times New Roman" w:eastAsia="宋体" w:cs="Times New Roman"/>
        <w:kern w:val="2"/>
        <w:sz w:val="18"/>
        <w:szCs w:val="18"/>
        <w:lang w:val="en-US" w:eastAsia="zh-CN" w:bidi="ar-SA"/>
      </w:rPr>
      <w:drawing>
        <wp:inline distT="0" distB="0" distL="114300" distR="114300">
          <wp:extent cx="661670" cy="501015"/>
          <wp:effectExtent l="0" t="0" r="5080" b="1333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lum/>
                  </a:blip>
                  <a:srcRect l="15965" t="12376" r="24178" b="24432"/>
                  <a:stretch>
                    <a:fillRect/>
                  </a:stretch>
                </pic:blipFill>
                <pic:spPr>
                  <a:xfrm>
                    <a:off x="0" y="0"/>
                    <a:ext cx="661670" cy="501015"/>
                  </a:xfrm>
                  <a:prstGeom prst="rect">
                    <a:avLst/>
                  </a:prstGeom>
                  <a:noFill/>
                  <a:ln>
                    <a:noFill/>
                  </a:ln>
                </pic:spPr>
              </pic:pic>
            </a:graphicData>
          </a:graphic>
        </wp:inline>
      </w:drawing>
    </w:r>
    <w:r>
      <w:tab/>
    </w:r>
    <w:r>
      <w:rPr>
        <w:lang w:val="zh-CN"/>
      </w:rPr>
      <w:t></w:t>
    </w:r>
    <w:r>
      <w:tab/>
    </w:r>
    <w:r>
      <w:rPr>
        <w:rFonts w:hint="eastAsia"/>
      </w:rPr>
      <w:t>海标工程管理有限公司</w:t>
    </w:r>
    <w:r>
      <w:rPr>
        <w:lang w:val="zh-CN"/>
      </w:rPr>
      <w:t>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w:t>
    </w:r>
    <w:r>
      <w:rPr>
        <w:rFonts w:ascii="Times New Roman" w:hAnsi="Times New Roman" w:eastAsia="宋体" w:cs="Times New Roman"/>
        <w:kern w:val="2"/>
        <w:sz w:val="18"/>
        <w:szCs w:val="18"/>
        <w:lang w:val="en-US" w:eastAsia="zh-CN" w:bidi="ar-SA"/>
      </w:rPr>
      <w:drawing>
        <wp:inline distT="0" distB="0" distL="114300" distR="114300">
          <wp:extent cx="661670" cy="501015"/>
          <wp:effectExtent l="0" t="0" r="5080" b="1333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
                    <a:lum/>
                  </a:blip>
                  <a:srcRect l="15965" t="12376" r="24178" b="24432"/>
                  <a:stretch>
                    <a:fillRect/>
                  </a:stretch>
                </pic:blipFill>
                <pic:spPr>
                  <a:xfrm>
                    <a:off x="0" y="0"/>
                    <a:ext cx="661670" cy="501015"/>
                  </a:xfrm>
                  <a:prstGeom prst="rect">
                    <a:avLst/>
                  </a:prstGeom>
                  <a:noFill/>
                  <a:ln>
                    <a:noFill/>
                  </a:ln>
                </pic:spPr>
              </pic:pic>
            </a:graphicData>
          </a:graphic>
        </wp:inline>
      </w:drawing>
    </w:r>
    <w:r>
      <w:tab/>
    </w:r>
    <w:r>
      <w:rPr>
        <w:lang w:val="zh-CN"/>
      </w:rPr>
      <w:t></w:t>
    </w:r>
    <w:r>
      <w:tab/>
    </w:r>
    <w:r>
      <w:rPr>
        <w:rFonts w:hint="eastAsia"/>
      </w:rPr>
      <w:t>海标工程管理有限公司</w:t>
    </w:r>
    <w:r>
      <w:rPr>
        <w:lang w:val="zh-CN"/>
      </w:rPr>
      <w:t>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Bdr>
        <w:bottom w:val="single" w:color="auto" w:sz="6" w:space="0"/>
      </w:pBdr>
      <w:tabs>
        <w:tab w:val="center" w:pos="4535"/>
        <w:tab w:val="right" w:pos="9070"/>
        <w:tab w:val="clear" w:pos="4153"/>
        <w:tab w:val="clear" w:pos="8306"/>
      </w:tabs>
      <w:jc w:val="right"/>
    </w:pPr>
    <w:r>
      <w:rPr>
        <w:lang w:val="zh-CN"/>
      </w:rPr>
      <w:t></w:t>
    </w:r>
    <w:r>
      <w:rPr>
        <w:rFonts w:ascii="Times New Roman" w:hAnsi="Times New Roman" w:eastAsia="宋体" w:cs="Times New Roman"/>
        <w:kern w:val="2"/>
        <w:sz w:val="18"/>
        <w:szCs w:val="18"/>
        <w:lang w:val="en-US" w:eastAsia="zh-CN" w:bidi="ar-SA"/>
      </w:rPr>
      <w:drawing>
        <wp:inline distT="0" distB="0" distL="114300" distR="114300">
          <wp:extent cx="661670" cy="501015"/>
          <wp:effectExtent l="0" t="0" r="5080" b="1333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
                    <a:lum/>
                  </a:blip>
                  <a:srcRect l="15965" t="12376" r="24178" b="24432"/>
                  <a:stretch>
                    <a:fillRect/>
                  </a:stretch>
                </pic:blipFill>
                <pic:spPr>
                  <a:xfrm>
                    <a:off x="0" y="0"/>
                    <a:ext cx="661670" cy="501015"/>
                  </a:xfrm>
                  <a:prstGeom prst="rect">
                    <a:avLst/>
                  </a:prstGeom>
                  <a:noFill/>
                  <a:ln>
                    <a:noFill/>
                  </a:ln>
                </pic:spPr>
              </pic:pic>
            </a:graphicData>
          </a:graphic>
        </wp:inline>
      </w:drawing>
    </w:r>
    <w:r>
      <w:tab/>
    </w:r>
    <w:r>
      <w:rPr>
        <w:lang w:val="zh-CN"/>
      </w:rPr>
      <w:t></w:t>
    </w:r>
    <w:r>
      <w:tab/>
    </w:r>
    <w:r>
      <w:rPr>
        <w:rFonts w:hint="eastAsia"/>
      </w:rPr>
      <w:t>海标工程管理有限公司</w:t>
    </w:r>
    <w:r>
      <w:rPr>
        <w:lang w:val="zh-CN"/>
      </w:rPr>
      <w:t>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w:t>
    </w:r>
    <w:r>
      <w:rPr>
        <w:rFonts w:ascii="Times New Roman" w:hAnsi="Times New Roman" w:eastAsia="宋体" w:cs="Times New Roman"/>
        <w:kern w:val="2"/>
        <w:sz w:val="18"/>
        <w:szCs w:val="18"/>
        <w:lang w:val="en-US" w:eastAsia="zh-CN" w:bidi="ar-SA"/>
      </w:rPr>
      <w:drawing>
        <wp:inline distT="0" distB="0" distL="114300" distR="114300">
          <wp:extent cx="661670" cy="501015"/>
          <wp:effectExtent l="0" t="0" r="5080" b="1333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
                    <a:lum/>
                  </a:blip>
                  <a:srcRect l="15965" t="12376" r="24178" b="24432"/>
                  <a:stretch>
                    <a:fillRect/>
                  </a:stretch>
                </pic:blipFill>
                <pic:spPr>
                  <a:xfrm>
                    <a:off x="0" y="0"/>
                    <a:ext cx="661670" cy="501015"/>
                  </a:xfrm>
                  <a:prstGeom prst="rect">
                    <a:avLst/>
                  </a:prstGeom>
                  <a:noFill/>
                  <a:ln>
                    <a:noFill/>
                  </a:ln>
                </pic:spPr>
              </pic:pic>
            </a:graphicData>
          </a:graphic>
        </wp:inline>
      </w:drawing>
    </w:r>
    <w:r>
      <w:tab/>
    </w:r>
    <w:r>
      <w:rPr>
        <w:lang w:val="zh-CN"/>
      </w:rPr>
      <w:t></w:t>
    </w:r>
    <w:r>
      <w:tab/>
    </w:r>
    <w:r>
      <w:rPr>
        <w:rFonts w:hint="eastAsia"/>
      </w:rPr>
      <w:t>海标工程管理有限公司</w:t>
    </w:r>
    <w:r>
      <w:rPr>
        <w:lang w:val="zh-CN"/>
      </w:rPr>
      <w:t>采购招标文件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w:t>
    </w:r>
    <w:r>
      <w:rPr>
        <w:rFonts w:ascii="Times New Roman" w:hAnsi="Times New Roman" w:eastAsia="宋体" w:cs="Times New Roman"/>
        <w:kern w:val="2"/>
        <w:sz w:val="18"/>
        <w:szCs w:val="18"/>
        <w:lang w:val="en-US" w:eastAsia="zh-CN" w:bidi="ar-SA"/>
      </w:rPr>
      <w:drawing>
        <wp:inline distT="0" distB="0" distL="114300" distR="114300">
          <wp:extent cx="661670" cy="501015"/>
          <wp:effectExtent l="0" t="0" r="5080" b="1333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
                    <a:lum/>
                  </a:blip>
                  <a:srcRect l="15965" t="12376" r="24178" b="24432"/>
                  <a:stretch>
                    <a:fillRect/>
                  </a:stretch>
                </pic:blipFill>
                <pic:spPr>
                  <a:xfrm>
                    <a:off x="0" y="0"/>
                    <a:ext cx="661670" cy="501015"/>
                  </a:xfrm>
                  <a:prstGeom prst="rect">
                    <a:avLst/>
                  </a:prstGeom>
                  <a:noFill/>
                  <a:ln>
                    <a:noFill/>
                  </a:ln>
                </pic:spPr>
              </pic:pic>
            </a:graphicData>
          </a:graphic>
        </wp:inline>
      </w:drawing>
    </w:r>
    <w:r>
      <w:tab/>
    </w:r>
    <w:r>
      <w:rPr>
        <w:lang w:val="zh-CN"/>
      </w:rPr>
      <w:t></w:t>
    </w:r>
    <w:r>
      <w:tab/>
    </w:r>
    <w:r>
      <w:rPr>
        <w:rFonts w:hint="eastAsia"/>
      </w:rPr>
      <w:t>海标工程管理有限公司</w:t>
    </w:r>
    <w:r>
      <w:rPr>
        <w:lang w:val="zh-CN"/>
      </w:rPr>
      <w:t>采购招标文件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left"/>
    </w:pPr>
    <w:r>
      <w:rPr>
        <w:lang w:val="zh-CN"/>
      </w:rPr>
      <w:t></w:t>
    </w:r>
    <w:r>
      <w:rPr>
        <w:rFonts w:ascii="Times New Roman" w:hAnsi="Times New Roman" w:eastAsia="宋体" w:cs="Times New Roman"/>
        <w:kern w:val="2"/>
        <w:sz w:val="18"/>
        <w:szCs w:val="18"/>
        <w:lang w:val="en-US" w:eastAsia="zh-CN" w:bidi="ar-SA"/>
      </w:rPr>
      <w:drawing>
        <wp:inline distT="0" distB="0" distL="114300" distR="114300">
          <wp:extent cx="661670" cy="501015"/>
          <wp:effectExtent l="0" t="0" r="5080" b="1333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
                    <a:lum/>
                  </a:blip>
                  <a:srcRect l="15965" t="12376" r="24178" b="24432"/>
                  <a:stretch>
                    <a:fillRect/>
                  </a:stretch>
                </pic:blipFill>
                <pic:spPr>
                  <a:xfrm>
                    <a:off x="0" y="0"/>
                    <a:ext cx="661670" cy="501015"/>
                  </a:xfrm>
                  <a:prstGeom prst="rect">
                    <a:avLst/>
                  </a:prstGeom>
                  <a:noFill/>
                  <a:ln>
                    <a:noFill/>
                  </a:ln>
                </pic:spPr>
              </pic:pic>
            </a:graphicData>
          </a:graphic>
        </wp:inline>
      </w:drawing>
    </w:r>
    <w:r>
      <w:rPr>
        <w:rFonts w:hint="eastAsia"/>
      </w:rPr>
      <w:t xml:space="preserve">  </w:t>
    </w:r>
    <w:r>
      <w:tab/>
    </w:r>
    <w:r>
      <w:rPr>
        <w:lang w:val="zh-CN"/>
      </w:rPr>
      <w:t></w:t>
    </w:r>
    <w:r>
      <w:tab/>
    </w:r>
    <w:r>
      <w:rPr>
        <w:rFonts w:hint="eastAsia"/>
      </w:rPr>
      <w:t xml:space="preserve">       海标工程管理有限公司</w:t>
    </w:r>
    <w:r>
      <w:rPr>
        <w:lang w:val="zh-CN"/>
      </w:rPr>
      <w:t>采购招标文件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left"/>
      <w:rPr>
        <w:rFonts w:ascii="仿宋_GB2312" w:eastAsia="仿宋_GB2312"/>
        <w:b/>
        <w:i/>
        <w:u w:val="single"/>
      </w:rPr>
    </w:pPr>
    <w:r>
      <w:rPr>
        <w:lang w:val="zh-CN"/>
      </w:rPr>
      <w:t></w:t>
    </w:r>
    <w:r>
      <w:rPr>
        <w:rFonts w:ascii="Times New Roman" w:hAnsi="Times New Roman" w:eastAsia="宋体" w:cs="Times New Roman"/>
        <w:kern w:val="2"/>
        <w:sz w:val="18"/>
        <w:szCs w:val="18"/>
        <w:lang w:val="en-US" w:eastAsia="zh-CN" w:bidi="ar-SA"/>
      </w:rPr>
      <w:drawing>
        <wp:inline distT="0" distB="0" distL="114300" distR="114300">
          <wp:extent cx="661670" cy="501015"/>
          <wp:effectExtent l="0" t="0" r="5080" b="13335"/>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
                    <a:lum/>
                  </a:blip>
                  <a:srcRect l="15965" t="12376" r="24178" b="24432"/>
                  <a:stretch>
                    <a:fillRect/>
                  </a:stretch>
                </pic:blipFill>
                <pic:spPr>
                  <a:xfrm>
                    <a:off x="0" y="0"/>
                    <a:ext cx="661670" cy="501015"/>
                  </a:xfrm>
                  <a:prstGeom prst="rect">
                    <a:avLst/>
                  </a:prstGeom>
                  <a:noFill/>
                  <a:ln>
                    <a:noFill/>
                  </a:ln>
                </pic:spPr>
              </pic:pic>
            </a:graphicData>
          </a:graphic>
        </wp:inline>
      </w:drawing>
    </w:r>
    <w:r>
      <w:rPr>
        <w:rFonts w:hint="eastAsia"/>
      </w:rPr>
      <w:t xml:space="preserve">                                                  </w:t>
    </w:r>
    <w:r>
      <w:tab/>
    </w:r>
    <w:r>
      <w:rPr>
        <w:lang w:val="zh-CN"/>
      </w:rPr>
      <w:t></w:t>
    </w:r>
    <w:r>
      <w:tab/>
    </w:r>
    <w:r>
      <w:rPr>
        <w:rFonts w:hint="eastAsia"/>
      </w:rPr>
      <w:t xml:space="preserve">                       海标工程管理有限公司</w:t>
    </w:r>
    <w:r>
      <w:rPr>
        <w:lang w:val="zh-CN"/>
      </w:rPr>
      <w:t>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1760FA"/>
    <w:multiLevelType w:val="singleLevel"/>
    <w:tmpl w:val="E31760FA"/>
    <w:lvl w:ilvl="0" w:tentative="0">
      <w:start w:val="1"/>
      <w:numFmt w:val="decimal"/>
      <w:suff w:val="nothing"/>
      <w:lvlText w:val="%1）"/>
      <w:lvlJc w:val="left"/>
    </w:lvl>
  </w:abstractNum>
  <w:abstractNum w:abstractNumId="1">
    <w:nsid w:val="5559833E"/>
    <w:multiLevelType w:val="singleLevel"/>
    <w:tmpl w:val="5559833E"/>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iZTlmZmY4MjMwOTBiNzc5YmQxYjRlNjI3MmJhZDUifQ=="/>
  </w:docVars>
  <w:rsids>
    <w:rsidRoot w:val="00172A27"/>
    <w:rsid w:val="00000451"/>
    <w:rsid w:val="0000108B"/>
    <w:rsid w:val="0000133D"/>
    <w:rsid w:val="00001509"/>
    <w:rsid w:val="000019F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73B"/>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8E"/>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57B6E"/>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72B"/>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3D27"/>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300"/>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997"/>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ADC"/>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14B"/>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A9"/>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4BA"/>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06C6"/>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5B60"/>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82F"/>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A5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25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00C"/>
    <w:rsid w:val="00E738FA"/>
    <w:rsid w:val="00E739B6"/>
    <w:rsid w:val="00E74A2B"/>
    <w:rsid w:val="00E75667"/>
    <w:rsid w:val="00E756D3"/>
    <w:rsid w:val="00E75A5A"/>
    <w:rsid w:val="00E75B4B"/>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81"/>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477"/>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22E"/>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123A2"/>
    <w:rsid w:val="019E3125"/>
    <w:rsid w:val="019F7441"/>
    <w:rsid w:val="01AA7D1B"/>
    <w:rsid w:val="01B37585"/>
    <w:rsid w:val="01D55165"/>
    <w:rsid w:val="01DF6BF8"/>
    <w:rsid w:val="01EC2C57"/>
    <w:rsid w:val="024B344F"/>
    <w:rsid w:val="025F0711"/>
    <w:rsid w:val="026B2E25"/>
    <w:rsid w:val="02824D4D"/>
    <w:rsid w:val="029A5F34"/>
    <w:rsid w:val="02DC4B10"/>
    <w:rsid w:val="02DD76CE"/>
    <w:rsid w:val="02F36323"/>
    <w:rsid w:val="02F5619C"/>
    <w:rsid w:val="0326446A"/>
    <w:rsid w:val="032D5555"/>
    <w:rsid w:val="03343D40"/>
    <w:rsid w:val="03631EC2"/>
    <w:rsid w:val="036634D2"/>
    <w:rsid w:val="03DD35E4"/>
    <w:rsid w:val="04076900"/>
    <w:rsid w:val="041A5A3B"/>
    <w:rsid w:val="042311BA"/>
    <w:rsid w:val="042B157A"/>
    <w:rsid w:val="048F763B"/>
    <w:rsid w:val="049F330E"/>
    <w:rsid w:val="04AA775C"/>
    <w:rsid w:val="04AF1889"/>
    <w:rsid w:val="04F66F48"/>
    <w:rsid w:val="05184F9C"/>
    <w:rsid w:val="05251E14"/>
    <w:rsid w:val="05407CAB"/>
    <w:rsid w:val="05983EBC"/>
    <w:rsid w:val="059C2407"/>
    <w:rsid w:val="05A16594"/>
    <w:rsid w:val="05A247CB"/>
    <w:rsid w:val="05A7762D"/>
    <w:rsid w:val="05D13AC9"/>
    <w:rsid w:val="05E03D0C"/>
    <w:rsid w:val="0607573C"/>
    <w:rsid w:val="060E5941"/>
    <w:rsid w:val="06110FAF"/>
    <w:rsid w:val="06344FAF"/>
    <w:rsid w:val="064029FC"/>
    <w:rsid w:val="06493CA7"/>
    <w:rsid w:val="064A6CBE"/>
    <w:rsid w:val="065A6178"/>
    <w:rsid w:val="066F1CF3"/>
    <w:rsid w:val="06930BB8"/>
    <w:rsid w:val="06AE5BB8"/>
    <w:rsid w:val="06EA3714"/>
    <w:rsid w:val="06F37A6F"/>
    <w:rsid w:val="07245D42"/>
    <w:rsid w:val="07264C62"/>
    <w:rsid w:val="0779354C"/>
    <w:rsid w:val="07827641"/>
    <w:rsid w:val="079B438E"/>
    <w:rsid w:val="07B90776"/>
    <w:rsid w:val="07BE007D"/>
    <w:rsid w:val="08061376"/>
    <w:rsid w:val="080C703A"/>
    <w:rsid w:val="08452D77"/>
    <w:rsid w:val="086401F8"/>
    <w:rsid w:val="08751CAA"/>
    <w:rsid w:val="087E4C40"/>
    <w:rsid w:val="08A871D0"/>
    <w:rsid w:val="08C711B3"/>
    <w:rsid w:val="08D66AD6"/>
    <w:rsid w:val="08DA33A3"/>
    <w:rsid w:val="08E80F13"/>
    <w:rsid w:val="09267F88"/>
    <w:rsid w:val="09335624"/>
    <w:rsid w:val="0944690F"/>
    <w:rsid w:val="09535675"/>
    <w:rsid w:val="095F057D"/>
    <w:rsid w:val="09642282"/>
    <w:rsid w:val="09733572"/>
    <w:rsid w:val="09772C16"/>
    <w:rsid w:val="097A6225"/>
    <w:rsid w:val="098353B5"/>
    <w:rsid w:val="09A92330"/>
    <w:rsid w:val="09B06B87"/>
    <w:rsid w:val="09B90C6E"/>
    <w:rsid w:val="09C13146"/>
    <w:rsid w:val="09E04166"/>
    <w:rsid w:val="0A1C0718"/>
    <w:rsid w:val="0A3E7710"/>
    <w:rsid w:val="0A4679E7"/>
    <w:rsid w:val="0A5B7E63"/>
    <w:rsid w:val="0AA374A5"/>
    <w:rsid w:val="0AAB7649"/>
    <w:rsid w:val="0ABC5428"/>
    <w:rsid w:val="0ABC5606"/>
    <w:rsid w:val="0AD53DD3"/>
    <w:rsid w:val="0B1F52D6"/>
    <w:rsid w:val="0B2A2D44"/>
    <w:rsid w:val="0B30404E"/>
    <w:rsid w:val="0B403C31"/>
    <w:rsid w:val="0B4C6C14"/>
    <w:rsid w:val="0B547599"/>
    <w:rsid w:val="0B631A88"/>
    <w:rsid w:val="0B683D45"/>
    <w:rsid w:val="0B7F3F11"/>
    <w:rsid w:val="0B811AED"/>
    <w:rsid w:val="0B884417"/>
    <w:rsid w:val="0BBE689D"/>
    <w:rsid w:val="0BD51E39"/>
    <w:rsid w:val="0BF6188C"/>
    <w:rsid w:val="0BF73C91"/>
    <w:rsid w:val="0C170175"/>
    <w:rsid w:val="0C1D4C77"/>
    <w:rsid w:val="0C427989"/>
    <w:rsid w:val="0C436DA2"/>
    <w:rsid w:val="0C571A41"/>
    <w:rsid w:val="0C5C1171"/>
    <w:rsid w:val="0C5E1CBC"/>
    <w:rsid w:val="0C615B50"/>
    <w:rsid w:val="0C796C68"/>
    <w:rsid w:val="0C8445DA"/>
    <w:rsid w:val="0C87121B"/>
    <w:rsid w:val="0CB2020F"/>
    <w:rsid w:val="0CC007F7"/>
    <w:rsid w:val="0CC617AC"/>
    <w:rsid w:val="0CD8398F"/>
    <w:rsid w:val="0CE618DF"/>
    <w:rsid w:val="0CF462EF"/>
    <w:rsid w:val="0CFE707A"/>
    <w:rsid w:val="0D063BDA"/>
    <w:rsid w:val="0D08375F"/>
    <w:rsid w:val="0D184CFB"/>
    <w:rsid w:val="0D4A7419"/>
    <w:rsid w:val="0D827401"/>
    <w:rsid w:val="0D84094E"/>
    <w:rsid w:val="0D8A00E9"/>
    <w:rsid w:val="0D8D589E"/>
    <w:rsid w:val="0DA01C73"/>
    <w:rsid w:val="0DB31D06"/>
    <w:rsid w:val="0DC41575"/>
    <w:rsid w:val="0DC8391D"/>
    <w:rsid w:val="0DD06AB7"/>
    <w:rsid w:val="0DD63300"/>
    <w:rsid w:val="0DD7473C"/>
    <w:rsid w:val="0DF50604"/>
    <w:rsid w:val="0DF702FE"/>
    <w:rsid w:val="0E060E51"/>
    <w:rsid w:val="0E5604B2"/>
    <w:rsid w:val="0E593927"/>
    <w:rsid w:val="0E6D5D79"/>
    <w:rsid w:val="0E88562B"/>
    <w:rsid w:val="0E965B60"/>
    <w:rsid w:val="0E9D0089"/>
    <w:rsid w:val="0EA7186A"/>
    <w:rsid w:val="0EB803EE"/>
    <w:rsid w:val="0EC040DE"/>
    <w:rsid w:val="0EF654C7"/>
    <w:rsid w:val="0EF94D4B"/>
    <w:rsid w:val="0F4958DC"/>
    <w:rsid w:val="0F515DF7"/>
    <w:rsid w:val="0F596BA8"/>
    <w:rsid w:val="0F6248D2"/>
    <w:rsid w:val="0F693536"/>
    <w:rsid w:val="0F7B0511"/>
    <w:rsid w:val="0F7B76D9"/>
    <w:rsid w:val="0F816ACD"/>
    <w:rsid w:val="0F9832DB"/>
    <w:rsid w:val="0FA47B58"/>
    <w:rsid w:val="0FBF3FD2"/>
    <w:rsid w:val="0FBF7FF3"/>
    <w:rsid w:val="0FDA6D40"/>
    <w:rsid w:val="100D4795"/>
    <w:rsid w:val="10646583"/>
    <w:rsid w:val="107D4B15"/>
    <w:rsid w:val="108A3C80"/>
    <w:rsid w:val="109158BE"/>
    <w:rsid w:val="10C26171"/>
    <w:rsid w:val="10C5422A"/>
    <w:rsid w:val="10F33360"/>
    <w:rsid w:val="10FC16EA"/>
    <w:rsid w:val="110F1D40"/>
    <w:rsid w:val="11266F33"/>
    <w:rsid w:val="118266B8"/>
    <w:rsid w:val="118963A1"/>
    <w:rsid w:val="11C6522A"/>
    <w:rsid w:val="11D72352"/>
    <w:rsid w:val="11D84431"/>
    <w:rsid w:val="11E104CC"/>
    <w:rsid w:val="11E20309"/>
    <w:rsid w:val="11F0250D"/>
    <w:rsid w:val="12010F98"/>
    <w:rsid w:val="12192A7F"/>
    <w:rsid w:val="12255233"/>
    <w:rsid w:val="12371157"/>
    <w:rsid w:val="12530213"/>
    <w:rsid w:val="127723A9"/>
    <w:rsid w:val="12862074"/>
    <w:rsid w:val="12883966"/>
    <w:rsid w:val="129E45B4"/>
    <w:rsid w:val="12CB3EE4"/>
    <w:rsid w:val="12D81596"/>
    <w:rsid w:val="12F61BA2"/>
    <w:rsid w:val="13072A44"/>
    <w:rsid w:val="133B6A25"/>
    <w:rsid w:val="13531FC1"/>
    <w:rsid w:val="135F4BE2"/>
    <w:rsid w:val="13862FE2"/>
    <w:rsid w:val="139B1A0A"/>
    <w:rsid w:val="139D25C7"/>
    <w:rsid w:val="13BF3CE4"/>
    <w:rsid w:val="13BF7656"/>
    <w:rsid w:val="13D3378D"/>
    <w:rsid w:val="141008D8"/>
    <w:rsid w:val="14125FE6"/>
    <w:rsid w:val="14327E28"/>
    <w:rsid w:val="146D271E"/>
    <w:rsid w:val="14927FCC"/>
    <w:rsid w:val="14982588"/>
    <w:rsid w:val="149A5AD9"/>
    <w:rsid w:val="14A7619D"/>
    <w:rsid w:val="14C804A6"/>
    <w:rsid w:val="14F50E56"/>
    <w:rsid w:val="15034573"/>
    <w:rsid w:val="150536C3"/>
    <w:rsid w:val="150C1963"/>
    <w:rsid w:val="150F1F18"/>
    <w:rsid w:val="151447A0"/>
    <w:rsid w:val="15431BC1"/>
    <w:rsid w:val="154A6454"/>
    <w:rsid w:val="155D7127"/>
    <w:rsid w:val="156C55BC"/>
    <w:rsid w:val="157306F8"/>
    <w:rsid w:val="15762120"/>
    <w:rsid w:val="168B3820"/>
    <w:rsid w:val="16A8729C"/>
    <w:rsid w:val="16B33777"/>
    <w:rsid w:val="16BC70A7"/>
    <w:rsid w:val="16BF34C9"/>
    <w:rsid w:val="16C6339E"/>
    <w:rsid w:val="16F2564D"/>
    <w:rsid w:val="172420F4"/>
    <w:rsid w:val="172F2D79"/>
    <w:rsid w:val="17557BEF"/>
    <w:rsid w:val="17B2302E"/>
    <w:rsid w:val="17D349C1"/>
    <w:rsid w:val="180B0603"/>
    <w:rsid w:val="180B10BC"/>
    <w:rsid w:val="1830729E"/>
    <w:rsid w:val="1833416F"/>
    <w:rsid w:val="1870062C"/>
    <w:rsid w:val="18786026"/>
    <w:rsid w:val="187A7FF0"/>
    <w:rsid w:val="18817102"/>
    <w:rsid w:val="18830A15"/>
    <w:rsid w:val="18852B28"/>
    <w:rsid w:val="188B5321"/>
    <w:rsid w:val="18C354F3"/>
    <w:rsid w:val="18FA5D0B"/>
    <w:rsid w:val="19201045"/>
    <w:rsid w:val="196D36B1"/>
    <w:rsid w:val="19932372"/>
    <w:rsid w:val="19A20DD5"/>
    <w:rsid w:val="19AE03F1"/>
    <w:rsid w:val="19C24C2F"/>
    <w:rsid w:val="19CC03D7"/>
    <w:rsid w:val="19EA2F53"/>
    <w:rsid w:val="1A071A03"/>
    <w:rsid w:val="1A1F16AE"/>
    <w:rsid w:val="1A2C531A"/>
    <w:rsid w:val="1A3B5C77"/>
    <w:rsid w:val="1A8A23B5"/>
    <w:rsid w:val="1A984BAD"/>
    <w:rsid w:val="1AAD78D2"/>
    <w:rsid w:val="1AB8220E"/>
    <w:rsid w:val="1AE4166C"/>
    <w:rsid w:val="1AF06CFB"/>
    <w:rsid w:val="1AF11B8D"/>
    <w:rsid w:val="1B11359C"/>
    <w:rsid w:val="1B2A271F"/>
    <w:rsid w:val="1B373F76"/>
    <w:rsid w:val="1B530544"/>
    <w:rsid w:val="1B713184"/>
    <w:rsid w:val="1BA209CF"/>
    <w:rsid w:val="1BB4777D"/>
    <w:rsid w:val="1BD75AB8"/>
    <w:rsid w:val="1C0459C2"/>
    <w:rsid w:val="1C1B3B4A"/>
    <w:rsid w:val="1C1F5B65"/>
    <w:rsid w:val="1C444B9D"/>
    <w:rsid w:val="1C47643B"/>
    <w:rsid w:val="1C6230C8"/>
    <w:rsid w:val="1C81563B"/>
    <w:rsid w:val="1C88086E"/>
    <w:rsid w:val="1CB515F6"/>
    <w:rsid w:val="1CCA2408"/>
    <w:rsid w:val="1CF917A7"/>
    <w:rsid w:val="1D0836EB"/>
    <w:rsid w:val="1D266CE1"/>
    <w:rsid w:val="1D3963AF"/>
    <w:rsid w:val="1D6A673C"/>
    <w:rsid w:val="1D9247AE"/>
    <w:rsid w:val="1DB567EC"/>
    <w:rsid w:val="1DF51A98"/>
    <w:rsid w:val="1E1862E1"/>
    <w:rsid w:val="1E270522"/>
    <w:rsid w:val="1E3B5B2B"/>
    <w:rsid w:val="1E3D060F"/>
    <w:rsid w:val="1E3F7D2E"/>
    <w:rsid w:val="1E4134E4"/>
    <w:rsid w:val="1E4744D0"/>
    <w:rsid w:val="1E490AF9"/>
    <w:rsid w:val="1E5062B3"/>
    <w:rsid w:val="1E523514"/>
    <w:rsid w:val="1E714A66"/>
    <w:rsid w:val="1E802593"/>
    <w:rsid w:val="1E8B6156"/>
    <w:rsid w:val="1EA703CC"/>
    <w:rsid w:val="1EB7330C"/>
    <w:rsid w:val="1EE2569D"/>
    <w:rsid w:val="1F0A0FF3"/>
    <w:rsid w:val="1F293EA5"/>
    <w:rsid w:val="1F5771FF"/>
    <w:rsid w:val="1FD52DD5"/>
    <w:rsid w:val="1FDF698A"/>
    <w:rsid w:val="1FE868A9"/>
    <w:rsid w:val="20034907"/>
    <w:rsid w:val="20166C70"/>
    <w:rsid w:val="20173E4B"/>
    <w:rsid w:val="204E48BC"/>
    <w:rsid w:val="208921B3"/>
    <w:rsid w:val="2091237A"/>
    <w:rsid w:val="20973DEB"/>
    <w:rsid w:val="20A023A3"/>
    <w:rsid w:val="20B26522"/>
    <w:rsid w:val="20B44310"/>
    <w:rsid w:val="20F71FA3"/>
    <w:rsid w:val="211116EB"/>
    <w:rsid w:val="21251770"/>
    <w:rsid w:val="216133FC"/>
    <w:rsid w:val="21D56769"/>
    <w:rsid w:val="21DF1970"/>
    <w:rsid w:val="21E52EF3"/>
    <w:rsid w:val="21FB5D7B"/>
    <w:rsid w:val="22015E94"/>
    <w:rsid w:val="220B1C3D"/>
    <w:rsid w:val="221D1D20"/>
    <w:rsid w:val="22210170"/>
    <w:rsid w:val="22334A87"/>
    <w:rsid w:val="22335A5E"/>
    <w:rsid w:val="22BE6801"/>
    <w:rsid w:val="23144B9D"/>
    <w:rsid w:val="233500BF"/>
    <w:rsid w:val="23377FF7"/>
    <w:rsid w:val="236B425F"/>
    <w:rsid w:val="23836192"/>
    <w:rsid w:val="23901F29"/>
    <w:rsid w:val="239C0061"/>
    <w:rsid w:val="23B908A4"/>
    <w:rsid w:val="23E55A70"/>
    <w:rsid w:val="23E65403"/>
    <w:rsid w:val="23E95BEF"/>
    <w:rsid w:val="23FD0064"/>
    <w:rsid w:val="24125580"/>
    <w:rsid w:val="245375B0"/>
    <w:rsid w:val="24642C0A"/>
    <w:rsid w:val="24885842"/>
    <w:rsid w:val="24B22173"/>
    <w:rsid w:val="24B95AD9"/>
    <w:rsid w:val="24BE24DA"/>
    <w:rsid w:val="24CF5825"/>
    <w:rsid w:val="24D663E6"/>
    <w:rsid w:val="24D77F2B"/>
    <w:rsid w:val="24F37160"/>
    <w:rsid w:val="25697879"/>
    <w:rsid w:val="258B00E2"/>
    <w:rsid w:val="25A917A6"/>
    <w:rsid w:val="25BB32FD"/>
    <w:rsid w:val="25BE27CC"/>
    <w:rsid w:val="25F74A5C"/>
    <w:rsid w:val="260C44CD"/>
    <w:rsid w:val="2628662C"/>
    <w:rsid w:val="262D45DE"/>
    <w:rsid w:val="263C39C6"/>
    <w:rsid w:val="26871DC8"/>
    <w:rsid w:val="26A53EF9"/>
    <w:rsid w:val="26A94201"/>
    <w:rsid w:val="26AC274F"/>
    <w:rsid w:val="26B13F80"/>
    <w:rsid w:val="26C07516"/>
    <w:rsid w:val="27044A29"/>
    <w:rsid w:val="270639FF"/>
    <w:rsid w:val="27194E78"/>
    <w:rsid w:val="271D34C8"/>
    <w:rsid w:val="27572C94"/>
    <w:rsid w:val="276142BF"/>
    <w:rsid w:val="27783712"/>
    <w:rsid w:val="278542BB"/>
    <w:rsid w:val="27907362"/>
    <w:rsid w:val="27DD5EA5"/>
    <w:rsid w:val="28333E1D"/>
    <w:rsid w:val="283C2BCC"/>
    <w:rsid w:val="28454BD6"/>
    <w:rsid w:val="28455253"/>
    <w:rsid w:val="28551971"/>
    <w:rsid w:val="285B1C53"/>
    <w:rsid w:val="28814A83"/>
    <w:rsid w:val="288A1B89"/>
    <w:rsid w:val="289F7086"/>
    <w:rsid w:val="28C32028"/>
    <w:rsid w:val="28CC490F"/>
    <w:rsid w:val="28DE40AA"/>
    <w:rsid w:val="2903193C"/>
    <w:rsid w:val="29286A82"/>
    <w:rsid w:val="29345E77"/>
    <w:rsid w:val="294C65AD"/>
    <w:rsid w:val="29673C78"/>
    <w:rsid w:val="29806583"/>
    <w:rsid w:val="298B3C4C"/>
    <w:rsid w:val="29B5316E"/>
    <w:rsid w:val="29F26D24"/>
    <w:rsid w:val="2A15033F"/>
    <w:rsid w:val="2A1662C1"/>
    <w:rsid w:val="2A1C7367"/>
    <w:rsid w:val="2A2815FA"/>
    <w:rsid w:val="2A5B37A0"/>
    <w:rsid w:val="2A6D6092"/>
    <w:rsid w:val="2A7D76B4"/>
    <w:rsid w:val="2AA40309"/>
    <w:rsid w:val="2ACF7AAE"/>
    <w:rsid w:val="2B330D0F"/>
    <w:rsid w:val="2B437463"/>
    <w:rsid w:val="2B4C75CA"/>
    <w:rsid w:val="2B5B780D"/>
    <w:rsid w:val="2B7807EE"/>
    <w:rsid w:val="2BA47406"/>
    <w:rsid w:val="2BA50BF7"/>
    <w:rsid w:val="2BAE2642"/>
    <w:rsid w:val="2BBE7D9C"/>
    <w:rsid w:val="2BBF00EC"/>
    <w:rsid w:val="2BC2163A"/>
    <w:rsid w:val="2BC37CFD"/>
    <w:rsid w:val="2BD5237F"/>
    <w:rsid w:val="2BE536CE"/>
    <w:rsid w:val="2BE758D9"/>
    <w:rsid w:val="2BFD2672"/>
    <w:rsid w:val="2C09049E"/>
    <w:rsid w:val="2C0A653C"/>
    <w:rsid w:val="2C191F85"/>
    <w:rsid w:val="2C2A71DF"/>
    <w:rsid w:val="2C443805"/>
    <w:rsid w:val="2C5C3619"/>
    <w:rsid w:val="2C770676"/>
    <w:rsid w:val="2CB74F17"/>
    <w:rsid w:val="2CE82D6F"/>
    <w:rsid w:val="2CFA4E04"/>
    <w:rsid w:val="2CFB5FD8"/>
    <w:rsid w:val="2D0D4B37"/>
    <w:rsid w:val="2D343236"/>
    <w:rsid w:val="2DD15014"/>
    <w:rsid w:val="2DF72DE4"/>
    <w:rsid w:val="2E0220AF"/>
    <w:rsid w:val="2E4B082A"/>
    <w:rsid w:val="2E5C5D76"/>
    <w:rsid w:val="2E5D4E86"/>
    <w:rsid w:val="2E5D790B"/>
    <w:rsid w:val="2E7330BF"/>
    <w:rsid w:val="2E755089"/>
    <w:rsid w:val="2E9A3C18"/>
    <w:rsid w:val="2EB30BAD"/>
    <w:rsid w:val="2EBB0FEE"/>
    <w:rsid w:val="2EC46B3C"/>
    <w:rsid w:val="2EC63002"/>
    <w:rsid w:val="2EC94492"/>
    <w:rsid w:val="2EF74B19"/>
    <w:rsid w:val="2F0A6B38"/>
    <w:rsid w:val="2F155F25"/>
    <w:rsid w:val="2F1A1856"/>
    <w:rsid w:val="2F2F348A"/>
    <w:rsid w:val="2F3A5E82"/>
    <w:rsid w:val="2F3E7B52"/>
    <w:rsid w:val="2F401A95"/>
    <w:rsid w:val="2F656EAC"/>
    <w:rsid w:val="2F946CCB"/>
    <w:rsid w:val="2FD25781"/>
    <w:rsid w:val="2FDC745C"/>
    <w:rsid w:val="2FE42DC8"/>
    <w:rsid w:val="2FFD7934"/>
    <w:rsid w:val="30733ACD"/>
    <w:rsid w:val="30760C45"/>
    <w:rsid w:val="308C3862"/>
    <w:rsid w:val="309379D8"/>
    <w:rsid w:val="30A270F7"/>
    <w:rsid w:val="30AE1C6C"/>
    <w:rsid w:val="30B874AF"/>
    <w:rsid w:val="30DF1478"/>
    <w:rsid w:val="30EC586F"/>
    <w:rsid w:val="311679C1"/>
    <w:rsid w:val="314550B7"/>
    <w:rsid w:val="317C228B"/>
    <w:rsid w:val="319C6071"/>
    <w:rsid w:val="31AC537E"/>
    <w:rsid w:val="31C62223"/>
    <w:rsid w:val="31E3679B"/>
    <w:rsid w:val="31E732FD"/>
    <w:rsid w:val="32517576"/>
    <w:rsid w:val="32AA2E28"/>
    <w:rsid w:val="32BE5C2C"/>
    <w:rsid w:val="32D37546"/>
    <w:rsid w:val="32D61E6F"/>
    <w:rsid w:val="32FB6478"/>
    <w:rsid w:val="33263B3F"/>
    <w:rsid w:val="336963EB"/>
    <w:rsid w:val="33776B83"/>
    <w:rsid w:val="33816EEB"/>
    <w:rsid w:val="33837901"/>
    <w:rsid w:val="33883169"/>
    <w:rsid w:val="33E055F4"/>
    <w:rsid w:val="33EB55CD"/>
    <w:rsid w:val="33EC4C02"/>
    <w:rsid w:val="33EF31E8"/>
    <w:rsid w:val="33F46A50"/>
    <w:rsid w:val="340D2360"/>
    <w:rsid w:val="3410665D"/>
    <w:rsid w:val="34211214"/>
    <w:rsid w:val="342E63AB"/>
    <w:rsid w:val="34422A8F"/>
    <w:rsid w:val="34950E68"/>
    <w:rsid w:val="34986E94"/>
    <w:rsid w:val="349F69BC"/>
    <w:rsid w:val="34AE4E51"/>
    <w:rsid w:val="34AF62C9"/>
    <w:rsid w:val="34CB4388"/>
    <w:rsid w:val="34FA6E12"/>
    <w:rsid w:val="3512615F"/>
    <w:rsid w:val="353D4BD2"/>
    <w:rsid w:val="354D7158"/>
    <w:rsid w:val="35613C72"/>
    <w:rsid w:val="358D5588"/>
    <w:rsid w:val="360856AE"/>
    <w:rsid w:val="361138EA"/>
    <w:rsid w:val="36254F67"/>
    <w:rsid w:val="363A3B40"/>
    <w:rsid w:val="365302AE"/>
    <w:rsid w:val="36607A0A"/>
    <w:rsid w:val="366E227C"/>
    <w:rsid w:val="366F2E0D"/>
    <w:rsid w:val="367B6A5C"/>
    <w:rsid w:val="36887484"/>
    <w:rsid w:val="36A74ADA"/>
    <w:rsid w:val="36AD60D5"/>
    <w:rsid w:val="36B224F9"/>
    <w:rsid w:val="36EC0CC9"/>
    <w:rsid w:val="36FF1994"/>
    <w:rsid w:val="373F410B"/>
    <w:rsid w:val="37682747"/>
    <w:rsid w:val="3776710C"/>
    <w:rsid w:val="37EC253F"/>
    <w:rsid w:val="37EE7094"/>
    <w:rsid w:val="38296C89"/>
    <w:rsid w:val="383002EB"/>
    <w:rsid w:val="383F45D6"/>
    <w:rsid w:val="384D4981"/>
    <w:rsid w:val="38586797"/>
    <w:rsid w:val="38AB1707"/>
    <w:rsid w:val="38BC0149"/>
    <w:rsid w:val="38D87D1C"/>
    <w:rsid w:val="39031C39"/>
    <w:rsid w:val="39387BAF"/>
    <w:rsid w:val="39636459"/>
    <w:rsid w:val="396B7F6C"/>
    <w:rsid w:val="39B417A9"/>
    <w:rsid w:val="39D43EAE"/>
    <w:rsid w:val="39EA35CB"/>
    <w:rsid w:val="39EE12B4"/>
    <w:rsid w:val="39FC5695"/>
    <w:rsid w:val="3A006D8E"/>
    <w:rsid w:val="3A332F55"/>
    <w:rsid w:val="3A3651E5"/>
    <w:rsid w:val="3A744481"/>
    <w:rsid w:val="3A7E52C6"/>
    <w:rsid w:val="3A8C7BEF"/>
    <w:rsid w:val="3A906246"/>
    <w:rsid w:val="3AB427B7"/>
    <w:rsid w:val="3ADD023E"/>
    <w:rsid w:val="3B056F7D"/>
    <w:rsid w:val="3B2349B7"/>
    <w:rsid w:val="3B554279"/>
    <w:rsid w:val="3B60677A"/>
    <w:rsid w:val="3B616CFF"/>
    <w:rsid w:val="3B6259F6"/>
    <w:rsid w:val="3B976654"/>
    <w:rsid w:val="3BC01EFC"/>
    <w:rsid w:val="3BCA786A"/>
    <w:rsid w:val="3BD31E2F"/>
    <w:rsid w:val="3BD74C8E"/>
    <w:rsid w:val="3BF15831"/>
    <w:rsid w:val="3C105946"/>
    <w:rsid w:val="3C471448"/>
    <w:rsid w:val="3C5A58BF"/>
    <w:rsid w:val="3C5F759A"/>
    <w:rsid w:val="3C6C525A"/>
    <w:rsid w:val="3C95024C"/>
    <w:rsid w:val="3C9F32D2"/>
    <w:rsid w:val="3CCE23CB"/>
    <w:rsid w:val="3CD17D17"/>
    <w:rsid w:val="3CD25455"/>
    <w:rsid w:val="3CF87058"/>
    <w:rsid w:val="3CFD6976"/>
    <w:rsid w:val="3D1141CF"/>
    <w:rsid w:val="3D3C7F39"/>
    <w:rsid w:val="3D404AB5"/>
    <w:rsid w:val="3D440F09"/>
    <w:rsid w:val="3D4504A0"/>
    <w:rsid w:val="3D8734BB"/>
    <w:rsid w:val="3D910D6D"/>
    <w:rsid w:val="3D9A11D4"/>
    <w:rsid w:val="3DA16D89"/>
    <w:rsid w:val="3DA364BE"/>
    <w:rsid w:val="3DE041CB"/>
    <w:rsid w:val="3E0D48F6"/>
    <w:rsid w:val="3E1868B4"/>
    <w:rsid w:val="3E377251"/>
    <w:rsid w:val="3E42664B"/>
    <w:rsid w:val="3E5A7334"/>
    <w:rsid w:val="3E6F0711"/>
    <w:rsid w:val="3E7B5D6B"/>
    <w:rsid w:val="3E843E66"/>
    <w:rsid w:val="3E8F51FE"/>
    <w:rsid w:val="3E926F87"/>
    <w:rsid w:val="3E9A59DE"/>
    <w:rsid w:val="3EAF4836"/>
    <w:rsid w:val="3EB23790"/>
    <w:rsid w:val="3EC33DFA"/>
    <w:rsid w:val="3F060E16"/>
    <w:rsid w:val="3F1D1096"/>
    <w:rsid w:val="3F2F0234"/>
    <w:rsid w:val="3F6363FE"/>
    <w:rsid w:val="3F6A406B"/>
    <w:rsid w:val="3F756B8F"/>
    <w:rsid w:val="3F95482B"/>
    <w:rsid w:val="3F9E4197"/>
    <w:rsid w:val="3FB55092"/>
    <w:rsid w:val="3FCC0881"/>
    <w:rsid w:val="400476E6"/>
    <w:rsid w:val="4019356B"/>
    <w:rsid w:val="40592157"/>
    <w:rsid w:val="406E1CAE"/>
    <w:rsid w:val="40800A9A"/>
    <w:rsid w:val="40880C4C"/>
    <w:rsid w:val="40A0133A"/>
    <w:rsid w:val="40A54C99"/>
    <w:rsid w:val="40B437EF"/>
    <w:rsid w:val="40C31A53"/>
    <w:rsid w:val="40FD66AE"/>
    <w:rsid w:val="40FF545D"/>
    <w:rsid w:val="410067C8"/>
    <w:rsid w:val="4105404B"/>
    <w:rsid w:val="417844D6"/>
    <w:rsid w:val="418807D8"/>
    <w:rsid w:val="418F0D2A"/>
    <w:rsid w:val="41C45CB4"/>
    <w:rsid w:val="41D01505"/>
    <w:rsid w:val="41D53D0D"/>
    <w:rsid w:val="42240B3E"/>
    <w:rsid w:val="42474939"/>
    <w:rsid w:val="424C3C57"/>
    <w:rsid w:val="42613FF3"/>
    <w:rsid w:val="42660D96"/>
    <w:rsid w:val="42831AC9"/>
    <w:rsid w:val="428667D2"/>
    <w:rsid w:val="42CD1CE0"/>
    <w:rsid w:val="42E1381E"/>
    <w:rsid w:val="42ED6459"/>
    <w:rsid w:val="42FA427E"/>
    <w:rsid w:val="42FE58DD"/>
    <w:rsid w:val="42FF2D1C"/>
    <w:rsid w:val="43081BD1"/>
    <w:rsid w:val="43174B3D"/>
    <w:rsid w:val="434B790E"/>
    <w:rsid w:val="4359067E"/>
    <w:rsid w:val="4360274F"/>
    <w:rsid w:val="43977AB6"/>
    <w:rsid w:val="43A3342B"/>
    <w:rsid w:val="43C77C27"/>
    <w:rsid w:val="43DE09EE"/>
    <w:rsid w:val="44002FAD"/>
    <w:rsid w:val="449101DD"/>
    <w:rsid w:val="449D3363"/>
    <w:rsid w:val="44DE1391"/>
    <w:rsid w:val="45045C1E"/>
    <w:rsid w:val="450D1720"/>
    <w:rsid w:val="451B225C"/>
    <w:rsid w:val="452410C9"/>
    <w:rsid w:val="45317DFB"/>
    <w:rsid w:val="456D3CE4"/>
    <w:rsid w:val="4579042C"/>
    <w:rsid w:val="457F0571"/>
    <w:rsid w:val="45851176"/>
    <w:rsid w:val="45C1217F"/>
    <w:rsid w:val="45C63B94"/>
    <w:rsid w:val="460C7C2A"/>
    <w:rsid w:val="460E7DA5"/>
    <w:rsid w:val="46132D66"/>
    <w:rsid w:val="46422483"/>
    <w:rsid w:val="4659254A"/>
    <w:rsid w:val="465B0637"/>
    <w:rsid w:val="465E3F0D"/>
    <w:rsid w:val="466A16E6"/>
    <w:rsid w:val="46893F2B"/>
    <w:rsid w:val="46C4686E"/>
    <w:rsid w:val="46C6602A"/>
    <w:rsid w:val="4734232C"/>
    <w:rsid w:val="477B778F"/>
    <w:rsid w:val="478203EC"/>
    <w:rsid w:val="478B1022"/>
    <w:rsid w:val="47A345BE"/>
    <w:rsid w:val="47B025FA"/>
    <w:rsid w:val="47B40579"/>
    <w:rsid w:val="47E04ECA"/>
    <w:rsid w:val="47FC5A7C"/>
    <w:rsid w:val="4809698F"/>
    <w:rsid w:val="4811697D"/>
    <w:rsid w:val="484A7E01"/>
    <w:rsid w:val="484E277B"/>
    <w:rsid w:val="487A3E25"/>
    <w:rsid w:val="488B5503"/>
    <w:rsid w:val="48937E21"/>
    <w:rsid w:val="489A0361"/>
    <w:rsid w:val="48B94FF3"/>
    <w:rsid w:val="48C4659A"/>
    <w:rsid w:val="48E37AAB"/>
    <w:rsid w:val="48F7696F"/>
    <w:rsid w:val="48FD4B4C"/>
    <w:rsid w:val="490A68E0"/>
    <w:rsid w:val="491055FE"/>
    <w:rsid w:val="495F5B3E"/>
    <w:rsid w:val="496F77D7"/>
    <w:rsid w:val="497654FD"/>
    <w:rsid w:val="49B64211"/>
    <w:rsid w:val="49E56AF9"/>
    <w:rsid w:val="49F6167F"/>
    <w:rsid w:val="4A064FA0"/>
    <w:rsid w:val="4A16615C"/>
    <w:rsid w:val="4A4424D7"/>
    <w:rsid w:val="4A7F6DC7"/>
    <w:rsid w:val="4A804FCC"/>
    <w:rsid w:val="4AA77F21"/>
    <w:rsid w:val="4AB82D0F"/>
    <w:rsid w:val="4AEB7664"/>
    <w:rsid w:val="4AFD7C19"/>
    <w:rsid w:val="4B0567D1"/>
    <w:rsid w:val="4B236AAE"/>
    <w:rsid w:val="4B514417"/>
    <w:rsid w:val="4B663938"/>
    <w:rsid w:val="4B683B54"/>
    <w:rsid w:val="4B707271"/>
    <w:rsid w:val="4B9739F7"/>
    <w:rsid w:val="4BB52B12"/>
    <w:rsid w:val="4BEE2503"/>
    <w:rsid w:val="4C245A30"/>
    <w:rsid w:val="4C4261D4"/>
    <w:rsid w:val="4C823226"/>
    <w:rsid w:val="4CAB6EC5"/>
    <w:rsid w:val="4CB6685F"/>
    <w:rsid w:val="4CC367FE"/>
    <w:rsid w:val="4D077F3C"/>
    <w:rsid w:val="4D123355"/>
    <w:rsid w:val="4D2A3B31"/>
    <w:rsid w:val="4D2E1AE6"/>
    <w:rsid w:val="4D310D32"/>
    <w:rsid w:val="4D312C52"/>
    <w:rsid w:val="4D5F2D35"/>
    <w:rsid w:val="4D905305"/>
    <w:rsid w:val="4D964A72"/>
    <w:rsid w:val="4D9C1254"/>
    <w:rsid w:val="4DDA24BF"/>
    <w:rsid w:val="4E4F4CE8"/>
    <w:rsid w:val="4E781049"/>
    <w:rsid w:val="4E793892"/>
    <w:rsid w:val="4E800872"/>
    <w:rsid w:val="4E9C5AF8"/>
    <w:rsid w:val="4EAD7325"/>
    <w:rsid w:val="4EC569ED"/>
    <w:rsid w:val="4ED50EA1"/>
    <w:rsid w:val="4EEC050C"/>
    <w:rsid w:val="4F104EC3"/>
    <w:rsid w:val="4F133DD7"/>
    <w:rsid w:val="4F47354A"/>
    <w:rsid w:val="4F911C54"/>
    <w:rsid w:val="4FE625E0"/>
    <w:rsid w:val="5021480F"/>
    <w:rsid w:val="504F7091"/>
    <w:rsid w:val="5081481A"/>
    <w:rsid w:val="50962ECB"/>
    <w:rsid w:val="50A42E38"/>
    <w:rsid w:val="50A4577F"/>
    <w:rsid w:val="50B73D1F"/>
    <w:rsid w:val="50BD5BC9"/>
    <w:rsid w:val="50C11EEE"/>
    <w:rsid w:val="50CD4459"/>
    <w:rsid w:val="50E97CFC"/>
    <w:rsid w:val="50F419E6"/>
    <w:rsid w:val="50FA4028"/>
    <w:rsid w:val="510164F4"/>
    <w:rsid w:val="510D65B7"/>
    <w:rsid w:val="511157AB"/>
    <w:rsid w:val="513149E8"/>
    <w:rsid w:val="5142540C"/>
    <w:rsid w:val="518832C8"/>
    <w:rsid w:val="519D3C50"/>
    <w:rsid w:val="51A0432A"/>
    <w:rsid w:val="51A86090"/>
    <w:rsid w:val="51A927D1"/>
    <w:rsid w:val="51B7396D"/>
    <w:rsid w:val="51BB2504"/>
    <w:rsid w:val="522E4CC3"/>
    <w:rsid w:val="5244713B"/>
    <w:rsid w:val="52615633"/>
    <w:rsid w:val="526F4DE4"/>
    <w:rsid w:val="527D47C7"/>
    <w:rsid w:val="52977FD4"/>
    <w:rsid w:val="52A25790"/>
    <w:rsid w:val="52A96B6F"/>
    <w:rsid w:val="52B45975"/>
    <w:rsid w:val="52BD7047"/>
    <w:rsid w:val="52D94AA4"/>
    <w:rsid w:val="52EA3A62"/>
    <w:rsid w:val="52F50BB8"/>
    <w:rsid w:val="53097272"/>
    <w:rsid w:val="53407165"/>
    <w:rsid w:val="534D78A2"/>
    <w:rsid w:val="53544462"/>
    <w:rsid w:val="53894668"/>
    <w:rsid w:val="538F59F6"/>
    <w:rsid w:val="5397158E"/>
    <w:rsid w:val="539E5BEF"/>
    <w:rsid w:val="53D0673A"/>
    <w:rsid w:val="53FD0BB2"/>
    <w:rsid w:val="54013861"/>
    <w:rsid w:val="5402266C"/>
    <w:rsid w:val="540632E9"/>
    <w:rsid w:val="54487265"/>
    <w:rsid w:val="544D6070"/>
    <w:rsid w:val="54605E1E"/>
    <w:rsid w:val="547C1E95"/>
    <w:rsid w:val="54B3506A"/>
    <w:rsid w:val="54CA0D16"/>
    <w:rsid w:val="54DD4057"/>
    <w:rsid w:val="54E7490F"/>
    <w:rsid w:val="54ED50CA"/>
    <w:rsid w:val="550764A4"/>
    <w:rsid w:val="550B2BF6"/>
    <w:rsid w:val="550E4B0D"/>
    <w:rsid w:val="55214EB5"/>
    <w:rsid w:val="55364EFD"/>
    <w:rsid w:val="555D4828"/>
    <w:rsid w:val="555E7D76"/>
    <w:rsid w:val="557A4C8B"/>
    <w:rsid w:val="558931E1"/>
    <w:rsid w:val="55923347"/>
    <w:rsid w:val="55925180"/>
    <w:rsid w:val="55983B1B"/>
    <w:rsid w:val="55990DAE"/>
    <w:rsid w:val="55A8376B"/>
    <w:rsid w:val="55DC29B6"/>
    <w:rsid w:val="55DD4241"/>
    <w:rsid w:val="560F6C28"/>
    <w:rsid w:val="566B6D1E"/>
    <w:rsid w:val="56965E85"/>
    <w:rsid w:val="56A143BE"/>
    <w:rsid w:val="56BF7C5F"/>
    <w:rsid w:val="56FC33A3"/>
    <w:rsid w:val="57032A2C"/>
    <w:rsid w:val="570F5219"/>
    <w:rsid w:val="575D12B5"/>
    <w:rsid w:val="57610A87"/>
    <w:rsid w:val="57727D79"/>
    <w:rsid w:val="577B1140"/>
    <w:rsid w:val="577B7F21"/>
    <w:rsid w:val="577F181B"/>
    <w:rsid w:val="57921984"/>
    <w:rsid w:val="579737F0"/>
    <w:rsid w:val="57AB7B30"/>
    <w:rsid w:val="57AF5251"/>
    <w:rsid w:val="57B26373"/>
    <w:rsid w:val="57B63F04"/>
    <w:rsid w:val="57CD20C2"/>
    <w:rsid w:val="57D460CD"/>
    <w:rsid w:val="57D675AB"/>
    <w:rsid w:val="57D95FDD"/>
    <w:rsid w:val="5800236E"/>
    <w:rsid w:val="58313520"/>
    <w:rsid w:val="587569D9"/>
    <w:rsid w:val="58917D2F"/>
    <w:rsid w:val="5894085C"/>
    <w:rsid w:val="58A41F44"/>
    <w:rsid w:val="58AE4F0C"/>
    <w:rsid w:val="58B85899"/>
    <w:rsid w:val="58D47AEF"/>
    <w:rsid w:val="58E363A9"/>
    <w:rsid w:val="59282B75"/>
    <w:rsid w:val="595E1678"/>
    <w:rsid w:val="5967369D"/>
    <w:rsid w:val="596D5BD4"/>
    <w:rsid w:val="597E3DD8"/>
    <w:rsid w:val="59967C04"/>
    <w:rsid w:val="59B622FC"/>
    <w:rsid w:val="59BE7035"/>
    <w:rsid w:val="59E53A8C"/>
    <w:rsid w:val="59F80043"/>
    <w:rsid w:val="5A09252F"/>
    <w:rsid w:val="5A0B2778"/>
    <w:rsid w:val="5A2A7C7B"/>
    <w:rsid w:val="5A3572F7"/>
    <w:rsid w:val="5A3E2560"/>
    <w:rsid w:val="5A5D3B6E"/>
    <w:rsid w:val="5A637A76"/>
    <w:rsid w:val="5A6D33BA"/>
    <w:rsid w:val="5A792B1F"/>
    <w:rsid w:val="5A874767"/>
    <w:rsid w:val="5A981634"/>
    <w:rsid w:val="5A9A1850"/>
    <w:rsid w:val="5AA85BE2"/>
    <w:rsid w:val="5AAD6F28"/>
    <w:rsid w:val="5AD63A24"/>
    <w:rsid w:val="5B056D05"/>
    <w:rsid w:val="5B2E1A1D"/>
    <w:rsid w:val="5B3A7BAD"/>
    <w:rsid w:val="5B743E4F"/>
    <w:rsid w:val="5B843A1C"/>
    <w:rsid w:val="5B873E3F"/>
    <w:rsid w:val="5BD26DC8"/>
    <w:rsid w:val="5BE607F8"/>
    <w:rsid w:val="5C02690E"/>
    <w:rsid w:val="5C196DA7"/>
    <w:rsid w:val="5C2A048C"/>
    <w:rsid w:val="5C6F1771"/>
    <w:rsid w:val="5C80234E"/>
    <w:rsid w:val="5C8A680C"/>
    <w:rsid w:val="5C8F6A67"/>
    <w:rsid w:val="5CBA3AE4"/>
    <w:rsid w:val="5CE31CE8"/>
    <w:rsid w:val="5D051726"/>
    <w:rsid w:val="5D0C4701"/>
    <w:rsid w:val="5D0F0395"/>
    <w:rsid w:val="5D221076"/>
    <w:rsid w:val="5D397964"/>
    <w:rsid w:val="5D3B2A81"/>
    <w:rsid w:val="5D437F7D"/>
    <w:rsid w:val="5D562EE7"/>
    <w:rsid w:val="5D5A391C"/>
    <w:rsid w:val="5D5F10C0"/>
    <w:rsid w:val="5D712F5B"/>
    <w:rsid w:val="5D891B7B"/>
    <w:rsid w:val="5D972077"/>
    <w:rsid w:val="5DAD38EE"/>
    <w:rsid w:val="5E006862"/>
    <w:rsid w:val="5E0207B9"/>
    <w:rsid w:val="5E0607DE"/>
    <w:rsid w:val="5E1834A1"/>
    <w:rsid w:val="5E261785"/>
    <w:rsid w:val="5E4A7017"/>
    <w:rsid w:val="5E552BBA"/>
    <w:rsid w:val="5E5B30A5"/>
    <w:rsid w:val="5E611C10"/>
    <w:rsid w:val="5E7A0F3F"/>
    <w:rsid w:val="5E915B30"/>
    <w:rsid w:val="5EB56C59"/>
    <w:rsid w:val="5EF808F3"/>
    <w:rsid w:val="5EFC7377"/>
    <w:rsid w:val="5F06174D"/>
    <w:rsid w:val="5F3A3602"/>
    <w:rsid w:val="5F45733B"/>
    <w:rsid w:val="5F6277C6"/>
    <w:rsid w:val="5F6D0B1D"/>
    <w:rsid w:val="5F8D0B82"/>
    <w:rsid w:val="5FA016B7"/>
    <w:rsid w:val="5FCC5339"/>
    <w:rsid w:val="5FE34A5B"/>
    <w:rsid w:val="5FFE1E36"/>
    <w:rsid w:val="60232584"/>
    <w:rsid w:val="602E31E5"/>
    <w:rsid w:val="60597AB8"/>
    <w:rsid w:val="606345B3"/>
    <w:rsid w:val="60677735"/>
    <w:rsid w:val="60714E01"/>
    <w:rsid w:val="607330CE"/>
    <w:rsid w:val="60825176"/>
    <w:rsid w:val="608B4472"/>
    <w:rsid w:val="609F2AC4"/>
    <w:rsid w:val="60B13918"/>
    <w:rsid w:val="60CA62C0"/>
    <w:rsid w:val="60DB56F4"/>
    <w:rsid w:val="60F86C74"/>
    <w:rsid w:val="60FA2EE8"/>
    <w:rsid w:val="61054A27"/>
    <w:rsid w:val="610A52BC"/>
    <w:rsid w:val="610C2208"/>
    <w:rsid w:val="611D2366"/>
    <w:rsid w:val="61421856"/>
    <w:rsid w:val="615227C4"/>
    <w:rsid w:val="615C33BC"/>
    <w:rsid w:val="61654E3F"/>
    <w:rsid w:val="6182292A"/>
    <w:rsid w:val="619F7F92"/>
    <w:rsid w:val="61F94C26"/>
    <w:rsid w:val="62000E56"/>
    <w:rsid w:val="624F3E49"/>
    <w:rsid w:val="62546789"/>
    <w:rsid w:val="62632286"/>
    <w:rsid w:val="62885958"/>
    <w:rsid w:val="62C90F25"/>
    <w:rsid w:val="62CC4571"/>
    <w:rsid w:val="62F40B65"/>
    <w:rsid w:val="62F92E8C"/>
    <w:rsid w:val="62FC2CFE"/>
    <w:rsid w:val="63024505"/>
    <w:rsid w:val="635600A5"/>
    <w:rsid w:val="635B1DB5"/>
    <w:rsid w:val="63711FED"/>
    <w:rsid w:val="63880DDC"/>
    <w:rsid w:val="638D750D"/>
    <w:rsid w:val="63AC6CC0"/>
    <w:rsid w:val="63EF2296"/>
    <w:rsid w:val="64055776"/>
    <w:rsid w:val="64240056"/>
    <w:rsid w:val="643E143A"/>
    <w:rsid w:val="64414150"/>
    <w:rsid w:val="64491666"/>
    <w:rsid w:val="645D5596"/>
    <w:rsid w:val="646802C9"/>
    <w:rsid w:val="6477675E"/>
    <w:rsid w:val="64852C29"/>
    <w:rsid w:val="648B6EEF"/>
    <w:rsid w:val="64C158BF"/>
    <w:rsid w:val="64CE2EAA"/>
    <w:rsid w:val="64D77789"/>
    <w:rsid w:val="64DA0ACB"/>
    <w:rsid w:val="65012431"/>
    <w:rsid w:val="652D4284"/>
    <w:rsid w:val="653C3090"/>
    <w:rsid w:val="657A02B4"/>
    <w:rsid w:val="65854376"/>
    <w:rsid w:val="658767BE"/>
    <w:rsid w:val="65892531"/>
    <w:rsid w:val="658C7FE7"/>
    <w:rsid w:val="65DA6FA5"/>
    <w:rsid w:val="66124991"/>
    <w:rsid w:val="66195831"/>
    <w:rsid w:val="662E75B1"/>
    <w:rsid w:val="66304E17"/>
    <w:rsid w:val="66342C2E"/>
    <w:rsid w:val="663E784C"/>
    <w:rsid w:val="668B6A45"/>
    <w:rsid w:val="66AC6B93"/>
    <w:rsid w:val="67011F07"/>
    <w:rsid w:val="671169F6"/>
    <w:rsid w:val="672F3F24"/>
    <w:rsid w:val="673E055F"/>
    <w:rsid w:val="67551CE3"/>
    <w:rsid w:val="67A22552"/>
    <w:rsid w:val="67B22DCC"/>
    <w:rsid w:val="67BE71AA"/>
    <w:rsid w:val="67D90273"/>
    <w:rsid w:val="67DE5875"/>
    <w:rsid w:val="67E0499E"/>
    <w:rsid w:val="67E55852"/>
    <w:rsid w:val="67EB1AB4"/>
    <w:rsid w:val="67FA1285"/>
    <w:rsid w:val="680565CC"/>
    <w:rsid w:val="68282249"/>
    <w:rsid w:val="683D7311"/>
    <w:rsid w:val="68551F4F"/>
    <w:rsid w:val="68717243"/>
    <w:rsid w:val="687916F5"/>
    <w:rsid w:val="687C10C9"/>
    <w:rsid w:val="687F3E33"/>
    <w:rsid w:val="68840C16"/>
    <w:rsid w:val="68872541"/>
    <w:rsid w:val="68876EFB"/>
    <w:rsid w:val="68884654"/>
    <w:rsid w:val="689F444F"/>
    <w:rsid w:val="68AB2E7A"/>
    <w:rsid w:val="68B96DBB"/>
    <w:rsid w:val="68CA2805"/>
    <w:rsid w:val="68CA3301"/>
    <w:rsid w:val="68E937A3"/>
    <w:rsid w:val="691664E5"/>
    <w:rsid w:val="69230C63"/>
    <w:rsid w:val="693E15D3"/>
    <w:rsid w:val="694C01BA"/>
    <w:rsid w:val="69627681"/>
    <w:rsid w:val="6977531D"/>
    <w:rsid w:val="69CC2BFF"/>
    <w:rsid w:val="69D32689"/>
    <w:rsid w:val="69F875E7"/>
    <w:rsid w:val="69FD55B8"/>
    <w:rsid w:val="69FE0982"/>
    <w:rsid w:val="6A0B1C62"/>
    <w:rsid w:val="6A2406C8"/>
    <w:rsid w:val="6A3D3FA6"/>
    <w:rsid w:val="6A5E63F6"/>
    <w:rsid w:val="6ACB7804"/>
    <w:rsid w:val="6ACF3DC7"/>
    <w:rsid w:val="6AD0539A"/>
    <w:rsid w:val="6ADE0BD1"/>
    <w:rsid w:val="6AE96859"/>
    <w:rsid w:val="6B147746"/>
    <w:rsid w:val="6B24787C"/>
    <w:rsid w:val="6B2667E8"/>
    <w:rsid w:val="6B570828"/>
    <w:rsid w:val="6B573233"/>
    <w:rsid w:val="6B5B6274"/>
    <w:rsid w:val="6B7118AD"/>
    <w:rsid w:val="6B935D53"/>
    <w:rsid w:val="6BB972A3"/>
    <w:rsid w:val="6C196F71"/>
    <w:rsid w:val="6C197B13"/>
    <w:rsid w:val="6C226FCB"/>
    <w:rsid w:val="6C2E004A"/>
    <w:rsid w:val="6C31226F"/>
    <w:rsid w:val="6C4B4758"/>
    <w:rsid w:val="6C552F0B"/>
    <w:rsid w:val="6C6476E1"/>
    <w:rsid w:val="6C6C2EEC"/>
    <w:rsid w:val="6C783074"/>
    <w:rsid w:val="6C7C23CA"/>
    <w:rsid w:val="6C845A17"/>
    <w:rsid w:val="6C8C67B7"/>
    <w:rsid w:val="6C9500C9"/>
    <w:rsid w:val="6C9D744C"/>
    <w:rsid w:val="6CA65E33"/>
    <w:rsid w:val="6D0F39D8"/>
    <w:rsid w:val="6D167928"/>
    <w:rsid w:val="6D25133E"/>
    <w:rsid w:val="6D26299B"/>
    <w:rsid w:val="6D4772EC"/>
    <w:rsid w:val="6D4A4813"/>
    <w:rsid w:val="6D8B5A9D"/>
    <w:rsid w:val="6D9078AF"/>
    <w:rsid w:val="6DAA3FEF"/>
    <w:rsid w:val="6DC0172B"/>
    <w:rsid w:val="6DC420BD"/>
    <w:rsid w:val="6DCB690C"/>
    <w:rsid w:val="6DD41A5B"/>
    <w:rsid w:val="6DF43C2E"/>
    <w:rsid w:val="6DF51CA3"/>
    <w:rsid w:val="6DFF3A4C"/>
    <w:rsid w:val="6E2B2A93"/>
    <w:rsid w:val="6E8335BD"/>
    <w:rsid w:val="6E8E12EF"/>
    <w:rsid w:val="6E972936"/>
    <w:rsid w:val="6ED446C5"/>
    <w:rsid w:val="6F0F4163"/>
    <w:rsid w:val="6F241328"/>
    <w:rsid w:val="6F2968A7"/>
    <w:rsid w:val="6F2A7D94"/>
    <w:rsid w:val="6F4F7F03"/>
    <w:rsid w:val="6F5248B0"/>
    <w:rsid w:val="6F631DB9"/>
    <w:rsid w:val="6F6F075E"/>
    <w:rsid w:val="6F8331F1"/>
    <w:rsid w:val="6F8F7052"/>
    <w:rsid w:val="6FAE1A09"/>
    <w:rsid w:val="6FD75BF8"/>
    <w:rsid w:val="6FFD70E0"/>
    <w:rsid w:val="707723D0"/>
    <w:rsid w:val="70783C05"/>
    <w:rsid w:val="709F32C5"/>
    <w:rsid w:val="70F5661B"/>
    <w:rsid w:val="71360107"/>
    <w:rsid w:val="713734FD"/>
    <w:rsid w:val="713B688E"/>
    <w:rsid w:val="713E2ADE"/>
    <w:rsid w:val="71C1397E"/>
    <w:rsid w:val="71D43752"/>
    <w:rsid w:val="71F1796A"/>
    <w:rsid w:val="72154626"/>
    <w:rsid w:val="72262B5D"/>
    <w:rsid w:val="72283FF7"/>
    <w:rsid w:val="722E7212"/>
    <w:rsid w:val="723A0474"/>
    <w:rsid w:val="724C122A"/>
    <w:rsid w:val="725923E4"/>
    <w:rsid w:val="72864BF7"/>
    <w:rsid w:val="729023FC"/>
    <w:rsid w:val="72BC104A"/>
    <w:rsid w:val="72D75819"/>
    <w:rsid w:val="72F549AD"/>
    <w:rsid w:val="72FF44EF"/>
    <w:rsid w:val="734E2776"/>
    <w:rsid w:val="73530396"/>
    <w:rsid w:val="735D2A5D"/>
    <w:rsid w:val="73C0646E"/>
    <w:rsid w:val="740E62F8"/>
    <w:rsid w:val="742222F5"/>
    <w:rsid w:val="74476126"/>
    <w:rsid w:val="74706664"/>
    <w:rsid w:val="7472484C"/>
    <w:rsid w:val="747F3682"/>
    <w:rsid w:val="74934EEE"/>
    <w:rsid w:val="749C4185"/>
    <w:rsid w:val="749D5D6D"/>
    <w:rsid w:val="75067759"/>
    <w:rsid w:val="751C1388"/>
    <w:rsid w:val="752E6DCD"/>
    <w:rsid w:val="7551380D"/>
    <w:rsid w:val="755D288D"/>
    <w:rsid w:val="75600BE5"/>
    <w:rsid w:val="7564475C"/>
    <w:rsid w:val="7583797F"/>
    <w:rsid w:val="75A1602C"/>
    <w:rsid w:val="75C1698F"/>
    <w:rsid w:val="75D20F1D"/>
    <w:rsid w:val="75DA2C18"/>
    <w:rsid w:val="75F54412"/>
    <w:rsid w:val="761D08E0"/>
    <w:rsid w:val="7652572E"/>
    <w:rsid w:val="765C7562"/>
    <w:rsid w:val="765D347C"/>
    <w:rsid w:val="76826699"/>
    <w:rsid w:val="76C87133"/>
    <w:rsid w:val="76CD08D5"/>
    <w:rsid w:val="76D4359C"/>
    <w:rsid w:val="76DB4B92"/>
    <w:rsid w:val="77052AA4"/>
    <w:rsid w:val="77136511"/>
    <w:rsid w:val="77340A39"/>
    <w:rsid w:val="77351FD0"/>
    <w:rsid w:val="77472422"/>
    <w:rsid w:val="777F31F2"/>
    <w:rsid w:val="77972F48"/>
    <w:rsid w:val="77A94A29"/>
    <w:rsid w:val="77D1700D"/>
    <w:rsid w:val="77D93327"/>
    <w:rsid w:val="77EC04CC"/>
    <w:rsid w:val="78775729"/>
    <w:rsid w:val="78A42DB0"/>
    <w:rsid w:val="78A656AB"/>
    <w:rsid w:val="78B2245C"/>
    <w:rsid w:val="78E172CC"/>
    <w:rsid w:val="78EA1D1F"/>
    <w:rsid w:val="7904172F"/>
    <w:rsid w:val="790F7E27"/>
    <w:rsid w:val="792A231A"/>
    <w:rsid w:val="79316829"/>
    <w:rsid w:val="7942728A"/>
    <w:rsid w:val="797E66A9"/>
    <w:rsid w:val="798017B9"/>
    <w:rsid w:val="798518A4"/>
    <w:rsid w:val="79876FEC"/>
    <w:rsid w:val="79A97383"/>
    <w:rsid w:val="79AD6A52"/>
    <w:rsid w:val="79E27E8B"/>
    <w:rsid w:val="79F850CE"/>
    <w:rsid w:val="79FD443C"/>
    <w:rsid w:val="7A097A4C"/>
    <w:rsid w:val="7A1D1975"/>
    <w:rsid w:val="7A3E5150"/>
    <w:rsid w:val="7A4670D6"/>
    <w:rsid w:val="7A534B63"/>
    <w:rsid w:val="7A615382"/>
    <w:rsid w:val="7A67303B"/>
    <w:rsid w:val="7A6C06BC"/>
    <w:rsid w:val="7AAB1D04"/>
    <w:rsid w:val="7ABA4368"/>
    <w:rsid w:val="7ABD7348"/>
    <w:rsid w:val="7AD05746"/>
    <w:rsid w:val="7B00726C"/>
    <w:rsid w:val="7B0238C7"/>
    <w:rsid w:val="7B257FFD"/>
    <w:rsid w:val="7B273D20"/>
    <w:rsid w:val="7B343476"/>
    <w:rsid w:val="7B3D30D5"/>
    <w:rsid w:val="7B5A2978"/>
    <w:rsid w:val="7B5A7E4C"/>
    <w:rsid w:val="7B667AF9"/>
    <w:rsid w:val="7B7468F8"/>
    <w:rsid w:val="7BB67714"/>
    <w:rsid w:val="7BB73BB8"/>
    <w:rsid w:val="7BEC605A"/>
    <w:rsid w:val="7BEE0103"/>
    <w:rsid w:val="7C0A0FE4"/>
    <w:rsid w:val="7C254906"/>
    <w:rsid w:val="7C330D65"/>
    <w:rsid w:val="7C590818"/>
    <w:rsid w:val="7C7C10F6"/>
    <w:rsid w:val="7C853BEA"/>
    <w:rsid w:val="7C881368"/>
    <w:rsid w:val="7C9273E2"/>
    <w:rsid w:val="7CC939B6"/>
    <w:rsid w:val="7CE27788"/>
    <w:rsid w:val="7D0C32F1"/>
    <w:rsid w:val="7D0F408D"/>
    <w:rsid w:val="7D491C6C"/>
    <w:rsid w:val="7D5429C0"/>
    <w:rsid w:val="7D6B6A41"/>
    <w:rsid w:val="7D6E6D43"/>
    <w:rsid w:val="7D7E13A5"/>
    <w:rsid w:val="7DB57A34"/>
    <w:rsid w:val="7DE60973"/>
    <w:rsid w:val="7DEF0916"/>
    <w:rsid w:val="7E0230E5"/>
    <w:rsid w:val="7E034164"/>
    <w:rsid w:val="7E181A9E"/>
    <w:rsid w:val="7E1E5218"/>
    <w:rsid w:val="7E2D1828"/>
    <w:rsid w:val="7E4454AB"/>
    <w:rsid w:val="7E9A4E1F"/>
    <w:rsid w:val="7EA7723A"/>
    <w:rsid w:val="7EEA0AA5"/>
    <w:rsid w:val="7EF56FBB"/>
    <w:rsid w:val="7F0768EB"/>
    <w:rsid w:val="7F127358"/>
    <w:rsid w:val="7F143BEC"/>
    <w:rsid w:val="7F150049"/>
    <w:rsid w:val="7F271055"/>
    <w:rsid w:val="7F715AF2"/>
    <w:rsid w:val="7F886E69"/>
    <w:rsid w:val="7FAE0E2E"/>
    <w:rsid w:val="7FD9F74F"/>
    <w:rsid w:val="7FF902E4"/>
    <w:rsid w:val="7FFB7DEC"/>
    <w:rsid w:val="B6DD2E1D"/>
    <w:rsid w:val="BAD72A17"/>
    <w:rsid w:val="BB7FA927"/>
    <w:rsid w:val="F5FFD31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6"/>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7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7">
    <w:name w:val="Default Paragraph Font"/>
    <w:autoRedefine/>
    <w:unhideWhenUsed/>
    <w:qFormat/>
    <w:uiPriority w:val="1"/>
  </w:style>
  <w:style w:type="table" w:default="1" w:styleId="70">
    <w:name w:val="Normal Table"/>
    <w:autoRedefine/>
    <w:unhideWhenUsed/>
    <w:qFormat/>
    <w:uiPriority w:val="99"/>
    <w:tblPr>
      <w:tblCellMar>
        <w:top w:w="0" w:type="dxa"/>
        <w:left w:w="108" w:type="dxa"/>
        <w:bottom w:w="0" w:type="dxa"/>
        <w:right w:w="108" w:type="dxa"/>
      </w:tblCellMar>
    </w:tblPr>
  </w:style>
  <w:style w:type="paragraph" w:customStyle="1" w:styleId="2">
    <w:name w:val="正文空2字"/>
    <w:basedOn w:val="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autoRedefine/>
    <w:qFormat/>
    <w:uiPriority w:val="99"/>
    <w:rPr>
      <w:rFonts w:ascii="Calibri" w:hAnsi="Calibri" w:eastAsia="仿宋_GB2312" w:cs="Calibri"/>
      <w:kern w:val="2"/>
      <w:sz w:val="32"/>
      <w:szCs w:val="32"/>
      <w:lang w:val="en-US" w:eastAsia="zh-CN" w:bidi="ar-SA"/>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724"/>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756"/>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731"/>
    <w:autoRedefine/>
    <w:qFormat/>
    <w:uiPriority w:val="0"/>
    <w:pPr>
      <w:shd w:val="clear" w:color="auto" w:fill="000080"/>
    </w:pPr>
  </w:style>
  <w:style w:type="paragraph" w:styleId="21">
    <w:name w:val="annotation text"/>
    <w:basedOn w:val="1"/>
    <w:link w:val="859"/>
    <w:autoRedefine/>
    <w:qFormat/>
    <w:uiPriority w:val="99"/>
    <w:pPr>
      <w:jc w:val="left"/>
    </w:pPr>
  </w:style>
  <w:style w:type="paragraph" w:styleId="22">
    <w:name w:val="Salutation"/>
    <w:basedOn w:val="1"/>
    <w:next w:val="1"/>
    <w:link w:val="819"/>
    <w:autoRedefine/>
    <w:qFormat/>
    <w:uiPriority w:val="0"/>
    <w:rPr>
      <w:rFonts w:ascii="仿宋_GB2312" w:eastAsia="仿宋_GB2312"/>
      <w:sz w:val="28"/>
      <w:szCs w:val="20"/>
    </w:rPr>
  </w:style>
  <w:style w:type="paragraph" w:styleId="23">
    <w:name w:val="Body Text 3"/>
    <w:basedOn w:val="1"/>
    <w:link w:val="847"/>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6"/>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838"/>
    <w:autoRedefine/>
    <w:qFormat/>
    <w:uiPriority w:val="0"/>
    <w:pPr>
      <w:ind w:firstLine="420"/>
    </w:pPr>
    <w:rPr>
      <w:rFonts w:hAnsi="Calibri" w:cs="Times New Roman"/>
      <w:szCs w:val="20"/>
    </w:rPr>
  </w:style>
  <w:style w:type="paragraph" w:styleId="27">
    <w:name w:val="Body Text Indent"/>
    <w:basedOn w:val="1"/>
    <w:next w:val="28"/>
    <w:link w:val="787"/>
    <w:autoRedefine/>
    <w:qFormat/>
    <w:uiPriority w:val="0"/>
    <w:pPr>
      <w:spacing w:line="480" w:lineRule="exact"/>
      <w:ind w:firstLine="480" w:firstLineChars="200"/>
    </w:pPr>
    <w:rPr>
      <w:rFonts w:ascii="宋体" w:hAnsi="宋体"/>
      <w:sz w:val="24"/>
    </w:rPr>
  </w:style>
  <w:style w:type="paragraph" w:customStyle="1" w:styleId="28">
    <w:name w:val="正文文本首行缩进 2"/>
    <w:basedOn w:val="27"/>
    <w:autoRedefine/>
    <w:qFormat/>
    <w:uiPriority w:val="99"/>
    <w:pPr>
      <w:spacing w:line="200" w:lineRule="atLeast"/>
      <w:ind w:firstLine="420"/>
    </w:pPr>
    <w:rPr>
      <w:rFonts w:hAnsi="Courier New"/>
      <w:spacing w:val="-4"/>
      <w:sz w:val="18"/>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748"/>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663"/>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713"/>
    <w:autoRedefine/>
    <w:qFormat/>
    <w:uiPriority w:val="0"/>
    <w:pPr>
      <w:ind w:left="100" w:leftChars="2500"/>
    </w:pPr>
    <w:rPr>
      <w:rFonts w:ascii="宋体"/>
      <w:sz w:val="24"/>
      <w:szCs w:val="21"/>
      <w:lang w:val="zh-CN"/>
    </w:rPr>
  </w:style>
  <w:style w:type="paragraph" w:styleId="40">
    <w:name w:val="Body Text Indent 2"/>
    <w:basedOn w:val="1"/>
    <w:link w:val="827"/>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44"/>
    <w:autoRedefine/>
    <w:qFormat/>
    <w:uiPriority w:val="0"/>
    <w:rPr>
      <w:lang w:val="zh-CN"/>
    </w:rPr>
  </w:style>
  <w:style w:type="paragraph" w:styleId="42">
    <w:name w:val="Balloon Text"/>
    <w:basedOn w:val="1"/>
    <w:link w:val="720"/>
    <w:autoRedefine/>
    <w:qFormat/>
    <w:uiPriority w:val="0"/>
    <w:rPr>
      <w:sz w:val="18"/>
      <w:szCs w:val="18"/>
    </w:rPr>
  </w:style>
  <w:style w:type="paragraph" w:styleId="43">
    <w:name w:val="footer"/>
    <w:basedOn w:val="1"/>
    <w:link w:val="895"/>
    <w:autoRedefine/>
    <w:qFormat/>
    <w:uiPriority w:val="99"/>
    <w:pPr>
      <w:tabs>
        <w:tab w:val="center" w:pos="4153"/>
        <w:tab w:val="right" w:pos="8306"/>
      </w:tabs>
      <w:snapToGrid w:val="0"/>
      <w:jc w:val="left"/>
    </w:pPr>
    <w:rPr>
      <w:sz w:val="18"/>
      <w:szCs w:val="18"/>
    </w:rPr>
  </w:style>
  <w:style w:type="paragraph" w:styleId="44">
    <w:name w:val="header"/>
    <w:basedOn w:val="1"/>
    <w:link w:val="903"/>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60"/>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67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7"/>
    <w:link w:val="829"/>
    <w:autoRedefine/>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autoRedefine/>
    <w:qFormat/>
    <w:uiPriority w:val="0"/>
    <w:pPr>
      <w:ind w:left="2100" w:leftChars="1000"/>
    </w:p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888"/>
    <w:autoRedefine/>
    <w:qFormat/>
    <w:uiPriority w:val="0"/>
    <w:pPr>
      <w:spacing w:line="360" w:lineRule="auto"/>
      <w:ind w:firstLine="420"/>
    </w:pPr>
    <w:rPr>
      <w:sz w:val="24"/>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next w:val="60"/>
    <w:link w:val="823"/>
    <w:autoRedefine/>
    <w:qFormat/>
    <w:uiPriority w:val="0"/>
    <w:pPr>
      <w:spacing w:after="120" w:line="480" w:lineRule="auto"/>
    </w:pPr>
  </w:style>
  <w:style w:type="paragraph" w:customStyle="1" w:styleId="60">
    <w:name w:val="默认段落字体 Para Char"/>
    <w:basedOn w:val="1"/>
    <w:next w:val="61"/>
    <w:autoRedefine/>
    <w:qFormat/>
    <w:uiPriority w:val="0"/>
    <w:rPr>
      <w:rFonts w:ascii="Tahoma" w:hAnsi="Tahoma"/>
      <w:sz w:val="24"/>
      <w:szCs w:val="20"/>
    </w:rPr>
  </w:style>
  <w:style w:type="paragraph" w:customStyle="1" w:styleId="61">
    <w:name w:val=" Char Char Char Char Char Char Char Char Char Char Char Char Char Char Char Char"/>
    <w:basedOn w:val="1"/>
    <w:next w:val="62"/>
    <w:autoRedefine/>
    <w:qFormat/>
    <w:uiPriority w:val="0"/>
    <w:pPr>
      <w:widowControl w:val="0"/>
      <w:spacing w:before="0" w:after="0" w:line="240" w:lineRule="auto"/>
      <w:ind w:left="0" w:firstLine="3584"/>
      <w:jc w:val="both"/>
    </w:pPr>
  </w:style>
  <w:style w:type="paragraph" w:customStyle="1" w:styleId="62">
    <w:name w:val="List Paragraph"/>
    <w:basedOn w:val="1"/>
    <w:next w:val="63"/>
    <w:autoRedefine/>
    <w:qFormat/>
    <w:uiPriority w:val="34"/>
    <w:pPr>
      <w:spacing w:line="360" w:lineRule="auto"/>
      <w:ind w:firstLine="200" w:firstLineChars="200"/>
    </w:pPr>
    <w:rPr>
      <w:rFonts w:eastAsia="楷体_GB2312" w:cs="Lucida Sans"/>
      <w:sz w:val="24"/>
    </w:rPr>
  </w:style>
  <w:style w:type="paragraph" w:customStyle="1" w:styleId="63">
    <w:name w:val="Char"/>
    <w:basedOn w:val="1"/>
    <w:next w:val="64"/>
    <w:autoRedefine/>
    <w:qFormat/>
    <w:uiPriority w:val="0"/>
    <w:rPr>
      <w:rFonts w:ascii="仿宋_GB2312" w:eastAsia="仿宋_GB2312"/>
      <w:b/>
      <w:sz w:val="32"/>
      <w:szCs w:val="32"/>
    </w:rPr>
  </w:style>
  <w:style w:type="paragraph" w:customStyle="1" w:styleId="64">
    <w:name w:val="p0"/>
    <w:basedOn w:val="1"/>
    <w:autoRedefine/>
    <w:qFormat/>
    <w:uiPriority w:val="0"/>
    <w:pPr>
      <w:widowControl/>
      <w:adjustRightInd/>
    </w:pPr>
    <w:rPr>
      <w:kern w:val="0"/>
      <w:szCs w:val="21"/>
    </w:rPr>
  </w:style>
  <w:style w:type="paragraph" w:styleId="65">
    <w:name w:val="HTML Preformatted"/>
    <w:basedOn w:val="1"/>
    <w:link w:val="82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7">
    <w:name w:val="Title"/>
    <w:basedOn w:val="1"/>
    <w:next w:val="1"/>
    <w:link w:val="807"/>
    <w:autoRedefine/>
    <w:qFormat/>
    <w:uiPriority w:val="10"/>
    <w:pPr>
      <w:widowControl/>
      <w:overflowPunct w:val="0"/>
      <w:autoSpaceDE w:val="0"/>
      <w:autoSpaceDN w:val="0"/>
      <w:jc w:val="center"/>
      <w:textAlignment w:val="baseline"/>
    </w:pPr>
    <w:rPr>
      <w:b/>
      <w:kern w:val="0"/>
      <w:sz w:val="24"/>
      <w:szCs w:val="20"/>
    </w:rPr>
  </w:style>
  <w:style w:type="paragraph" w:styleId="68">
    <w:name w:val="annotation subject"/>
    <w:basedOn w:val="21"/>
    <w:next w:val="21"/>
    <w:link w:val="636"/>
    <w:autoRedefine/>
    <w:qFormat/>
    <w:uiPriority w:val="0"/>
    <w:rPr>
      <w:b/>
      <w:bCs/>
    </w:rPr>
  </w:style>
  <w:style w:type="paragraph" w:styleId="69">
    <w:name w:val="Body Text First Indent 2"/>
    <w:basedOn w:val="27"/>
    <w:link w:val="659"/>
    <w:autoRedefine/>
    <w:qFormat/>
    <w:uiPriority w:val="0"/>
    <w:pPr>
      <w:adjustRightInd/>
      <w:spacing w:after="120" w:line="240" w:lineRule="auto"/>
      <w:ind w:left="420" w:leftChars="200" w:firstLine="210"/>
    </w:pPr>
    <w:rPr>
      <w:sz w:val="21"/>
    </w:rPr>
  </w:style>
  <w:style w:type="table" w:styleId="71">
    <w:name w:val="Table Grid"/>
    <w:basedOn w:val="7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2">
    <w:name w:val="Table Theme"/>
    <w:basedOn w:val="7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3">
    <w:name w:val="Table Elegant"/>
    <w:basedOn w:val="70"/>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4">
    <w:name w:val="Table Grid 5"/>
    <w:basedOn w:val="70"/>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5">
    <w:name w:val="Table Grid 8"/>
    <w:basedOn w:val="70"/>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6">
    <w:name w:val="Table Professional"/>
    <w:basedOn w:val="70"/>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8">
    <w:name w:val="Strong"/>
    <w:autoRedefine/>
    <w:qFormat/>
    <w:uiPriority w:val="22"/>
    <w:rPr>
      <w:b/>
      <w:bCs/>
    </w:rPr>
  </w:style>
  <w:style w:type="character" w:styleId="79">
    <w:name w:val="endnote reference"/>
    <w:autoRedefine/>
    <w:qFormat/>
    <w:uiPriority w:val="0"/>
    <w:rPr>
      <w:vertAlign w:val="superscript"/>
    </w:rPr>
  </w:style>
  <w:style w:type="character" w:styleId="80">
    <w:name w:val="page number"/>
    <w:basedOn w:val="77"/>
    <w:autoRedefine/>
    <w:qFormat/>
    <w:uiPriority w:val="0"/>
    <w:rPr>
      <w:rFonts w:ascii="Arial" w:hAnsi="Arial" w:eastAsia="黑体" w:cs="Arial"/>
      <w:snapToGrid w:val="0"/>
      <w:kern w:val="0"/>
      <w:szCs w:val="21"/>
    </w:rPr>
  </w:style>
  <w:style w:type="character" w:styleId="81">
    <w:name w:val="FollowedHyperlink"/>
    <w:autoRedefine/>
    <w:qFormat/>
    <w:uiPriority w:val="99"/>
    <w:rPr>
      <w:rFonts w:ascii="Arial" w:hAnsi="Arial" w:eastAsia="黑体" w:cs="Arial"/>
      <w:snapToGrid w:val="0"/>
      <w:color w:val="000000"/>
      <w:kern w:val="0"/>
      <w:sz w:val="18"/>
      <w:szCs w:val="18"/>
      <w:u w:val="none"/>
    </w:rPr>
  </w:style>
  <w:style w:type="character" w:styleId="82">
    <w:name w:val="Emphasis"/>
    <w:autoRedefine/>
    <w:qFormat/>
    <w:uiPriority w:val="20"/>
    <w:rPr>
      <w:color w:val="CC0033"/>
    </w:rPr>
  </w:style>
  <w:style w:type="character" w:styleId="83">
    <w:name w:val="line number"/>
    <w:basedOn w:val="77"/>
    <w:autoRedefine/>
    <w:qFormat/>
    <w:uiPriority w:val="0"/>
    <w:rPr>
      <w:rFonts w:ascii="Arial" w:hAnsi="Arial" w:eastAsia="黑体" w:cs="Arial"/>
      <w:snapToGrid w:val="0"/>
      <w:kern w:val="0"/>
      <w:szCs w:val="21"/>
    </w:rPr>
  </w:style>
  <w:style w:type="character" w:styleId="84">
    <w:name w:val="Hyperlink"/>
    <w:autoRedefine/>
    <w:qFormat/>
    <w:uiPriority w:val="99"/>
    <w:rPr>
      <w:rFonts w:ascii="Arial" w:hAnsi="Arial" w:eastAsia="黑体" w:cs="Arial"/>
      <w:snapToGrid w:val="0"/>
      <w:color w:val="000000"/>
      <w:kern w:val="0"/>
      <w:sz w:val="18"/>
      <w:szCs w:val="18"/>
      <w:u w:val="none"/>
    </w:rPr>
  </w:style>
  <w:style w:type="character" w:styleId="85">
    <w:name w:val="HTML Code"/>
    <w:autoRedefine/>
    <w:qFormat/>
    <w:uiPriority w:val="0"/>
    <w:rPr>
      <w:rFonts w:ascii="黑体" w:hAnsi="Courier New" w:eastAsia="黑体" w:cs="楷体_GB2312"/>
      <w:sz w:val="20"/>
      <w:szCs w:val="20"/>
    </w:rPr>
  </w:style>
  <w:style w:type="character" w:styleId="86">
    <w:name w:val="annotation reference"/>
    <w:autoRedefine/>
    <w:qFormat/>
    <w:uiPriority w:val="99"/>
    <w:rPr>
      <w:sz w:val="21"/>
      <w:szCs w:val="21"/>
    </w:rPr>
  </w:style>
  <w:style w:type="paragraph" w:customStyle="1" w:styleId="87">
    <w:name w:val="正文文本首行缩进 21"/>
    <w:basedOn w:val="27"/>
    <w:autoRedefine/>
    <w:qFormat/>
    <w:uiPriority w:val="99"/>
    <w:pPr>
      <w:spacing w:line="200" w:lineRule="atLeast"/>
      <w:ind w:firstLine="420"/>
    </w:pPr>
    <w:rPr>
      <w:rFonts w:hAnsi="Courier New"/>
      <w:spacing w:val="-4"/>
      <w:sz w:val="18"/>
    </w:rPr>
  </w:style>
  <w:style w:type="paragraph" w:customStyle="1" w:styleId="88">
    <w:name w:val="表格非标题文字"/>
    <w:link w:val="625"/>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9">
    <w:name w:val="*正文"/>
    <w:basedOn w:val="1"/>
    <w:link w:val="626"/>
    <w:autoRedefine/>
    <w:qFormat/>
    <w:uiPriority w:val="0"/>
    <w:pPr>
      <w:snapToGrid w:val="0"/>
      <w:spacing w:line="360" w:lineRule="auto"/>
      <w:ind w:firstLine="482"/>
      <w:jc w:val="left"/>
    </w:pPr>
    <w:rPr>
      <w:rFonts w:ascii="宋体" w:hAnsi="宋体"/>
      <w:kern w:val="0"/>
      <w:sz w:val="24"/>
      <w:szCs w:val="20"/>
    </w:rPr>
  </w:style>
  <w:style w:type="paragraph" w:customStyle="1" w:styleId="90">
    <w:name w:val="U_正文"/>
    <w:basedOn w:val="1"/>
    <w:link w:val="634"/>
    <w:autoRedefine/>
    <w:qFormat/>
    <w:uiPriority w:val="0"/>
    <w:pPr>
      <w:adjustRightInd/>
      <w:spacing w:beforeLines="20" w:afterLines="20" w:line="300" w:lineRule="auto"/>
      <w:ind w:firstLine="200" w:firstLineChars="200"/>
    </w:pPr>
    <w:rPr>
      <w:kern w:val="0"/>
      <w:sz w:val="24"/>
    </w:rPr>
  </w:style>
  <w:style w:type="paragraph" w:customStyle="1" w:styleId="91">
    <w:name w:val="哈哈正文"/>
    <w:basedOn w:val="1"/>
    <w:link w:val="641"/>
    <w:autoRedefine/>
    <w:qFormat/>
    <w:uiPriority w:val="0"/>
    <w:pPr>
      <w:adjustRightInd/>
      <w:spacing w:line="360" w:lineRule="auto"/>
      <w:ind w:firstLine="200" w:firstLineChars="200"/>
    </w:pPr>
    <w:rPr>
      <w:rFonts w:ascii="宋体" w:hAnsi="宋体"/>
      <w:sz w:val="24"/>
      <w:szCs w:val="20"/>
    </w:rPr>
  </w:style>
  <w:style w:type="paragraph" w:customStyle="1" w:styleId="92">
    <w:name w:val="5正文"/>
    <w:basedOn w:val="1"/>
    <w:link w:val="65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3">
    <w:name w:val="正文2"/>
    <w:basedOn w:val="59"/>
    <w:link w:val="668"/>
    <w:autoRedefine/>
    <w:qFormat/>
    <w:uiPriority w:val="0"/>
    <w:pPr>
      <w:spacing w:before="156" w:line="360" w:lineRule="auto"/>
      <w:ind w:firstLine="510" w:firstLineChars="200"/>
    </w:pPr>
    <w:rPr>
      <w:sz w:val="24"/>
      <w:szCs w:val="20"/>
    </w:rPr>
  </w:style>
  <w:style w:type="paragraph" w:customStyle="1" w:styleId="94">
    <w:name w:val="无间隔1"/>
    <w:link w:val="676"/>
    <w:autoRedefine/>
    <w:qFormat/>
    <w:uiPriority w:val="1"/>
    <w:rPr>
      <w:rFonts w:ascii="Times New Roman" w:hAnsi="Times New Roman" w:eastAsia="宋体" w:cs="Times New Roman"/>
      <w:sz w:val="22"/>
      <w:szCs w:val="22"/>
      <w:lang w:val="en-US" w:eastAsia="zh-CN" w:bidi="ar-SA"/>
    </w:rPr>
  </w:style>
  <w:style w:type="paragraph" w:customStyle="1" w:styleId="95">
    <w:name w:val="纯文本_0_0"/>
    <w:basedOn w:val="96"/>
    <w:link w:val="684"/>
    <w:autoRedefine/>
    <w:qFormat/>
    <w:uiPriority w:val="0"/>
    <w:rPr>
      <w:rFonts w:ascii="宋体" w:hAnsi="Courier New"/>
      <w:szCs w:val="21"/>
    </w:rPr>
  </w:style>
  <w:style w:type="paragraph" w:customStyle="1" w:styleId="9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绿盟科技）"/>
    <w:link w:val="694"/>
    <w:autoRedefine/>
    <w:qFormat/>
    <w:uiPriority w:val="0"/>
    <w:pPr>
      <w:spacing w:line="300" w:lineRule="auto"/>
    </w:pPr>
    <w:rPr>
      <w:rFonts w:ascii="Arial" w:hAnsi="Arial" w:eastAsia="宋体" w:cs="Times New Roman"/>
      <w:sz w:val="21"/>
      <w:szCs w:val="21"/>
      <w:lang w:val="en-US" w:eastAsia="zh-CN" w:bidi="ar-SA"/>
    </w:rPr>
  </w:style>
  <w:style w:type="paragraph" w:customStyle="1" w:styleId="98">
    <w:name w:val="表格名称"/>
    <w:basedOn w:val="5"/>
    <w:link w:val="70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9">
    <w:name w:val="my正文"/>
    <w:basedOn w:val="1"/>
    <w:link w:val="723"/>
    <w:autoRedefine/>
    <w:qFormat/>
    <w:uiPriority w:val="0"/>
    <w:pPr>
      <w:adjustRightInd/>
      <w:spacing w:line="360" w:lineRule="auto"/>
      <w:ind w:firstLine="480" w:firstLineChars="200"/>
    </w:pPr>
    <w:rPr>
      <w:rFonts w:ascii="Tahoma" w:hAnsi="Tahoma"/>
      <w:kern w:val="0"/>
      <w:sz w:val="24"/>
    </w:rPr>
  </w:style>
  <w:style w:type="paragraph" w:customStyle="1" w:styleId="100">
    <w:name w:val="3级"/>
    <w:basedOn w:val="101"/>
    <w:link w:val="729"/>
    <w:autoRedefine/>
    <w:qFormat/>
    <w:uiPriority w:val="0"/>
    <w:pPr>
      <w:ind w:left="0" w:right="466" w:firstLine="288"/>
    </w:pPr>
    <w:rPr>
      <w:rFonts w:hAnsi="宋体"/>
    </w:rPr>
  </w:style>
  <w:style w:type="paragraph" w:customStyle="1" w:styleId="101">
    <w:name w:val="样式 标题 3h33rd level3BOD 0H3l3CTHeading 3 - oldLevel 3 He..."/>
    <w:basedOn w:val="6"/>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2">
    <w:name w:val="标题4-dyf"/>
    <w:basedOn w:val="7"/>
    <w:link w:val="75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3">
    <w:name w:val="冯"/>
    <w:basedOn w:val="1"/>
    <w:link w:val="753"/>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4">
    <w:name w:val="Default"/>
    <w:link w:val="76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样式"/>
    <w:basedOn w:val="1"/>
    <w:link w:val="771"/>
    <w:autoRedefine/>
    <w:qFormat/>
    <w:uiPriority w:val="0"/>
    <w:pPr>
      <w:adjustRightInd/>
      <w:spacing w:line="360" w:lineRule="auto"/>
      <w:ind w:firstLine="480" w:firstLineChars="200"/>
    </w:pPr>
    <w:rPr>
      <w:kern w:val="0"/>
      <w:sz w:val="24"/>
    </w:rPr>
  </w:style>
  <w:style w:type="paragraph" w:customStyle="1" w:styleId="106">
    <w:name w:val="gf正文1"/>
    <w:basedOn w:val="1"/>
    <w:link w:val="777"/>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7">
    <w:name w:val="列表1"/>
    <w:basedOn w:val="1"/>
    <w:next w:val="62"/>
    <w:link w:val="780"/>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8">
    <w:name w:val="此正文"/>
    <w:basedOn w:val="1"/>
    <w:link w:val="802"/>
    <w:autoRedefine/>
    <w:qFormat/>
    <w:uiPriority w:val="0"/>
    <w:pPr>
      <w:adjustRightInd/>
      <w:spacing w:line="360" w:lineRule="auto"/>
      <w:ind w:firstLine="200" w:firstLineChars="200"/>
    </w:pPr>
    <w:rPr>
      <w:sz w:val="24"/>
    </w:rPr>
  </w:style>
  <w:style w:type="paragraph" w:customStyle="1" w:styleId="109">
    <w:name w:val="样式 样式 标题 4h4H4Fab-4T5Ref Heading 1rh1Heading sqlsect 1.2.3.... +..."/>
    <w:basedOn w:val="110"/>
    <w:link w:val="824"/>
    <w:autoRedefine/>
    <w:qFormat/>
    <w:uiPriority w:val="0"/>
    <w:pPr>
      <w:tabs>
        <w:tab w:val="left" w:pos="2356"/>
      </w:tabs>
    </w:pPr>
  </w:style>
  <w:style w:type="paragraph" w:customStyle="1" w:styleId="110">
    <w:name w:val="样式 标题 4h4H4Fab-4T5Ref Heading 1rh1Heading sqlsect 1.2.3...."/>
    <w:basedOn w:val="7"/>
    <w:link w:val="92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1">
    <w:name w:val="Item List"/>
    <w:link w:val="83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2">
    <w:name w:val="纯文本1"/>
    <w:basedOn w:val="1"/>
    <w:link w:val="837"/>
    <w:autoRedefine/>
    <w:qFormat/>
    <w:uiPriority w:val="0"/>
    <w:pPr>
      <w:adjustRightInd/>
    </w:pPr>
    <w:rPr>
      <w:rFonts w:ascii="宋体" w:hAnsi="Courier New"/>
      <w:kern w:val="0"/>
      <w:sz w:val="20"/>
      <w:szCs w:val="20"/>
    </w:rPr>
  </w:style>
  <w:style w:type="paragraph" w:customStyle="1" w:styleId="113">
    <w:name w:val="正文说明"/>
    <w:basedOn w:val="1"/>
    <w:link w:val="849"/>
    <w:autoRedefine/>
    <w:qFormat/>
    <w:uiPriority w:val="0"/>
    <w:pPr>
      <w:adjustRightInd/>
      <w:spacing w:line="360" w:lineRule="auto"/>
    </w:pPr>
    <w:rPr>
      <w:kern w:val="0"/>
      <w:sz w:val="24"/>
    </w:rPr>
  </w:style>
  <w:style w:type="paragraph" w:customStyle="1" w:styleId="114">
    <w:name w:val="Table Text"/>
    <w:basedOn w:val="1"/>
    <w:link w:val="855"/>
    <w:autoRedefine/>
    <w:qFormat/>
    <w:uiPriority w:val="0"/>
    <w:pPr>
      <w:widowControl/>
      <w:spacing w:before="60" w:after="60"/>
      <w:jc w:val="left"/>
    </w:pPr>
    <w:rPr>
      <w:kern w:val="0"/>
      <w:sz w:val="24"/>
    </w:rPr>
  </w:style>
  <w:style w:type="paragraph" w:customStyle="1" w:styleId="115">
    <w:name w:val="公文正文"/>
    <w:basedOn w:val="1"/>
    <w:link w:val="867"/>
    <w:autoRedefine/>
    <w:qFormat/>
    <w:uiPriority w:val="0"/>
    <w:pPr>
      <w:adjustRightInd/>
      <w:spacing w:before="156" w:line="360" w:lineRule="auto"/>
      <w:ind w:firstLine="360" w:firstLineChars="200"/>
    </w:pPr>
    <w:rPr>
      <w:rFonts w:ascii="仿宋_GB2312" w:eastAsia="仿宋_GB2312"/>
      <w:sz w:val="24"/>
    </w:rPr>
  </w:style>
  <w:style w:type="paragraph" w:customStyle="1" w:styleId="116">
    <w:name w:val="正文（缩进2汉字）"/>
    <w:basedOn w:val="1"/>
    <w:link w:val="87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7">
    <w:name w:val="b11_01b"/>
    <w:basedOn w:val="1"/>
    <w:next w:val="1"/>
    <w:link w:val="89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8">
    <w:name w:val="段落"/>
    <w:basedOn w:val="1"/>
    <w:link w:val="900"/>
    <w:autoRedefine/>
    <w:qFormat/>
    <w:uiPriority w:val="0"/>
    <w:pPr>
      <w:adjustRightInd/>
      <w:spacing w:line="360" w:lineRule="auto"/>
      <w:ind w:firstLine="480" w:firstLineChars="200"/>
    </w:pPr>
    <w:rPr>
      <w:rFonts w:ascii="宋体" w:hAnsi="宋体"/>
      <w:kern w:val="0"/>
      <w:sz w:val="24"/>
      <w:szCs w:val="20"/>
    </w:rPr>
  </w:style>
  <w:style w:type="paragraph" w:customStyle="1" w:styleId="119">
    <w:name w:val="正文段"/>
    <w:basedOn w:val="1"/>
    <w:link w:val="907"/>
    <w:autoRedefine/>
    <w:qFormat/>
    <w:uiPriority w:val="0"/>
    <w:pPr>
      <w:widowControl/>
      <w:snapToGrid w:val="0"/>
      <w:spacing w:after="156" w:afterLines="50"/>
      <w:ind w:firstLine="200" w:firstLineChars="200"/>
    </w:pPr>
    <w:rPr>
      <w:kern w:val="0"/>
      <w:sz w:val="24"/>
      <w:szCs w:val="20"/>
    </w:rPr>
  </w:style>
  <w:style w:type="paragraph" w:customStyle="1" w:styleId="120">
    <w:name w:val="冯广丽"/>
    <w:basedOn w:val="1"/>
    <w:link w:val="910"/>
    <w:autoRedefine/>
    <w:qFormat/>
    <w:uiPriority w:val="0"/>
    <w:pPr>
      <w:adjustRightInd/>
      <w:spacing w:line="360" w:lineRule="auto"/>
      <w:ind w:firstLine="480" w:firstLineChars="200"/>
    </w:pPr>
    <w:rPr>
      <w:rFonts w:ascii="宋体" w:hAnsi="宋体"/>
      <w:sz w:val="24"/>
      <w:szCs w:val="22"/>
    </w:rPr>
  </w:style>
  <w:style w:type="paragraph" w:customStyle="1" w:styleId="121">
    <w:name w:val="编号，小四"/>
    <w:basedOn w:val="1"/>
    <w:link w:val="916"/>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2">
    <w:name w:val="仿宋正文"/>
    <w:basedOn w:val="1"/>
    <w:link w:val="923"/>
    <w:autoRedefine/>
    <w:qFormat/>
    <w:uiPriority w:val="0"/>
    <w:pPr>
      <w:adjustRightInd/>
      <w:spacing w:line="360" w:lineRule="auto"/>
      <w:ind w:firstLine="480" w:firstLineChars="200"/>
    </w:pPr>
    <w:rPr>
      <w:rFonts w:ascii="仿宋_GB2312" w:eastAsia="仿宋_GB2312"/>
      <w:sz w:val="24"/>
      <w:szCs w:val="20"/>
    </w:rPr>
  </w:style>
  <w:style w:type="paragraph" w:customStyle="1" w:styleId="123">
    <w:name w:val="样式 正文缩进 + 首行缩进:  2 字符"/>
    <w:basedOn w:val="17"/>
    <w:link w:val="935"/>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4">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6">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3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132">
    <w:name w:val="正文 内标 序号标"/>
    <w:basedOn w:val="133"/>
    <w:autoRedefine/>
    <w:qFormat/>
    <w:uiPriority w:val="0"/>
    <w:pPr>
      <w:tabs>
        <w:tab w:val="left" w:pos="0"/>
      </w:tabs>
      <w:adjustRightInd/>
      <w:spacing w:before="0"/>
      <w:ind w:firstLine="482"/>
    </w:pPr>
    <w:rPr>
      <w:rFonts w:ascii="微软雅黑" w:hAnsi="微软雅黑"/>
      <w:sz w:val="24"/>
      <w:szCs w:val="24"/>
    </w:rPr>
  </w:style>
  <w:style w:type="paragraph" w:customStyle="1" w:styleId="133">
    <w:name w:val="My正文"/>
    <w:basedOn w:val="1"/>
    <w:autoRedefine/>
    <w:qFormat/>
    <w:uiPriority w:val="0"/>
    <w:pPr>
      <w:spacing w:before="120" w:line="360" w:lineRule="auto"/>
      <w:ind w:firstLine="567"/>
    </w:pPr>
    <w:rPr>
      <w:rFonts w:ascii="Arial" w:hAnsi="Arial"/>
      <w:sz w:val="20"/>
      <w:szCs w:val="20"/>
    </w:rPr>
  </w:style>
  <w:style w:type="paragraph" w:customStyle="1" w:styleId="13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7">
    <w:name w:val="修订2"/>
    <w:autoRedefine/>
    <w:qFormat/>
    <w:uiPriority w:val="0"/>
    <w:rPr>
      <w:rFonts w:ascii="Times New Roman" w:hAnsi="Times New Roman" w:eastAsia="宋体" w:cs="Times New Roman"/>
      <w:kern w:val="2"/>
      <w:sz w:val="21"/>
      <w:lang w:val="en-US" w:eastAsia="zh-CN" w:bidi="ar-SA"/>
    </w:rPr>
  </w:style>
  <w:style w:type="paragraph" w:customStyle="1" w:styleId="13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0">
    <w:name w:val="文章标题"/>
    <w:next w:val="14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2">
    <w:name w:val="Char1 Char Char Char5"/>
    <w:basedOn w:val="1"/>
    <w:autoRedefine/>
    <w:qFormat/>
    <w:uiPriority w:val="0"/>
    <w:pPr>
      <w:adjustRightInd/>
      <w:ind w:firstLine="200" w:firstLineChars="200"/>
    </w:pPr>
    <w:rPr>
      <w:rFonts w:ascii="Tahoma" w:hAnsi="Tahoma"/>
      <w:sz w:val="24"/>
      <w:szCs w:val="20"/>
    </w:rPr>
  </w:style>
  <w:style w:type="paragraph" w:customStyle="1" w:styleId="14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5">
    <w:name w:val="Char Char Char Char Char Char Char Char"/>
    <w:basedOn w:val="1"/>
    <w:autoRedefine/>
    <w:qFormat/>
    <w:uiPriority w:val="0"/>
    <w:pPr>
      <w:tabs>
        <w:tab w:val="left" w:pos="360"/>
      </w:tabs>
    </w:pPr>
    <w:rPr>
      <w:sz w:val="24"/>
      <w:szCs w:val="20"/>
    </w:rPr>
  </w:style>
  <w:style w:type="paragraph" w:customStyle="1" w:styleId="146">
    <w:name w:val="Char Char11 Char Char Char"/>
    <w:basedOn w:val="1"/>
    <w:autoRedefine/>
    <w:qFormat/>
    <w:uiPriority w:val="0"/>
    <w:pPr>
      <w:spacing w:line="360" w:lineRule="auto"/>
    </w:pPr>
    <w:rPr>
      <w:szCs w:val="20"/>
    </w:rPr>
  </w:style>
  <w:style w:type="paragraph" w:customStyle="1" w:styleId="14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9">
    <w:name w:val="样式3"/>
    <w:basedOn w:val="150"/>
    <w:autoRedefine/>
    <w:qFormat/>
    <w:uiPriority w:val="0"/>
    <w:pPr>
      <w:tabs>
        <w:tab w:val="left" w:pos="2790"/>
        <w:tab w:val="left" w:pos="4230"/>
      </w:tabs>
      <w:spacing w:before="312" w:beforeLines="100"/>
      <w:jc w:val="left"/>
    </w:pPr>
  </w:style>
  <w:style w:type="paragraph" w:customStyle="1" w:styleId="15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 Char1 Char Char1 Char Char1"/>
    <w:basedOn w:val="1"/>
    <w:autoRedefine/>
    <w:qFormat/>
    <w:uiPriority w:val="0"/>
    <w:pPr>
      <w:tabs>
        <w:tab w:val="left" w:pos="840"/>
      </w:tabs>
      <w:ind w:left="840" w:hanging="420"/>
    </w:pPr>
    <w:rPr>
      <w:rFonts w:ascii="Tahoma" w:hAnsi="Tahoma"/>
      <w:sz w:val="24"/>
    </w:rPr>
  </w:style>
  <w:style w:type="paragraph" w:customStyle="1" w:styleId="15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3">
    <w:name w:val="标书标题2"/>
    <w:basedOn w:val="5"/>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5">
    <w:name w:val="正文21"/>
    <w:basedOn w:val="1"/>
    <w:autoRedefine/>
    <w:qFormat/>
    <w:uiPriority w:val="0"/>
    <w:pPr>
      <w:adjustRightInd/>
      <w:spacing w:before="156" w:line="360" w:lineRule="auto"/>
      <w:ind w:firstLine="510" w:firstLineChars="200"/>
    </w:pPr>
    <w:rPr>
      <w:sz w:val="24"/>
      <w:szCs w:val="20"/>
    </w:rPr>
  </w:style>
  <w:style w:type="paragraph" w:customStyle="1" w:styleId="156">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autoRedefine/>
    <w:qFormat/>
    <w:uiPriority w:val="0"/>
    <w:rPr>
      <w:rFonts w:ascii="仿宋_GB2312" w:eastAsia="仿宋_GB2312"/>
      <w:b/>
      <w:sz w:val="32"/>
      <w:szCs w:val="32"/>
    </w:rPr>
  </w:style>
  <w:style w:type="paragraph" w:customStyle="1" w:styleId="15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3">
    <w:name w:val="6级标题"/>
    <w:basedOn w:val="164"/>
    <w:autoRedefine/>
    <w:qFormat/>
    <w:uiPriority w:val="0"/>
    <w:pPr>
      <w:keepNext/>
      <w:tabs>
        <w:tab w:val="left" w:pos="360"/>
      </w:tabs>
      <w:spacing w:before="0" w:after="0"/>
      <w:outlineLvl w:val="5"/>
    </w:pPr>
  </w:style>
  <w:style w:type="paragraph" w:customStyle="1" w:styleId="164">
    <w:name w:val="5级标题"/>
    <w:basedOn w:val="165"/>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5">
    <w:name w:val="4级标题"/>
    <w:basedOn w:val="6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7">
    <w:name w:val="Char2 Char Char"/>
    <w:basedOn w:val="1"/>
    <w:autoRedefine/>
    <w:qFormat/>
    <w:uiPriority w:val="0"/>
    <w:pPr>
      <w:adjustRightInd/>
    </w:pPr>
    <w:rPr>
      <w:rFonts w:ascii="Tahoma" w:hAnsi="Tahoma"/>
      <w:sz w:val="24"/>
      <w:szCs w:val="20"/>
    </w:rPr>
  </w:style>
  <w:style w:type="paragraph" w:customStyle="1" w:styleId="168">
    <w:name w:val="_Style 11"/>
    <w:basedOn w:val="1"/>
    <w:autoRedefine/>
    <w:qFormat/>
    <w:uiPriority w:val="34"/>
    <w:pPr>
      <w:adjustRightInd/>
      <w:ind w:firstLine="420" w:firstLineChars="200"/>
    </w:pPr>
    <w:rPr>
      <w:rFonts w:eastAsia="仿宋_GB2312"/>
      <w:sz w:val="28"/>
    </w:rPr>
  </w:style>
  <w:style w:type="paragraph" w:customStyle="1" w:styleId="16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0">
    <w:name w:val="Char Char Char"/>
    <w:basedOn w:val="1"/>
    <w:autoRedefine/>
    <w:qFormat/>
    <w:uiPriority w:val="0"/>
    <w:rPr>
      <w:rFonts w:ascii="Tahoma" w:hAnsi="Tahoma"/>
      <w:sz w:val="24"/>
      <w:szCs w:val="20"/>
    </w:rPr>
  </w:style>
  <w:style w:type="paragraph" w:customStyle="1" w:styleId="171">
    <w:name w:val="数字标题6"/>
    <w:basedOn w:val="9"/>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3">
    <w:name w:val="No Spacing"/>
    <w:basedOn w:val="1"/>
    <w:link w:val="945"/>
    <w:autoRedefine/>
    <w:qFormat/>
    <w:uiPriority w:val="99"/>
    <w:rPr>
      <w:szCs w:val="22"/>
    </w:rPr>
  </w:style>
  <w:style w:type="paragraph" w:customStyle="1" w:styleId="17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5">
    <w:name w:val="Char Char Char Char Char Char Char Char Char Char Char Char1 Char1"/>
    <w:basedOn w:val="1"/>
    <w:autoRedefine/>
    <w:qFormat/>
    <w:uiPriority w:val="6"/>
    <w:rPr>
      <w:rFonts w:ascii="Tahoma" w:hAnsi="Tahoma" w:cs="仿宋_GB2312"/>
      <w:sz w:val="24"/>
      <w:szCs w:val="20"/>
    </w:rPr>
  </w:style>
  <w:style w:type="paragraph" w:customStyle="1" w:styleId="17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9">
    <w:name w:val="MM Topic 2"/>
    <w:basedOn w:val="5"/>
    <w:autoRedefine/>
    <w:qFormat/>
    <w:uiPriority w:val="0"/>
    <w:pPr>
      <w:tabs>
        <w:tab w:val="left" w:pos="1260"/>
        <w:tab w:val="clear" w:pos="432"/>
      </w:tabs>
      <w:ind w:left="1260" w:hanging="420"/>
    </w:pPr>
    <w:rPr>
      <w:rFonts w:ascii="Arial" w:hAnsi="Arial" w:eastAsia="黑体"/>
      <w:lang w:val="en-US"/>
    </w:rPr>
  </w:style>
  <w:style w:type="paragraph" w:customStyle="1" w:styleId="180">
    <w:name w:val="五级无标题条"/>
    <w:basedOn w:val="1"/>
    <w:autoRedefine/>
    <w:qFormat/>
    <w:uiPriority w:val="0"/>
    <w:pPr>
      <w:adjustRightInd/>
    </w:pPr>
  </w:style>
  <w:style w:type="paragraph" w:customStyle="1" w:styleId="181">
    <w:name w:val="Char5"/>
    <w:basedOn w:val="1"/>
    <w:autoRedefine/>
    <w:qFormat/>
    <w:uiPriority w:val="0"/>
    <w:rPr>
      <w:rFonts w:ascii="仿宋_GB2312" w:eastAsia="仿宋_GB2312"/>
      <w:b/>
      <w:sz w:val="32"/>
      <w:szCs w:val="32"/>
    </w:rPr>
  </w:style>
  <w:style w:type="paragraph" w:customStyle="1" w:styleId="182">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3">
    <w:name w:val="彩色列表 - 强调文字颜色 12"/>
    <w:basedOn w:val="1"/>
    <w:autoRedefine/>
    <w:qFormat/>
    <w:uiPriority w:val="0"/>
    <w:pPr>
      <w:adjustRightInd/>
      <w:ind w:firstLine="420" w:firstLineChars="200"/>
    </w:pPr>
    <w:rPr>
      <w:rFonts w:ascii="Calibri" w:hAnsi="Calibri"/>
      <w:szCs w:val="22"/>
    </w:rPr>
  </w:style>
  <w:style w:type="paragraph" w:customStyle="1" w:styleId="18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数字标题3"/>
    <w:basedOn w:val="6"/>
    <w:next w:val="1"/>
    <w:autoRedefine/>
    <w:qFormat/>
    <w:uiPriority w:val="0"/>
    <w:pPr>
      <w:spacing w:line="240" w:lineRule="auto"/>
    </w:pPr>
    <w:rPr>
      <w:sz w:val="28"/>
      <w:szCs w:val="28"/>
    </w:rPr>
  </w:style>
  <w:style w:type="paragraph" w:customStyle="1" w:styleId="187">
    <w:name w:val="FA正文"/>
    <w:basedOn w:val="1"/>
    <w:autoRedefine/>
    <w:qFormat/>
    <w:uiPriority w:val="0"/>
    <w:pPr>
      <w:spacing w:line="360" w:lineRule="auto"/>
      <w:ind w:firstLine="480" w:firstLineChars="200"/>
    </w:pPr>
    <w:rPr>
      <w:rFonts w:hAnsi="宋体"/>
      <w:sz w:val="24"/>
      <w:szCs w:val="20"/>
    </w:rPr>
  </w:style>
  <w:style w:type="paragraph" w:customStyle="1" w:styleId="188">
    <w:name w:val="MM Topic 5"/>
    <w:basedOn w:val="8"/>
    <w:autoRedefine/>
    <w:qFormat/>
    <w:uiPriority w:val="0"/>
    <w:pPr>
      <w:tabs>
        <w:tab w:val="left" w:pos="2520"/>
        <w:tab w:val="clear" w:pos="1008"/>
      </w:tabs>
      <w:adjustRightInd/>
      <w:ind w:left="2520" w:hanging="420"/>
    </w:pPr>
  </w:style>
  <w:style w:type="paragraph" w:customStyle="1" w:styleId="189">
    <w:name w:val="Char Char Char Char Char Char Char Char Char Char1"/>
    <w:basedOn w:val="1"/>
    <w:autoRedefine/>
    <w:qFormat/>
    <w:uiPriority w:val="0"/>
    <w:rPr>
      <w:rFonts w:ascii="仿宋_GB2312" w:eastAsia="仿宋_GB2312"/>
      <w:b/>
      <w:sz w:val="32"/>
      <w:szCs w:val="32"/>
    </w:rPr>
  </w:style>
  <w:style w:type="paragraph" w:customStyle="1" w:styleId="19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2">
    <w:name w:val="Char2 Char Char Char"/>
    <w:basedOn w:val="1"/>
    <w:autoRedefine/>
    <w:qFormat/>
    <w:uiPriority w:val="0"/>
    <w:rPr>
      <w:rFonts w:ascii="仿宋_GB2312" w:eastAsia="仿宋_GB2312"/>
      <w:b/>
      <w:sz w:val="32"/>
      <w:szCs w:val="32"/>
    </w:rPr>
  </w:style>
  <w:style w:type="paragraph" w:customStyle="1" w:styleId="193">
    <w:name w:val="Char2 Char Char Char1"/>
    <w:basedOn w:val="1"/>
    <w:autoRedefine/>
    <w:qFormat/>
    <w:uiPriority w:val="6"/>
    <w:rPr>
      <w:rFonts w:ascii="仿宋_GB2312" w:eastAsia="仿宋_GB2312"/>
      <w:b/>
      <w:sz w:val="32"/>
      <w:szCs w:val="32"/>
    </w:rPr>
  </w:style>
  <w:style w:type="paragraph" w:customStyle="1" w:styleId="194">
    <w:name w:val="默认段落样式"/>
    <w:basedOn w:val="93"/>
    <w:autoRedefine/>
    <w:qFormat/>
    <w:uiPriority w:val="0"/>
    <w:pPr>
      <w:spacing w:before="0"/>
      <w:ind w:firstLine="480"/>
      <w:outlineLvl w:val="2"/>
    </w:pPr>
    <w:rPr>
      <w:rFonts w:ascii="仿宋_GB2312" w:hAnsi="宋体" w:eastAsia="仿宋_GB2312"/>
      <w:color w:val="000000"/>
      <w:szCs w:val="24"/>
    </w:rPr>
  </w:style>
  <w:style w:type="paragraph" w:customStyle="1" w:styleId="19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7">
    <w:name w:val="MM Topic 3"/>
    <w:basedOn w:val="6"/>
    <w:autoRedefine/>
    <w:qFormat/>
    <w:uiPriority w:val="0"/>
    <w:pPr>
      <w:tabs>
        <w:tab w:val="left" w:pos="1680"/>
        <w:tab w:val="clear" w:pos="900"/>
      </w:tabs>
      <w:adjustRightInd/>
      <w:ind w:left="1680" w:hanging="420"/>
    </w:pPr>
  </w:style>
  <w:style w:type="paragraph" w:customStyle="1" w:styleId="198">
    <w:name w:val="标准小四"/>
    <w:basedOn w:val="1"/>
    <w:autoRedefine/>
    <w:qFormat/>
    <w:uiPriority w:val="0"/>
    <w:pPr>
      <w:spacing w:line="360" w:lineRule="auto"/>
      <w:ind w:firstLine="480" w:firstLineChars="200"/>
    </w:pPr>
    <w:rPr>
      <w:rFonts w:ascii="Arial" w:hAnsi="Arial"/>
      <w:sz w:val="24"/>
      <w:szCs w:val="21"/>
    </w:rPr>
  </w:style>
  <w:style w:type="paragraph" w:customStyle="1" w:styleId="199">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200">
    <w:name w:val="表格（小）"/>
    <w:basedOn w:val="1"/>
    <w:autoRedefine/>
    <w:qFormat/>
    <w:uiPriority w:val="0"/>
    <w:pPr>
      <w:adjustRightInd/>
      <w:snapToGrid w:val="0"/>
      <w:spacing w:line="300" w:lineRule="auto"/>
    </w:pPr>
    <w:rPr>
      <w:rFonts w:eastAsia="仿宋"/>
      <w:szCs w:val="21"/>
    </w:rPr>
  </w:style>
  <w:style w:type="paragraph" w:customStyle="1" w:styleId="20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2">
    <w:name w:val="Char2 Char Char1"/>
    <w:basedOn w:val="1"/>
    <w:autoRedefine/>
    <w:qFormat/>
    <w:uiPriority w:val="6"/>
    <w:pPr>
      <w:adjustRightInd/>
    </w:pPr>
    <w:rPr>
      <w:rFonts w:ascii="Tahoma" w:hAnsi="Tahoma"/>
      <w:sz w:val="24"/>
      <w:szCs w:val="20"/>
    </w:rPr>
  </w:style>
  <w:style w:type="paragraph" w:customStyle="1" w:styleId="20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1"/>
    <w:next w:val="25"/>
    <w:autoRedefine/>
    <w:qFormat/>
    <w:uiPriority w:val="0"/>
    <w:pPr>
      <w:adjustRightInd/>
      <w:ind w:firstLine="200" w:firstLineChars="200"/>
    </w:pPr>
    <w:rPr>
      <w:rFonts w:ascii="Arial" w:hAnsi="Arial"/>
      <w:spacing w:val="-5"/>
      <w:kern w:val="0"/>
      <w:sz w:val="24"/>
      <w:szCs w:val="20"/>
    </w:rPr>
  </w:style>
  <w:style w:type="paragraph" w:customStyle="1" w:styleId="20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1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1">
    <w:name w:val="_Style 3"/>
    <w:basedOn w:val="1"/>
    <w:autoRedefine/>
    <w:qFormat/>
    <w:uiPriority w:val="0"/>
    <w:pPr>
      <w:adjustRightInd/>
      <w:ind w:firstLine="420" w:firstLineChars="200"/>
    </w:pPr>
    <w:rPr>
      <w:rFonts w:eastAsia="仿宋_GB2312"/>
      <w:sz w:val="28"/>
    </w:rPr>
  </w:style>
  <w:style w:type="paragraph" w:customStyle="1" w:styleId="21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3">
    <w:name w:val="Bulleting First Indent 1"/>
    <w:basedOn w:val="26"/>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4">
    <w:name w:val="左对齐表格文字"/>
    <w:basedOn w:val="1"/>
    <w:autoRedefine/>
    <w:qFormat/>
    <w:uiPriority w:val="0"/>
    <w:pPr>
      <w:adjustRightInd/>
      <w:ind w:firstLine="200" w:firstLineChars="200"/>
      <w:jc w:val="right"/>
    </w:pPr>
  </w:style>
  <w:style w:type="paragraph" w:customStyle="1" w:styleId="215">
    <w:name w:val="Char Char11 Char Char Char Char Char Char Char Char Char"/>
    <w:basedOn w:val="1"/>
    <w:autoRedefine/>
    <w:qFormat/>
    <w:uiPriority w:val="0"/>
    <w:pPr>
      <w:spacing w:line="360" w:lineRule="auto"/>
    </w:pPr>
    <w:rPr>
      <w:szCs w:val="20"/>
    </w:rPr>
  </w:style>
  <w:style w:type="paragraph" w:customStyle="1" w:styleId="216">
    <w:name w:val="正文1.25"/>
    <w:basedOn w:val="1"/>
    <w:autoRedefine/>
    <w:qFormat/>
    <w:uiPriority w:val="0"/>
    <w:pPr>
      <w:adjustRightInd/>
      <w:spacing w:line="300" w:lineRule="auto"/>
      <w:ind w:firstLine="480" w:firstLineChars="200"/>
    </w:pPr>
    <w:rPr>
      <w:sz w:val="24"/>
      <w:szCs w:val="20"/>
    </w:rPr>
  </w:style>
  <w:style w:type="paragraph" w:customStyle="1" w:styleId="21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0">
    <w:name w:val="Char Char1 Char Char Char1"/>
    <w:basedOn w:val="1"/>
    <w:autoRedefine/>
    <w:qFormat/>
    <w:uiPriority w:val="6"/>
    <w:rPr>
      <w:rFonts w:ascii="仿宋_GB2312" w:eastAsia="仿宋_GB2312"/>
      <w:b/>
      <w:sz w:val="32"/>
      <w:szCs w:val="20"/>
    </w:rPr>
  </w:style>
  <w:style w:type="paragraph" w:customStyle="1" w:styleId="221">
    <w:name w:val="列出段落2"/>
    <w:basedOn w:val="1"/>
    <w:autoRedefine/>
    <w:qFormat/>
    <w:uiPriority w:val="0"/>
    <w:pPr>
      <w:adjustRightInd/>
      <w:ind w:firstLine="420" w:firstLineChars="200"/>
    </w:pPr>
    <w:rPr>
      <w:rFonts w:ascii="宋体" w:hAnsi="宋体"/>
      <w:sz w:val="24"/>
    </w:rPr>
  </w:style>
  <w:style w:type="paragraph" w:customStyle="1" w:styleId="222">
    <w:name w:val="默认段落字体 Para Char Char Char Char Char Char Char"/>
    <w:basedOn w:val="1"/>
    <w:autoRedefine/>
    <w:qFormat/>
    <w:uiPriority w:val="0"/>
    <w:rPr>
      <w:rFonts w:eastAsia="仿宋_GB2312"/>
      <w:sz w:val="28"/>
      <w:szCs w:val="20"/>
    </w:rPr>
  </w:style>
  <w:style w:type="paragraph" w:customStyle="1" w:styleId="22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4">
    <w:name w:val="样式 标题 4PIM 4H4h4bulletblbbH41H42H43H44H45H46H47H48...1"/>
    <w:basedOn w:val="7"/>
    <w:autoRedefine/>
    <w:qFormat/>
    <w:uiPriority w:val="0"/>
    <w:pPr>
      <w:widowControl/>
      <w:jc w:val="left"/>
    </w:pPr>
    <w:rPr>
      <w:rFonts w:cs="宋体"/>
      <w:sz w:val="24"/>
      <w:szCs w:val="20"/>
    </w:rPr>
  </w:style>
  <w:style w:type="paragraph" w:customStyle="1" w:styleId="225">
    <w:name w:val="彩色列表 - 强调文字颜色 11"/>
    <w:basedOn w:val="1"/>
    <w:autoRedefine/>
    <w:qFormat/>
    <w:uiPriority w:val="0"/>
    <w:pPr>
      <w:adjustRightInd/>
      <w:ind w:firstLine="420" w:firstLineChars="200"/>
    </w:pPr>
    <w:rPr>
      <w:rFonts w:ascii="Calibri" w:hAnsi="Calibri"/>
      <w:szCs w:val="22"/>
    </w:rPr>
  </w:style>
  <w:style w:type="paragraph" w:customStyle="1" w:styleId="22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9">
    <w:name w:val="Char Char Char1 Char1"/>
    <w:basedOn w:val="1"/>
    <w:autoRedefine/>
    <w:qFormat/>
    <w:uiPriority w:val="6"/>
    <w:rPr>
      <w:szCs w:val="20"/>
    </w:rPr>
  </w:style>
  <w:style w:type="paragraph" w:customStyle="1" w:styleId="23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1">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CM14"/>
    <w:basedOn w:val="104"/>
    <w:next w:val="104"/>
    <w:autoRedefine/>
    <w:qFormat/>
    <w:uiPriority w:val="0"/>
    <w:pPr>
      <w:spacing w:after="68"/>
    </w:pPr>
    <w:rPr>
      <w:rFonts w:ascii="FHLHE E+ Futura Bk" w:eastAsia="FHLHE E+ Futura Bk" w:cs="Times New Roman"/>
      <w:color w:val="auto"/>
    </w:rPr>
  </w:style>
  <w:style w:type="paragraph" w:customStyle="1" w:styleId="23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9">
    <w:name w:val="正文文字 2"/>
    <w:basedOn w:val="104"/>
    <w:next w:val="104"/>
    <w:autoRedefine/>
    <w:qFormat/>
    <w:uiPriority w:val="0"/>
    <w:rPr>
      <w:rFonts w:ascii="宋体" w:eastAsia="宋体" w:cs="Times New Roman"/>
      <w:color w:val="auto"/>
    </w:rPr>
  </w:style>
  <w:style w:type="paragraph" w:customStyle="1" w:styleId="24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autoRedefine/>
    <w:qFormat/>
    <w:uiPriority w:val="0"/>
    <w:rPr>
      <w:rFonts w:ascii="仿宋_GB2312" w:eastAsia="仿宋_GB2312"/>
      <w:b/>
      <w:sz w:val="32"/>
      <w:szCs w:val="32"/>
    </w:rPr>
  </w:style>
  <w:style w:type="paragraph" w:customStyle="1" w:styleId="24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4">
    <w:name w:val="Char Char111"/>
    <w:basedOn w:val="1"/>
    <w:autoRedefine/>
    <w:qFormat/>
    <w:uiPriority w:val="0"/>
    <w:pPr>
      <w:spacing w:line="360" w:lineRule="auto"/>
    </w:pPr>
    <w:rPr>
      <w:szCs w:val="20"/>
    </w:rPr>
  </w:style>
  <w:style w:type="paragraph" w:customStyle="1" w:styleId="24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autoRedefine/>
    <w:qFormat/>
    <w:uiPriority w:val="0"/>
    <w:rPr>
      <w:szCs w:val="20"/>
    </w:rPr>
  </w:style>
  <w:style w:type="paragraph" w:customStyle="1" w:styleId="24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autoRedefine/>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autoRedefine/>
    <w:qFormat/>
    <w:uiPriority w:val="0"/>
    <w:rPr>
      <w:szCs w:val="20"/>
    </w:rPr>
  </w:style>
  <w:style w:type="paragraph" w:customStyle="1" w:styleId="27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2">
    <w:name w:val="标题五"/>
    <w:basedOn w:val="1"/>
    <w:autoRedefine/>
    <w:qFormat/>
    <w:uiPriority w:val="0"/>
    <w:pPr>
      <w:adjustRightInd/>
      <w:spacing w:before="156" w:beforeLines="50" w:line="360" w:lineRule="auto"/>
    </w:pPr>
    <w:rPr>
      <w:b/>
      <w:sz w:val="24"/>
    </w:rPr>
  </w:style>
  <w:style w:type="paragraph" w:customStyle="1" w:styleId="273">
    <w:name w:val="Char Char1101"/>
    <w:basedOn w:val="1"/>
    <w:autoRedefine/>
    <w:qFormat/>
    <w:uiPriority w:val="0"/>
    <w:pPr>
      <w:spacing w:line="360" w:lineRule="auto"/>
    </w:pPr>
    <w:rPr>
      <w:rFonts w:ascii="Tahoma" w:hAnsi="Tahoma"/>
      <w:sz w:val="24"/>
      <w:szCs w:val="20"/>
    </w:rPr>
  </w:style>
  <w:style w:type="paragraph" w:customStyle="1" w:styleId="274">
    <w:name w:val="Char Char Char Char Char Char Char Char1"/>
    <w:basedOn w:val="1"/>
    <w:autoRedefine/>
    <w:qFormat/>
    <w:uiPriority w:val="0"/>
    <w:pPr>
      <w:tabs>
        <w:tab w:val="left" w:pos="360"/>
      </w:tabs>
    </w:pPr>
    <w:rPr>
      <w:sz w:val="24"/>
      <w:szCs w:val="20"/>
    </w:rPr>
  </w:style>
  <w:style w:type="paragraph" w:customStyle="1" w:styleId="275">
    <w:name w:val="Char Char Char 字元 字元"/>
    <w:basedOn w:val="1"/>
    <w:autoRedefine/>
    <w:qFormat/>
    <w:uiPriority w:val="0"/>
    <w:pPr>
      <w:adjustRightInd/>
      <w:spacing w:line="360" w:lineRule="auto"/>
      <w:ind w:firstLine="200" w:firstLineChars="200"/>
    </w:pPr>
    <w:rPr>
      <w:szCs w:val="20"/>
    </w:rPr>
  </w:style>
  <w:style w:type="paragraph" w:customStyle="1" w:styleId="27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autoRedefine/>
    <w:qFormat/>
    <w:uiPriority w:val="0"/>
    <w:rPr>
      <w:rFonts w:ascii="仿宋_GB2312" w:eastAsia="仿宋_GB2312"/>
      <w:b/>
      <w:sz w:val="32"/>
      <w:szCs w:val="32"/>
    </w:rPr>
  </w:style>
  <w:style w:type="paragraph" w:customStyle="1" w:styleId="27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autoRedefine/>
    <w:qFormat/>
    <w:uiPriority w:val="0"/>
    <w:pPr>
      <w:adjustRightInd/>
    </w:pPr>
    <w:rPr>
      <w:sz w:val="18"/>
      <w:szCs w:val="20"/>
    </w:rPr>
  </w:style>
  <w:style w:type="paragraph" w:customStyle="1" w:styleId="28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autoRedefine/>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59"/>
    <w:autoRedefine/>
    <w:qFormat/>
    <w:uiPriority w:val="0"/>
    <w:pPr>
      <w:snapToGrid w:val="0"/>
      <w:spacing w:line="360" w:lineRule="auto"/>
    </w:pPr>
    <w:rPr>
      <w:rFonts w:ascii="宋体"/>
      <w:b/>
      <w:sz w:val="24"/>
      <w:szCs w:val="20"/>
    </w:rPr>
  </w:style>
  <w:style w:type="paragraph" w:customStyle="1" w:styleId="29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4">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autoRedefine/>
    <w:qFormat/>
    <w:uiPriority w:val="7"/>
    <w:pPr>
      <w:adjustRightInd/>
    </w:pPr>
    <w:rPr>
      <w:rFonts w:ascii="宋体" w:hAnsi="Courier New"/>
    </w:rPr>
  </w:style>
  <w:style w:type="paragraph" w:customStyle="1" w:styleId="296">
    <w:name w:val="Char3"/>
    <w:basedOn w:val="1"/>
    <w:autoRedefine/>
    <w:qFormat/>
    <w:uiPriority w:val="0"/>
    <w:pPr>
      <w:adjustRightInd/>
    </w:pPr>
    <w:rPr>
      <w:rFonts w:ascii="仿宋_GB2312" w:eastAsia="仿宋_GB2312"/>
      <w:b/>
      <w:sz w:val="32"/>
      <w:szCs w:val="32"/>
    </w:rPr>
  </w:style>
  <w:style w:type="paragraph" w:customStyle="1" w:styleId="29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5"/>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autoRedefine/>
    <w:qFormat/>
    <w:uiPriority w:val="0"/>
    <w:pPr>
      <w:widowControl/>
      <w:adjustRightInd/>
      <w:spacing w:after="160" w:line="240" w:lineRule="exact"/>
      <w:jc w:val="left"/>
    </w:pPr>
    <w:rPr>
      <w:szCs w:val="20"/>
    </w:rPr>
  </w:style>
  <w:style w:type="paragraph" w:customStyle="1" w:styleId="305">
    <w:name w:val="表格标题2"/>
    <w:basedOn w:val="306"/>
    <w:autoRedefine/>
    <w:qFormat/>
    <w:uiPriority w:val="0"/>
    <w:rPr>
      <w:b/>
    </w:rPr>
  </w:style>
  <w:style w:type="paragraph" w:customStyle="1" w:styleId="306">
    <w:name w:val="表格内文"/>
    <w:basedOn w:val="1"/>
    <w:autoRedefine/>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autoRedefine/>
    <w:qFormat/>
    <w:uiPriority w:val="0"/>
    <w:rPr>
      <w:rFonts w:ascii="仿宋_GB2312" w:eastAsia="仿宋_GB2312"/>
      <w:b/>
      <w:sz w:val="32"/>
      <w:szCs w:val="32"/>
    </w:rPr>
  </w:style>
  <w:style w:type="paragraph" w:customStyle="1" w:styleId="30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autoRedefine/>
    <w:qFormat/>
    <w:uiPriority w:val="0"/>
    <w:pPr>
      <w:spacing w:line="360" w:lineRule="auto"/>
    </w:pPr>
    <w:rPr>
      <w:szCs w:val="20"/>
    </w:rPr>
  </w:style>
  <w:style w:type="paragraph" w:customStyle="1" w:styleId="31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3">
    <w:name w:val="MM Topic 1"/>
    <w:basedOn w:val="4"/>
    <w:autoRedefine/>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autoRedefine/>
    <w:qFormat/>
    <w:uiPriority w:val="0"/>
    <w:pPr>
      <w:spacing w:line="360" w:lineRule="auto"/>
      <w:ind w:firstLine="200" w:firstLineChars="200"/>
    </w:pPr>
    <w:rPr>
      <w:kern w:val="0"/>
      <w:sz w:val="24"/>
      <w:szCs w:val="20"/>
    </w:rPr>
  </w:style>
  <w:style w:type="paragraph" w:customStyle="1" w:styleId="316">
    <w:name w:val="表格"/>
    <w:basedOn w:val="1"/>
    <w:autoRedefine/>
    <w:qFormat/>
    <w:uiPriority w:val="0"/>
    <w:pPr>
      <w:snapToGrid w:val="0"/>
      <w:ind w:firstLine="42" w:firstLineChars="21"/>
    </w:pPr>
    <w:rPr>
      <w:rFonts w:ascii="宋体" w:hAnsi="宋体"/>
      <w:kern w:val="0"/>
      <w:sz w:val="20"/>
      <w:szCs w:val="20"/>
    </w:rPr>
  </w:style>
  <w:style w:type="paragraph" w:customStyle="1" w:styleId="317">
    <w:name w:val="标书标题4"/>
    <w:basedOn w:val="7"/>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32"/>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autoRedefine/>
    <w:qFormat/>
    <w:uiPriority w:val="0"/>
    <w:pPr>
      <w:adjustRightInd/>
      <w:spacing w:line="300" w:lineRule="auto"/>
      <w:jc w:val="center"/>
    </w:pPr>
  </w:style>
  <w:style w:type="paragraph" w:customStyle="1" w:styleId="322">
    <w:name w:val="_Style 6"/>
    <w:basedOn w:val="1"/>
    <w:autoRedefine/>
    <w:qFormat/>
    <w:uiPriority w:val="34"/>
    <w:pPr>
      <w:adjustRightInd/>
      <w:ind w:firstLine="420" w:firstLineChars="200"/>
    </w:pPr>
    <w:rPr>
      <w:rFonts w:eastAsia="仿宋_GB2312"/>
      <w:sz w:val="28"/>
    </w:rPr>
  </w:style>
  <w:style w:type="paragraph" w:customStyle="1" w:styleId="32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0">
    <w:name w:val="trademark"/>
    <w:autoRedefine/>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autoRedefine/>
    <w:qFormat/>
    <w:uiPriority w:val="0"/>
    <w:rPr>
      <w:rFonts w:ascii="仿宋_GB2312" w:eastAsia="仿宋_GB2312"/>
      <w:b/>
      <w:sz w:val="32"/>
      <w:szCs w:val="20"/>
    </w:rPr>
  </w:style>
  <w:style w:type="paragraph" w:customStyle="1" w:styleId="33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autoRedefine/>
    <w:qFormat/>
    <w:uiPriority w:val="0"/>
    <w:pPr>
      <w:adjustRightInd/>
      <w:ind w:firstLine="200" w:firstLineChars="200"/>
    </w:pPr>
    <w:rPr>
      <w:rFonts w:ascii="Tahoma" w:hAnsi="Tahoma"/>
      <w:sz w:val="24"/>
      <w:szCs w:val="20"/>
    </w:rPr>
  </w:style>
  <w:style w:type="paragraph" w:customStyle="1" w:styleId="335">
    <w:name w:val="a1"/>
    <w:basedOn w:val="1"/>
    <w:autoRedefine/>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autoRedefine/>
    <w:qFormat/>
    <w:uiPriority w:val="0"/>
    <w:pPr>
      <w:spacing w:after="156" w:afterLines="50"/>
      <w:jc w:val="left"/>
      <w:outlineLvl w:val="3"/>
    </w:pPr>
    <w:rPr>
      <w:sz w:val="24"/>
      <w:szCs w:val="24"/>
    </w:rPr>
  </w:style>
  <w:style w:type="paragraph" w:customStyle="1" w:styleId="33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50"/>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autoRedefine/>
    <w:qFormat/>
    <w:uiPriority w:val="0"/>
    <w:pPr>
      <w:adjustRightInd/>
    </w:pPr>
    <w:rPr>
      <w:rFonts w:ascii="Tahoma" w:hAnsi="Tahoma"/>
      <w:sz w:val="24"/>
      <w:szCs w:val="20"/>
    </w:rPr>
  </w:style>
  <w:style w:type="paragraph" w:customStyle="1" w:styleId="34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autoRedefine/>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autoRedefine/>
    <w:qFormat/>
    <w:uiPriority w:val="0"/>
    <w:pPr>
      <w:tabs>
        <w:tab w:val="left" w:pos="1260"/>
        <w:tab w:val="left" w:pos="1680"/>
        <w:tab w:val="left" w:pos="2100"/>
      </w:tabs>
      <w:ind w:left="0"/>
      <w:outlineLvl w:val="3"/>
    </w:pPr>
  </w:style>
  <w:style w:type="paragraph" w:customStyle="1" w:styleId="345">
    <w:name w:val="一级条标题"/>
    <w:basedOn w:val="346"/>
    <w:next w:val="328"/>
    <w:autoRedefine/>
    <w:qFormat/>
    <w:uiPriority w:val="0"/>
    <w:pPr>
      <w:tabs>
        <w:tab w:val="left" w:pos="1260"/>
        <w:tab w:val="left" w:pos="1680"/>
      </w:tabs>
      <w:spacing w:before="0" w:beforeLines="0" w:after="0" w:afterLines="0"/>
      <w:ind w:left="1680"/>
      <w:outlineLvl w:val="2"/>
    </w:pPr>
  </w:style>
  <w:style w:type="paragraph" w:customStyle="1" w:styleId="346">
    <w:name w:val="章标题"/>
    <w:next w:val="32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5"/>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4"/>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4"/>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autoRedefine/>
    <w:qFormat/>
    <w:uiPriority w:val="0"/>
    <w:pPr>
      <w:tabs>
        <w:tab w:val="left" w:pos="840"/>
      </w:tabs>
      <w:spacing w:after="0"/>
      <w:ind w:left="900"/>
    </w:pPr>
  </w:style>
  <w:style w:type="paragraph" w:customStyle="1" w:styleId="35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autoRedefine/>
    <w:qFormat/>
    <w:uiPriority w:val="6"/>
    <w:pPr>
      <w:widowControl/>
      <w:adjustRightInd/>
      <w:ind w:left="720" w:hanging="720"/>
    </w:pPr>
    <w:rPr>
      <w:color w:val="000000"/>
      <w:kern w:val="0"/>
      <w:sz w:val="24"/>
      <w:szCs w:val="20"/>
    </w:rPr>
  </w:style>
  <w:style w:type="paragraph" w:customStyle="1" w:styleId="356">
    <w:name w:val="表1"/>
    <w:basedOn w:val="1"/>
    <w:autoRedefine/>
    <w:qFormat/>
    <w:uiPriority w:val="0"/>
    <w:pPr>
      <w:tabs>
        <w:tab w:val="left" w:pos="703"/>
      </w:tabs>
      <w:adjustRightInd/>
      <w:spacing w:line="360" w:lineRule="auto"/>
      <w:ind w:left="703"/>
      <w:jc w:val="center"/>
    </w:pPr>
  </w:style>
  <w:style w:type="paragraph" w:customStyle="1" w:styleId="35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0">
    <w:name w:val="2级标题"/>
    <w:basedOn w:val="361"/>
    <w:autoRedefine/>
    <w:qFormat/>
    <w:uiPriority w:val="0"/>
    <w:pPr>
      <w:jc w:val="left"/>
      <w:outlineLvl w:val="1"/>
    </w:pPr>
    <w:rPr>
      <w:rFonts w:ascii="Times New Roman" w:hAnsi="Times New Roman" w:eastAsia="仿宋"/>
      <w:sz w:val="30"/>
    </w:rPr>
  </w:style>
  <w:style w:type="paragraph" w:customStyle="1" w:styleId="36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autoRedefine/>
    <w:qFormat/>
    <w:uiPriority w:val="0"/>
    <w:pPr>
      <w:tabs>
        <w:tab w:val="left" w:pos="840"/>
      </w:tabs>
      <w:adjustRightInd/>
      <w:ind w:left="840" w:hanging="420"/>
    </w:pPr>
  </w:style>
  <w:style w:type="paragraph" w:customStyle="1" w:styleId="36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7"/>
    <w:autoRedefine/>
    <w:qFormat/>
    <w:uiPriority w:val="0"/>
    <w:pPr>
      <w:tabs>
        <w:tab w:val="left" w:pos="2100"/>
        <w:tab w:val="clear" w:pos="864"/>
      </w:tabs>
      <w:adjustRightInd/>
      <w:ind w:left="2100" w:hanging="420"/>
    </w:pPr>
    <w:rPr>
      <w:lang w:val="en-US"/>
    </w:rPr>
  </w:style>
  <w:style w:type="paragraph" w:customStyle="1" w:styleId="37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7">
    <w:name w:val="Char Char11 Char Char Char Char Char Char Char Char Char1"/>
    <w:basedOn w:val="1"/>
    <w:autoRedefine/>
    <w:qFormat/>
    <w:uiPriority w:val="6"/>
    <w:pPr>
      <w:spacing w:line="360" w:lineRule="auto"/>
    </w:pPr>
    <w:rPr>
      <w:szCs w:val="20"/>
    </w:rPr>
  </w:style>
  <w:style w:type="paragraph" w:customStyle="1" w:styleId="37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25"/>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autoRedefine/>
    <w:qFormat/>
    <w:uiPriority w:val="0"/>
    <w:pPr>
      <w:adjustRightInd/>
      <w:spacing w:line="360" w:lineRule="auto"/>
      <w:jc w:val="center"/>
    </w:pPr>
    <w:rPr>
      <w:sz w:val="24"/>
    </w:rPr>
  </w:style>
  <w:style w:type="paragraph" w:customStyle="1" w:styleId="38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autoRedefine/>
    <w:qFormat/>
    <w:uiPriority w:val="6"/>
    <w:rPr>
      <w:rFonts w:ascii="仿宋_GB2312" w:eastAsia="仿宋_GB2312"/>
      <w:b/>
      <w:sz w:val="32"/>
      <w:szCs w:val="32"/>
    </w:rPr>
  </w:style>
  <w:style w:type="paragraph" w:customStyle="1" w:styleId="390">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autoRedefine/>
    <w:qFormat/>
    <w:uiPriority w:val="0"/>
    <w:pPr>
      <w:widowControl/>
      <w:adjustRightInd/>
      <w:spacing w:after="160" w:line="240" w:lineRule="exact"/>
      <w:jc w:val="left"/>
    </w:pPr>
    <w:rPr>
      <w:szCs w:val="20"/>
    </w:rPr>
  </w:style>
  <w:style w:type="paragraph" w:customStyle="1" w:styleId="393">
    <w:name w:val="Char Char1121"/>
    <w:basedOn w:val="1"/>
    <w:autoRedefine/>
    <w:qFormat/>
    <w:uiPriority w:val="0"/>
    <w:pPr>
      <w:spacing w:line="360" w:lineRule="auto"/>
    </w:pPr>
    <w:rPr>
      <w:szCs w:val="20"/>
    </w:rPr>
  </w:style>
  <w:style w:type="paragraph" w:customStyle="1" w:styleId="39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6">
    <w:name w:val="Normal0"/>
    <w:autoRedefine/>
    <w:qFormat/>
    <w:uiPriority w:val="0"/>
    <w:rPr>
      <w:rFonts w:ascii="Times New Roman" w:hAnsi="Times New Roman" w:eastAsia="宋体" w:cs="Times New Roman"/>
      <w:lang w:val="en-US" w:eastAsia="en-US" w:bidi="ar-SA"/>
    </w:rPr>
  </w:style>
  <w:style w:type="paragraph" w:customStyle="1" w:styleId="397">
    <w:name w:val="带编号样式"/>
    <w:basedOn w:val="315"/>
    <w:autoRedefine/>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autoRedefine/>
    <w:qFormat/>
    <w:uiPriority w:val="0"/>
    <w:pPr>
      <w:spacing w:line="240" w:lineRule="atLeast"/>
      <w:ind w:left="420" w:firstLine="420"/>
    </w:pPr>
    <w:rPr>
      <w:sz w:val="24"/>
    </w:rPr>
  </w:style>
  <w:style w:type="paragraph" w:customStyle="1" w:styleId="404">
    <w:name w:val="WW-正文文字缩进 2"/>
    <w:basedOn w:val="1"/>
    <w:autoRedefine/>
    <w:qFormat/>
    <w:uiPriority w:val="0"/>
    <w:pPr>
      <w:suppressAutoHyphens/>
      <w:adjustRightInd/>
      <w:ind w:firstLine="420"/>
    </w:pPr>
    <w:rPr>
      <w:kern w:val="1"/>
      <w:szCs w:val="20"/>
    </w:rPr>
  </w:style>
  <w:style w:type="paragraph" w:customStyle="1" w:styleId="40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407">
    <w:name w:val="有符号正文"/>
    <w:basedOn w:val="1"/>
    <w:autoRedefine/>
    <w:qFormat/>
    <w:uiPriority w:val="0"/>
    <w:pPr>
      <w:adjustRightInd/>
      <w:spacing w:line="400" w:lineRule="exact"/>
      <w:ind w:firstLine="200" w:firstLineChars="200"/>
    </w:pPr>
    <w:rPr>
      <w:rFonts w:ascii="Arial" w:hAnsi="Arial"/>
    </w:rPr>
  </w:style>
  <w:style w:type="paragraph" w:customStyle="1" w:styleId="40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40"/>
    <w:autoRedefine/>
    <w:qFormat/>
    <w:uiPriority w:val="0"/>
    <w:pPr>
      <w:spacing w:after="120" w:line="480" w:lineRule="auto"/>
      <w:ind w:left="420" w:leftChars="200"/>
    </w:pPr>
    <w:rPr>
      <w:sz w:val="24"/>
      <w:szCs w:val="20"/>
    </w:rPr>
  </w:style>
  <w:style w:type="paragraph" w:customStyle="1" w:styleId="41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6"/>
    <w:autoRedefine/>
    <w:qFormat/>
    <w:uiPriority w:val="0"/>
    <w:pPr>
      <w:spacing w:before="0" w:after="0" w:line="240" w:lineRule="auto"/>
      <w:jc w:val="left"/>
    </w:pPr>
    <w:rPr>
      <w:rFonts w:cs="宋体"/>
      <w:sz w:val="21"/>
      <w:szCs w:val="20"/>
    </w:rPr>
  </w:style>
  <w:style w:type="paragraph" w:customStyle="1" w:styleId="41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autoRedefine/>
    <w:qFormat/>
    <w:uiPriority w:val="0"/>
    <w:rPr>
      <w:rFonts w:ascii="仿宋_GB2312" w:eastAsia="仿宋_GB2312"/>
      <w:b/>
      <w:sz w:val="32"/>
      <w:szCs w:val="20"/>
    </w:rPr>
  </w:style>
  <w:style w:type="paragraph" w:customStyle="1" w:styleId="42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autoRedefine/>
    <w:qFormat/>
    <w:uiPriority w:val="0"/>
    <w:rPr>
      <w:rFonts w:ascii="仿宋_GB2312" w:eastAsia="仿宋_GB2312"/>
      <w:b/>
      <w:sz w:val="32"/>
      <w:szCs w:val="32"/>
    </w:rPr>
  </w:style>
  <w:style w:type="paragraph" w:customStyle="1" w:styleId="424">
    <w:name w:val="Char3 Char Char Char1"/>
    <w:basedOn w:val="1"/>
    <w:autoRedefine/>
    <w:qFormat/>
    <w:uiPriority w:val="6"/>
    <w:pPr>
      <w:widowControl/>
      <w:adjustRightInd/>
      <w:spacing w:after="160" w:line="240" w:lineRule="exact"/>
      <w:jc w:val="left"/>
    </w:pPr>
    <w:rPr>
      <w:szCs w:val="20"/>
    </w:rPr>
  </w:style>
  <w:style w:type="paragraph" w:customStyle="1" w:styleId="425">
    <w:name w:val="Char1 Char Char Char21"/>
    <w:basedOn w:val="1"/>
    <w:autoRedefine/>
    <w:qFormat/>
    <w:uiPriority w:val="0"/>
    <w:rPr>
      <w:rFonts w:ascii="Tahoma" w:hAnsi="Tahoma"/>
      <w:sz w:val="24"/>
      <w:szCs w:val="20"/>
    </w:rPr>
  </w:style>
  <w:style w:type="paragraph" w:customStyle="1" w:styleId="42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autoRedefine/>
    <w:qFormat/>
    <w:uiPriority w:val="0"/>
    <w:pPr>
      <w:spacing w:line="360" w:lineRule="auto"/>
      <w:ind w:firstLine="200" w:firstLineChars="200"/>
    </w:pPr>
    <w:rPr>
      <w:sz w:val="24"/>
    </w:rPr>
  </w:style>
  <w:style w:type="paragraph" w:customStyle="1" w:styleId="42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autoRedefine/>
    <w:qFormat/>
    <w:uiPriority w:val="0"/>
    <w:pPr>
      <w:adjustRightInd/>
      <w:ind w:firstLine="200" w:firstLineChars="200"/>
    </w:pPr>
    <w:rPr>
      <w:rFonts w:ascii="Tahoma" w:hAnsi="Tahoma"/>
      <w:sz w:val="24"/>
      <w:szCs w:val="20"/>
    </w:rPr>
  </w:style>
  <w:style w:type="paragraph" w:customStyle="1" w:styleId="434">
    <w:name w:val="_标题2"/>
    <w:basedOn w:val="401"/>
    <w:next w:val="40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5">
    <w:name w:val="样式1 + (中宋体"/>
    <w:basedOn w:val="41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autoRedefine/>
    <w:qFormat/>
    <w:uiPriority w:val="0"/>
    <w:pPr>
      <w:adjustRightInd/>
      <w:spacing w:line="360" w:lineRule="auto"/>
    </w:pPr>
    <w:rPr>
      <w:rFonts w:ascii="宋体" w:hAnsi="宋体"/>
      <w:szCs w:val="20"/>
    </w:rPr>
  </w:style>
  <w:style w:type="paragraph" w:customStyle="1" w:styleId="44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autoRedefine/>
    <w:qFormat/>
    <w:uiPriority w:val="0"/>
    <w:pPr>
      <w:adjustRightInd/>
    </w:pPr>
    <w:rPr>
      <w:rFonts w:ascii="Tahoma" w:hAnsi="Tahoma"/>
      <w:sz w:val="24"/>
    </w:rPr>
  </w:style>
  <w:style w:type="paragraph" w:customStyle="1" w:styleId="442">
    <w:name w:val="Char Char Char Char11"/>
    <w:basedOn w:val="1"/>
    <w:autoRedefine/>
    <w:qFormat/>
    <w:uiPriority w:val="0"/>
    <w:rPr>
      <w:rFonts w:ascii="Tahoma" w:hAnsi="Tahoma"/>
      <w:sz w:val="24"/>
      <w:szCs w:val="20"/>
    </w:rPr>
  </w:style>
  <w:style w:type="paragraph" w:customStyle="1" w:styleId="44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autoRedefine/>
    <w:qFormat/>
    <w:uiPriority w:val="0"/>
    <w:rPr>
      <w:rFonts w:ascii="Tahoma" w:hAnsi="Tahoma"/>
      <w:sz w:val="24"/>
      <w:szCs w:val="20"/>
    </w:rPr>
  </w:style>
  <w:style w:type="paragraph" w:customStyle="1" w:styleId="44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autoRedefine/>
    <w:qFormat/>
    <w:uiPriority w:val="0"/>
    <w:pPr>
      <w:adjustRightInd/>
    </w:pPr>
    <w:rPr>
      <w:szCs w:val="20"/>
    </w:rPr>
  </w:style>
  <w:style w:type="paragraph" w:customStyle="1" w:styleId="44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9">
    <w:name w:val="_Style 5"/>
    <w:basedOn w:val="1"/>
    <w:autoRedefine/>
    <w:qFormat/>
    <w:uiPriority w:val="34"/>
    <w:pPr>
      <w:adjustRightInd/>
      <w:ind w:firstLine="420" w:firstLineChars="200"/>
    </w:pPr>
    <w:rPr>
      <w:rFonts w:eastAsia="仿宋_GB2312"/>
      <w:sz w:val="28"/>
    </w:rPr>
  </w:style>
  <w:style w:type="paragraph" w:customStyle="1" w:styleId="45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autoRedefine/>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autoRedefine/>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5"/>
    <w:autoRedefine/>
    <w:qFormat/>
    <w:uiPriority w:val="0"/>
    <w:pPr>
      <w:snapToGrid w:val="0"/>
      <w:ind w:firstLine="480" w:firstLineChars="200"/>
    </w:pPr>
    <w:rPr>
      <w:rFonts w:ascii="Times New Roman"/>
      <w:szCs w:val="24"/>
      <w:lang w:val="en-US"/>
    </w:rPr>
  </w:style>
  <w:style w:type="paragraph" w:customStyle="1" w:styleId="45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autoRedefine/>
    <w:qFormat/>
    <w:uiPriority w:val="0"/>
    <w:rPr>
      <w:rFonts w:ascii="宋体" w:hAnsi="Times New Roman" w:eastAsia="宋体" w:cs="Times New Roman"/>
      <w:kern w:val="2"/>
      <w:lang w:val="en-US" w:eastAsia="zh-CN" w:bidi="ar-SA"/>
    </w:rPr>
  </w:style>
  <w:style w:type="paragraph" w:customStyle="1" w:styleId="460">
    <w:name w:val="MM Title"/>
    <w:basedOn w:val="67"/>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autoRedefine/>
    <w:qFormat/>
    <w:uiPriority w:val="0"/>
    <w:pPr>
      <w:tabs>
        <w:tab w:val="left" w:pos="360"/>
      </w:tabs>
    </w:pPr>
    <w:rPr>
      <w:sz w:val="24"/>
      <w:szCs w:val="20"/>
    </w:rPr>
  </w:style>
  <w:style w:type="paragraph" w:customStyle="1" w:styleId="46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2">
    <w:name w:val="Char6"/>
    <w:basedOn w:val="1"/>
    <w:autoRedefine/>
    <w:qFormat/>
    <w:uiPriority w:val="0"/>
    <w:rPr>
      <w:rFonts w:ascii="仿宋_GB2312" w:eastAsia="仿宋_GB2312"/>
      <w:b/>
      <w:sz w:val="32"/>
      <w:szCs w:val="32"/>
    </w:rPr>
  </w:style>
  <w:style w:type="paragraph" w:customStyle="1" w:styleId="473">
    <w:name w:val="Char111"/>
    <w:basedOn w:val="1"/>
    <w:autoRedefine/>
    <w:qFormat/>
    <w:uiPriority w:val="0"/>
    <w:rPr>
      <w:rFonts w:ascii="仿宋_GB2312" w:eastAsia="仿宋_GB2312"/>
      <w:b/>
      <w:sz w:val="32"/>
      <w:szCs w:val="32"/>
    </w:rPr>
  </w:style>
  <w:style w:type="paragraph" w:customStyle="1" w:styleId="474">
    <w:name w:val="标题3"/>
    <w:basedOn w:val="6"/>
    <w:next w:val="56"/>
    <w:autoRedefine/>
    <w:qFormat/>
    <w:uiPriority w:val="0"/>
    <w:pPr>
      <w:tabs>
        <w:tab w:val="clear" w:pos="900"/>
      </w:tabs>
      <w:spacing w:after="0" w:line="360" w:lineRule="auto"/>
    </w:pPr>
    <w:rPr>
      <w:rFonts w:ascii="仿宋" w:hAnsi="仿宋" w:eastAsia="仿宋" w:cs="仿宋"/>
    </w:rPr>
  </w:style>
  <w:style w:type="paragraph" w:customStyle="1" w:styleId="47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autoRedefine/>
    <w:qFormat/>
    <w:uiPriority w:val="0"/>
    <w:pPr>
      <w:adjustRightInd/>
      <w:ind w:firstLine="200" w:firstLineChars="200"/>
    </w:pPr>
    <w:rPr>
      <w:rFonts w:ascii="Tahoma" w:hAnsi="Tahoma"/>
      <w:sz w:val="24"/>
      <w:szCs w:val="20"/>
    </w:rPr>
  </w:style>
  <w:style w:type="paragraph" w:customStyle="1" w:styleId="47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4"/>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autoRedefine/>
    <w:qFormat/>
    <w:uiPriority w:val="0"/>
    <w:rPr>
      <w:rFonts w:ascii="仿宋_GB2312" w:eastAsia="仿宋_GB2312"/>
      <w:b/>
      <w:sz w:val="32"/>
      <w:szCs w:val="32"/>
    </w:rPr>
  </w:style>
  <w:style w:type="paragraph" w:customStyle="1" w:styleId="481">
    <w:name w:val="五级条标题"/>
    <w:basedOn w:val="482"/>
    <w:next w:val="328"/>
    <w:autoRedefine/>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3"/>
    <w:next w:val="328"/>
    <w:autoRedefine/>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autoRedefine/>
    <w:qFormat/>
    <w:uiPriority w:val="0"/>
    <w:rPr>
      <w:rFonts w:ascii="仿宋_GB2312" w:eastAsia="仿宋_GB2312"/>
      <w:b/>
      <w:sz w:val="32"/>
      <w:szCs w:val="32"/>
    </w:rPr>
  </w:style>
  <w:style w:type="paragraph" w:customStyle="1" w:styleId="48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autoRedefine/>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9">
    <w:name w:val="单元格左对齐"/>
    <w:basedOn w:val="1"/>
    <w:autoRedefine/>
    <w:qFormat/>
    <w:uiPriority w:val="0"/>
    <w:pPr>
      <w:adjustRightInd/>
      <w:spacing w:line="360" w:lineRule="auto"/>
    </w:pPr>
    <w:rPr>
      <w:sz w:val="24"/>
    </w:rPr>
  </w:style>
  <w:style w:type="paragraph" w:customStyle="1" w:styleId="490">
    <w:name w:val="正文主体"/>
    <w:basedOn w:val="312"/>
    <w:autoRedefine/>
    <w:qFormat/>
    <w:uiPriority w:val="0"/>
  </w:style>
  <w:style w:type="paragraph" w:customStyle="1" w:styleId="49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autoRedefine/>
    <w:qFormat/>
    <w:uiPriority w:val="0"/>
    <w:pPr>
      <w:adjustRightInd/>
      <w:spacing w:line="360" w:lineRule="auto"/>
      <w:ind w:firstLine="480" w:firstLineChars="200"/>
    </w:pPr>
    <w:rPr>
      <w:sz w:val="24"/>
      <w:szCs w:val="20"/>
    </w:rPr>
  </w:style>
  <w:style w:type="paragraph" w:customStyle="1" w:styleId="495">
    <w:name w:val="P1"/>
    <w:basedOn w:val="1"/>
    <w:autoRedefine/>
    <w:qFormat/>
    <w:uiPriority w:val="0"/>
    <w:pPr>
      <w:adjustRightInd/>
      <w:spacing w:line="288" w:lineRule="auto"/>
      <w:ind w:firstLine="425" w:firstLineChars="200"/>
    </w:pPr>
  </w:style>
  <w:style w:type="paragraph" w:customStyle="1" w:styleId="496">
    <w:name w:val="列表内容"/>
    <w:basedOn w:val="1"/>
    <w:next w:val="1"/>
    <w:autoRedefine/>
    <w:qFormat/>
    <w:uiPriority w:val="0"/>
    <w:pPr>
      <w:widowControl/>
      <w:tabs>
        <w:tab w:val="left" w:pos="840"/>
      </w:tabs>
      <w:ind w:left="840" w:hanging="420"/>
      <w:jc w:val="left"/>
    </w:pPr>
    <w:rPr>
      <w:kern w:val="0"/>
      <w:sz w:val="18"/>
    </w:rPr>
  </w:style>
  <w:style w:type="paragraph" w:customStyle="1" w:styleId="497">
    <w:name w:val="Char Char11 Char Char Char1"/>
    <w:basedOn w:val="1"/>
    <w:autoRedefine/>
    <w:qFormat/>
    <w:uiPriority w:val="6"/>
    <w:pPr>
      <w:spacing w:line="360" w:lineRule="auto"/>
    </w:pPr>
    <w:rPr>
      <w:szCs w:val="20"/>
    </w:rPr>
  </w:style>
  <w:style w:type="paragraph" w:customStyle="1" w:styleId="49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5"/>
    <w:autoRedefine/>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autoRedefine/>
    <w:qFormat/>
    <w:uiPriority w:val="0"/>
    <w:pPr>
      <w:spacing w:line="360" w:lineRule="auto"/>
    </w:pPr>
    <w:rPr>
      <w:szCs w:val="20"/>
    </w:rPr>
  </w:style>
  <w:style w:type="paragraph" w:customStyle="1" w:styleId="50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autoRedefine/>
    <w:qFormat/>
    <w:uiPriority w:val="0"/>
    <w:rPr>
      <w:rFonts w:ascii="仿宋_GB2312" w:eastAsia="仿宋_GB2312"/>
      <w:b/>
      <w:sz w:val="32"/>
      <w:szCs w:val="32"/>
    </w:rPr>
  </w:style>
  <w:style w:type="paragraph" w:customStyle="1" w:styleId="50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0">
    <w:name w:val="Char Char4 Char Char"/>
    <w:basedOn w:val="1"/>
    <w:autoRedefine/>
    <w:qFormat/>
    <w:uiPriority w:val="0"/>
    <w:pPr>
      <w:widowControl/>
      <w:adjustRightInd/>
      <w:spacing w:after="160" w:line="240" w:lineRule="exact"/>
      <w:jc w:val="left"/>
    </w:pPr>
  </w:style>
  <w:style w:type="paragraph" w:customStyle="1" w:styleId="51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autoRedefine/>
    <w:qFormat/>
    <w:uiPriority w:val="0"/>
    <w:pPr>
      <w:spacing w:line="360" w:lineRule="auto"/>
    </w:pPr>
    <w:rPr>
      <w:szCs w:val="20"/>
    </w:rPr>
  </w:style>
  <w:style w:type="paragraph" w:customStyle="1" w:styleId="51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autoRedefine/>
    <w:qFormat/>
    <w:uiPriority w:val="0"/>
    <w:pPr>
      <w:adjustRightInd/>
      <w:ind w:firstLine="200" w:firstLineChars="200"/>
    </w:pPr>
    <w:rPr>
      <w:rFonts w:ascii="Tahoma" w:hAnsi="Tahoma"/>
      <w:sz w:val="24"/>
      <w:szCs w:val="20"/>
    </w:rPr>
  </w:style>
  <w:style w:type="paragraph" w:customStyle="1" w:styleId="520">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8"/>
    <w:autoRedefine/>
    <w:qFormat/>
    <w:uiPriority w:val="0"/>
    <w:pPr>
      <w:tabs>
        <w:tab w:val="left" w:pos="0"/>
      </w:tabs>
      <w:ind w:left="900" w:firstLine="0" w:firstLineChars="0"/>
    </w:pPr>
  </w:style>
  <w:style w:type="paragraph" w:customStyle="1" w:styleId="523">
    <w:name w:val="Bulleted List"/>
    <w:basedOn w:val="1"/>
    <w:autoRedefine/>
    <w:qFormat/>
    <w:uiPriority w:val="0"/>
    <w:pPr>
      <w:tabs>
        <w:tab w:val="left" w:pos="1260"/>
      </w:tabs>
      <w:adjustRightInd/>
      <w:ind w:left="1260" w:hanging="420"/>
    </w:pPr>
  </w:style>
  <w:style w:type="paragraph" w:customStyle="1" w:styleId="524">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autoRedefine/>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autoRedefine/>
    <w:qFormat/>
    <w:uiPriority w:val="0"/>
    <w:rPr>
      <w:rFonts w:ascii="Tahoma" w:hAnsi="Tahoma" w:cs="仿宋_GB2312"/>
      <w:sz w:val="24"/>
      <w:szCs w:val="20"/>
    </w:rPr>
  </w:style>
  <w:style w:type="paragraph" w:customStyle="1" w:styleId="527">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52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autoRedefine/>
    <w:qFormat/>
    <w:uiPriority w:val="0"/>
    <w:rPr>
      <w:rFonts w:ascii="仿宋_GB2312" w:eastAsia="仿宋_GB2312"/>
      <w:b/>
      <w:sz w:val="32"/>
      <w:szCs w:val="20"/>
    </w:rPr>
  </w:style>
  <w:style w:type="paragraph" w:customStyle="1" w:styleId="53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autoRedefine/>
    <w:qFormat/>
    <w:uiPriority w:val="0"/>
    <w:rPr>
      <w:rFonts w:ascii="仿宋_GB2312" w:eastAsia="仿宋_GB2312"/>
      <w:b/>
      <w:sz w:val="32"/>
      <w:szCs w:val="20"/>
    </w:rPr>
  </w:style>
  <w:style w:type="paragraph" w:customStyle="1" w:styleId="53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autoRedefine/>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54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autoRedefine/>
    <w:qFormat/>
    <w:uiPriority w:val="0"/>
    <w:pPr>
      <w:widowControl/>
      <w:spacing w:after="160" w:line="240" w:lineRule="exact"/>
      <w:jc w:val="left"/>
    </w:pPr>
    <w:rPr>
      <w:rFonts w:eastAsia="仿宋_GB2312"/>
      <w:sz w:val="28"/>
    </w:rPr>
  </w:style>
  <w:style w:type="paragraph" w:customStyle="1" w:styleId="548">
    <w:name w:val="Char21"/>
    <w:basedOn w:val="1"/>
    <w:autoRedefine/>
    <w:qFormat/>
    <w:uiPriority w:val="0"/>
    <w:pPr>
      <w:adjustRightInd/>
      <w:ind w:firstLine="200" w:firstLineChars="200"/>
    </w:pPr>
    <w:rPr>
      <w:rFonts w:ascii="仿宋_GB2312" w:eastAsia="仿宋_GB2312"/>
      <w:b/>
      <w:sz w:val="32"/>
      <w:szCs w:val="32"/>
    </w:rPr>
  </w:style>
  <w:style w:type="paragraph" w:customStyle="1" w:styleId="549">
    <w:name w:val="列表段落1"/>
    <w:basedOn w:val="1"/>
    <w:autoRedefine/>
    <w:qFormat/>
    <w:uiPriority w:val="34"/>
    <w:pPr>
      <w:adjustRightInd/>
      <w:ind w:right="238" w:firstLine="420"/>
    </w:pPr>
    <w:rPr>
      <w:rFonts w:ascii="Calibri" w:hAnsi="Calibri"/>
      <w:sz w:val="24"/>
    </w:rPr>
  </w:style>
  <w:style w:type="paragraph" w:customStyle="1" w:styleId="550">
    <w:name w:val="Char Char110"/>
    <w:basedOn w:val="1"/>
    <w:autoRedefine/>
    <w:qFormat/>
    <w:uiPriority w:val="6"/>
    <w:pPr>
      <w:spacing w:line="360" w:lineRule="auto"/>
    </w:pPr>
    <w:rPr>
      <w:rFonts w:ascii="Tahoma" w:hAnsi="Tahoma"/>
      <w:sz w:val="24"/>
      <w:szCs w:val="20"/>
    </w:rPr>
  </w:style>
  <w:style w:type="paragraph" w:customStyle="1" w:styleId="55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autoRedefine/>
    <w:qFormat/>
    <w:uiPriority w:val="0"/>
    <w:rPr>
      <w:rFonts w:ascii="Tahoma" w:hAnsi="Tahoma" w:cs="仿宋_GB2312"/>
      <w:sz w:val="24"/>
      <w:szCs w:val="20"/>
    </w:rPr>
  </w:style>
  <w:style w:type="paragraph" w:customStyle="1" w:styleId="55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0">
    <w:name w:val="_Style 12"/>
    <w:basedOn w:val="20"/>
    <w:autoRedefine/>
    <w:qFormat/>
    <w:uiPriority w:val="0"/>
    <w:pPr>
      <w:snapToGrid w:val="0"/>
      <w:spacing w:line="360" w:lineRule="auto"/>
    </w:pPr>
  </w:style>
  <w:style w:type="paragraph" w:customStyle="1" w:styleId="56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62"/>
    <w:autoRedefine/>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60"/>
    <w:autoRedefine/>
    <w:qFormat/>
    <w:uiPriority w:val="0"/>
    <w:pPr>
      <w:outlineLvl w:val="2"/>
    </w:pPr>
  </w:style>
  <w:style w:type="paragraph" w:customStyle="1" w:styleId="56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autoRedefine/>
    <w:qFormat/>
    <w:uiPriority w:val="0"/>
    <w:pPr>
      <w:adjustRightInd/>
      <w:ind w:firstLine="200" w:firstLineChars="200"/>
    </w:pPr>
    <w:rPr>
      <w:rFonts w:ascii="Tahoma" w:hAnsi="Tahoma"/>
      <w:sz w:val="24"/>
      <w:szCs w:val="20"/>
    </w:rPr>
  </w:style>
  <w:style w:type="paragraph" w:customStyle="1" w:styleId="57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1">
    <w:name w:val="MM Empty"/>
    <w:basedOn w:val="1"/>
    <w:autoRedefine/>
    <w:qFormat/>
    <w:uiPriority w:val="0"/>
    <w:pPr>
      <w:adjustRightInd/>
    </w:pPr>
  </w:style>
  <w:style w:type="paragraph" w:customStyle="1" w:styleId="572">
    <w:name w:val="Char24"/>
    <w:basedOn w:val="1"/>
    <w:autoRedefine/>
    <w:qFormat/>
    <w:uiPriority w:val="0"/>
    <w:rPr>
      <w:rFonts w:ascii="仿宋_GB2312" w:eastAsia="仿宋_GB2312"/>
      <w:b/>
      <w:sz w:val="32"/>
      <w:szCs w:val="32"/>
    </w:rPr>
  </w:style>
  <w:style w:type="paragraph" w:customStyle="1" w:styleId="573">
    <w:name w:val="正文箭头"/>
    <w:basedOn w:val="228"/>
    <w:autoRedefine/>
    <w:qFormat/>
    <w:uiPriority w:val="0"/>
  </w:style>
  <w:style w:type="paragraph" w:customStyle="1" w:styleId="574">
    <w:name w:val="U_编号2"/>
    <w:basedOn w:val="1"/>
    <w:autoRedefine/>
    <w:qFormat/>
    <w:uiPriority w:val="0"/>
    <w:pPr>
      <w:tabs>
        <w:tab w:val="left" w:pos="785"/>
      </w:tabs>
      <w:adjustRightInd/>
      <w:spacing w:beforeLines="10" w:afterLines="10" w:line="300" w:lineRule="auto"/>
    </w:pPr>
    <w:rPr>
      <w:sz w:val="24"/>
    </w:rPr>
  </w:style>
  <w:style w:type="paragraph" w:customStyle="1" w:styleId="57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6"/>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autoRedefine/>
    <w:qFormat/>
    <w:uiPriority w:val="34"/>
    <w:pPr>
      <w:adjustRightInd/>
      <w:ind w:firstLine="420" w:firstLineChars="200"/>
    </w:pPr>
    <w:rPr>
      <w:rFonts w:eastAsia="仿宋_GB2312"/>
      <w:sz w:val="28"/>
    </w:rPr>
  </w:style>
  <w:style w:type="paragraph" w:customStyle="1" w:styleId="580">
    <w:name w:val="表格 内容"/>
    <w:basedOn w:val="417"/>
    <w:autoRedefine/>
    <w:qFormat/>
    <w:uiPriority w:val="0"/>
    <w:rPr>
      <w:b w:val="0"/>
      <w:sz w:val="20"/>
    </w:rPr>
  </w:style>
  <w:style w:type="paragraph" w:customStyle="1" w:styleId="581">
    <w:name w:val="正文首行缩进1"/>
    <w:basedOn w:val="25"/>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8"/>
    <w:next w:val="1"/>
    <w:autoRedefine/>
    <w:qFormat/>
    <w:uiPriority w:val="0"/>
    <w:pPr>
      <w:tabs>
        <w:tab w:val="left" w:pos="1080"/>
        <w:tab w:val="clear" w:pos="1008"/>
      </w:tabs>
      <w:ind w:left="1080" w:hanging="1080"/>
    </w:pPr>
  </w:style>
  <w:style w:type="paragraph" w:customStyle="1" w:styleId="584">
    <w:name w:val="数字标题1"/>
    <w:basedOn w:val="4"/>
    <w:next w:val="1"/>
    <w:autoRedefine/>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autoRedefine/>
    <w:qFormat/>
    <w:uiPriority w:val="0"/>
    <w:pPr>
      <w:widowControl/>
    </w:pPr>
    <w:rPr>
      <w:kern w:val="0"/>
      <w:sz w:val="24"/>
      <w:szCs w:val="20"/>
    </w:rPr>
  </w:style>
  <w:style w:type="paragraph" w:customStyle="1" w:styleId="592">
    <w:name w:val="Char Char113"/>
    <w:basedOn w:val="1"/>
    <w:autoRedefine/>
    <w:qFormat/>
    <w:uiPriority w:val="0"/>
    <w:pPr>
      <w:widowControl/>
      <w:spacing w:after="160" w:line="240" w:lineRule="exact"/>
      <w:jc w:val="left"/>
    </w:pPr>
    <w:rPr>
      <w:rFonts w:eastAsia="仿宋_GB2312"/>
      <w:sz w:val="28"/>
    </w:rPr>
  </w:style>
  <w:style w:type="paragraph" w:customStyle="1" w:styleId="59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autoRedefine/>
    <w:qFormat/>
    <w:uiPriority w:val="34"/>
    <w:pPr>
      <w:adjustRightInd/>
      <w:ind w:firstLine="420" w:firstLineChars="200"/>
    </w:pPr>
    <w:rPr>
      <w:rFonts w:eastAsia="仿宋_GB2312"/>
      <w:sz w:val="28"/>
    </w:rPr>
  </w:style>
  <w:style w:type="paragraph" w:customStyle="1" w:styleId="59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autoRedefine/>
    <w:qFormat/>
    <w:uiPriority w:val="6"/>
    <w:pPr>
      <w:widowControl/>
      <w:spacing w:after="160" w:line="240" w:lineRule="exact"/>
      <w:jc w:val="left"/>
    </w:pPr>
    <w:rPr>
      <w:rFonts w:eastAsia="仿宋_GB2312"/>
      <w:sz w:val="28"/>
    </w:rPr>
  </w:style>
  <w:style w:type="paragraph" w:customStyle="1" w:styleId="601">
    <w:name w:val="正文 图"/>
    <w:basedOn w:val="133"/>
    <w:autoRedefine/>
    <w:qFormat/>
    <w:uiPriority w:val="0"/>
    <w:pPr>
      <w:adjustRightInd/>
      <w:spacing w:before="0"/>
      <w:ind w:firstLine="0"/>
      <w:jc w:val="center"/>
    </w:pPr>
    <w:rPr>
      <w:rFonts w:ascii="微软雅黑" w:hAnsi="微软雅黑"/>
    </w:rPr>
  </w:style>
  <w:style w:type="paragraph" w:customStyle="1" w:styleId="60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51"/>
    <w:autoRedefine/>
    <w:qFormat/>
    <w:uiPriority w:val="0"/>
    <w:pPr>
      <w:ind w:left="0"/>
    </w:pPr>
  </w:style>
  <w:style w:type="paragraph" w:customStyle="1" w:styleId="60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autoRedefine/>
    <w:qFormat/>
    <w:uiPriority w:val="0"/>
    <w:pPr>
      <w:adjustRightInd/>
      <w:spacing w:line="360" w:lineRule="auto"/>
      <w:ind w:firstLine="480"/>
    </w:pPr>
    <w:rPr>
      <w:sz w:val="24"/>
    </w:rPr>
  </w:style>
  <w:style w:type="paragraph" w:customStyle="1" w:styleId="608">
    <w:name w:val="列出段落111"/>
    <w:basedOn w:val="1"/>
    <w:autoRedefine/>
    <w:qFormat/>
    <w:uiPriority w:val="34"/>
    <w:pPr>
      <w:ind w:firstLine="420" w:firstLineChars="200"/>
    </w:pPr>
  </w:style>
  <w:style w:type="paragraph" w:customStyle="1" w:styleId="609">
    <w:name w:val="标准文本"/>
    <w:basedOn w:val="1"/>
    <w:link w:val="946"/>
    <w:autoRedefine/>
    <w:qFormat/>
    <w:uiPriority w:val="0"/>
    <w:pPr>
      <w:adjustRightInd/>
      <w:spacing w:line="360" w:lineRule="auto"/>
      <w:ind w:firstLine="480" w:firstLineChars="200"/>
    </w:pPr>
    <w:rPr>
      <w:rFonts w:cs="宋体"/>
      <w:sz w:val="24"/>
      <w:szCs w:val="20"/>
    </w:rPr>
  </w:style>
  <w:style w:type="paragraph" w:customStyle="1" w:styleId="610">
    <w:name w:val="_Style 947"/>
    <w:basedOn w:val="1"/>
    <w:next w:val="62"/>
    <w:autoRedefine/>
    <w:qFormat/>
    <w:uiPriority w:val="34"/>
    <w:pPr>
      <w:adjustRightInd/>
      <w:ind w:firstLine="420" w:firstLineChars="200"/>
    </w:pPr>
  </w:style>
  <w:style w:type="paragraph" w:customStyle="1" w:styleId="61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autoRedefine/>
    <w:qFormat/>
    <w:uiPriority w:val="0"/>
    <w:pPr>
      <w:adjustRightInd/>
      <w:jc w:val="left"/>
    </w:pPr>
    <w:rPr>
      <w:rFonts w:ascii="Calibri" w:hAnsi="Calibri"/>
      <w:kern w:val="0"/>
      <w:sz w:val="22"/>
      <w:szCs w:val="22"/>
      <w:lang w:eastAsia="en-US"/>
    </w:rPr>
  </w:style>
  <w:style w:type="paragraph" w:customStyle="1" w:styleId="61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3">
    <w:name w:val="Normal Indent1"/>
    <w:basedOn w:val="1"/>
    <w:autoRedefine/>
    <w:qFormat/>
    <w:uiPriority w:val="0"/>
    <w:pPr>
      <w:ind w:firstLine="420" w:firstLineChars="200"/>
    </w:pPr>
  </w:style>
  <w:style w:type="paragraph" w:customStyle="1" w:styleId="624">
    <w:name w:val="[Normal]"/>
    <w:autoRedefine/>
    <w:qFormat/>
    <w:uiPriority w:val="0"/>
    <w:rPr>
      <w:rFonts w:ascii="宋体" w:hAnsi="宋体" w:eastAsia="宋体" w:cs="Times New Roman"/>
      <w:sz w:val="24"/>
      <w:szCs w:val="22"/>
      <w:lang w:val="zh-CN" w:eastAsia="zh-CN" w:bidi="ar-SA"/>
    </w:rPr>
  </w:style>
  <w:style w:type="character" w:customStyle="1" w:styleId="625">
    <w:name w:val="表格非标题文字 Char"/>
    <w:link w:val="88"/>
    <w:autoRedefine/>
    <w:qFormat/>
    <w:uiPriority w:val="0"/>
    <w:rPr>
      <w:rFonts w:ascii="Futura Bk" w:hAnsi="Futura Bk"/>
      <w:kern w:val="2"/>
      <w:sz w:val="18"/>
      <w:szCs w:val="21"/>
      <w:lang w:val="en-US" w:eastAsia="zh-CN" w:bidi="ar-SA"/>
    </w:rPr>
  </w:style>
  <w:style w:type="character" w:customStyle="1" w:styleId="626">
    <w:name w:val="*正文 Char"/>
    <w:link w:val="89"/>
    <w:autoRedefine/>
    <w:qFormat/>
    <w:locked/>
    <w:uiPriority w:val="0"/>
    <w:rPr>
      <w:rFonts w:ascii="宋体" w:hAnsi="宋体"/>
      <w:sz w:val="24"/>
    </w:rPr>
  </w:style>
  <w:style w:type="character" w:customStyle="1" w:styleId="627">
    <w:name w:val="Char Char71"/>
    <w:autoRedefine/>
    <w:semiHidden/>
    <w:qFormat/>
    <w:uiPriority w:val="0"/>
    <w:rPr>
      <w:rFonts w:eastAsia="宋体"/>
      <w:kern w:val="2"/>
      <w:sz w:val="21"/>
      <w:szCs w:val="24"/>
      <w:lang w:val="en-US" w:eastAsia="zh-CN" w:bidi="ar-SA"/>
    </w:rPr>
  </w:style>
  <w:style w:type="character" w:customStyle="1" w:styleId="628">
    <w:name w:val="Char Char6"/>
    <w:autoRedefine/>
    <w:qFormat/>
    <w:uiPriority w:val="0"/>
    <w:rPr>
      <w:rFonts w:eastAsia="宋体"/>
      <w:kern w:val="2"/>
      <w:sz w:val="21"/>
      <w:szCs w:val="24"/>
      <w:lang w:val="en-US" w:eastAsia="zh-CN" w:bidi="ar-SA"/>
    </w:rPr>
  </w:style>
  <w:style w:type="character" w:customStyle="1" w:styleId="629">
    <w:name w:val="正文缩进 Char"/>
    <w:autoRedefine/>
    <w:qFormat/>
    <w:uiPriority w:val="0"/>
    <w:rPr>
      <w:rFonts w:eastAsia="宋体"/>
      <w:kern w:val="2"/>
      <w:sz w:val="21"/>
      <w:lang w:val="en-US" w:eastAsia="zh-CN"/>
    </w:rPr>
  </w:style>
  <w:style w:type="character" w:customStyle="1" w:styleId="63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1">
    <w:name w:val="Char Char28"/>
    <w:autoRedefine/>
    <w:qFormat/>
    <w:uiPriority w:val="6"/>
    <w:rPr>
      <w:rFonts w:ascii="仿宋_GB2312" w:hAnsi="仿宋_GB2312" w:eastAsia="仿宋_GB2312"/>
      <w:kern w:val="1"/>
      <w:sz w:val="28"/>
    </w:rPr>
  </w:style>
  <w:style w:type="character" w:customStyle="1" w:styleId="63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3">
    <w:name w:val="Heading 1 Char"/>
    <w:autoRedefine/>
    <w:qFormat/>
    <w:uiPriority w:val="6"/>
    <w:rPr>
      <w:rFonts w:ascii="Times New Roman" w:hAnsi="Times New Roman" w:eastAsia="黑体" w:cs="Times New Roman"/>
      <w:b/>
      <w:kern w:val="0"/>
      <w:sz w:val="24"/>
      <w:szCs w:val="24"/>
    </w:rPr>
  </w:style>
  <w:style w:type="character" w:customStyle="1" w:styleId="634">
    <w:name w:val="U_正文 Char"/>
    <w:link w:val="90"/>
    <w:autoRedefine/>
    <w:qFormat/>
    <w:uiPriority w:val="0"/>
    <w:rPr>
      <w:sz w:val="24"/>
      <w:szCs w:val="24"/>
    </w:rPr>
  </w:style>
  <w:style w:type="character" w:customStyle="1" w:styleId="635">
    <w:name w:val="HTML 地址 Char1"/>
    <w:autoRedefine/>
    <w:qFormat/>
    <w:uiPriority w:val="0"/>
    <w:rPr>
      <w:rFonts w:ascii="Times New Roman" w:hAnsi="Times New Roman" w:eastAsia="宋体" w:cs="Times New Roman"/>
      <w:i/>
      <w:iCs/>
      <w:szCs w:val="24"/>
    </w:rPr>
  </w:style>
  <w:style w:type="character" w:customStyle="1" w:styleId="636">
    <w:name w:val="批注主题 字符"/>
    <w:link w:val="68"/>
    <w:autoRedefine/>
    <w:qFormat/>
    <w:uiPriority w:val="0"/>
    <w:rPr>
      <w:b/>
      <w:bCs/>
      <w:kern w:val="2"/>
      <w:sz w:val="21"/>
      <w:szCs w:val="24"/>
    </w:rPr>
  </w:style>
  <w:style w:type="character" w:customStyle="1" w:styleId="637">
    <w:name w:val="Char Char51"/>
    <w:autoRedefine/>
    <w:qFormat/>
    <w:uiPriority w:val="0"/>
    <w:rPr>
      <w:rFonts w:ascii="宋体" w:hAnsi="Courier New" w:eastAsia="宋体"/>
      <w:kern w:val="2"/>
      <w:sz w:val="21"/>
      <w:lang w:val="en-US" w:eastAsia="zh-CN"/>
    </w:rPr>
  </w:style>
  <w:style w:type="character" w:customStyle="1" w:styleId="638">
    <w:name w:val="表正文 Char"/>
    <w:autoRedefine/>
    <w:qFormat/>
    <w:uiPriority w:val="0"/>
    <w:rPr>
      <w:rFonts w:ascii="宋体" w:eastAsia="宋体"/>
      <w:snapToGrid w:val="0"/>
      <w:color w:val="000000"/>
      <w:kern w:val="28"/>
      <w:sz w:val="28"/>
      <w:lang w:val="en-US" w:eastAsia="zh-CN" w:bidi="ar-SA"/>
    </w:rPr>
  </w:style>
  <w:style w:type="character" w:customStyle="1" w:styleId="639">
    <w:name w:val="Char Char34"/>
    <w:autoRedefine/>
    <w:qFormat/>
    <w:uiPriority w:val="6"/>
    <w:rPr>
      <w:b/>
      <w:kern w:val="1"/>
      <w:sz w:val="28"/>
      <w:szCs w:val="28"/>
    </w:rPr>
  </w:style>
  <w:style w:type="character" w:customStyle="1" w:styleId="64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1">
    <w:name w:val="哈哈正文 Char"/>
    <w:link w:val="91"/>
    <w:autoRedefine/>
    <w:qFormat/>
    <w:uiPriority w:val="0"/>
    <w:rPr>
      <w:rFonts w:ascii="宋体" w:hAnsi="宋体" w:eastAsia="宋体"/>
      <w:kern w:val="2"/>
      <w:sz w:val="24"/>
      <w:lang w:bidi="ar-SA"/>
    </w:rPr>
  </w:style>
  <w:style w:type="character" w:customStyle="1" w:styleId="642">
    <w:name w:val="未处理的提及1"/>
    <w:autoRedefine/>
    <w:qFormat/>
    <w:uiPriority w:val="0"/>
    <w:rPr>
      <w:color w:val="808080"/>
      <w:shd w:val="clear" w:color="auto" w:fill="E6E6E6"/>
    </w:rPr>
  </w:style>
  <w:style w:type="character" w:customStyle="1" w:styleId="643">
    <w:name w:val="txt"/>
    <w:autoRedefine/>
    <w:qFormat/>
    <w:uiPriority w:val="0"/>
    <w:rPr>
      <w:rFonts w:ascii="仿宋_GB2312" w:eastAsia="微软雅黑"/>
      <w:b/>
      <w:kern w:val="2"/>
      <w:sz w:val="32"/>
      <w:szCs w:val="32"/>
      <w:lang w:val="en-US" w:eastAsia="zh-CN" w:bidi="ar-SA"/>
    </w:rPr>
  </w:style>
  <w:style w:type="character" w:customStyle="1" w:styleId="64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5">
    <w:name w:val="Char Char32"/>
    <w:autoRedefine/>
    <w:qFormat/>
    <w:uiPriority w:val="6"/>
    <w:rPr>
      <w:b/>
      <w:kern w:val="1"/>
      <w:sz w:val="24"/>
      <w:szCs w:val="24"/>
    </w:rPr>
  </w:style>
  <w:style w:type="character" w:customStyle="1" w:styleId="646">
    <w:name w:val="PI Char1"/>
    <w:autoRedefine/>
    <w:qFormat/>
    <w:uiPriority w:val="0"/>
    <w:rPr>
      <w:rFonts w:ascii="宋体" w:hAnsi="宋体"/>
      <w:kern w:val="2"/>
      <w:sz w:val="24"/>
      <w:szCs w:val="24"/>
    </w:rPr>
  </w:style>
  <w:style w:type="character" w:customStyle="1" w:styleId="647">
    <w:name w:val="tw4winTerm"/>
    <w:autoRedefine/>
    <w:qFormat/>
    <w:uiPriority w:val="0"/>
    <w:rPr>
      <w:color w:val="0000FF"/>
    </w:rPr>
  </w:style>
  <w:style w:type="character" w:customStyle="1" w:styleId="648">
    <w:name w:val="Footer Char"/>
    <w:autoRedefine/>
    <w:qFormat/>
    <w:locked/>
    <w:uiPriority w:val="0"/>
    <w:rPr>
      <w:rFonts w:eastAsia="宋体"/>
      <w:kern w:val="2"/>
      <w:sz w:val="18"/>
      <w:lang w:val="en-US" w:eastAsia="zh-CN" w:bidi="ar-SA"/>
    </w:rPr>
  </w:style>
  <w:style w:type="character" w:customStyle="1" w:styleId="649">
    <w:name w:val="普通文字 Char Char1"/>
    <w:autoRedefine/>
    <w:qFormat/>
    <w:uiPriority w:val="0"/>
    <w:rPr>
      <w:rFonts w:ascii="宋体" w:hAnsi="Courier New"/>
      <w:kern w:val="2"/>
      <w:sz w:val="21"/>
    </w:rPr>
  </w:style>
  <w:style w:type="character" w:customStyle="1" w:styleId="650">
    <w:name w:val="Char Char101"/>
    <w:autoRedefine/>
    <w:qFormat/>
    <w:uiPriority w:val="6"/>
    <w:rPr>
      <w:rFonts w:ascii="宋体" w:hAnsi="宋体"/>
      <w:kern w:val="2"/>
      <w:sz w:val="21"/>
      <w:szCs w:val="24"/>
      <w:lang w:val="en-US" w:eastAsia="zh-CN"/>
    </w:rPr>
  </w:style>
  <w:style w:type="character" w:customStyle="1" w:styleId="651">
    <w:name w:val="标题 4 Char"/>
    <w:autoRedefine/>
    <w:qFormat/>
    <w:uiPriority w:val="0"/>
    <w:rPr>
      <w:rFonts w:ascii="Arial" w:hAnsi="Arial" w:eastAsia="黑体"/>
      <w:b/>
      <w:kern w:val="2"/>
      <w:sz w:val="28"/>
    </w:rPr>
  </w:style>
  <w:style w:type="character" w:customStyle="1" w:styleId="652">
    <w:name w:val="链接"/>
    <w:autoRedefine/>
    <w:qFormat/>
    <w:uiPriority w:val="0"/>
    <w:rPr>
      <w:color w:val="0000FF"/>
      <w:sz w:val="21"/>
      <w:szCs w:val="21"/>
      <w:u w:val="single"/>
    </w:rPr>
  </w:style>
  <w:style w:type="character" w:customStyle="1" w:styleId="653">
    <w:name w:val="h4 Char"/>
    <w:autoRedefine/>
    <w:qFormat/>
    <w:uiPriority w:val="0"/>
    <w:rPr>
      <w:rFonts w:ascii="Arial" w:hAnsi="Arial" w:eastAsia="黑体"/>
      <w:b/>
      <w:bCs/>
      <w:kern w:val="2"/>
      <w:sz w:val="28"/>
      <w:szCs w:val="28"/>
      <w:lang w:val="zh-CN" w:eastAsia="zh-CN" w:bidi="ar-SA"/>
    </w:rPr>
  </w:style>
  <w:style w:type="character" w:customStyle="1" w:styleId="654">
    <w:name w:val="5正文 Char"/>
    <w:link w:val="92"/>
    <w:autoRedefine/>
    <w:qFormat/>
    <w:uiPriority w:val="0"/>
    <w:rPr>
      <w:rFonts w:ascii="仿宋_GB2312" w:hAnsi="微软雅黑" w:eastAsia="仿宋_GB2312"/>
      <w:sz w:val="28"/>
      <w:szCs w:val="21"/>
    </w:rPr>
  </w:style>
  <w:style w:type="character" w:customStyle="1" w:styleId="655">
    <w:name w:val="标题 3 字符"/>
    <w:autoRedefine/>
    <w:qFormat/>
    <w:uiPriority w:val="9"/>
    <w:rPr>
      <w:b/>
      <w:bCs/>
      <w:kern w:val="2"/>
      <w:sz w:val="32"/>
      <w:szCs w:val="32"/>
    </w:rPr>
  </w:style>
  <w:style w:type="character" w:customStyle="1" w:styleId="656">
    <w:name w:val="样式6 Char"/>
    <w:autoRedefine/>
    <w:qFormat/>
    <w:uiPriority w:val="0"/>
    <w:rPr>
      <w:rFonts w:ascii="仿宋_GB2312" w:hAnsi="宋体" w:eastAsia="仿宋_GB2312"/>
      <w:b/>
      <w:bCs/>
      <w:kern w:val="2"/>
      <w:sz w:val="24"/>
      <w:szCs w:val="24"/>
      <w:lang w:val="en-US" w:eastAsia="zh-CN" w:bidi="ar-SA"/>
    </w:rPr>
  </w:style>
  <w:style w:type="character" w:customStyle="1" w:styleId="657">
    <w:name w:val="Char Char14"/>
    <w:autoRedefine/>
    <w:qFormat/>
    <w:uiPriority w:val="6"/>
    <w:rPr>
      <w:rFonts w:ascii="黑体" w:hAnsi="黑体" w:eastAsia="黑体"/>
    </w:rPr>
  </w:style>
  <w:style w:type="character" w:customStyle="1" w:styleId="658">
    <w:name w:val="Heading 2 Hidden Char"/>
    <w:autoRedefine/>
    <w:qFormat/>
    <w:uiPriority w:val="0"/>
    <w:rPr>
      <w:rFonts w:ascii="仿宋_GB2312" w:eastAsia="仿宋_GB2312"/>
      <w:b/>
      <w:bCs/>
      <w:kern w:val="2"/>
      <w:sz w:val="24"/>
      <w:szCs w:val="24"/>
      <w:lang w:val="zh-CN" w:eastAsia="zh-CN" w:bidi="ar-SA"/>
    </w:rPr>
  </w:style>
  <w:style w:type="character" w:customStyle="1" w:styleId="659">
    <w:name w:val="正文文本首行缩进 2 字符"/>
    <w:link w:val="69"/>
    <w:autoRedefine/>
    <w:qFormat/>
    <w:uiPriority w:val="0"/>
    <w:rPr>
      <w:rFonts w:ascii="宋体" w:hAnsi="宋体"/>
      <w:kern w:val="2"/>
      <w:sz w:val="21"/>
      <w:szCs w:val="24"/>
    </w:rPr>
  </w:style>
  <w:style w:type="character" w:customStyle="1" w:styleId="660">
    <w:name w:val="font11"/>
    <w:autoRedefine/>
    <w:qFormat/>
    <w:uiPriority w:val="0"/>
    <w:rPr>
      <w:rFonts w:hint="default" w:ascii="Times New Roman" w:hAnsi="Times New Roman" w:cs="Times New Roman"/>
      <w:color w:val="000000"/>
      <w:sz w:val="22"/>
      <w:szCs w:val="22"/>
      <w:u w:val="none"/>
    </w:rPr>
  </w:style>
  <w:style w:type="character" w:customStyle="1" w:styleId="661">
    <w:name w:val="表正文 Char1"/>
    <w:autoRedefine/>
    <w:qFormat/>
    <w:uiPriority w:val="0"/>
    <w:rPr>
      <w:rFonts w:ascii="宋体" w:eastAsia="宋体"/>
      <w:snapToGrid w:val="0"/>
      <w:color w:val="000000"/>
      <w:kern w:val="28"/>
      <w:sz w:val="28"/>
    </w:rPr>
  </w:style>
  <w:style w:type="character" w:customStyle="1" w:styleId="662">
    <w:name w:val="blue1"/>
    <w:basedOn w:val="77"/>
    <w:autoRedefine/>
    <w:qFormat/>
    <w:uiPriority w:val="0"/>
    <w:rPr>
      <w:rFonts w:ascii="Arial" w:hAnsi="Arial" w:eastAsia="黑体" w:cs="Arial"/>
      <w:snapToGrid w:val="0"/>
      <w:kern w:val="0"/>
      <w:szCs w:val="21"/>
    </w:rPr>
  </w:style>
  <w:style w:type="character" w:customStyle="1" w:styleId="663">
    <w:name w:val="纯文本 字符1"/>
    <w:link w:val="36"/>
    <w:autoRedefine/>
    <w:qFormat/>
    <w:uiPriority w:val="0"/>
    <w:rPr>
      <w:rFonts w:ascii="宋体" w:hAnsi="Courier New" w:eastAsia="宋体" w:cs="Arial"/>
      <w:snapToGrid w:val="0"/>
      <w:kern w:val="2"/>
      <w:sz w:val="21"/>
      <w:szCs w:val="21"/>
      <w:lang w:val="en-US" w:eastAsia="zh-CN" w:bidi="ar-SA"/>
    </w:rPr>
  </w:style>
  <w:style w:type="character" w:customStyle="1" w:styleId="664">
    <w:name w:val="标书1 Char"/>
    <w:autoRedefine/>
    <w:qFormat/>
    <w:uiPriority w:val="0"/>
    <w:rPr>
      <w:rFonts w:eastAsia="宋体"/>
      <w:b/>
      <w:bCs/>
      <w:kern w:val="44"/>
      <w:sz w:val="44"/>
      <w:szCs w:val="44"/>
      <w:lang w:val="en-US" w:eastAsia="zh-CN" w:bidi="ar-SA"/>
    </w:rPr>
  </w:style>
  <w:style w:type="character" w:customStyle="1" w:styleId="665">
    <w:name w:val="样式5 Char"/>
    <w:autoRedefine/>
    <w:qFormat/>
    <w:uiPriority w:val="0"/>
    <w:rPr>
      <w:rFonts w:ascii="仿宋_GB2312" w:hAnsi="仿宋" w:eastAsia="仿宋_GB2312"/>
      <w:kern w:val="2"/>
      <w:sz w:val="24"/>
      <w:szCs w:val="24"/>
    </w:rPr>
  </w:style>
  <w:style w:type="character" w:customStyle="1" w:styleId="666">
    <w:name w:val="样式4 Char"/>
    <w:autoRedefine/>
    <w:qFormat/>
    <w:uiPriority w:val="0"/>
    <w:rPr>
      <w:rFonts w:ascii="仿宋_GB2312" w:hAnsi="仿宋" w:eastAsia="仿宋_GB2312"/>
      <w:b/>
      <w:kern w:val="2"/>
      <w:sz w:val="32"/>
      <w:szCs w:val="32"/>
      <w:lang w:bidi="ar-SA"/>
    </w:rPr>
  </w:style>
  <w:style w:type="character" w:customStyle="1" w:styleId="667">
    <w:name w:val="插图说明 Char"/>
    <w:autoRedefine/>
    <w:qFormat/>
    <w:uiPriority w:val="0"/>
    <w:rPr>
      <w:rFonts w:eastAsia="黑体"/>
      <w:sz w:val="24"/>
      <w:lang w:val="en-US" w:eastAsia="zh-CN"/>
    </w:rPr>
  </w:style>
  <w:style w:type="character" w:customStyle="1" w:styleId="668">
    <w:name w:val="正文2 Char Char"/>
    <w:link w:val="93"/>
    <w:autoRedefine/>
    <w:qFormat/>
    <w:uiPriority w:val="0"/>
    <w:rPr>
      <w:rFonts w:eastAsia="宋体"/>
      <w:kern w:val="2"/>
      <w:sz w:val="24"/>
      <w:lang w:val="en-US" w:eastAsia="zh-CN" w:bidi="ar-SA"/>
    </w:rPr>
  </w:style>
  <w:style w:type="character" w:customStyle="1" w:styleId="669">
    <w:name w:val="Char Char24"/>
    <w:autoRedefine/>
    <w:qFormat/>
    <w:uiPriority w:val="6"/>
    <w:rPr>
      <w:kern w:val="1"/>
      <w:sz w:val="21"/>
    </w:rPr>
  </w:style>
  <w:style w:type="character" w:customStyle="1" w:styleId="670">
    <w:name w:val="副标题 字符"/>
    <w:link w:val="50"/>
    <w:autoRedefine/>
    <w:qFormat/>
    <w:uiPriority w:val="0"/>
    <w:rPr>
      <w:rFonts w:ascii="Arial" w:hAnsi="Arial" w:eastAsia="隶书"/>
      <w:b/>
      <w:bCs/>
      <w:kern w:val="28"/>
      <w:sz w:val="44"/>
      <w:szCs w:val="32"/>
      <w:lang w:val="en-US" w:eastAsia="zh-CN" w:bidi="ar-SA"/>
    </w:rPr>
  </w:style>
  <w:style w:type="character" w:customStyle="1" w:styleId="671">
    <w:name w:val="普通文字 Char1 Char"/>
    <w:autoRedefine/>
    <w:qFormat/>
    <w:uiPriority w:val="0"/>
    <w:rPr>
      <w:rFonts w:ascii="宋体" w:hAnsi="Courier New" w:eastAsia="宋体"/>
      <w:kern w:val="2"/>
      <w:sz w:val="21"/>
      <w:szCs w:val="24"/>
      <w:lang w:val="en-US" w:eastAsia="zh-CN" w:bidi="ar-SA"/>
    </w:rPr>
  </w:style>
  <w:style w:type="character" w:customStyle="1" w:styleId="672">
    <w:name w:val="h3 Char1"/>
    <w:autoRedefine/>
    <w:qFormat/>
    <w:uiPriority w:val="0"/>
    <w:rPr>
      <w:rFonts w:eastAsia="宋体"/>
      <w:b/>
      <w:bCs/>
      <w:kern w:val="2"/>
      <w:sz w:val="32"/>
      <w:szCs w:val="32"/>
      <w:lang w:bidi="ar-SA"/>
    </w:rPr>
  </w:style>
  <w:style w:type="character" w:customStyle="1" w:styleId="673">
    <w:name w:val="标题 Char1"/>
    <w:autoRedefine/>
    <w:qFormat/>
    <w:uiPriority w:val="0"/>
    <w:rPr>
      <w:rFonts w:ascii="Cambria" w:hAnsi="Cambria" w:eastAsia="宋体" w:cs="Times New Roman"/>
      <w:b/>
      <w:bCs/>
      <w:sz w:val="32"/>
      <w:szCs w:val="32"/>
      <w:lang w:bidi="ar-SA"/>
    </w:rPr>
  </w:style>
  <w:style w:type="character" w:customStyle="1" w:styleId="674">
    <w:name w:val="gf正文1 Char"/>
    <w:autoRedefine/>
    <w:qFormat/>
    <w:uiPriority w:val="0"/>
    <w:rPr>
      <w:rFonts w:ascii="宋体" w:hAnsi="宋体" w:eastAsia="宋体" w:cs="宋体"/>
      <w:kern w:val="2"/>
      <w:sz w:val="24"/>
      <w:szCs w:val="24"/>
      <w:lang w:val="en-US" w:eastAsia="zh-CN" w:bidi="ar-SA"/>
    </w:rPr>
  </w:style>
  <w:style w:type="character" w:customStyle="1" w:styleId="675">
    <w:name w:val="正文文本缩进 Char1"/>
    <w:autoRedefine/>
    <w:qFormat/>
    <w:uiPriority w:val="0"/>
    <w:rPr>
      <w:rFonts w:ascii="Calibri" w:hAnsi="Calibri"/>
      <w:sz w:val="28"/>
    </w:rPr>
  </w:style>
  <w:style w:type="character" w:customStyle="1" w:styleId="676">
    <w:name w:val="No Spacing Char"/>
    <w:link w:val="94"/>
    <w:autoRedefine/>
    <w:qFormat/>
    <w:uiPriority w:val="1"/>
    <w:rPr>
      <w:sz w:val="22"/>
      <w:szCs w:val="22"/>
      <w:lang w:val="en-US" w:eastAsia="zh-CN" w:bidi="ar-SA"/>
    </w:rPr>
  </w:style>
  <w:style w:type="character" w:customStyle="1" w:styleId="677">
    <w:name w:val="样式7 Char"/>
    <w:autoRedefine/>
    <w:qFormat/>
    <w:uiPriority w:val="0"/>
    <w:rPr>
      <w:rFonts w:ascii="仿宋_GB2312" w:hAnsi="仿宋" w:eastAsia="仿宋_GB2312"/>
      <w:b/>
      <w:kern w:val="2"/>
      <w:sz w:val="24"/>
      <w:szCs w:val="24"/>
    </w:rPr>
  </w:style>
  <w:style w:type="character" w:customStyle="1" w:styleId="678">
    <w:name w:val="font12gray1"/>
    <w:autoRedefine/>
    <w:qFormat/>
    <w:uiPriority w:val="0"/>
    <w:rPr>
      <w:rFonts w:ascii="仿宋_GB2312" w:eastAsia="微软雅黑"/>
      <w:b/>
      <w:spacing w:val="300"/>
      <w:kern w:val="2"/>
      <w:sz w:val="18"/>
      <w:szCs w:val="18"/>
      <w:lang w:val="en-US" w:eastAsia="zh-CN" w:bidi="ar-SA"/>
    </w:rPr>
  </w:style>
  <w:style w:type="character" w:customStyle="1" w:styleId="679">
    <w:name w:val="Char Char7"/>
    <w:autoRedefine/>
    <w:semiHidden/>
    <w:qFormat/>
    <w:uiPriority w:val="0"/>
    <w:rPr>
      <w:rFonts w:eastAsia="宋体"/>
      <w:kern w:val="2"/>
      <w:sz w:val="21"/>
      <w:szCs w:val="24"/>
      <w:lang w:val="en-US" w:eastAsia="zh-CN" w:bidi="ar-SA"/>
    </w:rPr>
  </w:style>
  <w:style w:type="character" w:customStyle="1" w:styleId="680">
    <w:name w:val="表名 Char"/>
    <w:autoRedefine/>
    <w:qFormat/>
    <w:uiPriority w:val="0"/>
    <w:rPr>
      <w:rFonts w:eastAsia="宋体"/>
      <w:b/>
      <w:bCs/>
      <w:kern w:val="2"/>
      <w:sz w:val="24"/>
      <w:szCs w:val="24"/>
      <w:lang w:val="en-US" w:eastAsia="zh-CN" w:bidi="ar-SA"/>
    </w:rPr>
  </w:style>
  <w:style w:type="character" w:customStyle="1" w:styleId="681">
    <w:name w:val="Document Map Char"/>
    <w:autoRedefine/>
    <w:qFormat/>
    <w:locked/>
    <w:uiPriority w:val="0"/>
    <w:rPr>
      <w:rFonts w:eastAsia="宋体"/>
      <w:kern w:val="2"/>
      <w:sz w:val="21"/>
      <w:szCs w:val="24"/>
      <w:lang w:val="en-US" w:eastAsia="zh-CN" w:bidi="ar-SA"/>
    </w:rPr>
  </w:style>
  <w:style w:type="character" w:customStyle="1" w:styleId="682">
    <w:name w:val="font41"/>
    <w:autoRedefine/>
    <w:qFormat/>
    <w:uiPriority w:val="0"/>
    <w:rPr>
      <w:rFonts w:hint="eastAsia" w:ascii="仿宋_GB2312" w:eastAsia="仿宋_GB2312" w:cs="仿宋_GB2312"/>
      <w:color w:val="000000"/>
      <w:sz w:val="22"/>
      <w:szCs w:val="22"/>
      <w:u w:val="none"/>
    </w:rPr>
  </w:style>
  <w:style w:type="character" w:customStyle="1" w:styleId="683">
    <w:name w:val="标题 6 字符"/>
    <w:link w:val="9"/>
    <w:autoRedefine/>
    <w:qFormat/>
    <w:uiPriority w:val="0"/>
    <w:rPr>
      <w:rFonts w:ascii="Arial" w:hAnsi="Arial" w:eastAsia="黑体"/>
      <w:b/>
      <w:bCs/>
      <w:kern w:val="2"/>
      <w:sz w:val="24"/>
      <w:szCs w:val="24"/>
    </w:rPr>
  </w:style>
  <w:style w:type="character" w:customStyle="1" w:styleId="684">
    <w:name w:val="纯文本 Char_0"/>
    <w:link w:val="95"/>
    <w:autoRedefine/>
    <w:qFormat/>
    <w:uiPriority w:val="0"/>
    <w:rPr>
      <w:rFonts w:ascii="宋体" w:hAnsi="Courier New"/>
      <w:kern w:val="2"/>
      <w:sz w:val="21"/>
      <w:szCs w:val="21"/>
      <w:lang w:val="en-US" w:eastAsia="zh-CN"/>
    </w:rPr>
  </w:style>
  <w:style w:type="character" w:customStyle="1" w:styleId="685">
    <w:name w:val="Balloon Text Char"/>
    <w:autoRedefine/>
    <w:qFormat/>
    <w:locked/>
    <w:uiPriority w:val="0"/>
    <w:rPr>
      <w:rFonts w:eastAsia="宋体"/>
      <w:kern w:val="2"/>
      <w:sz w:val="18"/>
      <w:szCs w:val="18"/>
      <w:lang w:val="en-US" w:eastAsia="zh-CN" w:bidi="ar-SA"/>
    </w:rPr>
  </w:style>
  <w:style w:type="character" w:customStyle="1" w:styleId="686">
    <w:name w:val="正文 项目2 Char"/>
    <w:basedOn w:val="687"/>
    <w:autoRedefine/>
    <w:qFormat/>
    <w:uiPriority w:val="0"/>
    <w:rPr>
      <w:rFonts w:ascii="仿宋_GB2312" w:hAnsi="仿宋_GB2312" w:eastAsia="仿宋_GB2312"/>
      <w:kern w:val="2"/>
      <w:sz w:val="24"/>
      <w:lang w:bidi="ar-SA"/>
    </w:rPr>
  </w:style>
  <w:style w:type="character" w:customStyle="1" w:styleId="687">
    <w:name w:val="正文 项目 Char"/>
    <w:autoRedefine/>
    <w:qFormat/>
    <w:uiPriority w:val="0"/>
    <w:rPr>
      <w:rFonts w:ascii="仿宋_GB2312" w:hAnsi="仿宋_GB2312" w:eastAsia="仿宋_GB2312"/>
      <w:kern w:val="2"/>
      <w:sz w:val="24"/>
      <w:lang w:bidi="ar-SA"/>
    </w:rPr>
  </w:style>
  <w:style w:type="character" w:customStyle="1" w:styleId="688">
    <w:name w:val="h Char Char1"/>
    <w:autoRedefine/>
    <w:qFormat/>
    <w:uiPriority w:val="0"/>
    <w:rPr>
      <w:rFonts w:eastAsia="宋体"/>
      <w:kern w:val="2"/>
      <w:sz w:val="18"/>
      <w:szCs w:val="18"/>
      <w:lang w:val="en-US" w:eastAsia="zh-CN" w:bidi="ar-SA"/>
    </w:rPr>
  </w:style>
  <w:style w:type="character" w:customStyle="1" w:styleId="689">
    <w:name w:val="Char Char27"/>
    <w:autoRedefine/>
    <w:qFormat/>
    <w:uiPriority w:val="6"/>
    <w:rPr>
      <w:rFonts w:ascii="宋体" w:hAnsi="宋体" w:eastAsia="宋体"/>
      <w:color w:val="000000"/>
      <w:kern w:val="1"/>
      <w:sz w:val="28"/>
      <w:lang w:val="en-US" w:eastAsia="zh-CN" w:bidi="ar-SA"/>
    </w:rPr>
  </w:style>
  <w:style w:type="character" w:customStyle="1" w:styleId="690">
    <w:name w:val="px14"/>
    <w:autoRedefine/>
    <w:qFormat/>
    <w:uiPriority w:val="0"/>
    <w:rPr>
      <w:rFonts w:ascii="仿宋_GB2312" w:eastAsia="微软雅黑" w:cs="Times New Roman"/>
      <w:b/>
      <w:kern w:val="2"/>
      <w:sz w:val="32"/>
      <w:szCs w:val="32"/>
      <w:lang w:val="en-US" w:eastAsia="zh-CN" w:bidi="ar-SA"/>
    </w:rPr>
  </w:style>
  <w:style w:type="character" w:customStyle="1" w:styleId="691">
    <w:name w:val="HTML 预设格式 Char1"/>
    <w:autoRedefine/>
    <w:qFormat/>
    <w:uiPriority w:val="0"/>
    <w:rPr>
      <w:rFonts w:ascii="Courier New" w:hAnsi="Courier New" w:eastAsia="宋体" w:cs="Courier New"/>
      <w:sz w:val="20"/>
      <w:szCs w:val="20"/>
    </w:rPr>
  </w:style>
  <w:style w:type="character" w:customStyle="1" w:styleId="692">
    <w:name w:val="普通文字 Char1"/>
    <w:autoRedefine/>
    <w:qFormat/>
    <w:uiPriority w:val="0"/>
    <w:rPr>
      <w:rFonts w:ascii="宋体" w:hAnsi="Courier New" w:eastAsia="宋体"/>
      <w:kern w:val="2"/>
      <w:sz w:val="21"/>
      <w:lang w:val="en-US" w:eastAsia="zh-CN"/>
    </w:rPr>
  </w:style>
  <w:style w:type="character" w:customStyle="1" w:styleId="693">
    <w:name w:val="hei16b1"/>
    <w:autoRedefine/>
    <w:qFormat/>
    <w:uiPriority w:val="0"/>
    <w:rPr>
      <w:rFonts w:hint="default" w:ascii="Arial" w:hAnsi="Arial" w:cs="Arial"/>
      <w:b/>
      <w:bCs/>
      <w:color w:val="000000"/>
      <w:sz w:val="24"/>
      <w:szCs w:val="24"/>
    </w:rPr>
  </w:style>
  <w:style w:type="character" w:customStyle="1" w:styleId="694">
    <w:name w:val="正文（绿盟科技） Char"/>
    <w:link w:val="97"/>
    <w:autoRedefine/>
    <w:qFormat/>
    <w:uiPriority w:val="0"/>
    <w:rPr>
      <w:rFonts w:ascii="Arial" w:hAnsi="Arial"/>
      <w:sz w:val="21"/>
      <w:szCs w:val="21"/>
    </w:rPr>
  </w:style>
  <w:style w:type="character" w:customStyle="1" w:styleId="695">
    <w:name w:val="Char Char19"/>
    <w:autoRedefine/>
    <w:qFormat/>
    <w:uiPriority w:val="6"/>
    <w:rPr>
      <w:rFonts w:ascii="宋体" w:hAnsi="宋体"/>
      <w:i/>
      <w:sz w:val="24"/>
      <w:szCs w:val="24"/>
    </w:rPr>
  </w:style>
  <w:style w:type="character" w:customStyle="1" w:styleId="696">
    <w:name w:val="页脚 Char"/>
    <w:autoRedefine/>
    <w:qFormat/>
    <w:uiPriority w:val="0"/>
    <w:rPr>
      <w:rFonts w:eastAsia="仿宋_GB2312"/>
      <w:kern w:val="2"/>
      <w:sz w:val="18"/>
      <w:lang w:val="en-US" w:eastAsia="zh-CN"/>
    </w:rPr>
  </w:style>
  <w:style w:type="character" w:customStyle="1" w:styleId="697">
    <w:name w:val="批注主题 Char"/>
    <w:autoRedefine/>
    <w:qFormat/>
    <w:uiPriority w:val="0"/>
    <w:rPr>
      <w:rFonts w:eastAsia="宋体"/>
      <w:b/>
      <w:bCs/>
      <w:kern w:val="2"/>
      <w:sz w:val="21"/>
      <w:szCs w:val="24"/>
      <w:lang w:val="en-US" w:eastAsia="zh-CN" w:bidi="ar-SA"/>
    </w:rPr>
  </w:style>
  <w:style w:type="character" w:customStyle="1" w:styleId="698">
    <w:name w:val="Comment Text Char"/>
    <w:autoRedefine/>
    <w:qFormat/>
    <w:locked/>
    <w:uiPriority w:val="0"/>
    <w:rPr>
      <w:rFonts w:ascii="宋体" w:hAnsi="宋体" w:eastAsia="宋体"/>
      <w:kern w:val="2"/>
      <w:sz w:val="24"/>
      <w:lang w:val="en-US" w:eastAsia="zh-CN" w:bidi="ar-SA"/>
    </w:rPr>
  </w:style>
  <w:style w:type="character" w:customStyle="1" w:styleId="699">
    <w:name w:val="标题 2 字符"/>
    <w:autoRedefine/>
    <w:qFormat/>
    <w:uiPriority w:val="1"/>
    <w:rPr>
      <w:rFonts w:ascii="仿宋_GB2312" w:hAnsi="Times New Roman" w:eastAsia="仿宋_GB2312" w:cs="Times New Roman"/>
      <w:b/>
      <w:kern w:val="2"/>
      <w:sz w:val="24"/>
      <w:lang w:val="zh-CN"/>
    </w:rPr>
  </w:style>
  <w:style w:type="character" w:customStyle="1" w:styleId="700">
    <w:name w:val="Char Char72"/>
    <w:autoRedefine/>
    <w:qFormat/>
    <w:uiPriority w:val="0"/>
    <w:rPr>
      <w:rFonts w:eastAsia="宋体"/>
      <w:kern w:val="2"/>
      <w:sz w:val="21"/>
      <w:szCs w:val="24"/>
      <w:lang w:val="en-US" w:eastAsia="zh-CN" w:bidi="ar-SA"/>
    </w:rPr>
  </w:style>
  <w:style w:type="character" w:customStyle="1" w:styleId="701">
    <w:name w:val="正文文本缩进 Char2"/>
    <w:autoRedefine/>
    <w:qFormat/>
    <w:uiPriority w:val="0"/>
    <w:rPr>
      <w:rFonts w:ascii="Times New Roman" w:hAnsi="Times New Roman" w:eastAsia="宋体" w:cs="Times New Roman"/>
      <w:snapToGrid w:val="0"/>
      <w:kern w:val="0"/>
      <w:szCs w:val="24"/>
    </w:rPr>
  </w:style>
  <w:style w:type="character" w:customStyle="1" w:styleId="702">
    <w:name w:val="样式2 Char"/>
    <w:autoRedefine/>
    <w:qFormat/>
    <w:uiPriority w:val="0"/>
    <w:rPr>
      <w:rFonts w:ascii="仿宋_GB2312" w:hAnsi="仿宋" w:eastAsia="仿宋_GB2312" w:cs="仿宋_GB2312"/>
      <w:b/>
      <w:bCs/>
      <w:sz w:val="32"/>
      <w:szCs w:val="30"/>
      <w:lang w:val="zh-CN"/>
    </w:rPr>
  </w:style>
  <w:style w:type="character" w:customStyle="1" w:styleId="703">
    <w:name w:val="表格名称[858D7CFB-ED40-4347-BF05-701D383B685F]"/>
    <w:link w:val="98"/>
    <w:autoRedefine/>
    <w:qFormat/>
    <w:uiPriority w:val="0"/>
    <w:rPr>
      <w:sz w:val="32"/>
    </w:rPr>
  </w:style>
  <w:style w:type="character" w:customStyle="1" w:styleId="704">
    <w:name w:val="Char Char4"/>
    <w:autoRedefine/>
    <w:qFormat/>
    <w:uiPriority w:val="0"/>
    <w:rPr>
      <w:rFonts w:eastAsia="宋体"/>
      <w:b/>
      <w:sz w:val="24"/>
      <w:lang w:eastAsia="zh-CN" w:bidi="ar-SA"/>
    </w:rPr>
  </w:style>
  <w:style w:type="character" w:customStyle="1" w:styleId="705">
    <w:name w:val="c7 style3"/>
    <w:autoRedefine/>
    <w:qFormat/>
    <w:uiPriority w:val="0"/>
  </w:style>
  <w:style w:type="character" w:customStyle="1" w:styleId="706">
    <w:name w:val="正文文本 3 Char1"/>
    <w:autoRedefine/>
    <w:semiHidden/>
    <w:qFormat/>
    <w:uiPriority w:val="99"/>
    <w:rPr>
      <w:rFonts w:ascii="Times New Roman" w:hAnsi="Times New Roman" w:eastAsia="宋体" w:cs="Times New Roman"/>
      <w:sz w:val="16"/>
      <w:szCs w:val="16"/>
    </w:rPr>
  </w:style>
  <w:style w:type="character" w:customStyle="1" w:styleId="707">
    <w:name w:val="tw4winInternal"/>
    <w:autoRedefine/>
    <w:qFormat/>
    <w:uiPriority w:val="0"/>
    <w:rPr>
      <w:rFonts w:ascii="Courier New" w:hAnsi="Courier New" w:cs="Courier New"/>
      <w:color w:val="FF0000"/>
      <w:lang w:val="en-US" w:eastAsia="zh-CN"/>
    </w:rPr>
  </w:style>
  <w:style w:type="character" w:customStyle="1" w:styleId="708">
    <w:name w:val="Char Char10"/>
    <w:autoRedefine/>
    <w:semiHidden/>
    <w:qFormat/>
    <w:uiPriority w:val="0"/>
    <w:rPr>
      <w:rFonts w:ascii="宋体" w:hAnsi="宋体"/>
      <w:kern w:val="2"/>
      <w:sz w:val="21"/>
      <w:szCs w:val="24"/>
      <w:lang w:val="en-US" w:eastAsia="zh-CN"/>
    </w:rPr>
  </w:style>
  <w:style w:type="character" w:customStyle="1" w:styleId="709">
    <w:name w:val="shadow11"/>
    <w:autoRedefine/>
    <w:qFormat/>
    <w:uiPriority w:val="0"/>
    <w:rPr>
      <w:color w:val="000000"/>
      <w:sz w:val="21"/>
    </w:rPr>
  </w:style>
  <w:style w:type="character" w:customStyle="1" w:styleId="710">
    <w:name w:val="正文非缩进 Char3"/>
    <w:autoRedefine/>
    <w:qFormat/>
    <w:uiPriority w:val="0"/>
    <w:rPr>
      <w:rFonts w:ascii="宋体" w:eastAsia="宋体"/>
      <w:snapToGrid w:val="0"/>
      <w:color w:val="000000"/>
      <w:kern w:val="28"/>
      <w:sz w:val="28"/>
      <w:lang w:val="en-US" w:eastAsia="zh-CN" w:bidi="ar-SA"/>
    </w:rPr>
  </w:style>
  <w:style w:type="character" w:customStyle="1" w:styleId="711">
    <w:name w:val="Char Char"/>
    <w:autoRedefine/>
    <w:qFormat/>
    <w:uiPriority w:val="0"/>
    <w:rPr>
      <w:rFonts w:ascii="宋体" w:hAnsi="Courier New" w:eastAsia="宋体"/>
      <w:kern w:val="2"/>
      <w:sz w:val="21"/>
      <w:lang w:val="en-US" w:eastAsia="zh-CN" w:bidi="ar-SA"/>
    </w:rPr>
  </w:style>
  <w:style w:type="character" w:customStyle="1" w:styleId="712">
    <w:name w:val="签名 Char1"/>
    <w:autoRedefine/>
    <w:qFormat/>
    <w:uiPriority w:val="0"/>
    <w:rPr>
      <w:rFonts w:ascii="Times New Roman" w:hAnsi="Times New Roman" w:eastAsia="宋体" w:cs="Times New Roman"/>
      <w:szCs w:val="24"/>
    </w:rPr>
  </w:style>
  <w:style w:type="character" w:customStyle="1" w:styleId="713">
    <w:name w:val="日期 字符"/>
    <w:link w:val="39"/>
    <w:autoRedefine/>
    <w:qFormat/>
    <w:uiPriority w:val="0"/>
    <w:rPr>
      <w:rFonts w:ascii="宋体"/>
      <w:kern w:val="2"/>
      <w:sz w:val="24"/>
      <w:szCs w:val="21"/>
      <w:lang w:val="zh-CN"/>
    </w:rPr>
  </w:style>
  <w:style w:type="character" w:customStyle="1" w:styleId="714">
    <w:name w:val="标题 9 字符"/>
    <w:link w:val="12"/>
    <w:autoRedefine/>
    <w:qFormat/>
    <w:uiPriority w:val="0"/>
    <w:rPr>
      <w:rFonts w:ascii="Arial" w:hAnsi="Arial" w:eastAsia="黑体"/>
      <w:kern w:val="2"/>
      <w:sz w:val="21"/>
      <w:szCs w:val="21"/>
    </w:rPr>
  </w:style>
  <w:style w:type="character" w:customStyle="1" w:styleId="715">
    <w:name w:val="Char Char18"/>
    <w:autoRedefine/>
    <w:qFormat/>
    <w:uiPriority w:val="6"/>
    <w:rPr>
      <w:rFonts w:ascii="宋体" w:hAnsi="宋体"/>
      <w:sz w:val="28"/>
    </w:rPr>
  </w:style>
  <w:style w:type="character" w:customStyle="1" w:styleId="716">
    <w:name w:val="批注文字 Char"/>
    <w:autoRedefine/>
    <w:qFormat/>
    <w:uiPriority w:val="99"/>
    <w:rPr>
      <w:kern w:val="2"/>
      <w:sz w:val="21"/>
      <w:szCs w:val="24"/>
    </w:rPr>
  </w:style>
  <w:style w:type="character" w:customStyle="1" w:styleId="717">
    <w:name w:val="Char Char22"/>
    <w:autoRedefine/>
    <w:qFormat/>
    <w:uiPriority w:val="6"/>
    <w:rPr>
      <w:rFonts w:ascii="宋体" w:hAnsi="宋体"/>
      <w:kern w:val="1"/>
      <w:sz w:val="24"/>
      <w:szCs w:val="24"/>
    </w:rPr>
  </w:style>
  <w:style w:type="character" w:customStyle="1" w:styleId="718">
    <w:name w:val="pt141"/>
    <w:autoRedefine/>
    <w:qFormat/>
    <w:uiPriority w:val="0"/>
    <w:rPr>
      <w:color w:val="330066"/>
      <w:sz w:val="22"/>
      <w:szCs w:val="22"/>
    </w:rPr>
  </w:style>
  <w:style w:type="character" w:customStyle="1" w:styleId="719">
    <w:name w:val="正文文本缩进 2 Char1"/>
    <w:autoRedefine/>
    <w:semiHidden/>
    <w:qFormat/>
    <w:uiPriority w:val="99"/>
    <w:rPr>
      <w:rFonts w:ascii="Times New Roman" w:hAnsi="Times New Roman" w:eastAsia="宋体" w:cs="Times New Roman"/>
      <w:szCs w:val="24"/>
    </w:rPr>
  </w:style>
  <w:style w:type="character" w:customStyle="1" w:styleId="720">
    <w:name w:val="批注框文本 字符1"/>
    <w:link w:val="42"/>
    <w:autoRedefine/>
    <w:qFormat/>
    <w:uiPriority w:val="0"/>
    <w:rPr>
      <w:kern w:val="2"/>
      <w:sz w:val="18"/>
      <w:szCs w:val="18"/>
    </w:rPr>
  </w:style>
  <w:style w:type="character" w:customStyle="1" w:styleId="721">
    <w:name w:val="Char Char611"/>
    <w:autoRedefine/>
    <w:qFormat/>
    <w:uiPriority w:val="0"/>
    <w:rPr>
      <w:rFonts w:eastAsia="宋体"/>
      <w:kern w:val="2"/>
      <w:sz w:val="21"/>
      <w:szCs w:val="24"/>
      <w:lang w:val="en-US" w:eastAsia="zh-CN" w:bidi="ar-SA"/>
    </w:rPr>
  </w:style>
  <w:style w:type="character" w:customStyle="1" w:styleId="722">
    <w:name w:val="highlight1"/>
    <w:autoRedefine/>
    <w:qFormat/>
    <w:uiPriority w:val="0"/>
    <w:rPr>
      <w:rFonts w:ascii="仿宋_GB2312" w:eastAsia="微软雅黑"/>
      <w:b/>
      <w:kern w:val="2"/>
      <w:sz w:val="23"/>
      <w:szCs w:val="23"/>
      <w:lang w:val="en-US" w:eastAsia="zh-CN" w:bidi="ar-SA"/>
    </w:rPr>
  </w:style>
  <w:style w:type="character" w:customStyle="1" w:styleId="723">
    <w:name w:val="my正文 Char"/>
    <w:link w:val="99"/>
    <w:autoRedefine/>
    <w:qFormat/>
    <w:locked/>
    <w:uiPriority w:val="0"/>
    <w:rPr>
      <w:rFonts w:ascii="Tahoma" w:hAnsi="Tahoma"/>
      <w:sz w:val="24"/>
      <w:szCs w:val="24"/>
    </w:rPr>
  </w:style>
  <w:style w:type="character" w:customStyle="1" w:styleId="724">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725">
    <w:name w:val="Used by Word for text of Help footnotes Char Char1"/>
    <w:autoRedefine/>
    <w:qFormat/>
    <w:uiPriority w:val="0"/>
    <w:rPr>
      <w:color w:val="0000FF"/>
      <w:sz w:val="21"/>
    </w:rPr>
  </w:style>
  <w:style w:type="character" w:customStyle="1" w:styleId="726">
    <w:name w:val="页眉 Char"/>
    <w:autoRedefine/>
    <w:qFormat/>
    <w:uiPriority w:val="0"/>
    <w:rPr>
      <w:rFonts w:eastAsia="仿宋_GB2312"/>
      <w:kern w:val="2"/>
      <w:sz w:val="18"/>
      <w:lang w:val="en-US" w:eastAsia="zh-CN"/>
    </w:rPr>
  </w:style>
  <w:style w:type="character" w:customStyle="1" w:styleId="727">
    <w:name w:val="FA正文 Char Char"/>
    <w:autoRedefine/>
    <w:qFormat/>
    <w:uiPriority w:val="0"/>
    <w:rPr>
      <w:rFonts w:hAnsi="宋体"/>
      <w:kern w:val="2"/>
      <w:sz w:val="24"/>
      <w:lang w:bidi="ar-SA"/>
    </w:rPr>
  </w:style>
  <w:style w:type="character" w:customStyle="1" w:styleId="72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9">
    <w:name w:val="3级 Char"/>
    <w:link w:val="100"/>
    <w:autoRedefine/>
    <w:qFormat/>
    <w:uiPriority w:val="0"/>
    <w:rPr>
      <w:rFonts w:ascii="宋体" w:hAnsi="宋体"/>
      <w:b/>
      <w:bCs/>
      <w:sz w:val="28"/>
    </w:rPr>
  </w:style>
  <w:style w:type="character" w:customStyle="1" w:styleId="730">
    <w:name w:val="myp11"/>
    <w:autoRedefine/>
    <w:qFormat/>
    <w:uiPriority w:val="0"/>
    <w:rPr>
      <w:rFonts w:ascii="仿宋_GB2312" w:eastAsia="微软雅黑"/>
      <w:b/>
      <w:kern w:val="2"/>
      <w:sz w:val="32"/>
      <w:szCs w:val="32"/>
      <w:lang w:val="en-US" w:eastAsia="zh-CN" w:bidi="ar-SA"/>
    </w:rPr>
  </w:style>
  <w:style w:type="character" w:customStyle="1" w:styleId="731">
    <w:name w:val="文档结构图 字符"/>
    <w:link w:val="20"/>
    <w:autoRedefine/>
    <w:qFormat/>
    <w:uiPriority w:val="0"/>
    <w:rPr>
      <w:kern w:val="2"/>
      <w:sz w:val="21"/>
      <w:szCs w:val="24"/>
      <w:shd w:val="clear" w:color="auto" w:fill="000080"/>
    </w:rPr>
  </w:style>
  <w:style w:type="character" w:customStyle="1" w:styleId="732">
    <w:name w:val="H6 Char"/>
    <w:autoRedefine/>
    <w:qFormat/>
    <w:uiPriority w:val="0"/>
    <w:rPr>
      <w:rFonts w:ascii="Arial" w:hAnsi="Arial" w:eastAsia="黑体"/>
      <w:b/>
      <w:bCs/>
      <w:kern w:val="2"/>
      <w:sz w:val="24"/>
      <w:szCs w:val="24"/>
    </w:rPr>
  </w:style>
  <w:style w:type="character" w:customStyle="1" w:styleId="733">
    <w:name w:val="Char Char91"/>
    <w:autoRedefine/>
    <w:qFormat/>
    <w:uiPriority w:val="0"/>
    <w:rPr>
      <w:rFonts w:eastAsia="宋体"/>
      <w:kern w:val="2"/>
      <w:sz w:val="18"/>
      <w:szCs w:val="18"/>
      <w:lang w:val="en-US" w:eastAsia="zh-CN" w:bidi="ar-SA"/>
    </w:rPr>
  </w:style>
  <w:style w:type="character" w:customStyle="1" w:styleId="734">
    <w:name w:val="副标题 Char1"/>
    <w:autoRedefine/>
    <w:qFormat/>
    <w:uiPriority w:val="0"/>
    <w:rPr>
      <w:rFonts w:ascii="Cambria" w:hAnsi="Cambria" w:eastAsia="宋体" w:cs="Times New Roman"/>
      <w:b/>
      <w:bCs/>
      <w:snapToGrid w:val="0"/>
      <w:kern w:val="28"/>
      <w:sz w:val="32"/>
      <w:szCs w:val="32"/>
    </w:rPr>
  </w:style>
  <w:style w:type="character" w:customStyle="1" w:styleId="735">
    <w:name w:val="font61"/>
    <w:autoRedefine/>
    <w:qFormat/>
    <w:uiPriority w:val="0"/>
    <w:rPr>
      <w:rFonts w:hint="eastAsia" w:ascii="仿宋" w:hAnsi="仿宋" w:eastAsia="仿宋" w:cs="仿宋"/>
      <w:color w:val="000000"/>
      <w:sz w:val="20"/>
      <w:szCs w:val="20"/>
      <w:u w:val="none"/>
    </w:rPr>
  </w:style>
  <w:style w:type="character" w:customStyle="1" w:styleId="73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7">
    <w:name w:val="Char Char211"/>
    <w:autoRedefine/>
    <w:qFormat/>
    <w:uiPriority w:val="0"/>
    <w:rPr>
      <w:rFonts w:eastAsia="宋体"/>
      <w:b/>
      <w:bCs/>
      <w:kern w:val="2"/>
      <w:sz w:val="21"/>
      <w:szCs w:val="24"/>
      <w:lang w:val="en-US" w:eastAsia="zh-CN" w:bidi="ar-SA"/>
    </w:rPr>
  </w:style>
  <w:style w:type="character" w:customStyle="1" w:styleId="738">
    <w:name w:val="标题 2 Char"/>
    <w:autoRedefine/>
    <w:qFormat/>
    <w:uiPriority w:val="0"/>
    <w:rPr>
      <w:rFonts w:ascii="Arial" w:hAnsi="Arial" w:eastAsia="黑体"/>
      <w:b/>
      <w:kern w:val="2"/>
      <w:sz w:val="32"/>
      <w:lang w:val="en-US" w:eastAsia="zh-CN"/>
    </w:rPr>
  </w:style>
  <w:style w:type="character" w:customStyle="1" w:styleId="739">
    <w:name w:val="maywed421"/>
    <w:autoRedefine/>
    <w:qFormat/>
    <w:uiPriority w:val="0"/>
    <w:rPr>
      <w:color w:val="366FB6"/>
      <w:u w:val="none"/>
    </w:rPr>
  </w:style>
  <w:style w:type="character" w:customStyle="1" w:styleId="740">
    <w:name w:val="正文文本缩进 Char"/>
    <w:autoRedefine/>
    <w:qFormat/>
    <w:uiPriority w:val="0"/>
    <w:rPr>
      <w:rFonts w:ascii="宋体" w:hAnsi="宋体"/>
      <w:kern w:val="2"/>
      <w:sz w:val="24"/>
      <w:szCs w:val="24"/>
    </w:rPr>
  </w:style>
  <w:style w:type="character" w:customStyle="1" w:styleId="741">
    <w:name w:val="Char Char102"/>
    <w:autoRedefine/>
    <w:semiHidden/>
    <w:qFormat/>
    <w:uiPriority w:val="0"/>
    <w:rPr>
      <w:rFonts w:ascii="宋体" w:hAnsi="宋体"/>
      <w:kern w:val="2"/>
      <w:sz w:val="21"/>
      <w:szCs w:val="24"/>
      <w:lang w:val="en-US" w:eastAsia="zh-CN"/>
    </w:rPr>
  </w:style>
  <w:style w:type="character" w:customStyle="1" w:styleId="742">
    <w:name w:val="页眉 Char1"/>
    <w:autoRedefine/>
    <w:qFormat/>
    <w:uiPriority w:val="0"/>
    <w:rPr>
      <w:rFonts w:eastAsia="宋体"/>
      <w:kern w:val="2"/>
      <w:sz w:val="18"/>
      <w:szCs w:val="18"/>
      <w:lang w:val="en-US" w:eastAsia="zh-CN" w:bidi="ar-SA"/>
    </w:rPr>
  </w:style>
  <w:style w:type="character" w:customStyle="1" w:styleId="743">
    <w:name w:val="md"/>
    <w:basedOn w:val="77"/>
    <w:autoRedefine/>
    <w:qFormat/>
    <w:uiPriority w:val="0"/>
    <w:rPr>
      <w:rFonts w:ascii="Arial" w:hAnsi="Arial" w:eastAsia="黑体" w:cs="Arial"/>
      <w:snapToGrid w:val="0"/>
      <w:kern w:val="0"/>
      <w:szCs w:val="21"/>
    </w:rPr>
  </w:style>
  <w:style w:type="character" w:customStyle="1" w:styleId="744">
    <w:name w:val="big1"/>
    <w:autoRedefine/>
    <w:qFormat/>
    <w:uiPriority w:val="0"/>
    <w:rPr>
      <w:rFonts w:hint="eastAsia" w:ascii="宋体" w:hAnsi="宋体" w:eastAsia="宋体"/>
      <w:color w:val="333333"/>
      <w:sz w:val="22"/>
      <w:szCs w:val="22"/>
    </w:rPr>
  </w:style>
  <w:style w:type="character" w:customStyle="1" w:styleId="745">
    <w:name w:val="Char Char311"/>
    <w:autoRedefine/>
    <w:qFormat/>
    <w:uiPriority w:val="0"/>
    <w:rPr>
      <w:rFonts w:eastAsia="宋体"/>
      <w:kern w:val="2"/>
      <w:sz w:val="21"/>
      <w:szCs w:val="24"/>
      <w:lang w:val="en-US" w:eastAsia="zh-CN" w:bidi="ar-SA"/>
    </w:rPr>
  </w:style>
  <w:style w:type="character" w:customStyle="1" w:styleId="746">
    <w:name w:val="Char Char81"/>
    <w:autoRedefine/>
    <w:qFormat/>
    <w:uiPriority w:val="6"/>
    <w:rPr>
      <w:rFonts w:eastAsia="宋体"/>
      <w:b/>
      <w:sz w:val="24"/>
      <w:lang w:eastAsia="zh-CN"/>
    </w:rPr>
  </w:style>
  <w:style w:type="character" w:customStyle="1" w:styleId="747">
    <w:name w:val="样式3 Char"/>
    <w:basedOn w:val="702"/>
    <w:autoRedefine/>
    <w:qFormat/>
    <w:uiPriority w:val="0"/>
    <w:rPr>
      <w:rFonts w:ascii="仿宋_GB2312" w:hAnsi="仿宋" w:eastAsia="仿宋_GB2312" w:cs="仿宋_GB2312"/>
      <w:sz w:val="32"/>
      <w:szCs w:val="30"/>
      <w:lang w:val="zh-CN"/>
    </w:rPr>
  </w:style>
  <w:style w:type="character" w:customStyle="1" w:styleId="748">
    <w:name w:val="HTML 地址 字符"/>
    <w:link w:val="33"/>
    <w:autoRedefine/>
    <w:qFormat/>
    <w:uiPriority w:val="0"/>
    <w:rPr>
      <w:rFonts w:ascii="宋体" w:hAnsi="宋体"/>
      <w:i/>
      <w:iCs/>
      <w:sz w:val="24"/>
      <w:szCs w:val="24"/>
    </w:rPr>
  </w:style>
  <w:style w:type="character" w:customStyle="1" w:styleId="749">
    <w:name w:val="正文首行缩进 2 Char1"/>
    <w:autoRedefine/>
    <w:qFormat/>
    <w:uiPriority w:val="0"/>
    <w:rPr>
      <w:rFonts w:ascii="Times New Roman" w:hAnsi="Times New Roman" w:eastAsia="宋体" w:cs="Times New Roman"/>
      <w:kern w:val="2"/>
      <w:sz w:val="24"/>
      <w:szCs w:val="24"/>
    </w:rPr>
  </w:style>
  <w:style w:type="character" w:customStyle="1" w:styleId="750">
    <w:name w:val="副标题 Char2"/>
    <w:autoRedefine/>
    <w:qFormat/>
    <w:uiPriority w:val="0"/>
    <w:rPr>
      <w:rFonts w:ascii="Cambria" w:hAnsi="Cambria" w:eastAsia="宋体" w:cs="Times New Roman"/>
      <w:b/>
      <w:bCs/>
      <w:snapToGrid w:val="0"/>
      <w:kern w:val="28"/>
      <w:sz w:val="32"/>
      <w:szCs w:val="32"/>
    </w:rPr>
  </w:style>
  <w:style w:type="character" w:customStyle="1" w:styleId="751">
    <w:name w:val="标题4-dyf Char"/>
    <w:link w:val="102"/>
    <w:autoRedefine/>
    <w:qFormat/>
    <w:uiPriority w:val="0"/>
    <w:rPr>
      <w:rFonts w:ascii="Cambria" w:hAnsi="Cambria"/>
      <w:b/>
      <w:bCs/>
      <w:color w:val="000000"/>
      <w:kern w:val="2"/>
      <w:sz w:val="21"/>
      <w:szCs w:val="21"/>
    </w:rPr>
  </w:style>
  <w:style w:type="character" w:customStyle="1" w:styleId="752">
    <w:name w:val="dectext1"/>
    <w:autoRedefine/>
    <w:qFormat/>
    <w:uiPriority w:val="0"/>
    <w:rPr>
      <w:rFonts w:ascii="宋体" w:hAnsi="宋体" w:eastAsia="宋体"/>
      <w:color w:val="333333"/>
      <w:sz w:val="21"/>
      <w:szCs w:val="21"/>
      <w:u w:val="none"/>
    </w:rPr>
  </w:style>
  <w:style w:type="character" w:customStyle="1" w:styleId="753">
    <w:name w:val="冯 Char"/>
    <w:link w:val="103"/>
    <w:autoRedefine/>
    <w:qFormat/>
    <w:uiPriority w:val="0"/>
    <w:rPr>
      <w:rFonts w:ascii="宋体" w:hAnsi="宋体"/>
      <w:color w:val="000000"/>
      <w:sz w:val="24"/>
      <w:szCs w:val="24"/>
    </w:rPr>
  </w:style>
  <w:style w:type="character" w:customStyle="1" w:styleId="754">
    <w:name w:val="Header Char"/>
    <w:autoRedefine/>
    <w:qFormat/>
    <w:locked/>
    <w:uiPriority w:val="0"/>
    <w:rPr>
      <w:rFonts w:eastAsia="宋体"/>
      <w:kern w:val="2"/>
      <w:sz w:val="18"/>
      <w:szCs w:val="18"/>
      <w:lang w:val="en-US" w:eastAsia="zh-CN" w:bidi="ar-SA"/>
    </w:rPr>
  </w:style>
  <w:style w:type="character" w:customStyle="1" w:styleId="755">
    <w:name w:val="Char Char12"/>
    <w:autoRedefine/>
    <w:qFormat/>
    <w:uiPriority w:val="0"/>
    <w:rPr>
      <w:rFonts w:ascii="仿宋_GB2312" w:eastAsia="仿宋_GB2312"/>
      <w:b/>
      <w:bCs/>
      <w:kern w:val="2"/>
      <w:sz w:val="24"/>
      <w:szCs w:val="24"/>
      <w:lang w:val="zh-CN" w:eastAsia="zh-CN" w:bidi="ar-SA"/>
    </w:rPr>
  </w:style>
  <w:style w:type="character" w:customStyle="1" w:styleId="756">
    <w:name w:val="题注 字符"/>
    <w:link w:val="18"/>
    <w:autoRedefine/>
    <w:qFormat/>
    <w:uiPriority w:val="0"/>
    <w:rPr>
      <w:b/>
      <w:kern w:val="2"/>
      <w:sz w:val="28"/>
    </w:rPr>
  </w:style>
  <w:style w:type="character" w:customStyle="1" w:styleId="757">
    <w:name w:val="普通文字 Char3"/>
    <w:autoRedefine/>
    <w:qFormat/>
    <w:uiPriority w:val="0"/>
    <w:rPr>
      <w:rFonts w:ascii="宋体" w:hAnsi="Courier New" w:eastAsia="宋体"/>
      <w:kern w:val="2"/>
      <w:sz w:val="21"/>
      <w:lang w:val="en-US" w:eastAsia="zh-CN" w:bidi="ar-SA"/>
    </w:rPr>
  </w:style>
  <w:style w:type="character" w:customStyle="1" w:styleId="758">
    <w:name w:val="公文正文 Char"/>
    <w:autoRedefine/>
    <w:qFormat/>
    <w:uiPriority w:val="0"/>
    <w:rPr>
      <w:rFonts w:ascii="仿宋_GB2312" w:eastAsia="仿宋_GB2312"/>
      <w:kern w:val="2"/>
      <w:sz w:val="24"/>
      <w:szCs w:val="24"/>
      <w:lang w:val="en-US" w:eastAsia="zh-CN" w:bidi="ar-SA"/>
    </w:rPr>
  </w:style>
  <w:style w:type="character" w:customStyle="1" w:styleId="759">
    <w:name w:val="正文首行缩进 Char Char Char Char Char"/>
    <w:autoRedefine/>
    <w:qFormat/>
    <w:uiPriority w:val="0"/>
    <w:rPr>
      <w:rFonts w:ascii="宋体"/>
      <w:kern w:val="2"/>
      <w:sz w:val="24"/>
      <w:lang w:val="zh-CN"/>
    </w:rPr>
  </w:style>
  <w:style w:type="character" w:customStyle="1" w:styleId="760">
    <w:name w:val="PI Char"/>
    <w:autoRedefine/>
    <w:qFormat/>
    <w:uiPriority w:val="0"/>
    <w:rPr>
      <w:rFonts w:ascii="宋体" w:hAnsi="宋体" w:eastAsia="宋体"/>
      <w:kern w:val="2"/>
      <w:sz w:val="24"/>
      <w:szCs w:val="24"/>
      <w:lang w:val="en-US" w:eastAsia="zh-CN" w:bidi="ar-SA"/>
    </w:rPr>
  </w:style>
  <w:style w:type="character" w:customStyle="1" w:styleId="761">
    <w:name w:val="Default Char"/>
    <w:link w:val="104"/>
    <w:autoRedefine/>
    <w:qFormat/>
    <w:uiPriority w:val="0"/>
    <w:rPr>
      <w:rFonts w:ascii="仿宋_GB2312" w:eastAsia="仿宋_GB2312" w:cs="仿宋_GB2312"/>
      <w:color w:val="000000"/>
      <w:sz w:val="24"/>
      <w:szCs w:val="24"/>
      <w:lang w:val="en-US" w:eastAsia="zh-CN" w:bidi="ar-SA"/>
    </w:rPr>
  </w:style>
  <w:style w:type="character" w:customStyle="1" w:styleId="762">
    <w:name w:val="style91"/>
    <w:autoRedefine/>
    <w:qFormat/>
    <w:uiPriority w:val="0"/>
    <w:rPr>
      <w:color w:val="333333"/>
    </w:rPr>
  </w:style>
  <w:style w:type="character" w:customStyle="1" w:styleId="763">
    <w:name w:val="列出段落 Char2"/>
    <w:autoRedefine/>
    <w:qFormat/>
    <w:uiPriority w:val="34"/>
    <w:rPr>
      <w:rFonts w:ascii="Calibri" w:hAnsi="Calibri"/>
      <w:kern w:val="2"/>
      <w:sz w:val="28"/>
    </w:rPr>
  </w:style>
  <w:style w:type="character" w:customStyle="1" w:styleId="764">
    <w:name w:val="mdeck"/>
    <w:autoRedefine/>
    <w:qFormat/>
    <w:uiPriority w:val="0"/>
    <w:rPr>
      <w:rFonts w:ascii="仿宋_GB2312" w:eastAsia="微软雅黑"/>
      <w:b/>
      <w:kern w:val="2"/>
      <w:sz w:val="32"/>
      <w:szCs w:val="32"/>
      <w:lang w:val="en-US" w:eastAsia="zh-CN" w:bidi="ar-SA"/>
    </w:rPr>
  </w:style>
  <w:style w:type="character" w:customStyle="1" w:styleId="765">
    <w:name w:val="unnamed11"/>
    <w:autoRedefine/>
    <w:qFormat/>
    <w:uiPriority w:val="0"/>
    <w:rPr>
      <w:sz w:val="20"/>
      <w:szCs w:val="20"/>
    </w:rPr>
  </w:style>
  <w:style w:type="character" w:customStyle="1" w:styleId="766">
    <w:name w:val="正文文本 Char2"/>
    <w:autoRedefine/>
    <w:semiHidden/>
    <w:qFormat/>
    <w:uiPriority w:val="99"/>
    <w:rPr>
      <w:rFonts w:ascii="Times New Roman" w:hAnsi="Times New Roman" w:eastAsia="宋体" w:cs="Times New Roman"/>
      <w:snapToGrid w:val="0"/>
      <w:kern w:val="0"/>
      <w:szCs w:val="24"/>
    </w:rPr>
  </w:style>
  <w:style w:type="character" w:customStyle="1" w:styleId="767">
    <w:name w:val="标书正文格式 Char"/>
    <w:autoRedefine/>
    <w:qFormat/>
    <w:uiPriority w:val="0"/>
    <w:rPr>
      <w:rFonts w:eastAsia="楷体_GB2312"/>
      <w:kern w:val="2"/>
      <w:sz w:val="24"/>
      <w:szCs w:val="24"/>
      <w:lang w:bidi="ar-SA"/>
    </w:rPr>
  </w:style>
  <w:style w:type="character" w:customStyle="1" w:styleId="768">
    <w:name w:val="Char Char11"/>
    <w:autoRedefine/>
    <w:qFormat/>
    <w:locked/>
    <w:uiPriority w:val="0"/>
    <w:rPr>
      <w:rFonts w:ascii="宋体" w:hAnsi="宋体" w:eastAsia="宋体"/>
      <w:b/>
      <w:kern w:val="2"/>
      <w:sz w:val="24"/>
      <w:szCs w:val="24"/>
      <w:lang w:val="en-US" w:eastAsia="zh-CN" w:bidi="ar-SA"/>
    </w:rPr>
  </w:style>
  <w:style w:type="character" w:customStyle="1" w:styleId="769">
    <w:name w:val="ca-131"/>
    <w:autoRedefine/>
    <w:qFormat/>
    <w:uiPriority w:val="0"/>
    <w:rPr>
      <w:rFonts w:hint="eastAsia" w:ascii="仿宋_GB2312" w:eastAsia="仿宋_GB2312"/>
      <w:b/>
      <w:bCs/>
      <w:color w:val="000000"/>
      <w:spacing w:val="-20"/>
      <w:sz w:val="24"/>
      <w:szCs w:val="24"/>
    </w:rPr>
  </w:style>
  <w:style w:type="character" w:customStyle="1" w:styleId="770">
    <w:name w:val="tw4winMark"/>
    <w:autoRedefine/>
    <w:qFormat/>
    <w:uiPriority w:val="0"/>
    <w:rPr>
      <w:rFonts w:ascii="Courier New" w:hAnsi="Courier New" w:cs="Courier New"/>
      <w:vanish/>
      <w:color w:val="800080"/>
      <w:sz w:val="24"/>
      <w:szCs w:val="24"/>
      <w:vertAlign w:val="subscript"/>
    </w:rPr>
  </w:style>
  <w:style w:type="character" w:customStyle="1" w:styleId="771">
    <w:name w:val="正文样式 Char"/>
    <w:link w:val="105"/>
    <w:autoRedefine/>
    <w:qFormat/>
    <w:uiPriority w:val="0"/>
    <w:rPr>
      <w:rFonts w:ascii="Calibri" w:hAnsi="Calibri"/>
      <w:sz w:val="24"/>
      <w:szCs w:val="24"/>
    </w:rPr>
  </w:style>
  <w:style w:type="character" w:customStyle="1" w:styleId="772">
    <w:name w:val="表正文 Char3"/>
    <w:autoRedefine/>
    <w:qFormat/>
    <w:uiPriority w:val="0"/>
    <w:rPr>
      <w:rFonts w:eastAsia="宋体"/>
    </w:rPr>
  </w:style>
  <w:style w:type="character" w:customStyle="1" w:styleId="773">
    <w:name w:val="H5 Char"/>
    <w:autoRedefine/>
    <w:qFormat/>
    <w:uiPriority w:val="0"/>
    <w:rPr>
      <w:b/>
      <w:bCs/>
      <w:kern w:val="2"/>
      <w:sz w:val="28"/>
      <w:szCs w:val="28"/>
    </w:rPr>
  </w:style>
  <w:style w:type="character" w:customStyle="1" w:styleId="774">
    <w:name w:val="Char Char3"/>
    <w:autoRedefine/>
    <w:qFormat/>
    <w:uiPriority w:val="0"/>
    <w:rPr>
      <w:rFonts w:eastAsia="宋体"/>
      <w:kern w:val="2"/>
      <w:sz w:val="21"/>
      <w:szCs w:val="24"/>
      <w:lang w:val="en-US" w:eastAsia="zh-CN" w:bidi="ar-SA"/>
    </w:rPr>
  </w:style>
  <w:style w:type="character" w:customStyle="1" w:styleId="775">
    <w:name w:val="正文 编号 Char"/>
    <w:autoRedefine/>
    <w:qFormat/>
    <w:uiPriority w:val="0"/>
    <w:rPr>
      <w:rFonts w:ascii="仿宋_GB2312" w:hAnsi="仿宋_GB2312" w:eastAsia="仿宋_GB2312"/>
      <w:kern w:val="2"/>
      <w:sz w:val="24"/>
      <w:lang w:bidi="ar-SA"/>
    </w:rPr>
  </w:style>
  <w:style w:type="character" w:customStyle="1" w:styleId="776">
    <w:name w:val="question-title2"/>
    <w:autoRedefine/>
    <w:qFormat/>
    <w:uiPriority w:val="6"/>
    <w:rPr>
      <w:rFonts w:ascii="Arial" w:hAnsi="Arial" w:eastAsia="黑体" w:cs="Arial"/>
      <w:snapToGrid w:val="0"/>
      <w:kern w:val="0"/>
      <w:szCs w:val="21"/>
    </w:rPr>
  </w:style>
  <w:style w:type="character" w:customStyle="1" w:styleId="777">
    <w:name w:val="gf正文1 Char Char"/>
    <w:link w:val="106"/>
    <w:autoRedefine/>
    <w:qFormat/>
    <w:uiPriority w:val="0"/>
    <w:rPr>
      <w:rFonts w:ascii="宋体" w:hAnsi="宋体" w:cs="宋体"/>
      <w:kern w:val="2"/>
      <w:sz w:val="24"/>
      <w:szCs w:val="24"/>
    </w:rPr>
  </w:style>
  <w:style w:type="character" w:customStyle="1" w:styleId="778">
    <w:name w:val="Char Char15"/>
    <w:autoRedefine/>
    <w:qFormat/>
    <w:uiPriority w:val="6"/>
    <w:rPr>
      <w:rFonts w:ascii="宋体" w:hAnsi="宋体"/>
      <w:kern w:val="1"/>
      <w:sz w:val="21"/>
    </w:rPr>
  </w:style>
  <w:style w:type="character" w:customStyle="1" w:styleId="779">
    <w:name w:val="正文缩进 Char3"/>
    <w:autoRedefine/>
    <w:qFormat/>
    <w:uiPriority w:val="0"/>
    <w:rPr>
      <w:rFonts w:ascii="宋体" w:eastAsia="宋体"/>
      <w:snapToGrid w:val="0"/>
      <w:color w:val="000000"/>
      <w:kern w:val="28"/>
      <w:sz w:val="28"/>
      <w:lang w:val="en-US" w:eastAsia="zh-CN" w:bidi="ar-SA"/>
    </w:rPr>
  </w:style>
  <w:style w:type="character" w:customStyle="1" w:styleId="780">
    <w:name w:val="列出段落 Char1"/>
    <w:link w:val="107"/>
    <w:autoRedefine/>
    <w:qFormat/>
    <w:uiPriority w:val="0"/>
    <w:rPr>
      <w:rFonts w:ascii="Calibri" w:hAnsi="Calibri"/>
      <w:sz w:val="24"/>
      <w:lang w:eastAsia="en-US"/>
    </w:rPr>
  </w:style>
  <w:style w:type="character" w:customStyle="1" w:styleId="781">
    <w:name w:val="Char Char8"/>
    <w:autoRedefine/>
    <w:qFormat/>
    <w:uiPriority w:val="0"/>
    <w:rPr>
      <w:rFonts w:eastAsia="宋体"/>
      <w:b/>
      <w:sz w:val="24"/>
      <w:lang w:eastAsia="zh-CN"/>
    </w:rPr>
  </w:style>
  <w:style w:type="character" w:customStyle="1" w:styleId="782">
    <w:name w:val="Normal Indent Char Char"/>
    <w:autoRedefine/>
    <w:qFormat/>
    <w:uiPriority w:val="0"/>
    <w:rPr>
      <w:rFonts w:eastAsia="宋体"/>
      <w:kern w:val="2"/>
      <w:sz w:val="21"/>
      <w:lang w:val="en-US" w:eastAsia="zh-CN" w:bidi="ar-SA"/>
    </w:rPr>
  </w:style>
  <w:style w:type="character" w:customStyle="1" w:styleId="783">
    <w:name w:val="列表段落 字符"/>
    <w:autoRedefine/>
    <w:qFormat/>
    <w:uiPriority w:val="99"/>
  </w:style>
  <w:style w:type="character" w:customStyle="1" w:styleId="784">
    <w:name w:val="Ò³Ã¼ Char Char1"/>
    <w:autoRedefine/>
    <w:qFormat/>
    <w:uiPriority w:val="0"/>
    <w:rPr>
      <w:rFonts w:eastAsia="宋体"/>
      <w:kern w:val="2"/>
      <w:sz w:val="18"/>
      <w:szCs w:val="18"/>
      <w:lang w:val="en-US" w:eastAsia="zh-CN" w:bidi="ar-SA"/>
    </w:rPr>
  </w:style>
  <w:style w:type="character" w:customStyle="1" w:styleId="785">
    <w:name w:val="方案正文 Char"/>
    <w:autoRedefine/>
    <w:qFormat/>
    <w:uiPriority w:val="0"/>
    <w:rPr>
      <w:rFonts w:ascii="仿宋_GB2312" w:eastAsia="仿宋_GB2312"/>
      <w:b/>
      <w:color w:val="000000"/>
      <w:kern w:val="2"/>
      <w:sz w:val="24"/>
      <w:lang w:val="en-US" w:eastAsia="zh-CN" w:bidi="ar-SA"/>
    </w:rPr>
  </w:style>
  <w:style w:type="character" w:customStyle="1" w:styleId="786">
    <w:name w:val="Char Char30"/>
    <w:autoRedefine/>
    <w:qFormat/>
    <w:uiPriority w:val="6"/>
    <w:rPr>
      <w:rFonts w:ascii="Arial" w:hAnsi="Arial" w:eastAsia="黑体"/>
      <w:kern w:val="1"/>
      <w:sz w:val="21"/>
      <w:szCs w:val="21"/>
    </w:rPr>
  </w:style>
  <w:style w:type="character" w:customStyle="1" w:styleId="787">
    <w:name w:val="正文文本缩进 字符1"/>
    <w:link w:val="27"/>
    <w:autoRedefine/>
    <w:qFormat/>
    <w:uiPriority w:val="0"/>
    <w:rPr>
      <w:rFonts w:ascii="宋体" w:hAnsi="宋体"/>
      <w:kern w:val="2"/>
      <w:sz w:val="24"/>
      <w:szCs w:val="24"/>
    </w:rPr>
  </w:style>
  <w:style w:type="character" w:customStyle="1" w:styleId="788">
    <w:name w:val="font01"/>
    <w:autoRedefine/>
    <w:qFormat/>
    <w:uiPriority w:val="0"/>
    <w:rPr>
      <w:rFonts w:hint="eastAsia" w:ascii="微软雅黑" w:hAnsi="微软雅黑" w:eastAsia="微软雅黑" w:cs="微软雅黑"/>
      <w:color w:val="000000"/>
      <w:sz w:val="20"/>
      <w:szCs w:val="20"/>
      <w:u w:val="none"/>
    </w:rPr>
  </w:style>
  <w:style w:type="character" w:customStyle="1" w:styleId="789">
    <w:name w:val="Char Char20"/>
    <w:autoRedefine/>
    <w:qFormat/>
    <w:uiPriority w:val="6"/>
    <w:rPr>
      <w:kern w:val="1"/>
      <w:sz w:val="24"/>
    </w:rPr>
  </w:style>
  <w:style w:type="character" w:customStyle="1" w:styleId="790">
    <w:name w:val="tw4winExternal"/>
    <w:autoRedefine/>
    <w:qFormat/>
    <w:uiPriority w:val="0"/>
    <w:rPr>
      <w:rFonts w:ascii="Courier New" w:hAnsi="Courier New" w:cs="Courier New"/>
      <w:color w:val="808080"/>
      <w:lang w:val="en-US" w:eastAsia="zh-CN"/>
    </w:rPr>
  </w:style>
  <w:style w:type="character" w:customStyle="1" w:styleId="791">
    <w:name w:val="标题 4 Char1"/>
    <w:autoRedefine/>
    <w:qFormat/>
    <w:uiPriority w:val="9"/>
    <w:rPr>
      <w:rFonts w:ascii="Cambria" w:hAnsi="Cambria" w:eastAsia="宋体" w:cs="Times New Roman"/>
      <w:b/>
      <w:bCs/>
      <w:kern w:val="2"/>
      <w:sz w:val="28"/>
      <w:szCs w:val="28"/>
    </w:rPr>
  </w:style>
  <w:style w:type="character" w:customStyle="1" w:styleId="792">
    <w:name w:val="批注文字 Char2"/>
    <w:autoRedefine/>
    <w:qFormat/>
    <w:uiPriority w:val="99"/>
    <w:rPr>
      <w:rFonts w:ascii="Times New Roman" w:hAnsi="Times New Roman" w:eastAsia="宋体" w:cs="Times New Roman"/>
      <w:snapToGrid w:val="0"/>
      <w:kern w:val="0"/>
      <w:szCs w:val="24"/>
    </w:rPr>
  </w:style>
  <w:style w:type="character" w:customStyle="1" w:styleId="793">
    <w:name w:val="正文文本 2 Char"/>
    <w:autoRedefine/>
    <w:qFormat/>
    <w:uiPriority w:val="0"/>
    <w:rPr>
      <w:rFonts w:eastAsia="宋体"/>
      <w:kern w:val="2"/>
      <w:sz w:val="21"/>
      <w:szCs w:val="24"/>
      <w:lang w:val="en-US" w:eastAsia="zh-CN" w:bidi="ar-SA"/>
    </w:rPr>
  </w:style>
  <w:style w:type="character" w:customStyle="1" w:styleId="794">
    <w:name w:val="Ò³Ã¼ Char Char"/>
    <w:autoRedefine/>
    <w:qFormat/>
    <w:uiPriority w:val="0"/>
    <w:rPr>
      <w:rFonts w:eastAsia="宋体"/>
      <w:kern w:val="2"/>
      <w:sz w:val="18"/>
      <w:lang w:val="en-US" w:eastAsia="zh-CN" w:bidi="ar-SA"/>
    </w:rPr>
  </w:style>
  <w:style w:type="character" w:customStyle="1" w:styleId="795">
    <w:name w:val="message1"/>
    <w:autoRedefine/>
    <w:qFormat/>
    <w:uiPriority w:val="0"/>
    <w:rPr>
      <w:rFonts w:hint="default" w:ascii="Tahoma" w:hAnsi="Tahoma" w:cs="Tahoma"/>
      <w:sz w:val="18"/>
      <w:szCs w:val="18"/>
    </w:rPr>
  </w:style>
  <w:style w:type="character" w:customStyle="1" w:styleId="796">
    <w:name w:val="Char Char23"/>
    <w:autoRedefine/>
    <w:qFormat/>
    <w:uiPriority w:val="6"/>
    <w:rPr>
      <w:color w:val="0000FF"/>
      <w:sz w:val="21"/>
    </w:rPr>
  </w:style>
  <w:style w:type="character" w:customStyle="1" w:styleId="797">
    <w:name w:val="批注框文本 字符"/>
    <w:autoRedefine/>
    <w:qFormat/>
    <w:uiPriority w:val="0"/>
    <w:rPr>
      <w:rFonts w:ascii="Arial" w:hAnsi="Arial" w:eastAsia="黑体" w:cs="Arial"/>
      <w:snapToGrid w:val="0"/>
      <w:kern w:val="0"/>
      <w:sz w:val="18"/>
      <w:szCs w:val="18"/>
    </w:rPr>
  </w:style>
  <w:style w:type="character" w:customStyle="1" w:styleId="798">
    <w:name w:val="纯文本 Char2"/>
    <w:autoRedefine/>
    <w:semiHidden/>
    <w:qFormat/>
    <w:uiPriority w:val="99"/>
    <w:rPr>
      <w:rFonts w:ascii="宋体" w:hAnsi="Courier New" w:eastAsia="宋体" w:cs="Courier New"/>
    </w:rPr>
  </w:style>
  <w:style w:type="character" w:customStyle="1" w:styleId="799">
    <w:name w:val="Char Char25"/>
    <w:autoRedefine/>
    <w:qFormat/>
    <w:uiPriority w:val="6"/>
    <w:rPr>
      <w:rFonts w:ascii="宋体" w:hAnsi="宋体"/>
      <w:kern w:val="1"/>
      <w:sz w:val="24"/>
      <w:lang w:val="zh-CN"/>
    </w:rPr>
  </w:style>
  <w:style w:type="character" w:customStyle="1" w:styleId="800">
    <w:name w:val="Char Char411"/>
    <w:autoRedefine/>
    <w:qFormat/>
    <w:uiPriority w:val="0"/>
    <w:rPr>
      <w:rFonts w:eastAsia="宋体"/>
      <w:b/>
      <w:sz w:val="24"/>
      <w:lang w:eastAsia="zh-CN" w:bidi="ar-SA"/>
    </w:rPr>
  </w:style>
  <w:style w:type="character" w:customStyle="1" w:styleId="801">
    <w:name w:val="Heading 7 Char"/>
    <w:autoRedefine/>
    <w:qFormat/>
    <w:locked/>
    <w:uiPriority w:val="0"/>
    <w:rPr>
      <w:rFonts w:ascii="宋体" w:hAnsi="宋体" w:eastAsia="宋体"/>
      <w:b/>
      <w:bCs/>
      <w:kern w:val="2"/>
      <w:sz w:val="24"/>
      <w:szCs w:val="24"/>
      <w:lang w:val="en-US" w:eastAsia="zh-CN" w:bidi="ar-SA"/>
    </w:rPr>
  </w:style>
  <w:style w:type="character" w:customStyle="1" w:styleId="802">
    <w:name w:val="此正文 Char"/>
    <w:link w:val="108"/>
    <w:autoRedefine/>
    <w:qFormat/>
    <w:uiPriority w:val="0"/>
    <w:rPr>
      <w:kern w:val="2"/>
      <w:sz w:val="24"/>
      <w:szCs w:val="24"/>
    </w:rPr>
  </w:style>
  <w:style w:type="character" w:customStyle="1" w:styleId="803">
    <w:name w:val="Char Char2"/>
    <w:autoRedefine/>
    <w:qFormat/>
    <w:uiPriority w:val="0"/>
    <w:rPr>
      <w:rFonts w:eastAsia="宋体"/>
      <w:b/>
      <w:bCs/>
      <w:kern w:val="2"/>
      <w:sz w:val="21"/>
      <w:szCs w:val="24"/>
      <w:lang w:val="en-US" w:eastAsia="zh-CN" w:bidi="ar-SA"/>
    </w:rPr>
  </w:style>
  <w:style w:type="character" w:customStyle="1" w:styleId="804">
    <w:name w:val="标题 1 字符1"/>
    <w:link w:val="4"/>
    <w:autoRedefine/>
    <w:qFormat/>
    <w:uiPriority w:val="9"/>
    <w:rPr>
      <w:b/>
      <w:bCs/>
      <w:kern w:val="44"/>
      <w:sz w:val="44"/>
      <w:szCs w:val="44"/>
    </w:rPr>
  </w:style>
  <w:style w:type="character" w:customStyle="1" w:styleId="805">
    <w:name w:val="Footer-Even Char1"/>
    <w:autoRedefine/>
    <w:qFormat/>
    <w:uiPriority w:val="0"/>
    <w:rPr>
      <w:rFonts w:eastAsia="宋体"/>
      <w:kern w:val="2"/>
      <w:sz w:val="18"/>
      <w:szCs w:val="18"/>
      <w:lang w:val="en-US" w:eastAsia="zh-CN" w:bidi="ar-SA"/>
    </w:rPr>
  </w:style>
  <w:style w:type="character" w:customStyle="1" w:styleId="806">
    <w:name w:val="Char Char29"/>
    <w:autoRedefine/>
    <w:qFormat/>
    <w:uiPriority w:val="6"/>
    <w:rPr>
      <w:rFonts w:ascii="Arial" w:hAnsi="Arial" w:eastAsia="微软雅黑"/>
      <w:b/>
      <w:kern w:val="1"/>
      <w:sz w:val="44"/>
      <w:szCs w:val="32"/>
      <w:lang w:val="en-US" w:eastAsia="zh-CN" w:bidi="ar-SA"/>
    </w:rPr>
  </w:style>
  <w:style w:type="character" w:customStyle="1" w:styleId="807">
    <w:name w:val="标题 字符"/>
    <w:link w:val="67"/>
    <w:autoRedefine/>
    <w:qFormat/>
    <w:uiPriority w:val="10"/>
    <w:rPr>
      <w:b/>
      <w:sz w:val="24"/>
    </w:rPr>
  </w:style>
  <w:style w:type="character" w:customStyle="1" w:styleId="808">
    <w:name w:val="font81"/>
    <w:autoRedefine/>
    <w:qFormat/>
    <w:uiPriority w:val="0"/>
    <w:rPr>
      <w:rFonts w:ascii="微软雅黑" w:hAnsi="微软雅黑" w:eastAsia="微软雅黑" w:cs="微软雅黑"/>
      <w:color w:val="000000"/>
      <w:sz w:val="20"/>
      <w:szCs w:val="20"/>
      <w:u w:val="none"/>
    </w:rPr>
  </w:style>
  <w:style w:type="character" w:customStyle="1" w:styleId="80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10">
    <w:name w:val="t21"/>
    <w:autoRedefine/>
    <w:qFormat/>
    <w:uiPriority w:val="0"/>
    <w:rPr>
      <w:rFonts w:ascii="仿宋_GB2312" w:eastAsia="微软雅黑"/>
      <w:b/>
      <w:kern w:val="2"/>
      <w:sz w:val="23"/>
      <w:szCs w:val="23"/>
      <w:lang w:val="en-US" w:eastAsia="zh-CN" w:bidi="ar-SA"/>
    </w:rPr>
  </w:style>
  <w:style w:type="character" w:customStyle="1" w:styleId="811">
    <w:name w:val="样式8 Char"/>
    <w:autoRedefine/>
    <w:qFormat/>
    <w:uiPriority w:val="0"/>
    <w:rPr>
      <w:rFonts w:ascii="仿宋_GB2312" w:hAnsi="宋体" w:eastAsia="仿宋_GB2312"/>
      <w:b/>
      <w:bCs/>
      <w:kern w:val="2"/>
      <w:sz w:val="24"/>
      <w:szCs w:val="24"/>
    </w:rPr>
  </w:style>
  <w:style w:type="character" w:customStyle="1" w:styleId="812">
    <w:name w:val="表格 Char Char"/>
    <w:autoRedefine/>
    <w:qFormat/>
    <w:uiPriority w:val="0"/>
    <w:rPr>
      <w:rFonts w:ascii="宋体" w:hAnsi="宋体" w:eastAsia="宋体"/>
      <w:lang w:bidi="ar-SA"/>
    </w:rPr>
  </w:style>
  <w:style w:type="character" w:customStyle="1" w:styleId="813">
    <w:name w:val="正文文本 字符1"/>
    <w:autoRedefine/>
    <w:qFormat/>
    <w:uiPriority w:val="0"/>
    <w:rPr>
      <w:rFonts w:ascii="Calibri" w:hAnsi="Calibri" w:eastAsia="黑体" w:cs="Arial"/>
      <w:snapToGrid w:val="0"/>
      <w:kern w:val="2"/>
      <w:sz w:val="28"/>
      <w:szCs w:val="21"/>
    </w:rPr>
  </w:style>
  <w:style w:type="character" w:customStyle="1" w:styleId="814">
    <w:name w:val="标题 5 字符"/>
    <w:link w:val="8"/>
    <w:autoRedefine/>
    <w:qFormat/>
    <w:uiPriority w:val="9"/>
    <w:rPr>
      <w:b/>
      <w:bCs/>
      <w:kern w:val="2"/>
      <w:sz w:val="28"/>
      <w:szCs w:val="28"/>
    </w:rPr>
  </w:style>
  <w:style w:type="character" w:customStyle="1" w:styleId="815">
    <w:name w:val="标题 6 Char1"/>
    <w:autoRedefine/>
    <w:qFormat/>
    <w:uiPriority w:val="0"/>
    <w:rPr>
      <w:rFonts w:ascii="Arial" w:hAnsi="Arial" w:eastAsia="黑体" w:cs="Times New Roman"/>
      <w:b/>
      <w:sz w:val="24"/>
      <w:szCs w:val="20"/>
      <w:lang w:bidi="ar-SA"/>
    </w:rPr>
  </w:style>
  <w:style w:type="character" w:customStyle="1" w:styleId="816">
    <w:name w:val="带编号样式 Char"/>
    <w:autoRedefine/>
    <w:qFormat/>
    <w:uiPriority w:val="0"/>
    <w:rPr>
      <w:rFonts w:ascii="仿宋_GB2312" w:eastAsia="仿宋_GB2312"/>
      <w:color w:val="000000"/>
      <w:sz w:val="24"/>
      <w:lang w:bidi="ar-SA"/>
    </w:rPr>
  </w:style>
  <w:style w:type="character" w:customStyle="1" w:styleId="817">
    <w:name w:val="unnamed31"/>
    <w:autoRedefine/>
    <w:qFormat/>
    <w:uiPriority w:val="0"/>
    <w:rPr>
      <w:rFonts w:ascii="Tahoma" w:hAnsi="Tahoma" w:eastAsia="宋体"/>
      <w:b/>
      <w:kern w:val="2"/>
      <w:sz w:val="24"/>
      <w:szCs w:val="32"/>
      <w:u w:val="none"/>
      <w:lang w:val="en-US" w:eastAsia="zh-CN" w:bidi="ar-SA"/>
    </w:rPr>
  </w:style>
  <w:style w:type="character" w:customStyle="1" w:styleId="818">
    <w:name w:val="正文首行缩进 Char Char Char Char Char Char1"/>
    <w:autoRedefine/>
    <w:qFormat/>
    <w:uiPriority w:val="0"/>
    <w:rPr>
      <w:rFonts w:ascii="宋体" w:eastAsia="宋体"/>
      <w:kern w:val="2"/>
      <w:sz w:val="24"/>
      <w:szCs w:val="24"/>
      <w:lang w:val="zh-CN" w:bidi="ar-SA"/>
    </w:rPr>
  </w:style>
  <w:style w:type="character" w:customStyle="1" w:styleId="819">
    <w:name w:val="称呼 字符"/>
    <w:link w:val="22"/>
    <w:autoRedefine/>
    <w:qFormat/>
    <w:uiPriority w:val="0"/>
    <w:rPr>
      <w:rFonts w:ascii="仿宋_GB2312" w:eastAsia="仿宋_GB2312"/>
      <w:kern w:val="2"/>
      <w:sz w:val="28"/>
    </w:rPr>
  </w:style>
  <w:style w:type="character" w:customStyle="1" w:styleId="820">
    <w:name w:val="文本正文 Char Char"/>
    <w:autoRedefine/>
    <w:qFormat/>
    <w:locked/>
    <w:uiPriority w:val="0"/>
    <w:rPr>
      <w:sz w:val="24"/>
      <w:lang w:bidi="ar-SA"/>
    </w:rPr>
  </w:style>
  <w:style w:type="character" w:customStyle="1" w:styleId="821">
    <w:name w:val="正文缩进 字符"/>
    <w:autoRedefine/>
    <w:qFormat/>
    <w:uiPriority w:val="0"/>
    <w:rPr>
      <w:rFonts w:ascii="宋体" w:eastAsia="宋体"/>
      <w:snapToGrid w:val="0"/>
      <w:color w:val="000000"/>
      <w:kern w:val="28"/>
      <w:sz w:val="28"/>
      <w:lang w:val="en-US" w:eastAsia="zh-CN" w:bidi="ar-SA"/>
    </w:rPr>
  </w:style>
  <w:style w:type="character" w:customStyle="1" w:styleId="822">
    <w:name w:val="HTML 预设格式 字符"/>
    <w:link w:val="65"/>
    <w:autoRedefine/>
    <w:qFormat/>
    <w:uiPriority w:val="0"/>
    <w:rPr>
      <w:rFonts w:ascii="黑体" w:hAnsi="Courier New" w:eastAsia="黑体"/>
    </w:rPr>
  </w:style>
  <w:style w:type="character" w:customStyle="1" w:styleId="823">
    <w:name w:val="正文文本 2 字符1"/>
    <w:link w:val="59"/>
    <w:autoRedefine/>
    <w:qFormat/>
    <w:uiPriority w:val="0"/>
    <w:rPr>
      <w:kern w:val="2"/>
      <w:sz w:val="21"/>
      <w:szCs w:val="24"/>
    </w:rPr>
  </w:style>
  <w:style w:type="character" w:customStyle="1" w:styleId="824">
    <w:name w:val="样式 样式 标题 4h4H4Fab-4T5Ref Heading 1rh1Heading sqlsect 1.2.3.... +... Char"/>
    <w:link w:val="109"/>
    <w:autoRedefine/>
    <w:qFormat/>
    <w:uiPriority w:val="0"/>
    <w:rPr>
      <w:rFonts w:ascii="微软雅黑" w:hAnsi="微软雅黑" w:eastAsia="微软雅黑"/>
      <w:b/>
      <w:bCs/>
      <w:kern w:val="2"/>
      <w:sz w:val="24"/>
      <w:szCs w:val="28"/>
    </w:rPr>
  </w:style>
  <w:style w:type="character" w:customStyle="1" w:styleId="825">
    <w:name w:val="正文非缩进 Char"/>
    <w:autoRedefine/>
    <w:qFormat/>
    <w:uiPriority w:val="0"/>
    <w:rPr>
      <w:rFonts w:ascii="宋体" w:eastAsia="宋体"/>
      <w:snapToGrid w:val="0"/>
      <w:color w:val="000000"/>
      <w:kern w:val="28"/>
      <w:sz w:val="28"/>
      <w:lang w:val="en-US" w:eastAsia="zh-CN" w:bidi="ar-SA"/>
    </w:rPr>
  </w:style>
  <w:style w:type="character" w:customStyle="1" w:styleId="826">
    <w:name w:val="标题 7 字符"/>
    <w:link w:val="10"/>
    <w:autoRedefine/>
    <w:qFormat/>
    <w:uiPriority w:val="0"/>
    <w:rPr>
      <w:b/>
      <w:bCs/>
      <w:kern w:val="2"/>
      <w:sz w:val="24"/>
      <w:szCs w:val="24"/>
    </w:rPr>
  </w:style>
  <w:style w:type="character" w:customStyle="1" w:styleId="827">
    <w:name w:val="正文文本缩进 2 字符"/>
    <w:link w:val="40"/>
    <w:autoRedefine/>
    <w:qFormat/>
    <w:uiPriority w:val="0"/>
    <w:rPr>
      <w:rFonts w:ascii="宋体"/>
      <w:sz w:val="28"/>
    </w:rPr>
  </w:style>
  <w:style w:type="character" w:customStyle="1" w:styleId="828">
    <w:name w:val="Char Char5"/>
    <w:autoRedefine/>
    <w:qFormat/>
    <w:uiPriority w:val="0"/>
    <w:rPr>
      <w:rFonts w:ascii="宋体" w:hAnsi="Courier New" w:eastAsia="宋体"/>
      <w:kern w:val="2"/>
      <w:sz w:val="21"/>
      <w:lang w:val="en-US" w:eastAsia="zh-CN"/>
    </w:rPr>
  </w:style>
  <w:style w:type="character" w:customStyle="1" w:styleId="829">
    <w:name w:val="脚注文本 字符"/>
    <w:link w:val="53"/>
    <w:autoRedefine/>
    <w:qFormat/>
    <w:uiPriority w:val="0"/>
    <w:rPr>
      <w:color w:val="0000FF"/>
      <w:sz w:val="21"/>
    </w:rPr>
  </w:style>
  <w:style w:type="character" w:customStyle="1" w:styleId="830">
    <w:name w:val="称呼 Char1"/>
    <w:autoRedefine/>
    <w:qFormat/>
    <w:uiPriority w:val="0"/>
    <w:rPr>
      <w:rFonts w:ascii="Times New Roman" w:hAnsi="Times New Roman" w:eastAsia="宋体" w:cs="Times New Roman"/>
      <w:szCs w:val="24"/>
    </w:rPr>
  </w:style>
  <w:style w:type="character" w:customStyle="1" w:styleId="831">
    <w:name w:val="正文1 Char"/>
    <w:autoRedefine/>
    <w:qFormat/>
    <w:uiPriority w:val="0"/>
    <w:rPr>
      <w:rFonts w:ascii="宋体" w:eastAsia="宋体"/>
      <w:snapToGrid w:val="0"/>
      <w:color w:val="000000"/>
      <w:kern w:val="28"/>
      <w:sz w:val="28"/>
      <w:lang w:val="en-US" w:eastAsia="zh-CN" w:bidi="ar-SA"/>
    </w:rPr>
  </w:style>
  <w:style w:type="character" w:customStyle="1" w:styleId="832">
    <w:name w:val="正文缩进 Char1"/>
    <w:autoRedefine/>
    <w:qFormat/>
    <w:uiPriority w:val="0"/>
    <w:rPr>
      <w:rFonts w:ascii="宋体" w:eastAsia="宋体"/>
      <w:snapToGrid w:val="0"/>
      <w:color w:val="000000"/>
      <w:kern w:val="28"/>
      <w:sz w:val="28"/>
      <w:lang w:val="en-US" w:eastAsia="zh-CN" w:bidi="ar-SA"/>
    </w:rPr>
  </w:style>
  <w:style w:type="character" w:customStyle="1" w:styleId="833">
    <w:name w:val="font21"/>
    <w:basedOn w:val="77"/>
    <w:autoRedefine/>
    <w:qFormat/>
    <w:uiPriority w:val="0"/>
    <w:rPr>
      <w:rFonts w:hint="eastAsia" w:ascii="宋体" w:hAnsi="宋体" w:eastAsia="宋体"/>
      <w:kern w:val="2"/>
      <w:sz w:val="28"/>
      <w:szCs w:val="28"/>
      <w:lang w:val="en-US" w:eastAsia="zh-CN" w:bidi="ar-SA"/>
    </w:rPr>
  </w:style>
  <w:style w:type="character" w:customStyle="1" w:styleId="834">
    <w:name w:val="Char Char26"/>
    <w:autoRedefine/>
    <w:qFormat/>
    <w:uiPriority w:val="6"/>
    <w:rPr>
      <w:kern w:val="1"/>
      <w:sz w:val="21"/>
      <w:szCs w:val="24"/>
    </w:rPr>
  </w:style>
  <w:style w:type="character" w:customStyle="1" w:styleId="835">
    <w:name w:val="Item List Char"/>
    <w:link w:val="111"/>
    <w:autoRedefine/>
    <w:qFormat/>
    <w:uiPriority w:val="0"/>
    <w:rPr>
      <w:rFonts w:ascii="Arial"/>
      <w:bCs/>
      <w:sz w:val="21"/>
      <w:szCs w:val="21"/>
      <w:lang w:val="en-US" w:eastAsia="zh-CN" w:bidi="ar-SA"/>
    </w:rPr>
  </w:style>
  <w:style w:type="character" w:customStyle="1" w:styleId="836">
    <w:name w:val="批注框文本 Char1"/>
    <w:autoRedefine/>
    <w:qFormat/>
    <w:uiPriority w:val="0"/>
    <w:rPr>
      <w:rFonts w:ascii="Times New Roman" w:hAnsi="Times New Roman" w:eastAsia="宋体" w:cs="Times New Roman"/>
      <w:sz w:val="18"/>
      <w:szCs w:val="18"/>
    </w:rPr>
  </w:style>
  <w:style w:type="character" w:customStyle="1" w:styleId="837">
    <w:name w:val="纯文本 Char1"/>
    <w:link w:val="112"/>
    <w:autoRedefine/>
    <w:qFormat/>
    <w:uiPriority w:val="0"/>
    <w:rPr>
      <w:rFonts w:ascii="宋体" w:hAnsi="Courier New"/>
    </w:rPr>
  </w:style>
  <w:style w:type="character" w:customStyle="1" w:styleId="838">
    <w:name w:val="正文文本首行缩进 字符"/>
    <w:link w:val="26"/>
    <w:autoRedefine/>
    <w:qFormat/>
    <w:uiPriority w:val="0"/>
    <w:rPr>
      <w:rFonts w:ascii="宋体"/>
      <w:kern w:val="2"/>
      <w:sz w:val="24"/>
      <w:lang w:val="zh-CN"/>
    </w:rPr>
  </w:style>
  <w:style w:type="character" w:customStyle="1" w:styleId="839">
    <w:name w:val="h3 Char"/>
    <w:autoRedefine/>
    <w:qFormat/>
    <w:uiPriority w:val="0"/>
    <w:rPr>
      <w:rFonts w:eastAsia="宋体"/>
      <w:b/>
      <w:kern w:val="2"/>
      <w:sz w:val="32"/>
      <w:lang w:val="en-US" w:eastAsia="zh-CN" w:bidi="ar-SA"/>
    </w:rPr>
  </w:style>
  <w:style w:type="character" w:customStyle="1" w:styleId="840">
    <w:name w:val="dandyren_title1"/>
    <w:autoRedefine/>
    <w:qFormat/>
    <w:uiPriority w:val="0"/>
    <w:rPr>
      <w:b/>
      <w:bCs/>
      <w:color w:val="FF6633"/>
      <w:sz w:val="18"/>
      <w:szCs w:val="18"/>
    </w:rPr>
  </w:style>
  <w:style w:type="character" w:customStyle="1" w:styleId="841">
    <w:name w:val="Char Char31"/>
    <w:autoRedefine/>
    <w:qFormat/>
    <w:uiPriority w:val="6"/>
    <w:rPr>
      <w:rFonts w:ascii="Arial" w:hAnsi="Arial" w:eastAsia="黑体"/>
      <w:kern w:val="1"/>
      <w:sz w:val="24"/>
      <w:szCs w:val="24"/>
    </w:rPr>
  </w:style>
  <w:style w:type="character" w:customStyle="1" w:styleId="842">
    <w:name w:val="h Char1"/>
    <w:autoRedefine/>
    <w:qFormat/>
    <w:uiPriority w:val="0"/>
    <w:rPr>
      <w:sz w:val="18"/>
      <w:szCs w:val="18"/>
    </w:rPr>
  </w:style>
  <w:style w:type="character" w:customStyle="1" w:styleId="843">
    <w:name w:val="solutionfonts"/>
    <w:autoRedefine/>
    <w:qFormat/>
    <w:uiPriority w:val="0"/>
  </w:style>
  <w:style w:type="character" w:customStyle="1" w:styleId="844">
    <w:name w:val="标题 4 字符1"/>
    <w:link w:val="7"/>
    <w:autoRedefine/>
    <w:qFormat/>
    <w:uiPriority w:val="9"/>
    <w:rPr>
      <w:rFonts w:ascii="Arial" w:hAnsi="Arial" w:eastAsia="黑体"/>
      <w:b/>
      <w:bCs/>
      <w:kern w:val="2"/>
      <w:sz w:val="28"/>
      <w:szCs w:val="28"/>
      <w:lang w:val="zh-CN"/>
    </w:rPr>
  </w:style>
  <w:style w:type="character" w:customStyle="1" w:styleId="845">
    <w:name w:val="首行缩进 Char"/>
    <w:autoRedefine/>
    <w:qFormat/>
    <w:uiPriority w:val="0"/>
    <w:rPr>
      <w:rFonts w:ascii="宋体" w:eastAsia="宋体"/>
      <w:kern w:val="2"/>
      <w:sz w:val="24"/>
      <w:lang w:val="en-US" w:eastAsia="zh-CN" w:bidi="ar-SA"/>
    </w:rPr>
  </w:style>
  <w:style w:type="character" w:customStyle="1" w:styleId="846">
    <w:name w:val="Char Char52"/>
    <w:autoRedefine/>
    <w:qFormat/>
    <w:uiPriority w:val="0"/>
    <w:rPr>
      <w:rFonts w:ascii="宋体" w:hAnsi="Courier New" w:eastAsia="宋体"/>
      <w:kern w:val="2"/>
      <w:sz w:val="21"/>
      <w:lang w:val="en-US" w:eastAsia="zh-CN"/>
    </w:rPr>
  </w:style>
  <w:style w:type="character" w:customStyle="1" w:styleId="847">
    <w:name w:val="正文文本 3 字符"/>
    <w:link w:val="23"/>
    <w:autoRedefine/>
    <w:qFormat/>
    <w:uiPriority w:val="0"/>
    <w:rPr>
      <w:kern w:val="2"/>
      <w:sz w:val="21"/>
    </w:rPr>
  </w:style>
  <w:style w:type="character" w:customStyle="1" w:styleId="848">
    <w:name w:val="font31"/>
    <w:autoRedefine/>
    <w:qFormat/>
    <w:uiPriority w:val="0"/>
    <w:rPr>
      <w:rFonts w:hint="eastAsia" w:ascii="仿宋" w:hAnsi="仿宋" w:eastAsia="仿宋" w:cs="仿宋"/>
      <w:color w:val="000000"/>
      <w:sz w:val="20"/>
      <w:szCs w:val="20"/>
      <w:u w:val="none"/>
    </w:rPr>
  </w:style>
  <w:style w:type="character" w:customStyle="1" w:styleId="849">
    <w:name w:val="正文说明 Char"/>
    <w:link w:val="113"/>
    <w:autoRedefine/>
    <w:qFormat/>
    <w:uiPriority w:val="0"/>
    <w:rPr>
      <w:sz w:val="24"/>
      <w:szCs w:val="24"/>
    </w:rPr>
  </w:style>
  <w:style w:type="character" w:customStyle="1" w:styleId="850">
    <w:name w:val="脚注文本 Char1"/>
    <w:autoRedefine/>
    <w:qFormat/>
    <w:uiPriority w:val="0"/>
    <w:rPr>
      <w:rFonts w:ascii="Times New Roman" w:hAnsi="Times New Roman" w:eastAsia="宋体" w:cs="Times New Roman"/>
      <w:sz w:val="18"/>
      <w:szCs w:val="18"/>
    </w:rPr>
  </w:style>
  <w:style w:type="character" w:customStyle="1" w:styleId="851">
    <w:name w:val="Char Char1211"/>
    <w:autoRedefine/>
    <w:qFormat/>
    <w:uiPriority w:val="0"/>
    <w:rPr>
      <w:rFonts w:ascii="仿宋_GB2312" w:eastAsia="仿宋_GB2312"/>
      <w:b/>
      <w:bCs/>
      <w:kern w:val="2"/>
      <w:sz w:val="24"/>
      <w:szCs w:val="24"/>
      <w:lang w:val="zh-CN" w:eastAsia="zh-CN" w:bidi="ar-SA"/>
    </w:rPr>
  </w:style>
  <w:style w:type="character" w:customStyle="1" w:styleId="852">
    <w:name w:val="标题 Char"/>
    <w:autoRedefine/>
    <w:qFormat/>
    <w:uiPriority w:val="0"/>
    <w:rPr>
      <w:rFonts w:eastAsia="宋体"/>
      <w:b/>
      <w:sz w:val="24"/>
      <w:lang w:eastAsia="zh-CN" w:bidi="ar-SA"/>
    </w:rPr>
  </w:style>
  <w:style w:type="character" w:customStyle="1" w:styleId="853">
    <w:name w:val="Char Char35"/>
    <w:autoRedefine/>
    <w:qFormat/>
    <w:uiPriority w:val="6"/>
    <w:rPr>
      <w:rFonts w:ascii="Arial" w:hAnsi="Arial" w:eastAsia="黑体"/>
      <w:b/>
      <w:kern w:val="1"/>
      <w:sz w:val="28"/>
      <w:szCs w:val="28"/>
      <w:lang w:val="zh-CN"/>
    </w:rPr>
  </w:style>
  <w:style w:type="character" w:customStyle="1" w:styleId="854">
    <w:name w:val="纯文本 Char Char Char"/>
    <w:autoRedefine/>
    <w:qFormat/>
    <w:uiPriority w:val="0"/>
    <w:rPr>
      <w:rFonts w:ascii="宋体" w:hAnsi="Courier New" w:eastAsia="宋体"/>
      <w:kern w:val="2"/>
      <w:sz w:val="21"/>
      <w:lang w:val="en-US" w:eastAsia="zh-CN" w:bidi="ar-SA"/>
    </w:rPr>
  </w:style>
  <w:style w:type="character" w:customStyle="1" w:styleId="855">
    <w:name w:val="Table Text Char"/>
    <w:link w:val="114"/>
    <w:autoRedefine/>
    <w:qFormat/>
    <w:uiPriority w:val="0"/>
    <w:rPr>
      <w:sz w:val="24"/>
      <w:szCs w:val="24"/>
    </w:rPr>
  </w:style>
  <w:style w:type="character" w:customStyle="1" w:styleId="856">
    <w:name w:val="正文1 Char1"/>
    <w:autoRedefine/>
    <w:qFormat/>
    <w:uiPriority w:val="0"/>
    <w:rPr>
      <w:rFonts w:ascii="仿宋_GB2312" w:hAnsi="Courier New" w:eastAsia="仿宋_GB2312"/>
      <w:kern w:val="28"/>
      <w:sz w:val="24"/>
      <w:szCs w:val="24"/>
      <w:lang w:val="en-US" w:eastAsia="zh-CN"/>
    </w:rPr>
  </w:style>
  <w:style w:type="character" w:customStyle="1" w:styleId="857">
    <w:name w:val="页脚 Char1"/>
    <w:autoRedefine/>
    <w:qFormat/>
    <w:uiPriority w:val="0"/>
    <w:rPr>
      <w:rFonts w:eastAsia="宋体"/>
      <w:kern w:val="2"/>
      <w:sz w:val="18"/>
      <w:szCs w:val="18"/>
      <w:lang w:val="en-US" w:eastAsia="zh-CN" w:bidi="ar-SA"/>
    </w:rPr>
  </w:style>
  <w:style w:type="character" w:customStyle="1" w:styleId="858">
    <w:name w:val="Bold"/>
    <w:autoRedefine/>
    <w:qFormat/>
    <w:uiPriority w:val="0"/>
    <w:rPr>
      <w:rFonts w:ascii="Arial" w:hAnsi="Arial" w:eastAsia="黑体" w:cs="Times New Roman"/>
      <w:b/>
      <w:kern w:val="2"/>
      <w:sz w:val="32"/>
      <w:szCs w:val="32"/>
      <w:lang w:val="en-US" w:eastAsia="zh-CN" w:bidi="ar-SA"/>
    </w:rPr>
  </w:style>
  <w:style w:type="character" w:customStyle="1" w:styleId="859">
    <w:name w:val="批注文字 字符1"/>
    <w:link w:val="21"/>
    <w:autoRedefine/>
    <w:qFormat/>
    <w:uiPriority w:val="99"/>
    <w:rPr>
      <w:kern w:val="2"/>
      <w:sz w:val="21"/>
      <w:szCs w:val="24"/>
    </w:rPr>
  </w:style>
  <w:style w:type="character" w:customStyle="1" w:styleId="860">
    <w:name w:val="签名 字符"/>
    <w:link w:val="45"/>
    <w:autoRedefine/>
    <w:qFormat/>
    <w:uiPriority w:val="0"/>
    <w:rPr>
      <w:rFonts w:eastAsia="仿宋_GB2312"/>
      <w:sz w:val="24"/>
    </w:rPr>
  </w:style>
  <w:style w:type="character" w:customStyle="1" w:styleId="861">
    <w:name w:val="hui3"/>
    <w:autoRedefine/>
    <w:qFormat/>
    <w:uiPriority w:val="0"/>
    <w:rPr>
      <w:color w:val="333333"/>
    </w:rPr>
  </w:style>
  <w:style w:type="character" w:customStyle="1" w:styleId="862">
    <w:name w:val="Char Char17"/>
    <w:autoRedefine/>
    <w:qFormat/>
    <w:uiPriority w:val="6"/>
    <w:rPr>
      <w:rFonts w:eastAsia="仿宋_GB2312"/>
      <w:sz w:val="24"/>
    </w:rPr>
  </w:style>
  <w:style w:type="character" w:customStyle="1" w:styleId="863">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4">
    <w:name w:val="Char Char37"/>
    <w:autoRedefine/>
    <w:qFormat/>
    <w:uiPriority w:val="6"/>
    <w:rPr>
      <w:b/>
      <w:kern w:val="1"/>
      <w:sz w:val="44"/>
      <w:szCs w:val="44"/>
    </w:rPr>
  </w:style>
  <w:style w:type="character" w:customStyle="1" w:styleId="865">
    <w:name w:val="列出段落 Char"/>
    <w:autoRedefine/>
    <w:qFormat/>
    <w:uiPriority w:val="0"/>
    <w:rPr>
      <w:rFonts w:eastAsia="楷体_GB2312" w:cs="Lucida Sans"/>
      <w:kern w:val="2"/>
      <w:sz w:val="24"/>
      <w:szCs w:val="24"/>
      <w:lang w:val="en-US" w:eastAsia="zh-CN" w:bidi="ar-SA"/>
    </w:rPr>
  </w:style>
  <w:style w:type="character" w:customStyle="1" w:styleId="866">
    <w:name w:val="正文文本缩进 3 Char1"/>
    <w:autoRedefine/>
    <w:semiHidden/>
    <w:qFormat/>
    <w:uiPriority w:val="99"/>
    <w:rPr>
      <w:rFonts w:ascii="Times New Roman" w:hAnsi="Times New Roman" w:eastAsia="宋体" w:cs="Times New Roman"/>
      <w:sz w:val="16"/>
      <w:szCs w:val="16"/>
    </w:rPr>
  </w:style>
  <w:style w:type="character" w:customStyle="1" w:styleId="867">
    <w:name w:val="公文正文 Char Char"/>
    <w:link w:val="115"/>
    <w:autoRedefine/>
    <w:qFormat/>
    <w:uiPriority w:val="0"/>
    <w:rPr>
      <w:rFonts w:ascii="仿宋_GB2312" w:eastAsia="仿宋_GB2312"/>
      <w:kern w:val="2"/>
      <w:sz w:val="24"/>
      <w:szCs w:val="24"/>
    </w:rPr>
  </w:style>
  <w:style w:type="character" w:customStyle="1" w:styleId="868">
    <w:name w:val="Table Text Char1"/>
    <w:autoRedefine/>
    <w:qFormat/>
    <w:uiPriority w:val="0"/>
    <w:rPr>
      <w:rFonts w:eastAsia="宋体"/>
      <w:sz w:val="24"/>
      <w:szCs w:val="24"/>
      <w:lang w:val="en-US" w:eastAsia="zh-CN" w:bidi="ar-SA"/>
    </w:rPr>
  </w:style>
  <w:style w:type="character" w:customStyle="1" w:styleId="869">
    <w:name w:val="标题 1 Char Char"/>
    <w:autoRedefine/>
    <w:qFormat/>
    <w:uiPriority w:val="0"/>
    <w:rPr>
      <w:rFonts w:hint="eastAsia" w:ascii="宋体" w:hAnsi="宋体" w:eastAsia="宋体"/>
      <w:b/>
      <w:spacing w:val="-2"/>
      <w:sz w:val="24"/>
      <w:lang w:val="en-US" w:eastAsia="zh-CN" w:bidi="ar-SA"/>
    </w:rPr>
  </w:style>
  <w:style w:type="character" w:customStyle="1" w:styleId="870">
    <w:name w:val="正文（缩进2汉字） Char"/>
    <w:link w:val="116"/>
    <w:autoRedefine/>
    <w:qFormat/>
    <w:uiPriority w:val="0"/>
    <w:rPr>
      <w:rFonts w:ascii="宋体"/>
    </w:rPr>
  </w:style>
  <w:style w:type="character" w:customStyle="1" w:styleId="871">
    <w:name w:val="标题 8 字符"/>
    <w:link w:val="11"/>
    <w:autoRedefine/>
    <w:qFormat/>
    <w:uiPriority w:val="0"/>
    <w:rPr>
      <w:rFonts w:ascii="Arial" w:hAnsi="Arial" w:eastAsia="黑体"/>
      <w:kern w:val="2"/>
      <w:sz w:val="24"/>
      <w:szCs w:val="24"/>
    </w:rPr>
  </w:style>
  <w:style w:type="character" w:customStyle="1" w:styleId="872">
    <w:name w:val="标书表格字体格式 Char"/>
    <w:autoRedefine/>
    <w:qFormat/>
    <w:uiPriority w:val="0"/>
    <w:rPr>
      <w:kern w:val="2"/>
      <w:sz w:val="21"/>
      <w:szCs w:val="24"/>
      <w:lang w:bidi="ar-SA"/>
    </w:rPr>
  </w:style>
  <w:style w:type="character" w:customStyle="1" w:styleId="873">
    <w:name w:val="tw4winError"/>
    <w:autoRedefine/>
    <w:qFormat/>
    <w:uiPriority w:val="0"/>
    <w:rPr>
      <w:rFonts w:ascii="Courier New" w:hAnsi="Courier New" w:cs="Courier New"/>
      <w:color w:val="00FF00"/>
      <w:sz w:val="40"/>
      <w:szCs w:val="40"/>
    </w:rPr>
  </w:style>
  <w:style w:type="character" w:customStyle="1" w:styleId="874">
    <w:name w:val="Body Text(ch) Char Char"/>
    <w:autoRedefine/>
    <w:qFormat/>
    <w:uiPriority w:val="0"/>
    <w:rPr>
      <w:rFonts w:ascii="宋体"/>
      <w:kern w:val="2"/>
      <w:sz w:val="24"/>
      <w:szCs w:val="21"/>
      <w:lang w:val="zh-CN"/>
    </w:rPr>
  </w:style>
  <w:style w:type="character" w:customStyle="1" w:styleId="875">
    <w:name w:val="正文首行缩进两字 Char"/>
    <w:autoRedefine/>
    <w:qFormat/>
    <w:uiPriority w:val="0"/>
    <w:rPr>
      <w:sz w:val="24"/>
      <w:szCs w:val="24"/>
      <w:lang w:val="en-US" w:eastAsia="zh-CN" w:bidi="ar-SA"/>
    </w:rPr>
  </w:style>
  <w:style w:type="character" w:customStyle="1" w:styleId="876">
    <w:name w:val="正文文本 Char"/>
    <w:autoRedefine/>
    <w:qFormat/>
    <w:uiPriority w:val="0"/>
    <w:rPr>
      <w:rFonts w:eastAsia="宋体"/>
      <w:kern w:val="2"/>
      <w:sz w:val="24"/>
      <w:szCs w:val="24"/>
      <w:lang w:val="en-US" w:eastAsia="zh-CN" w:bidi="ar-SA"/>
    </w:rPr>
  </w:style>
  <w:style w:type="character" w:customStyle="1" w:styleId="877">
    <w:name w:val="文档结构图 字符1"/>
    <w:autoRedefine/>
    <w:qFormat/>
    <w:uiPriority w:val="0"/>
    <w:rPr>
      <w:rFonts w:ascii="宋体" w:hAnsi="Calibri" w:eastAsia="黑体" w:cs="Arial"/>
      <w:snapToGrid w:val="0"/>
      <w:kern w:val="2"/>
      <w:sz w:val="18"/>
      <w:szCs w:val="18"/>
    </w:rPr>
  </w:style>
  <w:style w:type="character" w:customStyle="1" w:styleId="878">
    <w:name w:val="content"/>
    <w:autoRedefine/>
    <w:qFormat/>
    <w:uiPriority w:val="0"/>
  </w:style>
  <w:style w:type="character" w:customStyle="1" w:styleId="879">
    <w:name w:val="tw4winPopup"/>
    <w:autoRedefine/>
    <w:qFormat/>
    <w:uiPriority w:val="0"/>
    <w:rPr>
      <w:rFonts w:ascii="Courier New" w:hAnsi="Courier New" w:cs="Courier New"/>
      <w:color w:val="008000"/>
      <w:lang w:val="en-US" w:eastAsia="zh-CN"/>
    </w:rPr>
  </w:style>
  <w:style w:type="character" w:customStyle="1" w:styleId="880">
    <w:name w:val="param-name"/>
    <w:autoRedefine/>
    <w:qFormat/>
    <w:uiPriority w:val="99"/>
    <w:rPr>
      <w:rFonts w:ascii="Arial" w:hAnsi="Arial" w:eastAsia="黑体" w:cs="Arial"/>
      <w:snapToGrid w:val="0"/>
      <w:kern w:val="0"/>
      <w:szCs w:val="21"/>
    </w:rPr>
  </w:style>
  <w:style w:type="character" w:customStyle="1" w:styleId="881">
    <w:name w:val="标准正文格式 Char"/>
    <w:autoRedefine/>
    <w:qFormat/>
    <w:uiPriority w:val="0"/>
    <w:rPr>
      <w:rFonts w:ascii="宋体" w:eastAsia="仿宋_GB2312" w:cs="宋体"/>
      <w:color w:val="000000"/>
      <w:sz w:val="24"/>
      <w:lang w:val="en-US" w:eastAsia="zh-CN" w:bidi="ar-SA"/>
    </w:rPr>
  </w:style>
  <w:style w:type="character" w:customStyle="1" w:styleId="882">
    <w:name w:val="Char Char212"/>
    <w:autoRedefine/>
    <w:qFormat/>
    <w:uiPriority w:val="0"/>
    <w:rPr>
      <w:rFonts w:eastAsia="宋体"/>
      <w:b/>
      <w:bCs/>
      <w:kern w:val="2"/>
      <w:sz w:val="21"/>
      <w:szCs w:val="24"/>
      <w:lang w:val="en-US" w:eastAsia="zh-CN" w:bidi="ar-SA"/>
    </w:rPr>
  </w:style>
  <w:style w:type="character" w:customStyle="1" w:styleId="883">
    <w:name w:val="文档结构图 Char"/>
    <w:autoRedefine/>
    <w:qFormat/>
    <w:uiPriority w:val="0"/>
    <w:rPr>
      <w:rFonts w:eastAsia="宋体"/>
      <w:kern w:val="2"/>
      <w:sz w:val="21"/>
      <w:szCs w:val="24"/>
      <w:lang w:val="en-US" w:eastAsia="zh-CN" w:bidi="ar-SA"/>
    </w:rPr>
  </w:style>
  <w:style w:type="character" w:customStyle="1" w:styleId="884">
    <w:name w:val="zbggmain style9"/>
    <w:autoRedefine/>
    <w:qFormat/>
    <w:uiPriority w:val="0"/>
  </w:style>
  <w:style w:type="character" w:customStyle="1" w:styleId="885">
    <w:name w:val="Char Char16"/>
    <w:autoRedefine/>
    <w:qFormat/>
    <w:uiPriority w:val="6"/>
    <w:rPr>
      <w:kern w:val="1"/>
      <w:sz w:val="18"/>
      <w:szCs w:val="18"/>
    </w:rPr>
  </w:style>
  <w:style w:type="character" w:customStyle="1" w:styleId="886">
    <w:name w:val="font51"/>
    <w:autoRedefine/>
    <w:qFormat/>
    <w:uiPriority w:val="0"/>
    <w:rPr>
      <w:rFonts w:hint="eastAsia" w:ascii="仿宋" w:hAnsi="仿宋" w:eastAsia="仿宋" w:cs="仿宋"/>
      <w:color w:val="000000"/>
      <w:sz w:val="20"/>
      <w:szCs w:val="20"/>
      <w:u w:val="none"/>
    </w:rPr>
  </w:style>
  <w:style w:type="character" w:customStyle="1" w:styleId="887">
    <w:name w:val="Char Char82"/>
    <w:autoRedefine/>
    <w:qFormat/>
    <w:uiPriority w:val="0"/>
    <w:rPr>
      <w:rFonts w:eastAsia="宋体"/>
      <w:b/>
      <w:sz w:val="24"/>
      <w:lang w:eastAsia="zh-CN"/>
    </w:rPr>
  </w:style>
  <w:style w:type="character" w:customStyle="1" w:styleId="888">
    <w:name w:val="正文文本缩进 3 字符"/>
    <w:link w:val="56"/>
    <w:autoRedefine/>
    <w:qFormat/>
    <w:uiPriority w:val="0"/>
    <w:rPr>
      <w:kern w:val="2"/>
      <w:sz w:val="24"/>
    </w:rPr>
  </w:style>
  <w:style w:type="character" w:customStyle="1" w:styleId="889">
    <w:name w:val="日期 Char1"/>
    <w:autoRedefine/>
    <w:semiHidden/>
    <w:qFormat/>
    <w:uiPriority w:val="99"/>
    <w:rPr>
      <w:rFonts w:ascii="Times New Roman" w:hAnsi="Times New Roman" w:eastAsia="宋体" w:cs="Times New Roman"/>
      <w:szCs w:val="24"/>
    </w:rPr>
  </w:style>
  <w:style w:type="character" w:customStyle="1" w:styleId="890">
    <w:name w:val="页眉 字符"/>
    <w:autoRedefine/>
    <w:qFormat/>
    <w:uiPriority w:val="99"/>
    <w:rPr>
      <w:kern w:val="2"/>
      <w:sz w:val="18"/>
      <w:szCs w:val="18"/>
    </w:rPr>
  </w:style>
  <w:style w:type="character" w:customStyle="1" w:styleId="891">
    <w:name w:val="Char Char33"/>
    <w:autoRedefine/>
    <w:qFormat/>
    <w:uiPriority w:val="6"/>
    <w:rPr>
      <w:rFonts w:ascii="Arial" w:hAnsi="Arial" w:eastAsia="黑体"/>
      <w:b/>
      <w:kern w:val="1"/>
      <w:sz w:val="24"/>
      <w:szCs w:val="24"/>
    </w:rPr>
  </w:style>
  <w:style w:type="character" w:customStyle="1" w:styleId="892">
    <w:name w:val="b11_01b Char"/>
    <w:link w:val="117"/>
    <w:autoRedefine/>
    <w:qFormat/>
    <w:uiPriority w:val="0"/>
    <w:rPr>
      <w:rFonts w:ascii="Verdana" w:hAnsi="Verdana"/>
      <w:b/>
      <w:bCs/>
      <w:color w:val="4A82CA"/>
      <w:sz w:val="17"/>
      <w:szCs w:val="17"/>
    </w:rPr>
  </w:style>
  <w:style w:type="character" w:customStyle="1" w:styleId="893">
    <w:name w:val="Char Char121"/>
    <w:autoRedefine/>
    <w:qFormat/>
    <w:uiPriority w:val="6"/>
    <w:rPr>
      <w:rFonts w:ascii="仿宋_GB2312" w:eastAsia="仿宋_GB2312"/>
      <w:b/>
      <w:bCs/>
      <w:kern w:val="2"/>
      <w:sz w:val="24"/>
      <w:szCs w:val="24"/>
      <w:lang w:val="zh-CN" w:eastAsia="zh-CN" w:bidi="ar-SA"/>
    </w:rPr>
  </w:style>
  <w:style w:type="character" w:customStyle="1" w:styleId="894">
    <w:name w:val="Footer-Even Char"/>
    <w:autoRedefine/>
    <w:qFormat/>
    <w:uiPriority w:val="0"/>
    <w:rPr>
      <w:rFonts w:eastAsia="宋体"/>
      <w:kern w:val="2"/>
      <w:sz w:val="18"/>
      <w:lang w:val="en-US" w:eastAsia="zh-CN" w:bidi="ar-SA"/>
    </w:rPr>
  </w:style>
  <w:style w:type="character" w:customStyle="1" w:styleId="895">
    <w:name w:val="页脚 字符2"/>
    <w:link w:val="43"/>
    <w:autoRedefine/>
    <w:qFormat/>
    <w:locked/>
    <w:uiPriority w:val="99"/>
    <w:rPr>
      <w:kern w:val="2"/>
      <w:sz w:val="18"/>
      <w:szCs w:val="18"/>
    </w:rPr>
  </w:style>
  <w:style w:type="character" w:customStyle="1" w:styleId="89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7">
    <w:name w:val="Char Char61"/>
    <w:autoRedefine/>
    <w:qFormat/>
    <w:uiPriority w:val="6"/>
    <w:rPr>
      <w:rFonts w:eastAsia="宋体"/>
      <w:kern w:val="2"/>
      <w:sz w:val="21"/>
      <w:szCs w:val="24"/>
      <w:lang w:val="en-US" w:eastAsia="zh-CN" w:bidi="ar-SA"/>
    </w:rPr>
  </w:style>
  <w:style w:type="character" w:customStyle="1" w:styleId="898">
    <w:name w:val="正文文字缩进 2 Char Char"/>
    <w:autoRedefine/>
    <w:qFormat/>
    <w:uiPriority w:val="0"/>
    <w:rPr>
      <w:rFonts w:ascii="宋体"/>
      <w:sz w:val="28"/>
    </w:rPr>
  </w:style>
  <w:style w:type="character" w:customStyle="1" w:styleId="899">
    <w:name w:val="f141"/>
    <w:autoRedefine/>
    <w:qFormat/>
    <w:uiPriority w:val="0"/>
    <w:rPr>
      <w:rFonts w:ascii="Tahoma" w:hAnsi="Tahoma" w:eastAsia="宋体"/>
      <w:b/>
      <w:kern w:val="2"/>
      <w:sz w:val="21"/>
      <w:szCs w:val="21"/>
      <w:lang w:val="en-US" w:eastAsia="zh-CN" w:bidi="ar-SA"/>
    </w:rPr>
  </w:style>
  <w:style w:type="character" w:customStyle="1" w:styleId="900">
    <w:name w:val="段落 Char Char"/>
    <w:link w:val="118"/>
    <w:autoRedefine/>
    <w:qFormat/>
    <w:uiPriority w:val="0"/>
    <w:rPr>
      <w:rFonts w:ascii="宋体" w:hAnsi="宋体"/>
      <w:sz w:val="24"/>
    </w:rPr>
  </w:style>
  <w:style w:type="character" w:customStyle="1" w:styleId="901">
    <w:name w:val="标题 3 Char2"/>
    <w:autoRedefine/>
    <w:qFormat/>
    <w:uiPriority w:val="0"/>
    <w:rPr>
      <w:rFonts w:eastAsia="宋体"/>
      <w:b/>
      <w:bCs/>
      <w:kern w:val="2"/>
      <w:sz w:val="32"/>
      <w:szCs w:val="32"/>
      <w:lang w:val="en-US" w:eastAsia="zh-CN" w:bidi="ar-SA"/>
    </w:rPr>
  </w:style>
  <w:style w:type="character" w:customStyle="1" w:styleId="902">
    <w:name w:val="apple-converted-space"/>
    <w:autoRedefine/>
    <w:qFormat/>
    <w:uiPriority w:val="0"/>
  </w:style>
  <w:style w:type="character" w:customStyle="1" w:styleId="903">
    <w:name w:val="页眉 字符2"/>
    <w:link w:val="44"/>
    <w:autoRedefine/>
    <w:qFormat/>
    <w:uiPriority w:val="99"/>
    <w:rPr>
      <w:kern w:val="2"/>
      <w:sz w:val="18"/>
      <w:szCs w:val="18"/>
    </w:rPr>
  </w:style>
  <w:style w:type="character" w:customStyle="1" w:styleId="904">
    <w:name w:val="Char Char9"/>
    <w:autoRedefine/>
    <w:qFormat/>
    <w:uiPriority w:val="0"/>
    <w:rPr>
      <w:rFonts w:eastAsia="宋体"/>
      <w:kern w:val="2"/>
      <w:sz w:val="18"/>
      <w:szCs w:val="18"/>
      <w:lang w:val="en-US" w:eastAsia="zh-CN" w:bidi="ar-SA"/>
    </w:rPr>
  </w:style>
  <w:style w:type="character" w:customStyle="1" w:styleId="905">
    <w:name w:val="Char Char41"/>
    <w:autoRedefine/>
    <w:qFormat/>
    <w:uiPriority w:val="0"/>
    <w:rPr>
      <w:rFonts w:eastAsia="宋体"/>
      <w:b/>
      <w:sz w:val="24"/>
      <w:lang w:eastAsia="zh-CN" w:bidi="ar-SA"/>
    </w:rPr>
  </w:style>
  <w:style w:type="character" w:customStyle="1" w:styleId="906">
    <w:name w:val="large1"/>
    <w:autoRedefine/>
    <w:qFormat/>
    <w:uiPriority w:val="0"/>
    <w:rPr>
      <w:rFonts w:hint="eastAsia" w:ascii="宋体" w:hAnsi="宋体" w:eastAsia="宋体"/>
      <w:sz w:val="21"/>
      <w:szCs w:val="21"/>
    </w:rPr>
  </w:style>
  <w:style w:type="character" w:customStyle="1" w:styleId="907">
    <w:name w:val="正文段 Char"/>
    <w:link w:val="119"/>
    <w:autoRedefine/>
    <w:qFormat/>
    <w:uiPriority w:val="0"/>
    <w:rPr>
      <w:sz w:val="24"/>
    </w:rPr>
  </w:style>
  <w:style w:type="character" w:customStyle="1" w:styleId="908">
    <w:name w:val="Char Char13"/>
    <w:autoRedefine/>
    <w:qFormat/>
    <w:uiPriority w:val="6"/>
    <w:rPr>
      <w:rFonts w:ascii="宋体" w:hAnsi="宋体"/>
      <w:kern w:val="1"/>
      <w:sz w:val="21"/>
      <w:szCs w:val="24"/>
    </w:rPr>
  </w:style>
  <w:style w:type="character" w:customStyle="1" w:styleId="90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10">
    <w:name w:val="冯广丽 Char"/>
    <w:link w:val="120"/>
    <w:autoRedefine/>
    <w:qFormat/>
    <w:uiPriority w:val="0"/>
    <w:rPr>
      <w:rFonts w:ascii="宋体" w:hAnsi="宋体"/>
      <w:kern w:val="2"/>
      <w:sz w:val="24"/>
      <w:szCs w:val="22"/>
    </w:rPr>
  </w:style>
  <w:style w:type="character" w:customStyle="1" w:styleId="911">
    <w:name w:val="批注文字 字符"/>
    <w:autoRedefine/>
    <w:qFormat/>
    <w:uiPriority w:val="0"/>
    <w:rPr>
      <w:rFonts w:ascii="Arial" w:hAnsi="Arial" w:eastAsia="黑体" w:cs="Arial"/>
      <w:snapToGrid w:val="0"/>
      <w:kern w:val="0"/>
      <w:szCs w:val="21"/>
    </w:rPr>
  </w:style>
  <w:style w:type="character" w:customStyle="1" w:styleId="912">
    <w:name w:val="Char Char161"/>
    <w:autoRedefine/>
    <w:qFormat/>
    <w:uiPriority w:val="0"/>
    <w:rPr>
      <w:rFonts w:eastAsia="宋体"/>
      <w:b/>
      <w:kern w:val="2"/>
      <w:sz w:val="32"/>
      <w:lang w:val="en-US" w:eastAsia="zh-CN"/>
    </w:rPr>
  </w:style>
  <w:style w:type="character" w:customStyle="1" w:styleId="913">
    <w:name w:val="javascript"/>
    <w:autoRedefine/>
    <w:qFormat/>
    <w:uiPriority w:val="0"/>
  </w:style>
  <w:style w:type="character" w:customStyle="1" w:styleId="914">
    <w:name w:val="图名 Char"/>
    <w:autoRedefine/>
    <w:qFormat/>
    <w:uiPriority w:val="0"/>
    <w:rPr>
      <w:rFonts w:ascii="Arial" w:hAnsi="Arial" w:eastAsia="黑体"/>
      <w:kern w:val="2"/>
      <w:sz w:val="24"/>
      <w:szCs w:val="24"/>
      <w:lang w:val="en-US" w:eastAsia="zh-CN" w:bidi="ar-SA"/>
    </w:rPr>
  </w:style>
  <w:style w:type="character" w:customStyle="1" w:styleId="915">
    <w:name w:val="Used by Word for text of Help footnotes Char Char"/>
    <w:autoRedefine/>
    <w:qFormat/>
    <w:uiPriority w:val="0"/>
    <w:rPr>
      <w:rFonts w:ascii="Times New Roman" w:hAnsi="Times New Roman" w:eastAsia="宋体" w:cs="Times New Roman"/>
      <w:sz w:val="20"/>
      <w:szCs w:val="20"/>
    </w:rPr>
  </w:style>
  <w:style w:type="character" w:customStyle="1" w:styleId="916">
    <w:name w:val="编号，小四 Char"/>
    <w:link w:val="121"/>
    <w:autoRedefine/>
    <w:qFormat/>
    <w:uiPriority w:val="0"/>
    <w:rPr>
      <w:rFonts w:ascii="Arial" w:hAnsi="Arial"/>
      <w:sz w:val="24"/>
    </w:rPr>
  </w:style>
  <w:style w:type="character" w:customStyle="1" w:styleId="917">
    <w:name w:val="Font Style82"/>
    <w:autoRedefine/>
    <w:qFormat/>
    <w:uiPriority w:val="99"/>
    <w:rPr>
      <w:rFonts w:ascii="宋体" w:eastAsia="宋体" w:cs="宋体"/>
      <w:color w:val="000000"/>
      <w:sz w:val="14"/>
      <w:szCs w:val="14"/>
    </w:rPr>
  </w:style>
  <w:style w:type="character" w:customStyle="1" w:styleId="918">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9">
    <w:name w:val="未用 Char"/>
    <w:autoRedefine/>
    <w:qFormat/>
    <w:uiPriority w:val="0"/>
    <w:rPr>
      <w:rFonts w:ascii="Arial" w:hAnsi="Arial" w:eastAsia="黑体"/>
      <w:kern w:val="2"/>
      <w:sz w:val="21"/>
      <w:szCs w:val="21"/>
      <w:lang w:val="en-US" w:eastAsia="zh-CN" w:bidi="ar-SA"/>
    </w:rPr>
  </w:style>
  <w:style w:type="character" w:customStyle="1" w:styleId="920">
    <w:name w:val="myp1111"/>
    <w:autoRedefine/>
    <w:qFormat/>
    <w:uiPriority w:val="0"/>
    <w:rPr>
      <w:rFonts w:hint="default" w:ascii="ˎ̥" w:hAnsi="ˎ̥"/>
      <w:color w:val="000000"/>
      <w:sz w:val="20"/>
      <w:szCs w:val="20"/>
      <w:u w:val="none"/>
    </w:rPr>
  </w:style>
  <w:style w:type="character" w:customStyle="1" w:styleId="921">
    <w:name w:val="样式 标题 4h4H4Fab-4T5Ref Heading 1rh1Heading sqlsect 1.2.3.... Char"/>
    <w:link w:val="110"/>
    <w:autoRedefine/>
    <w:qFormat/>
    <w:uiPriority w:val="0"/>
    <w:rPr>
      <w:rFonts w:ascii="微软雅黑" w:hAnsi="微软雅黑" w:eastAsia="微软雅黑"/>
      <w:b/>
      <w:bCs/>
      <w:kern w:val="2"/>
      <w:sz w:val="24"/>
      <w:szCs w:val="28"/>
    </w:rPr>
  </w:style>
  <w:style w:type="character" w:customStyle="1" w:styleId="922">
    <w:name w:val="h Char Char"/>
    <w:autoRedefine/>
    <w:qFormat/>
    <w:uiPriority w:val="0"/>
    <w:rPr>
      <w:rFonts w:eastAsia="宋体"/>
      <w:kern w:val="2"/>
      <w:sz w:val="18"/>
      <w:lang w:val="en-US" w:eastAsia="zh-CN" w:bidi="ar-SA"/>
    </w:rPr>
  </w:style>
  <w:style w:type="character" w:customStyle="1" w:styleId="923">
    <w:name w:val="仿宋正文 Char"/>
    <w:link w:val="122"/>
    <w:autoRedefine/>
    <w:qFormat/>
    <w:uiPriority w:val="0"/>
    <w:rPr>
      <w:rFonts w:ascii="仿宋_GB2312" w:eastAsia="仿宋_GB2312"/>
      <w:kern w:val="2"/>
      <w:sz w:val="24"/>
      <w:lang w:val="en-US" w:eastAsia="zh-CN" w:bidi="ar-SA"/>
    </w:rPr>
  </w:style>
  <w:style w:type="character" w:customStyle="1" w:styleId="924">
    <w:name w:val="正文首行缩进 Char Char Char Char Char Char"/>
    <w:autoRedefine/>
    <w:qFormat/>
    <w:uiPriority w:val="0"/>
    <w:rPr>
      <w:rFonts w:ascii="宋体" w:eastAsia="宋体"/>
      <w:kern w:val="2"/>
      <w:sz w:val="24"/>
      <w:lang w:val="zh-CN" w:bidi="ar-SA"/>
    </w:rPr>
  </w:style>
  <w:style w:type="character" w:customStyle="1" w:styleId="925">
    <w:name w:val="样式 宋体"/>
    <w:autoRedefine/>
    <w:qFormat/>
    <w:uiPriority w:val="0"/>
    <w:rPr>
      <w:rFonts w:ascii="宋体" w:hAnsi="宋体"/>
      <w:sz w:val="24"/>
    </w:rPr>
  </w:style>
  <w:style w:type="character" w:customStyle="1" w:styleId="926">
    <w:name w:val="tw4winJump"/>
    <w:autoRedefine/>
    <w:qFormat/>
    <w:uiPriority w:val="0"/>
    <w:rPr>
      <w:rFonts w:ascii="Courier New" w:hAnsi="Courier New" w:cs="Courier New"/>
      <w:color w:val="008080"/>
      <w:lang w:val="en-US" w:eastAsia="zh-CN"/>
    </w:rPr>
  </w:style>
  <w:style w:type="character" w:customStyle="1" w:styleId="927">
    <w:name w:val="标题 1 字符"/>
    <w:autoRedefine/>
    <w:qFormat/>
    <w:uiPriority w:val="9"/>
    <w:rPr>
      <w:rFonts w:ascii="Arial" w:hAnsi="Arial" w:eastAsia="黑体" w:cs="Arial"/>
      <w:b/>
      <w:bCs/>
      <w:snapToGrid w:val="0"/>
      <w:kern w:val="44"/>
      <w:sz w:val="44"/>
      <w:szCs w:val="44"/>
    </w:rPr>
  </w:style>
  <w:style w:type="character" w:customStyle="1" w:styleId="928">
    <w:name w:val="style36"/>
    <w:basedOn w:val="77"/>
    <w:autoRedefine/>
    <w:qFormat/>
    <w:uiPriority w:val="0"/>
    <w:rPr>
      <w:rFonts w:ascii="Arial" w:hAnsi="Arial" w:eastAsia="黑体" w:cs="Arial"/>
      <w:snapToGrid w:val="0"/>
      <w:kern w:val="0"/>
      <w:szCs w:val="21"/>
    </w:rPr>
  </w:style>
  <w:style w:type="character" w:customStyle="1" w:styleId="929">
    <w:name w:val="pt9"/>
    <w:autoRedefine/>
    <w:qFormat/>
    <w:uiPriority w:val="0"/>
    <w:rPr>
      <w:rFonts w:ascii="仿宋_GB2312" w:eastAsia="微软雅黑"/>
      <w:b/>
      <w:kern w:val="2"/>
      <w:sz w:val="32"/>
      <w:szCs w:val="32"/>
      <w:lang w:val="en-US" w:eastAsia="zh-CN" w:bidi="ar-SA"/>
    </w:rPr>
  </w:style>
  <w:style w:type="character" w:customStyle="1" w:styleId="930">
    <w:name w:val="DO_NOT_TRANSLATE"/>
    <w:autoRedefine/>
    <w:qFormat/>
    <w:uiPriority w:val="0"/>
    <w:rPr>
      <w:rFonts w:ascii="Courier New" w:hAnsi="Courier New" w:cs="Courier New"/>
      <w:color w:val="800000"/>
      <w:lang w:val="en-US" w:eastAsia="zh-CN"/>
    </w:rPr>
  </w:style>
  <w:style w:type="character" w:customStyle="1" w:styleId="931">
    <w:name w:val="标书1 Char1"/>
    <w:autoRedefine/>
    <w:qFormat/>
    <w:uiPriority w:val="0"/>
    <w:rPr>
      <w:rFonts w:eastAsia="宋体"/>
      <w:b/>
      <w:bCs/>
      <w:kern w:val="44"/>
      <w:sz w:val="44"/>
      <w:szCs w:val="44"/>
      <w:lang w:val="en-US" w:eastAsia="zh-CN" w:bidi="ar-SA"/>
    </w:rPr>
  </w:style>
  <w:style w:type="character" w:customStyle="1" w:styleId="932">
    <w:name w:val="页脚 字符"/>
    <w:autoRedefine/>
    <w:qFormat/>
    <w:uiPriority w:val="99"/>
    <w:rPr>
      <w:kern w:val="2"/>
      <w:sz w:val="18"/>
      <w:szCs w:val="18"/>
    </w:rPr>
  </w:style>
  <w:style w:type="character" w:customStyle="1" w:styleId="933">
    <w:name w:val="正文2 Char"/>
    <w:autoRedefine/>
    <w:qFormat/>
    <w:uiPriority w:val="0"/>
    <w:rPr>
      <w:rFonts w:eastAsia="宋体"/>
      <w:kern w:val="2"/>
      <w:sz w:val="24"/>
      <w:lang w:val="en-US" w:eastAsia="zh-CN" w:bidi="ar-SA"/>
    </w:rPr>
  </w:style>
  <w:style w:type="character" w:customStyle="1" w:styleId="934">
    <w:name w:val="Char Char21"/>
    <w:autoRedefine/>
    <w:qFormat/>
    <w:uiPriority w:val="6"/>
    <w:rPr>
      <w:rFonts w:ascii="宋体" w:hAnsi="宋体"/>
      <w:kern w:val="1"/>
      <w:sz w:val="24"/>
      <w:szCs w:val="21"/>
      <w:lang w:val="zh-CN"/>
    </w:rPr>
  </w:style>
  <w:style w:type="character" w:customStyle="1" w:styleId="935">
    <w:name w:val="样式 正文缩进 + 首行缩进:  2 字符 Char Char"/>
    <w:link w:val="123"/>
    <w:autoRedefine/>
    <w:qFormat/>
    <w:uiPriority w:val="0"/>
    <w:rPr>
      <w:rFonts w:cs="宋体"/>
      <w:kern w:val="2"/>
      <w:sz w:val="24"/>
    </w:rPr>
  </w:style>
  <w:style w:type="character" w:customStyle="1" w:styleId="936">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937">
    <w:name w:val="gray6"/>
    <w:basedOn w:val="77"/>
    <w:autoRedefine/>
    <w:qFormat/>
    <w:uiPriority w:val="0"/>
    <w:rPr>
      <w:rFonts w:ascii="Arial" w:hAnsi="Arial" w:eastAsia="黑体" w:cs="Arial"/>
      <w:snapToGrid w:val="0"/>
      <w:kern w:val="0"/>
      <w:szCs w:val="21"/>
    </w:rPr>
  </w:style>
  <w:style w:type="character" w:customStyle="1" w:styleId="938">
    <w:name w:val="hui"/>
    <w:basedOn w:val="77"/>
    <w:autoRedefine/>
    <w:qFormat/>
    <w:uiPriority w:val="0"/>
    <w:rPr>
      <w:rFonts w:ascii="Arial" w:hAnsi="Arial" w:eastAsia="黑体" w:cs="Arial"/>
      <w:snapToGrid w:val="0"/>
      <w:kern w:val="0"/>
      <w:szCs w:val="21"/>
    </w:rPr>
  </w:style>
  <w:style w:type="character" w:customStyle="1" w:styleId="939">
    <w:name w:val="哈哈正文 Char Char"/>
    <w:autoRedefine/>
    <w:qFormat/>
    <w:uiPriority w:val="0"/>
    <w:rPr>
      <w:rFonts w:ascii="宋体" w:hAnsi="宋体" w:eastAsia="宋体" w:cs="宋体"/>
      <w:kern w:val="2"/>
      <w:sz w:val="24"/>
      <w:lang w:val="en-US" w:eastAsia="zh-CN" w:bidi="ar-SA"/>
    </w:rPr>
  </w:style>
  <w:style w:type="character" w:customStyle="1" w:styleId="94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1">
    <w:name w:val="正文缩进 字符1"/>
    <w:autoRedefine/>
    <w:qFormat/>
    <w:uiPriority w:val="0"/>
    <w:rPr>
      <w:rFonts w:ascii="宋体" w:eastAsia="宋体"/>
      <w:snapToGrid w:val="0"/>
      <w:color w:val="000000"/>
      <w:kern w:val="28"/>
      <w:sz w:val="28"/>
      <w:lang w:val="en-US" w:eastAsia="zh-CN" w:bidi="ar-SA"/>
    </w:rPr>
  </w:style>
  <w:style w:type="character" w:customStyle="1" w:styleId="942">
    <w:name w:val="页脚 字符1"/>
    <w:autoRedefine/>
    <w:qFormat/>
    <w:locked/>
    <w:uiPriority w:val="99"/>
    <w:rPr>
      <w:kern w:val="2"/>
      <w:sz w:val="18"/>
      <w:szCs w:val="18"/>
    </w:rPr>
  </w:style>
  <w:style w:type="character" w:customStyle="1" w:styleId="943">
    <w:name w:val="页眉 字符1"/>
    <w:autoRedefine/>
    <w:qFormat/>
    <w:uiPriority w:val="99"/>
    <w:rPr>
      <w:kern w:val="2"/>
      <w:sz w:val="18"/>
      <w:szCs w:val="18"/>
    </w:rPr>
  </w:style>
  <w:style w:type="character" w:customStyle="1" w:styleId="944">
    <w:name w:val="尾注文本 字符"/>
    <w:link w:val="41"/>
    <w:autoRedefine/>
    <w:qFormat/>
    <w:uiPriority w:val="0"/>
    <w:rPr>
      <w:kern w:val="2"/>
      <w:sz w:val="21"/>
      <w:szCs w:val="24"/>
      <w:lang w:val="zh-CN"/>
    </w:rPr>
  </w:style>
  <w:style w:type="character" w:customStyle="1" w:styleId="945">
    <w:name w:val="无间隔 字符"/>
    <w:link w:val="173"/>
    <w:autoRedefine/>
    <w:qFormat/>
    <w:uiPriority w:val="99"/>
    <w:rPr>
      <w:kern w:val="2"/>
      <w:sz w:val="21"/>
      <w:szCs w:val="22"/>
    </w:rPr>
  </w:style>
  <w:style w:type="character" w:customStyle="1" w:styleId="946">
    <w:name w:val="标准文本 Char Char"/>
    <w:link w:val="609"/>
    <w:autoRedefine/>
    <w:qFormat/>
    <w:uiPriority w:val="0"/>
    <w:rPr>
      <w:rFonts w:cs="宋体"/>
      <w:kern w:val="2"/>
      <w:sz w:val="24"/>
    </w:rPr>
  </w:style>
  <w:style w:type="character" w:customStyle="1" w:styleId="947">
    <w:name w:val="Char Char213"/>
    <w:autoRedefine/>
    <w:qFormat/>
    <w:uiPriority w:val="0"/>
    <w:rPr>
      <w:rFonts w:eastAsia="Century Gothic"/>
      <w:b/>
      <w:bCs/>
      <w:kern w:val="44"/>
      <w:sz w:val="32"/>
      <w:szCs w:val="44"/>
      <w:lang w:val="en-US" w:eastAsia="zh-CN" w:bidi="ar-SA"/>
    </w:rPr>
  </w:style>
  <w:style w:type="character" w:customStyle="1" w:styleId="948">
    <w:name w:val="apple-style-span"/>
    <w:autoRedefine/>
    <w:qFormat/>
    <w:uiPriority w:val="0"/>
    <w:rPr>
      <w:rFonts w:ascii="Arial" w:hAnsi="Arial" w:eastAsia="黑体" w:cs="Arial"/>
      <w:snapToGrid w:val="0"/>
      <w:kern w:val="0"/>
      <w:szCs w:val="21"/>
    </w:rPr>
  </w:style>
  <w:style w:type="character" w:customStyle="1" w:styleId="949">
    <w:name w:val="15"/>
    <w:autoRedefine/>
    <w:qFormat/>
    <w:uiPriority w:val="0"/>
    <w:rPr>
      <w:rFonts w:hint="default" w:ascii="Calibri" w:hAnsi="Calibri"/>
      <w:color w:val="0000FF"/>
      <w:u w:val="single"/>
    </w:rPr>
  </w:style>
  <w:style w:type="character" w:customStyle="1" w:styleId="950">
    <w:name w:val="16"/>
    <w:autoRedefine/>
    <w:qFormat/>
    <w:uiPriority w:val="0"/>
    <w:rPr>
      <w:rFonts w:hint="eastAsia" w:ascii="宋体" w:hAnsi="宋体" w:eastAsia="宋体"/>
      <w:color w:val="000000"/>
      <w:sz w:val="20"/>
      <w:szCs w:val="20"/>
    </w:rPr>
  </w:style>
  <w:style w:type="character" w:customStyle="1" w:styleId="951">
    <w:name w:val="edui-unclickable"/>
    <w:autoRedefine/>
    <w:qFormat/>
    <w:uiPriority w:val="0"/>
    <w:rPr>
      <w:color w:val="808080"/>
    </w:rPr>
  </w:style>
  <w:style w:type="character" w:customStyle="1" w:styleId="952">
    <w:name w:val="tpc_content1"/>
    <w:autoRedefine/>
    <w:qFormat/>
    <w:uiPriority w:val="0"/>
    <w:rPr>
      <w:sz w:val="20"/>
      <w:szCs w:val="20"/>
    </w:rPr>
  </w:style>
  <w:style w:type="character" w:customStyle="1" w:styleId="953">
    <w:name w:val="正文文本缩进 字符"/>
    <w:autoRedefine/>
    <w:qFormat/>
    <w:uiPriority w:val="0"/>
    <w:rPr>
      <w:rFonts w:ascii="Century Gothic" w:hAnsi="Century Gothic" w:eastAsia="Century Gothic"/>
      <w:kern w:val="2"/>
      <w:sz w:val="24"/>
      <w:lang w:val="en-US" w:eastAsia="zh-CN" w:bidi="ar-SA"/>
    </w:rPr>
  </w:style>
  <w:style w:type="character" w:customStyle="1" w:styleId="954">
    <w:name w:val="正文文本 2 字符"/>
    <w:autoRedefine/>
    <w:qFormat/>
    <w:uiPriority w:val="0"/>
    <w:rPr>
      <w:rFonts w:ascii="Arial" w:hAnsi="Arial" w:eastAsia="宋体"/>
      <w:kern w:val="2"/>
      <w:sz w:val="24"/>
      <w:szCs w:val="24"/>
      <w:lang w:val="en-US" w:eastAsia="zh-CN" w:bidi="ar-SA"/>
    </w:rPr>
  </w:style>
  <w:style w:type="character" w:customStyle="1" w:styleId="955">
    <w:name w:val="edui-clickable2"/>
    <w:autoRedefine/>
    <w:qFormat/>
    <w:uiPriority w:val="0"/>
    <w:rPr>
      <w:color w:val="0000FF"/>
      <w:u w:val="single"/>
    </w:rPr>
  </w:style>
  <w:style w:type="character" w:customStyle="1" w:styleId="956">
    <w:name w:val="style1"/>
    <w:autoRedefine/>
    <w:qFormat/>
    <w:uiPriority w:val="0"/>
    <w:rPr>
      <w:rFonts w:ascii="Arial" w:hAnsi="Arial" w:eastAsia="黑体" w:cs="Arial"/>
      <w:snapToGrid w:val="0"/>
      <w:kern w:val="0"/>
      <w:szCs w:val="21"/>
    </w:rPr>
  </w:style>
  <w:style w:type="character" w:customStyle="1" w:styleId="957">
    <w:name w:val="zbggtop11 style5"/>
    <w:autoRedefine/>
    <w:qFormat/>
    <w:uiPriority w:val="0"/>
    <w:rPr>
      <w:rFonts w:ascii="Arial" w:hAnsi="Arial" w:eastAsia="黑体" w:cs="Arial"/>
      <w:snapToGrid w:val="0"/>
      <w:kern w:val="0"/>
      <w:szCs w:val="21"/>
    </w:rPr>
  </w:style>
  <w:style w:type="character" w:customStyle="1" w:styleId="95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9">
    <w:name w:val="bulletintext1"/>
    <w:autoRedefine/>
    <w:qFormat/>
    <w:uiPriority w:val="0"/>
    <w:rPr>
      <w:color w:val="000000"/>
      <w:sz w:val="18"/>
    </w:rPr>
  </w:style>
  <w:style w:type="character" w:customStyle="1" w:styleId="960">
    <w:name w:val="ksfind_class_select1"/>
    <w:basedOn w:val="77"/>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character" w:customStyle="1" w:styleId="963">
    <w:name w:val="NormalCharacter"/>
    <w:autoRedefine/>
    <w:semiHidden/>
    <w:qFormat/>
    <w:uiPriority w:val="0"/>
  </w:style>
  <w:style w:type="table" w:customStyle="1" w:styleId="964">
    <w:name w:val="网格型2"/>
    <w:basedOn w:val="70"/>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1"/>
    <w:basedOn w:val="70"/>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6"/>
    <w:basedOn w:val="70"/>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3"/>
    <w:basedOn w:val="70"/>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4"/>
    <w:basedOn w:val="70"/>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5"/>
    <w:basedOn w:val="70"/>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107</Pages>
  <Words>35230</Words>
  <Characters>37191</Characters>
  <Lines>341</Lines>
  <Paragraphs>96</Paragraphs>
  <TotalTime>35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2023-05-17T02:04:00Z</dcterms:created>
  <dc:creator>玥</dc:creator>
  <cp:lastModifiedBy>xwn</cp:lastModifiedBy>
  <cp:lastPrinted>2024-01-30T00:42:00Z</cp:lastPrinted>
  <dcterms:modified xsi:type="dcterms:W3CDTF">2024-05-10T11:40:10Z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3F79765D2F904063A8EAB0D333B016D3_13</vt:lpwstr>
  </property>
</Properties>
</file>