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亚运维稳安保项目服务外包</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HBZFCG-2023-024</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w:t>
      </w:r>
      <w:r>
        <w:rPr>
          <w:rFonts w:hint="eastAsia" w:ascii="宋体" w:hAnsi="宋体" w:cs="宋体"/>
          <w:color w:val="auto"/>
          <w:sz w:val="32"/>
          <w:szCs w:val="32"/>
          <w:highlight w:val="none"/>
          <w:lang w:eastAsia="zh-CN"/>
        </w:rPr>
        <w:t>杭州市临平区塘栖镇人民政府</w:t>
      </w:r>
    </w:p>
    <w:p>
      <w:pPr>
        <w:spacing w:line="360" w:lineRule="auto"/>
        <w:jc w:val="center"/>
        <w:rPr>
          <w:rFonts w:ascii="宋体" w:hAnsi="宋体" w:cs="宋体"/>
          <w:bCs/>
          <w:color w:val="auto"/>
          <w:sz w:val="32"/>
          <w:szCs w:val="32"/>
          <w:highlight w:val="none"/>
        </w:rPr>
      </w:pPr>
      <w:r>
        <w:rPr>
          <w:rFonts w:hint="eastAsia" w:ascii="宋体" w:hAnsi="宋体" w:eastAsia="宋体" w:cs="宋体"/>
          <w:bCs/>
          <w:color w:val="auto"/>
          <w:sz w:val="32"/>
          <w:szCs w:val="32"/>
          <w:highlight w:val="none"/>
        </w:rPr>
        <w:t>采购代理机构：</w:t>
      </w:r>
      <w:r>
        <w:rPr>
          <w:rFonts w:hint="eastAsia" w:ascii="宋体" w:hAnsi="宋体" w:cs="宋体"/>
          <w:bCs/>
          <w:color w:val="auto"/>
          <w:sz w:val="32"/>
          <w:szCs w:val="32"/>
          <w:highlight w:val="none"/>
        </w:rPr>
        <w:t>海标工程管理有限公司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二〇二三年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8"/>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亚运维稳安保项目服务外包</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rPr>
        <w:t>3</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8</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29</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HBZFCG-2023-024</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亚运维稳安保项目服务外包</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3950000</w:t>
      </w:r>
      <w:r>
        <w:rPr>
          <w:rFonts w:ascii="宋体" w:hAnsi="宋体" w:cs="宋体"/>
          <w:color w:val="auto"/>
          <w:sz w:val="24"/>
          <w:highlight w:val="none"/>
        </w:rPr>
        <w:t xml:space="preserve"> </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3950000</w:t>
      </w:r>
    </w:p>
    <w:p>
      <w:pPr>
        <w:pStyle w:val="1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eastAsia="宋体" w:cs="宋体"/>
          <w:bCs/>
          <w:color w:val="auto"/>
          <w:kern w:val="2"/>
          <w:sz w:val="24"/>
          <w:szCs w:val="24"/>
          <w:highlight w:val="none"/>
        </w:rPr>
        <w:t>为切实做好亚运会及亚（残）运会维稳安保工作，特别是亚残运盲人门球馆及周边重点区域增加安保力量，开展平安检查、交通秩序维护、路面巡逻等工作，确保我镇社会面平稳可控。</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eastAsia="宋体" w:cs="宋体"/>
          <w:b/>
          <w:color w:val="auto"/>
          <w:highlight w:val="none"/>
        </w:rPr>
        <w:t>合同签订之日起一年。</w:t>
      </w:r>
      <w:r>
        <w:rPr>
          <w:rFonts w:ascii="宋体" w:hAnsi="宋体" w:cs="宋体"/>
          <w:color w:val="auto"/>
          <w:highlight w:val="none"/>
        </w:rPr>
        <w:t xml:space="preserve"> </w:t>
      </w:r>
    </w:p>
    <w:p>
      <w:pPr>
        <w:pStyle w:val="1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40</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70</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2023年8月29日14点00分00秒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lang w:val="en-US" w:eastAsia="zh-CN"/>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2023年8月29日14点00分00秒</w:t>
      </w:r>
      <w:r>
        <w:rPr>
          <w:rFonts w:hint="eastAsia" w:ascii="宋体" w:hAnsi="宋体" w:cs="宋体"/>
          <w:color w:val="auto"/>
          <w:sz w:val="24"/>
          <w:highlight w:val="none"/>
          <w:u w:val="single"/>
          <w:lang w:val="en-US" w:eastAsia="zh-CN"/>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hint="eastAsia" w:ascii="宋体" w:hAnsi="宋体" w:cs="宋体"/>
          <w:color w:val="auto"/>
          <w:sz w:val="24"/>
          <w:highlight w:val="none"/>
        </w:rPr>
        <w:t xml:space="preserve">   </w:t>
      </w:r>
      <w:r>
        <w:rPr>
          <w:rFonts w:hint="eastAsia"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杭州市临平区塘栖镇人民政府</w:t>
      </w:r>
      <w:r>
        <w:rPr>
          <w:rFonts w:hint="eastAsia" w:ascii="仿宋_GB2312" w:hAnsi="仿宋" w:eastAsia="仿宋_GB2312"/>
          <w:color w:val="auto"/>
          <w:sz w:val="24"/>
          <w:highlight w:val="none"/>
        </w:rPr>
        <w:t xml:space="preserve">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地    址：杭州市塘栖镇人民路300号</w:t>
      </w:r>
      <w:r>
        <w:rPr>
          <w:rFonts w:hint="eastAsia" w:ascii="仿宋_GB2312" w:hAnsi="仿宋" w:eastAsia="仿宋_GB2312"/>
          <w:color w:val="auto"/>
          <w:sz w:val="24"/>
          <w:highlight w:val="none"/>
        </w:rPr>
        <w:t xml:space="preserve">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val="en-US" w:eastAsia="zh-CN"/>
        </w:rPr>
        <w:t xml:space="preserve"> 邓攀 </w:t>
      </w:r>
      <w:r>
        <w:rPr>
          <w:rFonts w:hint="eastAsia" w:ascii="仿宋_GB2312" w:hAnsi="仿宋" w:eastAsia="仿宋_GB2312"/>
          <w:color w:val="auto"/>
          <w:sz w:val="24"/>
          <w:highlight w:val="none"/>
        </w:rPr>
        <w:t xml:space="preserve"> </w:t>
      </w:r>
    </w:p>
    <w:p>
      <w:pPr>
        <w:spacing w:line="360" w:lineRule="auto"/>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lang w:val="en-US" w:eastAsia="zh-CN"/>
        </w:rPr>
        <w:t xml:space="preserve">0571-86375035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val="en-US" w:eastAsia="zh-CN"/>
        </w:rPr>
        <w:t xml:space="preserve"> 徐衡 </w:t>
      </w:r>
      <w:r>
        <w:rPr>
          <w:rFonts w:hint="eastAsia" w:ascii="仿宋_GB2312" w:hAnsi="仿宋" w:eastAsia="仿宋_GB2312"/>
          <w:color w:val="auto"/>
          <w:sz w:val="24"/>
          <w:highlight w:val="none"/>
        </w:rPr>
        <w:t xml:space="preserve">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lang w:val="en-US" w:eastAsia="zh-CN"/>
        </w:rPr>
        <w:t xml:space="preserve">0571-86375000  </w:t>
      </w:r>
      <w:r>
        <w:rPr>
          <w:rFonts w:hint="eastAsia" w:ascii="仿宋_GB2312" w:hAnsi="仿宋" w:eastAsia="仿宋_GB2312"/>
          <w:color w:val="auto"/>
          <w:sz w:val="24"/>
          <w:highlight w:val="none"/>
        </w:rPr>
        <w:t xml:space="preserve">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2.采购代理机构信息            </w:t>
      </w:r>
    </w:p>
    <w:p>
      <w:pPr>
        <w:spacing w:line="360" w:lineRule="auto"/>
        <w:ind w:firstLine="480" w:firstLineChars="20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名    称：海标工程管理有限公司</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地    址：</w:t>
      </w:r>
      <w:r>
        <w:rPr>
          <w:rFonts w:hint="eastAsia" w:ascii="仿宋_GB2312" w:hAnsi="仿宋" w:eastAsia="仿宋_GB2312"/>
          <w:color w:val="auto"/>
          <w:sz w:val="24"/>
          <w:highlight w:val="none"/>
        </w:rPr>
        <w:t>杭州市临平区</w:t>
      </w:r>
      <w:r>
        <w:rPr>
          <w:rFonts w:hint="eastAsia" w:ascii="仿宋_GB2312" w:hAnsi="仿宋" w:eastAsia="仿宋_GB2312"/>
          <w:color w:val="auto"/>
          <w:sz w:val="24"/>
          <w:highlight w:val="none"/>
          <w:lang w:val="en-US" w:eastAsia="zh-CN"/>
        </w:rPr>
        <w:t>星桥</w:t>
      </w:r>
      <w:r>
        <w:rPr>
          <w:rFonts w:hint="eastAsia" w:ascii="仿宋_GB2312" w:hAnsi="仿宋" w:eastAsia="仿宋_GB2312"/>
          <w:color w:val="auto"/>
          <w:sz w:val="24"/>
          <w:highlight w:val="none"/>
        </w:rPr>
        <w:t>街道</w:t>
      </w:r>
      <w:r>
        <w:rPr>
          <w:rFonts w:hint="eastAsia" w:ascii="仿宋_GB2312" w:hAnsi="仿宋" w:eastAsia="仿宋_GB2312"/>
          <w:color w:val="auto"/>
          <w:sz w:val="24"/>
          <w:highlight w:val="none"/>
          <w:lang w:val="en-US" w:eastAsia="zh-CN"/>
        </w:rPr>
        <w:t>远展路59号工力大厦3楼</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项目联系人：项文娜</w:t>
      </w:r>
      <w:r>
        <w:rPr>
          <w:rFonts w:hint="eastAsia" w:ascii="仿宋_GB2312" w:hAnsi="仿宋" w:eastAsia="仿宋_GB2312"/>
          <w:color w:val="auto"/>
          <w:sz w:val="24"/>
          <w:highlight w:val="none"/>
        </w:rPr>
        <w:tab/>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项目联系方式：0571-86137060</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质疑联系人：王达</w:t>
      </w:r>
    </w:p>
    <w:p>
      <w:pPr>
        <w:spacing w:line="360" w:lineRule="auto"/>
        <w:ind w:firstLine="480" w:firstLineChars="200"/>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质疑联系方式：</w:t>
      </w:r>
      <w:r>
        <w:rPr>
          <w:rFonts w:hint="eastAsia" w:ascii="仿宋_GB2312" w:hAnsi="仿宋" w:eastAsia="仿宋_GB2312"/>
          <w:color w:val="auto"/>
          <w:sz w:val="24"/>
          <w:highlight w:val="none"/>
          <w:lang w:val="en-US" w:eastAsia="zh-CN"/>
        </w:rPr>
        <w:t>13705815521</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3.同级政府采购监督管理部门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名    称：杭州市临平区财政局</w:t>
      </w:r>
      <w:r>
        <w:rPr>
          <w:rFonts w:hint="eastAsia" w:ascii="仿宋_GB2312" w:hAnsi="仿宋" w:eastAsia="仿宋_GB2312"/>
          <w:color w:val="auto"/>
          <w:sz w:val="24"/>
          <w:highlight w:val="none"/>
        </w:rPr>
        <w:t xml:space="preserve">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地    址：杭州市临平区临平东湖中路236号</w:t>
      </w:r>
      <w:r>
        <w:rPr>
          <w:rFonts w:hint="eastAsia" w:ascii="仿宋_GB2312" w:hAnsi="仿宋" w:eastAsia="仿宋_GB2312"/>
          <w:color w:val="auto"/>
          <w:sz w:val="24"/>
          <w:highlight w:val="none"/>
        </w:rPr>
        <w:t xml:space="preserve">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24"/>
          <w:highlight w:val="none"/>
        </w:rPr>
        <w:t>传    真：0571-89185312</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联系人 ：俞先生 </w:t>
      </w:r>
      <w:r>
        <w:rPr>
          <w:rFonts w:ascii="仿宋_GB2312" w:hAnsi="仿宋" w:eastAsia="仿宋_GB2312"/>
          <w:color w:val="auto"/>
          <w:sz w:val="24"/>
          <w:highlight w:val="none"/>
        </w:rPr>
        <w:t xml:space="preserve">   </w:t>
      </w:r>
    </w:p>
    <w:p>
      <w:pPr>
        <w:spacing w:line="360" w:lineRule="auto"/>
        <w:ind w:firstLine="480"/>
        <w:rPr>
          <w:rFonts w:ascii="宋体" w:hAnsi="宋体" w:cs="宋体"/>
          <w:color w:val="auto"/>
          <w:sz w:val="24"/>
          <w:highlight w:val="none"/>
        </w:rPr>
      </w:pPr>
      <w:r>
        <w:rPr>
          <w:rFonts w:ascii="仿宋_GB2312" w:hAnsi="仿宋" w:eastAsia="仿宋_GB2312"/>
          <w:color w:val="auto"/>
          <w:sz w:val="24"/>
          <w:highlight w:val="none"/>
        </w:rPr>
        <w:t>监督投诉电话：</w:t>
      </w:r>
      <w:r>
        <w:rPr>
          <w:rFonts w:hint="eastAsia" w:ascii="宋体" w:hAnsi="宋体" w:eastAsia="宋体" w:cs="宋体"/>
          <w:color w:val="auto"/>
          <w:sz w:val="24"/>
          <w:highlight w:val="none"/>
        </w:rPr>
        <w:t>0571-89185312</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亚运维稳安保项目服务外包</w:t>
            </w:r>
            <w:r>
              <w:rPr>
                <w:rFonts w:hint="eastAsia" w:ascii="宋体" w:hAnsi="宋体" w:cs="宋体"/>
                <w:color w:val="auto"/>
                <w:kern w:val="0"/>
                <w:sz w:val="24"/>
                <w:highlight w:val="none"/>
              </w:rPr>
              <w:t>，属于租赁和商务服务业；</w:t>
            </w:r>
          </w:p>
          <w:p>
            <w:pPr>
              <w:pStyle w:val="4"/>
              <w:ind w:left="437" w:leftChars="202" w:hanging="13" w:hangingChars="4"/>
              <w:jc w:val="both"/>
              <w:rPr>
                <w:rFonts w:ascii="宋体" w:hAnsi="宋体" w:eastAsia="宋体" w:cs="宋体"/>
                <w:color w:val="auto"/>
                <w:highlight w:val="none"/>
                <w:lang w:val="en-US"/>
              </w:rPr>
            </w:pPr>
            <w:r>
              <w:rPr>
                <w:color w:val="auto"/>
                <w:highlight w:val="none"/>
              </w:rPr>
              <w:drawing>
                <wp:inline distT="0" distB="0" distL="114300" distR="114300">
                  <wp:extent cx="3831590" cy="361950"/>
                  <wp:effectExtent l="0" t="0" r="1651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29"/>
                          <a:stretch>
                            <a:fillRect/>
                          </a:stretch>
                        </pic:blipFill>
                        <pic:spPr>
                          <a:xfrm>
                            <a:off x="0" y="0"/>
                            <a:ext cx="3831590" cy="3619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3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highlight w:val="none"/>
              </w:rPr>
            </w:pPr>
            <w:r>
              <w:rPr>
                <w:rFonts w:hint="eastAsia" w:hAnsi="宋体" w:cs="宋体"/>
                <w:bCs/>
                <w:color w:val="auto"/>
                <w:sz w:val="24"/>
                <w:szCs w:val="24"/>
                <w:highlight w:val="none"/>
              </w:rPr>
              <w:t>备份投标文件送达地点：</w:t>
            </w:r>
            <w:r>
              <w:rPr>
                <w:rFonts w:hint="eastAsia" w:hAnsi="宋体" w:cs="宋体"/>
                <w:color w:val="auto"/>
                <w:sz w:val="24"/>
                <w:highlight w:val="none"/>
              </w:rPr>
              <w:t>杭州市临平区星桥街道远展路59号工力大厦3楼</w:t>
            </w:r>
            <w:r>
              <w:rPr>
                <w:rFonts w:hint="eastAsia" w:hAnsi="宋体" w:cs="宋体"/>
                <w:bCs/>
                <w:color w:val="auto"/>
                <w:sz w:val="24"/>
                <w:szCs w:val="24"/>
                <w:highlight w:val="none"/>
              </w:rPr>
              <w:t>；备份投标文件签收人员联系电话：王达，0571-86137060。</w:t>
            </w: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auto" w:sz="4"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bCs/>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本项目的采购代理费由中标人支付；以中标金额为计费基准，计费标准按《计价格［2002］1980号》文件中服务类收费标准计算。</w:t>
            </w:r>
          </w:p>
          <w:p>
            <w:pPr>
              <w:spacing w:line="360" w:lineRule="auto"/>
              <w:rPr>
                <w:rFonts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28"/>
                <w:sz w:val="24"/>
                <w:highlight w:val="none"/>
              </w:rPr>
              <w:t>中标服务费的交纳方式：以转帐或支票的形式支付，开户名：</w:t>
            </w:r>
            <w:r>
              <w:rPr>
                <w:rFonts w:hint="eastAsia" w:ascii="宋体" w:hAnsi="宋体" w:eastAsia="宋体" w:cs="宋体"/>
                <w:snapToGrid w:val="0"/>
                <w:color w:val="auto"/>
                <w:kern w:val="28"/>
                <w:sz w:val="24"/>
                <w:highlight w:val="none"/>
                <w:lang w:eastAsia="zh-CN"/>
              </w:rPr>
              <w:t>海标工程管理有限公司</w:t>
            </w:r>
            <w:r>
              <w:rPr>
                <w:rFonts w:hint="eastAsia" w:ascii="宋体" w:hAnsi="宋体" w:eastAsia="宋体" w:cs="宋体"/>
                <w:snapToGrid w:val="0"/>
                <w:color w:val="auto"/>
                <w:kern w:val="28"/>
                <w:sz w:val="24"/>
                <w:highlight w:val="none"/>
              </w:rPr>
              <w:t>；开户行名称：浙江杭州余杭农村商业银行股份有限公司乔司支行 帐号：201000184831550中标单位需在领取中标通知书时缴纳中标服务费，缴纳时注明招标编号。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bCs/>
                <w:snapToGrid w:val="0"/>
                <w:color w:val="auto"/>
                <w:kern w:val="28"/>
                <w:sz w:val="24"/>
                <w:highlight w:val="none"/>
              </w:rPr>
              <w:t>书面投标文件</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pStyle w:val="24"/>
        <w:ind w:firstLine="482" w:firstLineChars="200"/>
        <w:rPr>
          <w:color w:val="auto"/>
          <w:highlight w:val="none"/>
        </w:rPr>
      </w:pPr>
      <w:r>
        <w:rPr>
          <w:rFonts w:hint="eastAsia" w:ascii="宋体" w:hAnsi="宋体" w:eastAsia="宋体" w:cs="宋体"/>
          <w:b/>
          <w:bCs/>
          <w:color w:val="auto"/>
          <w:sz w:val="24"/>
          <w:szCs w:val="32"/>
          <w:highlight w:val="none"/>
          <w:lang w:eastAsia="zh-CN"/>
        </w:rPr>
        <w:t>本项目为专门面向中小企业采购项目，对于</w:t>
      </w:r>
      <w:r>
        <w:rPr>
          <w:rFonts w:hint="eastAsia" w:ascii="宋体" w:hAnsi="宋体" w:eastAsia="宋体" w:cs="宋体"/>
          <w:b/>
          <w:bCs/>
          <w:color w:val="auto"/>
          <w:sz w:val="24"/>
          <w:szCs w:val="32"/>
          <w:highlight w:val="none"/>
        </w:rPr>
        <w:t>小型和微型企业的投标报价</w:t>
      </w:r>
      <w:r>
        <w:rPr>
          <w:rFonts w:hint="eastAsia" w:ascii="宋体" w:hAnsi="宋体" w:eastAsia="宋体" w:cs="宋体"/>
          <w:b/>
          <w:bCs/>
          <w:color w:val="auto"/>
          <w:sz w:val="24"/>
          <w:szCs w:val="32"/>
          <w:highlight w:val="none"/>
          <w:lang w:eastAsia="zh-CN"/>
        </w:rPr>
        <w:t>不</w:t>
      </w:r>
      <w:r>
        <w:rPr>
          <w:rFonts w:hint="eastAsia" w:ascii="宋体" w:hAnsi="宋体" w:eastAsia="宋体" w:cs="宋体"/>
          <w:b/>
          <w:bCs/>
          <w:color w:val="auto"/>
          <w:sz w:val="24"/>
          <w:szCs w:val="32"/>
          <w:highlight w:val="none"/>
        </w:rPr>
        <w:t>予</w:t>
      </w:r>
      <w:r>
        <w:rPr>
          <w:rFonts w:hint="eastAsia" w:ascii="宋体" w:hAnsi="宋体" w:eastAsia="宋体" w:cs="宋体"/>
          <w:b/>
          <w:bCs/>
          <w:color w:val="auto"/>
          <w:sz w:val="24"/>
          <w:szCs w:val="32"/>
          <w:highlight w:val="none"/>
          <w:lang w:eastAsia="zh-CN"/>
        </w:rPr>
        <w:t>扣除评审。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1"/>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color w:val="auto"/>
          <w:sz w:val="32"/>
          <w:highlight w:val="none"/>
        </w:rPr>
      </w:pPr>
    </w:p>
    <w:p>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131"/>
        <w:snapToGrid w:val="0"/>
        <w:spacing w:before="0" w:line="360" w:lineRule="auto"/>
        <w:ind w:firstLine="42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val="en-US" w:eastAsia="zh-CN"/>
        </w:rPr>
        <w:t>6合同签订依据为相关法律法规文件、招标文件、乙方投标文件等，合同条款有与前者冲突的，以前者为准。</w:t>
      </w:r>
    </w:p>
    <w:p>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highlight w:val="none"/>
        </w:rPr>
      </w:pPr>
      <w:r>
        <w:rPr>
          <w:rFonts w:ascii="宋体" w:hAnsi="宋体" w:eastAsia="宋体"/>
          <w:color w:val="auto"/>
          <w:sz w:val="24"/>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1"/>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5236290"/>
      <w:bookmarkEnd w:id="16"/>
      <w:bookmarkStart w:id="17" w:name="_Hlt68072998"/>
      <w:bookmarkEnd w:id="17"/>
      <w:bookmarkStart w:id="18" w:name="_Hlt68403820"/>
      <w:bookmarkEnd w:id="18"/>
      <w:bookmarkStart w:id="19" w:name="_Hlt68057669"/>
      <w:bookmarkEnd w:id="19"/>
      <w:bookmarkStart w:id="20" w:name="_Hlt75236011"/>
      <w:bookmarkEnd w:id="20"/>
      <w:bookmarkStart w:id="21" w:name="_Hlt74730295"/>
      <w:bookmarkEnd w:id="21"/>
      <w:bookmarkStart w:id="22" w:name="_Hlt68072990"/>
      <w:bookmarkEnd w:id="22"/>
      <w:bookmarkStart w:id="23" w:name="_Hlt74707468"/>
      <w:bookmarkEnd w:id="23"/>
      <w:bookmarkStart w:id="24" w:name="_Hlt68073093"/>
      <w:bookmarkEnd w:id="24"/>
      <w:bookmarkStart w:id="25" w:name="_Hlt74714665"/>
      <w:bookmarkEnd w:id="25"/>
      <w:bookmarkStart w:id="26" w:name="_Hlt74729768"/>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snapToGrid w:val="0"/>
        <w:spacing w:line="360" w:lineRule="auto"/>
        <w:ind w:firstLine="480" w:firstLineChars="200"/>
        <w:jc w:val="left"/>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zh-CN" w:eastAsia="zh-CN"/>
        </w:rPr>
        <w:t>一、项目概况：</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为切实做好亚运会及亚（残）运会维稳安保工作，特别是亚残运盲人门球馆及周边重点区域增加安保力量，开展平安检查、交通秩序维护、路面巡逻等工作，确保我镇社会面平稳可控。包括提供符合采购人要求的服务人员，在服务期内为采购人提供合格的日常管理协助与特殊时间段的管理协助服务。</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投标报价包括所有服务人员的工资、社保、加班费、培训费、住宿、餐费、通讯设备、交通工具及维保费、统一服装费、低值易耗品、工具及相关设备费、临时性杂项服务费、政策性文件规定及合同包含的所有风险、责任、税费、合理利润等各项全部费用。</w:t>
      </w:r>
    </w:p>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二、</w:t>
      </w:r>
      <w:r>
        <w:rPr>
          <w:rFonts w:hint="default" w:ascii="仿宋" w:hAnsi="仿宋" w:eastAsia="仿宋" w:cs="仿宋"/>
          <w:b w:val="0"/>
          <w:bCs w:val="0"/>
          <w:color w:val="auto"/>
          <w:sz w:val="24"/>
          <w:highlight w:val="none"/>
          <w:lang w:val="en-US" w:eastAsia="zh-CN"/>
        </w:rPr>
        <w:t>具体服务内容、要求等：</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adjustRightInd w:val="0"/>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项 目</w:t>
            </w:r>
          </w:p>
        </w:tc>
        <w:tc>
          <w:tcPr>
            <w:tcW w:w="7823" w:type="dxa"/>
            <w:noWrap w:val="0"/>
            <w:vAlign w:val="center"/>
          </w:tcPr>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0"/>
            <w:vAlign w:val="center"/>
          </w:tcPr>
          <w:p>
            <w:pPr>
              <w:adjustRightInd w:val="0"/>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保安队员素质要求</w:t>
            </w:r>
          </w:p>
        </w:tc>
        <w:tc>
          <w:tcPr>
            <w:tcW w:w="7823" w:type="dxa"/>
            <w:noWrap w:val="0"/>
            <w:vAlign w:val="center"/>
          </w:tcPr>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1、服务人员组成要求人员具有初中及以上学历，具备保安员上岗资格证；</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服务人员要求35周岁及以下(项目负责人及管理人员50周岁及以下)，身高170cm以上，具有保安员上岗证书、退伍军人优先。政治素质好、品行端正、责任心强、无违法犯罪记录、身体健康，仪表端庄，精力充沛，无不良嗜好，工作认真负责并定期接受培训</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3、要求能辅助处理和应对采购人公共秩序维护工作，能正确使用各类消防器械和设备，能够熟悉、掌握各类案件和各类灾害事故的应急预案；</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4、上岗时佩戴统一标志，按需求穿戴统一制服（投标人自行配备，服装款式须征得招标人同意），装备佩戴规范，仪容仪表规范整齐，当值时坐姿挺直，站岗时不倚不靠、采用跨立站岗。</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5、文明执勤，训练有素，言语规范，认真负责；配备必备的安全护卫器械、通讯器材等。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noWrap w:val="0"/>
            <w:vAlign w:val="center"/>
          </w:tcPr>
          <w:p>
            <w:pPr>
              <w:adjustRightInd w:val="0"/>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项目总负责人要求</w:t>
            </w:r>
          </w:p>
        </w:tc>
        <w:tc>
          <w:tcPr>
            <w:tcW w:w="7823" w:type="dxa"/>
            <w:noWrap w:val="0"/>
            <w:vAlign w:val="center"/>
          </w:tcPr>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具有公安专科学历和管理经验、具有保安管理经验（保安员职业资格等级证书）、具有人力资源调配经验（企业人力资源管理师证书）。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312" w:type="dxa"/>
            <w:noWrap w:val="0"/>
            <w:vAlign w:val="center"/>
          </w:tcPr>
          <w:p>
            <w:pPr>
              <w:adjustRightInd w:val="0"/>
              <w:snapToGrid w:val="0"/>
              <w:spacing w:line="360" w:lineRule="auto"/>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管理范围、工作职责</w:t>
            </w:r>
          </w:p>
        </w:tc>
        <w:tc>
          <w:tcPr>
            <w:tcW w:w="7823" w:type="dxa"/>
            <w:noWrap w:val="0"/>
            <w:vAlign w:val="center"/>
          </w:tcPr>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（一）管理范围</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1、亚残运盲人门球馆及周边重点区域增加安保力量，开展平安检查、交通秩序维护、路面巡逻等工作</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（二）工作职责</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1、亚残运盲人门球馆及周边重点区域治安巡逻，有效维护社会治安秩序，平稳有序；</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2、加强对交通秩序维护、路面巡逻等工作；</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3、对相关警情、突发性案（事）件进行应急响应；</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4、完成上级交办的其他工作任务；</w:t>
            </w:r>
          </w:p>
        </w:tc>
      </w:tr>
    </w:tbl>
    <w:p>
      <w:pPr>
        <w:adjustRightInd w:val="0"/>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default" w:ascii="仿宋" w:hAnsi="仿宋" w:eastAsia="仿宋" w:cs="仿宋"/>
          <w:b w:val="0"/>
          <w:bCs w:val="0"/>
          <w:color w:val="auto"/>
          <w:sz w:val="24"/>
          <w:highlight w:val="none"/>
          <w:lang w:val="en-US" w:eastAsia="zh-CN"/>
        </w:rPr>
        <w:t>三、服务期限：</w:t>
      </w:r>
    </w:p>
    <w:p>
      <w:pPr>
        <w:adjustRightInd w:val="0"/>
        <w:snapToGrid w:val="0"/>
        <w:spacing w:line="360" w:lineRule="auto"/>
        <w:ind w:firstLine="720" w:firstLineChars="3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合同签订之日起一年。</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四、考核要求及制度：</w:t>
      </w:r>
    </w:p>
    <w:p>
      <w:pPr>
        <w:spacing w:line="600" w:lineRule="exact"/>
        <w:ind w:firstLine="480" w:firstLineChars="200"/>
        <w:jc w:val="left"/>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1、考核要求：服务人员持证上岗，政治素质好、工作积极、热爱保安工作。服务人员的年龄不得超过35周岁，原则上为男性队员。</w:t>
      </w:r>
    </w:p>
    <w:p>
      <w:pPr>
        <w:spacing w:line="600" w:lineRule="exact"/>
        <w:ind w:firstLine="480" w:firstLineChars="200"/>
        <w:jc w:val="left"/>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2、考核办法</w:t>
      </w:r>
    </w:p>
    <w:p>
      <w:pPr>
        <w:widowControl/>
        <w:ind w:firstLine="3520" w:firstLineChars="1100"/>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32"/>
          <w:szCs w:val="32"/>
          <w:highlight w:val="none"/>
        </w:rPr>
        <w:t>服务人员考核办法</w:t>
      </w: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24"/>
          <w:szCs w:val="24"/>
          <w:highlight w:val="none"/>
          <w:lang w:val="en-US" w:eastAsia="zh-CN"/>
        </w:rPr>
        <w:t xml:space="preserve">     年     月</w:t>
      </w:r>
    </w:p>
    <w:tbl>
      <w:tblPr>
        <w:tblStyle w:val="63"/>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6542"/>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类别</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考核内容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center"/>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考核扣分值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left"/>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考勤</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上班：迟到、早退的，扣1分∕次；脱岗的扣2分∕次。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内务</w:t>
            </w:r>
            <w:r>
              <w:rPr>
                <w:rFonts w:hint="eastAsia" w:ascii="仿宋_GB2312" w:hAnsi="仿宋" w:eastAsia="仿宋_GB2312" w:cs="Arial"/>
                <w:color w:val="auto"/>
                <w:kern w:val="0"/>
                <w:sz w:val="24"/>
                <w:szCs w:val="24"/>
                <w:highlight w:val="none"/>
                <w:lang w:val="en-US" w:eastAsia="zh-CN" w:bidi="ar-SA"/>
              </w:rPr>
              <w:br w:type="textWrapping"/>
            </w:r>
            <w:r>
              <w:rPr>
                <w:rFonts w:hint="eastAsia" w:ascii="仿宋_GB2312" w:hAnsi="仿宋" w:eastAsia="仿宋_GB2312" w:cs="Arial"/>
                <w:color w:val="auto"/>
                <w:kern w:val="0"/>
                <w:sz w:val="24"/>
                <w:szCs w:val="24"/>
                <w:highlight w:val="none"/>
                <w:lang w:val="en-US" w:eastAsia="zh-CN" w:bidi="ar-SA"/>
              </w:rPr>
              <w:t>管理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个人仪表、仪容不严整，或不按规定着装等违反队伍正规化管理的扣1分∕次。上述问题被上级部门通报的加倍扣罚。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爱护公物和配发的装备，因个人使用保管不善而造成丢失或损坏的，除照价赔偿外，扣1分∕次。违反节能措施，不按规定关闭电灯、电脑、饮水器、空调等电源开关，扣0.5分∕次。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规章</w:t>
            </w:r>
            <w:r>
              <w:rPr>
                <w:rFonts w:hint="eastAsia" w:ascii="仿宋_GB2312" w:hAnsi="仿宋" w:eastAsia="仿宋_GB2312" w:cs="Arial"/>
                <w:color w:val="auto"/>
                <w:kern w:val="0"/>
                <w:sz w:val="24"/>
                <w:szCs w:val="24"/>
                <w:highlight w:val="none"/>
                <w:lang w:val="en-US" w:eastAsia="zh-CN" w:bidi="ar-SA"/>
              </w:rPr>
              <w:br w:type="textWrapping"/>
            </w:r>
            <w:r>
              <w:rPr>
                <w:rFonts w:hint="eastAsia" w:ascii="仿宋_GB2312" w:hAnsi="仿宋" w:eastAsia="仿宋_GB2312" w:cs="Arial"/>
                <w:color w:val="auto"/>
                <w:kern w:val="0"/>
                <w:sz w:val="24"/>
                <w:szCs w:val="24"/>
                <w:highlight w:val="none"/>
                <w:lang w:val="en-US" w:eastAsia="zh-CN" w:bidi="ar-SA"/>
              </w:rPr>
              <w:t>制度</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通讯不畅通的或接到指令不按要求到位的，扣1分∕次，工作期间要接受采购人的领导和监督，遵守采购人的有关的规章制度。发现保安违反采购人工作规章制度及纪律扣1分∕次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工作时间玩电脑游戏、看小说、炒股票；手机上网浏览网页、看小说、玩游戏、炒股票，睡觉或做其他与工作无关事情的，扣2分∕次，如被上级部门或新闻媒体通报的，一律予以辞退。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日常行为被上级部门督察计分的，扣2分∕次。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工作时间不按规定上岗、定岗的，扣1分∕次。值班人员在值班期间不按规定履行职责的，扣1-5分∕次。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不服从安排管理，影响工作开展的；破坏团结协作的，扣1-3分∕次。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不规范使用执法车辆或违反职责的，扣1分∕次；违反交通规则的，处罚款项有驾驶人员自行承担；上述问题被上级部门通报的加倍扣罚。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纪律</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上岗前酗酒贻误值班执勤，隐瞒和虚报情况，欺骗领导，视情节轻重扣1-5分∕次，予以辞退。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_GB2312" w:hAnsi="仿宋" w:eastAsia="仿宋_GB2312" w:cs="Arial"/>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违反其他法律法规、规章制度或发生不当行为造成较大影响的，酌情扣罚，情节严重的，扣1-5分∕次，予以辞退。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其他</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因工作粗心、对工作不负责任被投诉，经查实确系其本人不当行为造成的（即有理投诉），扣1-5分∕次，造成严重影响的，予以辞退。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_GB2312" w:hAnsi="仿宋" w:eastAsia="仿宋_GB2312" w:cs="Arial"/>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本辖区内发生重特大城市管理事件未及时处置的，扣1-5分∕次，造成严重影响的，予以辞退。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_GB2312" w:hAnsi="仿宋" w:eastAsia="仿宋_GB2312" w:cs="Arial"/>
                <w:color w:val="auto"/>
                <w:kern w:val="0"/>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对工作表现突出的，报上级部门同意酌情奖励。每月考核成绩作为年终考核主要参与标准。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总得分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4"/>
                <w:szCs w:val="24"/>
                <w:highlight w:val="none"/>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4"/>
                <w:szCs w:val="24"/>
                <w:highlight w:val="none"/>
                <w:u w:val="none"/>
              </w:rPr>
            </w:pPr>
          </w:p>
        </w:tc>
      </w:tr>
    </w:tbl>
    <w:p>
      <w:pPr>
        <w:spacing w:line="600" w:lineRule="exact"/>
        <w:ind w:firstLine="480" w:firstLineChars="200"/>
        <w:jc w:val="left"/>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考核人：                                         审核人：</w:t>
      </w:r>
    </w:p>
    <w:p>
      <w:pPr>
        <w:spacing w:line="600" w:lineRule="exact"/>
        <w:ind w:firstLine="480" w:firstLineChars="200"/>
        <w:jc w:val="left"/>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 xml:space="preserve">本考核要求采用百分制考核法，即按考核项对应分值进行扣分（如本期考核项被扣除5分，即本期得分为95分），每月考核一次，并按以下原则评定考核等级： </w:t>
      </w:r>
    </w:p>
    <w:p>
      <w:pPr>
        <w:spacing w:line="600" w:lineRule="exact"/>
        <w:jc w:val="left"/>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（1）、考核分高于90分（含）视为优秀，拨付全额服务费。</w:t>
      </w:r>
    </w:p>
    <w:p>
      <w:pPr>
        <w:spacing w:line="600" w:lineRule="exact"/>
        <w:jc w:val="left"/>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（2）、考核分高于80分（含）但低于90分（不含）视为良好，扣除服务费2000元整。</w:t>
      </w:r>
    </w:p>
    <w:p>
      <w:pPr>
        <w:spacing w:line="600" w:lineRule="exact"/>
        <w:jc w:val="left"/>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（3）、考核分高于70分（含）但低于80分（不含）视为合格，扣除服务费5000元整。</w:t>
      </w:r>
    </w:p>
    <w:p>
      <w:pPr>
        <w:spacing w:line="600" w:lineRule="exact"/>
        <w:jc w:val="left"/>
        <w:rPr>
          <w:rFonts w:hint="eastAsia" w:ascii="仿宋_GB2312" w:hAnsi="仿宋" w:eastAsia="仿宋_GB2312" w:cs="Arial"/>
          <w:color w:val="auto"/>
          <w:kern w:val="0"/>
          <w:sz w:val="24"/>
          <w:szCs w:val="24"/>
          <w:highlight w:val="none"/>
          <w:lang w:val="en-US" w:eastAsia="zh-CN" w:bidi="ar-SA"/>
        </w:rPr>
      </w:pPr>
      <w:r>
        <w:rPr>
          <w:rFonts w:hint="eastAsia" w:ascii="仿宋_GB2312" w:hAnsi="仿宋" w:eastAsia="仿宋_GB2312" w:cs="Arial"/>
          <w:color w:val="auto"/>
          <w:kern w:val="0"/>
          <w:sz w:val="24"/>
          <w:szCs w:val="24"/>
          <w:highlight w:val="none"/>
          <w:lang w:val="en-US" w:eastAsia="zh-CN" w:bidi="ar-SA"/>
        </w:rPr>
        <w:t>（4）、考核分高于60分（含）但低于70分（不含）视为不合格，扣除服务费8000元整。</w:t>
      </w:r>
    </w:p>
    <w:p>
      <w:pPr>
        <w:spacing w:line="600" w:lineRule="exact"/>
        <w:jc w:val="left"/>
        <w:rPr>
          <w:rFonts w:hint="eastAsia"/>
          <w:color w:val="auto"/>
          <w:highlight w:val="none"/>
          <w:lang w:val="en-US" w:eastAsia="zh-CN"/>
        </w:rPr>
      </w:pPr>
      <w:r>
        <w:rPr>
          <w:rFonts w:hint="eastAsia" w:ascii="仿宋_GB2312" w:hAnsi="仿宋" w:eastAsia="仿宋_GB2312" w:cs="Arial"/>
          <w:color w:val="auto"/>
          <w:kern w:val="0"/>
          <w:sz w:val="24"/>
          <w:szCs w:val="24"/>
          <w:highlight w:val="none"/>
          <w:lang w:val="en-US" w:eastAsia="zh-CN" w:bidi="ar-SA"/>
        </w:rPr>
        <w:t>（5）、考核分低于60分，扣除服务费12000元整。</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五、费用支付：</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服务服务费每季度结算一次，经采购人考核合格后于下季度10日前支付上季度的服务服务费，以经塘栖镇根据政府采购法等相关规定审核通过的合同相应条款为准</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六、其他要求：</w:t>
      </w:r>
    </w:p>
    <w:p>
      <w:pPr>
        <w:adjustRightInd w:val="0"/>
        <w:snapToGrid w:val="0"/>
        <w:spacing w:line="360" w:lineRule="auto"/>
        <w:ind w:firstLine="480" w:firstLineChars="20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服务服务人员出现问题响应要求：服务服务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pPr>
        <w:snapToGrid w:val="0"/>
        <w:spacing w:line="360" w:lineRule="auto"/>
        <w:ind w:firstLine="480" w:firstLineChars="200"/>
        <w:jc w:val="lef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2、乙方在公司运营中发生的劳资纠纷、工伤纠纷、人身意外伤亡等事件，由乙方自行承担，如因此造成甲方被第三方索赔，甲方有权向乙方进行追偿。</w:t>
      </w:r>
    </w:p>
    <w:p>
      <w:pPr>
        <w:rPr>
          <w:color w:val="auto"/>
          <w:highlight w:val="none"/>
        </w:rPr>
      </w:pPr>
      <w:r>
        <w:rPr>
          <w:color w:val="auto"/>
          <w:highlight w:val="none"/>
        </w:rPr>
        <w:br w:type="page"/>
      </w:r>
    </w:p>
    <w:p>
      <w:pPr>
        <w:rPr>
          <w:color w:val="auto"/>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4466"/>
      <w:bookmarkEnd w:id="28"/>
      <w:bookmarkStart w:id="29" w:name="_Toc184308059"/>
      <w:bookmarkEnd w:id="29"/>
      <w:bookmarkStart w:id="30" w:name="_Toc184314478"/>
      <w:bookmarkEnd w:id="30"/>
      <w:bookmarkStart w:id="31" w:name="_Toc184308104"/>
      <w:bookmarkEnd w:id="31"/>
      <w:bookmarkStart w:id="32" w:name="_Toc184310339"/>
      <w:bookmarkEnd w:id="32"/>
      <w:bookmarkStart w:id="33" w:name="_Toc184312091"/>
      <w:bookmarkEnd w:id="33"/>
      <w:bookmarkStart w:id="34" w:name="_Toc184314435"/>
      <w:bookmarkEnd w:id="34"/>
      <w:bookmarkStart w:id="35" w:name="_Toc184308039"/>
      <w:bookmarkEnd w:id="35"/>
      <w:bookmarkStart w:id="36" w:name="_Toc184310319"/>
      <w:bookmarkEnd w:id="36"/>
      <w:bookmarkStart w:id="37" w:name="_Toc184314476"/>
      <w:bookmarkEnd w:id="37"/>
      <w:bookmarkStart w:id="38" w:name="_Toc184313255"/>
      <w:bookmarkEnd w:id="38"/>
      <w:bookmarkStart w:id="39" w:name="_Toc184310275"/>
      <w:bookmarkEnd w:id="39"/>
      <w:bookmarkStart w:id="40" w:name="_Toc184314472"/>
      <w:bookmarkEnd w:id="40"/>
      <w:bookmarkStart w:id="41" w:name="_Toc184310337"/>
      <w:bookmarkEnd w:id="41"/>
      <w:bookmarkStart w:id="42" w:name="_Toc184313302"/>
      <w:bookmarkEnd w:id="42"/>
      <w:bookmarkStart w:id="43" w:name="_Toc184314447"/>
      <w:bookmarkEnd w:id="43"/>
      <w:bookmarkStart w:id="44" w:name="_Toc184308098"/>
      <w:bookmarkEnd w:id="44"/>
      <w:bookmarkStart w:id="45" w:name="_Toc184308046"/>
      <w:bookmarkEnd w:id="45"/>
      <w:bookmarkStart w:id="46" w:name="_Toc184314457"/>
      <w:bookmarkEnd w:id="46"/>
      <w:bookmarkStart w:id="47" w:name="_Toc184308068"/>
      <w:bookmarkEnd w:id="47"/>
      <w:bookmarkStart w:id="48" w:name="_Toc184313263"/>
      <w:bookmarkEnd w:id="48"/>
      <w:bookmarkStart w:id="49" w:name="_Toc184314423"/>
      <w:bookmarkEnd w:id="49"/>
      <w:bookmarkStart w:id="50" w:name="_Toc184310329"/>
      <w:bookmarkEnd w:id="50"/>
      <w:bookmarkStart w:id="51" w:name="_Toc184313252"/>
      <w:bookmarkEnd w:id="51"/>
      <w:bookmarkStart w:id="52" w:name="_Toc184310281"/>
      <w:bookmarkEnd w:id="52"/>
      <w:bookmarkStart w:id="53" w:name="_Toc184308082"/>
      <w:bookmarkEnd w:id="53"/>
      <w:bookmarkStart w:id="54" w:name="_Toc184313254"/>
      <w:bookmarkEnd w:id="54"/>
      <w:bookmarkStart w:id="55" w:name="_Toc184312086"/>
      <w:bookmarkEnd w:id="55"/>
      <w:bookmarkStart w:id="56" w:name="_Toc184312098"/>
      <w:bookmarkEnd w:id="56"/>
      <w:bookmarkStart w:id="57" w:name="_Toc184312097"/>
      <w:bookmarkEnd w:id="57"/>
      <w:bookmarkStart w:id="58" w:name="_Toc184314426"/>
      <w:bookmarkEnd w:id="58"/>
      <w:bookmarkStart w:id="59" w:name="_Toc184312070"/>
      <w:bookmarkEnd w:id="59"/>
      <w:bookmarkStart w:id="60" w:name="_Toc184308086"/>
      <w:bookmarkEnd w:id="60"/>
      <w:bookmarkStart w:id="61" w:name="_Toc184308100"/>
      <w:bookmarkEnd w:id="61"/>
      <w:bookmarkStart w:id="62" w:name="_Toc184313275"/>
      <w:bookmarkEnd w:id="62"/>
      <w:bookmarkStart w:id="63" w:name="_Toc184313274"/>
      <w:bookmarkEnd w:id="63"/>
      <w:bookmarkStart w:id="64" w:name="_Toc184312110"/>
      <w:bookmarkEnd w:id="64"/>
      <w:bookmarkStart w:id="65" w:name="_Toc184314410"/>
      <w:bookmarkEnd w:id="65"/>
      <w:bookmarkStart w:id="66" w:name="_Toc184312101"/>
      <w:bookmarkEnd w:id="66"/>
      <w:bookmarkStart w:id="67" w:name="_Toc184312083"/>
      <w:bookmarkEnd w:id="67"/>
      <w:bookmarkStart w:id="68" w:name="_Toc184312129"/>
      <w:bookmarkEnd w:id="68"/>
      <w:bookmarkStart w:id="69" w:name="_Toc184312119"/>
      <w:bookmarkEnd w:id="69"/>
      <w:bookmarkStart w:id="70" w:name="_Toc184310284"/>
      <w:bookmarkEnd w:id="70"/>
      <w:bookmarkStart w:id="71" w:name="_Toc184312087"/>
      <w:bookmarkEnd w:id="71"/>
      <w:bookmarkStart w:id="72" w:name="_Toc184313282"/>
      <w:bookmarkEnd w:id="72"/>
      <w:bookmarkStart w:id="73" w:name="_Toc184314441"/>
      <w:bookmarkEnd w:id="73"/>
      <w:bookmarkStart w:id="74" w:name="_Toc184312096"/>
      <w:bookmarkEnd w:id="74"/>
      <w:bookmarkStart w:id="75" w:name="_Toc184313271"/>
      <w:bookmarkEnd w:id="75"/>
      <w:bookmarkStart w:id="76" w:name="_Toc184313266"/>
      <w:bookmarkEnd w:id="76"/>
      <w:bookmarkStart w:id="77" w:name="_Toc184312068"/>
      <w:bookmarkEnd w:id="77"/>
      <w:bookmarkStart w:id="78" w:name="_Toc184314448"/>
      <w:bookmarkEnd w:id="78"/>
      <w:bookmarkStart w:id="79" w:name="_Toc184314446"/>
      <w:bookmarkEnd w:id="79"/>
      <w:bookmarkStart w:id="80" w:name="_Toc184312076"/>
      <w:bookmarkEnd w:id="80"/>
      <w:bookmarkStart w:id="81" w:name="_Toc184310292"/>
      <w:bookmarkEnd w:id="81"/>
      <w:bookmarkStart w:id="82" w:name="_Toc184310340"/>
      <w:bookmarkEnd w:id="82"/>
      <w:bookmarkStart w:id="83" w:name="_Toc184314431"/>
      <w:bookmarkEnd w:id="83"/>
      <w:bookmarkStart w:id="84" w:name="_Toc184308064"/>
      <w:bookmarkEnd w:id="84"/>
      <w:bookmarkStart w:id="85" w:name="_Toc184308088"/>
      <w:bookmarkEnd w:id="85"/>
      <w:bookmarkStart w:id="86" w:name="_Toc184312080"/>
      <w:bookmarkEnd w:id="86"/>
      <w:bookmarkStart w:id="87" w:name="_Toc184310333"/>
      <w:bookmarkEnd w:id="87"/>
      <w:bookmarkStart w:id="88" w:name="_Toc184313240"/>
      <w:bookmarkEnd w:id="88"/>
      <w:bookmarkStart w:id="89" w:name="_Toc184314458"/>
      <w:bookmarkEnd w:id="89"/>
      <w:bookmarkStart w:id="90" w:name="_Toc184312104"/>
      <w:bookmarkEnd w:id="90"/>
      <w:bookmarkStart w:id="91" w:name="_Toc184310334"/>
      <w:bookmarkEnd w:id="91"/>
      <w:bookmarkStart w:id="92" w:name="_Toc184314418"/>
      <w:bookmarkEnd w:id="92"/>
      <w:bookmarkStart w:id="93" w:name="_Toc184314437"/>
      <w:bookmarkEnd w:id="93"/>
      <w:bookmarkStart w:id="94" w:name="_Toc184313249"/>
      <w:bookmarkEnd w:id="94"/>
      <w:bookmarkStart w:id="95" w:name="_Toc184313301"/>
      <w:bookmarkEnd w:id="95"/>
      <w:bookmarkStart w:id="96" w:name="_Toc184308052"/>
      <w:bookmarkEnd w:id="96"/>
      <w:bookmarkStart w:id="97" w:name="_Toc184312072"/>
      <w:bookmarkEnd w:id="97"/>
      <w:bookmarkStart w:id="98" w:name="_Toc184313287"/>
      <w:bookmarkEnd w:id="98"/>
      <w:bookmarkStart w:id="99" w:name="_Toc184313295"/>
      <w:bookmarkEnd w:id="99"/>
      <w:bookmarkStart w:id="100" w:name="_Toc184313248"/>
      <w:bookmarkEnd w:id="100"/>
      <w:bookmarkStart w:id="101" w:name="_Toc184310335"/>
      <w:bookmarkEnd w:id="101"/>
      <w:bookmarkStart w:id="102" w:name="_Toc184314453"/>
      <w:bookmarkEnd w:id="102"/>
      <w:bookmarkStart w:id="103" w:name="_Toc184313269"/>
      <w:bookmarkEnd w:id="103"/>
      <w:bookmarkStart w:id="104" w:name="_Toc184310343"/>
      <w:bookmarkEnd w:id="104"/>
      <w:bookmarkStart w:id="105" w:name="_Toc184314429"/>
      <w:bookmarkEnd w:id="105"/>
      <w:bookmarkStart w:id="106" w:name="_Toc184308107"/>
      <w:bookmarkEnd w:id="106"/>
      <w:bookmarkStart w:id="107" w:name="_Toc184313259"/>
      <w:bookmarkEnd w:id="107"/>
      <w:bookmarkStart w:id="108" w:name="_Toc184310307"/>
      <w:bookmarkEnd w:id="108"/>
      <w:bookmarkStart w:id="109" w:name="_Toc184308075"/>
      <w:bookmarkEnd w:id="109"/>
      <w:bookmarkStart w:id="110" w:name="_Toc184313273"/>
      <w:bookmarkEnd w:id="110"/>
      <w:bookmarkStart w:id="111" w:name="_Toc184314464"/>
      <w:bookmarkEnd w:id="111"/>
      <w:bookmarkStart w:id="112" w:name="_Toc184308050"/>
      <w:bookmarkEnd w:id="112"/>
      <w:bookmarkStart w:id="113" w:name="_Toc184313262"/>
      <w:bookmarkEnd w:id="113"/>
      <w:bookmarkStart w:id="114" w:name="_Toc184313307"/>
      <w:bookmarkEnd w:id="114"/>
      <w:bookmarkStart w:id="115" w:name="_Toc184310279"/>
      <w:bookmarkEnd w:id="115"/>
      <w:bookmarkStart w:id="116" w:name="_Toc184312137"/>
      <w:bookmarkEnd w:id="116"/>
      <w:bookmarkStart w:id="117" w:name="_Toc184313289"/>
      <w:bookmarkEnd w:id="117"/>
      <w:bookmarkStart w:id="118" w:name="_Toc184308036"/>
      <w:bookmarkEnd w:id="118"/>
      <w:bookmarkStart w:id="119" w:name="_Toc184313268"/>
      <w:bookmarkEnd w:id="119"/>
      <w:bookmarkStart w:id="120" w:name="_Toc184314482"/>
      <w:bookmarkEnd w:id="120"/>
      <w:bookmarkStart w:id="121" w:name="_Toc184313310"/>
      <w:bookmarkEnd w:id="121"/>
      <w:bookmarkStart w:id="122" w:name="_Toc184310306"/>
      <w:bookmarkEnd w:id="122"/>
      <w:bookmarkStart w:id="123" w:name="_Toc184313284"/>
      <w:bookmarkEnd w:id="123"/>
      <w:bookmarkStart w:id="124" w:name="_Toc184314415"/>
      <w:bookmarkEnd w:id="124"/>
      <w:bookmarkStart w:id="125" w:name="_Toc184314422"/>
      <w:bookmarkEnd w:id="125"/>
      <w:bookmarkStart w:id="126" w:name="_Toc184313258"/>
      <w:bookmarkEnd w:id="126"/>
      <w:bookmarkStart w:id="127" w:name="_Toc184308101"/>
      <w:bookmarkEnd w:id="127"/>
      <w:bookmarkStart w:id="128" w:name="_Toc184312114"/>
      <w:bookmarkEnd w:id="128"/>
      <w:bookmarkStart w:id="129" w:name="_Toc184308066"/>
      <w:bookmarkEnd w:id="129"/>
      <w:bookmarkStart w:id="130" w:name="_Toc184308049"/>
      <w:bookmarkEnd w:id="130"/>
      <w:bookmarkStart w:id="131" w:name="_Toc184312082"/>
      <w:bookmarkEnd w:id="131"/>
      <w:bookmarkStart w:id="132" w:name="_Toc184314412"/>
      <w:bookmarkEnd w:id="132"/>
      <w:bookmarkStart w:id="133" w:name="_Toc184312106"/>
      <w:bookmarkEnd w:id="133"/>
      <w:bookmarkStart w:id="134" w:name="_Toc184310301"/>
      <w:bookmarkEnd w:id="134"/>
      <w:bookmarkStart w:id="135" w:name="_Toc184310327"/>
      <w:bookmarkEnd w:id="135"/>
      <w:bookmarkStart w:id="136" w:name="_Toc184310302"/>
      <w:bookmarkEnd w:id="136"/>
      <w:bookmarkStart w:id="137" w:name="_Toc184312116"/>
      <w:bookmarkEnd w:id="137"/>
      <w:bookmarkStart w:id="138" w:name="_Toc184314424"/>
      <w:bookmarkEnd w:id="138"/>
      <w:bookmarkStart w:id="139" w:name="_Toc184313267"/>
      <w:bookmarkEnd w:id="139"/>
      <w:bookmarkStart w:id="140" w:name="_Toc184312113"/>
      <w:bookmarkEnd w:id="140"/>
      <w:bookmarkStart w:id="141" w:name="_Toc184314432"/>
      <w:bookmarkEnd w:id="141"/>
      <w:bookmarkStart w:id="142" w:name="_Toc184313309"/>
      <w:bookmarkEnd w:id="142"/>
      <w:bookmarkStart w:id="143" w:name="_Toc184310326"/>
      <w:bookmarkEnd w:id="143"/>
      <w:bookmarkStart w:id="144" w:name="_Toc184308073"/>
      <w:bookmarkEnd w:id="144"/>
      <w:bookmarkStart w:id="145" w:name="_Toc184308106"/>
      <w:bookmarkEnd w:id="145"/>
      <w:bookmarkStart w:id="146" w:name="_Toc184310293"/>
      <w:bookmarkEnd w:id="146"/>
      <w:bookmarkStart w:id="147" w:name="_Toc184310280"/>
      <w:bookmarkEnd w:id="147"/>
      <w:bookmarkStart w:id="148" w:name="_Toc184313292"/>
      <w:bookmarkEnd w:id="148"/>
      <w:bookmarkStart w:id="149" w:name="_Toc184312124"/>
      <w:bookmarkEnd w:id="149"/>
      <w:bookmarkStart w:id="150" w:name="_Toc184313290"/>
      <w:bookmarkEnd w:id="150"/>
      <w:bookmarkStart w:id="151" w:name="_Toc184308048"/>
      <w:bookmarkEnd w:id="151"/>
      <w:bookmarkStart w:id="152" w:name="_Toc184312099"/>
      <w:bookmarkEnd w:id="152"/>
      <w:bookmarkStart w:id="153" w:name="_Toc184312094"/>
      <w:bookmarkEnd w:id="153"/>
      <w:bookmarkStart w:id="154" w:name="_Toc184312105"/>
      <w:bookmarkEnd w:id="154"/>
      <w:bookmarkStart w:id="155" w:name="_Toc184313303"/>
      <w:bookmarkEnd w:id="155"/>
      <w:bookmarkStart w:id="156" w:name="_Toc184308080"/>
      <w:bookmarkEnd w:id="156"/>
      <w:bookmarkStart w:id="157" w:name="_Toc184308043"/>
      <w:bookmarkEnd w:id="157"/>
      <w:bookmarkStart w:id="158" w:name="_Toc184310320"/>
      <w:bookmarkEnd w:id="158"/>
      <w:bookmarkStart w:id="159" w:name="_Toc184312135"/>
      <w:bookmarkEnd w:id="159"/>
      <w:bookmarkStart w:id="160" w:name="_Toc184314440"/>
      <w:bookmarkEnd w:id="160"/>
      <w:bookmarkStart w:id="161" w:name="_Toc184313277"/>
      <w:bookmarkEnd w:id="161"/>
      <w:bookmarkStart w:id="162" w:name="_Toc184314413"/>
      <w:bookmarkEnd w:id="162"/>
      <w:bookmarkStart w:id="163" w:name="_Toc184314427"/>
      <w:bookmarkEnd w:id="163"/>
      <w:bookmarkStart w:id="164" w:name="_Toc184314438"/>
      <w:bookmarkEnd w:id="164"/>
      <w:bookmarkStart w:id="165" w:name="_Toc184308072"/>
      <w:bookmarkEnd w:id="165"/>
      <w:bookmarkStart w:id="166" w:name="_Toc184314444"/>
      <w:bookmarkEnd w:id="166"/>
      <w:bookmarkStart w:id="167" w:name="_Toc184308060"/>
      <w:bookmarkEnd w:id="167"/>
      <w:bookmarkStart w:id="168" w:name="_Toc184308099"/>
      <w:bookmarkEnd w:id="168"/>
      <w:bookmarkStart w:id="169" w:name="_Toc184313247"/>
      <w:bookmarkEnd w:id="169"/>
      <w:bookmarkStart w:id="170" w:name="_Toc184314430"/>
      <w:bookmarkEnd w:id="170"/>
      <w:bookmarkStart w:id="171" w:name="_Toc184313278"/>
      <w:bookmarkEnd w:id="171"/>
      <w:bookmarkStart w:id="172" w:name="_Toc184312121"/>
      <w:bookmarkEnd w:id="172"/>
      <w:bookmarkStart w:id="173" w:name="_Toc184308047"/>
      <w:bookmarkEnd w:id="173"/>
      <w:bookmarkStart w:id="174" w:name="_Toc184308093"/>
      <w:bookmarkEnd w:id="174"/>
      <w:bookmarkStart w:id="175" w:name="_Toc184314469"/>
      <w:bookmarkEnd w:id="175"/>
      <w:bookmarkStart w:id="176" w:name="_Toc184312073"/>
      <w:bookmarkEnd w:id="176"/>
      <w:bookmarkStart w:id="177" w:name="_Toc184312123"/>
      <w:bookmarkEnd w:id="177"/>
      <w:bookmarkStart w:id="178" w:name="_Toc184310324"/>
      <w:bookmarkEnd w:id="178"/>
      <w:bookmarkStart w:id="179" w:name="_Toc184308085"/>
      <w:bookmarkEnd w:id="179"/>
      <w:bookmarkStart w:id="180" w:name="_Toc184312127"/>
      <w:bookmarkEnd w:id="180"/>
      <w:bookmarkStart w:id="181" w:name="_Toc184312092"/>
      <w:bookmarkEnd w:id="181"/>
      <w:bookmarkStart w:id="182" w:name="_Toc184308063"/>
      <w:bookmarkEnd w:id="182"/>
      <w:bookmarkStart w:id="183" w:name="_Toc184310290"/>
      <w:bookmarkEnd w:id="183"/>
      <w:bookmarkStart w:id="184" w:name="_Toc184312075"/>
      <w:bookmarkEnd w:id="184"/>
      <w:bookmarkStart w:id="185" w:name="_Toc184314454"/>
      <w:bookmarkEnd w:id="185"/>
      <w:bookmarkStart w:id="186" w:name="_Toc184314477"/>
      <w:bookmarkEnd w:id="186"/>
      <w:bookmarkStart w:id="187" w:name="_Toc184310318"/>
      <w:bookmarkEnd w:id="187"/>
      <w:bookmarkStart w:id="188" w:name="_Toc184310325"/>
      <w:bookmarkEnd w:id="188"/>
      <w:bookmarkStart w:id="189" w:name="_Toc184314462"/>
      <w:bookmarkEnd w:id="189"/>
      <w:bookmarkStart w:id="190" w:name="_Toc184310305"/>
      <w:bookmarkEnd w:id="190"/>
      <w:bookmarkStart w:id="191" w:name="_Toc184312131"/>
      <w:bookmarkEnd w:id="191"/>
      <w:bookmarkStart w:id="192" w:name="_Toc184312079"/>
      <w:bookmarkEnd w:id="192"/>
      <w:bookmarkStart w:id="193" w:name="_Toc184308095"/>
      <w:bookmarkEnd w:id="193"/>
      <w:bookmarkStart w:id="194" w:name="_Toc184314419"/>
      <w:bookmarkEnd w:id="194"/>
      <w:bookmarkStart w:id="195" w:name="_Toc184308062"/>
      <w:bookmarkEnd w:id="195"/>
      <w:bookmarkStart w:id="196" w:name="_Toc184308079"/>
      <w:bookmarkEnd w:id="196"/>
      <w:bookmarkStart w:id="197" w:name="_Toc184314417"/>
      <w:bookmarkEnd w:id="197"/>
      <w:bookmarkStart w:id="198" w:name="_Toc184313264"/>
      <w:bookmarkEnd w:id="198"/>
      <w:bookmarkStart w:id="199" w:name="_Toc184310297"/>
      <w:bookmarkEnd w:id="199"/>
      <w:bookmarkStart w:id="200" w:name="_Toc184312090"/>
      <w:bookmarkEnd w:id="200"/>
      <w:bookmarkStart w:id="201" w:name="_Toc184312109"/>
      <w:bookmarkEnd w:id="201"/>
      <w:bookmarkStart w:id="202" w:name="_Toc184308053"/>
      <w:bookmarkEnd w:id="202"/>
      <w:bookmarkStart w:id="203" w:name="_Toc184308078"/>
      <w:bookmarkEnd w:id="203"/>
      <w:bookmarkStart w:id="204" w:name="_Toc184308081"/>
      <w:bookmarkEnd w:id="204"/>
      <w:bookmarkStart w:id="205" w:name="_Toc184314414"/>
      <w:bookmarkEnd w:id="205"/>
      <w:bookmarkStart w:id="206" w:name="_Toc184310311"/>
      <w:bookmarkEnd w:id="206"/>
      <w:bookmarkStart w:id="207" w:name="_Toc184312125"/>
      <w:bookmarkEnd w:id="207"/>
      <w:bookmarkStart w:id="208" w:name="_Toc184310330"/>
      <w:bookmarkEnd w:id="208"/>
      <w:bookmarkStart w:id="209" w:name="_Toc184314439"/>
      <w:bookmarkEnd w:id="209"/>
      <w:bookmarkStart w:id="210" w:name="_Toc184308051"/>
      <w:bookmarkEnd w:id="210"/>
      <w:bookmarkStart w:id="211" w:name="_Toc184313270"/>
      <w:bookmarkEnd w:id="211"/>
      <w:bookmarkStart w:id="212" w:name="_Toc184310317"/>
      <w:bookmarkEnd w:id="212"/>
      <w:bookmarkStart w:id="213" w:name="_Toc184310282"/>
      <w:bookmarkEnd w:id="213"/>
      <w:bookmarkStart w:id="214" w:name="_Toc184313276"/>
      <w:bookmarkEnd w:id="214"/>
      <w:bookmarkStart w:id="215" w:name="_Toc184308040"/>
      <w:bookmarkEnd w:id="215"/>
      <w:bookmarkStart w:id="216" w:name="_Toc184310321"/>
      <w:bookmarkEnd w:id="216"/>
      <w:bookmarkStart w:id="217" w:name="_Toc184314460"/>
      <w:bookmarkEnd w:id="217"/>
      <w:bookmarkStart w:id="218" w:name="_Toc184314445"/>
      <w:bookmarkEnd w:id="218"/>
      <w:bookmarkStart w:id="219" w:name="_Toc184314450"/>
      <w:bookmarkEnd w:id="219"/>
      <w:bookmarkStart w:id="220" w:name="_Toc184308042"/>
      <w:bookmarkEnd w:id="220"/>
      <w:bookmarkStart w:id="221" w:name="_Toc184310323"/>
      <w:bookmarkEnd w:id="221"/>
      <w:bookmarkStart w:id="222" w:name="_Toc184313291"/>
      <w:bookmarkEnd w:id="222"/>
      <w:bookmarkStart w:id="223" w:name="_Toc184312093"/>
      <w:bookmarkEnd w:id="223"/>
      <w:bookmarkStart w:id="224" w:name="_Toc184312115"/>
      <w:bookmarkEnd w:id="224"/>
      <w:bookmarkStart w:id="225" w:name="_Toc184313308"/>
      <w:bookmarkEnd w:id="225"/>
      <w:bookmarkStart w:id="226" w:name="_Toc184312107"/>
      <w:bookmarkEnd w:id="226"/>
      <w:bookmarkStart w:id="227" w:name="_Toc184308108"/>
      <w:bookmarkEnd w:id="227"/>
      <w:bookmarkStart w:id="228" w:name="_Toc184314443"/>
      <w:bookmarkEnd w:id="228"/>
      <w:bookmarkStart w:id="229" w:name="_Toc184310283"/>
      <w:bookmarkEnd w:id="229"/>
      <w:bookmarkStart w:id="230" w:name="_Toc184314471"/>
      <w:bookmarkEnd w:id="230"/>
      <w:bookmarkStart w:id="231" w:name="_Toc184314449"/>
      <w:bookmarkEnd w:id="231"/>
      <w:bookmarkStart w:id="232" w:name="_Toc184312088"/>
      <w:bookmarkEnd w:id="232"/>
      <w:bookmarkStart w:id="233" w:name="_Toc184312136"/>
      <w:bookmarkEnd w:id="233"/>
      <w:bookmarkStart w:id="234" w:name="_Toc184312112"/>
      <w:bookmarkEnd w:id="234"/>
      <w:bookmarkStart w:id="235" w:name="_Toc184313286"/>
      <w:bookmarkEnd w:id="235"/>
      <w:bookmarkStart w:id="236" w:name="_Toc184310285"/>
      <w:bookmarkEnd w:id="236"/>
      <w:bookmarkStart w:id="237" w:name="_Toc184313245"/>
      <w:bookmarkEnd w:id="237"/>
      <w:bookmarkStart w:id="238" w:name="_Toc184313305"/>
      <w:bookmarkEnd w:id="238"/>
      <w:bookmarkStart w:id="239" w:name="_Toc184312074"/>
      <w:bookmarkEnd w:id="239"/>
      <w:bookmarkStart w:id="240" w:name="_Toc184312077"/>
      <w:bookmarkEnd w:id="240"/>
      <w:bookmarkStart w:id="241" w:name="_Toc184308090"/>
      <w:bookmarkEnd w:id="241"/>
      <w:bookmarkStart w:id="242" w:name="_Toc184308097"/>
      <w:bookmarkEnd w:id="242"/>
      <w:bookmarkStart w:id="243" w:name="_Toc184312081"/>
      <w:bookmarkEnd w:id="243"/>
      <w:bookmarkStart w:id="244" w:name="_Toc184312117"/>
      <w:bookmarkEnd w:id="244"/>
      <w:bookmarkStart w:id="245" w:name="_Toc184308061"/>
      <w:bookmarkEnd w:id="245"/>
      <w:bookmarkStart w:id="246" w:name="_Toc184314433"/>
      <w:bookmarkEnd w:id="246"/>
      <w:bookmarkStart w:id="247" w:name="_Toc184313296"/>
      <w:bookmarkEnd w:id="247"/>
      <w:bookmarkStart w:id="248" w:name="_Toc184310332"/>
      <w:bookmarkEnd w:id="248"/>
      <w:bookmarkStart w:id="249" w:name="_Toc184313243"/>
      <w:bookmarkEnd w:id="249"/>
      <w:bookmarkStart w:id="250" w:name="_Toc184308105"/>
      <w:bookmarkEnd w:id="250"/>
      <w:bookmarkStart w:id="251" w:name="_Toc184313300"/>
      <w:bookmarkEnd w:id="251"/>
      <w:bookmarkStart w:id="252" w:name="_Toc184313251"/>
      <w:bookmarkEnd w:id="252"/>
      <w:bookmarkStart w:id="253" w:name="_Toc184312111"/>
      <w:bookmarkEnd w:id="253"/>
      <w:bookmarkStart w:id="254" w:name="_Toc184313253"/>
      <w:bookmarkEnd w:id="254"/>
      <w:bookmarkStart w:id="255" w:name="_Toc184308070"/>
      <w:bookmarkEnd w:id="255"/>
      <w:bookmarkStart w:id="256" w:name="_Toc184314421"/>
      <w:bookmarkEnd w:id="256"/>
      <w:bookmarkStart w:id="257" w:name="_Toc184310298"/>
      <w:bookmarkEnd w:id="257"/>
      <w:bookmarkStart w:id="258" w:name="_Toc184313285"/>
      <w:bookmarkEnd w:id="258"/>
      <w:bookmarkStart w:id="259" w:name="_Toc184310273"/>
      <w:bookmarkEnd w:id="259"/>
      <w:bookmarkStart w:id="260" w:name="_Toc184312134"/>
      <w:bookmarkEnd w:id="260"/>
      <w:bookmarkStart w:id="261" w:name="_Toc184314470"/>
      <w:bookmarkEnd w:id="261"/>
      <w:bookmarkStart w:id="262" w:name="_Toc184313238"/>
      <w:bookmarkEnd w:id="262"/>
      <w:bookmarkStart w:id="263" w:name="_Toc184312103"/>
      <w:bookmarkEnd w:id="263"/>
      <w:bookmarkStart w:id="264" w:name="_Toc184308055"/>
      <w:bookmarkEnd w:id="264"/>
      <w:bookmarkStart w:id="265" w:name="_Toc184308065"/>
      <w:bookmarkEnd w:id="265"/>
      <w:bookmarkStart w:id="266" w:name="_Toc184310300"/>
      <w:bookmarkEnd w:id="266"/>
      <w:bookmarkStart w:id="267" w:name="_Toc184308038"/>
      <w:bookmarkEnd w:id="267"/>
      <w:bookmarkStart w:id="268" w:name="_Toc184313246"/>
      <w:bookmarkEnd w:id="268"/>
      <w:bookmarkStart w:id="269" w:name="_Toc184310288"/>
      <w:bookmarkEnd w:id="269"/>
      <w:bookmarkStart w:id="270" w:name="_Toc184310328"/>
      <w:bookmarkEnd w:id="270"/>
      <w:bookmarkStart w:id="271" w:name="_Toc184314474"/>
      <w:bookmarkEnd w:id="271"/>
      <w:bookmarkStart w:id="272" w:name="_Toc184312132"/>
      <w:bookmarkEnd w:id="272"/>
      <w:bookmarkStart w:id="273" w:name="_Toc184313299"/>
      <w:bookmarkEnd w:id="273"/>
      <w:bookmarkStart w:id="274" w:name="_Toc184310315"/>
      <w:bookmarkEnd w:id="274"/>
      <w:bookmarkStart w:id="275" w:name="_Toc184313239"/>
      <w:bookmarkEnd w:id="275"/>
      <w:bookmarkStart w:id="276" w:name="_Toc184312084"/>
      <w:bookmarkEnd w:id="276"/>
      <w:bookmarkStart w:id="277" w:name="_Toc184314456"/>
      <w:bookmarkEnd w:id="277"/>
      <w:bookmarkStart w:id="278" w:name="_Toc184308041"/>
      <w:bookmarkEnd w:id="278"/>
      <w:bookmarkStart w:id="279" w:name="_Toc184314468"/>
      <w:bookmarkEnd w:id="279"/>
      <w:bookmarkStart w:id="280" w:name="_Toc184310295"/>
      <w:bookmarkEnd w:id="280"/>
      <w:bookmarkStart w:id="281" w:name="_Toc184308045"/>
      <w:bookmarkEnd w:id="281"/>
      <w:bookmarkStart w:id="282" w:name="_Toc184308058"/>
      <w:bookmarkEnd w:id="282"/>
      <w:bookmarkStart w:id="283" w:name="_Toc184314420"/>
      <w:bookmarkEnd w:id="283"/>
      <w:bookmarkStart w:id="284" w:name="_Toc184314411"/>
      <w:bookmarkEnd w:id="284"/>
      <w:bookmarkStart w:id="285" w:name="_Toc184310322"/>
      <w:bookmarkEnd w:id="285"/>
      <w:bookmarkStart w:id="286" w:name="_Toc184310299"/>
      <w:bookmarkEnd w:id="286"/>
      <w:bookmarkStart w:id="287" w:name="_Toc184308056"/>
      <w:bookmarkEnd w:id="287"/>
      <w:bookmarkStart w:id="288" w:name="_Toc184312133"/>
      <w:bookmarkEnd w:id="288"/>
      <w:bookmarkStart w:id="289" w:name="_Toc184310338"/>
      <w:bookmarkEnd w:id="289"/>
      <w:bookmarkStart w:id="290" w:name="_Toc184308074"/>
      <w:bookmarkEnd w:id="290"/>
      <w:bookmarkStart w:id="291" w:name="_Toc184313250"/>
      <w:bookmarkEnd w:id="291"/>
      <w:bookmarkStart w:id="292" w:name="_Toc184313244"/>
      <w:bookmarkEnd w:id="292"/>
      <w:bookmarkStart w:id="293" w:name="_Toc184312108"/>
      <w:bookmarkEnd w:id="293"/>
      <w:bookmarkStart w:id="294" w:name="_Toc184310276"/>
      <w:bookmarkEnd w:id="294"/>
      <w:bookmarkStart w:id="295" w:name="_Toc184313304"/>
      <w:bookmarkEnd w:id="295"/>
      <w:bookmarkStart w:id="296" w:name="_Toc184308087"/>
      <w:bookmarkEnd w:id="296"/>
      <w:bookmarkStart w:id="297" w:name="_Toc184310310"/>
      <w:bookmarkEnd w:id="297"/>
      <w:bookmarkStart w:id="298" w:name="_Toc184308054"/>
      <w:bookmarkEnd w:id="298"/>
      <w:bookmarkStart w:id="299" w:name="_Toc184312085"/>
      <w:bookmarkEnd w:id="299"/>
      <w:bookmarkStart w:id="300" w:name="_Toc184310304"/>
      <w:bookmarkEnd w:id="300"/>
      <w:bookmarkStart w:id="301" w:name="_Toc184314428"/>
      <w:bookmarkEnd w:id="301"/>
      <w:bookmarkStart w:id="302" w:name="_Toc184313261"/>
      <w:bookmarkEnd w:id="302"/>
      <w:bookmarkStart w:id="303" w:name="_Toc184310314"/>
      <w:bookmarkEnd w:id="303"/>
      <w:bookmarkStart w:id="304" w:name="_Toc184312095"/>
      <w:bookmarkEnd w:id="304"/>
      <w:bookmarkStart w:id="305" w:name="_Toc184310291"/>
      <w:bookmarkEnd w:id="305"/>
      <w:bookmarkStart w:id="306" w:name="_Toc184312069"/>
      <w:bookmarkEnd w:id="306"/>
      <w:bookmarkStart w:id="307" w:name="_Toc184308092"/>
      <w:bookmarkEnd w:id="307"/>
      <w:bookmarkStart w:id="308" w:name="_Toc184313279"/>
      <w:bookmarkEnd w:id="308"/>
      <w:bookmarkStart w:id="309" w:name="_Toc184308102"/>
      <w:bookmarkEnd w:id="309"/>
      <w:bookmarkStart w:id="310" w:name="_Toc184310294"/>
      <w:bookmarkEnd w:id="310"/>
      <w:bookmarkStart w:id="311" w:name="_Toc184308044"/>
      <w:bookmarkEnd w:id="311"/>
      <w:bookmarkStart w:id="312" w:name="_Toc184312126"/>
      <w:bookmarkEnd w:id="312"/>
      <w:bookmarkStart w:id="313" w:name="_Toc184310277"/>
      <w:bookmarkEnd w:id="313"/>
      <w:bookmarkStart w:id="314" w:name="_Toc184310274"/>
      <w:bookmarkEnd w:id="314"/>
      <w:bookmarkStart w:id="315" w:name="_Toc184310296"/>
      <w:bookmarkEnd w:id="315"/>
      <w:bookmarkStart w:id="316" w:name="_Toc184312078"/>
      <w:bookmarkEnd w:id="316"/>
      <w:bookmarkStart w:id="317" w:name="_Toc184313260"/>
      <w:bookmarkEnd w:id="317"/>
      <w:bookmarkStart w:id="318" w:name="_Toc184310278"/>
      <w:bookmarkEnd w:id="318"/>
      <w:bookmarkStart w:id="319" w:name="_Toc184310287"/>
      <w:bookmarkEnd w:id="319"/>
      <w:bookmarkStart w:id="320" w:name="_Toc184308067"/>
      <w:bookmarkEnd w:id="320"/>
      <w:bookmarkStart w:id="321" w:name="_Toc184314467"/>
      <w:bookmarkEnd w:id="321"/>
      <w:bookmarkStart w:id="322" w:name="_Toc184312120"/>
      <w:bookmarkEnd w:id="322"/>
      <w:bookmarkStart w:id="323" w:name="_Toc184312139"/>
      <w:bookmarkEnd w:id="323"/>
      <w:bookmarkStart w:id="324" w:name="_Toc184313272"/>
      <w:bookmarkEnd w:id="324"/>
      <w:bookmarkStart w:id="325" w:name="_Toc184313294"/>
      <w:bookmarkEnd w:id="325"/>
      <w:bookmarkStart w:id="326" w:name="_Toc184308084"/>
      <w:bookmarkEnd w:id="326"/>
      <w:bookmarkStart w:id="327" w:name="_Toc184312100"/>
      <w:bookmarkEnd w:id="327"/>
      <w:bookmarkStart w:id="328" w:name="_Toc184314479"/>
      <w:bookmarkEnd w:id="328"/>
      <w:bookmarkStart w:id="329" w:name="_Toc184314481"/>
      <w:bookmarkEnd w:id="329"/>
      <w:bookmarkStart w:id="330" w:name="_Toc184313257"/>
      <w:bookmarkEnd w:id="330"/>
      <w:bookmarkStart w:id="331" w:name="_Toc184314459"/>
      <w:bookmarkEnd w:id="331"/>
      <w:bookmarkStart w:id="332" w:name="_Toc184310303"/>
      <w:bookmarkEnd w:id="332"/>
      <w:bookmarkStart w:id="333" w:name="_Toc184308037"/>
      <w:bookmarkEnd w:id="333"/>
      <w:bookmarkStart w:id="334" w:name="_Toc184314442"/>
      <w:bookmarkEnd w:id="334"/>
      <w:bookmarkStart w:id="335" w:name="_Toc184308089"/>
      <w:bookmarkEnd w:id="335"/>
      <w:bookmarkStart w:id="336" w:name="_Toc184314425"/>
      <w:bookmarkEnd w:id="336"/>
      <w:bookmarkStart w:id="337" w:name="_Toc184310313"/>
      <w:bookmarkEnd w:id="337"/>
      <w:bookmarkStart w:id="338" w:name="_Toc184310308"/>
      <w:bookmarkEnd w:id="338"/>
      <w:bookmarkStart w:id="339" w:name="_Toc184312122"/>
      <w:bookmarkEnd w:id="339"/>
      <w:bookmarkStart w:id="340" w:name="_Toc184314416"/>
      <w:bookmarkEnd w:id="340"/>
      <w:bookmarkStart w:id="341" w:name="_Toc184308069"/>
      <w:bookmarkEnd w:id="341"/>
      <w:bookmarkStart w:id="342" w:name="_Toc184312071"/>
      <w:bookmarkEnd w:id="342"/>
      <w:bookmarkStart w:id="343" w:name="_Toc184308103"/>
      <w:bookmarkEnd w:id="343"/>
      <w:bookmarkStart w:id="344" w:name="_Toc184310331"/>
      <w:bookmarkEnd w:id="344"/>
      <w:bookmarkStart w:id="345" w:name="_Toc184313256"/>
      <w:bookmarkEnd w:id="345"/>
      <w:bookmarkStart w:id="346" w:name="_Toc184308077"/>
      <w:bookmarkEnd w:id="346"/>
      <w:bookmarkStart w:id="347" w:name="_Toc184314452"/>
      <w:bookmarkEnd w:id="347"/>
      <w:bookmarkStart w:id="348" w:name="_Toc184312118"/>
      <w:bookmarkEnd w:id="348"/>
      <w:bookmarkStart w:id="349" w:name="_Toc184313293"/>
      <w:bookmarkEnd w:id="349"/>
      <w:bookmarkStart w:id="350" w:name="_Toc184313280"/>
      <w:bookmarkEnd w:id="350"/>
      <w:bookmarkStart w:id="351" w:name="_Toc184310289"/>
      <w:bookmarkEnd w:id="351"/>
      <w:bookmarkStart w:id="352" w:name="_Toc184310309"/>
      <w:bookmarkEnd w:id="352"/>
      <w:bookmarkStart w:id="353" w:name="_Toc184314480"/>
      <w:bookmarkEnd w:id="353"/>
      <w:bookmarkStart w:id="354" w:name="_Toc184308057"/>
      <w:bookmarkEnd w:id="354"/>
      <w:bookmarkStart w:id="355" w:name="_Toc184308071"/>
      <w:bookmarkEnd w:id="355"/>
      <w:bookmarkStart w:id="356" w:name="_Toc184308091"/>
      <w:bookmarkEnd w:id="356"/>
      <w:bookmarkStart w:id="357" w:name="_Toc184312102"/>
      <w:bookmarkEnd w:id="357"/>
      <w:bookmarkStart w:id="358" w:name="_Toc184310336"/>
      <w:bookmarkEnd w:id="358"/>
      <w:bookmarkStart w:id="359" w:name="_Toc184310342"/>
      <w:bookmarkEnd w:id="359"/>
      <w:bookmarkStart w:id="360" w:name="_Toc184313298"/>
      <w:bookmarkEnd w:id="360"/>
      <w:bookmarkStart w:id="361" w:name="_Toc184314436"/>
      <w:bookmarkEnd w:id="361"/>
      <w:bookmarkStart w:id="362" w:name="_Toc184308083"/>
      <w:bookmarkEnd w:id="362"/>
      <w:bookmarkStart w:id="363" w:name="_Toc184314461"/>
      <w:bookmarkEnd w:id="363"/>
      <w:bookmarkStart w:id="364" w:name="_Toc184314451"/>
      <w:bookmarkEnd w:id="364"/>
      <w:bookmarkStart w:id="365" w:name="_Toc184310286"/>
      <w:bookmarkEnd w:id="365"/>
      <w:bookmarkStart w:id="366" w:name="_Toc184313283"/>
      <w:bookmarkEnd w:id="366"/>
      <w:bookmarkStart w:id="367" w:name="_Toc184313306"/>
      <w:bookmarkEnd w:id="367"/>
      <w:bookmarkStart w:id="368" w:name="_Toc184308094"/>
      <w:bookmarkEnd w:id="368"/>
      <w:bookmarkStart w:id="369" w:name="_Toc184312089"/>
      <w:bookmarkEnd w:id="369"/>
      <w:bookmarkStart w:id="370" w:name="_Toc184310312"/>
      <w:bookmarkEnd w:id="370"/>
      <w:bookmarkStart w:id="371" w:name="_Toc184313241"/>
      <w:bookmarkEnd w:id="371"/>
      <w:bookmarkStart w:id="372" w:name="_Toc184312130"/>
      <w:bookmarkEnd w:id="372"/>
      <w:bookmarkStart w:id="373" w:name="_Toc184313265"/>
      <w:bookmarkEnd w:id="373"/>
      <w:bookmarkStart w:id="374" w:name="_Toc184313242"/>
      <w:bookmarkEnd w:id="374"/>
      <w:bookmarkStart w:id="375" w:name="_Toc184308096"/>
      <w:bookmarkEnd w:id="375"/>
      <w:bookmarkStart w:id="376" w:name="_Toc184310316"/>
      <w:bookmarkEnd w:id="376"/>
      <w:bookmarkStart w:id="377" w:name="_Toc184312138"/>
      <w:bookmarkEnd w:id="377"/>
      <w:bookmarkStart w:id="378" w:name="_Toc184312128"/>
      <w:bookmarkEnd w:id="378"/>
      <w:bookmarkStart w:id="379" w:name="_Toc184313281"/>
      <w:bookmarkEnd w:id="379"/>
      <w:bookmarkStart w:id="380" w:name="_Toc184313288"/>
      <w:bookmarkEnd w:id="380"/>
      <w:bookmarkStart w:id="381" w:name="_Toc184314455"/>
      <w:bookmarkEnd w:id="381"/>
      <w:bookmarkStart w:id="382" w:name="_Toc184313297"/>
      <w:bookmarkEnd w:id="382"/>
      <w:bookmarkStart w:id="383" w:name="_Toc184314475"/>
      <w:bookmarkEnd w:id="383"/>
      <w:bookmarkStart w:id="384" w:name="_Toc184310272"/>
      <w:bookmarkEnd w:id="384"/>
      <w:bookmarkStart w:id="385" w:name="_Toc184314465"/>
      <w:bookmarkEnd w:id="385"/>
      <w:bookmarkStart w:id="386" w:name="_Toc184314473"/>
      <w:bookmarkEnd w:id="386"/>
      <w:bookmarkStart w:id="387" w:name="_Toc184312067"/>
      <w:bookmarkEnd w:id="387"/>
      <w:bookmarkStart w:id="388" w:name="_Toc184308076"/>
      <w:bookmarkEnd w:id="388"/>
      <w:bookmarkStart w:id="389" w:name="_Toc184310341"/>
      <w:bookmarkEnd w:id="389"/>
      <w:bookmarkStart w:id="390" w:name="_Toc184314434"/>
      <w:bookmarkEnd w:id="390"/>
      <w:bookmarkStart w:id="391" w:name="_Toc184310344"/>
      <w:bookmarkEnd w:id="391"/>
      <w:bookmarkStart w:id="392" w:name="_Toc184314463"/>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bidi w:val="0"/>
        <w:jc w:val="left"/>
        <w:rPr>
          <w:rFonts w:ascii="Times New Roman" w:hAnsi="Times New Roman" w:eastAsia="宋体" w:cs="Times New Roman"/>
          <w:color w:val="auto"/>
          <w:kern w:val="2"/>
          <w:sz w:val="21"/>
          <w:szCs w:val="24"/>
          <w:highlight w:val="none"/>
          <w:lang w:val="en-US" w:eastAsia="zh-CN" w:bidi="ar-SA"/>
        </w:rPr>
      </w:pPr>
    </w:p>
    <w:tbl>
      <w:tblPr>
        <w:tblStyle w:val="6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5146"/>
        <w:gridCol w:w="510"/>
        <w:gridCol w:w="7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146" w:type="dxa"/>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510" w:type="dxa"/>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793" w:type="dxa"/>
            <w:vAlign w:val="center"/>
          </w:tcPr>
          <w:p>
            <w:pPr>
              <w:snapToGrid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559" w:type="dxa"/>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146" w:type="dxa"/>
          </w:tcPr>
          <w:p>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针对本项目的服务理念、定位、目标：根据本项目服务特点提出合理的管理服务理念，提出服务定位、目标，投标人的管理模式能够切合实际，且安全可行</w:t>
            </w:r>
            <w:r>
              <w:rPr>
                <w:rFonts w:hint="eastAsia" w:ascii="宋体" w:hAnsi="宋体" w:eastAsia="宋体" w:cs="宋体"/>
                <w:color w:val="auto"/>
                <w:sz w:val="24"/>
                <w:szCs w:val="24"/>
                <w:highlight w:val="none"/>
              </w:rPr>
              <w:t>等进行评议（</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方案符合要求，内容完整、充实的得</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分；方案符合要求，内容完整，但有所欠缺的得</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分；方案符合要求，但内容不完整的得</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没有不得分</w:t>
            </w:r>
            <w:r>
              <w:rPr>
                <w:rFonts w:hint="eastAsia" w:ascii="宋体" w:hAnsi="宋体" w:eastAsia="宋体" w:cs="宋体"/>
                <w:b/>
                <w:bCs/>
                <w:color w:val="auto"/>
                <w:sz w:val="24"/>
                <w:szCs w:val="24"/>
                <w:highlight w:val="none"/>
              </w:rPr>
              <w:t>。</w:t>
            </w:r>
          </w:p>
        </w:tc>
        <w:tc>
          <w:tcPr>
            <w:tcW w:w="510" w:type="dxa"/>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93" w:type="dxa"/>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559" w:type="dxa"/>
            <w:vAlign w:val="center"/>
          </w:tcPr>
          <w:p>
            <w:pPr>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146" w:type="dxa"/>
          </w:tcPr>
          <w:p>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w:t>
            </w:r>
            <w:r>
              <w:rPr>
                <w:rFonts w:hint="eastAsia" w:ascii="宋体" w:hAnsi="宋体" w:eastAsia="宋体" w:cs="宋体"/>
                <w:color w:val="auto"/>
                <w:sz w:val="24"/>
                <w:szCs w:val="24"/>
                <w:highlight w:val="none"/>
              </w:rPr>
              <w:t>等进行评议（</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b/>
                <w:bCs/>
                <w:color w:val="auto"/>
                <w:kern w:val="0"/>
                <w:sz w:val="24"/>
                <w:szCs w:val="24"/>
                <w:highlight w:val="none"/>
                <w:lang w:val="en-US" w:eastAsia="zh-CN" w:bidi="ar-SA"/>
              </w:rPr>
              <w:t>组织架构、管理机制</w:t>
            </w:r>
            <w:r>
              <w:rPr>
                <w:rFonts w:hint="eastAsia" w:ascii="宋体" w:hAnsi="宋体" w:eastAsia="宋体" w:cs="宋体"/>
                <w:b/>
                <w:bCs/>
                <w:color w:val="auto"/>
                <w:sz w:val="24"/>
                <w:szCs w:val="24"/>
                <w:highlight w:val="none"/>
              </w:rPr>
              <w:t>符合要求，内容完整、充实的得</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r>
              <w:rPr>
                <w:rFonts w:hint="eastAsia" w:ascii="宋体" w:hAnsi="宋体" w:eastAsia="宋体" w:cs="宋体"/>
                <w:b/>
                <w:bCs/>
                <w:color w:val="auto"/>
                <w:kern w:val="0"/>
                <w:sz w:val="24"/>
                <w:szCs w:val="24"/>
                <w:highlight w:val="none"/>
                <w:lang w:val="en-US" w:eastAsia="zh-CN" w:bidi="ar-SA"/>
              </w:rPr>
              <w:t>组织架构、管理机制</w:t>
            </w:r>
            <w:r>
              <w:rPr>
                <w:rFonts w:hint="eastAsia" w:ascii="宋体" w:hAnsi="宋体" w:eastAsia="宋体" w:cs="宋体"/>
                <w:b/>
                <w:bCs/>
                <w:color w:val="auto"/>
                <w:sz w:val="24"/>
                <w:szCs w:val="24"/>
                <w:highlight w:val="none"/>
              </w:rPr>
              <w:t>符合要求，内容完整，但有所欠缺的得</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r>
              <w:rPr>
                <w:rFonts w:hint="eastAsia" w:ascii="宋体" w:hAnsi="宋体" w:eastAsia="宋体" w:cs="宋体"/>
                <w:b/>
                <w:bCs/>
                <w:color w:val="auto"/>
                <w:kern w:val="0"/>
                <w:sz w:val="24"/>
                <w:szCs w:val="24"/>
                <w:highlight w:val="none"/>
                <w:lang w:val="en-US" w:eastAsia="zh-CN" w:bidi="ar-SA"/>
              </w:rPr>
              <w:t>组织架构、管理机制</w:t>
            </w:r>
            <w:r>
              <w:rPr>
                <w:rFonts w:hint="eastAsia" w:ascii="宋体" w:hAnsi="宋体" w:eastAsia="宋体" w:cs="宋体"/>
                <w:b/>
                <w:bCs/>
                <w:color w:val="auto"/>
                <w:sz w:val="24"/>
                <w:szCs w:val="24"/>
                <w:highlight w:val="none"/>
              </w:rPr>
              <w:t>不完整，内容不完整的得</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没有不得分</w:t>
            </w:r>
            <w:r>
              <w:rPr>
                <w:rFonts w:hint="eastAsia" w:ascii="宋体" w:hAnsi="宋体" w:eastAsia="宋体" w:cs="宋体"/>
                <w:b/>
                <w:bCs/>
                <w:color w:val="auto"/>
                <w:sz w:val="24"/>
                <w:szCs w:val="24"/>
                <w:highlight w:val="none"/>
              </w:rPr>
              <w:t>。</w:t>
            </w:r>
          </w:p>
        </w:tc>
        <w:tc>
          <w:tcPr>
            <w:tcW w:w="510" w:type="dxa"/>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93" w:type="dxa"/>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559" w:type="dxa"/>
            <w:vAlign w:val="center"/>
          </w:tcPr>
          <w:p>
            <w:pPr>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146" w:type="dxa"/>
          </w:tcPr>
          <w:p>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针对本项目的管理机构设置：根据机构设置情况的完善程度等内容</w:t>
            </w:r>
            <w:r>
              <w:rPr>
                <w:rFonts w:hint="eastAsia" w:ascii="宋体" w:hAnsi="宋体" w:eastAsia="宋体" w:cs="宋体"/>
                <w:color w:val="auto"/>
                <w:sz w:val="24"/>
                <w:szCs w:val="24"/>
                <w:highlight w:val="none"/>
              </w:rPr>
              <w:t>进行评议（</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
                <w:bCs/>
                <w:color w:val="auto"/>
                <w:kern w:val="0"/>
                <w:sz w:val="24"/>
                <w:szCs w:val="24"/>
                <w:highlight w:val="none"/>
                <w:lang w:val="en-US" w:eastAsia="zh-CN" w:bidi="ar-SA"/>
              </w:rPr>
              <w:t>机构设置情况</w:t>
            </w:r>
            <w:r>
              <w:rPr>
                <w:rFonts w:hint="eastAsia" w:ascii="宋体" w:hAnsi="宋体" w:eastAsia="宋体" w:cs="宋体"/>
                <w:b/>
                <w:bCs/>
                <w:color w:val="auto"/>
                <w:sz w:val="24"/>
                <w:szCs w:val="24"/>
                <w:highlight w:val="none"/>
              </w:rPr>
              <w:t>符合要求，内容完整的得</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r>
              <w:rPr>
                <w:rFonts w:hint="eastAsia" w:ascii="宋体" w:hAnsi="宋体" w:eastAsia="宋体" w:cs="宋体"/>
                <w:b/>
                <w:bCs/>
                <w:color w:val="auto"/>
                <w:kern w:val="0"/>
                <w:sz w:val="24"/>
                <w:szCs w:val="24"/>
                <w:highlight w:val="none"/>
                <w:lang w:val="en-US" w:eastAsia="zh-CN" w:bidi="ar-SA"/>
              </w:rPr>
              <w:t>机构设置情况</w:t>
            </w:r>
            <w:r>
              <w:rPr>
                <w:rFonts w:hint="eastAsia" w:ascii="宋体" w:hAnsi="宋体" w:eastAsia="宋体" w:cs="宋体"/>
                <w:b/>
                <w:bCs/>
                <w:color w:val="auto"/>
                <w:sz w:val="24"/>
                <w:szCs w:val="24"/>
                <w:highlight w:val="none"/>
              </w:rPr>
              <w:t>符合要求，内容有所欠缺的得</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w:t>
            </w:r>
            <w:r>
              <w:rPr>
                <w:rFonts w:hint="eastAsia" w:ascii="宋体" w:hAnsi="宋体" w:eastAsia="宋体" w:cs="宋体"/>
                <w:b/>
                <w:bCs/>
                <w:color w:val="auto"/>
                <w:kern w:val="0"/>
                <w:sz w:val="24"/>
                <w:szCs w:val="24"/>
                <w:highlight w:val="none"/>
                <w:lang w:val="en-US" w:eastAsia="zh-CN" w:bidi="ar-SA"/>
              </w:rPr>
              <w:t>机构设置</w:t>
            </w:r>
            <w:r>
              <w:rPr>
                <w:rFonts w:hint="eastAsia" w:ascii="宋体" w:hAnsi="宋体" w:eastAsia="宋体" w:cs="宋体"/>
                <w:b/>
                <w:bCs/>
                <w:color w:val="auto"/>
                <w:sz w:val="24"/>
                <w:szCs w:val="24"/>
                <w:highlight w:val="none"/>
              </w:rPr>
              <w:t>有所欠缺，内容不完整的得</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没有不得分</w:t>
            </w:r>
            <w:r>
              <w:rPr>
                <w:rFonts w:hint="eastAsia" w:ascii="宋体" w:hAnsi="宋体" w:eastAsia="宋体" w:cs="宋体"/>
                <w:b/>
                <w:bCs/>
                <w:color w:val="auto"/>
                <w:sz w:val="24"/>
                <w:szCs w:val="24"/>
                <w:highlight w:val="none"/>
              </w:rPr>
              <w:t>。</w:t>
            </w:r>
          </w:p>
        </w:tc>
        <w:tc>
          <w:tcPr>
            <w:tcW w:w="510" w:type="dxa"/>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93" w:type="dxa"/>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559" w:type="dxa"/>
            <w:vAlign w:val="center"/>
          </w:tcPr>
          <w:p>
            <w:pPr>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146" w:type="dxa"/>
            <w:vAlign w:val="center"/>
          </w:tcPr>
          <w:p>
            <w:pPr>
              <w:spacing w:line="24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项目组人员情况：</w:t>
            </w:r>
          </w:p>
          <w:p>
            <w:pPr>
              <w:spacing w:line="24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一、项目总负责人：</w:t>
            </w:r>
          </w:p>
          <w:p>
            <w:pPr>
              <w:spacing w:line="24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1）具有本科及以上文化程度的得2分，大专以下文化程度的得0.5分，没有不得分；（0-2分）</w:t>
            </w:r>
          </w:p>
          <w:p>
            <w:pPr>
              <w:spacing w:line="24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2）具有国家职业资格保安员壹级证书的得3分，具有国家职业资格保安员贰级证书的得1分，具有国家职业资格保安员叁级及以下证书的得0.5分，没有不得分；（0-3分）</w:t>
            </w:r>
          </w:p>
          <w:p>
            <w:pPr>
              <w:spacing w:line="24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3）具有国家职业资格企业人力资源管理师壹级证书的得3分，具有国家职业资格企业人力资源管理师贰级的得1分，具有国家职业资格企业人力资源管理师叁级及以下证书的得0.5分，没有不得分；（0-3分）</w:t>
            </w:r>
          </w:p>
          <w:p>
            <w:pPr>
              <w:spacing w:line="24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4）自2019年1月1日以来（时间以证明材料落款时间为准）具有市级及以上部门颁发的个人荣誉证书</w:t>
            </w:r>
            <w:r>
              <w:rPr>
                <w:rFonts w:hint="eastAsia" w:ascii="宋体" w:hAnsi="宋体" w:cs="宋体"/>
                <w:color w:val="auto"/>
                <w:kern w:val="0"/>
                <w:sz w:val="24"/>
                <w:szCs w:val="24"/>
                <w:highlight w:val="none"/>
                <w:lang w:val="en-US" w:eastAsia="zh-CN" w:bidi="ar-SA"/>
              </w:rPr>
              <w:t>每个</w:t>
            </w:r>
            <w:r>
              <w:rPr>
                <w:rFonts w:hint="eastAsia" w:ascii="宋体" w:hAnsi="宋体" w:eastAsia="宋体" w:cs="宋体"/>
                <w:color w:val="auto"/>
                <w:kern w:val="0"/>
                <w:sz w:val="24"/>
                <w:szCs w:val="24"/>
                <w:highlight w:val="none"/>
                <w:lang w:val="en-US" w:eastAsia="zh-CN" w:bidi="ar-SA"/>
              </w:rPr>
              <w:t>得1分，区级部门颁发的个人荣誉证书</w:t>
            </w:r>
            <w:r>
              <w:rPr>
                <w:rFonts w:hint="eastAsia" w:ascii="宋体" w:hAnsi="宋体" w:cs="宋体"/>
                <w:color w:val="auto"/>
                <w:kern w:val="0"/>
                <w:sz w:val="24"/>
                <w:szCs w:val="24"/>
                <w:highlight w:val="none"/>
                <w:lang w:val="en-US" w:eastAsia="zh-CN" w:bidi="ar-SA"/>
              </w:rPr>
              <w:t>每个</w:t>
            </w:r>
            <w:r>
              <w:rPr>
                <w:rFonts w:hint="eastAsia" w:ascii="宋体" w:hAnsi="宋体" w:eastAsia="宋体" w:cs="宋体"/>
                <w:color w:val="auto"/>
                <w:kern w:val="0"/>
                <w:sz w:val="24"/>
                <w:szCs w:val="24"/>
                <w:highlight w:val="none"/>
                <w:lang w:val="en-US" w:eastAsia="zh-CN" w:bidi="ar-SA"/>
              </w:rPr>
              <w:t>得0</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5分，</w:t>
            </w:r>
            <w:r>
              <w:rPr>
                <w:rFonts w:hint="eastAsia" w:ascii="宋体" w:hAnsi="宋体" w:cs="宋体"/>
                <w:color w:val="auto"/>
                <w:kern w:val="0"/>
                <w:sz w:val="24"/>
                <w:szCs w:val="24"/>
                <w:highlight w:val="none"/>
                <w:lang w:val="en-US" w:eastAsia="zh-CN" w:bidi="ar-SA"/>
              </w:rPr>
              <w:t>最多得2分,</w:t>
            </w:r>
            <w:r>
              <w:rPr>
                <w:rFonts w:hint="eastAsia" w:ascii="宋体" w:hAnsi="宋体" w:eastAsia="宋体" w:cs="宋体"/>
                <w:color w:val="auto"/>
                <w:kern w:val="0"/>
                <w:sz w:val="24"/>
                <w:szCs w:val="24"/>
                <w:highlight w:val="none"/>
                <w:lang w:val="en-US" w:eastAsia="zh-CN" w:bidi="ar-SA"/>
              </w:rPr>
              <w:t>没有不得分；</w:t>
            </w:r>
          </w:p>
          <w:p>
            <w:pPr>
              <w:spacing w:line="24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SA"/>
              </w:rPr>
              <w:t>投标文件中同时提证书扫描件加盖投标人公章及近</w:t>
            </w:r>
            <w:r>
              <w:rPr>
                <w:rFonts w:hint="eastAsia" w:ascii="宋体" w:hAnsi="宋体" w:cs="宋体"/>
                <w:b/>
                <w:bCs/>
                <w:color w:val="auto"/>
                <w:kern w:val="0"/>
                <w:sz w:val="24"/>
                <w:szCs w:val="24"/>
                <w:highlight w:val="none"/>
                <w:lang w:val="en-US" w:eastAsia="zh-CN" w:bidi="ar-SA"/>
              </w:rPr>
              <w:t>一个月</w:t>
            </w:r>
            <w:r>
              <w:rPr>
                <w:rFonts w:hint="eastAsia" w:ascii="宋体" w:hAnsi="宋体" w:eastAsia="宋体" w:cs="宋体"/>
                <w:b/>
                <w:bCs/>
                <w:color w:val="auto"/>
                <w:kern w:val="0"/>
                <w:sz w:val="24"/>
                <w:szCs w:val="24"/>
                <w:highlight w:val="none"/>
                <w:lang w:val="en-US" w:eastAsia="zh-CN" w:bidi="ar-SA"/>
              </w:rPr>
              <w:t>有效社保证明扫描件加盖投标人公章；（0-10分）</w:t>
            </w:r>
          </w:p>
        </w:tc>
        <w:tc>
          <w:tcPr>
            <w:tcW w:w="510" w:type="dxa"/>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93" w:type="dxa"/>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559" w:type="dxa"/>
            <w:vAlign w:val="center"/>
          </w:tcPr>
          <w:p>
            <w:pPr>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889" w:type="dxa"/>
            <w:vMerge w:val="continue"/>
            <w:vAlign w:val="center"/>
          </w:tcPr>
          <w:p>
            <w:pPr>
              <w:snapToGrid w:val="0"/>
              <w:spacing w:line="240" w:lineRule="auto"/>
              <w:jc w:val="center"/>
              <w:rPr>
                <w:rFonts w:hint="eastAsia" w:ascii="宋体" w:hAnsi="宋体" w:eastAsia="宋体" w:cs="宋体"/>
                <w:color w:val="auto"/>
                <w:sz w:val="24"/>
                <w:szCs w:val="24"/>
                <w:highlight w:val="none"/>
              </w:rPr>
            </w:pPr>
          </w:p>
        </w:tc>
        <w:tc>
          <w:tcPr>
            <w:tcW w:w="5146" w:type="dxa"/>
            <w:vAlign w:val="center"/>
          </w:tcPr>
          <w:p>
            <w:pPr>
              <w:spacing w:line="240" w:lineRule="auto"/>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w:t>
            </w:r>
            <w:r>
              <w:rPr>
                <w:rFonts w:hint="eastAsia" w:ascii="宋体" w:hAnsi="宋体" w:cs="宋体"/>
                <w:color w:val="auto"/>
                <w:kern w:val="0"/>
                <w:sz w:val="24"/>
                <w:szCs w:val="24"/>
                <w:highlight w:val="none"/>
                <w:lang w:val="en-US" w:eastAsia="zh-CN" w:bidi="ar-SA"/>
              </w:rPr>
              <w:t>管理</w:t>
            </w:r>
            <w:r>
              <w:rPr>
                <w:rFonts w:hint="eastAsia" w:ascii="宋体" w:hAnsi="宋体" w:eastAsia="宋体" w:cs="宋体"/>
                <w:color w:val="auto"/>
                <w:kern w:val="0"/>
                <w:sz w:val="24"/>
                <w:szCs w:val="24"/>
                <w:highlight w:val="none"/>
                <w:lang w:val="en-US" w:eastAsia="zh-CN" w:bidi="ar-SA"/>
              </w:rPr>
              <w:t>人员配置情况：</w:t>
            </w:r>
            <w:r>
              <w:rPr>
                <w:rFonts w:hint="eastAsia" w:ascii="宋体" w:hAnsi="宋体" w:cs="宋体"/>
                <w:color w:val="auto"/>
                <w:kern w:val="0"/>
                <w:sz w:val="24"/>
                <w:szCs w:val="24"/>
                <w:highlight w:val="none"/>
                <w:lang w:val="en-US" w:eastAsia="zh-CN" w:bidi="ar-SA"/>
              </w:rPr>
              <w:t>(除项目总负责人以外)</w:t>
            </w:r>
          </w:p>
          <w:p>
            <w:pPr>
              <w:spacing w:line="24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管理</w:t>
            </w:r>
            <w:r>
              <w:rPr>
                <w:rFonts w:hint="eastAsia" w:ascii="宋体" w:hAnsi="宋体" w:eastAsia="宋体" w:cs="宋体"/>
                <w:color w:val="auto"/>
                <w:kern w:val="0"/>
                <w:sz w:val="24"/>
                <w:szCs w:val="24"/>
                <w:highlight w:val="none"/>
                <w:lang w:val="en-US" w:eastAsia="zh-CN" w:bidi="ar-SA"/>
              </w:rPr>
              <w:t>人员中具有国家职业资格保安员贰级</w:t>
            </w:r>
            <w:r>
              <w:rPr>
                <w:rFonts w:hint="eastAsia" w:ascii="宋体" w:hAnsi="宋体" w:cs="宋体"/>
                <w:color w:val="auto"/>
                <w:kern w:val="0"/>
                <w:sz w:val="24"/>
                <w:szCs w:val="24"/>
                <w:highlight w:val="none"/>
                <w:lang w:val="en-US" w:eastAsia="zh-CN" w:bidi="ar-SA"/>
              </w:rPr>
              <w:t>及</w:t>
            </w:r>
            <w:r>
              <w:rPr>
                <w:rFonts w:hint="eastAsia" w:ascii="宋体" w:hAnsi="宋体" w:eastAsia="宋体" w:cs="宋体"/>
                <w:color w:val="auto"/>
                <w:kern w:val="0"/>
                <w:sz w:val="24"/>
                <w:szCs w:val="24"/>
                <w:highlight w:val="none"/>
                <w:lang w:val="en-US" w:eastAsia="zh-CN" w:bidi="ar-SA"/>
              </w:rPr>
              <w:t>以上证书的，每有2人得1分，最多得4分；</w:t>
            </w:r>
            <w:r>
              <w:rPr>
                <w:rFonts w:hint="eastAsia" w:ascii="宋体" w:hAnsi="宋体" w:eastAsia="宋体" w:cs="宋体"/>
                <w:b/>
                <w:bCs/>
                <w:color w:val="auto"/>
                <w:kern w:val="0"/>
                <w:sz w:val="24"/>
                <w:szCs w:val="24"/>
                <w:highlight w:val="none"/>
                <w:lang w:val="en-US" w:eastAsia="zh-CN" w:bidi="ar-SA"/>
              </w:rPr>
              <w:t>投标文件中同时提供证书扫描件加盖投标人公章及近</w:t>
            </w:r>
            <w:r>
              <w:rPr>
                <w:rFonts w:hint="eastAsia" w:ascii="宋体" w:hAnsi="宋体" w:cs="宋体"/>
                <w:b/>
                <w:bCs/>
                <w:color w:val="auto"/>
                <w:kern w:val="0"/>
                <w:sz w:val="24"/>
                <w:szCs w:val="24"/>
                <w:highlight w:val="none"/>
                <w:lang w:val="en-US" w:eastAsia="zh-CN" w:bidi="ar-SA"/>
              </w:rPr>
              <w:t>一个月</w:t>
            </w:r>
            <w:r>
              <w:rPr>
                <w:rFonts w:hint="eastAsia" w:ascii="宋体" w:hAnsi="宋体" w:eastAsia="宋体" w:cs="宋体"/>
                <w:b/>
                <w:bCs/>
                <w:color w:val="auto"/>
                <w:kern w:val="0"/>
                <w:sz w:val="24"/>
                <w:szCs w:val="24"/>
                <w:highlight w:val="none"/>
                <w:lang w:val="en-US" w:eastAsia="zh-CN" w:bidi="ar-SA"/>
              </w:rPr>
              <w:t>有效社保缴纳证明扫描件加盖投标人公章；（0-4分）</w:t>
            </w:r>
          </w:p>
        </w:tc>
        <w:tc>
          <w:tcPr>
            <w:tcW w:w="510" w:type="dxa"/>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93" w:type="dxa"/>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559" w:type="dxa"/>
            <w:vAlign w:val="center"/>
          </w:tcPr>
          <w:p>
            <w:pPr>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snapToGrid w:val="0"/>
              <w:spacing w:line="240" w:lineRule="auto"/>
              <w:jc w:val="center"/>
              <w:rPr>
                <w:rFonts w:hint="eastAsia" w:ascii="宋体" w:hAnsi="宋体" w:eastAsia="宋体" w:cs="宋体"/>
                <w:color w:val="auto"/>
                <w:sz w:val="24"/>
                <w:szCs w:val="24"/>
                <w:highlight w:val="none"/>
              </w:rPr>
            </w:pPr>
          </w:p>
        </w:tc>
        <w:tc>
          <w:tcPr>
            <w:tcW w:w="5146" w:type="dxa"/>
            <w:vAlign w:val="center"/>
          </w:tcPr>
          <w:p>
            <w:pPr>
              <w:spacing w:line="24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三</w:t>
            </w:r>
            <w:r>
              <w:rPr>
                <w:rFonts w:hint="eastAsia" w:ascii="宋体" w:hAnsi="宋体" w:eastAsia="宋体" w:cs="宋体"/>
                <w:color w:val="auto"/>
                <w:kern w:val="0"/>
                <w:sz w:val="24"/>
                <w:szCs w:val="24"/>
                <w:highlight w:val="none"/>
                <w:lang w:val="en-US" w:eastAsia="zh-CN" w:bidi="ar-SA"/>
              </w:rPr>
              <w:t>、拟投入</w:t>
            </w:r>
            <w:r>
              <w:rPr>
                <w:rFonts w:hint="eastAsia" w:ascii="宋体" w:hAnsi="宋体" w:cs="宋体"/>
                <w:color w:val="auto"/>
                <w:kern w:val="0"/>
                <w:sz w:val="24"/>
                <w:szCs w:val="24"/>
                <w:highlight w:val="none"/>
                <w:lang w:val="en-US" w:eastAsia="zh-CN" w:bidi="ar-SA"/>
              </w:rPr>
              <w:t>人</w:t>
            </w:r>
            <w:r>
              <w:rPr>
                <w:rFonts w:hint="eastAsia" w:ascii="宋体" w:hAnsi="宋体" w:eastAsia="宋体" w:cs="宋体"/>
                <w:color w:val="auto"/>
                <w:kern w:val="0"/>
                <w:sz w:val="24"/>
                <w:szCs w:val="24"/>
                <w:highlight w:val="none"/>
                <w:lang w:val="en-US" w:eastAsia="zh-CN" w:bidi="ar-SA"/>
              </w:rPr>
              <w:t>员配置情况：</w:t>
            </w:r>
            <w:r>
              <w:rPr>
                <w:rFonts w:hint="eastAsia" w:ascii="宋体" w:hAnsi="宋体" w:cs="宋体"/>
                <w:color w:val="auto"/>
                <w:kern w:val="0"/>
                <w:sz w:val="24"/>
                <w:szCs w:val="24"/>
                <w:highlight w:val="none"/>
                <w:lang w:val="en-US" w:eastAsia="zh-CN" w:bidi="ar-SA"/>
              </w:rPr>
              <w:t>(除项目总负责人及管理人员以外):</w:t>
            </w:r>
            <w:r>
              <w:rPr>
                <w:rFonts w:hint="eastAsia" w:ascii="宋体" w:hAnsi="宋体" w:eastAsia="宋体" w:cs="宋体"/>
                <w:color w:val="auto"/>
                <w:kern w:val="0"/>
                <w:sz w:val="24"/>
                <w:szCs w:val="24"/>
                <w:highlight w:val="none"/>
                <w:lang w:val="en-US" w:eastAsia="zh-CN" w:bidi="ar-SA"/>
              </w:rPr>
              <w:t>拟投入人员要求35周岁及以下具有保安员证的满足20人（含20人）得基本分5分，每增加一人加0.5分，最多加6分</w:t>
            </w:r>
            <w:r>
              <w:rPr>
                <w:rFonts w:hint="eastAsia" w:ascii="宋体" w:hAnsi="宋体" w:cs="宋体"/>
                <w:color w:val="auto"/>
                <w:kern w:val="0"/>
                <w:sz w:val="24"/>
                <w:szCs w:val="24"/>
                <w:highlight w:val="none"/>
                <w:lang w:val="en-US" w:eastAsia="zh-CN" w:bidi="ar-SA"/>
              </w:rPr>
              <w:t>。上述人员中</w:t>
            </w:r>
            <w:r>
              <w:rPr>
                <w:rFonts w:hint="eastAsia" w:ascii="宋体" w:hAnsi="宋体" w:eastAsia="宋体" w:cs="宋体"/>
                <w:color w:val="auto"/>
                <w:kern w:val="0"/>
                <w:sz w:val="24"/>
                <w:szCs w:val="24"/>
                <w:highlight w:val="none"/>
                <w:lang w:val="en-US" w:eastAsia="zh-CN" w:bidi="ar-SA"/>
              </w:rPr>
              <w:t>具有警官转业证书或军官转业证书或退伍证书的每人加0.5分，最多加4分</w:t>
            </w:r>
            <w:r>
              <w:rPr>
                <w:rFonts w:hint="eastAsia" w:ascii="宋体" w:hAnsi="宋体" w:cs="宋体"/>
                <w:color w:val="auto"/>
                <w:kern w:val="0"/>
                <w:sz w:val="24"/>
                <w:szCs w:val="24"/>
                <w:highlight w:val="none"/>
                <w:lang w:val="en-US" w:eastAsia="zh-CN" w:bidi="ar-SA"/>
              </w:rPr>
              <w:t>。本项满分15分。</w:t>
            </w:r>
            <w:r>
              <w:rPr>
                <w:rFonts w:hint="eastAsia" w:ascii="宋体" w:hAnsi="宋体" w:eastAsia="宋体" w:cs="宋体"/>
                <w:b/>
                <w:bCs/>
                <w:color w:val="auto"/>
                <w:kern w:val="0"/>
                <w:sz w:val="24"/>
                <w:szCs w:val="24"/>
                <w:highlight w:val="none"/>
                <w:lang w:val="en-US" w:eastAsia="zh-CN" w:bidi="ar-SA"/>
              </w:rPr>
              <w:t>投标文件中同时提供证书扫描件加盖投标人公章及近</w:t>
            </w:r>
            <w:r>
              <w:rPr>
                <w:rFonts w:hint="eastAsia" w:ascii="宋体" w:hAnsi="宋体" w:cs="宋体"/>
                <w:b/>
                <w:bCs/>
                <w:color w:val="auto"/>
                <w:kern w:val="0"/>
                <w:sz w:val="24"/>
                <w:szCs w:val="24"/>
                <w:highlight w:val="none"/>
                <w:lang w:val="en-US" w:eastAsia="zh-CN" w:bidi="ar-SA"/>
              </w:rPr>
              <w:t>一个月</w:t>
            </w:r>
            <w:r>
              <w:rPr>
                <w:rFonts w:hint="eastAsia" w:ascii="宋体" w:hAnsi="宋体" w:eastAsia="宋体" w:cs="宋体"/>
                <w:b/>
                <w:bCs/>
                <w:color w:val="auto"/>
                <w:kern w:val="0"/>
                <w:sz w:val="24"/>
                <w:szCs w:val="24"/>
                <w:highlight w:val="none"/>
                <w:lang w:val="en-US" w:eastAsia="zh-CN" w:bidi="ar-SA"/>
              </w:rPr>
              <w:t>有效社保缴纳证明扫描件加盖投标人公章；（0-15分）</w:t>
            </w:r>
          </w:p>
        </w:tc>
        <w:tc>
          <w:tcPr>
            <w:tcW w:w="510" w:type="dxa"/>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793" w:type="dxa"/>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559" w:type="dxa"/>
            <w:vAlign w:val="center"/>
          </w:tcPr>
          <w:p>
            <w:pPr>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146" w:type="dxa"/>
          </w:tcPr>
          <w:p>
            <w:pPr>
              <w:spacing w:before="0" w:beforeAutospacing="0" w:after="0" w:afterAutospacing="0" w:line="240" w:lineRule="auto"/>
              <w:ind w:left="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管理组织实施方案：</w:t>
            </w:r>
          </w:p>
          <w:p>
            <w:pPr>
              <w:numPr>
                <w:ilvl w:val="0"/>
                <w:numId w:val="1"/>
              </w:numPr>
              <w:spacing w:before="0" w:beforeAutospacing="0" w:after="0" w:afterAutospacing="0" w:line="24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val="en-US" w:eastAsia="zh-CN" w:bidi="ar-SA"/>
              </w:rPr>
              <w:t>员工招聘标准、员工培训计划等内容</w:t>
            </w:r>
            <w:r>
              <w:rPr>
                <w:rFonts w:hint="eastAsia" w:ascii="宋体" w:hAnsi="宋体" w:eastAsia="宋体" w:cs="宋体"/>
                <w:color w:val="auto"/>
                <w:sz w:val="24"/>
                <w:szCs w:val="24"/>
                <w:highlight w:val="none"/>
              </w:rPr>
              <w:t>进行评议（</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
                <w:bCs/>
                <w:color w:val="auto"/>
                <w:kern w:val="0"/>
                <w:sz w:val="24"/>
                <w:szCs w:val="24"/>
                <w:highlight w:val="none"/>
                <w:lang w:val="en-US" w:eastAsia="zh-CN" w:bidi="ar-SA"/>
              </w:rPr>
              <w:t>招</w:t>
            </w:r>
            <w:r>
              <w:rPr>
                <w:rFonts w:hint="eastAsia" w:ascii="宋体" w:hAnsi="宋体" w:eastAsia="宋体" w:cs="宋体"/>
                <w:b/>
                <w:bCs/>
                <w:color w:val="auto"/>
                <w:sz w:val="24"/>
                <w:szCs w:val="24"/>
                <w:highlight w:val="none"/>
                <w:lang w:val="en-US" w:eastAsia="zh-CN"/>
              </w:rPr>
              <w:t>聘标准、员工培训计划</w:t>
            </w:r>
            <w:r>
              <w:rPr>
                <w:rFonts w:hint="eastAsia" w:ascii="宋体" w:hAnsi="宋体" w:eastAsia="宋体" w:cs="宋体"/>
                <w:b/>
                <w:bCs/>
                <w:color w:val="auto"/>
                <w:kern w:val="0"/>
                <w:sz w:val="24"/>
                <w:szCs w:val="24"/>
                <w:highlight w:val="none"/>
                <w:lang w:val="en-US" w:eastAsia="zh-CN" w:bidi="ar-SA"/>
              </w:rPr>
              <w:t>情况</w:t>
            </w:r>
            <w:r>
              <w:rPr>
                <w:rFonts w:hint="eastAsia" w:ascii="宋体" w:hAnsi="宋体" w:eastAsia="宋体" w:cs="宋体"/>
                <w:b/>
                <w:bCs/>
                <w:color w:val="auto"/>
                <w:sz w:val="24"/>
                <w:szCs w:val="24"/>
                <w:highlight w:val="none"/>
              </w:rPr>
              <w:t>符合要求，内容完整的得</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r>
              <w:rPr>
                <w:rFonts w:hint="eastAsia" w:ascii="宋体" w:hAnsi="宋体" w:eastAsia="宋体" w:cs="宋体"/>
                <w:b/>
                <w:bCs/>
                <w:color w:val="auto"/>
                <w:kern w:val="0"/>
                <w:sz w:val="24"/>
                <w:szCs w:val="24"/>
                <w:highlight w:val="none"/>
                <w:lang w:val="en-US" w:eastAsia="zh-CN" w:bidi="ar-SA"/>
              </w:rPr>
              <w:t>招聘标准、员工培训计划情况</w:t>
            </w:r>
            <w:r>
              <w:rPr>
                <w:rFonts w:hint="eastAsia" w:ascii="宋体" w:hAnsi="宋体" w:eastAsia="宋体" w:cs="宋体"/>
                <w:b/>
                <w:bCs/>
                <w:color w:val="auto"/>
                <w:sz w:val="24"/>
                <w:szCs w:val="24"/>
                <w:highlight w:val="none"/>
              </w:rPr>
              <w:t>符合要求，内容有所欠缺的得</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kern w:val="0"/>
                <w:sz w:val="24"/>
                <w:szCs w:val="24"/>
                <w:highlight w:val="none"/>
                <w:lang w:val="en-US" w:eastAsia="zh-CN" w:bidi="ar-SA"/>
              </w:rPr>
              <w:t>招聘标准、员工培训计划情况</w:t>
            </w:r>
            <w:r>
              <w:rPr>
                <w:rFonts w:hint="eastAsia" w:ascii="宋体" w:hAnsi="宋体" w:cs="宋体"/>
                <w:b/>
                <w:bCs/>
                <w:color w:val="auto"/>
                <w:sz w:val="24"/>
                <w:szCs w:val="24"/>
                <w:highlight w:val="none"/>
                <w:lang w:val="en-US" w:eastAsia="zh-CN"/>
              </w:rPr>
              <w:t>不完整的</w:t>
            </w:r>
            <w:r>
              <w:rPr>
                <w:rFonts w:hint="eastAsia" w:ascii="宋体" w:hAnsi="宋体" w:eastAsia="宋体" w:cs="宋体"/>
                <w:b/>
                <w:bCs/>
                <w:color w:val="auto"/>
                <w:sz w:val="24"/>
                <w:szCs w:val="24"/>
                <w:highlight w:val="none"/>
              </w:rPr>
              <w:t>得</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没有不得分</w:t>
            </w:r>
            <w:r>
              <w:rPr>
                <w:rFonts w:hint="eastAsia" w:ascii="宋体" w:hAnsi="宋体" w:eastAsia="宋体" w:cs="宋体"/>
                <w:b/>
                <w:bCs/>
                <w:color w:val="auto"/>
                <w:sz w:val="24"/>
                <w:szCs w:val="24"/>
                <w:highlight w:val="none"/>
              </w:rPr>
              <w:t>；</w:t>
            </w:r>
          </w:p>
          <w:p>
            <w:pPr>
              <w:numPr>
                <w:ilvl w:val="0"/>
                <w:numId w:val="1"/>
              </w:numPr>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管理的制度、规范和标准等内容</w:t>
            </w:r>
            <w:r>
              <w:rPr>
                <w:rFonts w:hint="eastAsia" w:ascii="宋体" w:hAnsi="宋体" w:eastAsia="宋体" w:cs="宋体"/>
                <w:color w:val="auto"/>
                <w:sz w:val="24"/>
                <w:szCs w:val="24"/>
                <w:highlight w:val="none"/>
              </w:rPr>
              <w:t>等进行评议（</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lang w:val="en-US" w:eastAsia="zh-CN"/>
              </w:rPr>
              <w:t>管理制度、规范和标准</w:t>
            </w:r>
            <w:r>
              <w:rPr>
                <w:rFonts w:hint="eastAsia" w:ascii="宋体" w:hAnsi="宋体" w:eastAsia="宋体" w:cs="宋体"/>
                <w:b/>
                <w:bCs/>
                <w:color w:val="auto"/>
                <w:kern w:val="0"/>
                <w:sz w:val="24"/>
                <w:szCs w:val="24"/>
                <w:highlight w:val="none"/>
                <w:lang w:val="en-US" w:eastAsia="zh-CN" w:bidi="ar-SA"/>
              </w:rPr>
              <w:t>情况</w:t>
            </w:r>
            <w:r>
              <w:rPr>
                <w:rFonts w:hint="eastAsia" w:ascii="宋体" w:hAnsi="宋体" w:eastAsia="宋体" w:cs="宋体"/>
                <w:b/>
                <w:bCs/>
                <w:color w:val="auto"/>
                <w:sz w:val="24"/>
                <w:szCs w:val="24"/>
                <w:highlight w:val="none"/>
              </w:rPr>
              <w:t>符合要求，内容完整的得</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r>
              <w:rPr>
                <w:rFonts w:hint="eastAsia" w:ascii="宋体" w:hAnsi="宋体" w:eastAsia="宋体" w:cs="宋体"/>
                <w:b/>
                <w:bCs/>
                <w:color w:val="auto"/>
                <w:kern w:val="0"/>
                <w:sz w:val="24"/>
                <w:szCs w:val="24"/>
                <w:highlight w:val="none"/>
                <w:lang w:val="en-US" w:eastAsia="zh-CN" w:bidi="ar-SA"/>
              </w:rPr>
              <w:t>管理制度、规范和标准情况</w:t>
            </w:r>
            <w:r>
              <w:rPr>
                <w:rFonts w:hint="eastAsia" w:ascii="宋体" w:hAnsi="宋体" w:eastAsia="宋体" w:cs="宋体"/>
                <w:b/>
                <w:bCs/>
                <w:color w:val="auto"/>
                <w:sz w:val="24"/>
                <w:szCs w:val="24"/>
                <w:highlight w:val="none"/>
              </w:rPr>
              <w:t>符合要求，内容有所欠缺的得</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kern w:val="0"/>
                <w:sz w:val="24"/>
                <w:szCs w:val="24"/>
                <w:highlight w:val="none"/>
                <w:lang w:val="en-US" w:eastAsia="zh-CN" w:bidi="ar-SA"/>
              </w:rPr>
              <w:t>管理制度、规范和标准情况</w:t>
            </w:r>
            <w:r>
              <w:rPr>
                <w:rFonts w:hint="eastAsia" w:ascii="宋体" w:hAnsi="宋体" w:eastAsia="宋体" w:cs="宋体"/>
                <w:b/>
                <w:bCs/>
                <w:color w:val="auto"/>
                <w:sz w:val="24"/>
                <w:szCs w:val="24"/>
                <w:highlight w:val="none"/>
              </w:rPr>
              <w:t>符合要求，内容</w:t>
            </w:r>
            <w:r>
              <w:rPr>
                <w:rFonts w:hint="eastAsia" w:ascii="宋体" w:hAnsi="宋体" w:cs="宋体"/>
                <w:b/>
                <w:bCs/>
                <w:color w:val="auto"/>
                <w:sz w:val="24"/>
                <w:szCs w:val="24"/>
                <w:highlight w:val="none"/>
                <w:lang w:val="en-US" w:eastAsia="zh-CN"/>
              </w:rPr>
              <w:t>不完整</w:t>
            </w:r>
            <w:r>
              <w:rPr>
                <w:rFonts w:hint="eastAsia" w:ascii="宋体" w:hAnsi="宋体" w:eastAsia="宋体" w:cs="宋体"/>
                <w:b/>
                <w:bCs/>
                <w:color w:val="auto"/>
                <w:sz w:val="24"/>
                <w:szCs w:val="24"/>
                <w:highlight w:val="none"/>
              </w:rPr>
              <w:t>的得</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没有不得分</w:t>
            </w:r>
            <w:r>
              <w:rPr>
                <w:rFonts w:hint="eastAsia" w:ascii="宋体" w:hAnsi="宋体" w:eastAsia="宋体" w:cs="宋体"/>
                <w:b/>
                <w:bCs/>
                <w:color w:val="auto"/>
                <w:sz w:val="24"/>
                <w:szCs w:val="24"/>
                <w:highlight w:val="none"/>
              </w:rPr>
              <w:t>；</w:t>
            </w:r>
          </w:p>
          <w:p>
            <w:pPr>
              <w:numPr>
                <w:ilvl w:val="0"/>
                <w:numId w:val="1"/>
              </w:numPr>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门岗、巡逻管理服务等具体实施方案内容</w:t>
            </w:r>
            <w:r>
              <w:rPr>
                <w:rFonts w:hint="eastAsia" w:ascii="宋体" w:hAnsi="宋体" w:eastAsia="宋体" w:cs="宋体"/>
                <w:color w:val="auto"/>
                <w:sz w:val="24"/>
                <w:szCs w:val="24"/>
                <w:highlight w:val="none"/>
              </w:rPr>
              <w:t>等进行评议（</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
                <w:bCs/>
                <w:color w:val="auto"/>
                <w:kern w:val="0"/>
                <w:sz w:val="24"/>
                <w:szCs w:val="24"/>
                <w:highlight w:val="none"/>
                <w:lang w:val="en-US" w:eastAsia="zh-CN" w:bidi="ar-SA"/>
              </w:rPr>
              <w:t>门岗、巡逻施方案情况</w:t>
            </w:r>
            <w:r>
              <w:rPr>
                <w:rFonts w:hint="eastAsia" w:ascii="宋体" w:hAnsi="宋体" w:eastAsia="宋体" w:cs="宋体"/>
                <w:b/>
                <w:bCs/>
                <w:color w:val="auto"/>
                <w:sz w:val="24"/>
                <w:szCs w:val="24"/>
                <w:highlight w:val="none"/>
              </w:rPr>
              <w:t>符合要求，内容完整的得</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r>
              <w:rPr>
                <w:rFonts w:hint="eastAsia" w:ascii="宋体" w:hAnsi="宋体" w:eastAsia="宋体" w:cs="宋体"/>
                <w:b/>
                <w:bCs/>
                <w:color w:val="auto"/>
                <w:kern w:val="0"/>
                <w:sz w:val="24"/>
                <w:szCs w:val="24"/>
                <w:highlight w:val="none"/>
                <w:lang w:val="en-US" w:eastAsia="zh-CN" w:bidi="ar-SA"/>
              </w:rPr>
              <w:t>门岗、巡逻施方案情况</w:t>
            </w:r>
            <w:r>
              <w:rPr>
                <w:rFonts w:hint="eastAsia" w:ascii="宋体" w:hAnsi="宋体" w:eastAsia="宋体" w:cs="宋体"/>
                <w:b/>
                <w:bCs/>
                <w:color w:val="auto"/>
                <w:sz w:val="24"/>
                <w:szCs w:val="24"/>
                <w:highlight w:val="none"/>
              </w:rPr>
              <w:t>符合要求，内容有所欠缺的得</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kern w:val="0"/>
                <w:sz w:val="24"/>
                <w:szCs w:val="24"/>
                <w:highlight w:val="none"/>
                <w:lang w:val="en-US" w:eastAsia="zh-CN" w:bidi="ar-SA"/>
              </w:rPr>
              <w:t>门岗、巡逻施方案情况</w:t>
            </w:r>
            <w:r>
              <w:rPr>
                <w:rFonts w:hint="eastAsia" w:ascii="宋体" w:hAnsi="宋体" w:eastAsia="宋体" w:cs="宋体"/>
                <w:b/>
                <w:bCs/>
                <w:color w:val="auto"/>
                <w:sz w:val="24"/>
                <w:szCs w:val="24"/>
                <w:highlight w:val="none"/>
              </w:rPr>
              <w:t>符合要求，内容</w:t>
            </w:r>
            <w:r>
              <w:rPr>
                <w:rFonts w:hint="eastAsia" w:ascii="宋体" w:hAnsi="宋体" w:cs="宋体"/>
                <w:b/>
                <w:bCs/>
                <w:color w:val="auto"/>
                <w:sz w:val="24"/>
                <w:szCs w:val="24"/>
                <w:highlight w:val="none"/>
                <w:lang w:val="en-US" w:eastAsia="zh-CN"/>
              </w:rPr>
              <w:t>不完整</w:t>
            </w:r>
            <w:r>
              <w:rPr>
                <w:rFonts w:hint="eastAsia" w:ascii="宋体" w:hAnsi="宋体" w:eastAsia="宋体" w:cs="宋体"/>
                <w:b/>
                <w:bCs/>
                <w:color w:val="auto"/>
                <w:sz w:val="24"/>
                <w:szCs w:val="24"/>
                <w:highlight w:val="none"/>
              </w:rPr>
              <w:t>的得</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没有不得分</w:t>
            </w:r>
            <w:r>
              <w:rPr>
                <w:rFonts w:hint="eastAsia" w:ascii="宋体" w:hAnsi="宋体" w:eastAsia="宋体" w:cs="宋体"/>
                <w:b/>
                <w:bCs/>
                <w:color w:val="auto"/>
                <w:sz w:val="24"/>
                <w:szCs w:val="24"/>
                <w:highlight w:val="none"/>
              </w:rPr>
              <w:t>；</w:t>
            </w:r>
          </w:p>
          <w:p>
            <w:pPr>
              <w:snapToGrid w:val="0"/>
              <w:spacing w:line="240" w:lineRule="auto"/>
              <w:jc w:val="left"/>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稳定员工队伍的措施等内容</w:t>
            </w:r>
            <w:r>
              <w:rPr>
                <w:rFonts w:hint="eastAsia" w:ascii="宋体" w:hAnsi="宋体" w:eastAsia="宋体" w:cs="宋体"/>
                <w:color w:val="auto"/>
                <w:sz w:val="24"/>
                <w:szCs w:val="24"/>
                <w:highlight w:val="none"/>
              </w:rPr>
              <w:t>等进行评议（</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lang w:val="en-US" w:eastAsia="zh-CN"/>
              </w:rPr>
              <w:t>稳定员工队伍措施</w:t>
            </w:r>
            <w:r>
              <w:rPr>
                <w:rFonts w:hint="eastAsia" w:ascii="宋体" w:hAnsi="宋体" w:eastAsia="宋体" w:cs="宋体"/>
                <w:b/>
                <w:bCs/>
                <w:color w:val="auto"/>
                <w:kern w:val="0"/>
                <w:sz w:val="24"/>
                <w:szCs w:val="24"/>
                <w:highlight w:val="none"/>
                <w:lang w:val="en-US" w:eastAsia="zh-CN" w:bidi="ar-SA"/>
              </w:rPr>
              <w:t>方案情况</w:t>
            </w:r>
            <w:r>
              <w:rPr>
                <w:rFonts w:hint="eastAsia" w:ascii="宋体" w:hAnsi="宋体" w:eastAsia="宋体" w:cs="宋体"/>
                <w:b/>
                <w:bCs/>
                <w:color w:val="auto"/>
                <w:sz w:val="24"/>
                <w:szCs w:val="24"/>
                <w:highlight w:val="none"/>
              </w:rPr>
              <w:t>符合要求，内容完整的得</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val="en-US" w:eastAsia="zh-CN"/>
              </w:rPr>
              <w:t>稳定员工队伍措施</w:t>
            </w:r>
            <w:r>
              <w:rPr>
                <w:rFonts w:hint="eastAsia" w:ascii="宋体" w:hAnsi="宋体" w:eastAsia="宋体" w:cs="宋体"/>
                <w:b/>
                <w:bCs/>
                <w:color w:val="auto"/>
                <w:kern w:val="0"/>
                <w:sz w:val="24"/>
                <w:szCs w:val="24"/>
                <w:highlight w:val="none"/>
                <w:lang w:val="en-US" w:eastAsia="zh-CN" w:bidi="ar-SA"/>
              </w:rPr>
              <w:t>方案情况</w:t>
            </w:r>
            <w:r>
              <w:rPr>
                <w:rFonts w:hint="eastAsia" w:ascii="宋体" w:hAnsi="宋体" w:eastAsia="宋体" w:cs="宋体"/>
                <w:b/>
                <w:bCs/>
                <w:color w:val="auto"/>
                <w:sz w:val="24"/>
                <w:szCs w:val="24"/>
                <w:highlight w:val="none"/>
              </w:rPr>
              <w:t>符合要求，内容有所欠缺的得</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稳定员工队伍措施</w:t>
            </w:r>
            <w:r>
              <w:rPr>
                <w:rFonts w:hint="eastAsia" w:ascii="宋体" w:hAnsi="宋体" w:eastAsia="宋体" w:cs="宋体"/>
                <w:b/>
                <w:bCs/>
                <w:color w:val="auto"/>
                <w:kern w:val="0"/>
                <w:sz w:val="24"/>
                <w:szCs w:val="24"/>
                <w:highlight w:val="none"/>
                <w:lang w:val="en-US" w:eastAsia="zh-CN" w:bidi="ar-SA"/>
              </w:rPr>
              <w:t>方案情况</w:t>
            </w:r>
            <w:r>
              <w:rPr>
                <w:rFonts w:hint="eastAsia" w:ascii="宋体" w:hAnsi="宋体" w:eastAsia="宋体" w:cs="宋体"/>
                <w:b/>
                <w:bCs/>
                <w:color w:val="auto"/>
                <w:sz w:val="24"/>
                <w:szCs w:val="24"/>
                <w:highlight w:val="none"/>
              </w:rPr>
              <w:t>符合要求，内容</w:t>
            </w:r>
            <w:r>
              <w:rPr>
                <w:rFonts w:hint="eastAsia" w:ascii="宋体" w:hAnsi="宋体" w:cs="宋体"/>
                <w:b/>
                <w:bCs/>
                <w:color w:val="auto"/>
                <w:sz w:val="24"/>
                <w:szCs w:val="24"/>
                <w:highlight w:val="none"/>
                <w:lang w:val="en-US" w:eastAsia="zh-CN"/>
              </w:rPr>
              <w:t>不完整</w:t>
            </w:r>
            <w:r>
              <w:rPr>
                <w:rFonts w:hint="eastAsia" w:ascii="宋体" w:hAnsi="宋体" w:eastAsia="宋体" w:cs="宋体"/>
                <w:b/>
                <w:bCs/>
                <w:color w:val="auto"/>
                <w:sz w:val="24"/>
                <w:szCs w:val="24"/>
                <w:highlight w:val="none"/>
              </w:rPr>
              <w:t>的得</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没有不得分</w:t>
            </w:r>
            <w:r>
              <w:rPr>
                <w:rFonts w:hint="eastAsia" w:ascii="宋体" w:hAnsi="宋体" w:eastAsia="宋体" w:cs="宋体"/>
                <w:b/>
                <w:bCs/>
                <w:color w:val="auto"/>
                <w:sz w:val="24"/>
                <w:szCs w:val="24"/>
                <w:highlight w:val="none"/>
              </w:rPr>
              <w:t>；</w:t>
            </w:r>
          </w:p>
        </w:tc>
        <w:tc>
          <w:tcPr>
            <w:tcW w:w="510" w:type="dxa"/>
            <w:vAlign w:val="center"/>
          </w:tcPr>
          <w:p>
            <w:pPr>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793" w:type="dxa"/>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559" w:type="dxa"/>
            <w:vAlign w:val="center"/>
          </w:tcPr>
          <w:p>
            <w:pPr>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146" w:type="dxa"/>
          </w:tcPr>
          <w:p>
            <w:p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应急预案：提供处理突发事件的应急预案</w:t>
            </w:r>
            <w:r>
              <w:rPr>
                <w:rFonts w:hint="eastAsia" w:ascii="宋体" w:hAnsi="宋体" w:eastAsia="宋体" w:cs="宋体"/>
                <w:color w:val="auto"/>
                <w:sz w:val="24"/>
                <w:szCs w:val="24"/>
                <w:highlight w:val="none"/>
              </w:rPr>
              <w:t>进行评议（</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b/>
                <w:bCs/>
                <w:color w:val="auto"/>
                <w:kern w:val="0"/>
                <w:sz w:val="24"/>
                <w:szCs w:val="24"/>
                <w:highlight w:val="none"/>
                <w:lang w:val="en-US" w:eastAsia="zh-CN" w:bidi="ar-SA"/>
              </w:rPr>
              <w:t>应急预案</w:t>
            </w:r>
            <w:r>
              <w:rPr>
                <w:rFonts w:hint="eastAsia" w:ascii="宋体" w:hAnsi="宋体" w:eastAsia="宋体" w:cs="宋体"/>
                <w:b/>
                <w:bCs/>
                <w:color w:val="auto"/>
                <w:sz w:val="24"/>
                <w:szCs w:val="24"/>
                <w:highlight w:val="none"/>
              </w:rPr>
              <w:t>符合要求，内容完整、充实的得</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r>
              <w:rPr>
                <w:rFonts w:hint="eastAsia" w:ascii="宋体" w:hAnsi="宋体" w:eastAsia="宋体" w:cs="宋体"/>
                <w:b/>
                <w:bCs/>
                <w:color w:val="auto"/>
                <w:kern w:val="0"/>
                <w:sz w:val="24"/>
                <w:szCs w:val="24"/>
                <w:highlight w:val="none"/>
                <w:lang w:val="en-US" w:eastAsia="zh-CN" w:bidi="ar-SA"/>
              </w:rPr>
              <w:t>应急预案</w:t>
            </w:r>
            <w:r>
              <w:rPr>
                <w:rFonts w:hint="eastAsia" w:ascii="宋体" w:hAnsi="宋体" w:eastAsia="宋体" w:cs="宋体"/>
                <w:b/>
                <w:bCs/>
                <w:color w:val="auto"/>
                <w:sz w:val="24"/>
                <w:szCs w:val="24"/>
                <w:highlight w:val="none"/>
              </w:rPr>
              <w:t>符合要求，内容完整，但有所欠缺的得</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r>
              <w:rPr>
                <w:rFonts w:hint="eastAsia" w:ascii="宋体" w:hAnsi="宋体" w:eastAsia="宋体" w:cs="宋体"/>
                <w:b/>
                <w:bCs/>
                <w:color w:val="auto"/>
                <w:kern w:val="0"/>
                <w:sz w:val="24"/>
                <w:szCs w:val="24"/>
                <w:highlight w:val="none"/>
                <w:lang w:val="en-US" w:eastAsia="zh-CN" w:bidi="ar-SA"/>
              </w:rPr>
              <w:t>应急预案</w:t>
            </w:r>
            <w:r>
              <w:rPr>
                <w:rFonts w:hint="eastAsia" w:ascii="宋体" w:hAnsi="宋体" w:eastAsia="宋体" w:cs="宋体"/>
                <w:b/>
                <w:bCs/>
                <w:color w:val="auto"/>
                <w:sz w:val="24"/>
                <w:szCs w:val="24"/>
                <w:highlight w:val="none"/>
              </w:rPr>
              <w:t>符合要求，但内容不完整的得</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没有不得分</w:t>
            </w:r>
            <w:r>
              <w:rPr>
                <w:rFonts w:hint="eastAsia" w:ascii="宋体" w:hAnsi="宋体" w:eastAsia="宋体" w:cs="宋体"/>
                <w:b/>
                <w:bCs/>
                <w:color w:val="auto"/>
                <w:sz w:val="24"/>
                <w:szCs w:val="24"/>
                <w:highlight w:val="none"/>
              </w:rPr>
              <w:t>。</w:t>
            </w:r>
          </w:p>
        </w:tc>
        <w:tc>
          <w:tcPr>
            <w:tcW w:w="510" w:type="dxa"/>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93" w:type="dxa"/>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559" w:type="dxa"/>
            <w:vAlign w:val="center"/>
          </w:tcPr>
          <w:p>
            <w:pPr>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146" w:type="dxa"/>
          </w:tcPr>
          <w:p>
            <w:p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针对本项目的合理化、优化建议：投标人针对本项目提出合理化、优化建议</w:t>
            </w:r>
            <w:r>
              <w:rPr>
                <w:rFonts w:hint="eastAsia" w:ascii="宋体" w:hAnsi="宋体" w:eastAsia="宋体" w:cs="宋体"/>
                <w:color w:val="auto"/>
                <w:sz w:val="24"/>
                <w:szCs w:val="24"/>
                <w:highlight w:val="none"/>
              </w:rPr>
              <w:t>进行评议（</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b/>
                <w:bCs/>
                <w:color w:val="auto"/>
                <w:kern w:val="0"/>
                <w:sz w:val="24"/>
                <w:szCs w:val="24"/>
                <w:highlight w:val="none"/>
                <w:lang w:val="en-US" w:eastAsia="zh-CN" w:bidi="ar-SA"/>
              </w:rPr>
              <w:t>合理化、优化建议</w:t>
            </w:r>
            <w:r>
              <w:rPr>
                <w:rFonts w:hint="eastAsia" w:ascii="宋体" w:hAnsi="宋体" w:eastAsia="宋体" w:cs="宋体"/>
                <w:b/>
                <w:bCs/>
                <w:color w:val="auto"/>
                <w:sz w:val="24"/>
                <w:szCs w:val="24"/>
                <w:highlight w:val="none"/>
              </w:rPr>
              <w:t>符合要求，内容完整、充实的得</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r>
              <w:rPr>
                <w:rFonts w:hint="eastAsia" w:ascii="宋体" w:hAnsi="宋体" w:eastAsia="宋体" w:cs="宋体"/>
                <w:b/>
                <w:bCs/>
                <w:color w:val="auto"/>
                <w:kern w:val="0"/>
                <w:sz w:val="24"/>
                <w:szCs w:val="24"/>
                <w:highlight w:val="none"/>
                <w:lang w:val="en-US" w:eastAsia="zh-CN" w:bidi="ar-SA"/>
              </w:rPr>
              <w:t>合理化、优化建议</w:t>
            </w:r>
            <w:r>
              <w:rPr>
                <w:rFonts w:hint="eastAsia" w:ascii="宋体" w:hAnsi="宋体" w:eastAsia="宋体" w:cs="宋体"/>
                <w:b/>
                <w:bCs/>
                <w:color w:val="auto"/>
                <w:sz w:val="24"/>
                <w:szCs w:val="24"/>
                <w:highlight w:val="none"/>
              </w:rPr>
              <w:t>符合要求，内容完整，但有所欠缺的得</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r>
              <w:rPr>
                <w:rFonts w:hint="eastAsia" w:ascii="宋体" w:hAnsi="宋体" w:eastAsia="宋体" w:cs="宋体"/>
                <w:b/>
                <w:bCs/>
                <w:color w:val="auto"/>
                <w:kern w:val="0"/>
                <w:sz w:val="24"/>
                <w:szCs w:val="24"/>
                <w:highlight w:val="none"/>
                <w:lang w:val="en-US" w:eastAsia="zh-CN" w:bidi="ar-SA"/>
              </w:rPr>
              <w:t>合理化、优化建议</w:t>
            </w:r>
            <w:r>
              <w:rPr>
                <w:rFonts w:hint="eastAsia" w:ascii="宋体" w:hAnsi="宋体" w:eastAsia="宋体" w:cs="宋体"/>
                <w:b/>
                <w:bCs/>
                <w:color w:val="auto"/>
                <w:sz w:val="24"/>
                <w:szCs w:val="24"/>
                <w:highlight w:val="none"/>
              </w:rPr>
              <w:t>符合要求，但内容不完整的得</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没有不得分</w:t>
            </w:r>
            <w:r>
              <w:rPr>
                <w:rFonts w:hint="eastAsia" w:ascii="宋体" w:hAnsi="宋体" w:eastAsia="宋体" w:cs="宋体"/>
                <w:b/>
                <w:bCs/>
                <w:color w:val="auto"/>
                <w:sz w:val="24"/>
                <w:szCs w:val="24"/>
                <w:highlight w:val="none"/>
              </w:rPr>
              <w:t>。</w:t>
            </w:r>
          </w:p>
        </w:tc>
        <w:tc>
          <w:tcPr>
            <w:tcW w:w="510" w:type="dxa"/>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93" w:type="dxa"/>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559" w:type="dxa"/>
            <w:vAlign w:val="center"/>
          </w:tcPr>
          <w:p>
            <w:pPr>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5146" w:type="dxa"/>
          </w:tcPr>
          <w:p>
            <w:p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服务承诺：包括服务内容及标准承诺、创建工作承诺等</w:t>
            </w:r>
            <w:r>
              <w:rPr>
                <w:rFonts w:hint="eastAsia" w:ascii="宋体" w:hAnsi="宋体" w:eastAsia="宋体" w:cs="宋体"/>
                <w:color w:val="auto"/>
                <w:sz w:val="24"/>
                <w:szCs w:val="24"/>
                <w:highlight w:val="none"/>
              </w:rPr>
              <w:t>进行评议（</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b/>
                <w:bCs/>
                <w:color w:val="auto"/>
                <w:kern w:val="0"/>
                <w:sz w:val="24"/>
                <w:szCs w:val="24"/>
                <w:highlight w:val="none"/>
                <w:lang w:val="en-US" w:eastAsia="zh-CN" w:bidi="ar-SA"/>
              </w:rPr>
              <w:t>服务内容及标准承诺、创建工作承诺</w:t>
            </w:r>
            <w:r>
              <w:rPr>
                <w:rFonts w:hint="eastAsia" w:ascii="宋体" w:hAnsi="宋体" w:eastAsia="宋体" w:cs="宋体"/>
                <w:b/>
                <w:bCs/>
                <w:color w:val="auto"/>
                <w:sz w:val="24"/>
                <w:szCs w:val="24"/>
                <w:highlight w:val="none"/>
              </w:rPr>
              <w:t>符合要求，内容完整、充实的得</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r>
              <w:rPr>
                <w:rFonts w:hint="eastAsia" w:ascii="宋体" w:hAnsi="宋体" w:eastAsia="宋体" w:cs="宋体"/>
                <w:b/>
                <w:bCs/>
                <w:color w:val="auto"/>
                <w:kern w:val="0"/>
                <w:sz w:val="24"/>
                <w:szCs w:val="24"/>
                <w:highlight w:val="none"/>
                <w:lang w:val="en-US" w:eastAsia="zh-CN" w:bidi="ar-SA"/>
              </w:rPr>
              <w:t>服务内容及标准承诺、创建工作承诺</w:t>
            </w:r>
            <w:r>
              <w:rPr>
                <w:rFonts w:hint="eastAsia" w:ascii="宋体" w:hAnsi="宋体" w:eastAsia="宋体" w:cs="宋体"/>
                <w:b/>
                <w:bCs/>
                <w:color w:val="auto"/>
                <w:sz w:val="24"/>
                <w:szCs w:val="24"/>
                <w:highlight w:val="none"/>
              </w:rPr>
              <w:t>符合要求，内容完整，但有所欠缺的得</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r>
              <w:rPr>
                <w:rFonts w:hint="eastAsia" w:ascii="宋体" w:hAnsi="宋体" w:eastAsia="宋体" w:cs="宋体"/>
                <w:b/>
                <w:bCs/>
                <w:color w:val="auto"/>
                <w:kern w:val="0"/>
                <w:sz w:val="24"/>
                <w:szCs w:val="24"/>
                <w:highlight w:val="none"/>
                <w:lang w:val="en-US" w:eastAsia="zh-CN" w:bidi="ar-SA"/>
              </w:rPr>
              <w:t>服务内容及标准承诺、创建工作承诺</w:t>
            </w:r>
            <w:r>
              <w:rPr>
                <w:rFonts w:hint="eastAsia" w:ascii="宋体" w:hAnsi="宋体" w:eastAsia="宋体" w:cs="宋体"/>
                <w:b/>
                <w:bCs/>
                <w:color w:val="auto"/>
                <w:sz w:val="24"/>
                <w:szCs w:val="24"/>
                <w:highlight w:val="none"/>
              </w:rPr>
              <w:t>符合要求，但内容不完整的得</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没有不得分</w:t>
            </w:r>
            <w:r>
              <w:rPr>
                <w:rFonts w:hint="eastAsia" w:ascii="宋体" w:hAnsi="宋体" w:eastAsia="宋体" w:cs="宋体"/>
                <w:b/>
                <w:bCs/>
                <w:color w:val="auto"/>
                <w:sz w:val="24"/>
                <w:szCs w:val="24"/>
                <w:highlight w:val="none"/>
              </w:rPr>
              <w:t>。</w:t>
            </w:r>
          </w:p>
        </w:tc>
        <w:tc>
          <w:tcPr>
            <w:tcW w:w="510" w:type="dxa"/>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93" w:type="dxa"/>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559" w:type="dxa"/>
            <w:vAlign w:val="center"/>
          </w:tcPr>
          <w:p>
            <w:pPr>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5146" w:type="dxa"/>
            <w:vAlign w:val="top"/>
          </w:tcPr>
          <w:p>
            <w:pPr>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投标人具有应急服务支持能力：</w:t>
            </w:r>
          </w:p>
          <w:p>
            <w:pPr>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（1）在特殊安保需要时，能迅速派出周边驻点足够数量的有经验的增援人员，</w:t>
            </w:r>
            <w:r>
              <w:rPr>
                <w:rFonts w:hint="eastAsia" w:ascii="宋体" w:hAnsi="宋体" w:eastAsia="宋体" w:cs="宋体"/>
                <w:b/>
                <w:bCs/>
                <w:color w:val="auto"/>
                <w:kern w:val="0"/>
                <w:sz w:val="24"/>
                <w:szCs w:val="24"/>
                <w:highlight w:val="none"/>
                <w:lang w:val="en-US" w:eastAsia="zh-CN" w:bidi="ar-SA"/>
              </w:rPr>
              <w:t>提供承诺书（格式自拟）</w:t>
            </w:r>
            <w:r>
              <w:rPr>
                <w:rFonts w:hint="eastAsia" w:ascii="宋体" w:hAnsi="宋体" w:cs="宋体"/>
                <w:b/>
                <w:bCs/>
                <w:color w:val="auto"/>
                <w:kern w:val="0"/>
                <w:sz w:val="24"/>
                <w:szCs w:val="24"/>
                <w:highlight w:val="none"/>
                <w:lang w:val="en-US" w:eastAsia="zh-CN" w:bidi="ar-SA"/>
              </w:rPr>
              <w:t>的得2分,</w:t>
            </w:r>
            <w:r>
              <w:rPr>
                <w:rFonts w:hint="eastAsia" w:ascii="宋体" w:hAnsi="宋体" w:eastAsia="宋体" w:cs="宋体"/>
                <w:b/>
                <w:bCs/>
                <w:color w:val="auto"/>
                <w:kern w:val="0"/>
                <w:sz w:val="24"/>
                <w:szCs w:val="24"/>
                <w:highlight w:val="none"/>
                <w:lang w:val="en-US" w:eastAsia="zh-CN" w:bidi="ar-SA"/>
              </w:rPr>
              <w:t>没有不得分。</w:t>
            </w:r>
            <w:r>
              <w:rPr>
                <w:rFonts w:hint="eastAsia" w:ascii="宋体" w:hAnsi="宋体" w:eastAsia="宋体" w:cs="宋体"/>
                <w:color w:val="auto"/>
                <w:kern w:val="0"/>
                <w:sz w:val="24"/>
                <w:szCs w:val="24"/>
                <w:highlight w:val="none"/>
                <w:lang w:val="en-US" w:eastAsia="zh-CN" w:bidi="ar-SA"/>
              </w:rPr>
              <w:t>（0-2分）</w:t>
            </w:r>
          </w:p>
          <w:p>
            <w:pPr>
              <w:snapToGrid w:val="0"/>
              <w:spacing w:line="24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cs="宋体"/>
                <w:color w:val="auto"/>
                <w:kern w:val="0"/>
                <w:sz w:val="24"/>
                <w:szCs w:val="24"/>
                <w:highlight w:val="none"/>
                <w:lang w:val="en-US" w:eastAsia="zh-CN" w:bidi="ar-SA"/>
              </w:rPr>
              <w:t>投标人承诺根据招标人要求提供</w:t>
            </w:r>
            <w:r>
              <w:rPr>
                <w:rFonts w:hint="eastAsia" w:ascii="宋体" w:hAnsi="宋体" w:eastAsia="宋体" w:cs="宋体"/>
                <w:color w:val="auto"/>
                <w:kern w:val="0"/>
                <w:sz w:val="24"/>
                <w:szCs w:val="24"/>
                <w:highlight w:val="none"/>
                <w:lang w:val="en-US" w:eastAsia="zh-CN" w:bidi="ar-SA"/>
              </w:rPr>
              <w:t>自有应急专用机动车辆</w:t>
            </w:r>
            <w:r>
              <w:rPr>
                <w:rFonts w:hint="eastAsia" w:ascii="宋体" w:hAnsi="宋体" w:cs="宋体"/>
                <w:color w:val="auto"/>
                <w:kern w:val="0"/>
                <w:sz w:val="24"/>
                <w:szCs w:val="24"/>
                <w:highlight w:val="none"/>
                <w:lang w:val="en-US" w:eastAsia="zh-CN" w:bidi="ar-SA"/>
              </w:rPr>
              <w:t>用于应急</w:t>
            </w:r>
            <w:r>
              <w:rPr>
                <w:rFonts w:hint="eastAsia" w:ascii="宋体" w:hAnsi="宋体" w:eastAsia="宋体" w:cs="宋体"/>
                <w:color w:val="auto"/>
                <w:kern w:val="0"/>
                <w:sz w:val="24"/>
                <w:szCs w:val="24"/>
                <w:highlight w:val="none"/>
                <w:lang w:val="en-US" w:eastAsia="zh-CN" w:bidi="ar-SA"/>
              </w:rPr>
              <w:t>运输。</w:t>
            </w:r>
            <w:r>
              <w:rPr>
                <w:rFonts w:hint="eastAsia" w:ascii="宋体" w:hAnsi="宋体" w:eastAsia="宋体" w:cs="宋体"/>
                <w:b/>
                <w:bCs/>
                <w:color w:val="auto"/>
                <w:kern w:val="0"/>
                <w:sz w:val="24"/>
                <w:szCs w:val="24"/>
                <w:highlight w:val="none"/>
                <w:lang w:val="en-US" w:eastAsia="zh-CN" w:bidi="ar-SA"/>
              </w:rPr>
              <w:t>提供承诺书（格式自拟）</w:t>
            </w:r>
            <w:r>
              <w:rPr>
                <w:rFonts w:hint="eastAsia" w:ascii="宋体" w:hAnsi="宋体" w:cs="宋体"/>
                <w:b/>
                <w:bCs/>
                <w:color w:val="auto"/>
                <w:kern w:val="0"/>
                <w:sz w:val="24"/>
                <w:szCs w:val="24"/>
                <w:highlight w:val="none"/>
                <w:lang w:val="en-US" w:eastAsia="zh-CN" w:bidi="ar-SA"/>
              </w:rPr>
              <w:t>的得2分,</w:t>
            </w:r>
            <w:r>
              <w:rPr>
                <w:rFonts w:hint="eastAsia" w:ascii="宋体" w:hAnsi="宋体" w:eastAsia="宋体" w:cs="宋体"/>
                <w:b/>
                <w:bCs/>
                <w:color w:val="auto"/>
                <w:kern w:val="0"/>
                <w:sz w:val="24"/>
                <w:szCs w:val="24"/>
                <w:highlight w:val="none"/>
                <w:lang w:val="en-US" w:eastAsia="zh-CN" w:bidi="ar-SA"/>
              </w:rPr>
              <w:t>没有不得分。</w:t>
            </w:r>
            <w:r>
              <w:rPr>
                <w:rFonts w:hint="eastAsia" w:ascii="宋体" w:hAnsi="宋体" w:eastAsia="宋体" w:cs="宋体"/>
                <w:color w:val="auto"/>
                <w:kern w:val="0"/>
                <w:sz w:val="24"/>
                <w:szCs w:val="24"/>
                <w:highlight w:val="none"/>
                <w:lang w:val="en-US" w:eastAsia="zh-CN" w:bidi="ar-SA"/>
              </w:rPr>
              <w:t>（0-2分）</w:t>
            </w:r>
          </w:p>
        </w:tc>
        <w:tc>
          <w:tcPr>
            <w:tcW w:w="510" w:type="dxa"/>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793" w:type="dxa"/>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客</w:t>
            </w:r>
            <w:r>
              <w:rPr>
                <w:rFonts w:hint="eastAsia" w:ascii="宋体" w:hAnsi="宋体" w:eastAsia="宋体" w:cs="宋体"/>
                <w:bCs/>
                <w:color w:val="auto"/>
                <w:sz w:val="24"/>
                <w:szCs w:val="24"/>
                <w:highlight w:val="none"/>
              </w:rPr>
              <w:t>观分</w:t>
            </w:r>
          </w:p>
        </w:tc>
        <w:tc>
          <w:tcPr>
            <w:tcW w:w="1559" w:type="dxa"/>
            <w:vAlign w:val="center"/>
          </w:tcPr>
          <w:p>
            <w:pPr>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146" w:type="dxa"/>
            <w:vAlign w:val="top"/>
          </w:tcPr>
          <w:p>
            <w:pPr>
              <w:snapToGrid w:val="0"/>
              <w:spacing w:line="24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企业证书：</w:t>
            </w:r>
          </w:p>
          <w:p>
            <w:pPr>
              <w:snapToGrid w:val="0"/>
              <w:spacing w:line="240" w:lineRule="auto"/>
              <w:jc w:val="lef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1）投标人具有职业健康安全管理体系认证证书得1分，具有质量管理体系认证证书得1分，具有环境管理体系认证证书得1分，</w:t>
            </w:r>
            <w:r>
              <w:rPr>
                <w:rFonts w:hint="eastAsia" w:ascii="宋体" w:hAnsi="宋体" w:eastAsia="宋体" w:cs="宋体"/>
                <w:b/>
                <w:bCs/>
                <w:color w:val="auto"/>
                <w:kern w:val="0"/>
                <w:sz w:val="24"/>
                <w:szCs w:val="24"/>
                <w:highlight w:val="none"/>
                <w:lang w:val="en-US" w:eastAsia="zh-CN" w:bidi="ar-SA"/>
              </w:rPr>
              <w:t>没有不得分,证书必须在有效期内；</w:t>
            </w:r>
          </w:p>
          <w:p>
            <w:pPr>
              <w:snapToGrid w:val="0"/>
              <w:spacing w:line="240" w:lineRule="auto"/>
              <w:jc w:val="lef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2)投标人具有售后服务认证证书</w:t>
            </w:r>
            <w:r>
              <w:rPr>
                <w:rFonts w:hint="eastAsia" w:ascii="宋体" w:hAnsi="宋体" w:cs="宋体"/>
                <w:color w:val="auto"/>
                <w:kern w:val="0"/>
                <w:sz w:val="24"/>
                <w:szCs w:val="24"/>
                <w:highlight w:val="none"/>
                <w:lang w:val="en-US" w:eastAsia="zh-CN" w:bidi="ar-SA"/>
              </w:rPr>
              <w:t>五</w:t>
            </w:r>
            <w:r>
              <w:rPr>
                <w:rFonts w:hint="eastAsia" w:ascii="宋体" w:hAnsi="宋体" w:eastAsia="宋体" w:cs="宋体"/>
                <w:color w:val="auto"/>
                <w:kern w:val="0"/>
                <w:sz w:val="24"/>
                <w:szCs w:val="24"/>
                <w:highlight w:val="none"/>
                <w:lang w:val="en-US" w:eastAsia="zh-CN" w:bidi="ar-SA"/>
              </w:rPr>
              <w:t>星级的得5分，</w:t>
            </w:r>
            <w:r>
              <w:rPr>
                <w:rFonts w:hint="eastAsia" w:ascii="宋体" w:hAnsi="宋体" w:cs="宋体"/>
                <w:color w:val="auto"/>
                <w:kern w:val="0"/>
                <w:sz w:val="24"/>
                <w:szCs w:val="24"/>
                <w:highlight w:val="none"/>
                <w:lang w:val="en-US" w:eastAsia="zh-CN" w:bidi="ar-SA"/>
              </w:rPr>
              <w:t>四</w:t>
            </w:r>
            <w:r>
              <w:rPr>
                <w:rFonts w:hint="eastAsia" w:ascii="宋体" w:hAnsi="宋体" w:eastAsia="宋体" w:cs="宋体"/>
                <w:color w:val="auto"/>
                <w:kern w:val="0"/>
                <w:sz w:val="24"/>
                <w:szCs w:val="24"/>
                <w:highlight w:val="none"/>
                <w:lang w:val="en-US" w:eastAsia="zh-CN" w:bidi="ar-SA"/>
              </w:rPr>
              <w:t>星级的得4分，</w:t>
            </w:r>
            <w:r>
              <w:rPr>
                <w:rFonts w:hint="eastAsia" w:ascii="宋体" w:hAnsi="宋体" w:cs="宋体"/>
                <w:color w:val="auto"/>
                <w:kern w:val="0"/>
                <w:sz w:val="24"/>
                <w:szCs w:val="24"/>
                <w:highlight w:val="none"/>
                <w:lang w:val="en-US" w:eastAsia="zh-CN" w:bidi="ar-SA"/>
              </w:rPr>
              <w:t>三</w:t>
            </w:r>
            <w:r>
              <w:rPr>
                <w:rFonts w:hint="eastAsia" w:ascii="宋体" w:hAnsi="宋体" w:eastAsia="宋体" w:cs="宋体"/>
                <w:color w:val="auto"/>
                <w:kern w:val="0"/>
                <w:sz w:val="24"/>
                <w:szCs w:val="24"/>
                <w:highlight w:val="none"/>
                <w:lang w:val="en-US" w:eastAsia="zh-CN" w:bidi="ar-SA"/>
              </w:rPr>
              <w:t>星级的得3分，</w:t>
            </w:r>
            <w:r>
              <w:rPr>
                <w:rFonts w:hint="eastAsia" w:ascii="宋体" w:hAnsi="宋体" w:cs="宋体"/>
                <w:color w:val="auto"/>
                <w:kern w:val="0"/>
                <w:sz w:val="24"/>
                <w:szCs w:val="24"/>
                <w:highlight w:val="none"/>
                <w:lang w:val="en-US" w:eastAsia="zh-CN" w:bidi="ar-SA"/>
              </w:rPr>
              <w:t>贰</w:t>
            </w:r>
            <w:r>
              <w:rPr>
                <w:rFonts w:hint="eastAsia" w:ascii="宋体" w:hAnsi="宋体" w:eastAsia="宋体" w:cs="宋体"/>
                <w:color w:val="auto"/>
                <w:kern w:val="0"/>
                <w:sz w:val="24"/>
                <w:szCs w:val="24"/>
                <w:highlight w:val="none"/>
                <w:lang w:val="en-US" w:eastAsia="zh-CN" w:bidi="ar-SA"/>
              </w:rPr>
              <w:t>星级的得2分，</w:t>
            </w:r>
            <w:r>
              <w:rPr>
                <w:rFonts w:hint="eastAsia" w:ascii="宋体" w:hAnsi="宋体" w:cs="宋体"/>
                <w:color w:val="auto"/>
                <w:kern w:val="0"/>
                <w:sz w:val="24"/>
                <w:szCs w:val="24"/>
                <w:highlight w:val="none"/>
                <w:lang w:val="en-US" w:eastAsia="zh-CN" w:bidi="ar-SA"/>
              </w:rPr>
              <w:t>壹</w:t>
            </w:r>
            <w:r>
              <w:rPr>
                <w:rFonts w:hint="eastAsia" w:ascii="宋体" w:hAnsi="宋体" w:eastAsia="宋体" w:cs="宋体"/>
                <w:color w:val="auto"/>
                <w:kern w:val="0"/>
                <w:sz w:val="24"/>
                <w:szCs w:val="24"/>
                <w:highlight w:val="none"/>
                <w:lang w:val="en-US" w:eastAsia="zh-CN" w:bidi="ar-SA"/>
              </w:rPr>
              <w:t>星级的得1分，</w:t>
            </w:r>
            <w:r>
              <w:rPr>
                <w:rFonts w:hint="eastAsia" w:ascii="宋体" w:hAnsi="宋体" w:eastAsia="宋体" w:cs="宋体"/>
                <w:b/>
                <w:bCs/>
                <w:color w:val="auto"/>
                <w:kern w:val="0"/>
                <w:sz w:val="24"/>
                <w:szCs w:val="24"/>
                <w:highlight w:val="none"/>
                <w:lang w:val="en-US" w:eastAsia="zh-CN" w:bidi="ar-SA"/>
              </w:rPr>
              <w:t>没有不得分,证书必须在有效期内；证书服务认证范围至少包含保安服务；</w:t>
            </w:r>
          </w:p>
          <w:p>
            <w:pPr>
              <w:snapToGrid w:val="0"/>
              <w:spacing w:line="240" w:lineRule="auto"/>
              <w:jc w:val="lef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3）具有保安服务认证证书一级的得2分，二级的得1分，</w:t>
            </w:r>
            <w:r>
              <w:rPr>
                <w:rFonts w:hint="eastAsia" w:ascii="宋体" w:hAnsi="宋体" w:eastAsia="宋体" w:cs="宋体"/>
                <w:b/>
                <w:bCs/>
                <w:color w:val="auto"/>
                <w:kern w:val="0"/>
                <w:sz w:val="24"/>
                <w:szCs w:val="24"/>
                <w:highlight w:val="none"/>
                <w:lang w:val="en-US" w:eastAsia="zh-CN" w:bidi="ar-SA"/>
              </w:rPr>
              <w:t>没有不得分,证书必须在有效期内；证书服务认证范围至少包含保安服务；</w:t>
            </w:r>
          </w:p>
          <w:p>
            <w:pPr>
              <w:snapToGrid w:val="0"/>
              <w:spacing w:line="24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4)具有业务连续性管理体系认证证书得2分，</w:t>
            </w:r>
            <w:r>
              <w:rPr>
                <w:rFonts w:hint="eastAsia" w:ascii="宋体" w:hAnsi="宋体" w:eastAsia="宋体" w:cs="宋体"/>
                <w:b/>
                <w:bCs/>
                <w:color w:val="auto"/>
                <w:kern w:val="0"/>
                <w:sz w:val="24"/>
                <w:szCs w:val="24"/>
                <w:highlight w:val="none"/>
                <w:lang w:val="en-US" w:eastAsia="zh-CN" w:bidi="ar-SA"/>
              </w:rPr>
              <w:t>没有不得分,证书必须在有效期内；</w:t>
            </w:r>
          </w:p>
          <w:p>
            <w:pPr>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投标文件中提供相关证书扫描件并加盖投标人公章。</w:t>
            </w:r>
          </w:p>
        </w:tc>
        <w:tc>
          <w:tcPr>
            <w:tcW w:w="510" w:type="dxa"/>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793" w:type="dxa"/>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客观分</w:t>
            </w:r>
          </w:p>
        </w:tc>
        <w:tc>
          <w:tcPr>
            <w:tcW w:w="1559" w:type="dxa"/>
            <w:vAlign w:val="center"/>
          </w:tcPr>
          <w:p>
            <w:pPr>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146" w:type="dxa"/>
            <w:vAlign w:val="top"/>
          </w:tcPr>
          <w:p>
            <w:pPr>
              <w:snapToGrid w:val="0"/>
              <w:spacing w:line="24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企业获奖证书：投标人自2019年1月1日以来（时间以证明材料落款时间为准）从事类似项目获得公安机关或街道办法的表扬信或获奖证书，每提供1份得1分，最多得4分；</w:t>
            </w:r>
            <w:r>
              <w:rPr>
                <w:rFonts w:hint="eastAsia" w:ascii="宋体" w:hAnsi="宋体" w:eastAsia="宋体" w:cs="宋体"/>
                <w:b/>
                <w:bCs/>
                <w:color w:val="auto"/>
                <w:kern w:val="0"/>
                <w:sz w:val="24"/>
                <w:szCs w:val="24"/>
                <w:highlight w:val="none"/>
                <w:lang w:val="en-US" w:eastAsia="zh-CN" w:bidi="ar-SA"/>
              </w:rPr>
              <w:t>投标文件中提表扬信或获奖证书复印件并加盖公章。</w:t>
            </w:r>
          </w:p>
        </w:tc>
        <w:tc>
          <w:tcPr>
            <w:tcW w:w="510" w:type="dxa"/>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793" w:type="dxa"/>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客观分</w:t>
            </w:r>
          </w:p>
        </w:tc>
        <w:tc>
          <w:tcPr>
            <w:tcW w:w="1559" w:type="dxa"/>
            <w:vAlign w:val="center"/>
          </w:tcPr>
          <w:p>
            <w:pPr>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146" w:type="dxa"/>
            <w:vAlign w:val="top"/>
          </w:tcPr>
          <w:p>
            <w:pPr>
              <w:spacing w:before="0" w:beforeAutospacing="0" w:after="0" w:afterAutospacing="0" w:line="240" w:lineRule="auto"/>
              <w:ind w:right="0"/>
              <w:jc w:val="left"/>
              <w:rPr>
                <w:rFonts w:hint="eastAsia" w:ascii="宋体" w:hAnsi="宋体" w:eastAsia="宋体" w:cs="宋体"/>
                <w:color w:val="auto"/>
                <w:kern w:val="0"/>
                <w:sz w:val="24"/>
                <w:szCs w:val="24"/>
                <w:highlight w:val="none"/>
                <w:lang w:val="en-US" w:eastAsia="zh-CN" w:bidi="ar-SA"/>
              </w:rPr>
            </w:pPr>
            <w:bookmarkStart w:id="562" w:name="_GoBack"/>
            <w:bookmarkEnd w:id="562"/>
            <w:r>
              <w:rPr>
                <w:rFonts w:hint="eastAsia" w:ascii="宋体" w:hAnsi="宋体" w:eastAsia="宋体" w:cs="宋体"/>
                <w:color w:val="auto"/>
                <w:kern w:val="0"/>
                <w:sz w:val="24"/>
                <w:szCs w:val="24"/>
                <w:highlight w:val="none"/>
                <w:lang w:val="en-US" w:eastAsia="zh-CN" w:bidi="ar-SA"/>
              </w:rPr>
              <w:t>类似项目实施业绩一览表：投标人自2019年1月1日以来（时间以合同签订时间为准）以完成的类似项目，每提供一个业绩得0.25分，最多得1分；</w:t>
            </w:r>
          </w:p>
          <w:p>
            <w:pPr>
              <w:snapToGrid w:val="0"/>
              <w:spacing w:line="24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投标文件中提供合同扫描件并加盖投标人公章</w:t>
            </w:r>
            <w:r>
              <w:rPr>
                <w:rFonts w:hint="eastAsia" w:ascii="宋体" w:hAnsi="宋体" w:eastAsia="宋体" w:cs="宋体"/>
                <w:color w:val="auto"/>
                <w:kern w:val="0"/>
                <w:sz w:val="24"/>
                <w:szCs w:val="24"/>
                <w:highlight w:val="none"/>
                <w:lang w:val="en-US" w:eastAsia="zh-CN" w:bidi="ar-SA"/>
              </w:rPr>
              <w:t>。</w:t>
            </w:r>
          </w:p>
        </w:tc>
        <w:tc>
          <w:tcPr>
            <w:tcW w:w="510" w:type="dxa"/>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793" w:type="dxa"/>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客观分</w:t>
            </w:r>
          </w:p>
        </w:tc>
        <w:tc>
          <w:tcPr>
            <w:tcW w:w="1559" w:type="dxa"/>
            <w:vAlign w:val="center"/>
          </w:tcPr>
          <w:p>
            <w:pPr>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5146" w:type="dxa"/>
            <w:vAlign w:val="top"/>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有效投标报价的最低价作为评标基准价，其最低报价为满分；按［投标报价得分=（评标基准价/投标报价）*权重］的计算公式计算（报价得分保留两位小数，后一位四舍五入）。</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pPr>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10" w:type="dxa"/>
            <w:vAlign w:val="center"/>
          </w:tcPr>
          <w:p>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793" w:type="dxa"/>
            <w:vAlign w:val="center"/>
          </w:tcPr>
          <w:p>
            <w:pPr>
              <w:spacing w:line="240" w:lineRule="auto"/>
              <w:jc w:val="center"/>
              <w:outlineLvl w:val="0"/>
              <w:rPr>
                <w:rFonts w:hint="eastAsia" w:ascii="宋体" w:hAnsi="宋体" w:eastAsia="宋体" w:cs="宋体"/>
                <w:color w:val="auto"/>
                <w:kern w:val="2"/>
                <w:sz w:val="24"/>
                <w:szCs w:val="24"/>
                <w:highlight w:val="none"/>
                <w:lang w:val="en-US" w:eastAsia="zh-CN" w:bidi="ar-SA"/>
              </w:rPr>
            </w:pPr>
          </w:p>
        </w:tc>
        <w:tc>
          <w:tcPr>
            <w:tcW w:w="1559" w:type="dxa"/>
            <w:vAlign w:val="center"/>
          </w:tcPr>
          <w:p>
            <w:pPr>
              <w:snapToGrid w:val="0"/>
              <w:spacing w:line="240" w:lineRule="auto"/>
              <w:jc w:val="center"/>
              <w:rPr>
                <w:rFonts w:hint="eastAsia" w:ascii="宋体" w:hAnsi="宋体" w:eastAsia="宋体" w:cs="宋体"/>
                <w:color w:val="auto"/>
                <w:sz w:val="24"/>
                <w:szCs w:val="24"/>
                <w:highlight w:val="none"/>
              </w:rPr>
            </w:pPr>
          </w:p>
        </w:tc>
      </w:tr>
    </w:tbl>
    <w:p>
      <w:pPr>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32"/>
          <w:highlight w:val="none"/>
        </w:rPr>
      </w:pP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5"/>
        <w:snapToGrid w:val="0"/>
        <w:spacing w:line="360" w:lineRule="auto"/>
        <w:rPr>
          <w:rFonts w:cs="宋体"/>
          <w:color w:val="auto"/>
          <w:highlight w:val="none"/>
        </w:rPr>
      </w:pPr>
      <w:r>
        <w:rPr>
          <w:rFonts w:hint="eastAsia" w:cs="宋体"/>
          <w:color w:val="auto"/>
          <w:highlight w:val="none"/>
        </w:rPr>
        <w:t>5.4因重大变故，采购任务取消的。</w:t>
      </w:r>
    </w:p>
    <w:p>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392" w:firstLineChars="300"/>
        <w:outlineLvl w:val="0"/>
        <w:rPr>
          <w:rFonts w:hint="eastAsia" w:ascii="宋体" w:hAnsi="宋体" w:cs="宋体"/>
          <w:b/>
          <w:color w:val="auto"/>
          <w:sz w:val="13"/>
          <w:szCs w:val="13"/>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合同编号：</w:t>
      </w:r>
    </w:p>
    <w:p>
      <w:pPr>
        <w:spacing w:line="360" w:lineRule="auto"/>
        <w:jc w:val="center"/>
        <w:rPr>
          <w:rFonts w:hint="eastAsia" w:ascii="宋体" w:hAnsi="宋体" w:eastAsia="宋体" w:cs="宋体"/>
          <w:b/>
          <w:color w:val="auto"/>
          <w:sz w:val="21"/>
          <w:szCs w:val="21"/>
          <w:highlight w:val="none"/>
        </w:rPr>
      </w:pPr>
    </w:p>
    <w:p>
      <w:pPr>
        <w:spacing w:line="360" w:lineRule="auto"/>
        <w:jc w:val="center"/>
        <w:rPr>
          <w:rFonts w:hint="eastAsia" w:ascii="宋体" w:hAnsi="宋体" w:eastAsia="宋体" w:cs="宋体"/>
          <w:b/>
          <w:color w:val="auto"/>
          <w:sz w:val="21"/>
          <w:szCs w:val="21"/>
          <w:highlight w:val="none"/>
        </w:rPr>
      </w:pPr>
    </w:p>
    <w:p>
      <w:pPr>
        <w:spacing w:line="360" w:lineRule="auto"/>
        <w:jc w:val="center"/>
        <w:rPr>
          <w:rFonts w:hint="eastAsia" w:ascii="宋体" w:hAnsi="宋体" w:eastAsia="宋体" w:cs="宋体"/>
          <w:b/>
          <w:color w:val="auto"/>
          <w:sz w:val="21"/>
          <w:szCs w:val="21"/>
          <w:highlight w:val="none"/>
        </w:rPr>
      </w:pPr>
    </w:p>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政府采购合同参考范本</w:t>
      </w:r>
    </w:p>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（服务类）</w:t>
      </w:r>
    </w:p>
    <w:p>
      <w:pPr>
        <w:pStyle w:val="703"/>
        <w:spacing w:line="360" w:lineRule="auto"/>
        <w:rPr>
          <w:rFonts w:hint="eastAsia" w:ascii="宋体" w:hAnsi="宋体" w:eastAsia="宋体" w:cs="宋体"/>
          <w:color w:val="auto"/>
          <w:sz w:val="21"/>
          <w:szCs w:val="21"/>
          <w:highlight w:val="none"/>
        </w:rPr>
      </w:pPr>
    </w:p>
    <w:p>
      <w:pPr>
        <w:pStyle w:val="703"/>
        <w:spacing w:line="360" w:lineRule="auto"/>
        <w:rPr>
          <w:rFonts w:hint="eastAsia" w:ascii="宋体" w:hAnsi="宋体" w:eastAsia="宋体" w:cs="宋体"/>
          <w:color w:val="auto"/>
          <w:sz w:val="21"/>
          <w:szCs w:val="21"/>
          <w:highlight w:val="none"/>
        </w:rPr>
      </w:pPr>
    </w:p>
    <w:p>
      <w:pPr>
        <w:pStyle w:val="703"/>
        <w:spacing w:line="360" w:lineRule="auto"/>
        <w:jc w:val="center"/>
        <w:rPr>
          <w:rFonts w:hint="eastAsia" w:ascii="宋体" w:hAnsi="宋体" w:eastAsia="宋体" w:cs="宋体"/>
          <w:color w:val="auto"/>
          <w:sz w:val="21"/>
          <w:szCs w:val="21"/>
          <w:highlight w:val="none"/>
        </w:rPr>
      </w:pPr>
    </w:p>
    <w:p>
      <w:pPr>
        <w:pStyle w:val="703"/>
        <w:spacing w:line="360" w:lineRule="auto"/>
        <w:ind w:firstLine="2488" w:firstLineChars="11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第一部分 合同书</w:t>
      </w:r>
    </w:p>
    <w:p>
      <w:pPr>
        <w:pStyle w:val="703"/>
        <w:spacing w:line="360" w:lineRule="auto"/>
        <w:rPr>
          <w:rFonts w:hint="eastAsia" w:ascii="宋体" w:hAnsi="宋体" w:eastAsia="宋体" w:cs="宋体"/>
          <w:color w:val="auto"/>
          <w:sz w:val="21"/>
          <w:szCs w:val="21"/>
          <w:highlight w:val="none"/>
        </w:rPr>
      </w:pPr>
    </w:p>
    <w:p>
      <w:pPr>
        <w:spacing w:before="120" w:line="360" w:lineRule="auto"/>
        <w:rPr>
          <w:rFonts w:hint="eastAsia" w:ascii="宋体" w:hAnsi="宋体" w:eastAsia="宋体" w:cs="宋体"/>
          <w:color w:val="auto"/>
          <w:sz w:val="21"/>
          <w:szCs w:val="21"/>
          <w:highlight w:val="none"/>
        </w:rPr>
      </w:pPr>
    </w:p>
    <w:p>
      <w:pPr>
        <w:spacing w:before="120" w:line="360" w:lineRule="auto"/>
        <w:ind w:left="9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p>
    <w:p>
      <w:pPr>
        <w:pStyle w:val="600"/>
        <w:spacing w:before="120" w:line="360" w:lineRule="auto"/>
        <w:rPr>
          <w:rFonts w:hint="eastAsia" w:ascii="宋体" w:hAnsi="宋体" w:eastAsia="宋体" w:cs="宋体"/>
          <w:color w:val="auto"/>
          <w:sz w:val="21"/>
          <w:szCs w:val="21"/>
          <w:highlight w:val="none"/>
        </w:rPr>
      </w:pPr>
    </w:p>
    <w:p>
      <w:pPr>
        <w:pStyle w:val="600"/>
        <w:spacing w:before="120"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before="120" w:line="360" w:lineRule="auto"/>
        <w:ind w:left="9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xml:space="preserve">                                       </w:t>
      </w:r>
    </w:p>
    <w:p>
      <w:pPr>
        <w:spacing w:before="120" w:line="360" w:lineRule="auto"/>
        <w:rPr>
          <w:rFonts w:hint="eastAsia" w:ascii="宋体" w:hAnsi="宋体" w:eastAsia="宋体" w:cs="宋体"/>
          <w:color w:val="auto"/>
          <w:sz w:val="21"/>
          <w:szCs w:val="21"/>
          <w:highlight w:val="none"/>
        </w:rPr>
      </w:pPr>
    </w:p>
    <w:p>
      <w:pPr>
        <w:spacing w:before="120" w:line="360" w:lineRule="auto"/>
        <w:ind w:left="9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p>
    <w:p>
      <w:pPr>
        <w:spacing w:before="120" w:line="360" w:lineRule="auto"/>
        <w:rPr>
          <w:rFonts w:hint="eastAsia" w:ascii="宋体" w:hAnsi="宋体" w:eastAsia="宋体" w:cs="宋体"/>
          <w:color w:val="auto"/>
          <w:sz w:val="21"/>
          <w:szCs w:val="21"/>
          <w:highlight w:val="none"/>
        </w:rPr>
      </w:pPr>
    </w:p>
    <w:p>
      <w:pPr>
        <w:spacing w:before="120" w:line="360" w:lineRule="auto"/>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签订地：</w:t>
      </w:r>
      <w:r>
        <w:rPr>
          <w:rFonts w:hint="eastAsia" w:ascii="宋体" w:hAnsi="宋体" w:eastAsia="宋体" w:cs="宋体"/>
          <w:color w:val="auto"/>
          <w:sz w:val="21"/>
          <w:szCs w:val="21"/>
          <w:highlight w:val="none"/>
          <w:u w:val="single"/>
        </w:rPr>
        <w:t xml:space="preserve">                                     </w:t>
      </w:r>
    </w:p>
    <w:p>
      <w:pPr>
        <w:spacing w:before="120" w:line="360" w:lineRule="auto"/>
        <w:rPr>
          <w:rFonts w:hint="eastAsia" w:ascii="宋体" w:hAnsi="宋体" w:eastAsia="宋体" w:cs="宋体"/>
          <w:color w:val="auto"/>
          <w:sz w:val="21"/>
          <w:szCs w:val="21"/>
          <w:highlight w:val="none"/>
        </w:rPr>
      </w:pPr>
    </w:p>
    <w:p>
      <w:pPr>
        <w:spacing w:before="120" w:line="360" w:lineRule="auto"/>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widowControl/>
        <w:spacing w:line="360" w:lineRule="auto"/>
        <w:jc w:val="left"/>
        <w:rPr>
          <w:rFonts w:hint="eastAsia" w:ascii="宋体" w:hAnsi="宋体" w:eastAsia="宋体" w:cs="宋体"/>
          <w:color w:val="auto"/>
          <w:kern w:val="0"/>
          <w:sz w:val="21"/>
          <w:szCs w:val="21"/>
          <w:highlight w:val="none"/>
        </w:rPr>
        <w:sectPr>
          <w:footerReference r:id="rId8" w:type="default"/>
          <w:pgSz w:w="11907" w:h="16840"/>
          <w:pgMar w:top="1474" w:right="1814" w:bottom="1135" w:left="1814" w:header="851" w:footer="851" w:gutter="0"/>
          <w:pgBorders>
            <w:top w:val="none" w:sz="0" w:space="0"/>
            <w:left w:val="none" w:sz="0" w:space="0"/>
            <w:bottom w:val="none" w:sz="0" w:space="0"/>
            <w:right w:val="none" w:sz="0" w:space="0"/>
          </w:pgBorders>
          <w:pgNumType w:fmt="decimal"/>
          <w:cols w:space="720" w:num="1"/>
        </w:sect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杭州市临平区塘栖镇人民政府</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u w:val="single"/>
        </w:rPr>
        <w:t xml:space="preserve">   公开招标  </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项目进行了采购。经</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评审小组   </w:t>
      </w:r>
      <w:r>
        <w:rPr>
          <w:rFonts w:hint="eastAsia" w:ascii="宋体" w:hAnsi="宋体" w:eastAsia="宋体" w:cs="宋体"/>
          <w:color w:val="auto"/>
          <w:sz w:val="21"/>
          <w:szCs w:val="21"/>
          <w:highlight w:val="none"/>
        </w:rPr>
        <w:t>评定，</w:t>
      </w:r>
      <w:r>
        <w:rPr>
          <w:rFonts w:hint="eastAsia" w:ascii="宋体" w:hAnsi="宋体" w:eastAsia="宋体" w:cs="宋体"/>
          <w:color w:val="auto"/>
          <w:sz w:val="21"/>
          <w:szCs w:val="21"/>
          <w:highlight w:val="none"/>
          <w:u w:val="single"/>
        </w:rPr>
        <w:t xml:space="preserve">   （中标供应商名称）</w:t>
      </w:r>
      <w:r>
        <w:rPr>
          <w:rFonts w:hint="eastAsia" w:ascii="宋体" w:hAnsi="宋体" w:eastAsia="宋体" w:cs="宋体"/>
          <w:color w:val="auto"/>
          <w:sz w:val="21"/>
          <w:szCs w:val="21"/>
          <w:highlight w:val="none"/>
        </w:rPr>
        <w:t>为该项目中标供应商。现于中标通知书发出之日起三十日内，按照招标文件确定的事项签订本合同。</w:t>
      </w:r>
      <w:r>
        <w:rPr>
          <w:rFonts w:hint="eastAsia" w:ascii="宋体" w:hAnsi="宋体" w:eastAsia="宋体" w:cs="宋体"/>
          <w:color w:val="auto"/>
          <w:sz w:val="21"/>
          <w:szCs w:val="21"/>
          <w:highlight w:val="none"/>
          <w:lang w:val="en-US" w:eastAsia="zh-CN"/>
        </w:rPr>
        <w:t>合同签订依据为相关法律法规文件、招标文件、乙方投标文件等，合同条款有与前者冲突的，以前者为准。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根据《中华人民共和国民法典》、《中华人民共和国政府采购法》等相关法律法规之规定，按照平等、自愿、公平</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lang w:val="zh-CN"/>
        </w:rPr>
        <w:t>诚实信用的原则，经</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杭州市临平区塘栖镇人民政府</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(以下简称：甲方)和</w:t>
      </w:r>
      <w:r>
        <w:rPr>
          <w:rFonts w:hint="eastAsia" w:ascii="宋体" w:hAnsi="宋体" w:eastAsia="宋体" w:cs="宋体"/>
          <w:color w:val="auto"/>
          <w:sz w:val="21"/>
          <w:szCs w:val="21"/>
          <w:highlight w:val="none"/>
          <w:u w:val="single"/>
        </w:rPr>
        <w:t xml:space="preserve">   （中标供应商名称）   </w:t>
      </w:r>
      <w:r>
        <w:rPr>
          <w:rFonts w:hint="eastAsia" w:ascii="宋体" w:hAnsi="宋体" w:eastAsia="宋体" w:cs="宋体"/>
          <w:color w:val="auto"/>
          <w:sz w:val="21"/>
          <w:szCs w:val="21"/>
          <w:highlight w:val="none"/>
          <w:lang w:val="zh-CN"/>
        </w:rPr>
        <w:t>(以下简称：乙方)协商一致，约定以下合同</w:t>
      </w:r>
      <w:r>
        <w:rPr>
          <w:rFonts w:hint="eastAsia" w:ascii="宋体" w:hAnsi="宋体" w:eastAsia="宋体" w:cs="宋体"/>
          <w:color w:val="auto"/>
          <w:sz w:val="21"/>
          <w:szCs w:val="21"/>
          <w:highlight w:val="none"/>
        </w:rPr>
        <w:t>条款，以兹共同遵守、全面履行。</w:t>
      </w:r>
    </w:p>
    <w:p>
      <w:pPr>
        <w:pStyle w:val="5"/>
        <w:spacing w:line="360" w:lineRule="auto"/>
        <w:rPr>
          <w:rFonts w:hint="eastAsia" w:ascii="宋体" w:hAnsi="宋体" w:eastAsia="宋体" w:cs="宋体"/>
          <w:color w:val="auto"/>
          <w:sz w:val="21"/>
          <w:szCs w:val="21"/>
          <w:highlight w:val="none"/>
        </w:rPr>
      </w:pPr>
      <w:bookmarkStart w:id="395" w:name="_Toc3029"/>
      <w:bookmarkStart w:id="396" w:name="_Toc24059"/>
      <w:bookmarkStart w:id="397" w:name="_Toc2232"/>
      <w:r>
        <w:rPr>
          <w:rFonts w:hint="eastAsia" w:ascii="宋体" w:hAnsi="宋体" w:eastAsia="宋体" w:cs="宋体"/>
          <w:color w:val="auto"/>
          <w:sz w:val="21"/>
          <w:szCs w:val="21"/>
          <w:highlight w:val="none"/>
        </w:rPr>
        <w:t>1.1 合同组成部分</w:t>
      </w:r>
      <w:bookmarkEnd w:id="395"/>
      <w:bookmarkEnd w:id="396"/>
      <w:bookmarkEnd w:id="397"/>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本合同及其补充合同、变更协议；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中标通知书；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投标文件（含澄清或者说明文件）；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招标文件（含澄清或者修改文件）；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其他相关招标文件。</w:t>
      </w:r>
    </w:p>
    <w:p>
      <w:pPr>
        <w:pStyle w:val="5"/>
        <w:spacing w:line="360" w:lineRule="auto"/>
        <w:rPr>
          <w:rFonts w:hint="eastAsia" w:ascii="宋体" w:hAnsi="宋体" w:eastAsia="宋体" w:cs="宋体"/>
          <w:color w:val="auto"/>
          <w:sz w:val="21"/>
          <w:szCs w:val="21"/>
          <w:highlight w:val="none"/>
        </w:rPr>
      </w:pPr>
      <w:bookmarkStart w:id="398" w:name="_Toc21295"/>
      <w:bookmarkStart w:id="399" w:name="_Toc27126"/>
      <w:bookmarkStart w:id="400" w:name="_Toc24300"/>
      <w:r>
        <w:rPr>
          <w:rFonts w:hint="eastAsia" w:ascii="宋体" w:hAnsi="宋体" w:eastAsia="宋体" w:cs="宋体"/>
          <w:color w:val="auto"/>
          <w:sz w:val="21"/>
          <w:szCs w:val="21"/>
          <w:highlight w:val="none"/>
        </w:rPr>
        <w:t xml:space="preserve">1.2 </w:t>
      </w:r>
      <w:bookmarkEnd w:id="398"/>
      <w:bookmarkEnd w:id="399"/>
      <w:bookmarkEnd w:id="400"/>
      <w:r>
        <w:rPr>
          <w:rFonts w:hint="eastAsia" w:ascii="宋体" w:hAnsi="宋体" w:eastAsia="宋体" w:cs="宋体"/>
          <w:color w:val="auto"/>
          <w:sz w:val="21"/>
          <w:szCs w:val="21"/>
          <w:highlight w:val="none"/>
        </w:rPr>
        <w:t>标的</w:t>
      </w:r>
    </w:p>
    <w:p>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1.2.1 服务内容：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1.2.2 服务标准：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1.2.3 技术保障：</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服务人员组成：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1.2.5合同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（是/否）涉及货物。若涉及货物的的，则：</w:t>
      </w:r>
    </w:p>
    <w:p>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1.2.5.1 货物名称、品牌、规格型号、花色：</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1.2.5.2 货物数量：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1.2.5.3 货物质量：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spacing w:line="360" w:lineRule="auto"/>
        <w:rPr>
          <w:rFonts w:hint="eastAsia" w:ascii="宋体" w:hAnsi="宋体" w:eastAsia="宋体" w:cs="宋体"/>
          <w:color w:val="auto"/>
          <w:sz w:val="21"/>
          <w:szCs w:val="21"/>
          <w:highlight w:val="none"/>
        </w:rPr>
      </w:pPr>
      <w:bookmarkStart w:id="401" w:name="_Toc21631"/>
      <w:bookmarkStart w:id="402" w:name="_Toc21551"/>
      <w:bookmarkStart w:id="403" w:name="_Toc23292"/>
      <w:r>
        <w:rPr>
          <w:rFonts w:hint="eastAsia" w:ascii="宋体" w:hAnsi="宋体" w:eastAsia="宋体" w:cs="宋体"/>
          <w:color w:val="auto"/>
          <w:sz w:val="21"/>
          <w:szCs w:val="21"/>
          <w:highlight w:val="none"/>
        </w:rPr>
        <w:t>1.3 价款</w:t>
      </w:r>
      <w:bookmarkEnd w:id="401"/>
      <w:bookmarkEnd w:id="402"/>
      <w:bookmarkEnd w:id="403"/>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本项目采用以下第</w:t>
      </w:r>
      <w:r>
        <w:rPr>
          <w:rFonts w:hint="eastAsia" w:ascii="宋体" w:hAnsi="宋体" w:eastAsia="宋体" w:cs="宋体"/>
          <w:color w:val="auto"/>
          <w:sz w:val="21"/>
          <w:szCs w:val="21"/>
          <w:highlight w:val="none"/>
          <w:u w:val="single"/>
        </w:rPr>
        <w:t xml:space="preserve"> 1.3.1 </w:t>
      </w:r>
      <w:r>
        <w:rPr>
          <w:rFonts w:hint="eastAsia" w:ascii="宋体" w:hAnsi="宋体" w:eastAsia="宋体" w:cs="宋体"/>
          <w:color w:val="auto"/>
          <w:sz w:val="21"/>
          <w:szCs w:val="21"/>
          <w:highlight w:val="none"/>
        </w:rPr>
        <w:t>条款规定的计价方式计价。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1.3.1总价合同，本合同总价（含税）为：￥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360" w:lineRule="auto"/>
              <w:ind w:firstLine="420"/>
              <w:jc w:val="center"/>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360" w:lineRule="auto"/>
              <w:ind w:firstLine="420"/>
              <w:jc w:val="center"/>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360" w:lineRule="auto"/>
              <w:ind w:firstLine="42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360" w:lineRule="auto"/>
              <w:ind w:firstLine="420"/>
              <w:jc w:val="center"/>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360" w:lineRule="auto"/>
              <w:ind w:firstLine="420"/>
              <w:jc w:val="center"/>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360" w:lineRule="auto"/>
              <w:ind w:firstLine="42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360" w:lineRule="auto"/>
              <w:ind w:firstLine="420"/>
              <w:jc w:val="center"/>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360" w:lineRule="auto"/>
              <w:ind w:firstLine="420"/>
              <w:jc w:val="center"/>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360" w:lineRule="auto"/>
              <w:ind w:firstLine="42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360" w:lineRule="auto"/>
              <w:ind w:firstLine="420"/>
              <w:jc w:val="center"/>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360" w:lineRule="auto"/>
              <w:ind w:firstLine="420"/>
              <w:jc w:val="center"/>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360" w:lineRule="auto"/>
              <w:ind w:firstLine="42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0"/>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360" w:lineRule="auto"/>
              <w:ind w:firstLine="420"/>
              <w:jc w:val="center"/>
              <w:rPr>
                <w:rFonts w:hint="eastAsia" w:ascii="宋体" w:hAnsi="宋体" w:eastAsia="宋体" w:cs="宋体"/>
                <w:color w:val="auto"/>
                <w:sz w:val="21"/>
                <w:szCs w:val="21"/>
                <w:highlight w:val="none"/>
              </w:rPr>
            </w:pPr>
          </w:p>
        </w:tc>
      </w:tr>
    </w:tbl>
    <w:p>
      <w:pPr>
        <w:spacing w:line="360" w:lineRule="auto"/>
        <w:ind w:firstLine="420" w:firstLineChars="200"/>
        <w:rPr>
          <w:rFonts w:hint="eastAsia" w:ascii="宋体" w:hAnsi="宋体" w:eastAsia="宋体" w:cs="宋体"/>
          <w:b w:val="0"/>
          <w:color w:val="auto"/>
          <w:sz w:val="21"/>
          <w:szCs w:val="21"/>
          <w:highlight w:val="none"/>
        </w:rPr>
      </w:pPr>
      <w:bookmarkStart w:id="404" w:name="_Toc3654"/>
      <w:bookmarkStart w:id="405" w:name="_Toc30158"/>
      <w:bookmarkStart w:id="406" w:name="_Toc14993"/>
      <w:bookmarkStart w:id="407" w:name="_Toc26916"/>
      <w:bookmarkStart w:id="408" w:name="_Toc30506"/>
      <w:bookmarkStart w:id="409" w:name="_Toc1814"/>
      <w:bookmarkStart w:id="410" w:name="_Toc22618"/>
      <w:bookmarkStart w:id="411" w:name="_Toc10340"/>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1.</w:t>
      </w:r>
      <w:r>
        <w:rPr>
          <w:rFonts w:hint="eastAsia" w:ascii="宋体" w:hAnsi="宋体" w:eastAsia="宋体" w:cs="宋体"/>
          <w:bCs w:val="0"/>
          <w:color w:val="auto"/>
          <w:sz w:val="21"/>
          <w:szCs w:val="21"/>
          <w:highlight w:val="none"/>
        </w:rPr>
        <w:t>3.2单价合同，本合同单价（含税）标准为</w:t>
      </w:r>
      <w:r>
        <w:rPr>
          <w:rFonts w:hint="eastAsia" w:ascii="宋体" w:hAnsi="宋体" w:eastAsia="宋体" w:cs="宋体"/>
          <w:bCs w:val="0"/>
          <w:color w:val="auto"/>
          <w:sz w:val="21"/>
          <w:szCs w:val="21"/>
          <w:highlight w:val="none"/>
          <w:u w:val="single"/>
        </w:rPr>
        <w:t xml:space="preserve">：       </w:t>
      </w:r>
      <w:r>
        <w:rPr>
          <w:rFonts w:hint="eastAsia" w:ascii="宋体" w:hAnsi="宋体" w:eastAsia="宋体" w:cs="宋体"/>
          <w:bCs w:val="0"/>
          <w:color w:val="auto"/>
          <w:sz w:val="21"/>
          <w:szCs w:val="21"/>
          <w:highlight w:val="none"/>
          <w:u w:val="single"/>
          <w:lang w:val="en-US" w:eastAsia="zh-CN"/>
        </w:rPr>
        <w:t>/</w:t>
      </w:r>
      <w:r>
        <w:rPr>
          <w:rFonts w:hint="eastAsia" w:ascii="宋体" w:hAnsi="宋体" w:eastAsia="宋体" w:cs="宋体"/>
          <w:bCs w:val="0"/>
          <w:color w:val="auto"/>
          <w:sz w:val="21"/>
          <w:szCs w:val="21"/>
          <w:highlight w:val="none"/>
          <w:u w:val="single"/>
        </w:rPr>
        <w:t xml:space="preserve">            </w:t>
      </w:r>
      <w:r>
        <w:rPr>
          <w:rFonts w:hint="eastAsia" w:ascii="宋体" w:hAnsi="宋体" w:eastAsia="宋体" w:cs="宋体"/>
          <w:color w:val="auto"/>
          <w:sz w:val="21"/>
          <w:szCs w:val="21"/>
          <w:highlight w:val="none"/>
        </w:rPr>
        <w:t>。服务工作量的计量</w:t>
      </w:r>
      <w:r>
        <w:rPr>
          <w:rFonts w:hint="eastAsia" w:ascii="宋体" w:hAnsi="宋体" w:eastAsia="宋体" w:cs="宋体"/>
          <w:b w:val="0"/>
          <w:color w:val="auto"/>
          <w:sz w:val="21"/>
          <w:szCs w:val="21"/>
          <w:highlight w:val="none"/>
        </w:rPr>
        <w:t>方式</w:t>
      </w:r>
      <w:r>
        <w:rPr>
          <w:rFonts w:hint="eastAsia" w:ascii="宋体" w:hAnsi="宋体" w:eastAsia="宋体" w:cs="宋体"/>
          <w:color w:val="auto"/>
          <w:sz w:val="21"/>
          <w:szCs w:val="21"/>
          <w:highlight w:val="none"/>
        </w:rPr>
        <w:t>为：</w:t>
      </w:r>
      <w:r>
        <w:rPr>
          <w:rFonts w:hint="eastAsia" w:ascii="宋体" w:hAnsi="宋体" w:eastAsia="宋体" w:cs="宋体"/>
          <w:bCs w:val="0"/>
          <w:color w:val="auto"/>
          <w:sz w:val="21"/>
          <w:szCs w:val="21"/>
          <w:highlight w:val="none"/>
          <w:u w:val="single"/>
        </w:rPr>
        <w:t xml:space="preserve">      </w:t>
      </w:r>
      <w:r>
        <w:rPr>
          <w:rFonts w:hint="eastAsia" w:ascii="宋体" w:hAnsi="宋体" w:eastAsia="宋体" w:cs="宋体"/>
          <w:b/>
          <w:i/>
          <w:color w:val="auto"/>
          <w:sz w:val="21"/>
          <w:szCs w:val="21"/>
          <w:highlight w:val="none"/>
          <w:u w:val="single"/>
        </w:rPr>
        <w:t xml:space="preserve"> 合同专用条款 </w:t>
      </w:r>
      <w:r>
        <w:rPr>
          <w:rFonts w:hint="eastAsia" w:ascii="宋体" w:hAnsi="宋体" w:eastAsia="宋体" w:cs="宋体"/>
          <w:bCs w:val="0"/>
          <w:color w:val="auto"/>
          <w:sz w:val="21"/>
          <w:szCs w:val="21"/>
          <w:highlight w:val="none"/>
          <w:u w:val="single"/>
        </w:rPr>
        <w:t xml:space="preserve">    </w:t>
      </w:r>
      <w:r>
        <w:rPr>
          <w:rFonts w:hint="eastAsia" w:ascii="宋体" w:hAnsi="宋体" w:eastAsia="宋体" w:cs="宋体"/>
          <w:color w:val="auto"/>
          <w:sz w:val="21"/>
          <w:szCs w:val="21"/>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rPr>
        <w:t>元人民币）。</w:t>
      </w:r>
    </w:p>
    <w:p>
      <w:pPr>
        <w:spacing w:line="360" w:lineRule="auto"/>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bCs w:val="0"/>
          <w:color w:val="auto"/>
          <w:sz w:val="21"/>
          <w:szCs w:val="21"/>
          <w:highlight w:val="none"/>
          <w:lang w:val="en-US"/>
        </w:rPr>
        <w:t>1.3.3其他计价</w:t>
      </w:r>
      <w:r>
        <w:rPr>
          <w:rFonts w:hint="eastAsia" w:ascii="宋体" w:hAnsi="宋体" w:eastAsia="宋体" w:cs="宋体"/>
          <w:b w:val="0"/>
          <w:color w:val="auto"/>
          <w:sz w:val="21"/>
          <w:szCs w:val="21"/>
          <w:highlight w:val="none"/>
        </w:rPr>
        <w:t>方式</w:t>
      </w:r>
      <w:bookmarkEnd w:id="404"/>
      <w:bookmarkEnd w:id="405"/>
      <w:bookmarkEnd w:id="406"/>
      <w:bookmarkEnd w:id="407"/>
      <w:bookmarkEnd w:id="408"/>
      <w:r>
        <w:rPr>
          <w:rFonts w:hint="eastAsia" w:ascii="宋体" w:hAnsi="宋体" w:eastAsia="宋体" w:cs="宋体"/>
          <w:b w:val="0"/>
          <w:bCs w:val="0"/>
          <w:color w:val="auto"/>
          <w:sz w:val="21"/>
          <w:szCs w:val="21"/>
          <w:highlight w:val="none"/>
          <w:lang w:val="en-US"/>
        </w:rPr>
        <w:t>：</w:t>
      </w:r>
      <w:r>
        <w:rPr>
          <w:rFonts w:hint="eastAsia" w:ascii="宋体" w:hAnsi="宋体" w:eastAsia="宋体" w:cs="宋体"/>
          <w:b w:val="0"/>
          <w:bCs w:val="0"/>
          <w:color w:val="auto"/>
          <w:sz w:val="21"/>
          <w:szCs w:val="21"/>
          <w:highlight w:val="none"/>
          <w:u w:val="none"/>
          <w:lang w:val="en-US"/>
        </w:rPr>
        <w:t xml:space="preserve">                   </w:t>
      </w:r>
      <w:r>
        <w:rPr>
          <w:rFonts w:hint="eastAsia" w:ascii="宋体" w:hAnsi="宋体" w:eastAsia="宋体" w:cs="宋体"/>
          <w:b w:val="0"/>
          <w:bCs w:val="0"/>
          <w:color w:val="auto"/>
          <w:sz w:val="21"/>
          <w:szCs w:val="21"/>
          <w:highlight w:val="none"/>
        </w:rPr>
        <w:t>。</w:t>
      </w:r>
    </w:p>
    <w:p>
      <w:pPr>
        <w:pStyle w:val="960"/>
        <w:spacing w:before="0" w:beforeAutospacing="0" w:after="0" w:afterAutospacing="0" w:line="360" w:lineRule="auto"/>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b/>
          <w:color w:val="auto"/>
          <w:sz w:val="21"/>
          <w:szCs w:val="21"/>
          <w:highlight w:val="none"/>
        </w:rPr>
        <w:t>履约保证金</w:t>
      </w:r>
    </w:p>
    <w:p>
      <w:pPr>
        <w:pStyle w:val="960"/>
        <w:spacing w:before="0" w:beforeAutospacing="0" w:after="0" w:afterAutospacing="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（是/否）需要支付履约保证金。若需要支付履约保证金的，则：</w:t>
      </w:r>
    </w:p>
    <w:p>
      <w:pPr>
        <w:spacing w:line="360" w:lineRule="auto"/>
        <w:ind w:firstLine="420" w:firstLineChars="200"/>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1.4.1履约保证金的比例为合同金额的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360" w:lineRule="auto"/>
        <w:ind w:firstLine="420" w:firstLineChars="200"/>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1.4.2履约保证金支付方式详见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4"/>
        <w:tabs>
          <w:tab w:val="left" w:pos="0"/>
        </w:tabs>
        <w:spacing w:line="360" w:lineRule="auto"/>
        <w:ind w:left="0"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kern w:val="0"/>
          <w:sz w:val="21"/>
          <w:szCs w:val="21"/>
          <w:highlight w:val="none"/>
          <w:lang w:val="en-US"/>
        </w:rPr>
        <w:t>1.4.3 如果乙方不履行合同，履约保证金不予退还；如果乙方未能按合同约定全面履行义务，那么甲方有权从履约保证金中取得补偿或赔偿，同时不影响</w:t>
      </w:r>
      <w:r>
        <w:rPr>
          <w:rFonts w:hint="eastAsia" w:ascii="宋体" w:hAnsi="宋体" w:eastAsia="宋体" w:cs="宋体"/>
          <w:color w:val="auto"/>
          <w:sz w:val="21"/>
          <w:szCs w:val="21"/>
          <w:highlight w:val="none"/>
        </w:rPr>
        <w:t>甲方</w:t>
      </w:r>
      <w:r>
        <w:rPr>
          <w:rFonts w:hint="eastAsia" w:ascii="宋体" w:hAnsi="宋体" w:eastAsia="宋体" w:cs="宋体"/>
          <w:b w:val="0"/>
          <w:bCs w:val="0"/>
          <w:color w:val="auto"/>
          <w:kern w:val="0"/>
          <w:sz w:val="21"/>
          <w:szCs w:val="21"/>
          <w:highlight w:val="none"/>
          <w:lang w:val="en-US"/>
        </w:rPr>
        <w:t>要求乙方承担合同约定的超过履约保证金的违约责任的权利；</w:t>
      </w:r>
    </w:p>
    <w:p>
      <w:pPr>
        <w:spacing w:line="360" w:lineRule="auto"/>
        <w:ind w:firstLine="420" w:firstLineChars="200"/>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1.4.4甲方在项目验收结束后及时退还履约保证金。甲方在项目通过验收之日起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1"/>
          <w:szCs w:val="21"/>
          <w:highlight w:val="none"/>
          <w:u w:val="single"/>
        </w:rPr>
        <w:t xml:space="preserve">  0.05（可根据情况修改）  </w:t>
      </w:r>
      <w:r>
        <w:rPr>
          <w:rFonts w:hint="eastAsia" w:ascii="宋体" w:hAnsi="宋体" w:eastAsia="宋体" w:cs="宋体"/>
          <w:color w:val="auto"/>
          <w:kern w:val="0"/>
          <w:sz w:val="21"/>
          <w:szCs w:val="21"/>
          <w:highlight w:val="none"/>
        </w:rPr>
        <w:t>%计算，最高限额为本合同履约保证金的</w:t>
      </w:r>
      <w:r>
        <w:rPr>
          <w:rFonts w:hint="eastAsia" w:ascii="宋体" w:hAnsi="宋体" w:eastAsia="宋体" w:cs="宋体"/>
          <w:color w:val="auto"/>
          <w:kern w:val="0"/>
          <w:sz w:val="21"/>
          <w:szCs w:val="21"/>
          <w:highlight w:val="none"/>
          <w:u w:val="single"/>
        </w:rPr>
        <w:t xml:space="preserve">  20  </w:t>
      </w:r>
      <w:r>
        <w:rPr>
          <w:rFonts w:hint="eastAsia" w:ascii="宋体" w:hAnsi="宋体" w:eastAsia="宋体" w:cs="宋体"/>
          <w:color w:val="auto"/>
          <w:kern w:val="0"/>
          <w:sz w:val="21"/>
          <w:szCs w:val="21"/>
          <w:highlight w:val="none"/>
        </w:rPr>
        <w:t xml:space="preserve"> %。</w:t>
      </w:r>
    </w:p>
    <w:p>
      <w:pPr>
        <w:spacing w:line="360" w:lineRule="auto"/>
        <w:ind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1.5预付款</w:t>
      </w:r>
    </w:p>
    <w:p>
      <w:pPr>
        <w:pStyle w:val="960"/>
        <w:spacing w:before="0" w:beforeAutospacing="0" w:after="0" w:afterAutospacing="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（是/否）需要支付预付款。若需要支付预付款的，则：</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1.5.1预付款比例、支付方式、时间详见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960"/>
        <w:spacing w:before="0" w:beforeAutospacing="0" w:after="0" w:afterAutospacing="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1.5.2预付款的扣回方式详见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960"/>
        <w:spacing w:before="0" w:beforeAutospacing="0" w:after="0" w:afterAutospacing="0" w:line="360" w:lineRule="auto"/>
        <w:ind w:firstLine="48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1.5.3预付款的担保措施详见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960"/>
        <w:spacing w:before="0" w:beforeAutospacing="0" w:after="0" w:afterAutospacing="0" w:line="360" w:lineRule="auto"/>
        <w:ind w:firstLine="48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1.6资金支付</w:t>
      </w:r>
    </w:p>
    <w:p>
      <w:pPr>
        <w:pStyle w:val="960"/>
        <w:spacing w:before="0" w:beforeAutospacing="0" w:after="0" w:afterAutospacing="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1.6.2资金支付的方式、时间和条件详见合同</w:t>
      </w:r>
      <w:r>
        <w:rPr>
          <w:rFonts w:hint="eastAsia" w:ascii="宋体" w:hAnsi="宋体" w:eastAsia="宋体" w:cs="宋体"/>
          <w:b/>
          <w:i/>
          <w:color w:val="auto"/>
          <w:sz w:val="21"/>
          <w:szCs w:val="21"/>
          <w:highlight w:val="none"/>
          <w:u w:val="single"/>
        </w:rPr>
        <w:t>专用条款</w:t>
      </w:r>
      <w:r>
        <w:rPr>
          <w:rFonts w:hint="eastAsia" w:ascii="宋体" w:hAnsi="宋体" w:eastAsia="宋体" w:cs="宋体"/>
          <w:color w:val="auto"/>
          <w:sz w:val="21"/>
          <w:szCs w:val="21"/>
          <w:highlight w:val="none"/>
        </w:rPr>
        <w:t>。以经塘栖镇根据政府采购法等相关规定审核通过的合同相应条款为准。</w:t>
      </w:r>
    </w:p>
    <w:p>
      <w:pPr>
        <w:spacing w:line="360" w:lineRule="auto"/>
        <w:ind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 履行期限、地点和方式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服务交付（实施）的时间（期限）：</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服务交付（实施）的地点（地域范围）：合同专用条款；</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 服务交付（实施）的方式：</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7.4若服务涉及货物的，则货物的：</w:t>
      </w:r>
    </w:p>
    <w:p>
      <w:pPr>
        <w:spacing w:line="360" w:lineRule="auto"/>
        <w:ind w:firstLine="422" w:firstLineChars="200"/>
        <w:outlineLvl w:val="9"/>
        <w:rPr>
          <w:rFonts w:hint="eastAsia" w:ascii="宋体" w:hAnsi="宋体" w:eastAsia="宋体" w:cs="宋体"/>
          <w:color w:val="auto"/>
          <w:sz w:val="21"/>
          <w:szCs w:val="21"/>
          <w:highlight w:val="none"/>
          <w:u w:val="single"/>
        </w:rPr>
      </w:pPr>
      <w:bookmarkStart w:id="412" w:name="_Toc11108"/>
      <w:bookmarkStart w:id="413" w:name="_Toc4760"/>
      <w:bookmarkStart w:id="414" w:name="_Toc8772"/>
      <w:bookmarkStart w:id="415" w:name="_Toc3625"/>
      <w:bookmarkStart w:id="416" w:name="_Toc31421"/>
      <w:r>
        <w:rPr>
          <w:rFonts w:hint="eastAsia" w:ascii="宋体" w:hAnsi="宋体" w:eastAsia="宋体" w:cs="宋体"/>
          <w:b/>
          <w:color w:val="auto"/>
          <w:sz w:val="21"/>
          <w:szCs w:val="21"/>
          <w:highlight w:val="none"/>
        </w:rPr>
        <w:t>1.</w:t>
      </w:r>
      <w:bookmarkEnd w:id="412"/>
      <w:bookmarkEnd w:id="413"/>
      <w:bookmarkEnd w:id="414"/>
      <w:bookmarkEnd w:id="415"/>
      <w:bookmarkEnd w:id="416"/>
      <w:r>
        <w:rPr>
          <w:rFonts w:hint="eastAsia" w:ascii="宋体" w:hAnsi="宋体" w:eastAsia="宋体" w:cs="宋体"/>
          <w:color w:val="auto"/>
          <w:sz w:val="21"/>
          <w:szCs w:val="21"/>
          <w:highlight w:val="none"/>
        </w:rPr>
        <w:t>7.4.1 交付期限：详见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1.7.4.2 交付地点：</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1.7.4.3 交付方式：</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pPr>
        <w:spacing w:line="360" w:lineRule="auto"/>
        <w:ind w:firstLine="422" w:firstLineChars="200"/>
        <w:outlineLvl w:val="1"/>
        <w:rPr>
          <w:rFonts w:hint="eastAsia" w:ascii="宋体" w:hAnsi="宋体" w:eastAsia="宋体" w:cs="宋体"/>
          <w:color w:val="auto"/>
          <w:sz w:val="21"/>
          <w:szCs w:val="21"/>
          <w:highlight w:val="none"/>
          <w:u w:val="single"/>
        </w:rPr>
      </w:pPr>
      <w:bookmarkStart w:id="417" w:name="_Toc8586"/>
      <w:bookmarkStart w:id="418" w:name="_Toc24662"/>
      <w:bookmarkStart w:id="419" w:name="_Toc5698"/>
      <w:bookmarkStart w:id="420" w:name="_Toc3079"/>
      <w:bookmarkStart w:id="421" w:name="_Toc2375"/>
      <w:r>
        <w:rPr>
          <w:rFonts w:hint="eastAsia" w:ascii="宋体" w:hAnsi="宋体" w:eastAsia="宋体" w:cs="宋体"/>
          <w:b/>
          <w:color w:val="auto"/>
          <w:sz w:val="21"/>
          <w:szCs w:val="21"/>
          <w:highlight w:val="none"/>
        </w:rPr>
        <w:t>1.8违约责任</w:t>
      </w:r>
      <w:bookmarkEnd w:id="417"/>
      <w:bookmarkEnd w:id="418"/>
      <w:bookmarkEnd w:id="419"/>
      <w:bookmarkEnd w:id="420"/>
      <w:bookmarkEnd w:id="421"/>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1"/>
          <w:szCs w:val="21"/>
          <w:highlight w:val="none"/>
          <w:u w:val="single"/>
        </w:rPr>
        <w:t xml:space="preserve">0.05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20   </w:t>
      </w:r>
      <w:r>
        <w:rPr>
          <w:rFonts w:hint="eastAsia" w:ascii="宋体" w:hAnsi="宋体" w:eastAsia="宋体" w:cs="宋体"/>
          <w:color w:val="auto"/>
          <w:sz w:val="21"/>
          <w:szCs w:val="21"/>
          <w:highlight w:val="none"/>
        </w:rPr>
        <w:t>%；迟延履行的违约金计算数额达到前述最高限额之日起，甲方有权在要求乙方支付违约金的同时，书面通知乙方解除本合同；</w:t>
      </w:r>
    </w:p>
    <w:p>
      <w:pPr>
        <w:tabs>
          <w:tab w:val="left" w:pos="432"/>
        </w:tabs>
        <w:spacing w:line="360" w:lineRule="auto"/>
        <w:ind w:left="0" w:firstLine="420" w:firstLineChars="200"/>
        <w:outlineLvl w:val="9"/>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rPr>
        <w:t>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1"/>
          <w:szCs w:val="21"/>
          <w:highlight w:val="none"/>
          <w:u w:val="single"/>
          <w:lang w:val="en-US"/>
        </w:rPr>
        <w:t xml:space="preserve">  0.0</w:t>
      </w:r>
      <w:r>
        <w:rPr>
          <w:rFonts w:hint="eastAsia" w:ascii="宋体" w:hAnsi="宋体" w:eastAsia="宋体" w:cs="宋体"/>
          <w:b w:val="0"/>
          <w:bCs w:val="0"/>
          <w:color w:val="auto"/>
          <w:sz w:val="21"/>
          <w:szCs w:val="21"/>
          <w:highlight w:val="none"/>
          <w:lang w:val="en-US"/>
        </w:rPr>
        <w:t xml:space="preserve">5（可根据情况修改） </w:t>
      </w:r>
      <w:r>
        <w:rPr>
          <w:rFonts w:hint="eastAsia" w:ascii="宋体" w:hAnsi="宋体" w:eastAsia="宋体" w:cs="宋体"/>
          <w:b w:val="0"/>
          <w:bCs w:val="0"/>
          <w:color w:val="auto"/>
          <w:sz w:val="21"/>
          <w:szCs w:val="21"/>
          <w:highlight w:val="none"/>
          <w:u w:val="single"/>
          <w:lang w:val="en-US"/>
        </w:rPr>
        <w:t xml:space="preserve">  </w:t>
      </w:r>
      <w:r>
        <w:rPr>
          <w:rFonts w:hint="eastAsia" w:ascii="宋体" w:hAnsi="宋体" w:eastAsia="宋体" w:cs="宋体"/>
          <w:b w:val="0"/>
          <w:bCs w:val="0"/>
          <w:color w:val="auto"/>
          <w:sz w:val="21"/>
          <w:szCs w:val="21"/>
          <w:highlight w:val="none"/>
          <w:lang w:val="en-US"/>
        </w:rPr>
        <w:t>%计算，最高限额为本合同总价的</w:t>
      </w:r>
      <w:r>
        <w:rPr>
          <w:rFonts w:hint="eastAsia" w:ascii="宋体" w:hAnsi="宋体" w:eastAsia="宋体" w:cs="宋体"/>
          <w:b w:val="0"/>
          <w:bCs w:val="0"/>
          <w:color w:val="auto"/>
          <w:sz w:val="21"/>
          <w:szCs w:val="21"/>
          <w:highlight w:val="none"/>
          <w:u w:val="single"/>
          <w:lang w:val="en-US"/>
        </w:rPr>
        <w:t xml:space="preserve">  20  </w:t>
      </w:r>
      <w:r>
        <w:rPr>
          <w:rFonts w:hint="eastAsia" w:ascii="宋体" w:hAnsi="宋体" w:eastAsia="宋体" w:cs="宋体"/>
          <w:b w:val="0"/>
          <w:bCs w:val="0"/>
          <w:color w:val="auto"/>
          <w:sz w:val="21"/>
          <w:szCs w:val="21"/>
          <w:highlight w:val="none"/>
          <w:lang w:val="en-US"/>
        </w:rPr>
        <w:t>%；迟延交付货物的违约金计算数额达到前述最高限额之日起，甲方有权在要求乙方支付违约金的同时，书面通知乙方解除本合同；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 xml:space="preserve">   0.05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20</w:t>
      </w:r>
      <w:r>
        <w:rPr>
          <w:rFonts w:hint="eastAsia" w:ascii="宋体" w:hAnsi="宋体" w:eastAsia="宋体" w:cs="宋体"/>
          <w:color w:val="auto"/>
          <w:kern w:val="0"/>
          <w:sz w:val="21"/>
          <w:szCs w:val="21"/>
          <w:highlight w:val="none"/>
          <w:u w:val="single"/>
        </w:rPr>
        <w:t>（可根据情况修改）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left="-420" w:leftChars="-200" w:right="-420" w:rightChars="-200"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1.8.7违约责任</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另有约定的，从其约定。</w:t>
      </w:r>
    </w:p>
    <w:p>
      <w:pPr>
        <w:spacing w:line="360" w:lineRule="auto"/>
        <w:ind w:firstLine="422" w:firstLineChars="200"/>
        <w:outlineLvl w:val="1"/>
        <w:rPr>
          <w:rFonts w:hint="eastAsia" w:ascii="宋体" w:hAnsi="宋体" w:eastAsia="宋体" w:cs="宋体"/>
          <w:b/>
          <w:color w:val="auto"/>
          <w:sz w:val="21"/>
          <w:szCs w:val="21"/>
          <w:highlight w:val="none"/>
        </w:rPr>
      </w:pPr>
      <w:bookmarkStart w:id="422" w:name="_Toc26807"/>
      <w:bookmarkStart w:id="423" w:name="_Toc30329"/>
      <w:bookmarkStart w:id="424" w:name="_Toc32454"/>
      <w:bookmarkStart w:id="425" w:name="_Toc18683"/>
      <w:bookmarkStart w:id="426" w:name="_Toc9497"/>
      <w:r>
        <w:rPr>
          <w:rFonts w:hint="eastAsia" w:ascii="宋体" w:hAnsi="宋体" w:eastAsia="宋体" w:cs="宋体"/>
          <w:b/>
          <w:color w:val="auto"/>
          <w:sz w:val="21"/>
          <w:szCs w:val="21"/>
          <w:highlight w:val="none"/>
        </w:rPr>
        <w:t>1.9合同争议的解决</w:t>
      </w:r>
      <w:bookmarkEnd w:id="422"/>
      <w:bookmarkEnd w:id="423"/>
      <w:bookmarkEnd w:id="424"/>
      <w:bookmarkEnd w:id="425"/>
      <w:bookmarkEnd w:id="426"/>
    </w:p>
    <w:p>
      <w:pPr>
        <w:spacing w:line="360" w:lineRule="auto"/>
        <w:ind w:left="-61" w:leftChars="-29" w:right="-420" w:rightChars="-20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1"/>
          <w:szCs w:val="21"/>
          <w:highlight w:val="none"/>
          <w:u w:val="single"/>
        </w:rPr>
        <w:t xml:space="preserve">      条款</w:t>
      </w:r>
      <w:r>
        <w:rPr>
          <w:rFonts w:hint="eastAsia" w:ascii="宋体" w:hAnsi="宋体" w:eastAsia="宋体" w:cs="宋体"/>
          <w:color w:val="auto"/>
          <w:sz w:val="21"/>
          <w:szCs w:val="21"/>
          <w:highlight w:val="none"/>
        </w:rPr>
        <w:t>规定的方式解决：</w:t>
      </w:r>
    </w:p>
    <w:p>
      <w:pPr>
        <w:spacing w:line="360" w:lineRule="auto"/>
        <w:ind w:left="-420" w:leftChars="-200" w:right="-420" w:rightChars="-200"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将争议提交</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仲裁委员会依申请仲裁时其现行有效的仲裁规则裁决；</w:t>
      </w:r>
    </w:p>
    <w:p>
      <w:pPr>
        <w:spacing w:line="360" w:lineRule="auto"/>
        <w:ind w:left="-420" w:leftChars="-200" w:right="-420" w:rightChars="-200"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向</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人民法院起诉。</w:t>
      </w:r>
    </w:p>
    <w:p>
      <w:pPr>
        <w:spacing w:line="360" w:lineRule="auto"/>
        <w:ind w:firstLine="211" w:firstLineChars="100"/>
        <w:outlineLvl w:val="1"/>
        <w:rPr>
          <w:rFonts w:hint="eastAsia" w:ascii="宋体" w:hAnsi="宋体" w:eastAsia="宋体" w:cs="宋体"/>
          <w:b/>
          <w:color w:val="auto"/>
          <w:sz w:val="21"/>
          <w:szCs w:val="21"/>
          <w:highlight w:val="none"/>
        </w:rPr>
      </w:pPr>
      <w:bookmarkStart w:id="427" w:name="_Toc12273"/>
      <w:bookmarkStart w:id="428" w:name="_Toc15827"/>
      <w:bookmarkStart w:id="429" w:name="_Toc23784"/>
      <w:bookmarkStart w:id="430" w:name="_Toc26227"/>
      <w:bookmarkStart w:id="431" w:name="_Toc16417"/>
      <w:r>
        <w:rPr>
          <w:rFonts w:hint="eastAsia" w:ascii="宋体" w:hAnsi="宋体" w:eastAsia="宋体" w:cs="宋体"/>
          <w:b/>
          <w:color w:val="auto"/>
          <w:sz w:val="21"/>
          <w:szCs w:val="21"/>
          <w:highlight w:val="none"/>
        </w:rPr>
        <w:t>2.0 合同生效</w:t>
      </w:r>
      <w:bookmarkEnd w:id="427"/>
      <w:bookmarkEnd w:id="428"/>
      <w:bookmarkEnd w:id="429"/>
      <w:bookmarkEnd w:id="430"/>
      <w:bookmarkEnd w:id="431"/>
    </w:p>
    <w:p>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本合同自双方当事人盖章签字时生效。</w:t>
      </w:r>
    </w:p>
    <w:bookmarkEnd w:id="409"/>
    <w:bookmarkEnd w:id="410"/>
    <w:bookmarkEnd w:id="411"/>
    <w:p>
      <w:pPr>
        <w:spacing w:line="360" w:lineRule="auto"/>
        <w:ind w:firstLine="422" w:firstLineChars="200"/>
        <w:rPr>
          <w:rFonts w:hint="eastAsia" w:ascii="宋体" w:hAnsi="宋体" w:eastAsia="宋体" w:cs="宋体"/>
          <w:b/>
          <w:color w:val="auto"/>
          <w:sz w:val="21"/>
          <w:szCs w:val="21"/>
          <w:highlight w:val="none"/>
        </w:rPr>
      </w:pPr>
    </w:p>
    <w:p>
      <w:pPr>
        <w:autoSpaceDE/>
        <w:autoSpaceDN/>
        <w:spacing w:line="360" w:lineRule="auto"/>
        <w:rPr>
          <w:rFonts w:hint="eastAsia" w:ascii="宋体" w:hAnsi="宋体" w:eastAsia="宋体" w:cs="宋体"/>
          <w:color w:val="auto"/>
          <w:sz w:val="21"/>
          <w:szCs w:val="21"/>
          <w:highlight w:val="none"/>
          <w:lang w:val="zh-CN"/>
        </w:rPr>
      </w:pPr>
    </w:p>
    <w:p>
      <w:pPr>
        <w:autoSpaceDE w:val="0"/>
        <w:autoSpaceDN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 xml:space="preserve">      乙方</w:t>
      </w:r>
      <w:r>
        <w:rPr>
          <w:rFonts w:hint="eastAsia" w:ascii="宋体" w:hAnsi="宋体" w:eastAsia="宋体" w:cs="宋体"/>
          <w:color w:val="auto"/>
          <w:sz w:val="21"/>
          <w:szCs w:val="21"/>
          <w:highlight w:val="none"/>
          <w:lang w:val="zh-CN"/>
        </w:rPr>
        <w:t>：</w:t>
      </w:r>
    </w:p>
    <w:p>
      <w:pPr>
        <w:autoSpaceDE w:val="0"/>
        <w:autoSpaceDN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                        统一社会信用代码或身份证号码：</w:t>
      </w:r>
    </w:p>
    <w:p>
      <w:pPr>
        <w:autoSpaceDE w:val="0"/>
        <w:autoSpaceDN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pPr>
        <w:autoSpaceDE w:val="0"/>
        <w:autoSpaceDN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                             法定代表人</w:t>
      </w:r>
    </w:p>
    <w:p>
      <w:pPr>
        <w:autoSpaceDE w:val="0"/>
        <w:autoSpaceDN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授权代表（签字）：                        或授权代表（签字）: </w:t>
      </w:r>
    </w:p>
    <w:p>
      <w:pPr>
        <w:autoSpaceDE w:val="0"/>
        <w:autoSpaceDN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                                 联系人：</w:t>
      </w:r>
    </w:p>
    <w:p>
      <w:pPr>
        <w:autoSpaceDE w:val="0"/>
        <w:autoSpaceDN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约定送达地址：                           约定送达地址：</w:t>
      </w:r>
    </w:p>
    <w:p>
      <w:pPr>
        <w:autoSpaceDE w:val="0"/>
        <w:autoSpaceDN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pPr>
        <w:autoSpaceDE w:val="0"/>
        <w:autoSpaceDN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pPr>
        <w:autoSpaceDE w:val="0"/>
        <w:autoSpaceDN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传真:                                    传真:</w:t>
      </w:r>
    </w:p>
    <w:p>
      <w:pPr>
        <w:autoSpaceDE w:val="0"/>
        <w:autoSpaceDN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电子邮箱：                               电子邮箱：</w:t>
      </w:r>
    </w:p>
    <w:p>
      <w:pPr>
        <w:autoSpaceDE w:val="0"/>
        <w:autoSpaceDN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pPr>
        <w:autoSpaceDE w:val="0"/>
        <w:autoSpaceDN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                               开户名称： </w:t>
      </w:r>
    </w:p>
    <w:p>
      <w:pPr>
        <w:autoSpaceDE w:val="0"/>
        <w:autoSpaceDN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开户账号：</w:t>
      </w:r>
    </w:p>
    <w:p>
      <w:pPr>
        <w:widowControl/>
        <w:spacing w:line="360" w:lineRule="auto"/>
        <w:jc w:val="left"/>
        <w:rPr>
          <w:rFonts w:hint="eastAsia" w:ascii="宋体" w:hAnsi="宋体" w:eastAsia="宋体" w:cs="宋体"/>
          <w:b/>
          <w:color w:val="auto"/>
          <w:sz w:val="21"/>
          <w:szCs w:val="21"/>
          <w:highlight w:val="none"/>
        </w:rPr>
      </w:pPr>
      <w:bookmarkStart w:id="432" w:name="_Toc331685783"/>
    </w:p>
    <w:p>
      <w:pPr>
        <w:widowControl/>
        <w:adjustRightInd/>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pStyle w:val="703"/>
        <w:spacing w:line="360" w:lineRule="auto"/>
        <w:ind w:firstLine="48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合同一般条款</w:t>
      </w:r>
      <w:bookmarkEnd w:id="432"/>
    </w:p>
    <w:p>
      <w:pPr>
        <w:pStyle w:val="6"/>
        <w:tabs>
          <w:tab w:val="left" w:pos="900"/>
          <w:tab w:val="clear" w:pos="864"/>
        </w:tabs>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定义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“合同”系指采购人和</w:t>
      </w:r>
      <w:r>
        <w:rPr>
          <w:rFonts w:hint="eastAsia" w:ascii="宋体" w:hAnsi="宋体" w:eastAsia="宋体" w:cs="宋体"/>
          <w:color w:val="auto"/>
          <w:sz w:val="21"/>
          <w:szCs w:val="21"/>
          <w:highlight w:val="none"/>
          <w:lang w:eastAsia="zh-CN"/>
        </w:rPr>
        <w:t>中标或成交</w:t>
      </w:r>
      <w:r>
        <w:rPr>
          <w:rFonts w:hint="eastAsia" w:ascii="宋体" w:hAnsi="宋体" w:eastAsia="宋体" w:cs="宋体"/>
          <w:color w:val="auto"/>
          <w:sz w:val="21"/>
          <w:szCs w:val="21"/>
          <w:highlight w:val="none"/>
        </w:rPr>
        <w:t>供应商签订的载明双方当事人所达成的协议，并包括所有的附件、附录和构成合同的其他文件。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“合同价”系指根据合同约定，</w:t>
      </w:r>
      <w:r>
        <w:rPr>
          <w:rFonts w:hint="eastAsia" w:ascii="宋体" w:hAnsi="宋体" w:eastAsia="宋体" w:cs="宋体"/>
          <w:color w:val="auto"/>
          <w:sz w:val="21"/>
          <w:szCs w:val="21"/>
          <w:highlight w:val="none"/>
          <w:lang w:eastAsia="zh-CN"/>
        </w:rPr>
        <w:t>中标或成交</w:t>
      </w:r>
      <w:r>
        <w:rPr>
          <w:rFonts w:hint="eastAsia" w:ascii="宋体" w:hAnsi="宋体" w:eastAsia="宋体" w:cs="宋体"/>
          <w:color w:val="auto"/>
          <w:sz w:val="21"/>
          <w:szCs w:val="21"/>
          <w:highlight w:val="none"/>
        </w:rPr>
        <w:t>供应商在完全履行合同义务后，采购人应支付给</w:t>
      </w:r>
      <w:r>
        <w:rPr>
          <w:rFonts w:hint="eastAsia" w:ascii="宋体" w:hAnsi="宋体" w:eastAsia="宋体" w:cs="宋体"/>
          <w:color w:val="auto"/>
          <w:sz w:val="21"/>
          <w:szCs w:val="21"/>
          <w:highlight w:val="none"/>
          <w:lang w:eastAsia="zh-CN"/>
        </w:rPr>
        <w:t>中标或成交</w:t>
      </w:r>
      <w:r>
        <w:rPr>
          <w:rFonts w:hint="eastAsia" w:ascii="宋体" w:hAnsi="宋体" w:eastAsia="宋体" w:cs="宋体"/>
          <w:color w:val="auto"/>
          <w:sz w:val="21"/>
          <w:szCs w:val="21"/>
          <w:highlight w:val="none"/>
        </w:rPr>
        <w:t>供应商的价格。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“服务”系指</w:t>
      </w:r>
      <w:r>
        <w:rPr>
          <w:rFonts w:hint="eastAsia" w:ascii="宋体" w:hAnsi="宋体" w:eastAsia="宋体" w:cs="宋体"/>
          <w:color w:val="auto"/>
          <w:sz w:val="21"/>
          <w:szCs w:val="21"/>
          <w:highlight w:val="none"/>
          <w:lang w:eastAsia="zh-CN"/>
        </w:rPr>
        <w:t>中标或成交</w:t>
      </w:r>
      <w:r>
        <w:rPr>
          <w:rFonts w:hint="eastAsia" w:ascii="宋体" w:hAnsi="宋体" w:eastAsia="宋体" w:cs="宋体"/>
          <w:color w:val="auto"/>
          <w:sz w:val="21"/>
          <w:szCs w:val="21"/>
          <w:highlight w:val="none"/>
        </w:rPr>
        <w:t>供应商根据合同约定应向采购人履行的除货物和工程以外的其他政府采购对象，包括采购人自身需要的服务和向社会公众提供的公共服务。</w:t>
      </w:r>
    </w:p>
    <w:p>
      <w:pPr>
        <w:spacing w:line="360" w:lineRule="auto"/>
        <w:ind w:firstLine="420" w:firstLineChars="200"/>
        <w:rPr>
          <w:rFonts w:hint="eastAsia" w:ascii="宋体" w:hAnsi="宋体" w:eastAsia="宋体" w:cs="宋体"/>
          <w:color w:val="auto"/>
          <w:sz w:val="21"/>
          <w:szCs w:val="21"/>
          <w:highlight w:val="none"/>
        </w:rPr>
      </w:pPr>
      <w:bookmarkStart w:id="433" w:name="_Ref467378840"/>
      <w:r>
        <w:rPr>
          <w:rFonts w:hint="eastAsia" w:ascii="宋体" w:hAnsi="宋体" w:eastAsia="宋体" w:cs="宋体"/>
          <w:color w:val="auto"/>
          <w:sz w:val="21"/>
          <w:szCs w:val="21"/>
          <w:highlight w:val="none"/>
        </w:rPr>
        <w:t>2.1.4 “甲方”系指与</w:t>
      </w:r>
      <w:r>
        <w:rPr>
          <w:rFonts w:hint="eastAsia" w:ascii="宋体" w:hAnsi="宋体" w:eastAsia="宋体" w:cs="宋体"/>
          <w:color w:val="auto"/>
          <w:sz w:val="21"/>
          <w:szCs w:val="21"/>
          <w:highlight w:val="none"/>
          <w:lang w:eastAsia="zh-CN"/>
        </w:rPr>
        <w:t>中标或成交</w:t>
      </w:r>
      <w:r>
        <w:rPr>
          <w:rFonts w:hint="eastAsia" w:ascii="宋体" w:hAnsi="宋体" w:eastAsia="宋体" w:cs="宋体"/>
          <w:color w:val="auto"/>
          <w:sz w:val="21"/>
          <w:szCs w:val="21"/>
          <w:highlight w:val="none"/>
        </w:rPr>
        <w:t>供应商签署合同的采购人</w:t>
      </w:r>
      <w:bookmarkEnd w:id="433"/>
      <w:r>
        <w:rPr>
          <w:rFonts w:hint="eastAsia" w:ascii="宋体" w:hAnsi="宋体" w:eastAsia="宋体" w:cs="宋体"/>
          <w:color w:val="auto"/>
          <w:sz w:val="21"/>
          <w:szCs w:val="21"/>
          <w:highlight w:val="none"/>
        </w:rPr>
        <w:t>；采购人委托采购代理机构代表其与乙方签订合同的，采购人的授权委托书作为合同附件。</w:t>
      </w:r>
    </w:p>
    <w:p>
      <w:pPr>
        <w:spacing w:line="360" w:lineRule="auto"/>
        <w:ind w:firstLine="420" w:firstLineChars="200"/>
        <w:rPr>
          <w:rFonts w:hint="eastAsia" w:ascii="宋体" w:hAnsi="宋体" w:eastAsia="宋体" w:cs="宋体"/>
          <w:color w:val="auto"/>
          <w:sz w:val="21"/>
          <w:szCs w:val="21"/>
          <w:highlight w:val="none"/>
        </w:rPr>
      </w:pPr>
      <w:bookmarkStart w:id="434" w:name="_Ref467379400"/>
      <w:r>
        <w:rPr>
          <w:rFonts w:hint="eastAsia" w:ascii="宋体" w:hAnsi="宋体" w:eastAsia="宋体" w:cs="宋体"/>
          <w:color w:val="auto"/>
          <w:sz w:val="21"/>
          <w:szCs w:val="21"/>
          <w:highlight w:val="none"/>
        </w:rPr>
        <w:t>2.1.5 “乙方”系指根据合同约定提供服务的</w:t>
      </w:r>
      <w:r>
        <w:rPr>
          <w:rFonts w:hint="eastAsia" w:ascii="宋体" w:hAnsi="宋体" w:eastAsia="宋体" w:cs="宋体"/>
          <w:color w:val="auto"/>
          <w:sz w:val="21"/>
          <w:szCs w:val="21"/>
          <w:highlight w:val="none"/>
          <w:lang w:eastAsia="zh-CN"/>
        </w:rPr>
        <w:t>中标或成交</w:t>
      </w:r>
      <w:r>
        <w:rPr>
          <w:rFonts w:hint="eastAsia" w:ascii="宋体" w:hAnsi="宋体" w:eastAsia="宋体" w:cs="宋体"/>
          <w:color w:val="auto"/>
          <w:sz w:val="21"/>
          <w:szCs w:val="21"/>
          <w:highlight w:val="none"/>
        </w:rPr>
        <w:t>供应商</w:t>
      </w:r>
      <w:bookmarkEnd w:id="434"/>
      <w:r>
        <w:rPr>
          <w:rFonts w:hint="eastAsia" w:ascii="宋体" w:hAnsi="宋体" w:eastAsia="宋体" w:cs="宋体"/>
          <w:color w:val="auto"/>
          <w:sz w:val="21"/>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20" w:firstLineChars="200"/>
        <w:rPr>
          <w:rFonts w:hint="eastAsia" w:ascii="宋体" w:hAnsi="宋体" w:eastAsia="宋体" w:cs="宋体"/>
          <w:color w:val="auto"/>
          <w:sz w:val="21"/>
          <w:szCs w:val="21"/>
          <w:highlight w:val="none"/>
        </w:rPr>
      </w:pPr>
      <w:bookmarkStart w:id="435" w:name="_Ref467379436"/>
      <w:r>
        <w:rPr>
          <w:rFonts w:hint="eastAsia" w:ascii="宋体" w:hAnsi="宋体" w:eastAsia="宋体" w:cs="宋体"/>
          <w:color w:val="auto"/>
          <w:sz w:val="21"/>
          <w:szCs w:val="21"/>
          <w:highlight w:val="none"/>
        </w:rPr>
        <w:t>2.1.6 “现场”系指合同约定提供服务的地点。</w:t>
      </w:r>
      <w:bookmarkEnd w:id="435"/>
    </w:p>
    <w:p>
      <w:pPr>
        <w:pStyle w:val="6"/>
        <w:tabs>
          <w:tab w:val="left" w:pos="900"/>
          <w:tab w:val="clear" w:pos="864"/>
        </w:tabs>
        <w:bidi w:val="0"/>
        <w:spacing w:line="360" w:lineRule="auto"/>
        <w:rPr>
          <w:rFonts w:hint="eastAsia" w:ascii="宋体" w:hAnsi="宋体" w:eastAsia="宋体" w:cs="宋体"/>
          <w:color w:val="auto"/>
          <w:sz w:val="21"/>
          <w:szCs w:val="21"/>
          <w:highlight w:val="none"/>
        </w:rPr>
      </w:pPr>
      <w:bookmarkStart w:id="436" w:name="_Toc13336"/>
      <w:bookmarkStart w:id="437" w:name="_Toc279701241"/>
      <w:bookmarkStart w:id="438" w:name="_Toc487900350"/>
      <w:bookmarkStart w:id="439" w:name="_Toc32504"/>
      <w:bookmarkStart w:id="440" w:name="_Toc27635"/>
      <w:bookmarkStart w:id="441" w:name="_Toc259093670"/>
      <w:r>
        <w:rPr>
          <w:rFonts w:hint="eastAsia" w:ascii="宋体" w:hAnsi="宋体" w:eastAsia="宋体" w:cs="宋体"/>
          <w:color w:val="auto"/>
          <w:sz w:val="21"/>
          <w:szCs w:val="21"/>
          <w:highlight w:val="none"/>
        </w:rPr>
        <w:t>2.2 技术规范</w:t>
      </w:r>
      <w:bookmarkEnd w:id="436"/>
      <w:bookmarkEnd w:id="437"/>
      <w:bookmarkEnd w:id="438"/>
      <w:bookmarkEnd w:id="439"/>
      <w:bookmarkEnd w:id="440"/>
      <w:bookmarkEnd w:id="441"/>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pStyle w:val="6"/>
        <w:tabs>
          <w:tab w:val="left" w:pos="900"/>
          <w:tab w:val="clear" w:pos="864"/>
        </w:tabs>
        <w:bidi w:val="0"/>
        <w:spacing w:line="360" w:lineRule="auto"/>
        <w:rPr>
          <w:rFonts w:hint="eastAsia" w:ascii="宋体" w:hAnsi="宋体" w:eastAsia="宋体" w:cs="宋体"/>
          <w:color w:val="auto"/>
          <w:sz w:val="21"/>
          <w:szCs w:val="21"/>
          <w:highlight w:val="none"/>
        </w:rPr>
      </w:pPr>
      <w:bookmarkStart w:id="442" w:name="_Toc259093671"/>
      <w:bookmarkStart w:id="443" w:name="_Toc487900351"/>
      <w:bookmarkStart w:id="444" w:name="_Toc9829"/>
      <w:bookmarkStart w:id="445" w:name="_Toc31634"/>
      <w:bookmarkStart w:id="446" w:name="_Toc27853"/>
      <w:bookmarkStart w:id="447" w:name="_Toc279701242"/>
      <w:r>
        <w:rPr>
          <w:rFonts w:hint="eastAsia" w:ascii="宋体" w:hAnsi="宋体" w:eastAsia="宋体" w:cs="宋体"/>
          <w:color w:val="auto"/>
          <w:sz w:val="21"/>
          <w:szCs w:val="21"/>
          <w:highlight w:val="none"/>
        </w:rPr>
        <w:t>2.3 知识产权</w:t>
      </w:r>
      <w:bookmarkEnd w:id="442"/>
      <w:bookmarkEnd w:id="443"/>
      <w:bookmarkEnd w:id="444"/>
      <w:bookmarkEnd w:id="445"/>
      <w:bookmarkEnd w:id="446"/>
      <w:bookmarkEnd w:id="447"/>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 合同涉及技术成果的归属和收益的分成办法的，详见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pPr>
        <w:pStyle w:val="6"/>
        <w:tabs>
          <w:tab w:val="left" w:pos="900"/>
          <w:tab w:val="clear" w:pos="864"/>
        </w:tabs>
        <w:bidi w:val="0"/>
        <w:spacing w:line="360" w:lineRule="auto"/>
        <w:rPr>
          <w:rFonts w:hint="eastAsia" w:ascii="宋体" w:hAnsi="宋体" w:eastAsia="宋体" w:cs="宋体"/>
          <w:color w:val="auto"/>
          <w:sz w:val="21"/>
          <w:szCs w:val="21"/>
          <w:highlight w:val="none"/>
        </w:rPr>
      </w:pPr>
      <w:bookmarkStart w:id="448" w:name="_Ref467379536"/>
      <w:bookmarkStart w:id="449" w:name="_Toc487900354"/>
      <w:bookmarkStart w:id="450" w:name="_Ref467379527"/>
      <w:bookmarkStart w:id="451" w:name="_Toc279701245"/>
      <w:bookmarkStart w:id="452" w:name="_Toc259093674"/>
      <w:bookmarkStart w:id="453" w:name="_Ref467378591"/>
      <w:bookmarkStart w:id="454" w:name="_Ref467378541"/>
      <w:bookmarkStart w:id="455" w:name="_Ref467379542"/>
      <w:bookmarkStart w:id="456" w:name="_Toc26182"/>
      <w:bookmarkStart w:id="457" w:name="_Toc19074"/>
      <w:bookmarkStart w:id="458" w:name="_Toc30272"/>
      <w:r>
        <w:rPr>
          <w:rFonts w:hint="eastAsia" w:ascii="宋体" w:hAnsi="宋体" w:eastAsia="宋体" w:cs="宋体"/>
          <w:color w:val="auto"/>
          <w:sz w:val="21"/>
          <w:szCs w:val="21"/>
          <w:highlight w:val="none"/>
        </w:rPr>
        <w:t>2.</w:t>
      </w:r>
      <w:bookmarkEnd w:id="448"/>
      <w:bookmarkEnd w:id="449"/>
      <w:bookmarkEnd w:id="450"/>
      <w:bookmarkEnd w:id="451"/>
      <w:bookmarkEnd w:id="452"/>
      <w:bookmarkEnd w:id="453"/>
      <w:bookmarkEnd w:id="454"/>
      <w:bookmarkEnd w:id="455"/>
      <w:r>
        <w:rPr>
          <w:rFonts w:hint="eastAsia" w:ascii="宋体" w:hAnsi="宋体" w:eastAsia="宋体" w:cs="宋体"/>
          <w:color w:val="auto"/>
          <w:sz w:val="21"/>
          <w:szCs w:val="21"/>
          <w:highlight w:val="none"/>
        </w:rPr>
        <w:t>4 履约检查和问题反馈</w:t>
      </w:r>
      <w:bookmarkEnd w:id="456"/>
      <w:bookmarkEnd w:id="457"/>
      <w:bookmarkEnd w:id="458"/>
    </w:p>
    <w:p>
      <w:pPr>
        <w:spacing w:line="360" w:lineRule="auto"/>
        <w:ind w:firstLine="420" w:firstLineChars="200"/>
        <w:rPr>
          <w:rFonts w:hint="eastAsia" w:ascii="宋体" w:hAnsi="宋体" w:eastAsia="宋体" w:cs="宋体"/>
          <w:color w:val="auto"/>
          <w:sz w:val="21"/>
          <w:szCs w:val="21"/>
          <w:highlight w:val="none"/>
        </w:rPr>
      </w:pPr>
      <w:bookmarkStart w:id="459" w:name="_Ref467379657"/>
      <w:r>
        <w:rPr>
          <w:rFonts w:hint="eastAsia" w:ascii="宋体" w:hAnsi="宋体" w:eastAsia="宋体" w:cs="宋体"/>
          <w:color w:val="auto"/>
          <w:sz w:val="21"/>
          <w:szCs w:val="21"/>
          <w:highlight w:val="none"/>
        </w:rPr>
        <w:t>2.</w:t>
      </w:r>
      <w:bookmarkEnd w:id="459"/>
      <w:bookmarkStart w:id="460" w:name="_Toc186431854"/>
      <w:bookmarkStart w:id="461" w:name="_Ref467379807"/>
      <w:bookmarkStart w:id="462" w:name="_Toc487900357"/>
      <w:bookmarkStart w:id="463" w:name="_Toc259093676"/>
      <w:bookmarkStart w:id="464" w:name="_Toc279701247"/>
      <w:bookmarkStart w:id="465" w:name="_Ref467379793"/>
      <w:r>
        <w:rPr>
          <w:rFonts w:hint="eastAsia" w:ascii="宋体" w:hAnsi="宋体" w:eastAsia="宋体" w:cs="宋体"/>
          <w:color w:val="auto"/>
          <w:sz w:val="21"/>
          <w:szCs w:val="21"/>
          <w:highlight w:val="none"/>
        </w:rPr>
        <w:t>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合同履行期间，甲方有权将履行过程中出现的问题反馈给乙方，双方当事人应以书面形式约定需要完善和改进的内容</w:t>
      </w:r>
      <w:bookmarkEnd w:id="460"/>
      <w:bookmarkStart w:id="466" w:name="_Toc186431855"/>
      <w:r>
        <w:rPr>
          <w:rFonts w:hint="eastAsia" w:ascii="宋体" w:hAnsi="宋体" w:eastAsia="宋体" w:cs="宋体"/>
          <w:color w:val="auto"/>
          <w:sz w:val="21"/>
          <w:szCs w:val="21"/>
          <w:highlight w:val="none"/>
        </w:rPr>
        <w:t>。</w:t>
      </w:r>
    </w:p>
    <w:p>
      <w:pPr>
        <w:pStyle w:val="6"/>
        <w:tabs>
          <w:tab w:val="left" w:pos="900"/>
          <w:tab w:val="clear" w:pos="864"/>
        </w:tabs>
        <w:bidi w:val="0"/>
        <w:spacing w:line="360" w:lineRule="auto"/>
        <w:rPr>
          <w:rFonts w:hint="eastAsia" w:ascii="宋体" w:hAnsi="宋体" w:eastAsia="宋体" w:cs="宋体"/>
          <w:color w:val="auto"/>
          <w:sz w:val="21"/>
          <w:szCs w:val="21"/>
          <w:highlight w:val="none"/>
        </w:rPr>
      </w:pPr>
      <w:bookmarkStart w:id="467" w:name="_Toc15447"/>
      <w:bookmarkStart w:id="468" w:name="_Toc31233"/>
      <w:bookmarkStart w:id="469" w:name="_Toc26555"/>
      <w:bookmarkStart w:id="470" w:name="_Toc32670"/>
      <w:bookmarkStart w:id="471" w:name="_Toc22011"/>
      <w:r>
        <w:rPr>
          <w:rFonts w:hint="eastAsia" w:ascii="宋体" w:hAnsi="宋体" w:eastAsia="宋体" w:cs="宋体"/>
          <w:color w:val="auto"/>
          <w:sz w:val="21"/>
          <w:szCs w:val="21"/>
          <w:highlight w:val="none"/>
        </w:rPr>
        <w:t>2.5 结算方式和付款条件</w:t>
      </w:r>
      <w:bookmarkEnd w:id="467"/>
      <w:bookmarkEnd w:id="468"/>
      <w:bookmarkEnd w:id="469"/>
      <w:bookmarkEnd w:id="470"/>
      <w:bookmarkEnd w:id="471"/>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bookmarkEnd w:id="461"/>
    <w:bookmarkEnd w:id="462"/>
    <w:bookmarkEnd w:id="463"/>
    <w:bookmarkEnd w:id="464"/>
    <w:bookmarkEnd w:id="465"/>
    <w:bookmarkEnd w:id="466"/>
    <w:p>
      <w:pPr>
        <w:pStyle w:val="6"/>
        <w:tabs>
          <w:tab w:val="left" w:pos="900"/>
          <w:tab w:val="clear" w:pos="864"/>
        </w:tabs>
        <w:bidi w:val="0"/>
        <w:spacing w:line="360" w:lineRule="auto"/>
        <w:rPr>
          <w:rFonts w:hint="eastAsia" w:ascii="宋体" w:hAnsi="宋体" w:eastAsia="宋体" w:cs="宋体"/>
          <w:color w:val="auto"/>
          <w:sz w:val="21"/>
          <w:szCs w:val="21"/>
          <w:highlight w:val="none"/>
        </w:rPr>
      </w:pPr>
      <w:bookmarkStart w:id="472" w:name="_Toc259093677"/>
      <w:bookmarkStart w:id="473" w:name="_Toc279701248"/>
      <w:bookmarkStart w:id="474" w:name="_Ref467379923"/>
      <w:bookmarkStart w:id="475" w:name="_Toc487900358"/>
      <w:bookmarkStart w:id="476" w:name="_Ref467379863"/>
      <w:bookmarkStart w:id="477" w:name="_Ref467379852"/>
      <w:bookmarkStart w:id="478" w:name="_Toc3225"/>
      <w:bookmarkStart w:id="479" w:name="_Toc774"/>
      <w:bookmarkStart w:id="480" w:name="_Toc16110"/>
      <w:r>
        <w:rPr>
          <w:rFonts w:hint="eastAsia" w:ascii="宋体" w:hAnsi="宋体" w:eastAsia="宋体" w:cs="宋体"/>
          <w:color w:val="auto"/>
          <w:sz w:val="21"/>
          <w:szCs w:val="21"/>
          <w:highlight w:val="none"/>
        </w:rPr>
        <w:t>2.6 技术资料</w:t>
      </w:r>
      <w:bookmarkEnd w:id="472"/>
      <w:bookmarkEnd w:id="473"/>
      <w:bookmarkEnd w:id="474"/>
      <w:bookmarkEnd w:id="475"/>
      <w:bookmarkEnd w:id="476"/>
      <w:bookmarkEnd w:id="477"/>
      <w:r>
        <w:rPr>
          <w:rFonts w:hint="eastAsia" w:ascii="宋体" w:hAnsi="宋体" w:eastAsia="宋体" w:cs="宋体"/>
          <w:color w:val="auto"/>
          <w:sz w:val="21"/>
          <w:szCs w:val="21"/>
          <w:highlight w:val="none"/>
        </w:rPr>
        <w:t>和保密义务</w:t>
      </w:r>
      <w:bookmarkEnd w:id="478"/>
      <w:bookmarkEnd w:id="479"/>
      <w:bookmarkEnd w:id="480"/>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 乙方有权依据合同约定和项目需要，向甲方了解有关情况，调阅有关资料等，甲方应予积极配合；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 乙方有义务妥善保管和保护由甲方提供的前款信息和资料等；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6"/>
        <w:tabs>
          <w:tab w:val="left" w:pos="900"/>
          <w:tab w:val="clear" w:pos="864"/>
        </w:tabs>
        <w:bidi w:val="0"/>
        <w:spacing w:line="360" w:lineRule="auto"/>
        <w:rPr>
          <w:rFonts w:hint="eastAsia" w:ascii="宋体" w:hAnsi="宋体" w:eastAsia="宋体" w:cs="宋体"/>
          <w:color w:val="auto"/>
          <w:sz w:val="21"/>
          <w:szCs w:val="21"/>
          <w:highlight w:val="none"/>
        </w:rPr>
      </w:pPr>
      <w:bookmarkStart w:id="481" w:name="_Toc7860"/>
      <w:r>
        <w:rPr>
          <w:rFonts w:hint="eastAsia" w:ascii="宋体" w:hAnsi="宋体" w:eastAsia="宋体" w:cs="宋体"/>
          <w:color w:val="auto"/>
          <w:sz w:val="21"/>
          <w:szCs w:val="21"/>
          <w:highlight w:val="none"/>
        </w:rPr>
        <w:t>2.7 质量保证</w:t>
      </w:r>
      <w:bookmarkEnd w:id="481"/>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 乙方应建立和完善履行合同的内部质量保证体系，并提供相关内部规章制度给甲方，以便甲方进行监督检查；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 乙方应保证履行合同的人员数量和素质、软件和硬件设备的配置、场地、环境和设施等满足全面履行合同的要求，并应接受甲方的监督检查。</w:t>
      </w:r>
    </w:p>
    <w:p>
      <w:pPr>
        <w:pStyle w:val="6"/>
        <w:tabs>
          <w:tab w:val="left" w:pos="900"/>
          <w:tab w:val="clear" w:pos="864"/>
        </w:tabs>
        <w:bidi w:val="0"/>
        <w:spacing w:line="360" w:lineRule="auto"/>
        <w:rPr>
          <w:rFonts w:hint="eastAsia" w:ascii="宋体" w:hAnsi="宋体" w:eastAsia="宋体" w:cs="宋体"/>
          <w:color w:val="auto"/>
          <w:sz w:val="21"/>
          <w:szCs w:val="21"/>
          <w:highlight w:val="none"/>
        </w:rPr>
      </w:pPr>
      <w:bookmarkStart w:id="482" w:name="_Toc17244"/>
      <w:bookmarkStart w:id="483" w:name="_Toc259093681"/>
      <w:bookmarkStart w:id="484" w:name="_Toc487900362"/>
      <w:bookmarkStart w:id="485" w:name="_Toc279701252"/>
      <w:r>
        <w:rPr>
          <w:rFonts w:hint="eastAsia" w:ascii="宋体" w:hAnsi="宋体" w:eastAsia="宋体" w:cs="宋体"/>
          <w:color w:val="auto"/>
          <w:sz w:val="21"/>
          <w:szCs w:val="21"/>
          <w:highlight w:val="none"/>
        </w:rPr>
        <w:t xml:space="preserve">2.8 </w:t>
      </w:r>
      <w:bookmarkEnd w:id="482"/>
      <w:bookmarkStart w:id="486" w:name="_Toc14055"/>
      <w:r>
        <w:rPr>
          <w:rFonts w:hint="eastAsia" w:ascii="宋体" w:hAnsi="宋体" w:eastAsia="宋体" w:cs="宋体"/>
          <w:color w:val="auto"/>
          <w:sz w:val="21"/>
          <w:szCs w:val="21"/>
          <w:highlight w:val="none"/>
        </w:rPr>
        <w:t>延迟</w:t>
      </w:r>
      <w:bookmarkEnd w:id="483"/>
      <w:bookmarkEnd w:id="484"/>
      <w:bookmarkEnd w:id="485"/>
      <w:bookmarkEnd w:id="486"/>
      <w:r>
        <w:rPr>
          <w:rFonts w:hint="eastAsia" w:ascii="宋体" w:hAnsi="宋体" w:eastAsia="宋体" w:cs="宋体"/>
          <w:color w:val="auto"/>
          <w:sz w:val="21"/>
          <w:szCs w:val="21"/>
          <w:highlight w:val="none"/>
        </w:rPr>
        <w:t>履行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pStyle w:val="6"/>
        <w:tabs>
          <w:tab w:val="left" w:pos="900"/>
          <w:tab w:val="clear" w:pos="864"/>
        </w:tabs>
        <w:bidi w:val="0"/>
        <w:spacing w:line="360" w:lineRule="auto"/>
        <w:rPr>
          <w:rFonts w:hint="eastAsia" w:ascii="宋体" w:hAnsi="宋体" w:eastAsia="宋体" w:cs="宋体"/>
          <w:color w:val="auto"/>
          <w:sz w:val="21"/>
          <w:szCs w:val="21"/>
          <w:highlight w:val="none"/>
        </w:rPr>
      </w:pPr>
      <w:bookmarkStart w:id="487" w:name="_Toc7502"/>
      <w:bookmarkStart w:id="488" w:name="_Toc259093683"/>
      <w:bookmarkStart w:id="489" w:name="_Toc279701254"/>
      <w:bookmarkStart w:id="490" w:name="_Toc487900364"/>
      <w:bookmarkStart w:id="491" w:name="_Ref467378121"/>
      <w:r>
        <w:rPr>
          <w:rFonts w:hint="eastAsia" w:ascii="宋体" w:hAnsi="宋体" w:eastAsia="宋体" w:cs="宋体"/>
          <w:color w:val="auto"/>
          <w:sz w:val="21"/>
          <w:szCs w:val="21"/>
          <w:highlight w:val="none"/>
        </w:rPr>
        <w:t>2.9 合同变更</w:t>
      </w:r>
      <w:bookmarkEnd w:id="487"/>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487900369"/>
      <w:bookmarkStart w:id="494" w:name="_Toc259093688"/>
    </w:p>
    <w:p>
      <w:pPr>
        <w:pStyle w:val="6"/>
        <w:tabs>
          <w:tab w:val="left" w:pos="900"/>
          <w:tab w:val="clear" w:pos="864"/>
        </w:tabs>
        <w:bidi w:val="0"/>
        <w:spacing w:line="360" w:lineRule="auto"/>
        <w:rPr>
          <w:rFonts w:hint="eastAsia" w:ascii="宋体" w:hAnsi="宋体" w:eastAsia="宋体" w:cs="宋体"/>
          <w:color w:val="auto"/>
          <w:sz w:val="21"/>
          <w:szCs w:val="21"/>
          <w:highlight w:val="none"/>
        </w:rPr>
      </w:pPr>
      <w:bookmarkStart w:id="495" w:name="_Toc15237"/>
      <w:bookmarkStart w:id="496" w:name="_Toc22955"/>
      <w:bookmarkStart w:id="497" w:name="_Toc10366"/>
      <w:r>
        <w:rPr>
          <w:rFonts w:hint="eastAsia" w:ascii="宋体" w:hAnsi="宋体" w:eastAsia="宋体" w:cs="宋体"/>
          <w:color w:val="auto"/>
          <w:sz w:val="21"/>
          <w:szCs w:val="21"/>
          <w:highlight w:val="none"/>
        </w:rPr>
        <w:t>2.10 合同转让</w:t>
      </w:r>
      <w:bookmarkEnd w:id="492"/>
      <w:bookmarkEnd w:id="493"/>
      <w:bookmarkEnd w:id="494"/>
      <w:r>
        <w:rPr>
          <w:rFonts w:hint="eastAsia" w:ascii="宋体" w:hAnsi="宋体" w:eastAsia="宋体" w:cs="宋体"/>
          <w:color w:val="auto"/>
          <w:sz w:val="21"/>
          <w:szCs w:val="21"/>
          <w:highlight w:val="none"/>
        </w:rPr>
        <w:t>和分包</w:t>
      </w:r>
      <w:bookmarkEnd w:id="495"/>
      <w:bookmarkEnd w:id="496"/>
      <w:bookmarkEnd w:id="497"/>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pStyle w:val="5"/>
        <w:bidi w:val="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bookmarkStart w:id="498" w:name="_Toc16508"/>
      <w:bookmarkStart w:id="499" w:name="_Toc13566"/>
      <w:bookmarkStart w:id="500" w:name="_Toc14066"/>
      <w:r>
        <w:rPr>
          <w:rFonts w:hint="eastAsia" w:ascii="宋体" w:hAnsi="宋体" w:eastAsia="宋体" w:cs="宋体"/>
          <w:b/>
          <w:color w:val="auto"/>
          <w:sz w:val="21"/>
          <w:szCs w:val="21"/>
          <w:highlight w:val="none"/>
        </w:rPr>
        <w:t>11 不可抗力</w:t>
      </w:r>
      <w:bookmarkEnd w:id="498"/>
      <w:bookmarkEnd w:id="499"/>
      <w:bookmarkEnd w:id="500"/>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2.11.1如果任何一方遭遇法律规定的不可抗力，致使合同履行受阻时，履行合同的期限应予延长，延长的期限应相当于不可抗力所影响的时间；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2.11.2 因不可抗力致使不能实现合同目的的，当事人可以解除合同；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2.11.3 因不可抗力致使合同有变更必要的，双方当事人应在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约定时间内以书面形式变更合同；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2.11.4受不可抗力影响的一方在不可抗力发生后，应在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约定时间内以书面形式通知对方当事人，并在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约定时间内，将有关部门出具的证明文件送达对方当事人。</w:t>
      </w:r>
    </w:p>
    <w:p>
      <w:pPr>
        <w:pStyle w:val="5"/>
        <w:bidi w:val="0"/>
        <w:spacing w:line="360" w:lineRule="auto"/>
        <w:rPr>
          <w:rFonts w:hint="eastAsia" w:ascii="宋体" w:hAnsi="宋体" w:eastAsia="宋体" w:cs="宋体"/>
          <w:color w:val="auto"/>
          <w:sz w:val="21"/>
          <w:szCs w:val="21"/>
          <w:highlight w:val="none"/>
        </w:rPr>
      </w:pPr>
      <w:bookmarkStart w:id="501" w:name="_Toc487900365"/>
      <w:bookmarkStart w:id="502" w:name="_Toc30676"/>
      <w:bookmarkStart w:id="503" w:name="_Toc689"/>
      <w:bookmarkStart w:id="504" w:name="_Toc6969"/>
      <w:bookmarkStart w:id="505" w:name="_Toc259093684"/>
      <w:bookmarkStart w:id="506" w:name="_Toc279701255"/>
      <w:r>
        <w:rPr>
          <w:rFonts w:hint="eastAsia" w:ascii="宋体" w:hAnsi="宋体" w:eastAsia="宋体" w:cs="宋体"/>
          <w:color w:val="auto"/>
          <w:sz w:val="21"/>
          <w:szCs w:val="21"/>
          <w:highlight w:val="none"/>
        </w:rPr>
        <w:t>2.12 税费</w:t>
      </w:r>
      <w:bookmarkEnd w:id="501"/>
      <w:bookmarkEnd w:id="502"/>
      <w:bookmarkEnd w:id="503"/>
      <w:bookmarkEnd w:id="504"/>
      <w:bookmarkEnd w:id="505"/>
      <w:bookmarkEnd w:id="506"/>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与合同有关的一切税费，均按照中华人民共和国法律的相关规定缴纳。</w:t>
      </w:r>
    </w:p>
    <w:p>
      <w:pPr>
        <w:pStyle w:val="5"/>
        <w:bidi w:val="0"/>
        <w:spacing w:line="360" w:lineRule="auto"/>
        <w:rPr>
          <w:rFonts w:hint="eastAsia" w:ascii="宋体" w:hAnsi="宋体" w:eastAsia="宋体" w:cs="宋体"/>
          <w:color w:val="auto"/>
          <w:sz w:val="21"/>
          <w:szCs w:val="21"/>
          <w:highlight w:val="none"/>
        </w:rPr>
      </w:pPr>
      <w:bookmarkStart w:id="507" w:name="_Toc487900368"/>
      <w:bookmarkStart w:id="508" w:name="_Toc259093687"/>
      <w:bookmarkStart w:id="509" w:name="_Toc7102"/>
      <w:bookmarkStart w:id="510" w:name="_Toc16959"/>
      <w:bookmarkStart w:id="511" w:name="_Toc8298"/>
      <w:bookmarkStart w:id="512" w:name="_Toc279701258"/>
      <w:r>
        <w:rPr>
          <w:rFonts w:hint="eastAsia" w:ascii="宋体" w:hAnsi="宋体" w:eastAsia="宋体" w:cs="宋体"/>
          <w:color w:val="auto"/>
          <w:sz w:val="21"/>
          <w:szCs w:val="21"/>
          <w:highlight w:val="none"/>
        </w:rPr>
        <w:t>2.13 乙方破产</w:t>
      </w:r>
      <w:bookmarkEnd w:id="507"/>
      <w:bookmarkEnd w:id="508"/>
      <w:bookmarkEnd w:id="509"/>
      <w:bookmarkEnd w:id="510"/>
      <w:bookmarkEnd w:id="511"/>
      <w:bookmarkEnd w:id="512"/>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5"/>
        <w:bidi w:val="0"/>
        <w:spacing w:line="360" w:lineRule="auto"/>
        <w:rPr>
          <w:rFonts w:hint="eastAsia" w:ascii="宋体" w:hAnsi="宋体" w:eastAsia="宋体" w:cs="宋体"/>
          <w:color w:val="auto"/>
          <w:sz w:val="21"/>
          <w:szCs w:val="21"/>
          <w:highlight w:val="none"/>
        </w:rPr>
      </w:pPr>
      <w:bookmarkStart w:id="513" w:name="_Toc15387"/>
      <w:bookmarkStart w:id="514" w:name="_Toc29333"/>
      <w:bookmarkStart w:id="515" w:name="_Toc6134"/>
      <w:r>
        <w:rPr>
          <w:rFonts w:hint="eastAsia" w:ascii="宋体" w:hAnsi="宋体" w:eastAsia="宋体" w:cs="宋体"/>
          <w:color w:val="auto"/>
          <w:sz w:val="21"/>
          <w:szCs w:val="21"/>
          <w:highlight w:val="none"/>
        </w:rPr>
        <w:t>2.14 合同中止、终止</w:t>
      </w:r>
      <w:bookmarkEnd w:id="513"/>
      <w:bookmarkEnd w:id="514"/>
      <w:bookmarkEnd w:id="515"/>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2.14.1 双方当事人不得擅自中止或者终止合同；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2.14.2合同继续履行将损害国家利益和社会公共利益的，双方当事人应当中止或者终止合同。有过错的一方应当承担赔偿责任，双方当事人都有过错的，各自承担相应的责任。</w:t>
      </w:r>
    </w:p>
    <w:p>
      <w:pPr>
        <w:pStyle w:val="5"/>
        <w:bidi w:val="0"/>
        <w:spacing w:line="360" w:lineRule="auto"/>
        <w:rPr>
          <w:rFonts w:hint="eastAsia" w:ascii="宋体" w:hAnsi="宋体" w:eastAsia="宋体" w:cs="宋体"/>
          <w:color w:val="auto"/>
          <w:sz w:val="21"/>
          <w:szCs w:val="21"/>
          <w:highlight w:val="none"/>
        </w:rPr>
      </w:pPr>
      <w:bookmarkStart w:id="516" w:name="_Toc6596"/>
      <w:bookmarkStart w:id="517" w:name="_Toc14563"/>
      <w:bookmarkStart w:id="518" w:name="_Toc1125"/>
      <w:r>
        <w:rPr>
          <w:rFonts w:hint="eastAsia" w:ascii="宋体" w:hAnsi="宋体" w:eastAsia="宋体" w:cs="宋体"/>
          <w:color w:val="auto"/>
          <w:sz w:val="21"/>
          <w:szCs w:val="21"/>
          <w:highlight w:val="none"/>
        </w:rPr>
        <w:t>2.15 检验和验收</w:t>
      </w:r>
      <w:bookmarkEnd w:id="516"/>
      <w:bookmarkEnd w:id="517"/>
      <w:bookmarkEnd w:id="518"/>
    </w:p>
    <w:p>
      <w:pPr>
        <w:tabs>
          <w:tab w:val="left" w:pos="360"/>
          <w:tab w:val="left" w:pos="540"/>
          <w:tab w:val="left" w:pos="108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2.15.1 乙方按照合同</w:t>
      </w:r>
      <w:r>
        <w:rPr>
          <w:rFonts w:hint="eastAsia" w:ascii="宋体" w:hAnsi="宋体" w:eastAsia="宋体" w:cs="宋体"/>
          <w:b/>
          <w:i/>
          <w:color w:val="auto"/>
          <w:sz w:val="21"/>
          <w:szCs w:val="21"/>
          <w:highlight w:val="none"/>
          <w:u w:val="single"/>
        </w:rPr>
        <w:t>专用条款</w:t>
      </w:r>
      <w:r>
        <w:rPr>
          <w:rFonts w:hint="eastAsia" w:ascii="宋体" w:hAnsi="宋体" w:eastAsia="宋体" w:cs="宋体"/>
          <w:color w:val="auto"/>
          <w:sz w:val="21"/>
          <w:szCs w:val="21"/>
          <w:highlight w:val="none"/>
        </w:rPr>
        <w:t>的约定，定期提交服务报告，甲方按照</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的约定进行定期验收；</w:t>
      </w:r>
    </w:p>
    <w:p>
      <w:pPr>
        <w:tabs>
          <w:tab w:val="left" w:pos="360"/>
          <w:tab w:val="left" w:pos="540"/>
          <w:tab w:val="left" w:pos="108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2.15.3 检验和验收标准、程序等具体内容以及前述验收书的效力详见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i/>
          <w:color w:val="auto"/>
          <w:sz w:val="21"/>
          <w:szCs w:val="21"/>
          <w:highlight w:val="none"/>
        </w:rPr>
        <w:t>。</w:t>
      </w:r>
    </w:p>
    <w:bookmarkEnd w:id="488"/>
    <w:bookmarkEnd w:id="489"/>
    <w:bookmarkEnd w:id="490"/>
    <w:bookmarkEnd w:id="491"/>
    <w:p>
      <w:pPr>
        <w:pStyle w:val="5"/>
        <w:bidi w:val="0"/>
        <w:spacing w:line="360" w:lineRule="auto"/>
        <w:rPr>
          <w:rFonts w:hint="eastAsia" w:ascii="宋体" w:hAnsi="宋体" w:eastAsia="宋体" w:cs="宋体"/>
          <w:color w:val="auto"/>
          <w:sz w:val="21"/>
          <w:szCs w:val="21"/>
          <w:highlight w:val="none"/>
        </w:rPr>
      </w:pPr>
      <w:bookmarkStart w:id="519" w:name="_Toc487900371"/>
      <w:bookmarkStart w:id="520" w:name="_Toc259093690"/>
      <w:bookmarkStart w:id="521" w:name="_Toc279701261"/>
      <w:bookmarkStart w:id="522" w:name="_Toc25182"/>
      <w:bookmarkStart w:id="523" w:name="_Toc11284"/>
      <w:bookmarkStart w:id="524" w:name="_Toc19604"/>
      <w:r>
        <w:rPr>
          <w:rFonts w:hint="eastAsia" w:ascii="宋体" w:hAnsi="宋体" w:eastAsia="宋体" w:cs="宋体"/>
          <w:color w:val="auto"/>
          <w:sz w:val="21"/>
          <w:szCs w:val="21"/>
          <w:highlight w:val="none"/>
        </w:rPr>
        <w:t>2.16 通知</w:t>
      </w:r>
      <w:bookmarkEnd w:id="519"/>
      <w:bookmarkEnd w:id="520"/>
      <w:bookmarkEnd w:id="521"/>
      <w:r>
        <w:rPr>
          <w:rFonts w:hint="eastAsia" w:ascii="宋体" w:hAnsi="宋体" w:eastAsia="宋体" w:cs="宋体"/>
          <w:color w:val="auto"/>
          <w:sz w:val="21"/>
          <w:szCs w:val="21"/>
          <w:highlight w:val="none"/>
        </w:rPr>
        <w:t>和送达</w:t>
      </w:r>
      <w:bookmarkEnd w:id="522"/>
      <w:bookmarkEnd w:id="523"/>
      <w:bookmarkEnd w:id="524"/>
    </w:p>
    <w:p>
      <w:pPr>
        <w:spacing w:line="360" w:lineRule="auto"/>
        <w:ind w:firstLine="420" w:firstLineChars="200"/>
        <w:rPr>
          <w:rFonts w:hint="eastAsia" w:ascii="宋体" w:hAnsi="宋体" w:eastAsia="宋体" w:cs="宋体"/>
          <w:color w:val="auto"/>
          <w:sz w:val="21"/>
          <w:szCs w:val="21"/>
          <w:highlight w:val="none"/>
        </w:rPr>
      </w:pPr>
      <w:bookmarkStart w:id="525" w:name="_Toc6698"/>
      <w:bookmarkStart w:id="526" w:name="_Toc3135"/>
      <w:bookmarkStart w:id="527" w:name="_Toc487900372"/>
      <w:bookmarkStart w:id="528" w:name="_Toc259093691"/>
      <w:bookmarkStart w:id="529" w:name="_Toc279701262"/>
      <w:r>
        <w:rPr>
          <w:rFonts w:hint="eastAsia" w:ascii="宋体" w:hAnsi="宋体" w:eastAsia="宋体" w:cs="宋体"/>
          <w:color w:val="auto"/>
          <w:sz w:val="21"/>
          <w:szCs w:val="21"/>
          <w:highlight w:val="none"/>
        </w:rPr>
        <w:t xml:space="preserve">2.17.1任何一方因履行合同而以合同第一部分尾部所列明的传真或电子邮件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个工作日内书面通知对方当事人，在对方当事人收到有关变更通知之前，变更前的约定送达方式或者地址仍视为有效。</w:t>
      </w:r>
      <w:bookmarkEnd w:id="525"/>
      <w:bookmarkEnd w:id="526"/>
    </w:p>
    <w:p>
      <w:pPr>
        <w:spacing w:line="360" w:lineRule="auto"/>
        <w:ind w:firstLine="420" w:firstLineChars="200"/>
        <w:rPr>
          <w:rFonts w:hint="eastAsia" w:ascii="宋体" w:hAnsi="宋体" w:eastAsia="宋体" w:cs="宋体"/>
          <w:color w:val="auto"/>
          <w:sz w:val="21"/>
          <w:szCs w:val="21"/>
          <w:highlight w:val="none"/>
        </w:rPr>
      </w:pPr>
      <w:bookmarkStart w:id="530" w:name="_Toc23128"/>
      <w:bookmarkStart w:id="531" w:name="_Toc23294"/>
      <w:r>
        <w:rPr>
          <w:rFonts w:hint="eastAsia" w:ascii="宋体" w:hAnsi="宋体" w:eastAsia="宋体" w:cs="宋体"/>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pPr>
        <w:pStyle w:val="5"/>
        <w:bidi w:val="0"/>
        <w:spacing w:line="360" w:lineRule="auto"/>
        <w:rPr>
          <w:rFonts w:hint="eastAsia" w:ascii="宋体" w:hAnsi="宋体" w:eastAsia="宋体" w:cs="宋体"/>
          <w:b/>
          <w:color w:val="auto"/>
          <w:sz w:val="21"/>
          <w:szCs w:val="21"/>
          <w:highlight w:val="none"/>
        </w:rPr>
      </w:pPr>
      <w:bookmarkStart w:id="532" w:name="_Toc18540"/>
      <w:bookmarkStart w:id="533" w:name="_Toc4355"/>
      <w:bookmarkStart w:id="534" w:name="_Toc30599"/>
      <w:r>
        <w:rPr>
          <w:rFonts w:hint="eastAsia" w:ascii="宋体" w:hAnsi="宋体" w:eastAsia="宋体" w:cs="宋体"/>
          <w:b/>
          <w:color w:val="auto"/>
          <w:sz w:val="21"/>
          <w:szCs w:val="21"/>
          <w:highlight w:val="none"/>
        </w:rPr>
        <w:t>2.</w:t>
      </w:r>
      <w:bookmarkEnd w:id="527"/>
      <w:bookmarkEnd w:id="528"/>
      <w:bookmarkEnd w:id="529"/>
      <w:bookmarkEnd w:id="532"/>
      <w:bookmarkEnd w:id="533"/>
      <w:bookmarkEnd w:id="534"/>
      <w:r>
        <w:rPr>
          <w:rFonts w:hint="eastAsia" w:ascii="宋体" w:hAnsi="宋体" w:eastAsia="宋体" w:cs="宋体"/>
          <w:b/>
          <w:color w:val="auto"/>
          <w:sz w:val="21"/>
          <w:szCs w:val="21"/>
          <w:highlight w:val="none"/>
        </w:rPr>
        <w:t xml:space="preserve">17 </w:t>
      </w:r>
      <w:r>
        <w:rPr>
          <w:rFonts w:hint="eastAsia" w:ascii="宋体" w:hAnsi="宋体" w:eastAsia="宋体" w:cs="宋体"/>
          <w:color w:val="auto"/>
          <w:sz w:val="21"/>
          <w:szCs w:val="21"/>
          <w:highlight w:val="none"/>
        </w:rPr>
        <w:t>合同使用</w:t>
      </w:r>
      <w:bookmarkStart w:id="535" w:name="_Toc259093692"/>
      <w:bookmarkStart w:id="536" w:name="_Toc12773"/>
      <w:bookmarkStart w:id="537" w:name="_Toc10330"/>
      <w:bookmarkStart w:id="538" w:name="_Toc18567"/>
      <w:bookmarkStart w:id="539" w:name="_Toc487900373"/>
      <w:bookmarkStart w:id="540" w:name="_Toc279701263"/>
      <w:r>
        <w:rPr>
          <w:rFonts w:hint="eastAsia" w:ascii="宋体" w:hAnsi="宋体" w:eastAsia="宋体" w:cs="宋体"/>
          <w:b/>
          <w:color w:val="auto"/>
          <w:sz w:val="21"/>
          <w:szCs w:val="21"/>
          <w:highlight w:val="none"/>
        </w:rPr>
        <w:t>的文字和适用的法律</w:t>
      </w:r>
      <w:bookmarkEnd w:id="535"/>
      <w:bookmarkEnd w:id="536"/>
      <w:bookmarkEnd w:id="537"/>
      <w:bookmarkEnd w:id="538"/>
      <w:bookmarkEnd w:id="539"/>
      <w:bookmarkEnd w:id="540"/>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2.17.1 合同使用汉语书就、变更和解释；</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2.17.2 合同适用中华人民共和国法律。</w:t>
      </w:r>
    </w:p>
    <w:p>
      <w:pPr>
        <w:pStyle w:val="5"/>
        <w:spacing w:line="360" w:lineRule="auto"/>
        <w:rPr>
          <w:rFonts w:hint="eastAsia" w:ascii="宋体" w:hAnsi="宋体" w:eastAsia="宋体" w:cs="宋体"/>
          <w:color w:val="auto"/>
          <w:sz w:val="21"/>
          <w:szCs w:val="21"/>
          <w:highlight w:val="none"/>
        </w:rPr>
      </w:pPr>
      <w:bookmarkStart w:id="541" w:name="_Toc22266"/>
      <w:bookmarkStart w:id="542" w:name="_Toc30096"/>
      <w:bookmarkStart w:id="543" w:name="_Toc27127"/>
      <w:bookmarkStart w:id="544" w:name="_Toc27403"/>
      <w:bookmarkStart w:id="545" w:name="_Toc1492"/>
      <w:bookmarkStart w:id="546" w:name="_Toc259093693"/>
      <w:bookmarkStart w:id="547" w:name="_Toc3148"/>
      <w:bookmarkStart w:id="548" w:name="_Toc12004"/>
      <w:bookmarkStart w:id="549" w:name="_Toc487900374"/>
      <w:bookmarkStart w:id="550" w:name="_Toc279701264"/>
      <w:bookmarkStart w:id="551" w:name="_Toc16673"/>
      <w:r>
        <w:rPr>
          <w:rFonts w:hint="eastAsia" w:ascii="宋体" w:hAnsi="宋体" w:eastAsia="宋体" w:cs="宋体"/>
          <w:b/>
          <w:color w:val="auto"/>
          <w:sz w:val="21"/>
          <w:szCs w:val="21"/>
          <w:highlight w:val="none"/>
        </w:rPr>
        <w:t xml:space="preserve">2.18 </w:t>
      </w:r>
      <w:bookmarkEnd w:id="541"/>
      <w:bookmarkEnd w:id="542"/>
      <w:bookmarkEnd w:id="543"/>
      <w:bookmarkEnd w:id="544"/>
      <w:bookmarkEnd w:id="545"/>
      <w:r>
        <w:rPr>
          <w:rFonts w:hint="eastAsia" w:ascii="宋体" w:hAnsi="宋体" w:eastAsia="宋体" w:cs="宋体"/>
          <w:b/>
          <w:color w:val="auto"/>
          <w:sz w:val="21"/>
          <w:szCs w:val="21"/>
          <w:highlight w:val="none"/>
        </w:rPr>
        <w:t>计量单位</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除技术规范中另有规定外,合同的计量单位均使用国家法定计量单位。</w:t>
      </w:r>
    </w:p>
    <w:p>
      <w:pPr>
        <w:pStyle w:val="5"/>
        <w:bidi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2.19合同份数</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合同份数按</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规定，每份均具有同等法律效力。</w:t>
      </w:r>
    </w:p>
    <w:bookmarkEnd w:id="546"/>
    <w:bookmarkEnd w:id="547"/>
    <w:bookmarkEnd w:id="548"/>
    <w:bookmarkEnd w:id="549"/>
    <w:bookmarkEnd w:id="550"/>
    <w:bookmarkEnd w:id="551"/>
    <w:p>
      <w:pPr>
        <w:spacing w:line="360" w:lineRule="auto"/>
        <w:ind w:firstLine="420" w:firstLineChars="200"/>
        <w:rPr>
          <w:rFonts w:hint="eastAsia" w:ascii="宋体" w:hAnsi="宋体" w:eastAsia="宋体" w:cs="宋体"/>
          <w:color w:val="auto"/>
          <w:sz w:val="21"/>
          <w:szCs w:val="21"/>
          <w:highlight w:val="none"/>
        </w:rPr>
      </w:pPr>
    </w:p>
    <w:p>
      <w:pPr>
        <w:pStyle w:val="2"/>
        <w:spacing w:line="360" w:lineRule="auto"/>
        <w:rPr>
          <w:rFonts w:hint="eastAsia" w:ascii="宋体" w:hAnsi="宋体" w:eastAsia="宋体" w:cs="宋体"/>
          <w:color w:val="auto"/>
          <w:sz w:val="21"/>
          <w:szCs w:val="21"/>
          <w:highlight w:val="none"/>
        </w:rPr>
      </w:pPr>
    </w:p>
    <w:p>
      <w:pPr>
        <w:pStyle w:val="70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b/>
          <w:color w:val="auto"/>
          <w:sz w:val="21"/>
          <w:szCs w:val="21"/>
          <w:highlight w:val="none"/>
        </w:rPr>
        <w:t>第三部分  合同专用条款</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89"/>
        <w:gridCol w:w="81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1" w:hRule="atLeast"/>
        </w:trPr>
        <w:tc>
          <w:tcPr>
            <w:tcW w:w="541" w:type="pct"/>
            <w:tcBorders>
              <w:tl2br w:val="nil"/>
              <w:tr2bl w:val="nil"/>
            </w:tcBorders>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4458" w:type="pct"/>
            <w:tcBorders>
              <w:tl2br w:val="nil"/>
              <w:tr2bl w:val="nil"/>
            </w:tcBorders>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约定内容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41" w:type="pct"/>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4458" w:type="pct"/>
            <w:tcBorders>
              <w:tl2br w:val="nil"/>
              <w:tr2bl w:val="nil"/>
            </w:tcBorders>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本项目无履约保证金。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41" w:type="pct"/>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4458" w:type="pct"/>
            <w:tcBorders>
              <w:tl2br w:val="nil"/>
              <w:tr2bl w:val="nil"/>
            </w:tcBorders>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本项目无履约保证金。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41" w:type="pct"/>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w:t>
            </w:r>
          </w:p>
        </w:tc>
        <w:tc>
          <w:tcPr>
            <w:tcW w:w="4458" w:type="pct"/>
            <w:tcBorders>
              <w:tl2br w:val="nil"/>
              <w:tr2bl w:val="nil"/>
            </w:tcBorders>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预付款比例、支付方式、时间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合同签订</w:t>
            </w:r>
            <w:r>
              <w:rPr>
                <w:rFonts w:hint="eastAsia" w:ascii="宋体" w:hAnsi="宋体" w:eastAsia="宋体" w:cs="宋体"/>
                <w:color w:val="auto"/>
                <w:sz w:val="21"/>
                <w:szCs w:val="21"/>
                <w:highlight w:val="none"/>
                <w:lang w:val="en-US" w:eastAsia="zh-CN"/>
              </w:rPr>
              <w:t>且财政下达资金后</w:t>
            </w:r>
            <w:r>
              <w:rPr>
                <w:rFonts w:hint="eastAsia" w:ascii="宋体" w:hAnsi="宋体" w:eastAsia="宋体" w:cs="宋体"/>
                <w:color w:val="auto"/>
                <w:sz w:val="21"/>
                <w:szCs w:val="21"/>
                <w:highlight w:val="none"/>
              </w:rPr>
              <w:t>7个工作日内支付合同金额的40%为预付款</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41" w:type="pct"/>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p>
        </w:tc>
        <w:tc>
          <w:tcPr>
            <w:tcW w:w="4458" w:type="pct"/>
            <w:tcBorders>
              <w:tl2br w:val="nil"/>
              <w:tr2bl w:val="nil"/>
            </w:tcBorders>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预付款的扣回方式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转账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41" w:type="pct"/>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w:t>
            </w:r>
          </w:p>
        </w:tc>
        <w:tc>
          <w:tcPr>
            <w:tcW w:w="4458" w:type="pct"/>
            <w:tcBorders>
              <w:tl2br w:val="nil"/>
              <w:tr2bl w:val="nil"/>
            </w:tcBorders>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预付款的担保措施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41" w:type="pct"/>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4458" w:type="pct"/>
            <w:tcBorders>
              <w:tl2br w:val="nil"/>
              <w:tr2bl w:val="nil"/>
            </w:tcBorders>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资金支付的方式、时间和条件</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w:t>
            </w:r>
            <w:r>
              <w:rPr>
                <w:rFonts w:hint="eastAsia" w:ascii="宋体" w:hAnsi="宋体" w:eastAsia="宋体" w:cs="宋体"/>
                <w:color w:val="auto"/>
                <w:sz w:val="21"/>
                <w:szCs w:val="21"/>
                <w:highlight w:val="none"/>
                <w:lang w:val="en-US" w:eastAsia="zh-CN"/>
              </w:rPr>
              <w:t>且财政下达资金后</w:t>
            </w:r>
            <w:r>
              <w:rPr>
                <w:rFonts w:hint="eastAsia" w:ascii="宋体" w:hAnsi="宋体" w:eastAsia="宋体" w:cs="宋体"/>
                <w:color w:val="auto"/>
                <w:sz w:val="21"/>
                <w:szCs w:val="21"/>
                <w:highlight w:val="none"/>
              </w:rPr>
              <w:t>7个工作日内支付合同金额的</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0%为预付款；</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初验通过且财政下达资金</w:t>
            </w:r>
            <w:r>
              <w:rPr>
                <w:rFonts w:hint="eastAsia" w:ascii="宋体" w:hAnsi="宋体" w:eastAsia="宋体" w:cs="宋体"/>
                <w:color w:val="auto"/>
                <w:sz w:val="21"/>
                <w:szCs w:val="21"/>
                <w:highlight w:val="none"/>
              </w:rPr>
              <w:t>后7个工作日内支付合同金额的</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0%的款项</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3）终验通过且财政下达资金</w:t>
            </w:r>
            <w:r>
              <w:rPr>
                <w:rFonts w:hint="eastAsia" w:ascii="宋体" w:hAnsi="宋体" w:eastAsia="宋体" w:cs="宋体"/>
                <w:color w:val="auto"/>
                <w:sz w:val="21"/>
                <w:szCs w:val="21"/>
                <w:highlight w:val="none"/>
              </w:rPr>
              <w:t>后7个工作日内支付合同金额的</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0%的款项</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41" w:type="pct"/>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4458" w:type="pct"/>
            <w:tcBorders>
              <w:tl2br w:val="nil"/>
              <w:tr2bl w:val="nil"/>
            </w:tcBorders>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服务交付（实施）的时间（期限）</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合同期</w:t>
            </w:r>
            <w:r>
              <w:rPr>
                <w:rFonts w:hint="eastAsia" w:ascii="宋体" w:hAnsi="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val="en-US" w:eastAsia="zh-CN"/>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41" w:type="pct"/>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4458" w:type="pct"/>
            <w:tcBorders>
              <w:tl2br w:val="nil"/>
              <w:tr2bl w:val="nil"/>
            </w:tcBorders>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服务交付（实施）的地点（地域范围）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杭州市临平区塘栖镇人民政府</w:t>
            </w:r>
            <w:r>
              <w:rPr>
                <w:rFonts w:hint="eastAsia" w:ascii="宋体" w:hAnsi="宋体" w:eastAsia="宋体" w:cs="宋体"/>
                <w:color w:val="auto"/>
                <w:sz w:val="21"/>
                <w:szCs w:val="21"/>
                <w:highlight w:val="none"/>
              </w:rPr>
              <w:t>及其指定地点</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41" w:type="pct"/>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w:t>
            </w:r>
          </w:p>
        </w:tc>
        <w:tc>
          <w:tcPr>
            <w:tcW w:w="4458" w:type="pct"/>
            <w:tcBorders>
              <w:tl2br w:val="nil"/>
              <w:tr2bl w:val="nil"/>
            </w:tcBorders>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服务交付（实施）的方式</w:t>
            </w:r>
            <w:r>
              <w:rPr>
                <w:rFonts w:hint="eastAsia" w:ascii="宋体" w:hAnsi="宋体" w:eastAsia="宋体" w:cs="宋体"/>
                <w:color w:val="auto"/>
                <w:sz w:val="21"/>
                <w:szCs w:val="21"/>
                <w:highlight w:val="none"/>
                <w:lang w:val="en-US" w:eastAsia="zh-CN"/>
              </w:rPr>
              <w:t>：按照招标文件及合同要求进行交付。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41" w:type="pct"/>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1.7.4.1</w:t>
            </w:r>
          </w:p>
        </w:tc>
        <w:tc>
          <w:tcPr>
            <w:tcW w:w="4458" w:type="pct"/>
            <w:tcBorders>
              <w:tl2br w:val="nil"/>
              <w:tr2bl w:val="nil"/>
            </w:tcBorders>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服务配套货物的</w:t>
            </w:r>
            <w:r>
              <w:rPr>
                <w:rFonts w:hint="eastAsia" w:ascii="宋体" w:hAnsi="宋体" w:eastAsia="宋体" w:cs="宋体"/>
                <w:color w:val="auto"/>
                <w:sz w:val="21"/>
                <w:szCs w:val="21"/>
                <w:highlight w:val="none"/>
              </w:rPr>
              <w:t>交付期限</w:t>
            </w:r>
            <w:r>
              <w:rPr>
                <w:rFonts w:hint="eastAsia" w:ascii="宋体" w:hAnsi="宋体" w:eastAsia="宋体" w:cs="宋体"/>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41" w:type="pct"/>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1.7.4.2</w:t>
            </w:r>
          </w:p>
        </w:tc>
        <w:tc>
          <w:tcPr>
            <w:tcW w:w="4458" w:type="pct"/>
            <w:tcBorders>
              <w:tl2br w:val="nil"/>
              <w:tr2bl w:val="nil"/>
            </w:tcBorders>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服务配套货物的</w:t>
            </w:r>
            <w:r>
              <w:rPr>
                <w:rFonts w:hint="eastAsia" w:ascii="宋体" w:hAnsi="宋体" w:eastAsia="宋体" w:cs="宋体"/>
                <w:color w:val="auto"/>
                <w:sz w:val="21"/>
                <w:szCs w:val="21"/>
                <w:highlight w:val="none"/>
              </w:rPr>
              <w:t>交付地点</w:t>
            </w:r>
            <w:r>
              <w:rPr>
                <w:rFonts w:hint="eastAsia" w:ascii="宋体" w:hAnsi="宋体" w:eastAsia="宋体" w:cs="宋体"/>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41" w:type="pct"/>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1.7.4.3</w:t>
            </w:r>
          </w:p>
        </w:tc>
        <w:tc>
          <w:tcPr>
            <w:tcW w:w="4458" w:type="pct"/>
            <w:tcBorders>
              <w:tl2br w:val="nil"/>
              <w:tr2bl w:val="nil"/>
            </w:tcBorders>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服务配套货物的</w:t>
            </w:r>
            <w:r>
              <w:rPr>
                <w:rFonts w:hint="eastAsia" w:ascii="宋体" w:hAnsi="宋体" w:eastAsia="宋体" w:cs="宋体"/>
                <w:color w:val="auto"/>
                <w:sz w:val="21"/>
                <w:szCs w:val="21"/>
                <w:highlight w:val="none"/>
              </w:rPr>
              <w:t>交付方式</w:t>
            </w:r>
            <w:r>
              <w:rPr>
                <w:rFonts w:hint="eastAsia" w:ascii="宋体" w:hAnsi="宋体" w:eastAsia="宋体" w:cs="宋体"/>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41" w:type="pct"/>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w:t>
            </w:r>
          </w:p>
        </w:tc>
        <w:tc>
          <w:tcPr>
            <w:tcW w:w="4458" w:type="pct"/>
            <w:tcBorders>
              <w:tl2br w:val="nil"/>
              <w:tr2bl w:val="nil"/>
            </w:tcBorders>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违约责任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41" w:type="pct"/>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4458" w:type="pct"/>
            <w:tcBorders>
              <w:tl2br w:val="nil"/>
              <w:tr2bl w:val="nil"/>
            </w:tcBorders>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合同履行地仲裁委员会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41" w:type="pct"/>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w:t>
            </w:r>
          </w:p>
        </w:tc>
        <w:tc>
          <w:tcPr>
            <w:tcW w:w="4458" w:type="pct"/>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合同履行地法院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41" w:type="pct"/>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4458" w:type="pct"/>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乙方应保证提供的商品不侵犯第三方的专利权、商标权或者其他知识产权。如乙方行为侵犯第三方知识产权并造成第三方追究甲方责任的，甲方因此受到的损失由乙方承担。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41" w:type="pct"/>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4458" w:type="pct"/>
            <w:tcBorders>
              <w:tl2br w:val="nil"/>
              <w:tr2bl w:val="nil"/>
            </w:tcBorders>
            <w:vAlign w:val="center"/>
          </w:tcPr>
          <w:p>
            <w:p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详见招标文件商务条款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41" w:type="pct"/>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2.11.3</w:t>
            </w:r>
          </w:p>
        </w:tc>
        <w:tc>
          <w:tcPr>
            <w:tcW w:w="4458" w:type="pct"/>
            <w:tcBorders>
              <w:tl2br w:val="nil"/>
              <w:tr2bl w:val="nil"/>
            </w:tcBorders>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因不可抗力致使合同有变更必要的，双方当事人应在</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个工作日内以书面形式变更合同；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41" w:type="pct"/>
            <w:tcBorders>
              <w:tl2br w:val="nil"/>
              <w:tr2bl w:val="nil"/>
            </w:tcBorders>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w:t>
            </w:r>
          </w:p>
        </w:tc>
        <w:tc>
          <w:tcPr>
            <w:tcW w:w="4458" w:type="pct"/>
            <w:tcBorders>
              <w:tl2br w:val="nil"/>
              <w:tr2bl w:val="nil"/>
            </w:tcBorders>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受不可抗力影响的一方在不可抗力发生后，应在3个工作日内以书面形式通知对方当事人，并在3个工作日内将有关部门出具的证明文件送达对方当事人。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41" w:type="pct"/>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2.15.1</w:t>
            </w:r>
          </w:p>
        </w:tc>
        <w:tc>
          <w:tcPr>
            <w:tcW w:w="4458" w:type="pct"/>
            <w:tcBorders>
              <w:tl2br w:val="nil"/>
              <w:tr2bl w:val="nil"/>
            </w:tcBorders>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按照招标文件和合同进行验收。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541" w:type="pct"/>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2.15.3</w:t>
            </w:r>
          </w:p>
        </w:tc>
        <w:tc>
          <w:tcPr>
            <w:tcW w:w="4458" w:type="pct"/>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根据合同规定范围提供服务并通过甲方验收后，甲方凭乙方开具的正规发票和甲方认可的各项记录复印件，办理服务费用的支付手续。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541" w:type="pct"/>
            <w:tcBorders>
              <w:tl2br w:val="nil"/>
              <w:tr2bl w:val="nil"/>
            </w:tcBorders>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w:t>
            </w:r>
          </w:p>
        </w:tc>
        <w:tc>
          <w:tcPr>
            <w:tcW w:w="4458" w:type="pct"/>
            <w:tcBorders>
              <w:tl2br w:val="nil"/>
              <w:tr2bl w:val="nil"/>
            </w:tcBorders>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lang w:val="en-US" w:eastAsia="zh-CN"/>
              </w:rPr>
              <w:t>肆</w:t>
            </w:r>
            <w:r>
              <w:rPr>
                <w:rFonts w:hint="eastAsia" w:ascii="宋体" w:hAnsi="宋体" w:eastAsia="宋体" w:cs="宋体"/>
                <w:color w:val="auto"/>
                <w:sz w:val="21"/>
                <w:szCs w:val="21"/>
                <w:highlight w:val="none"/>
              </w:rPr>
              <w:t>份，甲方执</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份、乙方执贰份，每份均具有同等法律效力。</w:t>
            </w: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w:t>
      </w: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52" w:name="_Hlk101257010"/>
      <w:r>
        <w:rPr>
          <w:rFonts w:hint="eastAsia" w:ascii="宋体" w:hAnsi="宋体" w:cs="宋体"/>
          <w:color w:val="auto"/>
          <w:sz w:val="24"/>
          <w:highlight w:val="none"/>
        </w:rPr>
        <w:t>（如果有)</w:t>
      </w:r>
      <w:bookmarkEnd w:id="552"/>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4"/>
        <w:rPr>
          <w:color w:val="auto"/>
          <w:sz w:val="18"/>
          <w:szCs w:val="18"/>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ind w:firstLine="576"/>
        <w:rPr>
          <w:rFonts w:ascii="宋体" w:hAnsi="宋体" w:cs="宋体"/>
          <w:color w:val="auto"/>
          <w:kern w:val="0"/>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见投标文件</w:t>
            </w:r>
          </w:p>
          <w:p>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2" w:type="first"/>
          <w:headerReference r:id="rId21" w:type="default"/>
          <w:pgSz w:w="16838" w:h="11906" w:orient="landscape"/>
          <w:pgMar w:top="1418" w:right="1247" w:bottom="1418" w:left="1276" w:header="851" w:footer="992" w:gutter="0"/>
          <w:pgNumType w:start="1"/>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53" w:name="OLE_LINK13"/>
      <w:bookmarkStart w:id="554" w:name="OLE_LINK14"/>
      <w:r>
        <w:rPr>
          <w:rFonts w:hint="eastAsia" w:ascii="宋体" w:hAnsi="宋体" w:cs="宋体"/>
          <w:b/>
          <w:color w:val="auto"/>
          <w:spacing w:val="6"/>
          <w:sz w:val="32"/>
          <w:szCs w:val="32"/>
          <w:highlight w:val="none"/>
        </w:rPr>
        <w:t>残疾人福利性单位声明函</w:t>
      </w:r>
    </w:p>
    <w:bookmarkEnd w:id="553"/>
    <w:bookmarkEnd w:id="554"/>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left"/>
        <w:rPr>
          <w:rFonts w:hint="eastAsia" w:ascii="宋体" w:hAnsi="宋体" w:cs="宋体"/>
          <w:b/>
          <w:color w:val="auto"/>
          <w:spacing w:val="6"/>
          <w:sz w:val="15"/>
          <w:szCs w:val="15"/>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5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5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56"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56"/>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57"/>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textWrapping"/>
      </w: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58" w:name="_Toc164085800"/>
    <w:bookmarkStart w:id="559" w:name="_Toc131845147"/>
    <w:bookmarkStart w:id="560" w:name="_Toc36110187"/>
    <w:bookmarkStart w:id="561" w:name="_Toc91899912"/>
    <w:r>
      <w:rPr>
        <w:rFonts w:hint="eastAsia" w:ascii="仿宋_GB2312" w:eastAsia="仿宋_GB2312"/>
        <w:kern w:val="0"/>
        <w:szCs w:val="21"/>
      </w:rPr>
      <w:t xml:space="preserve"> 页</w:t>
    </w:r>
    <w:bookmarkEnd w:id="558"/>
    <w:bookmarkEnd w:id="559"/>
    <w:bookmarkEnd w:id="560"/>
    <w:bookmarkEnd w:id="56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eastAsia="仿宋_GB2312"/>
        <w:i/>
        <w:u w:val="single"/>
      </w:rPr>
    </w:pPr>
    <w:r>
      <w:rPr>
        <w:lang w:val="zh-CN"/>
      </w:rPr>
      <w:t></w:t>
    </w:r>
    <w:r>
      <w:drawing>
        <wp:inline distT="0" distB="0" distL="114300" distR="114300">
          <wp:extent cx="661670" cy="501015"/>
          <wp:effectExtent l="0" t="0" r="5080"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lef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1"/>
                    </w:pPr>
                  </w:p>
                </w:txbxContent>
              </v:textbox>
            </v:shape>
          </w:pict>
        </mc:Fallback>
      </mc:AlternateContent>
    </w:r>
    <w:r>
      <w:drawing>
        <wp:inline distT="0" distB="0" distL="114300" distR="114300">
          <wp:extent cx="661670" cy="501015"/>
          <wp:effectExtent l="0" t="0" r="5080" b="13335"/>
          <wp:docPr id="1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rFonts w:hint="eastAsia"/>
      </w:rPr>
      <w:t xml:space="preserve">  </w:t>
    </w:r>
    <w:r>
      <w:tab/>
    </w:r>
    <w:r>
      <w:rPr>
        <w:lang w:val="zh-CN"/>
      </w:rPr>
      <w:t></w:t>
    </w:r>
    <w:r>
      <w:tab/>
    </w:r>
    <w:r>
      <w:rPr>
        <w:rFonts w:hint="eastAsia"/>
      </w:rPr>
      <w:t xml:space="preserve">                                                                           海标工程管理有限公司</w:t>
    </w:r>
    <w:r>
      <w:rPr>
        <w:lang w:val="zh-CN"/>
      </w:rPr>
      <w:t>采购招标文件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drawing>
        <wp:inline distT="0" distB="0" distL="114300" distR="114300">
          <wp:extent cx="661670" cy="501015"/>
          <wp:effectExtent l="0" t="0" r="5080" b="13335"/>
          <wp:docPr id="17"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drawing>
        <wp:inline distT="0" distB="0" distL="114300" distR="114300">
          <wp:extent cx="661670" cy="501015"/>
          <wp:effectExtent l="0" t="0" r="5080" b="13335"/>
          <wp:docPr id="16"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drawing>
        <wp:inline distT="0" distB="0" distL="114300" distR="114300">
          <wp:extent cx="661670" cy="501015"/>
          <wp:effectExtent l="0" t="0" r="5080" b="13335"/>
          <wp:docPr id="5"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w:t>
    </w:r>
    <w:r>
      <w:drawing>
        <wp:inline distT="0" distB="0" distL="114300" distR="114300">
          <wp:extent cx="661670" cy="501015"/>
          <wp:effectExtent l="0" t="0" r="5080" b="13335"/>
          <wp:docPr id="6"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Bdr>
        <w:bottom w:val="single" w:color="auto" w:sz="6" w:space="0"/>
      </w:pBdr>
      <w:tabs>
        <w:tab w:val="center" w:pos="4535"/>
        <w:tab w:val="right" w:pos="9070"/>
        <w:tab w:val="clear" w:pos="4153"/>
        <w:tab w:val="clear" w:pos="8306"/>
      </w:tabs>
      <w:jc w:val="right"/>
    </w:pPr>
    <w:r>
      <w:rPr>
        <w:lang w:val="zh-CN"/>
      </w:rPr>
      <w:t></w:t>
    </w:r>
    <w:r>
      <w:drawing>
        <wp:inline distT="0" distB="0" distL="114300" distR="114300">
          <wp:extent cx="661670" cy="501015"/>
          <wp:effectExtent l="0" t="0" r="5080" b="13335"/>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w:t>
    </w:r>
    <w:r>
      <w:drawing>
        <wp:inline distT="0" distB="0" distL="114300" distR="114300">
          <wp:extent cx="661670" cy="501015"/>
          <wp:effectExtent l="0" t="0" r="5080" b="13335"/>
          <wp:docPr id="7"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w:t>
    </w:r>
    <w:r>
      <w:drawing>
        <wp:inline distT="0" distB="0" distL="114300" distR="114300">
          <wp:extent cx="661670" cy="501015"/>
          <wp:effectExtent l="0" t="0" r="5080" b="13335"/>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left"/>
    </w:pPr>
    <w:r>
      <w:rPr>
        <w:lang w:val="zh-CN"/>
      </w:rPr>
      <w:t></w:t>
    </w:r>
    <w:r>
      <w:drawing>
        <wp:inline distT="0" distB="0" distL="114300" distR="114300">
          <wp:extent cx="661670" cy="501015"/>
          <wp:effectExtent l="0" t="0" r="5080" b="13335"/>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rFonts w:hint="eastAsia"/>
      </w:rPr>
      <w:t xml:space="preserve">  </w:t>
    </w:r>
    <w:r>
      <w:tab/>
    </w:r>
    <w:r>
      <w:rPr>
        <w:lang w:val="zh-CN"/>
      </w:rPr>
      <w:t></w:t>
    </w:r>
    <w:r>
      <w:tab/>
    </w:r>
    <w:r>
      <w:rPr>
        <w:rFonts w:hint="eastAsia"/>
      </w:rPr>
      <w:t xml:space="preserve">       海标工程管理有限公司</w:t>
    </w:r>
    <w:r>
      <w:rPr>
        <w:lang w:val="zh-CN"/>
      </w:rPr>
      <w:t>采购招标文件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left"/>
      <w:rPr>
        <w:rFonts w:ascii="仿宋_GB2312" w:eastAsia="仿宋_GB2312"/>
        <w:b/>
        <w:i/>
        <w:u w:val="single"/>
      </w:rPr>
    </w:pPr>
    <w:r>
      <w:rPr>
        <w:lang w:val="zh-CN"/>
      </w:rPr>
      <w:t></w:t>
    </w:r>
    <w:r>
      <w:drawing>
        <wp:inline distT="0" distB="0" distL="114300" distR="114300">
          <wp:extent cx="661670" cy="501015"/>
          <wp:effectExtent l="0" t="0" r="5080" b="13335"/>
          <wp:docPr id="10"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rFonts w:hint="eastAsia"/>
      </w:rPr>
      <w:t xml:space="preserve">                                                  </w:t>
    </w:r>
    <w:r>
      <w:tab/>
    </w:r>
    <w:r>
      <w:rPr>
        <w:lang w:val="zh-CN"/>
      </w:rPr>
      <w:t></w:t>
    </w:r>
    <w:r>
      <w:tab/>
    </w:r>
    <w:r>
      <w:rPr>
        <w:rFonts w:hint="eastAsia"/>
      </w:rPr>
      <w:t xml:space="preserve">                       海标工程管理有限公司</w:t>
    </w:r>
    <w:r>
      <w:rPr>
        <w:lang w:val="zh-CN"/>
      </w:rPr>
      <w:t>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CC8DB"/>
    <w:multiLevelType w:val="singleLevel"/>
    <w:tmpl w:val="327CC8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2ZGZjMzQyN2U2NWMyZTYxYTRjM2NhZDE2YTRlMDYifQ=="/>
  </w:docVars>
  <w:rsids>
    <w:rsidRoot w:val="00172A27"/>
    <w:rsid w:val="00000451"/>
    <w:rsid w:val="0000108B"/>
    <w:rsid w:val="0000133D"/>
    <w:rsid w:val="00001509"/>
    <w:rsid w:val="000019F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73B"/>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8E"/>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B6E"/>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72B"/>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3D27"/>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300"/>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997"/>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14B"/>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A9"/>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4BA"/>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5B60"/>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82F"/>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A5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25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00C"/>
    <w:rsid w:val="00E738FA"/>
    <w:rsid w:val="00E739B6"/>
    <w:rsid w:val="00E74A2B"/>
    <w:rsid w:val="00E75667"/>
    <w:rsid w:val="00E756D3"/>
    <w:rsid w:val="00E75A5A"/>
    <w:rsid w:val="00E75B4B"/>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81"/>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477"/>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22E"/>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123A2"/>
    <w:rsid w:val="019F7441"/>
    <w:rsid w:val="01AA7D1B"/>
    <w:rsid w:val="01B37585"/>
    <w:rsid w:val="01D55165"/>
    <w:rsid w:val="01DF6BF8"/>
    <w:rsid w:val="01EC2C57"/>
    <w:rsid w:val="025F0711"/>
    <w:rsid w:val="026B2E25"/>
    <w:rsid w:val="02824D4D"/>
    <w:rsid w:val="02D212D8"/>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184F9C"/>
    <w:rsid w:val="05251E14"/>
    <w:rsid w:val="05407CAB"/>
    <w:rsid w:val="058663AA"/>
    <w:rsid w:val="059C2407"/>
    <w:rsid w:val="05A16594"/>
    <w:rsid w:val="05A7762D"/>
    <w:rsid w:val="05D13AC9"/>
    <w:rsid w:val="060E5941"/>
    <w:rsid w:val="06110FAF"/>
    <w:rsid w:val="06493CA7"/>
    <w:rsid w:val="065A6178"/>
    <w:rsid w:val="066F1CF3"/>
    <w:rsid w:val="06930BB8"/>
    <w:rsid w:val="06EA3714"/>
    <w:rsid w:val="07245D42"/>
    <w:rsid w:val="07264C62"/>
    <w:rsid w:val="0779354C"/>
    <w:rsid w:val="07827641"/>
    <w:rsid w:val="07BE007D"/>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7A6225"/>
    <w:rsid w:val="098353B5"/>
    <w:rsid w:val="09A92330"/>
    <w:rsid w:val="09B06B87"/>
    <w:rsid w:val="09C13146"/>
    <w:rsid w:val="09E04166"/>
    <w:rsid w:val="0A1C0718"/>
    <w:rsid w:val="0A3E7710"/>
    <w:rsid w:val="0A5B7E63"/>
    <w:rsid w:val="0AA374A5"/>
    <w:rsid w:val="0AAB7649"/>
    <w:rsid w:val="0ABC5606"/>
    <w:rsid w:val="0B1F52D6"/>
    <w:rsid w:val="0B30404E"/>
    <w:rsid w:val="0B492353"/>
    <w:rsid w:val="0B4C6C14"/>
    <w:rsid w:val="0B547599"/>
    <w:rsid w:val="0B631A88"/>
    <w:rsid w:val="0B683D45"/>
    <w:rsid w:val="0B7F3F11"/>
    <w:rsid w:val="0B811AED"/>
    <w:rsid w:val="0B884417"/>
    <w:rsid w:val="0BD51E39"/>
    <w:rsid w:val="0BF6188C"/>
    <w:rsid w:val="0BF73C91"/>
    <w:rsid w:val="0BF95B27"/>
    <w:rsid w:val="0C170175"/>
    <w:rsid w:val="0C427989"/>
    <w:rsid w:val="0C571A41"/>
    <w:rsid w:val="0C5C1171"/>
    <w:rsid w:val="0C5E1CBC"/>
    <w:rsid w:val="0C615B50"/>
    <w:rsid w:val="0C8445DA"/>
    <w:rsid w:val="0C87121B"/>
    <w:rsid w:val="0CC007F7"/>
    <w:rsid w:val="0CC617AC"/>
    <w:rsid w:val="0CD8398F"/>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7186A"/>
    <w:rsid w:val="0EB803EE"/>
    <w:rsid w:val="0EC040DE"/>
    <w:rsid w:val="0EF654C7"/>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266B8"/>
    <w:rsid w:val="118963A1"/>
    <w:rsid w:val="11C6522A"/>
    <w:rsid w:val="11E104CC"/>
    <w:rsid w:val="11E20309"/>
    <w:rsid w:val="12255233"/>
    <w:rsid w:val="12371157"/>
    <w:rsid w:val="12530213"/>
    <w:rsid w:val="127723A9"/>
    <w:rsid w:val="12862074"/>
    <w:rsid w:val="12883966"/>
    <w:rsid w:val="129E45B4"/>
    <w:rsid w:val="12D81596"/>
    <w:rsid w:val="12F61BA2"/>
    <w:rsid w:val="13072A44"/>
    <w:rsid w:val="13531FC1"/>
    <w:rsid w:val="135F4BE2"/>
    <w:rsid w:val="139B1A0A"/>
    <w:rsid w:val="139D25C7"/>
    <w:rsid w:val="13BF3CE4"/>
    <w:rsid w:val="141008D8"/>
    <w:rsid w:val="14125FE6"/>
    <w:rsid w:val="14353475"/>
    <w:rsid w:val="146D271E"/>
    <w:rsid w:val="14982588"/>
    <w:rsid w:val="149A5AD9"/>
    <w:rsid w:val="14A7619D"/>
    <w:rsid w:val="150536C3"/>
    <w:rsid w:val="150C1963"/>
    <w:rsid w:val="151447A0"/>
    <w:rsid w:val="154A6454"/>
    <w:rsid w:val="155D7127"/>
    <w:rsid w:val="15762120"/>
    <w:rsid w:val="16A8729C"/>
    <w:rsid w:val="16B33777"/>
    <w:rsid w:val="16BC70A7"/>
    <w:rsid w:val="16C6339E"/>
    <w:rsid w:val="16F2564D"/>
    <w:rsid w:val="172420F4"/>
    <w:rsid w:val="172F2D79"/>
    <w:rsid w:val="17557BEF"/>
    <w:rsid w:val="17D349C1"/>
    <w:rsid w:val="1830729E"/>
    <w:rsid w:val="1870062C"/>
    <w:rsid w:val="18786026"/>
    <w:rsid w:val="18817102"/>
    <w:rsid w:val="18830A15"/>
    <w:rsid w:val="18852B28"/>
    <w:rsid w:val="188B5321"/>
    <w:rsid w:val="19932372"/>
    <w:rsid w:val="19A20DD5"/>
    <w:rsid w:val="19AE03F1"/>
    <w:rsid w:val="19C86FC1"/>
    <w:rsid w:val="1A071A03"/>
    <w:rsid w:val="1A1F16AE"/>
    <w:rsid w:val="1A2C531A"/>
    <w:rsid w:val="1A3B5C77"/>
    <w:rsid w:val="1A984BAD"/>
    <w:rsid w:val="1AB8220E"/>
    <w:rsid w:val="1AE4166C"/>
    <w:rsid w:val="1AF06CFB"/>
    <w:rsid w:val="1AF11B8D"/>
    <w:rsid w:val="1B11359C"/>
    <w:rsid w:val="1B2A271F"/>
    <w:rsid w:val="1B2C4137"/>
    <w:rsid w:val="1B530544"/>
    <w:rsid w:val="1B713184"/>
    <w:rsid w:val="1BA209CF"/>
    <w:rsid w:val="1BB4777D"/>
    <w:rsid w:val="1BD75AB8"/>
    <w:rsid w:val="1C0459C2"/>
    <w:rsid w:val="1C1B3B4A"/>
    <w:rsid w:val="1C1F5B65"/>
    <w:rsid w:val="1C6230C8"/>
    <w:rsid w:val="1C81563B"/>
    <w:rsid w:val="1C88086E"/>
    <w:rsid w:val="1CCA2408"/>
    <w:rsid w:val="1D0836EB"/>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884D2A"/>
    <w:rsid w:val="1FD52DD5"/>
    <w:rsid w:val="1FE868A9"/>
    <w:rsid w:val="20034907"/>
    <w:rsid w:val="20173E4B"/>
    <w:rsid w:val="204E48BC"/>
    <w:rsid w:val="208921B3"/>
    <w:rsid w:val="20973DEB"/>
    <w:rsid w:val="20A023A3"/>
    <w:rsid w:val="20B26522"/>
    <w:rsid w:val="20B44310"/>
    <w:rsid w:val="20F71FA3"/>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104945"/>
    <w:rsid w:val="245375B0"/>
    <w:rsid w:val="24642C0A"/>
    <w:rsid w:val="249C091E"/>
    <w:rsid w:val="24B22173"/>
    <w:rsid w:val="24B95AD9"/>
    <w:rsid w:val="24BE24DA"/>
    <w:rsid w:val="24CF5825"/>
    <w:rsid w:val="24D663E6"/>
    <w:rsid w:val="24D77F2B"/>
    <w:rsid w:val="25697879"/>
    <w:rsid w:val="258B00E2"/>
    <w:rsid w:val="25A917A6"/>
    <w:rsid w:val="25BB32FD"/>
    <w:rsid w:val="25BE27CC"/>
    <w:rsid w:val="25F74A5C"/>
    <w:rsid w:val="260C44CD"/>
    <w:rsid w:val="2628662C"/>
    <w:rsid w:val="262D45DE"/>
    <w:rsid w:val="26871DC8"/>
    <w:rsid w:val="26A53EF9"/>
    <w:rsid w:val="26A94201"/>
    <w:rsid w:val="26AC274F"/>
    <w:rsid w:val="26C07516"/>
    <w:rsid w:val="27044A29"/>
    <w:rsid w:val="27194E78"/>
    <w:rsid w:val="271D34C8"/>
    <w:rsid w:val="276142BF"/>
    <w:rsid w:val="27783712"/>
    <w:rsid w:val="278542BB"/>
    <w:rsid w:val="27907362"/>
    <w:rsid w:val="27DD5EA5"/>
    <w:rsid w:val="28333E1D"/>
    <w:rsid w:val="283C2BCC"/>
    <w:rsid w:val="28454BD6"/>
    <w:rsid w:val="28455253"/>
    <w:rsid w:val="28551971"/>
    <w:rsid w:val="285B1C53"/>
    <w:rsid w:val="28814A83"/>
    <w:rsid w:val="289F7086"/>
    <w:rsid w:val="28C32028"/>
    <w:rsid w:val="28CC490F"/>
    <w:rsid w:val="28DE40AA"/>
    <w:rsid w:val="29286A82"/>
    <w:rsid w:val="29345E77"/>
    <w:rsid w:val="294C65AD"/>
    <w:rsid w:val="29673C78"/>
    <w:rsid w:val="29806583"/>
    <w:rsid w:val="298B3C4C"/>
    <w:rsid w:val="29B5316E"/>
    <w:rsid w:val="29F26D24"/>
    <w:rsid w:val="29F94AE8"/>
    <w:rsid w:val="2A15033F"/>
    <w:rsid w:val="2A1662C1"/>
    <w:rsid w:val="2A1C7367"/>
    <w:rsid w:val="2A2815FA"/>
    <w:rsid w:val="2A5B37A0"/>
    <w:rsid w:val="2A6D6092"/>
    <w:rsid w:val="2A7D76B4"/>
    <w:rsid w:val="2ACF7AAE"/>
    <w:rsid w:val="2B437463"/>
    <w:rsid w:val="2B7807EE"/>
    <w:rsid w:val="2BA50BF7"/>
    <w:rsid w:val="2BBE7D9C"/>
    <w:rsid w:val="2BBF00EC"/>
    <w:rsid w:val="2BC2163A"/>
    <w:rsid w:val="2BC37CFD"/>
    <w:rsid w:val="2BD5237F"/>
    <w:rsid w:val="2BE536CE"/>
    <w:rsid w:val="2BE758D9"/>
    <w:rsid w:val="2BFD2672"/>
    <w:rsid w:val="2C09049E"/>
    <w:rsid w:val="2C0A653C"/>
    <w:rsid w:val="2C191F85"/>
    <w:rsid w:val="2C443805"/>
    <w:rsid w:val="2CE82D6F"/>
    <w:rsid w:val="2D297497"/>
    <w:rsid w:val="2D343236"/>
    <w:rsid w:val="2DD15014"/>
    <w:rsid w:val="2DF72DE4"/>
    <w:rsid w:val="2E0220AF"/>
    <w:rsid w:val="2E4B082A"/>
    <w:rsid w:val="2E5D4E86"/>
    <w:rsid w:val="2E5D790B"/>
    <w:rsid w:val="2E9A3C18"/>
    <w:rsid w:val="2EBB0FEE"/>
    <w:rsid w:val="2EC63002"/>
    <w:rsid w:val="2EC94492"/>
    <w:rsid w:val="2F0A6B38"/>
    <w:rsid w:val="2F2F348A"/>
    <w:rsid w:val="2F3E7B52"/>
    <w:rsid w:val="2F656EAC"/>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4A347A"/>
    <w:rsid w:val="32517576"/>
    <w:rsid w:val="32BE5C2C"/>
    <w:rsid w:val="32D61E6F"/>
    <w:rsid w:val="32FB6478"/>
    <w:rsid w:val="33263B3F"/>
    <w:rsid w:val="336963EB"/>
    <w:rsid w:val="33816EEB"/>
    <w:rsid w:val="33D60378"/>
    <w:rsid w:val="33E055F4"/>
    <w:rsid w:val="33EB55CD"/>
    <w:rsid w:val="33EC4C02"/>
    <w:rsid w:val="340D2360"/>
    <w:rsid w:val="3410665D"/>
    <w:rsid w:val="34211214"/>
    <w:rsid w:val="342E63AB"/>
    <w:rsid w:val="34422A8F"/>
    <w:rsid w:val="34950E68"/>
    <w:rsid w:val="34986E94"/>
    <w:rsid w:val="34AF62C9"/>
    <w:rsid w:val="34CB4388"/>
    <w:rsid w:val="34FA6E12"/>
    <w:rsid w:val="3512615F"/>
    <w:rsid w:val="354D7158"/>
    <w:rsid w:val="358D5588"/>
    <w:rsid w:val="35D07049"/>
    <w:rsid w:val="36254F67"/>
    <w:rsid w:val="363A3B40"/>
    <w:rsid w:val="365302AE"/>
    <w:rsid w:val="36607A0A"/>
    <w:rsid w:val="366E227C"/>
    <w:rsid w:val="366F2E0D"/>
    <w:rsid w:val="367979FD"/>
    <w:rsid w:val="367B6A5C"/>
    <w:rsid w:val="36A74ADA"/>
    <w:rsid w:val="36AD60D5"/>
    <w:rsid w:val="36B224F9"/>
    <w:rsid w:val="36EC0CC9"/>
    <w:rsid w:val="373F410B"/>
    <w:rsid w:val="37EE7094"/>
    <w:rsid w:val="38296C89"/>
    <w:rsid w:val="383002EB"/>
    <w:rsid w:val="38586797"/>
    <w:rsid w:val="38BC0149"/>
    <w:rsid w:val="38D87D1C"/>
    <w:rsid w:val="39031C39"/>
    <w:rsid w:val="39636459"/>
    <w:rsid w:val="396B7F6C"/>
    <w:rsid w:val="39B417A9"/>
    <w:rsid w:val="39FC5695"/>
    <w:rsid w:val="3A006D8E"/>
    <w:rsid w:val="3A332F55"/>
    <w:rsid w:val="3A3651E5"/>
    <w:rsid w:val="3A744481"/>
    <w:rsid w:val="3A8C7BEF"/>
    <w:rsid w:val="3A906246"/>
    <w:rsid w:val="3ADD023E"/>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23790"/>
    <w:rsid w:val="3EC33DFA"/>
    <w:rsid w:val="3F060E16"/>
    <w:rsid w:val="3F1D1096"/>
    <w:rsid w:val="3F2F0234"/>
    <w:rsid w:val="3F6363FE"/>
    <w:rsid w:val="3F6A406B"/>
    <w:rsid w:val="3F756B8F"/>
    <w:rsid w:val="3F95482B"/>
    <w:rsid w:val="4019356B"/>
    <w:rsid w:val="40592157"/>
    <w:rsid w:val="406E1CAE"/>
    <w:rsid w:val="408A49C4"/>
    <w:rsid w:val="40A0133A"/>
    <w:rsid w:val="40C31A53"/>
    <w:rsid w:val="40C672BD"/>
    <w:rsid w:val="40FF545D"/>
    <w:rsid w:val="410067C8"/>
    <w:rsid w:val="4105404B"/>
    <w:rsid w:val="418F0D2A"/>
    <w:rsid w:val="41D01505"/>
    <w:rsid w:val="4235270E"/>
    <w:rsid w:val="42474939"/>
    <w:rsid w:val="424C3C57"/>
    <w:rsid w:val="42613FF3"/>
    <w:rsid w:val="42660D96"/>
    <w:rsid w:val="428667D2"/>
    <w:rsid w:val="42CD1CE0"/>
    <w:rsid w:val="42E1381E"/>
    <w:rsid w:val="42ED6459"/>
    <w:rsid w:val="42FE58DD"/>
    <w:rsid w:val="42FF2D1C"/>
    <w:rsid w:val="43174B3D"/>
    <w:rsid w:val="434B790E"/>
    <w:rsid w:val="4360274F"/>
    <w:rsid w:val="43977AB6"/>
    <w:rsid w:val="43A3342B"/>
    <w:rsid w:val="43C77C27"/>
    <w:rsid w:val="43DE09EE"/>
    <w:rsid w:val="43E02B4D"/>
    <w:rsid w:val="44002FAD"/>
    <w:rsid w:val="449101DD"/>
    <w:rsid w:val="44DE1391"/>
    <w:rsid w:val="45045C1E"/>
    <w:rsid w:val="451B225C"/>
    <w:rsid w:val="452410C9"/>
    <w:rsid w:val="45317DFB"/>
    <w:rsid w:val="456D3CE4"/>
    <w:rsid w:val="4579042C"/>
    <w:rsid w:val="457F0571"/>
    <w:rsid w:val="45851176"/>
    <w:rsid w:val="45C63B94"/>
    <w:rsid w:val="460E7DA5"/>
    <w:rsid w:val="46132D66"/>
    <w:rsid w:val="46422483"/>
    <w:rsid w:val="4659254A"/>
    <w:rsid w:val="465B0637"/>
    <w:rsid w:val="465E3F0D"/>
    <w:rsid w:val="466A16E6"/>
    <w:rsid w:val="46893F2B"/>
    <w:rsid w:val="46C4686E"/>
    <w:rsid w:val="477B778F"/>
    <w:rsid w:val="478203EC"/>
    <w:rsid w:val="47B025FA"/>
    <w:rsid w:val="4809698F"/>
    <w:rsid w:val="4811697D"/>
    <w:rsid w:val="484A7E01"/>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BB39CC"/>
    <w:rsid w:val="4AEB7664"/>
    <w:rsid w:val="4AFD7C19"/>
    <w:rsid w:val="4B0567D1"/>
    <w:rsid w:val="4B236AAE"/>
    <w:rsid w:val="4B683B54"/>
    <w:rsid w:val="4B707271"/>
    <w:rsid w:val="4B9739F7"/>
    <w:rsid w:val="4BEE2503"/>
    <w:rsid w:val="4C245A30"/>
    <w:rsid w:val="4C4261D4"/>
    <w:rsid w:val="4CAB6EC5"/>
    <w:rsid w:val="4CB6685F"/>
    <w:rsid w:val="4CC367FE"/>
    <w:rsid w:val="4D077F3C"/>
    <w:rsid w:val="4D123355"/>
    <w:rsid w:val="4D2A3B31"/>
    <w:rsid w:val="4D2E1AE6"/>
    <w:rsid w:val="4D312C52"/>
    <w:rsid w:val="4D5F2D35"/>
    <w:rsid w:val="4D905305"/>
    <w:rsid w:val="4D964A72"/>
    <w:rsid w:val="4D9C1254"/>
    <w:rsid w:val="4DDA24BF"/>
    <w:rsid w:val="4E793892"/>
    <w:rsid w:val="4E800872"/>
    <w:rsid w:val="4EC569ED"/>
    <w:rsid w:val="4ED50EA1"/>
    <w:rsid w:val="4EEC050C"/>
    <w:rsid w:val="4F104EC3"/>
    <w:rsid w:val="4F47354A"/>
    <w:rsid w:val="4F911C54"/>
    <w:rsid w:val="4FE625E0"/>
    <w:rsid w:val="5021480F"/>
    <w:rsid w:val="5081481A"/>
    <w:rsid w:val="50962ECB"/>
    <w:rsid w:val="50A42E38"/>
    <w:rsid w:val="50A4577F"/>
    <w:rsid w:val="50B73D1F"/>
    <w:rsid w:val="50BD5BC9"/>
    <w:rsid w:val="50C11EEE"/>
    <w:rsid w:val="50E97CFC"/>
    <w:rsid w:val="50F419E6"/>
    <w:rsid w:val="50FA4028"/>
    <w:rsid w:val="510D65B7"/>
    <w:rsid w:val="511157AB"/>
    <w:rsid w:val="513149E8"/>
    <w:rsid w:val="5142540C"/>
    <w:rsid w:val="518832C8"/>
    <w:rsid w:val="519D3C50"/>
    <w:rsid w:val="51A0432A"/>
    <w:rsid w:val="51A86090"/>
    <w:rsid w:val="51A927D1"/>
    <w:rsid w:val="51B7396D"/>
    <w:rsid w:val="51BB2504"/>
    <w:rsid w:val="522E4CC3"/>
    <w:rsid w:val="5244713B"/>
    <w:rsid w:val="52615633"/>
    <w:rsid w:val="526F4DE4"/>
    <w:rsid w:val="52977FD4"/>
    <w:rsid w:val="52A25790"/>
    <w:rsid w:val="52A96B6F"/>
    <w:rsid w:val="52B45975"/>
    <w:rsid w:val="52D94AA4"/>
    <w:rsid w:val="52EA3A62"/>
    <w:rsid w:val="52F50BB8"/>
    <w:rsid w:val="53097272"/>
    <w:rsid w:val="53544462"/>
    <w:rsid w:val="538F59F6"/>
    <w:rsid w:val="5397158E"/>
    <w:rsid w:val="54013861"/>
    <w:rsid w:val="5402266C"/>
    <w:rsid w:val="54487265"/>
    <w:rsid w:val="544D6070"/>
    <w:rsid w:val="54605E1E"/>
    <w:rsid w:val="54B3506A"/>
    <w:rsid w:val="54CA0D16"/>
    <w:rsid w:val="54DD4057"/>
    <w:rsid w:val="54E7490F"/>
    <w:rsid w:val="54ED50CA"/>
    <w:rsid w:val="550764A4"/>
    <w:rsid w:val="550B2BF6"/>
    <w:rsid w:val="55214EB5"/>
    <w:rsid w:val="55364EFD"/>
    <w:rsid w:val="555D4828"/>
    <w:rsid w:val="555E7D76"/>
    <w:rsid w:val="557A4C8B"/>
    <w:rsid w:val="558931E1"/>
    <w:rsid w:val="55923347"/>
    <w:rsid w:val="55925180"/>
    <w:rsid w:val="55983B1B"/>
    <w:rsid w:val="55A8376B"/>
    <w:rsid w:val="55DC29B6"/>
    <w:rsid w:val="55DD4241"/>
    <w:rsid w:val="566B6D1E"/>
    <w:rsid w:val="56867584"/>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13520"/>
    <w:rsid w:val="587569D9"/>
    <w:rsid w:val="58917D2F"/>
    <w:rsid w:val="5894085C"/>
    <w:rsid w:val="58A12453"/>
    <w:rsid w:val="58A41F44"/>
    <w:rsid w:val="58AE4F0C"/>
    <w:rsid w:val="58B85899"/>
    <w:rsid w:val="58E363A9"/>
    <w:rsid w:val="595E1678"/>
    <w:rsid w:val="596D5BD4"/>
    <w:rsid w:val="597E3DD8"/>
    <w:rsid w:val="598002BB"/>
    <w:rsid w:val="599B06DD"/>
    <w:rsid w:val="59F80043"/>
    <w:rsid w:val="5A09252F"/>
    <w:rsid w:val="5A0B2778"/>
    <w:rsid w:val="5A2A7C7B"/>
    <w:rsid w:val="5A3E2560"/>
    <w:rsid w:val="5A4F5EDF"/>
    <w:rsid w:val="5A5D3B6E"/>
    <w:rsid w:val="5A637A76"/>
    <w:rsid w:val="5A6D33BA"/>
    <w:rsid w:val="5A792B1F"/>
    <w:rsid w:val="5A874767"/>
    <w:rsid w:val="5A981634"/>
    <w:rsid w:val="5AA85BE2"/>
    <w:rsid w:val="5AAD6F28"/>
    <w:rsid w:val="5AD63A24"/>
    <w:rsid w:val="5B2E1A1D"/>
    <w:rsid w:val="5B843A1C"/>
    <w:rsid w:val="5B873E3F"/>
    <w:rsid w:val="5BD26DC8"/>
    <w:rsid w:val="5C02690E"/>
    <w:rsid w:val="5C196DA7"/>
    <w:rsid w:val="5C2A048C"/>
    <w:rsid w:val="5C80234E"/>
    <w:rsid w:val="5C8A680C"/>
    <w:rsid w:val="5C8F6A67"/>
    <w:rsid w:val="5D0C4701"/>
    <w:rsid w:val="5D0F0395"/>
    <w:rsid w:val="5D221076"/>
    <w:rsid w:val="5D397964"/>
    <w:rsid w:val="5D562EE7"/>
    <w:rsid w:val="5D5A391C"/>
    <w:rsid w:val="5D5F10C0"/>
    <w:rsid w:val="5D891B7B"/>
    <w:rsid w:val="5DAD38EE"/>
    <w:rsid w:val="5E006862"/>
    <w:rsid w:val="5E0207B9"/>
    <w:rsid w:val="5E0607DE"/>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2E31E5"/>
    <w:rsid w:val="60714E01"/>
    <w:rsid w:val="607330CE"/>
    <w:rsid w:val="60825176"/>
    <w:rsid w:val="609F2AC4"/>
    <w:rsid w:val="60B13918"/>
    <w:rsid w:val="60CA62C0"/>
    <w:rsid w:val="60FA2EE8"/>
    <w:rsid w:val="61054A27"/>
    <w:rsid w:val="610A52BC"/>
    <w:rsid w:val="611D2366"/>
    <w:rsid w:val="61421856"/>
    <w:rsid w:val="615227C4"/>
    <w:rsid w:val="61654E3F"/>
    <w:rsid w:val="6182292A"/>
    <w:rsid w:val="619F7F92"/>
    <w:rsid w:val="61F94C26"/>
    <w:rsid w:val="62000E56"/>
    <w:rsid w:val="624F3E49"/>
    <w:rsid w:val="62546789"/>
    <w:rsid w:val="62632286"/>
    <w:rsid w:val="62885958"/>
    <w:rsid w:val="62F40B65"/>
    <w:rsid w:val="62FC2CFE"/>
    <w:rsid w:val="63024505"/>
    <w:rsid w:val="635600A5"/>
    <w:rsid w:val="635B1DB5"/>
    <w:rsid w:val="63711FED"/>
    <w:rsid w:val="63880DDC"/>
    <w:rsid w:val="638D750D"/>
    <w:rsid w:val="63AC6CC0"/>
    <w:rsid w:val="63B36D13"/>
    <w:rsid w:val="63EF2296"/>
    <w:rsid w:val="64055776"/>
    <w:rsid w:val="64240056"/>
    <w:rsid w:val="643E143A"/>
    <w:rsid w:val="64491666"/>
    <w:rsid w:val="648B6EEF"/>
    <w:rsid w:val="64917820"/>
    <w:rsid w:val="64C158BF"/>
    <w:rsid w:val="64CE2EAA"/>
    <w:rsid w:val="64DA0ACB"/>
    <w:rsid w:val="65012431"/>
    <w:rsid w:val="653C3090"/>
    <w:rsid w:val="65854376"/>
    <w:rsid w:val="658767BE"/>
    <w:rsid w:val="65892531"/>
    <w:rsid w:val="66195831"/>
    <w:rsid w:val="662E75B1"/>
    <w:rsid w:val="66342C2E"/>
    <w:rsid w:val="663E784C"/>
    <w:rsid w:val="668B6A45"/>
    <w:rsid w:val="66AC6B93"/>
    <w:rsid w:val="67011F07"/>
    <w:rsid w:val="672F3F24"/>
    <w:rsid w:val="673E055F"/>
    <w:rsid w:val="67551CE3"/>
    <w:rsid w:val="67A22552"/>
    <w:rsid w:val="67B22DCC"/>
    <w:rsid w:val="67BE71AA"/>
    <w:rsid w:val="67D90273"/>
    <w:rsid w:val="67DE5875"/>
    <w:rsid w:val="67E0499E"/>
    <w:rsid w:val="67E55852"/>
    <w:rsid w:val="67EB1AB4"/>
    <w:rsid w:val="67FA1285"/>
    <w:rsid w:val="68551F4F"/>
    <w:rsid w:val="687C10C9"/>
    <w:rsid w:val="68840C16"/>
    <w:rsid w:val="68872541"/>
    <w:rsid w:val="68876EFB"/>
    <w:rsid w:val="68884654"/>
    <w:rsid w:val="689F444F"/>
    <w:rsid w:val="68AB2E7A"/>
    <w:rsid w:val="68B96DBB"/>
    <w:rsid w:val="68CA2805"/>
    <w:rsid w:val="68CA3301"/>
    <w:rsid w:val="68E937A3"/>
    <w:rsid w:val="691664E5"/>
    <w:rsid w:val="693E15D3"/>
    <w:rsid w:val="69410184"/>
    <w:rsid w:val="694C01BA"/>
    <w:rsid w:val="69627681"/>
    <w:rsid w:val="6977531D"/>
    <w:rsid w:val="69CC2BFF"/>
    <w:rsid w:val="69D32689"/>
    <w:rsid w:val="69FD55B8"/>
    <w:rsid w:val="6A0B1C62"/>
    <w:rsid w:val="6A2406C8"/>
    <w:rsid w:val="6A9A5D24"/>
    <w:rsid w:val="6AD0539A"/>
    <w:rsid w:val="6ADE0BD1"/>
    <w:rsid w:val="6AE54422"/>
    <w:rsid w:val="6AE96859"/>
    <w:rsid w:val="6B0D1BCA"/>
    <w:rsid w:val="6B147746"/>
    <w:rsid w:val="6B24787C"/>
    <w:rsid w:val="6B573233"/>
    <w:rsid w:val="6B5B6274"/>
    <w:rsid w:val="6B935D53"/>
    <w:rsid w:val="6C196F71"/>
    <w:rsid w:val="6C197B13"/>
    <w:rsid w:val="6C226FCB"/>
    <w:rsid w:val="6C31226F"/>
    <w:rsid w:val="6C552F0B"/>
    <w:rsid w:val="6C8C67B7"/>
    <w:rsid w:val="6C9D744C"/>
    <w:rsid w:val="6CC438B6"/>
    <w:rsid w:val="6D167928"/>
    <w:rsid w:val="6D26299B"/>
    <w:rsid w:val="6D4772EC"/>
    <w:rsid w:val="6D7E290C"/>
    <w:rsid w:val="6D875C64"/>
    <w:rsid w:val="6D9078AF"/>
    <w:rsid w:val="6DAA3FEF"/>
    <w:rsid w:val="6DC0172B"/>
    <w:rsid w:val="6DCB690C"/>
    <w:rsid w:val="6DD41A5B"/>
    <w:rsid w:val="6DF43C2E"/>
    <w:rsid w:val="6DF51CA3"/>
    <w:rsid w:val="6E2B2A93"/>
    <w:rsid w:val="6E8335BD"/>
    <w:rsid w:val="6E8E12EF"/>
    <w:rsid w:val="6E972936"/>
    <w:rsid w:val="6ED446C5"/>
    <w:rsid w:val="6F2A7D94"/>
    <w:rsid w:val="6F8331F1"/>
    <w:rsid w:val="6FAE1A09"/>
    <w:rsid w:val="6FD75BF8"/>
    <w:rsid w:val="6FFD70E0"/>
    <w:rsid w:val="707723D0"/>
    <w:rsid w:val="70F5661B"/>
    <w:rsid w:val="712D08D1"/>
    <w:rsid w:val="71360107"/>
    <w:rsid w:val="713B688E"/>
    <w:rsid w:val="71C1397E"/>
    <w:rsid w:val="71D43752"/>
    <w:rsid w:val="71F1796A"/>
    <w:rsid w:val="72154626"/>
    <w:rsid w:val="72262B5D"/>
    <w:rsid w:val="72283FF7"/>
    <w:rsid w:val="722E7212"/>
    <w:rsid w:val="723A0474"/>
    <w:rsid w:val="724C122A"/>
    <w:rsid w:val="725923E4"/>
    <w:rsid w:val="72864BF7"/>
    <w:rsid w:val="729023FC"/>
    <w:rsid w:val="72FF44EF"/>
    <w:rsid w:val="738D7856"/>
    <w:rsid w:val="73C0646E"/>
    <w:rsid w:val="742222F5"/>
    <w:rsid w:val="74476126"/>
    <w:rsid w:val="74706664"/>
    <w:rsid w:val="747F3682"/>
    <w:rsid w:val="749C4185"/>
    <w:rsid w:val="75067759"/>
    <w:rsid w:val="750D40AB"/>
    <w:rsid w:val="752E6DCD"/>
    <w:rsid w:val="7551380D"/>
    <w:rsid w:val="755D288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8EF290F"/>
    <w:rsid w:val="7904172F"/>
    <w:rsid w:val="790F7E27"/>
    <w:rsid w:val="792A231A"/>
    <w:rsid w:val="79316829"/>
    <w:rsid w:val="797E66A9"/>
    <w:rsid w:val="798518A4"/>
    <w:rsid w:val="79A97383"/>
    <w:rsid w:val="79AD6A52"/>
    <w:rsid w:val="79E27E8B"/>
    <w:rsid w:val="79F850CE"/>
    <w:rsid w:val="79FD443C"/>
    <w:rsid w:val="7A1D1975"/>
    <w:rsid w:val="7A252A8D"/>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B73BB8"/>
    <w:rsid w:val="7BEE0103"/>
    <w:rsid w:val="7C0A0FE4"/>
    <w:rsid w:val="7C254906"/>
    <w:rsid w:val="7C330D65"/>
    <w:rsid w:val="7C590818"/>
    <w:rsid w:val="7C61173E"/>
    <w:rsid w:val="7C7C10F6"/>
    <w:rsid w:val="7C853BEA"/>
    <w:rsid w:val="7C881368"/>
    <w:rsid w:val="7CE27788"/>
    <w:rsid w:val="7D0C32F1"/>
    <w:rsid w:val="7D0F408D"/>
    <w:rsid w:val="7D491C6C"/>
    <w:rsid w:val="7D5429C0"/>
    <w:rsid w:val="7D6B6A41"/>
    <w:rsid w:val="7D6E6D43"/>
    <w:rsid w:val="7D7E13A5"/>
    <w:rsid w:val="7DB57A34"/>
    <w:rsid w:val="7DE60973"/>
    <w:rsid w:val="7DEF0916"/>
    <w:rsid w:val="7E0230E5"/>
    <w:rsid w:val="7E1E5218"/>
    <w:rsid w:val="7E4454AB"/>
    <w:rsid w:val="7E9A4E1F"/>
    <w:rsid w:val="7EA7723A"/>
    <w:rsid w:val="7EF56FBB"/>
    <w:rsid w:val="7F0768EB"/>
    <w:rsid w:val="7F127358"/>
    <w:rsid w:val="7F143BEC"/>
    <w:rsid w:val="7F715AF2"/>
    <w:rsid w:val="7F886E69"/>
    <w:rsid w:val="7FFB7DEC"/>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w:basedOn w:val="24"/>
    <w:next w:val="51"/>
    <w:link w:val="322"/>
    <w:qFormat/>
    <w:uiPriority w:val="0"/>
    <w:pPr>
      <w:ind w:firstLine="420"/>
    </w:pPr>
    <w:rPr>
      <w:rFonts w:hAnsi="Calibri" w:cs="Times New Roman"/>
      <w:snapToGrid/>
      <w:szCs w:val="20"/>
    </w:rPr>
  </w:style>
  <w:style w:type="paragraph" w:styleId="62">
    <w:name w:val="Body Text First Indent 2"/>
    <w:basedOn w:val="25"/>
    <w:next w:val="1"/>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
    <w:basedOn w:val="25"/>
    <w:qFormat/>
    <w:uiPriority w:val="99"/>
    <w:pPr>
      <w:spacing w:line="200" w:lineRule="atLeast"/>
      <w:ind w:firstLine="420"/>
    </w:pPr>
    <w:rPr>
      <w:rFonts w:ascii="宋体" w:hAnsi="Courier New"/>
      <w:spacing w:val="-4"/>
      <w:sz w:val="18"/>
    </w:rPr>
  </w:style>
  <w:style w:type="paragraph" w:customStyle="1" w:styleId="81">
    <w:name w:val="正文文本首行缩进 21"/>
    <w:basedOn w:val="25"/>
    <w:qFormat/>
    <w:uiPriority w:val="99"/>
    <w:pPr>
      <w:spacing w:line="200" w:lineRule="atLeast"/>
      <w:ind w:firstLine="420"/>
    </w:pPr>
    <w:rPr>
      <w:rFonts w:hAnsi="Courier New"/>
      <w:spacing w:val="-4"/>
      <w:sz w:val="18"/>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321"/>
    <w:link w:val="319"/>
    <w:qFormat/>
    <w:uiPriority w:val="0"/>
    <w:pPr>
      <w:tabs>
        <w:tab w:val="right" w:leader="dot" w:pos="8268"/>
      </w:tabs>
      <w:adjustRightInd/>
    </w:pPr>
    <w:rPr>
      <w:rFonts w:ascii="宋体" w:hAnsi="Courier New"/>
      <w:kern w:val="0"/>
      <w:sz w:val="20"/>
      <w:szCs w:val="20"/>
    </w:rPr>
  </w:style>
  <w:style w:type="paragraph" w:customStyle="1" w:styleId="321">
    <w:name w:val="正文1"/>
    <w:basedOn w:val="32"/>
    <w:qFormat/>
    <w:uiPriority w:val="0"/>
    <w:pPr>
      <w:ind w:left="0" w:leftChars="0" w:firstLine="480" w:firstLineChars="200"/>
    </w:pPr>
    <w:rPr>
      <w:rFonts w:ascii="仿宋_GB2312" w:hAnsi="Courier New" w:eastAsia="仿宋_GB2312"/>
      <w:kern w:val="28"/>
      <w:sz w:val="24"/>
    </w:rPr>
  </w:style>
  <w:style w:type="character" w:customStyle="1" w:styleId="322">
    <w:name w:val="正文文本首行缩进 字符"/>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qFormat/>
    <w:uiPriority w:val="99"/>
    <w:rPr>
      <w:kern w:val="2"/>
      <w:sz w:val="21"/>
      <w:szCs w:val="24"/>
    </w:rPr>
  </w:style>
  <w:style w:type="character" w:customStyle="1" w:styleId="346">
    <w:name w:val="签名 字符"/>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5"/>
    <w:next w:val="23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5"/>
    <w:next w:val="23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semiHidden/>
    <w:qFormat/>
    <w:uiPriority w:val="0"/>
  </w:style>
  <w:style w:type="paragraph" w:customStyle="1" w:styleId="966">
    <w:name w:val="列出段落11"/>
    <w:basedOn w:val="1"/>
    <w:qFormat/>
    <w:uiPriority w:val="34"/>
    <w:pPr>
      <w:snapToGrid w:val="0"/>
      <w:spacing w:line="276" w:lineRule="auto"/>
      <w:ind w:firstLine="420" w:firstLineChars="200"/>
    </w:pPr>
    <w:rPr>
      <w:rFonts w:ascii="Calibri" w:hAnsi="Calibri" w:eastAsia="微软雅黑"/>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36699</Words>
  <Characters>38683</Characters>
  <Lines>341</Lines>
  <Paragraphs>96</Paragraphs>
  <TotalTime>34</TotalTime>
  <ScaleCrop>false</ScaleCrop>
  <LinksUpToDate>false</LinksUpToDate>
  <CharactersWithSpaces>44153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2023-05-16T10:04:00Z</dcterms:created>
  <dc:creator>玥</dc:creator>
  <cp:lastModifiedBy>海标</cp:lastModifiedBy>
  <cp:lastPrinted>2023-08-01T07:40:00Z</cp:lastPrinted>
  <dcterms:modified xsi:type="dcterms:W3CDTF">2023-08-08T02:54:57Z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496285217DE848C3BF9CBD9E817942F6_13</vt:lpwstr>
  </property>
</Properties>
</file>